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A095" w14:textId="0890A2B5" w:rsidR="00A82FED" w:rsidRDefault="005E726D" w:rsidP="00BC509A">
      <w:pPr>
        <w:rPr>
          <w:rFonts w:ascii="Calibri" w:hAnsi="Calibri" w:cs="Calibri"/>
          <w:color w:val="000000"/>
          <w:lang w:val="en-US"/>
        </w:rPr>
      </w:pPr>
      <w:r>
        <w:rPr>
          <w:noProof/>
        </w:rPr>
        <mc:AlternateContent>
          <mc:Choice Requires="wpc">
            <w:drawing>
              <wp:anchor distT="0" distB="0" distL="114300" distR="114300" simplePos="0" relativeHeight="251658244" behindDoc="0" locked="0" layoutInCell="1" allowOverlap="1" wp14:anchorId="1B2905E3" wp14:editId="489155C0">
                <wp:simplePos x="0" y="0"/>
                <wp:positionH relativeFrom="column">
                  <wp:posOffset>-650756</wp:posOffset>
                </wp:positionH>
                <wp:positionV relativeFrom="paragraph">
                  <wp:posOffset>-660184</wp:posOffset>
                </wp:positionV>
                <wp:extent cx="6743581" cy="6078711"/>
                <wp:effectExtent l="0" t="0" r="635" b="0"/>
                <wp:wrapNone/>
                <wp:docPr id="1585891534" name="Canvas 1585891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85891308" name="Rectangle 5"/>
                        <wps:cNvSpPr>
                          <a:spLocks noChangeArrowheads="1"/>
                        </wps:cNvSpPr>
                        <wps:spPr bwMode="auto">
                          <a:xfrm>
                            <a:off x="2960886" y="1262363"/>
                            <a:ext cx="317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7943" w14:textId="77777777" w:rsidR="00A82FED" w:rsidRDefault="00A82FED" w:rsidP="00A82FED">
                              <w:r>
                                <w:rPr>
                                  <w:rFonts w:ascii="Calibri" w:hAnsi="Calibri" w:cs="Calibri"/>
                                  <w:color w:val="000000"/>
                                  <w:lang w:val="en-US"/>
                                </w:rPr>
                                <w:t xml:space="preserve"> </w:t>
                              </w:r>
                            </w:p>
                          </w:txbxContent>
                        </wps:txbx>
                        <wps:bodyPr rot="0" vert="horz" wrap="none" lIns="0" tIns="0" rIns="0" bIns="0" anchor="t" anchorCtr="0">
                          <a:spAutoFit/>
                        </wps:bodyPr>
                      </wps:wsp>
                      <wps:wsp>
                        <wps:cNvPr id="1585891309" name="Rectangle 6"/>
                        <wps:cNvSpPr>
                          <a:spLocks noChangeArrowheads="1"/>
                        </wps:cNvSpPr>
                        <wps:spPr bwMode="auto">
                          <a:xfrm>
                            <a:off x="6396236" y="1548748"/>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AB66A"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10" name="Rectangle 7"/>
                        <wps:cNvSpPr>
                          <a:spLocks noChangeArrowheads="1"/>
                        </wps:cNvSpPr>
                        <wps:spPr bwMode="auto">
                          <a:xfrm>
                            <a:off x="6396236" y="2033888"/>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C764"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11" name="Rectangle 8"/>
                        <wps:cNvSpPr>
                          <a:spLocks noChangeArrowheads="1"/>
                        </wps:cNvSpPr>
                        <wps:spPr bwMode="auto">
                          <a:xfrm>
                            <a:off x="6396236" y="2517758"/>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1AB9"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12" name="Rectangle 9"/>
                        <wps:cNvSpPr>
                          <a:spLocks noChangeArrowheads="1"/>
                        </wps:cNvSpPr>
                        <wps:spPr bwMode="auto">
                          <a:xfrm>
                            <a:off x="6396236" y="3003533"/>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80B6B"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13" name="Rectangle 10"/>
                        <wps:cNvSpPr>
                          <a:spLocks noChangeArrowheads="1"/>
                        </wps:cNvSpPr>
                        <wps:spPr bwMode="auto">
                          <a:xfrm>
                            <a:off x="6396236" y="3488673"/>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AC40A"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14" name="Rectangle 11" descr="Strong Beginnings: Report of the Teacher Education Expert Panel 2023"/>
                        <wps:cNvSpPr>
                          <a:spLocks noChangeArrowheads="1"/>
                        </wps:cNvSpPr>
                        <wps:spPr bwMode="auto">
                          <a:xfrm>
                            <a:off x="2960886" y="397246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F8801" w14:textId="0962D339" w:rsidR="00A82FED" w:rsidRDefault="00A82FED" w:rsidP="00A82FED"/>
                          </w:txbxContent>
                        </wps:txbx>
                        <wps:bodyPr rot="0" vert="horz" wrap="none" lIns="0" tIns="0" rIns="0" bIns="0" anchor="t" anchorCtr="0">
                          <a:spAutoFit/>
                        </wps:bodyPr>
                      </wps:wsp>
                      <wps:wsp>
                        <wps:cNvPr id="1585891315" name="Rectangle 12"/>
                        <wps:cNvSpPr>
                          <a:spLocks noChangeArrowheads="1"/>
                        </wps:cNvSpPr>
                        <wps:spPr bwMode="auto">
                          <a:xfrm>
                            <a:off x="6327656" y="3986513"/>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5613" w14:textId="77777777" w:rsidR="00A82FED" w:rsidRDefault="00A82FED" w:rsidP="00A82FED"/>
                          </w:txbxContent>
                        </wps:txbx>
                        <wps:bodyPr rot="0" vert="horz" wrap="none" lIns="0" tIns="0" rIns="0" bIns="0" anchor="t" anchorCtr="0">
                          <a:spAutoFit/>
                        </wps:bodyPr>
                      </wps:wsp>
                      <wps:wsp>
                        <wps:cNvPr id="1585891316" name="Rectangle 13"/>
                        <wps:cNvSpPr>
                          <a:spLocks noChangeArrowheads="1"/>
                        </wps:cNvSpPr>
                        <wps:spPr bwMode="auto">
                          <a:xfrm>
                            <a:off x="6396236" y="3986513"/>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FC3DB"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17" name="Rectangle 14"/>
                        <wps:cNvSpPr>
                          <a:spLocks noChangeArrowheads="1"/>
                        </wps:cNvSpPr>
                        <wps:spPr bwMode="auto">
                          <a:xfrm>
                            <a:off x="1869956" y="4477913"/>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9A829" w14:textId="2F4DDF57" w:rsidR="00A82FED" w:rsidRDefault="00A82FED" w:rsidP="00A82FED"/>
                          </w:txbxContent>
                        </wps:txbx>
                        <wps:bodyPr rot="0" vert="horz" wrap="none" lIns="0" tIns="0" rIns="0" bIns="0" anchor="t" anchorCtr="0">
                          <a:spAutoFit/>
                        </wps:bodyPr>
                      </wps:wsp>
                      <wps:wsp>
                        <wps:cNvPr id="1585891318" name="Rectangle 15"/>
                        <wps:cNvSpPr>
                          <a:spLocks noChangeArrowheads="1"/>
                        </wps:cNvSpPr>
                        <wps:spPr bwMode="auto">
                          <a:xfrm>
                            <a:off x="3820676" y="4477913"/>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5139F" w14:textId="597DD7D5" w:rsidR="00A82FED" w:rsidRDefault="00A82FED" w:rsidP="00A82FED"/>
                          </w:txbxContent>
                        </wps:txbx>
                        <wps:bodyPr rot="0" vert="horz" wrap="none" lIns="0" tIns="0" rIns="0" bIns="0" anchor="t" anchorCtr="0">
                          <a:spAutoFit/>
                        </wps:bodyPr>
                      </wps:wsp>
                      <wps:wsp>
                        <wps:cNvPr id="1585891319" name="Rectangle 16"/>
                        <wps:cNvSpPr>
                          <a:spLocks noChangeArrowheads="1"/>
                        </wps:cNvSpPr>
                        <wps:spPr bwMode="auto">
                          <a:xfrm>
                            <a:off x="6483866" y="4478003"/>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E95BA"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20" name="Rectangle 17"/>
                        <wps:cNvSpPr>
                          <a:spLocks noChangeArrowheads="1"/>
                        </wps:cNvSpPr>
                        <wps:spPr bwMode="auto">
                          <a:xfrm>
                            <a:off x="4667131" y="4961772"/>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2C7AE" w14:textId="4BCDEE4E" w:rsidR="00A82FED" w:rsidRDefault="00A82FED" w:rsidP="00A82FED"/>
                          </w:txbxContent>
                        </wps:txbx>
                        <wps:bodyPr rot="0" vert="horz" wrap="none" lIns="0" tIns="0" rIns="0" bIns="0" anchor="t" anchorCtr="0">
                          <a:spAutoFit/>
                        </wps:bodyPr>
                      </wps:wsp>
                      <wps:wsp>
                        <wps:cNvPr id="1585891321" name="Rectangle 18"/>
                        <wps:cNvSpPr>
                          <a:spLocks noChangeArrowheads="1"/>
                        </wps:cNvSpPr>
                        <wps:spPr bwMode="auto">
                          <a:xfrm>
                            <a:off x="5632966" y="4961748"/>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32026" w14:textId="19BD0DCA" w:rsidR="00A82FED" w:rsidRDefault="00A82FED" w:rsidP="00A82FED"/>
                          </w:txbxContent>
                        </wps:txbx>
                        <wps:bodyPr rot="0" vert="horz" wrap="none" lIns="0" tIns="0" rIns="0" bIns="0" anchor="t" anchorCtr="0">
                          <a:spAutoFit/>
                        </wps:bodyPr>
                      </wps:wsp>
                      <wps:wsp>
                        <wps:cNvPr id="1585891322" name="Rectangle 19"/>
                        <wps:cNvSpPr>
                          <a:spLocks noChangeArrowheads="1"/>
                        </wps:cNvSpPr>
                        <wps:spPr bwMode="auto">
                          <a:xfrm>
                            <a:off x="6396236" y="4961873"/>
                            <a:ext cx="869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25A6" w14:textId="77777777" w:rsidR="00A82FED" w:rsidRDefault="00A82FED" w:rsidP="00A82FED">
                              <w:r>
                                <w:rPr>
                                  <w:rFonts w:ascii="Segoe UI" w:hAnsi="Segoe UI" w:cs="Segoe UI"/>
                                  <w:color w:val="FFFFFF"/>
                                  <w:sz w:val="50"/>
                                  <w:szCs w:val="50"/>
                                  <w:lang w:val="en-US"/>
                                </w:rPr>
                                <w:t xml:space="preserve"> </w:t>
                              </w:r>
                            </w:p>
                          </w:txbxContent>
                        </wps:txbx>
                        <wps:bodyPr rot="0" vert="horz" wrap="none" lIns="0" tIns="0" rIns="0" bIns="0" anchor="t" anchorCtr="0">
                          <a:spAutoFit/>
                        </wps:bodyPr>
                      </wps:wsp>
                      <wps:wsp>
                        <wps:cNvPr id="1585891323" name="Rectangle 20"/>
                        <wps:cNvSpPr>
                          <a:spLocks noChangeArrowheads="1"/>
                        </wps:cNvSpPr>
                        <wps:spPr bwMode="auto">
                          <a:xfrm>
                            <a:off x="5633805" y="544643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234F6" w14:textId="74BA0A75" w:rsidR="00A82FED" w:rsidRDefault="00A82FED" w:rsidP="00A82FED"/>
                          </w:txbxContent>
                        </wps:txbx>
                        <wps:bodyPr rot="0" vert="horz" wrap="none" lIns="0" tIns="0" rIns="0" bIns="0" anchor="t" anchorCtr="0">
                          <a:spAutoFit/>
                        </wps:bodyPr>
                      </wps:wsp>
                      <wps:wsp>
                        <wps:cNvPr id="1585891324" name="Rectangle 21"/>
                        <wps:cNvSpPr>
                          <a:spLocks noChangeArrowheads="1"/>
                        </wps:cNvSpPr>
                        <wps:spPr bwMode="auto">
                          <a:xfrm>
                            <a:off x="6396236" y="5460983"/>
                            <a:ext cx="8763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68B2B" w14:textId="77777777" w:rsidR="00A82FED" w:rsidRDefault="00A82FED" w:rsidP="00A82FED">
                              <w:r>
                                <w:rPr>
                                  <w:rFonts w:ascii="Segoe UI" w:hAnsi="Segoe UI" w:cs="Segoe UI"/>
                                  <w:b/>
                                  <w:bCs/>
                                  <w:color w:val="FFFFFF"/>
                                  <w:sz w:val="50"/>
                                  <w:szCs w:val="50"/>
                                  <w:lang w:val="en-US"/>
                                </w:rPr>
                                <w:t xml:space="preserve"> </w:t>
                              </w:r>
                            </w:p>
                          </w:txbxContent>
                        </wps:txbx>
                        <wps:bodyPr rot="0" vert="horz" wrap="none" lIns="0" tIns="0" rIns="0" bIns="0" anchor="t" anchorCtr="0">
                          <a:spAutoFit/>
                        </wps:bodyPr>
                      </wps:wsp>
                      <pic:pic xmlns:pic="http://schemas.openxmlformats.org/drawingml/2006/picture">
                        <pic:nvPicPr>
                          <pic:cNvPr id="1585891537" name="Picture 1585891537" descr="Australian Government coat of arms"/>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6303" y="163901"/>
                            <a:ext cx="2030943" cy="492254"/>
                          </a:xfrm>
                          <a:prstGeom prst="rect">
                            <a:avLst/>
                          </a:prstGeom>
                        </pic:spPr>
                      </pic:pic>
                      <pic:pic xmlns:pic="http://schemas.openxmlformats.org/drawingml/2006/picture">
                        <pic:nvPicPr>
                          <pic:cNvPr id="1585891539" name="Picture 1585891539" descr="Strong Beginnings&#10;Report of the Teacher&#10;Education Expert Panel&#10;2023"/>
                          <pic:cNvPicPr>
                            <a:picLocks noChangeAspect="1"/>
                          </pic:cNvPicPr>
                        </pic:nvPicPr>
                        <pic:blipFill>
                          <a:blip r:embed="rId12"/>
                          <a:stretch>
                            <a:fillRect/>
                          </a:stretch>
                        </pic:blipFill>
                        <pic:spPr>
                          <a:xfrm>
                            <a:off x="650756" y="3846733"/>
                            <a:ext cx="6092825" cy="1933534"/>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B2905E3" id="Canvas 1585891534" o:spid="_x0000_s1026" editas="canvas" alt="&quot;&quot;" style="position:absolute;margin-left:-51.25pt;margin-top:-52pt;width:531pt;height:478.65pt;z-index:251658244" coordsize="67430,6078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7430;height:60782;visibility:visible;mso-wrap-style:square">
                  <v:fill o:detectmouseclick="t"/>
                  <v:path o:connecttype="none"/>
                </v:shape>
                <v:rect id="Rectangle 5" o:spid="_x0000_s1028" style="position:absolute;left:29608;top:12623;width:31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" filled="f" stroked="f">
                  <v:textbox style="mso-fit-shape-to-text:t" inset="0,0,0,0">
                    <w:txbxContent>
                      <w:p w14:paraId="098A7943" w14:textId="77777777" w:rsidR="00A82FED" w:rsidRDefault="00A82FED" w:rsidP="00A82FED">
                        <w:r>
                          <w:rPr>
                            <w:rFonts w:ascii="Calibri" w:hAnsi="Calibri" w:cs="Calibri"/>
                            <w:color w:val="000000"/>
                            <w:lang w:val="en-US"/>
                          </w:rPr>
                          <w:t xml:space="preserve"> </w:t>
                        </w:r>
                      </w:p>
                    </w:txbxContent>
                  </v:textbox>
                </v:rect>
                <v:rect id="Rectangle 6" o:spid="_x0000_s1029" style="position:absolute;left:63962;top:15487;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" filled="f" stroked="f">
                  <v:textbox style="mso-fit-shape-to-text:t" inset="0,0,0,0">
                    <w:txbxContent>
                      <w:p w14:paraId="205AB66A" w14:textId="77777777" w:rsidR="00A82FED" w:rsidRDefault="00A82FED" w:rsidP="00A82FED">
                        <w:r>
                          <w:rPr>
                            <w:rFonts w:ascii="Segoe UI" w:hAnsi="Segoe UI" w:cs="Segoe UI"/>
                            <w:color w:val="FFFFFF"/>
                            <w:sz w:val="50"/>
                            <w:szCs w:val="50"/>
                            <w:lang w:val="en-US"/>
                          </w:rPr>
                          <w:t xml:space="preserve"> </w:t>
                        </w:r>
                      </w:p>
                    </w:txbxContent>
                  </v:textbox>
                </v:rect>
                <v:rect id="Rectangle 7" o:spid="_x0000_s1030" style="position:absolute;left:63962;top:20338;width:870;height:32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" filled="f" stroked="f">
                  <v:textbox style="mso-fit-shape-to-text:t" inset="0,0,0,0">
                    <w:txbxContent>
                      <w:p w14:paraId="5314C764" w14:textId="77777777" w:rsidR="00A82FED" w:rsidRDefault="00A82FED" w:rsidP="00A82FED">
                        <w:r>
                          <w:rPr>
                            <w:rFonts w:ascii="Segoe UI" w:hAnsi="Segoe UI" w:cs="Segoe UI"/>
                            <w:color w:val="FFFFFF"/>
                            <w:sz w:val="50"/>
                            <w:szCs w:val="50"/>
                            <w:lang w:val="en-US"/>
                          </w:rPr>
                          <w:t xml:space="preserve"> </w:t>
                        </w:r>
                      </w:p>
                    </w:txbxContent>
                  </v:textbox>
                </v:rect>
                <v:rect id="Rectangle 8" o:spid="_x0000_s1031" style="position:absolute;left:63962;top:25177;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" filled="f" stroked="f">
                  <v:textbox style="mso-fit-shape-to-text:t" inset="0,0,0,0">
                    <w:txbxContent>
                      <w:p w14:paraId="5F321AB9" w14:textId="77777777" w:rsidR="00A82FED" w:rsidRDefault="00A82FED" w:rsidP="00A82FED">
                        <w:r>
                          <w:rPr>
                            <w:rFonts w:ascii="Segoe UI" w:hAnsi="Segoe UI" w:cs="Segoe UI"/>
                            <w:color w:val="FFFFFF"/>
                            <w:sz w:val="50"/>
                            <w:szCs w:val="50"/>
                            <w:lang w:val="en-US"/>
                          </w:rPr>
                          <w:t xml:space="preserve"> </w:t>
                        </w:r>
                      </w:p>
                    </w:txbxContent>
                  </v:textbox>
                </v:rect>
                <v:rect id="Rectangle 9" o:spid="_x0000_s1032" style="position:absolute;left:63962;top:30035;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" filled="f" stroked="f">
                  <v:textbox style="mso-fit-shape-to-text:t" inset="0,0,0,0">
                    <w:txbxContent>
                      <w:p w14:paraId="20380B6B" w14:textId="77777777" w:rsidR="00A82FED" w:rsidRDefault="00A82FED" w:rsidP="00A82FED">
                        <w:r>
                          <w:rPr>
                            <w:rFonts w:ascii="Segoe UI" w:hAnsi="Segoe UI" w:cs="Segoe UI"/>
                            <w:color w:val="FFFFFF"/>
                            <w:sz w:val="50"/>
                            <w:szCs w:val="50"/>
                            <w:lang w:val="en-US"/>
                          </w:rPr>
                          <w:t xml:space="preserve"> </w:t>
                        </w:r>
                      </w:p>
                    </w:txbxContent>
                  </v:textbox>
                </v:rect>
                <v:rect id="Rectangle 10" o:spid="_x0000_s1033" style="position:absolute;left:63962;top:34886;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" filled="f" stroked="f">
                  <v:textbox style="mso-fit-shape-to-text:t" inset="0,0,0,0">
                    <w:txbxContent>
                      <w:p w14:paraId="211AC40A" w14:textId="77777777" w:rsidR="00A82FED" w:rsidRDefault="00A82FED" w:rsidP="00A82FED">
                        <w:r>
                          <w:rPr>
                            <w:rFonts w:ascii="Segoe UI" w:hAnsi="Segoe UI" w:cs="Segoe UI"/>
                            <w:color w:val="FFFFFF"/>
                            <w:sz w:val="50"/>
                            <w:szCs w:val="50"/>
                            <w:lang w:val="en-US"/>
                          </w:rPr>
                          <w:t xml:space="preserve"> </w:t>
                        </w:r>
                      </w:p>
                    </w:txbxContent>
                  </v:textbox>
                </v:rect>
                <v:rect id="Rectangle 11" o:spid="_x0000_s1034" alt="Strong Beginnings: Report of the Teacher Education Expert Panel 2023" style="position:absolute;left:29608;top:39724;width:82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" filled="f" stroked="f">
                  <v:textbox style="mso-fit-shape-to-text:t" inset="0,0,0,0">
                    <w:txbxContent>
                      <w:p w14:paraId="1ADF8801" w14:textId="0962D339" w:rsidR="00A82FED" w:rsidRDefault="00A82FED" w:rsidP="00A82FED"/>
                    </w:txbxContent>
                  </v:textbox>
                </v:rect>
                <v:rect id="Rectangle 12" o:spid="_x0000_s1035" style="position:absolute;left:63276;top:39865;width:81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" filled="f" stroked="f">
                  <v:textbox style="mso-fit-shape-to-text:t" inset="0,0,0,0">
                    <w:txbxContent>
                      <w:p w14:paraId="0C715613" w14:textId="77777777" w:rsidR="00A82FED" w:rsidRDefault="00A82FED" w:rsidP="00A82FED"/>
                    </w:txbxContent>
                  </v:textbox>
                </v:rect>
                <v:rect id="Rectangle 13" o:spid="_x0000_s1036" style="position:absolute;left:63962;top:39865;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" filled="f" stroked="f">
                  <v:textbox style="mso-fit-shape-to-text:t" inset="0,0,0,0">
                    <w:txbxContent>
                      <w:p w14:paraId="72FFC3DB" w14:textId="77777777" w:rsidR="00A82FED" w:rsidRDefault="00A82FED" w:rsidP="00A82FED">
                        <w:r>
                          <w:rPr>
                            <w:rFonts w:ascii="Segoe UI" w:hAnsi="Segoe UI" w:cs="Segoe UI"/>
                            <w:color w:val="FFFFFF"/>
                            <w:sz w:val="50"/>
                            <w:szCs w:val="50"/>
                            <w:lang w:val="en-US"/>
                          </w:rPr>
                          <w:t xml:space="preserve"> </w:t>
                        </w:r>
                      </w:p>
                    </w:txbxContent>
                  </v:textbox>
                </v:rect>
                <v:rect id="Rectangle 14" o:spid="_x0000_s1037" style="position:absolute;left:18699;top:44779;width:81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" filled="f" stroked="f">
                  <v:textbox style="mso-fit-shape-to-text:t" inset="0,0,0,0">
                    <w:txbxContent>
                      <w:p w14:paraId="5909A829" w14:textId="2F4DDF57" w:rsidR="00A82FED" w:rsidRDefault="00A82FED" w:rsidP="00A82FED"/>
                    </w:txbxContent>
                  </v:textbox>
                </v:rect>
                <v:rect id="Rectangle 15" o:spid="_x0000_s1038" style="position:absolute;left:38206;top:44779;width:81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" filled="f" stroked="f">
                  <v:textbox style="mso-fit-shape-to-text:t" inset="0,0,0,0">
                    <w:txbxContent>
                      <w:p w14:paraId="6285139F" w14:textId="597DD7D5" w:rsidR="00A82FED" w:rsidRDefault="00A82FED" w:rsidP="00A82FED"/>
                    </w:txbxContent>
                  </v:textbox>
                </v:rect>
                <v:rect id="Rectangle 16" o:spid="_x0000_s1039" style="position:absolute;left:64838;top:44780;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" filled="f" stroked="f">
                  <v:textbox style="mso-fit-shape-to-text:t" inset="0,0,0,0">
                    <w:txbxContent>
                      <w:p w14:paraId="264E95BA" w14:textId="77777777" w:rsidR="00A82FED" w:rsidRDefault="00A82FED" w:rsidP="00A82FED">
                        <w:r>
                          <w:rPr>
                            <w:rFonts w:ascii="Segoe UI" w:hAnsi="Segoe UI" w:cs="Segoe UI"/>
                            <w:color w:val="FFFFFF"/>
                            <w:sz w:val="50"/>
                            <w:szCs w:val="50"/>
                            <w:lang w:val="en-US"/>
                          </w:rPr>
                          <w:t xml:space="preserve"> </w:t>
                        </w:r>
                      </w:p>
                    </w:txbxContent>
                  </v:textbox>
                </v:rect>
                <v:rect id="Rectangle 17" o:spid="_x0000_s1040" style="position:absolute;left:46671;top:49617;width:81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" filled="f" stroked="f">
                  <v:textbox style="mso-fit-shape-to-text:t" inset="0,0,0,0">
                    <w:txbxContent>
                      <w:p w14:paraId="2FD2C7AE" w14:textId="4BCDEE4E" w:rsidR="00A82FED" w:rsidRDefault="00A82FED" w:rsidP="00A82FED"/>
                    </w:txbxContent>
                  </v:textbox>
                </v:rect>
                <v:rect id="Rectangle 18" o:spid="_x0000_s1041" style="position:absolute;left:56329;top:49617;width:81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" filled="f" stroked="f">
                  <v:textbox style="mso-fit-shape-to-text:t" inset="0,0,0,0">
                    <w:txbxContent>
                      <w:p w14:paraId="44432026" w14:textId="19BD0DCA" w:rsidR="00A82FED" w:rsidRDefault="00A82FED" w:rsidP="00A82FED"/>
                    </w:txbxContent>
                  </v:textbox>
                </v:rect>
                <v:rect id="Rectangle 19" o:spid="_x0000_s1042" style="position:absolute;left:63962;top:49618;width:8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" filled="f" stroked="f">
                  <v:textbox style="mso-fit-shape-to-text:t" inset="0,0,0,0">
                    <w:txbxContent>
                      <w:p w14:paraId="5E3525A6" w14:textId="77777777" w:rsidR="00A82FED" w:rsidRDefault="00A82FED" w:rsidP="00A82FED">
                        <w:r>
                          <w:rPr>
                            <w:rFonts w:ascii="Segoe UI" w:hAnsi="Segoe UI" w:cs="Segoe UI"/>
                            <w:color w:val="FFFFFF"/>
                            <w:sz w:val="50"/>
                            <w:szCs w:val="50"/>
                            <w:lang w:val="en-US"/>
                          </w:rPr>
                          <w:t xml:space="preserve"> </w:t>
                        </w:r>
                      </w:p>
                    </w:txbxContent>
                  </v:textbox>
                </v:rect>
                <v:rect id="Rectangle 20" o:spid="_x0000_s1043" style="position:absolute;left:56338;top:54464;width:81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" filled="f" stroked="f">
                  <v:textbox style="mso-fit-shape-to-text:t" inset="0,0,0,0">
                    <w:txbxContent>
                      <w:p w14:paraId="37F234F6" w14:textId="74BA0A75" w:rsidR="00A82FED" w:rsidRDefault="00A82FED" w:rsidP="00A82FED"/>
                    </w:txbxContent>
                  </v:textbox>
                </v:rect>
                <v:rect id="Rectangle 21" o:spid="_x0000_s1044" style="position:absolute;left:63962;top:54609;width:87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" filled="f" stroked="f">
                  <v:textbox style="mso-fit-shape-to-text:t" inset="0,0,0,0">
                    <w:txbxContent>
                      <w:p w14:paraId="61E68B2B" w14:textId="77777777" w:rsidR="00A82FED" w:rsidRDefault="00A82FED" w:rsidP="00A82FED">
                        <w:r>
                          <w:rPr>
                            <w:rFonts w:ascii="Segoe UI" w:hAnsi="Segoe UI" w:cs="Segoe UI"/>
                            <w:b/>
                            <w:bCs/>
                            <w:color w:val="FFFFFF"/>
                            <w:sz w:val="50"/>
                            <w:szCs w:val="50"/>
                            <w:lang w:val="en-US"/>
                          </w:rPr>
                          <w:t xml:space="preserve"> </w:t>
                        </w:r>
                      </w:p>
                    </w:txbxContent>
                  </v:textbox>
                </v:rect>
                <v:shape id="Picture 1585891537" o:spid="_x0000_s1045" type="#_x0000_t75" alt="Australian Government coat of arms" style="position:absolute;left:1763;top:1639;width:20309;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">
                  <v:imagedata r:id="rId13" o:title="Australian Government coat of arms"/>
                </v:shape>
                <v:shape id="Picture 1585891539" o:spid="_x0000_s1046" type="#_x0000_t75" alt="Strong Beginnings&#10;Report of the Teacher&#10;Education Expert Panel&#10;2023" style="position:absolute;left:6507;top:38467;width:60928;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">
                  <v:imagedata r:id="rId14" o:title="Strong Beginnings&#10;Report of the Teacher&#10;Education Expert Panel&#10;2023"/>
                </v:shape>
              </v:group>
            </w:pict>
          </mc:Fallback>
        </mc:AlternateContent>
      </w:r>
      <w:r>
        <w:rPr>
          <w:noProof/>
        </w:rPr>
        <w:drawing>
          <wp:anchor distT="0" distB="0" distL="114300" distR="114300" simplePos="0" relativeHeight="251658245" behindDoc="1" locked="0" layoutInCell="1" allowOverlap="1" wp14:anchorId="71A4FC4F" wp14:editId="3FCF3034">
            <wp:simplePos x="0" y="0"/>
            <wp:positionH relativeFrom="column">
              <wp:posOffset>-914400</wp:posOffset>
            </wp:positionH>
            <wp:positionV relativeFrom="paragraph">
              <wp:posOffset>-1151889</wp:posOffset>
            </wp:positionV>
            <wp:extent cx="8427291" cy="10696216"/>
            <wp:effectExtent l="0" t="0" r="0" b="0"/>
            <wp:wrapNone/>
            <wp:docPr id="1585891542" name="Picture 1585891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91542" name="Picture 158589154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40666" cy="10713192"/>
                    </a:xfrm>
                    <a:prstGeom prst="rect">
                      <a:avLst/>
                    </a:prstGeom>
                  </pic:spPr>
                </pic:pic>
              </a:graphicData>
            </a:graphic>
            <wp14:sizeRelH relativeFrom="margin">
              <wp14:pctWidth>0</wp14:pctWidth>
            </wp14:sizeRelH>
            <wp14:sizeRelV relativeFrom="margin">
              <wp14:pctHeight>0</wp14:pctHeight>
            </wp14:sizeRelV>
          </wp:anchor>
        </w:drawing>
      </w:r>
    </w:p>
    <w:p w14:paraId="563F45BC" w14:textId="71D6E2E1" w:rsidR="00A82FED" w:rsidRDefault="00A82FED" w:rsidP="00BC509A">
      <w:pPr>
        <w:rPr>
          <w:rFonts w:ascii="Calibri" w:hAnsi="Calibri" w:cs="Calibri"/>
          <w:color w:val="000000"/>
          <w:lang w:val="en-US"/>
        </w:rPr>
      </w:pPr>
    </w:p>
    <w:p w14:paraId="240D503F" w14:textId="4A9B230B" w:rsidR="00A82FED" w:rsidRDefault="00A82FED" w:rsidP="00BC509A">
      <w:pPr>
        <w:rPr>
          <w:rFonts w:ascii="Calibri" w:hAnsi="Calibri" w:cs="Calibri"/>
          <w:color w:val="000000"/>
          <w:lang w:val="en-US"/>
        </w:rPr>
      </w:pPr>
    </w:p>
    <w:p w14:paraId="0F9CB2F7" w14:textId="314712FA" w:rsidR="00A82FED" w:rsidRDefault="00A82FED" w:rsidP="00BC509A">
      <w:pPr>
        <w:rPr>
          <w:rFonts w:ascii="Calibri" w:hAnsi="Calibri" w:cs="Calibri"/>
          <w:color w:val="000000"/>
          <w:lang w:val="en-US"/>
        </w:rPr>
      </w:pPr>
    </w:p>
    <w:p w14:paraId="6DED268C" w14:textId="11489ECA" w:rsidR="006F11CB" w:rsidRPr="00BC509A" w:rsidRDefault="006F11CB" w:rsidP="00BC509A"/>
    <w:p w14:paraId="7056E33B" w14:textId="6124083B" w:rsidR="0041098B" w:rsidRPr="00734A50" w:rsidRDefault="0041098B" w:rsidP="006F11CB">
      <w:pPr>
        <w:spacing w:after="0"/>
        <w:jc w:val="right"/>
        <w:rPr>
          <w:rFonts w:ascii="Segoe UI" w:hAnsi="Segoe UI" w:cs="Segoe UI"/>
          <w:color w:val="FFFFFF" w:themeColor="background1"/>
          <w:sz w:val="144"/>
          <w:szCs w:val="144"/>
        </w:rPr>
      </w:pPr>
    </w:p>
    <w:p w14:paraId="7283811E" w14:textId="77777777" w:rsidR="00C33365" w:rsidRPr="00734A50" w:rsidRDefault="00C33365" w:rsidP="0073737F">
      <w:pPr>
        <w:spacing w:after="0"/>
        <w:rPr>
          <w:rFonts w:ascii="Segoe UI" w:hAnsi="Segoe UI" w:cs="Segoe UI"/>
          <w:color w:val="FFFFFF" w:themeColor="background1"/>
          <w:sz w:val="50"/>
          <w:szCs w:val="50"/>
        </w:rPr>
      </w:pPr>
    </w:p>
    <w:p w14:paraId="6A6C5B4E" w14:textId="77777777" w:rsidR="0073737F" w:rsidRPr="00734A50" w:rsidRDefault="0073737F" w:rsidP="0073737F">
      <w:pPr>
        <w:spacing w:after="0"/>
        <w:rPr>
          <w:rFonts w:ascii="Segoe UI" w:hAnsi="Segoe UI" w:cs="Segoe UI"/>
          <w:color w:val="FFFFFF" w:themeColor="background1"/>
          <w:sz w:val="50"/>
          <w:szCs w:val="50"/>
        </w:rPr>
      </w:pPr>
    </w:p>
    <w:p w14:paraId="0600EC06" w14:textId="13F1DDCC" w:rsidR="001F616B" w:rsidRPr="00734A50" w:rsidRDefault="001F616B" w:rsidP="001F616B">
      <w:pPr>
        <w:pStyle w:val="Subtitle"/>
        <w:jc w:val="center"/>
        <w:rPr>
          <w:rFonts w:ascii="Segoe UI" w:hAnsi="Segoe UI" w:cs="Segoe UI"/>
          <w:color w:val="FFFFFF" w:themeColor="background1"/>
          <w:sz w:val="50"/>
          <w:szCs w:val="50"/>
        </w:rPr>
        <w:sectPr w:rsidR="001F616B" w:rsidRPr="00734A50" w:rsidSect="00221D8F">
          <w:headerReference w:type="even" r:id="rId16"/>
          <w:headerReference w:type="default" r:id="rId17"/>
          <w:footerReference w:type="even" r:id="rId18"/>
          <w:footerReference w:type="default" r:id="rId19"/>
          <w:headerReference w:type="first" r:id="rId20"/>
          <w:footerReference w:type="first" r:id="rId21"/>
          <w:pgSz w:w="11906" w:h="16838"/>
          <w:pgMar w:top="1814" w:right="1440" w:bottom="1440" w:left="1440" w:header="709" w:footer="709" w:gutter="0"/>
          <w:cols w:space="708"/>
          <w:docGrid w:linePitch="360"/>
        </w:sectPr>
      </w:pPr>
    </w:p>
    <w:p w14:paraId="29295486" w14:textId="77777777" w:rsidR="00BD3763" w:rsidRPr="00734A50" w:rsidRDefault="00BD3763" w:rsidP="00C31730">
      <w:pPr>
        <w:spacing w:before="8520"/>
        <w:rPr>
          <w:rStyle w:val="Strong"/>
        </w:rPr>
      </w:pPr>
      <w:bookmarkStart w:id="0" w:name="_Toc127978370"/>
      <w:bookmarkStart w:id="1" w:name="_Toc128649070"/>
      <w:bookmarkStart w:id="2" w:name="_Toc130217426"/>
    </w:p>
    <w:p w14:paraId="0B69841E" w14:textId="319C7285" w:rsidR="00C31730" w:rsidRPr="00734A50" w:rsidRDefault="00C31730" w:rsidP="00BD3763">
      <w:pPr>
        <w:spacing w:after="480"/>
      </w:pPr>
      <w:r w:rsidRPr="00734A50">
        <w:rPr>
          <w:noProof/>
        </w:rPr>
        <w:drawing>
          <wp:inline distT="0" distB="0" distL="0" distR="0" wp14:anchorId="421F0E1C" wp14:editId="3C6D32DF">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9FE2759" w14:textId="628D92E8" w:rsidR="00C31730" w:rsidRPr="00734A50" w:rsidRDefault="00C31730" w:rsidP="00170223">
      <w:pPr>
        <w:spacing w:line="240" w:lineRule="auto"/>
      </w:pPr>
      <w:r w:rsidRPr="00734A50">
        <w:t xml:space="preserve">With the exception of the Commonwealth Coat of Arms, the </w:t>
      </w:r>
      <w:r w:rsidR="001156FE" w:rsidRPr="00734A50">
        <w:t>d</w:t>
      </w:r>
      <w:r w:rsidRPr="00734A50">
        <w:t xml:space="preserve">epartment’s logo, any material protected by a trade mark and where otherwise noted all material presented in this document is provided under a </w:t>
      </w:r>
      <w:hyperlink r:id="rId23" w:history="1">
        <w:r w:rsidRPr="00734A50">
          <w:rPr>
            <w:rStyle w:val="Hyperlink"/>
          </w:rPr>
          <w:t>Creative Commons Attribution 4.0 International</w:t>
        </w:r>
      </w:hyperlink>
      <w:r w:rsidRPr="00734A50">
        <w:t xml:space="preserve"> (https://creativecommons.org/licenses/by/4.0/) licence.</w:t>
      </w:r>
    </w:p>
    <w:p w14:paraId="563860DD" w14:textId="0DEF6452" w:rsidR="00C31730" w:rsidRPr="00734A50" w:rsidRDefault="00C31730" w:rsidP="00170223">
      <w:pPr>
        <w:spacing w:line="240" w:lineRule="auto"/>
      </w:pPr>
      <w:r w:rsidRPr="00734A50">
        <w:t xml:space="preserve">The details of the relevant licence conditions are available on the Creative Commons website (accessible using the links provided) as is the full legal code for the </w:t>
      </w:r>
      <w:hyperlink r:id="rId24">
        <w:r w:rsidR="4EDC0DE4" w:rsidRPr="00734A50">
          <w:rPr>
            <w:rStyle w:val="Hyperlink"/>
          </w:rPr>
          <w:t>CC BY 4.0 International</w:t>
        </w:r>
      </w:hyperlink>
      <w:r w:rsidRPr="00734A50">
        <w:t xml:space="preserve"> (https://creativecommons.org/licenses/by/4.0/legalcode) </w:t>
      </w:r>
    </w:p>
    <w:p w14:paraId="454D7F21" w14:textId="7E07802E" w:rsidR="472A3437" w:rsidRPr="00734A50" w:rsidRDefault="00C31730" w:rsidP="006D14A6">
      <w:pPr>
        <w:spacing w:line="240" w:lineRule="auto"/>
      </w:pPr>
      <w:r w:rsidRPr="00734A50">
        <w:t xml:space="preserve">The document must be attributed as the </w:t>
      </w:r>
      <w:r w:rsidR="002F5657" w:rsidRPr="000F71EA">
        <w:rPr>
          <w:i/>
          <w:iCs/>
        </w:rPr>
        <w:t>Strong Beginnings: Report of the Teacher Education Expert Panel</w:t>
      </w:r>
      <w:r w:rsidRPr="000F71EA">
        <w:t>.</w:t>
      </w:r>
      <w:r w:rsidR="472A3437" w:rsidRPr="00734A50">
        <w:br w:type="page"/>
      </w:r>
    </w:p>
    <w:p w14:paraId="26B86D1E" w14:textId="7E043CB8" w:rsidR="00AC1C80" w:rsidRPr="00734A50" w:rsidRDefault="000136AC" w:rsidP="0012041E">
      <w:pPr>
        <w:pStyle w:val="Heading1"/>
      </w:pPr>
      <w:bookmarkStart w:id="3" w:name="_Toc139366484"/>
      <w:bookmarkStart w:id="4" w:name="_Toc139366602"/>
      <w:r w:rsidRPr="00734A50">
        <w:lastRenderedPageBreak/>
        <w:t>Contents</w:t>
      </w:r>
      <w:bookmarkEnd w:id="3"/>
      <w:bookmarkEnd w:id="4"/>
    </w:p>
    <w:sdt>
      <w:sdtPr>
        <w:rPr>
          <w:rFonts w:asciiTheme="minorHAnsi" w:eastAsiaTheme="minorHAnsi" w:hAnsiTheme="minorHAnsi" w:cstheme="minorBidi"/>
          <w:bCs w:val="0"/>
          <w:color w:val="auto"/>
          <w:sz w:val="22"/>
          <w:szCs w:val="22"/>
          <w:lang w:val="en-AU" w:eastAsia="en-US"/>
        </w:rPr>
        <w:id w:val="297114870"/>
        <w:docPartObj>
          <w:docPartGallery w:val="Table of Contents"/>
          <w:docPartUnique/>
        </w:docPartObj>
      </w:sdtPr>
      <w:sdtEndPr>
        <w:rPr>
          <w:b/>
          <w:noProof/>
        </w:rPr>
      </w:sdtEndPr>
      <w:sdtContent>
        <w:p w14:paraId="0EBD0150" w14:textId="5272416E" w:rsidR="007609D2" w:rsidRDefault="007609D2" w:rsidP="005E726D">
          <w:pPr>
            <w:pStyle w:val="TOCHeading"/>
            <w:spacing w:before="100" w:beforeAutospacing="1" w:after="100" w:afterAutospacing="1" w:line="240" w:lineRule="auto"/>
            <w:rPr>
              <w:rFonts w:asciiTheme="minorHAnsi" w:eastAsiaTheme="minorEastAsia" w:hAnsiTheme="minorHAnsi" w:cstheme="minorBidi"/>
              <w:b/>
              <w:bCs w:val="0"/>
              <w:caps/>
              <w:noProof/>
              <w:kern w:val="2"/>
              <w:sz w:val="22"/>
              <w:szCs w:val="22"/>
              <w14:ligatures w14:val="standardContextual"/>
            </w:rPr>
          </w:pPr>
          <w:r>
            <w:fldChar w:fldCharType="begin"/>
          </w:r>
          <w:r>
            <w:instrText xml:space="preserve"> TOC \o "1-3" \h \z \u </w:instrText>
          </w:r>
          <w:r>
            <w:fldChar w:fldCharType="separate"/>
          </w:r>
        </w:p>
        <w:p w14:paraId="03E823B9" w14:textId="73A6F4B1" w:rsidR="007609D2" w:rsidRPr="006C164D" w:rsidRDefault="00FD4EA7" w:rsidP="005E726D">
          <w:pPr>
            <w:pStyle w:val="TOC1"/>
            <w:tabs>
              <w:tab w:val="right" w:leader="dot" w:pos="9010"/>
            </w:tabs>
            <w:spacing w:before="100" w:beforeAutospacing="1" w:after="100" w:afterAutospacing="1" w:line="240" w:lineRule="auto"/>
            <w:rPr>
              <w:rStyle w:val="Hyperlink"/>
              <w:noProof/>
              <w:color w:val="auto"/>
              <w:u w:val="none"/>
            </w:rPr>
          </w:pPr>
          <w:hyperlink w:anchor="_Toc139366603" w:history="1">
            <w:r w:rsidR="007609D2" w:rsidRPr="006C164D">
              <w:rPr>
                <w:rStyle w:val="Hyperlink"/>
                <w:noProof/>
                <w:color w:val="auto"/>
                <w:u w:val="none"/>
              </w:rPr>
              <w:t>F</w:t>
            </w:r>
            <w:r w:rsidR="006C164D" w:rsidRPr="006C164D">
              <w:rPr>
                <w:rStyle w:val="Hyperlink"/>
                <w:noProof/>
                <w:color w:val="auto"/>
                <w:u w:val="none"/>
              </w:rPr>
              <w:t>oreword</w:t>
            </w:r>
            <w:r w:rsidR="007609D2" w:rsidRPr="006C164D">
              <w:rPr>
                <w:rStyle w:val="Hyperlink"/>
                <w:noProof/>
                <w:webHidden/>
                <w:color w:val="auto"/>
                <w:u w:val="none"/>
              </w:rPr>
              <w:tab/>
            </w:r>
            <w:r w:rsidR="007609D2" w:rsidRPr="006C164D">
              <w:rPr>
                <w:rStyle w:val="Hyperlink"/>
                <w:noProof/>
                <w:webHidden/>
                <w:color w:val="auto"/>
                <w:u w:val="none"/>
              </w:rPr>
              <w:fldChar w:fldCharType="begin"/>
            </w:r>
            <w:r w:rsidR="007609D2" w:rsidRPr="006C164D">
              <w:rPr>
                <w:rStyle w:val="Hyperlink"/>
                <w:noProof/>
                <w:webHidden/>
                <w:color w:val="auto"/>
                <w:u w:val="none"/>
              </w:rPr>
              <w:instrText xml:space="preserve"> PAGEREF _Toc139366603 \h </w:instrText>
            </w:r>
            <w:r w:rsidR="007609D2" w:rsidRPr="006C164D">
              <w:rPr>
                <w:rStyle w:val="Hyperlink"/>
                <w:noProof/>
                <w:webHidden/>
                <w:color w:val="auto"/>
                <w:u w:val="none"/>
              </w:rPr>
            </w:r>
            <w:r w:rsidR="007609D2" w:rsidRPr="006C164D">
              <w:rPr>
                <w:rStyle w:val="Hyperlink"/>
                <w:noProof/>
                <w:webHidden/>
                <w:color w:val="auto"/>
                <w:u w:val="none"/>
              </w:rPr>
              <w:fldChar w:fldCharType="separate"/>
            </w:r>
            <w:r w:rsidR="008C4F62">
              <w:rPr>
                <w:rStyle w:val="Hyperlink"/>
                <w:noProof/>
                <w:webHidden/>
                <w:color w:val="auto"/>
                <w:u w:val="none"/>
              </w:rPr>
              <w:t>4</w:t>
            </w:r>
            <w:r w:rsidR="007609D2" w:rsidRPr="006C164D">
              <w:rPr>
                <w:rStyle w:val="Hyperlink"/>
                <w:noProof/>
                <w:webHidden/>
                <w:color w:val="auto"/>
                <w:u w:val="none"/>
              </w:rPr>
              <w:fldChar w:fldCharType="end"/>
            </w:r>
          </w:hyperlink>
        </w:p>
        <w:p w14:paraId="7BAF1285" w14:textId="0F495988" w:rsidR="007609D2" w:rsidRPr="006C164D" w:rsidRDefault="00FD4EA7" w:rsidP="005E726D">
          <w:pPr>
            <w:pStyle w:val="TOC1"/>
            <w:tabs>
              <w:tab w:val="right" w:leader="dot" w:pos="9010"/>
            </w:tabs>
            <w:spacing w:before="100" w:beforeAutospacing="1" w:after="100" w:afterAutospacing="1" w:line="240" w:lineRule="auto"/>
            <w:rPr>
              <w:rStyle w:val="Hyperlink"/>
              <w:noProof/>
              <w:color w:val="auto"/>
              <w:u w:val="none"/>
            </w:rPr>
          </w:pPr>
          <w:hyperlink w:anchor="_Toc139366604" w:history="1">
            <w:r w:rsidR="007609D2" w:rsidRPr="006C164D">
              <w:rPr>
                <w:rStyle w:val="Hyperlink"/>
                <w:noProof/>
                <w:color w:val="auto"/>
                <w:u w:val="none"/>
              </w:rPr>
              <w:t>Acronyms and abbreviations</w:t>
            </w:r>
            <w:r w:rsidR="007609D2" w:rsidRPr="006C164D">
              <w:rPr>
                <w:rStyle w:val="Hyperlink"/>
                <w:noProof/>
                <w:webHidden/>
                <w:color w:val="auto"/>
                <w:u w:val="none"/>
              </w:rPr>
              <w:tab/>
            </w:r>
            <w:r w:rsidR="008C4F62">
              <w:rPr>
                <w:rStyle w:val="Hyperlink"/>
                <w:noProof/>
                <w:webHidden/>
                <w:color w:val="auto"/>
                <w:u w:val="none"/>
              </w:rPr>
              <w:t>5</w:t>
            </w:r>
          </w:hyperlink>
        </w:p>
        <w:p w14:paraId="06667FDE" w14:textId="54AE0498" w:rsidR="007609D2" w:rsidRPr="006C164D" w:rsidRDefault="00FD4EA7" w:rsidP="005E726D">
          <w:pPr>
            <w:pStyle w:val="TOC1"/>
            <w:tabs>
              <w:tab w:val="right" w:leader="dot" w:pos="9010"/>
            </w:tabs>
            <w:spacing w:before="100" w:beforeAutospacing="1" w:after="100" w:afterAutospacing="1" w:line="240" w:lineRule="auto"/>
            <w:rPr>
              <w:rStyle w:val="Hyperlink"/>
              <w:noProof/>
              <w:color w:val="auto"/>
              <w:u w:val="none"/>
            </w:rPr>
          </w:pPr>
          <w:hyperlink w:anchor="_Toc139366605" w:history="1">
            <w:r w:rsidR="007609D2" w:rsidRPr="006C164D">
              <w:rPr>
                <w:rStyle w:val="Hyperlink"/>
                <w:noProof/>
                <w:color w:val="auto"/>
                <w:u w:val="none"/>
              </w:rPr>
              <w:t>Executive summary</w:t>
            </w:r>
            <w:r w:rsidR="007609D2" w:rsidRPr="006C164D">
              <w:rPr>
                <w:rStyle w:val="Hyperlink"/>
                <w:noProof/>
                <w:webHidden/>
                <w:color w:val="auto"/>
                <w:u w:val="none"/>
              </w:rPr>
              <w:tab/>
            </w:r>
            <w:r w:rsidR="007609D2" w:rsidRPr="006C164D">
              <w:rPr>
                <w:rStyle w:val="Hyperlink"/>
                <w:noProof/>
                <w:webHidden/>
                <w:color w:val="auto"/>
                <w:u w:val="none"/>
              </w:rPr>
              <w:fldChar w:fldCharType="begin"/>
            </w:r>
            <w:r w:rsidR="007609D2" w:rsidRPr="006C164D">
              <w:rPr>
                <w:rStyle w:val="Hyperlink"/>
                <w:noProof/>
                <w:webHidden/>
                <w:color w:val="auto"/>
                <w:u w:val="none"/>
              </w:rPr>
              <w:instrText xml:space="preserve"> PAGEREF _Toc139366605 \h </w:instrText>
            </w:r>
            <w:r w:rsidR="007609D2" w:rsidRPr="006C164D">
              <w:rPr>
                <w:rStyle w:val="Hyperlink"/>
                <w:noProof/>
                <w:webHidden/>
                <w:color w:val="auto"/>
                <w:u w:val="none"/>
              </w:rPr>
            </w:r>
            <w:r w:rsidR="007609D2" w:rsidRPr="006C164D">
              <w:rPr>
                <w:rStyle w:val="Hyperlink"/>
                <w:noProof/>
                <w:webHidden/>
                <w:color w:val="auto"/>
                <w:u w:val="none"/>
              </w:rPr>
              <w:fldChar w:fldCharType="separate"/>
            </w:r>
            <w:r w:rsidR="008C4F62">
              <w:rPr>
                <w:rStyle w:val="Hyperlink"/>
                <w:noProof/>
                <w:webHidden/>
                <w:color w:val="auto"/>
                <w:u w:val="none"/>
              </w:rPr>
              <w:t>6</w:t>
            </w:r>
            <w:r w:rsidR="007609D2" w:rsidRPr="006C164D">
              <w:rPr>
                <w:rStyle w:val="Hyperlink"/>
                <w:noProof/>
                <w:webHidden/>
                <w:color w:val="auto"/>
                <w:u w:val="none"/>
              </w:rPr>
              <w:fldChar w:fldCharType="end"/>
            </w:r>
          </w:hyperlink>
        </w:p>
        <w:p w14:paraId="69592B6D" w14:textId="31EED876" w:rsidR="007609D2" w:rsidRPr="006C164D" w:rsidRDefault="00FD4EA7" w:rsidP="005E726D">
          <w:pPr>
            <w:pStyle w:val="TOC1"/>
            <w:tabs>
              <w:tab w:val="right" w:leader="dot" w:pos="9010"/>
            </w:tabs>
            <w:spacing w:before="100" w:beforeAutospacing="1" w:after="100" w:afterAutospacing="1" w:line="240" w:lineRule="auto"/>
            <w:rPr>
              <w:rStyle w:val="Hyperlink"/>
              <w:noProof/>
              <w:color w:val="auto"/>
              <w:u w:val="none"/>
            </w:rPr>
          </w:pPr>
          <w:hyperlink w:anchor="_Toc139366623" w:history="1">
            <w:r w:rsidR="007609D2" w:rsidRPr="006C164D">
              <w:rPr>
                <w:rStyle w:val="Hyperlink"/>
                <w:noProof/>
                <w:color w:val="auto"/>
                <w:u w:val="none"/>
              </w:rPr>
              <w:t>Recommendations</w:t>
            </w:r>
            <w:r w:rsidR="007609D2" w:rsidRPr="006C164D">
              <w:rPr>
                <w:rStyle w:val="Hyperlink"/>
                <w:noProof/>
                <w:webHidden/>
                <w:color w:val="auto"/>
                <w:u w:val="none"/>
              </w:rPr>
              <w:tab/>
            </w:r>
            <w:r w:rsidR="007609D2" w:rsidRPr="006C164D">
              <w:rPr>
                <w:rStyle w:val="Hyperlink"/>
                <w:noProof/>
                <w:webHidden/>
                <w:color w:val="auto"/>
                <w:u w:val="none"/>
              </w:rPr>
              <w:fldChar w:fldCharType="begin"/>
            </w:r>
            <w:r w:rsidR="007609D2" w:rsidRPr="006C164D">
              <w:rPr>
                <w:rStyle w:val="Hyperlink"/>
                <w:noProof/>
                <w:webHidden/>
                <w:color w:val="auto"/>
                <w:u w:val="none"/>
              </w:rPr>
              <w:instrText xml:space="preserve"> PAGEREF _Toc139366623 \h </w:instrText>
            </w:r>
            <w:r w:rsidR="007609D2" w:rsidRPr="006C164D">
              <w:rPr>
                <w:rStyle w:val="Hyperlink"/>
                <w:noProof/>
                <w:webHidden/>
                <w:color w:val="auto"/>
                <w:u w:val="none"/>
              </w:rPr>
            </w:r>
            <w:r w:rsidR="007609D2" w:rsidRPr="006C164D">
              <w:rPr>
                <w:rStyle w:val="Hyperlink"/>
                <w:noProof/>
                <w:webHidden/>
                <w:color w:val="auto"/>
                <w:u w:val="none"/>
              </w:rPr>
              <w:fldChar w:fldCharType="separate"/>
            </w:r>
            <w:r w:rsidR="008C4F62">
              <w:rPr>
                <w:rStyle w:val="Hyperlink"/>
                <w:noProof/>
                <w:webHidden/>
                <w:color w:val="auto"/>
                <w:u w:val="none"/>
              </w:rPr>
              <w:t>17</w:t>
            </w:r>
            <w:r w:rsidR="007609D2" w:rsidRPr="006C164D">
              <w:rPr>
                <w:rStyle w:val="Hyperlink"/>
                <w:noProof/>
                <w:webHidden/>
                <w:color w:val="auto"/>
                <w:u w:val="none"/>
              </w:rPr>
              <w:fldChar w:fldCharType="end"/>
            </w:r>
          </w:hyperlink>
        </w:p>
        <w:p w14:paraId="1CE3D7BB" w14:textId="2B2202F6" w:rsidR="007609D2" w:rsidRPr="006C164D" w:rsidRDefault="00FD4EA7" w:rsidP="005E726D">
          <w:pPr>
            <w:pStyle w:val="TOC1"/>
            <w:tabs>
              <w:tab w:val="right" w:leader="dot" w:pos="9010"/>
            </w:tabs>
            <w:spacing w:before="100" w:beforeAutospacing="1" w:after="100" w:afterAutospacing="1" w:line="240" w:lineRule="auto"/>
            <w:rPr>
              <w:rStyle w:val="Hyperlink"/>
              <w:noProof/>
              <w:color w:val="auto"/>
              <w:u w:val="none"/>
            </w:rPr>
          </w:pPr>
          <w:hyperlink w:anchor="_Toc139366624" w:history="1">
            <w:r w:rsidR="007609D2" w:rsidRPr="006C164D">
              <w:rPr>
                <w:rStyle w:val="Hyperlink"/>
                <w:noProof/>
                <w:color w:val="auto"/>
                <w:u w:val="none"/>
              </w:rPr>
              <w:t>Introduction</w:t>
            </w:r>
            <w:r w:rsidR="007609D2" w:rsidRPr="006C164D">
              <w:rPr>
                <w:rStyle w:val="Hyperlink"/>
                <w:noProof/>
                <w:webHidden/>
                <w:color w:val="auto"/>
                <w:u w:val="none"/>
              </w:rPr>
              <w:tab/>
            </w:r>
            <w:r w:rsidR="007609D2" w:rsidRPr="006C164D">
              <w:rPr>
                <w:rStyle w:val="Hyperlink"/>
                <w:noProof/>
                <w:webHidden/>
                <w:color w:val="auto"/>
                <w:u w:val="none"/>
              </w:rPr>
              <w:fldChar w:fldCharType="begin"/>
            </w:r>
            <w:r w:rsidR="007609D2" w:rsidRPr="006C164D">
              <w:rPr>
                <w:rStyle w:val="Hyperlink"/>
                <w:noProof/>
                <w:webHidden/>
                <w:color w:val="auto"/>
                <w:u w:val="none"/>
              </w:rPr>
              <w:instrText xml:space="preserve"> PAGEREF _Toc139366624 \h </w:instrText>
            </w:r>
            <w:r w:rsidR="007609D2" w:rsidRPr="006C164D">
              <w:rPr>
                <w:rStyle w:val="Hyperlink"/>
                <w:noProof/>
                <w:webHidden/>
                <w:color w:val="auto"/>
                <w:u w:val="none"/>
              </w:rPr>
            </w:r>
            <w:r w:rsidR="007609D2" w:rsidRPr="006C164D">
              <w:rPr>
                <w:rStyle w:val="Hyperlink"/>
                <w:noProof/>
                <w:webHidden/>
                <w:color w:val="auto"/>
                <w:u w:val="none"/>
              </w:rPr>
              <w:fldChar w:fldCharType="separate"/>
            </w:r>
            <w:r w:rsidR="008C4F62">
              <w:rPr>
                <w:rStyle w:val="Hyperlink"/>
                <w:noProof/>
                <w:webHidden/>
                <w:color w:val="auto"/>
                <w:u w:val="none"/>
              </w:rPr>
              <w:t>20</w:t>
            </w:r>
            <w:r w:rsidR="007609D2" w:rsidRPr="006C164D">
              <w:rPr>
                <w:rStyle w:val="Hyperlink"/>
                <w:noProof/>
                <w:webHidden/>
                <w:color w:val="auto"/>
                <w:u w:val="none"/>
              </w:rPr>
              <w:fldChar w:fldCharType="end"/>
            </w:r>
          </w:hyperlink>
        </w:p>
        <w:p w14:paraId="27CB24FC" w14:textId="4F7CA97A" w:rsidR="007609D2" w:rsidRPr="006C164D" w:rsidRDefault="006C164D" w:rsidP="005E726D">
          <w:pPr>
            <w:pStyle w:val="TOC1"/>
            <w:tabs>
              <w:tab w:val="right" w:leader="dot" w:pos="9010"/>
            </w:tabs>
            <w:spacing w:before="100" w:beforeAutospacing="1" w:after="100" w:afterAutospacing="1" w:line="240" w:lineRule="auto"/>
            <w:rPr>
              <w:rStyle w:val="Hyperlink"/>
              <w:noProof/>
              <w:color w:val="auto"/>
              <w:u w:val="none"/>
            </w:rPr>
          </w:pPr>
          <w:r w:rsidRPr="006C164D">
            <w:rPr>
              <w:rStyle w:val="Hyperlink"/>
              <w:noProof/>
              <w:color w:val="auto"/>
              <w:u w:val="none"/>
            </w:rPr>
            <w:t xml:space="preserve">CHAPTER 1: </w:t>
          </w:r>
          <w:hyperlink w:anchor="_Toc139366629" w:history="1">
            <w:r w:rsidR="007609D2" w:rsidRPr="006C164D">
              <w:rPr>
                <w:rStyle w:val="Hyperlink"/>
                <w:noProof/>
                <w:color w:val="auto"/>
                <w:u w:val="none"/>
              </w:rPr>
              <w:t>Strengthening initial teacher education programs to deliver confident, effective beginning teachers</w:t>
            </w:r>
            <w:r w:rsidR="007609D2" w:rsidRPr="006C164D">
              <w:rPr>
                <w:rStyle w:val="Hyperlink"/>
                <w:noProof/>
                <w:webHidden/>
                <w:color w:val="auto"/>
                <w:u w:val="none"/>
              </w:rPr>
              <w:tab/>
            </w:r>
            <w:r w:rsidR="007609D2" w:rsidRPr="006C164D">
              <w:rPr>
                <w:rStyle w:val="Hyperlink"/>
                <w:noProof/>
                <w:webHidden/>
                <w:color w:val="auto"/>
                <w:u w:val="none"/>
              </w:rPr>
              <w:fldChar w:fldCharType="begin"/>
            </w:r>
            <w:r w:rsidR="007609D2" w:rsidRPr="006C164D">
              <w:rPr>
                <w:rStyle w:val="Hyperlink"/>
                <w:noProof/>
                <w:webHidden/>
                <w:color w:val="auto"/>
                <w:u w:val="none"/>
              </w:rPr>
              <w:instrText xml:space="preserve"> PAGEREF _Toc139366629 \h </w:instrText>
            </w:r>
            <w:r w:rsidR="007609D2" w:rsidRPr="006C164D">
              <w:rPr>
                <w:rStyle w:val="Hyperlink"/>
                <w:noProof/>
                <w:webHidden/>
                <w:color w:val="auto"/>
                <w:u w:val="none"/>
              </w:rPr>
            </w:r>
            <w:r w:rsidR="007609D2" w:rsidRPr="006C164D">
              <w:rPr>
                <w:rStyle w:val="Hyperlink"/>
                <w:noProof/>
                <w:webHidden/>
                <w:color w:val="auto"/>
                <w:u w:val="none"/>
              </w:rPr>
              <w:fldChar w:fldCharType="separate"/>
            </w:r>
            <w:r w:rsidR="008C4F62">
              <w:rPr>
                <w:rStyle w:val="Hyperlink"/>
                <w:noProof/>
                <w:webHidden/>
                <w:color w:val="auto"/>
                <w:u w:val="none"/>
              </w:rPr>
              <w:t>25</w:t>
            </w:r>
            <w:r w:rsidR="007609D2" w:rsidRPr="006C164D">
              <w:rPr>
                <w:rStyle w:val="Hyperlink"/>
                <w:noProof/>
                <w:webHidden/>
                <w:color w:val="auto"/>
                <w:u w:val="none"/>
              </w:rPr>
              <w:fldChar w:fldCharType="end"/>
            </w:r>
          </w:hyperlink>
        </w:p>
        <w:p w14:paraId="65F14398" w14:textId="1BE06F68" w:rsidR="007609D2" w:rsidRPr="006C164D" w:rsidRDefault="006C164D" w:rsidP="005E726D">
          <w:pPr>
            <w:pStyle w:val="TOC1"/>
            <w:tabs>
              <w:tab w:val="right" w:leader="dot" w:pos="9010"/>
            </w:tabs>
            <w:spacing w:before="100" w:beforeAutospacing="1" w:after="100" w:afterAutospacing="1" w:line="240" w:lineRule="auto"/>
            <w:rPr>
              <w:rFonts w:asciiTheme="minorHAnsi" w:eastAsiaTheme="minorEastAsia" w:hAnsiTheme="minorHAnsi" w:cstheme="minorBidi"/>
              <w:b w:val="0"/>
              <w:bCs w:val="0"/>
              <w:caps w:val="0"/>
              <w:noProof/>
              <w:kern w:val="2"/>
              <w:sz w:val="22"/>
              <w:szCs w:val="22"/>
              <w:lang w:eastAsia="en-AU"/>
              <w14:ligatures w14:val="standardContextual"/>
            </w:rPr>
          </w:pPr>
          <w:r w:rsidRPr="006C164D">
            <w:rPr>
              <w:rStyle w:val="Hyperlink"/>
              <w:noProof/>
              <w:color w:val="auto"/>
              <w:u w:val="none"/>
            </w:rPr>
            <w:t xml:space="preserve">chapter 2: </w:t>
          </w:r>
          <w:hyperlink w:anchor="_Toc139366638" w:history="1">
            <w:r w:rsidR="007609D2" w:rsidRPr="006C164D">
              <w:rPr>
                <w:rStyle w:val="Hyperlink"/>
                <w:noProof/>
                <w:color w:val="auto"/>
                <w:u w:val="none"/>
              </w:rPr>
              <w:t>Strengthening the link between performance and funding of initial teacher education programs</w:t>
            </w:r>
            <w:r w:rsidR="007609D2" w:rsidRPr="006C164D">
              <w:rPr>
                <w:noProof/>
                <w:webHidden/>
              </w:rPr>
              <w:tab/>
            </w:r>
            <w:r w:rsidR="007609D2" w:rsidRPr="006C164D">
              <w:rPr>
                <w:noProof/>
                <w:webHidden/>
              </w:rPr>
              <w:fldChar w:fldCharType="begin"/>
            </w:r>
            <w:r w:rsidR="007609D2" w:rsidRPr="006C164D">
              <w:rPr>
                <w:noProof/>
                <w:webHidden/>
              </w:rPr>
              <w:instrText xml:space="preserve"> PAGEREF _Toc139366638 \h </w:instrText>
            </w:r>
            <w:r w:rsidR="007609D2" w:rsidRPr="006C164D">
              <w:rPr>
                <w:noProof/>
                <w:webHidden/>
              </w:rPr>
            </w:r>
            <w:r w:rsidR="007609D2" w:rsidRPr="006C164D">
              <w:rPr>
                <w:noProof/>
                <w:webHidden/>
              </w:rPr>
              <w:fldChar w:fldCharType="separate"/>
            </w:r>
            <w:r w:rsidR="008C4F62">
              <w:rPr>
                <w:noProof/>
                <w:webHidden/>
              </w:rPr>
              <w:t>44</w:t>
            </w:r>
            <w:r w:rsidR="007609D2" w:rsidRPr="006C164D">
              <w:rPr>
                <w:noProof/>
                <w:webHidden/>
              </w:rPr>
              <w:fldChar w:fldCharType="end"/>
            </w:r>
          </w:hyperlink>
        </w:p>
        <w:p w14:paraId="32C7DA31" w14:textId="10264194" w:rsidR="007609D2" w:rsidRPr="006C164D" w:rsidRDefault="006C164D" w:rsidP="005E726D">
          <w:pPr>
            <w:pStyle w:val="TOC1"/>
            <w:tabs>
              <w:tab w:val="right" w:leader="dot" w:pos="9010"/>
            </w:tabs>
            <w:spacing w:before="100" w:beforeAutospacing="1" w:after="100" w:afterAutospacing="1" w:line="240" w:lineRule="auto"/>
            <w:rPr>
              <w:rFonts w:asciiTheme="minorHAnsi" w:eastAsiaTheme="minorEastAsia" w:hAnsiTheme="minorHAnsi" w:cstheme="minorBidi"/>
              <w:b w:val="0"/>
              <w:bCs w:val="0"/>
              <w:caps w:val="0"/>
              <w:noProof/>
              <w:kern w:val="2"/>
              <w:sz w:val="22"/>
              <w:szCs w:val="22"/>
              <w:lang w:eastAsia="en-AU"/>
              <w14:ligatures w14:val="standardContextual"/>
            </w:rPr>
          </w:pPr>
          <w:r w:rsidRPr="006C164D">
            <w:rPr>
              <w:rStyle w:val="Hyperlink"/>
              <w:noProof/>
              <w:color w:val="auto"/>
              <w:u w:val="none"/>
            </w:rPr>
            <w:t xml:space="preserve">CHAPTER 3: </w:t>
          </w:r>
          <w:hyperlink w:anchor="_Toc139366650" w:history="1">
            <w:r w:rsidR="007609D2" w:rsidRPr="006C164D">
              <w:rPr>
                <w:rStyle w:val="Hyperlink"/>
                <w:noProof/>
                <w:color w:val="auto"/>
                <w:u w:val="none"/>
              </w:rPr>
              <w:t>Improving the quality of practical experience in teaching</w:t>
            </w:r>
            <w:r w:rsidR="007609D2" w:rsidRPr="006C164D">
              <w:rPr>
                <w:noProof/>
                <w:webHidden/>
              </w:rPr>
              <w:tab/>
            </w:r>
            <w:r w:rsidR="007609D2" w:rsidRPr="006C164D">
              <w:rPr>
                <w:noProof/>
                <w:webHidden/>
              </w:rPr>
              <w:fldChar w:fldCharType="begin"/>
            </w:r>
            <w:r w:rsidR="007609D2" w:rsidRPr="006C164D">
              <w:rPr>
                <w:noProof/>
                <w:webHidden/>
              </w:rPr>
              <w:instrText xml:space="preserve"> PAGEREF _Toc139366650 \h </w:instrText>
            </w:r>
            <w:r w:rsidR="007609D2" w:rsidRPr="006C164D">
              <w:rPr>
                <w:noProof/>
                <w:webHidden/>
              </w:rPr>
            </w:r>
            <w:r w:rsidR="007609D2" w:rsidRPr="006C164D">
              <w:rPr>
                <w:noProof/>
                <w:webHidden/>
              </w:rPr>
              <w:fldChar w:fldCharType="separate"/>
            </w:r>
            <w:r w:rsidR="008C4F62">
              <w:rPr>
                <w:noProof/>
                <w:webHidden/>
              </w:rPr>
              <w:t>64</w:t>
            </w:r>
            <w:r w:rsidR="007609D2" w:rsidRPr="006C164D">
              <w:rPr>
                <w:noProof/>
                <w:webHidden/>
              </w:rPr>
              <w:fldChar w:fldCharType="end"/>
            </w:r>
          </w:hyperlink>
        </w:p>
        <w:p w14:paraId="77FA13F9" w14:textId="112D8B2E" w:rsidR="007609D2" w:rsidRPr="006C164D" w:rsidRDefault="006C164D" w:rsidP="005E726D">
          <w:pPr>
            <w:pStyle w:val="TOC1"/>
            <w:tabs>
              <w:tab w:val="right" w:leader="dot" w:pos="9010"/>
            </w:tabs>
            <w:spacing w:before="100" w:beforeAutospacing="1" w:after="100" w:afterAutospacing="1" w:line="240" w:lineRule="auto"/>
            <w:rPr>
              <w:rFonts w:asciiTheme="minorHAnsi" w:eastAsiaTheme="minorEastAsia" w:hAnsiTheme="minorHAnsi" w:cstheme="minorBidi"/>
              <w:b w:val="0"/>
              <w:bCs w:val="0"/>
              <w:caps w:val="0"/>
              <w:noProof/>
              <w:kern w:val="2"/>
              <w:sz w:val="22"/>
              <w:szCs w:val="22"/>
              <w:lang w:eastAsia="en-AU"/>
              <w14:ligatures w14:val="standardContextual"/>
            </w:rPr>
          </w:pPr>
          <w:r w:rsidRPr="006C164D">
            <w:rPr>
              <w:rStyle w:val="Hyperlink"/>
              <w:noProof/>
              <w:color w:val="auto"/>
              <w:u w:val="none"/>
            </w:rPr>
            <w:t xml:space="preserve">chapter 4: </w:t>
          </w:r>
          <w:hyperlink w:anchor="_Toc139366658" w:history="1">
            <w:r w:rsidR="007609D2" w:rsidRPr="006C164D">
              <w:rPr>
                <w:rStyle w:val="Hyperlink"/>
                <w:noProof/>
                <w:color w:val="auto"/>
                <w:u w:val="none"/>
              </w:rPr>
              <w:t>Improving postgraduate initial teacher education for mid-career entrants</w:t>
            </w:r>
            <w:r w:rsidR="007609D2" w:rsidRPr="006C164D">
              <w:rPr>
                <w:noProof/>
                <w:webHidden/>
              </w:rPr>
              <w:tab/>
            </w:r>
            <w:r w:rsidR="007609D2" w:rsidRPr="006C164D">
              <w:rPr>
                <w:noProof/>
                <w:webHidden/>
              </w:rPr>
              <w:fldChar w:fldCharType="begin"/>
            </w:r>
            <w:r w:rsidR="007609D2" w:rsidRPr="006C164D">
              <w:rPr>
                <w:noProof/>
                <w:webHidden/>
              </w:rPr>
              <w:instrText xml:space="preserve"> PAGEREF _Toc139366658 \h </w:instrText>
            </w:r>
            <w:r w:rsidR="007609D2" w:rsidRPr="006C164D">
              <w:rPr>
                <w:noProof/>
                <w:webHidden/>
              </w:rPr>
            </w:r>
            <w:r w:rsidR="007609D2" w:rsidRPr="006C164D">
              <w:rPr>
                <w:noProof/>
                <w:webHidden/>
              </w:rPr>
              <w:fldChar w:fldCharType="separate"/>
            </w:r>
            <w:r w:rsidR="008C4F62">
              <w:rPr>
                <w:noProof/>
                <w:webHidden/>
              </w:rPr>
              <w:t>83</w:t>
            </w:r>
            <w:r w:rsidR="007609D2" w:rsidRPr="006C164D">
              <w:rPr>
                <w:noProof/>
                <w:webHidden/>
              </w:rPr>
              <w:fldChar w:fldCharType="end"/>
            </w:r>
          </w:hyperlink>
        </w:p>
        <w:p w14:paraId="2EB55EBD" w14:textId="2A5FE6E8" w:rsidR="007609D2" w:rsidRPr="006C164D" w:rsidRDefault="00FD4EA7" w:rsidP="005E726D">
          <w:pPr>
            <w:pStyle w:val="TOC1"/>
            <w:tabs>
              <w:tab w:val="right" w:leader="dot" w:pos="9010"/>
            </w:tabs>
            <w:spacing w:before="100" w:beforeAutospacing="1" w:after="100" w:afterAutospacing="1" w:line="240" w:lineRule="auto"/>
            <w:rPr>
              <w:rFonts w:asciiTheme="minorHAnsi" w:eastAsiaTheme="minorEastAsia" w:hAnsiTheme="minorHAnsi" w:cstheme="minorBidi"/>
              <w:b w:val="0"/>
              <w:bCs w:val="0"/>
              <w:caps w:val="0"/>
              <w:noProof/>
              <w:kern w:val="2"/>
              <w:sz w:val="22"/>
              <w:szCs w:val="22"/>
              <w:lang w:eastAsia="en-AU"/>
              <w14:ligatures w14:val="standardContextual"/>
            </w:rPr>
          </w:pPr>
          <w:hyperlink w:anchor="_Toc139366667" w:history="1">
            <w:r w:rsidR="007609D2" w:rsidRPr="006C164D">
              <w:rPr>
                <w:rStyle w:val="Hyperlink"/>
                <w:noProof/>
              </w:rPr>
              <w:t>Appendices</w:t>
            </w:r>
            <w:r w:rsidR="007609D2" w:rsidRPr="006C164D">
              <w:rPr>
                <w:noProof/>
                <w:webHidden/>
              </w:rPr>
              <w:tab/>
            </w:r>
            <w:r w:rsidR="007609D2" w:rsidRPr="006C164D">
              <w:rPr>
                <w:noProof/>
                <w:webHidden/>
              </w:rPr>
              <w:fldChar w:fldCharType="begin"/>
            </w:r>
            <w:r w:rsidR="007609D2" w:rsidRPr="006C164D">
              <w:rPr>
                <w:noProof/>
                <w:webHidden/>
              </w:rPr>
              <w:instrText xml:space="preserve"> PAGEREF _Toc139366667 \h </w:instrText>
            </w:r>
            <w:r w:rsidR="007609D2" w:rsidRPr="006C164D">
              <w:rPr>
                <w:noProof/>
                <w:webHidden/>
              </w:rPr>
            </w:r>
            <w:r w:rsidR="007609D2" w:rsidRPr="006C164D">
              <w:rPr>
                <w:noProof/>
                <w:webHidden/>
              </w:rPr>
              <w:fldChar w:fldCharType="separate"/>
            </w:r>
            <w:r w:rsidR="008C4F62">
              <w:rPr>
                <w:noProof/>
                <w:webHidden/>
              </w:rPr>
              <w:t>96</w:t>
            </w:r>
            <w:r w:rsidR="007609D2" w:rsidRPr="006C164D">
              <w:rPr>
                <w:noProof/>
                <w:webHidden/>
              </w:rPr>
              <w:fldChar w:fldCharType="end"/>
            </w:r>
          </w:hyperlink>
        </w:p>
        <w:p w14:paraId="0336984B" w14:textId="34DAE1C0" w:rsidR="007609D2" w:rsidRPr="006C164D" w:rsidRDefault="00FD4EA7" w:rsidP="005E726D">
          <w:pPr>
            <w:pStyle w:val="TOC1"/>
            <w:tabs>
              <w:tab w:val="right" w:leader="dot" w:pos="9010"/>
            </w:tabs>
            <w:spacing w:before="100" w:beforeAutospacing="1" w:after="100" w:afterAutospacing="1" w:line="240" w:lineRule="auto"/>
            <w:rPr>
              <w:rFonts w:asciiTheme="minorHAnsi" w:eastAsiaTheme="minorEastAsia" w:hAnsiTheme="minorHAnsi" w:cstheme="minorBidi"/>
              <w:b w:val="0"/>
              <w:bCs w:val="0"/>
              <w:caps w:val="0"/>
              <w:noProof/>
              <w:kern w:val="2"/>
              <w:sz w:val="22"/>
              <w:szCs w:val="22"/>
              <w:lang w:eastAsia="en-AU"/>
              <w14:ligatures w14:val="standardContextual"/>
            </w:rPr>
          </w:pPr>
          <w:hyperlink w:anchor="_Toc139366697" w:history="1">
            <w:r w:rsidR="007609D2" w:rsidRPr="006C164D">
              <w:rPr>
                <w:rStyle w:val="Hyperlink"/>
                <w:noProof/>
              </w:rPr>
              <w:t>Acknowledgements</w:t>
            </w:r>
            <w:r w:rsidR="007609D2" w:rsidRPr="006C164D">
              <w:rPr>
                <w:noProof/>
                <w:webHidden/>
              </w:rPr>
              <w:tab/>
            </w:r>
            <w:r w:rsidR="007609D2" w:rsidRPr="006C164D">
              <w:rPr>
                <w:noProof/>
                <w:webHidden/>
              </w:rPr>
              <w:fldChar w:fldCharType="begin"/>
            </w:r>
            <w:r w:rsidR="007609D2" w:rsidRPr="006C164D">
              <w:rPr>
                <w:noProof/>
                <w:webHidden/>
              </w:rPr>
              <w:instrText xml:space="preserve"> PAGEREF _Toc139366697 \h </w:instrText>
            </w:r>
            <w:r w:rsidR="007609D2" w:rsidRPr="006C164D">
              <w:rPr>
                <w:noProof/>
                <w:webHidden/>
              </w:rPr>
            </w:r>
            <w:r w:rsidR="007609D2" w:rsidRPr="006C164D">
              <w:rPr>
                <w:noProof/>
                <w:webHidden/>
              </w:rPr>
              <w:fldChar w:fldCharType="separate"/>
            </w:r>
            <w:r w:rsidR="008C4F62">
              <w:rPr>
                <w:noProof/>
                <w:webHidden/>
              </w:rPr>
              <w:t>126</w:t>
            </w:r>
            <w:r w:rsidR="007609D2" w:rsidRPr="006C164D">
              <w:rPr>
                <w:noProof/>
                <w:webHidden/>
              </w:rPr>
              <w:fldChar w:fldCharType="end"/>
            </w:r>
          </w:hyperlink>
        </w:p>
        <w:p w14:paraId="607D2772" w14:textId="1D1BE6CE" w:rsidR="007609D2" w:rsidRDefault="00FD4EA7" w:rsidP="005E726D">
          <w:pPr>
            <w:pStyle w:val="TOC1"/>
            <w:tabs>
              <w:tab w:val="right" w:leader="dot" w:pos="9010"/>
            </w:tabs>
            <w:spacing w:before="100" w:beforeAutospacing="1" w:after="100" w:afterAutospacing="1" w:line="240" w:lineRule="auto"/>
            <w:rPr>
              <w:rFonts w:asciiTheme="minorHAnsi" w:eastAsiaTheme="minorEastAsia" w:hAnsiTheme="minorHAnsi" w:cstheme="minorBidi"/>
              <w:b w:val="0"/>
              <w:bCs w:val="0"/>
              <w:caps w:val="0"/>
              <w:noProof/>
              <w:kern w:val="2"/>
              <w:sz w:val="22"/>
              <w:szCs w:val="22"/>
              <w:lang w:eastAsia="en-AU"/>
              <w14:ligatures w14:val="standardContextual"/>
            </w:rPr>
          </w:pPr>
          <w:hyperlink w:anchor="_Toc139366698" w:history="1">
            <w:r w:rsidR="007609D2" w:rsidRPr="006C164D">
              <w:rPr>
                <w:rStyle w:val="Hyperlink"/>
                <w:noProof/>
              </w:rPr>
              <w:t>References</w:t>
            </w:r>
            <w:r w:rsidR="007609D2" w:rsidRPr="006C164D">
              <w:rPr>
                <w:noProof/>
                <w:webHidden/>
              </w:rPr>
              <w:tab/>
            </w:r>
            <w:r w:rsidR="007609D2" w:rsidRPr="006C164D">
              <w:rPr>
                <w:noProof/>
                <w:webHidden/>
              </w:rPr>
              <w:fldChar w:fldCharType="begin"/>
            </w:r>
            <w:r w:rsidR="007609D2" w:rsidRPr="006C164D">
              <w:rPr>
                <w:noProof/>
                <w:webHidden/>
              </w:rPr>
              <w:instrText xml:space="preserve"> PAGEREF _Toc139366698 \h </w:instrText>
            </w:r>
            <w:r w:rsidR="007609D2" w:rsidRPr="006C164D">
              <w:rPr>
                <w:noProof/>
                <w:webHidden/>
              </w:rPr>
            </w:r>
            <w:r w:rsidR="007609D2" w:rsidRPr="006C164D">
              <w:rPr>
                <w:noProof/>
                <w:webHidden/>
              </w:rPr>
              <w:fldChar w:fldCharType="separate"/>
            </w:r>
            <w:r w:rsidR="008C4F62">
              <w:rPr>
                <w:noProof/>
                <w:webHidden/>
              </w:rPr>
              <w:t>127</w:t>
            </w:r>
            <w:r w:rsidR="007609D2" w:rsidRPr="006C164D">
              <w:rPr>
                <w:noProof/>
                <w:webHidden/>
              </w:rPr>
              <w:fldChar w:fldCharType="end"/>
            </w:r>
          </w:hyperlink>
        </w:p>
        <w:p w14:paraId="0370E01D" w14:textId="3C5F3515" w:rsidR="007609D2" w:rsidRDefault="007609D2">
          <w:r>
            <w:rPr>
              <w:b/>
              <w:bCs/>
              <w:noProof/>
            </w:rPr>
            <w:fldChar w:fldCharType="end"/>
          </w:r>
        </w:p>
      </w:sdtContent>
    </w:sdt>
    <w:p w14:paraId="551F6188" w14:textId="1D8E01B2" w:rsidR="00AF7817" w:rsidRPr="00734A50" w:rsidRDefault="00AF7817" w:rsidP="00885CA3">
      <w:pPr>
        <w:rPr>
          <w:b/>
          <w:bCs/>
          <w:sz w:val="24"/>
          <w:szCs w:val="24"/>
          <w:lang w:eastAsia="en-AU"/>
        </w:rPr>
      </w:pPr>
    </w:p>
    <w:p w14:paraId="053944AC" w14:textId="77777777" w:rsidR="0008400B" w:rsidRPr="00734A50" w:rsidRDefault="0008400B">
      <w:pPr>
        <w:spacing w:after="160"/>
        <w:rPr>
          <w:rFonts w:asciiTheme="majorHAnsi" w:eastAsia="Times New Roman" w:hAnsiTheme="majorHAnsi" w:cstheme="majorBidi"/>
          <w:b/>
          <w:color w:val="002C3E" w:themeColor="background2"/>
          <w:sz w:val="44"/>
          <w:szCs w:val="44"/>
          <w:lang w:eastAsia="en-AU"/>
        </w:rPr>
      </w:pPr>
      <w:r w:rsidRPr="00734A50">
        <w:rPr>
          <w:rFonts w:asciiTheme="majorHAnsi" w:eastAsia="Times New Roman" w:hAnsiTheme="majorHAnsi"/>
          <w:b/>
          <w:color w:val="002C3E" w:themeColor="background2"/>
          <w:sz w:val="44"/>
          <w:szCs w:val="44"/>
          <w:lang w:eastAsia="en-AU"/>
        </w:rPr>
        <w:br w:type="page"/>
      </w:r>
    </w:p>
    <w:p w14:paraId="3F60664E" w14:textId="479B90CE" w:rsidR="00AC1C80" w:rsidRPr="00734A50" w:rsidRDefault="00AC1C80" w:rsidP="0012041E">
      <w:pPr>
        <w:pStyle w:val="Heading1"/>
      </w:pPr>
      <w:bookmarkStart w:id="5" w:name="_Toc139366603"/>
      <w:r w:rsidRPr="00734A50">
        <w:lastRenderedPageBreak/>
        <w:t>For</w:t>
      </w:r>
      <w:r w:rsidR="00BB1B33" w:rsidRPr="00734A50">
        <w:t>e</w:t>
      </w:r>
      <w:r w:rsidRPr="00734A50">
        <w:t>w</w:t>
      </w:r>
      <w:r w:rsidR="00BB1B33" w:rsidRPr="00734A50">
        <w:t>o</w:t>
      </w:r>
      <w:r w:rsidRPr="00734A50">
        <w:t>rd</w:t>
      </w:r>
      <w:bookmarkEnd w:id="5"/>
    </w:p>
    <w:p w14:paraId="76E6A397" w14:textId="3E577D6A" w:rsidR="005E726D" w:rsidRDefault="005E726D" w:rsidP="00323522">
      <w:pPr>
        <w:pStyle w:val="Heading1"/>
      </w:pPr>
      <w:bookmarkStart w:id="6" w:name="_Toc139366604"/>
      <w:r>
        <w:rPr>
          <w:noProof/>
        </w:rPr>
        <w:drawing>
          <wp:inline distT="0" distB="0" distL="0" distR="0" wp14:anchorId="3D732B92" wp14:editId="4DB8CDC3">
            <wp:extent cx="5993406" cy="8229275"/>
            <wp:effectExtent l="0" t="0" r="7620" b="635"/>
            <wp:docPr id="1585891540" name="Picture 1585891540" descr="A letter from Chair of the Teacher Education Expert Panel, Professor Mark Scott to the Hon Jason Clare MP, Minister for Education, dated 30 June 2023.&#10;&#10;Dear Minister&#10;I provide to you the final report of the Teacher Education Expert Panel (the Panel), Strong Beginnings: Report of the Teacher Education Expert Panel.&#10;&#10;You appointed the Panel in September 2022 to provide advice on key issues raised at the Teacher Workforce Shortage Roundtable and in the report of the Quality Initial Teacher Education (QITE) Review.&#10;&#10;Teachers are central to improving student outcomes but too many prospective teachers do not finish their initial teacher education (ITE) degrees, while many beginning teachers leave the profession early in their careers.&#10;&#10;The Panel was asked to provide advice on four reform areas. &#10;&#10;Correspondingly, the report contains key findings and recommendations designed to strengthen ITE programs to deliver well-prepared beginning teachers; enhance the link between performance and funding of ITE; improve the quality of practical experience in teaching; and improve postgraduate ITE programs for mid-career entrants.&#10;&#10;We heard from a range of stakeholders and thank the organisations and individuals who took part in consultation processes or provided written submissions. We also extend our appreciation to the Secretariat from the Department of Education in supporting the Panel. &#10;&#10;We believe that the recommendations outlined in this report, once implemented, will improve the national consistency and quality of ITE programs and lay strong foundations to support beginning teachers to successfully transition into and remain in the profession.&#10;&#10;Yours sincerely&#10;&#10;Professor Mark Scott AO&#10;Chair&#10;On behalf of Panel members&#10;&#10;Emeritus Professor Bill Louden AM Professor Michele Simons&#10;Dr Jenny Donovan&#10;Mr Andrew Peach  Ms Rebecca W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91540" name="Picture 1585891540" descr="A letter from Chair of the Teacher Education Expert Panel, Professor Mark Scott to the Hon Jason Clare MP, Minister for Education, dated 30 June 2023.&#10;&#10;Dear Minister&#10;I provide to you the final report of the Teacher Education Expert Panel (the Panel), Strong Beginnings: Report of the Teacher Education Expert Panel.&#10;&#10;You appointed the Panel in September 2022 to provide advice on key issues raised at the Teacher Workforce Shortage Roundtable and in the report of the Quality Initial Teacher Education (QITE) Review.&#10;&#10;Teachers are central to improving student outcomes but too many prospective teachers do not finish their initial teacher education (ITE) degrees, while many beginning teachers leave the profession early in their careers.&#10;&#10;The Panel was asked to provide advice on four reform areas. &#10;&#10;Correspondingly, the report contains key findings and recommendations designed to strengthen ITE programs to deliver well-prepared beginning teachers; enhance the link between performance and funding of ITE; improve the quality of practical experience in teaching; and improve postgraduate ITE programs for mid-career entrants.&#10;&#10;We heard from a range of stakeholders and thank the organisations and individuals who took part in consultation processes or provided written submissions. We also extend our appreciation to the Secretariat from the Department of Education in supporting the Panel. &#10;&#10;We believe that the recommendations outlined in this report, once implemented, will improve the national consistency and quality of ITE programs and lay strong foundations to support beginning teachers to successfully transition into and remain in the profession.&#10;&#10;Yours sincerely&#10;&#10;Professor Mark Scott AO&#10;Chair&#10;On behalf of Panel members&#10;&#10;Emeritus Professor Bill Louden AM Professor Michele Simons&#10;Dr Jenny Donovan&#10;Mr Andrew Peach  Ms Rebecca West&#10;"/>
                    <pic:cNvPicPr/>
                  </pic:nvPicPr>
                  <pic:blipFill>
                    <a:blip r:embed="rId25">
                      <a:extLst>
                        <a:ext uri="{28A0092B-C50C-407E-A947-70E740481C1C}">
                          <a14:useLocalDpi xmlns:a14="http://schemas.microsoft.com/office/drawing/2010/main" val="0"/>
                        </a:ext>
                      </a:extLst>
                    </a:blip>
                    <a:stretch>
                      <a:fillRect/>
                    </a:stretch>
                  </pic:blipFill>
                  <pic:spPr>
                    <a:xfrm>
                      <a:off x="0" y="0"/>
                      <a:ext cx="6008814" cy="8250431"/>
                    </a:xfrm>
                    <a:prstGeom prst="rect">
                      <a:avLst/>
                    </a:prstGeom>
                  </pic:spPr>
                </pic:pic>
              </a:graphicData>
            </a:graphic>
          </wp:inline>
        </w:drawing>
      </w:r>
    </w:p>
    <w:p w14:paraId="5BB039B9" w14:textId="0A79091F" w:rsidR="003E411E" w:rsidRPr="00734A50" w:rsidRDefault="005E726D" w:rsidP="005E726D">
      <w:pPr>
        <w:pStyle w:val="Heading1"/>
      </w:pPr>
      <w:r>
        <w:br w:type="page"/>
      </w:r>
      <w:r w:rsidR="00AC1C80" w:rsidRPr="00734A50">
        <w:lastRenderedPageBreak/>
        <w:t>Acr</w:t>
      </w:r>
      <w:r w:rsidR="000C6CCC" w:rsidRPr="00734A50">
        <w:t xml:space="preserve">onyms and </w:t>
      </w:r>
      <w:r w:rsidR="001156FE" w:rsidRPr="00734A50">
        <w:t>a</w:t>
      </w:r>
      <w:r w:rsidR="000C6CCC" w:rsidRPr="00734A50">
        <w:t>bbreviations</w:t>
      </w:r>
      <w:bookmarkEnd w:id="6"/>
    </w:p>
    <w:tbl>
      <w:tblPr>
        <w:tblW w:w="9921" w:type="dxa"/>
        <w:tblLook w:val="04A0" w:firstRow="1" w:lastRow="0" w:firstColumn="1" w:lastColumn="0" w:noHBand="0" w:noVBand="1"/>
      </w:tblPr>
      <w:tblGrid>
        <w:gridCol w:w="2266"/>
        <w:gridCol w:w="7655"/>
      </w:tblGrid>
      <w:tr w:rsidR="000C3A19" w:rsidRPr="00734A50" w14:paraId="493B0F1F" w14:textId="77777777" w:rsidTr="004E7B6F">
        <w:trPr>
          <w:trHeight w:val="283"/>
        </w:trPr>
        <w:tc>
          <w:tcPr>
            <w:tcW w:w="2266" w:type="dxa"/>
          </w:tcPr>
          <w:p w14:paraId="2E6AF8B2" w14:textId="2F2822A1"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Accreditation Standards</w:t>
            </w:r>
            <w:r w:rsidR="004076B4" w:rsidRPr="00734A50">
              <w:rPr>
                <w:rFonts w:ascii="Calibri" w:eastAsia="Calibri" w:hAnsi="Calibri" w:cs="Times New Roman"/>
                <w:color w:val="000000"/>
                <w:sz w:val="20"/>
                <w:szCs w:val="20"/>
              </w:rPr>
              <w:t xml:space="preserve"> and Pro</w:t>
            </w:r>
            <w:r w:rsidR="004551A3" w:rsidRPr="00734A50">
              <w:rPr>
                <w:rFonts w:ascii="Calibri" w:eastAsia="Calibri" w:hAnsi="Calibri" w:cs="Times New Roman"/>
                <w:color w:val="000000"/>
                <w:sz w:val="20"/>
                <w:szCs w:val="20"/>
              </w:rPr>
              <w:t>cedures</w:t>
            </w:r>
          </w:p>
        </w:tc>
        <w:tc>
          <w:tcPr>
            <w:tcW w:w="7655" w:type="dxa"/>
          </w:tcPr>
          <w:p w14:paraId="58D39D01"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Accreditation of Initial Teacher Education Programs in Australia: Standards and Procedures</w:t>
            </w:r>
          </w:p>
        </w:tc>
      </w:tr>
      <w:tr w:rsidR="007316A0" w:rsidRPr="00734A50" w14:paraId="6B66E773" w14:textId="77777777" w:rsidTr="004E7B6F">
        <w:trPr>
          <w:trHeight w:val="283"/>
        </w:trPr>
        <w:tc>
          <w:tcPr>
            <w:tcW w:w="2266" w:type="dxa"/>
            <w:shd w:val="clear" w:color="auto" w:fill="CFE3F1"/>
          </w:tcPr>
          <w:p w14:paraId="5AB5FF90" w14:textId="41B2AA7C" w:rsidR="007316A0" w:rsidRPr="004E7B6F" w:rsidRDefault="007316A0" w:rsidP="000C3A19">
            <w:pPr>
              <w:spacing w:after="0" w:line="360" w:lineRule="auto"/>
              <w:rPr>
                <w:color w:val="000000" w:themeColor="text1"/>
                <w:sz w:val="20"/>
                <w:szCs w:val="20"/>
              </w:rPr>
            </w:pPr>
            <w:r w:rsidRPr="004E7B6F">
              <w:rPr>
                <w:color w:val="000000" w:themeColor="text1"/>
                <w:sz w:val="20"/>
                <w:szCs w:val="20"/>
              </w:rPr>
              <w:t>AERO</w:t>
            </w:r>
          </w:p>
        </w:tc>
        <w:tc>
          <w:tcPr>
            <w:tcW w:w="7655" w:type="dxa"/>
            <w:shd w:val="clear" w:color="auto" w:fill="CFE3F1"/>
          </w:tcPr>
          <w:p w14:paraId="131A1A12" w14:textId="44CE30E2" w:rsidR="007316A0" w:rsidRPr="00734A50" w:rsidRDefault="00480595"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Australian Education Research Organisation</w:t>
            </w:r>
          </w:p>
        </w:tc>
      </w:tr>
      <w:tr w:rsidR="007316A0" w:rsidRPr="00734A50" w14:paraId="123495AE" w14:textId="77777777" w:rsidTr="004E7B6F">
        <w:trPr>
          <w:trHeight w:val="283"/>
        </w:trPr>
        <w:tc>
          <w:tcPr>
            <w:tcW w:w="2266" w:type="dxa"/>
          </w:tcPr>
          <w:p w14:paraId="6E0BA8D9" w14:textId="63B86771" w:rsidR="007316A0" w:rsidRPr="00734A50" w:rsidRDefault="007316A0"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AITSL</w:t>
            </w:r>
          </w:p>
        </w:tc>
        <w:tc>
          <w:tcPr>
            <w:tcW w:w="7655" w:type="dxa"/>
          </w:tcPr>
          <w:p w14:paraId="50597043" w14:textId="22697EFA" w:rsidR="007316A0" w:rsidRPr="00734A50" w:rsidRDefault="00480595"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Australian Institute for Teaching and School Leadership</w:t>
            </w:r>
          </w:p>
        </w:tc>
      </w:tr>
      <w:tr w:rsidR="000C3A19" w:rsidRPr="00734A50" w14:paraId="7BBD5B3B" w14:textId="77777777" w:rsidTr="004E7B6F">
        <w:trPr>
          <w:trHeight w:val="283"/>
        </w:trPr>
        <w:tc>
          <w:tcPr>
            <w:tcW w:w="2266" w:type="dxa"/>
            <w:shd w:val="clear" w:color="auto" w:fill="CFE3F1"/>
          </w:tcPr>
          <w:p w14:paraId="08022B62"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ATAR</w:t>
            </w:r>
          </w:p>
        </w:tc>
        <w:tc>
          <w:tcPr>
            <w:tcW w:w="7655" w:type="dxa"/>
            <w:shd w:val="clear" w:color="auto" w:fill="CFE3F1"/>
          </w:tcPr>
          <w:p w14:paraId="5646F8A3"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Australian Tertiary Admission Rank</w:t>
            </w:r>
          </w:p>
        </w:tc>
      </w:tr>
      <w:tr w:rsidR="00802EE0" w:rsidRPr="00734A50" w14:paraId="6F77277A" w14:textId="77777777" w:rsidTr="004E7B6F">
        <w:trPr>
          <w:trHeight w:val="283"/>
        </w:trPr>
        <w:tc>
          <w:tcPr>
            <w:tcW w:w="2266" w:type="dxa"/>
          </w:tcPr>
          <w:p w14:paraId="6EF56FC6" w14:textId="79292FED" w:rsidR="00802EE0" w:rsidRPr="00734A50" w:rsidRDefault="00802EE0"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ATRA</w:t>
            </w:r>
          </w:p>
        </w:tc>
        <w:tc>
          <w:tcPr>
            <w:tcW w:w="7655" w:type="dxa"/>
          </w:tcPr>
          <w:p w14:paraId="58CDEFD8" w14:textId="2A150104" w:rsidR="00802EE0" w:rsidRPr="00734A50" w:rsidRDefault="00802EE0"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Australasian Teacher Regulatory Authorities</w:t>
            </w:r>
          </w:p>
        </w:tc>
      </w:tr>
      <w:tr w:rsidR="000C3A19" w:rsidRPr="00734A50" w14:paraId="0B7BEC68" w14:textId="77777777" w:rsidTr="004E7B6F">
        <w:trPr>
          <w:trHeight w:val="283"/>
        </w:trPr>
        <w:tc>
          <w:tcPr>
            <w:tcW w:w="2266" w:type="dxa"/>
            <w:shd w:val="clear" w:color="auto" w:fill="CFE3F1"/>
          </w:tcPr>
          <w:p w14:paraId="2A61D45B"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ATWD</w:t>
            </w:r>
          </w:p>
        </w:tc>
        <w:tc>
          <w:tcPr>
            <w:tcW w:w="7655" w:type="dxa"/>
            <w:shd w:val="clear" w:color="auto" w:fill="CFE3F1"/>
          </w:tcPr>
          <w:p w14:paraId="061C6C85"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Australian Teacher Workforce Data</w:t>
            </w:r>
          </w:p>
        </w:tc>
      </w:tr>
      <w:tr w:rsidR="000C3A19" w:rsidRPr="00734A50" w14:paraId="2A51401B" w14:textId="77777777" w:rsidTr="004E7B6F">
        <w:trPr>
          <w:trHeight w:val="283"/>
        </w:trPr>
        <w:tc>
          <w:tcPr>
            <w:tcW w:w="2266" w:type="dxa"/>
          </w:tcPr>
          <w:p w14:paraId="2C290D33"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CSP</w:t>
            </w:r>
          </w:p>
        </w:tc>
        <w:tc>
          <w:tcPr>
            <w:tcW w:w="7655" w:type="dxa"/>
          </w:tcPr>
          <w:p w14:paraId="3DEC38F1" w14:textId="33559DFD"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 xml:space="preserve">Commonwealth </w:t>
            </w:r>
            <w:r w:rsidR="001A1B27" w:rsidRPr="00734A50">
              <w:rPr>
                <w:rFonts w:ascii="Calibri" w:eastAsia="Calibri" w:hAnsi="Calibri" w:cs="Times New Roman"/>
                <w:color w:val="000000"/>
                <w:sz w:val="20"/>
                <w:szCs w:val="20"/>
              </w:rPr>
              <w:t>S</w:t>
            </w:r>
            <w:r w:rsidRPr="00734A50">
              <w:rPr>
                <w:rFonts w:ascii="Calibri" w:eastAsia="Calibri" w:hAnsi="Calibri" w:cs="Times New Roman"/>
                <w:color w:val="000000"/>
                <w:sz w:val="20"/>
                <w:szCs w:val="20"/>
              </w:rPr>
              <w:t xml:space="preserve">upported </w:t>
            </w:r>
            <w:r w:rsidR="001A1B27" w:rsidRPr="00734A50">
              <w:rPr>
                <w:rFonts w:ascii="Calibri" w:eastAsia="Calibri" w:hAnsi="Calibri" w:cs="Times New Roman"/>
                <w:color w:val="000000"/>
                <w:sz w:val="20"/>
                <w:szCs w:val="20"/>
              </w:rPr>
              <w:t>P</w:t>
            </w:r>
            <w:r w:rsidRPr="00734A50">
              <w:rPr>
                <w:rFonts w:ascii="Calibri" w:eastAsia="Calibri" w:hAnsi="Calibri" w:cs="Times New Roman"/>
                <w:color w:val="000000"/>
                <w:sz w:val="20"/>
                <w:szCs w:val="20"/>
              </w:rPr>
              <w:t>lace</w:t>
            </w:r>
          </w:p>
        </w:tc>
      </w:tr>
      <w:tr w:rsidR="00FA0C72" w:rsidRPr="00734A50" w14:paraId="4A143633" w14:textId="77777777" w:rsidTr="004E7B6F">
        <w:trPr>
          <w:trHeight w:val="283"/>
        </w:trPr>
        <w:tc>
          <w:tcPr>
            <w:tcW w:w="2266" w:type="dxa"/>
            <w:shd w:val="clear" w:color="auto" w:fill="CFE3F1"/>
          </w:tcPr>
          <w:p w14:paraId="072AB05A" w14:textId="25F761B4" w:rsidR="00FA0C72" w:rsidRPr="00734A50" w:rsidRDefault="00FA0C72"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EAL/D</w:t>
            </w:r>
          </w:p>
        </w:tc>
        <w:tc>
          <w:tcPr>
            <w:tcW w:w="7655" w:type="dxa"/>
            <w:shd w:val="clear" w:color="auto" w:fill="CFE3F1"/>
          </w:tcPr>
          <w:p w14:paraId="0BBC18E8" w14:textId="6AEB958A" w:rsidR="00FA0C72" w:rsidRPr="00734A50" w:rsidRDefault="00FA0C72"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themeColor="text1"/>
                <w:sz w:val="20"/>
                <w:szCs w:val="20"/>
              </w:rPr>
              <w:t>English as a</w:t>
            </w:r>
            <w:r w:rsidR="18F94DBC" w:rsidRPr="00734A50">
              <w:rPr>
                <w:rFonts w:ascii="Calibri" w:eastAsia="Calibri" w:hAnsi="Calibri" w:cs="Times New Roman"/>
                <w:color w:val="000000" w:themeColor="text1"/>
                <w:sz w:val="20"/>
                <w:szCs w:val="20"/>
              </w:rPr>
              <w:t xml:space="preserve">n </w:t>
            </w:r>
            <w:r w:rsidR="00B721B6" w:rsidRPr="00734A50">
              <w:rPr>
                <w:rFonts w:ascii="Calibri" w:eastAsia="Calibri" w:hAnsi="Calibri" w:cs="Times New Roman"/>
                <w:color w:val="000000" w:themeColor="text1"/>
                <w:sz w:val="20"/>
                <w:szCs w:val="20"/>
              </w:rPr>
              <w:t>a</w:t>
            </w:r>
            <w:r w:rsidR="18F94DBC" w:rsidRPr="00734A50">
              <w:rPr>
                <w:rFonts w:ascii="Calibri" w:eastAsia="Calibri" w:hAnsi="Calibri" w:cs="Times New Roman"/>
                <w:color w:val="000000" w:themeColor="text1"/>
                <w:sz w:val="20"/>
                <w:szCs w:val="20"/>
              </w:rPr>
              <w:t xml:space="preserve">dditional </w:t>
            </w:r>
            <w:r w:rsidR="00B721B6" w:rsidRPr="00734A50">
              <w:rPr>
                <w:rFonts w:ascii="Calibri" w:eastAsia="Calibri" w:hAnsi="Calibri" w:cs="Times New Roman"/>
                <w:color w:val="000000" w:themeColor="text1"/>
                <w:sz w:val="20"/>
                <w:szCs w:val="20"/>
              </w:rPr>
              <w:t>l</w:t>
            </w:r>
            <w:r w:rsidRPr="00734A50">
              <w:rPr>
                <w:rFonts w:ascii="Calibri" w:eastAsia="Calibri" w:hAnsi="Calibri" w:cs="Times New Roman"/>
                <w:color w:val="000000" w:themeColor="text1"/>
                <w:sz w:val="20"/>
                <w:szCs w:val="20"/>
              </w:rPr>
              <w:t>anguage</w:t>
            </w:r>
            <w:r w:rsidR="00B721B6" w:rsidRPr="00734A50">
              <w:rPr>
                <w:rFonts w:ascii="Calibri" w:eastAsia="Calibri" w:hAnsi="Calibri" w:cs="Times New Roman"/>
                <w:color w:val="000000" w:themeColor="text1"/>
                <w:sz w:val="20"/>
                <w:szCs w:val="20"/>
              </w:rPr>
              <w:t>/d</w:t>
            </w:r>
            <w:r w:rsidRPr="00734A50">
              <w:rPr>
                <w:rFonts w:ascii="Calibri" w:eastAsia="Calibri" w:hAnsi="Calibri" w:cs="Times New Roman"/>
                <w:color w:val="000000" w:themeColor="text1"/>
                <w:sz w:val="20"/>
                <w:szCs w:val="20"/>
              </w:rPr>
              <w:t>ialect</w:t>
            </w:r>
          </w:p>
        </w:tc>
      </w:tr>
      <w:tr w:rsidR="000C3A19" w:rsidRPr="00734A50" w14:paraId="2E65FF31" w14:textId="77777777" w:rsidTr="004E7B6F">
        <w:trPr>
          <w:trHeight w:val="283"/>
        </w:trPr>
        <w:tc>
          <w:tcPr>
            <w:tcW w:w="2266" w:type="dxa"/>
          </w:tcPr>
          <w:p w14:paraId="0A151B63" w14:textId="77777777" w:rsidR="000C3A19" w:rsidRPr="00734A50" w:rsidRDefault="000C3A19" w:rsidP="53B011C3">
            <w:pPr>
              <w:spacing w:after="0" w:line="360" w:lineRule="auto"/>
              <w:rPr>
                <w:rFonts w:ascii="Calibri" w:eastAsia="Calibri" w:hAnsi="Calibri" w:cs="Times New Roman"/>
                <w:color w:val="000000" w:themeColor="text1"/>
                <w:sz w:val="20"/>
                <w:szCs w:val="20"/>
              </w:rPr>
            </w:pPr>
            <w:r w:rsidRPr="00734A50">
              <w:rPr>
                <w:rFonts w:ascii="Calibri" w:eastAsia="Calibri" w:hAnsi="Calibri" w:cs="Times New Roman"/>
                <w:color w:val="000000" w:themeColor="text1"/>
                <w:sz w:val="20"/>
                <w:szCs w:val="20"/>
              </w:rPr>
              <w:t>ITE</w:t>
            </w:r>
          </w:p>
        </w:tc>
        <w:tc>
          <w:tcPr>
            <w:tcW w:w="7655" w:type="dxa"/>
          </w:tcPr>
          <w:p w14:paraId="66C854B1" w14:textId="503F85E9" w:rsidR="000C3A19" w:rsidRPr="00734A50" w:rsidRDefault="00D83800" w:rsidP="53B011C3">
            <w:pPr>
              <w:spacing w:after="0" w:line="360" w:lineRule="auto"/>
              <w:rPr>
                <w:rFonts w:ascii="Calibri" w:eastAsia="Calibri" w:hAnsi="Calibri" w:cs="Times New Roman"/>
                <w:color w:val="000000" w:themeColor="text1"/>
                <w:sz w:val="20"/>
                <w:szCs w:val="20"/>
              </w:rPr>
            </w:pPr>
            <w:r w:rsidRPr="00734A50">
              <w:rPr>
                <w:rFonts w:ascii="Calibri" w:eastAsia="Calibri" w:hAnsi="Calibri" w:cs="Times New Roman"/>
                <w:color w:val="000000" w:themeColor="text1"/>
                <w:sz w:val="20"/>
                <w:szCs w:val="20"/>
              </w:rPr>
              <w:t>I</w:t>
            </w:r>
            <w:r w:rsidR="000C3A19" w:rsidRPr="00734A50">
              <w:rPr>
                <w:rFonts w:ascii="Calibri" w:eastAsia="Calibri" w:hAnsi="Calibri" w:cs="Times New Roman"/>
                <w:color w:val="000000" w:themeColor="text1"/>
                <w:sz w:val="20"/>
                <w:szCs w:val="20"/>
              </w:rPr>
              <w:t xml:space="preserve">nitial </w:t>
            </w:r>
            <w:r w:rsidR="00B721B6" w:rsidRPr="00734A50">
              <w:rPr>
                <w:rFonts w:ascii="Calibri" w:eastAsia="Calibri" w:hAnsi="Calibri" w:cs="Times New Roman"/>
                <w:color w:val="000000" w:themeColor="text1"/>
                <w:sz w:val="20"/>
                <w:szCs w:val="20"/>
              </w:rPr>
              <w:t>t</w:t>
            </w:r>
            <w:r w:rsidR="000C3A19" w:rsidRPr="00734A50">
              <w:rPr>
                <w:rFonts w:ascii="Calibri" w:eastAsia="Calibri" w:hAnsi="Calibri" w:cs="Times New Roman"/>
                <w:color w:val="000000" w:themeColor="text1"/>
                <w:sz w:val="20"/>
                <w:szCs w:val="20"/>
              </w:rPr>
              <w:t xml:space="preserve">eacher </w:t>
            </w:r>
            <w:r w:rsidR="00B721B6" w:rsidRPr="00734A50">
              <w:rPr>
                <w:rFonts w:ascii="Calibri" w:eastAsia="Calibri" w:hAnsi="Calibri" w:cs="Times New Roman"/>
                <w:color w:val="000000" w:themeColor="text1"/>
                <w:sz w:val="20"/>
                <w:szCs w:val="20"/>
              </w:rPr>
              <w:t>e</w:t>
            </w:r>
            <w:r w:rsidR="000C3A19" w:rsidRPr="00734A50">
              <w:rPr>
                <w:rFonts w:ascii="Calibri" w:eastAsia="Calibri" w:hAnsi="Calibri" w:cs="Times New Roman"/>
                <w:color w:val="000000" w:themeColor="text1"/>
                <w:sz w:val="20"/>
                <w:szCs w:val="20"/>
              </w:rPr>
              <w:t>ducation</w:t>
            </w:r>
          </w:p>
        </w:tc>
      </w:tr>
      <w:tr w:rsidR="000C3A19" w:rsidRPr="00734A50" w14:paraId="441A8785" w14:textId="77777777" w:rsidTr="004E7B6F">
        <w:trPr>
          <w:trHeight w:val="283"/>
        </w:trPr>
        <w:tc>
          <w:tcPr>
            <w:tcW w:w="2266" w:type="dxa"/>
            <w:shd w:val="clear" w:color="auto" w:fill="CFE3F1"/>
          </w:tcPr>
          <w:p w14:paraId="4F9DC04C" w14:textId="530C04A8" w:rsidR="000C3A19" w:rsidRPr="00734A50" w:rsidRDefault="002D10A7"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NTWAP</w:t>
            </w:r>
          </w:p>
        </w:tc>
        <w:tc>
          <w:tcPr>
            <w:tcW w:w="7655" w:type="dxa"/>
            <w:shd w:val="clear" w:color="auto" w:fill="CFE3F1"/>
          </w:tcPr>
          <w:p w14:paraId="71E6F38E" w14:textId="47EC789A" w:rsidR="000C3A19" w:rsidRPr="00734A50" w:rsidRDefault="002D10A7"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National Teacher Workforce Action Plan</w:t>
            </w:r>
          </w:p>
        </w:tc>
      </w:tr>
      <w:tr w:rsidR="001D3FDF" w:rsidRPr="00734A50" w14:paraId="7E574FAB" w14:textId="77777777" w:rsidTr="004E7B6F">
        <w:trPr>
          <w:trHeight w:val="283"/>
        </w:trPr>
        <w:tc>
          <w:tcPr>
            <w:tcW w:w="2266" w:type="dxa"/>
          </w:tcPr>
          <w:p w14:paraId="15D26A1B" w14:textId="36140A9E" w:rsidR="001D3FDF" w:rsidRPr="00734A50" w:rsidRDefault="001D3FDF"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QITE</w:t>
            </w:r>
            <w:r w:rsidR="00D75B58" w:rsidRPr="00734A50">
              <w:rPr>
                <w:rFonts w:ascii="Calibri" w:eastAsia="Calibri" w:hAnsi="Calibri" w:cs="Times New Roman"/>
                <w:color w:val="000000"/>
                <w:sz w:val="20"/>
                <w:szCs w:val="20"/>
              </w:rPr>
              <w:t xml:space="preserve"> Review</w:t>
            </w:r>
          </w:p>
        </w:tc>
        <w:tc>
          <w:tcPr>
            <w:tcW w:w="7655" w:type="dxa"/>
          </w:tcPr>
          <w:p w14:paraId="443D4A47" w14:textId="498BBE7E" w:rsidR="001D3FDF" w:rsidRPr="00734A50" w:rsidRDefault="001D3FDF"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 xml:space="preserve">Quality Initial Teacher Education </w:t>
            </w:r>
            <w:r w:rsidR="00D75B58" w:rsidRPr="00734A50">
              <w:rPr>
                <w:rFonts w:ascii="Calibri" w:eastAsia="Calibri" w:hAnsi="Calibri" w:cs="Times New Roman"/>
                <w:color w:val="000000"/>
                <w:sz w:val="20"/>
                <w:szCs w:val="20"/>
              </w:rPr>
              <w:t>Review</w:t>
            </w:r>
          </w:p>
        </w:tc>
      </w:tr>
      <w:tr w:rsidR="000C3A19" w:rsidRPr="00734A50" w14:paraId="2F6045A9" w14:textId="77777777" w:rsidTr="004E7B6F">
        <w:trPr>
          <w:trHeight w:val="283"/>
        </w:trPr>
        <w:tc>
          <w:tcPr>
            <w:tcW w:w="2266" w:type="dxa"/>
            <w:shd w:val="clear" w:color="auto" w:fill="CFE3F1"/>
          </w:tcPr>
          <w:p w14:paraId="48CDD9C0"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Teacher Standards</w:t>
            </w:r>
          </w:p>
        </w:tc>
        <w:tc>
          <w:tcPr>
            <w:tcW w:w="7655" w:type="dxa"/>
            <w:shd w:val="clear" w:color="auto" w:fill="CFE3F1"/>
          </w:tcPr>
          <w:p w14:paraId="1C276BD3"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Australian Professional Standards for Teachers</w:t>
            </w:r>
          </w:p>
        </w:tc>
      </w:tr>
      <w:tr w:rsidR="000C3A19" w:rsidRPr="00734A50" w14:paraId="7B50D0CD" w14:textId="77777777" w:rsidTr="004E7B6F">
        <w:trPr>
          <w:trHeight w:val="283"/>
        </w:trPr>
        <w:tc>
          <w:tcPr>
            <w:tcW w:w="2266" w:type="dxa"/>
          </w:tcPr>
          <w:p w14:paraId="1B5D2D3A"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TEMAG</w:t>
            </w:r>
          </w:p>
        </w:tc>
        <w:tc>
          <w:tcPr>
            <w:tcW w:w="7655" w:type="dxa"/>
          </w:tcPr>
          <w:p w14:paraId="609CD2D3"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Teacher Education Ministerial Advisory Group</w:t>
            </w:r>
          </w:p>
        </w:tc>
      </w:tr>
      <w:tr w:rsidR="000C3A19" w:rsidRPr="00734A50" w14:paraId="234EB26B" w14:textId="77777777" w:rsidTr="004E7B6F">
        <w:trPr>
          <w:trHeight w:val="283"/>
        </w:trPr>
        <w:tc>
          <w:tcPr>
            <w:tcW w:w="2266" w:type="dxa"/>
            <w:shd w:val="clear" w:color="auto" w:fill="CFE3F1"/>
          </w:tcPr>
          <w:p w14:paraId="0A8AE2F0"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TPA</w:t>
            </w:r>
          </w:p>
        </w:tc>
        <w:tc>
          <w:tcPr>
            <w:tcW w:w="7655" w:type="dxa"/>
            <w:shd w:val="clear" w:color="auto" w:fill="CFE3F1"/>
          </w:tcPr>
          <w:p w14:paraId="0D30C6FE"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Teaching Performance Assessment</w:t>
            </w:r>
          </w:p>
        </w:tc>
      </w:tr>
      <w:tr w:rsidR="000C3A19" w:rsidRPr="00734A50" w14:paraId="501A5822" w14:textId="77777777" w:rsidTr="004E7B6F">
        <w:trPr>
          <w:trHeight w:val="283"/>
        </w:trPr>
        <w:tc>
          <w:tcPr>
            <w:tcW w:w="2266" w:type="dxa"/>
          </w:tcPr>
          <w:p w14:paraId="1D1F6747" w14:textId="77777777" w:rsidR="000C3A19" w:rsidRPr="00734A50" w:rsidRDefault="000C3A19"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sz w:val="20"/>
                <w:szCs w:val="20"/>
              </w:rPr>
              <w:t xml:space="preserve">TRA </w:t>
            </w:r>
          </w:p>
        </w:tc>
        <w:tc>
          <w:tcPr>
            <w:tcW w:w="7655" w:type="dxa"/>
          </w:tcPr>
          <w:p w14:paraId="58C9C869" w14:textId="687C2247" w:rsidR="000C3A19" w:rsidRPr="00734A50" w:rsidRDefault="007B4C7A" w:rsidP="000C3A19">
            <w:pPr>
              <w:spacing w:after="0" w:line="360" w:lineRule="auto"/>
              <w:rPr>
                <w:rFonts w:ascii="Calibri" w:eastAsia="Calibri" w:hAnsi="Calibri" w:cs="Times New Roman"/>
                <w:color w:val="000000"/>
                <w:sz w:val="20"/>
                <w:szCs w:val="20"/>
              </w:rPr>
            </w:pPr>
            <w:r w:rsidRPr="00734A50">
              <w:rPr>
                <w:rFonts w:ascii="Calibri" w:eastAsia="Calibri" w:hAnsi="Calibri" w:cs="Times New Roman"/>
                <w:color w:val="000000" w:themeColor="text1"/>
                <w:sz w:val="20"/>
                <w:szCs w:val="20"/>
              </w:rPr>
              <w:t>T</w:t>
            </w:r>
            <w:r w:rsidR="000C3A19" w:rsidRPr="00734A50">
              <w:rPr>
                <w:rFonts w:ascii="Calibri" w:eastAsia="Calibri" w:hAnsi="Calibri" w:cs="Times New Roman"/>
                <w:color w:val="000000" w:themeColor="text1"/>
                <w:sz w:val="20"/>
                <w:szCs w:val="20"/>
              </w:rPr>
              <w:t xml:space="preserve">eacher </w:t>
            </w:r>
            <w:r w:rsidRPr="00734A50">
              <w:rPr>
                <w:rFonts w:ascii="Calibri" w:eastAsia="Calibri" w:hAnsi="Calibri" w:cs="Times New Roman"/>
                <w:color w:val="000000" w:themeColor="text1"/>
                <w:sz w:val="20"/>
                <w:szCs w:val="20"/>
              </w:rPr>
              <w:t>R</w:t>
            </w:r>
            <w:r w:rsidR="000C3A19" w:rsidRPr="00734A50">
              <w:rPr>
                <w:rFonts w:ascii="Calibri" w:eastAsia="Calibri" w:hAnsi="Calibri" w:cs="Times New Roman"/>
                <w:color w:val="000000" w:themeColor="text1"/>
                <w:sz w:val="20"/>
                <w:szCs w:val="20"/>
              </w:rPr>
              <w:t xml:space="preserve">egulatory </w:t>
            </w:r>
            <w:r w:rsidRPr="00734A50">
              <w:rPr>
                <w:rFonts w:ascii="Calibri" w:eastAsia="Calibri" w:hAnsi="Calibri" w:cs="Times New Roman"/>
                <w:color w:val="000000" w:themeColor="text1"/>
                <w:sz w:val="20"/>
                <w:szCs w:val="20"/>
              </w:rPr>
              <w:t>A</w:t>
            </w:r>
            <w:r w:rsidR="000C3A19" w:rsidRPr="00734A50">
              <w:rPr>
                <w:rFonts w:ascii="Calibri" w:eastAsia="Calibri" w:hAnsi="Calibri" w:cs="Times New Roman"/>
                <w:color w:val="000000" w:themeColor="text1"/>
                <w:sz w:val="20"/>
                <w:szCs w:val="20"/>
              </w:rPr>
              <w:t xml:space="preserve">uthority </w:t>
            </w:r>
          </w:p>
        </w:tc>
      </w:tr>
    </w:tbl>
    <w:p w14:paraId="7EB1F94F" w14:textId="77777777" w:rsidR="00885CA3" w:rsidRPr="00734A50" w:rsidRDefault="00885CA3" w:rsidP="00885CA3">
      <w:pPr>
        <w:rPr>
          <w:lang w:eastAsia="en-AU"/>
        </w:rPr>
      </w:pPr>
    </w:p>
    <w:p w14:paraId="662ACB36" w14:textId="0797214A" w:rsidR="00466C8A" w:rsidRPr="00734A50" w:rsidRDefault="00C23696">
      <w:pPr>
        <w:spacing w:after="160" w:line="259" w:lineRule="auto"/>
        <w:rPr>
          <w:rFonts w:asciiTheme="majorHAnsi" w:eastAsia="Times New Roman" w:hAnsiTheme="majorHAnsi" w:cstheme="majorBidi"/>
          <w:b/>
          <w:color w:val="002C3E" w:themeColor="background2"/>
          <w:lang w:eastAsia="en-AU"/>
        </w:rPr>
      </w:pPr>
      <w:r w:rsidRPr="00734A50">
        <w:rPr>
          <w:rFonts w:asciiTheme="majorHAnsi" w:eastAsia="Times New Roman" w:hAnsiTheme="majorHAnsi" w:cstheme="majorBidi"/>
          <w:b/>
          <w:color w:val="002C3E" w:themeColor="background2"/>
          <w:lang w:eastAsia="en-AU"/>
        </w:rPr>
        <w:br w:type="page"/>
      </w:r>
    </w:p>
    <w:p w14:paraId="5215E36B" w14:textId="4BC55232" w:rsidR="00885CA3" w:rsidRPr="00734A50" w:rsidRDefault="00885CA3" w:rsidP="0012041E">
      <w:pPr>
        <w:pStyle w:val="Heading1"/>
      </w:pPr>
      <w:bookmarkStart w:id="7" w:name="_Toc139366605"/>
      <w:r w:rsidRPr="00734A50">
        <w:lastRenderedPageBreak/>
        <w:t xml:space="preserve">Executive </w:t>
      </w:r>
      <w:r w:rsidR="001156FE" w:rsidRPr="00734A50">
        <w:t>s</w:t>
      </w:r>
      <w:r w:rsidRPr="00734A50">
        <w:t>ummary</w:t>
      </w:r>
      <w:bookmarkEnd w:id="7"/>
    </w:p>
    <w:p w14:paraId="4A7E66F6" w14:textId="3084F58A" w:rsidR="00DD6A02" w:rsidRPr="00734A50" w:rsidRDefault="00CC0ABC" w:rsidP="4BAD4C83">
      <w:pPr>
        <w:rPr>
          <w:lang w:eastAsia="en-AU"/>
        </w:rPr>
      </w:pPr>
      <w:r w:rsidRPr="00734A50">
        <w:rPr>
          <w:b/>
          <w:bCs/>
          <w:lang w:eastAsia="en-AU"/>
        </w:rPr>
        <w:t>The importance of great teachers cannot be overstated</w:t>
      </w:r>
      <w:r w:rsidRPr="00734A50">
        <w:rPr>
          <w:lang w:eastAsia="en-AU"/>
        </w:rPr>
        <w:t>.</w:t>
      </w:r>
      <w:r w:rsidR="001156FE" w:rsidRPr="00734A50">
        <w:rPr>
          <w:lang w:eastAsia="en-AU"/>
        </w:rPr>
        <w:t xml:space="preserve"> </w:t>
      </w:r>
      <w:r w:rsidR="0D483966" w:rsidRPr="00734A50">
        <w:rPr>
          <w:lang w:eastAsia="en-AU"/>
        </w:rPr>
        <w:t xml:space="preserve">When we are young, we can explore and master new </w:t>
      </w:r>
      <w:r w:rsidR="1CD5BED3" w:rsidRPr="00734A50">
        <w:rPr>
          <w:lang w:eastAsia="en-AU"/>
        </w:rPr>
        <w:t xml:space="preserve">talents and </w:t>
      </w:r>
      <w:r w:rsidR="0D483966" w:rsidRPr="00734A50">
        <w:rPr>
          <w:lang w:eastAsia="en-AU"/>
        </w:rPr>
        <w:t>skills</w:t>
      </w:r>
      <w:r w:rsidR="1B278A3B" w:rsidRPr="00734A50">
        <w:rPr>
          <w:lang w:eastAsia="en-AU"/>
        </w:rPr>
        <w:t xml:space="preserve">, </w:t>
      </w:r>
      <w:r w:rsidR="0D483966" w:rsidRPr="00734A50">
        <w:rPr>
          <w:lang w:eastAsia="en-AU"/>
        </w:rPr>
        <w:t xml:space="preserve">discover </w:t>
      </w:r>
      <w:r w:rsidR="3036A00B" w:rsidRPr="00734A50">
        <w:rPr>
          <w:lang w:eastAsia="en-AU"/>
        </w:rPr>
        <w:t xml:space="preserve">new </w:t>
      </w:r>
      <w:r w:rsidR="0D483966" w:rsidRPr="00734A50">
        <w:rPr>
          <w:lang w:eastAsia="en-AU"/>
        </w:rPr>
        <w:t xml:space="preserve">passions, test our potential and </w:t>
      </w:r>
      <w:r w:rsidR="796ACB70" w:rsidRPr="00734A50">
        <w:rPr>
          <w:lang w:eastAsia="en-AU"/>
        </w:rPr>
        <w:t>build our</w:t>
      </w:r>
      <w:r w:rsidR="0D483966" w:rsidRPr="00734A50">
        <w:rPr>
          <w:lang w:eastAsia="en-AU"/>
        </w:rPr>
        <w:t xml:space="preserve"> independen</w:t>
      </w:r>
      <w:r w:rsidR="3D571951" w:rsidRPr="00734A50">
        <w:rPr>
          <w:lang w:eastAsia="en-AU"/>
        </w:rPr>
        <w:t>ce</w:t>
      </w:r>
      <w:r w:rsidR="0D483966" w:rsidRPr="00734A50">
        <w:rPr>
          <w:lang w:eastAsia="en-AU"/>
        </w:rPr>
        <w:t xml:space="preserve">. </w:t>
      </w:r>
      <w:r w:rsidR="0044703C" w:rsidRPr="00734A50">
        <w:rPr>
          <w:lang w:eastAsia="en-AU"/>
        </w:rPr>
        <w:t>The</w:t>
      </w:r>
      <w:r w:rsidR="0044703C">
        <w:rPr>
          <w:lang w:eastAsia="en-AU"/>
        </w:rPr>
        <w:t>se</w:t>
      </w:r>
      <w:r w:rsidR="0D483966" w:rsidRPr="00734A50">
        <w:rPr>
          <w:lang w:eastAsia="en-AU"/>
        </w:rPr>
        <w:t xml:space="preserve"> are all things we start to learn at school with our teachers.</w:t>
      </w:r>
    </w:p>
    <w:p w14:paraId="644D2831" w14:textId="7B2F2B49" w:rsidR="00DD6A02" w:rsidRPr="00734A50" w:rsidRDefault="0D483966" w:rsidP="4BAD4C83">
      <w:pPr>
        <w:rPr>
          <w:lang w:eastAsia="en-AU"/>
        </w:rPr>
      </w:pPr>
      <w:r w:rsidRPr="00734A50">
        <w:rPr>
          <w:lang w:eastAsia="en-AU"/>
        </w:rPr>
        <w:t xml:space="preserve">In a complex, fast-changing, multicultural society, we must listen to and understand each other. We </w:t>
      </w:r>
      <w:r w:rsidR="6C3C9A09" w:rsidRPr="00734A50">
        <w:rPr>
          <w:lang w:eastAsia="en-AU"/>
        </w:rPr>
        <w:t>must</w:t>
      </w:r>
      <w:r w:rsidRPr="00734A50">
        <w:rPr>
          <w:lang w:eastAsia="en-AU"/>
        </w:rPr>
        <w:t xml:space="preserve"> learn to value different contributions, work together, resolve problems, and constructively find solutions. And as a nation, our competitiveness</w:t>
      </w:r>
      <w:r w:rsidR="2337C16C" w:rsidRPr="00734A50">
        <w:rPr>
          <w:lang w:eastAsia="en-AU"/>
        </w:rPr>
        <w:t xml:space="preserve">, </w:t>
      </w:r>
      <w:r w:rsidRPr="00734A50">
        <w:rPr>
          <w:lang w:eastAsia="en-AU"/>
        </w:rPr>
        <w:t>economic strength and prosperity will depend on our people</w:t>
      </w:r>
      <w:r w:rsidR="00C01059" w:rsidRPr="00734A50">
        <w:rPr>
          <w:lang w:eastAsia="en-AU"/>
        </w:rPr>
        <w:t>’</w:t>
      </w:r>
      <w:r w:rsidRPr="00734A50">
        <w:rPr>
          <w:lang w:eastAsia="en-AU"/>
        </w:rPr>
        <w:t xml:space="preserve">s ability to imagine and create, to discover and design new futures, </w:t>
      </w:r>
      <w:r w:rsidR="00CC0ABC" w:rsidRPr="00734A50">
        <w:rPr>
          <w:lang w:eastAsia="en-AU"/>
        </w:rPr>
        <w:t xml:space="preserve">and </w:t>
      </w:r>
      <w:r w:rsidRPr="00734A50">
        <w:rPr>
          <w:lang w:eastAsia="en-AU"/>
        </w:rPr>
        <w:t>to seize new opportunities. The foundation for all this starts with teachers in our schools.</w:t>
      </w:r>
    </w:p>
    <w:p w14:paraId="3A45F6A2" w14:textId="47643AC6" w:rsidR="00DD6A02" w:rsidRPr="00734A50" w:rsidRDefault="6D6FAAA9" w:rsidP="3D1CC982">
      <w:pPr>
        <w:rPr>
          <w:lang w:eastAsia="en-AU"/>
        </w:rPr>
      </w:pPr>
      <w:r w:rsidRPr="00734A50">
        <w:rPr>
          <w:b/>
          <w:lang w:eastAsia="en-AU"/>
        </w:rPr>
        <w:t>Nationwide, teachers testify</w:t>
      </w:r>
      <w:r w:rsidRPr="00734A50">
        <w:rPr>
          <w:lang w:eastAsia="en-AU"/>
        </w:rPr>
        <w:t xml:space="preserve"> </w:t>
      </w:r>
      <w:r w:rsidRPr="00734A50">
        <w:rPr>
          <w:b/>
          <w:lang w:eastAsia="en-AU"/>
        </w:rPr>
        <w:t xml:space="preserve">that at its best, </w:t>
      </w:r>
      <w:r w:rsidR="00C01059" w:rsidRPr="00734A50">
        <w:rPr>
          <w:b/>
          <w:lang w:eastAsia="en-AU"/>
        </w:rPr>
        <w:t xml:space="preserve">teaching </w:t>
      </w:r>
      <w:r w:rsidRPr="00734A50">
        <w:rPr>
          <w:b/>
          <w:lang w:eastAsia="en-AU"/>
        </w:rPr>
        <w:t>is a job that delivers rich, intrinsic rewards</w:t>
      </w:r>
      <w:r w:rsidR="00EB3EDD" w:rsidRPr="00734A50">
        <w:rPr>
          <w:lang w:eastAsia="en-AU"/>
        </w:rPr>
        <w:t>,</w:t>
      </w:r>
      <w:r w:rsidR="00FB7D8A" w:rsidRPr="00734A50">
        <w:rPr>
          <w:b/>
          <w:bCs/>
          <w:lang w:eastAsia="en-AU"/>
        </w:rPr>
        <w:t xml:space="preserve"> </w:t>
      </w:r>
      <w:r w:rsidR="00FB7D8A" w:rsidRPr="00734A50">
        <w:rPr>
          <w:lang w:eastAsia="en-AU"/>
        </w:rPr>
        <w:t xml:space="preserve">but </w:t>
      </w:r>
      <w:r w:rsidR="00EB3EDD" w:rsidRPr="00734A50">
        <w:rPr>
          <w:lang w:eastAsia="en-AU"/>
        </w:rPr>
        <w:t xml:space="preserve">teachers </w:t>
      </w:r>
      <w:r w:rsidR="00F962F2" w:rsidRPr="00734A50">
        <w:rPr>
          <w:lang w:eastAsia="en-AU"/>
        </w:rPr>
        <w:t>are operating</w:t>
      </w:r>
      <w:r w:rsidR="00FB7D8A" w:rsidRPr="00734A50">
        <w:rPr>
          <w:lang w:eastAsia="en-AU"/>
        </w:rPr>
        <w:t xml:space="preserve"> in a</w:t>
      </w:r>
      <w:r w:rsidR="008D6265" w:rsidRPr="00734A50">
        <w:rPr>
          <w:lang w:eastAsia="en-AU"/>
        </w:rPr>
        <w:t xml:space="preserve">n </w:t>
      </w:r>
      <w:r w:rsidR="00FB7D8A" w:rsidRPr="00734A50">
        <w:rPr>
          <w:lang w:eastAsia="en-AU"/>
        </w:rPr>
        <w:t xml:space="preserve">environment that is </w:t>
      </w:r>
      <w:r w:rsidR="0023145D" w:rsidRPr="00734A50">
        <w:rPr>
          <w:lang w:eastAsia="en-AU"/>
        </w:rPr>
        <w:t>more difficult</w:t>
      </w:r>
      <w:r w:rsidR="00A407F4" w:rsidRPr="00734A50">
        <w:rPr>
          <w:lang w:eastAsia="en-AU"/>
        </w:rPr>
        <w:t xml:space="preserve"> </w:t>
      </w:r>
      <w:r w:rsidR="00FB7D8A" w:rsidRPr="00734A50">
        <w:rPr>
          <w:lang w:eastAsia="en-AU"/>
        </w:rPr>
        <w:t xml:space="preserve">than at any </w:t>
      </w:r>
      <w:r w:rsidR="00F962F2" w:rsidRPr="00734A50">
        <w:rPr>
          <w:lang w:eastAsia="en-AU"/>
        </w:rPr>
        <w:t>other</w:t>
      </w:r>
      <w:r w:rsidR="00A228A3" w:rsidRPr="00734A50">
        <w:rPr>
          <w:lang w:eastAsia="en-AU"/>
        </w:rPr>
        <w:t xml:space="preserve"> time</w:t>
      </w:r>
      <w:r w:rsidR="00CC0ABC" w:rsidRPr="00734A50">
        <w:rPr>
          <w:lang w:eastAsia="en-AU"/>
        </w:rPr>
        <w:t>.</w:t>
      </w:r>
      <w:r w:rsidR="0023145D" w:rsidRPr="00734A50">
        <w:rPr>
          <w:lang w:eastAsia="en-AU"/>
        </w:rPr>
        <w:t xml:space="preserve"> </w:t>
      </w:r>
      <w:r w:rsidR="00B90A79" w:rsidRPr="00734A50">
        <w:rPr>
          <w:lang w:eastAsia="en-AU"/>
        </w:rPr>
        <w:t>Schools are</w:t>
      </w:r>
      <w:r w:rsidR="00B90A79" w:rsidRPr="00734A50" w:rsidDel="003C7FC9">
        <w:rPr>
          <w:lang w:eastAsia="en-AU"/>
        </w:rPr>
        <w:t xml:space="preserve"> </w:t>
      </w:r>
      <w:r w:rsidR="00B90A79" w:rsidRPr="00734A50">
        <w:rPr>
          <w:lang w:eastAsia="en-AU"/>
        </w:rPr>
        <w:t xml:space="preserve">at the forefront of managing the </w:t>
      </w:r>
      <w:r w:rsidR="0036003A" w:rsidRPr="00734A50">
        <w:rPr>
          <w:lang w:eastAsia="en-AU"/>
        </w:rPr>
        <w:t xml:space="preserve">impacts of </w:t>
      </w:r>
      <w:r w:rsidR="00B90A79" w:rsidRPr="00734A50">
        <w:rPr>
          <w:lang w:eastAsia="en-AU"/>
        </w:rPr>
        <w:t>constant changes shaping our society</w:t>
      </w:r>
      <w:r w:rsidR="003C7FC9" w:rsidRPr="00734A50">
        <w:rPr>
          <w:lang w:eastAsia="en-AU"/>
        </w:rPr>
        <w:t>,</w:t>
      </w:r>
      <w:r w:rsidR="00B90A79" w:rsidRPr="00734A50">
        <w:rPr>
          <w:lang w:eastAsia="en-AU"/>
        </w:rPr>
        <w:t xml:space="preserve"> such as mobile technology, social media, artificial intelligence and vaping</w:t>
      </w:r>
      <w:r w:rsidR="00B76EDE" w:rsidRPr="00734A50">
        <w:rPr>
          <w:lang w:eastAsia="en-AU"/>
        </w:rPr>
        <w:t xml:space="preserve">. </w:t>
      </w:r>
      <w:r w:rsidR="000C4FFB" w:rsidRPr="00734A50">
        <w:rPr>
          <w:lang w:eastAsia="en-AU"/>
        </w:rPr>
        <w:t>T</w:t>
      </w:r>
      <w:r w:rsidR="00E013C8" w:rsidRPr="00734A50">
        <w:rPr>
          <w:lang w:eastAsia="en-AU"/>
        </w:rPr>
        <w:t xml:space="preserve">here are greater </w:t>
      </w:r>
      <w:r w:rsidR="00C434EA" w:rsidRPr="00734A50">
        <w:rPr>
          <w:lang w:eastAsia="en-AU"/>
        </w:rPr>
        <w:t xml:space="preserve">expectations placed on teachers than </w:t>
      </w:r>
      <w:r w:rsidR="004774B6" w:rsidRPr="00734A50">
        <w:rPr>
          <w:lang w:eastAsia="en-AU"/>
        </w:rPr>
        <w:t>ever before</w:t>
      </w:r>
      <w:r w:rsidR="00016778" w:rsidRPr="00734A50">
        <w:rPr>
          <w:lang w:eastAsia="en-AU"/>
        </w:rPr>
        <w:t>.</w:t>
      </w:r>
    </w:p>
    <w:p w14:paraId="5EF507DF" w14:textId="3FCA3D76" w:rsidR="00BB4377" w:rsidRPr="00734A50" w:rsidRDefault="00C45008" w:rsidP="00C45008">
      <w:pPr>
        <w:rPr>
          <w:lang w:eastAsia="en-AU"/>
        </w:rPr>
      </w:pPr>
      <w:r w:rsidRPr="00734A50">
        <w:rPr>
          <w:b/>
          <w:bCs/>
          <w:lang w:eastAsia="en-AU"/>
        </w:rPr>
        <w:t xml:space="preserve">Our teachers are critical to </w:t>
      </w:r>
      <w:r w:rsidR="00E42BD2" w:rsidRPr="00734A50">
        <w:rPr>
          <w:b/>
          <w:bCs/>
          <w:lang w:eastAsia="en-AU"/>
        </w:rPr>
        <w:t xml:space="preserve">delivering on the ambition for </w:t>
      </w:r>
      <w:r w:rsidRPr="00734A50">
        <w:rPr>
          <w:b/>
          <w:bCs/>
          <w:lang w:eastAsia="en-AU"/>
        </w:rPr>
        <w:t>the Alice Springs (Mparntwe) Education Declaration</w:t>
      </w:r>
      <w:r w:rsidRPr="00734A50">
        <w:rPr>
          <w:lang w:eastAsia="en-AU"/>
        </w:rPr>
        <w:t xml:space="preserve"> for excellence and equity in education. Children from less affluent backgrounds are more likely to be a year or two behind in their reading and maths than children from wealthier backgrounds. By the time they reach Year 9, they can be four or five years behind their peers,</w:t>
      </w:r>
      <w:r w:rsidRPr="00734A50">
        <w:rPr>
          <w:rStyle w:val="FootnoteReference"/>
          <w:lang w:eastAsia="en-AU"/>
        </w:rPr>
        <w:footnoteReference w:id="2"/>
      </w:r>
      <w:r w:rsidRPr="00734A50">
        <w:rPr>
          <w:lang w:eastAsia="en-AU"/>
        </w:rPr>
        <w:t xml:space="preserve"> and only 74 per cent achieve their Year 12 certificate, compared to 85 per cent of children from more affluent backgrounds</w:t>
      </w:r>
      <w:r w:rsidR="00C01059" w:rsidRPr="00734A50">
        <w:rPr>
          <w:lang w:eastAsia="en-AU"/>
        </w:rPr>
        <w:t>.</w:t>
      </w:r>
      <w:r w:rsidRPr="00734A50">
        <w:rPr>
          <w:rStyle w:val="FootnoteReference"/>
          <w:lang w:eastAsia="en-AU"/>
        </w:rPr>
        <w:footnoteReference w:id="3"/>
      </w:r>
      <w:r w:rsidRPr="00734A50">
        <w:rPr>
          <w:lang w:eastAsia="en-AU"/>
        </w:rPr>
        <w:t xml:space="preserve"> </w:t>
      </w:r>
    </w:p>
    <w:p w14:paraId="13569C84" w14:textId="425E6724" w:rsidR="00AD4020" w:rsidRPr="00734A50" w:rsidRDefault="00867A42" w:rsidP="00AD4020">
      <w:pPr>
        <w:rPr>
          <w:lang w:eastAsia="en-AU"/>
        </w:rPr>
      </w:pPr>
      <w:r w:rsidRPr="00734A50">
        <w:rPr>
          <w:b/>
          <w:lang w:eastAsia="en-AU"/>
        </w:rPr>
        <w:t>T</w:t>
      </w:r>
      <w:r w:rsidR="00AD4020" w:rsidRPr="00734A50">
        <w:rPr>
          <w:b/>
          <w:lang w:eastAsia="en-AU"/>
        </w:rPr>
        <w:t xml:space="preserve">he challenges </w:t>
      </w:r>
      <w:r w:rsidR="001A5F1C" w:rsidRPr="00734A50">
        <w:rPr>
          <w:b/>
          <w:lang w:eastAsia="en-AU"/>
        </w:rPr>
        <w:t xml:space="preserve">for teachers can be </w:t>
      </w:r>
      <w:r w:rsidR="00AD4020" w:rsidRPr="00734A50">
        <w:rPr>
          <w:b/>
          <w:lang w:eastAsia="en-AU"/>
        </w:rPr>
        <w:t>immense.</w:t>
      </w:r>
      <w:r w:rsidR="00AD4020" w:rsidRPr="00734A50">
        <w:rPr>
          <w:lang w:eastAsia="en-AU"/>
        </w:rPr>
        <w:t xml:space="preserve"> During the disruption caused by the pandemic, many parents were deeply impressed with the extraordinary professionalism and perseverance of those who teach. </w:t>
      </w:r>
      <w:r w:rsidR="78C54FF2" w:rsidRPr="00734A50">
        <w:rPr>
          <w:lang w:eastAsia="en-AU"/>
        </w:rPr>
        <w:t>However,</w:t>
      </w:r>
      <w:r w:rsidR="00E72C6F" w:rsidRPr="00734A50">
        <w:rPr>
          <w:lang w:eastAsia="en-AU"/>
        </w:rPr>
        <w:t xml:space="preserve"> f</w:t>
      </w:r>
      <w:r w:rsidR="00AD4020" w:rsidRPr="00734A50">
        <w:rPr>
          <w:lang w:eastAsia="en-AU"/>
        </w:rPr>
        <w:t xml:space="preserve">or many teachers, these demanding times </w:t>
      </w:r>
      <w:r w:rsidR="00223442" w:rsidRPr="00734A50">
        <w:rPr>
          <w:lang w:eastAsia="en-AU"/>
        </w:rPr>
        <w:t xml:space="preserve">were </w:t>
      </w:r>
      <w:r w:rsidR="00AD4020" w:rsidRPr="00734A50">
        <w:rPr>
          <w:lang w:eastAsia="en-AU"/>
        </w:rPr>
        <w:t>a tipping point to walk away, bringing forward long-projected endemic teaching shortages.</w:t>
      </w:r>
    </w:p>
    <w:p w14:paraId="48D16F9D" w14:textId="6E5E8A09" w:rsidR="00E574EC" w:rsidRPr="00734A50" w:rsidRDefault="00711930" w:rsidP="00E574EC">
      <w:pPr>
        <w:shd w:val="clear" w:color="auto" w:fill="FFFFFF"/>
        <w:spacing w:before="100" w:beforeAutospacing="1" w:after="100" w:afterAutospacing="1"/>
        <w:rPr>
          <w:lang w:eastAsia="en-AU"/>
        </w:rPr>
      </w:pPr>
      <w:r w:rsidRPr="00734A50">
        <w:rPr>
          <w:b/>
          <w:lang w:eastAsia="en-AU"/>
        </w:rPr>
        <w:t xml:space="preserve">We need to attract, train and retain teachers </w:t>
      </w:r>
      <w:r w:rsidR="007C72B6" w:rsidRPr="00734A50">
        <w:rPr>
          <w:b/>
          <w:lang w:eastAsia="en-AU"/>
        </w:rPr>
        <w:t>in the profession</w:t>
      </w:r>
      <w:r w:rsidR="007C72B6" w:rsidRPr="00734A50">
        <w:rPr>
          <w:lang w:eastAsia="en-AU"/>
        </w:rPr>
        <w:t xml:space="preserve">. </w:t>
      </w:r>
      <w:r w:rsidR="001C5C95" w:rsidRPr="00734A50">
        <w:rPr>
          <w:lang w:eastAsia="en-AU"/>
        </w:rPr>
        <w:t xml:space="preserve">The National Teacher Workforce Action Plan </w:t>
      </w:r>
      <w:r w:rsidR="001F6F4E" w:rsidRPr="00734A50">
        <w:rPr>
          <w:lang w:eastAsia="en-AU"/>
        </w:rPr>
        <w:t xml:space="preserve">outlines </w:t>
      </w:r>
      <w:r w:rsidR="00E6262A" w:rsidRPr="00734A50">
        <w:rPr>
          <w:lang w:eastAsia="en-AU"/>
        </w:rPr>
        <w:t>five priority areas, including initial teacher education</w:t>
      </w:r>
      <w:r w:rsidR="002E52E0" w:rsidRPr="00734A50">
        <w:rPr>
          <w:lang w:eastAsia="en-AU"/>
        </w:rPr>
        <w:t xml:space="preserve"> (ITE)</w:t>
      </w:r>
      <w:r w:rsidR="00E6262A" w:rsidRPr="00734A50">
        <w:rPr>
          <w:lang w:eastAsia="en-AU"/>
        </w:rPr>
        <w:t xml:space="preserve">, </w:t>
      </w:r>
      <w:r w:rsidR="001F6F4E" w:rsidRPr="00734A50">
        <w:rPr>
          <w:lang w:eastAsia="en-AU"/>
        </w:rPr>
        <w:t xml:space="preserve">to increase the number of people choosing to become teachers and </w:t>
      </w:r>
      <w:r w:rsidR="001818D3" w:rsidRPr="00734A50">
        <w:rPr>
          <w:lang w:eastAsia="en-AU"/>
        </w:rPr>
        <w:t xml:space="preserve">to retain more </w:t>
      </w:r>
      <w:r w:rsidR="001F6F4E" w:rsidRPr="00734A50">
        <w:rPr>
          <w:lang w:eastAsia="en-AU"/>
        </w:rPr>
        <w:t xml:space="preserve">teachers in the profession. </w:t>
      </w:r>
    </w:p>
    <w:p w14:paraId="6B82B225" w14:textId="272A211C" w:rsidR="003251A7" w:rsidRPr="00734A50" w:rsidRDefault="009E5372" w:rsidP="003251A7">
      <w:pPr>
        <w:rPr>
          <w:lang w:eastAsia="en-AU"/>
        </w:rPr>
      </w:pPr>
      <w:r w:rsidRPr="00734A50">
        <w:rPr>
          <w:b/>
          <w:lang w:eastAsia="en-AU"/>
        </w:rPr>
        <w:t>One of the best ways to help beginning teachers be successful from day one is to improve ITE</w:t>
      </w:r>
      <w:r w:rsidRPr="00734A50">
        <w:rPr>
          <w:lang w:eastAsia="en-AU"/>
        </w:rPr>
        <w:t>.</w:t>
      </w:r>
      <w:r w:rsidR="00E572E0" w:rsidRPr="00734A50">
        <w:rPr>
          <w:lang w:eastAsia="en-AU"/>
        </w:rPr>
        <w:t xml:space="preserve"> </w:t>
      </w:r>
      <w:r w:rsidR="003251A7" w:rsidRPr="00734A50">
        <w:rPr>
          <w:lang w:eastAsia="en-AU"/>
        </w:rPr>
        <w:t>There has been significant action to promote and improve ITE over many years, including a suite of major reforms progressed under the Teacher Education Ministerial Advisory Group (TEMAG</w:t>
      </w:r>
      <w:r w:rsidR="00DE740E" w:rsidRPr="00734A50">
        <w:rPr>
          <w:lang w:eastAsia="en-AU"/>
        </w:rPr>
        <w:t xml:space="preserve"> 2014</w:t>
      </w:r>
      <w:r w:rsidR="003251A7" w:rsidRPr="00734A50">
        <w:rPr>
          <w:lang w:eastAsia="en-AU"/>
        </w:rPr>
        <w:t>), but there is still more to do.</w:t>
      </w:r>
      <w:r w:rsidR="00D553AB" w:rsidRPr="00734A50">
        <w:rPr>
          <w:lang w:eastAsia="en-AU"/>
        </w:rPr>
        <w:t xml:space="preserve"> This is part of a broad reform effort by governments to </w:t>
      </w:r>
      <w:r w:rsidR="00AE7810" w:rsidRPr="00734A50">
        <w:rPr>
          <w:lang w:eastAsia="en-AU"/>
        </w:rPr>
        <w:t xml:space="preserve">improve schooling and ITE. </w:t>
      </w:r>
    </w:p>
    <w:p w14:paraId="36E98C18" w14:textId="3AA7A51F" w:rsidR="00230A95" w:rsidRPr="00734A50" w:rsidRDefault="00230A95" w:rsidP="00230A95">
      <w:pPr>
        <w:rPr>
          <w:lang w:eastAsia="en-AU"/>
        </w:rPr>
      </w:pPr>
      <w:r w:rsidRPr="00734A50">
        <w:rPr>
          <w:lang w:eastAsia="en-AU"/>
        </w:rPr>
        <w:t>This report of the Teacher Education Expert Panel (the Panel) addresses</w:t>
      </w:r>
      <w:r w:rsidR="00706756" w:rsidRPr="00734A50">
        <w:rPr>
          <w:lang w:eastAsia="en-AU"/>
        </w:rPr>
        <w:t xml:space="preserve"> two questions</w:t>
      </w:r>
      <w:r w:rsidRPr="00734A50" w:rsidDel="006964B3">
        <w:rPr>
          <w:lang w:eastAsia="en-AU"/>
        </w:rPr>
        <w:t xml:space="preserve">: </w:t>
      </w:r>
      <w:r w:rsidRPr="00734A50">
        <w:rPr>
          <w:lang w:eastAsia="en-AU"/>
        </w:rPr>
        <w:t xml:space="preserve">how </w:t>
      </w:r>
      <w:r w:rsidR="006964B3" w:rsidRPr="00734A50">
        <w:rPr>
          <w:lang w:eastAsia="en-AU"/>
        </w:rPr>
        <w:t xml:space="preserve">to </w:t>
      </w:r>
      <w:r w:rsidRPr="00734A50">
        <w:rPr>
          <w:lang w:eastAsia="en-AU"/>
        </w:rPr>
        <w:t xml:space="preserve">attract high-quality candidates into ITE and </w:t>
      </w:r>
      <w:r w:rsidR="2DFFD8C4" w:rsidRPr="00734A50">
        <w:rPr>
          <w:lang w:eastAsia="en-AU"/>
        </w:rPr>
        <w:t xml:space="preserve">how to </w:t>
      </w:r>
      <w:r w:rsidRPr="00734A50">
        <w:rPr>
          <w:lang w:eastAsia="en-AU"/>
        </w:rPr>
        <w:t>best prepare them for long, successful and rewarding careers</w:t>
      </w:r>
      <w:r w:rsidR="25E38B0D" w:rsidRPr="00734A50">
        <w:rPr>
          <w:lang w:eastAsia="en-AU"/>
        </w:rPr>
        <w:t>.</w:t>
      </w:r>
    </w:p>
    <w:p w14:paraId="38B052FB" w14:textId="2119FB84" w:rsidR="00230A95" w:rsidRPr="00734A50" w:rsidRDefault="00230A95" w:rsidP="00230A95">
      <w:pPr>
        <w:rPr>
          <w:lang w:eastAsia="en-AU"/>
        </w:rPr>
      </w:pPr>
      <w:r w:rsidRPr="00734A50">
        <w:rPr>
          <w:lang w:eastAsia="en-AU"/>
        </w:rPr>
        <w:lastRenderedPageBreak/>
        <w:t xml:space="preserve">Appointed by Australia’s Education Ministers, the Panel was tasked with examining ITE across four </w:t>
      </w:r>
      <w:r w:rsidR="00F3053A" w:rsidRPr="00734A50">
        <w:rPr>
          <w:lang w:eastAsia="en-AU"/>
        </w:rPr>
        <w:t xml:space="preserve">specific </w:t>
      </w:r>
      <w:r w:rsidRPr="00734A50">
        <w:rPr>
          <w:lang w:eastAsia="en-AU"/>
        </w:rPr>
        <w:t>areas</w:t>
      </w:r>
      <w:r w:rsidR="00FB4BDD" w:rsidRPr="00734A50">
        <w:rPr>
          <w:lang w:eastAsia="en-AU"/>
        </w:rPr>
        <w:t>,</w:t>
      </w:r>
      <w:r w:rsidRPr="00734A50">
        <w:rPr>
          <w:lang w:eastAsia="en-AU"/>
        </w:rPr>
        <w:t xml:space="preserve"> exploring how to strengthen ITE programs to deliver well-prepared beginner teachers; enhance the link between performance and funding of ITE; improve the quality of practical experience in teaching; and improve postgraduate ITE programs for mid-career entrants.</w:t>
      </w:r>
    </w:p>
    <w:p w14:paraId="2BF75322" w14:textId="5B8C172C" w:rsidR="00683AC9" w:rsidRPr="00734A50" w:rsidDel="00682A8A" w:rsidRDefault="006B1412" w:rsidP="008542DC">
      <w:pPr>
        <w:rPr>
          <w:lang w:eastAsia="en-AU"/>
        </w:rPr>
      </w:pPr>
      <w:r w:rsidRPr="00734A50">
        <w:rPr>
          <w:b/>
          <w:lang w:eastAsia="en-AU"/>
        </w:rPr>
        <w:t>There are</w:t>
      </w:r>
      <w:r w:rsidR="008542DC" w:rsidRPr="00734A50">
        <w:rPr>
          <w:b/>
          <w:lang w:eastAsia="en-AU"/>
        </w:rPr>
        <w:t xml:space="preserve"> </w:t>
      </w:r>
      <w:r w:rsidR="00435877" w:rsidRPr="00734A50">
        <w:rPr>
          <w:b/>
          <w:lang w:eastAsia="en-AU"/>
        </w:rPr>
        <w:t xml:space="preserve">great </w:t>
      </w:r>
      <w:r w:rsidR="008542DC" w:rsidRPr="00734A50">
        <w:rPr>
          <w:b/>
          <w:lang w:eastAsia="en-AU"/>
        </w:rPr>
        <w:t>teacher education programs nationwide</w:t>
      </w:r>
      <w:r w:rsidR="008542DC" w:rsidRPr="00734A50">
        <w:rPr>
          <w:lang w:eastAsia="en-AU"/>
        </w:rPr>
        <w:t xml:space="preserve">. Thousands of </w:t>
      </w:r>
      <w:r w:rsidR="00231C60" w:rsidRPr="00734A50">
        <w:rPr>
          <w:lang w:eastAsia="en-AU"/>
        </w:rPr>
        <w:t xml:space="preserve">dedicated </w:t>
      </w:r>
      <w:r w:rsidR="0017356E" w:rsidRPr="00734A50">
        <w:rPr>
          <w:lang w:eastAsia="en-AU"/>
        </w:rPr>
        <w:t xml:space="preserve">and confident </w:t>
      </w:r>
      <w:r w:rsidR="00231C60" w:rsidRPr="00734A50">
        <w:rPr>
          <w:lang w:eastAsia="en-AU"/>
        </w:rPr>
        <w:t>te</w:t>
      </w:r>
      <w:r w:rsidR="008542DC" w:rsidRPr="00734A50">
        <w:rPr>
          <w:lang w:eastAsia="en-AU"/>
        </w:rPr>
        <w:t>achers</w:t>
      </w:r>
      <w:r w:rsidR="00231C60" w:rsidRPr="00734A50">
        <w:rPr>
          <w:lang w:eastAsia="en-AU"/>
        </w:rPr>
        <w:t xml:space="preserve"> </w:t>
      </w:r>
      <w:r w:rsidR="008542DC" w:rsidRPr="00734A50">
        <w:rPr>
          <w:lang w:eastAsia="en-AU"/>
        </w:rPr>
        <w:t xml:space="preserve">have graduated from these programs and made fine starts </w:t>
      </w:r>
      <w:r w:rsidR="009526CE" w:rsidRPr="00734A50">
        <w:rPr>
          <w:lang w:eastAsia="en-AU"/>
        </w:rPr>
        <w:t xml:space="preserve">to </w:t>
      </w:r>
      <w:r w:rsidR="008542DC" w:rsidRPr="00734A50">
        <w:rPr>
          <w:lang w:eastAsia="en-AU"/>
        </w:rPr>
        <w:t>their careers</w:t>
      </w:r>
      <w:r w:rsidR="009526CE" w:rsidRPr="00734A50">
        <w:rPr>
          <w:lang w:eastAsia="en-AU"/>
        </w:rPr>
        <w:t xml:space="preserve"> in Australian schools</w:t>
      </w:r>
      <w:r w:rsidR="008542DC" w:rsidRPr="00734A50">
        <w:rPr>
          <w:lang w:eastAsia="en-AU"/>
        </w:rPr>
        <w:t>.</w:t>
      </w:r>
    </w:p>
    <w:p w14:paraId="61A345DC" w14:textId="77A5FC61" w:rsidR="00CC0ABC" w:rsidRPr="00734A50" w:rsidRDefault="00CC0ABC" w:rsidP="00CC0ABC">
      <w:pPr>
        <w:rPr>
          <w:lang w:eastAsia="en-AU"/>
        </w:rPr>
      </w:pPr>
      <w:r w:rsidRPr="00734A50">
        <w:rPr>
          <w:b/>
          <w:bCs/>
          <w:lang w:eastAsia="en-AU"/>
        </w:rPr>
        <w:t xml:space="preserve">But too many beginning teachers have reported that they felt they needed to be </w:t>
      </w:r>
      <w:r w:rsidR="00A662D2" w:rsidRPr="00734A50">
        <w:rPr>
          <w:b/>
          <w:bCs/>
          <w:lang w:eastAsia="en-AU"/>
        </w:rPr>
        <w:t>better</w:t>
      </w:r>
      <w:r w:rsidRPr="00734A50">
        <w:rPr>
          <w:b/>
          <w:bCs/>
          <w:lang w:eastAsia="en-AU"/>
        </w:rPr>
        <w:t xml:space="preserve"> equipped </w:t>
      </w:r>
      <w:r w:rsidRPr="00734A50">
        <w:rPr>
          <w:lang w:eastAsia="en-AU"/>
        </w:rPr>
        <w:t>for the challenges they faced in the classroom</w:t>
      </w:r>
      <w:r w:rsidR="00C01059" w:rsidRPr="00734A50">
        <w:rPr>
          <w:lang w:eastAsia="en-AU"/>
        </w:rPr>
        <w:t xml:space="preserve"> on</w:t>
      </w:r>
      <w:r w:rsidRPr="00734A50">
        <w:rPr>
          <w:lang w:eastAsia="en-AU"/>
        </w:rPr>
        <w:t xml:space="preserve"> starting their teaching careers. </w:t>
      </w:r>
      <w:r w:rsidR="5D38C6EA" w:rsidRPr="00734A50">
        <w:rPr>
          <w:lang w:eastAsia="en-AU"/>
        </w:rPr>
        <w:t>S</w:t>
      </w:r>
      <w:r w:rsidRPr="00734A50">
        <w:rPr>
          <w:lang w:eastAsia="en-AU"/>
        </w:rPr>
        <w:t xml:space="preserve">adly, too many fail to complete their studies or stay in the profession long enough to flourish. Nearly four in </w:t>
      </w:r>
      <w:r w:rsidR="00C01059" w:rsidRPr="00734A50">
        <w:rPr>
          <w:lang w:eastAsia="en-AU"/>
        </w:rPr>
        <w:t xml:space="preserve">10 </w:t>
      </w:r>
      <w:r w:rsidRPr="00734A50">
        <w:rPr>
          <w:lang w:eastAsia="en-AU"/>
        </w:rPr>
        <w:t>ITE students leave their course within six years of commencing their degree and around one in five beginning teachers leave</w:t>
      </w:r>
      <w:r w:rsidR="00C01059" w:rsidRPr="00734A50">
        <w:rPr>
          <w:lang w:eastAsia="en-AU"/>
        </w:rPr>
        <w:t>s</w:t>
      </w:r>
      <w:r w:rsidRPr="00734A50">
        <w:rPr>
          <w:lang w:eastAsia="en-AU"/>
        </w:rPr>
        <w:t xml:space="preserve"> within the first three years of entering the teaching profession.</w:t>
      </w:r>
      <w:r w:rsidR="00C65246" w:rsidRPr="00734A50">
        <w:rPr>
          <w:rStyle w:val="FootnoteReference"/>
          <w:lang w:eastAsia="en-AU"/>
        </w:rPr>
        <w:footnoteReference w:id="4"/>
      </w:r>
    </w:p>
    <w:p w14:paraId="06B85116" w14:textId="39AF1BF4" w:rsidR="00F20EA8" w:rsidRPr="00734A50" w:rsidRDefault="00F20EA8" w:rsidP="00CC0ABC">
      <w:pPr>
        <w:rPr>
          <w:b/>
          <w:bCs/>
          <w:color w:val="000000"/>
          <w:shd w:val="clear" w:color="auto" w:fill="FFFFFF"/>
        </w:rPr>
      </w:pPr>
      <w:r w:rsidRPr="00734A50">
        <w:rPr>
          <w:b/>
          <w:lang w:eastAsia="en-AU"/>
        </w:rPr>
        <w:t>The Panel’s recommendations focus on ITE students learning and applying the teaching practices that work best</w:t>
      </w:r>
      <w:r w:rsidRPr="00734A50">
        <w:rPr>
          <w:bCs/>
          <w:lang w:eastAsia="en-AU"/>
        </w:rPr>
        <w:t>,</w:t>
      </w:r>
      <w:r w:rsidRPr="00734A50">
        <w:rPr>
          <w:lang w:eastAsia="en-AU"/>
        </w:rPr>
        <w:t xml:space="preserve"> delivering high-quality practical experience for all ITE students</w:t>
      </w:r>
      <w:r w:rsidR="005A66AE" w:rsidRPr="00734A50">
        <w:rPr>
          <w:lang w:eastAsia="en-AU"/>
        </w:rPr>
        <w:t xml:space="preserve">, </w:t>
      </w:r>
      <w:r w:rsidRPr="00734A50">
        <w:rPr>
          <w:lang w:eastAsia="en-AU"/>
        </w:rPr>
        <w:t>attracting more mid-career teachers</w:t>
      </w:r>
      <w:r w:rsidR="005A66AE" w:rsidRPr="00734A50">
        <w:rPr>
          <w:lang w:eastAsia="en-AU"/>
        </w:rPr>
        <w:t>,</w:t>
      </w:r>
      <w:r w:rsidR="00894931" w:rsidRPr="00734A50">
        <w:rPr>
          <w:lang w:eastAsia="en-AU"/>
        </w:rPr>
        <w:t xml:space="preserve"> and</w:t>
      </w:r>
      <w:r w:rsidR="00C63BE8" w:rsidRPr="00734A50">
        <w:rPr>
          <w:lang w:eastAsia="en-AU"/>
        </w:rPr>
        <w:t xml:space="preserve"> strengthening the accreditation</w:t>
      </w:r>
      <w:r w:rsidR="005A66AE" w:rsidRPr="00734A50">
        <w:rPr>
          <w:lang w:eastAsia="en-AU"/>
        </w:rPr>
        <w:t xml:space="preserve"> </w:t>
      </w:r>
      <w:r w:rsidR="00C63BE8" w:rsidRPr="00734A50">
        <w:rPr>
          <w:lang w:eastAsia="en-AU"/>
        </w:rPr>
        <w:t xml:space="preserve">and </w:t>
      </w:r>
      <w:r w:rsidR="001A78DF" w:rsidRPr="00734A50">
        <w:rPr>
          <w:lang w:eastAsia="en-AU"/>
        </w:rPr>
        <w:t xml:space="preserve">monitoring the quality </w:t>
      </w:r>
      <w:r w:rsidR="005A66AE" w:rsidRPr="00734A50">
        <w:rPr>
          <w:lang w:eastAsia="en-AU"/>
        </w:rPr>
        <w:t>of ITE programs</w:t>
      </w:r>
      <w:r w:rsidRPr="00734A50">
        <w:rPr>
          <w:lang w:eastAsia="en-AU"/>
        </w:rPr>
        <w:t>.</w:t>
      </w:r>
      <w:r w:rsidR="00316DA9" w:rsidRPr="00734A50">
        <w:rPr>
          <w:lang w:eastAsia="en-AU"/>
        </w:rPr>
        <w:t xml:space="preserve"> In developing </w:t>
      </w:r>
      <w:r w:rsidR="00EA642B" w:rsidRPr="00734A50">
        <w:rPr>
          <w:lang w:eastAsia="en-AU"/>
        </w:rPr>
        <w:t xml:space="preserve">its </w:t>
      </w:r>
      <w:r w:rsidR="00316DA9" w:rsidRPr="00734A50">
        <w:rPr>
          <w:lang w:eastAsia="en-AU"/>
        </w:rPr>
        <w:t xml:space="preserve">recommendations, the Panel consulted widely with key stakeholders, listening to feedback on </w:t>
      </w:r>
      <w:r w:rsidR="00C01059" w:rsidRPr="00734A50">
        <w:rPr>
          <w:lang w:eastAsia="en-AU"/>
        </w:rPr>
        <w:t xml:space="preserve">its </w:t>
      </w:r>
      <w:r w:rsidR="00316DA9" w:rsidRPr="00734A50">
        <w:rPr>
          <w:lang w:eastAsia="en-AU"/>
        </w:rPr>
        <w:t>Discussion Paper and considering 115 submissions from across the country.</w:t>
      </w:r>
    </w:p>
    <w:p w14:paraId="4FBC042E" w14:textId="3A8BE09A" w:rsidR="00CC0ABC" w:rsidRPr="00734A50" w:rsidRDefault="00CC0ABC" w:rsidP="00CC0ABC">
      <w:pPr>
        <w:rPr>
          <w:color w:val="000000"/>
          <w:shd w:val="clear" w:color="auto" w:fill="FFFFFF"/>
        </w:rPr>
      </w:pPr>
      <w:r w:rsidRPr="00734A50">
        <w:rPr>
          <w:b/>
          <w:bCs/>
          <w:color w:val="000000"/>
          <w:shd w:val="clear" w:color="auto" w:fill="FFFFFF"/>
        </w:rPr>
        <w:t>By ensuring all ITE students learn and can apply the teaching practices that work best, beginning teachers will be better prepared for the classroom and more likely to stay in teaching</w:t>
      </w:r>
      <w:r w:rsidR="00C01059" w:rsidRPr="00734A50">
        <w:rPr>
          <w:color w:val="000000"/>
          <w:shd w:val="clear" w:color="auto" w:fill="FFFFFF"/>
        </w:rPr>
        <w:t>.</w:t>
      </w:r>
      <w:r w:rsidRPr="00734A50">
        <w:rPr>
          <w:rStyle w:val="FootnoteReference"/>
          <w:color w:val="000000"/>
          <w:shd w:val="clear" w:color="auto" w:fill="FFFFFF"/>
        </w:rPr>
        <w:footnoteReference w:id="5"/>
      </w:r>
      <w:r w:rsidRPr="00734A50">
        <w:rPr>
          <w:color w:val="000000"/>
          <w:shd w:val="clear" w:color="auto" w:fill="FFFFFF"/>
        </w:rPr>
        <w:t xml:space="preserve"> </w:t>
      </w:r>
      <w:r w:rsidRPr="00734A50">
        <w:t>Access to high-quality practical experience will mean ITE student</w:t>
      </w:r>
      <w:r w:rsidR="008B1E1D" w:rsidRPr="00734A50">
        <w:t xml:space="preserve">s </w:t>
      </w:r>
      <w:r w:rsidRPr="00734A50">
        <w:rPr>
          <w:lang w:val="en-US"/>
        </w:rPr>
        <w:t>are more likely to complete ITE; make a successful transition to teaching; and stay in teaching for the long</w:t>
      </w:r>
      <w:r w:rsidR="00C01059" w:rsidRPr="00734A50">
        <w:rPr>
          <w:lang w:val="en-US"/>
        </w:rPr>
        <w:t xml:space="preserve"> </w:t>
      </w:r>
      <w:r w:rsidRPr="00734A50">
        <w:rPr>
          <w:lang w:val="en-US"/>
        </w:rPr>
        <w:t>term</w:t>
      </w:r>
      <w:r w:rsidR="008A1D1D" w:rsidRPr="00734A50">
        <w:rPr>
          <w:lang w:val="en-US"/>
        </w:rPr>
        <w:t>.</w:t>
      </w:r>
      <w:r w:rsidR="00542C6D" w:rsidRPr="00734A50">
        <w:rPr>
          <w:rStyle w:val="FootnoteReference"/>
          <w:lang w:val="en-US"/>
        </w:rPr>
        <w:footnoteReference w:id="6"/>
      </w:r>
      <w:r w:rsidRPr="00734A50">
        <w:rPr>
          <w:color w:val="000000"/>
          <w:shd w:val="clear" w:color="auto" w:fill="FFFFFF"/>
        </w:rPr>
        <w:t xml:space="preserve"> Improving ITE to attract new teachers with considerable professional and life experience will also contribute to the quality of our teacher workforce.</w:t>
      </w:r>
      <w:r w:rsidR="009000C4" w:rsidRPr="00734A50">
        <w:rPr>
          <w:color w:val="000000"/>
          <w:shd w:val="clear" w:color="auto" w:fill="FFFFFF"/>
        </w:rPr>
        <w:t xml:space="preserve"> Strengthening </w:t>
      </w:r>
      <w:r w:rsidR="005763E7" w:rsidRPr="00734A50">
        <w:rPr>
          <w:color w:val="000000"/>
          <w:shd w:val="clear" w:color="auto" w:fill="FFFFFF"/>
        </w:rPr>
        <w:t xml:space="preserve">accreditation </w:t>
      </w:r>
      <w:r w:rsidR="00835192" w:rsidRPr="00734A50">
        <w:rPr>
          <w:color w:val="000000"/>
          <w:shd w:val="clear" w:color="auto" w:fill="FFFFFF"/>
        </w:rPr>
        <w:t xml:space="preserve">will mean there is </w:t>
      </w:r>
      <w:r w:rsidR="008C21FA" w:rsidRPr="00734A50">
        <w:rPr>
          <w:color w:val="000000"/>
          <w:shd w:val="clear" w:color="auto" w:fill="FFFFFF"/>
        </w:rPr>
        <w:t>greater consistency in ITE program</w:t>
      </w:r>
      <w:r w:rsidR="006727EC" w:rsidRPr="00734A50">
        <w:rPr>
          <w:color w:val="000000"/>
          <w:shd w:val="clear" w:color="auto" w:fill="FFFFFF"/>
        </w:rPr>
        <w:t xml:space="preserve">s </w:t>
      </w:r>
      <w:r w:rsidR="008C21FA" w:rsidRPr="00734A50">
        <w:rPr>
          <w:color w:val="000000"/>
          <w:shd w:val="clear" w:color="auto" w:fill="FFFFFF"/>
        </w:rPr>
        <w:t xml:space="preserve">and </w:t>
      </w:r>
      <w:r w:rsidR="009E467B" w:rsidRPr="00734A50">
        <w:rPr>
          <w:color w:val="000000"/>
          <w:shd w:val="clear" w:color="auto" w:fill="FFFFFF"/>
        </w:rPr>
        <w:t xml:space="preserve">will put in place </w:t>
      </w:r>
      <w:r w:rsidR="005C0F18" w:rsidRPr="00734A50">
        <w:rPr>
          <w:color w:val="000000"/>
          <w:shd w:val="clear" w:color="auto" w:fill="FFFFFF"/>
        </w:rPr>
        <w:t>a systematic approach</w:t>
      </w:r>
      <w:r w:rsidR="006727EC" w:rsidRPr="00734A50">
        <w:rPr>
          <w:color w:val="000000"/>
          <w:shd w:val="clear" w:color="auto" w:fill="FFFFFF"/>
        </w:rPr>
        <w:t xml:space="preserve"> to </w:t>
      </w:r>
      <w:r w:rsidR="00A12116" w:rsidRPr="00A12116">
        <w:rPr>
          <w:color w:val="000000"/>
          <w:shd w:val="clear" w:color="auto" w:fill="FFFFFF"/>
        </w:rPr>
        <w:t>assessing and improving the quality, consistency and outcomes of ITE programs</w:t>
      </w:r>
      <w:r w:rsidR="0078797E" w:rsidRPr="00734A50">
        <w:rPr>
          <w:color w:val="000000"/>
          <w:shd w:val="clear" w:color="auto" w:fill="FFFFFF"/>
        </w:rPr>
        <w:t>.</w:t>
      </w:r>
    </w:p>
    <w:p w14:paraId="48E11248" w14:textId="123D0B7C" w:rsidR="009F7822" w:rsidRPr="00734A50" w:rsidRDefault="00CC0ABC" w:rsidP="001622B5">
      <w:pPr>
        <w:rPr>
          <w:lang w:eastAsia="en-AU"/>
        </w:rPr>
      </w:pPr>
      <w:r w:rsidRPr="00734A50">
        <w:rPr>
          <w:b/>
          <w:bCs/>
          <w:lang w:eastAsia="en-AU"/>
        </w:rPr>
        <w:t xml:space="preserve">The </w:t>
      </w:r>
      <w:r w:rsidR="00C23ACB" w:rsidRPr="00734A50">
        <w:rPr>
          <w:b/>
          <w:bCs/>
          <w:lang w:eastAsia="en-AU"/>
        </w:rPr>
        <w:t>Panel’s</w:t>
      </w:r>
      <w:r w:rsidRPr="00734A50">
        <w:rPr>
          <w:b/>
          <w:bCs/>
          <w:lang w:eastAsia="en-AU"/>
        </w:rPr>
        <w:t xml:space="preserve"> recommendations will </w:t>
      </w:r>
      <w:r w:rsidR="00947ED3" w:rsidRPr="00734A50">
        <w:rPr>
          <w:b/>
          <w:bCs/>
          <w:lang w:eastAsia="en-AU"/>
        </w:rPr>
        <w:t>support</w:t>
      </w:r>
      <w:r w:rsidRPr="00734A50">
        <w:rPr>
          <w:b/>
          <w:bCs/>
          <w:lang w:eastAsia="en-AU"/>
        </w:rPr>
        <w:t xml:space="preserve"> more ITE students </w:t>
      </w:r>
      <w:r w:rsidR="007418E2" w:rsidRPr="00734A50">
        <w:rPr>
          <w:b/>
          <w:bCs/>
          <w:lang w:eastAsia="en-AU"/>
        </w:rPr>
        <w:t>to</w:t>
      </w:r>
      <w:r w:rsidRPr="00734A50">
        <w:rPr>
          <w:b/>
          <w:bCs/>
          <w:lang w:eastAsia="en-AU"/>
        </w:rPr>
        <w:t xml:space="preserve"> successfully </w:t>
      </w:r>
      <w:r w:rsidR="00991897" w:rsidRPr="00734A50">
        <w:rPr>
          <w:b/>
          <w:bCs/>
          <w:lang w:eastAsia="en-AU"/>
        </w:rPr>
        <w:t xml:space="preserve">graduate </w:t>
      </w:r>
      <w:r w:rsidR="00991897" w:rsidRPr="00734A50">
        <w:rPr>
          <w:lang w:eastAsia="en-AU"/>
        </w:rPr>
        <w:t>and</w:t>
      </w:r>
      <w:r w:rsidRPr="00734A50">
        <w:rPr>
          <w:lang w:eastAsia="en-AU"/>
        </w:rPr>
        <w:t xml:space="preserve"> </w:t>
      </w:r>
      <w:r w:rsidR="00BD7B6B" w:rsidRPr="00734A50">
        <w:rPr>
          <w:lang w:eastAsia="en-AU"/>
        </w:rPr>
        <w:t xml:space="preserve">will </w:t>
      </w:r>
      <w:r w:rsidRPr="00734A50">
        <w:rPr>
          <w:lang w:eastAsia="en-AU"/>
        </w:rPr>
        <w:t>support a smoother transition into the profession. This will be a crucial contributor to addressing the ongoing challenges in staffing the nation’s classrooms.</w:t>
      </w:r>
      <w:r w:rsidR="001622B5" w:rsidRPr="00734A50">
        <w:rPr>
          <w:lang w:eastAsia="en-AU"/>
        </w:rPr>
        <w:t xml:space="preserve"> </w:t>
      </w:r>
      <w:r w:rsidR="008D0F7C" w:rsidRPr="00734A50">
        <w:rPr>
          <w:lang w:eastAsia="en-AU"/>
        </w:rPr>
        <w:t xml:space="preserve">A </w:t>
      </w:r>
      <w:r w:rsidR="00D30DE0" w:rsidRPr="00734A50">
        <w:rPr>
          <w:lang w:eastAsia="en-AU"/>
        </w:rPr>
        <w:t xml:space="preserve">one </w:t>
      </w:r>
      <w:r w:rsidR="00707091" w:rsidRPr="00734A50">
        <w:rPr>
          <w:lang w:eastAsia="en-AU"/>
        </w:rPr>
        <w:t>percentage point</w:t>
      </w:r>
      <w:r w:rsidR="008D0F7C" w:rsidRPr="00734A50">
        <w:rPr>
          <w:lang w:eastAsia="en-AU"/>
        </w:rPr>
        <w:t xml:space="preserve"> </w:t>
      </w:r>
      <w:r w:rsidR="009A5303" w:rsidRPr="00734A50">
        <w:rPr>
          <w:lang w:eastAsia="en-AU"/>
        </w:rPr>
        <w:t>uplift</w:t>
      </w:r>
      <w:r w:rsidR="008D0F7C" w:rsidRPr="00734A50">
        <w:rPr>
          <w:lang w:eastAsia="en-AU"/>
        </w:rPr>
        <w:t xml:space="preserve"> in ITE retention rates would </w:t>
      </w:r>
      <w:r w:rsidR="00E97BF8" w:rsidRPr="00734A50">
        <w:rPr>
          <w:lang w:eastAsia="en-AU"/>
        </w:rPr>
        <w:t xml:space="preserve">result in nearly </w:t>
      </w:r>
      <w:r w:rsidR="00554B1C" w:rsidRPr="00734A50">
        <w:rPr>
          <w:lang w:eastAsia="en-AU"/>
        </w:rPr>
        <w:t xml:space="preserve">three hundred </w:t>
      </w:r>
      <w:r w:rsidR="00E97BF8" w:rsidRPr="00734A50">
        <w:rPr>
          <w:lang w:eastAsia="en-AU"/>
        </w:rPr>
        <w:t xml:space="preserve">more </w:t>
      </w:r>
      <w:r w:rsidR="00D144DB" w:rsidRPr="00734A50">
        <w:rPr>
          <w:lang w:eastAsia="en-AU"/>
        </w:rPr>
        <w:t>teaching</w:t>
      </w:r>
      <w:r w:rsidR="00E97BF8" w:rsidRPr="00734A50">
        <w:rPr>
          <w:lang w:eastAsia="en-AU"/>
        </w:rPr>
        <w:t xml:space="preserve"> </w:t>
      </w:r>
      <w:r w:rsidR="00D30DE0" w:rsidRPr="00734A50">
        <w:rPr>
          <w:lang w:eastAsia="en-AU"/>
        </w:rPr>
        <w:t>graduates</w:t>
      </w:r>
      <w:r w:rsidR="00E97BF8" w:rsidRPr="00734A50">
        <w:rPr>
          <w:lang w:eastAsia="en-AU"/>
        </w:rPr>
        <w:t xml:space="preserve"> a year</w:t>
      </w:r>
      <w:r w:rsidR="00535398" w:rsidRPr="00734A50">
        <w:rPr>
          <w:lang w:eastAsia="en-AU"/>
        </w:rPr>
        <w:t>,</w:t>
      </w:r>
      <w:r w:rsidR="00E97BF8" w:rsidRPr="00734A50">
        <w:rPr>
          <w:lang w:eastAsia="en-AU"/>
        </w:rPr>
        <w:t xml:space="preserve"> </w:t>
      </w:r>
      <w:r w:rsidR="00D30DE0" w:rsidRPr="00734A50">
        <w:rPr>
          <w:lang w:eastAsia="en-AU"/>
        </w:rPr>
        <w:t xml:space="preserve">while </w:t>
      </w:r>
      <w:r w:rsidR="00E97BF8" w:rsidRPr="00734A50">
        <w:rPr>
          <w:lang w:eastAsia="en-AU"/>
        </w:rPr>
        <w:t xml:space="preserve">a </w:t>
      </w:r>
      <w:r w:rsidR="00BD7B6B" w:rsidRPr="00734A50">
        <w:rPr>
          <w:lang w:eastAsia="en-AU"/>
        </w:rPr>
        <w:t xml:space="preserve">10 </w:t>
      </w:r>
      <w:r w:rsidR="00D30DE0" w:rsidRPr="00734A50">
        <w:rPr>
          <w:lang w:eastAsia="en-AU"/>
        </w:rPr>
        <w:t>percentage point</w:t>
      </w:r>
      <w:r w:rsidR="00E97BF8" w:rsidRPr="00734A50">
        <w:rPr>
          <w:lang w:eastAsia="en-AU"/>
        </w:rPr>
        <w:t xml:space="preserve"> </w:t>
      </w:r>
      <w:r w:rsidR="00595709" w:rsidRPr="00734A50">
        <w:rPr>
          <w:lang w:eastAsia="en-AU"/>
        </w:rPr>
        <w:t>uplift</w:t>
      </w:r>
      <w:r w:rsidR="00E97BF8" w:rsidRPr="00734A50">
        <w:rPr>
          <w:lang w:eastAsia="en-AU"/>
        </w:rPr>
        <w:t xml:space="preserve"> would result in</w:t>
      </w:r>
      <w:r w:rsidR="000D4345" w:rsidRPr="00734A50">
        <w:rPr>
          <w:lang w:eastAsia="en-AU"/>
        </w:rPr>
        <w:t xml:space="preserve"> nearly </w:t>
      </w:r>
      <w:r w:rsidR="00A33B44" w:rsidRPr="00734A50">
        <w:rPr>
          <w:lang w:eastAsia="en-AU"/>
        </w:rPr>
        <w:t>three thousand</w:t>
      </w:r>
      <w:r w:rsidR="000D4345" w:rsidRPr="00734A50">
        <w:rPr>
          <w:lang w:eastAsia="en-AU"/>
        </w:rPr>
        <w:t xml:space="preserve"> </w:t>
      </w:r>
      <w:r w:rsidR="000E6528" w:rsidRPr="00734A50">
        <w:rPr>
          <w:lang w:eastAsia="en-AU"/>
        </w:rPr>
        <w:t>additional</w:t>
      </w:r>
      <w:r w:rsidR="000D4345" w:rsidRPr="00734A50">
        <w:rPr>
          <w:lang w:eastAsia="en-AU"/>
        </w:rPr>
        <w:t xml:space="preserve"> </w:t>
      </w:r>
      <w:r w:rsidR="00615D4E" w:rsidRPr="00734A50">
        <w:rPr>
          <w:lang w:eastAsia="en-AU"/>
        </w:rPr>
        <w:t>graduates</w:t>
      </w:r>
      <w:r w:rsidR="000D4345" w:rsidRPr="00734A50">
        <w:rPr>
          <w:lang w:eastAsia="en-AU"/>
        </w:rPr>
        <w:t>.</w:t>
      </w:r>
      <w:r w:rsidR="00CF02F6" w:rsidRPr="00734A50">
        <w:rPr>
          <w:lang w:eastAsia="en-AU"/>
        </w:rPr>
        <w:t xml:space="preserve"> Similarly, a one percentage point reduction in early career attrition would result in over </w:t>
      </w:r>
      <w:r w:rsidR="00A33B44" w:rsidRPr="00734A50">
        <w:rPr>
          <w:lang w:eastAsia="en-AU"/>
        </w:rPr>
        <w:t xml:space="preserve">one hundred </w:t>
      </w:r>
      <w:r w:rsidR="00872079" w:rsidRPr="00734A50">
        <w:rPr>
          <w:lang w:eastAsia="en-AU"/>
        </w:rPr>
        <w:t>more beginning teachers</w:t>
      </w:r>
      <w:r w:rsidR="00CC49B2" w:rsidRPr="00734A50">
        <w:rPr>
          <w:lang w:eastAsia="en-AU"/>
        </w:rPr>
        <w:t xml:space="preserve"> a year</w:t>
      </w:r>
      <w:r w:rsidR="00872079" w:rsidRPr="00734A50">
        <w:rPr>
          <w:lang w:eastAsia="en-AU"/>
        </w:rPr>
        <w:t xml:space="preserve">, while a 10 percentage point reduction would result in over </w:t>
      </w:r>
      <w:r w:rsidR="00A33B44" w:rsidRPr="00734A50">
        <w:rPr>
          <w:lang w:eastAsia="en-AU"/>
        </w:rPr>
        <w:t>one thousand</w:t>
      </w:r>
      <w:r w:rsidR="00872079" w:rsidRPr="00734A50">
        <w:rPr>
          <w:lang w:eastAsia="en-AU"/>
        </w:rPr>
        <w:t xml:space="preserve"> additional beginning teachers.</w:t>
      </w:r>
      <w:r w:rsidR="00F36E8D" w:rsidRPr="00734A50">
        <w:rPr>
          <w:rStyle w:val="FootnoteReference"/>
          <w:lang w:eastAsia="en-AU"/>
        </w:rPr>
        <w:footnoteReference w:id="7"/>
      </w:r>
      <w:r w:rsidR="00872079" w:rsidRPr="00734A50">
        <w:rPr>
          <w:lang w:eastAsia="en-AU"/>
        </w:rPr>
        <w:t xml:space="preserve"> </w:t>
      </w:r>
    </w:p>
    <w:p w14:paraId="43ED0A37" w14:textId="77777777" w:rsidR="00CC0ABC" w:rsidRPr="00734A50" w:rsidRDefault="00CC0ABC" w:rsidP="00CC0ABC">
      <w:pPr>
        <w:rPr>
          <w:lang w:eastAsia="en-AU"/>
        </w:rPr>
      </w:pPr>
      <w:r w:rsidRPr="00734A50">
        <w:rPr>
          <w:b/>
          <w:bCs/>
          <w:lang w:eastAsia="en-AU"/>
        </w:rPr>
        <w:lastRenderedPageBreak/>
        <w:t>The Panel recognises that the ITE landscape is complex and there are currently limited incentives to improve the quality and consistency of ITE</w:t>
      </w:r>
      <w:r w:rsidRPr="00734A50">
        <w:rPr>
          <w:lang w:eastAsia="en-AU"/>
        </w:rPr>
        <w:t>. There is no single body or government with sole responsibility or accountability for ITE. Various players are responsible for different aspects of funding and delivery, including governments, regulatory authorities, higher education providers, schools and school systems and teachers themselves.</w:t>
      </w:r>
    </w:p>
    <w:p w14:paraId="14BC6964" w14:textId="0E20A04E" w:rsidR="006A7888" w:rsidRPr="00734A50" w:rsidRDefault="00535398" w:rsidP="006A7888">
      <w:pPr>
        <w:rPr>
          <w:rFonts w:ascii="Calibri" w:eastAsia="Calibri" w:hAnsi="Calibri" w:cs="Calibri"/>
        </w:rPr>
      </w:pPr>
      <w:r w:rsidRPr="00734A50">
        <w:rPr>
          <w:rFonts w:ascii="Calibri" w:eastAsia="Calibri" w:hAnsi="Calibri" w:cs="Calibri"/>
        </w:rPr>
        <w:t>Increasing the</w:t>
      </w:r>
      <w:r w:rsidR="006A7888" w:rsidRPr="00734A50">
        <w:rPr>
          <w:rFonts w:ascii="Calibri" w:eastAsia="Calibri" w:hAnsi="Calibri" w:cs="Calibri"/>
        </w:rPr>
        <w:t xml:space="preserve"> ability of, and incentive for, higher education providers to</w:t>
      </w:r>
      <w:r w:rsidR="00E51E14" w:rsidRPr="00734A50">
        <w:rPr>
          <w:rFonts w:ascii="Calibri" w:eastAsia="Calibri" w:hAnsi="Calibri" w:cs="Calibri"/>
        </w:rPr>
        <w:t xml:space="preserve"> further</w:t>
      </w:r>
      <w:r w:rsidR="006A7888" w:rsidRPr="00734A50">
        <w:rPr>
          <w:rFonts w:ascii="Calibri" w:eastAsia="Calibri" w:hAnsi="Calibri" w:cs="Calibri"/>
        </w:rPr>
        <w:t xml:space="preserve"> invest in ITE</w:t>
      </w:r>
      <w:r w:rsidRPr="00734A50">
        <w:rPr>
          <w:rFonts w:ascii="Calibri" w:eastAsia="Calibri" w:hAnsi="Calibri" w:cs="Calibri"/>
        </w:rPr>
        <w:t xml:space="preserve"> </w:t>
      </w:r>
      <w:r w:rsidR="003A1F50" w:rsidRPr="00734A50">
        <w:rPr>
          <w:rFonts w:ascii="Calibri" w:eastAsia="Calibri" w:hAnsi="Calibri" w:cs="Calibri"/>
        </w:rPr>
        <w:t xml:space="preserve">to </w:t>
      </w:r>
      <w:r w:rsidR="006A7888" w:rsidRPr="00734A50">
        <w:rPr>
          <w:rFonts w:ascii="Calibri" w:eastAsia="Calibri" w:hAnsi="Calibri" w:cs="Calibri"/>
        </w:rPr>
        <w:t xml:space="preserve">increase the number of ITE students and </w:t>
      </w:r>
      <w:r w:rsidR="00E72B49" w:rsidRPr="00734A50">
        <w:rPr>
          <w:rFonts w:ascii="Calibri" w:eastAsia="Calibri" w:hAnsi="Calibri" w:cs="Calibri"/>
        </w:rPr>
        <w:t xml:space="preserve">improve </w:t>
      </w:r>
      <w:r w:rsidR="006A7888" w:rsidRPr="00734A50">
        <w:rPr>
          <w:rFonts w:ascii="Calibri" w:eastAsia="Calibri" w:hAnsi="Calibri" w:cs="Calibri"/>
        </w:rPr>
        <w:t xml:space="preserve">the quality of their </w:t>
      </w:r>
      <w:r w:rsidR="00F35248" w:rsidRPr="00734A50">
        <w:rPr>
          <w:rFonts w:ascii="Calibri" w:eastAsia="Calibri" w:hAnsi="Calibri" w:cs="Calibri"/>
        </w:rPr>
        <w:t>ITE programs</w:t>
      </w:r>
      <w:r w:rsidR="006A7888" w:rsidRPr="00734A50">
        <w:rPr>
          <w:rFonts w:ascii="Calibri" w:eastAsia="Calibri" w:hAnsi="Calibri" w:cs="Calibri"/>
        </w:rPr>
        <w:t xml:space="preserve"> is challenging. </w:t>
      </w:r>
      <w:r w:rsidR="005659FC" w:rsidRPr="00734A50">
        <w:rPr>
          <w:rFonts w:ascii="Calibri" w:eastAsia="Calibri" w:hAnsi="Calibri" w:cs="Calibri"/>
        </w:rPr>
        <w:t xml:space="preserve">Higher education providers are </w:t>
      </w:r>
      <w:r w:rsidR="0018243F" w:rsidRPr="00734A50">
        <w:rPr>
          <w:rFonts w:ascii="Calibri" w:eastAsia="Calibri" w:hAnsi="Calibri" w:cs="Calibri"/>
        </w:rPr>
        <w:t xml:space="preserve">struggling to deal with declining </w:t>
      </w:r>
      <w:r w:rsidR="002A72F3" w:rsidRPr="00734A50">
        <w:rPr>
          <w:rFonts w:ascii="Calibri" w:eastAsia="Calibri" w:hAnsi="Calibri" w:cs="Calibri"/>
        </w:rPr>
        <w:t xml:space="preserve">interest in ITE </w:t>
      </w:r>
      <w:r w:rsidR="006A7888" w:rsidRPr="00734A50">
        <w:rPr>
          <w:rFonts w:ascii="Calibri" w:eastAsia="Calibri" w:hAnsi="Calibri" w:cs="Calibri"/>
        </w:rPr>
        <w:t xml:space="preserve">programs, </w:t>
      </w:r>
      <w:r w:rsidR="00FF5A7D" w:rsidRPr="00734A50">
        <w:rPr>
          <w:rFonts w:ascii="Calibri" w:eastAsia="Calibri" w:hAnsi="Calibri" w:cs="Calibri"/>
        </w:rPr>
        <w:t>limited</w:t>
      </w:r>
      <w:r w:rsidR="006A7888" w:rsidRPr="00734A50">
        <w:rPr>
          <w:rFonts w:ascii="Calibri" w:eastAsia="Calibri" w:hAnsi="Calibri" w:cs="Calibri"/>
        </w:rPr>
        <w:t xml:space="preserve"> </w:t>
      </w:r>
      <w:r w:rsidR="002A72F3" w:rsidRPr="00734A50">
        <w:rPr>
          <w:rFonts w:ascii="Calibri" w:eastAsia="Calibri" w:hAnsi="Calibri" w:cs="Calibri"/>
        </w:rPr>
        <w:t xml:space="preserve">research </w:t>
      </w:r>
      <w:r w:rsidR="006A7888" w:rsidRPr="00734A50">
        <w:rPr>
          <w:rFonts w:ascii="Calibri" w:eastAsia="Calibri" w:hAnsi="Calibri" w:cs="Calibri"/>
        </w:rPr>
        <w:t>funding</w:t>
      </w:r>
      <w:r w:rsidR="00CC0ABC" w:rsidRPr="00734A50">
        <w:rPr>
          <w:rFonts w:ascii="Calibri" w:eastAsia="Calibri" w:hAnsi="Calibri" w:cs="Calibri"/>
        </w:rPr>
        <w:t>, few</w:t>
      </w:r>
      <w:r w:rsidR="006A7888" w:rsidRPr="00734A50">
        <w:rPr>
          <w:rFonts w:ascii="Calibri" w:eastAsia="Calibri" w:hAnsi="Calibri" w:cs="Calibri"/>
        </w:rPr>
        <w:t xml:space="preserve"> international student</w:t>
      </w:r>
      <w:r w:rsidR="002A72F3" w:rsidRPr="00734A50">
        <w:rPr>
          <w:rFonts w:ascii="Calibri" w:eastAsia="Calibri" w:hAnsi="Calibri" w:cs="Calibri"/>
        </w:rPr>
        <w:t>s</w:t>
      </w:r>
      <w:r w:rsidR="006A7888" w:rsidRPr="00734A50">
        <w:rPr>
          <w:rFonts w:ascii="Calibri" w:eastAsia="Calibri" w:hAnsi="Calibri" w:cs="Calibri"/>
        </w:rPr>
        <w:t xml:space="preserve"> and reduced </w:t>
      </w:r>
      <w:r w:rsidR="00CC0ABC" w:rsidRPr="00734A50">
        <w:rPr>
          <w:rFonts w:ascii="Calibri" w:eastAsia="Calibri" w:hAnsi="Calibri" w:cs="Calibri"/>
        </w:rPr>
        <w:t xml:space="preserve">overall </w:t>
      </w:r>
      <w:r w:rsidR="006A7888" w:rsidRPr="00734A50">
        <w:rPr>
          <w:rFonts w:ascii="Calibri" w:eastAsia="Calibri" w:hAnsi="Calibri" w:cs="Calibri"/>
        </w:rPr>
        <w:t xml:space="preserve">funding </w:t>
      </w:r>
      <w:r w:rsidR="00897396" w:rsidRPr="00734A50">
        <w:rPr>
          <w:rFonts w:ascii="Calibri" w:eastAsia="Calibri" w:hAnsi="Calibri" w:cs="Calibri"/>
        </w:rPr>
        <w:t>resulting from</w:t>
      </w:r>
      <w:r w:rsidR="006A7888" w:rsidRPr="00734A50">
        <w:rPr>
          <w:rFonts w:ascii="Calibri" w:eastAsia="Calibri" w:hAnsi="Calibri" w:cs="Calibri"/>
        </w:rPr>
        <w:t xml:space="preserve"> the Job Ready Graduat</w:t>
      </w:r>
      <w:r w:rsidR="005D1BB5" w:rsidRPr="00734A50">
        <w:rPr>
          <w:rFonts w:ascii="Calibri" w:eastAsia="Calibri" w:hAnsi="Calibri" w:cs="Calibri"/>
        </w:rPr>
        <w:t>es package</w:t>
      </w:r>
      <w:r w:rsidR="006A7888" w:rsidRPr="00734A50">
        <w:rPr>
          <w:rFonts w:ascii="Calibri" w:eastAsia="Calibri" w:hAnsi="Calibri" w:cs="Calibri"/>
        </w:rPr>
        <w:t xml:space="preserve">. </w:t>
      </w:r>
      <w:r w:rsidR="00E51E14" w:rsidRPr="00734A50">
        <w:rPr>
          <w:rFonts w:ascii="Calibri" w:eastAsia="Calibri" w:hAnsi="Calibri" w:cs="Calibri"/>
        </w:rPr>
        <w:t xml:space="preserve">Key sector stakeholders </w:t>
      </w:r>
      <w:r w:rsidR="00897396" w:rsidRPr="00734A50">
        <w:rPr>
          <w:rFonts w:ascii="Calibri" w:eastAsia="Calibri" w:hAnsi="Calibri" w:cs="Calibri"/>
        </w:rPr>
        <w:t>have also highlighted</w:t>
      </w:r>
      <w:r w:rsidR="00BD7B6B" w:rsidRPr="00734A50">
        <w:rPr>
          <w:rFonts w:ascii="Calibri" w:eastAsia="Calibri" w:hAnsi="Calibri" w:cs="Calibri"/>
        </w:rPr>
        <w:t xml:space="preserve"> through the</w:t>
      </w:r>
      <w:r w:rsidR="00113A53" w:rsidRPr="00734A50">
        <w:rPr>
          <w:rFonts w:ascii="Calibri" w:eastAsia="Calibri" w:hAnsi="Calibri" w:cs="Calibri"/>
        </w:rPr>
        <w:t xml:space="preserve"> review of the</w:t>
      </w:r>
      <w:r w:rsidR="00E51E14" w:rsidRPr="00734A50">
        <w:rPr>
          <w:rFonts w:ascii="Calibri" w:eastAsia="Calibri" w:hAnsi="Calibri" w:cs="Calibri"/>
        </w:rPr>
        <w:t xml:space="preserve"> </w:t>
      </w:r>
      <w:r w:rsidR="00BD7B6B" w:rsidRPr="00734A50">
        <w:rPr>
          <w:rFonts w:ascii="Calibri" w:eastAsia="Calibri" w:hAnsi="Calibri" w:cs="Calibri"/>
        </w:rPr>
        <w:t xml:space="preserve">Australian Universities Accord </w:t>
      </w:r>
      <w:r w:rsidR="00E51E14" w:rsidRPr="00734A50">
        <w:rPr>
          <w:rFonts w:ascii="Calibri" w:eastAsia="Calibri" w:hAnsi="Calibri" w:cs="Calibri"/>
        </w:rPr>
        <w:t>the importance and value of high-quality practical experience and the limited capacity of providers to invest more in this area.</w:t>
      </w:r>
    </w:p>
    <w:p w14:paraId="53E9A190" w14:textId="77777777" w:rsidR="00121FD5" w:rsidRPr="00734A50" w:rsidRDefault="0B9A67B4" w:rsidP="4BAD4C83">
      <w:pPr>
        <w:rPr>
          <w:lang w:eastAsia="en-AU"/>
        </w:rPr>
      </w:pPr>
      <w:r w:rsidRPr="00734A50">
        <w:rPr>
          <w:lang w:eastAsia="en-AU"/>
        </w:rPr>
        <w:t>Collaborative</w:t>
      </w:r>
      <w:r w:rsidR="5E9ACBCB" w:rsidRPr="00734A50">
        <w:rPr>
          <w:lang w:eastAsia="en-AU"/>
        </w:rPr>
        <w:t xml:space="preserve"> partnerships between ITE providers, schools and school systems</w:t>
      </w:r>
      <w:r w:rsidR="006F38DD" w:rsidRPr="00734A50">
        <w:rPr>
          <w:lang w:eastAsia="en-AU"/>
        </w:rPr>
        <w:t xml:space="preserve"> </w:t>
      </w:r>
      <w:r w:rsidR="00D70E13" w:rsidRPr="00734A50">
        <w:rPr>
          <w:lang w:eastAsia="en-AU"/>
        </w:rPr>
        <w:t>are</w:t>
      </w:r>
      <w:r w:rsidR="006F38DD" w:rsidRPr="00734A50">
        <w:rPr>
          <w:lang w:eastAsia="en-AU"/>
        </w:rPr>
        <w:t xml:space="preserve"> critical</w:t>
      </w:r>
      <w:r w:rsidR="5E9ACBCB" w:rsidRPr="00734A50">
        <w:rPr>
          <w:lang w:eastAsia="en-AU"/>
        </w:rPr>
        <w:t xml:space="preserve">, particularly in the delivery of practical </w:t>
      </w:r>
      <w:r w:rsidRPr="00734A50">
        <w:rPr>
          <w:lang w:eastAsia="en-AU"/>
        </w:rPr>
        <w:t>experience</w:t>
      </w:r>
      <w:r w:rsidR="000F7989" w:rsidRPr="00734A50">
        <w:rPr>
          <w:lang w:eastAsia="en-AU"/>
        </w:rPr>
        <w:t xml:space="preserve"> </w:t>
      </w:r>
      <w:r w:rsidR="003F4E8C" w:rsidRPr="00734A50">
        <w:rPr>
          <w:lang w:eastAsia="en-AU"/>
        </w:rPr>
        <w:t>to</w:t>
      </w:r>
      <w:r w:rsidRPr="00734A50">
        <w:rPr>
          <w:lang w:eastAsia="en-AU"/>
        </w:rPr>
        <w:t xml:space="preserve"> </w:t>
      </w:r>
      <w:r w:rsidR="7652F67D" w:rsidRPr="00734A50">
        <w:rPr>
          <w:lang w:eastAsia="en-AU"/>
        </w:rPr>
        <w:t xml:space="preserve">establish strong </w:t>
      </w:r>
      <w:r w:rsidR="0EE0BDF3" w:rsidRPr="00734A50">
        <w:rPr>
          <w:lang w:eastAsia="en-AU"/>
        </w:rPr>
        <w:t>foundation</w:t>
      </w:r>
      <w:r w:rsidR="49341D99" w:rsidRPr="00734A50">
        <w:rPr>
          <w:lang w:eastAsia="en-AU"/>
        </w:rPr>
        <w:t>s</w:t>
      </w:r>
      <w:r w:rsidR="4F4A96DB" w:rsidRPr="00734A50">
        <w:rPr>
          <w:lang w:eastAsia="en-AU"/>
        </w:rPr>
        <w:t xml:space="preserve"> </w:t>
      </w:r>
      <w:r w:rsidR="00CA0BA7" w:rsidRPr="00734A50">
        <w:rPr>
          <w:lang w:eastAsia="en-AU"/>
        </w:rPr>
        <w:t>and</w:t>
      </w:r>
      <w:r w:rsidR="4F4A96DB" w:rsidRPr="00734A50">
        <w:rPr>
          <w:lang w:eastAsia="en-AU"/>
        </w:rPr>
        <w:t xml:space="preserve"> retain</w:t>
      </w:r>
      <w:r w:rsidR="44F18D33" w:rsidRPr="00734A50">
        <w:rPr>
          <w:lang w:eastAsia="en-AU"/>
        </w:rPr>
        <w:t xml:space="preserve"> great</w:t>
      </w:r>
      <w:r w:rsidR="479EA575" w:rsidRPr="00734A50">
        <w:rPr>
          <w:lang w:eastAsia="en-AU"/>
        </w:rPr>
        <w:t xml:space="preserve"> teachers in the profession</w:t>
      </w:r>
      <w:r w:rsidR="5C5165D3" w:rsidRPr="00734A50">
        <w:rPr>
          <w:lang w:eastAsia="en-AU"/>
        </w:rPr>
        <w:t>.</w:t>
      </w:r>
      <w:r w:rsidR="7D181AD8" w:rsidRPr="00734A50">
        <w:rPr>
          <w:lang w:eastAsia="en-AU"/>
        </w:rPr>
        <w:t xml:space="preserve"> </w:t>
      </w:r>
      <w:r w:rsidR="00CC0ABC" w:rsidRPr="00734A50">
        <w:rPr>
          <w:lang w:eastAsia="en-AU"/>
        </w:rPr>
        <w:t>Once</w:t>
      </w:r>
      <w:r w:rsidR="7C223992" w:rsidRPr="00734A50">
        <w:rPr>
          <w:lang w:eastAsia="en-AU"/>
        </w:rPr>
        <w:t xml:space="preserve"> students graduate and start work as teachers, schools and </w:t>
      </w:r>
      <w:r w:rsidR="68109EED" w:rsidRPr="00734A50">
        <w:rPr>
          <w:lang w:eastAsia="en-AU"/>
        </w:rPr>
        <w:t>e</w:t>
      </w:r>
      <w:r w:rsidR="7C223992" w:rsidRPr="00734A50">
        <w:rPr>
          <w:lang w:eastAsia="en-AU"/>
        </w:rPr>
        <w:t xml:space="preserve">ducation systems have a significant and increasing role in </w:t>
      </w:r>
      <w:r w:rsidR="1DBF1DEE" w:rsidRPr="00734A50">
        <w:rPr>
          <w:lang w:eastAsia="en-AU"/>
        </w:rPr>
        <w:t xml:space="preserve">providing the </w:t>
      </w:r>
      <w:r w:rsidR="4608C0ED" w:rsidRPr="00734A50">
        <w:rPr>
          <w:lang w:eastAsia="en-AU"/>
        </w:rPr>
        <w:t xml:space="preserve">support </w:t>
      </w:r>
      <w:r w:rsidR="44FBF26D" w:rsidRPr="00734A50">
        <w:rPr>
          <w:lang w:eastAsia="en-AU"/>
        </w:rPr>
        <w:t>an</w:t>
      </w:r>
      <w:r w:rsidR="276B1CED" w:rsidRPr="00734A50">
        <w:rPr>
          <w:lang w:eastAsia="en-AU"/>
        </w:rPr>
        <w:t>d</w:t>
      </w:r>
      <w:r w:rsidR="7C223992" w:rsidRPr="00734A50">
        <w:rPr>
          <w:lang w:eastAsia="en-AU"/>
        </w:rPr>
        <w:t xml:space="preserve"> guidance necessary to build confidence and resilience.</w:t>
      </w:r>
    </w:p>
    <w:p w14:paraId="2848CC87" w14:textId="3BEC9517" w:rsidR="006179E0" w:rsidRPr="00734A50" w:rsidRDefault="00D26FFB" w:rsidP="4BAD4C83">
      <w:pPr>
        <w:rPr>
          <w:lang w:eastAsia="en-AU"/>
        </w:rPr>
      </w:pPr>
      <w:r w:rsidRPr="00734A50">
        <w:rPr>
          <w:lang w:eastAsia="en-AU"/>
        </w:rPr>
        <w:t>The</w:t>
      </w:r>
      <w:r w:rsidR="002155B6" w:rsidRPr="00734A50">
        <w:rPr>
          <w:lang w:eastAsia="en-AU"/>
        </w:rPr>
        <w:t xml:space="preserve"> Panel has </w:t>
      </w:r>
      <w:r w:rsidR="003B29A3" w:rsidRPr="00734A50">
        <w:rPr>
          <w:lang w:eastAsia="en-AU"/>
        </w:rPr>
        <w:t xml:space="preserve">been mindful of the complex </w:t>
      </w:r>
      <w:r w:rsidR="00C14DA4" w:rsidRPr="00734A50">
        <w:rPr>
          <w:lang w:eastAsia="en-AU"/>
        </w:rPr>
        <w:t>ITE landscape</w:t>
      </w:r>
      <w:r w:rsidR="006F5387" w:rsidRPr="00734A50">
        <w:rPr>
          <w:lang w:eastAsia="en-AU"/>
        </w:rPr>
        <w:t xml:space="preserve"> in developing recommendations for action</w:t>
      </w:r>
      <w:r w:rsidR="00C16887" w:rsidRPr="00734A50">
        <w:rPr>
          <w:lang w:eastAsia="en-AU"/>
        </w:rPr>
        <w:t>. To maximise impact across</w:t>
      </w:r>
      <w:r w:rsidR="004E4C4B" w:rsidRPr="00734A50">
        <w:rPr>
          <w:lang w:eastAsia="en-AU"/>
        </w:rPr>
        <w:t xml:space="preserve"> the four identified areas for </w:t>
      </w:r>
      <w:r w:rsidR="00F14385" w:rsidRPr="00734A50">
        <w:rPr>
          <w:lang w:eastAsia="en-AU"/>
        </w:rPr>
        <w:t xml:space="preserve">reform, the Panel considered </w:t>
      </w:r>
      <w:r w:rsidR="00BF50A9" w:rsidRPr="00734A50">
        <w:rPr>
          <w:lang w:eastAsia="en-AU"/>
        </w:rPr>
        <w:t xml:space="preserve">existing arrangements for delivering and reporting </w:t>
      </w:r>
      <w:r w:rsidR="008B6602" w:rsidRPr="00734A50">
        <w:rPr>
          <w:lang w:eastAsia="en-AU"/>
        </w:rPr>
        <w:t xml:space="preserve">on </w:t>
      </w:r>
      <w:r w:rsidR="00BF50A9" w:rsidRPr="00734A50">
        <w:rPr>
          <w:lang w:eastAsia="en-AU"/>
        </w:rPr>
        <w:t xml:space="preserve">ITE, in the context of the development of the next National School Reform Agreement and </w:t>
      </w:r>
      <w:r w:rsidR="00F55426" w:rsidRPr="00734A50">
        <w:rPr>
          <w:lang w:eastAsia="en-AU"/>
        </w:rPr>
        <w:t>Universities Accord.</w:t>
      </w:r>
    </w:p>
    <w:p w14:paraId="4A6459F1" w14:textId="587363AE" w:rsidR="00C733A0" w:rsidRPr="00734A50" w:rsidRDefault="00CC0ABC" w:rsidP="009E59E8">
      <w:pPr>
        <w:rPr>
          <w:b/>
          <w:bCs/>
          <w:u w:val="single"/>
        </w:rPr>
      </w:pPr>
      <w:r w:rsidRPr="00734A50">
        <w:rPr>
          <w:b/>
          <w:bCs/>
          <w:lang w:eastAsia="en-AU"/>
        </w:rPr>
        <w:t>The Panel is confident these reforms can support ITE programs in delivering more highly effective and confident teachers</w:t>
      </w:r>
      <w:r w:rsidRPr="00734A50">
        <w:rPr>
          <w:lang w:eastAsia="en-AU"/>
        </w:rPr>
        <w:t xml:space="preserve"> who can provide transformational learning opportunities for students over the decades ahead. However, the reforms will need a united and determined approach across the sector to deliver on this goal of national significance. Figure 1 captures the current ITE landscape and sector-wide collaboration required to implement the Panel’s recommendations. </w:t>
      </w:r>
      <w:r w:rsidRPr="00734A50">
        <w:t>Improving ITE further will require ongoing collaboration, cooperation and collective effort across all levels and layers of the ITE and school systems.</w:t>
      </w:r>
      <w:r w:rsidRPr="00734A50">
        <w:rPr>
          <w:b/>
          <w:bCs/>
          <w:u w:val="single"/>
        </w:rPr>
        <w:br w:type="page"/>
      </w:r>
    </w:p>
    <w:p w14:paraId="0BDBC2BA" w14:textId="0CE1D5EB" w:rsidR="00A3505F" w:rsidRPr="00734A50" w:rsidRDefault="00A3505F" w:rsidP="48F9C8A0">
      <w:pPr>
        <w:pStyle w:val="FigureHeading"/>
        <w:numPr>
          <w:ilvl w:val="0"/>
          <w:numId w:val="0"/>
        </w:numPr>
        <w:ind w:left="357" w:hanging="357"/>
        <w:rPr>
          <w:sz w:val="22"/>
          <w:szCs w:val="22"/>
        </w:rPr>
      </w:pPr>
    </w:p>
    <w:p w14:paraId="5548333C" w14:textId="5BCB8E83" w:rsidR="00397F44" w:rsidRPr="00734A50" w:rsidRDefault="54176D90" w:rsidP="00F56ECF">
      <w:pPr>
        <w:pStyle w:val="FigureHeading"/>
        <w:numPr>
          <w:ilvl w:val="0"/>
          <w:numId w:val="0"/>
        </w:numPr>
        <w:rPr>
          <w:rFonts w:asciiTheme="minorHAnsi" w:hAnsiTheme="minorHAnsi" w:cstheme="minorBidi"/>
          <w:b w:val="0"/>
          <w:sz w:val="22"/>
          <w:szCs w:val="22"/>
        </w:rPr>
      </w:pPr>
      <w:r w:rsidRPr="00734A50">
        <w:rPr>
          <w:sz w:val="22"/>
          <w:szCs w:val="22"/>
        </w:rPr>
        <w:t>Fig</w:t>
      </w:r>
      <w:r w:rsidR="24C9BE04" w:rsidRPr="00734A50">
        <w:rPr>
          <w:sz w:val="22"/>
          <w:szCs w:val="22"/>
        </w:rPr>
        <w:t>ure</w:t>
      </w:r>
      <w:r w:rsidR="00B00A00" w:rsidRPr="00734A50">
        <w:rPr>
          <w:sz w:val="22"/>
          <w:szCs w:val="22"/>
        </w:rPr>
        <w:t xml:space="preserve"> 1: Delivering </w:t>
      </w:r>
      <w:r w:rsidR="00364378" w:rsidRPr="00734A50">
        <w:rPr>
          <w:sz w:val="22"/>
          <w:szCs w:val="22"/>
        </w:rPr>
        <w:t xml:space="preserve">the Panel’s </w:t>
      </w:r>
      <w:r w:rsidR="00B00A00" w:rsidRPr="00734A50">
        <w:rPr>
          <w:sz w:val="22"/>
          <w:szCs w:val="22"/>
        </w:rPr>
        <w:t>recommendations</w:t>
      </w:r>
    </w:p>
    <w:p w14:paraId="4DDE5119" w14:textId="7373088A" w:rsidR="008A0B7C" w:rsidRPr="008A0B7C" w:rsidRDefault="00142C10" w:rsidP="008A0B7C">
      <w:pPr>
        <w:rPr>
          <w:lang w:eastAsia="en-AU"/>
        </w:rPr>
      </w:pPr>
      <w:r>
        <w:rPr>
          <w:noProof/>
          <w:lang w:eastAsia="en-AU"/>
        </w:rPr>
        <w:drawing>
          <wp:inline distT="0" distB="0" distL="0" distR="0" wp14:anchorId="1F1B95BD" wp14:editId="4B7E5046">
            <wp:extent cx="4861560" cy="6638544"/>
            <wp:effectExtent l="0" t="0" r="0" b="0"/>
            <wp:docPr id="14" name="Picture 14" descr="Two column diagram. The left column outlines how the ITE system currently operates:&#10;- Education Ministers who approve ITE national accreditation standards&#10;- Australian Government who fund Commonwealth supported places in higher education&#10;- Teacher regulatory authorities who  accredit over 300 ITE programs and approve Teaching Performance Assessments (TPAs) and register new teachers&#10;- ITE programs who design and deliver content, supervise practicums and moderate TPAs&#10;- School Systems who mentor ITE students and support transition to teaching&#10;&#10;The right column outlines roles of various parties in reforming ITE based on the Panel's recommendations:&#10;- Education Ministers to mandate core content and establish an ITE quality assurance board&#10;- Australian Government who will establish nationally consistent indicators and public reporting and encourage performance through Transition and Excellence Funds&#10;- Higher education providers who will incorporate the core content into ITE programs and monitor performance&#10;- State and territory teacher regulatory authorities who will ensure consistency of accreditation&#10;- ITE programs who will deliver core content and practicum changes&#10;- school systems who will establish roles and responsibilities and support quality practic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wo column diagram. The left column outlines how the ITE system currently operates:&#10;- Education Ministers who approve ITE national accreditation standards&#10;- Australian Government who fund Commonwealth supported places in higher education&#10;- Teacher regulatory authorities who  accredit over 300 ITE programs and approve Teaching Performance Assessments (TPAs) and register new teachers&#10;- ITE programs who design and deliver content, supervise practicums and moderate TPAs&#10;- School Systems who mentor ITE students and support transition to teaching&#10;&#10;The right column outlines roles of various parties in reforming ITE based on the Panel's recommendations:&#10;- Education Ministers to mandate core content and establish an ITE quality assurance board&#10;- Australian Government who will establish nationally consistent indicators and public reporting and encourage performance through Transition and Excellence Funds&#10;- Higher education providers who will incorporate the core content into ITE programs and monitor performance&#10;- State and territory teacher regulatory authorities who will ensure consistency of accreditation&#10;- ITE programs who will deliver core content and practicum changes&#10;- school systems who will establish roles and responsibilities and support quality practicum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61560" cy="6638544"/>
                    </a:xfrm>
                    <a:prstGeom prst="rect">
                      <a:avLst/>
                    </a:prstGeom>
                  </pic:spPr>
                </pic:pic>
              </a:graphicData>
            </a:graphic>
          </wp:inline>
        </w:drawing>
      </w:r>
    </w:p>
    <w:p w14:paraId="085AA3C6" w14:textId="48E11ED6" w:rsidR="4BAD4C83" w:rsidRPr="00734A50" w:rsidRDefault="4BAD4C83" w:rsidP="00345A28">
      <w:pPr>
        <w:tabs>
          <w:tab w:val="left" w:pos="2410"/>
        </w:tabs>
      </w:pPr>
    </w:p>
    <w:p w14:paraId="46718A35" w14:textId="4C543149" w:rsidR="00703983" w:rsidRPr="00975D6A" w:rsidRDefault="0314A44D" w:rsidP="00AC54D0">
      <w:pPr>
        <w:pStyle w:val="Heading2"/>
      </w:pPr>
      <w:bookmarkStart w:id="8" w:name="_Toc139366606"/>
      <w:r w:rsidRPr="00975D6A">
        <w:lastRenderedPageBreak/>
        <w:t xml:space="preserve">Priority Reform 1: Strengthening ITE programs to deliver effective </w:t>
      </w:r>
      <w:r w:rsidR="1B7E7064" w:rsidRPr="00975D6A">
        <w:t>begin</w:t>
      </w:r>
      <w:r w:rsidR="0CABB04C" w:rsidRPr="00975D6A">
        <w:t>ning</w:t>
      </w:r>
      <w:r w:rsidR="1B7E7064" w:rsidRPr="00975D6A">
        <w:t xml:space="preserve"> teachers</w:t>
      </w:r>
      <w:bookmarkEnd w:id="8"/>
    </w:p>
    <w:p w14:paraId="01906968" w14:textId="5A8B8623" w:rsidR="00E83DD0" w:rsidRPr="00734A50" w:rsidRDefault="00E83DD0" w:rsidP="00E83DD0">
      <w:pPr>
        <w:keepNext/>
        <w:keepLines/>
        <w:spacing w:before="200"/>
        <w:outlineLvl w:val="3"/>
        <w:rPr>
          <w:lang w:eastAsia="en-AU"/>
        </w:rPr>
      </w:pPr>
      <w:r w:rsidRPr="00734A50">
        <w:rPr>
          <w:lang w:eastAsia="en-AU"/>
        </w:rPr>
        <w:t xml:space="preserve">The </w:t>
      </w:r>
      <w:r w:rsidR="00364378" w:rsidRPr="00734A50">
        <w:rPr>
          <w:lang w:eastAsia="en-AU"/>
        </w:rPr>
        <w:t>Quality Initial Teacher Education (</w:t>
      </w:r>
      <w:r w:rsidRPr="00734A50">
        <w:rPr>
          <w:lang w:eastAsia="en-AU"/>
        </w:rPr>
        <w:t>QITE</w:t>
      </w:r>
      <w:r w:rsidR="00364378" w:rsidRPr="00734A50">
        <w:rPr>
          <w:lang w:eastAsia="en-AU"/>
        </w:rPr>
        <w:t>)</w:t>
      </w:r>
      <w:r w:rsidRPr="00734A50">
        <w:rPr>
          <w:lang w:eastAsia="en-AU"/>
        </w:rPr>
        <w:t xml:space="preserve"> Review</w:t>
      </w:r>
      <w:r w:rsidR="005648EF" w:rsidRPr="00734A50">
        <w:rPr>
          <w:lang w:eastAsia="en-AU"/>
        </w:rPr>
        <w:t xml:space="preserve"> (2022)</w:t>
      </w:r>
      <w:r w:rsidR="0028040D" w:rsidRPr="00734A50">
        <w:rPr>
          <w:lang w:eastAsia="en-AU"/>
        </w:rPr>
        <w:t xml:space="preserve"> </w:t>
      </w:r>
      <w:r w:rsidRPr="00734A50">
        <w:rPr>
          <w:lang w:eastAsia="en-AU"/>
        </w:rPr>
        <w:t>found that many beginning teachers are underprepared to teach in several key areas, particularly reading, cultural responsiveness, supporting diverse learners, classroom management</w:t>
      </w:r>
      <w:r w:rsidR="000C0686" w:rsidRPr="00734A50">
        <w:rPr>
          <w:lang w:eastAsia="en-AU"/>
        </w:rPr>
        <w:t>,</w:t>
      </w:r>
      <w:r w:rsidRPr="00734A50">
        <w:rPr>
          <w:lang w:eastAsia="en-AU"/>
        </w:rPr>
        <w:t xml:space="preserve"> and family/carer engagement. The QITE Review </w:t>
      </w:r>
      <w:r w:rsidR="00151D66" w:rsidRPr="00734A50">
        <w:rPr>
          <w:lang w:eastAsia="en-AU"/>
        </w:rPr>
        <w:t>also</w:t>
      </w:r>
      <w:r w:rsidR="00D97FBD" w:rsidRPr="00734A50">
        <w:rPr>
          <w:lang w:eastAsia="en-AU"/>
        </w:rPr>
        <w:t xml:space="preserve"> </w:t>
      </w:r>
      <w:r w:rsidR="00D620A4" w:rsidRPr="00734A50">
        <w:rPr>
          <w:lang w:eastAsia="en-AU"/>
        </w:rPr>
        <w:t>found that ITE students</w:t>
      </w:r>
      <w:r w:rsidR="00C96672" w:rsidRPr="00734A50">
        <w:rPr>
          <w:lang w:eastAsia="en-AU"/>
        </w:rPr>
        <w:t>’</w:t>
      </w:r>
      <w:r w:rsidR="00D620A4" w:rsidRPr="00734A50">
        <w:rPr>
          <w:lang w:eastAsia="en-AU"/>
        </w:rPr>
        <w:t xml:space="preserve"> preparedness to teach would be bolstered by a strengthened focus on evidence-based teaching strategies.</w:t>
      </w:r>
      <w:r w:rsidR="00FA1D4E" w:rsidRPr="00734A50">
        <w:rPr>
          <w:lang w:eastAsia="en-AU"/>
        </w:rPr>
        <w:t xml:space="preserve"> </w:t>
      </w:r>
    </w:p>
    <w:p w14:paraId="1C2870BB" w14:textId="7875C5E1" w:rsidR="00E83DD0" w:rsidRPr="00734A50" w:rsidRDefault="008F7CD5" w:rsidP="6DDCDED7">
      <w:pPr>
        <w:keepNext/>
        <w:keepLines/>
        <w:spacing w:before="200"/>
        <w:outlineLvl w:val="3"/>
      </w:pPr>
      <w:r w:rsidRPr="00734A50">
        <w:rPr>
          <w:lang w:eastAsia="en-AU"/>
        </w:rPr>
        <w:t>A</w:t>
      </w:r>
      <w:r w:rsidR="00E83DD0" w:rsidRPr="00734A50">
        <w:rPr>
          <w:lang w:eastAsia="en-AU"/>
        </w:rPr>
        <w:t xml:space="preserve">ccredited ITE programs must ensure all graduate teachers meet the Graduate level of the </w:t>
      </w:r>
      <w:r w:rsidR="00CC4724" w:rsidRPr="00734A50">
        <w:rPr>
          <w:i/>
          <w:iCs/>
        </w:rPr>
        <w:t xml:space="preserve">Australian Professional Standards for Teachers </w:t>
      </w:r>
      <w:r w:rsidR="00CC4724" w:rsidRPr="00734A50">
        <w:t>(</w:t>
      </w:r>
      <w:r w:rsidR="007346AB" w:rsidRPr="00734A50">
        <w:rPr>
          <w:lang w:eastAsia="en-AU"/>
        </w:rPr>
        <w:t>T</w:t>
      </w:r>
      <w:r w:rsidR="00E83DD0" w:rsidRPr="00734A50">
        <w:rPr>
          <w:lang w:eastAsia="en-AU"/>
        </w:rPr>
        <w:t xml:space="preserve">eacher </w:t>
      </w:r>
      <w:r w:rsidR="007346AB" w:rsidRPr="00734A50">
        <w:rPr>
          <w:lang w:eastAsia="en-AU"/>
        </w:rPr>
        <w:t>S</w:t>
      </w:r>
      <w:r w:rsidR="00E83DD0" w:rsidRPr="00734A50">
        <w:rPr>
          <w:lang w:eastAsia="en-AU"/>
        </w:rPr>
        <w:t>tandards</w:t>
      </w:r>
      <w:r w:rsidR="00CC4724" w:rsidRPr="00734A50">
        <w:rPr>
          <w:lang w:eastAsia="en-AU"/>
        </w:rPr>
        <w:t>)</w:t>
      </w:r>
      <w:r w:rsidR="00E83DD0" w:rsidRPr="00734A50">
        <w:rPr>
          <w:lang w:eastAsia="en-AU"/>
        </w:rPr>
        <w:t xml:space="preserve">. The Panel </w:t>
      </w:r>
      <w:r w:rsidR="00275555" w:rsidRPr="00734A50">
        <w:rPr>
          <w:lang w:eastAsia="en-AU"/>
        </w:rPr>
        <w:t>was</w:t>
      </w:r>
      <w:r w:rsidR="00E83DD0" w:rsidRPr="00734A50">
        <w:rPr>
          <w:lang w:eastAsia="en-AU"/>
        </w:rPr>
        <w:t xml:space="preserve"> asked to provide advice on amending</w:t>
      </w:r>
      <w:r w:rsidR="00E83DD0" w:rsidRPr="00734A50">
        <w:t xml:space="preserve"> </w:t>
      </w:r>
      <w:r w:rsidR="00FD3D63" w:rsidRPr="00734A50">
        <w:t xml:space="preserve">the </w:t>
      </w:r>
      <w:r w:rsidR="00FD3D63" w:rsidRPr="00734A50">
        <w:rPr>
          <w:i/>
          <w:iCs/>
        </w:rPr>
        <w:t xml:space="preserve">Accreditation of Initial Teacher Education Programs in Australia: Standards and Procedures </w:t>
      </w:r>
      <w:r w:rsidR="00FD3D63" w:rsidRPr="00734A50">
        <w:t>(Accreditation Standards and Procedures),</w:t>
      </w:r>
      <w:r w:rsidR="00FD3D63" w:rsidRPr="00734A50">
        <w:rPr>
          <w:i/>
          <w:iCs/>
        </w:rPr>
        <w:t xml:space="preserve"> </w:t>
      </w:r>
      <w:r w:rsidR="00FD3D63" w:rsidRPr="00734A50">
        <w:t xml:space="preserve">to ensure ITE graduates are taught </w:t>
      </w:r>
      <w:r w:rsidR="00D47DC8" w:rsidRPr="00734A50">
        <w:t xml:space="preserve">sufficient </w:t>
      </w:r>
      <w:r w:rsidR="00FD3D63" w:rsidRPr="00734A50">
        <w:t>evidence-based practices to</w:t>
      </w:r>
      <w:r w:rsidR="00DA389C" w:rsidRPr="00734A50">
        <w:t xml:space="preserve"> support the</w:t>
      </w:r>
      <w:r w:rsidR="00987941" w:rsidRPr="00734A50">
        <w:t>m to</w:t>
      </w:r>
      <w:r w:rsidR="00FD3D63" w:rsidRPr="00734A50">
        <w:t xml:space="preserve"> meet the </w:t>
      </w:r>
      <w:r w:rsidR="00892138" w:rsidRPr="00734A50">
        <w:t xml:space="preserve">Graduate </w:t>
      </w:r>
      <w:r w:rsidR="00FD3D63" w:rsidRPr="00734A50">
        <w:t>Teacher Standards.</w:t>
      </w:r>
      <w:r w:rsidR="00FD3D63" w:rsidRPr="00734A50">
        <w:rPr>
          <w:i/>
          <w:iCs/>
        </w:rPr>
        <w:t xml:space="preserve"> </w:t>
      </w:r>
    </w:p>
    <w:p w14:paraId="797CD289" w14:textId="3D5F0D4E" w:rsidR="00635884" w:rsidRPr="00734A50" w:rsidRDefault="41E59ACE" w:rsidP="6DDCDED7">
      <w:pPr>
        <w:pStyle w:val="Heading3"/>
        <w:rPr>
          <w:rFonts w:eastAsia="Yu Gothic Light"/>
        </w:rPr>
      </w:pPr>
      <w:bookmarkStart w:id="9" w:name="_Toc139366489"/>
      <w:bookmarkStart w:id="10" w:name="_Toc139366607"/>
      <w:r w:rsidRPr="00734A50">
        <w:rPr>
          <w:rFonts w:eastAsia="Yu Gothic Light"/>
        </w:rPr>
        <w:t>Establish</w:t>
      </w:r>
      <w:r w:rsidR="29A08CFB" w:rsidRPr="00734A50">
        <w:rPr>
          <w:rFonts w:eastAsia="Yu Gothic Light"/>
        </w:rPr>
        <w:t xml:space="preserve"> </w:t>
      </w:r>
      <w:r w:rsidR="005D1123">
        <w:rPr>
          <w:rFonts w:eastAsia="Yu Gothic Light"/>
        </w:rPr>
        <w:t xml:space="preserve">the </w:t>
      </w:r>
      <w:r w:rsidR="29A08CFB" w:rsidRPr="00734A50">
        <w:rPr>
          <w:rFonts w:eastAsia="Yu Gothic Light"/>
        </w:rPr>
        <w:t xml:space="preserve">core content </w:t>
      </w:r>
      <w:r w:rsidR="19381A80" w:rsidRPr="00734A50">
        <w:rPr>
          <w:rFonts w:eastAsia="Yu Gothic Light"/>
        </w:rPr>
        <w:t xml:space="preserve">and </w:t>
      </w:r>
      <w:r w:rsidR="00EB3694" w:rsidRPr="00734A50">
        <w:rPr>
          <w:rFonts w:eastAsia="Yu Gothic Light"/>
        </w:rPr>
        <w:t xml:space="preserve">mandate </w:t>
      </w:r>
      <w:r w:rsidR="001156FE" w:rsidRPr="00734A50">
        <w:rPr>
          <w:rFonts w:eastAsia="Yu Gothic Light"/>
        </w:rPr>
        <w:t>it</w:t>
      </w:r>
      <w:r w:rsidR="1A830989" w:rsidRPr="00734A50">
        <w:rPr>
          <w:rFonts w:eastAsia="Yu Gothic Light"/>
        </w:rPr>
        <w:t xml:space="preserve"> </w:t>
      </w:r>
      <w:r w:rsidR="00FD3CEC" w:rsidRPr="00734A50">
        <w:rPr>
          <w:rFonts w:eastAsia="Yu Gothic Light"/>
        </w:rPr>
        <w:t>in</w:t>
      </w:r>
      <w:r w:rsidR="3D841E6D" w:rsidRPr="00734A50">
        <w:rPr>
          <w:rFonts w:eastAsia="Yu Gothic Light"/>
        </w:rPr>
        <w:t xml:space="preserve"> </w:t>
      </w:r>
      <w:r w:rsidR="5BA73AA5" w:rsidRPr="00734A50">
        <w:rPr>
          <w:rFonts w:eastAsia="Yu Gothic Light"/>
        </w:rPr>
        <w:t>national accreditation</w:t>
      </w:r>
      <w:bookmarkEnd w:id="9"/>
      <w:bookmarkEnd w:id="10"/>
    </w:p>
    <w:p w14:paraId="3E601B81" w14:textId="59F3F3C1" w:rsidR="00307C51" w:rsidRPr="00734A50" w:rsidRDefault="00307C51" w:rsidP="00322028">
      <w:pPr>
        <w:keepNext/>
        <w:keepLines/>
        <w:spacing w:before="200" w:after="0"/>
        <w:outlineLvl w:val="3"/>
        <w:rPr>
          <w:rFonts w:ascii="Calibri" w:eastAsia="Calibri" w:hAnsi="Calibri" w:cs="Arial"/>
        </w:rPr>
      </w:pPr>
      <w:r w:rsidRPr="00734A50">
        <w:rPr>
          <w:lang w:eastAsia="en-AU"/>
        </w:rPr>
        <w:t xml:space="preserve">The Panel has identified the core content for ITE programs which </w:t>
      </w:r>
      <w:r w:rsidR="009A74CF" w:rsidRPr="00734A50">
        <w:rPr>
          <w:rFonts w:ascii="Calibri" w:eastAsia="Calibri" w:hAnsi="Calibri" w:cs="Arial"/>
        </w:rPr>
        <w:t>covers what every teacher should learn in ITE to be prepared</w:t>
      </w:r>
      <w:r w:rsidRPr="00734A50">
        <w:rPr>
          <w:rFonts w:ascii="Calibri" w:eastAsia="Calibri" w:hAnsi="Calibri" w:cs="Arial"/>
        </w:rPr>
        <w:t xml:space="preserve"> for the classroom</w:t>
      </w:r>
      <w:r w:rsidR="009A74CF" w:rsidRPr="00734A50">
        <w:rPr>
          <w:rFonts w:ascii="Calibri" w:eastAsia="Calibri" w:hAnsi="Calibri" w:cs="Arial"/>
        </w:rPr>
        <w:t xml:space="preserve"> and best support students.</w:t>
      </w:r>
      <w:r w:rsidRPr="00734A50">
        <w:rPr>
          <w:rFonts w:ascii="Calibri" w:eastAsia="Calibri" w:hAnsi="Calibri" w:cs="Arial"/>
        </w:rPr>
        <w:t xml:space="preserve"> </w:t>
      </w:r>
      <w:r w:rsidR="00B020EA" w:rsidRPr="00734A50">
        <w:rPr>
          <w:lang w:eastAsia="en-AU"/>
        </w:rPr>
        <w:t xml:space="preserve">The core content reflects </w:t>
      </w:r>
      <w:r w:rsidRPr="00734A50">
        <w:rPr>
          <w:lang w:eastAsia="en-AU"/>
        </w:rPr>
        <w:t xml:space="preserve">the knowledge and evidence-based practices </w:t>
      </w:r>
      <w:r w:rsidR="002139FA" w:rsidRPr="00734A50">
        <w:rPr>
          <w:lang w:eastAsia="en-AU"/>
        </w:rPr>
        <w:t xml:space="preserve">that </w:t>
      </w:r>
      <w:r w:rsidRPr="00734A50">
        <w:rPr>
          <w:lang w:eastAsia="en-AU"/>
        </w:rPr>
        <w:t xml:space="preserve">support ITE students </w:t>
      </w:r>
      <w:r w:rsidR="00C32330" w:rsidRPr="00734A50">
        <w:rPr>
          <w:lang w:eastAsia="en-AU"/>
        </w:rPr>
        <w:t xml:space="preserve">in </w:t>
      </w:r>
      <w:r w:rsidRPr="00734A50">
        <w:rPr>
          <w:lang w:eastAsia="en-AU"/>
        </w:rPr>
        <w:t xml:space="preserve">meeting the </w:t>
      </w:r>
      <w:r w:rsidR="003218F3" w:rsidRPr="00734A50">
        <w:rPr>
          <w:lang w:eastAsia="en-AU"/>
        </w:rPr>
        <w:t xml:space="preserve">Graduate </w:t>
      </w:r>
      <w:r w:rsidRPr="00734A50">
        <w:rPr>
          <w:lang w:eastAsia="en-AU"/>
        </w:rPr>
        <w:t xml:space="preserve">Teacher </w:t>
      </w:r>
      <w:r w:rsidR="00C9682A" w:rsidRPr="00734A50">
        <w:rPr>
          <w:lang w:eastAsia="en-AU"/>
        </w:rPr>
        <w:t>Standards and</w:t>
      </w:r>
      <w:r w:rsidR="006666DB" w:rsidRPr="00734A50">
        <w:rPr>
          <w:lang w:eastAsia="en-AU"/>
        </w:rPr>
        <w:t xml:space="preserve"> have the greatest impact on student learning. The </w:t>
      </w:r>
      <w:r w:rsidR="00CB4DB6" w:rsidRPr="00734A50">
        <w:rPr>
          <w:lang w:eastAsia="en-AU"/>
        </w:rPr>
        <w:t xml:space="preserve">Panel has defined </w:t>
      </w:r>
      <w:r w:rsidR="006666DB" w:rsidRPr="00734A50">
        <w:rPr>
          <w:lang w:eastAsia="en-AU"/>
        </w:rPr>
        <w:t>f</w:t>
      </w:r>
      <w:r w:rsidRPr="00734A50">
        <w:rPr>
          <w:lang w:eastAsia="en-AU"/>
        </w:rPr>
        <w:t>our types of core content:</w:t>
      </w:r>
    </w:p>
    <w:p w14:paraId="080C086C" w14:textId="62207F34" w:rsidR="00307C51" w:rsidRPr="00734A50" w:rsidRDefault="009E45BE" w:rsidP="009F2264">
      <w:pPr>
        <w:pStyle w:val="List"/>
      </w:pPr>
      <w:r>
        <w:rPr>
          <w:b/>
          <w:bCs/>
        </w:rPr>
        <w:t xml:space="preserve">The </w:t>
      </w:r>
      <w:r w:rsidR="00151319">
        <w:rPr>
          <w:b/>
          <w:bCs/>
        </w:rPr>
        <w:t>b</w:t>
      </w:r>
      <w:r w:rsidR="00307C51" w:rsidRPr="00734A50">
        <w:rPr>
          <w:b/>
          <w:bCs/>
        </w:rPr>
        <w:t>rain and learning</w:t>
      </w:r>
      <w:r w:rsidR="00307C51" w:rsidRPr="00734A50">
        <w:t xml:space="preserve">: </w:t>
      </w:r>
      <w:r w:rsidR="00640B7D" w:rsidRPr="00734A50">
        <w:t xml:space="preserve">content that </w:t>
      </w:r>
      <w:r w:rsidR="00307C51" w:rsidRPr="00734A50">
        <w:t>provides teachers with an understanding of why specific instructional practices work, and how to implement these practices.</w:t>
      </w:r>
    </w:p>
    <w:p w14:paraId="2AAD4A03" w14:textId="1EB7D789" w:rsidR="00CD681C" w:rsidRPr="00734A50" w:rsidRDefault="00CD681C" w:rsidP="009F2264">
      <w:pPr>
        <w:pStyle w:val="List"/>
      </w:pPr>
      <w:r w:rsidRPr="00734A50">
        <w:rPr>
          <w:b/>
          <w:bCs/>
        </w:rPr>
        <w:t>Effective pedagogical practices</w:t>
      </w:r>
      <w:r w:rsidRPr="00734A50">
        <w:t xml:space="preserve">: </w:t>
      </w:r>
      <w:r w:rsidR="00640B7D" w:rsidRPr="00734A50">
        <w:t xml:space="preserve">practices including </w:t>
      </w:r>
      <w:r w:rsidRPr="00734A50">
        <w:t>explicit modelling, scaffolding, formative assessment</w:t>
      </w:r>
      <w:r w:rsidR="00640B7D" w:rsidRPr="00734A50">
        <w:t>,</w:t>
      </w:r>
      <w:r w:rsidRPr="00734A50">
        <w:t xml:space="preserve"> and literacy and numeracy teaching strategies that support student learning because they respond to how the brain processes, stores and retrieves information</w:t>
      </w:r>
      <w:r w:rsidRPr="00975D6A">
        <w:t>.</w:t>
      </w:r>
    </w:p>
    <w:p w14:paraId="54FD24BD" w14:textId="39E36102" w:rsidR="00CD681C" w:rsidRPr="00734A50" w:rsidRDefault="00CD681C" w:rsidP="009F2264">
      <w:pPr>
        <w:pStyle w:val="List"/>
      </w:pPr>
      <w:r w:rsidRPr="00734A50">
        <w:rPr>
          <w:b/>
          <w:bCs/>
        </w:rPr>
        <w:t>Classroom management</w:t>
      </w:r>
      <w:r w:rsidRPr="00734A50">
        <w:t>: practices</w:t>
      </w:r>
      <w:r w:rsidR="00640B7D" w:rsidRPr="00734A50">
        <w:t xml:space="preserve"> that</w:t>
      </w:r>
      <w:r w:rsidRPr="00734A50">
        <w:t xml:space="preserve"> </w:t>
      </w:r>
      <w:r w:rsidR="00D93E15">
        <w:t>foster</w:t>
      </w:r>
      <w:r w:rsidR="00955674" w:rsidRPr="00734A50">
        <w:t xml:space="preserve"> positive learning</w:t>
      </w:r>
      <w:r w:rsidRPr="00734A50">
        <w:t xml:space="preserve"> environments</w:t>
      </w:r>
      <w:r w:rsidR="00D652AC" w:rsidRPr="00734A50">
        <w:t>.</w:t>
      </w:r>
    </w:p>
    <w:p w14:paraId="27FE35D3" w14:textId="1CB34835" w:rsidR="00052CAE" w:rsidRPr="00734A50" w:rsidRDefault="00052CAE" w:rsidP="009F2264">
      <w:pPr>
        <w:pStyle w:val="List"/>
        <w:spacing w:after="0"/>
        <w:rPr>
          <w:rFonts w:ascii="Calibri" w:eastAsia="Calibri" w:hAnsi="Calibri" w:cs="Calibri"/>
        </w:rPr>
      </w:pPr>
      <w:r w:rsidRPr="00734A50">
        <w:rPr>
          <w:b/>
          <w:bCs/>
        </w:rPr>
        <w:t>Responsive teaching</w:t>
      </w:r>
      <w:r w:rsidRPr="00734A50">
        <w:t xml:space="preserve">: </w:t>
      </w:r>
      <w:r w:rsidR="00640B7D" w:rsidRPr="00734A50">
        <w:t xml:space="preserve">content that </w:t>
      </w:r>
      <w:r w:rsidRPr="00734A50">
        <w:t>ensures teachers teach in ways that are culturally and contextually appropriate and responsive to student need. This includes core content on:</w:t>
      </w:r>
    </w:p>
    <w:p w14:paraId="5E63A350" w14:textId="6BBBBE40" w:rsidR="00052CAE" w:rsidRPr="00734A50" w:rsidRDefault="00052CAE" w:rsidP="009467E3">
      <w:pPr>
        <w:pStyle w:val="ListBullet"/>
        <w:numPr>
          <w:ilvl w:val="0"/>
          <w:numId w:val="175"/>
        </w:numPr>
        <w:spacing w:after="0"/>
      </w:pPr>
      <w:r w:rsidRPr="00734A50">
        <w:t>First Nations peoples, cultures and perspectives</w:t>
      </w:r>
    </w:p>
    <w:p w14:paraId="2F7D0EBA" w14:textId="3BE3CBA0" w:rsidR="00052CAE" w:rsidRPr="00734A50" w:rsidRDefault="00052CAE" w:rsidP="009467E3">
      <w:pPr>
        <w:pStyle w:val="ListBullet"/>
        <w:numPr>
          <w:ilvl w:val="0"/>
          <w:numId w:val="175"/>
        </w:numPr>
        <w:spacing w:after="0"/>
      </w:pPr>
      <w:r w:rsidRPr="00734A50">
        <w:t>cultural responsiveness</w:t>
      </w:r>
      <w:r w:rsidR="00F72AA8" w:rsidRPr="00734A50">
        <w:t xml:space="preserve">, including students who </w:t>
      </w:r>
      <w:r w:rsidR="00470B6A" w:rsidRPr="00734A50">
        <w:t>have English as an additional language/dialect (EAL/D)</w:t>
      </w:r>
    </w:p>
    <w:p w14:paraId="6BAAC72A" w14:textId="2EA8653F" w:rsidR="00052CAE" w:rsidRPr="00734A50" w:rsidRDefault="00052CAE" w:rsidP="009467E3">
      <w:pPr>
        <w:pStyle w:val="ListBullet"/>
        <w:numPr>
          <w:ilvl w:val="0"/>
          <w:numId w:val="175"/>
        </w:numPr>
        <w:spacing w:after="0"/>
      </w:pPr>
      <w:r w:rsidRPr="00734A50">
        <w:t>family engagement</w:t>
      </w:r>
      <w:r w:rsidR="00577D2F">
        <w:t xml:space="preserve"> for learning</w:t>
      </w:r>
    </w:p>
    <w:p w14:paraId="265B7D28" w14:textId="7578D3A8" w:rsidR="00052CAE" w:rsidRPr="00734A50" w:rsidRDefault="00052CAE" w:rsidP="009467E3">
      <w:pPr>
        <w:pStyle w:val="ListBullet"/>
        <w:numPr>
          <w:ilvl w:val="0"/>
          <w:numId w:val="175"/>
        </w:numPr>
        <w:spacing w:after="200"/>
        <w:ind w:left="714" w:hanging="357"/>
      </w:pPr>
      <w:r w:rsidRPr="00734A50">
        <w:t>diverse learners</w:t>
      </w:r>
      <w:r w:rsidR="00470B6A" w:rsidRPr="00734A50">
        <w:t>, including students with disability</w:t>
      </w:r>
      <w:r w:rsidR="00AF09A2" w:rsidRPr="00734A50">
        <w:t>.</w:t>
      </w:r>
    </w:p>
    <w:p w14:paraId="610299F5" w14:textId="3BD93D85" w:rsidR="00F872C4" w:rsidRPr="00734A50" w:rsidRDefault="00F872C4" w:rsidP="00F872C4">
      <w:pPr>
        <w:textAlignment w:val="baseline"/>
        <w:rPr>
          <w:rFonts w:ascii="Calibri" w:eastAsia="Calibri" w:hAnsi="Calibri" w:cs="Arial"/>
        </w:rPr>
      </w:pPr>
      <w:r w:rsidRPr="00734A50">
        <w:rPr>
          <w:rFonts w:ascii="Calibri" w:eastAsia="Calibri" w:hAnsi="Calibri" w:cs="Arial"/>
        </w:rPr>
        <w:t xml:space="preserve">The Panel acknowledges that the core content is not intended to cover everything a beginning teacher should learn. It is up to higher education providers </w:t>
      </w:r>
      <w:r w:rsidRPr="00734A50">
        <w:rPr>
          <w:rFonts w:ascii="Calibri" w:hAnsi="Calibri" w:cs="Calibri"/>
        </w:rPr>
        <w:t>to design courses that coherently incorporate the core content into ITE programs</w:t>
      </w:r>
      <w:r w:rsidRPr="00734A50">
        <w:rPr>
          <w:rFonts w:ascii="Calibri" w:eastAsia="Calibri" w:hAnsi="Calibri" w:cs="Arial"/>
        </w:rPr>
        <w:t>.</w:t>
      </w:r>
    </w:p>
    <w:p w14:paraId="7C149892" w14:textId="6B0DCECF" w:rsidR="0032763D" w:rsidRPr="00734A50" w:rsidRDefault="00BE6575" w:rsidP="00A340C6">
      <w:pPr>
        <w:rPr>
          <w:lang w:eastAsia="en-AU"/>
        </w:rPr>
      </w:pPr>
      <w:r w:rsidRPr="00734A50">
        <w:rPr>
          <w:lang w:eastAsia="en-AU"/>
        </w:rPr>
        <w:t xml:space="preserve">In </w:t>
      </w:r>
      <w:r w:rsidR="00BF6909" w:rsidRPr="00734A50">
        <w:rPr>
          <w:lang w:eastAsia="en-AU"/>
        </w:rPr>
        <w:t>submissions to t</w:t>
      </w:r>
      <w:r w:rsidRPr="00734A50">
        <w:rPr>
          <w:lang w:eastAsia="en-AU"/>
        </w:rPr>
        <w:t xml:space="preserve">he Panel’s Discussion Paper, stakeholders </w:t>
      </w:r>
      <w:r w:rsidR="000079FC" w:rsidRPr="00734A50">
        <w:rPr>
          <w:lang w:eastAsia="en-AU"/>
        </w:rPr>
        <w:t xml:space="preserve">broadly </w:t>
      </w:r>
      <w:r w:rsidR="00BF6909" w:rsidRPr="00734A50">
        <w:rPr>
          <w:lang w:eastAsia="en-AU"/>
        </w:rPr>
        <w:t xml:space="preserve">supported </w:t>
      </w:r>
      <w:r w:rsidR="4CA47B3F" w:rsidRPr="00734A50">
        <w:rPr>
          <w:lang w:eastAsia="en-AU"/>
        </w:rPr>
        <w:t>both</w:t>
      </w:r>
      <w:r w:rsidR="00C07094" w:rsidRPr="00734A50">
        <w:rPr>
          <w:lang w:eastAsia="en-AU"/>
        </w:rPr>
        <w:t xml:space="preserve"> the core content and formalising it in the accreditation of ITE programs to ensure the content is prioritised and consistently delivered in ITE. The</w:t>
      </w:r>
      <w:r w:rsidR="00E5677F" w:rsidRPr="00734A50">
        <w:rPr>
          <w:lang w:eastAsia="en-AU"/>
        </w:rPr>
        <w:t xml:space="preserve"> Panel recommends </w:t>
      </w:r>
      <w:r w:rsidR="00AF7817" w:rsidRPr="00734A50">
        <w:rPr>
          <w:lang w:eastAsia="en-AU"/>
        </w:rPr>
        <w:t xml:space="preserve">adding </w:t>
      </w:r>
      <w:r w:rsidR="00E5677F" w:rsidRPr="00734A50">
        <w:rPr>
          <w:lang w:eastAsia="en-AU"/>
        </w:rPr>
        <w:t>the</w:t>
      </w:r>
      <w:r w:rsidR="00C07094" w:rsidRPr="00734A50">
        <w:rPr>
          <w:lang w:eastAsia="en-AU"/>
        </w:rPr>
        <w:t xml:space="preserve"> core content as a schedule to the Accreditation Standards and Procedures </w:t>
      </w:r>
      <w:r w:rsidR="00C07094" w:rsidRPr="00734A50">
        <w:rPr>
          <w:b/>
          <w:bCs/>
          <w:lang w:eastAsia="en-AU"/>
        </w:rPr>
        <w:t>(Recommendation 1)</w:t>
      </w:r>
      <w:r w:rsidR="00C07094" w:rsidRPr="00734A50">
        <w:rPr>
          <w:lang w:eastAsia="en-AU"/>
        </w:rPr>
        <w:t>.</w:t>
      </w:r>
    </w:p>
    <w:p w14:paraId="32A28051" w14:textId="7816A68E" w:rsidR="00584F26" w:rsidRPr="00734A50" w:rsidRDefault="0D50A8A5" w:rsidP="6DDCDED7">
      <w:pPr>
        <w:pStyle w:val="Heading3"/>
      </w:pPr>
      <w:bookmarkStart w:id="11" w:name="_Toc139366490"/>
      <w:bookmarkStart w:id="12" w:name="_Toc139366608"/>
      <w:r w:rsidRPr="00734A50">
        <w:rPr>
          <w:rFonts w:eastAsia="Yu Gothic Light"/>
        </w:rPr>
        <w:lastRenderedPageBreak/>
        <w:t xml:space="preserve">Embed </w:t>
      </w:r>
      <w:r w:rsidR="00304D1A">
        <w:rPr>
          <w:rFonts w:eastAsia="Yu Gothic Light"/>
        </w:rPr>
        <w:t xml:space="preserve">the </w:t>
      </w:r>
      <w:r w:rsidRPr="00734A50">
        <w:rPr>
          <w:rFonts w:eastAsia="Yu Gothic Light"/>
        </w:rPr>
        <w:t>core content in ITE programs</w:t>
      </w:r>
      <w:bookmarkEnd w:id="11"/>
      <w:bookmarkEnd w:id="12"/>
      <w:r w:rsidRPr="00734A50">
        <w:rPr>
          <w:rFonts w:eastAsia="Yu Gothic Light"/>
        </w:rPr>
        <w:t xml:space="preserve"> </w:t>
      </w:r>
    </w:p>
    <w:p w14:paraId="11CD4DCE" w14:textId="6D988B43" w:rsidR="006A7888" w:rsidRPr="00734A50" w:rsidRDefault="00796B55" w:rsidP="00882E5C">
      <w:pPr>
        <w:spacing w:after="0"/>
        <w:rPr>
          <w:lang w:eastAsia="en-AU"/>
        </w:rPr>
      </w:pPr>
      <w:r w:rsidRPr="00734A50">
        <w:rPr>
          <w:rFonts w:ascii="Calibri" w:eastAsia="Calibri" w:hAnsi="Calibri" w:cs="Arial"/>
        </w:rPr>
        <w:t xml:space="preserve">Research shows that coherently integrating essential content </w:t>
      </w:r>
      <w:r w:rsidR="00C929F1" w:rsidRPr="00734A50">
        <w:rPr>
          <w:rFonts w:ascii="Calibri" w:eastAsia="Calibri" w:hAnsi="Calibri" w:cs="Arial"/>
        </w:rPr>
        <w:t xml:space="preserve">into teacher education </w:t>
      </w:r>
      <w:r w:rsidRPr="00734A50">
        <w:rPr>
          <w:rFonts w:ascii="Calibri" w:eastAsia="Calibri" w:hAnsi="Calibri" w:cs="Arial"/>
        </w:rPr>
        <w:t xml:space="preserve">supports </w:t>
      </w:r>
      <w:r w:rsidR="00986497" w:rsidRPr="00734A50">
        <w:rPr>
          <w:rFonts w:ascii="Calibri" w:eastAsia="Calibri" w:hAnsi="Calibri" w:cs="Arial"/>
        </w:rPr>
        <w:t>beginning teachers</w:t>
      </w:r>
      <w:r w:rsidRPr="00734A50">
        <w:rPr>
          <w:rFonts w:ascii="Calibri" w:eastAsia="Calibri" w:hAnsi="Calibri" w:cs="Arial"/>
        </w:rPr>
        <w:t xml:space="preserve"> to build a deeper understanding of teaching and learning </w:t>
      </w:r>
      <w:r w:rsidRPr="00734A50">
        <w:rPr>
          <w:rFonts w:ascii="Calibri" w:eastAsia="Calibri" w:hAnsi="Calibri" w:cs="Arial"/>
        </w:rPr>
        <w:fldChar w:fldCharType="begin"/>
      </w:r>
      <w:r w:rsidRPr="00734A50">
        <w:rPr>
          <w:rFonts w:ascii="Calibri" w:eastAsia="Calibri" w:hAnsi="Calibri" w:cs="Arial"/>
        </w:rPr>
        <w:instrText xml:space="preserve"> ADDIN ZOTERO_ITEM CSL_CITATION {"citationID":"YjdtuXtk","properties":{"formattedCitation":"(Darling-Hammond et al. 2019)","plainCitation":"(Darling-Hammond et al. 2019)","noteIndex":0},"citationItems":[{"id":48,"uris":["http://zotero.org/users/10549213/items/B8AI6J9A"],"itemData":{"id":48,"type":"report","abstract":"Preparing Teachers for Deeper Learning, summarized by this brief, describes the work of seven pioneering programs of teacher education that have organized themselves to meet the dual challenge of teacher preparation for deeper learning and equity. This study examined how teacher candidates learn to create personalized, inquiry-based learning opportunities for all children and how their programs create such opportunities for the candidates themselves. Through interviews, on-site observations, candidate surveys, and document review, the study describes the curriculum, practices, and institutional structures that make teacher preparation for deeper learning possible.","event-place":"Washington, DC","language":"en","publisher":"Learning Policy Institute","publisher-place":"Washington, DC","source":"Zotero","title":"Research brief: Preparing teachers for deeper learning","author":[{"family":"Darling-Hammond","given":"Linda"},{"family":"Oakes","given":"Jeannie"},{"family":"Wojcikiewicz","given":"Steven K"},{"family":"Hyler","given":"Maria E"},{"family":"Guha","given":"Roneeta"},{"family":"Podolsky","given":"Anne"},{"family":"Kini","given":"Tara"},{"family":"Cook-Harvey","given":"Channa M"},{"family":"Jackson Mercer","given":"Charmaine N"},{"family":"Harrell","given":"Akeelah"}],"issued":{"date-parts":[["2019"]]}},"locator":"-"}],"schema":"https://github.com/citation-style-language/schema/raw/master/csl-citation.json"} </w:instrText>
      </w:r>
      <w:r w:rsidRPr="00734A50">
        <w:rPr>
          <w:rFonts w:ascii="Calibri" w:eastAsia="Calibri" w:hAnsi="Calibri" w:cs="Arial"/>
        </w:rPr>
        <w:fldChar w:fldCharType="separate"/>
      </w:r>
      <w:r w:rsidRPr="00734A50">
        <w:rPr>
          <w:rFonts w:ascii="Calibri" w:eastAsia="Calibri" w:hAnsi="Calibri" w:cs="Arial"/>
        </w:rPr>
        <w:t>(Darling-Hammond et al. 2019)</w:t>
      </w:r>
      <w:r w:rsidRPr="00734A50">
        <w:rPr>
          <w:rFonts w:ascii="Calibri" w:eastAsia="Calibri" w:hAnsi="Calibri" w:cs="Arial"/>
        </w:rPr>
        <w:fldChar w:fldCharType="end"/>
      </w:r>
      <w:r w:rsidRPr="00734A50">
        <w:rPr>
          <w:rFonts w:ascii="Calibri" w:eastAsia="Calibri" w:hAnsi="Calibri" w:cs="Arial"/>
        </w:rPr>
        <w:t>.</w:t>
      </w:r>
      <w:r w:rsidR="00DE6D06" w:rsidRPr="00734A50">
        <w:rPr>
          <w:rFonts w:ascii="Calibri" w:eastAsia="Calibri" w:hAnsi="Calibri" w:cs="Arial"/>
        </w:rPr>
        <w:t xml:space="preserve"> </w:t>
      </w:r>
      <w:r w:rsidRPr="00734A50">
        <w:rPr>
          <w:rFonts w:ascii="Calibri" w:hAnsi="Calibri" w:cs="Calibri"/>
        </w:rPr>
        <w:t xml:space="preserve">To ensure the </w:t>
      </w:r>
      <w:r w:rsidR="00D674C0" w:rsidRPr="00734A50">
        <w:rPr>
          <w:rFonts w:ascii="Calibri" w:hAnsi="Calibri" w:cs="Calibri"/>
        </w:rPr>
        <w:t xml:space="preserve">core content </w:t>
      </w:r>
      <w:r w:rsidRPr="00734A50">
        <w:rPr>
          <w:rFonts w:ascii="Calibri" w:hAnsi="Calibri" w:cs="Calibri"/>
        </w:rPr>
        <w:t>is coherently embedd</w:t>
      </w:r>
      <w:r w:rsidR="00FD1D29" w:rsidRPr="00734A50">
        <w:rPr>
          <w:rFonts w:ascii="Calibri" w:hAnsi="Calibri" w:cs="Calibri"/>
        </w:rPr>
        <w:t>ed</w:t>
      </w:r>
      <w:r w:rsidRPr="00734A50">
        <w:rPr>
          <w:rFonts w:ascii="Calibri" w:hAnsi="Calibri" w:cs="Calibri"/>
        </w:rPr>
        <w:t xml:space="preserve"> </w:t>
      </w:r>
      <w:r w:rsidR="00D674C0" w:rsidRPr="00734A50">
        <w:rPr>
          <w:rFonts w:ascii="Calibri" w:hAnsi="Calibri" w:cs="Calibri"/>
        </w:rPr>
        <w:t xml:space="preserve">into ITE programs, higher education providers </w:t>
      </w:r>
      <w:r w:rsidR="003D10F6" w:rsidRPr="00734A50">
        <w:rPr>
          <w:rFonts w:ascii="Calibri" w:hAnsi="Calibri" w:cs="Calibri"/>
        </w:rPr>
        <w:t xml:space="preserve">should </w:t>
      </w:r>
      <w:r w:rsidR="00D674C0" w:rsidRPr="00734A50" w:rsidDel="00D37439">
        <w:rPr>
          <w:rFonts w:ascii="Calibri" w:hAnsi="Calibri" w:cs="Calibri"/>
        </w:rPr>
        <w:t xml:space="preserve">be </w:t>
      </w:r>
      <w:r w:rsidR="00D674C0" w:rsidRPr="00734A50">
        <w:rPr>
          <w:rFonts w:ascii="Calibri" w:hAnsi="Calibri" w:cs="Calibri"/>
        </w:rPr>
        <w:t xml:space="preserve">assessed against </w:t>
      </w:r>
      <w:r w:rsidR="3C87091A" w:rsidRPr="00734A50">
        <w:rPr>
          <w:rFonts w:ascii="Calibri" w:hAnsi="Calibri" w:cs="Calibri"/>
        </w:rPr>
        <w:t>amended Accreditation Standards</w:t>
      </w:r>
      <w:r w:rsidRPr="00734A50">
        <w:rPr>
          <w:rFonts w:ascii="Calibri" w:hAnsi="Calibri" w:cs="Calibri"/>
        </w:rPr>
        <w:t xml:space="preserve"> and </w:t>
      </w:r>
      <w:r w:rsidR="0043430F" w:rsidRPr="00734A50">
        <w:rPr>
          <w:rFonts w:ascii="Calibri" w:hAnsi="Calibri" w:cs="Calibri"/>
        </w:rPr>
        <w:t>P</w:t>
      </w:r>
      <w:r w:rsidRPr="00734A50">
        <w:rPr>
          <w:rFonts w:ascii="Calibri" w:hAnsi="Calibri" w:cs="Calibri"/>
        </w:rPr>
        <w:t>rocedures</w:t>
      </w:r>
      <w:r w:rsidR="0033736E" w:rsidRPr="00734A50">
        <w:rPr>
          <w:rFonts w:ascii="Calibri" w:hAnsi="Calibri" w:cs="Calibri"/>
        </w:rPr>
        <w:t xml:space="preserve"> so tha</w:t>
      </w:r>
      <w:r w:rsidR="00C12570" w:rsidRPr="00734A50">
        <w:rPr>
          <w:rFonts w:ascii="Calibri" w:hAnsi="Calibri" w:cs="Calibri"/>
        </w:rPr>
        <w:t>t</w:t>
      </w:r>
      <w:r w:rsidR="174AAFE3" w:rsidRPr="00734A50">
        <w:rPr>
          <w:lang w:eastAsia="en-AU"/>
        </w:rPr>
        <w:t>:</w:t>
      </w:r>
    </w:p>
    <w:p w14:paraId="284B65B5" w14:textId="53E53927" w:rsidR="009C02ED" w:rsidRPr="00734A50" w:rsidRDefault="003D10F6" w:rsidP="00843583">
      <w:pPr>
        <w:pStyle w:val="ListBullet"/>
        <w:numPr>
          <w:ilvl w:val="0"/>
          <w:numId w:val="212"/>
        </w:numPr>
      </w:pPr>
      <w:r w:rsidRPr="00734A50">
        <w:t>pre</w:t>
      </w:r>
      <w:r w:rsidR="00510406" w:rsidRPr="00734A50">
        <w:t>-</w:t>
      </w:r>
      <w:r w:rsidR="007355CE" w:rsidRPr="00734A50">
        <w:t>service</w:t>
      </w:r>
      <w:r w:rsidR="00510406" w:rsidRPr="00734A50">
        <w:t xml:space="preserve"> teachers </w:t>
      </w:r>
      <w:r w:rsidR="00C12570" w:rsidRPr="00734A50">
        <w:t>must</w:t>
      </w:r>
      <w:r w:rsidR="00510406" w:rsidRPr="00734A50">
        <w:t xml:space="preserve"> have demonstrated knowledge and</w:t>
      </w:r>
      <w:r w:rsidR="003238B9" w:rsidRPr="00734A50">
        <w:t xml:space="preserve"> met the</w:t>
      </w:r>
      <w:r w:rsidR="00510406" w:rsidRPr="00734A50">
        <w:t xml:space="preserve"> </w:t>
      </w:r>
      <w:r w:rsidR="00796B55" w:rsidRPr="00734A50">
        <w:t>learning outcomes of the core content</w:t>
      </w:r>
      <w:r w:rsidR="00510406" w:rsidRPr="00734A50">
        <w:t xml:space="preserve"> prior to graduation (Standard 1.1.)</w:t>
      </w:r>
    </w:p>
    <w:p w14:paraId="3F351847" w14:textId="5627020F" w:rsidR="009C02ED" w:rsidRPr="00734A50" w:rsidRDefault="005D144F" w:rsidP="00843583">
      <w:pPr>
        <w:pStyle w:val="ListBullet"/>
        <w:numPr>
          <w:ilvl w:val="0"/>
          <w:numId w:val="212"/>
        </w:numPr>
      </w:pPr>
      <w:r w:rsidRPr="00734A50">
        <w:t>t</w:t>
      </w:r>
      <w:r w:rsidR="009030C2" w:rsidRPr="00734A50">
        <w:t xml:space="preserve">he core content </w:t>
      </w:r>
      <w:r w:rsidR="00C12570" w:rsidRPr="00734A50">
        <w:t>must</w:t>
      </w:r>
      <w:r w:rsidR="009030C2" w:rsidRPr="00734A50">
        <w:t xml:space="preserve"> be part of the coherent evidence-based rationale for program development</w:t>
      </w:r>
      <w:r w:rsidR="007355CE" w:rsidRPr="00734A50">
        <w:t>, design and delivery (Standard 2.1)</w:t>
      </w:r>
    </w:p>
    <w:p w14:paraId="059F3EAB" w14:textId="1F6400BB" w:rsidR="00404DC9" w:rsidRPr="00734A50" w:rsidRDefault="004A40AF" w:rsidP="00843583">
      <w:pPr>
        <w:pStyle w:val="ListBullet"/>
        <w:numPr>
          <w:ilvl w:val="0"/>
          <w:numId w:val="212"/>
        </w:numPr>
        <w:spacing w:after="200"/>
        <w:ind w:left="357" w:hanging="357"/>
      </w:pPr>
      <w:r w:rsidRPr="00734A50">
        <w:t xml:space="preserve">the </w:t>
      </w:r>
      <w:r w:rsidR="007355CE" w:rsidRPr="00734A50">
        <w:t>discipline</w:t>
      </w:r>
      <w:r w:rsidR="00AF7817" w:rsidRPr="00734A50">
        <w:t>-</w:t>
      </w:r>
      <w:r w:rsidR="007355CE" w:rsidRPr="00734A50">
        <w:t>specific conten</w:t>
      </w:r>
      <w:r w:rsidRPr="00734A50">
        <w:t>t</w:t>
      </w:r>
      <w:r w:rsidR="00E64936" w:rsidRPr="00734A50">
        <w:t xml:space="preserve"> of ITE programs</w:t>
      </w:r>
      <w:r w:rsidR="00EB3694" w:rsidRPr="00734A50">
        <w:t xml:space="preserve"> is consistent with </w:t>
      </w:r>
      <w:r w:rsidR="00C904D6" w:rsidRPr="00734A50">
        <w:t>the core content</w:t>
      </w:r>
      <w:r w:rsidRPr="00734A50">
        <w:t xml:space="preserve"> </w:t>
      </w:r>
      <w:r w:rsidR="007355CE" w:rsidRPr="00734A50">
        <w:t>(Standard 4.2)</w:t>
      </w:r>
      <w:r w:rsidR="00796B55" w:rsidRPr="00734A50">
        <w:t xml:space="preserve">. </w:t>
      </w:r>
    </w:p>
    <w:p w14:paraId="58E1CE17" w14:textId="6BA5D9DD" w:rsidR="00834353" w:rsidRPr="00734A50" w:rsidRDefault="002A5C6D" w:rsidP="00834353">
      <w:pPr>
        <w:rPr>
          <w:rFonts w:ascii="Calibri" w:hAnsi="Calibri" w:cs="Calibri"/>
        </w:rPr>
      </w:pPr>
      <w:r w:rsidRPr="00734A50">
        <w:rPr>
          <w:rFonts w:ascii="Calibri" w:hAnsi="Calibri" w:cs="Calibri"/>
        </w:rPr>
        <w:t xml:space="preserve">The Panel recommends </w:t>
      </w:r>
      <w:r w:rsidR="000D286F" w:rsidRPr="00734A50">
        <w:rPr>
          <w:rFonts w:ascii="Calibri" w:hAnsi="Calibri" w:cs="Calibri"/>
        </w:rPr>
        <w:t>that h</w:t>
      </w:r>
      <w:r w:rsidR="00AF4B80" w:rsidRPr="00734A50">
        <w:rPr>
          <w:rFonts w:ascii="Calibri" w:hAnsi="Calibri" w:cs="Calibri"/>
        </w:rPr>
        <w:t xml:space="preserve">igher </w:t>
      </w:r>
      <w:r w:rsidR="00CA1DD8" w:rsidRPr="00734A50">
        <w:rPr>
          <w:rFonts w:ascii="Calibri" w:hAnsi="Calibri" w:cs="Calibri"/>
        </w:rPr>
        <w:t>education providers should</w:t>
      </w:r>
      <w:r w:rsidR="00AF4B80" w:rsidRPr="00734A50">
        <w:rPr>
          <w:rFonts w:ascii="Calibri" w:hAnsi="Calibri" w:cs="Calibri"/>
        </w:rPr>
        <w:t xml:space="preserve"> </w:t>
      </w:r>
      <w:r w:rsidR="00D37439" w:rsidRPr="00734A50">
        <w:rPr>
          <w:rFonts w:ascii="Calibri" w:hAnsi="Calibri" w:cs="Calibri"/>
        </w:rPr>
        <w:t xml:space="preserve">design </w:t>
      </w:r>
      <w:r w:rsidR="00CE58D7" w:rsidRPr="00734A50">
        <w:rPr>
          <w:rFonts w:ascii="Calibri" w:hAnsi="Calibri" w:cs="Calibri"/>
        </w:rPr>
        <w:t xml:space="preserve">courses that </w:t>
      </w:r>
      <w:r w:rsidR="00AB63E6" w:rsidRPr="00734A50">
        <w:rPr>
          <w:rFonts w:ascii="Calibri" w:hAnsi="Calibri" w:cs="Calibri"/>
        </w:rPr>
        <w:t>coherently incorporate</w:t>
      </w:r>
      <w:r w:rsidR="004C6FA0" w:rsidRPr="00734A50">
        <w:rPr>
          <w:rFonts w:ascii="Calibri" w:hAnsi="Calibri" w:cs="Calibri"/>
        </w:rPr>
        <w:t xml:space="preserve"> the</w:t>
      </w:r>
      <w:r w:rsidR="00AB63E6" w:rsidRPr="00734A50">
        <w:rPr>
          <w:rFonts w:ascii="Calibri" w:hAnsi="Calibri" w:cs="Calibri"/>
        </w:rPr>
        <w:t xml:space="preserve"> core conten</w:t>
      </w:r>
      <w:r w:rsidR="00F01C2D" w:rsidRPr="00734A50">
        <w:rPr>
          <w:rFonts w:ascii="Calibri" w:hAnsi="Calibri" w:cs="Calibri"/>
        </w:rPr>
        <w:t>t</w:t>
      </w:r>
      <w:r w:rsidR="00804D72" w:rsidRPr="00734A50">
        <w:rPr>
          <w:rFonts w:ascii="Calibri" w:hAnsi="Calibri" w:cs="Calibri"/>
        </w:rPr>
        <w:t xml:space="preserve"> </w:t>
      </w:r>
      <w:r w:rsidR="000D1936" w:rsidRPr="00734A50">
        <w:rPr>
          <w:rFonts w:ascii="Calibri" w:hAnsi="Calibri" w:cs="Calibri"/>
        </w:rPr>
        <w:t>into</w:t>
      </w:r>
      <w:r w:rsidR="008478ED" w:rsidRPr="00734A50">
        <w:rPr>
          <w:rFonts w:ascii="Calibri" w:hAnsi="Calibri" w:cs="Calibri"/>
        </w:rPr>
        <w:t xml:space="preserve"> </w:t>
      </w:r>
      <w:r w:rsidR="00660870" w:rsidRPr="00734A50">
        <w:rPr>
          <w:rFonts w:ascii="Calibri" w:hAnsi="Calibri" w:cs="Calibri"/>
        </w:rPr>
        <w:t xml:space="preserve">ITE programs </w:t>
      </w:r>
      <w:r w:rsidR="00804D72" w:rsidRPr="00734A50">
        <w:rPr>
          <w:rFonts w:ascii="Calibri" w:hAnsi="Calibri" w:cs="Calibri"/>
        </w:rPr>
        <w:t xml:space="preserve">and </w:t>
      </w:r>
      <w:r w:rsidR="00AC635F" w:rsidRPr="00734A50">
        <w:rPr>
          <w:rFonts w:ascii="Calibri" w:hAnsi="Calibri" w:cs="Calibri"/>
        </w:rPr>
        <w:t xml:space="preserve">should </w:t>
      </w:r>
      <w:r w:rsidR="00AB63E6" w:rsidRPr="00734A50">
        <w:rPr>
          <w:rFonts w:ascii="Calibri" w:hAnsi="Calibri" w:cs="Calibri"/>
        </w:rPr>
        <w:t>provide evidence</w:t>
      </w:r>
      <w:r w:rsidR="00804D72" w:rsidRPr="00734A50">
        <w:rPr>
          <w:rFonts w:ascii="Calibri" w:hAnsi="Calibri" w:cs="Calibri"/>
        </w:rPr>
        <w:t xml:space="preserve"> </w:t>
      </w:r>
      <w:r w:rsidR="000F6036" w:rsidRPr="00734A50">
        <w:rPr>
          <w:rFonts w:ascii="Calibri" w:hAnsi="Calibri" w:cs="Calibri"/>
        </w:rPr>
        <w:t>(</w:t>
      </w:r>
      <w:r w:rsidR="00804D72" w:rsidRPr="00734A50">
        <w:rPr>
          <w:rFonts w:ascii="Calibri" w:hAnsi="Calibri" w:cs="Calibri"/>
        </w:rPr>
        <w:t>during accreditation</w:t>
      </w:r>
      <w:r w:rsidR="000F6036" w:rsidRPr="00734A50">
        <w:rPr>
          <w:rFonts w:ascii="Calibri" w:hAnsi="Calibri" w:cs="Calibri"/>
        </w:rPr>
        <w:t>)</w:t>
      </w:r>
      <w:r w:rsidR="00AB63E6" w:rsidRPr="00734A50">
        <w:rPr>
          <w:rFonts w:ascii="Calibri" w:hAnsi="Calibri" w:cs="Calibri"/>
        </w:rPr>
        <w:t xml:space="preserve"> that </w:t>
      </w:r>
      <w:r w:rsidR="007850F3" w:rsidRPr="00734A50">
        <w:rPr>
          <w:rFonts w:ascii="Calibri" w:hAnsi="Calibri" w:cs="Calibri"/>
        </w:rPr>
        <w:t xml:space="preserve">they have </w:t>
      </w:r>
      <w:r w:rsidR="00177B48" w:rsidRPr="00734A50">
        <w:rPr>
          <w:rFonts w:ascii="Calibri" w:hAnsi="Calibri" w:cs="Calibri"/>
        </w:rPr>
        <w:t xml:space="preserve">met the revised </w:t>
      </w:r>
      <w:r w:rsidR="00660870" w:rsidRPr="00734A50">
        <w:rPr>
          <w:rFonts w:ascii="Calibri" w:hAnsi="Calibri" w:cs="Calibri"/>
        </w:rPr>
        <w:t>A</w:t>
      </w:r>
      <w:r w:rsidR="00177B48" w:rsidRPr="00734A50">
        <w:rPr>
          <w:rFonts w:ascii="Calibri" w:hAnsi="Calibri" w:cs="Calibri"/>
        </w:rPr>
        <w:t xml:space="preserve">ccreditation </w:t>
      </w:r>
      <w:r w:rsidR="00660870" w:rsidRPr="00734A50">
        <w:rPr>
          <w:rFonts w:ascii="Calibri" w:hAnsi="Calibri" w:cs="Calibri"/>
        </w:rPr>
        <w:t>S</w:t>
      </w:r>
      <w:r w:rsidR="00177B48" w:rsidRPr="00734A50">
        <w:rPr>
          <w:rFonts w:ascii="Calibri" w:hAnsi="Calibri" w:cs="Calibri"/>
        </w:rPr>
        <w:t xml:space="preserve">tandards and </w:t>
      </w:r>
      <w:r w:rsidR="00660870" w:rsidRPr="00734A50">
        <w:rPr>
          <w:rFonts w:ascii="Calibri" w:hAnsi="Calibri" w:cs="Calibri"/>
        </w:rPr>
        <w:t>P</w:t>
      </w:r>
      <w:r w:rsidR="00AC635F" w:rsidRPr="00734A50">
        <w:rPr>
          <w:rFonts w:ascii="Calibri" w:hAnsi="Calibri" w:cs="Calibri"/>
        </w:rPr>
        <w:t>rocedures</w:t>
      </w:r>
      <w:r w:rsidR="007850F3" w:rsidRPr="00734A50">
        <w:rPr>
          <w:rFonts w:ascii="Calibri" w:hAnsi="Calibri" w:cs="Calibri"/>
        </w:rPr>
        <w:t xml:space="preserve"> </w:t>
      </w:r>
      <w:r w:rsidR="4825FA0C" w:rsidRPr="00734A50">
        <w:rPr>
          <w:rFonts w:ascii="Calibri" w:hAnsi="Calibri" w:cs="Calibri"/>
        </w:rPr>
        <w:t>(</w:t>
      </w:r>
      <w:r w:rsidR="4825FA0C" w:rsidRPr="00734A50">
        <w:rPr>
          <w:rFonts w:ascii="Calibri" w:hAnsi="Calibri" w:cs="Calibri"/>
          <w:b/>
          <w:bCs/>
        </w:rPr>
        <w:t xml:space="preserve">Recommendation </w:t>
      </w:r>
      <w:r w:rsidR="5BF8B3DA" w:rsidRPr="00734A50">
        <w:rPr>
          <w:rFonts w:ascii="Calibri" w:hAnsi="Calibri" w:cs="Calibri"/>
          <w:b/>
          <w:bCs/>
        </w:rPr>
        <w:t>2</w:t>
      </w:r>
      <w:r w:rsidR="4825FA0C" w:rsidRPr="00734A50">
        <w:rPr>
          <w:rFonts w:ascii="Calibri" w:hAnsi="Calibri" w:cs="Calibri"/>
        </w:rPr>
        <w:t>).</w:t>
      </w:r>
    </w:p>
    <w:p w14:paraId="568748CB" w14:textId="73FEC595" w:rsidR="00834353" w:rsidRPr="00734A50" w:rsidRDefault="00047715" w:rsidP="6DDCDED7">
      <w:pPr>
        <w:pStyle w:val="Heading3"/>
        <w:rPr>
          <w:rFonts w:eastAsia="Yu Gothic Light"/>
        </w:rPr>
      </w:pPr>
      <w:bookmarkStart w:id="13" w:name="_Toc139366491"/>
      <w:bookmarkStart w:id="14" w:name="_Toc139366609"/>
      <w:r w:rsidRPr="00734A50">
        <w:rPr>
          <w:rFonts w:eastAsia="Yu Gothic Light"/>
        </w:rPr>
        <w:t xml:space="preserve">Strengthen </w:t>
      </w:r>
      <w:r w:rsidR="001A0E38">
        <w:rPr>
          <w:rFonts w:eastAsia="Yu Gothic Light"/>
        </w:rPr>
        <w:t xml:space="preserve">the </w:t>
      </w:r>
      <w:r w:rsidRPr="00734A50">
        <w:rPr>
          <w:rFonts w:eastAsia="Yu Gothic Light"/>
        </w:rPr>
        <w:t>national</w:t>
      </w:r>
      <w:r w:rsidR="009C02ED" w:rsidRPr="00734A50">
        <w:rPr>
          <w:rFonts w:eastAsia="Yu Gothic Light"/>
        </w:rPr>
        <w:t xml:space="preserve"> quality and consistency of</w:t>
      </w:r>
      <w:r w:rsidRPr="00734A50">
        <w:rPr>
          <w:rFonts w:eastAsia="Yu Gothic Light"/>
        </w:rPr>
        <w:t xml:space="preserve"> ITE program</w:t>
      </w:r>
      <w:r w:rsidR="00660870" w:rsidRPr="00734A50">
        <w:rPr>
          <w:rFonts w:eastAsia="Yu Gothic Light"/>
        </w:rPr>
        <w:t>s</w:t>
      </w:r>
      <w:bookmarkEnd w:id="13"/>
      <w:bookmarkEnd w:id="14"/>
    </w:p>
    <w:p w14:paraId="4C651E24" w14:textId="4C92859E" w:rsidR="00834353" w:rsidRPr="00734A50" w:rsidRDefault="00745819" w:rsidP="00834353">
      <w:pPr>
        <w:rPr>
          <w:lang w:eastAsia="en-AU"/>
        </w:rPr>
      </w:pPr>
      <w:r w:rsidRPr="00734A50">
        <w:rPr>
          <w:lang w:eastAsia="en-AU"/>
        </w:rPr>
        <w:t xml:space="preserve">The consistency of </w:t>
      </w:r>
      <w:r w:rsidR="006555A4" w:rsidRPr="00734A50">
        <w:rPr>
          <w:lang w:eastAsia="en-AU"/>
        </w:rPr>
        <w:t xml:space="preserve">ITE program quality </w:t>
      </w:r>
      <w:r w:rsidR="00637FE9" w:rsidRPr="00734A50">
        <w:rPr>
          <w:lang w:eastAsia="en-AU"/>
        </w:rPr>
        <w:t>was</w:t>
      </w:r>
      <w:r w:rsidR="006555A4" w:rsidRPr="00734A50">
        <w:rPr>
          <w:lang w:eastAsia="en-AU"/>
        </w:rPr>
        <w:t xml:space="preserve"> raised by both </w:t>
      </w:r>
      <w:r w:rsidR="00637FE9" w:rsidRPr="00734A50">
        <w:rPr>
          <w:lang w:eastAsia="en-AU"/>
        </w:rPr>
        <w:t xml:space="preserve">the </w:t>
      </w:r>
      <w:r w:rsidR="006555A4" w:rsidRPr="00734A50">
        <w:rPr>
          <w:lang w:eastAsia="en-AU"/>
        </w:rPr>
        <w:t>2014 TEMAG</w:t>
      </w:r>
      <w:r w:rsidR="00637FE9" w:rsidRPr="00734A50">
        <w:rPr>
          <w:lang w:eastAsia="en-AU"/>
        </w:rPr>
        <w:t xml:space="preserve"> Review</w:t>
      </w:r>
      <w:r w:rsidR="006555A4" w:rsidRPr="00734A50">
        <w:rPr>
          <w:lang w:eastAsia="en-AU"/>
        </w:rPr>
        <w:t xml:space="preserve"> and</w:t>
      </w:r>
      <w:r w:rsidR="00637FE9" w:rsidRPr="00734A50">
        <w:rPr>
          <w:lang w:eastAsia="en-AU"/>
        </w:rPr>
        <w:t xml:space="preserve"> the</w:t>
      </w:r>
      <w:r w:rsidR="006555A4" w:rsidRPr="00734A50">
        <w:rPr>
          <w:lang w:eastAsia="en-AU"/>
        </w:rPr>
        <w:t xml:space="preserve"> 2022 QITE Review. Ensuring consistent, high-quality delivery of the core content depends on </w:t>
      </w:r>
      <w:r w:rsidR="00BF5819" w:rsidRPr="00734A50">
        <w:rPr>
          <w:lang w:eastAsia="en-AU"/>
        </w:rPr>
        <w:t xml:space="preserve">consistent and rigorous </w:t>
      </w:r>
      <w:r w:rsidR="006555A4" w:rsidRPr="00734A50">
        <w:rPr>
          <w:lang w:eastAsia="en-AU"/>
        </w:rPr>
        <w:t>accreditation.</w:t>
      </w:r>
    </w:p>
    <w:p w14:paraId="076C6AE0" w14:textId="0CEBF349" w:rsidR="00834353" w:rsidRPr="00734A50" w:rsidRDefault="00047715" w:rsidP="00834353">
      <w:pPr>
        <w:rPr>
          <w:lang w:eastAsia="en-AU"/>
        </w:rPr>
      </w:pPr>
      <w:r w:rsidRPr="00734A50">
        <w:rPr>
          <w:lang w:eastAsia="en-AU"/>
        </w:rPr>
        <w:t xml:space="preserve">There have been significant amendments to the Accreditation Standards and Procedures since the TEMAG </w:t>
      </w:r>
      <w:r w:rsidR="00637FE9" w:rsidRPr="00734A50">
        <w:rPr>
          <w:lang w:eastAsia="en-AU"/>
        </w:rPr>
        <w:t>R</w:t>
      </w:r>
      <w:r w:rsidRPr="00734A50">
        <w:rPr>
          <w:lang w:eastAsia="en-AU"/>
        </w:rPr>
        <w:t>eview to strengthen national consistency and the rigour of accreditation decisions</w:t>
      </w:r>
      <w:r w:rsidR="00B55D28" w:rsidRPr="00734A50">
        <w:rPr>
          <w:lang w:eastAsia="en-AU"/>
        </w:rPr>
        <w:t>.</w:t>
      </w:r>
      <w:r w:rsidRPr="00734A50">
        <w:rPr>
          <w:lang w:eastAsia="en-AU"/>
        </w:rPr>
        <w:t xml:space="preserve"> </w:t>
      </w:r>
      <w:r w:rsidR="00B55D28" w:rsidRPr="00734A50">
        <w:rPr>
          <w:lang w:eastAsia="en-AU"/>
        </w:rPr>
        <w:t>H</w:t>
      </w:r>
      <w:r w:rsidRPr="00734A50">
        <w:rPr>
          <w:lang w:eastAsia="en-AU"/>
        </w:rPr>
        <w:t xml:space="preserve">owever, there are </w:t>
      </w:r>
      <w:r w:rsidR="00D72B4C" w:rsidRPr="00734A50">
        <w:rPr>
          <w:lang w:eastAsia="en-AU"/>
        </w:rPr>
        <w:t xml:space="preserve">insufficient </w:t>
      </w:r>
      <w:r w:rsidRPr="00734A50">
        <w:rPr>
          <w:lang w:eastAsia="en-AU"/>
        </w:rPr>
        <w:t xml:space="preserve">mechanisms to ensure all </w:t>
      </w:r>
      <w:r w:rsidR="0077696D" w:rsidRPr="00734A50">
        <w:rPr>
          <w:lang w:eastAsia="en-AU"/>
        </w:rPr>
        <w:t>T</w:t>
      </w:r>
      <w:r w:rsidRPr="00734A50">
        <w:rPr>
          <w:lang w:eastAsia="en-AU"/>
        </w:rPr>
        <w:t xml:space="preserve">eacher </w:t>
      </w:r>
      <w:r w:rsidR="0077696D" w:rsidRPr="00734A50">
        <w:rPr>
          <w:lang w:eastAsia="en-AU"/>
        </w:rPr>
        <w:t>R</w:t>
      </w:r>
      <w:r w:rsidRPr="00734A50">
        <w:rPr>
          <w:lang w:eastAsia="en-AU"/>
        </w:rPr>
        <w:t xml:space="preserve">egulatory </w:t>
      </w:r>
      <w:r w:rsidR="0077696D" w:rsidRPr="00734A50">
        <w:rPr>
          <w:lang w:eastAsia="en-AU"/>
        </w:rPr>
        <w:t>A</w:t>
      </w:r>
      <w:r w:rsidRPr="00734A50">
        <w:rPr>
          <w:lang w:eastAsia="en-AU"/>
        </w:rPr>
        <w:t xml:space="preserve">uthorities are consistently assessing ITE programs against the Accreditation Standards and Procedures in the same way. </w:t>
      </w:r>
      <w:r w:rsidR="00AC4617" w:rsidRPr="00734A50">
        <w:rPr>
          <w:lang w:eastAsia="en-AU"/>
        </w:rPr>
        <w:t>There is</w:t>
      </w:r>
      <w:r w:rsidR="008C788D" w:rsidRPr="00734A50">
        <w:rPr>
          <w:lang w:eastAsia="en-AU"/>
        </w:rPr>
        <w:t xml:space="preserve"> </w:t>
      </w:r>
      <w:r w:rsidR="0005561C" w:rsidRPr="00734A50">
        <w:rPr>
          <w:lang w:eastAsia="en-AU"/>
        </w:rPr>
        <w:t>also</w:t>
      </w:r>
      <w:r w:rsidR="008C788D" w:rsidRPr="00734A50">
        <w:rPr>
          <w:lang w:eastAsia="en-AU"/>
        </w:rPr>
        <w:t xml:space="preserve"> </w:t>
      </w:r>
      <w:r w:rsidR="00AC4617" w:rsidRPr="00734A50">
        <w:rPr>
          <w:lang w:eastAsia="en-AU"/>
        </w:rPr>
        <w:t>no</w:t>
      </w:r>
      <w:r w:rsidR="008C788D" w:rsidRPr="00734A50">
        <w:rPr>
          <w:lang w:eastAsia="en-AU"/>
        </w:rPr>
        <w:t xml:space="preserve"> systematic approach or program of research designed to inform improvements to the quality of ITE programs. </w:t>
      </w:r>
      <w:r w:rsidRPr="00734A50">
        <w:rPr>
          <w:lang w:eastAsia="en-AU"/>
        </w:rPr>
        <w:t>This reflects</w:t>
      </w:r>
      <w:r w:rsidR="00AF7817" w:rsidRPr="00734A50">
        <w:rPr>
          <w:lang w:eastAsia="en-AU"/>
        </w:rPr>
        <w:t xml:space="preserve"> the fact that</w:t>
      </w:r>
      <w:r w:rsidRPr="00734A50">
        <w:rPr>
          <w:lang w:eastAsia="en-AU"/>
        </w:rPr>
        <w:t xml:space="preserve"> there is no </w:t>
      </w:r>
      <w:r w:rsidR="002C26D9" w:rsidRPr="00734A50">
        <w:rPr>
          <w:lang w:eastAsia="en-AU"/>
        </w:rPr>
        <w:t xml:space="preserve">single </w:t>
      </w:r>
      <w:r w:rsidRPr="00734A50">
        <w:rPr>
          <w:lang w:eastAsia="en-AU"/>
        </w:rPr>
        <w:t>body responsible for ITE.</w:t>
      </w:r>
    </w:p>
    <w:p w14:paraId="7ED86D9D" w14:textId="7754D786" w:rsidR="00834353" w:rsidRPr="00734A50" w:rsidRDefault="007D4035" w:rsidP="00834353">
      <w:pPr>
        <w:rPr>
          <w:lang w:eastAsia="en-AU"/>
        </w:rPr>
      </w:pPr>
      <w:r w:rsidRPr="00734A50">
        <w:t>Rather than moving to a national accreditation model</w:t>
      </w:r>
      <w:r w:rsidRPr="00734A50">
        <w:rPr>
          <w:rFonts w:ascii="Calibri" w:eastAsia="Calibri" w:hAnsi="Calibri" w:cs="Calibri"/>
        </w:rPr>
        <w:t>, t</w:t>
      </w:r>
      <w:r w:rsidR="00B85590" w:rsidRPr="00734A50">
        <w:rPr>
          <w:rFonts w:ascii="Calibri" w:eastAsia="Calibri" w:hAnsi="Calibri" w:cs="Calibri"/>
        </w:rPr>
        <w:t xml:space="preserve">he Panel </w:t>
      </w:r>
      <w:r w:rsidR="00D11CFC" w:rsidRPr="00734A50">
        <w:rPr>
          <w:rFonts w:ascii="Calibri" w:eastAsia="Calibri" w:hAnsi="Calibri" w:cs="Calibri"/>
        </w:rPr>
        <w:t>considers</w:t>
      </w:r>
      <w:r w:rsidR="00AF7817" w:rsidRPr="00734A50">
        <w:rPr>
          <w:rFonts w:ascii="Calibri" w:eastAsia="Calibri" w:hAnsi="Calibri" w:cs="Calibri"/>
        </w:rPr>
        <w:t xml:space="preserve"> that</w:t>
      </w:r>
      <w:r w:rsidR="00B85590" w:rsidRPr="00734A50">
        <w:rPr>
          <w:rFonts w:ascii="Calibri" w:eastAsia="Calibri" w:hAnsi="Calibri" w:cs="Calibri"/>
        </w:rPr>
        <w:t xml:space="preserve"> </w:t>
      </w:r>
      <w:r w:rsidR="00B85590" w:rsidRPr="00734A50">
        <w:t xml:space="preserve">strengthened oversight and governance arrangements for ITE programs </w:t>
      </w:r>
      <w:r w:rsidR="006173A7" w:rsidRPr="00734A50">
        <w:t>are</w:t>
      </w:r>
      <w:r w:rsidR="00B85590" w:rsidRPr="00734A50">
        <w:t xml:space="preserve"> needed to ensure the quality and consistency of ITE programs.</w:t>
      </w:r>
      <w:r w:rsidR="00601FC0" w:rsidRPr="00734A50">
        <w:t xml:space="preserve"> </w:t>
      </w:r>
      <w:r w:rsidR="00D15978" w:rsidRPr="00734A50">
        <w:t xml:space="preserve">The Panel recommends </w:t>
      </w:r>
      <w:r w:rsidR="00307B04" w:rsidRPr="00734A50">
        <w:t>establishing an</w:t>
      </w:r>
      <w:r w:rsidR="007F1672" w:rsidRPr="00734A50">
        <w:rPr>
          <w:lang w:eastAsia="en-AU"/>
        </w:rPr>
        <w:t xml:space="preserve"> ITE quality assurance </w:t>
      </w:r>
      <w:r w:rsidR="008B0DFB" w:rsidRPr="00734A50">
        <w:rPr>
          <w:lang w:eastAsia="en-AU"/>
        </w:rPr>
        <w:t>board</w:t>
      </w:r>
      <w:r w:rsidR="0C434CFF" w:rsidRPr="00734A50">
        <w:rPr>
          <w:lang w:eastAsia="en-AU"/>
        </w:rPr>
        <w:t xml:space="preserve">, </w:t>
      </w:r>
      <w:r w:rsidR="0073057C" w:rsidRPr="00734A50">
        <w:rPr>
          <w:lang w:eastAsia="en-AU"/>
        </w:rPr>
        <w:t>including independent membership</w:t>
      </w:r>
      <w:r w:rsidR="004C2948" w:rsidRPr="00734A50">
        <w:rPr>
          <w:lang w:eastAsia="en-AU"/>
        </w:rPr>
        <w:t xml:space="preserve"> based on relevant expertise</w:t>
      </w:r>
      <w:r w:rsidR="0073057C" w:rsidRPr="00734A50">
        <w:rPr>
          <w:lang w:eastAsia="en-AU"/>
        </w:rPr>
        <w:t xml:space="preserve">, </w:t>
      </w:r>
      <w:r w:rsidR="0C434CFF" w:rsidRPr="00734A50">
        <w:rPr>
          <w:lang w:eastAsia="en-AU"/>
        </w:rPr>
        <w:t xml:space="preserve">similar in </w:t>
      </w:r>
      <w:r w:rsidR="00A2488B" w:rsidRPr="00734A50">
        <w:rPr>
          <w:lang w:eastAsia="en-AU"/>
        </w:rPr>
        <w:t xml:space="preserve">operation </w:t>
      </w:r>
      <w:r w:rsidR="0C434CFF" w:rsidRPr="00734A50">
        <w:rPr>
          <w:lang w:eastAsia="en-AU"/>
        </w:rPr>
        <w:t xml:space="preserve">to the Australian Teacher Workforce Data Oversight Board, </w:t>
      </w:r>
      <w:r w:rsidR="00884864" w:rsidRPr="00734A50">
        <w:rPr>
          <w:lang w:eastAsia="en-AU"/>
        </w:rPr>
        <w:t>to</w:t>
      </w:r>
      <w:r w:rsidR="00E64E53" w:rsidRPr="00734A50">
        <w:rPr>
          <w:lang w:eastAsia="en-AU"/>
        </w:rPr>
        <w:t xml:space="preserve"> report to Education Ministers annually on the quality and consistency of ITE programs and their outcomes</w:t>
      </w:r>
      <w:r w:rsidR="00884864" w:rsidRPr="00734A50">
        <w:rPr>
          <w:lang w:eastAsia="en-AU"/>
        </w:rPr>
        <w:t xml:space="preserve"> </w:t>
      </w:r>
      <w:r w:rsidR="00836F61" w:rsidRPr="00734A50">
        <w:rPr>
          <w:lang w:eastAsia="en-AU"/>
        </w:rPr>
        <w:t>(</w:t>
      </w:r>
      <w:r w:rsidR="00836F61" w:rsidRPr="00734A50">
        <w:rPr>
          <w:b/>
          <w:bCs/>
          <w:lang w:eastAsia="en-AU"/>
        </w:rPr>
        <w:t>Recommendation 3</w:t>
      </w:r>
      <w:r w:rsidR="00836F61" w:rsidRPr="00734A50">
        <w:rPr>
          <w:lang w:eastAsia="en-AU"/>
        </w:rPr>
        <w:t>)</w:t>
      </w:r>
      <w:r w:rsidR="00BF6060" w:rsidRPr="00734A50">
        <w:rPr>
          <w:lang w:eastAsia="en-AU"/>
        </w:rPr>
        <w:t>.</w:t>
      </w:r>
    </w:p>
    <w:p w14:paraId="21401133" w14:textId="2B2721EA" w:rsidR="00834353" w:rsidRPr="00734A50" w:rsidRDefault="00554C2F" w:rsidP="6DDCDED7">
      <w:pPr>
        <w:pStyle w:val="Heading2"/>
        <w:rPr>
          <w:lang w:eastAsia="en-AU"/>
        </w:rPr>
      </w:pPr>
      <w:bookmarkStart w:id="15" w:name="_Toc139366610"/>
      <w:r w:rsidRPr="00734A50">
        <w:rPr>
          <w:lang w:eastAsia="en-AU"/>
        </w:rPr>
        <w:t xml:space="preserve">Priority Reform 2: Strengthening the link between performance and funding </w:t>
      </w:r>
      <w:r w:rsidR="00097DD2">
        <w:rPr>
          <w:lang w:eastAsia="en-AU"/>
        </w:rPr>
        <w:t>for</w:t>
      </w:r>
      <w:r w:rsidR="00097DD2" w:rsidRPr="00734A50">
        <w:rPr>
          <w:lang w:eastAsia="en-AU"/>
        </w:rPr>
        <w:t xml:space="preserve"> </w:t>
      </w:r>
      <w:r w:rsidR="00DD4573" w:rsidRPr="00734A50">
        <w:rPr>
          <w:lang w:eastAsia="en-AU"/>
        </w:rPr>
        <w:t>ITE</w:t>
      </w:r>
      <w:r w:rsidRPr="00734A50">
        <w:rPr>
          <w:lang w:eastAsia="en-AU"/>
        </w:rPr>
        <w:t xml:space="preserve"> programs</w:t>
      </w:r>
      <w:bookmarkEnd w:id="15"/>
    </w:p>
    <w:p w14:paraId="04CE0435" w14:textId="52E0DC9C" w:rsidR="00834353" w:rsidRPr="00734A50" w:rsidRDefault="00647BAF" w:rsidP="00647BAF">
      <w:pPr>
        <w:rPr>
          <w:lang w:eastAsia="en-AU"/>
        </w:rPr>
      </w:pPr>
      <w:r w:rsidRPr="00734A50">
        <w:rPr>
          <w:lang w:eastAsia="en-AU"/>
        </w:rPr>
        <w:t xml:space="preserve">The QITE Review acknowledged the centrality of the Accreditation Standards and Procedures in defining </w:t>
      </w:r>
      <w:r w:rsidR="007462DA" w:rsidRPr="00734A50">
        <w:rPr>
          <w:lang w:eastAsia="en-AU"/>
        </w:rPr>
        <w:t>threshold</w:t>
      </w:r>
      <w:r w:rsidRPr="00734A50">
        <w:rPr>
          <w:lang w:eastAsia="en-AU"/>
        </w:rPr>
        <w:t xml:space="preserve"> </w:t>
      </w:r>
      <w:r w:rsidR="00DD4573" w:rsidRPr="00734A50">
        <w:rPr>
          <w:lang w:eastAsia="en-AU"/>
        </w:rPr>
        <w:t>standard</w:t>
      </w:r>
      <w:r w:rsidR="007462DA" w:rsidRPr="00734A50">
        <w:rPr>
          <w:lang w:eastAsia="en-AU"/>
        </w:rPr>
        <w:t>s</w:t>
      </w:r>
      <w:r w:rsidR="00DD4573" w:rsidRPr="00734A50">
        <w:rPr>
          <w:lang w:eastAsia="en-AU"/>
        </w:rPr>
        <w:t xml:space="preserve"> for </w:t>
      </w:r>
      <w:r w:rsidRPr="00734A50">
        <w:rPr>
          <w:lang w:eastAsia="en-AU"/>
        </w:rPr>
        <w:t xml:space="preserve">ITE but recommended the development of a quality measure for ITE programs to encourage quality improvements. </w:t>
      </w:r>
      <w:r w:rsidR="00F802BB" w:rsidRPr="00734A50">
        <w:rPr>
          <w:lang w:eastAsia="en-AU"/>
        </w:rPr>
        <w:t>Amending</w:t>
      </w:r>
      <w:r w:rsidR="00B72DFD" w:rsidRPr="00734A50">
        <w:rPr>
          <w:lang w:eastAsia="en-AU"/>
        </w:rPr>
        <w:t xml:space="preserve"> the Accreditation Standards </w:t>
      </w:r>
      <w:r w:rsidR="00555F8D" w:rsidRPr="00734A50">
        <w:rPr>
          <w:lang w:eastAsia="en-AU"/>
        </w:rPr>
        <w:t xml:space="preserve">and Procedures to include the core content for ITE programs </w:t>
      </w:r>
      <w:r w:rsidR="00F93874" w:rsidRPr="00734A50">
        <w:rPr>
          <w:lang w:eastAsia="en-AU"/>
        </w:rPr>
        <w:t>and establishing a</w:t>
      </w:r>
      <w:r w:rsidR="00DD4573" w:rsidRPr="00734A50">
        <w:rPr>
          <w:lang w:eastAsia="en-AU"/>
        </w:rPr>
        <w:t>n ITE</w:t>
      </w:r>
      <w:r w:rsidR="00F93874" w:rsidRPr="00734A50">
        <w:rPr>
          <w:lang w:eastAsia="en-AU"/>
        </w:rPr>
        <w:t xml:space="preserve"> quality assurance board </w:t>
      </w:r>
      <w:r w:rsidR="005C0081" w:rsidRPr="00734A50">
        <w:rPr>
          <w:lang w:eastAsia="en-AU"/>
        </w:rPr>
        <w:t>would</w:t>
      </w:r>
      <w:r w:rsidR="00B72DFD" w:rsidRPr="00734A50">
        <w:t xml:space="preserve"> play an important role in strengthening the quality of ITE</w:t>
      </w:r>
      <w:r w:rsidR="001C3B7E" w:rsidRPr="00734A50">
        <w:t>. However,</w:t>
      </w:r>
      <w:r w:rsidR="005D7E1A" w:rsidRPr="00734A50">
        <w:t xml:space="preserve"> accreditation does</w:t>
      </w:r>
      <w:r w:rsidR="00B72DFD" w:rsidRPr="00734A50">
        <w:t xml:space="preserve"> not sufficiently recognise and reward ITE providers with a culture of continuous improvement.</w:t>
      </w:r>
    </w:p>
    <w:p w14:paraId="75095DB1" w14:textId="75C679F9" w:rsidR="00647BAF" w:rsidRPr="00734A50" w:rsidRDefault="00647BAF" w:rsidP="00647BAF">
      <w:r w:rsidRPr="00734A50">
        <w:lastRenderedPageBreak/>
        <w:t xml:space="preserve">The QITE </w:t>
      </w:r>
      <w:r w:rsidR="00A60DC2" w:rsidRPr="00734A50">
        <w:t>R</w:t>
      </w:r>
      <w:r w:rsidRPr="00734A50">
        <w:t>eview noted the lack of transparency in the current system</w:t>
      </w:r>
      <w:r w:rsidR="00AF7817" w:rsidRPr="00734A50">
        <w:t>,</w:t>
      </w:r>
      <w:r w:rsidRPr="00734A50">
        <w:t xml:space="preserve"> where information </w:t>
      </w:r>
      <w:r w:rsidR="007F1366" w:rsidRPr="00734A50">
        <w:t xml:space="preserve">on ITE </w:t>
      </w:r>
      <w:r w:rsidRPr="00734A50">
        <w:t xml:space="preserve">is not easily available to the public. </w:t>
      </w:r>
      <w:r w:rsidR="00597402" w:rsidRPr="00734A50">
        <w:t>Whil</w:t>
      </w:r>
      <w:r w:rsidR="00AB2BA2" w:rsidRPr="00734A50">
        <w:t>e</w:t>
      </w:r>
      <w:r w:rsidR="00597402" w:rsidRPr="00734A50">
        <w:t xml:space="preserve"> a</w:t>
      </w:r>
      <w:r w:rsidRPr="00734A50">
        <w:t xml:space="preserve">ccreditation requires higher education providers to evaluate their ITE programs, they are free to choose the outcomes and evidence they </w:t>
      </w:r>
      <w:r w:rsidR="00AA57F1" w:rsidRPr="00734A50">
        <w:t>would</w:t>
      </w:r>
      <w:r w:rsidRPr="00734A50">
        <w:t xml:space="preserve"> use.</w:t>
      </w:r>
    </w:p>
    <w:p w14:paraId="7FEFA906" w14:textId="26DF99F0" w:rsidR="002319EE" w:rsidRPr="00734A50" w:rsidRDefault="00647BAF" w:rsidP="06106A81">
      <w:pPr>
        <w:rPr>
          <w:rFonts w:ascii="Calibri" w:eastAsia="Times New Roman" w:hAnsi="Calibri" w:cs="Calibri"/>
          <w:lang w:eastAsia="en-AU"/>
        </w:rPr>
      </w:pPr>
      <w:r w:rsidRPr="00734A50">
        <w:rPr>
          <w:rFonts w:ascii="Calibri" w:eastAsia="Calibri" w:hAnsi="Calibri" w:cs="Calibri"/>
        </w:rPr>
        <w:t>The Panel has been asked to provide advice on establishing a quality measure for ITE programs and strengthening the link between performance and funding.</w:t>
      </w:r>
    </w:p>
    <w:p w14:paraId="5F47A5CF" w14:textId="36B3DBAC" w:rsidR="0D4A59F8" w:rsidRPr="00734A50" w:rsidRDefault="00EA09C3" w:rsidP="6DDCDED7">
      <w:pPr>
        <w:pStyle w:val="Heading3"/>
        <w:rPr>
          <w:rFonts w:eastAsia="Yu Gothic Light"/>
        </w:rPr>
      </w:pPr>
      <w:bookmarkStart w:id="16" w:name="_Toc139366493"/>
      <w:bookmarkStart w:id="17" w:name="_Toc139366611"/>
      <w:r w:rsidRPr="00734A50">
        <w:rPr>
          <w:rFonts w:eastAsia="Yu Gothic Light"/>
        </w:rPr>
        <w:t>Establish nationally consistent, transparent indicators</w:t>
      </w:r>
      <w:r w:rsidR="00E56410" w:rsidRPr="00734A50">
        <w:rPr>
          <w:rFonts w:eastAsia="Yu Gothic Light"/>
        </w:rPr>
        <w:t xml:space="preserve"> of ITE program</w:t>
      </w:r>
      <w:r w:rsidR="00E4558D" w:rsidRPr="00734A50">
        <w:rPr>
          <w:rFonts w:eastAsia="Yu Gothic Light"/>
        </w:rPr>
        <w:t>s</w:t>
      </w:r>
      <w:bookmarkEnd w:id="16"/>
      <w:bookmarkEnd w:id="17"/>
    </w:p>
    <w:p w14:paraId="22A559DB" w14:textId="6F31D717" w:rsidR="0D4A59F8" w:rsidRPr="00734A50" w:rsidRDefault="0D4A59F8" w:rsidP="06106A81">
      <w:r w:rsidRPr="00734A50">
        <w:rPr>
          <w:rFonts w:ascii="Calibri" w:eastAsia="Calibri" w:hAnsi="Calibri" w:cs="Calibri"/>
        </w:rPr>
        <w:t xml:space="preserve">One way to inspire performance and encourage providers to improve is through the creation and implementation of </w:t>
      </w:r>
      <w:r w:rsidR="00EA09C3" w:rsidRPr="00734A50">
        <w:rPr>
          <w:rFonts w:ascii="Calibri" w:eastAsia="Calibri" w:hAnsi="Calibri" w:cs="Calibri"/>
        </w:rPr>
        <w:t>nationally consistent, transparent indicators</w:t>
      </w:r>
      <w:r w:rsidRPr="00734A50">
        <w:rPr>
          <w:rFonts w:ascii="Calibri" w:eastAsia="Calibri" w:hAnsi="Calibri" w:cs="Calibri"/>
        </w:rPr>
        <w:t xml:space="preserve">, </w:t>
      </w:r>
      <w:r w:rsidR="00DD4573" w:rsidRPr="00734A50">
        <w:rPr>
          <w:rFonts w:ascii="Calibri" w:eastAsia="Calibri" w:hAnsi="Calibri" w:cs="Calibri"/>
        </w:rPr>
        <w:t>to</w:t>
      </w:r>
      <w:r w:rsidRPr="00734A50">
        <w:rPr>
          <w:rFonts w:ascii="Calibri" w:eastAsia="Calibri" w:hAnsi="Calibri" w:cs="Calibri"/>
        </w:rPr>
        <w:t xml:space="preserve"> </w:t>
      </w:r>
      <w:r w:rsidR="00264EAB" w:rsidRPr="00734A50">
        <w:rPr>
          <w:rFonts w:ascii="Calibri" w:eastAsia="Calibri" w:hAnsi="Calibri" w:cs="Calibri"/>
        </w:rPr>
        <w:t xml:space="preserve">identify trends </w:t>
      </w:r>
      <w:r w:rsidR="005231A6" w:rsidRPr="00734A50">
        <w:rPr>
          <w:rFonts w:ascii="Calibri" w:eastAsia="Calibri" w:hAnsi="Calibri" w:cs="Calibri"/>
        </w:rPr>
        <w:t>over time</w:t>
      </w:r>
      <w:r w:rsidRPr="00734A50">
        <w:rPr>
          <w:rFonts w:ascii="Calibri" w:eastAsia="Calibri" w:hAnsi="Calibri" w:cs="Calibri"/>
        </w:rPr>
        <w:t>.</w:t>
      </w:r>
    </w:p>
    <w:p w14:paraId="0028DECC" w14:textId="2B386DE7" w:rsidR="0D4A59F8" w:rsidRPr="00734A50" w:rsidRDefault="0D4A59F8" w:rsidP="00C374F8">
      <w:pPr>
        <w:spacing w:after="0"/>
      </w:pPr>
      <w:r w:rsidRPr="00734A50">
        <w:rPr>
          <w:rFonts w:ascii="Calibri" w:eastAsia="Calibri" w:hAnsi="Calibri" w:cs="Calibri"/>
        </w:rPr>
        <w:t xml:space="preserve">The Panel has defined four categories of relevant nationally consistent </w:t>
      </w:r>
      <w:r w:rsidR="006D676F" w:rsidRPr="00734A50">
        <w:rPr>
          <w:rFonts w:ascii="Calibri" w:eastAsia="Calibri" w:hAnsi="Calibri" w:cs="Calibri"/>
        </w:rPr>
        <w:t>indicators</w:t>
      </w:r>
      <w:r w:rsidR="004F194C" w:rsidRPr="00734A50">
        <w:rPr>
          <w:rFonts w:ascii="Calibri" w:eastAsia="Calibri" w:hAnsi="Calibri" w:cs="Calibri"/>
        </w:rPr>
        <w:t>, aligned to accreditation requirements,</w:t>
      </w:r>
      <w:r w:rsidR="00D32624" w:rsidRPr="00734A50">
        <w:rPr>
          <w:rFonts w:ascii="Calibri" w:eastAsia="Calibri" w:hAnsi="Calibri" w:cs="Calibri"/>
        </w:rPr>
        <w:t xml:space="preserve"> to encourage improvements and provide visibility for prospective students of different ITE programs</w:t>
      </w:r>
      <w:r w:rsidRPr="00734A50">
        <w:rPr>
          <w:rFonts w:ascii="Calibri" w:eastAsia="Calibri" w:hAnsi="Calibri" w:cs="Calibri"/>
        </w:rPr>
        <w:t>:</w:t>
      </w:r>
    </w:p>
    <w:p w14:paraId="2B8F6AC2" w14:textId="626FE50B" w:rsidR="0D4A59F8" w:rsidRPr="00734A50" w:rsidRDefault="0D4A59F8" w:rsidP="00640B7D">
      <w:pPr>
        <w:pStyle w:val="List"/>
        <w:numPr>
          <w:ilvl w:val="0"/>
          <w:numId w:val="165"/>
        </w:numPr>
      </w:pPr>
      <w:r w:rsidRPr="00734A50">
        <w:rPr>
          <w:b/>
          <w:bCs/>
        </w:rPr>
        <w:t>selection</w:t>
      </w:r>
      <w:r w:rsidRPr="00734A50">
        <w:t>: diverse, high-achieving cohorts in areas of workforce need</w:t>
      </w:r>
    </w:p>
    <w:p w14:paraId="63EC25D4" w14:textId="059BE52A" w:rsidR="0D4A59F8" w:rsidRPr="00734A50" w:rsidRDefault="0D4A59F8" w:rsidP="009F2264">
      <w:pPr>
        <w:pStyle w:val="List"/>
      </w:pPr>
      <w:r w:rsidRPr="00734A50">
        <w:rPr>
          <w:b/>
          <w:bCs/>
        </w:rPr>
        <w:t>retention</w:t>
      </w:r>
      <w:r w:rsidRPr="00734A50">
        <w:t>: retention of students over the duration of ITE, from entry to graduation</w:t>
      </w:r>
    </w:p>
    <w:p w14:paraId="428235D6" w14:textId="41250A49" w:rsidR="0D4A59F8" w:rsidRPr="00734A50" w:rsidRDefault="0D4A59F8" w:rsidP="009F2264">
      <w:pPr>
        <w:pStyle w:val="List"/>
      </w:pPr>
      <w:r w:rsidRPr="00734A50">
        <w:rPr>
          <w:b/>
          <w:bCs/>
        </w:rPr>
        <w:t>preparedness of beginning teachers</w:t>
      </w:r>
      <w:r w:rsidRPr="00734A50">
        <w:t xml:space="preserve">: perceived preparedness for entry into the teaching profession and student satisfaction with </w:t>
      </w:r>
      <w:r w:rsidR="00142296" w:rsidRPr="00734A50">
        <w:t xml:space="preserve">the </w:t>
      </w:r>
      <w:r w:rsidRPr="00734A50">
        <w:t xml:space="preserve">quality of their </w:t>
      </w:r>
      <w:r w:rsidR="0061364A" w:rsidRPr="00734A50">
        <w:t>program</w:t>
      </w:r>
    </w:p>
    <w:p w14:paraId="31DF796D" w14:textId="7B4C09E8" w:rsidR="0D4A59F8" w:rsidRPr="00734A50" w:rsidRDefault="0D4A59F8" w:rsidP="0026262D">
      <w:pPr>
        <w:pStyle w:val="List"/>
      </w:pPr>
      <w:r w:rsidRPr="00734A50">
        <w:rPr>
          <w:b/>
          <w:bCs/>
        </w:rPr>
        <w:t>transition</w:t>
      </w:r>
      <w:r w:rsidRPr="00734A50">
        <w:t>: employment outcomes of recent graduates and early career teachers.</w:t>
      </w:r>
    </w:p>
    <w:p w14:paraId="3DFCFB46" w14:textId="20396110" w:rsidR="00F17FA7" w:rsidRPr="00734A50" w:rsidRDefault="004F194C" w:rsidP="06106A81">
      <w:pPr>
        <w:rPr>
          <w:rFonts w:ascii="Calibri" w:eastAsia="Calibri" w:hAnsi="Calibri" w:cs="Calibri"/>
        </w:rPr>
      </w:pPr>
      <w:r w:rsidRPr="00734A50">
        <w:rPr>
          <w:rFonts w:ascii="Calibri" w:eastAsia="Calibri" w:hAnsi="Calibri" w:cs="Calibri"/>
        </w:rPr>
        <w:t xml:space="preserve">The Panel recognises that the national indicators are a starting point </w:t>
      </w:r>
      <w:r w:rsidR="00CD62EB" w:rsidRPr="00734A50">
        <w:rPr>
          <w:rFonts w:ascii="Calibri" w:eastAsia="Calibri" w:hAnsi="Calibri" w:cs="Calibri"/>
        </w:rPr>
        <w:t>for</w:t>
      </w:r>
      <w:r w:rsidRPr="00734A50">
        <w:rPr>
          <w:rFonts w:ascii="Calibri" w:eastAsia="Calibri" w:hAnsi="Calibri" w:cs="Calibri"/>
        </w:rPr>
        <w:t xml:space="preserve"> </w:t>
      </w:r>
      <w:r w:rsidR="009B207B" w:rsidRPr="00734A50">
        <w:rPr>
          <w:rFonts w:ascii="Calibri" w:eastAsia="Calibri" w:hAnsi="Calibri" w:cs="Calibri"/>
        </w:rPr>
        <w:t>transparent</w:t>
      </w:r>
      <w:r w:rsidRPr="00734A50">
        <w:rPr>
          <w:rFonts w:ascii="Calibri" w:eastAsia="Calibri" w:hAnsi="Calibri" w:cs="Calibri"/>
        </w:rPr>
        <w:t xml:space="preserve"> and </w:t>
      </w:r>
      <w:r w:rsidR="009B207B" w:rsidRPr="00734A50">
        <w:rPr>
          <w:rFonts w:ascii="Calibri" w:eastAsia="Calibri" w:hAnsi="Calibri" w:cs="Calibri"/>
        </w:rPr>
        <w:t>consistent reporting</w:t>
      </w:r>
      <w:r w:rsidRPr="00734A50">
        <w:rPr>
          <w:rFonts w:ascii="Calibri" w:eastAsia="Calibri" w:hAnsi="Calibri" w:cs="Calibri"/>
        </w:rPr>
        <w:t xml:space="preserve"> of ITE programs</w:t>
      </w:r>
      <w:r w:rsidR="00A66081" w:rsidRPr="00734A50">
        <w:rPr>
          <w:rFonts w:ascii="Calibri" w:eastAsia="Calibri" w:hAnsi="Calibri" w:cs="Calibri"/>
        </w:rPr>
        <w:t>;</w:t>
      </w:r>
      <w:r w:rsidRPr="00734A50">
        <w:rPr>
          <w:rFonts w:ascii="Calibri" w:eastAsia="Calibri" w:hAnsi="Calibri" w:cs="Calibri"/>
        </w:rPr>
        <w:t xml:space="preserve"> more research and work is required to build more effective and robust measures into the future. The proposed </w:t>
      </w:r>
      <w:r w:rsidR="007F1672" w:rsidRPr="00734A50">
        <w:rPr>
          <w:rFonts w:ascii="Calibri" w:eastAsia="Calibri" w:hAnsi="Calibri" w:cs="Calibri"/>
        </w:rPr>
        <w:t>ITE quality assurance</w:t>
      </w:r>
      <w:r w:rsidRPr="00734A50">
        <w:rPr>
          <w:rFonts w:ascii="Calibri" w:eastAsia="Calibri" w:hAnsi="Calibri" w:cs="Calibri"/>
        </w:rPr>
        <w:t xml:space="preserve"> </w:t>
      </w:r>
      <w:r w:rsidR="00062CAE" w:rsidRPr="00734A50">
        <w:rPr>
          <w:rFonts w:ascii="Calibri" w:eastAsia="Calibri" w:hAnsi="Calibri" w:cs="Calibri"/>
        </w:rPr>
        <w:t>b</w:t>
      </w:r>
      <w:r w:rsidR="00911E4B" w:rsidRPr="00734A50">
        <w:rPr>
          <w:rFonts w:ascii="Calibri" w:eastAsia="Calibri" w:hAnsi="Calibri" w:cs="Calibri"/>
        </w:rPr>
        <w:t>oard</w:t>
      </w:r>
      <w:r w:rsidRPr="00734A50">
        <w:rPr>
          <w:rFonts w:ascii="Calibri" w:eastAsia="Calibri" w:hAnsi="Calibri" w:cs="Calibri"/>
        </w:rPr>
        <w:t xml:space="preserve"> </w:t>
      </w:r>
      <w:r w:rsidRPr="005C177E">
        <w:rPr>
          <w:rFonts w:ascii="Calibri" w:eastAsia="Calibri" w:hAnsi="Calibri" w:cs="Calibri"/>
          <w:b/>
          <w:bCs/>
        </w:rPr>
        <w:t>(</w:t>
      </w:r>
      <w:r w:rsidR="00D73743" w:rsidRPr="005C177E">
        <w:rPr>
          <w:rFonts w:ascii="Calibri" w:eastAsia="Calibri" w:hAnsi="Calibri" w:cs="Calibri"/>
          <w:b/>
          <w:bCs/>
        </w:rPr>
        <w:t>R</w:t>
      </w:r>
      <w:r w:rsidRPr="005C177E">
        <w:rPr>
          <w:rFonts w:ascii="Calibri" w:eastAsia="Calibri" w:hAnsi="Calibri" w:cs="Calibri"/>
          <w:b/>
          <w:bCs/>
        </w:rPr>
        <w:t>ecommendation 3)</w:t>
      </w:r>
      <w:r w:rsidRPr="00734A50">
        <w:rPr>
          <w:rFonts w:ascii="Calibri" w:eastAsia="Calibri" w:hAnsi="Calibri" w:cs="Calibri"/>
        </w:rPr>
        <w:t xml:space="preserve"> should be responsible for the development of future measures, informed by research and </w:t>
      </w:r>
      <w:r w:rsidR="004A4F51" w:rsidRPr="00734A50">
        <w:rPr>
          <w:rFonts w:ascii="Calibri" w:eastAsia="Calibri" w:hAnsi="Calibri" w:cs="Calibri"/>
        </w:rPr>
        <w:t>improved</w:t>
      </w:r>
      <w:r w:rsidRPr="00734A50">
        <w:rPr>
          <w:rFonts w:ascii="Calibri" w:eastAsia="Calibri" w:hAnsi="Calibri" w:cs="Calibri"/>
        </w:rPr>
        <w:t xml:space="preserve"> data.</w:t>
      </w:r>
    </w:p>
    <w:p w14:paraId="1956E9F9" w14:textId="05C92462" w:rsidR="002319EE" w:rsidRPr="00734A50" w:rsidRDefault="0031037F" w:rsidP="00BF6060">
      <w:pPr>
        <w:rPr>
          <w:rFonts w:ascii="Calibri" w:eastAsia="Calibri" w:hAnsi="Calibri" w:cs="Calibri"/>
        </w:rPr>
      </w:pPr>
      <w:r w:rsidRPr="00734A50">
        <w:t>The Panel recommends p</w:t>
      </w:r>
      <w:r w:rsidR="004870F0" w:rsidRPr="00734A50">
        <w:t xml:space="preserve">ublicly </w:t>
      </w:r>
      <w:r w:rsidR="003D18F4" w:rsidRPr="00734A50">
        <w:t xml:space="preserve">reporting </w:t>
      </w:r>
      <w:r w:rsidR="004F4E38" w:rsidRPr="00734A50">
        <w:t xml:space="preserve">on </w:t>
      </w:r>
      <w:r w:rsidR="003D18F4" w:rsidRPr="00734A50">
        <w:t>th</w:t>
      </w:r>
      <w:r w:rsidR="00D21132" w:rsidRPr="00734A50">
        <w:t xml:space="preserve">ese indicators through the Australian Teacher Workforce Data </w:t>
      </w:r>
      <w:r w:rsidR="00B81933" w:rsidRPr="00734A50">
        <w:t>c</w:t>
      </w:r>
      <w:r w:rsidR="00D21132" w:rsidRPr="00734A50">
        <w:t xml:space="preserve">ollection </w:t>
      </w:r>
      <w:r w:rsidRPr="00734A50">
        <w:t>to</w:t>
      </w:r>
      <w:r w:rsidR="00D21132" w:rsidRPr="00734A50">
        <w:t xml:space="preserve"> </w:t>
      </w:r>
      <w:r w:rsidR="0028040D" w:rsidRPr="00734A50">
        <w:t xml:space="preserve">recognise specific areas of strength and sustained improvement, </w:t>
      </w:r>
      <w:r w:rsidR="00D21132" w:rsidRPr="00734A50">
        <w:t xml:space="preserve">identify areas for </w:t>
      </w:r>
      <w:r w:rsidR="0028040D" w:rsidRPr="00734A50">
        <w:t xml:space="preserve">further </w:t>
      </w:r>
      <w:r w:rsidR="00D21132" w:rsidRPr="00734A50">
        <w:t>improvement and</w:t>
      </w:r>
      <w:r w:rsidR="00997D0B" w:rsidRPr="00734A50">
        <w:t xml:space="preserve"> inform</w:t>
      </w:r>
      <w:r w:rsidR="00D21132" w:rsidRPr="00734A50">
        <w:t xml:space="preserve"> </w:t>
      </w:r>
      <w:r w:rsidR="00CD633C" w:rsidRPr="00734A50">
        <w:t xml:space="preserve">student choice </w:t>
      </w:r>
      <w:r w:rsidR="003D18F4" w:rsidRPr="00734A50">
        <w:rPr>
          <w:b/>
          <w:bCs/>
        </w:rPr>
        <w:t xml:space="preserve">(Recommendation </w:t>
      </w:r>
      <w:r w:rsidR="00CD633C" w:rsidRPr="00734A50">
        <w:rPr>
          <w:b/>
          <w:bCs/>
        </w:rPr>
        <w:t>4</w:t>
      </w:r>
      <w:r w:rsidR="00F17FA7" w:rsidRPr="00734A50">
        <w:rPr>
          <w:b/>
          <w:bCs/>
        </w:rPr>
        <w:t>)</w:t>
      </w:r>
      <w:r w:rsidR="00C13E49" w:rsidRPr="00734A50">
        <w:t>.</w:t>
      </w:r>
    </w:p>
    <w:p w14:paraId="34F00754" w14:textId="46FBA49B" w:rsidR="005647E8" w:rsidRPr="00734A50" w:rsidRDefault="00613CA3" w:rsidP="6DDCDED7">
      <w:pPr>
        <w:pStyle w:val="Heading3"/>
        <w:rPr>
          <w:rFonts w:eastAsia="Yu Gothic Light"/>
        </w:rPr>
      </w:pPr>
      <w:bookmarkStart w:id="18" w:name="_Toc139366494"/>
      <w:bookmarkStart w:id="19" w:name="_Toc139366612"/>
      <w:r w:rsidRPr="00734A50">
        <w:rPr>
          <w:rFonts w:eastAsia="Yu Gothic Light"/>
        </w:rPr>
        <w:t>Streamline</w:t>
      </w:r>
      <w:r w:rsidR="001F1EAB" w:rsidRPr="00734A50">
        <w:rPr>
          <w:rFonts w:eastAsia="Yu Gothic Light"/>
        </w:rPr>
        <w:t xml:space="preserve"> </w:t>
      </w:r>
      <w:r w:rsidR="00B6029E" w:rsidRPr="00734A50">
        <w:rPr>
          <w:rFonts w:eastAsia="Yu Gothic Light"/>
        </w:rPr>
        <w:t xml:space="preserve">reporting </w:t>
      </w:r>
      <w:r w:rsidRPr="00734A50">
        <w:rPr>
          <w:rFonts w:eastAsia="Yu Gothic Light"/>
        </w:rPr>
        <w:t>requirements</w:t>
      </w:r>
      <w:bookmarkEnd w:id="18"/>
      <w:bookmarkEnd w:id="19"/>
      <w:r w:rsidRPr="00734A50">
        <w:rPr>
          <w:rFonts w:eastAsia="Yu Gothic Light"/>
        </w:rPr>
        <w:t xml:space="preserve"> </w:t>
      </w:r>
    </w:p>
    <w:p w14:paraId="6CC37068" w14:textId="27FE48A4" w:rsidR="000E01D9" w:rsidRPr="00734A50" w:rsidRDefault="000E01D9" w:rsidP="000E01D9">
      <w:r w:rsidRPr="00734A50">
        <w:t>The Accreditation Standards and Procedures require new</w:t>
      </w:r>
      <w:r w:rsidR="00690067">
        <w:t xml:space="preserve"> providers of</w:t>
      </w:r>
      <w:r w:rsidRPr="00734A50">
        <w:t xml:space="preserve"> ITE programs to develop a plan for demonstrating the impact of their program and to provide evidence of impact at the end of the accreditation period (Program Standard 6).</w:t>
      </w:r>
    </w:p>
    <w:p w14:paraId="20BC39FF" w14:textId="3DB15D11" w:rsidR="000E01D9" w:rsidRPr="00734A50" w:rsidRDefault="000E01D9" w:rsidP="000E01D9">
      <w:pPr>
        <w:rPr>
          <w:rFonts w:ascii="Calibri" w:eastAsia="Calibri" w:hAnsi="Calibri" w:cs="Calibri"/>
        </w:rPr>
      </w:pPr>
      <w:r w:rsidRPr="00734A50">
        <w:rPr>
          <w:rFonts w:ascii="Calibri" w:eastAsia="Calibri" w:hAnsi="Calibri" w:cs="Calibri"/>
        </w:rPr>
        <w:t xml:space="preserve">Stakeholder feedback reveals </w:t>
      </w:r>
      <w:r w:rsidR="00A50447" w:rsidRPr="00734A50">
        <w:rPr>
          <w:rFonts w:ascii="Calibri" w:eastAsia="Calibri" w:hAnsi="Calibri" w:cs="Calibri"/>
        </w:rPr>
        <w:t xml:space="preserve">that </w:t>
      </w:r>
      <w:r w:rsidRPr="00734A50">
        <w:rPr>
          <w:rFonts w:ascii="Calibri" w:eastAsia="Calibri" w:hAnsi="Calibri" w:cs="Calibri"/>
        </w:rPr>
        <w:t xml:space="preserve">higher education providers value this requirement as a way of identifying how their program has performed and where it can improve. Despite this, they face two main difficulties in meeting this requirement: collecting and analysing this </w:t>
      </w:r>
      <w:r w:rsidR="00850BEE" w:rsidRPr="00734A50">
        <w:rPr>
          <w:rFonts w:ascii="Calibri" w:eastAsia="Calibri" w:hAnsi="Calibri" w:cs="Calibri"/>
        </w:rPr>
        <w:t>data and</w:t>
      </w:r>
      <w:r w:rsidRPr="00734A50">
        <w:rPr>
          <w:rFonts w:ascii="Calibri" w:eastAsia="Calibri" w:hAnsi="Calibri" w:cs="Calibri"/>
        </w:rPr>
        <w:t xml:space="preserve"> </w:t>
      </w:r>
      <w:r w:rsidR="00CA6F9D" w:rsidRPr="00734A50">
        <w:rPr>
          <w:rFonts w:ascii="Calibri" w:eastAsia="Calibri" w:hAnsi="Calibri" w:cs="Calibri"/>
        </w:rPr>
        <w:t xml:space="preserve">understanding </w:t>
      </w:r>
      <w:r w:rsidRPr="00734A50">
        <w:rPr>
          <w:rFonts w:ascii="Calibri" w:eastAsia="Calibri" w:hAnsi="Calibri" w:cs="Calibri"/>
        </w:rPr>
        <w:t xml:space="preserve">the level </w:t>
      </w:r>
      <w:r w:rsidR="005F76F0" w:rsidRPr="00734A50">
        <w:rPr>
          <w:rFonts w:ascii="Calibri" w:eastAsia="Calibri" w:hAnsi="Calibri" w:cs="Calibri"/>
        </w:rPr>
        <w:t xml:space="preserve">of detail </w:t>
      </w:r>
      <w:r w:rsidRPr="00734A50">
        <w:rPr>
          <w:rFonts w:ascii="Calibri" w:eastAsia="Calibri" w:hAnsi="Calibri" w:cs="Calibri"/>
        </w:rPr>
        <w:t>and types of information needed to meet accreditation requirements.</w:t>
      </w:r>
    </w:p>
    <w:p w14:paraId="496C9E7B" w14:textId="39BE00F6" w:rsidR="00CA6F9D" w:rsidRPr="00734A50" w:rsidRDefault="003E2FB3" w:rsidP="000E01D9">
      <w:pPr>
        <w:rPr>
          <w:rFonts w:ascii="Calibri" w:eastAsia="Calibri" w:hAnsi="Calibri" w:cs="Calibri"/>
        </w:rPr>
      </w:pPr>
      <w:r w:rsidRPr="00734A50">
        <w:rPr>
          <w:rFonts w:ascii="Calibri" w:eastAsia="Calibri" w:hAnsi="Calibri" w:cs="Calibri"/>
        </w:rPr>
        <w:t xml:space="preserve">The Panel recommends </w:t>
      </w:r>
      <w:r w:rsidR="00A50447" w:rsidRPr="00734A50">
        <w:rPr>
          <w:rFonts w:ascii="Calibri" w:eastAsia="Calibri" w:hAnsi="Calibri" w:cs="Calibri"/>
        </w:rPr>
        <w:t xml:space="preserve">mandating </w:t>
      </w:r>
      <w:r w:rsidRPr="00734A50">
        <w:rPr>
          <w:rFonts w:ascii="Calibri" w:eastAsia="Calibri" w:hAnsi="Calibri" w:cs="Calibri"/>
        </w:rPr>
        <w:t>t</w:t>
      </w:r>
      <w:r w:rsidR="00354B7A" w:rsidRPr="00734A50">
        <w:rPr>
          <w:rFonts w:ascii="Calibri" w:eastAsia="Calibri" w:hAnsi="Calibri" w:cs="Calibri"/>
        </w:rPr>
        <w:t xml:space="preserve">he nationally consistent, transparent indicators </w:t>
      </w:r>
      <w:r w:rsidR="00492873" w:rsidRPr="00734A50">
        <w:rPr>
          <w:rFonts w:ascii="Calibri" w:eastAsia="Calibri" w:hAnsi="Calibri" w:cs="Calibri"/>
        </w:rPr>
        <w:t xml:space="preserve">as </w:t>
      </w:r>
      <w:r w:rsidR="00354B7A" w:rsidRPr="00734A50">
        <w:rPr>
          <w:rFonts w:ascii="Calibri" w:eastAsia="Calibri" w:hAnsi="Calibri" w:cs="Calibri"/>
        </w:rPr>
        <w:t xml:space="preserve">key outcomes for ITE programs to </w:t>
      </w:r>
      <w:r w:rsidR="00613CA3" w:rsidRPr="00734A50">
        <w:rPr>
          <w:rFonts w:ascii="Calibri" w:eastAsia="Calibri" w:hAnsi="Calibri" w:cs="Calibri"/>
        </w:rPr>
        <w:t xml:space="preserve">streamline </w:t>
      </w:r>
      <w:r w:rsidR="00492873" w:rsidRPr="00734A50">
        <w:rPr>
          <w:rFonts w:ascii="Calibri" w:eastAsia="Calibri" w:hAnsi="Calibri" w:cs="Calibri"/>
        </w:rPr>
        <w:t>higher education providers’</w:t>
      </w:r>
      <w:r w:rsidR="002B3A93" w:rsidRPr="00734A50">
        <w:rPr>
          <w:rFonts w:ascii="Calibri" w:eastAsia="Calibri" w:hAnsi="Calibri" w:cs="Calibri"/>
        </w:rPr>
        <w:t xml:space="preserve"> evaluation </w:t>
      </w:r>
      <w:r w:rsidR="00581853" w:rsidRPr="00734A50">
        <w:rPr>
          <w:rFonts w:ascii="Calibri" w:eastAsia="Calibri" w:hAnsi="Calibri" w:cs="Calibri"/>
        </w:rPr>
        <w:t>of and</w:t>
      </w:r>
      <w:r w:rsidR="00354B7A" w:rsidRPr="00734A50">
        <w:rPr>
          <w:rFonts w:ascii="Calibri" w:eastAsia="Calibri" w:hAnsi="Calibri" w:cs="Calibri"/>
        </w:rPr>
        <w:t xml:space="preserve"> reporting </w:t>
      </w:r>
      <w:r w:rsidR="0071759A" w:rsidRPr="00734A50">
        <w:rPr>
          <w:rFonts w:ascii="Calibri" w:eastAsia="Calibri" w:hAnsi="Calibri" w:cs="Calibri"/>
        </w:rPr>
        <w:t>on outcomes</w:t>
      </w:r>
      <w:r w:rsidR="00354B7A" w:rsidRPr="00734A50">
        <w:rPr>
          <w:rFonts w:ascii="Calibri" w:eastAsia="Calibri" w:hAnsi="Calibri" w:cs="Calibri"/>
        </w:rPr>
        <w:t xml:space="preserve"> </w:t>
      </w:r>
      <w:r w:rsidR="00491475" w:rsidRPr="00734A50">
        <w:rPr>
          <w:rFonts w:ascii="Calibri" w:eastAsia="Calibri" w:hAnsi="Calibri" w:cs="Calibri"/>
        </w:rPr>
        <w:t>(</w:t>
      </w:r>
      <w:r w:rsidR="00491475" w:rsidRPr="00734A50">
        <w:rPr>
          <w:rFonts w:ascii="Calibri" w:eastAsia="Calibri" w:hAnsi="Calibri" w:cs="Calibri"/>
          <w:b/>
          <w:bCs/>
        </w:rPr>
        <w:t>Recommendation 5</w:t>
      </w:r>
      <w:r w:rsidR="00491475" w:rsidRPr="00734A50">
        <w:rPr>
          <w:rFonts w:ascii="Calibri" w:eastAsia="Calibri" w:hAnsi="Calibri" w:cs="Calibri"/>
        </w:rPr>
        <w:t>)</w:t>
      </w:r>
      <w:r w:rsidR="00FF706C" w:rsidRPr="00734A50">
        <w:rPr>
          <w:rFonts w:ascii="Calibri" w:eastAsia="Calibri" w:hAnsi="Calibri" w:cs="Calibri"/>
        </w:rPr>
        <w:t>.</w:t>
      </w:r>
    </w:p>
    <w:p w14:paraId="47446EBA" w14:textId="17122E5C" w:rsidR="007D5390" w:rsidRPr="00734A50" w:rsidRDefault="007D5390" w:rsidP="6DDCDED7">
      <w:pPr>
        <w:pStyle w:val="Heading3"/>
        <w:rPr>
          <w:rFonts w:eastAsia="Yu Gothic Light"/>
        </w:rPr>
      </w:pPr>
      <w:bookmarkStart w:id="20" w:name="_Toc139366495"/>
      <w:bookmarkStart w:id="21" w:name="_Toc139366613"/>
      <w:r w:rsidRPr="00734A50">
        <w:rPr>
          <w:rFonts w:eastAsia="Yu Gothic Light"/>
        </w:rPr>
        <w:lastRenderedPageBreak/>
        <w:t xml:space="preserve">Establish a Transition Fund and </w:t>
      </w:r>
      <w:r w:rsidR="2F60B973" w:rsidRPr="00734A50">
        <w:rPr>
          <w:rFonts w:eastAsia="Yu Gothic Light"/>
        </w:rPr>
        <w:t>an</w:t>
      </w:r>
      <w:r w:rsidR="6AD568B6" w:rsidRPr="00734A50">
        <w:rPr>
          <w:rFonts w:eastAsia="Yu Gothic Light"/>
        </w:rPr>
        <w:t xml:space="preserve"> </w:t>
      </w:r>
      <w:r w:rsidRPr="00734A50">
        <w:rPr>
          <w:rFonts w:eastAsia="Yu Gothic Light"/>
        </w:rPr>
        <w:t>Excellence Fund to improve the quality of ITE programs</w:t>
      </w:r>
      <w:bookmarkEnd w:id="20"/>
      <w:bookmarkEnd w:id="21"/>
    </w:p>
    <w:p w14:paraId="0CC9A57A" w14:textId="11B65440" w:rsidR="007D5390" w:rsidRPr="00734A50" w:rsidRDefault="007D5390" w:rsidP="007D5390">
      <w:pPr>
        <w:rPr>
          <w:rFonts w:ascii="Calibri" w:eastAsia="Calibri" w:hAnsi="Calibri" w:cs="Calibri"/>
        </w:rPr>
      </w:pPr>
      <w:r w:rsidRPr="00734A50">
        <w:rPr>
          <w:rFonts w:ascii="Calibri" w:eastAsia="Calibri" w:hAnsi="Calibri" w:cs="Calibri"/>
        </w:rPr>
        <w:t xml:space="preserve">Modest financial </w:t>
      </w:r>
      <w:r w:rsidR="3A8A90F9" w:rsidRPr="00734A50">
        <w:rPr>
          <w:rFonts w:ascii="Calibri" w:eastAsia="Calibri" w:hAnsi="Calibri" w:cs="Calibri"/>
        </w:rPr>
        <w:t>inc</w:t>
      </w:r>
      <w:r w:rsidR="67CF675F" w:rsidRPr="00734A50">
        <w:rPr>
          <w:rFonts w:ascii="Calibri" w:eastAsia="Calibri" w:hAnsi="Calibri" w:cs="Calibri"/>
        </w:rPr>
        <w:t>entives</w:t>
      </w:r>
      <w:r w:rsidRPr="00734A50">
        <w:rPr>
          <w:rFonts w:ascii="Calibri" w:eastAsia="Calibri" w:hAnsi="Calibri" w:cs="Calibri"/>
        </w:rPr>
        <w:t xml:space="preserve"> for higher education providers making genuine and successful efforts to improve the quality of their ITE programs is a low-risk option to encourage improved quality (Productivity Commission, 2023). </w:t>
      </w:r>
      <w:r w:rsidR="00892893" w:rsidRPr="00734A50">
        <w:rPr>
          <w:rFonts w:ascii="Calibri" w:eastAsia="Calibri" w:hAnsi="Calibri" w:cs="Calibri"/>
        </w:rPr>
        <w:t>In submissions to the Panel’s Discussion Paper, s</w:t>
      </w:r>
      <w:r w:rsidR="00036EC6" w:rsidRPr="00734A50">
        <w:rPr>
          <w:rFonts w:ascii="Calibri" w:eastAsia="Calibri" w:hAnsi="Calibri" w:cs="Calibri"/>
        </w:rPr>
        <w:t xml:space="preserve">takeholders supported a focus on </w:t>
      </w:r>
      <w:r w:rsidR="004E5542" w:rsidRPr="00734A50">
        <w:rPr>
          <w:rFonts w:ascii="Calibri" w:eastAsia="Calibri" w:hAnsi="Calibri" w:cs="Calibri"/>
        </w:rPr>
        <w:t>funding</w:t>
      </w:r>
      <w:r w:rsidRPr="00734A50">
        <w:rPr>
          <w:rFonts w:ascii="Calibri" w:eastAsia="Calibri" w:hAnsi="Calibri" w:cs="Calibri"/>
        </w:rPr>
        <w:t xml:space="preserve"> that </w:t>
      </w:r>
      <w:r w:rsidR="00036EC6" w:rsidRPr="00734A50">
        <w:rPr>
          <w:rFonts w:ascii="Calibri" w:eastAsia="Calibri" w:hAnsi="Calibri" w:cs="Calibri"/>
        </w:rPr>
        <w:t>improv</w:t>
      </w:r>
      <w:r w:rsidR="00B956B5" w:rsidRPr="00734A50">
        <w:rPr>
          <w:rFonts w:ascii="Calibri" w:eastAsia="Calibri" w:hAnsi="Calibri" w:cs="Calibri"/>
        </w:rPr>
        <w:t>es</w:t>
      </w:r>
      <w:r w:rsidR="00036EC6" w:rsidRPr="00734A50">
        <w:rPr>
          <w:rFonts w:ascii="Calibri" w:eastAsia="Calibri" w:hAnsi="Calibri" w:cs="Calibri"/>
        </w:rPr>
        <w:t xml:space="preserve"> the </w:t>
      </w:r>
      <w:r w:rsidR="00B956B5" w:rsidRPr="00734A50">
        <w:rPr>
          <w:rFonts w:ascii="Calibri" w:eastAsia="Calibri" w:hAnsi="Calibri" w:cs="Calibri"/>
        </w:rPr>
        <w:t>quality of all ITE programs</w:t>
      </w:r>
      <w:r w:rsidR="00BE12F2" w:rsidRPr="00734A50">
        <w:rPr>
          <w:rFonts w:ascii="Calibri" w:eastAsia="Calibri" w:hAnsi="Calibri" w:cs="Calibri"/>
        </w:rPr>
        <w:t>, rather than rewar</w:t>
      </w:r>
      <w:r w:rsidR="00773C7C" w:rsidRPr="00734A50">
        <w:rPr>
          <w:rFonts w:ascii="Calibri" w:eastAsia="Calibri" w:hAnsi="Calibri" w:cs="Calibri"/>
        </w:rPr>
        <w:t xml:space="preserve">ding </w:t>
      </w:r>
      <w:r w:rsidR="00127751" w:rsidRPr="00734A50">
        <w:rPr>
          <w:rFonts w:ascii="Calibri" w:eastAsia="Calibri" w:hAnsi="Calibri" w:cs="Calibri"/>
        </w:rPr>
        <w:t>individual higher education providers.</w:t>
      </w:r>
      <w:r w:rsidR="004E5542" w:rsidRPr="00734A50">
        <w:rPr>
          <w:rFonts w:ascii="Calibri" w:eastAsia="Calibri" w:hAnsi="Calibri" w:cs="Calibri"/>
        </w:rPr>
        <w:t xml:space="preserve"> </w:t>
      </w:r>
      <w:r w:rsidRPr="00734A50">
        <w:rPr>
          <w:rFonts w:ascii="Calibri" w:eastAsia="Calibri" w:hAnsi="Calibri" w:cs="Calibri"/>
        </w:rPr>
        <w:t>The Panel considers</w:t>
      </w:r>
      <w:r w:rsidR="00A50447" w:rsidRPr="00734A50">
        <w:rPr>
          <w:rFonts w:ascii="Calibri" w:eastAsia="Calibri" w:hAnsi="Calibri" w:cs="Calibri"/>
        </w:rPr>
        <w:t xml:space="preserve"> that</w:t>
      </w:r>
      <w:r w:rsidRPr="00734A50">
        <w:rPr>
          <w:rFonts w:ascii="Calibri" w:eastAsia="Calibri" w:hAnsi="Calibri" w:cs="Calibri"/>
        </w:rPr>
        <w:t xml:space="preserve"> two types of financial incentives could encourage higher education providers to improve the quality of their ITE programs: a Transition Fund and </w:t>
      </w:r>
      <w:r w:rsidR="00491475" w:rsidRPr="00734A50">
        <w:rPr>
          <w:rFonts w:ascii="Calibri" w:eastAsia="Calibri" w:hAnsi="Calibri" w:cs="Calibri"/>
        </w:rPr>
        <w:t>an</w:t>
      </w:r>
      <w:r w:rsidRPr="00734A50">
        <w:rPr>
          <w:rFonts w:ascii="Calibri" w:eastAsia="Calibri" w:hAnsi="Calibri" w:cs="Calibri"/>
        </w:rPr>
        <w:t xml:space="preserve"> Excellence Fund.</w:t>
      </w:r>
    </w:p>
    <w:p w14:paraId="23E39559" w14:textId="31FF5EFD" w:rsidR="00CF15B8" w:rsidRPr="00734A50" w:rsidRDefault="003C6045" w:rsidP="00890CCA">
      <w:pPr>
        <w:spacing w:line="259" w:lineRule="auto"/>
        <w:rPr>
          <w:rFonts w:ascii="Calibri" w:eastAsia="Calibri" w:hAnsi="Calibri" w:cs="Calibri"/>
        </w:rPr>
      </w:pPr>
      <w:r w:rsidRPr="00734A50">
        <w:rPr>
          <w:rFonts w:ascii="Calibri" w:eastAsia="Calibri" w:hAnsi="Calibri" w:cs="Calibri"/>
        </w:rPr>
        <w:t>The Panel recommends establishing</w:t>
      </w:r>
      <w:r w:rsidR="005C55AF" w:rsidRPr="00734A50">
        <w:rPr>
          <w:rFonts w:ascii="Calibri" w:eastAsia="Calibri" w:hAnsi="Calibri" w:cs="Calibri"/>
        </w:rPr>
        <w:t xml:space="preserve"> a Transition Fund </w:t>
      </w:r>
      <w:r w:rsidRPr="00734A50">
        <w:rPr>
          <w:rFonts w:ascii="Calibri" w:eastAsia="Calibri" w:hAnsi="Calibri" w:cs="Calibri"/>
        </w:rPr>
        <w:t>to</w:t>
      </w:r>
      <w:r w:rsidR="005C55AF" w:rsidRPr="00734A50">
        <w:rPr>
          <w:rFonts w:ascii="Calibri" w:eastAsia="Calibri" w:hAnsi="Calibri" w:cs="Calibri"/>
        </w:rPr>
        <w:t xml:space="preserve"> </w:t>
      </w:r>
      <w:r w:rsidR="00DA6CF8" w:rsidRPr="00734A50">
        <w:rPr>
          <w:rFonts w:ascii="Calibri" w:eastAsia="Calibri" w:hAnsi="Calibri" w:cs="Calibri"/>
        </w:rPr>
        <w:t>support higher education providers to improve performance and assist with any costs associated with incorporating core content into ITE programs</w:t>
      </w:r>
      <w:r w:rsidR="6D892962" w:rsidRPr="00734A50">
        <w:rPr>
          <w:rFonts w:ascii="Calibri" w:eastAsia="Calibri" w:hAnsi="Calibri" w:cs="Calibri"/>
        </w:rPr>
        <w:t xml:space="preserve">. </w:t>
      </w:r>
      <w:r w:rsidR="1C2BC72E" w:rsidRPr="00734A50">
        <w:rPr>
          <w:rFonts w:ascii="Calibri" w:eastAsia="Calibri" w:hAnsi="Calibri" w:cs="Calibri"/>
        </w:rPr>
        <w:t xml:space="preserve">Funding could support </w:t>
      </w:r>
      <w:r w:rsidR="1C2BC72E" w:rsidRPr="00734A50">
        <w:rPr>
          <w:rFonts w:ascii="Calibri" w:eastAsia="Calibri" w:hAnsi="Calibri" w:cs="Arial"/>
        </w:rPr>
        <w:t>activities such as development of curriculum resources</w:t>
      </w:r>
      <w:r w:rsidR="2D8FD20A" w:rsidRPr="00734A50">
        <w:rPr>
          <w:rFonts w:ascii="Calibri" w:eastAsia="Calibri" w:hAnsi="Calibri" w:cs="Arial"/>
        </w:rPr>
        <w:t xml:space="preserve"> and </w:t>
      </w:r>
      <w:r w:rsidR="1C2BC72E" w:rsidRPr="00734A50">
        <w:rPr>
          <w:rFonts w:ascii="Calibri" w:eastAsia="Calibri" w:hAnsi="Calibri" w:cs="Arial"/>
        </w:rPr>
        <w:t>professional development resources for staff</w:t>
      </w:r>
      <w:r w:rsidR="1EB006A5" w:rsidRPr="00734A50">
        <w:rPr>
          <w:rFonts w:ascii="Calibri" w:eastAsia="Calibri" w:hAnsi="Calibri" w:cs="Arial"/>
        </w:rPr>
        <w:t>, as well as</w:t>
      </w:r>
      <w:r w:rsidR="1C2BC72E" w:rsidRPr="00734A50">
        <w:rPr>
          <w:rFonts w:ascii="Calibri" w:eastAsia="Calibri" w:hAnsi="Calibri" w:cs="Arial"/>
        </w:rPr>
        <w:t xml:space="preserve"> </w:t>
      </w:r>
      <w:r w:rsidR="00B50B4E" w:rsidRPr="00734A50">
        <w:rPr>
          <w:rFonts w:ascii="Calibri" w:eastAsia="Calibri" w:hAnsi="Calibri" w:cs="Arial"/>
        </w:rPr>
        <w:t>undertaking</w:t>
      </w:r>
      <w:r w:rsidR="1C2BC72E" w:rsidRPr="00734A50">
        <w:rPr>
          <w:rFonts w:ascii="Calibri" w:eastAsia="Calibri" w:hAnsi="Calibri" w:cs="Arial"/>
        </w:rPr>
        <w:t xml:space="preserve"> research on how to best </w:t>
      </w:r>
      <w:r w:rsidR="1C2BC72E" w:rsidRPr="00734A50">
        <w:rPr>
          <w:lang w:val="en-GB"/>
        </w:rPr>
        <w:t>support ITE students during their program</w:t>
      </w:r>
      <w:r w:rsidR="5610C41E" w:rsidRPr="00734A50">
        <w:rPr>
          <w:lang w:val="en-GB"/>
        </w:rPr>
        <w:t xml:space="preserve"> </w:t>
      </w:r>
      <w:r w:rsidR="00CF15B8" w:rsidRPr="00734A50">
        <w:rPr>
          <w:rFonts w:ascii="Calibri" w:eastAsia="Calibri" w:hAnsi="Calibri" w:cs="Calibri"/>
        </w:rPr>
        <w:t>(</w:t>
      </w:r>
      <w:r w:rsidR="00CF15B8" w:rsidRPr="00734A50">
        <w:rPr>
          <w:rFonts w:ascii="Calibri" w:eastAsia="Calibri" w:hAnsi="Calibri" w:cs="Calibri"/>
          <w:b/>
          <w:bCs/>
        </w:rPr>
        <w:t>Recommendation 6</w:t>
      </w:r>
      <w:r w:rsidR="00CF15B8" w:rsidRPr="00734A50">
        <w:rPr>
          <w:rFonts w:ascii="Calibri" w:eastAsia="Calibri" w:hAnsi="Calibri" w:cs="Calibri"/>
        </w:rPr>
        <w:t xml:space="preserve">). </w:t>
      </w:r>
    </w:p>
    <w:p w14:paraId="1C962586" w14:textId="105CE716" w:rsidR="00353F5A" w:rsidRPr="00734A50" w:rsidRDefault="00D24C24" w:rsidP="00DA6CF8">
      <w:pPr>
        <w:rPr>
          <w:rFonts w:ascii="Calibri" w:eastAsia="Calibri" w:hAnsi="Calibri" w:cs="Calibri"/>
        </w:rPr>
      </w:pPr>
      <w:r w:rsidRPr="00734A50">
        <w:rPr>
          <w:rFonts w:ascii="Calibri" w:eastAsia="Calibri" w:hAnsi="Calibri" w:cs="Calibri"/>
        </w:rPr>
        <w:t>The Panel recommends establishing a</w:t>
      </w:r>
      <w:r w:rsidR="005C55AF" w:rsidRPr="00734A50">
        <w:rPr>
          <w:rFonts w:ascii="Calibri" w:eastAsia="Calibri" w:hAnsi="Calibri" w:cs="Calibri"/>
        </w:rPr>
        <w:t xml:space="preserve">n Excellence Fund </w:t>
      </w:r>
      <w:r w:rsidR="00395AFA" w:rsidRPr="00734A50">
        <w:rPr>
          <w:rFonts w:ascii="Calibri" w:eastAsia="Calibri" w:hAnsi="Calibri" w:cs="Calibri"/>
        </w:rPr>
        <w:t>to</w:t>
      </w:r>
      <w:r w:rsidR="00C040FB" w:rsidRPr="00734A50">
        <w:rPr>
          <w:rFonts w:ascii="Calibri" w:eastAsia="Calibri" w:hAnsi="Calibri" w:cs="Calibri"/>
        </w:rPr>
        <w:t xml:space="preserve"> </w:t>
      </w:r>
      <w:r w:rsidR="00190A98" w:rsidRPr="00734A50">
        <w:rPr>
          <w:rFonts w:ascii="Calibri" w:eastAsia="Calibri" w:hAnsi="Calibri" w:cs="Calibri"/>
        </w:rPr>
        <w:t>encourage excellence in ITE programs</w:t>
      </w:r>
      <w:r w:rsidR="00A50447" w:rsidRPr="00734A50">
        <w:rPr>
          <w:rFonts w:ascii="Calibri" w:eastAsia="Calibri" w:hAnsi="Calibri" w:cs="Calibri"/>
        </w:rPr>
        <w:t>. The</w:t>
      </w:r>
      <w:r w:rsidR="00C040FB" w:rsidRPr="00734A50">
        <w:rPr>
          <w:rFonts w:ascii="Calibri" w:eastAsia="Calibri" w:hAnsi="Calibri" w:cs="Calibri"/>
        </w:rPr>
        <w:t xml:space="preserve"> fund </w:t>
      </w:r>
      <w:r w:rsidR="005C55AF" w:rsidRPr="00734A50">
        <w:rPr>
          <w:rFonts w:ascii="Calibri" w:eastAsia="Calibri" w:hAnsi="Calibri" w:cs="Calibri"/>
        </w:rPr>
        <w:t xml:space="preserve">could support higher education providers </w:t>
      </w:r>
      <w:r w:rsidR="00353F5A" w:rsidRPr="00734A50">
        <w:rPr>
          <w:rFonts w:ascii="Calibri" w:eastAsia="Calibri" w:hAnsi="Calibri" w:cs="Calibri"/>
        </w:rPr>
        <w:t>who are</w:t>
      </w:r>
      <w:r w:rsidR="00FF706C" w:rsidRPr="00734A50">
        <w:rPr>
          <w:rFonts w:ascii="Calibri" w:eastAsia="Calibri" w:hAnsi="Calibri" w:cs="Calibri"/>
        </w:rPr>
        <w:t xml:space="preserve"> </w:t>
      </w:r>
      <w:r w:rsidR="0046436B" w:rsidRPr="00734A50">
        <w:rPr>
          <w:rFonts w:ascii="Calibri" w:eastAsia="Calibri" w:hAnsi="Calibri" w:cs="Calibri"/>
        </w:rPr>
        <w:t>identified as excellent</w:t>
      </w:r>
      <w:r w:rsidR="006555AB" w:rsidRPr="00734A50">
        <w:rPr>
          <w:rFonts w:ascii="Calibri" w:eastAsia="Calibri" w:hAnsi="Calibri" w:cs="Calibri"/>
        </w:rPr>
        <w:t xml:space="preserve"> in a particular aspect of ITE delivery</w:t>
      </w:r>
      <w:r w:rsidR="003E549B" w:rsidRPr="00734A50">
        <w:rPr>
          <w:rFonts w:ascii="Calibri" w:eastAsia="Calibri" w:hAnsi="Calibri" w:cs="Calibri"/>
        </w:rPr>
        <w:t xml:space="preserve"> </w:t>
      </w:r>
      <w:r w:rsidR="00EC2A2F" w:rsidRPr="00734A50">
        <w:rPr>
          <w:rFonts w:ascii="Calibri" w:eastAsia="Calibri" w:hAnsi="Calibri" w:cs="Calibri"/>
        </w:rPr>
        <w:t xml:space="preserve">by the </w:t>
      </w:r>
      <w:r w:rsidR="009B3721" w:rsidRPr="00734A50">
        <w:rPr>
          <w:rFonts w:ascii="Calibri" w:eastAsia="Calibri" w:hAnsi="Calibri" w:cs="Calibri"/>
        </w:rPr>
        <w:t xml:space="preserve">ITE </w:t>
      </w:r>
      <w:r w:rsidR="00EC2A2F" w:rsidRPr="00734A50">
        <w:rPr>
          <w:rFonts w:ascii="Calibri" w:eastAsia="Calibri" w:hAnsi="Calibri" w:cs="Calibri"/>
        </w:rPr>
        <w:t xml:space="preserve">quality assurance board </w:t>
      </w:r>
      <w:r w:rsidR="00B82091" w:rsidRPr="00A07405">
        <w:rPr>
          <w:rFonts w:ascii="Calibri" w:eastAsia="Calibri" w:hAnsi="Calibri" w:cs="Calibri"/>
          <w:b/>
          <w:bCs/>
        </w:rPr>
        <w:t xml:space="preserve">(Recommendation </w:t>
      </w:r>
      <w:r w:rsidR="006555AB" w:rsidRPr="00A07405">
        <w:rPr>
          <w:rFonts w:ascii="Calibri" w:eastAsia="Calibri" w:hAnsi="Calibri" w:cs="Calibri"/>
          <w:b/>
          <w:bCs/>
        </w:rPr>
        <w:t>3)</w:t>
      </w:r>
      <w:r w:rsidR="003E549B" w:rsidRPr="00734A50">
        <w:rPr>
          <w:rFonts w:ascii="Calibri" w:eastAsia="Calibri" w:hAnsi="Calibri" w:cs="Calibri"/>
        </w:rPr>
        <w:t xml:space="preserve">. </w:t>
      </w:r>
      <w:r w:rsidR="00863B1B" w:rsidRPr="00734A50">
        <w:rPr>
          <w:rFonts w:ascii="Calibri" w:eastAsia="Calibri" w:hAnsi="Calibri" w:cs="Calibri"/>
        </w:rPr>
        <w:t>Higher education p</w:t>
      </w:r>
      <w:r w:rsidR="00385635" w:rsidRPr="00734A50">
        <w:rPr>
          <w:rFonts w:ascii="Calibri" w:eastAsia="Calibri" w:hAnsi="Calibri" w:cs="Calibri"/>
        </w:rPr>
        <w:t xml:space="preserve">roviders would </w:t>
      </w:r>
      <w:r w:rsidR="000A73A7" w:rsidRPr="00734A50">
        <w:rPr>
          <w:rFonts w:ascii="Calibri" w:eastAsia="Calibri" w:hAnsi="Calibri" w:cs="Calibri"/>
        </w:rPr>
        <w:t xml:space="preserve">need to </w:t>
      </w:r>
      <w:r w:rsidR="004907A0" w:rsidRPr="00734A50">
        <w:rPr>
          <w:rFonts w:ascii="Calibri" w:eastAsia="Calibri" w:hAnsi="Calibri" w:cs="Calibri"/>
        </w:rPr>
        <w:t xml:space="preserve">demonstrate a commitment to </w:t>
      </w:r>
      <w:r w:rsidR="00353F5A" w:rsidRPr="00734A50">
        <w:rPr>
          <w:rFonts w:ascii="Calibri" w:eastAsia="Calibri" w:hAnsi="Calibri" w:cs="Calibri"/>
        </w:rPr>
        <w:t xml:space="preserve">share best practice </w:t>
      </w:r>
      <w:r w:rsidR="00E83CA9" w:rsidRPr="00734A50">
        <w:rPr>
          <w:rFonts w:ascii="Calibri" w:eastAsia="Calibri" w:hAnsi="Calibri" w:cs="Calibri"/>
        </w:rPr>
        <w:t>and</w:t>
      </w:r>
      <w:r w:rsidR="00AF738A" w:rsidRPr="00734A50">
        <w:rPr>
          <w:rFonts w:ascii="Calibri" w:eastAsia="Calibri" w:hAnsi="Calibri" w:cs="Calibri"/>
        </w:rPr>
        <w:t xml:space="preserve"> </w:t>
      </w:r>
      <w:r w:rsidR="000F2FE5" w:rsidRPr="00734A50">
        <w:rPr>
          <w:rFonts w:ascii="Calibri" w:eastAsia="Calibri" w:hAnsi="Calibri" w:cs="Calibri"/>
        </w:rPr>
        <w:t>take</w:t>
      </w:r>
      <w:r w:rsidR="005C55AF" w:rsidRPr="00734A50">
        <w:rPr>
          <w:rFonts w:ascii="Calibri" w:eastAsia="Calibri" w:hAnsi="Calibri" w:cs="Calibri"/>
        </w:rPr>
        <w:t xml:space="preserve"> a leadership role in fostering improved performance across the sector</w:t>
      </w:r>
      <w:r w:rsidR="44AA4451" w:rsidRPr="00734A50">
        <w:rPr>
          <w:rFonts w:ascii="Calibri" w:eastAsia="Calibri" w:hAnsi="Calibri" w:cs="Calibri"/>
        </w:rPr>
        <w:t xml:space="preserve">. Funding could support activities such as </w:t>
      </w:r>
      <w:r w:rsidR="3827EF4B" w:rsidRPr="00734A50">
        <w:rPr>
          <w:rFonts w:ascii="Calibri" w:eastAsia="Calibri" w:hAnsi="Calibri" w:cs="Calibri"/>
        </w:rPr>
        <w:t>h</w:t>
      </w:r>
      <w:r w:rsidR="3827EF4B" w:rsidRPr="00734A50">
        <w:t>igh</w:t>
      </w:r>
      <w:r w:rsidR="009D68A5" w:rsidRPr="00734A50">
        <w:t>-</w:t>
      </w:r>
      <w:r w:rsidR="3827EF4B" w:rsidRPr="00734A50">
        <w:t xml:space="preserve">performing </w:t>
      </w:r>
      <w:r w:rsidR="00486EBC" w:rsidRPr="00734A50">
        <w:t xml:space="preserve">or fast-improving </w:t>
      </w:r>
      <w:r w:rsidR="00796235" w:rsidRPr="00734A50">
        <w:t xml:space="preserve">higher education </w:t>
      </w:r>
      <w:r w:rsidR="3827EF4B" w:rsidRPr="00734A50">
        <w:t>providers</w:t>
      </w:r>
      <w:r w:rsidR="002C5E5F" w:rsidRPr="00734A50">
        <w:t xml:space="preserve"> in a particular aspect of ITE delivery</w:t>
      </w:r>
      <w:r w:rsidR="3827EF4B" w:rsidRPr="00734A50">
        <w:t xml:space="preserve"> mentoring others, showcasing successful mentorship models for students, and</w:t>
      </w:r>
      <w:r w:rsidR="3827EF4B" w:rsidRPr="00734A50">
        <w:rPr>
          <w:lang w:val="en-GB"/>
        </w:rPr>
        <w:t xml:space="preserve"> </w:t>
      </w:r>
      <w:r w:rsidR="54F74894" w:rsidRPr="00734A50">
        <w:rPr>
          <w:lang w:val="en-GB"/>
        </w:rPr>
        <w:t>incentivis</w:t>
      </w:r>
      <w:r w:rsidR="6AE5EE53" w:rsidRPr="00734A50">
        <w:rPr>
          <w:lang w:val="en-GB"/>
        </w:rPr>
        <w:t>ing</w:t>
      </w:r>
      <w:r w:rsidR="3827EF4B" w:rsidRPr="00734A50">
        <w:rPr>
          <w:lang w:val="en-GB"/>
        </w:rPr>
        <w:t xml:space="preserve"> collaboration </w:t>
      </w:r>
      <w:r w:rsidR="1DDAA01D" w:rsidRPr="00734A50">
        <w:rPr>
          <w:lang w:val="en-GB"/>
        </w:rPr>
        <w:t>and the creation of communities of practice</w:t>
      </w:r>
      <w:r w:rsidR="54F74894" w:rsidRPr="00734A50">
        <w:rPr>
          <w:lang w:val="en-GB"/>
        </w:rPr>
        <w:t xml:space="preserve"> </w:t>
      </w:r>
      <w:r w:rsidR="00DA6CF8" w:rsidRPr="00734A50">
        <w:rPr>
          <w:rFonts w:ascii="Calibri" w:eastAsia="Calibri" w:hAnsi="Calibri" w:cs="Calibri"/>
        </w:rPr>
        <w:t>(</w:t>
      </w:r>
      <w:r w:rsidR="00DA6CF8" w:rsidRPr="00734A50">
        <w:rPr>
          <w:rFonts w:ascii="Calibri" w:eastAsia="Calibri" w:hAnsi="Calibri" w:cs="Calibri"/>
          <w:b/>
          <w:bCs/>
        </w:rPr>
        <w:t>Recommendation 7</w:t>
      </w:r>
      <w:r w:rsidR="00DA6CF8" w:rsidRPr="00734A50">
        <w:rPr>
          <w:rFonts w:ascii="Calibri" w:eastAsia="Calibri" w:hAnsi="Calibri" w:cs="Calibri"/>
        </w:rPr>
        <w:t>)</w:t>
      </w:r>
      <w:r w:rsidR="005C55AF" w:rsidRPr="00734A50">
        <w:rPr>
          <w:rFonts w:ascii="Calibri" w:eastAsia="Calibri" w:hAnsi="Calibri" w:cs="Calibri"/>
        </w:rPr>
        <w:t>.</w:t>
      </w:r>
    </w:p>
    <w:p w14:paraId="75D52D0D" w14:textId="199BB0FA" w:rsidR="00D83E53" w:rsidRPr="00734A50" w:rsidRDefault="005E0344" w:rsidP="6DDCDED7">
      <w:pPr>
        <w:pStyle w:val="Heading2"/>
      </w:pPr>
      <w:bookmarkStart w:id="22" w:name="_Toc139366614"/>
      <w:r w:rsidRPr="00734A50">
        <w:t>Priority Reform 3: Improving the quality of practical experience in teaching</w:t>
      </w:r>
      <w:bookmarkEnd w:id="22"/>
    </w:p>
    <w:p w14:paraId="75C6DE36" w14:textId="174CDE2F" w:rsidR="001E7B87" w:rsidRPr="00734A50" w:rsidRDefault="001D6747" w:rsidP="6DDCDED7">
      <w:pPr>
        <w:rPr>
          <w:rFonts w:ascii="Calibri" w:eastAsia="Calibri" w:hAnsi="Calibri" w:cs="Calibri"/>
        </w:rPr>
      </w:pPr>
      <w:r w:rsidRPr="00734A50">
        <w:rPr>
          <w:rFonts w:ascii="Calibri" w:eastAsia="Calibri" w:hAnsi="Calibri" w:cs="Calibri"/>
        </w:rPr>
        <w:t>High</w:t>
      </w:r>
      <w:r w:rsidR="002C678A">
        <w:rPr>
          <w:rFonts w:ascii="Calibri" w:eastAsia="Calibri" w:hAnsi="Calibri" w:cs="Calibri"/>
        </w:rPr>
        <w:t>-</w:t>
      </w:r>
      <w:r w:rsidRPr="00734A50">
        <w:rPr>
          <w:rFonts w:ascii="Calibri" w:eastAsia="Calibri" w:hAnsi="Calibri" w:cs="Calibri"/>
        </w:rPr>
        <w:t>quality p</w:t>
      </w:r>
      <w:r w:rsidR="001E7B87" w:rsidRPr="00734A50">
        <w:rPr>
          <w:rFonts w:ascii="Calibri" w:eastAsia="Calibri" w:hAnsi="Calibri" w:cs="Calibri"/>
        </w:rPr>
        <w:t xml:space="preserve">ractical experience </w:t>
      </w:r>
      <w:r w:rsidR="00591F96" w:rsidRPr="00734A50">
        <w:rPr>
          <w:rFonts w:ascii="Calibri" w:eastAsia="Calibri" w:hAnsi="Calibri" w:cs="Calibri"/>
        </w:rPr>
        <w:t>under the guidance of experienced and expert teachers is essential for</w:t>
      </w:r>
      <w:r w:rsidR="001E7B87" w:rsidRPr="00734A50">
        <w:rPr>
          <w:rFonts w:ascii="Calibri" w:eastAsia="Calibri" w:hAnsi="Calibri" w:cs="Calibri"/>
        </w:rPr>
        <w:t xml:space="preserve"> </w:t>
      </w:r>
      <w:r w:rsidR="003775C4" w:rsidRPr="00734A50">
        <w:rPr>
          <w:rFonts w:ascii="Calibri" w:eastAsia="Calibri" w:hAnsi="Calibri" w:cs="Calibri"/>
        </w:rPr>
        <w:t>beginning teachers</w:t>
      </w:r>
      <w:r w:rsidR="001E7B87" w:rsidRPr="00734A50">
        <w:rPr>
          <w:rFonts w:ascii="Calibri" w:eastAsia="Calibri" w:hAnsi="Calibri" w:cs="Calibri"/>
        </w:rPr>
        <w:t xml:space="preserve"> to develop their skills and expertise in the classroom. This on</w:t>
      </w:r>
      <w:r w:rsidR="00E02D7D" w:rsidRPr="00734A50">
        <w:rPr>
          <w:rFonts w:ascii="Calibri" w:eastAsia="Calibri" w:hAnsi="Calibri" w:cs="Calibri"/>
        </w:rPr>
        <w:t>-</w:t>
      </w:r>
      <w:r w:rsidR="001E7B87" w:rsidRPr="00734A50">
        <w:rPr>
          <w:rFonts w:ascii="Calibri" w:eastAsia="Calibri" w:hAnsi="Calibri" w:cs="Calibri"/>
        </w:rPr>
        <w:t>the</w:t>
      </w:r>
      <w:r w:rsidR="00E02D7D" w:rsidRPr="00734A50">
        <w:rPr>
          <w:rFonts w:ascii="Calibri" w:eastAsia="Calibri" w:hAnsi="Calibri" w:cs="Calibri"/>
        </w:rPr>
        <w:t>-</w:t>
      </w:r>
      <w:r w:rsidR="001E7B87" w:rsidRPr="00734A50">
        <w:rPr>
          <w:rFonts w:ascii="Calibri" w:eastAsia="Calibri" w:hAnsi="Calibri" w:cs="Calibri"/>
        </w:rPr>
        <w:t>ground experience is critical to contextualise learning and ensure graduate teachers are well</w:t>
      </w:r>
      <w:r w:rsidR="00A50447" w:rsidRPr="00734A50">
        <w:rPr>
          <w:rFonts w:ascii="Calibri" w:eastAsia="Calibri" w:hAnsi="Calibri" w:cs="Calibri"/>
        </w:rPr>
        <w:t xml:space="preserve"> </w:t>
      </w:r>
      <w:r w:rsidR="001E7B87" w:rsidRPr="00734A50">
        <w:rPr>
          <w:rFonts w:ascii="Calibri" w:eastAsia="Calibri" w:hAnsi="Calibri" w:cs="Calibri"/>
        </w:rPr>
        <w:t>prepared to begin their teaching career</w:t>
      </w:r>
      <w:r w:rsidR="00353F5A" w:rsidRPr="00734A50">
        <w:rPr>
          <w:rFonts w:ascii="Calibri" w:eastAsia="Calibri" w:hAnsi="Calibri" w:cs="Calibri"/>
        </w:rPr>
        <w:t xml:space="preserve">. Evidence shows that </w:t>
      </w:r>
      <w:r w:rsidR="00D925A5" w:rsidRPr="00734A50">
        <w:t>high</w:t>
      </w:r>
      <w:r w:rsidR="00CE62F5" w:rsidRPr="00734A50">
        <w:t>-</w:t>
      </w:r>
      <w:r w:rsidR="00D925A5" w:rsidRPr="00734A50">
        <w:t>quality practical experience mean</w:t>
      </w:r>
      <w:r w:rsidR="0080520C" w:rsidRPr="00734A50">
        <w:t>s</w:t>
      </w:r>
      <w:r w:rsidR="00D925A5" w:rsidRPr="00734A50">
        <w:t xml:space="preserve"> ITE student</w:t>
      </w:r>
      <w:r w:rsidR="0080520C" w:rsidRPr="00734A50">
        <w:t xml:space="preserve">s </w:t>
      </w:r>
      <w:r w:rsidR="00D925A5" w:rsidRPr="00734A50">
        <w:rPr>
          <w:lang w:val="en-US"/>
        </w:rPr>
        <w:t>are more likely to complete ITE</w:t>
      </w:r>
      <w:r w:rsidR="0080520C" w:rsidRPr="00734A50">
        <w:rPr>
          <w:lang w:val="en-US"/>
        </w:rPr>
        <w:t>, m</w:t>
      </w:r>
      <w:r w:rsidR="00D925A5" w:rsidRPr="00734A50">
        <w:rPr>
          <w:lang w:val="en-US"/>
        </w:rPr>
        <w:t>ake a successful transition to teaching</w:t>
      </w:r>
      <w:r w:rsidR="0080520C" w:rsidRPr="00734A50">
        <w:rPr>
          <w:lang w:val="en-US"/>
        </w:rPr>
        <w:t xml:space="preserve"> </w:t>
      </w:r>
      <w:r w:rsidR="00D925A5" w:rsidRPr="00734A50">
        <w:rPr>
          <w:lang w:val="en-US"/>
        </w:rPr>
        <w:t>and stay in teaching for the long</w:t>
      </w:r>
      <w:r w:rsidR="00A50447" w:rsidRPr="00734A50">
        <w:rPr>
          <w:lang w:val="en-US"/>
        </w:rPr>
        <w:t xml:space="preserve"> </w:t>
      </w:r>
      <w:r w:rsidR="00D925A5" w:rsidRPr="00734A50">
        <w:rPr>
          <w:lang w:val="en-US"/>
        </w:rPr>
        <w:t>term</w:t>
      </w:r>
      <w:r w:rsidR="00A76017" w:rsidRPr="00734A50">
        <w:rPr>
          <w:rFonts w:ascii="Calibri" w:eastAsia="Calibri" w:hAnsi="Calibri" w:cs="Calibri"/>
        </w:rPr>
        <w:t>.</w:t>
      </w:r>
    </w:p>
    <w:p w14:paraId="652799EC" w14:textId="5597C9EB" w:rsidR="001E7B87" w:rsidRPr="00734A50" w:rsidRDefault="6A042222" w:rsidP="001E7B87">
      <w:r w:rsidRPr="00734A50">
        <w:rPr>
          <w:rFonts w:ascii="Calibri" w:eastAsia="Calibri" w:hAnsi="Calibri" w:cs="Calibri"/>
        </w:rPr>
        <w:t>The critical role of practical experience in ITE means it has been subject to several reviews and actions</w:t>
      </w:r>
      <w:r w:rsidR="00A50447" w:rsidRPr="00734A50">
        <w:rPr>
          <w:rFonts w:ascii="Calibri" w:eastAsia="Calibri" w:hAnsi="Calibri" w:cs="Calibri"/>
        </w:rPr>
        <w:t xml:space="preserve"> at</w:t>
      </w:r>
      <w:r w:rsidRPr="00734A50">
        <w:rPr>
          <w:rFonts w:ascii="Calibri" w:eastAsia="Calibri" w:hAnsi="Calibri" w:cs="Calibri"/>
        </w:rPr>
        <w:t xml:space="preserve"> both </w:t>
      </w:r>
      <w:r w:rsidR="001F7EE3" w:rsidRPr="00734A50">
        <w:rPr>
          <w:rFonts w:ascii="Calibri" w:eastAsia="Calibri" w:hAnsi="Calibri" w:cs="Calibri"/>
        </w:rPr>
        <w:t xml:space="preserve">the </w:t>
      </w:r>
      <w:r w:rsidR="006015EE" w:rsidRPr="00734A50">
        <w:rPr>
          <w:rFonts w:ascii="Calibri" w:eastAsia="Calibri" w:hAnsi="Calibri" w:cs="Calibri"/>
        </w:rPr>
        <w:t>Commonwealth</w:t>
      </w:r>
      <w:r w:rsidRPr="00734A50">
        <w:rPr>
          <w:rFonts w:ascii="Calibri" w:eastAsia="Calibri" w:hAnsi="Calibri" w:cs="Calibri"/>
        </w:rPr>
        <w:t xml:space="preserve"> and </w:t>
      </w:r>
      <w:r w:rsidR="006015EE" w:rsidRPr="00734A50">
        <w:rPr>
          <w:rFonts w:ascii="Calibri" w:eastAsia="Calibri" w:hAnsi="Calibri" w:cs="Calibri"/>
        </w:rPr>
        <w:t>state and territory</w:t>
      </w:r>
      <w:r w:rsidRPr="00734A50">
        <w:rPr>
          <w:rFonts w:ascii="Calibri" w:eastAsia="Calibri" w:hAnsi="Calibri" w:cs="Calibri"/>
        </w:rPr>
        <w:t xml:space="preserve"> level, including the TEMAG </w:t>
      </w:r>
      <w:r w:rsidR="00637FE9" w:rsidRPr="00734A50">
        <w:rPr>
          <w:rFonts w:ascii="Calibri" w:eastAsia="Calibri" w:hAnsi="Calibri" w:cs="Calibri"/>
        </w:rPr>
        <w:t>R</w:t>
      </w:r>
      <w:r w:rsidRPr="00734A50">
        <w:rPr>
          <w:rFonts w:ascii="Calibri" w:eastAsia="Calibri" w:hAnsi="Calibri" w:cs="Calibri"/>
        </w:rPr>
        <w:t xml:space="preserve">eview (2014) and QITE </w:t>
      </w:r>
      <w:r w:rsidR="00C7079C" w:rsidRPr="00734A50">
        <w:rPr>
          <w:rFonts w:ascii="Calibri" w:eastAsia="Calibri" w:hAnsi="Calibri" w:cs="Calibri"/>
        </w:rPr>
        <w:t>R</w:t>
      </w:r>
      <w:r w:rsidRPr="00734A50">
        <w:rPr>
          <w:rFonts w:ascii="Calibri" w:eastAsia="Calibri" w:hAnsi="Calibri" w:cs="Calibri"/>
        </w:rPr>
        <w:t xml:space="preserve">eview (2022). These </w:t>
      </w:r>
      <w:r w:rsidR="00701E50" w:rsidRPr="00734A50">
        <w:rPr>
          <w:rFonts w:ascii="Calibri" w:eastAsia="Calibri" w:hAnsi="Calibri" w:cs="Calibri"/>
        </w:rPr>
        <w:t xml:space="preserve">reviews </w:t>
      </w:r>
      <w:r w:rsidRPr="00734A50">
        <w:rPr>
          <w:rFonts w:ascii="Calibri" w:eastAsia="Calibri" w:hAnsi="Calibri" w:cs="Calibri"/>
        </w:rPr>
        <w:t xml:space="preserve">have highlighted the importance of high-quality practical experience </w:t>
      </w:r>
      <w:r w:rsidR="0024157D" w:rsidRPr="00734A50">
        <w:rPr>
          <w:rFonts w:ascii="Calibri" w:eastAsia="Calibri" w:hAnsi="Calibri" w:cs="Calibri"/>
        </w:rPr>
        <w:t>and</w:t>
      </w:r>
      <w:r w:rsidRPr="00734A50">
        <w:rPr>
          <w:rFonts w:ascii="Calibri" w:eastAsia="Calibri" w:hAnsi="Calibri" w:cs="Calibri"/>
        </w:rPr>
        <w:t xml:space="preserve"> acknowledged that its delivery is complex and resource intensive.</w:t>
      </w:r>
    </w:p>
    <w:p w14:paraId="2D1A3A6A" w14:textId="1BCCB0F1" w:rsidR="63FC8A46" w:rsidRPr="00734A50" w:rsidRDefault="63FC8A46" w:rsidP="06106A81">
      <w:pPr>
        <w:rPr>
          <w:rFonts w:ascii="Calibri" w:eastAsia="Calibri" w:hAnsi="Calibri" w:cs="Calibri"/>
        </w:rPr>
      </w:pPr>
      <w:r w:rsidRPr="00734A50">
        <w:rPr>
          <w:rFonts w:ascii="Calibri" w:eastAsia="Calibri" w:hAnsi="Calibri" w:cs="Calibri"/>
        </w:rPr>
        <w:t>A survey of ITE students commissioned by the Panel highlighted</w:t>
      </w:r>
      <w:r w:rsidR="00A50447" w:rsidRPr="00734A50">
        <w:rPr>
          <w:rFonts w:ascii="Calibri" w:eastAsia="Calibri" w:hAnsi="Calibri" w:cs="Calibri"/>
        </w:rPr>
        <w:t xml:space="preserve"> that</w:t>
      </w:r>
      <w:r w:rsidRPr="00734A50">
        <w:rPr>
          <w:rFonts w:ascii="Calibri" w:eastAsia="Calibri" w:hAnsi="Calibri" w:cs="Calibri"/>
        </w:rPr>
        <w:t xml:space="preserve"> while many </w:t>
      </w:r>
      <w:r w:rsidR="2BE7E316" w:rsidRPr="00734A50">
        <w:rPr>
          <w:rFonts w:ascii="Calibri" w:eastAsia="Calibri" w:hAnsi="Calibri" w:cs="Calibri"/>
        </w:rPr>
        <w:t>beginning teachers</w:t>
      </w:r>
      <w:r w:rsidRPr="00734A50">
        <w:rPr>
          <w:rFonts w:ascii="Calibri" w:eastAsia="Calibri" w:hAnsi="Calibri" w:cs="Calibri"/>
        </w:rPr>
        <w:t xml:space="preserve"> experienced high-quality practical experience placements, </w:t>
      </w:r>
      <w:r w:rsidR="006345F2" w:rsidRPr="00734A50">
        <w:rPr>
          <w:rFonts w:ascii="Calibri" w:eastAsia="Calibri" w:hAnsi="Calibri" w:cs="Calibri"/>
        </w:rPr>
        <w:t xml:space="preserve">many </w:t>
      </w:r>
      <w:r w:rsidRPr="00734A50">
        <w:rPr>
          <w:rFonts w:ascii="Calibri" w:eastAsia="Calibri" w:hAnsi="Calibri" w:cs="Calibri"/>
        </w:rPr>
        <w:t xml:space="preserve">did not feel </w:t>
      </w:r>
      <w:r w:rsidR="00A50447" w:rsidRPr="00734A50">
        <w:rPr>
          <w:rFonts w:ascii="Calibri" w:eastAsia="Calibri" w:hAnsi="Calibri" w:cs="Calibri"/>
        </w:rPr>
        <w:t xml:space="preserve">that </w:t>
      </w:r>
      <w:r w:rsidRPr="00734A50">
        <w:rPr>
          <w:rFonts w:ascii="Calibri" w:eastAsia="Calibri" w:hAnsi="Calibri" w:cs="Calibri"/>
        </w:rPr>
        <w:t xml:space="preserve">the expectations of their performance were clearly communicated or </w:t>
      </w:r>
      <w:r w:rsidR="00ED0322" w:rsidRPr="00734A50">
        <w:rPr>
          <w:rFonts w:ascii="Calibri" w:eastAsia="Calibri" w:hAnsi="Calibri" w:cs="Calibri"/>
        </w:rPr>
        <w:t>that</w:t>
      </w:r>
      <w:r w:rsidRPr="00734A50">
        <w:rPr>
          <w:rFonts w:ascii="Calibri" w:eastAsia="Calibri" w:hAnsi="Calibri" w:cs="Calibri"/>
        </w:rPr>
        <w:t xml:space="preserve"> they </w:t>
      </w:r>
      <w:r w:rsidR="00F52537" w:rsidRPr="00734A50">
        <w:rPr>
          <w:rFonts w:ascii="Calibri" w:eastAsia="Calibri" w:hAnsi="Calibri" w:cs="Calibri"/>
        </w:rPr>
        <w:t>had</w:t>
      </w:r>
      <w:r w:rsidR="00ED0322" w:rsidRPr="00734A50">
        <w:rPr>
          <w:rFonts w:ascii="Calibri" w:eastAsia="Calibri" w:hAnsi="Calibri" w:cs="Calibri"/>
        </w:rPr>
        <w:t xml:space="preserve"> </w:t>
      </w:r>
      <w:r w:rsidRPr="00734A50">
        <w:rPr>
          <w:rFonts w:ascii="Calibri" w:eastAsia="Calibri" w:hAnsi="Calibri" w:cs="Calibri"/>
        </w:rPr>
        <w:t xml:space="preserve">mechanisms in place to resolve grievances. This </w:t>
      </w:r>
      <w:r w:rsidR="00065893" w:rsidRPr="00734A50">
        <w:rPr>
          <w:rFonts w:ascii="Calibri" w:eastAsia="Calibri" w:hAnsi="Calibri" w:cs="Calibri"/>
        </w:rPr>
        <w:t>reflects</w:t>
      </w:r>
      <w:r w:rsidRPr="00734A50">
        <w:rPr>
          <w:rFonts w:ascii="Calibri" w:eastAsia="Calibri" w:hAnsi="Calibri" w:cs="Calibri"/>
        </w:rPr>
        <w:t xml:space="preserve"> concerns that practical experience design and delivery var</w:t>
      </w:r>
      <w:r w:rsidR="00DC73E8">
        <w:rPr>
          <w:rFonts w:ascii="Calibri" w:eastAsia="Calibri" w:hAnsi="Calibri" w:cs="Calibri"/>
        </w:rPr>
        <w:t>y</w:t>
      </w:r>
      <w:r w:rsidRPr="00734A50">
        <w:rPr>
          <w:rFonts w:ascii="Calibri" w:eastAsia="Calibri" w:hAnsi="Calibri" w:cs="Calibri"/>
        </w:rPr>
        <w:t xml:space="preserve"> significantly </w:t>
      </w:r>
      <w:r w:rsidRPr="00734A50">
        <w:rPr>
          <w:rFonts w:ascii="Calibri" w:eastAsia="Calibri" w:hAnsi="Calibri" w:cs="Calibri"/>
        </w:rPr>
        <w:lastRenderedPageBreak/>
        <w:t>across jurisdictions, higher education providers and schools, leading to a spectrum of</w:t>
      </w:r>
      <w:r w:rsidR="00B0719E" w:rsidRPr="00734A50">
        <w:rPr>
          <w:rFonts w:ascii="Calibri" w:eastAsia="Calibri" w:hAnsi="Calibri" w:cs="Calibri"/>
        </w:rPr>
        <w:t xml:space="preserve"> experiences for</w:t>
      </w:r>
      <w:r w:rsidRPr="00734A50">
        <w:rPr>
          <w:rFonts w:ascii="Calibri" w:eastAsia="Calibri" w:hAnsi="Calibri" w:cs="Calibri"/>
        </w:rPr>
        <w:t xml:space="preserve"> ITE student</w:t>
      </w:r>
      <w:r w:rsidR="00BD1815" w:rsidRPr="00734A50">
        <w:rPr>
          <w:rFonts w:ascii="Calibri" w:eastAsia="Calibri" w:hAnsi="Calibri" w:cs="Calibri"/>
        </w:rPr>
        <w:t>s</w:t>
      </w:r>
      <w:r w:rsidRPr="00734A50">
        <w:rPr>
          <w:rFonts w:ascii="Calibri" w:eastAsia="Calibri" w:hAnsi="Calibri" w:cs="Calibri"/>
        </w:rPr>
        <w:t>.</w:t>
      </w:r>
      <w:r w:rsidR="00353F5A" w:rsidRPr="00734A50">
        <w:rPr>
          <w:rFonts w:ascii="Calibri" w:eastAsia="Calibri" w:hAnsi="Calibri" w:cs="Calibri"/>
        </w:rPr>
        <w:t xml:space="preserve"> </w:t>
      </w:r>
    </w:p>
    <w:p w14:paraId="1D96310D" w14:textId="54DB9348" w:rsidR="63FC8A46" w:rsidRPr="00734A50" w:rsidRDefault="63FC8A46" w:rsidP="06106A81">
      <w:pPr>
        <w:rPr>
          <w:rFonts w:ascii="Calibri" w:eastAsia="Calibri" w:hAnsi="Calibri" w:cs="Calibri"/>
        </w:rPr>
      </w:pPr>
      <w:r w:rsidRPr="00734A50">
        <w:rPr>
          <w:rFonts w:ascii="Calibri" w:eastAsia="Calibri" w:hAnsi="Calibri" w:cs="Calibri"/>
        </w:rPr>
        <w:t>The Panel was asked to provide advice on how to build on recent reforms to continue improving the quality of practical experience in teaching.</w:t>
      </w:r>
    </w:p>
    <w:p w14:paraId="1E2080A1" w14:textId="710C6E3D" w:rsidR="008542E0" w:rsidRPr="00734A50" w:rsidRDefault="008542E0" w:rsidP="6DDCDED7">
      <w:pPr>
        <w:pStyle w:val="Heading3"/>
        <w:rPr>
          <w:rFonts w:eastAsia="Yu Gothic Light"/>
        </w:rPr>
      </w:pPr>
      <w:bookmarkStart w:id="23" w:name="_Toc139366497"/>
      <w:bookmarkStart w:id="24" w:name="_Toc139366615"/>
      <w:r w:rsidRPr="00734A50">
        <w:rPr>
          <w:rFonts w:eastAsia="Yu Gothic Light"/>
        </w:rPr>
        <w:t xml:space="preserve">Establish </w:t>
      </w:r>
      <w:r w:rsidR="00595CDD" w:rsidRPr="00734A50">
        <w:rPr>
          <w:rFonts w:eastAsia="Yu Gothic Light"/>
        </w:rPr>
        <w:t xml:space="preserve">system-wide coordination </w:t>
      </w:r>
      <w:r w:rsidR="00D74806" w:rsidRPr="00734A50">
        <w:rPr>
          <w:rFonts w:eastAsia="Yu Gothic Light"/>
        </w:rPr>
        <w:t>of</w:t>
      </w:r>
      <w:r w:rsidRPr="00734A50">
        <w:rPr>
          <w:rFonts w:eastAsia="Yu Gothic Light"/>
        </w:rPr>
        <w:t xml:space="preserve"> practical experience delivery</w:t>
      </w:r>
      <w:bookmarkEnd w:id="23"/>
      <w:bookmarkEnd w:id="24"/>
    </w:p>
    <w:p w14:paraId="21C2F27F" w14:textId="2D9B6209" w:rsidR="00FC3CE1" w:rsidRPr="00734A50" w:rsidRDefault="00D07FCA" w:rsidP="6DDCDED7">
      <w:pPr>
        <w:pStyle w:val="NormalTextBulleted"/>
        <w:numPr>
          <w:ilvl w:val="0"/>
          <w:numId w:val="0"/>
        </w:numPr>
        <w:spacing w:after="200"/>
        <w:rPr>
          <w:rFonts w:ascii="Calibri" w:eastAsia="Calibri" w:hAnsi="Calibri" w:cs="Calibri"/>
          <w:sz w:val="22"/>
        </w:rPr>
      </w:pPr>
      <w:r w:rsidRPr="00734A50">
        <w:rPr>
          <w:rFonts w:ascii="Calibri" w:eastAsia="Calibri" w:hAnsi="Calibri" w:cs="Calibri"/>
          <w:sz w:val="22"/>
        </w:rPr>
        <w:t>Provider</w:t>
      </w:r>
      <w:r w:rsidR="00637FE9" w:rsidRPr="00734A50">
        <w:rPr>
          <w:rFonts w:ascii="Calibri" w:eastAsia="Calibri" w:hAnsi="Calibri" w:cs="Calibri"/>
          <w:sz w:val="22"/>
        </w:rPr>
        <w:t>–</w:t>
      </w:r>
      <w:r w:rsidRPr="00734A50">
        <w:rPr>
          <w:rFonts w:ascii="Calibri" w:eastAsia="Calibri" w:hAnsi="Calibri" w:cs="Calibri"/>
          <w:sz w:val="22"/>
        </w:rPr>
        <w:t>school agreements</w:t>
      </w:r>
      <w:r w:rsidR="004A3DCD" w:rsidRPr="00734A50">
        <w:rPr>
          <w:rFonts w:ascii="Calibri" w:eastAsia="Calibri" w:hAnsi="Calibri" w:cs="Calibri"/>
          <w:sz w:val="22"/>
        </w:rPr>
        <w:t xml:space="preserve"> for delivering practical experience</w:t>
      </w:r>
      <w:r w:rsidR="00E43394" w:rsidRPr="00734A50">
        <w:rPr>
          <w:rFonts w:ascii="Calibri" w:eastAsia="Calibri" w:hAnsi="Calibri" w:cs="Calibri"/>
          <w:sz w:val="22"/>
        </w:rPr>
        <w:t>,</w:t>
      </w:r>
      <w:r w:rsidR="00993F7D" w:rsidRPr="00734A50">
        <w:rPr>
          <w:rFonts w:ascii="Calibri" w:eastAsia="Calibri" w:hAnsi="Calibri" w:cs="Calibri"/>
          <w:sz w:val="22"/>
        </w:rPr>
        <w:t xml:space="preserve"> introduced </w:t>
      </w:r>
      <w:r w:rsidR="00BA03D2" w:rsidRPr="00734A50">
        <w:rPr>
          <w:rFonts w:ascii="Calibri" w:eastAsia="Calibri" w:hAnsi="Calibri" w:cs="Calibri"/>
          <w:sz w:val="22"/>
        </w:rPr>
        <w:t>following</w:t>
      </w:r>
      <w:r w:rsidR="00E43394" w:rsidRPr="00734A50">
        <w:rPr>
          <w:rFonts w:ascii="Calibri" w:eastAsia="Calibri" w:hAnsi="Calibri" w:cs="Calibri"/>
          <w:sz w:val="22"/>
        </w:rPr>
        <w:t xml:space="preserve"> the TEMAG </w:t>
      </w:r>
      <w:r w:rsidR="00637FE9" w:rsidRPr="00734A50">
        <w:rPr>
          <w:rFonts w:ascii="Calibri" w:eastAsia="Calibri" w:hAnsi="Calibri" w:cs="Calibri"/>
          <w:sz w:val="22"/>
        </w:rPr>
        <w:t>R</w:t>
      </w:r>
      <w:r w:rsidR="00E43394" w:rsidRPr="00734A50">
        <w:rPr>
          <w:rFonts w:ascii="Calibri" w:eastAsia="Calibri" w:hAnsi="Calibri" w:cs="Calibri"/>
          <w:sz w:val="22"/>
        </w:rPr>
        <w:t>eview,</w:t>
      </w:r>
      <w:r w:rsidRPr="00734A50">
        <w:rPr>
          <w:rFonts w:ascii="Calibri" w:eastAsia="Calibri" w:hAnsi="Calibri" w:cs="Calibri"/>
          <w:sz w:val="22"/>
        </w:rPr>
        <w:t xml:space="preserve"> have gone some way to improving the quality of practical experience</w:t>
      </w:r>
      <w:r w:rsidR="00BA03D2" w:rsidRPr="00734A50">
        <w:rPr>
          <w:rFonts w:ascii="Calibri" w:eastAsia="Calibri" w:hAnsi="Calibri" w:cs="Calibri"/>
          <w:sz w:val="22"/>
        </w:rPr>
        <w:t>. However, they</w:t>
      </w:r>
      <w:r w:rsidRPr="00734A50">
        <w:rPr>
          <w:rFonts w:ascii="Calibri" w:eastAsia="Calibri" w:hAnsi="Calibri" w:cs="Calibri"/>
          <w:sz w:val="22"/>
        </w:rPr>
        <w:t xml:space="preserve"> are not sufficient to address broader challenges</w:t>
      </w:r>
      <w:r w:rsidR="00BA03D2" w:rsidRPr="00734A50">
        <w:rPr>
          <w:rFonts w:ascii="Calibri" w:eastAsia="Calibri" w:hAnsi="Calibri" w:cs="Calibri"/>
          <w:sz w:val="22"/>
        </w:rPr>
        <w:t>,</w:t>
      </w:r>
      <w:r w:rsidRPr="00734A50">
        <w:rPr>
          <w:rFonts w:ascii="Calibri" w:eastAsia="Calibri" w:hAnsi="Calibri" w:cs="Calibri"/>
          <w:sz w:val="22"/>
        </w:rPr>
        <w:t xml:space="preserve"> such as inconsistency across the system and </w:t>
      </w:r>
      <w:r w:rsidR="00AF6171" w:rsidRPr="00734A50">
        <w:rPr>
          <w:rFonts w:ascii="Calibri" w:eastAsia="Calibri" w:hAnsi="Calibri" w:cs="Calibri"/>
          <w:sz w:val="22"/>
        </w:rPr>
        <w:t xml:space="preserve">the </w:t>
      </w:r>
      <w:r w:rsidRPr="00734A50">
        <w:rPr>
          <w:rFonts w:ascii="Calibri" w:eastAsia="Calibri" w:hAnsi="Calibri" w:cs="Calibri"/>
          <w:sz w:val="22"/>
        </w:rPr>
        <w:t>high administrative burden</w:t>
      </w:r>
      <w:r w:rsidR="00AF6171" w:rsidRPr="00734A50">
        <w:rPr>
          <w:rFonts w:ascii="Calibri" w:eastAsia="Calibri" w:hAnsi="Calibri" w:cs="Calibri"/>
          <w:sz w:val="22"/>
        </w:rPr>
        <w:t xml:space="preserve"> of </w:t>
      </w:r>
      <w:r w:rsidR="001D5078" w:rsidRPr="00734A50">
        <w:rPr>
          <w:rFonts w:ascii="Calibri" w:eastAsia="Calibri" w:hAnsi="Calibri" w:cs="Calibri"/>
          <w:sz w:val="22"/>
        </w:rPr>
        <w:t xml:space="preserve">delivering </w:t>
      </w:r>
      <w:r w:rsidR="00AF6171" w:rsidRPr="00734A50">
        <w:rPr>
          <w:rFonts w:ascii="Calibri" w:eastAsia="Calibri" w:hAnsi="Calibri" w:cs="Calibri"/>
          <w:sz w:val="22"/>
        </w:rPr>
        <w:t>practical experience</w:t>
      </w:r>
      <w:r w:rsidRPr="00734A50">
        <w:rPr>
          <w:rFonts w:ascii="Calibri" w:eastAsia="Calibri" w:hAnsi="Calibri" w:cs="Calibri"/>
          <w:sz w:val="22"/>
        </w:rPr>
        <w:t xml:space="preserve">. </w:t>
      </w:r>
      <w:r w:rsidR="00BB6FE2" w:rsidRPr="00734A50">
        <w:rPr>
          <w:rFonts w:ascii="Calibri" w:eastAsia="Calibri" w:hAnsi="Calibri" w:cs="Calibri"/>
          <w:sz w:val="22"/>
        </w:rPr>
        <w:t>The roles, responsibilities, and expectations of parties delivering practical experience are often unclear, and support for beginning teachers varies.</w:t>
      </w:r>
      <w:r w:rsidR="00BB6FE2" w:rsidRPr="00734A50">
        <w:rPr>
          <w:rFonts w:ascii="Calibri" w:eastAsia="Calibri" w:hAnsi="Calibri" w:cs="Calibri"/>
        </w:rPr>
        <w:t xml:space="preserve"> </w:t>
      </w:r>
      <w:r w:rsidR="00FC3CE1" w:rsidRPr="00734A50">
        <w:rPr>
          <w:rFonts w:ascii="Calibri" w:eastAsia="Calibri" w:hAnsi="Calibri" w:cs="Calibri"/>
          <w:sz w:val="22"/>
        </w:rPr>
        <w:t xml:space="preserve">Some jurisdictions have system-led delivery models across multiple schools to deliver </w:t>
      </w:r>
      <w:r w:rsidR="00425F6D">
        <w:rPr>
          <w:rFonts w:ascii="Calibri" w:eastAsia="Calibri" w:hAnsi="Calibri" w:cs="Calibri"/>
          <w:sz w:val="22"/>
        </w:rPr>
        <w:br/>
      </w:r>
      <w:r w:rsidR="00FC3CE1" w:rsidRPr="00734A50">
        <w:rPr>
          <w:rFonts w:ascii="Calibri" w:eastAsia="Calibri" w:hAnsi="Calibri" w:cs="Calibri"/>
          <w:sz w:val="22"/>
        </w:rPr>
        <w:t>high-quality professional experience</w:t>
      </w:r>
      <w:r w:rsidR="005F0DA8" w:rsidRPr="00734A50" w:rsidDel="00DC0768">
        <w:rPr>
          <w:rFonts w:ascii="Calibri" w:eastAsia="Calibri" w:hAnsi="Calibri" w:cs="Calibri"/>
          <w:sz w:val="22"/>
        </w:rPr>
        <w:t xml:space="preserve"> </w:t>
      </w:r>
      <w:r w:rsidR="00DC0768" w:rsidRPr="00734A50">
        <w:rPr>
          <w:rFonts w:ascii="Calibri" w:eastAsia="Calibri" w:hAnsi="Calibri" w:cs="Calibri"/>
          <w:sz w:val="22"/>
        </w:rPr>
        <w:t>(</w:t>
      </w:r>
      <w:r w:rsidR="005F0DA8" w:rsidRPr="00734A50">
        <w:rPr>
          <w:rFonts w:ascii="Calibri" w:eastAsia="Calibri" w:hAnsi="Calibri" w:cs="Calibri"/>
          <w:sz w:val="22"/>
        </w:rPr>
        <w:t>such as</w:t>
      </w:r>
      <w:r w:rsidR="007806F4" w:rsidRPr="00734A50">
        <w:rPr>
          <w:rFonts w:ascii="Calibri" w:eastAsia="Calibri" w:hAnsi="Calibri" w:cs="Calibri"/>
          <w:sz w:val="22"/>
        </w:rPr>
        <w:t xml:space="preserve"> the NSW Professional Experience</w:t>
      </w:r>
      <w:r w:rsidR="000D13DE" w:rsidRPr="00734A50">
        <w:rPr>
          <w:rFonts w:ascii="Calibri" w:eastAsia="Calibri" w:hAnsi="Calibri" w:cs="Calibri"/>
          <w:sz w:val="22"/>
        </w:rPr>
        <w:t xml:space="preserve"> Hub Schools</w:t>
      </w:r>
      <w:r w:rsidR="007C5D46" w:rsidRPr="00734A50">
        <w:rPr>
          <w:rFonts w:ascii="Calibri" w:eastAsia="Calibri" w:hAnsi="Calibri" w:cs="Calibri"/>
          <w:sz w:val="22"/>
        </w:rPr>
        <w:t xml:space="preserve">, the ACT Affiliated Schools </w:t>
      </w:r>
      <w:r w:rsidR="00850064" w:rsidRPr="00734A50">
        <w:rPr>
          <w:rFonts w:ascii="Calibri" w:eastAsia="Calibri" w:hAnsi="Calibri" w:cs="Calibri"/>
          <w:sz w:val="22"/>
        </w:rPr>
        <w:t>Program</w:t>
      </w:r>
      <w:r w:rsidR="007C5D46" w:rsidRPr="00734A50">
        <w:rPr>
          <w:rFonts w:ascii="Calibri" w:eastAsia="Calibri" w:hAnsi="Calibri" w:cs="Calibri"/>
          <w:sz w:val="22"/>
        </w:rPr>
        <w:t xml:space="preserve">, </w:t>
      </w:r>
      <w:r w:rsidR="00E160FD">
        <w:rPr>
          <w:rFonts w:ascii="Calibri" w:eastAsia="Calibri" w:hAnsi="Calibri" w:cs="Calibri"/>
          <w:sz w:val="22"/>
        </w:rPr>
        <w:t xml:space="preserve">the </w:t>
      </w:r>
      <w:r w:rsidR="007C5D46" w:rsidRPr="00734A50">
        <w:rPr>
          <w:rFonts w:ascii="Calibri" w:eastAsia="Calibri" w:hAnsi="Calibri" w:cs="Calibri"/>
          <w:sz w:val="22"/>
        </w:rPr>
        <w:t>NT Teaching Schools Program</w:t>
      </w:r>
      <w:r w:rsidR="00B870A5" w:rsidRPr="00734A50">
        <w:rPr>
          <w:rFonts w:ascii="Calibri" w:eastAsia="Calibri" w:hAnsi="Calibri" w:cs="Calibri"/>
          <w:sz w:val="22"/>
        </w:rPr>
        <w:t xml:space="preserve"> </w:t>
      </w:r>
      <w:r w:rsidR="005A1F5E" w:rsidRPr="00734A50">
        <w:rPr>
          <w:rFonts w:ascii="Calibri" w:eastAsia="Calibri" w:hAnsi="Calibri" w:cs="Calibri"/>
          <w:sz w:val="22"/>
        </w:rPr>
        <w:t xml:space="preserve">and Victorian Teaching Academies of </w:t>
      </w:r>
      <w:r w:rsidR="00DC0768" w:rsidRPr="00734A50">
        <w:rPr>
          <w:rFonts w:ascii="Calibri" w:eastAsia="Calibri" w:hAnsi="Calibri" w:cs="Calibri"/>
          <w:sz w:val="22"/>
        </w:rPr>
        <w:t>Professional Practice</w:t>
      </w:r>
      <w:r w:rsidR="00850064" w:rsidRPr="00734A50">
        <w:rPr>
          <w:rFonts w:ascii="Calibri" w:eastAsia="Calibri" w:hAnsi="Calibri" w:cs="Calibri"/>
          <w:sz w:val="22"/>
        </w:rPr>
        <w:t>)</w:t>
      </w:r>
      <w:r w:rsidR="00FC3CE1" w:rsidRPr="00734A50">
        <w:rPr>
          <w:rFonts w:ascii="Calibri" w:eastAsia="Calibri" w:hAnsi="Calibri" w:cs="Calibri"/>
          <w:sz w:val="22"/>
        </w:rPr>
        <w:t xml:space="preserve">. These models focus on the actual delivery of quality practical placements to support supervising teachers, </w:t>
      </w:r>
      <w:r w:rsidR="00785EB5" w:rsidRPr="00734A50">
        <w:rPr>
          <w:rFonts w:ascii="Calibri" w:eastAsia="Calibri" w:hAnsi="Calibri" w:cs="Calibri"/>
          <w:sz w:val="22"/>
        </w:rPr>
        <w:t>ITE students</w:t>
      </w:r>
      <w:r w:rsidR="00FC3CE1" w:rsidRPr="00734A50">
        <w:rPr>
          <w:rFonts w:ascii="Calibri" w:eastAsia="Calibri" w:hAnsi="Calibri" w:cs="Calibri"/>
          <w:sz w:val="22"/>
        </w:rPr>
        <w:t xml:space="preserve"> and partner schools in implementation</w:t>
      </w:r>
      <w:r w:rsidR="007F5581" w:rsidRPr="00734A50">
        <w:rPr>
          <w:rFonts w:ascii="Calibri" w:eastAsia="Calibri" w:hAnsi="Calibri" w:cs="Calibri"/>
          <w:sz w:val="22"/>
        </w:rPr>
        <w:t xml:space="preserve">, </w:t>
      </w:r>
      <w:r w:rsidR="003E13E4" w:rsidRPr="00734A50">
        <w:rPr>
          <w:rFonts w:ascii="Calibri" w:eastAsia="Calibri" w:hAnsi="Calibri" w:cs="Calibri"/>
          <w:sz w:val="22"/>
        </w:rPr>
        <w:t>but</w:t>
      </w:r>
      <w:r w:rsidR="00791A6E" w:rsidRPr="00734A50">
        <w:rPr>
          <w:rFonts w:ascii="Calibri" w:eastAsia="Calibri" w:hAnsi="Calibri" w:cs="Calibri"/>
          <w:sz w:val="22"/>
        </w:rPr>
        <w:t xml:space="preserve"> </w:t>
      </w:r>
      <w:r w:rsidR="003E13E4" w:rsidRPr="00734A50">
        <w:rPr>
          <w:rFonts w:ascii="Calibri" w:eastAsia="Calibri" w:hAnsi="Calibri" w:cs="Calibri"/>
          <w:sz w:val="22"/>
        </w:rPr>
        <w:t>they</w:t>
      </w:r>
      <w:r w:rsidR="00791A6E" w:rsidRPr="00734A50">
        <w:rPr>
          <w:rFonts w:ascii="Calibri" w:eastAsia="Calibri" w:hAnsi="Calibri" w:cs="Calibri"/>
          <w:sz w:val="22"/>
        </w:rPr>
        <w:t xml:space="preserve"> </w:t>
      </w:r>
      <w:r w:rsidR="00913062" w:rsidRPr="00734A50">
        <w:rPr>
          <w:rFonts w:ascii="Calibri" w:eastAsia="Calibri" w:hAnsi="Calibri" w:cs="Calibri"/>
          <w:sz w:val="22"/>
        </w:rPr>
        <w:t>are</w:t>
      </w:r>
      <w:r w:rsidR="00791A6E" w:rsidRPr="00734A50">
        <w:rPr>
          <w:rFonts w:ascii="Calibri" w:eastAsia="Calibri" w:hAnsi="Calibri" w:cs="Calibri"/>
          <w:sz w:val="22"/>
        </w:rPr>
        <w:t xml:space="preserve"> </w:t>
      </w:r>
      <w:r w:rsidR="009C72E4" w:rsidRPr="00734A50">
        <w:rPr>
          <w:rFonts w:ascii="Calibri" w:eastAsia="Calibri" w:hAnsi="Calibri" w:cs="Calibri"/>
          <w:sz w:val="22"/>
        </w:rPr>
        <w:t xml:space="preserve">not widely adopted. </w:t>
      </w:r>
    </w:p>
    <w:p w14:paraId="3F460499" w14:textId="7ECDC3C5" w:rsidR="004F2E71" w:rsidRPr="00734A50" w:rsidRDefault="00503793" w:rsidP="00162011">
      <w:pPr>
        <w:rPr>
          <w:rFonts w:ascii="Calibri" w:eastAsia="Calibri" w:hAnsi="Calibri" w:cs="Calibri"/>
        </w:rPr>
      </w:pPr>
      <w:r w:rsidRPr="00734A50">
        <w:rPr>
          <w:rFonts w:ascii="Calibri" w:eastAsia="Calibri" w:hAnsi="Calibri" w:cs="Calibri"/>
        </w:rPr>
        <w:t xml:space="preserve">The Panel recommends a more structured </w:t>
      </w:r>
      <w:r w:rsidR="00D07FCA" w:rsidRPr="00734A50">
        <w:rPr>
          <w:rFonts w:ascii="Calibri" w:eastAsia="Calibri" w:hAnsi="Calibri" w:cs="Calibri"/>
        </w:rPr>
        <w:t xml:space="preserve">whole-of-system approach </w:t>
      </w:r>
      <w:r w:rsidR="004341A7" w:rsidRPr="00734A50">
        <w:rPr>
          <w:rFonts w:ascii="Calibri" w:eastAsia="Calibri" w:hAnsi="Calibri" w:cs="Calibri"/>
        </w:rPr>
        <w:t xml:space="preserve">for </w:t>
      </w:r>
      <w:r w:rsidR="0096040A" w:rsidRPr="00734A50">
        <w:rPr>
          <w:rFonts w:ascii="Calibri" w:eastAsia="Calibri" w:hAnsi="Calibri" w:cs="Calibri"/>
        </w:rPr>
        <w:t xml:space="preserve">the delivery of high-quality practical experience </w:t>
      </w:r>
      <w:r w:rsidR="00D07FCA" w:rsidRPr="00734A50">
        <w:rPr>
          <w:rFonts w:ascii="Calibri" w:eastAsia="Calibri" w:hAnsi="Calibri" w:cs="Calibri"/>
        </w:rPr>
        <w:t xml:space="preserve">to </w:t>
      </w:r>
      <w:r w:rsidR="00577E63" w:rsidRPr="00734A50">
        <w:rPr>
          <w:rFonts w:ascii="Calibri" w:eastAsia="Calibri" w:hAnsi="Calibri" w:cs="Calibri"/>
        </w:rPr>
        <w:t xml:space="preserve">clarify roles and responsibilities, </w:t>
      </w:r>
      <w:r w:rsidR="00D07FCA" w:rsidRPr="00734A50">
        <w:rPr>
          <w:rFonts w:ascii="Calibri" w:eastAsia="Calibri" w:hAnsi="Calibri" w:cs="Calibri"/>
        </w:rPr>
        <w:t>improve consistency</w:t>
      </w:r>
      <w:r w:rsidR="00365EC4" w:rsidRPr="00734A50">
        <w:rPr>
          <w:rFonts w:ascii="Calibri" w:eastAsia="Calibri" w:hAnsi="Calibri" w:cs="Calibri"/>
        </w:rPr>
        <w:t>,</w:t>
      </w:r>
      <w:r w:rsidR="000D2425" w:rsidRPr="00734A50">
        <w:rPr>
          <w:rFonts w:ascii="Calibri" w:eastAsia="Calibri" w:hAnsi="Calibri" w:cs="Calibri"/>
        </w:rPr>
        <w:t xml:space="preserve"> </w:t>
      </w:r>
      <w:r w:rsidR="00D07FCA" w:rsidRPr="00734A50">
        <w:rPr>
          <w:rFonts w:ascii="Calibri" w:eastAsia="Calibri" w:hAnsi="Calibri" w:cs="Calibri"/>
        </w:rPr>
        <w:t>reduce administrative burden</w:t>
      </w:r>
      <w:r w:rsidR="00D43795" w:rsidRPr="00734A50">
        <w:rPr>
          <w:rFonts w:ascii="Calibri" w:eastAsia="Calibri" w:hAnsi="Calibri" w:cs="Calibri"/>
        </w:rPr>
        <w:t xml:space="preserve"> and address ongoing challenges</w:t>
      </w:r>
      <w:r w:rsidR="00F346C8" w:rsidRPr="00734A50">
        <w:rPr>
          <w:rFonts w:ascii="Calibri" w:eastAsia="Calibri" w:hAnsi="Calibri" w:cs="Calibri"/>
        </w:rPr>
        <w:t xml:space="preserve"> </w:t>
      </w:r>
      <w:r w:rsidR="00952987" w:rsidRPr="00734A50">
        <w:rPr>
          <w:rFonts w:ascii="Calibri" w:eastAsia="Calibri" w:hAnsi="Calibri" w:cs="Calibri"/>
        </w:rPr>
        <w:t>(</w:t>
      </w:r>
      <w:r w:rsidR="00952987" w:rsidRPr="00734A50">
        <w:rPr>
          <w:rFonts w:ascii="Calibri" w:eastAsia="Calibri" w:hAnsi="Calibri" w:cs="Calibri"/>
          <w:b/>
          <w:bCs/>
        </w:rPr>
        <w:t>Recommendation 8</w:t>
      </w:r>
      <w:r w:rsidR="00952987" w:rsidRPr="00734A50">
        <w:rPr>
          <w:rFonts w:ascii="Calibri" w:eastAsia="Calibri" w:hAnsi="Calibri" w:cs="Calibri"/>
        </w:rPr>
        <w:t>)</w:t>
      </w:r>
      <w:r w:rsidR="004F2E71" w:rsidRPr="00734A50">
        <w:rPr>
          <w:rFonts w:ascii="Calibri" w:eastAsia="Calibri" w:hAnsi="Calibri" w:cs="Calibri"/>
        </w:rPr>
        <w:t>.</w:t>
      </w:r>
      <w:r w:rsidR="00F365EA" w:rsidRPr="00734A50">
        <w:rPr>
          <w:rFonts w:ascii="Calibri" w:eastAsia="Calibri" w:hAnsi="Calibri" w:cs="Calibri"/>
        </w:rPr>
        <w:t xml:space="preserve"> </w:t>
      </w:r>
    </w:p>
    <w:p w14:paraId="70CFDD60" w14:textId="7EF9DC93" w:rsidR="00895D4C" w:rsidRPr="00734A50" w:rsidRDefault="00895D4C" w:rsidP="6DDCDED7">
      <w:pPr>
        <w:pStyle w:val="Heading3"/>
        <w:rPr>
          <w:rFonts w:eastAsia="Yu Gothic Light"/>
        </w:rPr>
      </w:pPr>
      <w:bookmarkStart w:id="25" w:name="_Toc139366498"/>
      <w:bookmarkStart w:id="26" w:name="_Toc139366616"/>
      <w:r w:rsidRPr="00734A50">
        <w:rPr>
          <w:rFonts w:eastAsia="Yu Gothic Light"/>
        </w:rPr>
        <w:t>Develop national guidelines for high-quality practical experience</w:t>
      </w:r>
      <w:bookmarkEnd w:id="25"/>
      <w:bookmarkEnd w:id="26"/>
    </w:p>
    <w:p w14:paraId="5254F869" w14:textId="2BDA97C4" w:rsidR="0064022B" w:rsidRPr="00734A50" w:rsidRDefault="009902BE" w:rsidP="0023286D">
      <w:pPr>
        <w:rPr>
          <w:rFonts w:ascii="Calibri" w:eastAsia="Calibri" w:hAnsi="Calibri" w:cs="Calibri"/>
        </w:rPr>
      </w:pPr>
      <w:r w:rsidRPr="00734A50">
        <w:rPr>
          <w:rFonts w:ascii="Calibri" w:eastAsia="Calibri" w:hAnsi="Calibri" w:cs="Calibri"/>
        </w:rPr>
        <w:t>A</w:t>
      </w:r>
      <w:r w:rsidR="00895D4C" w:rsidRPr="00734A50">
        <w:rPr>
          <w:rFonts w:ascii="Calibri" w:eastAsia="Calibri" w:hAnsi="Calibri" w:cs="Calibri"/>
        </w:rPr>
        <w:t xml:space="preserve">mendments </w:t>
      </w:r>
      <w:r w:rsidR="003B21E1" w:rsidRPr="00734A50">
        <w:rPr>
          <w:rFonts w:ascii="Calibri" w:eastAsia="Calibri" w:hAnsi="Calibri" w:cs="Calibri"/>
        </w:rPr>
        <w:t xml:space="preserve">made </w:t>
      </w:r>
      <w:r w:rsidR="00895D4C" w:rsidRPr="00734A50">
        <w:rPr>
          <w:rFonts w:ascii="Calibri" w:eastAsia="Calibri" w:hAnsi="Calibri" w:cs="Calibri"/>
        </w:rPr>
        <w:t>to the Accreditation Standards and Procedures following</w:t>
      </w:r>
      <w:r w:rsidR="008C524D" w:rsidRPr="00734A50">
        <w:rPr>
          <w:rFonts w:ascii="Calibri" w:eastAsia="Calibri" w:hAnsi="Calibri" w:cs="Calibri"/>
        </w:rPr>
        <w:t xml:space="preserve"> the</w:t>
      </w:r>
      <w:r w:rsidR="00895D4C" w:rsidRPr="00734A50">
        <w:rPr>
          <w:rFonts w:ascii="Calibri" w:eastAsia="Calibri" w:hAnsi="Calibri" w:cs="Calibri"/>
        </w:rPr>
        <w:t xml:space="preserve"> TEMAG </w:t>
      </w:r>
      <w:r w:rsidR="008C524D" w:rsidRPr="00734A50">
        <w:rPr>
          <w:rFonts w:ascii="Calibri" w:eastAsia="Calibri" w:hAnsi="Calibri" w:cs="Calibri"/>
        </w:rPr>
        <w:t xml:space="preserve">Review </w:t>
      </w:r>
      <w:r w:rsidR="00895D4C" w:rsidRPr="00734A50">
        <w:rPr>
          <w:rFonts w:ascii="Calibri" w:eastAsia="Calibri" w:hAnsi="Calibri" w:cs="Calibri"/>
        </w:rPr>
        <w:t>do not go far enough in providing clear directions for delivering high-quality practical experience placement</w:t>
      </w:r>
      <w:r w:rsidR="00A50447" w:rsidRPr="00734A50">
        <w:rPr>
          <w:rFonts w:ascii="Calibri" w:eastAsia="Calibri" w:hAnsi="Calibri" w:cs="Calibri"/>
        </w:rPr>
        <w:t>s</w:t>
      </w:r>
      <w:r w:rsidR="00895D4C" w:rsidRPr="00734A50">
        <w:rPr>
          <w:rFonts w:ascii="Calibri" w:eastAsia="Calibri" w:hAnsi="Calibri" w:cs="Calibri"/>
        </w:rPr>
        <w:t>, with only the number of practical experience days specified. Given the variety of student and provider experiences</w:t>
      </w:r>
      <w:r w:rsidR="00954287" w:rsidRPr="00734A50">
        <w:rPr>
          <w:rFonts w:ascii="Calibri" w:eastAsia="Calibri" w:hAnsi="Calibri" w:cs="Calibri"/>
        </w:rPr>
        <w:t xml:space="preserve"> found </w:t>
      </w:r>
      <w:r w:rsidR="0064735D" w:rsidRPr="00734A50">
        <w:rPr>
          <w:rFonts w:ascii="Calibri" w:eastAsia="Calibri" w:hAnsi="Calibri" w:cs="Calibri"/>
        </w:rPr>
        <w:t>by</w:t>
      </w:r>
      <w:r w:rsidR="00954287" w:rsidRPr="00734A50">
        <w:rPr>
          <w:rFonts w:ascii="Calibri" w:eastAsia="Calibri" w:hAnsi="Calibri" w:cs="Calibri"/>
        </w:rPr>
        <w:t xml:space="preserve"> the </w:t>
      </w:r>
      <w:r w:rsidR="0064735D" w:rsidRPr="00734A50">
        <w:rPr>
          <w:rFonts w:ascii="Calibri" w:eastAsia="Calibri" w:hAnsi="Calibri" w:cs="Calibri"/>
        </w:rPr>
        <w:t>Panel</w:t>
      </w:r>
      <w:r w:rsidR="00895D4C" w:rsidRPr="00734A50">
        <w:rPr>
          <w:rFonts w:ascii="Calibri" w:eastAsia="Calibri" w:hAnsi="Calibri" w:cs="Calibri"/>
        </w:rPr>
        <w:t>, there is a case for clearer guidance at the national level.</w:t>
      </w:r>
      <w:r w:rsidR="004817ED" w:rsidRPr="00734A50">
        <w:rPr>
          <w:rFonts w:ascii="Calibri" w:eastAsia="Calibri" w:hAnsi="Calibri" w:cs="Calibri"/>
        </w:rPr>
        <w:t xml:space="preserve"> </w:t>
      </w:r>
    </w:p>
    <w:p w14:paraId="6EB273FE" w14:textId="4592E656" w:rsidR="009E5AFD" w:rsidRPr="00734A50" w:rsidRDefault="0064022B" w:rsidP="0023286D">
      <w:r w:rsidRPr="00734A50">
        <w:rPr>
          <w:rFonts w:ascii="Calibri" w:eastAsia="Calibri" w:hAnsi="Calibri" w:cs="Calibri"/>
        </w:rPr>
        <w:t>N</w:t>
      </w:r>
      <w:r w:rsidR="004817ED" w:rsidRPr="00734A50">
        <w:rPr>
          <w:rFonts w:ascii="Calibri" w:eastAsia="Calibri" w:hAnsi="Calibri" w:cs="Calibri"/>
        </w:rPr>
        <w:t xml:space="preserve">ational </w:t>
      </w:r>
      <w:r w:rsidRPr="00734A50">
        <w:rPr>
          <w:rFonts w:ascii="Calibri" w:eastAsia="Calibri" w:hAnsi="Calibri" w:cs="Calibri"/>
        </w:rPr>
        <w:t>guidelines</w:t>
      </w:r>
      <w:r w:rsidR="004817ED" w:rsidRPr="00734A50">
        <w:rPr>
          <w:rFonts w:ascii="Calibri" w:eastAsia="Calibri" w:hAnsi="Calibri" w:cs="Calibri"/>
        </w:rPr>
        <w:t xml:space="preserve"> </w:t>
      </w:r>
      <w:r w:rsidRPr="00734A50">
        <w:rPr>
          <w:rFonts w:ascii="Calibri" w:eastAsia="Calibri" w:hAnsi="Calibri" w:cs="Calibri"/>
        </w:rPr>
        <w:t>should be developed to</w:t>
      </w:r>
      <w:r w:rsidR="004817ED" w:rsidRPr="00734A50">
        <w:rPr>
          <w:rFonts w:ascii="Calibri" w:eastAsia="Calibri" w:hAnsi="Calibri" w:cs="Calibri"/>
        </w:rPr>
        <w:t xml:space="preserve"> </w:t>
      </w:r>
      <w:r w:rsidR="001D1B1A" w:rsidRPr="00734A50">
        <w:rPr>
          <w:rFonts w:ascii="Calibri" w:eastAsia="Calibri" w:hAnsi="Calibri" w:cs="Calibri"/>
        </w:rPr>
        <w:t>p</w:t>
      </w:r>
      <w:r w:rsidR="004817ED" w:rsidRPr="00734A50">
        <w:rPr>
          <w:rFonts w:ascii="Calibri" w:eastAsia="Calibri" w:hAnsi="Calibri" w:cs="Calibri"/>
        </w:rPr>
        <w:t>rovid</w:t>
      </w:r>
      <w:r w:rsidR="00380EB0" w:rsidRPr="00734A50">
        <w:rPr>
          <w:rFonts w:ascii="Calibri" w:eastAsia="Calibri" w:hAnsi="Calibri" w:cs="Calibri"/>
        </w:rPr>
        <w:t>e</w:t>
      </w:r>
      <w:r w:rsidR="004817ED" w:rsidRPr="00734A50">
        <w:rPr>
          <w:rFonts w:ascii="Calibri" w:eastAsia="Calibri" w:hAnsi="Calibri" w:cs="Calibri"/>
        </w:rPr>
        <w:t xml:space="preserve"> clear expectations </w:t>
      </w:r>
      <w:r w:rsidR="00F66CDA" w:rsidRPr="00734A50">
        <w:rPr>
          <w:rFonts w:ascii="Calibri" w:eastAsia="Calibri" w:hAnsi="Calibri" w:cs="Calibri"/>
        </w:rPr>
        <w:t xml:space="preserve">and advice </w:t>
      </w:r>
      <w:r w:rsidR="004817ED" w:rsidRPr="00734A50">
        <w:rPr>
          <w:rFonts w:ascii="Calibri" w:eastAsia="Calibri" w:hAnsi="Calibri" w:cs="Calibri"/>
        </w:rPr>
        <w:t xml:space="preserve">for </w:t>
      </w:r>
      <w:r w:rsidR="00B67241" w:rsidRPr="00734A50">
        <w:t>consistent high-quality practical experience</w:t>
      </w:r>
      <w:r w:rsidR="004817ED" w:rsidRPr="00734A50">
        <w:rPr>
          <w:rFonts w:ascii="Calibri" w:eastAsia="Calibri" w:hAnsi="Calibri" w:cs="Calibri"/>
        </w:rPr>
        <w:t>. The</w:t>
      </w:r>
      <w:r w:rsidR="00AD4995" w:rsidRPr="00734A50">
        <w:rPr>
          <w:rFonts w:ascii="Calibri" w:eastAsia="Calibri" w:hAnsi="Calibri" w:cs="Calibri"/>
        </w:rPr>
        <w:t xml:space="preserve"> guidelines</w:t>
      </w:r>
      <w:r w:rsidR="004817ED" w:rsidRPr="00734A50">
        <w:rPr>
          <w:rFonts w:ascii="Calibri" w:eastAsia="Calibri" w:hAnsi="Calibri" w:cs="Calibri"/>
        </w:rPr>
        <w:t xml:space="preserve"> would build on existing practical experience resources already being used in some jurisdictions </w:t>
      </w:r>
      <w:r w:rsidR="0023286D" w:rsidRPr="00734A50">
        <w:t>(</w:t>
      </w:r>
      <w:r w:rsidR="0023286D" w:rsidRPr="00734A50">
        <w:rPr>
          <w:b/>
        </w:rPr>
        <w:t>Recommendation 9</w:t>
      </w:r>
      <w:r w:rsidR="0023286D" w:rsidRPr="00734A50">
        <w:t>).</w:t>
      </w:r>
    </w:p>
    <w:p w14:paraId="5427C2C4" w14:textId="01DE97C2" w:rsidR="60B593AD" w:rsidRPr="00734A50" w:rsidRDefault="001156FE" w:rsidP="6DDCDED7">
      <w:pPr>
        <w:pStyle w:val="Heading3"/>
        <w:rPr>
          <w:rFonts w:eastAsia="Yu Gothic Light"/>
        </w:rPr>
      </w:pPr>
      <w:bookmarkStart w:id="27" w:name="_Toc139366499"/>
      <w:bookmarkStart w:id="28" w:name="_Toc139366617"/>
      <w:r w:rsidRPr="00734A50">
        <w:rPr>
          <w:rFonts w:eastAsia="Yu Gothic Light"/>
        </w:rPr>
        <w:t>Provide s</w:t>
      </w:r>
      <w:r w:rsidR="00E06E0C" w:rsidRPr="00734A50">
        <w:rPr>
          <w:rFonts w:eastAsia="Yu Gothic Light"/>
        </w:rPr>
        <w:t xml:space="preserve">ystemic </w:t>
      </w:r>
      <w:r w:rsidR="28C89374" w:rsidRPr="00734A50">
        <w:rPr>
          <w:rFonts w:eastAsia="Yu Gothic Light"/>
        </w:rPr>
        <w:t xml:space="preserve">support and </w:t>
      </w:r>
      <w:r w:rsidR="00E06E0C" w:rsidRPr="00734A50">
        <w:rPr>
          <w:rFonts w:eastAsia="Yu Gothic Light"/>
        </w:rPr>
        <w:t>investment in practical experience</w:t>
      </w:r>
      <w:bookmarkEnd w:id="27"/>
      <w:bookmarkEnd w:id="28"/>
    </w:p>
    <w:p w14:paraId="2343540A" w14:textId="5362CBC1" w:rsidR="00973DCD" w:rsidRPr="00734A50" w:rsidRDefault="00973DCD" w:rsidP="00434A27">
      <w:pPr>
        <w:rPr>
          <w:rFonts w:ascii="Calibri" w:eastAsia="Calibri" w:hAnsi="Calibri" w:cs="Calibri"/>
        </w:rPr>
      </w:pPr>
      <w:r w:rsidRPr="00734A50">
        <w:rPr>
          <w:rFonts w:ascii="Calibri" w:eastAsia="Calibri" w:hAnsi="Calibri" w:cs="Calibri"/>
        </w:rPr>
        <w:t xml:space="preserve">Stakeholder feedback to the Panel highlighted the significant financial cost and administrative burden on higher education providers and the school system in delivering high-quality practical experience. This has also been highlighted as a concern in submissions to the Universities Accord review. </w:t>
      </w:r>
      <w:r w:rsidR="00A30CDF" w:rsidRPr="00734A50">
        <w:rPr>
          <w:rFonts w:ascii="Calibri" w:eastAsia="Calibri" w:hAnsi="Calibri" w:cs="Calibri"/>
        </w:rPr>
        <w:t>Many ITE students also reported incurring significant financial costs in undertaking their placements.</w:t>
      </w:r>
    </w:p>
    <w:p w14:paraId="33D48F8B" w14:textId="7CE37F94" w:rsidR="00434A27" w:rsidRPr="00734A50" w:rsidRDefault="00434A27" w:rsidP="00434A27">
      <w:pPr>
        <w:rPr>
          <w:rFonts w:ascii="Calibri" w:eastAsia="Calibri" w:hAnsi="Calibri" w:cs="Calibri"/>
        </w:rPr>
      </w:pPr>
      <w:r w:rsidRPr="00734A50">
        <w:t xml:space="preserve">Systemic </w:t>
      </w:r>
      <w:r w:rsidR="63DAE695" w:rsidRPr="00734A50">
        <w:t xml:space="preserve">support and </w:t>
      </w:r>
      <w:r w:rsidR="52B759D4" w:rsidRPr="00734A50">
        <w:t>i</w:t>
      </w:r>
      <w:r w:rsidR="52B759D4" w:rsidRPr="00734A50">
        <w:rPr>
          <w:rFonts w:ascii="Calibri" w:eastAsia="Calibri" w:hAnsi="Calibri" w:cs="Calibri"/>
        </w:rPr>
        <w:t>nvestment</w:t>
      </w:r>
      <w:r w:rsidRPr="00734A50">
        <w:rPr>
          <w:rFonts w:ascii="Calibri" w:eastAsia="Calibri" w:hAnsi="Calibri" w:cs="Calibri"/>
        </w:rPr>
        <w:t xml:space="preserve"> by jurisdictions </w:t>
      </w:r>
      <w:r w:rsidR="005220AF" w:rsidRPr="00734A50">
        <w:rPr>
          <w:rFonts w:ascii="Calibri" w:eastAsia="Calibri" w:hAnsi="Calibri" w:cs="Calibri"/>
        </w:rPr>
        <w:t>is</w:t>
      </w:r>
      <w:r w:rsidR="2CC7D0E4" w:rsidRPr="00734A50">
        <w:rPr>
          <w:rFonts w:ascii="Calibri" w:eastAsia="Calibri" w:hAnsi="Calibri" w:cs="Calibri"/>
        </w:rPr>
        <w:t xml:space="preserve"> needed to deliver</w:t>
      </w:r>
      <w:r w:rsidRPr="00734A50">
        <w:rPr>
          <w:rFonts w:ascii="Calibri" w:eastAsia="Calibri" w:hAnsi="Calibri" w:cs="Calibri"/>
        </w:rPr>
        <w:t xml:space="preserve"> high-quality </w:t>
      </w:r>
      <w:r w:rsidR="0059D327" w:rsidRPr="00734A50">
        <w:rPr>
          <w:rFonts w:ascii="Calibri" w:eastAsia="Calibri" w:hAnsi="Calibri" w:cs="Calibri"/>
        </w:rPr>
        <w:t>practical experience</w:t>
      </w:r>
      <w:r w:rsidR="00A01AA3" w:rsidRPr="00734A50">
        <w:rPr>
          <w:rFonts w:ascii="Calibri" w:eastAsia="Calibri" w:hAnsi="Calibri" w:cs="Calibri"/>
        </w:rPr>
        <w:t xml:space="preserve">; this would </w:t>
      </w:r>
      <w:r w:rsidR="00E83FEF" w:rsidRPr="00734A50">
        <w:rPr>
          <w:rFonts w:ascii="Calibri" w:eastAsia="Calibri" w:hAnsi="Calibri" w:cs="Calibri"/>
        </w:rPr>
        <w:t>drive improvements in student outcomes</w:t>
      </w:r>
      <w:r w:rsidR="00A01AA3" w:rsidRPr="00734A50">
        <w:rPr>
          <w:rFonts w:ascii="Calibri" w:eastAsia="Calibri" w:hAnsi="Calibri" w:cs="Calibri"/>
        </w:rPr>
        <w:t xml:space="preserve"> and</w:t>
      </w:r>
      <w:r w:rsidR="00E83FEF" w:rsidRPr="00734A50">
        <w:rPr>
          <w:rFonts w:ascii="Calibri" w:eastAsia="Calibri" w:hAnsi="Calibri" w:cs="Calibri"/>
        </w:rPr>
        <w:t xml:space="preserve"> </w:t>
      </w:r>
      <w:r w:rsidR="00D83F24" w:rsidRPr="00734A50">
        <w:rPr>
          <w:rFonts w:ascii="Calibri" w:eastAsia="Calibri" w:hAnsi="Calibri" w:cs="Calibri"/>
        </w:rPr>
        <w:t xml:space="preserve">attract and </w:t>
      </w:r>
      <w:r w:rsidR="00E83FEF" w:rsidRPr="00734A50">
        <w:rPr>
          <w:rFonts w:ascii="Calibri" w:eastAsia="Calibri" w:hAnsi="Calibri" w:cs="Calibri"/>
        </w:rPr>
        <w:t>retain beginning teachers</w:t>
      </w:r>
      <w:r w:rsidR="00A45C8A" w:rsidRPr="00734A50">
        <w:rPr>
          <w:rFonts w:ascii="Calibri" w:eastAsia="Calibri" w:hAnsi="Calibri" w:cs="Calibri"/>
        </w:rPr>
        <w:t xml:space="preserve">. </w:t>
      </w:r>
      <w:r w:rsidR="180BE65B" w:rsidRPr="00734A50">
        <w:rPr>
          <w:rFonts w:ascii="Calibri" w:eastAsia="Calibri" w:hAnsi="Calibri" w:cs="Calibri"/>
        </w:rPr>
        <w:t>Th</w:t>
      </w:r>
      <w:r w:rsidR="45D0154F" w:rsidRPr="00734A50">
        <w:rPr>
          <w:rFonts w:ascii="Calibri" w:eastAsia="Calibri" w:hAnsi="Calibri" w:cs="Calibri"/>
        </w:rPr>
        <w:t xml:space="preserve">is support and investment </w:t>
      </w:r>
      <w:r w:rsidR="52B759D4" w:rsidRPr="00734A50">
        <w:rPr>
          <w:rFonts w:ascii="Calibri" w:eastAsia="Calibri" w:hAnsi="Calibri" w:cs="Calibri"/>
        </w:rPr>
        <w:t>should prioritise</w:t>
      </w:r>
      <w:r w:rsidRPr="00734A50">
        <w:rPr>
          <w:rFonts w:ascii="Calibri" w:eastAsia="Calibri" w:hAnsi="Calibri" w:cs="Calibri"/>
        </w:rPr>
        <w:t xml:space="preserve"> system</w:t>
      </w:r>
      <w:r w:rsidR="00A50447" w:rsidRPr="00734A50">
        <w:rPr>
          <w:rFonts w:ascii="Calibri" w:eastAsia="Calibri" w:hAnsi="Calibri" w:cs="Calibri"/>
        </w:rPr>
        <w:t>-</w:t>
      </w:r>
      <w:r w:rsidRPr="00734A50">
        <w:rPr>
          <w:rFonts w:ascii="Calibri" w:eastAsia="Calibri" w:hAnsi="Calibri" w:cs="Calibri"/>
        </w:rPr>
        <w:t>level agreements, whole</w:t>
      </w:r>
      <w:r w:rsidR="00A50447" w:rsidRPr="00734A50">
        <w:rPr>
          <w:rFonts w:ascii="Calibri" w:eastAsia="Calibri" w:hAnsi="Calibri" w:cs="Calibri"/>
        </w:rPr>
        <w:t>-</w:t>
      </w:r>
      <w:r w:rsidRPr="00734A50">
        <w:rPr>
          <w:rFonts w:ascii="Calibri" w:eastAsia="Calibri" w:hAnsi="Calibri" w:cs="Calibri"/>
        </w:rPr>
        <w:t>of</w:t>
      </w:r>
      <w:r w:rsidR="00A50447" w:rsidRPr="00734A50">
        <w:rPr>
          <w:rFonts w:ascii="Calibri" w:eastAsia="Calibri" w:hAnsi="Calibri" w:cs="Calibri"/>
        </w:rPr>
        <w:t>-</w:t>
      </w:r>
      <w:r w:rsidRPr="00734A50">
        <w:rPr>
          <w:rFonts w:ascii="Calibri" w:eastAsia="Calibri" w:hAnsi="Calibri" w:cs="Calibri"/>
        </w:rPr>
        <w:t xml:space="preserve">system </w:t>
      </w:r>
      <w:r w:rsidRPr="00734A50">
        <w:rPr>
          <w:rFonts w:ascii="Calibri" w:eastAsia="Calibri" w:hAnsi="Calibri" w:cs="Calibri"/>
        </w:rPr>
        <w:lastRenderedPageBreak/>
        <w:t>delivery models</w:t>
      </w:r>
      <w:r w:rsidR="00A50447" w:rsidRPr="00734A50">
        <w:rPr>
          <w:rFonts w:ascii="Calibri" w:eastAsia="Calibri" w:hAnsi="Calibri" w:cs="Calibri"/>
        </w:rPr>
        <w:t>,</w:t>
      </w:r>
      <w:r w:rsidRPr="00734A50">
        <w:rPr>
          <w:rFonts w:ascii="Calibri" w:eastAsia="Calibri" w:hAnsi="Calibri" w:cs="Calibri"/>
        </w:rPr>
        <w:t xml:space="preserve"> and targeted support for beginning teachers</w:t>
      </w:r>
      <w:r w:rsidR="00A45C8A" w:rsidRPr="00734A50">
        <w:rPr>
          <w:rFonts w:ascii="Calibri" w:eastAsia="Calibri" w:hAnsi="Calibri" w:cs="Calibri"/>
        </w:rPr>
        <w:t xml:space="preserve"> </w:t>
      </w:r>
      <w:r w:rsidR="7C9A0F5E" w:rsidRPr="00734A50">
        <w:rPr>
          <w:rFonts w:ascii="Calibri" w:eastAsia="Calibri" w:hAnsi="Calibri" w:cs="Calibri"/>
        </w:rPr>
        <w:t>to</w:t>
      </w:r>
      <w:r w:rsidRPr="00734A50">
        <w:rPr>
          <w:rFonts w:ascii="Calibri" w:eastAsia="Calibri" w:hAnsi="Calibri" w:cs="Calibri"/>
        </w:rPr>
        <w:t xml:space="preserve"> deliver on the Panel’s vision that all beginning teachers receive a high-quality practical experience</w:t>
      </w:r>
      <w:r w:rsidR="00075F8E" w:rsidRPr="00734A50">
        <w:rPr>
          <w:rFonts w:ascii="Calibri" w:eastAsia="Calibri" w:hAnsi="Calibri" w:cs="Calibri"/>
        </w:rPr>
        <w:t xml:space="preserve"> </w:t>
      </w:r>
      <w:r w:rsidR="00075F8E" w:rsidRPr="00734A50">
        <w:rPr>
          <w:rFonts w:ascii="Calibri" w:eastAsia="Calibri" w:hAnsi="Calibri" w:cs="Calibri"/>
          <w:b/>
          <w:bCs/>
        </w:rPr>
        <w:t>(Recommendation 10)</w:t>
      </w:r>
      <w:r w:rsidRPr="00734A50">
        <w:rPr>
          <w:rFonts w:ascii="Calibri" w:eastAsia="Calibri" w:hAnsi="Calibri" w:cs="Calibri"/>
        </w:rPr>
        <w:t>.</w:t>
      </w:r>
    </w:p>
    <w:p w14:paraId="2FDDEDB4" w14:textId="46E87F3F" w:rsidR="00D81574" w:rsidRPr="00734A50" w:rsidRDefault="00604E52" w:rsidP="6DDCDED7">
      <w:pPr>
        <w:pStyle w:val="Heading3"/>
        <w:rPr>
          <w:rFonts w:eastAsia="Yu Gothic Light"/>
        </w:rPr>
      </w:pPr>
      <w:bookmarkStart w:id="29" w:name="_Toc139366500"/>
      <w:bookmarkStart w:id="30" w:name="_Toc139366618"/>
      <w:r w:rsidRPr="00734A50">
        <w:rPr>
          <w:rFonts w:eastAsia="Yu Gothic Light"/>
        </w:rPr>
        <w:t>Support</w:t>
      </w:r>
      <w:r w:rsidR="008911CC">
        <w:rPr>
          <w:rFonts w:eastAsia="Yu Gothic Light"/>
        </w:rPr>
        <w:t xml:space="preserve"> and value effective mentoring</w:t>
      </w:r>
      <w:bookmarkEnd w:id="29"/>
      <w:bookmarkEnd w:id="30"/>
    </w:p>
    <w:p w14:paraId="08B82EE4" w14:textId="5A6DE7D6" w:rsidR="00E35130" w:rsidRPr="00734A50" w:rsidRDefault="001F09A2" w:rsidP="6DDCDED7">
      <w:pPr>
        <w:rPr>
          <w:rFonts w:ascii="Calibri" w:eastAsia="Calibri" w:hAnsi="Calibri" w:cs="Calibri"/>
        </w:rPr>
      </w:pPr>
      <w:r w:rsidRPr="00734A50">
        <w:rPr>
          <w:rFonts w:ascii="Calibri" w:eastAsia="Calibri" w:hAnsi="Calibri" w:cs="Calibri"/>
        </w:rPr>
        <w:t xml:space="preserve">Skilled mentors are critical to the quality of practical experience and learning outcomes for </w:t>
      </w:r>
      <w:r w:rsidR="00911BD0" w:rsidRPr="00734A50">
        <w:rPr>
          <w:rFonts w:ascii="Calibri" w:eastAsia="Calibri" w:hAnsi="Calibri" w:cs="Calibri"/>
        </w:rPr>
        <w:t xml:space="preserve">ITE </w:t>
      </w:r>
      <w:r w:rsidRPr="00734A50">
        <w:rPr>
          <w:rFonts w:ascii="Calibri" w:eastAsia="Calibri" w:hAnsi="Calibri" w:cs="Calibri"/>
        </w:rPr>
        <w:t>students.</w:t>
      </w:r>
      <w:r w:rsidR="0094673A" w:rsidRPr="00734A50">
        <w:rPr>
          <w:rFonts w:ascii="Calibri" w:eastAsia="Calibri" w:hAnsi="Calibri" w:cs="Calibri"/>
        </w:rPr>
        <w:t xml:space="preserve"> Several of the initiatives identified </w:t>
      </w:r>
      <w:r w:rsidR="00E34F76" w:rsidRPr="00734A50">
        <w:rPr>
          <w:rFonts w:ascii="Calibri" w:eastAsia="Calibri" w:hAnsi="Calibri" w:cs="Calibri"/>
        </w:rPr>
        <w:t>by the Panel</w:t>
      </w:r>
      <w:r w:rsidR="0094673A" w:rsidRPr="00734A50">
        <w:rPr>
          <w:rFonts w:ascii="Calibri" w:eastAsia="Calibri" w:hAnsi="Calibri" w:cs="Calibri"/>
        </w:rPr>
        <w:t xml:space="preserve"> would have a significant impact on the support for mentor</w:t>
      </w:r>
      <w:r w:rsidR="00353F5A" w:rsidRPr="00734A50">
        <w:rPr>
          <w:rFonts w:ascii="Calibri" w:eastAsia="Calibri" w:hAnsi="Calibri" w:cs="Calibri"/>
        </w:rPr>
        <w:t xml:space="preserve"> teacher</w:t>
      </w:r>
      <w:r w:rsidR="0094673A" w:rsidRPr="00734A50">
        <w:rPr>
          <w:rFonts w:ascii="Calibri" w:eastAsia="Calibri" w:hAnsi="Calibri" w:cs="Calibri"/>
        </w:rPr>
        <w:t>s</w:t>
      </w:r>
      <w:r w:rsidR="002C7372" w:rsidRPr="00734A50">
        <w:rPr>
          <w:rFonts w:ascii="Calibri" w:eastAsia="Calibri" w:hAnsi="Calibri" w:cs="Calibri"/>
        </w:rPr>
        <w:t xml:space="preserve">. </w:t>
      </w:r>
      <w:r w:rsidR="00BF3C43" w:rsidRPr="00734A50">
        <w:rPr>
          <w:rFonts w:ascii="Calibri" w:eastAsia="Calibri" w:hAnsi="Calibri" w:cs="Calibri"/>
        </w:rPr>
        <w:t>N</w:t>
      </w:r>
      <w:r w:rsidR="0094673A" w:rsidRPr="00734A50">
        <w:rPr>
          <w:rFonts w:ascii="Calibri" w:eastAsia="Calibri" w:hAnsi="Calibri" w:cs="Calibri"/>
        </w:rPr>
        <w:t>ational guidelines</w:t>
      </w:r>
      <w:r w:rsidR="00095157" w:rsidRPr="00734A50">
        <w:rPr>
          <w:rFonts w:ascii="Calibri" w:eastAsia="Calibri" w:hAnsi="Calibri" w:cs="Calibri"/>
        </w:rPr>
        <w:t xml:space="preserve"> and </w:t>
      </w:r>
      <w:r w:rsidR="00353F5A" w:rsidRPr="00734A50">
        <w:rPr>
          <w:rFonts w:ascii="Calibri" w:eastAsia="Calibri" w:hAnsi="Calibri" w:cs="Calibri"/>
        </w:rPr>
        <w:t xml:space="preserve">system-level agreements </w:t>
      </w:r>
      <w:r w:rsidR="00BF3C43" w:rsidRPr="00734A50">
        <w:rPr>
          <w:rFonts w:ascii="Calibri" w:eastAsia="Calibri" w:hAnsi="Calibri" w:cs="Calibri"/>
        </w:rPr>
        <w:t>would</w:t>
      </w:r>
      <w:r w:rsidR="00DA2F45" w:rsidRPr="00734A50">
        <w:rPr>
          <w:rFonts w:ascii="Calibri" w:eastAsia="Calibri" w:hAnsi="Calibri" w:cs="Calibri"/>
        </w:rPr>
        <w:t xml:space="preserve"> outline</w:t>
      </w:r>
      <w:r w:rsidR="0045764C" w:rsidRPr="00734A50">
        <w:rPr>
          <w:rFonts w:ascii="Calibri" w:eastAsia="Calibri" w:hAnsi="Calibri" w:cs="Calibri"/>
        </w:rPr>
        <w:t xml:space="preserve"> </w:t>
      </w:r>
      <w:r w:rsidR="00307E93" w:rsidRPr="00734A50">
        <w:rPr>
          <w:rFonts w:ascii="Calibri" w:eastAsia="Calibri" w:hAnsi="Calibri" w:cs="Calibri"/>
        </w:rPr>
        <w:t>clear roles and responsibilities for mentor teacher</w:t>
      </w:r>
      <w:r w:rsidR="00DA2F45" w:rsidRPr="00734A50">
        <w:rPr>
          <w:rFonts w:ascii="Calibri" w:eastAsia="Calibri" w:hAnsi="Calibri" w:cs="Calibri"/>
        </w:rPr>
        <w:t>s</w:t>
      </w:r>
      <w:r w:rsidR="00604ADF" w:rsidRPr="00734A50">
        <w:rPr>
          <w:rFonts w:ascii="Calibri" w:eastAsia="Calibri" w:hAnsi="Calibri" w:cs="Calibri"/>
        </w:rPr>
        <w:t xml:space="preserve"> and </w:t>
      </w:r>
      <w:r w:rsidR="00656AC8" w:rsidRPr="00734A50">
        <w:rPr>
          <w:rFonts w:ascii="Calibri" w:eastAsia="Calibri" w:hAnsi="Calibri" w:cs="Calibri"/>
        </w:rPr>
        <w:t xml:space="preserve">support </w:t>
      </w:r>
      <w:r w:rsidR="001A66F2" w:rsidRPr="00734A50">
        <w:rPr>
          <w:rFonts w:ascii="Calibri" w:eastAsia="Calibri" w:hAnsi="Calibri" w:cs="Calibri"/>
        </w:rPr>
        <w:t xml:space="preserve">more consistent matching arrangements; </w:t>
      </w:r>
      <w:r w:rsidR="00D04489" w:rsidRPr="00734A50">
        <w:rPr>
          <w:rFonts w:ascii="Calibri" w:eastAsia="Calibri" w:hAnsi="Calibri" w:cs="Calibri"/>
        </w:rPr>
        <w:t>and</w:t>
      </w:r>
      <w:r w:rsidR="00353F5A" w:rsidRPr="00734A50">
        <w:rPr>
          <w:rFonts w:ascii="Calibri" w:eastAsia="Calibri" w:hAnsi="Calibri" w:cs="Calibri"/>
        </w:rPr>
        <w:t xml:space="preserve"> delivery models</w:t>
      </w:r>
      <w:r w:rsidR="00307E93" w:rsidRPr="00734A50">
        <w:rPr>
          <w:rFonts w:ascii="Calibri" w:eastAsia="Calibri" w:hAnsi="Calibri" w:cs="Calibri"/>
        </w:rPr>
        <w:t xml:space="preserve"> </w:t>
      </w:r>
      <w:r w:rsidR="00057201" w:rsidRPr="00734A50">
        <w:rPr>
          <w:rFonts w:ascii="Calibri" w:eastAsia="Calibri" w:hAnsi="Calibri" w:cs="Calibri"/>
        </w:rPr>
        <w:t>would</w:t>
      </w:r>
      <w:r w:rsidR="00AB5105" w:rsidRPr="00734A50">
        <w:rPr>
          <w:rFonts w:ascii="Calibri" w:eastAsia="Calibri" w:hAnsi="Calibri" w:cs="Calibri"/>
        </w:rPr>
        <w:t xml:space="preserve"> improve mentoring skills</w:t>
      </w:r>
      <w:r w:rsidR="00E82696" w:rsidRPr="00734A50">
        <w:rPr>
          <w:rFonts w:ascii="Calibri" w:eastAsia="Calibri" w:hAnsi="Calibri" w:cs="Calibri"/>
        </w:rPr>
        <w:t xml:space="preserve"> </w:t>
      </w:r>
      <w:r w:rsidR="00EF729F" w:rsidRPr="00734A50">
        <w:rPr>
          <w:rFonts w:ascii="Calibri" w:eastAsia="Calibri" w:hAnsi="Calibri" w:cs="Calibri"/>
        </w:rPr>
        <w:t xml:space="preserve">through </w:t>
      </w:r>
      <w:r w:rsidR="004073CF" w:rsidRPr="00734A50">
        <w:rPr>
          <w:rFonts w:ascii="Calibri" w:eastAsia="Calibri" w:hAnsi="Calibri" w:cs="Calibri"/>
        </w:rPr>
        <w:t>increased administrative</w:t>
      </w:r>
      <w:r w:rsidR="00B928C2" w:rsidRPr="00734A50">
        <w:rPr>
          <w:rFonts w:ascii="Calibri" w:eastAsia="Calibri" w:hAnsi="Calibri" w:cs="Calibri"/>
        </w:rPr>
        <w:t xml:space="preserve"> </w:t>
      </w:r>
      <w:r w:rsidR="00DD2408" w:rsidRPr="00734A50">
        <w:rPr>
          <w:rFonts w:ascii="Calibri" w:eastAsia="Calibri" w:hAnsi="Calibri" w:cs="Calibri"/>
        </w:rPr>
        <w:t xml:space="preserve">support </w:t>
      </w:r>
      <w:r w:rsidR="004073CF" w:rsidRPr="00734A50">
        <w:rPr>
          <w:rFonts w:ascii="Calibri" w:eastAsia="Calibri" w:hAnsi="Calibri" w:cs="Calibri"/>
        </w:rPr>
        <w:t xml:space="preserve">and </w:t>
      </w:r>
      <w:r w:rsidR="00026538" w:rsidRPr="00734A50">
        <w:rPr>
          <w:rFonts w:ascii="Calibri" w:eastAsia="Calibri" w:hAnsi="Calibri" w:cs="Calibri"/>
        </w:rPr>
        <w:t xml:space="preserve">quality </w:t>
      </w:r>
      <w:r w:rsidR="00803E43" w:rsidRPr="00734A50">
        <w:rPr>
          <w:rFonts w:ascii="Calibri" w:eastAsia="Calibri" w:hAnsi="Calibri" w:cs="Calibri"/>
        </w:rPr>
        <w:t>professional learning</w:t>
      </w:r>
      <w:r w:rsidR="00862965" w:rsidRPr="00734A50">
        <w:rPr>
          <w:rFonts w:ascii="Calibri" w:eastAsia="Calibri" w:hAnsi="Calibri" w:cs="Calibri"/>
        </w:rPr>
        <w:t xml:space="preserve">. </w:t>
      </w:r>
    </w:p>
    <w:p w14:paraId="1D68BB09" w14:textId="1223BD3A" w:rsidR="00D81574" w:rsidRPr="00734A50" w:rsidRDefault="00862965" w:rsidP="6DDCDED7">
      <w:pPr>
        <w:rPr>
          <w:rFonts w:ascii="Calibri" w:eastAsiaTheme="minorEastAsia" w:hAnsi="Calibri" w:cs="Calibri"/>
          <w:color w:val="000000" w:themeColor="text1"/>
        </w:rPr>
      </w:pPr>
      <w:r w:rsidRPr="00734A50">
        <w:rPr>
          <w:rFonts w:ascii="Calibri" w:eastAsia="Calibri" w:hAnsi="Calibri" w:cs="Calibri"/>
        </w:rPr>
        <w:t xml:space="preserve">However, </w:t>
      </w:r>
      <w:r w:rsidR="0094673A" w:rsidRPr="00734A50">
        <w:rPr>
          <w:rFonts w:ascii="Calibri" w:eastAsia="Calibri" w:hAnsi="Calibri" w:cs="Calibri"/>
        </w:rPr>
        <w:t xml:space="preserve">there </w:t>
      </w:r>
      <w:r w:rsidR="00D65B86" w:rsidRPr="00734A50">
        <w:rPr>
          <w:rFonts w:ascii="Calibri" w:eastAsia="Calibri" w:hAnsi="Calibri" w:cs="Calibri"/>
        </w:rPr>
        <w:t>are</w:t>
      </w:r>
      <w:r w:rsidR="0094673A" w:rsidRPr="00734A50">
        <w:rPr>
          <w:rFonts w:ascii="Calibri" w:eastAsia="Calibri" w:hAnsi="Calibri" w:cs="Calibri"/>
        </w:rPr>
        <w:t xml:space="preserve"> </w:t>
      </w:r>
      <w:r w:rsidR="003E2CE9" w:rsidRPr="00734A50">
        <w:rPr>
          <w:rFonts w:ascii="Calibri" w:eastAsia="Calibri" w:hAnsi="Calibri" w:cs="Calibri"/>
        </w:rPr>
        <w:t>further actions that can be taken</w:t>
      </w:r>
      <w:r w:rsidR="0000249E" w:rsidRPr="00734A50">
        <w:rPr>
          <w:rFonts w:ascii="Calibri" w:eastAsia="Calibri" w:hAnsi="Calibri" w:cs="Calibri"/>
        </w:rPr>
        <w:t xml:space="preserve"> to support </w:t>
      </w:r>
      <w:r w:rsidR="00EC5873" w:rsidRPr="00734A50">
        <w:rPr>
          <w:rFonts w:ascii="Calibri" w:eastAsia="Calibri" w:hAnsi="Calibri" w:cs="Calibri"/>
        </w:rPr>
        <w:t xml:space="preserve">and value </w:t>
      </w:r>
      <w:r w:rsidR="0000249E" w:rsidRPr="00734A50">
        <w:rPr>
          <w:rFonts w:ascii="Calibri" w:eastAsia="Calibri" w:hAnsi="Calibri" w:cs="Calibri"/>
        </w:rPr>
        <w:t>mentor teachers</w:t>
      </w:r>
      <w:r w:rsidR="0094673A" w:rsidRPr="00734A50">
        <w:rPr>
          <w:rFonts w:ascii="Calibri" w:eastAsia="Calibri" w:hAnsi="Calibri" w:cs="Calibri"/>
        </w:rPr>
        <w:t>.</w:t>
      </w:r>
      <w:r w:rsidR="001F09A2" w:rsidRPr="00734A50">
        <w:rPr>
          <w:rFonts w:ascii="Calibri" w:eastAsia="Calibri" w:hAnsi="Calibri" w:cs="Calibri"/>
        </w:rPr>
        <w:t xml:space="preserve"> </w:t>
      </w:r>
      <w:r w:rsidR="003E2CE9" w:rsidRPr="00734A50">
        <w:rPr>
          <w:rFonts w:ascii="Calibri" w:eastAsia="Calibri" w:hAnsi="Calibri" w:cs="Calibri"/>
        </w:rPr>
        <w:t>Currently there</w:t>
      </w:r>
      <w:r w:rsidR="001F09A2" w:rsidRPr="00734A50">
        <w:rPr>
          <w:rFonts w:ascii="Calibri" w:eastAsia="Calibri" w:hAnsi="Calibri" w:cs="Calibri"/>
        </w:rPr>
        <w:t xml:space="preserve"> is minimal professional recognition for mentor teachers. For example, the ability for mentoring to contribute to a teacher</w:t>
      </w:r>
      <w:r w:rsidR="00A50447" w:rsidRPr="00734A50">
        <w:rPr>
          <w:rFonts w:ascii="Calibri" w:eastAsia="Calibri" w:hAnsi="Calibri" w:cs="Calibri"/>
        </w:rPr>
        <w:t>’</w:t>
      </w:r>
      <w:r w:rsidR="001F09A2" w:rsidRPr="00734A50">
        <w:rPr>
          <w:rFonts w:ascii="Calibri" w:eastAsia="Calibri" w:hAnsi="Calibri" w:cs="Calibri"/>
        </w:rPr>
        <w:t xml:space="preserve">s </w:t>
      </w:r>
      <w:r w:rsidR="00A50447" w:rsidRPr="00734A50">
        <w:rPr>
          <w:rFonts w:ascii="Calibri" w:eastAsia="Calibri" w:hAnsi="Calibri" w:cs="Calibri"/>
        </w:rPr>
        <w:t>p</w:t>
      </w:r>
      <w:r w:rsidR="001F09A2" w:rsidRPr="00734A50">
        <w:rPr>
          <w:rFonts w:ascii="Calibri" w:eastAsia="Calibri" w:hAnsi="Calibri" w:cs="Calibri"/>
        </w:rPr>
        <w:t xml:space="preserve">rofessional </w:t>
      </w:r>
      <w:r w:rsidR="00A50447" w:rsidRPr="00734A50">
        <w:rPr>
          <w:rFonts w:ascii="Calibri" w:eastAsia="Calibri" w:hAnsi="Calibri" w:cs="Calibri"/>
        </w:rPr>
        <w:t>l</w:t>
      </w:r>
      <w:r w:rsidR="001F09A2" w:rsidRPr="00734A50">
        <w:rPr>
          <w:rFonts w:ascii="Calibri" w:eastAsia="Calibri" w:hAnsi="Calibri" w:cs="Calibri"/>
        </w:rPr>
        <w:t>earning hours varies between jurisdictions</w:t>
      </w:r>
      <w:r w:rsidR="00A50447" w:rsidRPr="00734A50">
        <w:rPr>
          <w:rFonts w:ascii="Calibri" w:eastAsia="Calibri" w:hAnsi="Calibri" w:cs="Calibri"/>
        </w:rPr>
        <w:t>.</w:t>
      </w:r>
      <w:r w:rsidR="00415A27" w:rsidRPr="00734A50">
        <w:rPr>
          <w:rFonts w:ascii="Calibri" w:eastAsia="Calibri" w:hAnsi="Calibri" w:cs="Calibri"/>
        </w:rPr>
        <w:t xml:space="preserve"> </w:t>
      </w:r>
      <w:r w:rsidR="00A50447" w:rsidRPr="00734A50">
        <w:rPr>
          <w:rFonts w:ascii="Calibri" w:eastAsia="Calibri" w:hAnsi="Calibri" w:cs="Calibri"/>
        </w:rPr>
        <w:t>M</w:t>
      </w:r>
      <w:r w:rsidR="00415A27" w:rsidRPr="00734A50">
        <w:rPr>
          <w:color w:val="000000" w:themeColor="text1"/>
        </w:rPr>
        <w:t>entoring ITE students should also be linked more explicitly with High</w:t>
      </w:r>
      <w:r w:rsidR="00F9338E">
        <w:rPr>
          <w:color w:val="000000" w:themeColor="text1"/>
        </w:rPr>
        <w:t>ly Accomplished</w:t>
      </w:r>
      <w:r w:rsidR="003F47C9">
        <w:rPr>
          <w:color w:val="000000" w:themeColor="text1"/>
        </w:rPr>
        <w:t xml:space="preserve"> </w:t>
      </w:r>
      <w:r w:rsidR="00415A27" w:rsidRPr="00734A50">
        <w:rPr>
          <w:color w:val="000000" w:themeColor="text1"/>
        </w:rPr>
        <w:t>and Lead Teacher</w:t>
      </w:r>
      <w:r w:rsidR="0051521B">
        <w:rPr>
          <w:color w:val="000000" w:themeColor="text1"/>
        </w:rPr>
        <w:t>s</w:t>
      </w:r>
      <w:r w:rsidR="00415A27" w:rsidRPr="00734A50">
        <w:rPr>
          <w:color w:val="000000" w:themeColor="text1"/>
        </w:rPr>
        <w:t xml:space="preserve"> (HALT) </w:t>
      </w:r>
      <w:r w:rsidR="00545089" w:rsidRPr="00734A50">
        <w:rPr>
          <w:color w:val="000000" w:themeColor="text1"/>
        </w:rPr>
        <w:t xml:space="preserve">certification </w:t>
      </w:r>
      <w:r w:rsidR="00E17787" w:rsidRPr="00734A50">
        <w:rPr>
          <w:color w:val="000000" w:themeColor="text1"/>
        </w:rPr>
        <w:t xml:space="preserve">or equivalent </w:t>
      </w:r>
      <w:r w:rsidR="00415A27" w:rsidRPr="00734A50">
        <w:rPr>
          <w:color w:val="000000" w:themeColor="text1"/>
        </w:rPr>
        <w:t>frameworks</w:t>
      </w:r>
      <w:r w:rsidR="001123D6" w:rsidRPr="00734A50">
        <w:rPr>
          <w:color w:val="000000" w:themeColor="text1"/>
        </w:rPr>
        <w:t>.</w:t>
      </w:r>
      <w:r w:rsidR="00AC2C18" w:rsidRPr="00734A50">
        <w:rPr>
          <w:color w:val="000000" w:themeColor="text1"/>
        </w:rPr>
        <w:t xml:space="preserve"> </w:t>
      </w:r>
      <w:r w:rsidR="00F766D5" w:rsidRPr="00734A50">
        <w:rPr>
          <w:rFonts w:ascii="Calibri" w:eastAsia="Calibri" w:hAnsi="Calibri" w:cs="Calibri"/>
        </w:rPr>
        <w:t xml:space="preserve">States and </w:t>
      </w:r>
      <w:r w:rsidR="00567C80" w:rsidRPr="00734A50">
        <w:rPr>
          <w:rFonts w:ascii="Calibri" w:eastAsia="Calibri" w:hAnsi="Calibri" w:cs="Calibri"/>
        </w:rPr>
        <w:t>t</w:t>
      </w:r>
      <w:r w:rsidR="001D4BD5" w:rsidRPr="00734A50">
        <w:rPr>
          <w:rFonts w:ascii="Calibri" w:eastAsia="Calibri" w:hAnsi="Calibri" w:cs="Calibri"/>
        </w:rPr>
        <w:t xml:space="preserve">erritories should pursue professional recognition of mentor teachers to </w:t>
      </w:r>
      <w:r w:rsidR="00567C80" w:rsidRPr="00734A50">
        <w:rPr>
          <w:rFonts w:ascii="Calibri" w:eastAsia="Calibri" w:hAnsi="Calibri" w:cs="Calibri"/>
        </w:rPr>
        <w:t>support teachers in mentoring ITE students during their practical experience placements (</w:t>
      </w:r>
      <w:r w:rsidR="00567C80" w:rsidRPr="00734A50">
        <w:rPr>
          <w:rFonts w:ascii="Calibri" w:eastAsia="Calibri" w:hAnsi="Calibri" w:cs="Calibri"/>
          <w:b/>
          <w:bCs/>
        </w:rPr>
        <w:t>Recommendation 11</w:t>
      </w:r>
      <w:r w:rsidR="00567C80" w:rsidRPr="00734A50">
        <w:rPr>
          <w:rFonts w:ascii="Calibri" w:eastAsia="Calibri" w:hAnsi="Calibri" w:cs="Calibri"/>
        </w:rPr>
        <w:t xml:space="preserve">). </w:t>
      </w:r>
    </w:p>
    <w:p w14:paraId="3E1CEB78" w14:textId="289100FA" w:rsidR="00481EED" w:rsidRPr="00734A50" w:rsidRDefault="00481EED" w:rsidP="6DDCDED7">
      <w:pPr>
        <w:pStyle w:val="Heading2"/>
      </w:pPr>
      <w:bookmarkStart w:id="31" w:name="_Toc139366619"/>
      <w:r w:rsidRPr="00734A50">
        <w:t xml:space="preserve">Priority Reform 4: Improving postgraduate </w:t>
      </w:r>
      <w:r w:rsidR="00A50447" w:rsidRPr="00734A50">
        <w:t>i</w:t>
      </w:r>
      <w:r w:rsidRPr="00734A50">
        <w:t xml:space="preserve">nitial </w:t>
      </w:r>
      <w:r w:rsidR="00A50447" w:rsidRPr="00734A50">
        <w:t>t</w:t>
      </w:r>
      <w:r w:rsidRPr="00734A50">
        <w:t xml:space="preserve">eacher </w:t>
      </w:r>
      <w:r w:rsidR="00A50447" w:rsidRPr="00734A50">
        <w:t>e</w:t>
      </w:r>
      <w:r w:rsidRPr="00734A50">
        <w:t>ducation programs to attract more mid-career entrants</w:t>
      </w:r>
      <w:bookmarkEnd w:id="31"/>
    </w:p>
    <w:p w14:paraId="5BC5D3CB" w14:textId="7E551079" w:rsidR="00D14218" w:rsidRPr="00734A50" w:rsidRDefault="7BEF857C" w:rsidP="53B011C3">
      <w:pPr>
        <w:rPr>
          <w:rFonts w:ascii="Calibri" w:eastAsia="Calibri" w:hAnsi="Calibri" w:cs="Calibri"/>
        </w:rPr>
      </w:pPr>
      <w:r w:rsidRPr="00734A50">
        <w:rPr>
          <w:rFonts w:ascii="Calibri" w:eastAsia="Calibri" w:hAnsi="Calibri" w:cs="Calibri"/>
        </w:rPr>
        <w:t xml:space="preserve">Mid-career ITE entrants can help to address workforce supply issues and </w:t>
      </w:r>
      <w:r w:rsidR="006C5EBC" w:rsidRPr="00734A50">
        <w:rPr>
          <w:rFonts w:ascii="Calibri" w:eastAsia="Calibri" w:hAnsi="Calibri" w:cs="Calibri"/>
        </w:rPr>
        <w:t xml:space="preserve">contribute to </w:t>
      </w:r>
      <w:r w:rsidR="0071125A" w:rsidRPr="00734A50">
        <w:rPr>
          <w:rFonts w:ascii="Calibri" w:eastAsia="Calibri" w:hAnsi="Calibri" w:cs="Calibri"/>
        </w:rPr>
        <w:t>increas</w:t>
      </w:r>
      <w:r w:rsidR="003F3D0D" w:rsidRPr="00734A50">
        <w:rPr>
          <w:rFonts w:ascii="Calibri" w:eastAsia="Calibri" w:hAnsi="Calibri" w:cs="Calibri"/>
        </w:rPr>
        <w:t xml:space="preserve">ed </w:t>
      </w:r>
      <w:r w:rsidRPr="00734A50">
        <w:rPr>
          <w:rFonts w:ascii="Calibri" w:eastAsia="Calibri" w:hAnsi="Calibri" w:cs="Calibri"/>
        </w:rPr>
        <w:t xml:space="preserve">diversity in the teaching profession. However, mid-career cohorts face specific barriers to entering ITE </w:t>
      </w:r>
      <w:r w:rsidR="003332FB" w:rsidRPr="00734A50">
        <w:rPr>
          <w:rFonts w:ascii="Calibri" w:eastAsia="Calibri" w:hAnsi="Calibri" w:cs="Calibri"/>
        </w:rPr>
        <w:t>programs</w:t>
      </w:r>
      <w:r w:rsidRPr="00734A50">
        <w:rPr>
          <w:rFonts w:ascii="Calibri" w:eastAsia="Calibri" w:hAnsi="Calibri" w:cs="Calibri"/>
        </w:rPr>
        <w:t xml:space="preserve"> and transitioning to classroom teaching</w:t>
      </w:r>
      <w:r w:rsidR="00470CB4" w:rsidRPr="00734A50">
        <w:rPr>
          <w:rFonts w:ascii="Calibri" w:eastAsia="Calibri" w:hAnsi="Calibri" w:cs="Calibri"/>
        </w:rPr>
        <w:t xml:space="preserve">, including </w:t>
      </w:r>
      <w:r w:rsidR="00C6696B" w:rsidRPr="00734A50">
        <w:rPr>
          <w:rFonts w:ascii="Calibri" w:eastAsia="Calibri" w:hAnsi="Calibri" w:cs="Calibri"/>
        </w:rPr>
        <w:t xml:space="preserve">the </w:t>
      </w:r>
      <w:r w:rsidR="00C6696B" w:rsidRPr="00734A50">
        <w:rPr>
          <w:rFonts w:ascii="Calibri" w:eastAsia="Calibri" w:hAnsi="Calibri" w:cs="Calibri"/>
          <w:color w:val="000000" w:themeColor="text1"/>
        </w:rPr>
        <w:t>length of time and cost involved in retraining as a teacher,</w:t>
      </w:r>
      <w:r w:rsidR="00C6696B" w:rsidRPr="00734A50">
        <w:rPr>
          <w:rFonts w:ascii="Calibri" w:eastAsia="Calibri" w:hAnsi="Calibri" w:cs="Calibri"/>
        </w:rPr>
        <w:t xml:space="preserve"> </w:t>
      </w:r>
      <w:r w:rsidR="00470CB4" w:rsidRPr="00734A50">
        <w:rPr>
          <w:rFonts w:ascii="Calibri" w:eastAsia="Calibri" w:hAnsi="Calibri" w:cs="Calibri"/>
        </w:rPr>
        <w:t>loss of income during study</w:t>
      </w:r>
      <w:r w:rsidR="00A50447" w:rsidRPr="00734A50">
        <w:rPr>
          <w:rFonts w:ascii="Calibri" w:eastAsia="Calibri" w:hAnsi="Calibri" w:cs="Calibri"/>
        </w:rPr>
        <w:t>,</w:t>
      </w:r>
      <w:r w:rsidR="00107411" w:rsidRPr="00734A50">
        <w:rPr>
          <w:rFonts w:ascii="Calibri" w:eastAsia="Calibri" w:hAnsi="Calibri" w:cs="Calibri"/>
        </w:rPr>
        <w:t xml:space="preserve"> </w:t>
      </w:r>
      <w:r w:rsidR="00470CB4" w:rsidRPr="00734A50">
        <w:rPr>
          <w:rFonts w:ascii="Calibri" w:eastAsia="Calibri" w:hAnsi="Calibri" w:cs="Calibri"/>
        </w:rPr>
        <w:t xml:space="preserve">and </w:t>
      </w:r>
      <w:r w:rsidR="00A50447" w:rsidRPr="00734A50">
        <w:rPr>
          <w:rFonts w:ascii="Calibri" w:eastAsia="Calibri" w:hAnsi="Calibri" w:cs="Calibri"/>
        </w:rPr>
        <w:t xml:space="preserve">difficulty </w:t>
      </w:r>
      <w:r w:rsidR="00470CB4" w:rsidRPr="00734A50">
        <w:rPr>
          <w:rFonts w:ascii="Calibri" w:eastAsia="Calibri" w:hAnsi="Calibri" w:cs="Calibri"/>
        </w:rPr>
        <w:t>balancing competing commitments</w:t>
      </w:r>
      <w:r w:rsidRPr="00734A50">
        <w:rPr>
          <w:rFonts w:ascii="Calibri" w:eastAsia="Calibri" w:hAnsi="Calibri" w:cs="Calibri"/>
        </w:rPr>
        <w:t xml:space="preserve">. Targeting these barriers can incentivise the entry of mid-career </w:t>
      </w:r>
      <w:r w:rsidR="00A50447" w:rsidRPr="00734A50">
        <w:rPr>
          <w:rFonts w:ascii="Calibri" w:eastAsia="Calibri" w:hAnsi="Calibri" w:cs="Calibri"/>
        </w:rPr>
        <w:t xml:space="preserve">cohorts </w:t>
      </w:r>
      <w:r w:rsidRPr="00734A50">
        <w:rPr>
          <w:rFonts w:ascii="Calibri" w:eastAsia="Calibri" w:hAnsi="Calibri" w:cs="Calibri"/>
        </w:rPr>
        <w:t xml:space="preserve">and </w:t>
      </w:r>
      <w:r w:rsidR="00001D29">
        <w:rPr>
          <w:rFonts w:ascii="Calibri" w:eastAsia="Calibri" w:hAnsi="Calibri" w:cs="Calibri"/>
        </w:rPr>
        <w:t>improve</w:t>
      </w:r>
      <w:r w:rsidRPr="00734A50">
        <w:rPr>
          <w:rFonts w:ascii="Calibri" w:eastAsia="Calibri" w:hAnsi="Calibri" w:cs="Calibri"/>
        </w:rPr>
        <w:t xml:space="preserve"> the retention of mid-career entrants in the teaching profession. </w:t>
      </w:r>
      <w:r w:rsidR="00020D23" w:rsidRPr="00734A50">
        <w:rPr>
          <w:rFonts w:ascii="Calibri" w:eastAsia="Calibri" w:hAnsi="Calibri" w:cs="Calibri"/>
        </w:rPr>
        <w:t>The QITE Review made several recommendations regarding attracting mid-career cohorts into teaching, including the provision of evidence-based incentives and alternative pathways.</w:t>
      </w:r>
    </w:p>
    <w:p w14:paraId="4EE6D2CB" w14:textId="420D9AE7" w:rsidR="008B4EC9" w:rsidRPr="00734A50" w:rsidRDefault="7BEF857C" w:rsidP="53B011C3">
      <w:pPr>
        <w:rPr>
          <w:rFonts w:ascii="Calibri" w:eastAsia="Calibri" w:hAnsi="Calibri" w:cs="Calibri"/>
        </w:rPr>
      </w:pPr>
      <w:r w:rsidRPr="00734A50">
        <w:rPr>
          <w:rFonts w:ascii="Calibri" w:eastAsia="Calibri" w:hAnsi="Calibri" w:cs="Calibri"/>
        </w:rPr>
        <w:t xml:space="preserve">Ongoing reform efforts across the sector to improve postgraduate initial teacher education </w:t>
      </w:r>
      <w:r w:rsidR="00245DBD" w:rsidRPr="00734A50">
        <w:rPr>
          <w:rFonts w:ascii="Calibri" w:eastAsia="Calibri" w:hAnsi="Calibri" w:cs="Calibri"/>
        </w:rPr>
        <w:t xml:space="preserve">are </w:t>
      </w:r>
      <w:r w:rsidRPr="00734A50">
        <w:rPr>
          <w:rFonts w:ascii="Calibri" w:eastAsia="Calibri" w:hAnsi="Calibri" w:cs="Calibri"/>
        </w:rPr>
        <w:t>required to attract more mid-career entrants.</w:t>
      </w:r>
      <w:r w:rsidR="00E35803" w:rsidRPr="00734A50">
        <w:rPr>
          <w:rFonts w:ascii="Calibri" w:eastAsia="Calibri" w:hAnsi="Calibri" w:cs="Calibri"/>
        </w:rPr>
        <w:t xml:space="preserve"> </w:t>
      </w:r>
      <w:r w:rsidR="63FC8A46" w:rsidRPr="00734A50">
        <w:rPr>
          <w:rFonts w:ascii="Calibri" w:eastAsia="Calibri" w:hAnsi="Calibri" w:cs="Calibri"/>
        </w:rPr>
        <w:t xml:space="preserve">The Panel was asked to provide advice on </w:t>
      </w:r>
      <w:r w:rsidR="0086364F" w:rsidRPr="00734A50">
        <w:rPr>
          <w:rFonts w:ascii="Calibri" w:eastAsia="Calibri" w:hAnsi="Calibri" w:cs="Calibri"/>
        </w:rPr>
        <w:t>how programs could be improved to attract mid-career entrants into ITE</w:t>
      </w:r>
      <w:r w:rsidR="00D53EC9" w:rsidRPr="00734A50">
        <w:rPr>
          <w:rFonts w:ascii="Calibri" w:eastAsia="Calibri" w:hAnsi="Calibri" w:cs="Calibri"/>
        </w:rPr>
        <w:t xml:space="preserve"> while maintaining high standards</w:t>
      </w:r>
      <w:r w:rsidR="63FC8A46" w:rsidRPr="00734A50">
        <w:rPr>
          <w:rFonts w:ascii="Calibri" w:eastAsia="Calibri" w:hAnsi="Calibri" w:cs="Calibri"/>
        </w:rPr>
        <w:t>.</w:t>
      </w:r>
    </w:p>
    <w:p w14:paraId="3CE77FE7" w14:textId="3B8D547E" w:rsidR="009F2FA7" w:rsidRPr="00734A50" w:rsidRDefault="00953289" w:rsidP="6DDCDED7">
      <w:pPr>
        <w:pStyle w:val="Heading3"/>
        <w:rPr>
          <w:rFonts w:eastAsia="Yu Gothic Light"/>
        </w:rPr>
      </w:pPr>
      <w:bookmarkStart w:id="32" w:name="_Toc139366620"/>
      <w:r w:rsidRPr="00734A50">
        <w:rPr>
          <w:rFonts w:eastAsia="Yu Gothic Light"/>
        </w:rPr>
        <w:t>Develop</w:t>
      </w:r>
      <w:r w:rsidR="00365329" w:rsidRPr="00734A50">
        <w:rPr>
          <w:rFonts w:eastAsia="Yu Gothic Light"/>
        </w:rPr>
        <w:t xml:space="preserve"> </w:t>
      </w:r>
      <w:r w:rsidRPr="00734A50">
        <w:rPr>
          <w:rFonts w:eastAsia="Yu Gothic Light"/>
        </w:rPr>
        <w:t xml:space="preserve">and </w:t>
      </w:r>
      <w:r w:rsidR="00D7751A" w:rsidRPr="00734A50">
        <w:rPr>
          <w:rFonts w:eastAsia="Yu Gothic Light"/>
        </w:rPr>
        <w:t>expand</w:t>
      </w:r>
      <w:r w:rsidR="008B63E9" w:rsidRPr="00734A50">
        <w:rPr>
          <w:rFonts w:eastAsia="Yu Gothic Light"/>
        </w:rPr>
        <w:t xml:space="preserve"> </w:t>
      </w:r>
      <w:r w:rsidR="00E23511" w:rsidRPr="00734A50">
        <w:rPr>
          <w:rFonts w:eastAsia="Yu Gothic Light"/>
        </w:rPr>
        <w:t>mid-career</w:t>
      </w:r>
      <w:r w:rsidR="00D7751A" w:rsidRPr="00734A50">
        <w:rPr>
          <w:rFonts w:eastAsia="Yu Gothic Light"/>
        </w:rPr>
        <w:t xml:space="preserve"> </w:t>
      </w:r>
      <w:r w:rsidR="008B63E9" w:rsidRPr="00734A50">
        <w:rPr>
          <w:rFonts w:eastAsia="Yu Gothic Light"/>
        </w:rPr>
        <w:t>pathway</w:t>
      </w:r>
      <w:r w:rsidR="00D7751A" w:rsidRPr="00734A50">
        <w:rPr>
          <w:rFonts w:eastAsia="Yu Gothic Light"/>
        </w:rPr>
        <w:t xml:space="preserve"> programs</w:t>
      </w:r>
      <w:bookmarkEnd w:id="32"/>
    </w:p>
    <w:p w14:paraId="01458043" w14:textId="23FCB4B0" w:rsidR="00E23511" w:rsidRPr="00734A50" w:rsidRDefault="00E23511" w:rsidP="00E23511">
      <w:r w:rsidRPr="00734A50">
        <w:t>There are already many different types of programs targeted at mid-career entrants</w:t>
      </w:r>
      <w:r w:rsidR="00F907E6" w:rsidRPr="00734A50">
        <w:t>. These</w:t>
      </w:r>
      <w:r w:rsidRPr="00734A50">
        <w:t xml:space="preserve"> include employment pathways and accelerated programs, alongside flexible online and part-time study options to suit the needs of different mid-career entrants. These have been established within existing regulatory arrangements. Employing ITE students while they are undertaking their program, such as through alternative </w:t>
      </w:r>
      <w:r w:rsidR="002B63BA" w:rsidRPr="00734A50">
        <w:t>authorisation to teach</w:t>
      </w:r>
      <w:r w:rsidRPr="00734A50">
        <w:t xml:space="preserve"> </w:t>
      </w:r>
      <w:r w:rsidR="00BB5B52" w:rsidRPr="00734A50">
        <w:t>(</w:t>
      </w:r>
      <w:r w:rsidR="001C130A" w:rsidRPr="00734A50">
        <w:t>AAT)</w:t>
      </w:r>
      <w:r w:rsidRPr="00734A50">
        <w:t xml:space="preserve"> </w:t>
      </w:r>
      <w:r w:rsidR="00BB5B52" w:rsidRPr="00734A50">
        <w:t xml:space="preserve">(e.g. </w:t>
      </w:r>
      <w:r w:rsidRPr="00734A50">
        <w:t xml:space="preserve">permissions to teach and </w:t>
      </w:r>
      <w:r w:rsidR="00C214EE" w:rsidRPr="00734A50">
        <w:t>conditional accreditation</w:t>
      </w:r>
      <w:r w:rsidR="00BB5B52" w:rsidRPr="00734A50">
        <w:t>)</w:t>
      </w:r>
      <w:r w:rsidR="00C214EE" w:rsidRPr="00734A50">
        <w:t xml:space="preserve"> </w:t>
      </w:r>
      <w:r w:rsidRPr="00734A50">
        <w:t xml:space="preserve">arrangements and as part of an accelerated program, can help to attract more </w:t>
      </w:r>
      <w:r w:rsidRPr="00734A50">
        <w:lastRenderedPageBreak/>
        <w:t>teachers to the profession</w:t>
      </w:r>
      <w:r w:rsidR="008A109C">
        <w:t xml:space="preserve"> (QITE Review 2022)</w:t>
      </w:r>
      <w:r w:rsidRPr="00734A50">
        <w:t>.</w:t>
      </w:r>
      <w:r w:rsidR="00D037D3" w:rsidRPr="00734A50">
        <w:t xml:space="preserve"> </w:t>
      </w:r>
      <w:r w:rsidR="00D037D3" w:rsidRPr="00734A50">
        <w:rPr>
          <w:rFonts w:ascii="Calibri" w:eastAsia="Calibri" w:hAnsi="Calibri" w:cs="Calibri"/>
          <w:color w:val="000000" w:themeColor="text1"/>
        </w:rPr>
        <w:t>These arrangements allow ITE students to begin their teaching career before graduating.</w:t>
      </w:r>
    </w:p>
    <w:p w14:paraId="202CBC82" w14:textId="1CC83E1F" w:rsidR="00E23511" w:rsidRPr="00734A50" w:rsidRDefault="00E23511" w:rsidP="00E23511">
      <w:r w:rsidRPr="00734A50">
        <w:t>However, the Panel’s survey results reveal</w:t>
      </w:r>
      <w:r w:rsidR="00F907E6" w:rsidRPr="00734A50">
        <w:t xml:space="preserve"> that</w:t>
      </w:r>
      <w:r w:rsidRPr="00734A50">
        <w:t xml:space="preserve"> </w:t>
      </w:r>
      <w:r w:rsidR="0024345D" w:rsidRPr="00734A50">
        <w:t xml:space="preserve">only </w:t>
      </w:r>
      <w:r w:rsidRPr="00734A50">
        <w:t>1</w:t>
      </w:r>
      <w:r w:rsidR="00C903B9" w:rsidRPr="00734A50">
        <w:t>2</w:t>
      </w:r>
      <w:r w:rsidRPr="00734A50">
        <w:t xml:space="preserve"> per cent of mid-career </w:t>
      </w:r>
      <w:r w:rsidR="00396DFC" w:rsidRPr="00734A50">
        <w:t xml:space="preserve">ITE </w:t>
      </w:r>
      <w:r w:rsidRPr="00734A50">
        <w:t xml:space="preserve">students report undertaking paid work </w:t>
      </w:r>
      <w:r w:rsidR="00D47ED8" w:rsidRPr="00734A50">
        <w:t>as a teacher or education paraprofessional</w:t>
      </w:r>
      <w:r w:rsidRPr="00734A50">
        <w:t xml:space="preserve"> during their ITE </w:t>
      </w:r>
      <w:r w:rsidR="00396DFC" w:rsidRPr="00734A50">
        <w:t>program</w:t>
      </w:r>
      <w:r w:rsidR="00F907E6" w:rsidRPr="00734A50">
        <w:t>. Most of these students</w:t>
      </w:r>
      <w:r w:rsidRPr="00734A50">
        <w:t xml:space="preserve"> report finding this </w:t>
      </w:r>
      <w:r w:rsidR="00752423">
        <w:t xml:space="preserve">would be </w:t>
      </w:r>
      <w:r w:rsidRPr="00734A50">
        <w:t xml:space="preserve">highly beneficial. </w:t>
      </w:r>
      <w:r w:rsidR="00F907E6" w:rsidRPr="00734A50">
        <w:t xml:space="preserve">The survey </w:t>
      </w:r>
      <w:r w:rsidRPr="00734A50">
        <w:t>also shows that 1</w:t>
      </w:r>
      <w:r w:rsidR="00E34D75" w:rsidRPr="00734A50">
        <w:t>0</w:t>
      </w:r>
      <w:r w:rsidRPr="00734A50">
        <w:t xml:space="preserve"> per cent of mid-career entrants participate in an accelerated program</w:t>
      </w:r>
      <w:r w:rsidR="00F907E6" w:rsidRPr="00734A50">
        <w:t>;</w:t>
      </w:r>
      <w:r w:rsidRPr="00734A50">
        <w:t xml:space="preserve"> </w:t>
      </w:r>
      <w:r w:rsidR="00F907E6" w:rsidRPr="00734A50">
        <w:t>again,</w:t>
      </w:r>
      <w:r w:rsidRPr="00734A50">
        <w:t xml:space="preserve"> the majority find this</w:t>
      </w:r>
      <w:r w:rsidR="00B16590">
        <w:t xml:space="preserve"> would be </w:t>
      </w:r>
      <w:r w:rsidRPr="00734A50">
        <w:t>beneficial.</w:t>
      </w:r>
    </w:p>
    <w:p w14:paraId="4D77FBF4" w14:textId="59819C1B" w:rsidR="00E23511" w:rsidRPr="00734A50" w:rsidRDefault="00E23511" w:rsidP="00E23511">
      <w:r w:rsidRPr="00734A50">
        <w:t>Stakeholders pointed out that employment-based programs should be designed to maintain a high-quality experience for students and buy-in from employers</w:t>
      </w:r>
      <w:r w:rsidR="00F907E6" w:rsidRPr="00734A50">
        <w:t>,</w:t>
      </w:r>
      <w:r w:rsidRPr="00734A50">
        <w:t xml:space="preserve"> who must be willing and able to employ and support mid-career ITE students during their program. Several higher education providers and jurisdictions are in support of </w:t>
      </w:r>
      <w:r w:rsidR="00842AEC" w:rsidRPr="00734A50">
        <w:t xml:space="preserve">developing </w:t>
      </w:r>
      <w:r w:rsidR="00453F4F" w:rsidRPr="00734A50">
        <w:t xml:space="preserve">and </w:t>
      </w:r>
      <w:r w:rsidRPr="00734A50">
        <w:t>scaling up employment-based ITE programs.</w:t>
      </w:r>
    </w:p>
    <w:p w14:paraId="0867FA85" w14:textId="43D4D1D4" w:rsidR="00E23511" w:rsidRPr="00734A50" w:rsidRDefault="00050D4B" w:rsidP="6DDCDED7">
      <w:r w:rsidRPr="00734A50">
        <w:t xml:space="preserve">The Panel </w:t>
      </w:r>
      <w:r w:rsidR="00796E73" w:rsidRPr="00734A50">
        <w:t>recommends developing</w:t>
      </w:r>
      <w:r w:rsidR="000002BE" w:rsidRPr="00734A50">
        <w:t xml:space="preserve"> and </w:t>
      </w:r>
      <w:r w:rsidR="00796E73" w:rsidRPr="00734A50">
        <w:t>scaling mid-career pathway</w:t>
      </w:r>
      <w:r w:rsidR="000002BE" w:rsidRPr="00734A50">
        <w:t xml:space="preserve"> programs, such as employment-based and accelerated pathways</w:t>
      </w:r>
      <w:r w:rsidR="00A83B4C" w:rsidRPr="00734A50">
        <w:t xml:space="preserve">, using the flexibility within existing regulatory arrangements. </w:t>
      </w:r>
      <w:r w:rsidR="00E23511" w:rsidRPr="00734A50">
        <w:t xml:space="preserve">Employment-based pathways could be supported by a more structured approach to identifying and engaging with schools </w:t>
      </w:r>
      <w:r w:rsidR="00F368E1" w:rsidRPr="00734A50">
        <w:t xml:space="preserve">that are </w:t>
      </w:r>
      <w:r w:rsidR="00E23511" w:rsidRPr="00734A50">
        <w:t xml:space="preserve">willing and able to employ ITE students, under </w:t>
      </w:r>
      <w:r w:rsidR="00761655" w:rsidRPr="00734A50">
        <w:t>AAT</w:t>
      </w:r>
      <w:r w:rsidR="00E23511" w:rsidRPr="00734A50">
        <w:t xml:space="preserve"> arrangements. These pathways can be support</w:t>
      </w:r>
      <w:r w:rsidR="00FA5F06" w:rsidRPr="00734A50">
        <w:t>ed</w:t>
      </w:r>
      <w:r w:rsidR="00E23511" w:rsidRPr="00734A50">
        <w:t xml:space="preserve"> through system-level agreements between school systems and higher education providers to articulate a framework for delivering these programs, including relevant details such as employment arrangements for ITE students (</w:t>
      </w:r>
      <w:r w:rsidR="00E23511" w:rsidRPr="00734A50">
        <w:rPr>
          <w:b/>
          <w:bCs/>
        </w:rPr>
        <w:t>Recommendation 12</w:t>
      </w:r>
      <w:r w:rsidR="00E23511" w:rsidRPr="00CD497B">
        <w:t>).</w:t>
      </w:r>
    </w:p>
    <w:p w14:paraId="2FACE612" w14:textId="39B5180F" w:rsidR="0056714E" w:rsidRPr="00734A50" w:rsidRDefault="0056714E" w:rsidP="00E23511">
      <w:pPr>
        <w:pStyle w:val="Heading3"/>
        <w:rPr>
          <w:rFonts w:eastAsia="Yu Gothic Light"/>
        </w:rPr>
      </w:pPr>
      <w:bookmarkStart w:id="33" w:name="_Toc139366621"/>
      <w:r w:rsidRPr="00734A50">
        <w:rPr>
          <w:rFonts w:eastAsia="Yu Gothic Light"/>
        </w:rPr>
        <w:t>Better promot</w:t>
      </w:r>
      <w:r w:rsidR="003202B0" w:rsidRPr="00734A50">
        <w:rPr>
          <w:rFonts w:eastAsia="Yu Gothic Light"/>
        </w:rPr>
        <w:t>e</w:t>
      </w:r>
      <w:r w:rsidRPr="00734A50">
        <w:rPr>
          <w:rFonts w:eastAsia="Yu Gothic Light"/>
        </w:rPr>
        <w:t xml:space="preserve"> mid-career pathways</w:t>
      </w:r>
      <w:bookmarkEnd w:id="33"/>
    </w:p>
    <w:p w14:paraId="7F298C7A" w14:textId="1FF945FB" w:rsidR="001C44F2" w:rsidRPr="00734A50" w:rsidRDefault="00F368E1" w:rsidP="001C44F2">
      <w:pPr>
        <w:rPr>
          <w:lang w:eastAsia="en-AU"/>
        </w:rPr>
      </w:pPr>
      <w:r w:rsidRPr="00734A50">
        <w:rPr>
          <w:rFonts w:ascii="Calibri" w:eastAsia="Calibri" w:hAnsi="Calibri" w:cs="Calibri"/>
        </w:rPr>
        <w:t xml:space="preserve">In the </w:t>
      </w:r>
      <w:r w:rsidR="00135310" w:rsidRPr="00734A50">
        <w:rPr>
          <w:rFonts w:ascii="Calibri" w:eastAsia="Calibri" w:hAnsi="Calibri" w:cs="Calibri"/>
        </w:rPr>
        <w:t>survey of ITE students commissioned by the Panel</w:t>
      </w:r>
      <w:r w:rsidRPr="00734A50">
        <w:rPr>
          <w:rFonts w:ascii="Calibri" w:eastAsia="Calibri" w:hAnsi="Calibri" w:cs="Calibri"/>
        </w:rPr>
        <w:t>,</w:t>
      </w:r>
      <w:r w:rsidR="00135310" w:rsidRPr="00734A50">
        <w:rPr>
          <w:rFonts w:ascii="Calibri" w:eastAsia="Calibri" w:hAnsi="Calibri" w:cs="Calibri"/>
        </w:rPr>
        <w:t xml:space="preserve"> </w:t>
      </w:r>
      <w:r w:rsidR="0041588A" w:rsidRPr="00734A50">
        <w:rPr>
          <w:rFonts w:ascii="Calibri" w:eastAsia="Calibri" w:hAnsi="Calibri" w:cs="Calibri"/>
        </w:rPr>
        <w:t>82 per cent</w:t>
      </w:r>
      <w:r w:rsidR="0056714E" w:rsidRPr="00734A50">
        <w:rPr>
          <w:rFonts w:ascii="Calibri" w:eastAsia="Calibri" w:hAnsi="Calibri" w:cs="Calibri"/>
        </w:rPr>
        <w:t xml:space="preserve"> of mid-career respondents said they were unaware that mid-career pathways were available before they commenced their course. </w:t>
      </w:r>
      <w:r w:rsidR="00472BDA" w:rsidRPr="00734A50">
        <w:rPr>
          <w:lang w:eastAsia="en-AU"/>
        </w:rPr>
        <w:t>Higher education providers</w:t>
      </w:r>
      <w:r w:rsidR="001C44F2" w:rsidRPr="00734A50">
        <w:rPr>
          <w:lang w:eastAsia="en-AU"/>
        </w:rPr>
        <w:t xml:space="preserve"> do not </w:t>
      </w:r>
      <w:r w:rsidR="009E23EF" w:rsidRPr="00734A50">
        <w:rPr>
          <w:lang w:eastAsia="en-AU"/>
        </w:rPr>
        <w:t xml:space="preserve">clearly </w:t>
      </w:r>
      <w:r w:rsidR="00472BDA" w:rsidRPr="00734A50">
        <w:rPr>
          <w:lang w:eastAsia="en-AU"/>
        </w:rPr>
        <w:t>communicate</w:t>
      </w:r>
      <w:r w:rsidR="001C44F2" w:rsidRPr="00734A50">
        <w:rPr>
          <w:lang w:eastAsia="en-AU"/>
        </w:rPr>
        <w:t xml:space="preserve"> available incentives </w:t>
      </w:r>
      <w:r w:rsidR="00472BDA" w:rsidRPr="00734A50">
        <w:rPr>
          <w:lang w:eastAsia="en-AU"/>
        </w:rPr>
        <w:t xml:space="preserve">to mid-career </w:t>
      </w:r>
      <w:r w:rsidR="00367988" w:rsidRPr="00734A50">
        <w:rPr>
          <w:lang w:eastAsia="en-AU"/>
        </w:rPr>
        <w:t>entrants</w:t>
      </w:r>
      <w:r w:rsidR="001C44F2" w:rsidRPr="00734A50">
        <w:rPr>
          <w:lang w:eastAsia="en-AU"/>
        </w:rPr>
        <w:t>, and flexible study options are often unadvertised despite being the most commonly available feature to support mid-career entrants.</w:t>
      </w:r>
    </w:p>
    <w:p w14:paraId="35FC334B" w14:textId="3F405A9D" w:rsidR="0056714E" w:rsidRPr="00734A50" w:rsidRDefault="0056714E" w:rsidP="000D193A">
      <w:pPr>
        <w:rPr>
          <w:b/>
          <w:bCs/>
          <w:color w:val="000000" w:themeColor="text1"/>
        </w:rPr>
      </w:pPr>
      <w:r w:rsidRPr="00734A50">
        <w:rPr>
          <w:rFonts w:ascii="Calibri" w:eastAsia="Calibri" w:hAnsi="Calibri" w:cs="Calibri"/>
        </w:rPr>
        <w:t xml:space="preserve">The Panel considers that higher education providers </w:t>
      </w:r>
      <w:r w:rsidR="00263CEC" w:rsidRPr="00734A50">
        <w:rPr>
          <w:rFonts w:ascii="Calibri" w:eastAsia="Calibri" w:hAnsi="Calibri" w:cs="Calibri"/>
        </w:rPr>
        <w:t>can</w:t>
      </w:r>
      <w:r w:rsidRPr="00734A50">
        <w:rPr>
          <w:rFonts w:ascii="Calibri" w:eastAsia="Calibri" w:hAnsi="Calibri" w:cs="Calibri"/>
        </w:rPr>
        <w:t xml:space="preserve"> do more to promote mid-career pathways and </w:t>
      </w:r>
      <w:r w:rsidR="00215951" w:rsidRPr="00734A50">
        <w:rPr>
          <w:rFonts w:ascii="Calibri" w:eastAsia="Calibri" w:hAnsi="Calibri" w:cs="Calibri"/>
        </w:rPr>
        <w:t xml:space="preserve">other </w:t>
      </w:r>
      <w:r w:rsidRPr="00734A50">
        <w:rPr>
          <w:rFonts w:ascii="Calibri" w:eastAsia="Calibri" w:hAnsi="Calibri" w:cs="Calibri"/>
        </w:rPr>
        <w:t>support</w:t>
      </w:r>
      <w:r w:rsidR="00215951" w:rsidRPr="00734A50">
        <w:rPr>
          <w:rFonts w:ascii="Calibri" w:eastAsia="Calibri" w:hAnsi="Calibri" w:cs="Calibri"/>
        </w:rPr>
        <w:t>s</w:t>
      </w:r>
      <w:r w:rsidRPr="00734A50">
        <w:rPr>
          <w:rFonts w:ascii="Calibri" w:eastAsia="Calibri" w:hAnsi="Calibri" w:cs="Calibri"/>
        </w:rPr>
        <w:t xml:space="preserve"> </w:t>
      </w:r>
      <w:r w:rsidR="00367988" w:rsidRPr="00734A50">
        <w:rPr>
          <w:rFonts w:ascii="Calibri" w:eastAsia="Calibri" w:hAnsi="Calibri" w:cs="Calibri"/>
        </w:rPr>
        <w:t xml:space="preserve">available </w:t>
      </w:r>
      <w:r w:rsidRPr="00734A50">
        <w:rPr>
          <w:rFonts w:ascii="Calibri" w:eastAsia="Calibri" w:hAnsi="Calibri" w:cs="Calibri"/>
        </w:rPr>
        <w:t>to prospective mid-career entrants.</w:t>
      </w:r>
      <w:r w:rsidR="000D193A" w:rsidRPr="00734A50">
        <w:rPr>
          <w:rFonts w:ascii="Calibri" w:eastAsia="Calibri" w:hAnsi="Calibri" w:cs="Calibri"/>
        </w:rPr>
        <w:t xml:space="preserve"> </w:t>
      </w:r>
      <w:r w:rsidR="000D193A" w:rsidRPr="00734A50">
        <w:rPr>
          <w:lang w:eastAsia="en-AU"/>
        </w:rPr>
        <w:t>This could include promoting the availability of supports such as flexible study options and government</w:t>
      </w:r>
      <w:r w:rsidR="00F368E1" w:rsidRPr="00734A50">
        <w:rPr>
          <w:lang w:eastAsia="en-AU"/>
        </w:rPr>
        <w:t>-</w:t>
      </w:r>
      <w:r w:rsidR="000D193A" w:rsidRPr="00734A50">
        <w:rPr>
          <w:lang w:eastAsia="en-AU"/>
        </w:rPr>
        <w:t>funded mid-career pathway programs (</w:t>
      </w:r>
      <w:r w:rsidR="000D193A" w:rsidRPr="00734A50">
        <w:rPr>
          <w:b/>
          <w:bCs/>
          <w:lang w:eastAsia="en-AU"/>
        </w:rPr>
        <w:t>Recommendation 1</w:t>
      </w:r>
      <w:r w:rsidR="00764F37" w:rsidRPr="00734A50">
        <w:rPr>
          <w:b/>
          <w:bCs/>
          <w:lang w:eastAsia="en-AU"/>
        </w:rPr>
        <w:t>3</w:t>
      </w:r>
      <w:r w:rsidR="000D193A" w:rsidRPr="00734A50">
        <w:rPr>
          <w:lang w:eastAsia="en-AU"/>
        </w:rPr>
        <w:t>).</w:t>
      </w:r>
    </w:p>
    <w:p w14:paraId="4BD11258" w14:textId="34C7A9BF" w:rsidR="009F2FA7" w:rsidRPr="00734A50" w:rsidRDefault="08BCB245" w:rsidP="6DDCDED7">
      <w:pPr>
        <w:pStyle w:val="Heading3"/>
        <w:rPr>
          <w:rFonts w:eastAsia="Yu Gothic Light"/>
        </w:rPr>
      </w:pPr>
      <w:bookmarkStart w:id="34" w:name="_Toc139366622"/>
      <w:r w:rsidRPr="00734A50">
        <w:rPr>
          <w:rFonts w:eastAsia="Yu Gothic Light"/>
        </w:rPr>
        <w:t>Build the evidence base for mid-career programs</w:t>
      </w:r>
      <w:bookmarkEnd w:id="34"/>
      <w:r w:rsidRPr="00734A50">
        <w:rPr>
          <w:rFonts w:eastAsia="Yu Gothic Light"/>
        </w:rPr>
        <w:t xml:space="preserve"> </w:t>
      </w:r>
    </w:p>
    <w:p w14:paraId="61A5665B" w14:textId="4903E854" w:rsidR="009F2FA7" w:rsidRPr="00734A50" w:rsidRDefault="08BCB245" w:rsidP="53B011C3">
      <w:r w:rsidRPr="00734A50">
        <w:rPr>
          <w:rFonts w:ascii="Calibri" w:eastAsia="Calibri" w:hAnsi="Calibri" w:cs="Calibri"/>
        </w:rPr>
        <w:t xml:space="preserve">There are a range of existing programs that target specific mid-career cohorts. Given the cost of delivering bespoke programs, jurisdictions and higher education providers have </w:t>
      </w:r>
      <w:r w:rsidR="002A3DF1" w:rsidRPr="00734A50">
        <w:rPr>
          <w:rFonts w:ascii="Calibri" w:eastAsia="Calibri" w:hAnsi="Calibri" w:cs="Calibri"/>
        </w:rPr>
        <w:t>raised the need to build the</w:t>
      </w:r>
      <w:r w:rsidRPr="00734A50">
        <w:rPr>
          <w:rFonts w:ascii="Calibri" w:eastAsia="Calibri" w:hAnsi="Calibri" w:cs="Calibri"/>
        </w:rPr>
        <w:t xml:space="preserve"> evidence </w:t>
      </w:r>
      <w:r w:rsidR="002A3DF1" w:rsidRPr="00734A50">
        <w:rPr>
          <w:rFonts w:ascii="Calibri" w:eastAsia="Calibri" w:hAnsi="Calibri" w:cs="Calibri"/>
        </w:rPr>
        <w:t xml:space="preserve">base </w:t>
      </w:r>
      <w:r w:rsidRPr="00734A50">
        <w:rPr>
          <w:rFonts w:ascii="Calibri" w:eastAsia="Calibri" w:hAnsi="Calibri" w:cs="Calibri"/>
        </w:rPr>
        <w:t xml:space="preserve">on the impact and effectiveness of these programs. There is broad support for more research to fill this evidence gap that can be used to </w:t>
      </w:r>
      <w:r w:rsidR="00AB2A69">
        <w:rPr>
          <w:rFonts w:ascii="Calibri" w:eastAsia="Calibri" w:hAnsi="Calibri" w:cs="Calibri"/>
        </w:rPr>
        <w:t xml:space="preserve">develop and </w:t>
      </w:r>
      <w:r w:rsidRPr="00734A50">
        <w:rPr>
          <w:rFonts w:ascii="Calibri" w:eastAsia="Calibri" w:hAnsi="Calibri" w:cs="Calibri"/>
        </w:rPr>
        <w:t>scale up program</w:t>
      </w:r>
      <w:r w:rsidR="65DC3997" w:rsidRPr="00734A50">
        <w:rPr>
          <w:rFonts w:ascii="Calibri" w:eastAsia="Calibri" w:hAnsi="Calibri" w:cs="Calibri"/>
        </w:rPr>
        <w:t>s.</w:t>
      </w:r>
    </w:p>
    <w:p w14:paraId="2B7EE871" w14:textId="5FB47F68" w:rsidR="00696C2A" w:rsidRPr="00734A50" w:rsidRDefault="08BCB245" w:rsidP="00A239E6">
      <w:pPr>
        <w:rPr>
          <w:rFonts w:ascii="Calibri" w:eastAsia="Calibri" w:hAnsi="Calibri" w:cs="Calibri"/>
        </w:rPr>
      </w:pPr>
      <w:r w:rsidRPr="00734A50">
        <w:rPr>
          <w:rFonts w:ascii="Calibri" w:eastAsia="Calibri" w:hAnsi="Calibri" w:cs="Calibri"/>
        </w:rPr>
        <w:t xml:space="preserve">The Panel recognises that there </w:t>
      </w:r>
      <w:r w:rsidR="0065571A" w:rsidRPr="00734A50">
        <w:rPr>
          <w:rFonts w:ascii="Calibri" w:eastAsia="Calibri" w:hAnsi="Calibri" w:cs="Calibri"/>
        </w:rPr>
        <w:t>is</w:t>
      </w:r>
      <w:r w:rsidRPr="00734A50">
        <w:rPr>
          <w:rFonts w:ascii="Calibri" w:eastAsia="Calibri" w:hAnsi="Calibri" w:cs="Calibri"/>
        </w:rPr>
        <w:t xml:space="preserve"> a </w:t>
      </w:r>
      <w:r w:rsidR="0065571A" w:rsidRPr="00734A50">
        <w:rPr>
          <w:rFonts w:ascii="Calibri" w:eastAsia="Calibri" w:hAnsi="Calibri" w:cs="Calibri"/>
        </w:rPr>
        <w:t xml:space="preserve">need </w:t>
      </w:r>
      <w:r w:rsidR="00D16039" w:rsidRPr="00734A50">
        <w:rPr>
          <w:rFonts w:ascii="Calibri" w:eastAsia="Calibri" w:hAnsi="Calibri" w:cs="Calibri"/>
        </w:rPr>
        <w:t>for</w:t>
      </w:r>
      <w:r w:rsidRPr="00734A50">
        <w:rPr>
          <w:rFonts w:ascii="Calibri" w:eastAsia="Calibri" w:hAnsi="Calibri" w:cs="Calibri"/>
        </w:rPr>
        <w:t xml:space="preserve"> collecting data and </w:t>
      </w:r>
      <w:r w:rsidR="00A239E6" w:rsidRPr="00734A50">
        <w:rPr>
          <w:rFonts w:ascii="Calibri" w:eastAsia="Calibri" w:hAnsi="Calibri" w:cs="Calibri"/>
        </w:rPr>
        <w:t>building</w:t>
      </w:r>
      <w:r w:rsidRPr="00734A50">
        <w:rPr>
          <w:rFonts w:ascii="Calibri" w:eastAsia="Calibri" w:hAnsi="Calibri" w:cs="Calibri"/>
        </w:rPr>
        <w:t xml:space="preserve"> the </w:t>
      </w:r>
      <w:r w:rsidR="00A239E6" w:rsidRPr="00734A50">
        <w:rPr>
          <w:rFonts w:ascii="Calibri" w:eastAsia="Calibri" w:hAnsi="Calibri" w:cs="Calibri"/>
        </w:rPr>
        <w:t>evidence base</w:t>
      </w:r>
      <w:r w:rsidRPr="00734A50">
        <w:rPr>
          <w:rFonts w:ascii="Calibri" w:eastAsia="Calibri" w:hAnsi="Calibri" w:cs="Calibri"/>
        </w:rPr>
        <w:t xml:space="preserve"> on mid-career programs to improve our understanding o</w:t>
      </w:r>
      <w:r w:rsidR="00D16039" w:rsidRPr="00734A50">
        <w:rPr>
          <w:rFonts w:ascii="Calibri" w:eastAsia="Calibri" w:hAnsi="Calibri" w:cs="Calibri"/>
        </w:rPr>
        <w:t>f</w:t>
      </w:r>
      <w:r w:rsidRPr="00734A50">
        <w:rPr>
          <w:rFonts w:ascii="Calibri" w:eastAsia="Calibri" w:hAnsi="Calibri" w:cs="Calibri"/>
        </w:rPr>
        <w:t xml:space="preserve"> how different program features attract and retain mid-career cohorts. This </w:t>
      </w:r>
      <w:r w:rsidR="002D4640" w:rsidRPr="00734A50">
        <w:rPr>
          <w:rFonts w:ascii="Calibri" w:eastAsia="Calibri" w:hAnsi="Calibri" w:cs="Calibri"/>
        </w:rPr>
        <w:t>would</w:t>
      </w:r>
      <w:r w:rsidRPr="00734A50">
        <w:rPr>
          <w:rFonts w:ascii="Calibri" w:eastAsia="Calibri" w:hAnsi="Calibri" w:cs="Calibri"/>
        </w:rPr>
        <w:t xml:space="preserve"> ensure that governments, school sectors and higher education providers are able to design and deliver effective programs that make a meaningful contribution to the overall mid-career pipeline</w:t>
      </w:r>
      <w:r w:rsidR="008D391C" w:rsidRPr="00734A50">
        <w:rPr>
          <w:rFonts w:ascii="Calibri" w:eastAsia="Calibri" w:hAnsi="Calibri" w:cs="Calibri"/>
        </w:rPr>
        <w:t xml:space="preserve"> into the workforce</w:t>
      </w:r>
      <w:r w:rsidR="001B74D5" w:rsidRPr="00734A50">
        <w:rPr>
          <w:rFonts w:ascii="Calibri" w:eastAsia="Calibri" w:hAnsi="Calibri" w:cs="Calibri"/>
        </w:rPr>
        <w:t xml:space="preserve"> </w:t>
      </w:r>
      <w:r w:rsidR="63FC8A46" w:rsidRPr="00734A50">
        <w:rPr>
          <w:rFonts w:ascii="Calibri" w:eastAsia="Calibri" w:hAnsi="Calibri" w:cs="Calibri"/>
        </w:rPr>
        <w:t>(</w:t>
      </w:r>
      <w:r w:rsidR="63FC8A46" w:rsidRPr="00734A50">
        <w:rPr>
          <w:rFonts w:ascii="Calibri" w:eastAsia="Calibri" w:hAnsi="Calibri" w:cs="Calibri"/>
          <w:b/>
          <w:bCs/>
        </w:rPr>
        <w:t xml:space="preserve">Recommendation </w:t>
      </w:r>
      <w:r w:rsidR="00764F37" w:rsidRPr="00734A50">
        <w:rPr>
          <w:rFonts w:ascii="Calibri" w:eastAsia="Calibri" w:hAnsi="Calibri" w:cs="Calibri"/>
          <w:b/>
          <w:bCs/>
        </w:rPr>
        <w:t>14</w:t>
      </w:r>
      <w:r w:rsidR="63FC8A46" w:rsidRPr="00734A50">
        <w:rPr>
          <w:rFonts w:ascii="Calibri" w:eastAsia="Calibri" w:hAnsi="Calibri" w:cs="Calibri"/>
        </w:rPr>
        <w:t>).</w:t>
      </w:r>
      <w:r w:rsidR="00F9081B" w:rsidRPr="00734A50">
        <w:rPr>
          <w:rFonts w:ascii="Calibri" w:eastAsia="Calibri" w:hAnsi="Calibri" w:cs="Calibri"/>
        </w:rPr>
        <w:br w:type="page"/>
      </w:r>
    </w:p>
    <w:p w14:paraId="06B568A0" w14:textId="4E712563" w:rsidR="00885CA3" w:rsidRPr="00734A50" w:rsidRDefault="00802473" w:rsidP="0012041E">
      <w:pPr>
        <w:pStyle w:val="Heading1"/>
      </w:pPr>
      <w:bookmarkStart w:id="35" w:name="_Toc139366623"/>
      <w:r w:rsidRPr="00734A50">
        <w:lastRenderedPageBreak/>
        <w:t>R</w:t>
      </w:r>
      <w:r w:rsidR="008E2FA7" w:rsidRPr="00734A50">
        <w:t>ecommendations</w:t>
      </w:r>
      <w:bookmarkEnd w:id="35"/>
    </w:p>
    <w:p w14:paraId="7773277C" w14:textId="60C18478" w:rsidR="00D24649" w:rsidRPr="00734A50" w:rsidRDefault="00D24649" w:rsidP="6DDCDED7">
      <w:pPr>
        <w:pStyle w:val="Recommendation2"/>
        <w:spacing w:after="0"/>
        <w:rPr>
          <w:b/>
          <w:bCs/>
        </w:rPr>
      </w:pPr>
      <w:r w:rsidRPr="00734A50">
        <w:rPr>
          <w:b/>
          <w:bCs/>
        </w:rPr>
        <w:t xml:space="preserve">Recommendation 1: </w:t>
      </w:r>
      <w:r w:rsidR="00DE4E8C" w:rsidRPr="00734A50">
        <w:rPr>
          <w:b/>
          <w:bCs/>
        </w:rPr>
        <w:t>Es</w:t>
      </w:r>
      <w:r w:rsidRPr="00734A50">
        <w:rPr>
          <w:b/>
          <w:bCs/>
        </w:rPr>
        <w:t xml:space="preserve">tablish </w:t>
      </w:r>
      <w:r w:rsidR="006974FB">
        <w:rPr>
          <w:b/>
          <w:bCs/>
        </w:rPr>
        <w:t xml:space="preserve">the </w:t>
      </w:r>
      <w:r w:rsidRPr="00734A50">
        <w:rPr>
          <w:b/>
          <w:bCs/>
        </w:rPr>
        <w:t>core content and mandate</w:t>
      </w:r>
      <w:r w:rsidR="003202B0" w:rsidRPr="00734A50">
        <w:rPr>
          <w:b/>
          <w:bCs/>
        </w:rPr>
        <w:t xml:space="preserve"> it</w:t>
      </w:r>
      <w:r w:rsidRPr="00734A50">
        <w:rPr>
          <w:b/>
          <w:bCs/>
        </w:rPr>
        <w:t xml:space="preserve"> in national accreditation</w:t>
      </w:r>
    </w:p>
    <w:p w14:paraId="17BEB3F7" w14:textId="14114B75" w:rsidR="00D24649" w:rsidRPr="00734A50" w:rsidRDefault="00D36957" w:rsidP="00D70002">
      <w:pPr>
        <w:pStyle w:val="Recommendation2"/>
        <w:rPr>
          <w:lang w:eastAsia="en-AU"/>
        </w:rPr>
      </w:pPr>
      <w:r w:rsidRPr="00734A50">
        <w:rPr>
          <w:rFonts w:eastAsia="Times New Roman"/>
        </w:rPr>
        <w:t>The Australian Institute for Teaching and School Leadership</w:t>
      </w:r>
      <w:r w:rsidR="00444AA0" w:rsidRPr="00734A50">
        <w:rPr>
          <w:rFonts w:eastAsia="Times New Roman"/>
        </w:rPr>
        <w:t xml:space="preserve"> </w:t>
      </w:r>
      <w:r w:rsidR="00D24649" w:rsidRPr="00734A50">
        <w:rPr>
          <w:rFonts w:eastAsia="Times New Roman"/>
        </w:rPr>
        <w:t>to add ‘core content’ as a schedule to the Accreditation</w:t>
      </w:r>
      <w:r w:rsidR="00D24649" w:rsidRPr="00734A50">
        <w:t xml:space="preserve"> Standards</w:t>
      </w:r>
      <w:r w:rsidR="00D24649" w:rsidRPr="00734A50">
        <w:rPr>
          <w:rFonts w:eastAsia="Times New Roman"/>
        </w:rPr>
        <w:t xml:space="preserve"> and Procedures. The </w:t>
      </w:r>
      <w:r w:rsidR="00900FCB" w:rsidRPr="00734A50">
        <w:rPr>
          <w:rFonts w:eastAsia="Times New Roman"/>
        </w:rPr>
        <w:t>s</w:t>
      </w:r>
      <w:r w:rsidR="00D24649" w:rsidRPr="00734A50">
        <w:rPr>
          <w:rFonts w:eastAsia="Times New Roman"/>
        </w:rPr>
        <w:t xml:space="preserve">chedule should describe what </w:t>
      </w:r>
      <w:r w:rsidR="00640B7D" w:rsidRPr="00734A50">
        <w:rPr>
          <w:rFonts w:eastAsia="Times New Roman"/>
        </w:rPr>
        <w:t>initial teacher education</w:t>
      </w:r>
      <w:r w:rsidR="00D24649" w:rsidRPr="00734A50">
        <w:rPr>
          <w:rFonts w:eastAsia="Times New Roman"/>
        </w:rPr>
        <w:t xml:space="preserve"> programs should teach and the</w:t>
      </w:r>
      <w:r w:rsidR="00D24649" w:rsidRPr="00734A50">
        <w:rPr>
          <w:lang w:eastAsia="en-AU"/>
        </w:rPr>
        <w:t xml:space="preserve"> learning outcomes that should be achieved for the core content.</w:t>
      </w:r>
    </w:p>
    <w:p w14:paraId="4CC88342" w14:textId="50696B7A" w:rsidR="2E120DD6" w:rsidRPr="00734A50" w:rsidRDefault="00D24649" w:rsidP="2E120DD6">
      <w:pPr>
        <w:pStyle w:val="Recommendation2"/>
        <w:spacing w:after="0"/>
        <w:rPr>
          <w:rFonts w:ascii="Calibri" w:eastAsia="Calibri" w:hAnsi="Calibri" w:cs="Arial"/>
        </w:rPr>
      </w:pPr>
      <w:r w:rsidRPr="00734A50">
        <w:t>Four types of core content have been defined</w:t>
      </w:r>
      <w:r w:rsidR="00ED70E3" w:rsidRPr="00734A50">
        <w:t>,</w:t>
      </w:r>
      <w:r w:rsidRPr="00734A50">
        <w:t xml:space="preserve"> which cover the knowledge and evidence-based practices that have the greatest impact on student learning and are </w:t>
      </w:r>
      <w:r w:rsidRPr="00734A50">
        <w:rPr>
          <w:rFonts w:ascii="Calibri" w:eastAsia="Calibri" w:hAnsi="Calibri" w:cs="Arial"/>
        </w:rPr>
        <w:t xml:space="preserve">essential </w:t>
      </w:r>
      <w:r w:rsidR="00ED70E3" w:rsidRPr="00734A50">
        <w:rPr>
          <w:rFonts w:ascii="Calibri" w:eastAsia="Calibri" w:hAnsi="Calibri" w:cs="Arial"/>
        </w:rPr>
        <w:t>for all beginning</w:t>
      </w:r>
      <w:r w:rsidRPr="00734A50">
        <w:rPr>
          <w:rFonts w:ascii="Calibri" w:eastAsia="Calibri" w:hAnsi="Calibri" w:cs="Arial"/>
        </w:rPr>
        <w:t xml:space="preserve"> teachers: </w:t>
      </w:r>
    </w:p>
    <w:p w14:paraId="49F8FD73" w14:textId="77777777" w:rsidR="00D24649" w:rsidRPr="00734A50" w:rsidRDefault="00D24649" w:rsidP="00BB714D">
      <w:pPr>
        <w:pStyle w:val="Recommendation2"/>
        <w:numPr>
          <w:ilvl w:val="0"/>
          <w:numId w:val="58"/>
        </w:numPr>
        <w:spacing w:after="0"/>
        <w:rPr>
          <w:rFonts w:ascii="Calibri" w:eastAsia="Calibri" w:hAnsi="Calibri" w:cs="Arial"/>
          <w:b/>
          <w:bCs/>
        </w:rPr>
      </w:pPr>
      <w:r w:rsidRPr="00734A50">
        <w:rPr>
          <w:b/>
          <w:bCs/>
        </w:rPr>
        <w:t>The brain and learning</w:t>
      </w:r>
    </w:p>
    <w:p w14:paraId="7AADA7B5" w14:textId="77777777" w:rsidR="00D24649" w:rsidRPr="00734A50" w:rsidRDefault="00D24649" w:rsidP="00BB714D">
      <w:pPr>
        <w:pStyle w:val="Recommendation2"/>
        <w:numPr>
          <w:ilvl w:val="0"/>
          <w:numId w:val="58"/>
        </w:numPr>
        <w:spacing w:after="0"/>
        <w:rPr>
          <w:rFonts w:ascii="Calibri" w:eastAsia="Calibri" w:hAnsi="Calibri" w:cs="Arial"/>
          <w:b/>
          <w:bCs/>
        </w:rPr>
      </w:pPr>
      <w:r w:rsidRPr="00734A50">
        <w:rPr>
          <w:b/>
          <w:bCs/>
        </w:rPr>
        <w:t>Effective pedagogical practices</w:t>
      </w:r>
    </w:p>
    <w:p w14:paraId="79BF4E20" w14:textId="77777777" w:rsidR="00D24649" w:rsidRPr="00734A50" w:rsidRDefault="00D24649" w:rsidP="00BB714D">
      <w:pPr>
        <w:pStyle w:val="Recommendation2"/>
        <w:numPr>
          <w:ilvl w:val="0"/>
          <w:numId w:val="58"/>
        </w:numPr>
        <w:spacing w:after="0"/>
        <w:rPr>
          <w:rFonts w:ascii="Calibri" w:eastAsia="Calibri" w:hAnsi="Calibri" w:cs="Arial"/>
          <w:b/>
          <w:bCs/>
        </w:rPr>
      </w:pPr>
      <w:r w:rsidRPr="00734A50">
        <w:rPr>
          <w:b/>
          <w:bCs/>
        </w:rPr>
        <w:t>Classroom management</w:t>
      </w:r>
    </w:p>
    <w:p w14:paraId="7EC0EAF7" w14:textId="2DBC3A35" w:rsidR="00D24649" w:rsidRPr="00734A50" w:rsidRDefault="00D24649" w:rsidP="00BB714D">
      <w:pPr>
        <w:pStyle w:val="Recommendation2"/>
        <w:numPr>
          <w:ilvl w:val="0"/>
          <w:numId w:val="58"/>
        </w:numPr>
        <w:spacing w:after="0"/>
        <w:rPr>
          <w:rFonts w:ascii="Calibri" w:eastAsia="Calibri" w:hAnsi="Calibri" w:cs="Arial"/>
          <w:b/>
          <w:bCs/>
        </w:rPr>
      </w:pPr>
      <w:r w:rsidRPr="00734A50">
        <w:rPr>
          <w:b/>
          <w:bCs/>
        </w:rPr>
        <w:t>Responsive teaching.</w:t>
      </w:r>
    </w:p>
    <w:p w14:paraId="4A02F812" w14:textId="77777777" w:rsidR="00D24649" w:rsidRPr="00734A50" w:rsidRDefault="00D24649" w:rsidP="00D24649">
      <w:pPr>
        <w:spacing w:after="0"/>
      </w:pPr>
    </w:p>
    <w:p w14:paraId="6EF3AB92" w14:textId="2753A47E" w:rsidR="00D24649" w:rsidRPr="00734A50" w:rsidRDefault="00D24649" w:rsidP="6DDCDED7">
      <w:pPr>
        <w:pStyle w:val="Recommendation2"/>
        <w:spacing w:after="0"/>
        <w:rPr>
          <w:b/>
          <w:bCs/>
        </w:rPr>
      </w:pPr>
      <w:r w:rsidRPr="00734A50">
        <w:rPr>
          <w:b/>
          <w:bCs/>
        </w:rPr>
        <w:t xml:space="preserve">Recommendation 2: </w:t>
      </w:r>
      <w:r w:rsidR="00427CEF" w:rsidRPr="00734A50">
        <w:rPr>
          <w:b/>
          <w:bCs/>
        </w:rPr>
        <w:t>E</w:t>
      </w:r>
      <w:r w:rsidRPr="00734A50">
        <w:rPr>
          <w:b/>
          <w:bCs/>
        </w:rPr>
        <w:t xml:space="preserve">mbed </w:t>
      </w:r>
      <w:r w:rsidR="006974FB">
        <w:rPr>
          <w:b/>
          <w:bCs/>
        </w:rPr>
        <w:t xml:space="preserve">the </w:t>
      </w:r>
      <w:r w:rsidRPr="00734A50">
        <w:rPr>
          <w:b/>
          <w:bCs/>
        </w:rPr>
        <w:t xml:space="preserve">core content in </w:t>
      </w:r>
      <w:r w:rsidR="009D68A5" w:rsidRPr="00734A50">
        <w:rPr>
          <w:b/>
          <w:bCs/>
        </w:rPr>
        <w:t>initial teacher education</w:t>
      </w:r>
      <w:r w:rsidRPr="00734A50">
        <w:rPr>
          <w:b/>
          <w:bCs/>
        </w:rPr>
        <w:t xml:space="preserve"> programs</w:t>
      </w:r>
    </w:p>
    <w:p w14:paraId="4896180C" w14:textId="57C7A0FF" w:rsidR="00680722" w:rsidRPr="00734A50" w:rsidRDefault="00660870" w:rsidP="00680722">
      <w:pPr>
        <w:pStyle w:val="Recommendation2"/>
        <w:spacing w:after="0"/>
      </w:pPr>
      <w:r w:rsidRPr="00734A50">
        <w:t xml:space="preserve">Higher education providers </w:t>
      </w:r>
      <w:r w:rsidR="006B718E" w:rsidRPr="00734A50">
        <w:t xml:space="preserve">to </w:t>
      </w:r>
      <w:r w:rsidRPr="00734A50">
        <w:t xml:space="preserve">design courses that coherently incorporate the core content into </w:t>
      </w:r>
      <w:r w:rsidR="009D68A5" w:rsidRPr="00734A50">
        <w:t>initial teacher education</w:t>
      </w:r>
      <w:r w:rsidRPr="00734A50">
        <w:t xml:space="preserve"> programs and </w:t>
      </w:r>
      <w:r w:rsidR="006B718E" w:rsidRPr="00734A50">
        <w:t xml:space="preserve">to </w:t>
      </w:r>
      <w:r w:rsidRPr="00734A50">
        <w:t>provide evidence during accreditation that they have met the</w:t>
      </w:r>
      <w:r w:rsidR="00F27ACE" w:rsidRPr="00734A50">
        <w:t xml:space="preserve"> amended</w:t>
      </w:r>
      <w:r w:rsidRPr="00734A50">
        <w:t xml:space="preserve"> Accreditation Standards and Procedures</w:t>
      </w:r>
      <w:r w:rsidR="00102CA2" w:rsidRPr="00734A50">
        <w:t>.</w:t>
      </w:r>
    </w:p>
    <w:p w14:paraId="50FD8350" w14:textId="77777777" w:rsidR="00680722" w:rsidRPr="00734A50" w:rsidRDefault="00680722" w:rsidP="00D24649">
      <w:pPr>
        <w:spacing w:after="0"/>
      </w:pPr>
    </w:p>
    <w:p w14:paraId="1DF20CB4" w14:textId="49139556" w:rsidR="00D24649" w:rsidRPr="00734A50" w:rsidRDefault="00D24649" w:rsidP="6DDCDED7">
      <w:pPr>
        <w:pStyle w:val="Recommendation2"/>
        <w:spacing w:after="0"/>
        <w:rPr>
          <w:b/>
          <w:bCs/>
        </w:rPr>
      </w:pPr>
      <w:r w:rsidRPr="00734A50">
        <w:rPr>
          <w:b/>
          <w:bCs/>
        </w:rPr>
        <w:t xml:space="preserve">Recommendation 3: Strengthen </w:t>
      </w:r>
      <w:r w:rsidR="006F6897">
        <w:rPr>
          <w:b/>
          <w:bCs/>
        </w:rPr>
        <w:t xml:space="preserve">the </w:t>
      </w:r>
      <w:r w:rsidRPr="00734A50">
        <w:rPr>
          <w:b/>
          <w:bCs/>
        </w:rPr>
        <w:t xml:space="preserve">national </w:t>
      </w:r>
      <w:r w:rsidR="00355C3A" w:rsidRPr="00734A50">
        <w:rPr>
          <w:b/>
          <w:bCs/>
        </w:rPr>
        <w:t>quality and consistency</w:t>
      </w:r>
      <w:r w:rsidRPr="00734A50">
        <w:rPr>
          <w:b/>
          <w:bCs/>
        </w:rPr>
        <w:t xml:space="preserve"> of </w:t>
      </w:r>
      <w:r w:rsidR="003C60F4" w:rsidRPr="00734A50">
        <w:rPr>
          <w:b/>
          <w:bCs/>
        </w:rPr>
        <w:t>initial teacher education</w:t>
      </w:r>
      <w:r w:rsidR="009D68A5" w:rsidRPr="00734A50">
        <w:rPr>
          <w:b/>
          <w:bCs/>
        </w:rPr>
        <w:t xml:space="preserve"> </w:t>
      </w:r>
      <w:r w:rsidRPr="00734A50">
        <w:rPr>
          <w:b/>
          <w:bCs/>
        </w:rPr>
        <w:t>program</w:t>
      </w:r>
      <w:r w:rsidR="003C60F4" w:rsidRPr="00734A50">
        <w:rPr>
          <w:b/>
          <w:bCs/>
        </w:rPr>
        <w:t>s</w:t>
      </w:r>
    </w:p>
    <w:p w14:paraId="20ED4D6F" w14:textId="56827D9E" w:rsidR="00024A90" w:rsidRPr="00734A50" w:rsidRDefault="00D24649" w:rsidP="00024A90">
      <w:pPr>
        <w:pStyle w:val="Recommendation2"/>
      </w:pPr>
      <w:r w:rsidRPr="00734A50">
        <w:t xml:space="preserve">Education Ministers to agree </w:t>
      </w:r>
      <w:r w:rsidR="00DC68E6" w:rsidRPr="00734A50">
        <w:t xml:space="preserve">to </w:t>
      </w:r>
      <w:r w:rsidRPr="00734A50">
        <w:rPr>
          <w:lang w:eastAsia="en-AU"/>
        </w:rPr>
        <w:t>establish</w:t>
      </w:r>
      <w:r w:rsidR="003B3D1A" w:rsidRPr="00734A50">
        <w:rPr>
          <w:lang w:eastAsia="en-AU"/>
        </w:rPr>
        <w:t>ing</w:t>
      </w:r>
      <w:r w:rsidRPr="00734A50">
        <w:rPr>
          <w:lang w:eastAsia="en-AU"/>
        </w:rPr>
        <w:t xml:space="preserve"> a</w:t>
      </w:r>
      <w:r w:rsidR="00EB0AE7" w:rsidRPr="00734A50">
        <w:rPr>
          <w:lang w:eastAsia="en-AU"/>
        </w:rPr>
        <w:t xml:space="preserve">n </w:t>
      </w:r>
      <w:r w:rsidR="009D68A5" w:rsidRPr="00734A50">
        <w:rPr>
          <w:lang w:eastAsia="en-AU"/>
        </w:rPr>
        <w:t>initial teacher</w:t>
      </w:r>
      <w:r w:rsidR="0029614A" w:rsidRPr="00734A50">
        <w:rPr>
          <w:lang w:eastAsia="en-AU"/>
        </w:rPr>
        <w:t xml:space="preserve"> </w:t>
      </w:r>
      <w:r w:rsidR="009D68A5" w:rsidRPr="00734A50">
        <w:rPr>
          <w:lang w:eastAsia="en-AU"/>
        </w:rPr>
        <w:t>education</w:t>
      </w:r>
      <w:r w:rsidR="007878BB" w:rsidRPr="00734A50">
        <w:rPr>
          <w:lang w:eastAsia="en-AU"/>
        </w:rPr>
        <w:t xml:space="preserve"> (ITE)</w:t>
      </w:r>
      <w:r w:rsidR="00EB0AE7" w:rsidRPr="00734A50">
        <w:rPr>
          <w:lang w:eastAsia="en-AU"/>
        </w:rPr>
        <w:t xml:space="preserve"> quality assurance </w:t>
      </w:r>
      <w:r w:rsidR="007C6AAD" w:rsidRPr="00734A50">
        <w:rPr>
          <w:lang w:eastAsia="en-AU"/>
        </w:rPr>
        <w:t>b</w:t>
      </w:r>
      <w:r w:rsidR="00024A90" w:rsidRPr="00734A50">
        <w:rPr>
          <w:lang w:eastAsia="en-AU"/>
        </w:rPr>
        <w:t xml:space="preserve">oard to report to Education Ministers annually on the quality and consistency of </w:t>
      </w:r>
      <w:r w:rsidR="000223A1" w:rsidRPr="00734A50">
        <w:rPr>
          <w:lang w:eastAsia="en-AU"/>
        </w:rPr>
        <w:t>ITE</w:t>
      </w:r>
      <w:r w:rsidR="009D68A5" w:rsidRPr="00734A50">
        <w:rPr>
          <w:lang w:eastAsia="en-AU"/>
        </w:rPr>
        <w:t xml:space="preserve"> </w:t>
      </w:r>
      <w:r w:rsidR="00024A90" w:rsidRPr="00734A50">
        <w:rPr>
          <w:lang w:eastAsia="en-AU"/>
        </w:rPr>
        <w:t>programs and their outcomes.</w:t>
      </w:r>
    </w:p>
    <w:p w14:paraId="4AC05252" w14:textId="6719FACD" w:rsidR="00024A90" w:rsidRPr="00734A50" w:rsidRDefault="00024A90" w:rsidP="00024A90">
      <w:pPr>
        <w:pStyle w:val="Recommendation2"/>
        <w:spacing w:after="0"/>
      </w:pPr>
      <w:r w:rsidRPr="00734A50">
        <w:t xml:space="preserve">The </w:t>
      </w:r>
      <w:r w:rsidR="007878BB" w:rsidRPr="00734A50">
        <w:t>ITE</w:t>
      </w:r>
      <w:r w:rsidRPr="00734A50">
        <w:t xml:space="preserve"> </w:t>
      </w:r>
      <w:r w:rsidR="009311A8" w:rsidRPr="00734A50">
        <w:t xml:space="preserve">quality </w:t>
      </w:r>
      <w:r w:rsidR="0078611C" w:rsidRPr="00734A50">
        <w:t>assurance</w:t>
      </w:r>
      <w:r w:rsidRPr="00734A50">
        <w:t xml:space="preserve"> board would oversee a systematic approach to </w:t>
      </w:r>
      <w:r w:rsidR="00342B05" w:rsidRPr="00734A50">
        <w:t xml:space="preserve">assessing </w:t>
      </w:r>
      <w:r w:rsidR="00FB6E0D" w:rsidRPr="00734A50">
        <w:t xml:space="preserve">and improving </w:t>
      </w:r>
      <w:r w:rsidRPr="00734A50">
        <w:t xml:space="preserve">the quality, consistency and outcomes of </w:t>
      </w:r>
      <w:r w:rsidR="003C13DF" w:rsidRPr="00734A50">
        <w:rPr>
          <w:lang w:eastAsia="en-AU"/>
        </w:rPr>
        <w:t>ITE</w:t>
      </w:r>
      <w:r w:rsidRPr="00734A50">
        <w:t xml:space="preserve"> programs, </w:t>
      </w:r>
      <w:r w:rsidR="003A66F5" w:rsidRPr="00734A50">
        <w:t>by</w:t>
      </w:r>
      <w:r w:rsidRPr="00734A50">
        <w:t>:</w:t>
      </w:r>
    </w:p>
    <w:p w14:paraId="4F22FA11" w14:textId="481C04A8" w:rsidR="00024A90" w:rsidRPr="00734A50" w:rsidRDefault="00024A90" w:rsidP="00BB714D">
      <w:pPr>
        <w:pStyle w:val="Recommendation2"/>
        <w:numPr>
          <w:ilvl w:val="0"/>
          <w:numId w:val="65"/>
        </w:numPr>
        <w:spacing w:after="0"/>
      </w:pPr>
      <w:r w:rsidRPr="00734A50">
        <w:t>provid</w:t>
      </w:r>
      <w:r w:rsidR="003A66F5" w:rsidRPr="00734A50">
        <w:t>ing</w:t>
      </w:r>
      <w:r w:rsidRPr="00734A50">
        <w:t xml:space="preserve"> independent verification of the implementation of the revised Accreditation Standards and Procedures</w:t>
      </w:r>
    </w:p>
    <w:p w14:paraId="0BE035B2" w14:textId="6F4A6B18" w:rsidR="00024A90" w:rsidRPr="00734A50" w:rsidRDefault="00024A90" w:rsidP="00BB714D">
      <w:pPr>
        <w:pStyle w:val="Recommendation2"/>
        <w:numPr>
          <w:ilvl w:val="0"/>
          <w:numId w:val="65"/>
        </w:numPr>
        <w:spacing w:after="0"/>
      </w:pPr>
      <w:r w:rsidRPr="00734A50">
        <w:t>assess</w:t>
      </w:r>
      <w:r w:rsidR="003A66F5" w:rsidRPr="00734A50">
        <w:t>ing</w:t>
      </w:r>
      <w:r w:rsidRPr="00734A50">
        <w:t xml:space="preserve"> and monitor</w:t>
      </w:r>
      <w:r w:rsidR="003A66F5" w:rsidRPr="00734A50">
        <w:t>ing</w:t>
      </w:r>
      <w:r w:rsidRPr="00734A50">
        <w:t xml:space="preserve"> students’ knowledge of the core content and periodically review</w:t>
      </w:r>
      <w:r w:rsidR="003A66F5" w:rsidRPr="00734A50">
        <w:t>ing</w:t>
      </w:r>
      <w:r w:rsidRPr="00734A50">
        <w:t xml:space="preserve"> and recommend</w:t>
      </w:r>
      <w:r w:rsidR="003A66F5" w:rsidRPr="00734A50">
        <w:t>ing</w:t>
      </w:r>
      <w:r w:rsidRPr="00734A50">
        <w:t xml:space="preserve"> updates to the core content for beginning teachers</w:t>
      </w:r>
    </w:p>
    <w:p w14:paraId="3378A723" w14:textId="34039BC3" w:rsidR="00024A90" w:rsidRPr="00734A50" w:rsidRDefault="00024A90" w:rsidP="00BB714D">
      <w:pPr>
        <w:pStyle w:val="Recommendation2"/>
        <w:numPr>
          <w:ilvl w:val="0"/>
          <w:numId w:val="65"/>
        </w:numPr>
        <w:spacing w:after="0"/>
      </w:pPr>
      <w:r w:rsidRPr="00734A50">
        <w:t>undertak</w:t>
      </w:r>
      <w:r w:rsidR="003A66F5" w:rsidRPr="00734A50">
        <w:t>ing</w:t>
      </w:r>
      <w:r w:rsidRPr="00734A50">
        <w:t xml:space="preserve"> cross-institutional moderation of </w:t>
      </w:r>
      <w:r w:rsidR="00B721B6" w:rsidRPr="00734A50">
        <w:t>T</w:t>
      </w:r>
      <w:r w:rsidRPr="00734A50">
        <w:t xml:space="preserve">eaching </w:t>
      </w:r>
      <w:r w:rsidR="00B721B6" w:rsidRPr="00734A50">
        <w:t>P</w:t>
      </w:r>
      <w:r w:rsidRPr="00734A50">
        <w:t xml:space="preserve">erformance </w:t>
      </w:r>
      <w:r w:rsidR="00B721B6" w:rsidRPr="00734A50">
        <w:t>A</w:t>
      </w:r>
      <w:r w:rsidRPr="00734A50">
        <w:t>ssessments</w:t>
      </w:r>
    </w:p>
    <w:p w14:paraId="36B0A968" w14:textId="44828B3E" w:rsidR="00024A90" w:rsidRPr="00734A50" w:rsidRDefault="00024A90" w:rsidP="00BB714D">
      <w:pPr>
        <w:pStyle w:val="Recommendation2"/>
        <w:numPr>
          <w:ilvl w:val="0"/>
          <w:numId w:val="65"/>
        </w:numPr>
        <w:spacing w:after="0"/>
      </w:pPr>
      <w:r w:rsidRPr="00734A50">
        <w:t>report</w:t>
      </w:r>
      <w:r w:rsidR="003A66F5" w:rsidRPr="00734A50">
        <w:t>ing</w:t>
      </w:r>
      <w:r w:rsidRPr="00734A50">
        <w:t xml:space="preserve"> on (to </w:t>
      </w:r>
      <w:r w:rsidR="009D68A5" w:rsidRPr="00734A50">
        <w:t xml:space="preserve">Education </w:t>
      </w:r>
      <w:r w:rsidRPr="00734A50">
        <w:t>Ministers and publicly) and periodically review</w:t>
      </w:r>
      <w:r w:rsidR="001B13D8" w:rsidRPr="00734A50">
        <w:t>ing</w:t>
      </w:r>
      <w:r w:rsidRPr="00734A50">
        <w:t xml:space="preserve"> and recommend</w:t>
      </w:r>
      <w:r w:rsidR="003A66F5" w:rsidRPr="00734A50">
        <w:t>ing</w:t>
      </w:r>
      <w:r w:rsidRPr="00734A50">
        <w:t xml:space="preserve"> adjustment of the nationally consistent</w:t>
      </w:r>
      <w:r w:rsidR="002A2D76">
        <w:t>,</w:t>
      </w:r>
      <w:r w:rsidRPr="00734A50">
        <w:t xml:space="preserve"> transparent indicators</w:t>
      </w:r>
    </w:p>
    <w:p w14:paraId="325FBD65" w14:textId="41732CF0" w:rsidR="00024A90" w:rsidRPr="00734A50" w:rsidRDefault="00024A90" w:rsidP="00BB714D">
      <w:pPr>
        <w:pStyle w:val="Recommendation2"/>
        <w:numPr>
          <w:ilvl w:val="0"/>
          <w:numId w:val="65"/>
        </w:numPr>
        <w:spacing w:after="0"/>
      </w:pPr>
      <w:r w:rsidRPr="00734A50">
        <w:t>report</w:t>
      </w:r>
      <w:r w:rsidR="003A66F5" w:rsidRPr="00734A50">
        <w:t>ing</w:t>
      </w:r>
      <w:r w:rsidRPr="00734A50">
        <w:t xml:space="preserve"> on the quality and delivery of practical experience</w:t>
      </w:r>
      <w:r w:rsidR="00774377">
        <w:t xml:space="preserve"> </w:t>
      </w:r>
      <w:r w:rsidR="00774377" w:rsidRPr="00774377">
        <w:t>and the evidence base for mid-career programs</w:t>
      </w:r>
    </w:p>
    <w:p w14:paraId="1DF19187" w14:textId="1ADA885B" w:rsidR="00024A90" w:rsidRPr="00734A50" w:rsidRDefault="00024A90" w:rsidP="00BB714D">
      <w:pPr>
        <w:pStyle w:val="Recommendation2"/>
        <w:numPr>
          <w:ilvl w:val="0"/>
          <w:numId w:val="65"/>
        </w:numPr>
        <w:spacing w:after="0"/>
      </w:pPr>
      <w:r w:rsidRPr="00734A50">
        <w:t>oversee</w:t>
      </w:r>
      <w:r w:rsidR="003A66F5" w:rsidRPr="00734A50">
        <w:t>ing</w:t>
      </w:r>
      <w:r w:rsidRPr="00734A50">
        <w:t xml:space="preserve"> a program of research designed to inform improvements to the quality </w:t>
      </w:r>
      <w:r w:rsidR="005A34F7" w:rsidRPr="00734A50">
        <w:t>ITE</w:t>
      </w:r>
      <w:r w:rsidRPr="00734A50">
        <w:t xml:space="preserve"> programs, including thematic quality reviews on areas requested by Education Ministers</w:t>
      </w:r>
      <w:r w:rsidR="00896770" w:rsidRPr="00734A50">
        <w:t>.</w:t>
      </w:r>
    </w:p>
    <w:p w14:paraId="6AB309C2" w14:textId="77777777" w:rsidR="00D24649" w:rsidRPr="00734A50" w:rsidRDefault="00D24649" w:rsidP="00D24649">
      <w:pPr>
        <w:spacing w:after="0"/>
      </w:pPr>
    </w:p>
    <w:p w14:paraId="718A3F40" w14:textId="03AF9578" w:rsidR="00D24649" w:rsidRPr="00734A50" w:rsidRDefault="00D24649" w:rsidP="00D24649">
      <w:pPr>
        <w:pStyle w:val="Recommendation2"/>
        <w:spacing w:after="0"/>
        <w:rPr>
          <w:b/>
          <w:bCs/>
          <w:szCs w:val="22"/>
        </w:rPr>
      </w:pPr>
      <w:r w:rsidRPr="00734A50">
        <w:rPr>
          <w:b/>
          <w:bCs/>
          <w:szCs w:val="22"/>
        </w:rPr>
        <w:t>Recommendation 4: Establish nationally consis</w:t>
      </w:r>
      <w:r w:rsidR="006B057B" w:rsidRPr="00734A50">
        <w:rPr>
          <w:b/>
          <w:bCs/>
          <w:szCs w:val="22"/>
        </w:rPr>
        <w:t>te</w:t>
      </w:r>
      <w:r w:rsidRPr="00734A50">
        <w:rPr>
          <w:b/>
          <w:bCs/>
          <w:szCs w:val="22"/>
        </w:rPr>
        <w:t xml:space="preserve">nt, transparent indicators </w:t>
      </w:r>
    </w:p>
    <w:p w14:paraId="5FA96A0B" w14:textId="4DA08676" w:rsidR="00D24649" w:rsidRPr="00734A50" w:rsidRDefault="00D24649" w:rsidP="00D71693">
      <w:pPr>
        <w:pStyle w:val="Recommendation2"/>
        <w:rPr>
          <w:color w:val="auto"/>
        </w:rPr>
      </w:pPr>
      <w:r w:rsidRPr="00734A50">
        <w:rPr>
          <w:lang w:eastAsia="en-AU"/>
        </w:rPr>
        <w:t>Education Ministers to agree to adopt an identified set of nationally consistent, transparent indicators based on the Australian Teacher Workforce Data collection</w:t>
      </w:r>
      <w:r w:rsidRPr="00734A50">
        <w:rPr>
          <w:color w:val="auto"/>
        </w:rPr>
        <w:t xml:space="preserve">. </w:t>
      </w:r>
    </w:p>
    <w:p w14:paraId="5B9CBFE5" w14:textId="06ABE3FC" w:rsidR="00444AA0" w:rsidRPr="00734A50" w:rsidRDefault="00D24649" w:rsidP="6DDCDED7">
      <w:pPr>
        <w:pStyle w:val="Recommendation2"/>
        <w:spacing w:after="0"/>
        <w:rPr>
          <w:color w:val="auto"/>
        </w:rPr>
      </w:pPr>
      <w:r w:rsidRPr="00734A50">
        <w:rPr>
          <w:color w:val="auto"/>
        </w:rPr>
        <w:lastRenderedPageBreak/>
        <w:t>The Panel has defined four categories of relevant nationally consistent, transparent indicators</w:t>
      </w:r>
      <w:r w:rsidRPr="00734A50">
        <w:t xml:space="preserve"> to encourage </w:t>
      </w:r>
      <w:r w:rsidR="00A609AF" w:rsidRPr="00734A50">
        <w:t>higher education</w:t>
      </w:r>
      <w:r w:rsidRPr="00734A50">
        <w:t xml:space="preserve"> providers to improve</w:t>
      </w:r>
      <w:r w:rsidR="00142296" w:rsidRPr="00734A50">
        <w:t xml:space="preserve"> the</w:t>
      </w:r>
      <w:r w:rsidRPr="00734A50">
        <w:t xml:space="preserve"> quality of programs, and inform prospective </w:t>
      </w:r>
      <w:r w:rsidR="00A609AF" w:rsidRPr="00734A50">
        <w:t xml:space="preserve">initial teacher education </w:t>
      </w:r>
      <w:r w:rsidR="00DE7404" w:rsidRPr="00734A50">
        <w:t>(ITE)</w:t>
      </w:r>
      <w:r w:rsidR="00A609AF" w:rsidRPr="00734A50">
        <w:t xml:space="preserve"> students</w:t>
      </w:r>
      <w:r w:rsidR="005F69E7" w:rsidRPr="00734A50">
        <w:t>’ choice of</w:t>
      </w:r>
      <w:r w:rsidRPr="00734A50">
        <w:rPr>
          <w:color w:val="auto"/>
        </w:rPr>
        <w:t xml:space="preserve"> programs best suited to their needs:</w:t>
      </w:r>
    </w:p>
    <w:p w14:paraId="277AA377" w14:textId="77777777" w:rsidR="00444AA0" w:rsidRPr="00734A50" w:rsidRDefault="00D24649" w:rsidP="00BB714D">
      <w:pPr>
        <w:pStyle w:val="Recommendation2"/>
        <w:numPr>
          <w:ilvl w:val="0"/>
          <w:numId w:val="81"/>
        </w:numPr>
        <w:spacing w:after="0"/>
        <w:rPr>
          <w:color w:val="auto"/>
          <w:szCs w:val="22"/>
        </w:rPr>
      </w:pPr>
      <w:r w:rsidRPr="00734A50">
        <w:rPr>
          <w:b/>
          <w:bCs/>
          <w:szCs w:val="22"/>
        </w:rPr>
        <w:t>selection</w:t>
      </w:r>
      <w:r w:rsidRPr="00734A50">
        <w:rPr>
          <w:szCs w:val="22"/>
        </w:rPr>
        <w:t>: diverse, high-achieving cohorts in areas of workforce need</w:t>
      </w:r>
    </w:p>
    <w:p w14:paraId="26DDC10F" w14:textId="0B55F392" w:rsidR="00444AA0" w:rsidRPr="00734A50" w:rsidRDefault="00D24649" w:rsidP="6DDCDED7">
      <w:pPr>
        <w:pStyle w:val="Recommendation2"/>
        <w:numPr>
          <w:ilvl w:val="0"/>
          <w:numId w:val="81"/>
        </w:numPr>
        <w:spacing w:after="0"/>
        <w:rPr>
          <w:color w:val="auto"/>
        </w:rPr>
      </w:pPr>
      <w:r w:rsidRPr="00734A50">
        <w:rPr>
          <w:b/>
          <w:bCs/>
        </w:rPr>
        <w:t>retention</w:t>
      </w:r>
      <w:r w:rsidRPr="00734A50">
        <w:t xml:space="preserve">: retention of students over the duration of </w:t>
      </w:r>
      <w:r w:rsidR="00DE7404" w:rsidRPr="00734A50">
        <w:rPr>
          <w:lang w:eastAsia="en-AU"/>
        </w:rPr>
        <w:t>ITE</w:t>
      </w:r>
      <w:r w:rsidRPr="00734A50">
        <w:t>, from entry to graduation</w:t>
      </w:r>
    </w:p>
    <w:p w14:paraId="2444121A" w14:textId="1D8D2C57" w:rsidR="00444AA0" w:rsidRPr="00734A50" w:rsidRDefault="00D24649" w:rsidP="6DDCDED7">
      <w:pPr>
        <w:pStyle w:val="Recommendation2"/>
        <w:numPr>
          <w:ilvl w:val="0"/>
          <w:numId w:val="81"/>
        </w:numPr>
        <w:spacing w:after="0"/>
        <w:rPr>
          <w:color w:val="auto"/>
        </w:rPr>
      </w:pPr>
      <w:r w:rsidRPr="00734A50">
        <w:rPr>
          <w:b/>
          <w:bCs/>
        </w:rPr>
        <w:t>preparedness of beginning teachers</w:t>
      </w:r>
      <w:r w:rsidRPr="00734A50">
        <w:t>: perceived preparedness for entry into the teaching profession and student satisfaction with</w:t>
      </w:r>
      <w:r w:rsidR="00142296" w:rsidRPr="00734A50">
        <w:t xml:space="preserve"> the</w:t>
      </w:r>
      <w:r w:rsidRPr="00734A50">
        <w:t xml:space="preserve"> quality of their </w:t>
      </w:r>
      <w:r w:rsidR="001501BA" w:rsidRPr="00734A50">
        <w:t>program</w:t>
      </w:r>
    </w:p>
    <w:p w14:paraId="62772504" w14:textId="77777777" w:rsidR="00D24649" w:rsidRPr="00734A50" w:rsidRDefault="00D24649" w:rsidP="00BB714D">
      <w:pPr>
        <w:pStyle w:val="Recommendation2"/>
        <w:numPr>
          <w:ilvl w:val="0"/>
          <w:numId w:val="81"/>
        </w:numPr>
        <w:spacing w:after="0"/>
        <w:rPr>
          <w:color w:val="auto"/>
          <w:szCs w:val="22"/>
        </w:rPr>
      </w:pPr>
      <w:r w:rsidRPr="00734A50">
        <w:rPr>
          <w:b/>
          <w:bCs/>
        </w:rPr>
        <w:t>transition</w:t>
      </w:r>
      <w:r w:rsidRPr="00734A50">
        <w:t>: employment outcomes of recent graduates and early career teachers.</w:t>
      </w:r>
    </w:p>
    <w:p w14:paraId="0FD405CA" w14:textId="77777777" w:rsidR="00D24649" w:rsidRPr="00734A50" w:rsidRDefault="00D24649" w:rsidP="00D24649">
      <w:pPr>
        <w:spacing w:after="0"/>
      </w:pPr>
    </w:p>
    <w:p w14:paraId="53EEC91C" w14:textId="4BEAB57C" w:rsidR="00D24649" w:rsidRPr="00734A50" w:rsidRDefault="00D24649" w:rsidP="00D24649">
      <w:pPr>
        <w:pStyle w:val="Recommendation2"/>
        <w:spacing w:after="0"/>
        <w:rPr>
          <w:b/>
          <w:bCs/>
          <w:szCs w:val="22"/>
        </w:rPr>
      </w:pPr>
      <w:r w:rsidRPr="00734A50">
        <w:rPr>
          <w:b/>
          <w:bCs/>
          <w:szCs w:val="22"/>
        </w:rPr>
        <w:t xml:space="preserve">Recommendation 5: </w:t>
      </w:r>
      <w:r w:rsidR="0051388C" w:rsidRPr="00734A50">
        <w:rPr>
          <w:b/>
          <w:bCs/>
          <w:szCs w:val="22"/>
        </w:rPr>
        <w:t>S</w:t>
      </w:r>
      <w:r w:rsidR="008A24D4" w:rsidRPr="00734A50">
        <w:rPr>
          <w:b/>
          <w:bCs/>
          <w:szCs w:val="22"/>
        </w:rPr>
        <w:t>t</w:t>
      </w:r>
      <w:r w:rsidR="00F26E6F" w:rsidRPr="00734A50">
        <w:rPr>
          <w:b/>
          <w:bCs/>
          <w:szCs w:val="22"/>
        </w:rPr>
        <w:t>reamlin</w:t>
      </w:r>
      <w:r w:rsidR="00860CD0" w:rsidRPr="00734A50">
        <w:rPr>
          <w:b/>
          <w:bCs/>
          <w:szCs w:val="22"/>
        </w:rPr>
        <w:t>e</w:t>
      </w:r>
      <w:r w:rsidR="000A134D" w:rsidRPr="00734A50">
        <w:rPr>
          <w:b/>
          <w:bCs/>
          <w:szCs w:val="22"/>
        </w:rPr>
        <w:t xml:space="preserve"> </w:t>
      </w:r>
      <w:r w:rsidRPr="00734A50">
        <w:rPr>
          <w:b/>
          <w:bCs/>
          <w:szCs w:val="22"/>
        </w:rPr>
        <w:t>reporting requirements in the Accreditation Standards and Procedures</w:t>
      </w:r>
    </w:p>
    <w:p w14:paraId="0AA60FE4" w14:textId="268F3C1B" w:rsidR="00D24649" w:rsidRPr="00734A50" w:rsidRDefault="00D24649" w:rsidP="00D24649">
      <w:pPr>
        <w:pStyle w:val="Recommendation2"/>
        <w:spacing w:after="0"/>
      </w:pPr>
      <w:r w:rsidRPr="00734A50">
        <w:t xml:space="preserve">Education Ministers to agree to </w:t>
      </w:r>
      <w:r w:rsidR="00F26E6F" w:rsidRPr="00734A50">
        <w:t xml:space="preserve">streamline </w:t>
      </w:r>
      <w:r w:rsidRPr="00734A50">
        <w:t>the reporting requirements for higher education providers by</w:t>
      </w:r>
      <w:r w:rsidR="00783232">
        <w:t xml:space="preserve"> </w:t>
      </w:r>
      <w:r w:rsidRPr="00734A50">
        <w:t xml:space="preserve">mandating the </w:t>
      </w:r>
      <w:r w:rsidR="004D7185" w:rsidRPr="00734A50">
        <w:t xml:space="preserve">nationally consistent, transparent </w:t>
      </w:r>
      <w:r w:rsidRPr="00734A50">
        <w:t xml:space="preserve">indicators </w:t>
      </w:r>
      <w:r w:rsidR="002E6D7E" w:rsidRPr="00734A50">
        <w:t xml:space="preserve">(Recommendation 4) </w:t>
      </w:r>
      <w:r w:rsidRPr="00734A50">
        <w:t xml:space="preserve">as key </w:t>
      </w:r>
      <w:r w:rsidR="00B37F26" w:rsidRPr="00734A50">
        <w:t>measure</w:t>
      </w:r>
      <w:r w:rsidR="00FF2B36" w:rsidRPr="00734A50">
        <w:t>s</w:t>
      </w:r>
      <w:r w:rsidR="003308C5" w:rsidRPr="00734A50">
        <w:t xml:space="preserve"> for demonstrating the impact of </w:t>
      </w:r>
      <w:r w:rsidR="00DE7404" w:rsidRPr="00734A50">
        <w:t xml:space="preserve">initial teacher education </w:t>
      </w:r>
      <w:r w:rsidR="003308C5" w:rsidRPr="00734A50">
        <w:t>programs</w:t>
      </w:r>
      <w:r w:rsidR="00E71A8B" w:rsidRPr="00734A50">
        <w:t>,</w:t>
      </w:r>
      <w:r w:rsidRPr="00734A50">
        <w:t xml:space="preserve"> and to explore other opportunities to </w:t>
      </w:r>
      <w:r w:rsidR="0032044B" w:rsidRPr="00734A50">
        <w:t>streamline</w:t>
      </w:r>
      <w:r w:rsidRPr="00734A50">
        <w:t xml:space="preserve"> accreditation requirements.</w:t>
      </w:r>
    </w:p>
    <w:p w14:paraId="1FBC53B4" w14:textId="77777777" w:rsidR="00D24649" w:rsidRPr="00734A50" w:rsidRDefault="00D24649" w:rsidP="00D24649">
      <w:pPr>
        <w:spacing w:after="0"/>
      </w:pPr>
    </w:p>
    <w:p w14:paraId="16E3EADF" w14:textId="77777777" w:rsidR="00D24649" w:rsidRPr="00734A50" w:rsidRDefault="00D24649" w:rsidP="00D24649">
      <w:pPr>
        <w:pStyle w:val="Recommendation2"/>
        <w:spacing w:after="0"/>
        <w:rPr>
          <w:b/>
        </w:rPr>
      </w:pPr>
      <w:r w:rsidRPr="00734A50">
        <w:rPr>
          <w:b/>
        </w:rPr>
        <w:t>Recommendation 6: Establish a Transition Fund to support embedding of core content</w:t>
      </w:r>
    </w:p>
    <w:p w14:paraId="40B6359E" w14:textId="32812CC6" w:rsidR="00D24649" w:rsidRPr="00734A50" w:rsidRDefault="00D24649" w:rsidP="00D24649">
      <w:pPr>
        <w:pStyle w:val="Recommendation2"/>
        <w:spacing w:after="0"/>
      </w:pPr>
      <w:r w:rsidRPr="00734A50">
        <w:rPr>
          <w:lang w:eastAsia="en-AU"/>
        </w:rPr>
        <w:t>Education Ministers to agree to establish</w:t>
      </w:r>
      <w:r w:rsidRPr="00734A50">
        <w:t xml:space="preserve"> a </w:t>
      </w:r>
      <w:r w:rsidR="00AC5F4D" w:rsidRPr="00734A50">
        <w:t>T</w:t>
      </w:r>
      <w:r w:rsidR="00A427CB" w:rsidRPr="00734A50">
        <w:t xml:space="preserve">ransition </w:t>
      </w:r>
      <w:r w:rsidR="00AC5F4D" w:rsidRPr="00734A50">
        <w:t>F</w:t>
      </w:r>
      <w:r w:rsidRPr="00734A50">
        <w:t xml:space="preserve">und made available to </w:t>
      </w:r>
      <w:r w:rsidR="0006670A" w:rsidRPr="00734A50">
        <w:t>higher education</w:t>
      </w:r>
      <w:r w:rsidRPr="00734A50">
        <w:t xml:space="preserve"> providers to support them to embed the core content in their </w:t>
      </w:r>
      <w:r w:rsidR="009D68A5" w:rsidRPr="00734A50">
        <w:rPr>
          <w:lang w:eastAsia="en-AU"/>
        </w:rPr>
        <w:t>initial teacher education</w:t>
      </w:r>
      <w:r w:rsidRPr="00734A50">
        <w:t xml:space="preserve"> programs and improve performance.</w:t>
      </w:r>
    </w:p>
    <w:p w14:paraId="2933C89D" w14:textId="77777777" w:rsidR="00D24649" w:rsidRPr="00734A50" w:rsidRDefault="00D24649" w:rsidP="00D24649">
      <w:pPr>
        <w:spacing w:after="0"/>
      </w:pPr>
    </w:p>
    <w:p w14:paraId="42A3FD2F" w14:textId="20783007" w:rsidR="00D24649" w:rsidRPr="00734A50" w:rsidRDefault="00D24649" w:rsidP="00D24649">
      <w:pPr>
        <w:pStyle w:val="Recommendation2"/>
        <w:spacing w:after="0"/>
        <w:rPr>
          <w:b/>
        </w:rPr>
      </w:pPr>
      <w:r w:rsidRPr="00734A50">
        <w:rPr>
          <w:b/>
        </w:rPr>
        <w:t xml:space="preserve">Recommendation 7: Establish an Excellence Fund to improve the quality of </w:t>
      </w:r>
      <w:r w:rsidR="00671320">
        <w:rPr>
          <w:b/>
        </w:rPr>
        <w:t>initial teacher education programs</w:t>
      </w:r>
    </w:p>
    <w:p w14:paraId="2834DF39" w14:textId="31AD7269" w:rsidR="00D24649" w:rsidRPr="00734A50" w:rsidRDefault="00236704" w:rsidP="00D24649">
      <w:pPr>
        <w:pStyle w:val="Recommendation2"/>
        <w:spacing w:after="0"/>
      </w:pPr>
      <w:r w:rsidRPr="00734A50">
        <w:rPr>
          <w:lang w:eastAsia="en-AU"/>
        </w:rPr>
        <w:t>Education Ministers to agree to establish a</w:t>
      </w:r>
      <w:r w:rsidR="00A427CB" w:rsidRPr="00734A50">
        <w:rPr>
          <w:lang w:eastAsia="en-AU"/>
        </w:rPr>
        <w:t xml:space="preserve">n </w:t>
      </w:r>
      <w:r w:rsidR="00AC5F4D" w:rsidRPr="00734A50">
        <w:rPr>
          <w:lang w:eastAsia="en-AU"/>
        </w:rPr>
        <w:t>E</w:t>
      </w:r>
      <w:r w:rsidR="00A427CB" w:rsidRPr="00734A50">
        <w:rPr>
          <w:lang w:eastAsia="en-AU"/>
        </w:rPr>
        <w:t>xcellence</w:t>
      </w:r>
      <w:r w:rsidRPr="00734A50">
        <w:rPr>
          <w:lang w:eastAsia="en-AU"/>
        </w:rPr>
        <w:t xml:space="preserve"> </w:t>
      </w:r>
      <w:r w:rsidR="00AC5F4D" w:rsidRPr="00734A50">
        <w:rPr>
          <w:lang w:eastAsia="en-AU"/>
        </w:rPr>
        <w:t>F</w:t>
      </w:r>
      <w:r w:rsidRPr="00734A50">
        <w:rPr>
          <w:lang w:eastAsia="en-AU"/>
        </w:rPr>
        <w:t xml:space="preserve">und to support </w:t>
      </w:r>
      <w:r w:rsidR="005E3224" w:rsidRPr="00734A50">
        <w:rPr>
          <w:lang w:eastAsia="en-AU"/>
        </w:rPr>
        <w:t xml:space="preserve">higher education </w:t>
      </w:r>
      <w:r w:rsidRPr="00734A50">
        <w:rPr>
          <w:lang w:eastAsia="en-AU"/>
        </w:rPr>
        <w:t xml:space="preserve">providers identified </w:t>
      </w:r>
      <w:r w:rsidR="009D68A5" w:rsidRPr="00734A50">
        <w:rPr>
          <w:lang w:eastAsia="en-AU"/>
        </w:rPr>
        <w:t xml:space="preserve">through the initial teacher education </w:t>
      </w:r>
      <w:r w:rsidR="00D96D91" w:rsidRPr="00734A50">
        <w:rPr>
          <w:lang w:eastAsia="en-AU"/>
        </w:rPr>
        <w:t>(ITE)</w:t>
      </w:r>
      <w:r w:rsidR="009D68A5" w:rsidRPr="00734A50">
        <w:rPr>
          <w:lang w:eastAsia="en-AU"/>
        </w:rPr>
        <w:t xml:space="preserve"> quality assurance board’s work </w:t>
      </w:r>
      <w:r w:rsidRPr="00734A50">
        <w:rPr>
          <w:lang w:eastAsia="en-AU"/>
        </w:rPr>
        <w:t>as high</w:t>
      </w:r>
      <w:r w:rsidR="009D68A5" w:rsidRPr="00734A50">
        <w:rPr>
          <w:lang w:eastAsia="en-AU"/>
        </w:rPr>
        <w:t xml:space="preserve"> </w:t>
      </w:r>
      <w:r w:rsidRPr="00734A50">
        <w:rPr>
          <w:lang w:eastAsia="en-AU"/>
        </w:rPr>
        <w:t>performing</w:t>
      </w:r>
      <w:r w:rsidR="00CD3A14">
        <w:rPr>
          <w:lang w:eastAsia="en-AU"/>
        </w:rPr>
        <w:t xml:space="preserve">, </w:t>
      </w:r>
      <w:r w:rsidRPr="00734A50">
        <w:rPr>
          <w:lang w:eastAsia="en-AU"/>
        </w:rPr>
        <w:t>fast</w:t>
      </w:r>
      <w:r w:rsidR="009D68A5" w:rsidRPr="00734A50">
        <w:rPr>
          <w:lang w:eastAsia="en-AU"/>
        </w:rPr>
        <w:t xml:space="preserve"> </w:t>
      </w:r>
      <w:r w:rsidRPr="00734A50">
        <w:rPr>
          <w:lang w:eastAsia="en-AU"/>
        </w:rPr>
        <w:t>improving</w:t>
      </w:r>
      <w:r w:rsidR="00190D72" w:rsidRPr="00734A50">
        <w:rPr>
          <w:lang w:eastAsia="en-AU"/>
        </w:rPr>
        <w:t xml:space="preserve"> </w:t>
      </w:r>
      <w:r w:rsidR="00793AB5">
        <w:rPr>
          <w:lang w:eastAsia="en-AU"/>
        </w:rPr>
        <w:t xml:space="preserve">or excellent </w:t>
      </w:r>
      <w:r w:rsidR="00190D72" w:rsidRPr="00734A50">
        <w:rPr>
          <w:lang w:eastAsia="en-AU"/>
        </w:rPr>
        <w:t xml:space="preserve">in a particular aspect of </w:t>
      </w:r>
      <w:r w:rsidR="00D96D91" w:rsidRPr="00734A50">
        <w:rPr>
          <w:lang w:eastAsia="en-AU"/>
        </w:rPr>
        <w:t>ITE</w:t>
      </w:r>
      <w:r w:rsidR="00190D72" w:rsidRPr="00734A50">
        <w:rPr>
          <w:lang w:eastAsia="en-AU"/>
        </w:rPr>
        <w:t xml:space="preserve"> delivery</w:t>
      </w:r>
      <w:r w:rsidRPr="00734A50">
        <w:rPr>
          <w:lang w:eastAsia="en-AU"/>
        </w:rPr>
        <w:t xml:space="preserve">. Identified </w:t>
      </w:r>
      <w:r w:rsidR="00300B06" w:rsidRPr="00734A50">
        <w:rPr>
          <w:lang w:eastAsia="en-AU"/>
        </w:rPr>
        <w:t>higher education</w:t>
      </w:r>
      <w:r w:rsidRPr="00734A50">
        <w:rPr>
          <w:lang w:eastAsia="en-AU"/>
        </w:rPr>
        <w:t xml:space="preserve"> providers would be funded to take a leadership role in fostering improved performance across the sector.</w:t>
      </w:r>
    </w:p>
    <w:p w14:paraId="0F645DCF" w14:textId="77777777" w:rsidR="00D24649" w:rsidRPr="00734A50" w:rsidRDefault="00D24649" w:rsidP="00D24649">
      <w:pPr>
        <w:spacing w:after="0"/>
      </w:pPr>
    </w:p>
    <w:p w14:paraId="186F8859" w14:textId="57E42A8F" w:rsidR="00D24649" w:rsidRPr="00734A50" w:rsidRDefault="00D24649" w:rsidP="00D24649">
      <w:pPr>
        <w:pStyle w:val="Recommendation2"/>
        <w:spacing w:after="0"/>
        <w:rPr>
          <w:b/>
        </w:rPr>
      </w:pPr>
      <w:r w:rsidRPr="00734A50">
        <w:rPr>
          <w:b/>
        </w:rPr>
        <w:t xml:space="preserve">Recommendation 8: Establish </w:t>
      </w:r>
      <w:r w:rsidR="002652F4" w:rsidRPr="00734A50">
        <w:rPr>
          <w:b/>
        </w:rPr>
        <w:t xml:space="preserve">system-wide coordination of </w:t>
      </w:r>
      <w:r w:rsidRPr="00734A50">
        <w:rPr>
          <w:b/>
        </w:rPr>
        <w:t>practical experience delivery</w:t>
      </w:r>
    </w:p>
    <w:p w14:paraId="09CE7003" w14:textId="29C6F918" w:rsidR="00D24649" w:rsidRPr="00734A50" w:rsidRDefault="00D24649" w:rsidP="00D24649">
      <w:pPr>
        <w:pStyle w:val="Recommendation2"/>
        <w:spacing w:after="0"/>
        <w:rPr>
          <w:lang w:eastAsia="en-AU"/>
        </w:rPr>
      </w:pPr>
      <w:r w:rsidRPr="00734A50">
        <w:rPr>
          <w:lang w:eastAsia="en-AU"/>
        </w:rPr>
        <w:t>Education Ministers to agree</w:t>
      </w:r>
      <w:r w:rsidR="003C3F6D" w:rsidRPr="00734A50">
        <w:rPr>
          <w:lang w:eastAsia="en-AU"/>
        </w:rPr>
        <w:t xml:space="preserve"> to</w:t>
      </w:r>
      <w:r w:rsidRPr="00734A50">
        <w:rPr>
          <w:lang w:eastAsia="en-AU"/>
        </w:rPr>
        <w:t xml:space="preserve"> enter into suitable agreements, such as memorandums of understanding, that establish clear roles and responsibilities for the development of beginning teachers across all parties (</w:t>
      </w:r>
      <w:r w:rsidR="00A54E7E" w:rsidRPr="00734A50">
        <w:rPr>
          <w:lang w:eastAsia="en-AU"/>
        </w:rPr>
        <w:t>higher education</w:t>
      </w:r>
      <w:r w:rsidRPr="00734A50">
        <w:rPr>
          <w:lang w:eastAsia="en-AU"/>
        </w:rPr>
        <w:t xml:space="preserve"> providers, </w:t>
      </w:r>
      <w:r w:rsidR="0077696D" w:rsidRPr="00734A50">
        <w:rPr>
          <w:lang w:eastAsia="en-AU"/>
        </w:rPr>
        <w:t>T</w:t>
      </w:r>
      <w:r w:rsidR="00E176AB" w:rsidRPr="00734A50">
        <w:rPr>
          <w:lang w:eastAsia="en-AU"/>
        </w:rPr>
        <w:t xml:space="preserve">eacher </w:t>
      </w:r>
      <w:r w:rsidR="0077696D" w:rsidRPr="00734A50">
        <w:rPr>
          <w:lang w:eastAsia="en-AU"/>
        </w:rPr>
        <w:t>R</w:t>
      </w:r>
      <w:r w:rsidR="00E176AB" w:rsidRPr="00734A50">
        <w:rPr>
          <w:lang w:eastAsia="en-AU"/>
        </w:rPr>
        <w:t xml:space="preserve">egulatory </w:t>
      </w:r>
      <w:r w:rsidR="0077696D" w:rsidRPr="00734A50">
        <w:rPr>
          <w:lang w:eastAsia="en-AU"/>
        </w:rPr>
        <w:t>A</w:t>
      </w:r>
      <w:r w:rsidR="00E176AB" w:rsidRPr="00734A50">
        <w:rPr>
          <w:lang w:eastAsia="en-AU"/>
        </w:rPr>
        <w:t xml:space="preserve">uthorities </w:t>
      </w:r>
      <w:r w:rsidRPr="00734A50">
        <w:rPr>
          <w:lang w:eastAsia="en-AU"/>
        </w:rPr>
        <w:t xml:space="preserve">and </w:t>
      </w:r>
      <w:r w:rsidR="00582A3B" w:rsidRPr="00734A50">
        <w:rPr>
          <w:lang w:eastAsia="en-AU"/>
        </w:rPr>
        <w:t>teac</w:t>
      </w:r>
      <w:r w:rsidR="0072069A" w:rsidRPr="00734A50">
        <w:rPr>
          <w:lang w:eastAsia="en-AU"/>
        </w:rPr>
        <w:t xml:space="preserve">her </w:t>
      </w:r>
      <w:r w:rsidRPr="00734A50">
        <w:rPr>
          <w:lang w:eastAsia="en-AU"/>
        </w:rPr>
        <w:t>employers). Agreements would set expectations for practical experience placements</w:t>
      </w:r>
      <w:r w:rsidR="00DE337E" w:rsidRPr="00734A50">
        <w:rPr>
          <w:lang w:eastAsia="en-AU"/>
        </w:rPr>
        <w:t xml:space="preserve">, </w:t>
      </w:r>
      <w:r w:rsidRPr="00734A50">
        <w:rPr>
          <w:lang w:eastAsia="en-AU"/>
        </w:rPr>
        <w:t xml:space="preserve">put in place delivery models to ensure quality and </w:t>
      </w:r>
      <w:r w:rsidR="00AF6166" w:rsidRPr="00734A50">
        <w:rPr>
          <w:lang w:eastAsia="en-AU"/>
        </w:rPr>
        <w:t xml:space="preserve">make sure </w:t>
      </w:r>
      <w:r w:rsidRPr="00734A50">
        <w:rPr>
          <w:lang w:eastAsia="en-AU"/>
        </w:rPr>
        <w:t xml:space="preserve">beginning teachers </w:t>
      </w:r>
      <w:r w:rsidR="008A350C" w:rsidRPr="00734A50">
        <w:rPr>
          <w:lang w:eastAsia="en-AU"/>
        </w:rPr>
        <w:t xml:space="preserve">have the opportunity to </w:t>
      </w:r>
      <w:r w:rsidR="00CA27EC" w:rsidRPr="00734A50">
        <w:rPr>
          <w:lang w:eastAsia="en-AU"/>
        </w:rPr>
        <w:t>apply and practi</w:t>
      </w:r>
      <w:r w:rsidR="00E71A8B" w:rsidRPr="00734A50">
        <w:rPr>
          <w:lang w:eastAsia="en-AU"/>
        </w:rPr>
        <w:t>s</w:t>
      </w:r>
      <w:r w:rsidR="00CA27EC" w:rsidRPr="00734A50">
        <w:rPr>
          <w:lang w:eastAsia="en-AU"/>
        </w:rPr>
        <w:t>e</w:t>
      </w:r>
      <w:r w:rsidRPr="00734A50">
        <w:rPr>
          <w:lang w:eastAsia="en-AU"/>
        </w:rPr>
        <w:t xml:space="preserve"> core content</w:t>
      </w:r>
      <w:r w:rsidR="00CA27EC" w:rsidRPr="00734A50">
        <w:rPr>
          <w:lang w:eastAsia="en-AU"/>
        </w:rPr>
        <w:t xml:space="preserve"> whil</w:t>
      </w:r>
      <w:r w:rsidR="00AB2BA2" w:rsidRPr="00734A50">
        <w:rPr>
          <w:lang w:eastAsia="en-AU"/>
        </w:rPr>
        <w:t>e</w:t>
      </w:r>
      <w:r w:rsidR="00CA27EC" w:rsidRPr="00734A50">
        <w:rPr>
          <w:lang w:eastAsia="en-AU"/>
        </w:rPr>
        <w:t xml:space="preserve"> on placement</w:t>
      </w:r>
      <w:r w:rsidRPr="00734A50">
        <w:rPr>
          <w:lang w:eastAsia="en-AU"/>
        </w:rPr>
        <w:t xml:space="preserve">. </w:t>
      </w:r>
    </w:p>
    <w:p w14:paraId="4FABE6F9" w14:textId="2AC27BA0" w:rsidR="00D24649" w:rsidRPr="00734A50" w:rsidRDefault="00D24649" w:rsidP="00D24649">
      <w:pPr>
        <w:spacing w:after="0"/>
        <w:rPr>
          <w:lang w:eastAsia="en-AU"/>
        </w:rPr>
      </w:pPr>
    </w:p>
    <w:p w14:paraId="10C8CE07" w14:textId="7DC72DD7" w:rsidR="00D24649" w:rsidRPr="00734A50" w:rsidRDefault="00D24649" w:rsidP="00D24649">
      <w:pPr>
        <w:pStyle w:val="Recommendation2"/>
        <w:spacing w:after="0"/>
        <w:rPr>
          <w:b/>
        </w:rPr>
      </w:pPr>
      <w:r w:rsidRPr="00734A50">
        <w:rPr>
          <w:b/>
        </w:rPr>
        <w:t>Recommendation 9: Develop national guidelines for high-quality practical experience</w:t>
      </w:r>
    </w:p>
    <w:p w14:paraId="0294A7C8" w14:textId="195B85F4" w:rsidR="00A8711F" w:rsidRPr="00734A50" w:rsidRDefault="005557B3" w:rsidP="00A8711F">
      <w:pPr>
        <w:pStyle w:val="Recommendation2"/>
        <w:spacing w:after="0"/>
      </w:pPr>
      <w:r w:rsidRPr="00734A50">
        <w:rPr>
          <w:rFonts w:eastAsia="Times New Roman"/>
        </w:rPr>
        <w:t xml:space="preserve">The Australian Institute for Teaching and School Leadership (AITSL) </w:t>
      </w:r>
      <w:r w:rsidR="00D24649" w:rsidRPr="00734A50">
        <w:t>to develop</w:t>
      </w:r>
      <w:r w:rsidR="00865B70" w:rsidRPr="00734A50">
        <w:t>,</w:t>
      </w:r>
      <w:r w:rsidR="00D24649" w:rsidRPr="00734A50">
        <w:t xml:space="preserve"> </w:t>
      </w:r>
      <w:r w:rsidR="008D374D" w:rsidRPr="00734A50">
        <w:t>a</w:t>
      </w:r>
      <w:r w:rsidR="0048373F" w:rsidRPr="00734A50">
        <w:t>n</w:t>
      </w:r>
      <w:r w:rsidR="00025CB2" w:rsidRPr="00734A50">
        <w:t>d</w:t>
      </w:r>
      <w:r w:rsidR="0048373F" w:rsidRPr="00734A50">
        <w:t xml:space="preserve"> </w:t>
      </w:r>
      <w:r w:rsidR="00025CB2" w:rsidRPr="00734A50">
        <w:t xml:space="preserve">the </w:t>
      </w:r>
      <w:r w:rsidR="009D68A5" w:rsidRPr="00734A50">
        <w:rPr>
          <w:lang w:eastAsia="en-AU"/>
        </w:rPr>
        <w:t>initial teacher education</w:t>
      </w:r>
      <w:r w:rsidR="009311A8" w:rsidRPr="00734A50">
        <w:rPr>
          <w:lang w:eastAsia="en-AU"/>
        </w:rPr>
        <w:t xml:space="preserve"> </w:t>
      </w:r>
      <w:r w:rsidR="00355E6E" w:rsidRPr="00734A50">
        <w:rPr>
          <w:lang w:eastAsia="en-AU"/>
        </w:rPr>
        <w:t>(ITE)</w:t>
      </w:r>
      <w:r w:rsidR="009311A8" w:rsidRPr="00734A50">
        <w:t xml:space="preserve"> quality assurance</w:t>
      </w:r>
      <w:r w:rsidR="00025CB2" w:rsidRPr="00734A50">
        <w:t xml:space="preserve"> </w:t>
      </w:r>
      <w:r w:rsidR="007C6AAD" w:rsidRPr="00734A50">
        <w:t>b</w:t>
      </w:r>
      <w:r w:rsidR="00C86A38" w:rsidRPr="00734A50">
        <w:t xml:space="preserve">oard </w:t>
      </w:r>
      <w:r w:rsidR="0048373F" w:rsidRPr="00734A50">
        <w:t>to endorse</w:t>
      </w:r>
      <w:r w:rsidR="00865B70" w:rsidRPr="00734A50">
        <w:t>,</w:t>
      </w:r>
      <w:r w:rsidR="0048373F" w:rsidRPr="00734A50">
        <w:t xml:space="preserve"> </w:t>
      </w:r>
      <w:r w:rsidR="00D24649" w:rsidRPr="00734A50">
        <w:t>national guidelines for consistent high-quality practical experience, including</w:t>
      </w:r>
      <w:r w:rsidR="0072069A" w:rsidRPr="00734A50">
        <w:t xml:space="preserve"> information on</w:t>
      </w:r>
      <w:r w:rsidR="00D24649" w:rsidRPr="00734A50">
        <w:t>:</w:t>
      </w:r>
    </w:p>
    <w:p w14:paraId="1BF550D7" w14:textId="672EAC6B" w:rsidR="00A8711F" w:rsidRPr="00734A50" w:rsidRDefault="00D24649" w:rsidP="00BB714D">
      <w:pPr>
        <w:pStyle w:val="Recommendation2"/>
        <w:numPr>
          <w:ilvl w:val="0"/>
          <w:numId w:val="66"/>
        </w:numPr>
        <w:spacing w:after="0"/>
        <w:rPr>
          <w:szCs w:val="22"/>
        </w:rPr>
      </w:pPr>
      <w:r w:rsidRPr="00734A50">
        <w:t>what formal partnerships should include</w:t>
      </w:r>
    </w:p>
    <w:p w14:paraId="2D2B0FE4" w14:textId="76C82C98" w:rsidR="00A8711F" w:rsidRPr="00734A50" w:rsidRDefault="00D24649" w:rsidP="00BB714D">
      <w:pPr>
        <w:pStyle w:val="Recommendation2"/>
        <w:numPr>
          <w:ilvl w:val="0"/>
          <w:numId w:val="66"/>
        </w:numPr>
        <w:spacing w:after="0"/>
        <w:rPr>
          <w:szCs w:val="22"/>
        </w:rPr>
      </w:pPr>
      <w:r w:rsidRPr="00734A50">
        <w:t>design and delivery features of practical experience to ensure it is aligned with evidence</w:t>
      </w:r>
    </w:p>
    <w:p w14:paraId="680D68C1" w14:textId="77777777" w:rsidR="00A8711F" w:rsidRPr="00734A50" w:rsidRDefault="00D24649" w:rsidP="00BB714D">
      <w:pPr>
        <w:pStyle w:val="Recommendation2"/>
        <w:numPr>
          <w:ilvl w:val="0"/>
          <w:numId w:val="66"/>
        </w:numPr>
        <w:spacing w:after="0"/>
        <w:rPr>
          <w:szCs w:val="22"/>
        </w:rPr>
      </w:pPr>
      <w:r w:rsidRPr="00734A50">
        <w:t>mechanisms for communication between higher education providers, schools and students</w:t>
      </w:r>
    </w:p>
    <w:p w14:paraId="6578A687" w14:textId="10050440" w:rsidR="00A8711F" w:rsidRPr="00734A50" w:rsidRDefault="00D24649" w:rsidP="00BB714D">
      <w:pPr>
        <w:pStyle w:val="Recommendation2"/>
        <w:numPr>
          <w:ilvl w:val="0"/>
          <w:numId w:val="66"/>
        </w:numPr>
        <w:spacing w:after="0"/>
      </w:pPr>
      <w:r w:rsidRPr="00734A50">
        <w:lastRenderedPageBreak/>
        <w:t>support</w:t>
      </w:r>
      <w:r w:rsidR="0072069A" w:rsidRPr="00734A50">
        <w:t>ing</w:t>
      </w:r>
      <w:r w:rsidRPr="00734A50">
        <w:t xml:space="preserve"> high-quality assessment of</w:t>
      </w:r>
      <w:r w:rsidR="009D68A5" w:rsidRPr="00734A50">
        <w:rPr>
          <w:lang w:eastAsia="en-AU"/>
        </w:rPr>
        <w:t xml:space="preserve"> </w:t>
      </w:r>
      <w:r w:rsidR="0072069A" w:rsidRPr="00734A50">
        <w:t xml:space="preserve">ITE </w:t>
      </w:r>
      <w:r w:rsidRPr="00734A50">
        <w:t>students against the Graduate Teacher Standards</w:t>
      </w:r>
      <w:r w:rsidR="00991854" w:rsidRPr="00734A50">
        <w:t xml:space="preserve"> and the core content, including the provision of </w:t>
      </w:r>
      <w:r w:rsidR="00741663" w:rsidRPr="00734A50">
        <w:t>standardised reporting templates</w:t>
      </w:r>
    </w:p>
    <w:p w14:paraId="609970E4" w14:textId="059D51AF" w:rsidR="00D24649" w:rsidRPr="00734A50" w:rsidRDefault="00D24649" w:rsidP="00BB714D">
      <w:pPr>
        <w:pStyle w:val="Recommendation2"/>
        <w:numPr>
          <w:ilvl w:val="0"/>
          <w:numId w:val="66"/>
        </w:numPr>
        <w:spacing w:after="0"/>
      </w:pPr>
      <w:r w:rsidRPr="00734A50">
        <w:t>mentoring</w:t>
      </w:r>
      <w:r w:rsidR="009D68A5" w:rsidRPr="00734A50">
        <w:rPr>
          <w:lang w:eastAsia="en-AU"/>
        </w:rPr>
        <w:t xml:space="preserve"> </w:t>
      </w:r>
      <w:r w:rsidR="0072069A" w:rsidRPr="00734A50">
        <w:rPr>
          <w:lang w:eastAsia="en-AU"/>
        </w:rPr>
        <w:t>ITE</w:t>
      </w:r>
      <w:r w:rsidRPr="00734A50">
        <w:t xml:space="preserve"> students as part of AITSL’s development of national mentoring standards for early career teachers</w:t>
      </w:r>
      <w:r w:rsidR="00741663" w:rsidRPr="00734A50">
        <w:t xml:space="preserve">, with a focus on mentors </w:t>
      </w:r>
      <w:r w:rsidR="007C59EF" w:rsidRPr="00734A50">
        <w:t>being</w:t>
      </w:r>
      <w:r w:rsidR="00741663" w:rsidRPr="00734A50">
        <w:t xml:space="preserve"> able to coach on the core content</w:t>
      </w:r>
      <w:r w:rsidRPr="00734A50">
        <w:t>.</w:t>
      </w:r>
    </w:p>
    <w:p w14:paraId="34269AD2" w14:textId="6CE42494" w:rsidR="00DA4F6D" w:rsidRPr="00734A50" w:rsidRDefault="00DA4F6D" w:rsidP="6DDCDED7">
      <w:pPr>
        <w:spacing w:after="0"/>
      </w:pPr>
    </w:p>
    <w:p w14:paraId="502B5DF3" w14:textId="6912D3FA" w:rsidR="00D24649" w:rsidRPr="00734A50" w:rsidRDefault="00D24649" w:rsidP="6DDCDED7">
      <w:pPr>
        <w:pStyle w:val="Recommendation2"/>
        <w:keepNext/>
        <w:spacing w:after="0"/>
        <w:rPr>
          <w:rFonts w:ascii="Calibri" w:eastAsia="Calibri" w:hAnsi="Calibri" w:cs="Calibri"/>
          <w:b/>
          <w:bCs/>
        </w:rPr>
      </w:pPr>
      <w:r w:rsidRPr="00734A50">
        <w:rPr>
          <w:b/>
          <w:bCs/>
        </w:rPr>
        <w:t xml:space="preserve">Recommendation 10: </w:t>
      </w:r>
      <w:r w:rsidR="009D2D0F" w:rsidRPr="00734A50">
        <w:rPr>
          <w:b/>
          <w:bCs/>
        </w:rPr>
        <w:t xml:space="preserve">Increase </w:t>
      </w:r>
      <w:r w:rsidR="009D2D0F" w:rsidRPr="00734A50">
        <w:rPr>
          <w:rFonts w:ascii="Calibri" w:eastAsia="Calibri" w:hAnsi="Calibri" w:cs="Calibri"/>
          <w:b/>
          <w:bCs/>
        </w:rPr>
        <w:t>s</w:t>
      </w:r>
      <w:r w:rsidRPr="00734A50">
        <w:rPr>
          <w:rFonts w:ascii="Calibri" w:eastAsia="Calibri" w:hAnsi="Calibri" w:cs="Calibri"/>
          <w:b/>
          <w:bCs/>
        </w:rPr>
        <w:t>ystemic investment in practical experience</w:t>
      </w:r>
    </w:p>
    <w:p w14:paraId="09144936" w14:textId="5817D704" w:rsidR="00D24649" w:rsidRPr="00734A50" w:rsidRDefault="00B43774" w:rsidP="00B43774">
      <w:pPr>
        <w:pStyle w:val="Recommendation2"/>
        <w:spacing w:after="0"/>
        <w:rPr>
          <w:rFonts w:ascii="Calibri" w:eastAsia="Calibri" w:hAnsi="Calibri" w:cs="Calibri"/>
          <w:b/>
          <w:szCs w:val="22"/>
        </w:rPr>
      </w:pPr>
      <w:r w:rsidRPr="00734A50">
        <w:rPr>
          <w:rFonts w:ascii="Calibri" w:eastAsia="Calibri" w:hAnsi="Calibri" w:cs="Calibri"/>
        </w:rPr>
        <w:t>Education Ministers to consider how to increase systemic support for and investment in practical experience to improve student outcomes and attract, develop and retain beginning teachers</w:t>
      </w:r>
      <w:r w:rsidR="004E385E" w:rsidRPr="00734A50">
        <w:rPr>
          <w:rFonts w:ascii="Calibri" w:eastAsia="Calibri" w:hAnsi="Calibri" w:cs="Calibri"/>
        </w:rPr>
        <w:t>.</w:t>
      </w:r>
    </w:p>
    <w:p w14:paraId="25C6BDEF" w14:textId="77777777" w:rsidR="00B43774" w:rsidRPr="00734A50" w:rsidRDefault="00B43774" w:rsidP="00B43774">
      <w:pPr>
        <w:spacing w:after="0"/>
      </w:pPr>
    </w:p>
    <w:p w14:paraId="6A4957BC" w14:textId="239A4870" w:rsidR="00D24649" w:rsidRPr="00734A50" w:rsidRDefault="00D24649" w:rsidP="00D24649">
      <w:pPr>
        <w:pStyle w:val="Recommendation2"/>
        <w:spacing w:after="0"/>
        <w:rPr>
          <w:b/>
          <w:bCs/>
        </w:rPr>
      </w:pPr>
      <w:r w:rsidRPr="00734A50">
        <w:rPr>
          <w:b/>
          <w:bCs/>
        </w:rPr>
        <w:t xml:space="preserve">Recommendation 11: </w:t>
      </w:r>
      <w:r w:rsidR="009D2D0F" w:rsidRPr="00734A50">
        <w:rPr>
          <w:b/>
          <w:bCs/>
        </w:rPr>
        <w:t>Ensure p</w:t>
      </w:r>
      <w:r w:rsidRPr="00734A50">
        <w:rPr>
          <w:b/>
          <w:bCs/>
        </w:rPr>
        <w:t>rofessional recognition for mentor</w:t>
      </w:r>
      <w:r w:rsidR="00621951" w:rsidRPr="00734A50">
        <w:rPr>
          <w:b/>
          <w:bCs/>
        </w:rPr>
        <w:t xml:space="preserve"> teacher</w:t>
      </w:r>
      <w:r w:rsidRPr="00734A50">
        <w:rPr>
          <w:b/>
          <w:bCs/>
        </w:rPr>
        <w:t>s</w:t>
      </w:r>
    </w:p>
    <w:p w14:paraId="1AB7AD34" w14:textId="5AA2176B" w:rsidR="007A584C" w:rsidRPr="00734A50" w:rsidRDefault="00E71A8B" w:rsidP="007A584C">
      <w:pPr>
        <w:pStyle w:val="Recommendation2"/>
        <w:spacing w:after="0"/>
      </w:pPr>
      <w:r w:rsidRPr="00734A50">
        <w:t>Education</w:t>
      </w:r>
      <w:r w:rsidR="00D24649" w:rsidRPr="00734A50">
        <w:t xml:space="preserve"> Ministers </w:t>
      </w:r>
      <w:r w:rsidR="009D2D0F" w:rsidRPr="00734A50">
        <w:t>t</w:t>
      </w:r>
      <w:r w:rsidR="00D24649" w:rsidRPr="00734A50">
        <w:t>o agree to pursue professional recognition of mentor</w:t>
      </w:r>
      <w:r w:rsidR="00621951" w:rsidRPr="00734A50">
        <w:t xml:space="preserve"> teacher</w:t>
      </w:r>
      <w:r w:rsidR="00D24649" w:rsidRPr="00734A50">
        <w:t>s by:</w:t>
      </w:r>
    </w:p>
    <w:p w14:paraId="137C5891" w14:textId="70D5C103" w:rsidR="007A584C" w:rsidRPr="00734A50" w:rsidRDefault="006619EF" w:rsidP="00BB714D">
      <w:pPr>
        <w:pStyle w:val="Recommendation2"/>
        <w:numPr>
          <w:ilvl w:val="0"/>
          <w:numId w:val="67"/>
        </w:numPr>
        <w:spacing w:after="0"/>
      </w:pPr>
      <w:r w:rsidRPr="00734A50">
        <w:t>c</w:t>
      </w:r>
      <w:r w:rsidR="00D24649" w:rsidRPr="00734A50">
        <w:t xml:space="preserve">ounting part of the </w:t>
      </w:r>
      <w:bookmarkStart w:id="36" w:name="_Int_xvfBSaun"/>
      <w:r w:rsidR="00D24649" w:rsidRPr="00734A50">
        <w:t>hours</w:t>
      </w:r>
      <w:bookmarkEnd w:id="36"/>
      <w:r w:rsidR="00D24649" w:rsidRPr="00734A50">
        <w:t xml:space="preserve"> mentor</w:t>
      </w:r>
      <w:r w:rsidR="00621951" w:rsidRPr="00734A50">
        <w:t xml:space="preserve"> teacher</w:t>
      </w:r>
      <w:r w:rsidR="00D24649" w:rsidRPr="00734A50">
        <w:t>s spend supervising practical experience placements toward their professional learning requirements for obtaining and maintaining teacher registration</w:t>
      </w:r>
    </w:p>
    <w:p w14:paraId="245E80C1" w14:textId="6C59E560" w:rsidR="00D24649" w:rsidRPr="00734A50" w:rsidRDefault="00EE3DD4" w:rsidP="00BB714D">
      <w:pPr>
        <w:pStyle w:val="Recommendation2"/>
        <w:numPr>
          <w:ilvl w:val="0"/>
          <w:numId w:val="67"/>
        </w:numPr>
        <w:spacing w:after="0"/>
      </w:pPr>
      <w:r w:rsidRPr="00734A50">
        <w:t>requiring</w:t>
      </w:r>
      <w:r w:rsidR="00D24649" w:rsidRPr="00734A50">
        <w:t xml:space="preserve"> the experience of mentoring </w:t>
      </w:r>
      <w:r w:rsidR="00B521BB" w:rsidRPr="00734A50">
        <w:rPr>
          <w:lang w:eastAsia="en-AU"/>
        </w:rPr>
        <w:t>initial teacher education</w:t>
      </w:r>
      <w:r w:rsidR="00D24649" w:rsidRPr="00734A50">
        <w:t xml:space="preserve"> students as evidence for High</w:t>
      </w:r>
      <w:r w:rsidR="00F9338E">
        <w:t xml:space="preserve">ly Accomplished </w:t>
      </w:r>
      <w:r w:rsidR="00D24649" w:rsidRPr="00734A50">
        <w:t>and Lead Teacher</w:t>
      </w:r>
      <w:r w:rsidR="007E3DED">
        <w:t>s</w:t>
      </w:r>
      <w:r w:rsidR="00D24649" w:rsidRPr="00734A50">
        <w:t xml:space="preserve"> </w:t>
      </w:r>
      <w:r w:rsidR="00E97E56" w:rsidRPr="00734A50">
        <w:t>or equivalent</w:t>
      </w:r>
      <w:r w:rsidR="00D24649" w:rsidRPr="00734A50">
        <w:t xml:space="preserve"> </w:t>
      </w:r>
      <w:r w:rsidR="00A12EAB" w:rsidRPr="00734A50">
        <w:t>certification</w:t>
      </w:r>
      <w:r w:rsidR="00A54EEC" w:rsidRPr="00734A50">
        <w:t>.</w:t>
      </w:r>
    </w:p>
    <w:p w14:paraId="5D3DAE09" w14:textId="77777777" w:rsidR="00043284" w:rsidRPr="00734A50" w:rsidRDefault="00043284" w:rsidP="00D24649">
      <w:pPr>
        <w:spacing w:after="0"/>
        <w:rPr>
          <w:b/>
          <w:bCs/>
        </w:rPr>
      </w:pPr>
    </w:p>
    <w:p w14:paraId="1751132D" w14:textId="6E156905" w:rsidR="00043284" w:rsidRPr="00734A50" w:rsidRDefault="00043284" w:rsidP="00043284">
      <w:pPr>
        <w:pStyle w:val="Recommendation2"/>
        <w:spacing w:after="0"/>
        <w:rPr>
          <w:rFonts w:ascii="Calibri" w:hAnsi="Calibri" w:cs="Calibri"/>
          <w:b/>
          <w:bCs/>
          <w:szCs w:val="22"/>
        </w:rPr>
      </w:pPr>
      <w:r w:rsidRPr="00734A50">
        <w:rPr>
          <w:b/>
          <w:bCs/>
        </w:rPr>
        <w:t>Recommendation 12:</w:t>
      </w:r>
      <w:r w:rsidR="00A11B56" w:rsidRPr="00734A50">
        <w:rPr>
          <w:b/>
          <w:bCs/>
        </w:rPr>
        <w:t xml:space="preserve"> </w:t>
      </w:r>
      <w:r w:rsidR="00841C2F" w:rsidRPr="00734A50">
        <w:rPr>
          <w:b/>
          <w:bCs/>
        </w:rPr>
        <w:t xml:space="preserve">Develop and </w:t>
      </w:r>
      <w:r w:rsidR="00527D6C" w:rsidRPr="00734A50">
        <w:rPr>
          <w:b/>
          <w:bCs/>
        </w:rPr>
        <w:t>expand</w:t>
      </w:r>
      <w:r w:rsidRPr="00734A50">
        <w:rPr>
          <w:b/>
          <w:bCs/>
        </w:rPr>
        <w:t xml:space="preserve"> mid-career </w:t>
      </w:r>
      <w:r w:rsidR="00E23511" w:rsidRPr="00734A50">
        <w:rPr>
          <w:b/>
          <w:bCs/>
        </w:rPr>
        <w:t>pathway programs</w:t>
      </w:r>
      <w:r w:rsidR="00E95F6C" w:rsidRPr="00734A50">
        <w:rPr>
          <w:b/>
          <w:bCs/>
        </w:rPr>
        <w:t xml:space="preserve"> </w:t>
      </w:r>
    </w:p>
    <w:p w14:paraId="20923BCF" w14:textId="77777777" w:rsidR="00E23511" w:rsidRPr="00734A50" w:rsidRDefault="00E23511" w:rsidP="00E23511">
      <w:pPr>
        <w:pStyle w:val="Recommendation2"/>
        <w:spacing w:after="0"/>
      </w:pPr>
      <w:r w:rsidRPr="00734A50">
        <w:t>Education Ministers to work with higher education providers to develop and scale high-quality mid-career programs, such as employment-based and accelerated pathways, using the flexibility within existing regulatory arrangements. This includes using:</w:t>
      </w:r>
    </w:p>
    <w:p w14:paraId="587FB9A4" w14:textId="3271077E" w:rsidR="0040654E" w:rsidRPr="00734A50" w:rsidRDefault="005137EC" w:rsidP="0040654E">
      <w:pPr>
        <w:pStyle w:val="Recommendation2"/>
        <w:numPr>
          <w:ilvl w:val="0"/>
          <w:numId w:val="67"/>
        </w:numPr>
        <w:spacing w:after="0"/>
      </w:pPr>
      <w:r w:rsidRPr="00734A50">
        <w:t xml:space="preserve">alternative authorisation </w:t>
      </w:r>
      <w:r w:rsidR="0040654E" w:rsidRPr="00734A50">
        <w:t>to teach mechanisms (e.g. permission to teach and conditional accreditation) to support paid employment</w:t>
      </w:r>
    </w:p>
    <w:p w14:paraId="250D3A09" w14:textId="14BFA4BE" w:rsidR="00E23511" w:rsidRPr="00734A50" w:rsidRDefault="00E23511" w:rsidP="00E23511">
      <w:pPr>
        <w:pStyle w:val="Recommendation2"/>
        <w:numPr>
          <w:ilvl w:val="0"/>
          <w:numId w:val="67"/>
        </w:numPr>
        <w:spacing w:after="0"/>
      </w:pPr>
      <w:r w:rsidRPr="00734A50">
        <w:t xml:space="preserve">system-level agreements between jurisdictions and higher education providers (Recommendation 10) to provide a framework for delivering employment pathways and identifying schools willing to employ </w:t>
      </w:r>
      <w:r w:rsidR="00B521BB" w:rsidRPr="00734A50">
        <w:rPr>
          <w:lang w:eastAsia="en-AU"/>
        </w:rPr>
        <w:t>initial teacher education</w:t>
      </w:r>
      <w:r w:rsidRPr="00734A50">
        <w:t xml:space="preserve"> students</w:t>
      </w:r>
      <w:r w:rsidR="007D372C" w:rsidRPr="00734A50">
        <w:t>.</w:t>
      </w:r>
    </w:p>
    <w:p w14:paraId="503F541B" w14:textId="77777777" w:rsidR="0042142B" w:rsidRPr="00734A50" w:rsidRDefault="0042142B" w:rsidP="00D24649">
      <w:pPr>
        <w:spacing w:after="0"/>
        <w:rPr>
          <w:b/>
          <w:bCs/>
        </w:rPr>
      </w:pPr>
    </w:p>
    <w:p w14:paraId="5C294054" w14:textId="43711584" w:rsidR="00D24649" w:rsidRPr="00734A50" w:rsidRDefault="00D24649" w:rsidP="00D24649">
      <w:pPr>
        <w:pStyle w:val="Recommendation2"/>
        <w:spacing w:after="0"/>
        <w:rPr>
          <w:b/>
          <w:bCs/>
        </w:rPr>
      </w:pPr>
      <w:r w:rsidRPr="00734A50">
        <w:rPr>
          <w:b/>
          <w:bCs/>
        </w:rPr>
        <w:t>Recommendation 13: Promote mid-career pathways</w:t>
      </w:r>
    </w:p>
    <w:p w14:paraId="3595CDCD" w14:textId="0CF2D068" w:rsidR="00D24649" w:rsidRPr="00734A50" w:rsidRDefault="009454D6" w:rsidP="00D24649">
      <w:pPr>
        <w:pStyle w:val="Recommendation2"/>
        <w:spacing w:after="0"/>
        <w:rPr>
          <w:szCs w:val="22"/>
        </w:rPr>
      </w:pPr>
      <w:r w:rsidRPr="00734A50">
        <w:rPr>
          <w:szCs w:val="22"/>
        </w:rPr>
        <w:t>Higher education providers</w:t>
      </w:r>
      <w:r w:rsidR="00D24649" w:rsidRPr="00734A50">
        <w:rPr>
          <w:szCs w:val="22"/>
        </w:rPr>
        <w:t xml:space="preserve"> to better promote mid-career pathways and available support</w:t>
      </w:r>
      <w:r w:rsidR="00345380" w:rsidRPr="00734A50">
        <w:rPr>
          <w:szCs w:val="22"/>
        </w:rPr>
        <w:t>s</w:t>
      </w:r>
      <w:r w:rsidR="00D24649" w:rsidRPr="00734A50">
        <w:rPr>
          <w:szCs w:val="22"/>
        </w:rPr>
        <w:t xml:space="preserve"> to prospective </w:t>
      </w:r>
      <w:r w:rsidR="00170DCD" w:rsidRPr="00734A50">
        <w:rPr>
          <w:szCs w:val="22"/>
        </w:rPr>
        <w:t>initial teacher education</w:t>
      </w:r>
      <w:r w:rsidR="00593CE6" w:rsidRPr="00734A50">
        <w:rPr>
          <w:szCs w:val="22"/>
        </w:rPr>
        <w:t xml:space="preserve"> </w:t>
      </w:r>
      <w:r w:rsidR="00D24649" w:rsidRPr="00734A50">
        <w:rPr>
          <w:szCs w:val="22"/>
        </w:rPr>
        <w:t>students, including promotion of flexible</w:t>
      </w:r>
      <w:r w:rsidR="006509E7" w:rsidRPr="00734A50">
        <w:rPr>
          <w:szCs w:val="22"/>
        </w:rPr>
        <w:t xml:space="preserve"> study options and</w:t>
      </w:r>
      <w:r w:rsidR="002922E9" w:rsidRPr="00734A50">
        <w:rPr>
          <w:szCs w:val="22"/>
        </w:rPr>
        <w:t xml:space="preserve"> employment and</w:t>
      </w:r>
      <w:r w:rsidR="0064734E" w:rsidRPr="00734A50">
        <w:rPr>
          <w:szCs w:val="22"/>
        </w:rPr>
        <w:t xml:space="preserve"> </w:t>
      </w:r>
      <w:r w:rsidR="00D31F32" w:rsidRPr="00734A50">
        <w:rPr>
          <w:szCs w:val="22"/>
        </w:rPr>
        <w:t xml:space="preserve">accelerated </w:t>
      </w:r>
      <w:r w:rsidR="00D24649" w:rsidRPr="00734A50">
        <w:rPr>
          <w:szCs w:val="22"/>
        </w:rPr>
        <w:t>pathways.</w:t>
      </w:r>
    </w:p>
    <w:p w14:paraId="3D9C388D" w14:textId="77777777" w:rsidR="002F31A2" w:rsidRPr="00734A50" w:rsidRDefault="002F31A2">
      <w:pPr>
        <w:spacing w:after="160" w:line="259" w:lineRule="auto"/>
      </w:pPr>
    </w:p>
    <w:p w14:paraId="2D323DDC" w14:textId="7FFD9256" w:rsidR="002F31A2" w:rsidRPr="00734A50" w:rsidRDefault="002F31A2" w:rsidP="002F31A2">
      <w:pPr>
        <w:pStyle w:val="Recommendation2"/>
        <w:spacing w:after="0"/>
        <w:rPr>
          <w:b/>
          <w:bCs/>
        </w:rPr>
      </w:pPr>
      <w:r w:rsidRPr="00734A50">
        <w:rPr>
          <w:b/>
          <w:bCs/>
        </w:rPr>
        <w:t>Recommendation 14: Build the evidence</w:t>
      </w:r>
      <w:r w:rsidR="003202B0" w:rsidRPr="00734A50">
        <w:rPr>
          <w:b/>
          <w:bCs/>
        </w:rPr>
        <w:t xml:space="preserve"> </w:t>
      </w:r>
      <w:r w:rsidRPr="00734A50">
        <w:rPr>
          <w:b/>
          <w:bCs/>
        </w:rPr>
        <w:t>base for mid-career programs</w:t>
      </w:r>
    </w:p>
    <w:p w14:paraId="7B7BE315" w14:textId="6DD2D28D" w:rsidR="002F31A2" w:rsidRPr="00734A50" w:rsidRDefault="002F31A2" w:rsidP="002F31A2">
      <w:pPr>
        <w:pStyle w:val="Recommendation2"/>
        <w:spacing w:after="0"/>
        <w:rPr>
          <w:rFonts w:ascii="Calibri" w:eastAsia="Calibri" w:hAnsi="Calibri" w:cs="Calibri"/>
        </w:rPr>
      </w:pPr>
      <w:r w:rsidRPr="00734A50">
        <w:t xml:space="preserve">Education Ministers to agree to </w:t>
      </w:r>
      <w:r w:rsidR="00A75562" w:rsidRPr="00734A50">
        <w:t xml:space="preserve">build </w:t>
      </w:r>
      <w:r w:rsidRPr="00734A50">
        <w:t xml:space="preserve">the evidence base to support design and delivery of effective mid-career programs. This </w:t>
      </w:r>
      <w:r w:rsidR="002D4640" w:rsidRPr="00734A50">
        <w:t>would</w:t>
      </w:r>
      <w:r w:rsidRPr="00734A50">
        <w:t xml:space="preserve"> be achieved by </w:t>
      </w:r>
      <w:r w:rsidR="00870DB7" w:rsidRPr="00734A50">
        <w:t xml:space="preserve">consistently </w:t>
      </w:r>
      <w:r w:rsidRPr="00734A50">
        <w:t>collecting</w:t>
      </w:r>
      <w:r w:rsidR="00870DB7" w:rsidRPr="00734A50">
        <w:t>,</w:t>
      </w:r>
      <w:r w:rsidRPr="00734A50">
        <w:t xml:space="preserve"> </w:t>
      </w:r>
      <w:r w:rsidR="00CC4EC1" w:rsidRPr="00734A50">
        <w:t>evaluating and sharing</w:t>
      </w:r>
      <w:r w:rsidRPr="00734A50">
        <w:t xml:space="preserve"> data</w:t>
      </w:r>
      <w:r w:rsidR="00CC4EC1" w:rsidRPr="00734A50">
        <w:t xml:space="preserve"> on mid-career programs</w:t>
      </w:r>
      <w:r w:rsidRPr="00734A50">
        <w:rPr>
          <w:rFonts w:ascii="Calibri" w:eastAsia="Calibri" w:hAnsi="Calibri" w:cs="Calibri"/>
        </w:rPr>
        <w:t xml:space="preserve">. </w:t>
      </w:r>
    </w:p>
    <w:p w14:paraId="21FFE259" w14:textId="316CFFC0" w:rsidR="00A23B07" w:rsidRPr="00734A50" w:rsidRDefault="00A23B07">
      <w:pPr>
        <w:spacing w:after="160" w:line="259" w:lineRule="auto"/>
        <w:rPr>
          <w:rFonts w:asciiTheme="majorHAnsi" w:eastAsiaTheme="majorEastAsia" w:hAnsiTheme="majorHAnsi" w:cstheme="majorBidi"/>
          <w:b/>
          <w:color w:val="002C3E" w:themeColor="background2"/>
          <w:sz w:val="44"/>
          <w:szCs w:val="32"/>
        </w:rPr>
      </w:pPr>
      <w:r w:rsidRPr="00734A50">
        <w:br w:type="page"/>
      </w:r>
    </w:p>
    <w:p w14:paraId="39D5AF0E" w14:textId="61EC771E" w:rsidR="00B707E9" w:rsidRPr="00734A50" w:rsidRDefault="00B707E9" w:rsidP="0012041E">
      <w:pPr>
        <w:pStyle w:val="Heading1"/>
      </w:pPr>
      <w:bookmarkStart w:id="37" w:name="_Toc139366624"/>
      <w:r w:rsidRPr="00734A50">
        <w:lastRenderedPageBreak/>
        <w:t>Introduction</w:t>
      </w:r>
      <w:bookmarkEnd w:id="0"/>
      <w:bookmarkEnd w:id="1"/>
      <w:bookmarkEnd w:id="2"/>
      <w:bookmarkEnd w:id="37"/>
    </w:p>
    <w:p w14:paraId="3627C242" w14:textId="77259A4E" w:rsidR="00ED1166" w:rsidRPr="00734A50" w:rsidRDefault="00D22384" w:rsidP="00AE4F6C">
      <w:pPr>
        <w:rPr>
          <w:shd w:val="clear" w:color="auto" w:fill="FFFFFF"/>
        </w:rPr>
      </w:pPr>
      <w:r w:rsidRPr="00734A50">
        <w:rPr>
          <w:shd w:val="clear" w:color="auto" w:fill="FFFFFF"/>
        </w:rPr>
        <w:t>On 12 August 2022, Australia’s Education Ministers met with teachers, principals and other education experts to discuss the teacher shortage in Australia. One of the key issues raised at th</w:t>
      </w:r>
      <w:r w:rsidR="00A90792" w:rsidRPr="00734A50">
        <w:rPr>
          <w:shd w:val="clear" w:color="auto" w:fill="FFFFFF"/>
        </w:rPr>
        <w:t>is</w:t>
      </w:r>
      <w:r w:rsidRPr="00734A50">
        <w:rPr>
          <w:shd w:val="clear" w:color="auto" w:fill="FFFFFF"/>
        </w:rPr>
        <w:t xml:space="preserve"> Teacher Workforce Shortage Roundtable was the need to improve </w:t>
      </w:r>
      <w:r w:rsidR="00B521BB" w:rsidRPr="00734A50">
        <w:rPr>
          <w:lang w:eastAsia="en-AU"/>
        </w:rPr>
        <w:t>initial teacher education</w:t>
      </w:r>
      <w:r w:rsidR="00B521BB" w:rsidRPr="00734A50">
        <w:rPr>
          <w:shd w:val="clear" w:color="auto" w:fill="FFFFFF"/>
        </w:rPr>
        <w:t xml:space="preserve"> (</w:t>
      </w:r>
      <w:r w:rsidRPr="00734A50">
        <w:rPr>
          <w:shd w:val="clear" w:color="auto" w:fill="FFFFFF"/>
        </w:rPr>
        <w:t>ITE</w:t>
      </w:r>
      <w:r w:rsidR="00B521BB" w:rsidRPr="00734A50">
        <w:rPr>
          <w:shd w:val="clear" w:color="auto" w:fill="FFFFFF"/>
        </w:rPr>
        <w:t>)</w:t>
      </w:r>
      <w:r w:rsidR="00E70E6A" w:rsidRPr="00734A50">
        <w:rPr>
          <w:shd w:val="clear" w:color="auto" w:fill="FFFFFF"/>
        </w:rPr>
        <w:t xml:space="preserve"> to boo</w:t>
      </w:r>
      <w:r w:rsidR="001331DA" w:rsidRPr="00734A50">
        <w:rPr>
          <w:shd w:val="clear" w:color="auto" w:fill="FFFFFF"/>
        </w:rPr>
        <w:t xml:space="preserve">st graduation rates and </w:t>
      </w:r>
      <w:r w:rsidR="00ED1166" w:rsidRPr="00734A50">
        <w:rPr>
          <w:shd w:val="clear" w:color="auto" w:fill="FFFFFF"/>
        </w:rPr>
        <w:t xml:space="preserve">ensure graduating teachers are better prepared </w:t>
      </w:r>
      <w:r w:rsidR="45A83C41" w:rsidRPr="00734A50">
        <w:rPr>
          <w:shd w:val="clear" w:color="auto" w:fill="FFFFFF"/>
        </w:rPr>
        <w:t>to begin teaching</w:t>
      </w:r>
      <w:r w:rsidR="00F36119" w:rsidRPr="00734A50">
        <w:rPr>
          <w:shd w:val="clear" w:color="auto" w:fill="FFFFFF"/>
        </w:rPr>
        <w:t>.</w:t>
      </w:r>
      <w:r w:rsidR="00AE4F6C" w:rsidRPr="00734A50">
        <w:rPr>
          <w:shd w:val="clear" w:color="auto" w:fill="FFFFFF"/>
        </w:rPr>
        <w:t xml:space="preserve"> </w:t>
      </w:r>
    </w:p>
    <w:p w14:paraId="10241976" w14:textId="423AEEF1" w:rsidR="00BA3CE5" w:rsidRPr="00734A50" w:rsidRDefault="0097543A" w:rsidP="009F2264">
      <w:pPr>
        <w:rPr>
          <w:shd w:val="clear" w:color="auto" w:fill="FFFFFF"/>
        </w:rPr>
      </w:pPr>
      <w:r w:rsidRPr="00734A50">
        <w:rPr>
          <w:shd w:val="clear" w:color="auto" w:fill="FFFFFF"/>
        </w:rPr>
        <w:t xml:space="preserve">The </w:t>
      </w:r>
      <w:r w:rsidR="004F6B88" w:rsidRPr="00734A50">
        <w:rPr>
          <w:shd w:val="clear" w:color="auto" w:fill="FFFFFF"/>
        </w:rPr>
        <w:t xml:space="preserve">Teacher Education Expert </w:t>
      </w:r>
      <w:r w:rsidRPr="00734A50">
        <w:rPr>
          <w:shd w:val="clear" w:color="auto" w:fill="FFFFFF"/>
        </w:rPr>
        <w:t>Panel</w:t>
      </w:r>
      <w:r w:rsidR="004F6B88" w:rsidRPr="00734A50">
        <w:rPr>
          <w:shd w:val="clear" w:color="auto" w:fill="FFFFFF"/>
        </w:rPr>
        <w:t xml:space="preserve"> (</w:t>
      </w:r>
      <w:r w:rsidR="002426CC" w:rsidRPr="00734A50">
        <w:rPr>
          <w:shd w:val="clear" w:color="auto" w:fill="FFFFFF"/>
        </w:rPr>
        <w:t>the Panel</w:t>
      </w:r>
      <w:r w:rsidR="004F6B88" w:rsidRPr="00734A50">
        <w:rPr>
          <w:shd w:val="clear" w:color="auto" w:fill="FFFFFF"/>
        </w:rPr>
        <w:t>)</w:t>
      </w:r>
      <w:r w:rsidRPr="00734A50">
        <w:rPr>
          <w:shd w:val="clear" w:color="auto" w:fill="FFFFFF"/>
        </w:rPr>
        <w:t xml:space="preserve"> was established </w:t>
      </w:r>
      <w:r w:rsidR="00510749" w:rsidRPr="00734A50">
        <w:rPr>
          <w:shd w:val="clear" w:color="auto" w:fill="FFFFFF"/>
        </w:rPr>
        <w:t>in September 2022</w:t>
      </w:r>
      <w:r w:rsidRPr="00734A50">
        <w:rPr>
          <w:shd w:val="clear" w:color="auto" w:fill="FFFFFF"/>
        </w:rPr>
        <w:t xml:space="preserve"> to provide advice on key issues raised at the </w:t>
      </w:r>
      <w:r w:rsidR="00E71A8B" w:rsidRPr="00734A50">
        <w:rPr>
          <w:shd w:val="clear" w:color="auto" w:fill="FFFFFF"/>
        </w:rPr>
        <w:t>r</w:t>
      </w:r>
      <w:r w:rsidRPr="00734A50">
        <w:rPr>
          <w:shd w:val="clear" w:color="auto" w:fill="FFFFFF"/>
        </w:rPr>
        <w:t xml:space="preserve">oundtable and in the </w:t>
      </w:r>
      <w:r w:rsidR="004B436F" w:rsidRPr="00734A50">
        <w:rPr>
          <w:shd w:val="clear" w:color="auto" w:fill="FFFFFF"/>
        </w:rPr>
        <w:t xml:space="preserve">Report of the </w:t>
      </w:r>
      <w:hyperlink r:id="rId27" w:history="1">
        <w:r w:rsidR="004B436F" w:rsidRPr="00734A50">
          <w:rPr>
            <w:rStyle w:val="Hyperlink"/>
            <w:shd w:val="clear" w:color="auto" w:fill="FFFFFF"/>
          </w:rPr>
          <w:t>Quality Initial Teacher Education (QITE) Review</w:t>
        </w:r>
      </w:hyperlink>
      <w:r w:rsidR="004B436F" w:rsidRPr="00734A50">
        <w:rPr>
          <w:shd w:val="clear" w:color="auto" w:fill="FFFFFF"/>
        </w:rPr>
        <w:t xml:space="preserve"> (released in February 2022)</w:t>
      </w:r>
      <w:r w:rsidR="009718C8">
        <w:rPr>
          <w:shd w:val="clear" w:color="auto" w:fill="FFFFFF"/>
        </w:rPr>
        <w:t xml:space="preserve">, </w:t>
      </w:r>
      <w:r w:rsidR="0054764A" w:rsidRPr="00734A50">
        <w:rPr>
          <w:shd w:val="clear" w:color="auto" w:fill="FFFFFF"/>
        </w:rPr>
        <w:t>chaired by Professor</w:t>
      </w:r>
      <w:r w:rsidR="35F6870F" w:rsidRPr="00734A50">
        <w:rPr>
          <w:shd w:val="clear" w:color="auto" w:fill="FFFFFF"/>
        </w:rPr>
        <w:t xml:space="preserve"> </w:t>
      </w:r>
      <w:r w:rsidR="0054764A" w:rsidRPr="00734A50">
        <w:rPr>
          <w:shd w:val="clear" w:color="auto" w:fill="FFFFFF"/>
        </w:rPr>
        <w:t>Mark Scott</w:t>
      </w:r>
      <w:r w:rsidR="2567D140" w:rsidRPr="00734A50">
        <w:rPr>
          <w:shd w:val="clear" w:color="auto" w:fill="FFFFFF"/>
        </w:rPr>
        <w:t xml:space="preserve"> </w:t>
      </w:r>
      <w:r w:rsidR="0054764A" w:rsidRPr="00734A50">
        <w:rPr>
          <w:shd w:val="clear" w:color="auto" w:fill="FFFFFF"/>
        </w:rPr>
        <w:t>AO</w:t>
      </w:r>
      <w:r w:rsidR="00BA3CE5" w:rsidRPr="00734A50">
        <w:rPr>
          <w:shd w:val="clear" w:color="auto" w:fill="FFFFFF"/>
        </w:rPr>
        <w:t xml:space="preserve"> (</w:t>
      </w:r>
      <w:r w:rsidR="0054764A" w:rsidRPr="00734A50">
        <w:rPr>
          <w:shd w:val="clear" w:color="auto" w:fill="FFFFFF"/>
        </w:rPr>
        <w:t>Vice-Chancellor</w:t>
      </w:r>
      <w:r w:rsidR="00BA3CE5" w:rsidRPr="00734A50">
        <w:rPr>
          <w:shd w:val="clear" w:color="auto" w:fill="FFFFFF"/>
        </w:rPr>
        <w:t xml:space="preserve">, </w:t>
      </w:r>
      <w:r w:rsidR="0054764A" w:rsidRPr="00734A50">
        <w:rPr>
          <w:shd w:val="clear" w:color="auto" w:fill="FFFFFF"/>
        </w:rPr>
        <w:t>University of Sydney</w:t>
      </w:r>
      <w:r w:rsidR="00BA3CE5" w:rsidRPr="00734A50">
        <w:rPr>
          <w:shd w:val="clear" w:color="auto" w:fill="FFFFFF"/>
        </w:rPr>
        <w:t>)</w:t>
      </w:r>
      <w:r w:rsidR="0054764A" w:rsidRPr="00734A50">
        <w:rPr>
          <w:shd w:val="clear" w:color="auto" w:fill="FFFFFF"/>
        </w:rPr>
        <w:t xml:space="preserve">, with </w:t>
      </w:r>
      <w:r w:rsidR="00BA3CE5" w:rsidRPr="00734A50">
        <w:rPr>
          <w:shd w:val="clear" w:color="auto" w:fill="FFFFFF"/>
        </w:rPr>
        <w:t>Emeritus Professor Bill Louden AM </w:t>
      </w:r>
      <w:r w:rsidR="00096138" w:rsidRPr="00734A50">
        <w:rPr>
          <w:shd w:val="clear" w:color="auto" w:fill="FFFFFF"/>
        </w:rPr>
        <w:t>(</w:t>
      </w:r>
      <w:r w:rsidR="00BA3CE5" w:rsidRPr="00734A50">
        <w:rPr>
          <w:shd w:val="clear" w:color="auto" w:fill="FFFFFF"/>
        </w:rPr>
        <w:t>Emeritus Professor of Education, University of Western Australia</w:t>
      </w:r>
      <w:r w:rsidR="00096138" w:rsidRPr="00734A50">
        <w:rPr>
          <w:shd w:val="clear" w:color="auto" w:fill="FFFFFF"/>
        </w:rPr>
        <w:t xml:space="preserve">), </w:t>
      </w:r>
      <w:r w:rsidR="00760C5F" w:rsidRPr="00734A50">
        <w:rPr>
          <w:shd w:val="clear" w:color="auto" w:fill="FFFFFF"/>
        </w:rPr>
        <w:t>Professor Michele Simons</w:t>
      </w:r>
      <w:r w:rsidR="00096138" w:rsidRPr="00734A50">
        <w:rPr>
          <w:shd w:val="clear" w:color="auto" w:fill="FFFFFF"/>
        </w:rPr>
        <w:t xml:space="preserve"> (</w:t>
      </w:r>
      <w:r w:rsidR="00760C5F" w:rsidRPr="00734A50">
        <w:rPr>
          <w:shd w:val="clear" w:color="auto" w:fill="FFFFFF"/>
        </w:rPr>
        <w:t>President, Australian Council of Deans of Education</w:t>
      </w:r>
      <w:r w:rsidR="00096138" w:rsidRPr="00734A50">
        <w:rPr>
          <w:shd w:val="clear" w:color="auto" w:fill="FFFFFF"/>
        </w:rPr>
        <w:t xml:space="preserve">), </w:t>
      </w:r>
      <w:r w:rsidR="00760C5F" w:rsidRPr="00734A50">
        <w:rPr>
          <w:shd w:val="clear" w:color="auto" w:fill="FFFFFF"/>
        </w:rPr>
        <w:t>Dr Jenny Donovan</w:t>
      </w:r>
      <w:r w:rsidR="00096138" w:rsidRPr="00734A50">
        <w:rPr>
          <w:shd w:val="clear" w:color="auto" w:fill="FFFFFF"/>
        </w:rPr>
        <w:t xml:space="preserve"> (</w:t>
      </w:r>
      <w:r w:rsidR="00760C5F" w:rsidRPr="00734A50">
        <w:rPr>
          <w:shd w:val="clear" w:color="auto" w:fill="FFFFFF"/>
        </w:rPr>
        <w:t>CEO, Australian Education Research Organisation</w:t>
      </w:r>
      <w:r w:rsidR="00096138" w:rsidRPr="00734A50">
        <w:rPr>
          <w:shd w:val="clear" w:color="auto" w:fill="FFFFFF"/>
        </w:rPr>
        <w:t xml:space="preserve">), </w:t>
      </w:r>
      <w:r w:rsidR="005A1A39" w:rsidRPr="00734A50">
        <w:rPr>
          <w:shd w:val="clear" w:color="auto" w:fill="FFFFFF"/>
        </w:rPr>
        <w:t>Mr Andrew Peach</w:t>
      </w:r>
      <w:r w:rsidR="00096138" w:rsidRPr="00734A50">
        <w:rPr>
          <w:shd w:val="clear" w:color="auto" w:fill="FFFFFF"/>
        </w:rPr>
        <w:t xml:space="preserve"> (</w:t>
      </w:r>
      <w:r w:rsidR="005A1A39" w:rsidRPr="00734A50">
        <w:rPr>
          <w:shd w:val="clear" w:color="auto" w:fill="FFFFFF"/>
        </w:rPr>
        <w:t>General Manager – School Participation, National Rugby League</w:t>
      </w:r>
      <w:r w:rsidR="00356582" w:rsidRPr="00734A50">
        <w:rPr>
          <w:shd w:val="clear" w:color="auto" w:fill="FFFFFF"/>
        </w:rPr>
        <w:t xml:space="preserve"> and previously </w:t>
      </w:r>
      <w:r w:rsidR="00980DFE" w:rsidRPr="00734A50">
        <w:rPr>
          <w:shd w:val="clear" w:color="auto" w:fill="FFFFFF"/>
        </w:rPr>
        <w:t>Executive Principal, Marsden State High School, QLD</w:t>
      </w:r>
      <w:r w:rsidR="00096138" w:rsidRPr="00734A50">
        <w:rPr>
          <w:shd w:val="clear" w:color="auto" w:fill="FFFFFF"/>
        </w:rPr>
        <w:t xml:space="preserve">), and Ms Rebecca West (Foundation Deputy Principal, </w:t>
      </w:r>
      <w:r w:rsidR="00257B48" w:rsidRPr="00734A50">
        <w:rPr>
          <w:shd w:val="clear" w:color="auto" w:fill="FFFFFF"/>
        </w:rPr>
        <w:t xml:space="preserve">South Rock </w:t>
      </w:r>
      <w:r w:rsidR="00224312" w:rsidRPr="00734A50">
        <w:rPr>
          <w:shd w:val="clear" w:color="auto" w:fill="FFFFFF"/>
        </w:rPr>
        <w:t>State School</w:t>
      </w:r>
      <w:r w:rsidR="00096138" w:rsidRPr="00734A50">
        <w:rPr>
          <w:shd w:val="clear" w:color="auto" w:fill="FFFFFF"/>
        </w:rPr>
        <w:t>, QLD).</w:t>
      </w:r>
    </w:p>
    <w:p w14:paraId="316AF987" w14:textId="48D503E6" w:rsidR="0097543A" w:rsidRPr="00734A50" w:rsidRDefault="0097543A" w:rsidP="00887AD0">
      <w:pPr>
        <w:spacing w:after="0"/>
        <w:rPr>
          <w:shd w:val="clear" w:color="auto" w:fill="FFFFFF"/>
        </w:rPr>
      </w:pPr>
      <w:r w:rsidRPr="00734A50">
        <w:rPr>
          <w:shd w:val="clear" w:color="auto" w:fill="FFFFFF"/>
        </w:rPr>
        <w:t>Th</w:t>
      </w:r>
      <w:r w:rsidR="00F36119" w:rsidRPr="00734A50">
        <w:rPr>
          <w:shd w:val="clear" w:color="auto" w:fill="FFFFFF"/>
        </w:rPr>
        <w:t xml:space="preserve">is report contains the </w:t>
      </w:r>
      <w:r w:rsidRPr="00734A50">
        <w:rPr>
          <w:shd w:val="clear" w:color="auto" w:fill="FFFFFF"/>
        </w:rPr>
        <w:t>Panel</w:t>
      </w:r>
      <w:r w:rsidR="00F36119" w:rsidRPr="00734A50">
        <w:rPr>
          <w:shd w:val="clear" w:color="auto" w:fill="FFFFFF"/>
        </w:rPr>
        <w:t>’s</w:t>
      </w:r>
      <w:r w:rsidRPr="00734A50">
        <w:rPr>
          <w:shd w:val="clear" w:color="auto" w:fill="FFFFFF"/>
        </w:rPr>
        <w:t xml:space="preserve"> advice on four reform areas</w:t>
      </w:r>
      <w:r w:rsidR="00056489" w:rsidRPr="00734A50">
        <w:rPr>
          <w:shd w:val="clear" w:color="auto" w:fill="FFFFFF"/>
        </w:rPr>
        <w:t>, as per the Terms of Reference (Appendix A)</w:t>
      </w:r>
      <w:r w:rsidRPr="00734A50">
        <w:rPr>
          <w:shd w:val="clear" w:color="auto" w:fill="FFFFFF"/>
        </w:rPr>
        <w:t>:</w:t>
      </w:r>
    </w:p>
    <w:p w14:paraId="6FF377E6" w14:textId="58789CC5" w:rsidR="0097543A" w:rsidRPr="00734A50" w:rsidRDefault="0026633A" w:rsidP="00B521BB">
      <w:pPr>
        <w:pStyle w:val="List"/>
        <w:numPr>
          <w:ilvl w:val="0"/>
          <w:numId w:val="166"/>
        </w:numPr>
      </w:pPr>
      <w:r w:rsidRPr="00734A50">
        <w:t>S</w:t>
      </w:r>
      <w:r w:rsidR="0097543A" w:rsidRPr="00734A50">
        <w:t xml:space="preserve">trengthen ITE programs to deliver confident, effective, </w:t>
      </w:r>
      <w:r w:rsidR="0097543A" w:rsidRPr="00734A50">
        <w:rPr>
          <w:rFonts w:ascii="Calibri" w:hAnsi="Calibri" w:cs="Calibri"/>
          <w:color w:val="000000"/>
          <w:shd w:val="clear" w:color="auto" w:fill="FFFFFF"/>
        </w:rPr>
        <w:t>classroom ready</w:t>
      </w:r>
      <w:r w:rsidR="0097543A" w:rsidRPr="00734A50">
        <w:t xml:space="preserve"> graduates </w:t>
      </w:r>
    </w:p>
    <w:p w14:paraId="6A4B93CF" w14:textId="2A315E2E" w:rsidR="0097543A" w:rsidRPr="00734A50" w:rsidRDefault="0026633A" w:rsidP="009F2264">
      <w:pPr>
        <w:pStyle w:val="List"/>
      </w:pPr>
      <w:r w:rsidRPr="00734A50">
        <w:t>S</w:t>
      </w:r>
      <w:r w:rsidR="0097543A" w:rsidRPr="00734A50">
        <w:t>trengthen the link between performance and funding of ITE programs</w:t>
      </w:r>
      <w:r w:rsidR="00F91D88" w:rsidRPr="00734A50">
        <w:t xml:space="preserve"> </w:t>
      </w:r>
    </w:p>
    <w:p w14:paraId="707263B5" w14:textId="0F91C19D" w:rsidR="0097543A" w:rsidRPr="00734A50" w:rsidRDefault="0026633A" w:rsidP="009F2264">
      <w:pPr>
        <w:pStyle w:val="List"/>
      </w:pPr>
      <w:r w:rsidRPr="00734A50">
        <w:t>I</w:t>
      </w:r>
      <w:r w:rsidR="0097543A" w:rsidRPr="00734A50">
        <w:t>mprove the quality of practical experience in teaching</w:t>
      </w:r>
    </w:p>
    <w:p w14:paraId="055ADBB6" w14:textId="3ACB8579" w:rsidR="00F619D7" w:rsidRPr="00734A50" w:rsidRDefault="0026633A" w:rsidP="0026262D">
      <w:pPr>
        <w:pStyle w:val="List"/>
      </w:pPr>
      <w:r w:rsidRPr="00734A50">
        <w:t>I</w:t>
      </w:r>
      <w:r w:rsidR="0097543A" w:rsidRPr="00734A50">
        <w:t>mprove postgraduate programs to attract mid-career entrants</w:t>
      </w:r>
      <w:r w:rsidR="00E71A8B" w:rsidRPr="00734A50">
        <w:t>.</w:t>
      </w:r>
    </w:p>
    <w:p w14:paraId="320015FF" w14:textId="545FC875" w:rsidR="00887AD0" w:rsidRPr="00734A50" w:rsidRDefault="1FF6A285" w:rsidP="00887AD0">
      <w:pPr>
        <w:rPr>
          <w:rFonts w:ascii="Arial" w:hAnsi="Arial" w:cs="Arial"/>
        </w:rPr>
      </w:pPr>
      <w:r w:rsidRPr="00734A50">
        <w:rPr>
          <w:shd w:val="clear" w:color="auto" w:fill="FFFFFF"/>
        </w:rPr>
        <w:t xml:space="preserve">The Panel </w:t>
      </w:r>
      <w:r w:rsidR="00AE67B1" w:rsidRPr="00734A50">
        <w:rPr>
          <w:shd w:val="clear" w:color="auto" w:fill="FFFFFF"/>
        </w:rPr>
        <w:t>considered</w:t>
      </w:r>
      <w:r w:rsidRPr="00734A50">
        <w:rPr>
          <w:shd w:val="clear" w:color="auto" w:fill="FFFFFF"/>
        </w:rPr>
        <w:t xml:space="preserve"> the need to increase the number of people starting and finishing ITE, including those currently under-represented</w:t>
      </w:r>
      <w:r w:rsidR="00942FE5" w:rsidRPr="00734A50">
        <w:rPr>
          <w:shd w:val="clear" w:color="auto" w:fill="FFFFFF"/>
        </w:rPr>
        <w:t>,</w:t>
      </w:r>
      <w:r w:rsidRPr="00734A50">
        <w:rPr>
          <w:shd w:val="clear" w:color="auto" w:fill="FFFFFF"/>
        </w:rPr>
        <w:t xml:space="preserve"> such as First Nations people, as well as the needs of regional and remote and other hard</w:t>
      </w:r>
      <w:r w:rsidR="00B521BB" w:rsidRPr="00734A50">
        <w:rPr>
          <w:shd w:val="clear" w:color="auto" w:fill="FFFFFF"/>
        </w:rPr>
        <w:t>-</w:t>
      </w:r>
      <w:r w:rsidRPr="00734A50">
        <w:rPr>
          <w:shd w:val="clear" w:color="auto" w:fill="FFFFFF"/>
        </w:rPr>
        <w:t>to</w:t>
      </w:r>
      <w:r w:rsidR="00B521BB" w:rsidRPr="00734A50">
        <w:rPr>
          <w:shd w:val="clear" w:color="auto" w:fill="FFFFFF"/>
        </w:rPr>
        <w:t>-</w:t>
      </w:r>
      <w:r w:rsidRPr="00734A50">
        <w:rPr>
          <w:shd w:val="clear" w:color="auto" w:fill="FFFFFF"/>
        </w:rPr>
        <w:t>staff schools and subject specialisations. The Panel also considered interactions with other policy processes and government commitments</w:t>
      </w:r>
      <w:r w:rsidR="00942FE5" w:rsidRPr="00734A50">
        <w:rPr>
          <w:shd w:val="clear" w:color="auto" w:fill="FFFFFF"/>
        </w:rPr>
        <w:t>,</w:t>
      </w:r>
      <w:r w:rsidRPr="00734A50">
        <w:rPr>
          <w:shd w:val="clear" w:color="auto" w:fill="FFFFFF"/>
        </w:rPr>
        <w:t xml:space="preserve"> including the Australian Universities Accord</w:t>
      </w:r>
      <w:r w:rsidR="3A1A964F" w:rsidRPr="00734A50">
        <w:rPr>
          <w:shd w:val="clear" w:color="auto" w:fill="FFFFFF"/>
        </w:rPr>
        <w:t xml:space="preserve">, as well as prior ITE reform efforts such as the 2014 </w:t>
      </w:r>
      <w:hyperlink r:id="rId28" w:tgtFrame="_blank" w:history="1">
        <w:r w:rsidR="3A1A964F" w:rsidRPr="00734A50">
          <w:rPr>
            <w:rFonts w:ascii="Calibri" w:eastAsia="Times New Roman" w:hAnsi="Calibri" w:cs="Calibri"/>
            <w:color w:val="0563C1"/>
            <w:u w:val="single"/>
            <w:shd w:val="clear" w:color="auto" w:fill="FFFFFF"/>
            <w:lang w:eastAsia="en-AU"/>
          </w:rPr>
          <w:t>Teacher Education Ministerial Advisory Group (TEMAG)</w:t>
        </w:r>
      </w:hyperlink>
      <w:r w:rsidR="00CF7229" w:rsidRPr="00734A50">
        <w:rPr>
          <w:shd w:val="clear" w:color="auto" w:fill="FFFFFF"/>
        </w:rPr>
        <w:t>.</w:t>
      </w:r>
    </w:p>
    <w:p w14:paraId="75B10914" w14:textId="31EF745D" w:rsidR="00F619D7" w:rsidRPr="00734A50" w:rsidRDefault="1410E7AD" w:rsidP="6DDCDED7">
      <w:pPr>
        <w:pStyle w:val="Heading2"/>
      </w:pPr>
      <w:bookmarkStart w:id="38" w:name="_Toc139366625"/>
      <w:r w:rsidRPr="00734A50">
        <w:t xml:space="preserve">Stakeholder </w:t>
      </w:r>
      <w:r w:rsidR="00942FE5" w:rsidRPr="00734A50">
        <w:t>e</w:t>
      </w:r>
      <w:r w:rsidRPr="00734A50">
        <w:t xml:space="preserve">ngagement and </w:t>
      </w:r>
      <w:r w:rsidR="00942FE5" w:rsidRPr="00734A50">
        <w:t>c</w:t>
      </w:r>
      <w:r w:rsidRPr="00734A50">
        <w:t>onsultation</w:t>
      </w:r>
      <w:bookmarkEnd w:id="38"/>
    </w:p>
    <w:p w14:paraId="6A6D06D7" w14:textId="1DB10008" w:rsidR="002D44D4" w:rsidRPr="00734A50" w:rsidRDefault="125D7AAB" w:rsidP="001D370D">
      <w:r w:rsidRPr="00734A50">
        <w:t>The</w:t>
      </w:r>
      <w:r w:rsidR="4B85E2C9" w:rsidRPr="00734A50">
        <w:t xml:space="preserve"> Panel’s</w:t>
      </w:r>
      <w:r w:rsidRPr="00734A50">
        <w:t xml:space="preserve"> </w:t>
      </w:r>
      <w:hyperlink r:id="rId29">
        <w:r w:rsidRPr="00734A50">
          <w:rPr>
            <w:rStyle w:val="Hyperlink"/>
          </w:rPr>
          <w:t>Discussion Paper</w:t>
        </w:r>
      </w:hyperlink>
      <w:r w:rsidRPr="00734A50">
        <w:t xml:space="preserve"> was released on 23 March 2023.</w:t>
      </w:r>
      <w:r w:rsidR="5BD37527" w:rsidRPr="00734A50">
        <w:t xml:space="preserve"> </w:t>
      </w:r>
      <w:r w:rsidR="00E879F4" w:rsidRPr="00734A50">
        <w:t xml:space="preserve">It set out the key findings of </w:t>
      </w:r>
      <w:r w:rsidR="00D474B5" w:rsidRPr="00734A50">
        <w:t>the Panel</w:t>
      </w:r>
      <w:r w:rsidR="00165C64" w:rsidRPr="00734A50">
        <w:t xml:space="preserve"> to date</w:t>
      </w:r>
      <w:r w:rsidR="00E879F4" w:rsidRPr="00734A50">
        <w:t>,</w:t>
      </w:r>
      <w:r w:rsidR="004F38BF" w:rsidRPr="00734A50">
        <w:t xml:space="preserve"> as well as</w:t>
      </w:r>
      <w:r w:rsidR="00E879F4" w:rsidRPr="00734A50">
        <w:t xml:space="preserve"> opportunities and considerations for delivering on the</w:t>
      </w:r>
      <w:r w:rsidR="004F38BF" w:rsidRPr="00734A50">
        <w:t xml:space="preserve"> </w:t>
      </w:r>
      <w:r w:rsidR="00E879F4" w:rsidRPr="00734A50">
        <w:t>reform areas and discussion questions to inform its advice</w:t>
      </w:r>
      <w:r w:rsidR="00453241" w:rsidRPr="00734A50">
        <w:t>. Th</w:t>
      </w:r>
      <w:r w:rsidR="00942FE5" w:rsidRPr="00734A50">
        <w:t>e</w:t>
      </w:r>
      <w:r w:rsidR="00453241" w:rsidRPr="00734A50">
        <w:t xml:space="preserve"> </w:t>
      </w:r>
      <w:r w:rsidR="00A5566C" w:rsidRPr="00734A50">
        <w:t xml:space="preserve">paper </w:t>
      </w:r>
      <w:r w:rsidR="00453241" w:rsidRPr="00734A50">
        <w:t>was informed by several research pieces commissioned by the Panel</w:t>
      </w:r>
      <w:r w:rsidR="00171F42" w:rsidRPr="00734A50">
        <w:t xml:space="preserve"> (details at Appendix C)</w:t>
      </w:r>
      <w:r w:rsidR="00F06D68" w:rsidRPr="00734A50">
        <w:t>.</w:t>
      </w:r>
    </w:p>
    <w:p w14:paraId="05F65C2B" w14:textId="6CC6029F" w:rsidR="00B24758" w:rsidRPr="00734A50" w:rsidRDefault="3862B596" w:rsidP="00453241">
      <w:r w:rsidRPr="00734A50">
        <w:rPr>
          <w:rFonts w:ascii="Calibri" w:eastAsia="Calibri" w:hAnsi="Calibri" w:cs="Calibri"/>
        </w:rPr>
        <w:t xml:space="preserve">To ensure the views of key stakeholder and audience groups were </w:t>
      </w:r>
      <w:r w:rsidR="225A3BC0" w:rsidRPr="00734A50">
        <w:rPr>
          <w:rFonts w:ascii="Calibri" w:eastAsia="Calibri" w:hAnsi="Calibri" w:cs="Calibri"/>
        </w:rPr>
        <w:t xml:space="preserve">thoroughly </w:t>
      </w:r>
      <w:r w:rsidRPr="00734A50">
        <w:rPr>
          <w:rFonts w:ascii="Calibri" w:eastAsia="Calibri" w:hAnsi="Calibri" w:cs="Calibri"/>
        </w:rPr>
        <w:t xml:space="preserve">captured by the Panel, a </w:t>
      </w:r>
      <w:r w:rsidR="183AD8A9" w:rsidRPr="00734A50">
        <w:rPr>
          <w:rFonts w:ascii="Calibri" w:eastAsia="Calibri" w:hAnsi="Calibri" w:cs="Calibri"/>
        </w:rPr>
        <w:t xml:space="preserve">public </w:t>
      </w:r>
      <w:r w:rsidR="7EFEB092" w:rsidRPr="00734A50">
        <w:rPr>
          <w:rFonts w:ascii="Calibri" w:eastAsia="Calibri" w:hAnsi="Calibri" w:cs="Calibri"/>
        </w:rPr>
        <w:t>consultation</w:t>
      </w:r>
      <w:r w:rsidRPr="00734A50">
        <w:rPr>
          <w:rFonts w:ascii="Calibri" w:eastAsia="Calibri" w:hAnsi="Calibri" w:cs="Calibri"/>
        </w:rPr>
        <w:t xml:space="preserve"> process was undertaken between March and April 2023. </w:t>
      </w:r>
      <w:r w:rsidR="5E65331E" w:rsidRPr="00734A50">
        <w:rPr>
          <w:rFonts w:ascii="Calibri" w:eastAsia="Calibri" w:hAnsi="Calibri" w:cs="Calibri"/>
        </w:rPr>
        <w:t xml:space="preserve">Interested parties </w:t>
      </w:r>
      <w:r w:rsidR="2DB67D29" w:rsidRPr="00734A50">
        <w:rPr>
          <w:rFonts w:ascii="Calibri" w:eastAsia="Calibri" w:hAnsi="Calibri" w:cs="Calibri"/>
        </w:rPr>
        <w:t xml:space="preserve">were invited to provide written </w:t>
      </w:r>
      <w:r w:rsidR="7BD428F9" w:rsidRPr="00734A50">
        <w:rPr>
          <w:rFonts w:ascii="Calibri" w:eastAsia="Calibri" w:hAnsi="Calibri" w:cs="Calibri"/>
        </w:rPr>
        <w:t xml:space="preserve">responses to the Discussion Paper by 21 April. </w:t>
      </w:r>
      <w:r w:rsidR="7BD428F9" w:rsidRPr="00734A50">
        <w:t xml:space="preserve">A total of </w:t>
      </w:r>
      <w:r w:rsidR="19FBA730" w:rsidRPr="00734A50">
        <w:t>11</w:t>
      </w:r>
      <w:r w:rsidR="00BE1466" w:rsidRPr="00734A50">
        <w:t>5</w:t>
      </w:r>
      <w:r w:rsidR="75F9F951" w:rsidRPr="00734A50">
        <w:t xml:space="preserve"> </w:t>
      </w:r>
      <w:r w:rsidR="7BD428F9" w:rsidRPr="00734A50">
        <w:t>submissions were received, from a range of stakeholders</w:t>
      </w:r>
      <w:r w:rsidR="3DA720E1" w:rsidRPr="00734A50">
        <w:t xml:space="preserve"> (Appendix B)</w:t>
      </w:r>
      <w:r w:rsidR="7BD428F9" w:rsidRPr="00734A50">
        <w:t xml:space="preserve">. Additional consultation activities included </w:t>
      </w:r>
      <w:r w:rsidR="0005313B" w:rsidRPr="00734A50">
        <w:t>stakeholder meeting</w:t>
      </w:r>
      <w:r w:rsidR="00E6202C">
        <w:t>s</w:t>
      </w:r>
      <w:r w:rsidR="0005313B" w:rsidRPr="00734A50">
        <w:t xml:space="preserve">, </w:t>
      </w:r>
      <w:r w:rsidR="7BD428F9" w:rsidRPr="00734A50">
        <w:t>surveys and focus groups</w:t>
      </w:r>
      <w:r w:rsidR="008A76FC" w:rsidRPr="00734A50">
        <w:t xml:space="preserve"> (Appendix C).</w:t>
      </w:r>
    </w:p>
    <w:p w14:paraId="3C72CA5D" w14:textId="0D08712F" w:rsidR="00453241" w:rsidRPr="00734A50" w:rsidRDefault="007A709E" w:rsidP="00453241">
      <w:pPr>
        <w:rPr>
          <w:rFonts w:ascii="Calibri" w:eastAsia="Calibri" w:hAnsi="Calibri" w:cs="Calibri"/>
        </w:rPr>
      </w:pPr>
      <w:r w:rsidRPr="00734A50">
        <w:t>Feedback from the consultation process has been considered by the Panel and reflected in the report.</w:t>
      </w:r>
      <w:r w:rsidR="008A76FC" w:rsidRPr="00734A50">
        <w:t xml:space="preserve"> </w:t>
      </w:r>
    </w:p>
    <w:p w14:paraId="2BC575F6" w14:textId="65227EFC" w:rsidR="00225A40" w:rsidRPr="00734A50" w:rsidRDefault="00AB1A06" w:rsidP="00D6723D">
      <w:pPr>
        <w:pStyle w:val="Heading2"/>
      </w:pPr>
      <w:bookmarkStart w:id="39" w:name="_Toc139366626"/>
      <w:r w:rsidRPr="00734A50">
        <w:lastRenderedPageBreak/>
        <w:t xml:space="preserve">Context for </w:t>
      </w:r>
      <w:r w:rsidR="003202B0" w:rsidRPr="00734A50">
        <w:t>i</w:t>
      </w:r>
      <w:r w:rsidR="00E32595" w:rsidRPr="00734A50">
        <w:t xml:space="preserve">nitial </w:t>
      </w:r>
      <w:r w:rsidR="003202B0" w:rsidRPr="00734A50">
        <w:t>t</w:t>
      </w:r>
      <w:r w:rsidR="00E32595" w:rsidRPr="00734A50">
        <w:t xml:space="preserve">eacher </w:t>
      </w:r>
      <w:r w:rsidR="003202B0" w:rsidRPr="00734A50">
        <w:t>e</w:t>
      </w:r>
      <w:r w:rsidR="00E32595" w:rsidRPr="00734A50">
        <w:t>ducation</w:t>
      </w:r>
      <w:r w:rsidRPr="00734A50">
        <w:t xml:space="preserve"> </w:t>
      </w:r>
      <w:r w:rsidR="003202B0" w:rsidRPr="00734A50">
        <w:t>r</w:t>
      </w:r>
      <w:r w:rsidRPr="00734A50">
        <w:t>eform</w:t>
      </w:r>
      <w:bookmarkEnd w:id="39"/>
    </w:p>
    <w:p w14:paraId="7128A980" w14:textId="0C0E1E74" w:rsidR="00E32595" w:rsidRPr="00734A50" w:rsidRDefault="36DD55E3" w:rsidP="00225A40">
      <w:r w:rsidRPr="00734A50">
        <w:t xml:space="preserve">ITE </w:t>
      </w:r>
      <w:r w:rsidR="667F08BA" w:rsidRPr="00734A50">
        <w:t xml:space="preserve">is a shared </w:t>
      </w:r>
      <w:r w:rsidR="75D2227C" w:rsidRPr="00734A50">
        <w:t>responsibility</w:t>
      </w:r>
      <w:r w:rsidR="00942FE5" w:rsidRPr="00734A50">
        <w:t>:</w:t>
      </w:r>
      <w:r w:rsidR="75D2227C" w:rsidRPr="00734A50">
        <w:t xml:space="preserve"> </w:t>
      </w:r>
      <w:r w:rsidR="4EA889FE" w:rsidRPr="00734A50">
        <w:t>the Australian Government fund</w:t>
      </w:r>
      <w:r w:rsidR="00942FE5" w:rsidRPr="00734A50">
        <w:t>s</w:t>
      </w:r>
      <w:r w:rsidR="4EA889FE" w:rsidRPr="00734A50">
        <w:t xml:space="preserve"> </w:t>
      </w:r>
      <w:r w:rsidR="00ED1CD7" w:rsidRPr="00734A50">
        <w:t>university places for ITE</w:t>
      </w:r>
      <w:r w:rsidR="00942FE5" w:rsidRPr="00734A50">
        <w:t>;</w:t>
      </w:r>
      <w:r w:rsidR="00ED1CD7" w:rsidRPr="00734A50">
        <w:t xml:space="preserve"> </w:t>
      </w:r>
      <w:r w:rsidR="4EA889FE" w:rsidRPr="00734A50">
        <w:t xml:space="preserve">states and territories accredit ITE programs through </w:t>
      </w:r>
      <w:r w:rsidR="0077696D" w:rsidRPr="00734A50">
        <w:t>T</w:t>
      </w:r>
      <w:r w:rsidR="4EA889FE" w:rsidRPr="00734A50">
        <w:t xml:space="preserve">eacher </w:t>
      </w:r>
      <w:r w:rsidR="0077696D" w:rsidRPr="00734A50">
        <w:t>R</w:t>
      </w:r>
      <w:r w:rsidR="4EA889FE" w:rsidRPr="00734A50">
        <w:t xml:space="preserve">egulatory </w:t>
      </w:r>
      <w:r w:rsidR="00237F7F" w:rsidRPr="00734A50">
        <w:t>A</w:t>
      </w:r>
      <w:r w:rsidR="4EA889FE" w:rsidRPr="00734A50">
        <w:t>uthorities (TRAs)</w:t>
      </w:r>
      <w:r w:rsidR="00942FE5" w:rsidRPr="00734A50">
        <w:t>;</w:t>
      </w:r>
      <w:r w:rsidR="4EA889FE" w:rsidRPr="00734A50">
        <w:t xml:space="preserve"> higher education providers </w:t>
      </w:r>
      <w:r w:rsidR="00ED1CD7" w:rsidRPr="00734A50">
        <w:t>elect to offer</w:t>
      </w:r>
      <w:r w:rsidR="00942FE5" w:rsidRPr="00734A50">
        <w:t xml:space="preserve">, in total, </w:t>
      </w:r>
      <w:r w:rsidR="4EA889FE" w:rsidRPr="00734A50">
        <w:t xml:space="preserve">more than </w:t>
      </w:r>
      <w:r w:rsidR="1B8989D1" w:rsidRPr="00734A50">
        <w:t xml:space="preserve">300 </w:t>
      </w:r>
      <w:r w:rsidR="4EA889FE" w:rsidRPr="00734A50">
        <w:t>ITE programs</w:t>
      </w:r>
      <w:r w:rsidR="00942FE5" w:rsidRPr="00734A50">
        <w:t>;</w:t>
      </w:r>
      <w:r w:rsidR="00ED1CD7" w:rsidRPr="00734A50">
        <w:t xml:space="preserve"> </w:t>
      </w:r>
      <w:r w:rsidR="008349B4" w:rsidRPr="00734A50">
        <w:t xml:space="preserve">ITE </w:t>
      </w:r>
      <w:r w:rsidR="00ED1CD7" w:rsidRPr="00734A50">
        <w:t>students contribut</w:t>
      </w:r>
      <w:r w:rsidR="00942FE5" w:rsidRPr="00734A50">
        <w:t>e</w:t>
      </w:r>
      <w:r w:rsidR="00ED1CD7" w:rsidRPr="00734A50">
        <w:t xml:space="preserve"> fees</w:t>
      </w:r>
      <w:r w:rsidR="00942FE5" w:rsidRPr="00734A50">
        <w:t>;</w:t>
      </w:r>
      <w:r w:rsidR="4EA889FE" w:rsidRPr="00734A50">
        <w:t xml:space="preserve"> and schools support ITE students through practical experience and on entry into the classroom. </w:t>
      </w:r>
    </w:p>
    <w:p w14:paraId="55C2D054" w14:textId="28E3F9EB" w:rsidR="00225A40" w:rsidRPr="00734A50" w:rsidRDefault="5C7C1583" w:rsidP="137EBE1B">
      <w:pPr>
        <w:rPr>
          <w:i/>
          <w:iCs/>
          <w:color w:val="000000" w:themeColor="text1"/>
          <w:sz w:val="16"/>
          <w:szCs w:val="16"/>
        </w:rPr>
      </w:pPr>
      <w:r w:rsidRPr="00734A50">
        <w:rPr>
          <w:rFonts w:ascii="Calibri" w:eastAsia="Times New Roman" w:hAnsi="Calibri" w:cs="Calibri"/>
          <w:color w:val="000000"/>
          <w:shd w:val="clear" w:color="auto" w:fill="FFFFFF"/>
          <w:lang w:eastAsia="en-AU"/>
        </w:rPr>
        <w:t>ITE in Australia has been the subject of significant national reform and review. Reforms identified by TEMAG in 2014</w:t>
      </w:r>
      <w:r w:rsidRPr="00734A50">
        <w:t xml:space="preserve"> have been progressively implemented since 2015 and have led to significant progress in raising standards in the selection and preparation of teachers. This included</w:t>
      </w:r>
      <w:r w:rsidR="7080FC9F" w:rsidRPr="00734A50">
        <w:t xml:space="preserve"> </w:t>
      </w:r>
      <w:r w:rsidR="3DC3B0BD" w:rsidRPr="00734A50">
        <w:t>introducing Teaching Performance Assessments (TPAs), the Literacy and Numeracy Test for Initial Teacher Education (LANTITE), non-academic selection criteria for entry into ITE, strengthened accreditation processes and quality assurance, and the establishment of the Australian Teacher Workforce Data (ATWD) collection.</w:t>
      </w:r>
    </w:p>
    <w:p w14:paraId="104A1909" w14:textId="75025A69" w:rsidR="002E626E" w:rsidRPr="00734A50" w:rsidRDefault="00225A40" w:rsidP="00225A40">
      <w:pPr>
        <w:rPr>
          <w:rFonts w:ascii="Calibri" w:eastAsia="Times New Roman" w:hAnsi="Calibri" w:cs="Calibri"/>
          <w:color w:val="000000"/>
          <w:shd w:val="clear" w:color="auto" w:fill="FFFFFF"/>
          <w:lang w:eastAsia="en-AU"/>
        </w:rPr>
      </w:pPr>
      <w:r w:rsidRPr="00734A50">
        <w:t xml:space="preserve">The QITE Review found positive reports of the quality of recent graduates from ITE programs, indicating these reforms were producing positive outcomes. Despite these efforts, the QITE Review </w:t>
      </w:r>
      <w:r w:rsidRPr="00734A50">
        <w:rPr>
          <w:rFonts w:ascii="Calibri" w:eastAsia="Times New Roman" w:hAnsi="Calibri" w:cs="Calibri"/>
          <w:color w:val="000000"/>
          <w:shd w:val="clear" w:color="auto" w:fill="FFFFFF"/>
          <w:lang w:eastAsia="en-AU"/>
        </w:rPr>
        <w:t>identified the need for further reform to attract high-quality</w:t>
      </w:r>
      <w:r w:rsidR="00942FE5" w:rsidRPr="00734A50">
        <w:rPr>
          <w:rFonts w:ascii="Calibri" w:eastAsia="Times New Roman" w:hAnsi="Calibri" w:cs="Calibri"/>
          <w:color w:val="000000"/>
          <w:shd w:val="clear" w:color="auto" w:fill="FFFFFF"/>
          <w:lang w:eastAsia="en-AU"/>
        </w:rPr>
        <w:t>,</w:t>
      </w:r>
      <w:r w:rsidRPr="00734A50">
        <w:rPr>
          <w:rFonts w:ascii="Calibri" w:eastAsia="Times New Roman" w:hAnsi="Calibri" w:cs="Calibri"/>
          <w:color w:val="000000"/>
          <w:shd w:val="clear" w:color="auto" w:fill="FFFFFF"/>
          <w:lang w:eastAsia="en-AU"/>
        </w:rPr>
        <w:t xml:space="preserve"> diverse candidates</w:t>
      </w:r>
      <w:r w:rsidR="00942FE5" w:rsidRPr="00734A50">
        <w:rPr>
          <w:rFonts w:ascii="Calibri" w:eastAsia="Times New Roman" w:hAnsi="Calibri" w:cs="Calibri"/>
          <w:color w:val="000000"/>
          <w:shd w:val="clear" w:color="auto" w:fill="FFFFFF"/>
          <w:lang w:eastAsia="en-AU"/>
        </w:rPr>
        <w:t>;</w:t>
      </w:r>
      <w:r w:rsidRPr="00734A50">
        <w:rPr>
          <w:rFonts w:ascii="Calibri" w:eastAsia="Times New Roman" w:hAnsi="Calibri" w:cs="Calibri"/>
          <w:color w:val="000000"/>
          <w:shd w:val="clear" w:color="auto" w:fill="FFFFFF"/>
          <w:lang w:eastAsia="en-AU"/>
        </w:rPr>
        <w:t xml:space="preserve"> to ensure their preparation is evidence</w:t>
      </w:r>
      <w:r w:rsidR="00942FE5" w:rsidRPr="00734A50">
        <w:rPr>
          <w:rFonts w:ascii="Calibri" w:eastAsia="Times New Roman" w:hAnsi="Calibri" w:cs="Calibri"/>
          <w:color w:val="000000"/>
          <w:shd w:val="clear" w:color="auto" w:fill="FFFFFF"/>
          <w:lang w:eastAsia="en-AU"/>
        </w:rPr>
        <w:t xml:space="preserve"> </w:t>
      </w:r>
      <w:r w:rsidRPr="00734A50">
        <w:rPr>
          <w:rFonts w:ascii="Calibri" w:eastAsia="Times New Roman" w:hAnsi="Calibri" w:cs="Calibri"/>
          <w:color w:val="000000"/>
          <w:shd w:val="clear" w:color="auto" w:fill="FFFFFF"/>
          <w:lang w:eastAsia="en-AU"/>
        </w:rPr>
        <w:t>based and practical</w:t>
      </w:r>
      <w:r w:rsidR="00942FE5" w:rsidRPr="00734A50">
        <w:rPr>
          <w:rFonts w:ascii="Calibri" w:eastAsia="Times New Roman" w:hAnsi="Calibri" w:cs="Calibri"/>
          <w:color w:val="000000"/>
          <w:shd w:val="clear" w:color="auto" w:fill="FFFFFF"/>
          <w:lang w:eastAsia="en-AU"/>
        </w:rPr>
        <w:t>;</w:t>
      </w:r>
      <w:r w:rsidRPr="00734A50">
        <w:rPr>
          <w:rFonts w:ascii="Calibri" w:eastAsia="Times New Roman" w:hAnsi="Calibri" w:cs="Calibri"/>
          <w:color w:val="000000"/>
          <w:shd w:val="clear" w:color="auto" w:fill="FFFFFF"/>
          <w:lang w:eastAsia="en-AU"/>
        </w:rPr>
        <w:t xml:space="preserve"> and </w:t>
      </w:r>
      <w:r w:rsidR="00942FE5" w:rsidRPr="00734A50">
        <w:rPr>
          <w:rFonts w:ascii="Calibri" w:eastAsia="Times New Roman" w:hAnsi="Calibri" w:cs="Calibri"/>
          <w:color w:val="000000"/>
          <w:shd w:val="clear" w:color="auto" w:fill="FFFFFF"/>
          <w:lang w:eastAsia="en-AU"/>
        </w:rPr>
        <w:t xml:space="preserve">to </w:t>
      </w:r>
      <w:r w:rsidRPr="00734A50">
        <w:rPr>
          <w:rFonts w:ascii="Calibri" w:eastAsia="Times New Roman" w:hAnsi="Calibri" w:cs="Calibri"/>
          <w:color w:val="000000"/>
          <w:shd w:val="clear" w:color="auto" w:fill="FFFFFF"/>
          <w:lang w:eastAsia="en-AU"/>
        </w:rPr>
        <w:t xml:space="preserve">induct them well into the profession. </w:t>
      </w:r>
    </w:p>
    <w:p w14:paraId="12549AB9" w14:textId="7AF1C201" w:rsidR="000F177F" w:rsidRPr="00734A50" w:rsidRDefault="00990704" w:rsidP="00875B86">
      <w:pPr>
        <w:spacing w:after="0"/>
        <w:rPr>
          <w:rFonts w:ascii="Calibri" w:eastAsia="Times New Roman" w:hAnsi="Calibri" w:cs="Calibri"/>
          <w:color w:val="000000"/>
          <w:shd w:val="clear" w:color="auto" w:fill="FFFFFF"/>
          <w:lang w:eastAsia="en-AU"/>
        </w:rPr>
      </w:pPr>
      <w:r w:rsidRPr="00734A50">
        <w:rPr>
          <w:rFonts w:ascii="Calibri" w:eastAsia="Times New Roman" w:hAnsi="Calibri" w:cs="Calibri"/>
          <w:color w:val="000000"/>
          <w:shd w:val="clear" w:color="auto" w:fill="FFFFFF"/>
          <w:lang w:eastAsia="en-AU"/>
        </w:rPr>
        <w:t>B</w:t>
      </w:r>
      <w:r w:rsidR="00B934DA" w:rsidRPr="00734A50">
        <w:rPr>
          <w:rFonts w:ascii="Calibri" w:eastAsia="Times New Roman" w:hAnsi="Calibri" w:cs="Calibri"/>
          <w:color w:val="000000"/>
          <w:shd w:val="clear" w:color="auto" w:fill="FFFFFF"/>
          <w:lang w:eastAsia="en-AU"/>
        </w:rPr>
        <w:t xml:space="preserve">eginning teachers also </w:t>
      </w:r>
      <w:r w:rsidRPr="00734A50">
        <w:rPr>
          <w:rFonts w:ascii="Calibri" w:eastAsia="Times New Roman" w:hAnsi="Calibri" w:cs="Calibri"/>
          <w:color w:val="000000"/>
          <w:shd w:val="clear" w:color="auto" w:fill="FFFFFF"/>
          <w:lang w:eastAsia="en-AU"/>
        </w:rPr>
        <w:t>report that ITE programs could have better prepared them with</w:t>
      </w:r>
      <w:r w:rsidR="00C61A86" w:rsidRPr="00734A50">
        <w:rPr>
          <w:rFonts w:ascii="Calibri" w:eastAsia="Times New Roman" w:hAnsi="Calibri" w:cs="Calibri"/>
          <w:color w:val="000000"/>
          <w:shd w:val="clear" w:color="auto" w:fill="FFFFFF"/>
          <w:lang w:eastAsia="en-AU"/>
        </w:rPr>
        <w:t xml:space="preserve"> the</w:t>
      </w:r>
      <w:r w:rsidRPr="00734A50">
        <w:rPr>
          <w:rFonts w:ascii="Calibri" w:eastAsia="Times New Roman" w:hAnsi="Calibri" w:cs="Calibri"/>
          <w:color w:val="000000"/>
          <w:shd w:val="clear" w:color="auto" w:fill="FFFFFF"/>
          <w:lang w:eastAsia="en-AU"/>
        </w:rPr>
        <w:t xml:space="preserve"> </w:t>
      </w:r>
      <w:r w:rsidR="00EF7F2C" w:rsidRPr="00734A50">
        <w:rPr>
          <w:rFonts w:ascii="Calibri" w:eastAsia="Times New Roman" w:hAnsi="Calibri" w:cs="Calibri"/>
          <w:color w:val="000000"/>
          <w:shd w:val="clear" w:color="auto" w:fill="FFFFFF"/>
          <w:lang w:eastAsia="en-AU"/>
        </w:rPr>
        <w:t>practical skills</w:t>
      </w:r>
      <w:r w:rsidR="00A154CD" w:rsidRPr="00734A50">
        <w:rPr>
          <w:rFonts w:ascii="Calibri" w:eastAsia="Times New Roman" w:hAnsi="Calibri" w:cs="Calibri"/>
          <w:color w:val="000000"/>
          <w:shd w:val="clear" w:color="auto" w:fill="FFFFFF"/>
          <w:lang w:eastAsia="en-AU"/>
        </w:rPr>
        <w:t xml:space="preserve"> </w:t>
      </w:r>
      <w:r w:rsidR="00C61A86" w:rsidRPr="00734A50">
        <w:rPr>
          <w:rFonts w:ascii="Calibri" w:eastAsia="Times New Roman" w:hAnsi="Calibri" w:cs="Calibri"/>
          <w:color w:val="000000"/>
          <w:shd w:val="clear" w:color="auto" w:fill="FFFFFF"/>
          <w:lang w:eastAsia="en-AU"/>
        </w:rPr>
        <w:t xml:space="preserve">required </w:t>
      </w:r>
      <w:r w:rsidR="00CE2C9A" w:rsidRPr="00734A50">
        <w:rPr>
          <w:rFonts w:ascii="Calibri" w:eastAsia="Times New Roman" w:hAnsi="Calibri" w:cs="Calibri"/>
          <w:color w:val="000000"/>
          <w:shd w:val="clear" w:color="auto" w:fill="FFFFFF"/>
          <w:lang w:eastAsia="en-AU"/>
        </w:rPr>
        <w:t xml:space="preserve">for the work of a teacher. </w:t>
      </w:r>
      <w:r w:rsidR="009E7498" w:rsidRPr="00734A50">
        <w:rPr>
          <w:rFonts w:ascii="Calibri" w:eastAsia="Times New Roman" w:hAnsi="Calibri" w:cs="Calibri"/>
          <w:color w:val="000000"/>
          <w:shd w:val="clear" w:color="auto" w:fill="FFFFFF"/>
          <w:lang w:eastAsia="en-AU"/>
        </w:rPr>
        <w:t>F</w:t>
      </w:r>
      <w:r w:rsidR="00CE2C9A" w:rsidRPr="00734A50">
        <w:rPr>
          <w:rFonts w:ascii="Calibri" w:eastAsia="Times New Roman" w:hAnsi="Calibri" w:cs="Calibri"/>
          <w:color w:val="000000"/>
          <w:shd w:val="clear" w:color="auto" w:fill="FFFFFF"/>
          <w:lang w:eastAsia="en-AU"/>
        </w:rPr>
        <w:t xml:space="preserve">eedback provided by beginning teachers to the </w:t>
      </w:r>
      <w:r w:rsidR="00A94F4B" w:rsidRPr="00734A50">
        <w:rPr>
          <w:rFonts w:ascii="Calibri" w:eastAsia="Times New Roman" w:hAnsi="Calibri" w:cs="Calibri"/>
          <w:color w:val="000000"/>
          <w:shd w:val="clear" w:color="auto" w:fill="FFFFFF"/>
          <w:lang w:eastAsia="en-AU"/>
        </w:rPr>
        <w:t xml:space="preserve">2022 </w:t>
      </w:r>
      <w:r w:rsidR="00CE2C9A" w:rsidRPr="00734A50">
        <w:rPr>
          <w:rFonts w:ascii="Calibri" w:eastAsia="Times New Roman" w:hAnsi="Calibri" w:cs="Calibri"/>
          <w:color w:val="000000"/>
          <w:shd w:val="clear" w:color="auto" w:fill="FFFFFF"/>
          <w:lang w:eastAsia="en-AU"/>
        </w:rPr>
        <w:t xml:space="preserve">Graduate Outcomes </w:t>
      </w:r>
      <w:r w:rsidR="00AB01A3" w:rsidRPr="00734A50">
        <w:rPr>
          <w:rFonts w:ascii="Calibri" w:eastAsia="Times New Roman" w:hAnsi="Calibri" w:cs="Calibri"/>
          <w:color w:val="000000"/>
          <w:shd w:val="clear" w:color="auto" w:fill="FFFFFF"/>
          <w:lang w:eastAsia="en-AU"/>
        </w:rPr>
        <w:t>S</w:t>
      </w:r>
      <w:r w:rsidR="00CE2C9A" w:rsidRPr="00734A50">
        <w:rPr>
          <w:rFonts w:ascii="Calibri" w:eastAsia="Times New Roman" w:hAnsi="Calibri" w:cs="Calibri"/>
          <w:color w:val="000000"/>
          <w:shd w:val="clear" w:color="auto" w:fill="FFFFFF"/>
          <w:lang w:eastAsia="en-AU"/>
        </w:rPr>
        <w:t>urvey</w:t>
      </w:r>
      <w:r w:rsidR="003006D9" w:rsidRPr="00734A50">
        <w:rPr>
          <w:rFonts w:ascii="Calibri" w:eastAsia="Times New Roman" w:hAnsi="Calibri" w:cs="Calibri"/>
          <w:color w:val="000000"/>
          <w:shd w:val="clear" w:color="auto" w:fill="FFFFFF"/>
          <w:lang w:eastAsia="en-AU"/>
        </w:rPr>
        <w:t xml:space="preserve"> (GOS)</w:t>
      </w:r>
      <w:r w:rsidR="00CE2C9A" w:rsidRPr="00734A50">
        <w:rPr>
          <w:rFonts w:ascii="Calibri" w:eastAsia="Times New Roman" w:hAnsi="Calibri" w:cs="Calibri"/>
          <w:color w:val="000000"/>
          <w:shd w:val="clear" w:color="auto" w:fill="FFFFFF"/>
          <w:lang w:eastAsia="en-AU"/>
        </w:rPr>
        <w:t xml:space="preserve"> </w:t>
      </w:r>
      <w:r w:rsidR="00F55B74" w:rsidRPr="00734A50">
        <w:rPr>
          <w:rFonts w:ascii="Calibri" w:eastAsia="Times New Roman" w:hAnsi="Calibri" w:cs="Calibri"/>
          <w:color w:val="000000"/>
          <w:shd w:val="clear" w:color="auto" w:fill="FFFFFF"/>
          <w:lang w:eastAsia="en-AU"/>
        </w:rPr>
        <w:t xml:space="preserve">on the main ways higher education providers could have better prepared them for employment </w:t>
      </w:r>
      <w:r w:rsidR="00200C94" w:rsidRPr="00734A50">
        <w:rPr>
          <w:rFonts w:ascii="Calibri" w:eastAsia="Times New Roman" w:hAnsi="Calibri" w:cs="Calibri"/>
          <w:color w:val="000000"/>
          <w:shd w:val="clear" w:color="auto" w:fill="FFFFFF"/>
          <w:lang w:eastAsia="en-AU"/>
        </w:rPr>
        <w:t>most commonly relate</w:t>
      </w:r>
      <w:r w:rsidR="004B496C">
        <w:rPr>
          <w:rFonts w:ascii="Calibri" w:eastAsia="Times New Roman" w:hAnsi="Calibri" w:cs="Calibri"/>
          <w:color w:val="000000"/>
          <w:shd w:val="clear" w:color="auto" w:fill="FFFFFF"/>
          <w:lang w:eastAsia="en-AU"/>
        </w:rPr>
        <w:t>d</w:t>
      </w:r>
      <w:r w:rsidR="00200C94" w:rsidRPr="00734A50">
        <w:rPr>
          <w:rFonts w:ascii="Calibri" w:eastAsia="Times New Roman" w:hAnsi="Calibri" w:cs="Calibri"/>
          <w:color w:val="000000"/>
          <w:shd w:val="clear" w:color="auto" w:fill="FFFFFF"/>
          <w:lang w:eastAsia="en-AU"/>
        </w:rPr>
        <w:t xml:space="preserve"> </w:t>
      </w:r>
      <w:r w:rsidR="009E7498" w:rsidRPr="00734A50">
        <w:rPr>
          <w:rFonts w:ascii="Calibri" w:eastAsia="Times New Roman" w:hAnsi="Calibri" w:cs="Calibri"/>
          <w:color w:val="000000"/>
          <w:shd w:val="clear" w:color="auto" w:fill="FFFFFF"/>
          <w:lang w:eastAsia="en-AU"/>
        </w:rPr>
        <w:t>to:</w:t>
      </w:r>
    </w:p>
    <w:p w14:paraId="09727D89" w14:textId="506A872F" w:rsidR="0074594C" w:rsidRPr="0074594C" w:rsidRDefault="0011105E" w:rsidP="0074594C">
      <w:pPr>
        <w:pStyle w:val="ListBullet"/>
        <w:numPr>
          <w:ilvl w:val="0"/>
          <w:numId w:val="214"/>
        </w:numPr>
        <w:spacing w:after="200"/>
        <w:ind w:left="357" w:hanging="357"/>
        <w:rPr>
          <w:shd w:val="clear" w:color="auto" w:fill="FFFFFF"/>
          <w:lang w:eastAsia="en-AU"/>
        </w:rPr>
      </w:pPr>
      <w:r w:rsidRPr="00734A50">
        <w:rPr>
          <w:b/>
          <w:bCs/>
          <w:shd w:val="clear" w:color="auto" w:fill="FFFFFF"/>
          <w:lang w:eastAsia="en-AU"/>
        </w:rPr>
        <w:t>Cour</w:t>
      </w:r>
      <w:r w:rsidR="00410CFD" w:rsidRPr="00734A50">
        <w:rPr>
          <w:b/>
          <w:bCs/>
          <w:shd w:val="clear" w:color="auto" w:fill="FFFFFF"/>
          <w:lang w:eastAsia="en-AU"/>
        </w:rPr>
        <w:t xml:space="preserve">se </w:t>
      </w:r>
      <w:r w:rsidR="00C677DD" w:rsidRPr="00734A50">
        <w:rPr>
          <w:b/>
          <w:bCs/>
          <w:shd w:val="clear" w:color="auto" w:fill="FFFFFF"/>
          <w:lang w:eastAsia="en-AU"/>
        </w:rPr>
        <w:t>attributes (</w:t>
      </w:r>
      <w:r w:rsidR="00410CFD" w:rsidRPr="00734A50">
        <w:rPr>
          <w:b/>
          <w:bCs/>
          <w:shd w:val="clear" w:color="auto" w:fill="FFFFFF"/>
          <w:lang w:eastAsia="en-AU"/>
        </w:rPr>
        <w:t>content, delivery and guidance</w:t>
      </w:r>
      <w:r w:rsidR="00C677DD" w:rsidRPr="00734A50">
        <w:rPr>
          <w:b/>
          <w:bCs/>
          <w:shd w:val="clear" w:color="auto" w:fill="FFFFFF"/>
          <w:lang w:eastAsia="en-AU"/>
        </w:rPr>
        <w:t>)</w:t>
      </w:r>
      <w:r w:rsidR="00410CFD" w:rsidRPr="00734A50">
        <w:rPr>
          <w:shd w:val="clear" w:color="auto" w:fill="FFFFFF"/>
          <w:lang w:eastAsia="en-AU"/>
        </w:rPr>
        <w:t xml:space="preserve"> (32 per cent of responses): </w:t>
      </w:r>
      <w:r w:rsidR="00B0415C" w:rsidRPr="00734A50">
        <w:rPr>
          <w:shd w:val="clear" w:color="auto" w:fill="FFFFFF"/>
          <w:lang w:eastAsia="en-AU"/>
        </w:rPr>
        <w:t xml:space="preserve">Beginning teachers </w:t>
      </w:r>
      <w:r w:rsidR="00281AD7" w:rsidRPr="00734A50">
        <w:rPr>
          <w:shd w:val="clear" w:color="auto" w:fill="FFFFFF"/>
          <w:lang w:eastAsia="en-AU"/>
        </w:rPr>
        <w:t xml:space="preserve">reported a need for better and more relevant </w:t>
      </w:r>
      <w:r w:rsidR="00281AD7" w:rsidRPr="00734A50">
        <w:t>course</w:t>
      </w:r>
      <w:r w:rsidR="00281AD7" w:rsidRPr="00734A50">
        <w:rPr>
          <w:shd w:val="clear" w:color="auto" w:fill="FFFFFF"/>
          <w:lang w:eastAsia="en-AU"/>
        </w:rPr>
        <w:t xml:space="preserve"> content, </w:t>
      </w:r>
      <w:r w:rsidR="00AB01A3" w:rsidRPr="00734A50">
        <w:rPr>
          <w:shd w:val="clear" w:color="auto" w:fill="FFFFFF"/>
          <w:lang w:eastAsia="en-AU"/>
        </w:rPr>
        <w:t xml:space="preserve">which they viewed as </w:t>
      </w:r>
      <w:r w:rsidR="003F28DC" w:rsidRPr="00734A50">
        <w:rPr>
          <w:shd w:val="clear" w:color="auto" w:fill="FFFFFF"/>
          <w:lang w:eastAsia="en-AU"/>
        </w:rPr>
        <w:t xml:space="preserve">being too theoretical and focused on teaching </w:t>
      </w:r>
      <w:r w:rsidR="00AB01A3" w:rsidRPr="00734A50">
        <w:rPr>
          <w:shd w:val="clear" w:color="auto" w:fill="FFFFFF"/>
          <w:lang w:eastAsia="en-AU"/>
        </w:rPr>
        <w:t>philosophies</w:t>
      </w:r>
      <w:r w:rsidR="003F28DC" w:rsidRPr="00734A50">
        <w:rPr>
          <w:shd w:val="clear" w:color="auto" w:fill="FFFFFF"/>
          <w:lang w:eastAsia="en-AU"/>
        </w:rPr>
        <w:t xml:space="preserve">. </w:t>
      </w:r>
      <w:r w:rsidR="00675FF7" w:rsidRPr="00734A50">
        <w:rPr>
          <w:shd w:val="clear" w:color="auto" w:fill="FFFFFF"/>
          <w:lang w:eastAsia="en-AU"/>
        </w:rPr>
        <w:t xml:space="preserve">They also reported </w:t>
      </w:r>
      <w:r w:rsidR="00DB246C" w:rsidRPr="00734A50">
        <w:rPr>
          <w:shd w:val="clear" w:color="auto" w:fill="FFFFFF"/>
          <w:lang w:eastAsia="en-AU"/>
        </w:rPr>
        <w:t xml:space="preserve">a desire for more practical and relevant </w:t>
      </w:r>
      <w:r w:rsidR="00117F97" w:rsidRPr="00734A50">
        <w:rPr>
          <w:shd w:val="clear" w:color="auto" w:fill="FFFFFF"/>
          <w:lang w:eastAsia="en-AU"/>
        </w:rPr>
        <w:t xml:space="preserve">teaching </w:t>
      </w:r>
      <w:r w:rsidR="00DB246C" w:rsidRPr="00734A50">
        <w:rPr>
          <w:shd w:val="clear" w:color="auto" w:fill="FFFFFF"/>
          <w:lang w:eastAsia="en-AU"/>
        </w:rPr>
        <w:t>assessments</w:t>
      </w:r>
      <w:r w:rsidR="00942FE5" w:rsidRPr="00734A50">
        <w:rPr>
          <w:shd w:val="clear" w:color="auto" w:fill="FFFFFF"/>
          <w:lang w:eastAsia="en-AU"/>
        </w:rPr>
        <w:t>;</w:t>
      </w:r>
      <w:r w:rsidR="000511A2" w:rsidRPr="00734A50">
        <w:rPr>
          <w:shd w:val="clear" w:color="auto" w:fill="FFFFFF"/>
          <w:lang w:eastAsia="en-AU"/>
        </w:rPr>
        <w:t xml:space="preserve"> </w:t>
      </w:r>
      <w:r w:rsidR="001B78DC" w:rsidRPr="00734A50">
        <w:rPr>
          <w:shd w:val="clear" w:color="auto" w:fill="FFFFFF"/>
          <w:lang w:eastAsia="en-AU"/>
        </w:rPr>
        <w:t>improved lecturer engagement with the course content</w:t>
      </w:r>
      <w:r w:rsidR="00942FE5" w:rsidRPr="00734A50">
        <w:rPr>
          <w:shd w:val="clear" w:color="auto" w:fill="FFFFFF"/>
          <w:lang w:eastAsia="en-AU"/>
        </w:rPr>
        <w:t>;</w:t>
      </w:r>
      <w:r w:rsidR="001B78DC" w:rsidRPr="00734A50">
        <w:rPr>
          <w:shd w:val="clear" w:color="auto" w:fill="FFFFFF"/>
          <w:lang w:eastAsia="en-AU"/>
        </w:rPr>
        <w:t xml:space="preserve"> and </w:t>
      </w:r>
      <w:r w:rsidR="00151BF7" w:rsidRPr="00734A50">
        <w:rPr>
          <w:shd w:val="clear" w:color="auto" w:fill="FFFFFF"/>
          <w:lang w:eastAsia="en-AU"/>
        </w:rPr>
        <w:t xml:space="preserve">more support with seeking </w:t>
      </w:r>
      <w:r w:rsidR="00875B86" w:rsidRPr="00734A50">
        <w:rPr>
          <w:shd w:val="clear" w:color="auto" w:fill="FFFFFF"/>
          <w:lang w:eastAsia="en-AU"/>
        </w:rPr>
        <w:t>employment</w:t>
      </w:r>
      <w:r w:rsidR="00942FE5" w:rsidRPr="00734A50">
        <w:rPr>
          <w:shd w:val="clear" w:color="auto" w:fill="FFFFFF"/>
          <w:lang w:eastAsia="en-AU"/>
        </w:rPr>
        <w:t>,</w:t>
      </w:r>
      <w:r w:rsidR="00875B86" w:rsidRPr="00734A50">
        <w:rPr>
          <w:shd w:val="clear" w:color="auto" w:fill="FFFFFF"/>
          <w:lang w:eastAsia="en-AU"/>
        </w:rPr>
        <w:t xml:space="preserve"> such as interview preparation. </w:t>
      </w:r>
    </w:p>
    <w:p w14:paraId="6BFED3B0" w14:textId="4E373CF6" w:rsidR="0074594C" w:rsidRPr="0074594C" w:rsidRDefault="0074594C" w:rsidP="0074594C">
      <w:pPr>
        <w:pBdr>
          <w:top w:val="single" w:sz="4" w:space="1" w:color="auto"/>
          <w:left w:val="single" w:sz="4" w:space="4" w:color="auto"/>
          <w:bottom w:val="single" w:sz="4" w:space="1" w:color="auto"/>
          <w:right w:val="single" w:sz="4" w:space="4" w:color="auto"/>
        </w:pBdr>
        <w:rPr>
          <w:color w:val="002C3E" w:themeColor="background2"/>
          <w:shd w:val="clear" w:color="auto" w:fill="FFFFFF"/>
          <w:lang w:eastAsia="en-AU"/>
        </w:rPr>
      </w:pPr>
      <w:r w:rsidRPr="0074594C">
        <w:rPr>
          <w:color w:val="002C3E" w:themeColor="background2"/>
          <w:shd w:val="clear" w:color="auto" w:fill="FFFFFF"/>
          <w:lang w:eastAsia="en-AU"/>
        </w:rPr>
        <w:t>‘Less information on learning philosophers and more information on practical activities/lessons to teach curriculum areas. More evidence-based strategies to effectively teach oral language and literacy are required’ (GOS respondent).</w:t>
      </w:r>
    </w:p>
    <w:p w14:paraId="58F63097" w14:textId="5DFF5123" w:rsidR="00981E85" w:rsidRDefault="00501BD1" w:rsidP="0026262D">
      <w:pPr>
        <w:pStyle w:val="ListBullet"/>
        <w:numPr>
          <w:ilvl w:val="0"/>
          <w:numId w:val="214"/>
        </w:numPr>
        <w:spacing w:after="200"/>
        <w:ind w:left="357" w:hanging="357"/>
        <w:rPr>
          <w:shd w:val="clear" w:color="auto" w:fill="FFFFFF"/>
          <w:lang w:eastAsia="en-AU"/>
        </w:rPr>
      </w:pPr>
      <w:r w:rsidRPr="00734A50">
        <w:rPr>
          <w:b/>
          <w:bCs/>
          <w:shd w:val="clear" w:color="auto" w:fill="FFFFFF"/>
          <w:lang w:eastAsia="en-AU"/>
        </w:rPr>
        <w:t>Practical experience</w:t>
      </w:r>
      <w:r w:rsidR="00A55AAB" w:rsidRPr="00734A50">
        <w:rPr>
          <w:shd w:val="clear" w:color="auto" w:fill="FFFFFF"/>
          <w:lang w:eastAsia="en-AU"/>
        </w:rPr>
        <w:t xml:space="preserve"> (31 per</w:t>
      </w:r>
      <w:r w:rsidR="00117F97" w:rsidRPr="00734A50">
        <w:rPr>
          <w:shd w:val="clear" w:color="auto" w:fill="FFFFFF"/>
          <w:lang w:eastAsia="en-AU"/>
        </w:rPr>
        <w:t xml:space="preserve"> cent of responses): </w:t>
      </w:r>
      <w:r w:rsidR="00F97825" w:rsidRPr="00734A50">
        <w:rPr>
          <w:shd w:val="clear" w:color="auto" w:fill="FFFFFF"/>
          <w:lang w:eastAsia="en-AU"/>
        </w:rPr>
        <w:t xml:space="preserve">Beginning teachers reported they would have benefited from a greater focus </w:t>
      </w:r>
      <w:r w:rsidR="00F97825" w:rsidRPr="00734A50">
        <w:t>on</w:t>
      </w:r>
      <w:r w:rsidR="00F97825" w:rsidRPr="00734A50">
        <w:rPr>
          <w:shd w:val="clear" w:color="auto" w:fill="FFFFFF"/>
          <w:lang w:eastAsia="en-AU"/>
        </w:rPr>
        <w:t xml:space="preserve"> </w:t>
      </w:r>
      <w:r w:rsidR="00862031" w:rsidRPr="00734A50">
        <w:rPr>
          <w:shd w:val="clear" w:color="auto" w:fill="FFFFFF"/>
          <w:lang w:eastAsia="en-AU"/>
        </w:rPr>
        <w:t xml:space="preserve">more practical </w:t>
      </w:r>
      <w:r w:rsidR="00157547" w:rsidRPr="00734A50">
        <w:rPr>
          <w:shd w:val="clear" w:color="auto" w:fill="FFFFFF"/>
          <w:lang w:eastAsia="en-AU"/>
        </w:rPr>
        <w:t>experience for teaching</w:t>
      </w:r>
      <w:r w:rsidR="0002073F" w:rsidRPr="00734A50">
        <w:rPr>
          <w:shd w:val="clear" w:color="auto" w:fill="FFFFFF"/>
          <w:lang w:eastAsia="en-AU"/>
        </w:rPr>
        <w:t xml:space="preserve"> in the</w:t>
      </w:r>
      <w:r w:rsidR="00862031" w:rsidRPr="00734A50">
        <w:rPr>
          <w:shd w:val="clear" w:color="auto" w:fill="FFFFFF"/>
          <w:lang w:eastAsia="en-AU"/>
        </w:rPr>
        <w:t xml:space="preserve"> classroom</w:t>
      </w:r>
      <w:r w:rsidR="001B00D3" w:rsidRPr="00734A50">
        <w:rPr>
          <w:shd w:val="clear" w:color="auto" w:fill="FFFFFF"/>
          <w:lang w:eastAsia="en-AU"/>
        </w:rPr>
        <w:t xml:space="preserve">. They also felt that </w:t>
      </w:r>
      <w:r w:rsidR="003D7B31" w:rsidRPr="00734A50">
        <w:rPr>
          <w:shd w:val="clear" w:color="auto" w:fill="FFFFFF"/>
          <w:lang w:eastAsia="en-AU"/>
        </w:rPr>
        <w:t xml:space="preserve">longer, more diverse and better organised practical experience placements would have better prepared them for employment. </w:t>
      </w:r>
    </w:p>
    <w:p w14:paraId="37D82F18" w14:textId="05A4306A" w:rsidR="0074594C" w:rsidRPr="0074594C" w:rsidRDefault="0074594C" w:rsidP="0074594C">
      <w:pPr>
        <w:pBdr>
          <w:top w:val="single" w:sz="4" w:space="1" w:color="auto"/>
          <w:left w:val="single" w:sz="4" w:space="4" w:color="auto"/>
          <w:bottom w:val="single" w:sz="4" w:space="1" w:color="auto"/>
          <w:right w:val="single" w:sz="4" w:space="4" w:color="auto"/>
        </w:pBdr>
        <w:rPr>
          <w:color w:val="002C3E" w:themeColor="background2"/>
        </w:rPr>
      </w:pPr>
      <w:r w:rsidRPr="0074594C">
        <w:rPr>
          <w:color w:val="002C3E" w:themeColor="background2"/>
          <w:shd w:val="clear" w:color="auto" w:fill="FFFFFF"/>
          <w:lang w:val="en-US" w:eastAsia="en-AU"/>
        </w:rPr>
        <w:t xml:space="preserve">‘More effectively organised practicum placements with enthusiastic and inspiring teachers’ </w:t>
      </w:r>
      <w:r w:rsidRPr="0074594C">
        <w:rPr>
          <w:color w:val="002C3E" w:themeColor="background2"/>
          <w:shd w:val="clear" w:color="auto" w:fill="FFFFFF"/>
          <w:lang w:eastAsia="en-AU"/>
        </w:rPr>
        <w:t>(GOS respondent).</w:t>
      </w:r>
    </w:p>
    <w:p w14:paraId="0483064A" w14:textId="7AA7DCE5" w:rsidR="0074594C" w:rsidRDefault="0074594C" w:rsidP="0074594C">
      <w:pPr>
        <w:pStyle w:val="ListBullet"/>
        <w:numPr>
          <w:ilvl w:val="0"/>
          <w:numId w:val="214"/>
        </w:numPr>
        <w:spacing w:after="200"/>
        <w:ind w:left="357" w:hanging="357"/>
        <w:rPr>
          <w:shd w:val="clear" w:color="auto" w:fill="FFFFFF"/>
          <w:lang w:eastAsia="en-AU"/>
        </w:rPr>
      </w:pPr>
      <w:r w:rsidRPr="00734A50">
        <w:rPr>
          <w:b/>
          <w:bCs/>
          <w:shd w:val="clear" w:color="auto" w:fill="FFFFFF"/>
          <w:lang w:eastAsia="en-AU"/>
        </w:rPr>
        <w:t>Teaching knowledge and skills</w:t>
      </w:r>
      <w:r w:rsidRPr="00734A50">
        <w:rPr>
          <w:shd w:val="clear" w:color="auto" w:fill="FFFFFF"/>
          <w:lang w:eastAsia="en-AU"/>
        </w:rPr>
        <w:t xml:space="preserve"> (25 per cent of responses): Beginning teachers reported they would have benefited from more practical knowledge applicable to the classroom, including in the areas of classroom management; teacher administration, assessment and reporting methods; inclusive education; curriculum knowledge; dealing with parents; and how to teach literacy and numeracy. </w:t>
      </w:r>
    </w:p>
    <w:p w14:paraId="0A60E0D8" w14:textId="77777777" w:rsidR="0074594C" w:rsidRPr="0074594C" w:rsidRDefault="0074594C" w:rsidP="0074594C">
      <w:pPr>
        <w:pBdr>
          <w:top w:val="single" w:sz="4" w:space="1" w:color="auto"/>
          <w:left w:val="single" w:sz="4" w:space="4" w:color="auto"/>
          <w:bottom w:val="single" w:sz="4" w:space="1" w:color="auto"/>
          <w:right w:val="single" w:sz="4" w:space="4" w:color="auto"/>
        </w:pBdr>
        <w:rPr>
          <w:color w:val="002C3E" w:themeColor="background2"/>
          <w:shd w:val="clear" w:color="auto" w:fill="FFFFFF"/>
          <w:lang w:eastAsia="en-AU"/>
        </w:rPr>
      </w:pPr>
      <w:r w:rsidRPr="0074594C">
        <w:rPr>
          <w:color w:val="002C3E" w:themeColor="background2"/>
          <w:shd w:val="clear" w:color="auto" w:fill="FFFFFF"/>
          <w:lang w:val="en-US" w:eastAsia="en-AU"/>
        </w:rPr>
        <w:lastRenderedPageBreak/>
        <w:t xml:space="preserve">‘The course content was very heavy, more hands on experience would have been more beneficial than constantly writing essays. I would have liked more instruction on </w:t>
      </w:r>
      <w:r w:rsidRPr="0074594C">
        <w:rPr>
          <w:color w:val="002C3E" w:themeColor="background2"/>
          <w:shd w:val="clear" w:color="auto" w:fill="FFFFFF"/>
          <w:lang w:eastAsia="en-AU"/>
        </w:rPr>
        <w:t xml:space="preserve">behaviour </w:t>
      </w:r>
      <w:r w:rsidRPr="0074594C">
        <w:rPr>
          <w:color w:val="002C3E" w:themeColor="background2"/>
          <w:shd w:val="clear" w:color="auto" w:fill="FFFFFF"/>
          <w:lang w:val="en-US" w:eastAsia="en-AU"/>
        </w:rPr>
        <w:t xml:space="preserve">management and how to build my skill set when dealing with children with defiant or destructive </w:t>
      </w:r>
      <w:r w:rsidRPr="0074594C">
        <w:rPr>
          <w:color w:val="002C3E" w:themeColor="background2"/>
          <w:shd w:val="clear" w:color="auto" w:fill="FFFFFF"/>
          <w:lang w:eastAsia="en-AU"/>
        </w:rPr>
        <w:t xml:space="preserve">behaviours’ (GOS respondent). </w:t>
      </w:r>
    </w:p>
    <w:p w14:paraId="3EE8E480" w14:textId="331D339C" w:rsidR="004E5DDE" w:rsidRPr="00734A50" w:rsidRDefault="00225A40" w:rsidP="00D6723D">
      <w:pPr>
        <w:pStyle w:val="Heading2"/>
        <w:spacing w:before="200"/>
      </w:pPr>
      <w:bookmarkStart w:id="40" w:name="_Toc139366627"/>
      <w:r w:rsidRPr="00734A50">
        <w:t xml:space="preserve">Implementing </w:t>
      </w:r>
      <w:r w:rsidR="007B6B14" w:rsidRPr="00734A50">
        <w:t>QITE Review</w:t>
      </w:r>
      <w:r w:rsidRPr="00734A50">
        <w:t xml:space="preserve"> </w:t>
      </w:r>
      <w:r w:rsidR="003202B0" w:rsidRPr="00734A50">
        <w:t>r</w:t>
      </w:r>
      <w:r w:rsidRPr="00734A50">
        <w:t>ecommendations</w:t>
      </w:r>
      <w:bookmarkEnd w:id="40"/>
    </w:p>
    <w:p w14:paraId="386772E7" w14:textId="0BA0779F" w:rsidR="00060CAB" w:rsidRPr="00734A50" w:rsidRDefault="00060CAB" w:rsidP="53B011C3">
      <w:pPr>
        <w:pStyle w:val="Default"/>
        <w:spacing w:after="200" w:line="276" w:lineRule="auto"/>
        <w:rPr>
          <w:rFonts w:asciiTheme="minorHAnsi" w:hAnsiTheme="minorHAnsi" w:cstheme="minorBidi"/>
          <w:color w:val="auto"/>
          <w:sz w:val="22"/>
          <w:szCs w:val="22"/>
        </w:rPr>
      </w:pPr>
      <w:r w:rsidRPr="00734A50">
        <w:rPr>
          <w:rFonts w:asciiTheme="minorHAnsi" w:hAnsiTheme="minorHAnsi" w:cstheme="minorBidi"/>
          <w:color w:val="auto"/>
          <w:sz w:val="22"/>
          <w:szCs w:val="22"/>
        </w:rPr>
        <w:t xml:space="preserve">The QITE Review </w:t>
      </w:r>
      <w:r w:rsidR="00F6606C" w:rsidRPr="00734A50">
        <w:rPr>
          <w:rFonts w:asciiTheme="minorHAnsi" w:hAnsiTheme="minorHAnsi" w:cstheme="minorBidi"/>
          <w:color w:val="auto"/>
          <w:sz w:val="22"/>
          <w:szCs w:val="22"/>
        </w:rPr>
        <w:t>made 17 recommendations to strengthen ITE</w:t>
      </w:r>
      <w:r w:rsidR="008C5636" w:rsidRPr="00734A50">
        <w:rPr>
          <w:rFonts w:asciiTheme="minorHAnsi" w:hAnsiTheme="minorHAnsi" w:cstheme="minorBidi"/>
          <w:color w:val="auto"/>
          <w:sz w:val="22"/>
          <w:szCs w:val="22"/>
        </w:rPr>
        <w:t xml:space="preserve"> and encourage more people to become teachers</w:t>
      </w:r>
      <w:r w:rsidR="00F6606C" w:rsidRPr="00734A50">
        <w:rPr>
          <w:rFonts w:asciiTheme="minorHAnsi" w:hAnsiTheme="minorHAnsi" w:cstheme="minorBidi"/>
          <w:color w:val="auto"/>
          <w:sz w:val="22"/>
          <w:szCs w:val="22"/>
        </w:rPr>
        <w:t xml:space="preserve">, including raising the status of teaching (Recommendation 1) and </w:t>
      </w:r>
      <w:r w:rsidR="00D700F1" w:rsidRPr="00734A50">
        <w:rPr>
          <w:rFonts w:asciiTheme="minorHAnsi" w:hAnsiTheme="minorHAnsi" w:cstheme="minorBidi"/>
          <w:color w:val="auto"/>
          <w:sz w:val="22"/>
          <w:szCs w:val="22"/>
        </w:rPr>
        <w:t xml:space="preserve">reducing teachers’ workloads (Recommendation 3). </w:t>
      </w:r>
    </w:p>
    <w:p w14:paraId="0F60AAC9" w14:textId="69DF09E5" w:rsidR="002F1C1C" w:rsidRPr="00734A50" w:rsidRDefault="00204302" w:rsidP="6DDCDED7">
      <w:pPr>
        <w:pStyle w:val="Default"/>
        <w:spacing w:after="200" w:line="276" w:lineRule="auto"/>
        <w:rPr>
          <w:rFonts w:asciiTheme="minorHAnsi" w:hAnsiTheme="minorHAnsi" w:cstheme="minorBidi"/>
          <w:color w:val="auto"/>
          <w:sz w:val="22"/>
          <w:szCs w:val="22"/>
        </w:rPr>
      </w:pPr>
      <w:r w:rsidRPr="00734A50">
        <w:rPr>
          <w:rFonts w:asciiTheme="minorHAnsi" w:hAnsiTheme="minorHAnsi" w:cstheme="minorBidi"/>
          <w:color w:val="auto"/>
          <w:sz w:val="22"/>
          <w:szCs w:val="22"/>
        </w:rPr>
        <w:t>In keeping with its Terms of Reference, t</w:t>
      </w:r>
      <w:r w:rsidR="002F1C1C" w:rsidRPr="00734A50">
        <w:rPr>
          <w:rFonts w:asciiTheme="minorHAnsi" w:hAnsiTheme="minorHAnsi" w:cstheme="minorBidi"/>
          <w:color w:val="auto"/>
          <w:sz w:val="22"/>
          <w:szCs w:val="22"/>
        </w:rPr>
        <w:t xml:space="preserve">his Panel’s report </w:t>
      </w:r>
      <w:r w:rsidR="00AA5BF3" w:rsidRPr="00734A50">
        <w:rPr>
          <w:rFonts w:asciiTheme="minorHAnsi" w:hAnsiTheme="minorHAnsi" w:cstheme="minorBidi"/>
          <w:color w:val="auto"/>
          <w:sz w:val="22"/>
          <w:szCs w:val="22"/>
        </w:rPr>
        <w:t xml:space="preserve">focuses </w:t>
      </w:r>
      <w:r w:rsidR="002F1C1C" w:rsidRPr="00734A50">
        <w:rPr>
          <w:rFonts w:asciiTheme="minorHAnsi" w:hAnsiTheme="minorHAnsi" w:cstheme="minorBidi"/>
          <w:color w:val="auto"/>
          <w:sz w:val="22"/>
          <w:szCs w:val="22"/>
        </w:rPr>
        <w:t xml:space="preserve">on successfully implementing </w:t>
      </w:r>
      <w:r w:rsidR="00E76EB7" w:rsidRPr="00734A50">
        <w:rPr>
          <w:rFonts w:asciiTheme="minorHAnsi" w:hAnsiTheme="minorHAnsi" w:cstheme="minorBidi"/>
          <w:color w:val="auto"/>
          <w:sz w:val="22"/>
          <w:szCs w:val="22"/>
        </w:rPr>
        <w:t>t</w:t>
      </w:r>
      <w:r w:rsidR="00A94F63" w:rsidRPr="00734A50">
        <w:rPr>
          <w:rFonts w:asciiTheme="minorHAnsi" w:hAnsiTheme="minorHAnsi" w:cstheme="minorBidi"/>
          <w:color w:val="auto"/>
          <w:sz w:val="22"/>
          <w:szCs w:val="22"/>
        </w:rPr>
        <w:t xml:space="preserve">wo key </w:t>
      </w:r>
      <w:r w:rsidR="002F1C1C" w:rsidRPr="00734A50">
        <w:rPr>
          <w:rFonts w:asciiTheme="minorHAnsi" w:hAnsiTheme="minorHAnsi" w:cstheme="minorBidi"/>
          <w:color w:val="auto"/>
          <w:sz w:val="22"/>
          <w:szCs w:val="22"/>
        </w:rPr>
        <w:t>recommendations</w:t>
      </w:r>
      <w:r w:rsidR="000542FF" w:rsidRPr="00734A50">
        <w:rPr>
          <w:rFonts w:asciiTheme="minorHAnsi" w:hAnsiTheme="minorHAnsi" w:cstheme="minorBidi"/>
          <w:color w:val="auto"/>
          <w:sz w:val="22"/>
          <w:szCs w:val="22"/>
        </w:rPr>
        <w:t xml:space="preserve"> from the QITE Review</w:t>
      </w:r>
      <w:r w:rsidRPr="00734A50">
        <w:rPr>
          <w:rFonts w:asciiTheme="minorHAnsi" w:hAnsiTheme="minorHAnsi" w:cstheme="minorBidi"/>
          <w:color w:val="auto"/>
          <w:sz w:val="22"/>
          <w:szCs w:val="22"/>
        </w:rPr>
        <w:t>:</w:t>
      </w:r>
      <w:r w:rsidR="0091130A" w:rsidRPr="00734A50">
        <w:rPr>
          <w:rFonts w:asciiTheme="minorHAnsi" w:hAnsiTheme="minorHAnsi" w:cstheme="minorBidi"/>
          <w:color w:val="auto"/>
          <w:sz w:val="22"/>
          <w:szCs w:val="22"/>
        </w:rPr>
        <w:t xml:space="preserve"> </w:t>
      </w:r>
      <w:r w:rsidR="002F1C1C" w:rsidRPr="00734A50">
        <w:rPr>
          <w:rFonts w:asciiTheme="minorHAnsi" w:hAnsiTheme="minorHAnsi" w:cstheme="minorBidi"/>
          <w:color w:val="auto"/>
          <w:sz w:val="22"/>
          <w:szCs w:val="22"/>
        </w:rPr>
        <w:t xml:space="preserve">Recommendation 7 to strengthen ITE programs to deliver confident </w:t>
      </w:r>
      <w:r w:rsidR="4615F57E" w:rsidRPr="00734A50">
        <w:rPr>
          <w:rFonts w:asciiTheme="minorHAnsi" w:hAnsiTheme="minorHAnsi" w:cstheme="minorBidi"/>
          <w:color w:val="auto"/>
          <w:sz w:val="22"/>
          <w:szCs w:val="22"/>
        </w:rPr>
        <w:t>beginning teachers</w:t>
      </w:r>
      <w:r w:rsidR="00A94F63" w:rsidRPr="00734A50">
        <w:rPr>
          <w:rFonts w:asciiTheme="minorHAnsi" w:hAnsiTheme="minorHAnsi" w:cstheme="minorBidi"/>
          <w:color w:val="auto"/>
          <w:sz w:val="22"/>
          <w:szCs w:val="22"/>
        </w:rPr>
        <w:t>;</w:t>
      </w:r>
      <w:r w:rsidR="002F1C1C" w:rsidRPr="00734A50">
        <w:rPr>
          <w:rFonts w:asciiTheme="minorHAnsi" w:hAnsiTheme="minorHAnsi" w:cstheme="minorBidi"/>
          <w:color w:val="auto"/>
          <w:sz w:val="22"/>
          <w:szCs w:val="22"/>
        </w:rPr>
        <w:t xml:space="preserve"> and Recommendation 15 to strengthen the link between performance and funding of ITE.</w:t>
      </w:r>
      <w:r w:rsidR="00D25DD7" w:rsidRPr="00734A50">
        <w:rPr>
          <w:rFonts w:asciiTheme="minorHAnsi" w:hAnsiTheme="minorHAnsi" w:cstheme="minorBidi"/>
          <w:color w:val="auto"/>
          <w:sz w:val="22"/>
          <w:szCs w:val="22"/>
        </w:rPr>
        <w:t xml:space="preserve"> </w:t>
      </w:r>
      <w:r w:rsidR="00FA1693" w:rsidRPr="00734A50">
        <w:rPr>
          <w:rFonts w:asciiTheme="minorHAnsi" w:hAnsiTheme="minorHAnsi" w:cstheme="minorBidi"/>
          <w:color w:val="auto"/>
          <w:sz w:val="22"/>
          <w:szCs w:val="22"/>
        </w:rPr>
        <w:t xml:space="preserve">The report also focuses on key issues raised at the Teacher Workforce Shortage Roundtable and in the Report of the </w:t>
      </w:r>
      <w:r w:rsidR="003006D9" w:rsidRPr="00734A50">
        <w:rPr>
          <w:rFonts w:asciiTheme="minorHAnsi" w:hAnsiTheme="minorHAnsi" w:cstheme="minorBidi"/>
          <w:color w:val="auto"/>
          <w:sz w:val="22"/>
          <w:szCs w:val="22"/>
        </w:rPr>
        <w:t>QITE</w:t>
      </w:r>
      <w:r w:rsidR="00FA1693" w:rsidRPr="00734A50">
        <w:rPr>
          <w:rFonts w:asciiTheme="minorHAnsi" w:hAnsiTheme="minorHAnsi" w:cstheme="minorBidi"/>
          <w:color w:val="auto"/>
          <w:sz w:val="22"/>
          <w:szCs w:val="22"/>
        </w:rPr>
        <w:t xml:space="preserve"> Review.</w:t>
      </w:r>
    </w:p>
    <w:p w14:paraId="61676817" w14:textId="3F668D99" w:rsidR="00907A04" w:rsidRPr="00734A50" w:rsidRDefault="00831812" w:rsidP="00385BE0">
      <w:r w:rsidRPr="00734A50">
        <w:t xml:space="preserve">The </w:t>
      </w:r>
      <w:r w:rsidR="003F23C8" w:rsidRPr="00734A50">
        <w:t xml:space="preserve">Panel </w:t>
      </w:r>
      <w:r w:rsidR="00A94F63" w:rsidRPr="00734A50">
        <w:t xml:space="preserve">has </w:t>
      </w:r>
      <w:r w:rsidR="00E116A1" w:rsidRPr="00734A50">
        <w:t>considered</w:t>
      </w:r>
      <w:r w:rsidR="00A94F63" w:rsidRPr="00734A50">
        <w:t xml:space="preserve"> </w:t>
      </w:r>
      <w:r w:rsidR="0037384E" w:rsidRPr="00734A50">
        <w:t>how these recommendations should be implemented</w:t>
      </w:r>
      <w:r w:rsidR="005A3669" w:rsidRPr="00734A50">
        <w:t xml:space="preserve">, </w:t>
      </w:r>
      <w:r w:rsidR="008B7536" w:rsidRPr="00734A50">
        <w:t>given</w:t>
      </w:r>
      <w:r w:rsidR="005A3669" w:rsidRPr="00734A50">
        <w:t xml:space="preserve"> the </w:t>
      </w:r>
      <w:r w:rsidR="00AB4C85" w:rsidRPr="00734A50">
        <w:t>sector’s</w:t>
      </w:r>
      <w:r w:rsidR="00F1078B" w:rsidRPr="00734A50">
        <w:t xml:space="preserve"> complex regulatory and funding environment</w:t>
      </w:r>
      <w:r w:rsidR="00D662DD" w:rsidRPr="00734A50">
        <w:t xml:space="preserve">. </w:t>
      </w:r>
      <w:r w:rsidR="00E74E7A" w:rsidRPr="00734A50">
        <w:t>E</w:t>
      </w:r>
      <w:r w:rsidR="00985559" w:rsidRPr="00734A50">
        <w:t>nsuring</w:t>
      </w:r>
      <w:r w:rsidR="00FD57C8" w:rsidRPr="00734A50">
        <w:t xml:space="preserve"> a strong foundation for beginning teachers </w:t>
      </w:r>
      <w:r w:rsidR="00F1078B" w:rsidRPr="00734A50">
        <w:t>cannot be addressed by any one jurisdiction</w:t>
      </w:r>
      <w:r w:rsidR="00701641" w:rsidRPr="00734A50">
        <w:t xml:space="preserve"> or part of the sector</w:t>
      </w:r>
      <w:r w:rsidR="00F1078B" w:rsidRPr="00734A50">
        <w:t xml:space="preserve">; successfully implementing </w:t>
      </w:r>
      <w:r w:rsidR="00544A62" w:rsidRPr="00734A50">
        <w:t>the</w:t>
      </w:r>
      <w:r w:rsidR="00AB4C85" w:rsidRPr="00734A50">
        <w:t xml:space="preserve"> Panel’s</w:t>
      </w:r>
      <w:r w:rsidR="00544A62" w:rsidRPr="00734A50">
        <w:t xml:space="preserve"> recommendations </w:t>
      </w:r>
      <w:r w:rsidR="00710DF7" w:rsidRPr="00734A50">
        <w:t>will</w:t>
      </w:r>
      <w:r w:rsidR="00F1078B" w:rsidRPr="00734A50">
        <w:t xml:space="preserve"> be a shared responsibility.</w:t>
      </w:r>
    </w:p>
    <w:p w14:paraId="6FCCC583" w14:textId="0F3E82CF" w:rsidR="00E90047" w:rsidRPr="00734A50" w:rsidRDefault="00D37083" w:rsidP="004D4DA8">
      <w:pPr>
        <w:pStyle w:val="Heading2"/>
      </w:pPr>
      <w:bookmarkStart w:id="41" w:name="_Toc139366628"/>
      <w:r w:rsidRPr="00734A50">
        <w:t xml:space="preserve">Structure of the </w:t>
      </w:r>
      <w:r w:rsidR="003202B0" w:rsidRPr="00734A50">
        <w:t>r</w:t>
      </w:r>
      <w:r w:rsidRPr="00734A50">
        <w:t>eport</w:t>
      </w:r>
      <w:bookmarkEnd w:id="41"/>
    </w:p>
    <w:p w14:paraId="2F0C4073" w14:textId="56523FF0" w:rsidR="006A68DA" w:rsidRPr="00734A50" w:rsidRDefault="00826D2C" w:rsidP="004545D9">
      <w:pPr>
        <w:spacing w:after="0"/>
      </w:pPr>
      <w:r w:rsidRPr="00734A50">
        <w:t>Th</w:t>
      </w:r>
      <w:r w:rsidR="009C6161" w:rsidRPr="00734A50">
        <w:t>e</w:t>
      </w:r>
      <w:r w:rsidR="00AD56FD" w:rsidRPr="00734A50">
        <w:t xml:space="preserve"> report contains four chapters </w:t>
      </w:r>
      <w:r w:rsidR="00213AE7" w:rsidRPr="00734A50">
        <w:t>align</w:t>
      </w:r>
      <w:r w:rsidR="00E65732" w:rsidRPr="00734A50">
        <w:t>ed</w:t>
      </w:r>
      <w:r w:rsidR="00333036" w:rsidRPr="00734A50">
        <w:t xml:space="preserve"> </w:t>
      </w:r>
      <w:r w:rsidR="00213AE7" w:rsidRPr="00734A50">
        <w:t>to the key areas of reform within</w:t>
      </w:r>
      <w:r w:rsidR="00333036" w:rsidRPr="00734A50">
        <w:t xml:space="preserve"> the Panel’s </w:t>
      </w:r>
      <w:r w:rsidR="00213AE7" w:rsidRPr="00734A50">
        <w:t xml:space="preserve">remit. </w:t>
      </w:r>
      <w:r w:rsidR="00ED4FE8" w:rsidRPr="00734A50">
        <w:t xml:space="preserve">Each chapter provides an outline of </w:t>
      </w:r>
      <w:r w:rsidR="004B6CF7" w:rsidRPr="00734A50">
        <w:t xml:space="preserve">the </w:t>
      </w:r>
      <w:r w:rsidR="00ED4FE8" w:rsidRPr="00734A50">
        <w:t>context, key findings and recommendations for reform</w:t>
      </w:r>
      <w:r w:rsidR="004E2567" w:rsidRPr="00734A50">
        <w:t xml:space="preserve">, </w:t>
      </w:r>
      <w:r w:rsidR="0026330C" w:rsidRPr="00734A50">
        <w:t>in</w:t>
      </w:r>
      <w:r w:rsidR="003E46BF" w:rsidRPr="00734A50">
        <w:t>formed by</w:t>
      </w:r>
      <w:r w:rsidR="005B0D13" w:rsidRPr="00734A50">
        <w:t xml:space="preserve"> </w:t>
      </w:r>
      <w:r w:rsidR="0057608D" w:rsidRPr="00734A50">
        <w:t xml:space="preserve">stakeholder feedback </w:t>
      </w:r>
      <w:r w:rsidR="00CA0835" w:rsidRPr="00734A50">
        <w:t xml:space="preserve">received </w:t>
      </w:r>
      <w:r w:rsidR="006F5EE5" w:rsidRPr="00734A50">
        <w:t>on the</w:t>
      </w:r>
      <w:r w:rsidR="0026330C" w:rsidRPr="00734A50">
        <w:t xml:space="preserve"> </w:t>
      </w:r>
      <w:r w:rsidR="00E701E1" w:rsidRPr="00734A50">
        <w:t>Panel’s</w:t>
      </w:r>
      <w:r w:rsidR="006F5EE5" w:rsidRPr="00734A50">
        <w:t xml:space="preserve"> Discussion Paper.</w:t>
      </w:r>
    </w:p>
    <w:p w14:paraId="165DE9AB" w14:textId="22FA20D3" w:rsidR="00822BBC" w:rsidRPr="00734A50" w:rsidRDefault="000D3EDD" w:rsidP="00EF7E90">
      <w:pPr>
        <w:pStyle w:val="ListBullet"/>
        <w:numPr>
          <w:ilvl w:val="0"/>
          <w:numId w:val="212"/>
        </w:numPr>
      </w:pPr>
      <w:r w:rsidRPr="00734A50">
        <w:rPr>
          <w:b/>
          <w:bCs/>
        </w:rPr>
        <w:t>Chapter 1</w:t>
      </w:r>
      <w:r w:rsidR="00213AE7" w:rsidRPr="00734A50">
        <w:t xml:space="preserve"> </w:t>
      </w:r>
      <w:r w:rsidR="007608B9" w:rsidRPr="00734A50">
        <w:t>focuses</w:t>
      </w:r>
      <w:r w:rsidR="0062635F" w:rsidRPr="00734A50">
        <w:t xml:space="preserve"> on</w:t>
      </w:r>
      <w:r w:rsidRPr="00734A50">
        <w:t xml:space="preserve"> </w:t>
      </w:r>
      <w:r w:rsidR="0062635F" w:rsidRPr="00734A50">
        <w:t>s</w:t>
      </w:r>
      <w:r w:rsidRPr="00734A50">
        <w:t xml:space="preserve">trengthening </w:t>
      </w:r>
      <w:r w:rsidR="0062635F" w:rsidRPr="00734A50">
        <w:t>ITE</w:t>
      </w:r>
      <w:r w:rsidRPr="00734A50">
        <w:t xml:space="preserve"> programs to deliver confident, effective beginning teachers</w:t>
      </w:r>
      <w:r w:rsidR="0062635F" w:rsidRPr="00734A50">
        <w:t xml:space="preserve"> (</w:t>
      </w:r>
      <w:r w:rsidR="007608B9" w:rsidRPr="00734A50">
        <w:t xml:space="preserve">aligned to </w:t>
      </w:r>
      <w:r w:rsidR="009B5146" w:rsidRPr="00734A50">
        <w:t xml:space="preserve">QITE Review </w:t>
      </w:r>
      <w:r w:rsidR="007608B9" w:rsidRPr="00734A50">
        <w:t>Recommendation 7)</w:t>
      </w:r>
      <w:r w:rsidR="00C53691" w:rsidRPr="00734A50">
        <w:t xml:space="preserve"> and </w:t>
      </w:r>
      <w:r w:rsidR="009B5146" w:rsidRPr="00734A50">
        <w:t>provides</w:t>
      </w:r>
      <w:r w:rsidR="2AB8D958" w:rsidRPr="00734A50">
        <w:t xml:space="preserve"> Recommendations 1</w:t>
      </w:r>
      <w:r w:rsidR="003202B0" w:rsidRPr="00734A50">
        <w:t>–</w:t>
      </w:r>
      <w:r w:rsidR="2AB8D958" w:rsidRPr="00734A50">
        <w:t>3.</w:t>
      </w:r>
      <w:r w:rsidR="006F3BCA" w:rsidRPr="00734A50">
        <w:t xml:space="preserve"> </w:t>
      </w:r>
    </w:p>
    <w:p w14:paraId="3F2DDB16" w14:textId="59671C67" w:rsidR="000D3EDD" w:rsidRPr="00734A50" w:rsidRDefault="000D3EDD" w:rsidP="00EF7E90">
      <w:pPr>
        <w:pStyle w:val="ListBullet"/>
        <w:numPr>
          <w:ilvl w:val="0"/>
          <w:numId w:val="212"/>
        </w:numPr>
      </w:pPr>
      <w:r w:rsidRPr="00734A50">
        <w:rPr>
          <w:b/>
          <w:bCs/>
        </w:rPr>
        <w:t>Chapter 2</w:t>
      </w:r>
      <w:r w:rsidR="00054177" w:rsidRPr="00734A50">
        <w:t xml:space="preserve"> focuses on s</w:t>
      </w:r>
      <w:r w:rsidRPr="00734A50">
        <w:t>trengthening the link between performance and funding of ITE programs</w:t>
      </w:r>
      <w:r w:rsidR="00054177" w:rsidRPr="00734A50">
        <w:t xml:space="preserve"> (aligned to </w:t>
      </w:r>
      <w:r w:rsidR="009B5146" w:rsidRPr="00734A50">
        <w:t xml:space="preserve">QITE Review </w:t>
      </w:r>
      <w:r w:rsidR="00054177" w:rsidRPr="00734A50">
        <w:t>Recommendation 15)</w:t>
      </w:r>
      <w:r w:rsidR="00C53691" w:rsidRPr="00734A50">
        <w:t xml:space="preserve"> and </w:t>
      </w:r>
      <w:r w:rsidR="00F37C70" w:rsidRPr="00734A50">
        <w:t>provides</w:t>
      </w:r>
      <w:r w:rsidR="00C53691" w:rsidRPr="00734A50">
        <w:t xml:space="preserve"> Recommendations</w:t>
      </w:r>
      <w:r w:rsidR="00AF1232" w:rsidRPr="00734A50">
        <w:t> </w:t>
      </w:r>
      <w:r w:rsidR="00C53691" w:rsidRPr="00734A50">
        <w:t>4</w:t>
      </w:r>
      <w:r w:rsidR="003202B0" w:rsidRPr="00734A50">
        <w:t>–</w:t>
      </w:r>
      <w:r w:rsidR="00ED5268" w:rsidRPr="00734A50">
        <w:t>7</w:t>
      </w:r>
      <w:r w:rsidR="00054177" w:rsidRPr="00734A50">
        <w:t>.</w:t>
      </w:r>
    </w:p>
    <w:p w14:paraId="3342CDF3" w14:textId="2B3A0369" w:rsidR="000D3EDD" w:rsidRPr="00734A50" w:rsidRDefault="000D3EDD" w:rsidP="00EF7E90">
      <w:pPr>
        <w:pStyle w:val="ListBullet"/>
        <w:numPr>
          <w:ilvl w:val="0"/>
          <w:numId w:val="212"/>
        </w:numPr>
      </w:pPr>
      <w:r w:rsidRPr="00734A50">
        <w:rPr>
          <w:b/>
          <w:bCs/>
        </w:rPr>
        <w:t>Chapter 3</w:t>
      </w:r>
      <w:r w:rsidR="00054177" w:rsidRPr="00734A50">
        <w:t xml:space="preserve"> focuses on i</w:t>
      </w:r>
      <w:r w:rsidRPr="00734A50">
        <w:t>mproving the quality of practical experience in teaching</w:t>
      </w:r>
      <w:r w:rsidR="00ED5268" w:rsidRPr="00734A50">
        <w:t xml:space="preserve"> and </w:t>
      </w:r>
      <w:r w:rsidR="00F37C70" w:rsidRPr="00734A50">
        <w:t>provides</w:t>
      </w:r>
      <w:r w:rsidR="00ED5268" w:rsidRPr="00734A50">
        <w:t xml:space="preserve"> Recommendations 8</w:t>
      </w:r>
      <w:r w:rsidR="003202B0" w:rsidRPr="00734A50">
        <w:t>–</w:t>
      </w:r>
      <w:r w:rsidR="00ED5268" w:rsidRPr="00734A50">
        <w:t>1</w:t>
      </w:r>
      <w:r w:rsidR="0025799D" w:rsidRPr="00734A50">
        <w:t>1</w:t>
      </w:r>
      <w:r w:rsidR="00054177" w:rsidRPr="00734A50">
        <w:t>.</w:t>
      </w:r>
    </w:p>
    <w:p w14:paraId="49DE2D85" w14:textId="796E0EBD" w:rsidR="000D3EDD" w:rsidRPr="00734A50" w:rsidRDefault="000D3EDD" w:rsidP="0026262D">
      <w:pPr>
        <w:pStyle w:val="ListBullet"/>
        <w:numPr>
          <w:ilvl w:val="0"/>
          <w:numId w:val="212"/>
        </w:numPr>
        <w:spacing w:after="200"/>
        <w:ind w:left="357" w:hanging="357"/>
      </w:pPr>
      <w:r w:rsidRPr="00734A50">
        <w:rPr>
          <w:b/>
          <w:bCs/>
        </w:rPr>
        <w:t>Chapter 4</w:t>
      </w:r>
      <w:r w:rsidR="00054177" w:rsidRPr="00734A50">
        <w:t xml:space="preserve"> focuses on i</w:t>
      </w:r>
      <w:r w:rsidRPr="00734A50">
        <w:t>mproving postgraduate ITE programs for mid-career entrants</w:t>
      </w:r>
      <w:r w:rsidR="00ED5268" w:rsidRPr="00734A50">
        <w:t xml:space="preserve"> and </w:t>
      </w:r>
      <w:r w:rsidR="00F37C70" w:rsidRPr="00734A50">
        <w:t>provides</w:t>
      </w:r>
      <w:r w:rsidR="00ED5268" w:rsidRPr="00734A50">
        <w:t xml:space="preserve"> Recommendations 1</w:t>
      </w:r>
      <w:r w:rsidR="0025799D" w:rsidRPr="00734A50">
        <w:t>2</w:t>
      </w:r>
      <w:r w:rsidR="003202B0" w:rsidRPr="00734A50">
        <w:t>–</w:t>
      </w:r>
      <w:r w:rsidR="004D1EC8" w:rsidRPr="00734A50">
        <w:t>1</w:t>
      </w:r>
      <w:r w:rsidR="0025799D" w:rsidRPr="00734A50">
        <w:t>4</w:t>
      </w:r>
      <w:r w:rsidR="00054177" w:rsidRPr="00734A50">
        <w:t>.</w:t>
      </w:r>
    </w:p>
    <w:p w14:paraId="20D748F1" w14:textId="5F6AF853" w:rsidR="0079461D" w:rsidRPr="00734A50" w:rsidRDefault="00461A52" w:rsidP="00461A52">
      <w:pPr>
        <w:spacing w:after="0"/>
      </w:pPr>
      <w:r w:rsidRPr="00734A50">
        <w:t xml:space="preserve">Supporting information is provided in the </w:t>
      </w:r>
      <w:r w:rsidR="003202B0" w:rsidRPr="00734A50">
        <w:t>a</w:t>
      </w:r>
      <w:r w:rsidRPr="00734A50">
        <w:t xml:space="preserve">ppendices: </w:t>
      </w:r>
    </w:p>
    <w:p w14:paraId="2448C50C" w14:textId="3CB95E8F" w:rsidR="00461A52" w:rsidRPr="00734A50" w:rsidRDefault="00461A52" w:rsidP="00180A03">
      <w:pPr>
        <w:pStyle w:val="ListBullet"/>
        <w:numPr>
          <w:ilvl w:val="0"/>
          <w:numId w:val="213"/>
        </w:numPr>
      </w:pPr>
      <w:r w:rsidRPr="00734A50">
        <w:rPr>
          <w:b/>
          <w:bCs/>
        </w:rPr>
        <w:t>Appendix A:</w:t>
      </w:r>
      <w:r w:rsidRPr="00734A50">
        <w:t xml:space="preserve"> Terms of Reference</w:t>
      </w:r>
    </w:p>
    <w:p w14:paraId="2ACCFA1B" w14:textId="70406FB8" w:rsidR="00461A52" w:rsidRPr="00734A50" w:rsidRDefault="00461A52" w:rsidP="00180A03">
      <w:pPr>
        <w:pStyle w:val="ListBullet"/>
        <w:numPr>
          <w:ilvl w:val="0"/>
          <w:numId w:val="213"/>
        </w:numPr>
      </w:pPr>
      <w:r w:rsidRPr="00734A50">
        <w:rPr>
          <w:b/>
          <w:bCs/>
        </w:rPr>
        <w:t>Appendix B:</w:t>
      </w:r>
      <w:r w:rsidRPr="00734A50">
        <w:t xml:space="preserve"> Submission </w:t>
      </w:r>
      <w:r w:rsidR="003202B0" w:rsidRPr="00734A50">
        <w:t>l</w:t>
      </w:r>
      <w:r w:rsidRPr="00734A50">
        <w:t>ist</w:t>
      </w:r>
      <w:r w:rsidR="007E027C" w:rsidRPr="00734A50">
        <w:t xml:space="preserve"> and stakeholder meetings</w:t>
      </w:r>
    </w:p>
    <w:p w14:paraId="4F714547" w14:textId="049FE195" w:rsidR="00461A52" w:rsidRPr="00734A50" w:rsidRDefault="00461A52" w:rsidP="00180A03">
      <w:pPr>
        <w:pStyle w:val="ListBullet"/>
        <w:numPr>
          <w:ilvl w:val="0"/>
          <w:numId w:val="213"/>
        </w:numPr>
      </w:pPr>
      <w:r w:rsidRPr="00734A50">
        <w:rPr>
          <w:b/>
          <w:bCs/>
        </w:rPr>
        <w:t>Appendix C:</w:t>
      </w:r>
      <w:r w:rsidRPr="00734A50">
        <w:t xml:space="preserve"> Consultation and </w:t>
      </w:r>
      <w:r w:rsidR="003202B0" w:rsidRPr="00734A50">
        <w:t>e</w:t>
      </w:r>
      <w:r w:rsidRPr="00734A50">
        <w:t xml:space="preserve">ngagement </w:t>
      </w:r>
      <w:r w:rsidR="003202B0" w:rsidRPr="00734A50">
        <w:t>s</w:t>
      </w:r>
      <w:r w:rsidRPr="00734A50">
        <w:t>ummary</w:t>
      </w:r>
    </w:p>
    <w:p w14:paraId="160EF498" w14:textId="185C90AE" w:rsidR="00461A52" w:rsidRPr="00734A50" w:rsidRDefault="00461A52" w:rsidP="00180A03">
      <w:pPr>
        <w:pStyle w:val="ListBullet"/>
        <w:numPr>
          <w:ilvl w:val="0"/>
          <w:numId w:val="213"/>
        </w:numPr>
        <w:rPr>
          <w:b/>
          <w:bCs/>
        </w:rPr>
      </w:pPr>
      <w:r w:rsidRPr="00734A50">
        <w:rPr>
          <w:b/>
          <w:bCs/>
        </w:rPr>
        <w:t>Appendix D:</w:t>
      </w:r>
      <w:r w:rsidR="00A82616" w:rsidRPr="00734A50">
        <w:rPr>
          <w:b/>
          <w:bCs/>
        </w:rPr>
        <w:t xml:space="preserve"> </w:t>
      </w:r>
      <w:r w:rsidR="00A82616" w:rsidRPr="00734A50">
        <w:t xml:space="preserve">Core content </w:t>
      </w:r>
      <w:r w:rsidR="00FF2B36" w:rsidRPr="00734A50">
        <w:t>for</w:t>
      </w:r>
      <w:r w:rsidR="00A82616" w:rsidRPr="00734A50">
        <w:t xml:space="preserve"> ITE programs</w:t>
      </w:r>
    </w:p>
    <w:p w14:paraId="2171B0F3" w14:textId="400A36B3" w:rsidR="00101976" w:rsidRPr="00734A50" w:rsidRDefault="00101976" w:rsidP="00180A03">
      <w:pPr>
        <w:pStyle w:val="ListBullet"/>
        <w:numPr>
          <w:ilvl w:val="0"/>
          <w:numId w:val="213"/>
        </w:numPr>
      </w:pPr>
      <w:r w:rsidRPr="00734A50">
        <w:rPr>
          <w:b/>
          <w:bCs/>
        </w:rPr>
        <w:t xml:space="preserve">Appendix E: </w:t>
      </w:r>
      <w:r w:rsidR="00EB2B3D" w:rsidRPr="00734A50">
        <w:t xml:space="preserve">Mapping </w:t>
      </w:r>
      <w:r w:rsidR="00442AFA" w:rsidRPr="00734A50">
        <w:t>the</w:t>
      </w:r>
      <w:r w:rsidR="00EB2B3D" w:rsidRPr="00734A50">
        <w:t xml:space="preserve"> core content to the Graduate Teacher Standards</w:t>
      </w:r>
    </w:p>
    <w:p w14:paraId="4F93CC1C" w14:textId="63948E4F" w:rsidR="00461A52" w:rsidRPr="00734A50" w:rsidRDefault="00461A52" w:rsidP="00180A03">
      <w:pPr>
        <w:pStyle w:val="ListBullet"/>
        <w:numPr>
          <w:ilvl w:val="0"/>
          <w:numId w:val="213"/>
        </w:numPr>
        <w:rPr>
          <w:b/>
          <w:bCs/>
        </w:rPr>
      </w:pPr>
      <w:r w:rsidRPr="00734A50">
        <w:rPr>
          <w:b/>
          <w:bCs/>
        </w:rPr>
        <w:t xml:space="preserve">Appendix </w:t>
      </w:r>
      <w:r w:rsidR="00EB2B3D" w:rsidRPr="00734A50">
        <w:rPr>
          <w:b/>
          <w:bCs/>
        </w:rPr>
        <w:t>F</w:t>
      </w:r>
      <w:r w:rsidRPr="00734A50">
        <w:rPr>
          <w:b/>
          <w:bCs/>
        </w:rPr>
        <w:t>:</w:t>
      </w:r>
      <w:r w:rsidR="00A82616" w:rsidRPr="00734A50">
        <w:rPr>
          <w:b/>
          <w:bCs/>
        </w:rPr>
        <w:t xml:space="preserve"> </w:t>
      </w:r>
      <w:r w:rsidR="00A82616" w:rsidRPr="00734A50">
        <w:t>Amendments to the Accreditation Standards and Procedures to embed core content in ITE programs</w:t>
      </w:r>
    </w:p>
    <w:p w14:paraId="623ADC9E" w14:textId="6BBE6D49" w:rsidR="00F619D7" w:rsidRPr="00734A50" w:rsidRDefault="00461A52" w:rsidP="00180A03">
      <w:pPr>
        <w:pStyle w:val="ListBullet"/>
        <w:numPr>
          <w:ilvl w:val="0"/>
          <w:numId w:val="213"/>
        </w:numPr>
      </w:pPr>
      <w:r w:rsidRPr="00734A50">
        <w:rPr>
          <w:b/>
          <w:bCs/>
        </w:rPr>
        <w:t xml:space="preserve">Appendix </w:t>
      </w:r>
      <w:r w:rsidR="00EB2B3D" w:rsidRPr="00734A50">
        <w:rPr>
          <w:b/>
          <w:bCs/>
        </w:rPr>
        <w:t>G</w:t>
      </w:r>
      <w:r w:rsidRPr="00734A50">
        <w:rPr>
          <w:b/>
          <w:bCs/>
        </w:rPr>
        <w:t>:</w:t>
      </w:r>
      <w:r w:rsidRPr="00734A50">
        <w:t xml:space="preserve"> Reporting the nationally consistent, transparent indicators for prospective ITE students</w:t>
      </w:r>
    </w:p>
    <w:p w14:paraId="76F99253" w14:textId="0BB55E83" w:rsidR="00EF165F" w:rsidRPr="00734A50" w:rsidRDefault="00EF165F" w:rsidP="00180A03">
      <w:pPr>
        <w:pStyle w:val="ListBullet"/>
        <w:numPr>
          <w:ilvl w:val="0"/>
          <w:numId w:val="213"/>
        </w:numPr>
        <w:rPr>
          <w:b/>
          <w:bCs/>
        </w:rPr>
      </w:pPr>
      <w:r w:rsidRPr="00734A50">
        <w:rPr>
          <w:b/>
          <w:bCs/>
        </w:rPr>
        <w:lastRenderedPageBreak/>
        <w:t xml:space="preserve">Appendix </w:t>
      </w:r>
      <w:r w:rsidR="00EB2B3D" w:rsidRPr="00734A50">
        <w:rPr>
          <w:b/>
          <w:bCs/>
        </w:rPr>
        <w:t>H</w:t>
      </w:r>
      <w:r w:rsidRPr="00734A50">
        <w:rPr>
          <w:b/>
          <w:bCs/>
        </w:rPr>
        <w:t xml:space="preserve">: </w:t>
      </w:r>
      <w:r w:rsidRPr="00734A50">
        <w:t xml:space="preserve">Components of jurisdiction-level </w:t>
      </w:r>
      <w:r w:rsidR="00D161A3" w:rsidRPr="00734A50">
        <w:t>agreements for high</w:t>
      </w:r>
      <w:r w:rsidR="007E0022" w:rsidRPr="00734A50">
        <w:t>-</w:t>
      </w:r>
      <w:r w:rsidR="00D161A3" w:rsidRPr="00734A50">
        <w:t>quality practical experience</w:t>
      </w:r>
    </w:p>
    <w:p w14:paraId="5F6F7A47" w14:textId="531AC1BA" w:rsidR="00EF165F" w:rsidRDefault="00EF165F" w:rsidP="00180A03">
      <w:pPr>
        <w:pStyle w:val="ListBullet"/>
        <w:numPr>
          <w:ilvl w:val="0"/>
          <w:numId w:val="213"/>
        </w:numPr>
      </w:pPr>
      <w:r w:rsidRPr="00734A50">
        <w:rPr>
          <w:b/>
          <w:bCs/>
        </w:rPr>
        <w:t xml:space="preserve">Appendix </w:t>
      </w:r>
      <w:r w:rsidR="00EB2B3D" w:rsidRPr="00734A50">
        <w:rPr>
          <w:b/>
          <w:bCs/>
        </w:rPr>
        <w:t>I</w:t>
      </w:r>
      <w:r w:rsidRPr="00734A50">
        <w:rPr>
          <w:b/>
          <w:bCs/>
        </w:rPr>
        <w:t xml:space="preserve">: </w:t>
      </w:r>
      <w:r w:rsidRPr="00734A50">
        <w:t>Components of national guidelines to support high</w:t>
      </w:r>
      <w:r w:rsidR="007E0022" w:rsidRPr="00734A50">
        <w:t>-</w:t>
      </w:r>
      <w:r w:rsidRPr="00734A50">
        <w:t>quality practical experience</w:t>
      </w:r>
      <w:r w:rsidR="003006D9" w:rsidRPr="00734A50">
        <w:t>.</w:t>
      </w:r>
    </w:p>
    <w:p w14:paraId="74CF60C4" w14:textId="77777777" w:rsidR="00F75754" w:rsidRDefault="00F75754">
      <w:pPr>
        <w:spacing w:after="160" w:line="259" w:lineRule="auto"/>
        <w:rPr>
          <w:rFonts w:ascii="Calibri Light" w:eastAsia="Times New Roman" w:hAnsi="Calibri Light" w:cs="Times New Roman"/>
          <w:b/>
          <w:color w:val="002C3E"/>
          <w:sz w:val="44"/>
          <w:szCs w:val="44"/>
          <w:lang w:eastAsia="en-AU"/>
        </w:rPr>
      </w:pPr>
      <w:bookmarkStart w:id="42" w:name="_Toc127978371"/>
      <w:bookmarkStart w:id="43" w:name="_Toc128649071"/>
      <w:bookmarkStart w:id="44" w:name="_Toc130217427"/>
      <w:bookmarkStart w:id="45" w:name="_Toc127978378"/>
      <w:bookmarkStart w:id="46" w:name="_Toc128649078"/>
      <w:bookmarkStart w:id="47" w:name="_Toc130217434"/>
      <w:r w:rsidRPr="00734A50">
        <w:rPr>
          <w:rFonts w:ascii="Calibri Light" w:eastAsia="Times New Roman" w:hAnsi="Calibri Light" w:cs="Times New Roman"/>
          <w:b/>
          <w:color w:val="002C3E"/>
          <w:sz w:val="44"/>
          <w:szCs w:val="44"/>
          <w:lang w:eastAsia="en-AU"/>
        </w:rPr>
        <w:br w:type="page"/>
      </w:r>
    </w:p>
    <w:p w14:paraId="3224D505" w14:textId="3E660E57" w:rsidR="00004926" w:rsidRDefault="00004926" w:rsidP="00E73886">
      <w:pPr>
        <w:spacing w:after="160" w:line="259" w:lineRule="auto"/>
        <w:rPr>
          <w:rFonts w:asciiTheme="majorHAnsi" w:hAnsiTheme="majorHAnsi" w:cstheme="majorHAnsi"/>
          <w:b/>
          <w:bCs/>
          <w:noProof/>
          <w:sz w:val="52"/>
          <w:szCs w:val="52"/>
        </w:rPr>
      </w:pPr>
      <w:r>
        <w:rPr>
          <w:rFonts w:asciiTheme="majorHAnsi" w:hAnsiTheme="majorHAnsi" w:cstheme="majorHAnsi"/>
          <w:b/>
          <w:bCs/>
          <w:noProof/>
          <w:sz w:val="52"/>
          <w:szCs w:val="52"/>
        </w:rPr>
        <w:lastRenderedPageBreak/>
        <w:drawing>
          <wp:anchor distT="0" distB="0" distL="114300" distR="114300" simplePos="0" relativeHeight="251658240" behindDoc="1" locked="0" layoutInCell="1" allowOverlap="1" wp14:anchorId="6C40F013" wp14:editId="18F1120B">
            <wp:simplePos x="0" y="0"/>
            <wp:positionH relativeFrom="column">
              <wp:posOffset>-1009291</wp:posOffset>
            </wp:positionH>
            <wp:positionV relativeFrom="paragraph">
              <wp:posOffset>-862642</wp:posOffset>
            </wp:positionV>
            <wp:extent cx="7333906" cy="9903125"/>
            <wp:effectExtent l="0" t="0" r="635" b="317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48020" cy="9922183"/>
                    </a:xfrm>
                    <a:prstGeom prst="rect">
                      <a:avLst/>
                    </a:prstGeom>
                  </pic:spPr>
                </pic:pic>
              </a:graphicData>
            </a:graphic>
            <wp14:sizeRelH relativeFrom="page">
              <wp14:pctWidth>0</wp14:pctWidth>
            </wp14:sizeRelH>
            <wp14:sizeRelV relativeFrom="page">
              <wp14:pctHeight>0</wp14:pctHeight>
            </wp14:sizeRelV>
          </wp:anchor>
        </w:drawing>
      </w:r>
    </w:p>
    <w:p w14:paraId="6FB6882A" w14:textId="77777777" w:rsidR="00004926" w:rsidRDefault="00004926" w:rsidP="00E73886">
      <w:pPr>
        <w:spacing w:after="160" w:line="259" w:lineRule="auto"/>
        <w:rPr>
          <w:rFonts w:asciiTheme="majorHAnsi" w:hAnsiTheme="majorHAnsi" w:cstheme="majorHAnsi"/>
          <w:b/>
          <w:bCs/>
          <w:noProof/>
          <w:sz w:val="52"/>
          <w:szCs w:val="52"/>
        </w:rPr>
      </w:pPr>
    </w:p>
    <w:p w14:paraId="2B2E98A6" w14:textId="77777777" w:rsidR="00D81605" w:rsidRPr="00D81605" w:rsidRDefault="00D81605" w:rsidP="00D81605">
      <w:pPr>
        <w:spacing w:after="160" w:line="259" w:lineRule="auto"/>
        <w:ind w:left="1560" w:hanging="426"/>
        <w:rPr>
          <w:rFonts w:asciiTheme="majorHAnsi" w:hAnsiTheme="majorHAnsi" w:cstheme="majorHAnsi"/>
          <w:b/>
          <w:bCs/>
          <w:noProof/>
          <w:color w:val="FFFFFF" w:themeColor="accent3"/>
          <w:sz w:val="36"/>
          <w:szCs w:val="36"/>
        </w:rPr>
      </w:pPr>
    </w:p>
    <w:p w14:paraId="5162C34F" w14:textId="4C59C6DB" w:rsidR="00E73886" w:rsidRPr="002F17C3" w:rsidRDefault="00E73886" w:rsidP="00D81605">
      <w:pPr>
        <w:spacing w:after="160" w:line="259" w:lineRule="auto"/>
        <w:ind w:left="1560" w:hanging="426"/>
        <w:rPr>
          <w:rFonts w:asciiTheme="majorHAnsi" w:hAnsiTheme="majorHAnsi" w:cstheme="majorHAnsi"/>
          <w:b/>
          <w:bCs/>
          <w:noProof/>
          <w:color w:val="FFFFFF" w:themeColor="accent3"/>
          <w:sz w:val="52"/>
          <w:szCs w:val="52"/>
        </w:rPr>
      </w:pPr>
      <w:r w:rsidRPr="002F17C3">
        <w:rPr>
          <w:rFonts w:asciiTheme="majorHAnsi" w:hAnsiTheme="majorHAnsi" w:cstheme="majorHAnsi"/>
          <w:b/>
          <w:bCs/>
          <w:noProof/>
          <w:color w:val="FFFFFF" w:themeColor="accent3"/>
          <w:sz w:val="52"/>
          <w:szCs w:val="52"/>
        </w:rPr>
        <w:t>Chapter 1</w:t>
      </w:r>
    </w:p>
    <w:p w14:paraId="064B171C" w14:textId="77777777" w:rsidR="00252373" w:rsidRPr="00D81605" w:rsidRDefault="00E73886" w:rsidP="002F17C3">
      <w:pPr>
        <w:spacing w:after="0" w:line="259" w:lineRule="auto"/>
        <w:ind w:left="1560"/>
        <w:rPr>
          <w:rFonts w:asciiTheme="majorHAnsi" w:hAnsiTheme="majorHAnsi" w:cstheme="majorHAnsi"/>
          <w:noProof/>
          <w:color w:val="FFFFFF" w:themeColor="accent3"/>
          <w:sz w:val="36"/>
          <w:szCs w:val="36"/>
        </w:rPr>
      </w:pPr>
      <w:r w:rsidRPr="00D81605">
        <w:rPr>
          <w:rFonts w:asciiTheme="majorHAnsi" w:hAnsiTheme="majorHAnsi" w:cstheme="majorHAnsi"/>
          <w:noProof/>
          <w:color w:val="FFFFFF" w:themeColor="accent3"/>
          <w:sz w:val="36"/>
          <w:szCs w:val="36"/>
        </w:rPr>
        <w:t xml:space="preserve">Strengthening initial teacher </w:t>
      </w:r>
    </w:p>
    <w:p w14:paraId="09160FDF" w14:textId="77777777" w:rsidR="00252373" w:rsidRPr="00D81605" w:rsidRDefault="00E73886" w:rsidP="002F17C3">
      <w:pPr>
        <w:spacing w:after="0" w:line="259" w:lineRule="auto"/>
        <w:ind w:left="1560"/>
        <w:rPr>
          <w:rFonts w:asciiTheme="majorHAnsi" w:hAnsiTheme="majorHAnsi" w:cstheme="majorHAnsi"/>
          <w:noProof/>
          <w:color w:val="FFFFFF" w:themeColor="accent3"/>
          <w:sz w:val="36"/>
          <w:szCs w:val="36"/>
        </w:rPr>
      </w:pPr>
      <w:r w:rsidRPr="00D81605">
        <w:rPr>
          <w:rFonts w:asciiTheme="majorHAnsi" w:hAnsiTheme="majorHAnsi" w:cstheme="majorHAnsi"/>
          <w:noProof/>
          <w:color w:val="FFFFFF" w:themeColor="accent3"/>
          <w:sz w:val="36"/>
          <w:szCs w:val="36"/>
        </w:rPr>
        <w:t xml:space="preserve">education programs to deliver </w:t>
      </w:r>
    </w:p>
    <w:p w14:paraId="6CF2046F" w14:textId="16F3266E" w:rsidR="002078E5" w:rsidRPr="00D81605" w:rsidRDefault="00E73886" w:rsidP="002F17C3">
      <w:pPr>
        <w:spacing w:after="0" w:line="259" w:lineRule="auto"/>
        <w:ind w:left="1560"/>
        <w:rPr>
          <w:rFonts w:asciiTheme="majorHAnsi" w:eastAsia="Times New Roman" w:hAnsiTheme="majorHAnsi" w:cstheme="majorHAnsi"/>
          <w:b/>
          <w:color w:val="FFFFFF" w:themeColor="accent3"/>
          <w:sz w:val="72"/>
          <w:szCs w:val="72"/>
          <w:lang w:eastAsia="en-AU"/>
        </w:rPr>
      </w:pPr>
      <w:r w:rsidRPr="00D81605">
        <w:rPr>
          <w:rFonts w:asciiTheme="majorHAnsi" w:hAnsiTheme="majorHAnsi" w:cstheme="majorHAnsi"/>
          <w:noProof/>
          <w:color w:val="FFFFFF" w:themeColor="accent3"/>
          <w:sz w:val="36"/>
          <w:szCs w:val="36"/>
        </w:rPr>
        <w:t>confident, effective beginning teachers</w:t>
      </w:r>
    </w:p>
    <w:p w14:paraId="2D29A9F2" w14:textId="77777777" w:rsidR="00855FCF" w:rsidRPr="00734A50" w:rsidRDefault="00855FCF">
      <w:pPr>
        <w:spacing w:after="160" w:line="259" w:lineRule="auto"/>
        <w:rPr>
          <w:rFonts w:ascii="Calibri Light" w:eastAsia="Times New Roman" w:hAnsi="Calibri Light" w:cs="Times New Roman"/>
          <w:b/>
          <w:color w:val="002C3E"/>
          <w:sz w:val="44"/>
          <w:szCs w:val="44"/>
          <w:lang w:eastAsia="en-AU"/>
        </w:rPr>
      </w:pPr>
      <w:r w:rsidRPr="00734A50">
        <w:rPr>
          <w:rFonts w:ascii="Calibri Light" w:eastAsia="Times New Roman" w:hAnsi="Calibri Light" w:cs="Times New Roman"/>
          <w:b/>
          <w:color w:val="002C3E"/>
          <w:sz w:val="44"/>
          <w:szCs w:val="44"/>
          <w:lang w:eastAsia="en-AU"/>
        </w:rPr>
        <w:br w:type="page"/>
      </w:r>
    </w:p>
    <w:p w14:paraId="1D314284" w14:textId="5E65E267" w:rsidR="00D15B05" w:rsidRDefault="00D15B05" w:rsidP="0012041E">
      <w:pPr>
        <w:pStyle w:val="Heading1"/>
      </w:pPr>
      <w:bookmarkStart w:id="48" w:name="_Toc139366629"/>
      <w:r w:rsidRPr="00734A50">
        <w:lastRenderedPageBreak/>
        <w:t xml:space="preserve">Strengthening </w:t>
      </w:r>
      <w:r w:rsidR="00FA692C" w:rsidRPr="00734A50">
        <w:t>initial teacher education</w:t>
      </w:r>
      <w:r w:rsidRPr="00734A50">
        <w:t xml:space="preserve"> programs to deliver </w:t>
      </w:r>
      <w:r w:rsidR="003F2825" w:rsidRPr="00734A50">
        <w:t xml:space="preserve">confident, </w:t>
      </w:r>
      <w:r w:rsidRPr="00734A50">
        <w:t>effective</w:t>
      </w:r>
      <w:r w:rsidR="2E0941C1" w:rsidRPr="00734A50">
        <w:t xml:space="preserve"> beginning teachers</w:t>
      </w:r>
      <w:bookmarkEnd w:id="42"/>
      <w:bookmarkEnd w:id="43"/>
      <w:bookmarkEnd w:id="44"/>
      <w:bookmarkEnd w:id="48"/>
    </w:p>
    <w:p w14:paraId="136E048A" w14:textId="77777777" w:rsidR="00C6323C" w:rsidRPr="008935BC" w:rsidRDefault="00C6323C" w:rsidP="00D62E67">
      <w:pPr>
        <w:pBdr>
          <w:top w:val="single" w:sz="4" w:space="1" w:color="auto"/>
          <w:left w:val="single" w:sz="4" w:space="4" w:color="auto"/>
          <w:bottom w:val="single" w:sz="4" w:space="1" w:color="auto"/>
          <w:right w:val="single" w:sz="4" w:space="4" w:color="auto"/>
        </w:pBdr>
        <w:rPr>
          <w:b/>
          <w:bCs/>
          <w:color w:val="002C3E" w:themeColor="background2"/>
        </w:rPr>
      </w:pPr>
      <w:r w:rsidRPr="008935BC">
        <w:rPr>
          <w:b/>
          <w:bCs/>
          <w:color w:val="002C3E" w:themeColor="background2"/>
        </w:rPr>
        <w:t>Key points</w:t>
      </w:r>
    </w:p>
    <w:p w14:paraId="7EB0D59B" w14:textId="77777777" w:rsidR="00C6323C" w:rsidRPr="008935BC" w:rsidRDefault="00C6323C" w:rsidP="00D67B5D">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8935BC">
        <w:rPr>
          <w:color w:val="002C3E" w:themeColor="background2"/>
        </w:rPr>
        <w:t xml:space="preserve">The QITE Review </w:t>
      </w:r>
      <w:r w:rsidRPr="00B521BB">
        <w:rPr>
          <w:color w:val="002C3E" w:themeColor="background2"/>
        </w:rPr>
        <w:t>found that many</w:t>
      </w:r>
      <w:r w:rsidRPr="008935BC">
        <w:rPr>
          <w:color w:val="002C3E" w:themeColor="background2"/>
        </w:rPr>
        <w:t xml:space="preserve"> beginning teachers are underprepared to teach in several key areas, such as the teaching of reading, cultural responsiveness, supporting diverse learners, classroom management</w:t>
      </w:r>
      <w:r>
        <w:rPr>
          <w:color w:val="002C3E" w:themeColor="background2"/>
        </w:rPr>
        <w:t>,</w:t>
      </w:r>
      <w:r w:rsidRPr="008935BC">
        <w:rPr>
          <w:color w:val="002C3E" w:themeColor="background2"/>
        </w:rPr>
        <w:t xml:space="preserve"> and family/carer engagement.</w:t>
      </w:r>
    </w:p>
    <w:p w14:paraId="60FF9358" w14:textId="77777777" w:rsidR="00C6323C" w:rsidRPr="008935BC" w:rsidRDefault="00C6323C" w:rsidP="00D67B5D">
      <w:pPr>
        <w:numPr>
          <w:ilvl w:val="0"/>
          <w:numId w:val="68"/>
        </w:numPr>
        <w:pBdr>
          <w:top w:val="single" w:sz="4" w:space="1" w:color="auto"/>
          <w:left w:val="single" w:sz="4" w:space="4" w:color="auto"/>
          <w:bottom w:val="single" w:sz="4" w:space="1" w:color="auto"/>
          <w:right w:val="single" w:sz="4" w:space="4" w:color="auto"/>
        </w:pBdr>
        <w:ind w:left="357" w:hanging="357"/>
        <w:rPr>
          <w:color w:val="002C3E" w:themeColor="background2"/>
        </w:rPr>
      </w:pPr>
      <w:r w:rsidRPr="008935BC">
        <w:rPr>
          <w:color w:val="002C3E" w:themeColor="background2"/>
        </w:rPr>
        <w:t xml:space="preserve">The Panel was asked to provide advice on amending the accreditation of </w:t>
      </w:r>
      <w:r>
        <w:rPr>
          <w:color w:val="002C3E" w:themeColor="background2"/>
        </w:rPr>
        <w:t>initial teacher education (</w:t>
      </w:r>
      <w:r w:rsidRPr="008935BC">
        <w:rPr>
          <w:color w:val="002C3E" w:themeColor="background2"/>
        </w:rPr>
        <w:t>ITE</w:t>
      </w:r>
      <w:r>
        <w:rPr>
          <w:color w:val="002C3E" w:themeColor="background2"/>
        </w:rPr>
        <w:t>)</w:t>
      </w:r>
      <w:r w:rsidRPr="008935BC">
        <w:rPr>
          <w:color w:val="002C3E" w:themeColor="background2"/>
        </w:rPr>
        <w:t xml:space="preserve"> programs to ensure beginning teachers are taught sufficient evidence-based practices to meet the Graduate Teacher Standards and support them to lead a classroom.</w:t>
      </w:r>
    </w:p>
    <w:p w14:paraId="47C47082" w14:textId="77777777" w:rsidR="00C6323C" w:rsidRPr="008935BC" w:rsidRDefault="00C6323C" w:rsidP="00D62E67">
      <w:pPr>
        <w:numPr>
          <w:ilvl w:val="0"/>
          <w:numId w:val="68"/>
        </w:numPr>
        <w:pBdr>
          <w:top w:val="single" w:sz="4" w:space="1" w:color="auto"/>
          <w:left w:val="single" w:sz="4" w:space="4" w:color="auto"/>
          <w:bottom w:val="single" w:sz="4" w:space="1" w:color="auto"/>
          <w:right w:val="single" w:sz="4" w:space="4" w:color="auto"/>
        </w:pBdr>
        <w:rPr>
          <w:color w:val="002C3E" w:themeColor="background2"/>
        </w:rPr>
      </w:pPr>
      <w:r w:rsidRPr="008935BC">
        <w:rPr>
          <w:color w:val="002C3E" w:themeColor="background2"/>
        </w:rPr>
        <w:t xml:space="preserve">The core content identified </w:t>
      </w:r>
      <w:r>
        <w:rPr>
          <w:color w:val="002C3E" w:themeColor="background2"/>
        </w:rPr>
        <w:t>by the Panel</w:t>
      </w:r>
      <w:r w:rsidRPr="008935BC">
        <w:rPr>
          <w:color w:val="002C3E" w:themeColor="background2"/>
        </w:rPr>
        <w:t xml:space="preserve"> reflects the knowledge and evidence-based practices that have the greatest impact on student learning and are essential for beginning teachers to know and be able to use.</w:t>
      </w:r>
    </w:p>
    <w:p w14:paraId="561D0763" w14:textId="77777777" w:rsidR="00C6323C" w:rsidRPr="008935BC" w:rsidRDefault="00C6323C" w:rsidP="00D62E67">
      <w:pPr>
        <w:numPr>
          <w:ilvl w:val="0"/>
          <w:numId w:val="68"/>
        </w:numPr>
        <w:pBdr>
          <w:top w:val="single" w:sz="4" w:space="1" w:color="auto"/>
          <w:left w:val="single" w:sz="4" w:space="4" w:color="auto"/>
          <w:bottom w:val="single" w:sz="4" w:space="1" w:color="auto"/>
          <w:right w:val="single" w:sz="4" w:space="4" w:color="auto"/>
        </w:pBdr>
        <w:rPr>
          <w:color w:val="002C3E" w:themeColor="background2"/>
        </w:rPr>
      </w:pPr>
      <w:r>
        <w:rPr>
          <w:color w:val="002C3E" w:themeColor="background2"/>
        </w:rPr>
        <w:t>In submissions to the Panel’s Discussion Paper, s</w:t>
      </w:r>
      <w:r w:rsidRPr="008935BC">
        <w:rPr>
          <w:color w:val="002C3E" w:themeColor="background2"/>
        </w:rPr>
        <w:t>takeholders were broadly supportive of the core content and formalising the core content in national accreditation.</w:t>
      </w:r>
    </w:p>
    <w:p w14:paraId="32B14AD7" w14:textId="77777777" w:rsidR="00C6323C" w:rsidRPr="008935BC" w:rsidRDefault="00C6323C" w:rsidP="00D62E67">
      <w:pPr>
        <w:numPr>
          <w:ilvl w:val="0"/>
          <w:numId w:val="68"/>
        </w:numPr>
        <w:pBdr>
          <w:top w:val="single" w:sz="4" w:space="1" w:color="auto"/>
          <w:left w:val="single" w:sz="4" w:space="4" w:color="auto"/>
          <w:bottom w:val="single" w:sz="4" w:space="1" w:color="auto"/>
          <w:right w:val="single" w:sz="4" w:space="4" w:color="auto"/>
        </w:pBdr>
        <w:rPr>
          <w:color w:val="002C3E" w:themeColor="background2"/>
        </w:rPr>
      </w:pPr>
      <w:r w:rsidRPr="008935BC">
        <w:rPr>
          <w:color w:val="002C3E" w:themeColor="background2"/>
        </w:rPr>
        <w:t>Higher education providers should design appropriate curricula incorporating the core content into their programs.</w:t>
      </w:r>
    </w:p>
    <w:p w14:paraId="5690E6D5" w14:textId="77777777" w:rsidR="00C6323C" w:rsidRPr="00287D0E" w:rsidRDefault="00C6323C" w:rsidP="00D62E67">
      <w:pPr>
        <w:numPr>
          <w:ilvl w:val="0"/>
          <w:numId w:val="68"/>
        </w:numPr>
        <w:pBdr>
          <w:top w:val="single" w:sz="4" w:space="1" w:color="auto"/>
          <w:left w:val="single" w:sz="4" w:space="4" w:color="auto"/>
          <w:bottom w:val="single" w:sz="4" w:space="1" w:color="auto"/>
          <w:right w:val="single" w:sz="4" w:space="4" w:color="auto"/>
        </w:pBdr>
        <w:rPr>
          <w:color w:val="002C3E" w:themeColor="background2"/>
        </w:rPr>
      </w:pPr>
      <w:r w:rsidRPr="008935BC">
        <w:rPr>
          <w:color w:val="002C3E" w:themeColor="background2"/>
        </w:rPr>
        <w:t xml:space="preserve">Adding a schedule to the Accreditation Standards and </w:t>
      </w:r>
      <w:r w:rsidRPr="00287D0E">
        <w:rPr>
          <w:color w:val="002C3E" w:themeColor="background2"/>
        </w:rPr>
        <w:t xml:space="preserve">Procedures would enable </w:t>
      </w:r>
      <w:r>
        <w:rPr>
          <w:color w:val="002C3E" w:themeColor="background2"/>
        </w:rPr>
        <w:t>T</w:t>
      </w:r>
      <w:r w:rsidRPr="00287D0E">
        <w:rPr>
          <w:color w:val="002C3E" w:themeColor="background2"/>
        </w:rPr>
        <w:t xml:space="preserve">eacher </w:t>
      </w:r>
      <w:r>
        <w:rPr>
          <w:color w:val="002C3E" w:themeColor="background2"/>
        </w:rPr>
        <w:t>R</w:t>
      </w:r>
      <w:r w:rsidRPr="00287D0E">
        <w:rPr>
          <w:color w:val="002C3E" w:themeColor="background2"/>
        </w:rPr>
        <w:t xml:space="preserve">egulatory </w:t>
      </w:r>
      <w:r>
        <w:rPr>
          <w:color w:val="002C3E" w:themeColor="background2"/>
        </w:rPr>
        <w:t>A</w:t>
      </w:r>
      <w:r w:rsidRPr="00287D0E">
        <w:rPr>
          <w:color w:val="002C3E" w:themeColor="background2"/>
        </w:rPr>
        <w:t xml:space="preserve">uthorities to require and assess evidence of core content when they accredit ITE </w:t>
      </w:r>
      <w:r>
        <w:rPr>
          <w:color w:val="002C3E" w:themeColor="background2"/>
        </w:rPr>
        <w:t>programs</w:t>
      </w:r>
      <w:r w:rsidRPr="00287D0E">
        <w:rPr>
          <w:color w:val="002C3E" w:themeColor="background2"/>
        </w:rPr>
        <w:t>.</w:t>
      </w:r>
    </w:p>
    <w:p w14:paraId="0FF45339" w14:textId="77777777" w:rsidR="00C6323C" w:rsidRPr="00287D0E" w:rsidRDefault="00C6323C" w:rsidP="00D62E67">
      <w:pPr>
        <w:numPr>
          <w:ilvl w:val="0"/>
          <w:numId w:val="68"/>
        </w:numPr>
        <w:pBdr>
          <w:top w:val="single" w:sz="4" w:space="1" w:color="auto"/>
          <w:left w:val="single" w:sz="4" w:space="4" w:color="auto"/>
          <w:bottom w:val="single" w:sz="4" w:space="1" w:color="auto"/>
          <w:right w:val="single" w:sz="4" w:space="4" w:color="auto"/>
        </w:pBdr>
        <w:rPr>
          <w:color w:val="002C3E" w:themeColor="background2"/>
        </w:rPr>
      </w:pPr>
      <w:r w:rsidRPr="00287D0E">
        <w:rPr>
          <w:color w:val="002C3E" w:themeColor="background2"/>
        </w:rPr>
        <w:t xml:space="preserve">To improve the quality and consistency of accreditation decisions, </w:t>
      </w:r>
      <w:r>
        <w:rPr>
          <w:color w:val="002C3E" w:themeColor="background2"/>
        </w:rPr>
        <w:t xml:space="preserve">a </w:t>
      </w:r>
      <w:r w:rsidRPr="00287D0E">
        <w:rPr>
          <w:color w:val="002C3E" w:themeColor="background2"/>
        </w:rPr>
        <w:t xml:space="preserve">national </w:t>
      </w:r>
      <w:r>
        <w:rPr>
          <w:color w:val="002C3E" w:themeColor="background2"/>
        </w:rPr>
        <w:t xml:space="preserve">ITE </w:t>
      </w:r>
      <w:r w:rsidRPr="00287D0E">
        <w:rPr>
          <w:color w:val="002C3E" w:themeColor="background2"/>
        </w:rPr>
        <w:t>quality assurance board should be established to annually report to Education Ministers on ITE programs and their outcomes.</w:t>
      </w:r>
    </w:p>
    <w:p w14:paraId="1E00DD74" w14:textId="77777777" w:rsidR="00D62E67" w:rsidRPr="00D62E67" w:rsidRDefault="00D62E67" w:rsidP="0012041E">
      <w:pPr>
        <w:pStyle w:val="Heading2"/>
        <w:rPr>
          <w:sz w:val="22"/>
          <w:szCs w:val="22"/>
        </w:rPr>
      </w:pPr>
    </w:p>
    <w:p w14:paraId="45F77F6A" w14:textId="0258A6BA" w:rsidR="005A0222" w:rsidRPr="00734A50" w:rsidRDefault="005A0222" w:rsidP="0012041E">
      <w:pPr>
        <w:pStyle w:val="Heading2"/>
      </w:pPr>
      <w:bookmarkStart w:id="49" w:name="_Toc139366630"/>
      <w:r w:rsidRPr="00734A50">
        <w:t>Context</w:t>
      </w:r>
      <w:bookmarkEnd w:id="49"/>
    </w:p>
    <w:p w14:paraId="42DFE27E" w14:textId="2A46DDB2" w:rsidR="005A0222" w:rsidRPr="00734A50" w:rsidRDefault="005A0222" w:rsidP="005A0222">
      <w:pPr>
        <w:rPr>
          <w:rFonts w:ascii="Calibri" w:eastAsia="Calibri" w:hAnsi="Calibri" w:cs="Calibri"/>
        </w:rPr>
      </w:pPr>
      <w:r w:rsidRPr="00734A50">
        <w:rPr>
          <w:rFonts w:ascii="Calibri" w:eastAsia="Calibri" w:hAnsi="Calibri" w:cs="Calibri"/>
        </w:rPr>
        <w:t>Like</w:t>
      </w:r>
      <w:r w:rsidR="00B521BB" w:rsidRPr="00734A50">
        <w:rPr>
          <w:rFonts w:ascii="Calibri" w:eastAsia="Calibri" w:hAnsi="Calibri" w:cs="Calibri"/>
        </w:rPr>
        <w:t xml:space="preserve"> members of</w:t>
      </w:r>
      <w:r w:rsidRPr="00734A50">
        <w:rPr>
          <w:rFonts w:ascii="Calibri" w:eastAsia="Calibri" w:hAnsi="Calibri" w:cs="Calibri"/>
        </w:rPr>
        <w:t xml:space="preserve"> any skilled profession requiring ongoing registration and review, as teachers gain more experience and develop and refine their skills, they </w:t>
      </w:r>
      <w:r w:rsidR="00B521BB" w:rsidRPr="00734A50">
        <w:rPr>
          <w:rFonts w:ascii="Calibri" w:eastAsia="Calibri" w:hAnsi="Calibri" w:cs="Calibri"/>
        </w:rPr>
        <w:t>are</w:t>
      </w:r>
      <w:r w:rsidRPr="00734A50">
        <w:rPr>
          <w:rFonts w:ascii="Calibri" w:eastAsia="Calibri" w:hAnsi="Calibri" w:cs="Calibri"/>
        </w:rPr>
        <w:t xml:space="preserve"> assessed against more complex and rigorous standards.</w:t>
      </w:r>
    </w:p>
    <w:p w14:paraId="1B4D8616" w14:textId="56DA8C5C" w:rsidR="00442622" w:rsidRPr="00734A50" w:rsidRDefault="00C03FAA" w:rsidP="005A0222">
      <w:pPr>
        <w:rPr>
          <w:rFonts w:ascii="Calibri" w:eastAsia="Calibri" w:hAnsi="Calibri" w:cs="Calibri"/>
        </w:rPr>
      </w:pPr>
      <w:r>
        <w:rPr>
          <w:rFonts w:ascii="Calibri" w:eastAsia="Calibri" w:hAnsi="Calibri" w:cs="Calibri"/>
        </w:rPr>
        <w:t>Accredited</w:t>
      </w:r>
      <w:r w:rsidR="005A0222" w:rsidRPr="00734A50">
        <w:rPr>
          <w:rFonts w:ascii="Calibri" w:eastAsia="Calibri" w:hAnsi="Calibri" w:cs="Calibri"/>
        </w:rPr>
        <w:t xml:space="preserve"> ITE programs </w:t>
      </w:r>
      <w:r>
        <w:rPr>
          <w:rFonts w:ascii="Calibri" w:eastAsia="Calibri" w:hAnsi="Calibri" w:cs="Calibri"/>
        </w:rPr>
        <w:t xml:space="preserve">in Australia </w:t>
      </w:r>
      <w:r w:rsidR="005A0222" w:rsidRPr="00734A50">
        <w:rPr>
          <w:rFonts w:ascii="Calibri" w:eastAsia="Calibri" w:hAnsi="Calibri" w:cs="Calibri"/>
        </w:rPr>
        <w:t xml:space="preserve">aim to ensure all graduate teachers meet the first level of the </w:t>
      </w:r>
      <w:r w:rsidR="001638E8" w:rsidRPr="00734A50">
        <w:rPr>
          <w:rFonts w:ascii="Calibri" w:eastAsia="Calibri" w:hAnsi="Calibri" w:cs="Calibri"/>
        </w:rPr>
        <w:t>T</w:t>
      </w:r>
      <w:r w:rsidR="005A0222" w:rsidRPr="00734A50">
        <w:rPr>
          <w:rFonts w:ascii="Calibri" w:eastAsia="Calibri" w:hAnsi="Calibri" w:cs="Calibri"/>
        </w:rPr>
        <w:t xml:space="preserve">eacher </w:t>
      </w:r>
      <w:r w:rsidR="001638E8" w:rsidRPr="00734A50">
        <w:rPr>
          <w:rFonts w:ascii="Calibri" w:eastAsia="Calibri" w:hAnsi="Calibri" w:cs="Calibri"/>
        </w:rPr>
        <w:t>S</w:t>
      </w:r>
      <w:r w:rsidR="005A0222" w:rsidRPr="00734A50">
        <w:rPr>
          <w:rFonts w:ascii="Calibri" w:eastAsia="Calibri" w:hAnsi="Calibri" w:cs="Calibri"/>
        </w:rPr>
        <w:t xml:space="preserve">tandards, the Graduate level. All </w:t>
      </w:r>
      <w:r w:rsidR="008D52A2" w:rsidRPr="00734A50">
        <w:rPr>
          <w:rFonts w:ascii="Calibri" w:eastAsia="Calibri" w:hAnsi="Calibri" w:cs="Calibri"/>
        </w:rPr>
        <w:t>ITE</w:t>
      </w:r>
      <w:r w:rsidR="005A0222" w:rsidRPr="00734A50">
        <w:rPr>
          <w:rFonts w:ascii="Calibri" w:eastAsia="Calibri" w:hAnsi="Calibri" w:cs="Calibri"/>
        </w:rPr>
        <w:t xml:space="preserve"> programs, and students graduating from these, must meet the descriptors at this first career stage</w:t>
      </w:r>
      <w:r w:rsidR="00FF2B36" w:rsidRPr="00734A50">
        <w:rPr>
          <w:rFonts w:ascii="Calibri" w:eastAsia="Calibri" w:hAnsi="Calibri" w:cs="Calibri"/>
        </w:rPr>
        <w:t xml:space="preserve"> </w:t>
      </w:r>
      <w:r w:rsidR="00442622" w:rsidRPr="00734A50">
        <w:rPr>
          <w:rFonts w:ascii="Calibri" w:eastAsia="Calibri" w:hAnsi="Calibri" w:cs="Calibri"/>
        </w:rPr>
        <w:t>(AITSL 20</w:t>
      </w:r>
      <w:r w:rsidR="00F708BC" w:rsidRPr="00734A50">
        <w:rPr>
          <w:rFonts w:ascii="Calibri" w:eastAsia="Calibri" w:hAnsi="Calibri" w:cs="Calibri"/>
        </w:rPr>
        <w:t>22</w:t>
      </w:r>
      <w:r w:rsidR="003B2DF6" w:rsidRPr="00734A50">
        <w:rPr>
          <w:rFonts w:ascii="Calibri" w:eastAsia="Calibri" w:hAnsi="Calibri" w:cs="Calibri"/>
        </w:rPr>
        <w:t>b</w:t>
      </w:r>
      <w:r w:rsidR="00442622" w:rsidRPr="00734A50">
        <w:rPr>
          <w:rFonts w:ascii="Calibri" w:eastAsia="Calibri" w:hAnsi="Calibri" w:cs="Calibri"/>
        </w:rPr>
        <w:t>)</w:t>
      </w:r>
      <w:r w:rsidR="00FF2B36" w:rsidRPr="00734A50">
        <w:rPr>
          <w:rFonts w:ascii="Calibri" w:eastAsia="Calibri" w:hAnsi="Calibri" w:cs="Calibri"/>
        </w:rPr>
        <w:t>.</w:t>
      </w:r>
    </w:p>
    <w:p w14:paraId="57EA48DA" w14:textId="086E7774" w:rsidR="005A0222" w:rsidRPr="00734A50" w:rsidRDefault="005A0222" w:rsidP="005A0222">
      <w:pPr>
        <w:rPr>
          <w:rFonts w:ascii="Calibri" w:eastAsia="Times New Roman" w:hAnsi="Calibri" w:cs="Calibri"/>
          <w:lang w:eastAsia="en-AU"/>
        </w:rPr>
      </w:pPr>
      <w:r w:rsidRPr="00734A50">
        <w:rPr>
          <w:rFonts w:ascii="Calibri" w:eastAsia="Calibri" w:hAnsi="Calibri" w:cs="Arial"/>
        </w:rPr>
        <w:t xml:space="preserve">Previous reviews </w:t>
      </w:r>
      <w:r w:rsidR="003006D9" w:rsidRPr="00734A50">
        <w:rPr>
          <w:rFonts w:ascii="Calibri" w:eastAsia="Calibri" w:hAnsi="Calibri" w:cs="Arial"/>
        </w:rPr>
        <w:t xml:space="preserve">of </w:t>
      </w:r>
      <w:r w:rsidRPr="00734A50">
        <w:rPr>
          <w:rFonts w:ascii="Calibri" w:eastAsia="Calibri" w:hAnsi="Calibri" w:cs="Arial"/>
        </w:rPr>
        <w:t>ITE have reported</w:t>
      </w:r>
      <w:r w:rsidR="003006D9" w:rsidRPr="00734A50">
        <w:rPr>
          <w:rFonts w:ascii="Calibri" w:eastAsia="Calibri" w:hAnsi="Calibri" w:cs="Arial"/>
        </w:rPr>
        <w:t xml:space="preserve"> that</w:t>
      </w:r>
      <w:r w:rsidRPr="00734A50">
        <w:rPr>
          <w:rFonts w:ascii="Calibri" w:eastAsia="Calibri" w:hAnsi="Calibri" w:cs="Arial"/>
        </w:rPr>
        <w:t xml:space="preserve"> the content of ITE programs may not always be informed by evidence. The QITE Review highlighted </w:t>
      </w:r>
      <w:r w:rsidR="003006D9" w:rsidRPr="00734A50">
        <w:rPr>
          <w:rFonts w:ascii="Calibri" w:eastAsia="Calibri" w:hAnsi="Calibri" w:cs="Arial"/>
        </w:rPr>
        <w:t xml:space="preserve">that </w:t>
      </w:r>
      <w:r w:rsidRPr="00734A50">
        <w:rPr>
          <w:rFonts w:ascii="Calibri" w:eastAsia="Calibri" w:hAnsi="Calibri" w:cs="Arial"/>
        </w:rPr>
        <w:t>t</w:t>
      </w:r>
      <w:r w:rsidRPr="00734A50">
        <w:rPr>
          <w:rFonts w:ascii="Calibri" w:eastAsia="Times New Roman" w:hAnsi="Calibri" w:cs="Calibri"/>
          <w:lang w:eastAsia="en-AU"/>
        </w:rPr>
        <w:t xml:space="preserve">he </w:t>
      </w:r>
      <w:r w:rsidR="00D33963" w:rsidRPr="00734A50">
        <w:rPr>
          <w:rFonts w:ascii="Calibri" w:eastAsia="Times New Roman" w:hAnsi="Calibri" w:cs="Calibri"/>
          <w:lang w:eastAsia="en-AU"/>
        </w:rPr>
        <w:t xml:space="preserve">national </w:t>
      </w:r>
      <w:r w:rsidRPr="00734A50">
        <w:rPr>
          <w:rFonts w:ascii="Calibri" w:eastAsia="Times New Roman" w:hAnsi="Calibri" w:cs="Calibri"/>
          <w:lang w:eastAsia="en-AU"/>
        </w:rPr>
        <w:t xml:space="preserve">Accreditation Standards and Procedures do not require ITE students to learn specific evidence-based practices except in the area of early </w:t>
      </w:r>
      <w:r w:rsidRPr="00734A50">
        <w:rPr>
          <w:rFonts w:ascii="Calibri" w:eastAsia="Times New Roman" w:hAnsi="Calibri" w:cs="Calibri"/>
          <w:lang w:eastAsia="en-AU"/>
        </w:rPr>
        <w:lastRenderedPageBreak/>
        <w:t>reading instruction.</w:t>
      </w:r>
      <w:r w:rsidR="00D42CCD" w:rsidRPr="00734A50">
        <w:rPr>
          <w:rFonts w:ascii="Calibri" w:eastAsia="Times New Roman" w:hAnsi="Calibri" w:cs="Calibri"/>
          <w:lang w:eastAsia="en-AU"/>
        </w:rPr>
        <w:t xml:space="preserve"> Some jurisdictions, such as NSW, </w:t>
      </w:r>
      <w:r w:rsidR="008A4F16" w:rsidRPr="00734A50">
        <w:rPr>
          <w:rFonts w:ascii="Calibri" w:eastAsia="Times New Roman" w:hAnsi="Calibri" w:cs="Calibri"/>
          <w:lang w:eastAsia="en-AU"/>
        </w:rPr>
        <w:t xml:space="preserve">have </w:t>
      </w:r>
      <w:r w:rsidR="00F210B6" w:rsidRPr="00734A50">
        <w:rPr>
          <w:rFonts w:ascii="Calibri" w:eastAsia="Times New Roman" w:hAnsi="Calibri" w:cs="Calibri"/>
          <w:lang w:eastAsia="en-AU"/>
        </w:rPr>
        <w:t xml:space="preserve">chosen to </w:t>
      </w:r>
      <w:r w:rsidR="008A4F16" w:rsidRPr="00734A50">
        <w:rPr>
          <w:rFonts w:ascii="Calibri" w:eastAsia="Times New Roman" w:hAnsi="Calibri" w:cs="Calibri"/>
          <w:lang w:eastAsia="en-AU"/>
        </w:rPr>
        <w:t xml:space="preserve">set more prescriptive </w:t>
      </w:r>
      <w:r w:rsidR="003A3A1A" w:rsidRPr="00734A50">
        <w:rPr>
          <w:rFonts w:ascii="Calibri" w:eastAsia="Times New Roman" w:hAnsi="Calibri" w:cs="Calibri"/>
          <w:lang w:eastAsia="en-AU"/>
        </w:rPr>
        <w:t xml:space="preserve">accreditation </w:t>
      </w:r>
      <w:r w:rsidR="008A4F16" w:rsidRPr="00734A50">
        <w:rPr>
          <w:rFonts w:ascii="Calibri" w:eastAsia="Times New Roman" w:hAnsi="Calibri" w:cs="Calibri"/>
          <w:lang w:eastAsia="en-AU"/>
        </w:rPr>
        <w:t xml:space="preserve">requirements, but this </w:t>
      </w:r>
      <w:r w:rsidR="003A3A1A" w:rsidRPr="00734A50">
        <w:rPr>
          <w:rFonts w:ascii="Calibri" w:eastAsia="Times New Roman" w:hAnsi="Calibri" w:cs="Calibri"/>
          <w:lang w:eastAsia="en-AU"/>
        </w:rPr>
        <w:t>approach is not national</w:t>
      </w:r>
      <w:r w:rsidR="00F30274" w:rsidRPr="00734A50">
        <w:rPr>
          <w:rFonts w:ascii="Calibri" w:eastAsia="Times New Roman" w:hAnsi="Calibri" w:cs="Calibri"/>
          <w:lang w:eastAsia="en-AU"/>
        </w:rPr>
        <w:t>ly</w:t>
      </w:r>
      <w:r w:rsidR="000818BD" w:rsidRPr="00734A50">
        <w:rPr>
          <w:rFonts w:ascii="Calibri" w:eastAsia="Times New Roman" w:hAnsi="Calibri" w:cs="Calibri"/>
          <w:lang w:eastAsia="en-AU"/>
        </w:rPr>
        <w:t xml:space="preserve"> consistent across jurisdictions</w:t>
      </w:r>
      <w:r w:rsidR="008A4F16" w:rsidRPr="00734A50">
        <w:rPr>
          <w:rFonts w:ascii="Calibri" w:eastAsia="Times New Roman" w:hAnsi="Calibri" w:cs="Calibri"/>
          <w:lang w:eastAsia="en-AU"/>
        </w:rPr>
        <w:t>.</w:t>
      </w:r>
    </w:p>
    <w:p w14:paraId="51F9CADB" w14:textId="0AF32A3E" w:rsidR="005A0222" w:rsidRPr="00734A50" w:rsidRDefault="5BAA69A5" w:rsidP="005A0222">
      <w:pPr>
        <w:textAlignment w:val="baseline"/>
        <w:rPr>
          <w:rFonts w:ascii="Calibri" w:eastAsia="Times New Roman" w:hAnsi="Calibri" w:cs="Calibri"/>
          <w:lang w:eastAsia="en-AU"/>
        </w:rPr>
      </w:pPr>
      <w:r w:rsidRPr="00734A50">
        <w:rPr>
          <w:rFonts w:ascii="Calibri" w:eastAsia="Times New Roman" w:hAnsi="Calibri" w:cs="Calibri"/>
          <w:lang w:eastAsia="en-AU"/>
        </w:rPr>
        <w:t>The QITE Review (Recommendation 7) found that many ITE graduates are underprepared to teach in several key areas, particularly in the teaching of reading, cultural responsiveness, supporting diverse learners, classroom management</w:t>
      </w:r>
      <w:r w:rsidR="000C0686" w:rsidRPr="00734A50">
        <w:rPr>
          <w:rFonts w:ascii="Calibri" w:eastAsia="Times New Roman" w:hAnsi="Calibri" w:cs="Calibri"/>
          <w:lang w:eastAsia="en-AU"/>
        </w:rPr>
        <w:t>,</w:t>
      </w:r>
      <w:r w:rsidRPr="00734A50">
        <w:rPr>
          <w:rFonts w:ascii="Calibri" w:eastAsia="Times New Roman" w:hAnsi="Calibri" w:cs="Calibri"/>
          <w:lang w:eastAsia="en-AU"/>
        </w:rPr>
        <w:t xml:space="preserve"> and family/carer engagement. In addition, ITE students felt their preparedness to teach in general would be bolstered by a focus on evidence-based teaching strategies and literacy and numeracy.</w:t>
      </w:r>
      <w:r w:rsidR="160FC10A" w:rsidRPr="00734A50">
        <w:rPr>
          <w:rFonts w:ascii="Calibri" w:eastAsia="Times New Roman" w:hAnsi="Calibri" w:cs="Calibri"/>
          <w:lang w:eastAsia="en-AU"/>
        </w:rPr>
        <w:t xml:space="preserve"> This </w:t>
      </w:r>
      <w:r w:rsidR="64F2DC66" w:rsidRPr="00734A50">
        <w:rPr>
          <w:rFonts w:ascii="Calibri" w:eastAsia="Times New Roman" w:hAnsi="Calibri" w:cs="Calibri"/>
          <w:lang w:eastAsia="en-AU"/>
        </w:rPr>
        <w:t xml:space="preserve">recommendation was </w:t>
      </w:r>
      <w:r w:rsidR="16A57240" w:rsidRPr="00734A50">
        <w:rPr>
          <w:rFonts w:ascii="Calibri" w:eastAsia="Times New Roman" w:hAnsi="Calibri" w:cs="Calibri"/>
          <w:lang w:eastAsia="en-AU"/>
        </w:rPr>
        <w:t>informed by</w:t>
      </w:r>
      <w:r w:rsidR="64F2DC66" w:rsidRPr="00734A50">
        <w:rPr>
          <w:rFonts w:ascii="Calibri" w:eastAsia="Times New Roman" w:hAnsi="Calibri" w:cs="Calibri"/>
          <w:lang w:eastAsia="en-AU"/>
        </w:rPr>
        <w:t xml:space="preserve"> </w:t>
      </w:r>
      <w:r w:rsidR="329D12CC" w:rsidRPr="00734A50">
        <w:rPr>
          <w:rFonts w:ascii="Calibri" w:eastAsia="Times New Roman" w:hAnsi="Calibri" w:cs="Calibri"/>
          <w:lang w:eastAsia="en-AU"/>
        </w:rPr>
        <w:t>stakeholder views</w:t>
      </w:r>
      <w:r w:rsidR="64F2DC66" w:rsidRPr="00734A50">
        <w:rPr>
          <w:rFonts w:ascii="Calibri" w:eastAsia="Times New Roman" w:hAnsi="Calibri" w:cs="Calibri"/>
          <w:lang w:eastAsia="en-AU"/>
        </w:rPr>
        <w:t xml:space="preserve"> provided t</w:t>
      </w:r>
      <w:r w:rsidR="3E7C564C" w:rsidRPr="00734A50">
        <w:rPr>
          <w:rFonts w:ascii="Calibri" w:eastAsia="Times New Roman" w:hAnsi="Calibri" w:cs="Calibri"/>
          <w:lang w:eastAsia="en-AU"/>
        </w:rPr>
        <w:t>o the QITE Review</w:t>
      </w:r>
      <w:r w:rsidR="64F2DC66" w:rsidRPr="00734A50">
        <w:rPr>
          <w:rFonts w:ascii="Calibri" w:eastAsia="Times New Roman" w:hAnsi="Calibri" w:cs="Calibri"/>
          <w:lang w:eastAsia="en-AU"/>
        </w:rPr>
        <w:t xml:space="preserve">, </w:t>
      </w:r>
      <w:r w:rsidR="000C0686" w:rsidRPr="00734A50">
        <w:rPr>
          <w:rFonts w:ascii="Calibri" w:eastAsia="Times New Roman" w:hAnsi="Calibri" w:cs="Calibri"/>
          <w:lang w:eastAsia="en-AU"/>
        </w:rPr>
        <w:t xml:space="preserve">which </w:t>
      </w:r>
      <w:r w:rsidR="64F2DC66" w:rsidRPr="00734A50">
        <w:rPr>
          <w:rFonts w:ascii="Calibri" w:eastAsia="Times New Roman" w:hAnsi="Calibri" w:cs="Calibri"/>
          <w:lang w:eastAsia="en-AU"/>
        </w:rPr>
        <w:t>indicated the</w:t>
      </w:r>
      <w:r w:rsidR="31B4CCBC" w:rsidRPr="00734A50">
        <w:rPr>
          <w:rFonts w:ascii="Calibri" w:eastAsia="Times New Roman" w:hAnsi="Calibri" w:cs="Calibri"/>
          <w:lang w:eastAsia="en-AU"/>
        </w:rPr>
        <w:t xml:space="preserve"> Accredi</w:t>
      </w:r>
      <w:r w:rsidR="4116AB69" w:rsidRPr="00734A50">
        <w:rPr>
          <w:rFonts w:ascii="Calibri" w:eastAsia="Times New Roman" w:hAnsi="Calibri" w:cs="Calibri"/>
          <w:lang w:eastAsia="en-AU"/>
        </w:rPr>
        <w:t>t</w:t>
      </w:r>
      <w:r w:rsidR="31B4CCBC" w:rsidRPr="00734A50">
        <w:rPr>
          <w:rFonts w:ascii="Calibri" w:eastAsia="Times New Roman" w:hAnsi="Calibri" w:cs="Calibri"/>
          <w:lang w:eastAsia="en-AU"/>
        </w:rPr>
        <w:t xml:space="preserve">ation Standards would benefit from the inclusion of specific </w:t>
      </w:r>
      <w:r w:rsidR="69096FF5" w:rsidRPr="00734A50">
        <w:rPr>
          <w:rFonts w:ascii="Calibri" w:eastAsia="Times New Roman" w:hAnsi="Calibri" w:cs="Calibri"/>
          <w:lang w:eastAsia="en-AU"/>
        </w:rPr>
        <w:t xml:space="preserve">content </w:t>
      </w:r>
      <w:r w:rsidR="50F0F80F" w:rsidRPr="00734A50">
        <w:rPr>
          <w:rFonts w:ascii="Calibri" w:eastAsia="Times New Roman" w:hAnsi="Calibri" w:cs="Calibri"/>
          <w:lang w:eastAsia="en-AU"/>
        </w:rPr>
        <w:t>targeting the needs of ITE students on entering the classroom.</w:t>
      </w:r>
    </w:p>
    <w:p w14:paraId="76E81077" w14:textId="44DE6F95" w:rsidR="00E71482" w:rsidRPr="00734A50" w:rsidRDefault="005A0222" w:rsidP="00E71482">
      <w:pPr>
        <w:textAlignment w:val="baseline"/>
        <w:rPr>
          <w:rFonts w:ascii="Calibri" w:eastAsia="Times New Roman" w:hAnsi="Calibri" w:cs="Calibri"/>
          <w:lang w:eastAsia="en-AU"/>
        </w:rPr>
      </w:pPr>
      <w:r w:rsidRPr="00734A50">
        <w:rPr>
          <w:rFonts w:ascii="Calibri" w:eastAsia="Times New Roman" w:hAnsi="Calibri" w:cs="Calibri"/>
          <w:lang w:eastAsia="en-AU"/>
        </w:rPr>
        <w:t xml:space="preserve">The Panel has been asked to provide advice on amending the Accreditation Standards and Procedures to ensure ITE students are taught sufficient evidence-based practices to meet the </w:t>
      </w:r>
      <w:r w:rsidRPr="00734A50">
        <w:rPr>
          <w:rFonts w:ascii="Calibri" w:eastAsia="Times New Roman" w:hAnsi="Calibri" w:cs="Calibri"/>
          <w:i/>
          <w:iCs/>
          <w:lang w:eastAsia="en-AU"/>
        </w:rPr>
        <w:t>Australian Professional Standards for Teachers</w:t>
      </w:r>
      <w:r w:rsidRPr="00734A50">
        <w:rPr>
          <w:rFonts w:ascii="Calibri" w:eastAsia="Times New Roman" w:hAnsi="Calibri" w:cs="Calibri"/>
          <w:lang w:eastAsia="en-AU"/>
        </w:rPr>
        <w:t xml:space="preserve"> (Teacher Standards) and </w:t>
      </w:r>
      <w:r w:rsidR="007B50EF" w:rsidRPr="00734A50">
        <w:rPr>
          <w:rFonts w:ascii="Calibri" w:eastAsia="Times New Roman" w:hAnsi="Calibri" w:cs="Calibri"/>
          <w:lang w:eastAsia="en-AU"/>
        </w:rPr>
        <w:t xml:space="preserve">empower </w:t>
      </w:r>
      <w:r w:rsidRPr="00734A50">
        <w:rPr>
          <w:rFonts w:ascii="Calibri" w:eastAsia="Times New Roman" w:hAnsi="Calibri" w:cs="Calibri"/>
          <w:lang w:eastAsia="en-AU"/>
        </w:rPr>
        <w:t xml:space="preserve">them to lead a classroom. </w:t>
      </w:r>
      <w:bookmarkStart w:id="50" w:name="_Toc127978372"/>
      <w:bookmarkStart w:id="51" w:name="_Toc128649072"/>
      <w:bookmarkStart w:id="52" w:name="_Toc130217428"/>
    </w:p>
    <w:p w14:paraId="03551069" w14:textId="63C1F894" w:rsidR="00E71482" w:rsidRPr="00734A50" w:rsidRDefault="005A0222" w:rsidP="6DDCDED7">
      <w:pPr>
        <w:pStyle w:val="Heading2"/>
        <w:rPr>
          <w:rFonts w:eastAsia="Times New Roman"/>
          <w:color w:val="002C3E"/>
          <w:sz w:val="32"/>
          <w:szCs w:val="32"/>
          <w:lang w:eastAsia="en-AU"/>
        </w:rPr>
      </w:pPr>
      <w:bookmarkStart w:id="53" w:name="_Toc139366631"/>
      <w:r w:rsidRPr="00734A50">
        <w:t>Key findings</w:t>
      </w:r>
      <w:bookmarkEnd w:id="50"/>
      <w:bookmarkEnd w:id="51"/>
      <w:bookmarkEnd w:id="52"/>
      <w:bookmarkEnd w:id="53"/>
    </w:p>
    <w:p w14:paraId="7CDA4F99" w14:textId="17EC7C67" w:rsidR="00E71482" w:rsidRPr="00734A50" w:rsidRDefault="004D4DA8" w:rsidP="00E73BBF">
      <w:pPr>
        <w:pStyle w:val="Heading3"/>
      </w:pPr>
      <w:bookmarkStart w:id="54" w:name="_Toc139366514"/>
      <w:bookmarkStart w:id="55" w:name="_Toc139366632"/>
      <w:r w:rsidRPr="00734A50">
        <w:t xml:space="preserve">1.1 </w:t>
      </w:r>
      <w:r w:rsidR="00E71482" w:rsidRPr="00734A50">
        <w:t>Evidence-based practices</w:t>
      </w:r>
      <w:bookmarkEnd w:id="54"/>
      <w:bookmarkEnd w:id="55"/>
    </w:p>
    <w:p w14:paraId="76342637" w14:textId="4ACB78E4" w:rsidR="009C1795" w:rsidRPr="00734A50" w:rsidRDefault="00E71482" w:rsidP="005B2B8D">
      <w:pPr>
        <w:keepNext/>
        <w:keepLines/>
        <w:rPr>
          <w:rFonts w:eastAsia="Times New Roman"/>
          <w:color w:val="000000" w:themeColor="text1"/>
          <w:lang w:eastAsia="en-AU"/>
        </w:rPr>
      </w:pPr>
      <w:r w:rsidRPr="00734A50">
        <w:rPr>
          <w:rFonts w:ascii="Calibri" w:eastAsia="Times New Roman" w:hAnsi="Calibri" w:cs="Calibri"/>
          <w:lang w:eastAsia="en-AU"/>
        </w:rPr>
        <w:t>Evidence-based practices</w:t>
      </w:r>
      <w:r w:rsidRPr="00734A50">
        <w:rPr>
          <w:rFonts w:eastAsia="Times New Roman"/>
          <w:color w:val="000000" w:themeColor="text1"/>
          <w:lang w:eastAsia="en-AU"/>
        </w:rPr>
        <w:t xml:space="preserve"> are those practices supported by research evidence as to their effectiveness. This means </w:t>
      </w:r>
      <w:r w:rsidR="000C0686" w:rsidRPr="00734A50">
        <w:rPr>
          <w:rFonts w:eastAsia="Times New Roman"/>
          <w:color w:val="000000" w:themeColor="text1"/>
          <w:lang w:eastAsia="en-AU"/>
        </w:rPr>
        <w:t>there is</w:t>
      </w:r>
      <w:r w:rsidRPr="00734A50">
        <w:rPr>
          <w:rFonts w:eastAsia="Times New Roman"/>
          <w:color w:val="000000" w:themeColor="text1"/>
          <w:lang w:eastAsia="en-AU"/>
        </w:rPr>
        <w:t xml:space="preserve"> broad consensus from rigorously conducted evaluations that they work in many cases across various contexts</w:t>
      </w:r>
      <w:r w:rsidR="00C611A9" w:rsidRPr="00734A50">
        <w:rPr>
          <w:rFonts w:eastAsia="Times New Roman"/>
          <w:color w:val="000000" w:themeColor="text1"/>
          <w:lang w:eastAsia="en-AU"/>
        </w:rPr>
        <w:t xml:space="preserve"> and</w:t>
      </w:r>
      <w:r w:rsidRPr="00734A50">
        <w:rPr>
          <w:rFonts w:eastAsia="Times New Roman"/>
          <w:color w:val="000000" w:themeColor="text1"/>
          <w:lang w:eastAsia="en-AU"/>
        </w:rPr>
        <w:t xml:space="preserve"> for different subgroups of students</w:t>
      </w:r>
      <w:r w:rsidR="00134AC5" w:rsidRPr="00734A50">
        <w:rPr>
          <w:rFonts w:eastAsia="Times New Roman"/>
          <w:color w:val="000000" w:themeColor="text1"/>
          <w:lang w:eastAsia="en-AU"/>
        </w:rPr>
        <w:t>.</w:t>
      </w:r>
      <w:r w:rsidRPr="00734A50">
        <w:rPr>
          <w:rFonts w:eastAsia="Times New Roman"/>
          <w:color w:val="000000" w:themeColor="text1"/>
          <w:lang w:eastAsia="en-AU"/>
        </w:rPr>
        <w:t xml:space="preserve"> </w:t>
      </w:r>
      <w:r w:rsidR="002C24A6" w:rsidRPr="00734A50">
        <w:rPr>
          <w:rFonts w:eastAsia="Times New Roman"/>
          <w:color w:val="000000" w:themeColor="text1"/>
          <w:lang w:eastAsia="en-AU"/>
        </w:rPr>
        <w:t>There</w:t>
      </w:r>
      <w:r w:rsidRPr="00734A50">
        <w:rPr>
          <w:rFonts w:eastAsia="Times New Roman"/>
          <w:color w:val="000000" w:themeColor="text1"/>
          <w:lang w:eastAsia="en-AU"/>
        </w:rPr>
        <w:t xml:space="preserve"> are </w:t>
      </w:r>
      <w:r w:rsidR="002C24A6" w:rsidRPr="00734A50">
        <w:rPr>
          <w:rFonts w:eastAsia="Times New Roman"/>
          <w:color w:val="000000" w:themeColor="text1"/>
          <w:lang w:eastAsia="en-AU"/>
        </w:rPr>
        <w:t>also</w:t>
      </w:r>
      <w:r w:rsidRPr="00734A50">
        <w:rPr>
          <w:rFonts w:eastAsia="Times New Roman"/>
          <w:color w:val="000000" w:themeColor="text1"/>
          <w:lang w:eastAsia="en-AU"/>
        </w:rPr>
        <w:t xml:space="preserve"> evidence-based practices on approaches to teaching subject-specific content, such as reading and numeracy, that can complement generic evidence-based pedagogical approaches. </w:t>
      </w:r>
    </w:p>
    <w:p w14:paraId="72EE6679" w14:textId="1B1E0DF1" w:rsidR="009C1795" w:rsidRPr="00734A50" w:rsidRDefault="001F0109" w:rsidP="00896AC9">
      <w:pPr>
        <w:textAlignment w:val="baseline"/>
        <w:rPr>
          <w:rFonts w:ascii="Calibri" w:eastAsia="Times New Roman" w:hAnsi="Calibri" w:cs="Calibri"/>
          <w:lang w:eastAsia="en-AU"/>
        </w:rPr>
      </w:pPr>
      <w:r w:rsidRPr="00734A50">
        <w:rPr>
          <w:rFonts w:ascii="Calibri" w:eastAsia="Times New Roman" w:hAnsi="Calibri" w:cs="Calibri"/>
          <w:lang w:eastAsia="en-AU"/>
        </w:rPr>
        <w:t xml:space="preserve">To </w:t>
      </w:r>
      <w:r w:rsidR="000D6EA2" w:rsidRPr="00734A50">
        <w:rPr>
          <w:rFonts w:ascii="Calibri" w:eastAsia="Times New Roman" w:hAnsi="Calibri" w:cs="Calibri"/>
          <w:lang w:eastAsia="en-AU"/>
        </w:rPr>
        <w:t>identify</w:t>
      </w:r>
      <w:r w:rsidR="009C1795" w:rsidRPr="00734A50">
        <w:rPr>
          <w:rFonts w:ascii="Calibri" w:eastAsia="Times New Roman" w:hAnsi="Calibri" w:cs="Calibri"/>
          <w:lang w:eastAsia="en-AU"/>
        </w:rPr>
        <w:t xml:space="preserve"> the evidence-based practices</w:t>
      </w:r>
      <w:r w:rsidR="00EF54F6" w:rsidRPr="00734A50">
        <w:rPr>
          <w:rFonts w:ascii="Calibri" w:eastAsia="Times New Roman" w:hAnsi="Calibri" w:cs="Calibri"/>
          <w:lang w:eastAsia="en-AU"/>
        </w:rPr>
        <w:t xml:space="preserve"> </w:t>
      </w:r>
      <w:r w:rsidR="00F2211C" w:rsidRPr="00734A50">
        <w:rPr>
          <w:rFonts w:ascii="Calibri" w:eastAsia="Times New Roman" w:hAnsi="Calibri" w:cs="Calibri"/>
          <w:lang w:eastAsia="en-AU"/>
        </w:rPr>
        <w:t xml:space="preserve">most </w:t>
      </w:r>
      <w:r w:rsidR="000D6EA2" w:rsidRPr="00734A50">
        <w:rPr>
          <w:rFonts w:ascii="Calibri" w:eastAsia="Times New Roman" w:hAnsi="Calibri" w:cs="Calibri"/>
          <w:lang w:eastAsia="en-AU"/>
        </w:rPr>
        <w:t>relevant to ITE</w:t>
      </w:r>
      <w:r w:rsidR="009C1795" w:rsidRPr="00734A50">
        <w:rPr>
          <w:rFonts w:ascii="Calibri" w:eastAsia="Times New Roman" w:hAnsi="Calibri" w:cs="Calibri"/>
          <w:lang w:eastAsia="en-AU"/>
        </w:rPr>
        <w:t>, the Panel commissioned</w:t>
      </w:r>
      <w:r w:rsidR="00754949" w:rsidRPr="00734A50">
        <w:rPr>
          <w:rFonts w:ascii="Calibri" w:eastAsia="Times New Roman" w:hAnsi="Calibri" w:cs="Calibri"/>
          <w:lang w:eastAsia="en-AU"/>
        </w:rPr>
        <w:t xml:space="preserve"> the </w:t>
      </w:r>
      <w:r w:rsidR="00754949" w:rsidRPr="00734A50">
        <w:t>Australian Education Research Organisation</w:t>
      </w:r>
      <w:r w:rsidR="009C1795" w:rsidRPr="00734A50">
        <w:rPr>
          <w:rFonts w:ascii="Calibri" w:eastAsia="Times New Roman" w:hAnsi="Calibri" w:cs="Calibri"/>
          <w:lang w:eastAsia="en-AU"/>
        </w:rPr>
        <w:t xml:space="preserve"> </w:t>
      </w:r>
      <w:r w:rsidR="00754949" w:rsidRPr="00734A50">
        <w:rPr>
          <w:rFonts w:ascii="Calibri" w:eastAsia="Times New Roman" w:hAnsi="Calibri" w:cs="Calibri"/>
          <w:lang w:eastAsia="en-AU"/>
        </w:rPr>
        <w:t>(</w:t>
      </w:r>
      <w:r w:rsidR="009C1795" w:rsidRPr="00734A50">
        <w:rPr>
          <w:rFonts w:ascii="Calibri" w:eastAsia="Times New Roman" w:hAnsi="Calibri" w:cs="Calibri"/>
          <w:lang w:eastAsia="en-AU"/>
        </w:rPr>
        <w:t>AERO</w:t>
      </w:r>
      <w:r w:rsidR="00754949" w:rsidRPr="00734A50">
        <w:rPr>
          <w:rFonts w:ascii="Calibri" w:eastAsia="Times New Roman" w:hAnsi="Calibri" w:cs="Calibri"/>
          <w:lang w:eastAsia="en-AU"/>
        </w:rPr>
        <w:t>)</w:t>
      </w:r>
      <w:r w:rsidR="009C1795" w:rsidRPr="00734A50">
        <w:rPr>
          <w:rFonts w:ascii="Calibri" w:eastAsia="Times New Roman" w:hAnsi="Calibri" w:cs="Calibri"/>
          <w:lang w:eastAsia="en-AU"/>
        </w:rPr>
        <w:t xml:space="preserve"> to </w:t>
      </w:r>
      <w:r w:rsidR="00825530" w:rsidRPr="00734A50">
        <w:rPr>
          <w:rFonts w:ascii="Calibri" w:eastAsia="Times New Roman" w:hAnsi="Calibri" w:cs="Calibri"/>
          <w:lang w:eastAsia="en-AU"/>
        </w:rPr>
        <w:t>review and synthesise</w:t>
      </w:r>
      <w:r w:rsidR="009C1795" w:rsidRPr="00734A50">
        <w:rPr>
          <w:rFonts w:ascii="Calibri" w:eastAsia="Times New Roman" w:hAnsi="Calibri" w:cs="Calibri"/>
          <w:lang w:eastAsia="en-AU"/>
        </w:rPr>
        <w:t xml:space="preserve"> the most rigorous and relevant evidence-based practices in education from meta-analyses, systematic reviews, and literature reviews. AERO rated these sources of information against its ‘standards of evidence’ </w:t>
      </w:r>
      <w:r w:rsidR="000C0686" w:rsidRPr="00734A50">
        <w:rPr>
          <w:rFonts w:ascii="Calibri" w:eastAsia="Times New Roman" w:hAnsi="Calibri" w:cs="Calibri"/>
          <w:lang w:eastAsia="en-AU"/>
        </w:rPr>
        <w:t xml:space="preserve">as to </w:t>
      </w:r>
      <w:r w:rsidR="009C1795" w:rsidRPr="00734A50">
        <w:rPr>
          <w:rFonts w:ascii="Calibri" w:eastAsia="Times New Roman" w:hAnsi="Calibri" w:cs="Calibri"/>
          <w:lang w:eastAsia="en-AU"/>
        </w:rPr>
        <w:t>what constitutes rigorous and relevant evidence</w:t>
      </w:r>
      <w:r w:rsidR="0037225F" w:rsidRPr="00734A50">
        <w:rPr>
          <w:rFonts w:ascii="Calibri" w:eastAsia="Times New Roman" w:hAnsi="Calibri" w:cs="Calibri"/>
          <w:lang w:eastAsia="en-AU"/>
        </w:rPr>
        <w:t>,</w:t>
      </w:r>
      <w:r w:rsidR="00324A53" w:rsidRPr="00734A50">
        <w:rPr>
          <w:rStyle w:val="FootnoteReference"/>
          <w:rFonts w:ascii="Calibri" w:eastAsia="Times New Roman" w:hAnsi="Calibri" w:cs="Calibri"/>
          <w:lang w:eastAsia="en-AU"/>
        </w:rPr>
        <w:footnoteReference w:id="8"/>
      </w:r>
      <w:r w:rsidR="009C1795" w:rsidRPr="00734A50">
        <w:rPr>
          <w:rFonts w:ascii="Calibri" w:eastAsia="Times New Roman" w:hAnsi="Calibri" w:cs="Calibri"/>
          <w:lang w:eastAsia="en-AU"/>
        </w:rPr>
        <w:t xml:space="preserve"> focusing on evidence generated in an Australian context where possible</w:t>
      </w:r>
      <w:r w:rsidR="000C0686" w:rsidRPr="00734A50">
        <w:rPr>
          <w:rFonts w:ascii="Calibri" w:eastAsia="Times New Roman" w:hAnsi="Calibri" w:cs="Calibri"/>
          <w:lang w:eastAsia="en-AU"/>
        </w:rPr>
        <w:t>,</w:t>
      </w:r>
      <w:r w:rsidR="009C1795" w:rsidRPr="00734A50">
        <w:rPr>
          <w:rFonts w:ascii="Calibri" w:eastAsia="Times New Roman" w:hAnsi="Calibri" w:cs="Calibri"/>
          <w:lang w:eastAsia="en-AU"/>
        </w:rPr>
        <w:t xml:space="preserve"> and</w:t>
      </w:r>
      <w:r w:rsidR="000C0686" w:rsidRPr="00734A50">
        <w:rPr>
          <w:rFonts w:ascii="Calibri" w:eastAsia="Times New Roman" w:hAnsi="Calibri" w:cs="Calibri"/>
          <w:lang w:eastAsia="en-AU"/>
        </w:rPr>
        <w:t xml:space="preserve"> on</w:t>
      </w:r>
      <w:r w:rsidR="009C1795" w:rsidRPr="00734A50">
        <w:rPr>
          <w:rFonts w:ascii="Calibri" w:eastAsia="Times New Roman" w:hAnsi="Calibri" w:cs="Calibri"/>
          <w:lang w:eastAsia="en-AU"/>
        </w:rPr>
        <w:t xml:space="preserve"> identified practices that </w:t>
      </w:r>
      <w:r w:rsidR="00C53204" w:rsidRPr="00734A50">
        <w:rPr>
          <w:rFonts w:ascii="Calibri" w:eastAsia="Times New Roman" w:hAnsi="Calibri" w:cs="Calibri"/>
          <w:lang w:eastAsia="en-AU"/>
        </w:rPr>
        <w:t>all beginning teachers should know</w:t>
      </w:r>
      <w:r w:rsidR="009C1795" w:rsidRPr="00734A50">
        <w:rPr>
          <w:rFonts w:ascii="Calibri" w:eastAsia="Times New Roman" w:hAnsi="Calibri" w:cs="Calibri"/>
          <w:lang w:eastAsia="en-AU"/>
        </w:rPr>
        <w:t xml:space="preserve">. </w:t>
      </w:r>
    </w:p>
    <w:p w14:paraId="7EF430FD" w14:textId="5403DDA9" w:rsidR="005A0222" w:rsidRPr="00734A50" w:rsidRDefault="004D4DA8" w:rsidP="6DDCDED7">
      <w:pPr>
        <w:pStyle w:val="Heading3"/>
      </w:pPr>
      <w:bookmarkStart w:id="56" w:name="_Toc139366515"/>
      <w:bookmarkStart w:id="57" w:name="_Toc139366633"/>
      <w:r w:rsidRPr="00734A50">
        <w:t xml:space="preserve">1.2 </w:t>
      </w:r>
      <w:r w:rsidR="005A0222" w:rsidRPr="00734A50">
        <w:t>Core content for ITE programs</w:t>
      </w:r>
      <w:bookmarkEnd w:id="56"/>
      <w:bookmarkEnd w:id="57"/>
    </w:p>
    <w:p w14:paraId="79084BCC" w14:textId="4B8DCB41" w:rsidR="005A0222" w:rsidRPr="00734A50" w:rsidRDefault="00D03023" w:rsidP="005A0222">
      <w:pPr>
        <w:textAlignment w:val="baseline"/>
        <w:rPr>
          <w:rFonts w:ascii="Calibri" w:eastAsia="Calibri" w:hAnsi="Calibri" w:cs="Arial"/>
        </w:rPr>
      </w:pPr>
      <w:r w:rsidRPr="00734A50">
        <w:rPr>
          <w:rFonts w:ascii="Calibri" w:eastAsia="Calibri" w:hAnsi="Calibri" w:cs="Arial"/>
        </w:rPr>
        <w:t>A</w:t>
      </w:r>
      <w:r w:rsidR="00CE0677" w:rsidRPr="00734A50">
        <w:rPr>
          <w:rFonts w:ascii="Calibri" w:eastAsia="Calibri" w:hAnsi="Calibri" w:cs="Arial"/>
        </w:rPr>
        <w:t xml:space="preserve"> r</w:t>
      </w:r>
      <w:r w:rsidR="005A0222" w:rsidRPr="00734A50">
        <w:rPr>
          <w:rFonts w:ascii="Calibri" w:eastAsia="Calibri" w:hAnsi="Calibri" w:cs="Arial"/>
        </w:rPr>
        <w:t xml:space="preserve">eview of ITE programs identified that a shared feature of high-quality programs was core content, which explicitly covered development, learning and subject matter pedagogy with opportunities for practice (Darling-Hammond </w:t>
      </w:r>
      <w:r w:rsidR="00D652AC" w:rsidRPr="00734A50">
        <w:rPr>
          <w:rFonts w:ascii="Calibri" w:eastAsia="Calibri" w:hAnsi="Calibri" w:cs="Arial"/>
        </w:rPr>
        <w:t>&amp;</w:t>
      </w:r>
      <w:r w:rsidR="005A0222" w:rsidRPr="00734A50">
        <w:rPr>
          <w:rFonts w:ascii="Calibri" w:eastAsia="Calibri" w:hAnsi="Calibri" w:cs="Arial"/>
        </w:rPr>
        <w:t xml:space="preserve"> Bransford 2007).</w:t>
      </w:r>
    </w:p>
    <w:p w14:paraId="09BF63D4" w14:textId="1F234A5D" w:rsidR="0068647B" w:rsidRPr="00734A50" w:rsidRDefault="005A0222" w:rsidP="0068647B">
      <w:pPr>
        <w:textAlignment w:val="baseline"/>
        <w:rPr>
          <w:rFonts w:ascii="Calibri" w:eastAsia="Times New Roman" w:hAnsi="Calibri" w:cs="Calibri"/>
          <w:lang w:eastAsia="en-AU"/>
        </w:rPr>
      </w:pPr>
      <w:r w:rsidRPr="00734A50">
        <w:rPr>
          <w:rFonts w:ascii="Calibri" w:eastAsia="Times New Roman" w:hAnsi="Calibri" w:cs="Calibri"/>
          <w:lang w:eastAsia="en-AU"/>
        </w:rPr>
        <w:t>To support ITE students in meeting the Teacher Standards, the Panel has identified four types of core content.</w:t>
      </w:r>
      <w:r w:rsidR="00107E97">
        <w:rPr>
          <w:rFonts w:ascii="Calibri" w:eastAsia="Calibri" w:hAnsi="Calibri" w:cs="Arial"/>
        </w:rPr>
        <w:t xml:space="preserve"> </w:t>
      </w:r>
      <w:r w:rsidRPr="00734A50">
        <w:rPr>
          <w:rFonts w:ascii="Calibri" w:eastAsia="Calibri" w:hAnsi="Calibri" w:cs="Arial"/>
        </w:rPr>
        <w:t>The core content covers what every teacher should learn in ITE to be prepared for the classroom and best support students. It prioritises the knowledge and practices which are essential for all ITE students</w:t>
      </w:r>
      <w:r w:rsidR="00FF2B36" w:rsidRPr="00734A50">
        <w:rPr>
          <w:rFonts w:ascii="Calibri" w:eastAsia="Calibri" w:hAnsi="Calibri" w:cs="Arial"/>
        </w:rPr>
        <w:t xml:space="preserve"> to learn</w:t>
      </w:r>
      <w:r w:rsidRPr="00734A50">
        <w:rPr>
          <w:rFonts w:ascii="Calibri" w:eastAsia="Calibri" w:hAnsi="Calibri" w:cs="Arial"/>
        </w:rPr>
        <w:t>.</w:t>
      </w:r>
      <w:r w:rsidR="00C35CF8" w:rsidRPr="00734A50">
        <w:rPr>
          <w:rFonts w:ascii="Calibri" w:eastAsia="Calibri" w:hAnsi="Calibri" w:cs="Arial"/>
        </w:rPr>
        <w:t xml:space="preserve"> </w:t>
      </w:r>
      <w:r w:rsidRPr="00734A50">
        <w:rPr>
          <w:rFonts w:ascii="Calibri" w:eastAsia="Calibri" w:hAnsi="Calibri" w:cs="Arial"/>
        </w:rPr>
        <w:t xml:space="preserve">It would equip </w:t>
      </w:r>
      <w:r w:rsidR="005516B9" w:rsidRPr="00734A50">
        <w:rPr>
          <w:rFonts w:ascii="Calibri" w:eastAsia="Calibri" w:hAnsi="Calibri" w:cs="Arial"/>
        </w:rPr>
        <w:t>beginning</w:t>
      </w:r>
      <w:r w:rsidRPr="00734A50">
        <w:rPr>
          <w:rFonts w:ascii="Calibri" w:eastAsia="Calibri" w:hAnsi="Calibri" w:cs="Arial"/>
        </w:rPr>
        <w:t xml:space="preserve"> teachers with a strong understanding of what works best to improve student learning based on the best evidence. </w:t>
      </w:r>
    </w:p>
    <w:p w14:paraId="21240B24" w14:textId="29D6B17C" w:rsidR="007631F7" w:rsidRDefault="003D1AD3" w:rsidP="00A124F3">
      <w:pPr>
        <w:textAlignment w:val="baseline"/>
        <w:rPr>
          <w:rFonts w:ascii="Calibri" w:eastAsia="Calibri" w:hAnsi="Calibri" w:cs="Arial"/>
        </w:rPr>
      </w:pPr>
      <w:r w:rsidRPr="00734A50">
        <w:rPr>
          <w:rFonts w:ascii="Calibri" w:eastAsia="Calibri" w:hAnsi="Calibri" w:cs="Arial"/>
        </w:rPr>
        <w:lastRenderedPageBreak/>
        <w:t>S</w:t>
      </w:r>
      <w:r w:rsidR="00C03ED8" w:rsidRPr="00734A50">
        <w:rPr>
          <w:rFonts w:ascii="Calibri" w:eastAsia="Calibri" w:hAnsi="Calibri" w:cs="Arial"/>
        </w:rPr>
        <w:t xml:space="preserve">takeholders highlighted that </w:t>
      </w:r>
      <w:r w:rsidR="002C4A45">
        <w:rPr>
          <w:rFonts w:ascii="Calibri" w:eastAsia="Calibri" w:hAnsi="Calibri" w:cs="Arial"/>
        </w:rPr>
        <w:t xml:space="preserve">the </w:t>
      </w:r>
      <w:r w:rsidR="00C03ED8" w:rsidRPr="00734A50">
        <w:rPr>
          <w:rFonts w:ascii="Calibri" w:eastAsia="Calibri" w:hAnsi="Calibri" w:cs="Arial"/>
        </w:rPr>
        <w:t xml:space="preserve">core content does not cover all </w:t>
      </w:r>
      <w:r w:rsidRPr="00734A50">
        <w:rPr>
          <w:rFonts w:ascii="Calibri" w:eastAsia="Calibri" w:hAnsi="Calibri" w:cs="Arial"/>
        </w:rPr>
        <w:t>the</w:t>
      </w:r>
      <w:r w:rsidR="00C03ED8" w:rsidRPr="00734A50">
        <w:rPr>
          <w:rFonts w:ascii="Calibri" w:eastAsia="Calibri" w:hAnsi="Calibri" w:cs="Arial"/>
        </w:rPr>
        <w:t xml:space="preserve"> knowledge and skills required by beginning teachers (</w:t>
      </w:r>
      <w:r w:rsidR="00F64BF3" w:rsidRPr="00734A50">
        <w:rPr>
          <w:rFonts w:ascii="Calibri" w:eastAsia="Calibri" w:hAnsi="Calibri" w:cs="Arial"/>
        </w:rPr>
        <w:t>Australian Council of Deans of Education</w:t>
      </w:r>
      <w:r w:rsidR="00857174" w:rsidRPr="00734A50">
        <w:rPr>
          <w:rFonts w:ascii="Calibri" w:eastAsia="Calibri" w:hAnsi="Calibri" w:cs="Arial"/>
        </w:rPr>
        <w:t xml:space="preserve"> (ACDE)</w:t>
      </w:r>
      <w:r w:rsidR="00C03ED8" w:rsidRPr="00734A50">
        <w:rPr>
          <w:rFonts w:ascii="Calibri" w:eastAsia="Calibri" w:hAnsi="Calibri" w:cs="Arial"/>
        </w:rPr>
        <w:t xml:space="preserve"> </w:t>
      </w:r>
      <w:r w:rsidR="00924162" w:rsidRPr="00734A50">
        <w:rPr>
          <w:rFonts w:ascii="Calibri" w:eastAsia="Calibri" w:hAnsi="Calibri" w:cs="Arial"/>
        </w:rPr>
        <w:t>submission;</w:t>
      </w:r>
      <w:r w:rsidR="00C03ED8" w:rsidRPr="00734A50">
        <w:rPr>
          <w:rFonts w:ascii="Calibri" w:eastAsia="Calibri" w:hAnsi="Calibri" w:cs="Arial"/>
        </w:rPr>
        <w:t xml:space="preserve"> </w:t>
      </w:r>
      <w:r w:rsidR="0037225F" w:rsidRPr="00734A50">
        <w:rPr>
          <w:rFonts w:ascii="Calibri" w:eastAsia="Calibri" w:hAnsi="Calibri" w:cs="Arial"/>
        </w:rPr>
        <w:t>NSW</w:t>
      </w:r>
      <w:r w:rsidR="00C945DA" w:rsidRPr="00734A50">
        <w:rPr>
          <w:rFonts w:ascii="Calibri" w:eastAsia="Calibri" w:hAnsi="Calibri" w:cs="Arial"/>
        </w:rPr>
        <w:t xml:space="preserve"> Council of Deans of Education </w:t>
      </w:r>
      <w:r w:rsidR="000F21A5" w:rsidRPr="00734A50">
        <w:rPr>
          <w:rFonts w:ascii="Calibri" w:eastAsia="Calibri" w:hAnsi="Calibri" w:cs="Arial"/>
        </w:rPr>
        <w:t>submission</w:t>
      </w:r>
      <w:r w:rsidR="00FF2313" w:rsidRPr="00734A50">
        <w:rPr>
          <w:rFonts w:ascii="Calibri" w:eastAsia="Calibri" w:hAnsi="Calibri" w:cs="Arial"/>
        </w:rPr>
        <w:t>)</w:t>
      </w:r>
      <w:r w:rsidR="00C03ED8" w:rsidRPr="00734A50">
        <w:rPr>
          <w:rFonts w:ascii="Calibri" w:eastAsia="Calibri" w:hAnsi="Calibri" w:cs="Arial"/>
        </w:rPr>
        <w:t xml:space="preserve">. The Panel acknowledges that </w:t>
      </w:r>
      <w:r w:rsidR="001178E7" w:rsidRPr="00734A50">
        <w:rPr>
          <w:rFonts w:ascii="Calibri" w:eastAsia="Calibri" w:hAnsi="Calibri" w:cs="Arial"/>
        </w:rPr>
        <w:t>the core content</w:t>
      </w:r>
      <w:r w:rsidR="00C03ED8" w:rsidRPr="00734A50">
        <w:rPr>
          <w:rFonts w:ascii="Calibri" w:eastAsia="Calibri" w:hAnsi="Calibri" w:cs="Arial"/>
        </w:rPr>
        <w:t xml:space="preserve"> </w:t>
      </w:r>
      <w:r w:rsidR="007E7860" w:rsidRPr="00734A50">
        <w:rPr>
          <w:rFonts w:ascii="Calibri" w:eastAsia="Calibri" w:hAnsi="Calibri" w:cs="Arial"/>
        </w:rPr>
        <w:t>is</w:t>
      </w:r>
      <w:r w:rsidR="004D49EB" w:rsidRPr="00734A50">
        <w:rPr>
          <w:rFonts w:ascii="Calibri" w:eastAsia="Calibri" w:hAnsi="Calibri" w:cs="Arial"/>
        </w:rPr>
        <w:t xml:space="preserve"> not </w:t>
      </w:r>
      <w:r w:rsidR="007E7860" w:rsidRPr="00734A50">
        <w:rPr>
          <w:rFonts w:ascii="Calibri" w:eastAsia="Calibri" w:hAnsi="Calibri" w:cs="Arial"/>
        </w:rPr>
        <w:t>intended to</w:t>
      </w:r>
      <w:r w:rsidR="004D49EB" w:rsidRPr="00734A50">
        <w:rPr>
          <w:rFonts w:ascii="Calibri" w:eastAsia="Calibri" w:hAnsi="Calibri" w:cs="Arial"/>
        </w:rPr>
        <w:t xml:space="preserve"> cover </w:t>
      </w:r>
      <w:r w:rsidRPr="00734A50">
        <w:rPr>
          <w:rFonts w:ascii="Calibri" w:eastAsia="Calibri" w:hAnsi="Calibri" w:cs="Arial"/>
        </w:rPr>
        <w:t>everything</w:t>
      </w:r>
      <w:r w:rsidR="009B59B1" w:rsidRPr="00734A50">
        <w:rPr>
          <w:rFonts w:ascii="Calibri" w:eastAsia="Calibri" w:hAnsi="Calibri" w:cs="Arial"/>
        </w:rPr>
        <w:t xml:space="preserve"> a beginning teacher should learn</w:t>
      </w:r>
      <w:r w:rsidR="007E7860" w:rsidRPr="00734A50">
        <w:rPr>
          <w:rFonts w:ascii="Calibri" w:eastAsia="Calibri" w:hAnsi="Calibri" w:cs="Arial"/>
        </w:rPr>
        <w:t xml:space="preserve">. </w:t>
      </w:r>
    </w:p>
    <w:p w14:paraId="7ACFCD63" w14:textId="77777777" w:rsidR="00852299" w:rsidRPr="00D90281" w:rsidRDefault="00852299" w:rsidP="00852299">
      <w:pPr>
        <w:pBdr>
          <w:top w:val="single" w:sz="4" w:space="1" w:color="auto"/>
          <w:left w:val="single" w:sz="4" w:space="4" w:color="auto"/>
          <w:bottom w:val="single" w:sz="4" w:space="1" w:color="auto"/>
          <w:right w:val="single" w:sz="4" w:space="4" w:color="auto"/>
        </w:pBdr>
        <w:shd w:val="clear" w:color="auto" w:fill="FECF52" w:themeFill="accent2"/>
        <w:spacing w:after="0"/>
        <w:rPr>
          <w:rFonts w:ascii="Calibri" w:eastAsia="Calibri" w:hAnsi="Calibri" w:cs="Arial"/>
          <w:b/>
          <w:bCs/>
        </w:rPr>
      </w:pPr>
      <w:r>
        <w:rPr>
          <w:rFonts w:ascii="Calibri" w:eastAsia="Calibri" w:hAnsi="Calibri" w:cs="Arial"/>
          <w:b/>
          <w:bCs/>
        </w:rPr>
        <w:t>The core content does not set out the full curriculum for ITE programs</w:t>
      </w:r>
    </w:p>
    <w:p w14:paraId="5996F70C" w14:textId="3F792841" w:rsidR="00EA128E" w:rsidRPr="00734A50" w:rsidRDefault="00852299" w:rsidP="00852299">
      <w:pPr>
        <w:pBdr>
          <w:top w:val="single" w:sz="4" w:space="1" w:color="auto"/>
          <w:left w:val="single" w:sz="4" w:space="4" w:color="auto"/>
          <w:bottom w:val="single" w:sz="4" w:space="1" w:color="auto"/>
          <w:right w:val="single" w:sz="4" w:space="4" w:color="auto"/>
        </w:pBdr>
        <w:shd w:val="clear" w:color="auto" w:fill="FECF52" w:themeFill="accent2"/>
        <w:rPr>
          <w:rFonts w:ascii="Calibri" w:eastAsia="Calibri" w:hAnsi="Calibri" w:cs="Arial"/>
        </w:rPr>
      </w:pPr>
      <w:r>
        <w:rPr>
          <w:rFonts w:ascii="Calibri" w:eastAsia="Calibri" w:hAnsi="Calibri" w:cs="Arial"/>
        </w:rPr>
        <w:t>The core content</w:t>
      </w:r>
      <w:r w:rsidRPr="00264EBB">
        <w:rPr>
          <w:rFonts w:ascii="Calibri" w:eastAsia="Calibri" w:hAnsi="Calibri" w:cs="Arial"/>
        </w:rPr>
        <w:t xml:space="preserve"> does not seek to </w:t>
      </w:r>
      <w:r>
        <w:rPr>
          <w:rFonts w:ascii="Calibri" w:eastAsia="Calibri" w:hAnsi="Calibri" w:cs="Arial"/>
        </w:rPr>
        <w:t>support ITE students to</w:t>
      </w:r>
      <w:r w:rsidRPr="00264EBB">
        <w:rPr>
          <w:rFonts w:ascii="Calibri" w:eastAsia="Calibri" w:hAnsi="Calibri" w:cs="Arial"/>
        </w:rPr>
        <w:t xml:space="preserve"> meet all Graduate Teacher Standards or attempt to address the subject-specific content or the related knowledge of the </w:t>
      </w:r>
      <w:r>
        <w:rPr>
          <w:rFonts w:ascii="Calibri" w:eastAsia="Calibri" w:hAnsi="Calibri" w:cs="Arial"/>
        </w:rPr>
        <w:t xml:space="preserve">Australian </w:t>
      </w:r>
      <w:r w:rsidRPr="00264EBB">
        <w:rPr>
          <w:rFonts w:ascii="Calibri" w:eastAsia="Calibri" w:hAnsi="Calibri" w:cs="Arial"/>
        </w:rPr>
        <w:t xml:space="preserve">curriculum. It remains appropriate for individual providers to use their expertise in teacher education to design appropriate curricula for their ITE program. </w:t>
      </w:r>
    </w:p>
    <w:p w14:paraId="52CD45C9" w14:textId="132C2F4B" w:rsidR="005A0222" w:rsidRPr="00734A50" w:rsidRDefault="005A0222" w:rsidP="005A0222">
      <w:pPr>
        <w:spacing w:after="0"/>
        <w:textAlignment w:val="baseline"/>
        <w:rPr>
          <w:rFonts w:ascii="Calibri" w:eastAsia="Times New Roman" w:hAnsi="Calibri" w:cs="Calibri"/>
          <w:lang w:eastAsia="en-AU"/>
        </w:rPr>
      </w:pPr>
      <w:r w:rsidRPr="00734A50">
        <w:rPr>
          <w:rFonts w:ascii="Calibri" w:eastAsia="Times New Roman" w:hAnsi="Calibri" w:cs="Calibri"/>
          <w:lang w:eastAsia="en-AU"/>
        </w:rPr>
        <w:t xml:space="preserve">The core content areas </w:t>
      </w:r>
      <w:r w:rsidR="00AD584B" w:rsidRPr="00734A50">
        <w:rPr>
          <w:rFonts w:ascii="Calibri" w:eastAsia="Times New Roman" w:hAnsi="Calibri" w:cs="Calibri"/>
          <w:lang w:eastAsia="en-AU"/>
        </w:rPr>
        <w:t xml:space="preserve">identified by the Panel </w:t>
      </w:r>
      <w:r w:rsidRPr="00734A50">
        <w:rPr>
          <w:rFonts w:ascii="Calibri" w:eastAsia="Times New Roman" w:hAnsi="Calibri" w:cs="Calibri"/>
          <w:lang w:eastAsia="en-AU"/>
        </w:rPr>
        <w:t>are:</w:t>
      </w:r>
    </w:p>
    <w:p w14:paraId="4A8515B1" w14:textId="1553F4A9" w:rsidR="002E02B9" w:rsidRPr="00734A50" w:rsidRDefault="002E02B9" w:rsidP="00D652AC">
      <w:pPr>
        <w:pStyle w:val="List"/>
        <w:numPr>
          <w:ilvl w:val="0"/>
          <w:numId w:val="167"/>
        </w:numPr>
      </w:pPr>
      <w:r w:rsidRPr="00975D6A">
        <w:rPr>
          <w:rFonts w:ascii="Calibri" w:eastAsia="Calibri" w:hAnsi="Calibri" w:cs="Calibri"/>
          <w:b/>
          <w:bCs/>
        </w:rPr>
        <w:t>The</w:t>
      </w:r>
      <w:r w:rsidRPr="00734A50">
        <w:rPr>
          <w:rFonts w:ascii="Calibri" w:eastAsia="Calibri" w:hAnsi="Calibri" w:cs="Calibri"/>
        </w:rPr>
        <w:t xml:space="preserve"> </w:t>
      </w:r>
      <w:r w:rsidRPr="00734A50">
        <w:rPr>
          <w:b/>
          <w:bCs/>
        </w:rPr>
        <w:t xml:space="preserve">brain and </w:t>
      </w:r>
      <w:r w:rsidRPr="00734A50">
        <w:rPr>
          <w:rFonts w:ascii="Calibri" w:eastAsia="Calibri" w:hAnsi="Calibri" w:cs="Calibri"/>
          <w:b/>
          <w:bCs/>
        </w:rPr>
        <w:t>learning</w:t>
      </w:r>
      <w:r w:rsidRPr="00734A50">
        <w:rPr>
          <w:rFonts w:ascii="Calibri" w:eastAsia="Calibri" w:hAnsi="Calibri" w:cs="Calibri"/>
        </w:rPr>
        <w:t xml:space="preserve">: </w:t>
      </w:r>
      <w:r w:rsidR="00D652AC" w:rsidRPr="00734A50">
        <w:rPr>
          <w:rFonts w:ascii="Calibri" w:eastAsia="Calibri" w:hAnsi="Calibri" w:cs="Calibri"/>
        </w:rPr>
        <w:t xml:space="preserve">content that </w:t>
      </w:r>
      <w:r w:rsidRPr="00734A50">
        <w:rPr>
          <w:rFonts w:ascii="Calibri" w:eastAsia="Calibri" w:hAnsi="Calibri" w:cs="Calibri"/>
        </w:rPr>
        <w:t>provides</w:t>
      </w:r>
      <w:r w:rsidRPr="00734A50">
        <w:t xml:space="preserve"> teachers with an understanding of why specific instructional practices work, and how to implement these practices.</w:t>
      </w:r>
    </w:p>
    <w:p w14:paraId="6E9E173E" w14:textId="2ED4A218" w:rsidR="002E02B9" w:rsidRPr="00734A50" w:rsidRDefault="002E02B9" w:rsidP="009F2264">
      <w:pPr>
        <w:pStyle w:val="List"/>
      </w:pPr>
      <w:r w:rsidRPr="00734A50">
        <w:rPr>
          <w:b/>
          <w:bCs/>
        </w:rPr>
        <w:t xml:space="preserve">Effective pedagogical </w:t>
      </w:r>
      <w:r w:rsidRPr="00734A50">
        <w:rPr>
          <w:rFonts w:ascii="Calibri" w:eastAsia="Calibri" w:hAnsi="Calibri" w:cs="Calibri"/>
          <w:b/>
          <w:bCs/>
        </w:rPr>
        <w:t>practices</w:t>
      </w:r>
      <w:r w:rsidRPr="00734A50">
        <w:rPr>
          <w:rFonts w:ascii="Calibri" w:eastAsia="Calibri" w:hAnsi="Calibri" w:cs="Calibri"/>
        </w:rPr>
        <w:t xml:space="preserve">: </w:t>
      </w:r>
      <w:r w:rsidR="00D652AC" w:rsidRPr="00734A50">
        <w:rPr>
          <w:rFonts w:ascii="Calibri" w:eastAsia="Calibri" w:hAnsi="Calibri" w:cs="Calibri"/>
        </w:rPr>
        <w:t>practices including</w:t>
      </w:r>
      <w:r w:rsidR="00D652AC" w:rsidRPr="00734A50">
        <w:t xml:space="preserve"> </w:t>
      </w:r>
      <w:r w:rsidRPr="00734A50">
        <w:t>explicit modelling, scaffolding, formative assessment practices</w:t>
      </w:r>
      <w:r w:rsidR="00D652AC" w:rsidRPr="00734A50">
        <w:t>,</w:t>
      </w:r>
      <w:r w:rsidRPr="00734A50">
        <w:t xml:space="preserve"> and literacy and numeracy teaching strategies that support student learning because they respond to how the brain processes, stores and retrieves information.</w:t>
      </w:r>
    </w:p>
    <w:p w14:paraId="41EE9910" w14:textId="19D247F8" w:rsidR="002E02B9" w:rsidRPr="00734A50" w:rsidRDefault="002E02B9" w:rsidP="009F2264">
      <w:pPr>
        <w:pStyle w:val="List"/>
      </w:pPr>
      <w:r w:rsidRPr="00734A50">
        <w:rPr>
          <w:b/>
          <w:bCs/>
        </w:rPr>
        <w:t xml:space="preserve">Classroom </w:t>
      </w:r>
      <w:r w:rsidRPr="00734A50">
        <w:rPr>
          <w:rFonts w:ascii="Calibri" w:eastAsia="Calibri" w:hAnsi="Calibri" w:cs="Calibri"/>
          <w:b/>
          <w:bCs/>
        </w:rPr>
        <w:t>management</w:t>
      </w:r>
      <w:r w:rsidRPr="00734A50">
        <w:rPr>
          <w:rFonts w:ascii="Calibri" w:eastAsia="Calibri" w:hAnsi="Calibri" w:cs="Calibri"/>
        </w:rPr>
        <w:t>: practices that</w:t>
      </w:r>
      <w:r w:rsidRPr="00734A50">
        <w:t xml:space="preserve"> support fostering </w:t>
      </w:r>
      <w:r w:rsidR="00AD24DD" w:rsidRPr="00734A50">
        <w:t>positive learning environments</w:t>
      </w:r>
      <w:r w:rsidRPr="00734A50">
        <w:t>.</w:t>
      </w:r>
    </w:p>
    <w:p w14:paraId="7972D83F" w14:textId="3D3ECCE1" w:rsidR="002E02B9" w:rsidRPr="00734A50" w:rsidRDefault="002E02B9" w:rsidP="00D059FF">
      <w:pPr>
        <w:pStyle w:val="List"/>
        <w:spacing w:after="0"/>
      </w:pPr>
      <w:r w:rsidRPr="00734A50">
        <w:rPr>
          <w:b/>
          <w:bCs/>
        </w:rPr>
        <w:t>Responsive teaching</w:t>
      </w:r>
      <w:r w:rsidRPr="00734A50">
        <w:t xml:space="preserve">: </w:t>
      </w:r>
      <w:r w:rsidR="00D652AC" w:rsidRPr="00734A50">
        <w:t xml:space="preserve">content that </w:t>
      </w:r>
      <w:r w:rsidRPr="00734A50">
        <w:t>ensures teachers teach in ways that are culturally and contextually appropriate and responsive to student need. This includes core content on:</w:t>
      </w:r>
    </w:p>
    <w:p w14:paraId="45DED622" w14:textId="6D8C9488" w:rsidR="002E02B9" w:rsidRPr="00734A50" w:rsidRDefault="002E02B9" w:rsidP="0068472D">
      <w:pPr>
        <w:pStyle w:val="ListBullet"/>
        <w:numPr>
          <w:ilvl w:val="0"/>
          <w:numId w:val="175"/>
        </w:numPr>
        <w:spacing w:after="0"/>
      </w:pPr>
      <w:r w:rsidRPr="00734A50">
        <w:t>First Nations peoples, cultures and perspectives</w:t>
      </w:r>
    </w:p>
    <w:p w14:paraId="10C9A9E6" w14:textId="0C6BB28B" w:rsidR="002E02B9" w:rsidRPr="00734A50" w:rsidRDefault="002E02B9" w:rsidP="0068472D">
      <w:pPr>
        <w:pStyle w:val="ListBullet"/>
        <w:numPr>
          <w:ilvl w:val="0"/>
          <w:numId w:val="175"/>
        </w:numPr>
      </w:pPr>
      <w:r w:rsidRPr="00734A50">
        <w:t>cultural responsiveness</w:t>
      </w:r>
      <w:r w:rsidR="00AF09A2" w:rsidRPr="00734A50">
        <w:t xml:space="preserve">, including </w:t>
      </w:r>
      <w:r w:rsidR="001623D9" w:rsidRPr="00734A50">
        <w:t>s</w:t>
      </w:r>
      <w:r w:rsidR="00AF09A2" w:rsidRPr="00734A50">
        <w:t>tudents who have English as an additional language/dialect (EAL/D)</w:t>
      </w:r>
    </w:p>
    <w:p w14:paraId="2B1CA387" w14:textId="4704144C" w:rsidR="002E02B9" w:rsidRPr="00734A50" w:rsidRDefault="002E02B9" w:rsidP="00DD010E">
      <w:pPr>
        <w:pStyle w:val="ListBullet"/>
        <w:numPr>
          <w:ilvl w:val="0"/>
          <w:numId w:val="175"/>
        </w:numPr>
        <w:spacing w:after="0"/>
      </w:pPr>
      <w:r w:rsidRPr="00734A50">
        <w:t>family engagement</w:t>
      </w:r>
      <w:r w:rsidR="00CD0901">
        <w:t xml:space="preserve"> for learning</w:t>
      </w:r>
    </w:p>
    <w:p w14:paraId="04BA32B6" w14:textId="7858F7EB" w:rsidR="002E02B9" w:rsidRPr="00734A50" w:rsidRDefault="002E02B9" w:rsidP="00164127">
      <w:pPr>
        <w:pStyle w:val="ListBullet"/>
        <w:numPr>
          <w:ilvl w:val="0"/>
          <w:numId w:val="175"/>
        </w:numPr>
        <w:spacing w:after="200"/>
        <w:ind w:left="714" w:hanging="357"/>
      </w:pPr>
      <w:r w:rsidRPr="00734A50">
        <w:t>diverse learners</w:t>
      </w:r>
      <w:r w:rsidR="00AF09A2" w:rsidRPr="00734A50">
        <w:t>, including students with disability</w:t>
      </w:r>
      <w:r w:rsidR="00164127" w:rsidRPr="00734A50">
        <w:t>.</w:t>
      </w:r>
    </w:p>
    <w:p w14:paraId="2774916C" w14:textId="3602B9AE" w:rsidR="005A0222" w:rsidRPr="00734A50" w:rsidRDefault="006A0CDF" w:rsidP="009D03EB">
      <w:pPr>
        <w:keepNext/>
        <w:rPr>
          <w:rFonts w:ascii="Calibri" w:eastAsia="Times New Roman" w:hAnsi="Calibri" w:cs="Calibri"/>
          <w:lang w:eastAsia="en-AU"/>
        </w:rPr>
      </w:pPr>
      <w:r w:rsidRPr="00734A50">
        <w:rPr>
          <w:rFonts w:ascii="Calibri" w:eastAsia="Times New Roman" w:hAnsi="Calibri" w:cs="Calibri"/>
          <w:lang w:eastAsia="en-AU"/>
        </w:rPr>
        <w:t xml:space="preserve">The </w:t>
      </w:r>
      <w:r w:rsidR="000876A5" w:rsidRPr="00734A50">
        <w:rPr>
          <w:rFonts w:ascii="Calibri" w:eastAsia="Times New Roman" w:hAnsi="Calibri" w:cs="Calibri"/>
          <w:lang w:eastAsia="en-AU"/>
        </w:rPr>
        <w:t xml:space="preserve">Panel’s </w:t>
      </w:r>
      <w:r w:rsidRPr="00734A50">
        <w:rPr>
          <w:rFonts w:ascii="Calibri" w:eastAsia="Times New Roman" w:hAnsi="Calibri" w:cs="Calibri"/>
          <w:lang w:eastAsia="en-AU"/>
        </w:rPr>
        <w:t xml:space="preserve">Discussion Paper provided </w:t>
      </w:r>
      <w:r w:rsidR="009D2B7D" w:rsidRPr="00734A50">
        <w:rPr>
          <w:rFonts w:ascii="Calibri" w:eastAsia="Times New Roman" w:hAnsi="Calibri" w:cs="Calibri"/>
          <w:lang w:eastAsia="en-AU"/>
        </w:rPr>
        <w:t xml:space="preserve">extensive </w:t>
      </w:r>
      <w:r w:rsidR="0027578E" w:rsidRPr="00734A50">
        <w:rPr>
          <w:rFonts w:ascii="Calibri" w:eastAsia="Times New Roman" w:hAnsi="Calibri" w:cs="Calibri"/>
          <w:lang w:eastAsia="en-AU"/>
        </w:rPr>
        <w:t xml:space="preserve">analysis of the available research </w:t>
      </w:r>
      <w:r w:rsidR="00D652AC" w:rsidRPr="00734A50">
        <w:rPr>
          <w:rFonts w:ascii="Calibri" w:eastAsia="Times New Roman" w:hAnsi="Calibri" w:cs="Calibri"/>
          <w:lang w:eastAsia="en-AU"/>
        </w:rPr>
        <w:t>on</w:t>
      </w:r>
      <w:r w:rsidR="0027578E" w:rsidRPr="00734A50">
        <w:rPr>
          <w:rFonts w:ascii="Calibri" w:eastAsia="Times New Roman" w:hAnsi="Calibri" w:cs="Calibri"/>
          <w:lang w:eastAsia="en-AU"/>
        </w:rPr>
        <w:t xml:space="preserve"> core content areas</w:t>
      </w:r>
      <w:r w:rsidR="000876A5" w:rsidRPr="00734A50">
        <w:rPr>
          <w:rFonts w:ascii="Calibri" w:eastAsia="Times New Roman" w:hAnsi="Calibri" w:cs="Calibri"/>
          <w:lang w:eastAsia="en-AU"/>
        </w:rPr>
        <w:t xml:space="preserve">. </w:t>
      </w:r>
      <w:r w:rsidR="006C5B60" w:rsidRPr="00734A50">
        <w:rPr>
          <w:rFonts w:ascii="Calibri" w:eastAsia="Times New Roman" w:hAnsi="Calibri" w:cs="Calibri"/>
          <w:lang w:eastAsia="en-AU"/>
        </w:rPr>
        <w:t>Submissions from stakeholders indicated</w:t>
      </w:r>
      <w:r w:rsidR="00BB5E8F" w:rsidRPr="00734A50">
        <w:rPr>
          <w:rFonts w:ascii="Calibri" w:eastAsia="Times New Roman" w:hAnsi="Calibri" w:cs="Calibri"/>
          <w:lang w:eastAsia="en-AU"/>
        </w:rPr>
        <w:t xml:space="preserve"> </w:t>
      </w:r>
      <w:r w:rsidR="00D46382" w:rsidRPr="00734A50">
        <w:rPr>
          <w:rFonts w:ascii="Calibri" w:eastAsia="Times New Roman" w:hAnsi="Calibri" w:cs="Calibri"/>
          <w:lang w:eastAsia="en-AU"/>
        </w:rPr>
        <w:t xml:space="preserve">broad </w:t>
      </w:r>
      <w:r w:rsidR="5BAA69A5" w:rsidRPr="00734A50">
        <w:rPr>
          <w:rFonts w:ascii="Calibri" w:eastAsia="Times New Roman" w:hAnsi="Calibri" w:cs="Calibri"/>
          <w:lang w:eastAsia="en-AU"/>
        </w:rPr>
        <w:t>support for the core content</w:t>
      </w:r>
      <w:r w:rsidR="00F540A1" w:rsidRPr="00734A50">
        <w:rPr>
          <w:rFonts w:ascii="Calibri" w:eastAsia="Times New Roman" w:hAnsi="Calibri" w:cs="Calibri"/>
          <w:lang w:eastAsia="en-AU"/>
        </w:rPr>
        <w:t xml:space="preserve"> </w:t>
      </w:r>
      <w:r w:rsidR="000F313B" w:rsidRPr="00734A50">
        <w:rPr>
          <w:rFonts w:ascii="Calibri" w:eastAsia="Times New Roman" w:hAnsi="Calibri" w:cs="Calibri"/>
          <w:lang w:eastAsia="en-AU"/>
        </w:rPr>
        <w:t>(</w:t>
      </w:r>
      <w:r w:rsidR="00FD1CB1" w:rsidRPr="00734A50">
        <w:rPr>
          <w:rFonts w:ascii="Calibri" w:eastAsia="Calibri" w:hAnsi="Calibri" w:cs="Arial"/>
        </w:rPr>
        <w:t>ACDE</w:t>
      </w:r>
      <w:r w:rsidR="00924162" w:rsidRPr="00734A50">
        <w:rPr>
          <w:rFonts w:ascii="Calibri" w:eastAsia="Calibri" w:hAnsi="Calibri" w:cs="Arial"/>
        </w:rPr>
        <w:t xml:space="preserve"> submission;</w:t>
      </w:r>
      <w:r w:rsidR="5BAA69A5" w:rsidRPr="00734A50">
        <w:rPr>
          <w:rFonts w:ascii="Calibri" w:eastAsia="Times New Roman" w:hAnsi="Calibri" w:cs="Calibri"/>
          <w:lang w:eastAsia="en-AU"/>
        </w:rPr>
        <w:t xml:space="preserve"> Austral</w:t>
      </w:r>
      <w:r w:rsidR="00744C5B" w:rsidRPr="00734A50">
        <w:rPr>
          <w:rFonts w:ascii="Calibri" w:eastAsia="Times New Roman" w:hAnsi="Calibri" w:cs="Calibri"/>
          <w:lang w:eastAsia="en-AU"/>
        </w:rPr>
        <w:t>asian</w:t>
      </w:r>
      <w:r w:rsidR="5BAA69A5" w:rsidRPr="00734A50">
        <w:rPr>
          <w:rFonts w:ascii="Calibri" w:eastAsia="Times New Roman" w:hAnsi="Calibri" w:cs="Calibri"/>
          <w:lang w:eastAsia="en-AU"/>
        </w:rPr>
        <w:t xml:space="preserve"> Teacher Regulatory Authorities (ATRA)</w:t>
      </w:r>
      <w:r w:rsidR="00924162" w:rsidRPr="00734A50">
        <w:rPr>
          <w:rFonts w:ascii="Calibri" w:eastAsia="Times New Roman" w:hAnsi="Calibri" w:cs="Calibri"/>
          <w:lang w:eastAsia="en-AU"/>
        </w:rPr>
        <w:t xml:space="preserve"> submission;</w:t>
      </w:r>
      <w:r w:rsidR="5BAA69A5" w:rsidRPr="00734A50">
        <w:rPr>
          <w:rFonts w:ascii="Calibri" w:eastAsia="Times New Roman" w:hAnsi="Calibri" w:cs="Calibri"/>
          <w:lang w:eastAsia="en-AU"/>
        </w:rPr>
        <w:t xml:space="preserve"> Australian Institute </w:t>
      </w:r>
      <w:r w:rsidR="0012041E" w:rsidRPr="00734A50">
        <w:rPr>
          <w:rFonts w:ascii="Calibri" w:eastAsia="Times New Roman" w:hAnsi="Calibri" w:cs="Calibri"/>
          <w:lang w:eastAsia="en-AU"/>
        </w:rPr>
        <w:t xml:space="preserve">for </w:t>
      </w:r>
      <w:r w:rsidR="5BAA69A5" w:rsidRPr="00734A50">
        <w:rPr>
          <w:rFonts w:ascii="Calibri" w:eastAsia="Times New Roman" w:hAnsi="Calibri" w:cs="Calibri"/>
          <w:lang w:eastAsia="en-AU"/>
        </w:rPr>
        <w:t>Teaching and School Leadership (AITSL)</w:t>
      </w:r>
      <w:r w:rsidR="00924162" w:rsidRPr="00734A50">
        <w:rPr>
          <w:rFonts w:ascii="Calibri" w:eastAsia="Times New Roman" w:hAnsi="Calibri" w:cs="Calibri"/>
          <w:lang w:eastAsia="en-AU"/>
        </w:rPr>
        <w:t xml:space="preserve"> submission;</w:t>
      </w:r>
      <w:r w:rsidR="5BAA69A5" w:rsidRPr="00734A50">
        <w:rPr>
          <w:rFonts w:ascii="Calibri" w:eastAsia="Times New Roman" w:hAnsi="Calibri" w:cs="Calibri"/>
          <w:lang w:eastAsia="en-AU"/>
        </w:rPr>
        <w:t xml:space="preserve"> </w:t>
      </w:r>
      <w:r w:rsidR="009A4D24" w:rsidRPr="00734A50">
        <w:rPr>
          <w:rFonts w:ascii="Calibri" w:eastAsia="Times New Roman" w:hAnsi="Calibri" w:cs="Calibri"/>
          <w:lang w:eastAsia="en-AU"/>
        </w:rPr>
        <w:t>s</w:t>
      </w:r>
      <w:r w:rsidR="5BAA69A5" w:rsidRPr="00734A50">
        <w:rPr>
          <w:rFonts w:ascii="Calibri" w:eastAsia="Times New Roman" w:hAnsi="Calibri" w:cs="Calibri"/>
          <w:lang w:eastAsia="en-AU"/>
        </w:rPr>
        <w:t xml:space="preserve">tate </w:t>
      </w:r>
      <w:r w:rsidR="6DE7A6D4" w:rsidRPr="00734A50">
        <w:rPr>
          <w:rFonts w:ascii="Calibri" w:eastAsia="Times New Roman" w:hAnsi="Calibri" w:cs="Calibri"/>
          <w:lang w:eastAsia="en-AU"/>
        </w:rPr>
        <w:t>and</w:t>
      </w:r>
      <w:r w:rsidR="5BAA69A5" w:rsidRPr="00734A50">
        <w:rPr>
          <w:rFonts w:ascii="Calibri" w:eastAsia="Times New Roman" w:hAnsi="Calibri" w:cs="Calibri"/>
          <w:lang w:eastAsia="en-AU"/>
        </w:rPr>
        <w:t xml:space="preserve"> </w:t>
      </w:r>
      <w:r w:rsidR="009A4D24" w:rsidRPr="00734A50">
        <w:rPr>
          <w:rFonts w:ascii="Calibri" w:eastAsia="Times New Roman" w:hAnsi="Calibri" w:cs="Calibri"/>
          <w:lang w:eastAsia="en-AU"/>
        </w:rPr>
        <w:t>t</w:t>
      </w:r>
      <w:r w:rsidR="5BAA69A5" w:rsidRPr="00734A50">
        <w:rPr>
          <w:rFonts w:ascii="Calibri" w:eastAsia="Times New Roman" w:hAnsi="Calibri" w:cs="Calibri"/>
          <w:lang w:eastAsia="en-AU"/>
        </w:rPr>
        <w:t xml:space="preserve">erritory </w:t>
      </w:r>
      <w:r w:rsidR="009A4D24" w:rsidRPr="00734A50">
        <w:rPr>
          <w:rFonts w:ascii="Calibri" w:eastAsia="Times New Roman" w:hAnsi="Calibri" w:cs="Calibri"/>
          <w:lang w:eastAsia="en-AU"/>
        </w:rPr>
        <w:t>g</w:t>
      </w:r>
      <w:r w:rsidR="5BAA69A5" w:rsidRPr="00734A50">
        <w:rPr>
          <w:rFonts w:ascii="Calibri" w:eastAsia="Times New Roman" w:hAnsi="Calibri" w:cs="Calibri"/>
          <w:lang w:eastAsia="en-AU"/>
        </w:rPr>
        <w:t xml:space="preserve">overnment </w:t>
      </w:r>
      <w:r w:rsidR="00D64CE5" w:rsidRPr="00734A50">
        <w:rPr>
          <w:rFonts w:ascii="Calibri" w:eastAsia="Times New Roman" w:hAnsi="Calibri" w:cs="Calibri"/>
          <w:lang w:eastAsia="en-AU"/>
        </w:rPr>
        <w:t>sub</w:t>
      </w:r>
      <w:r w:rsidR="00CD75C8" w:rsidRPr="00734A50">
        <w:rPr>
          <w:rFonts w:ascii="Calibri" w:eastAsia="Times New Roman" w:hAnsi="Calibri" w:cs="Calibri"/>
          <w:lang w:eastAsia="en-AU"/>
        </w:rPr>
        <w:t>missions</w:t>
      </w:r>
      <w:r w:rsidR="00B43A24" w:rsidRPr="00734A50">
        <w:rPr>
          <w:rFonts w:ascii="Calibri" w:eastAsia="Times New Roman" w:hAnsi="Calibri" w:cs="Calibri"/>
          <w:lang w:eastAsia="en-AU"/>
        </w:rPr>
        <w:t xml:space="preserve"> and meetings</w:t>
      </w:r>
      <w:r w:rsidR="00CD75C8" w:rsidRPr="00734A50">
        <w:rPr>
          <w:rFonts w:ascii="Calibri" w:eastAsia="Times New Roman" w:hAnsi="Calibri" w:cs="Calibri"/>
          <w:lang w:eastAsia="en-AU"/>
        </w:rPr>
        <w:t>;</w:t>
      </w:r>
      <w:r w:rsidR="5BAA69A5" w:rsidRPr="00734A50">
        <w:rPr>
          <w:rFonts w:ascii="Calibri" w:eastAsia="Times New Roman" w:hAnsi="Calibri" w:cs="Calibri"/>
          <w:lang w:eastAsia="en-AU"/>
        </w:rPr>
        <w:t xml:space="preserve"> National Catholic Education Commission (NCEC)</w:t>
      </w:r>
      <w:r w:rsidR="000F313B" w:rsidRPr="00734A50">
        <w:rPr>
          <w:rFonts w:ascii="Calibri" w:eastAsia="Times New Roman" w:hAnsi="Calibri" w:cs="Calibri"/>
          <w:lang w:eastAsia="en-AU"/>
        </w:rPr>
        <w:t xml:space="preserve"> submission)</w:t>
      </w:r>
      <w:r w:rsidR="5BAA69A5" w:rsidRPr="00734A50">
        <w:rPr>
          <w:rFonts w:ascii="Calibri" w:eastAsia="Times New Roman" w:hAnsi="Calibri" w:cs="Calibri"/>
          <w:lang w:eastAsia="en-AU"/>
        </w:rPr>
        <w:t>.</w:t>
      </w:r>
      <w:r w:rsidR="5BAA69A5" w:rsidRPr="00734A50">
        <w:t xml:space="preserve"> </w:t>
      </w:r>
      <w:r w:rsidR="5BAA69A5" w:rsidRPr="00734A50">
        <w:rPr>
          <w:rFonts w:ascii="Calibri" w:eastAsia="Times New Roman" w:hAnsi="Calibri" w:cs="Calibri"/>
          <w:lang w:eastAsia="en-AU"/>
        </w:rPr>
        <w:t>NCEC stated that it</w:t>
      </w:r>
      <w:r w:rsidR="00875ABD" w:rsidRPr="00734A50">
        <w:rPr>
          <w:rFonts w:ascii="Calibri" w:eastAsia="Times New Roman" w:hAnsi="Calibri" w:cs="Calibri"/>
          <w:lang w:eastAsia="en-AU"/>
        </w:rPr>
        <w:t xml:space="preserve"> ‘strongly</w:t>
      </w:r>
      <w:r w:rsidR="5BAA69A5" w:rsidRPr="00734A50">
        <w:rPr>
          <w:rFonts w:ascii="Calibri" w:eastAsia="Times New Roman" w:hAnsi="Calibri" w:cs="Calibri"/>
          <w:lang w:eastAsia="en-AU"/>
        </w:rPr>
        <w:t xml:space="preserve"> agrees ITE program content should be evidence-based and endorse</w:t>
      </w:r>
      <w:r w:rsidR="00E25843" w:rsidRPr="00734A50">
        <w:rPr>
          <w:rFonts w:ascii="Calibri" w:eastAsia="Times New Roman" w:hAnsi="Calibri" w:cs="Calibri"/>
          <w:lang w:eastAsia="en-AU"/>
        </w:rPr>
        <w:t>s</w:t>
      </w:r>
      <w:r w:rsidR="5BAA69A5" w:rsidRPr="00734A50">
        <w:rPr>
          <w:rFonts w:ascii="Calibri" w:eastAsia="Times New Roman" w:hAnsi="Calibri" w:cs="Calibri"/>
          <w:lang w:eastAsia="en-AU"/>
        </w:rPr>
        <w:t xml:space="preserve"> the four types of core content</w:t>
      </w:r>
      <w:r w:rsidR="00E25843" w:rsidRPr="00734A50">
        <w:rPr>
          <w:rFonts w:ascii="Calibri" w:eastAsia="Times New Roman" w:hAnsi="Calibri" w:cs="Calibri"/>
          <w:lang w:eastAsia="en-AU"/>
        </w:rPr>
        <w:t xml:space="preserve"> identified</w:t>
      </w:r>
      <w:r w:rsidR="002B1B93" w:rsidRPr="00734A50">
        <w:rPr>
          <w:rFonts w:ascii="Calibri" w:eastAsia="Times New Roman" w:hAnsi="Calibri" w:cs="Calibri"/>
          <w:lang w:eastAsia="en-AU"/>
        </w:rPr>
        <w:t xml:space="preserve"> by the Expert Panel’</w:t>
      </w:r>
      <w:r w:rsidR="00A71FAA" w:rsidRPr="00734A50">
        <w:rPr>
          <w:rFonts w:ascii="Calibri" w:eastAsia="Times New Roman" w:hAnsi="Calibri" w:cs="Calibri"/>
          <w:lang w:eastAsia="en-AU"/>
        </w:rPr>
        <w:t>.</w:t>
      </w:r>
      <w:r w:rsidR="5BAA69A5" w:rsidRPr="00734A50">
        <w:rPr>
          <w:rFonts w:ascii="Calibri" w:eastAsia="Times New Roman" w:hAnsi="Calibri" w:cs="Calibri"/>
          <w:lang w:eastAsia="en-AU"/>
        </w:rPr>
        <w:t xml:space="preserve"> </w:t>
      </w:r>
      <w:r w:rsidR="00A71FAA" w:rsidRPr="00734A50">
        <w:rPr>
          <w:rFonts w:ascii="Calibri" w:eastAsia="Times New Roman" w:hAnsi="Calibri" w:cs="Calibri"/>
          <w:lang w:eastAsia="en-AU"/>
        </w:rPr>
        <w:t xml:space="preserve">Similarly, </w:t>
      </w:r>
      <w:r w:rsidR="5BAA69A5" w:rsidRPr="00734A50">
        <w:rPr>
          <w:rFonts w:ascii="Calibri" w:eastAsia="Times New Roman" w:hAnsi="Calibri" w:cs="Calibri"/>
          <w:lang w:eastAsia="en-AU"/>
        </w:rPr>
        <w:t>ATRA</w:t>
      </w:r>
      <w:r w:rsidR="00E91F35" w:rsidRPr="00734A50">
        <w:rPr>
          <w:rFonts w:ascii="Calibri" w:eastAsia="Times New Roman" w:hAnsi="Calibri" w:cs="Calibri"/>
          <w:lang w:eastAsia="en-AU"/>
        </w:rPr>
        <w:t xml:space="preserve"> ‘</w:t>
      </w:r>
      <w:r w:rsidR="00FC69A1" w:rsidRPr="00734A50">
        <w:rPr>
          <w:rFonts w:ascii="Calibri" w:eastAsia="Times New Roman" w:hAnsi="Calibri" w:cs="Calibri"/>
          <w:lang w:eastAsia="en-AU"/>
        </w:rPr>
        <w:t xml:space="preserve">accept and support the identified core content areas as being of importance to ITE as contemporary </w:t>
      </w:r>
      <w:r w:rsidR="006F6B8D" w:rsidRPr="00734A50">
        <w:rPr>
          <w:rFonts w:ascii="Calibri" w:eastAsia="Times New Roman" w:hAnsi="Calibri" w:cs="Calibri"/>
          <w:lang w:eastAsia="en-AU"/>
        </w:rPr>
        <w:t>evidence-based</w:t>
      </w:r>
      <w:r w:rsidR="00FC69A1" w:rsidRPr="00734A50">
        <w:rPr>
          <w:rFonts w:ascii="Calibri" w:eastAsia="Times New Roman" w:hAnsi="Calibri" w:cs="Calibri"/>
          <w:lang w:eastAsia="en-AU"/>
        </w:rPr>
        <w:t xml:space="preserve"> practices’</w:t>
      </w:r>
      <w:r w:rsidR="006C5B60" w:rsidRPr="00734A50">
        <w:rPr>
          <w:rFonts w:ascii="Calibri" w:eastAsia="Times New Roman" w:hAnsi="Calibri" w:cs="Calibri"/>
          <w:lang w:eastAsia="en-AU"/>
        </w:rPr>
        <w:t>.</w:t>
      </w:r>
    </w:p>
    <w:p w14:paraId="565E7F0B" w14:textId="26D284E6" w:rsidR="00736832" w:rsidRPr="00734A50" w:rsidRDefault="00D51833" w:rsidP="005A0222">
      <w:pPr>
        <w:keepNext/>
        <w:rPr>
          <w:rFonts w:ascii="Calibri" w:eastAsia="Times New Roman" w:hAnsi="Calibri" w:cs="Calibri"/>
          <w:lang w:eastAsia="en-AU"/>
        </w:rPr>
      </w:pPr>
      <w:r w:rsidRPr="00734A50">
        <w:rPr>
          <w:rFonts w:ascii="Calibri" w:eastAsia="Times New Roman" w:hAnsi="Calibri" w:cs="Calibri"/>
          <w:lang w:eastAsia="en-AU"/>
        </w:rPr>
        <w:t>Stakeholders identified some</w:t>
      </w:r>
      <w:r w:rsidR="005A0222" w:rsidRPr="00734A50">
        <w:rPr>
          <w:rFonts w:ascii="Calibri" w:eastAsia="Times New Roman" w:hAnsi="Calibri" w:cs="Calibri"/>
          <w:lang w:eastAsia="en-AU"/>
        </w:rPr>
        <w:t xml:space="preserve"> knowledge and practices which </w:t>
      </w:r>
      <w:r w:rsidRPr="00734A50">
        <w:rPr>
          <w:rFonts w:ascii="Calibri" w:eastAsia="Times New Roman" w:hAnsi="Calibri" w:cs="Calibri"/>
          <w:lang w:eastAsia="en-AU"/>
        </w:rPr>
        <w:t>they</w:t>
      </w:r>
      <w:r w:rsidR="005A0222" w:rsidRPr="00734A50">
        <w:rPr>
          <w:rFonts w:ascii="Calibri" w:eastAsia="Times New Roman" w:hAnsi="Calibri" w:cs="Calibri"/>
          <w:lang w:eastAsia="en-AU"/>
        </w:rPr>
        <w:t xml:space="preserve"> felt should be included in or expanded on in the core content. This included making explicit reference to supporting </w:t>
      </w:r>
      <w:r w:rsidR="009C718C" w:rsidRPr="00734A50">
        <w:rPr>
          <w:rFonts w:ascii="Calibri" w:eastAsia="Times New Roman" w:hAnsi="Calibri" w:cs="Calibri"/>
          <w:lang w:eastAsia="en-AU"/>
        </w:rPr>
        <w:t>s</w:t>
      </w:r>
      <w:r w:rsidR="005A0222" w:rsidRPr="00734A50">
        <w:rPr>
          <w:rFonts w:ascii="Calibri" w:eastAsia="Times New Roman" w:hAnsi="Calibri" w:cs="Calibri"/>
          <w:lang w:eastAsia="en-AU"/>
        </w:rPr>
        <w:t xml:space="preserve">tudents </w:t>
      </w:r>
      <w:r w:rsidR="006F6B8D" w:rsidRPr="00734A50">
        <w:rPr>
          <w:rFonts w:ascii="Calibri" w:eastAsia="Times New Roman" w:hAnsi="Calibri" w:cs="Calibri"/>
          <w:lang w:eastAsia="en-AU"/>
        </w:rPr>
        <w:t>with</w:t>
      </w:r>
      <w:r w:rsidR="005A0222" w:rsidRPr="00734A50">
        <w:rPr>
          <w:rFonts w:ascii="Calibri" w:eastAsia="Times New Roman" w:hAnsi="Calibri" w:cs="Calibri"/>
          <w:lang w:eastAsia="en-AU"/>
        </w:rPr>
        <w:t xml:space="preserve"> </w:t>
      </w:r>
      <w:r w:rsidR="009C718C" w:rsidRPr="00734A50">
        <w:rPr>
          <w:rFonts w:ascii="Calibri" w:eastAsia="Times New Roman" w:hAnsi="Calibri" w:cs="Calibri"/>
          <w:lang w:eastAsia="en-AU"/>
        </w:rPr>
        <w:t>d</w:t>
      </w:r>
      <w:r w:rsidR="005A0222" w:rsidRPr="00734A50">
        <w:rPr>
          <w:rFonts w:ascii="Calibri" w:eastAsia="Times New Roman" w:hAnsi="Calibri" w:cs="Calibri"/>
          <w:lang w:eastAsia="en-AU"/>
        </w:rPr>
        <w:t xml:space="preserve">isability and </w:t>
      </w:r>
      <w:r w:rsidR="00E03DB0" w:rsidRPr="00734A50">
        <w:rPr>
          <w:rFonts w:ascii="Calibri" w:eastAsia="Times New Roman" w:hAnsi="Calibri" w:cs="Calibri"/>
          <w:lang w:eastAsia="en-AU"/>
        </w:rPr>
        <w:t xml:space="preserve">EAL/D </w:t>
      </w:r>
      <w:r w:rsidR="005A0222" w:rsidRPr="00734A50">
        <w:rPr>
          <w:rFonts w:ascii="Calibri" w:eastAsia="Times New Roman" w:hAnsi="Calibri" w:cs="Calibri"/>
          <w:lang w:eastAsia="en-AU"/>
        </w:rPr>
        <w:t xml:space="preserve">students; </w:t>
      </w:r>
      <w:r w:rsidR="007751AA" w:rsidRPr="00734A50">
        <w:rPr>
          <w:rFonts w:ascii="Calibri" w:eastAsia="Times New Roman" w:hAnsi="Calibri" w:cs="Calibri"/>
          <w:lang w:eastAsia="en-AU"/>
        </w:rPr>
        <w:t>integrating</w:t>
      </w:r>
      <w:r w:rsidR="005A0222" w:rsidRPr="00734A50">
        <w:rPr>
          <w:rFonts w:ascii="Calibri" w:eastAsia="Times New Roman" w:hAnsi="Calibri" w:cs="Calibri"/>
          <w:lang w:eastAsia="en-AU"/>
        </w:rPr>
        <w:t xml:space="preserve"> relevant evidence-based ICT and digital </w:t>
      </w:r>
      <w:r w:rsidR="00534FFB" w:rsidRPr="00734A50">
        <w:rPr>
          <w:rFonts w:ascii="Calibri" w:eastAsia="Times New Roman" w:hAnsi="Calibri" w:cs="Calibri"/>
          <w:lang w:eastAsia="en-AU"/>
        </w:rPr>
        <w:t>technologies</w:t>
      </w:r>
      <w:r w:rsidR="005A0222" w:rsidRPr="00734A50">
        <w:rPr>
          <w:rFonts w:ascii="Calibri" w:eastAsia="Times New Roman" w:hAnsi="Calibri" w:cs="Calibri"/>
          <w:lang w:eastAsia="en-AU"/>
        </w:rPr>
        <w:t xml:space="preserve">; and reflecting the research </w:t>
      </w:r>
      <w:r w:rsidR="006B68A8" w:rsidRPr="00734A50">
        <w:rPr>
          <w:rFonts w:ascii="Calibri" w:eastAsia="Times New Roman" w:hAnsi="Calibri" w:cs="Calibri"/>
          <w:lang w:eastAsia="en-AU"/>
        </w:rPr>
        <w:t>on</w:t>
      </w:r>
      <w:r w:rsidR="005A0222" w:rsidRPr="00734A50">
        <w:rPr>
          <w:rFonts w:ascii="Calibri" w:eastAsia="Times New Roman" w:hAnsi="Calibri" w:cs="Calibri"/>
          <w:lang w:eastAsia="en-AU"/>
        </w:rPr>
        <w:t xml:space="preserve"> trauma-informed care </w:t>
      </w:r>
      <w:r w:rsidR="00CF1FA4" w:rsidRPr="00734A50">
        <w:rPr>
          <w:rFonts w:ascii="Calibri" w:eastAsia="Times New Roman" w:hAnsi="Calibri" w:cs="Calibri"/>
          <w:lang w:eastAsia="en-AU"/>
        </w:rPr>
        <w:t>and practices</w:t>
      </w:r>
      <w:r w:rsidR="00605AFE" w:rsidRPr="00734A50">
        <w:rPr>
          <w:rFonts w:ascii="Calibri" w:eastAsia="Times New Roman" w:hAnsi="Calibri" w:cs="Calibri"/>
          <w:lang w:eastAsia="en-AU"/>
        </w:rPr>
        <w:t xml:space="preserve"> </w:t>
      </w:r>
      <w:r w:rsidR="005A0222" w:rsidRPr="00734A50">
        <w:rPr>
          <w:rFonts w:ascii="Calibri" w:eastAsia="Times New Roman" w:hAnsi="Calibri" w:cs="Calibri"/>
          <w:lang w:eastAsia="en-AU"/>
        </w:rPr>
        <w:t xml:space="preserve">and </w:t>
      </w:r>
      <w:r w:rsidR="007A3EAD" w:rsidRPr="00734A50">
        <w:rPr>
          <w:rFonts w:ascii="Calibri" w:eastAsia="Times New Roman" w:hAnsi="Calibri" w:cs="Calibri"/>
          <w:lang w:eastAsia="en-AU"/>
        </w:rPr>
        <w:t xml:space="preserve">the </w:t>
      </w:r>
      <w:r w:rsidR="005A0222" w:rsidRPr="00734A50">
        <w:rPr>
          <w:rFonts w:ascii="Calibri" w:eastAsia="Times New Roman" w:hAnsi="Calibri" w:cs="Calibri"/>
          <w:lang w:eastAsia="en-AU"/>
        </w:rPr>
        <w:t xml:space="preserve">importance of </w:t>
      </w:r>
      <w:r w:rsidR="00A82C4C" w:rsidRPr="00734A50">
        <w:rPr>
          <w:rFonts w:ascii="Calibri" w:eastAsia="Times New Roman" w:hAnsi="Calibri" w:cs="Calibri"/>
          <w:lang w:eastAsia="en-AU"/>
        </w:rPr>
        <w:t xml:space="preserve">supporting the capacity of teachers to </w:t>
      </w:r>
      <w:r w:rsidR="005B7B3E" w:rsidRPr="00734A50">
        <w:rPr>
          <w:rFonts w:ascii="Calibri" w:eastAsia="Times New Roman" w:hAnsi="Calibri" w:cs="Calibri"/>
          <w:lang w:eastAsia="en-AU"/>
        </w:rPr>
        <w:t>foster positive student</w:t>
      </w:r>
      <w:r w:rsidR="009C718C" w:rsidRPr="00734A50">
        <w:rPr>
          <w:rFonts w:ascii="Calibri" w:eastAsia="Times New Roman" w:hAnsi="Calibri" w:cs="Calibri"/>
          <w:lang w:eastAsia="en-AU"/>
        </w:rPr>
        <w:t>–</w:t>
      </w:r>
      <w:r w:rsidR="005B7B3E" w:rsidRPr="00734A50">
        <w:rPr>
          <w:rFonts w:ascii="Calibri" w:eastAsia="Times New Roman" w:hAnsi="Calibri" w:cs="Calibri"/>
          <w:lang w:eastAsia="en-AU"/>
        </w:rPr>
        <w:t xml:space="preserve">teacher relationships and the </w:t>
      </w:r>
      <w:r w:rsidR="00355FAF" w:rsidRPr="00734A50">
        <w:rPr>
          <w:rFonts w:ascii="Calibri" w:eastAsia="Times New Roman" w:hAnsi="Calibri" w:cs="Calibri"/>
          <w:lang w:eastAsia="en-AU"/>
        </w:rPr>
        <w:t xml:space="preserve">wellbeing and </w:t>
      </w:r>
      <w:r w:rsidR="005A0222" w:rsidRPr="00734A50">
        <w:rPr>
          <w:rFonts w:ascii="Calibri" w:eastAsia="Times New Roman" w:hAnsi="Calibri" w:cs="Calibri"/>
          <w:lang w:eastAsia="en-AU"/>
        </w:rPr>
        <w:t>mental health</w:t>
      </w:r>
      <w:r w:rsidR="005B7B3E" w:rsidRPr="00734A50">
        <w:rPr>
          <w:rFonts w:ascii="Calibri" w:eastAsia="Times New Roman" w:hAnsi="Calibri" w:cs="Calibri"/>
          <w:lang w:eastAsia="en-AU"/>
        </w:rPr>
        <w:t xml:space="preserve"> of students</w:t>
      </w:r>
      <w:r w:rsidR="005A0222" w:rsidRPr="00734A50">
        <w:rPr>
          <w:rFonts w:ascii="Calibri" w:eastAsia="Times New Roman" w:hAnsi="Calibri" w:cs="Calibri"/>
          <w:lang w:eastAsia="en-AU"/>
        </w:rPr>
        <w:t xml:space="preserve">. </w:t>
      </w:r>
    </w:p>
    <w:p w14:paraId="36D2125E" w14:textId="6D572F5C" w:rsidR="00E728FA" w:rsidRPr="00734A50" w:rsidRDefault="00B76A95" w:rsidP="00211050">
      <w:pPr>
        <w:keepNext/>
        <w:rPr>
          <w:rFonts w:ascii="Calibri" w:eastAsia="Times New Roman" w:hAnsi="Calibri" w:cs="Calibri"/>
          <w:lang w:eastAsia="en-AU"/>
        </w:rPr>
      </w:pPr>
      <w:r w:rsidRPr="00734A50">
        <w:rPr>
          <w:rFonts w:ascii="Calibri" w:eastAsia="Times New Roman" w:hAnsi="Calibri" w:cs="Calibri"/>
          <w:lang w:eastAsia="en-AU"/>
        </w:rPr>
        <w:t>In submissions, some stakeholders highlighted</w:t>
      </w:r>
      <w:r w:rsidR="005A0222" w:rsidRPr="00734A50">
        <w:rPr>
          <w:rFonts w:ascii="Calibri" w:eastAsia="Times New Roman" w:hAnsi="Calibri" w:cs="Calibri"/>
          <w:lang w:eastAsia="en-AU"/>
        </w:rPr>
        <w:t xml:space="preserve"> areas of the core content where further specificity would be beneficial. This included </w:t>
      </w:r>
      <w:r w:rsidR="00B43A24" w:rsidRPr="00734A50">
        <w:rPr>
          <w:rFonts w:ascii="Calibri" w:eastAsia="Times New Roman" w:hAnsi="Calibri" w:cs="Calibri"/>
          <w:lang w:eastAsia="en-AU"/>
        </w:rPr>
        <w:t xml:space="preserve">concerns about the direct </w:t>
      </w:r>
      <w:r w:rsidR="005A0222" w:rsidRPr="00734A50">
        <w:rPr>
          <w:rFonts w:ascii="Calibri" w:eastAsia="Times New Roman" w:hAnsi="Calibri" w:cs="Calibri"/>
          <w:lang w:eastAsia="en-AU"/>
        </w:rPr>
        <w:t>application of cognitive science</w:t>
      </w:r>
      <w:r w:rsidR="00B43A24" w:rsidRPr="00734A50">
        <w:rPr>
          <w:rFonts w:ascii="Calibri" w:eastAsia="Times New Roman" w:hAnsi="Calibri" w:cs="Calibri"/>
          <w:lang w:eastAsia="en-AU"/>
        </w:rPr>
        <w:t xml:space="preserve"> to </w:t>
      </w:r>
      <w:r w:rsidR="00B43A24" w:rsidRPr="00734A50">
        <w:rPr>
          <w:rFonts w:ascii="Calibri" w:eastAsia="Times New Roman" w:hAnsi="Calibri" w:cs="Calibri"/>
          <w:lang w:eastAsia="en-AU"/>
        </w:rPr>
        <w:lastRenderedPageBreak/>
        <w:t>teaching and learning</w:t>
      </w:r>
      <w:r w:rsidR="00A10FC8" w:rsidRPr="00734A50">
        <w:rPr>
          <w:rFonts w:ascii="Calibri" w:eastAsia="Times New Roman" w:hAnsi="Calibri" w:cs="Calibri"/>
          <w:lang w:eastAsia="en-AU"/>
        </w:rPr>
        <w:t>;</w:t>
      </w:r>
      <w:r w:rsidR="005A0222" w:rsidRPr="00734A50">
        <w:rPr>
          <w:rFonts w:ascii="Calibri" w:eastAsia="Times New Roman" w:hAnsi="Calibri" w:cs="Calibri"/>
          <w:lang w:eastAsia="en-AU"/>
        </w:rPr>
        <w:t xml:space="preserve"> the importance of removing scaffolding in </w:t>
      </w:r>
      <w:r w:rsidR="00480C0B" w:rsidRPr="00734A50">
        <w:rPr>
          <w:rFonts w:ascii="Calibri" w:eastAsia="Times New Roman" w:hAnsi="Calibri" w:cs="Calibri"/>
          <w:lang w:eastAsia="en-AU"/>
        </w:rPr>
        <w:t xml:space="preserve">numeracy </w:t>
      </w:r>
      <w:r w:rsidR="005A0222" w:rsidRPr="00734A50">
        <w:rPr>
          <w:rFonts w:ascii="Calibri" w:eastAsia="Times New Roman" w:hAnsi="Calibri" w:cs="Calibri"/>
          <w:lang w:eastAsia="en-AU"/>
        </w:rPr>
        <w:t xml:space="preserve">as students develop proficiency; </w:t>
      </w:r>
      <w:r w:rsidR="0044B958" w:rsidRPr="00734A50">
        <w:rPr>
          <w:rFonts w:ascii="Calibri" w:eastAsia="Times New Roman" w:hAnsi="Calibri" w:cs="Calibri"/>
          <w:lang w:eastAsia="en-AU"/>
        </w:rPr>
        <w:t>and</w:t>
      </w:r>
      <w:r w:rsidR="005A0222" w:rsidRPr="00734A50">
        <w:rPr>
          <w:rFonts w:ascii="Calibri" w:eastAsia="Times New Roman" w:hAnsi="Calibri" w:cs="Calibri"/>
          <w:lang w:eastAsia="en-AU"/>
        </w:rPr>
        <w:t xml:space="preserve"> how specific research references were captured or reflected.</w:t>
      </w:r>
      <w:r w:rsidR="00EA04C7" w:rsidRPr="00734A50">
        <w:rPr>
          <w:rFonts w:ascii="Calibri" w:eastAsia="Times New Roman" w:hAnsi="Calibri" w:cs="Calibri"/>
          <w:lang w:eastAsia="en-AU"/>
        </w:rPr>
        <w:t xml:space="preserve"> </w:t>
      </w:r>
    </w:p>
    <w:p w14:paraId="68570027" w14:textId="76A6BB3B" w:rsidR="00F73C1B" w:rsidRPr="00734A50" w:rsidRDefault="00121599" w:rsidP="00121599">
      <w:pPr>
        <w:keepNext/>
        <w:rPr>
          <w:rFonts w:ascii="Calibri" w:eastAsia="Times New Roman" w:hAnsi="Calibri" w:cs="Calibri"/>
          <w:lang w:eastAsia="en-AU"/>
        </w:rPr>
      </w:pPr>
      <w:r w:rsidRPr="00734A50">
        <w:rPr>
          <w:rFonts w:ascii="Calibri" w:eastAsia="Times New Roman" w:hAnsi="Calibri" w:cs="Calibri"/>
          <w:lang w:eastAsia="en-AU"/>
        </w:rPr>
        <w:t xml:space="preserve">The core content </w:t>
      </w:r>
      <w:r w:rsidR="00832C32" w:rsidRPr="00734A50">
        <w:rPr>
          <w:rFonts w:ascii="Calibri" w:eastAsia="Times New Roman" w:hAnsi="Calibri" w:cs="Calibri"/>
          <w:lang w:eastAsia="en-AU"/>
        </w:rPr>
        <w:t>(</w:t>
      </w:r>
      <w:r w:rsidR="00956F5F" w:rsidRPr="00734A50">
        <w:rPr>
          <w:rFonts w:ascii="Calibri" w:eastAsia="Times New Roman" w:hAnsi="Calibri" w:cs="Calibri"/>
          <w:lang w:eastAsia="en-AU"/>
        </w:rPr>
        <w:t xml:space="preserve">see </w:t>
      </w:r>
      <w:r w:rsidRPr="00734A50">
        <w:rPr>
          <w:rFonts w:ascii="Calibri" w:eastAsia="Times New Roman" w:hAnsi="Calibri" w:cs="Calibri"/>
          <w:lang w:eastAsia="en-AU"/>
        </w:rPr>
        <w:t xml:space="preserve">Figure 1.1 and Appendix D) incorporates the </w:t>
      </w:r>
      <w:r w:rsidR="0037520A" w:rsidRPr="00734A50">
        <w:rPr>
          <w:rFonts w:ascii="Calibri" w:eastAsia="Times New Roman" w:hAnsi="Calibri" w:cs="Calibri"/>
          <w:lang w:eastAsia="en-AU"/>
        </w:rPr>
        <w:t>amendments</w:t>
      </w:r>
      <w:r w:rsidRPr="00734A50">
        <w:rPr>
          <w:rFonts w:ascii="Calibri" w:eastAsia="Times New Roman" w:hAnsi="Calibri" w:cs="Calibri"/>
          <w:lang w:eastAsia="en-AU"/>
        </w:rPr>
        <w:t xml:space="preserve"> </w:t>
      </w:r>
      <w:r w:rsidR="00BA4334" w:rsidRPr="00734A50">
        <w:rPr>
          <w:rFonts w:ascii="Calibri" w:eastAsia="Times New Roman" w:hAnsi="Calibri" w:cs="Calibri"/>
          <w:lang w:eastAsia="en-AU"/>
        </w:rPr>
        <w:t xml:space="preserve">identified </w:t>
      </w:r>
      <w:r w:rsidRPr="00734A50">
        <w:rPr>
          <w:rFonts w:ascii="Calibri" w:eastAsia="Times New Roman" w:hAnsi="Calibri" w:cs="Calibri"/>
          <w:lang w:eastAsia="en-AU"/>
        </w:rPr>
        <w:t xml:space="preserve">by stakeholders </w:t>
      </w:r>
      <w:r w:rsidR="00E66092" w:rsidRPr="00734A50">
        <w:rPr>
          <w:rFonts w:ascii="Calibri" w:eastAsia="Times New Roman" w:hAnsi="Calibri" w:cs="Calibri"/>
          <w:lang w:eastAsia="en-AU"/>
        </w:rPr>
        <w:t xml:space="preserve">in cases where </w:t>
      </w:r>
      <w:r w:rsidR="007A0EAD" w:rsidRPr="00734A50">
        <w:rPr>
          <w:rFonts w:ascii="Calibri" w:eastAsia="Times New Roman" w:hAnsi="Calibri" w:cs="Calibri"/>
          <w:lang w:eastAsia="en-AU"/>
        </w:rPr>
        <w:t xml:space="preserve">the </w:t>
      </w:r>
      <w:r w:rsidR="0037520A" w:rsidRPr="00734A50">
        <w:rPr>
          <w:rFonts w:ascii="Calibri" w:eastAsia="Times New Roman" w:hAnsi="Calibri" w:cs="Calibri"/>
          <w:lang w:eastAsia="en-AU"/>
        </w:rPr>
        <w:t xml:space="preserve">changes are in line with </w:t>
      </w:r>
      <w:r w:rsidR="00FF1957" w:rsidRPr="00734A50">
        <w:rPr>
          <w:rFonts w:ascii="Calibri" w:eastAsia="Times New Roman" w:hAnsi="Calibri" w:cs="Calibri"/>
          <w:lang w:eastAsia="en-AU"/>
        </w:rPr>
        <w:t xml:space="preserve">AERO’s ‘standards </w:t>
      </w:r>
      <w:r w:rsidR="006F6B8D" w:rsidRPr="00734A50">
        <w:rPr>
          <w:rFonts w:ascii="Calibri" w:eastAsia="Times New Roman" w:hAnsi="Calibri" w:cs="Calibri"/>
          <w:lang w:eastAsia="en-AU"/>
        </w:rPr>
        <w:t xml:space="preserve">of </w:t>
      </w:r>
      <w:r w:rsidR="00D84692" w:rsidRPr="00734A50">
        <w:rPr>
          <w:rFonts w:ascii="Calibri" w:eastAsia="Times New Roman" w:hAnsi="Calibri" w:cs="Calibri"/>
          <w:lang w:eastAsia="en-AU"/>
        </w:rPr>
        <w:t>evidence</w:t>
      </w:r>
      <w:r w:rsidR="00EB5C04" w:rsidRPr="00734A50">
        <w:rPr>
          <w:rFonts w:ascii="Calibri" w:eastAsia="Times New Roman" w:hAnsi="Calibri" w:cs="Calibri"/>
          <w:lang w:eastAsia="en-AU"/>
        </w:rPr>
        <w:t>’</w:t>
      </w:r>
      <w:r w:rsidR="00D84692" w:rsidRPr="00734A50">
        <w:rPr>
          <w:rFonts w:ascii="Calibri" w:eastAsia="Times New Roman" w:hAnsi="Calibri" w:cs="Calibri"/>
          <w:lang w:eastAsia="en-AU"/>
        </w:rPr>
        <w:t xml:space="preserve">, </w:t>
      </w:r>
      <w:r w:rsidR="0037520A" w:rsidRPr="00734A50">
        <w:rPr>
          <w:rFonts w:ascii="Calibri" w:eastAsia="Times New Roman" w:hAnsi="Calibri" w:cs="Calibri"/>
          <w:lang w:eastAsia="en-AU"/>
        </w:rPr>
        <w:t>are relevant for all ITE students</w:t>
      </w:r>
      <w:r w:rsidR="007A0EAD" w:rsidRPr="00734A50">
        <w:rPr>
          <w:rFonts w:ascii="Calibri" w:eastAsia="Times New Roman" w:hAnsi="Calibri" w:cs="Calibri"/>
          <w:lang w:eastAsia="en-AU"/>
        </w:rPr>
        <w:t xml:space="preserve"> and </w:t>
      </w:r>
      <w:r w:rsidR="0037520A" w:rsidRPr="00734A50">
        <w:rPr>
          <w:rFonts w:ascii="Calibri" w:eastAsia="Times New Roman" w:hAnsi="Calibri" w:cs="Calibri"/>
          <w:lang w:eastAsia="en-AU"/>
        </w:rPr>
        <w:t>are</w:t>
      </w:r>
      <w:r w:rsidR="007A0EAD" w:rsidRPr="00734A50">
        <w:rPr>
          <w:rFonts w:ascii="Calibri" w:eastAsia="Times New Roman" w:hAnsi="Calibri" w:cs="Calibri"/>
          <w:lang w:eastAsia="en-AU"/>
        </w:rPr>
        <w:t xml:space="preserve"> a priority for ITE students to have learned </w:t>
      </w:r>
      <w:r w:rsidR="00956F5F" w:rsidRPr="00734A50">
        <w:rPr>
          <w:rFonts w:ascii="Calibri" w:eastAsia="Times New Roman" w:hAnsi="Calibri" w:cs="Calibri"/>
          <w:lang w:eastAsia="en-AU"/>
        </w:rPr>
        <w:t>pre-</w:t>
      </w:r>
      <w:r w:rsidR="00DC7CE7">
        <w:rPr>
          <w:rFonts w:ascii="Calibri" w:eastAsia="Times New Roman" w:hAnsi="Calibri" w:cs="Calibri"/>
          <w:lang w:eastAsia="en-AU"/>
        </w:rPr>
        <w:t>graduation</w:t>
      </w:r>
      <w:r w:rsidR="007A0EAD" w:rsidRPr="00734A50">
        <w:rPr>
          <w:rFonts w:ascii="Calibri" w:eastAsia="Times New Roman" w:hAnsi="Calibri" w:cs="Calibri"/>
          <w:lang w:eastAsia="en-AU"/>
        </w:rPr>
        <w:t xml:space="preserve"> rather than post-graduation</w:t>
      </w:r>
      <w:r w:rsidR="0037520A" w:rsidRPr="00734A50">
        <w:rPr>
          <w:rFonts w:ascii="Calibri" w:eastAsia="Times New Roman" w:hAnsi="Calibri" w:cs="Calibri"/>
          <w:lang w:eastAsia="en-AU"/>
        </w:rPr>
        <w:t>.</w:t>
      </w:r>
    </w:p>
    <w:p w14:paraId="6EDB229D" w14:textId="72105FC8" w:rsidR="00121599" w:rsidRPr="00734A50" w:rsidRDefault="00121599" w:rsidP="009D03EB">
      <w:pPr>
        <w:keepNext/>
        <w:rPr>
          <w:rFonts w:ascii="Calibri" w:eastAsia="Times New Roman" w:hAnsi="Calibri" w:cs="Calibri"/>
          <w:lang w:eastAsia="en-AU"/>
        </w:rPr>
      </w:pPr>
      <w:r w:rsidRPr="00734A50">
        <w:rPr>
          <w:rFonts w:ascii="Calibri" w:eastAsia="Times New Roman" w:hAnsi="Calibri" w:cs="Calibri"/>
          <w:lang w:eastAsia="en-AU"/>
        </w:rPr>
        <w:t xml:space="preserve">For example, </w:t>
      </w:r>
      <w:r w:rsidR="00F73C1B" w:rsidRPr="00734A50">
        <w:rPr>
          <w:rFonts w:ascii="Calibri" w:eastAsia="Times New Roman" w:hAnsi="Calibri" w:cs="Calibri"/>
          <w:lang w:eastAsia="en-AU"/>
        </w:rPr>
        <w:t>the core content</w:t>
      </w:r>
      <w:r w:rsidRPr="00734A50">
        <w:rPr>
          <w:rFonts w:ascii="Calibri" w:eastAsia="Times New Roman" w:hAnsi="Calibri" w:cs="Calibri"/>
          <w:lang w:eastAsia="en-AU"/>
        </w:rPr>
        <w:t xml:space="preserve"> now explicitly reference</w:t>
      </w:r>
      <w:r w:rsidR="0039625E" w:rsidRPr="00734A50">
        <w:rPr>
          <w:rFonts w:ascii="Calibri" w:eastAsia="Times New Roman" w:hAnsi="Calibri" w:cs="Calibri"/>
          <w:lang w:eastAsia="en-AU"/>
        </w:rPr>
        <w:t>s</w:t>
      </w:r>
      <w:r w:rsidRPr="00734A50">
        <w:rPr>
          <w:rFonts w:ascii="Calibri" w:eastAsia="Times New Roman" w:hAnsi="Calibri" w:cs="Calibri"/>
          <w:lang w:eastAsia="en-AU"/>
        </w:rPr>
        <w:t xml:space="preserve"> EAL/D students and students with disability and includes reference to </w:t>
      </w:r>
      <w:r w:rsidR="00956F5F" w:rsidRPr="00734A50">
        <w:rPr>
          <w:rFonts w:ascii="Calibri" w:eastAsia="Times New Roman" w:hAnsi="Calibri" w:cs="Calibri"/>
          <w:lang w:eastAsia="en-AU"/>
        </w:rPr>
        <w:t xml:space="preserve">teachers’ </w:t>
      </w:r>
      <w:r w:rsidRPr="00734A50">
        <w:rPr>
          <w:rFonts w:ascii="Calibri" w:eastAsia="Times New Roman" w:hAnsi="Calibri" w:cs="Calibri"/>
          <w:lang w:eastAsia="en-AU"/>
        </w:rPr>
        <w:t xml:space="preserve">obligations set out </w:t>
      </w:r>
      <w:r w:rsidR="00956F5F" w:rsidRPr="00734A50">
        <w:rPr>
          <w:rFonts w:ascii="Calibri" w:eastAsia="Times New Roman" w:hAnsi="Calibri" w:cs="Calibri"/>
          <w:lang w:eastAsia="en-AU"/>
        </w:rPr>
        <w:t xml:space="preserve">in </w:t>
      </w:r>
      <w:r w:rsidRPr="00734A50">
        <w:rPr>
          <w:rFonts w:ascii="Calibri" w:eastAsia="Times New Roman" w:hAnsi="Calibri" w:cs="Calibri"/>
          <w:lang w:eastAsia="en-AU"/>
        </w:rPr>
        <w:t xml:space="preserve">the </w:t>
      </w:r>
      <w:r w:rsidRPr="00975D6A">
        <w:rPr>
          <w:rFonts w:ascii="Calibri" w:eastAsia="Times New Roman" w:hAnsi="Calibri" w:cs="Calibri"/>
          <w:lang w:eastAsia="en-AU"/>
        </w:rPr>
        <w:t>Commonwealth</w:t>
      </w:r>
      <w:r w:rsidRPr="00734A50">
        <w:rPr>
          <w:rFonts w:ascii="Calibri" w:eastAsia="Times New Roman" w:hAnsi="Calibri" w:cs="Calibri"/>
          <w:i/>
          <w:iCs/>
          <w:lang w:eastAsia="en-AU"/>
        </w:rPr>
        <w:t xml:space="preserve"> Disability Discrimination Act 1992</w:t>
      </w:r>
      <w:r w:rsidRPr="00734A50">
        <w:rPr>
          <w:rFonts w:ascii="Calibri" w:eastAsia="Times New Roman" w:hAnsi="Calibri" w:cs="Calibri"/>
          <w:lang w:eastAsia="en-AU"/>
        </w:rPr>
        <w:t xml:space="preserve"> and the Disability Standards for Education, 2005</w:t>
      </w:r>
      <w:r w:rsidR="00F73C1B" w:rsidRPr="00734A50">
        <w:rPr>
          <w:rFonts w:ascii="Calibri" w:eastAsia="Times New Roman" w:hAnsi="Calibri" w:cs="Calibri"/>
          <w:lang w:eastAsia="en-AU"/>
        </w:rPr>
        <w:t xml:space="preserve"> (Appendix D)</w:t>
      </w:r>
      <w:r w:rsidRPr="00734A50">
        <w:rPr>
          <w:rFonts w:ascii="Calibri" w:eastAsia="Times New Roman" w:hAnsi="Calibri" w:cs="Calibri"/>
          <w:lang w:eastAsia="en-AU"/>
        </w:rPr>
        <w:t xml:space="preserve">. Key references have also been added to Appendix D </w:t>
      </w:r>
      <w:r w:rsidR="002D2232" w:rsidRPr="00734A50">
        <w:rPr>
          <w:rFonts w:ascii="Calibri" w:eastAsia="Times New Roman" w:hAnsi="Calibri" w:cs="Calibri"/>
          <w:lang w:eastAsia="en-AU"/>
        </w:rPr>
        <w:t>incorporating stakeholder feedback</w:t>
      </w:r>
      <w:r w:rsidR="005352B8" w:rsidRPr="00734A50">
        <w:rPr>
          <w:rFonts w:ascii="Calibri" w:eastAsia="Times New Roman" w:hAnsi="Calibri" w:cs="Calibri"/>
          <w:lang w:eastAsia="en-AU"/>
        </w:rPr>
        <w:t>,</w:t>
      </w:r>
      <w:r w:rsidRPr="00734A50">
        <w:rPr>
          <w:rFonts w:ascii="Calibri" w:eastAsia="Times New Roman" w:hAnsi="Calibri" w:cs="Calibri"/>
          <w:lang w:eastAsia="en-AU"/>
        </w:rPr>
        <w:t xml:space="preserve"> including suggestions around the need for more examples of how cognitive science can be applied in practice. The term ‘enabling factors</w:t>
      </w:r>
      <w:r w:rsidR="00AB0AF9" w:rsidRPr="00734A50">
        <w:rPr>
          <w:rFonts w:ascii="Calibri" w:eastAsia="Times New Roman" w:hAnsi="Calibri" w:cs="Calibri"/>
          <w:lang w:eastAsia="en-AU"/>
        </w:rPr>
        <w:t xml:space="preserve"> for learning</w:t>
      </w:r>
      <w:r w:rsidRPr="00734A50">
        <w:rPr>
          <w:rFonts w:ascii="Calibri" w:eastAsia="Times New Roman" w:hAnsi="Calibri" w:cs="Calibri"/>
          <w:lang w:eastAsia="en-AU"/>
        </w:rPr>
        <w:t xml:space="preserve">’ has been </w:t>
      </w:r>
      <w:r w:rsidR="00AB0AF9" w:rsidRPr="00734A50">
        <w:rPr>
          <w:rFonts w:ascii="Calibri" w:eastAsia="Times New Roman" w:hAnsi="Calibri" w:cs="Calibri"/>
          <w:lang w:eastAsia="en-AU"/>
        </w:rPr>
        <w:t xml:space="preserve">rephrased as ‘responsive teaching’ to </w:t>
      </w:r>
      <w:r w:rsidR="00E66092" w:rsidRPr="00734A50">
        <w:rPr>
          <w:rFonts w:ascii="Calibri" w:eastAsia="Times New Roman" w:hAnsi="Calibri" w:cs="Calibri"/>
          <w:lang w:eastAsia="en-AU"/>
        </w:rPr>
        <w:t xml:space="preserve">incorporate </w:t>
      </w:r>
      <w:r w:rsidR="00A46185" w:rsidRPr="00734A50">
        <w:rPr>
          <w:rFonts w:ascii="Calibri" w:eastAsia="Times New Roman" w:hAnsi="Calibri" w:cs="Calibri"/>
          <w:lang w:eastAsia="en-AU"/>
        </w:rPr>
        <w:t xml:space="preserve">feedback from </w:t>
      </w:r>
      <w:r w:rsidR="00564A6A" w:rsidRPr="00734A50">
        <w:rPr>
          <w:rFonts w:ascii="Calibri" w:eastAsia="Times New Roman" w:hAnsi="Calibri" w:cs="Calibri"/>
          <w:lang w:eastAsia="en-AU"/>
        </w:rPr>
        <w:t>stakeholders</w:t>
      </w:r>
      <w:r w:rsidRPr="00734A50">
        <w:rPr>
          <w:rFonts w:ascii="Calibri" w:eastAsia="Times New Roman" w:hAnsi="Calibri" w:cs="Calibri"/>
          <w:lang w:eastAsia="en-AU"/>
        </w:rPr>
        <w:t xml:space="preserve">. </w:t>
      </w:r>
    </w:p>
    <w:p w14:paraId="67CBE4FB" w14:textId="653448DB" w:rsidR="00121599" w:rsidRPr="00734A50" w:rsidRDefault="00121599" w:rsidP="00121599">
      <w:pPr>
        <w:spacing w:before="120" w:after="0"/>
        <w:rPr>
          <w:rFonts w:ascii="Calibri" w:eastAsia="Calibri" w:hAnsi="Calibri" w:cs="Arial"/>
        </w:rPr>
      </w:pPr>
      <w:r w:rsidRPr="00734A50">
        <w:rPr>
          <w:rFonts w:ascii="Calibri" w:eastAsia="Calibri" w:hAnsi="Calibri" w:cs="Arial"/>
        </w:rPr>
        <w:t>Figure 1.1 summarises the core content and its alignment to the Graduate Teacher Standards. The core content has been mapped against the Graduate Teacher Standards and reflects feedback received from stakeholders</w:t>
      </w:r>
      <w:r w:rsidR="00F64512" w:rsidRPr="00734A50">
        <w:rPr>
          <w:rFonts w:ascii="Calibri" w:eastAsia="Calibri" w:hAnsi="Calibri" w:cs="Arial"/>
        </w:rPr>
        <w:t xml:space="preserve">. </w:t>
      </w:r>
      <w:r w:rsidR="008C1465" w:rsidRPr="00734A50">
        <w:rPr>
          <w:rFonts w:ascii="Calibri" w:eastAsia="Calibri" w:hAnsi="Calibri" w:cs="Arial"/>
        </w:rPr>
        <w:t xml:space="preserve">Appendix </w:t>
      </w:r>
      <w:r w:rsidR="00F64512" w:rsidRPr="00734A50">
        <w:rPr>
          <w:rFonts w:ascii="Calibri" w:eastAsia="Calibri" w:hAnsi="Calibri" w:cs="Arial"/>
        </w:rPr>
        <w:t xml:space="preserve">E maps </w:t>
      </w:r>
      <w:r w:rsidR="00081130" w:rsidRPr="00734A50">
        <w:rPr>
          <w:rFonts w:ascii="Calibri" w:eastAsia="Calibri" w:hAnsi="Calibri" w:cs="Arial"/>
        </w:rPr>
        <w:t>the</w:t>
      </w:r>
      <w:r w:rsidR="00F64512" w:rsidRPr="00734A50">
        <w:rPr>
          <w:rFonts w:ascii="Calibri" w:eastAsia="Calibri" w:hAnsi="Calibri" w:cs="Arial"/>
        </w:rPr>
        <w:t xml:space="preserve"> core content to the standards in more detail</w:t>
      </w:r>
      <w:r w:rsidRPr="00734A50">
        <w:rPr>
          <w:rFonts w:ascii="Calibri" w:eastAsia="Calibri" w:hAnsi="Calibri" w:cs="Arial"/>
        </w:rPr>
        <w:t>.</w:t>
      </w:r>
    </w:p>
    <w:p w14:paraId="790924F1" w14:textId="77777777" w:rsidR="00121599" w:rsidRPr="00734A50" w:rsidRDefault="00121599" w:rsidP="005A0222">
      <w:pPr>
        <w:spacing w:before="120" w:after="0"/>
        <w:rPr>
          <w:rFonts w:ascii="Calibri" w:eastAsia="Times New Roman" w:hAnsi="Calibri" w:cs="Calibri"/>
          <w:lang w:eastAsia="en-AU"/>
        </w:rPr>
      </w:pPr>
    </w:p>
    <w:p w14:paraId="32DB3BE4" w14:textId="77777777" w:rsidR="005A0222" w:rsidRPr="00734A50" w:rsidRDefault="005A0222" w:rsidP="005A0222">
      <w:pPr>
        <w:rPr>
          <w:rFonts w:ascii="Calibri" w:eastAsia="Calibri" w:hAnsi="Calibri" w:cs="Arial"/>
        </w:rPr>
      </w:pPr>
      <w:r w:rsidRPr="00734A50">
        <w:rPr>
          <w:rFonts w:ascii="Calibri" w:eastAsia="Calibri" w:hAnsi="Calibri" w:cs="Arial"/>
        </w:rPr>
        <w:br w:type="page"/>
      </w:r>
    </w:p>
    <w:p w14:paraId="6DB8147F" w14:textId="63C67FC3" w:rsidR="00A447C6" w:rsidRDefault="00A447C6" w:rsidP="6DDCDED7">
      <w:pPr>
        <w:pStyle w:val="FigureHeading"/>
        <w:numPr>
          <w:ilvl w:val="0"/>
          <w:numId w:val="0"/>
        </w:numPr>
        <w:ind w:left="357" w:hanging="357"/>
        <w:rPr>
          <w:rFonts w:eastAsia="Calibri"/>
          <w:sz w:val="22"/>
          <w:szCs w:val="28"/>
        </w:rPr>
      </w:pPr>
      <w:r w:rsidRPr="00734A50">
        <w:rPr>
          <w:rFonts w:eastAsia="Calibri"/>
          <w:sz w:val="22"/>
          <w:szCs w:val="28"/>
        </w:rPr>
        <w:lastRenderedPageBreak/>
        <w:t>Figure 1.1</w:t>
      </w:r>
      <w:r w:rsidR="006A439D" w:rsidRPr="00734A50">
        <w:rPr>
          <w:rFonts w:eastAsia="Calibri"/>
          <w:sz w:val="22"/>
          <w:szCs w:val="28"/>
        </w:rPr>
        <w:t>:</w:t>
      </w:r>
      <w:r w:rsidRPr="00734A50">
        <w:rPr>
          <w:rFonts w:eastAsia="Calibri"/>
          <w:sz w:val="22"/>
          <w:szCs w:val="28"/>
        </w:rPr>
        <w:t xml:space="preserve"> Summary of the core content and alignment with the Graduate Teacher Standards</w:t>
      </w:r>
    </w:p>
    <w:p w14:paraId="75B4E570" w14:textId="365767F7" w:rsidR="00E062CB" w:rsidRDefault="00142C10" w:rsidP="00E062CB">
      <w:pPr>
        <w:rPr>
          <w:lang w:eastAsia="en-AU"/>
        </w:rPr>
      </w:pPr>
      <w:r>
        <w:rPr>
          <w:noProof/>
          <w:lang w:eastAsia="en-AU"/>
        </w:rPr>
        <w:drawing>
          <wp:inline distT="0" distB="0" distL="0" distR="0" wp14:anchorId="523C518F" wp14:editId="5A7383BB">
            <wp:extent cx="5727700" cy="6614160"/>
            <wp:effectExtent l="0" t="0" r="6350" b="0"/>
            <wp:docPr id="15" name="Picture 15" descr="A diagram that summarises the core content and aligns this with the Graduate Teacher Standards&#10;&#10;1. The brain and learning aligns to teacher standards 1.1, 1.2&#10;The brain and learning includes novice v expert learners; how the brain learns and retains information; how the brain masters knowledge and neuromyths.&#10; &#10;2. Effective pedagogical practices aligns to teacher standards 1.3, 1.5, 1.6; 2.1, 2.2, 2.3, 2.4, 2.5; 3.1, 3.2, 3.3, 3.4, 3.5, 2.6; 4.1, 4.2; 5.1, 5.2, 5.4&#10;Effective pedagogical practices include planning and sequencing; explicit modelling and scaffolding; assessment and feedback; literacy; numeracy; and multi-tiered systems of support.&#10;&#10;3. Classroom management aligns to teacher standards 1.2, 3.1, 3.3, 3.4, 3.5;  4.1, 4.2, 4.3, 4.4; 7.2&#10;Classroom management includes rules and routines; proactive practices; managing behaviour; whole-school behaviour frameworks.&#10;&#10;4. Responsive teaching aligns to teacher standards 1.1, 1.3, 1.4, 1.5, 1.6; 2.4; 4.1, 4.4; 7.2 7.3&#10;Responsive teaching incudes First Nations peoples, their cultures and perspectives, cultural responsiveness including English as an additional language or dialect; family engagement for learning; diverse learning needs, including students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that summarises the core content and aligns this with the Graduate Teacher Standards&#10;&#10;1. The brain and learning aligns to teacher standards 1.1, 1.2&#10;The brain and learning includes novice v expert learners; how the brain learns and retains information; how the brain masters knowledge and neuromyths.&#10; &#10;2. Effective pedagogical practices aligns to teacher standards 1.3, 1.5, 1.6; 2.1, 2.2, 2.3, 2.4, 2.5; 3.1, 3.2, 3.3, 3.4, 3.5, 2.6; 4.1, 4.2; 5.1, 5.2, 5.4&#10;Effective pedagogical practices include planning and sequencing; explicit modelling and scaffolding; assessment and feedback; literacy; numeracy; and multi-tiered systems of support.&#10;&#10;3. Classroom management aligns to teacher standards 1.2, 3.1, 3.3, 3.4, 3.5;  4.1, 4.2, 4.3, 4.4; 7.2&#10;Classroom management includes rules and routines; proactive practices; managing behaviour; whole-school behaviour frameworks.&#10;&#10;4. Responsive teaching aligns to teacher standards 1.1, 1.3, 1.4, 1.5, 1.6; 2.4; 4.1, 4.4; 7.2 7.3&#10;Responsive teaching incudes First Nations peoples, their cultures and perspectives, cultural responsiveness including English as an additional language or dialect; family engagement for learning; diverse learning needs, including students with disability."/>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7700" cy="6614160"/>
                    </a:xfrm>
                    <a:prstGeom prst="rect">
                      <a:avLst/>
                    </a:prstGeom>
                  </pic:spPr>
                </pic:pic>
              </a:graphicData>
            </a:graphic>
          </wp:inline>
        </w:drawing>
      </w:r>
    </w:p>
    <w:p w14:paraId="1BD3EE1C" w14:textId="43F0438D" w:rsidR="00C9447D" w:rsidRPr="00E062CB" w:rsidRDefault="00C9447D" w:rsidP="00E062CB">
      <w:pPr>
        <w:rPr>
          <w:lang w:eastAsia="en-AU"/>
        </w:rPr>
      </w:pPr>
    </w:p>
    <w:p w14:paraId="49F7431F" w14:textId="7B30AFC3" w:rsidR="00A447C6" w:rsidRPr="00734A50" w:rsidRDefault="00A447C6" w:rsidP="00A447C6">
      <w:pPr>
        <w:spacing w:before="120" w:after="0"/>
        <w:rPr>
          <w:rFonts w:ascii="Calibri" w:eastAsia="Calibri" w:hAnsi="Calibri" w:cs="Arial"/>
        </w:rPr>
      </w:pPr>
      <w:r w:rsidRPr="00734A50">
        <w:rPr>
          <w:rFonts w:ascii="Calibri" w:eastAsia="Calibri" w:hAnsi="Calibri" w:cs="Calibri"/>
          <w:color w:val="002C3E"/>
          <w:lang w:eastAsia="en-AU"/>
        </w:rPr>
        <w:br w:type="page"/>
      </w:r>
    </w:p>
    <w:p w14:paraId="25E95329" w14:textId="6C6CFD55" w:rsidR="005A0222" w:rsidRPr="00734A50" w:rsidRDefault="005A0222" w:rsidP="000C2F25">
      <w:pPr>
        <w:pStyle w:val="Heading4"/>
      </w:pPr>
      <w:r w:rsidRPr="00734A50">
        <w:lastRenderedPageBreak/>
        <w:t xml:space="preserve">1.2.1 What should be the </w:t>
      </w:r>
      <w:r w:rsidR="007D7138" w:rsidRPr="00734A50">
        <w:t>l</w:t>
      </w:r>
      <w:r w:rsidRPr="00734A50">
        <w:t xml:space="preserve">earning </w:t>
      </w:r>
      <w:r w:rsidR="007D7138" w:rsidRPr="00734A50">
        <w:t>o</w:t>
      </w:r>
      <w:r w:rsidRPr="00734A50">
        <w:t>utcomes of the core content and what should ITE programs cover?</w:t>
      </w:r>
    </w:p>
    <w:p w14:paraId="03281661" w14:textId="313FE9C4" w:rsidR="005A0222" w:rsidRPr="00734A50" w:rsidRDefault="005A0222" w:rsidP="009D03EB">
      <w:pPr>
        <w:rPr>
          <w:rFonts w:ascii="Calibri" w:eastAsia="Calibri" w:hAnsi="Calibri" w:cs="Arial"/>
        </w:rPr>
      </w:pPr>
      <w:r w:rsidRPr="00734A50">
        <w:rPr>
          <w:rFonts w:ascii="Calibri" w:eastAsia="Calibri" w:hAnsi="Calibri" w:cs="Arial"/>
        </w:rPr>
        <w:t xml:space="preserve">The Graduate Teacher Standards provide the framework for designing the content of ITE programs and assessing graduate teachers’ readiness to teach. The core content identifies the knowledge and evidence-based practices which support </w:t>
      </w:r>
      <w:r w:rsidR="000555B1" w:rsidRPr="00734A50">
        <w:rPr>
          <w:rFonts w:ascii="Calibri" w:eastAsia="Calibri" w:hAnsi="Calibri" w:cs="Arial"/>
        </w:rPr>
        <w:t>teachers to meet</w:t>
      </w:r>
      <w:r w:rsidRPr="00734A50">
        <w:rPr>
          <w:rFonts w:ascii="Calibri" w:eastAsia="Calibri" w:hAnsi="Calibri" w:cs="Arial"/>
        </w:rPr>
        <w:t xml:space="preserve"> the Graduate Teacher Standards.</w:t>
      </w:r>
    </w:p>
    <w:p w14:paraId="33EF297B" w14:textId="2C3F8A36" w:rsidR="005A0222" w:rsidRPr="00734A50" w:rsidRDefault="005A0222" w:rsidP="00721DD9">
      <w:pPr>
        <w:rPr>
          <w:rFonts w:ascii="Calibri" w:eastAsia="Calibri" w:hAnsi="Calibri" w:cs="Arial"/>
        </w:rPr>
      </w:pPr>
      <w:r w:rsidRPr="00734A50">
        <w:rPr>
          <w:rFonts w:ascii="Calibri" w:eastAsia="Calibri" w:hAnsi="Calibri" w:cs="Arial"/>
        </w:rPr>
        <w:t xml:space="preserve">To support ITE students in meeting the Graduate Teacher Standards, the Panel has defined </w:t>
      </w:r>
      <w:r w:rsidR="001E6C6D" w:rsidRPr="00734A50">
        <w:rPr>
          <w:rFonts w:ascii="Calibri" w:eastAsia="Calibri" w:hAnsi="Calibri" w:cs="Arial"/>
        </w:rPr>
        <w:t>‘</w:t>
      </w:r>
      <w:r w:rsidRPr="00734A50">
        <w:rPr>
          <w:rFonts w:ascii="Calibri" w:eastAsia="Calibri" w:hAnsi="Calibri" w:cs="Arial"/>
        </w:rPr>
        <w:t>Learning Outcomes</w:t>
      </w:r>
      <w:r w:rsidR="001E6C6D" w:rsidRPr="00734A50">
        <w:rPr>
          <w:rFonts w:ascii="Calibri" w:eastAsia="Calibri" w:hAnsi="Calibri" w:cs="Arial"/>
        </w:rPr>
        <w:t>’</w:t>
      </w:r>
      <w:r w:rsidRPr="00734A50">
        <w:rPr>
          <w:rFonts w:ascii="Calibri" w:eastAsia="Calibri" w:hAnsi="Calibri" w:cs="Arial"/>
        </w:rPr>
        <w:t xml:space="preserve"> for the core content and </w:t>
      </w:r>
      <w:r w:rsidR="001E6C6D" w:rsidRPr="00734A50">
        <w:rPr>
          <w:rFonts w:ascii="Calibri" w:eastAsia="Calibri" w:hAnsi="Calibri" w:cs="Arial"/>
        </w:rPr>
        <w:t>‘</w:t>
      </w:r>
      <w:r w:rsidRPr="00734A50">
        <w:rPr>
          <w:rFonts w:ascii="Calibri" w:eastAsia="Calibri" w:hAnsi="Calibri" w:cs="Arial"/>
        </w:rPr>
        <w:t>What ITE Programs Should Teach</w:t>
      </w:r>
      <w:r w:rsidR="001E6C6D" w:rsidRPr="00734A50">
        <w:rPr>
          <w:rFonts w:ascii="Calibri" w:eastAsia="Calibri" w:hAnsi="Calibri" w:cs="Arial"/>
        </w:rPr>
        <w:t>’</w:t>
      </w:r>
      <w:r w:rsidRPr="00734A50">
        <w:rPr>
          <w:rFonts w:ascii="Calibri" w:eastAsia="Calibri" w:hAnsi="Calibri" w:cs="Arial"/>
        </w:rPr>
        <w:t xml:space="preserve">, mapped to the relevant Teacher Standards. An example for ‘Planning and Sequencing’ is provided at Table </w:t>
      </w:r>
      <w:r w:rsidR="001D7DD3" w:rsidRPr="00734A50">
        <w:rPr>
          <w:rFonts w:ascii="Calibri" w:eastAsia="Calibri" w:hAnsi="Calibri" w:cs="Arial"/>
        </w:rPr>
        <w:t>1.1</w:t>
      </w:r>
      <w:r w:rsidRPr="00734A50">
        <w:rPr>
          <w:rFonts w:ascii="Calibri" w:eastAsia="Calibri" w:hAnsi="Calibri" w:cs="Arial"/>
        </w:rPr>
        <w:t xml:space="preserve"> and the full core content </w:t>
      </w:r>
      <w:r w:rsidR="00956F5F" w:rsidRPr="00734A50">
        <w:rPr>
          <w:rFonts w:ascii="Calibri" w:eastAsia="Calibri" w:hAnsi="Calibri" w:cs="Arial"/>
        </w:rPr>
        <w:t xml:space="preserve">is </w:t>
      </w:r>
      <w:r w:rsidRPr="00734A50">
        <w:rPr>
          <w:rFonts w:ascii="Calibri" w:eastAsia="Calibri" w:hAnsi="Calibri" w:cs="Arial"/>
        </w:rPr>
        <w:t xml:space="preserve">provided at Appendix D. This </w:t>
      </w:r>
      <w:r w:rsidR="003B6378" w:rsidRPr="00734A50">
        <w:rPr>
          <w:rFonts w:ascii="Calibri" w:eastAsia="Calibri" w:hAnsi="Calibri" w:cs="Arial"/>
        </w:rPr>
        <w:t xml:space="preserve">approach </w:t>
      </w:r>
      <w:r w:rsidR="000555B1" w:rsidRPr="00734A50">
        <w:rPr>
          <w:rFonts w:ascii="Calibri" w:eastAsia="Calibri" w:hAnsi="Calibri" w:cs="Arial"/>
        </w:rPr>
        <w:t>provide</w:t>
      </w:r>
      <w:r w:rsidR="00B10A13">
        <w:rPr>
          <w:rFonts w:ascii="Calibri" w:eastAsia="Calibri" w:hAnsi="Calibri" w:cs="Arial"/>
        </w:rPr>
        <w:t>s</w:t>
      </w:r>
      <w:r w:rsidRPr="00734A50">
        <w:rPr>
          <w:rFonts w:ascii="Calibri" w:eastAsia="Calibri" w:hAnsi="Calibri" w:cs="Arial"/>
        </w:rPr>
        <w:t xml:space="preserve"> specific guidance </w:t>
      </w:r>
      <w:r w:rsidR="00044617" w:rsidRPr="00734A50">
        <w:rPr>
          <w:rFonts w:ascii="Calibri" w:eastAsia="Calibri" w:hAnsi="Calibri" w:cs="Arial"/>
        </w:rPr>
        <w:t xml:space="preserve">to </w:t>
      </w:r>
      <w:r w:rsidR="0008391F" w:rsidRPr="00734A50">
        <w:rPr>
          <w:rFonts w:ascii="Calibri" w:eastAsia="Calibri" w:hAnsi="Calibri" w:cs="Arial"/>
        </w:rPr>
        <w:t>higher education</w:t>
      </w:r>
      <w:r w:rsidRPr="00734A50">
        <w:rPr>
          <w:rFonts w:ascii="Calibri" w:eastAsia="Calibri" w:hAnsi="Calibri" w:cs="Arial"/>
        </w:rPr>
        <w:t xml:space="preserve"> providers </w:t>
      </w:r>
      <w:r w:rsidR="00044617" w:rsidRPr="00734A50">
        <w:rPr>
          <w:rFonts w:ascii="Calibri" w:eastAsia="Calibri" w:hAnsi="Calibri" w:cs="Arial"/>
        </w:rPr>
        <w:t xml:space="preserve">on what </w:t>
      </w:r>
      <w:r w:rsidRPr="00734A50">
        <w:rPr>
          <w:rFonts w:ascii="Calibri" w:eastAsia="Calibri" w:hAnsi="Calibri" w:cs="Arial"/>
        </w:rPr>
        <w:t>the core content</w:t>
      </w:r>
      <w:r w:rsidR="00956F5F" w:rsidRPr="00734A50">
        <w:rPr>
          <w:rFonts w:ascii="Calibri" w:eastAsia="Calibri" w:hAnsi="Calibri" w:cs="Arial"/>
        </w:rPr>
        <w:t xml:space="preserve"> should cover</w:t>
      </w:r>
      <w:r w:rsidRPr="00734A50">
        <w:rPr>
          <w:rFonts w:ascii="Calibri" w:eastAsia="Calibri" w:hAnsi="Calibri" w:cs="Arial"/>
        </w:rPr>
        <w:t xml:space="preserve">. </w:t>
      </w:r>
    </w:p>
    <w:p w14:paraId="79172DE5" w14:textId="495A16AD" w:rsidR="005A0222" w:rsidRPr="00734A50" w:rsidRDefault="005A0222" w:rsidP="00721DD9">
      <w:pPr>
        <w:rPr>
          <w:rFonts w:ascii="Calibri" w:eastAsia="Calibri" w:hAnsi="Calibri" w:cs="Arial"/>
        </w:rPr>
      </w:pPr>
      <w:r w:rsidRPr="00734A50">
        <w:rPr>
          <w:rFonts w:ascii="Calibri" w:eastAsia="Calibri" w:hAnsi="Calibri" w:cs="Arial"/>
        </w:rPr>
        <w:t xml:space="preserve">The Panel recognises that the core content does not meet all of the Graduate Teacher Standards or attempt to address </w:t>
      </w:r>
      <w:r w:rsidR="00D45306" w:rsidRPr="00734A50">
        <w:rPr>
          <w:rFonts w:ascii="Calibri" w:eastAsia="Calibri" w:hAnsi="Calibri" w:cs="Arial"/>
        </w:rPr>
        <w:t>discipline</w:t>
      </w:r>
      <w:r w:rsidRPr="00734A50">
        <w:rPr>
          <w:rFonts w:ascii="Calibri" w:eastAsia="Calibri" w:hAnsi="Calibri" w:cs="Arial"/>
        </w:rPr>
        <w:t xml:space="preserve">-specific content. ITE providers </w:t>
      </w:r>
      <w:r w:rsidR="00EF5124" w:rsidRPr="00734A50">
        <w:rPr>
          <w:rFonts w:ascii="Calibri" w:eastAsia="Calibri" w:hAnsi="Calibri" w:cs="Arial"/>
        </w:rPr>
        <w:t>would</w:t>
      </w:r>
      <w:r w:rsidRPr="00734A50">
        <w:rPr>
          <w:rFonts w:ascii="Calibri" w:eastAsia="Calibri" w:hAnsi="Calibri" w:cs="Arial"/>
        </w:rPr>
        <w:t xml:space="preserve"> include further content appropriate to each program and </w:t>
      </w:r>
      <w:r w:rsidR="0067426B" w:rsidRPr="00734A50">
        <w:rPr>
          <w:rFonts w:ascii="Calibri" w:eastAsia="Calibri" w:hAnsi="Calibri" w:cs="Arial"/>
        </w:rPr>
        <w:t>would</w:t>
      </w:r>
      <w:r w:rsidRPr="00734A50">
        <w:rPr>
          <w:rFonts w:ascii="Calibri" w:eastAsia="Calibri" w:hAnsi="Calibri" w:cs="Arial"/>
        </w:rPr>
        <w:t xml:space="preserve"> determine how to best </w:t>
      </w:r>
      <w:r w:rsidR="00786F75" w:rsidRPr="00734A50">
        <w:rPr>
          <w:rFonts w:ascii="Calibri" w:hAnsi="Calibri" w:cs="Calibri"/>
        </w:rPr>
        <w:t>design courses to ensure th</w:t>
      </w:r>
      <w:r w:rsidR="00956F5F" w:rsidRPr="00734A50">
        <w:rPr>
          <w:rFonts w:ascii="Calibri" w:hAnsi="Calibri" w:cs="Calibri"/>
        </w:rPr>
        <w:t>at ITE programs coherently incorporate the</w:t>
      </w:r>
      <w:r w:rsidR="00786F75" w:rsidRPr="00734A50">
        <w:rPr>
          <w:rFonts w:ascii="Calibri" w:hAnsi="Calibri" w:cs="Calibri"/>
        </w:rPr>
        <w:t xml:space="preserve"> core content</w:t>
      </w:r>
      <w:r w:rsidRPr="00734A50">
        <w:rPr>
          <w:rFonts w:ascii="Calibri" w:eastAsia="Calibri" w:hAnsi="Calibri" w:cs="Arial"/>
        </w:rPr>
        <w:t xml:space="preserve">. This </w:t>
      </w:r>
      <w:r w:rsidR="00D45306" w:rsidRPr="00734A50">
        <w:rPr>
          <w:rFonts w:ascii="Calibri" w:eastAsia="Calibri" w:hAnsi="Calibri" w:cs="Arial"/>
        </w:rPr>
        <w:t>topic</w:t>
      </w:r>
      <w:r w:rsidRPr="00734A50">
        <w:rPr>
          <w:rFonts w:ascii="Calibri" w:eastAsia="Calibri" w:hAnsi="Calibri" w:cs="Arial"/>
        </w:rPr>
        <w:t xml:space="preserve"> </w:t>
      </w:r>
      <w:r w:rsidR="00956F5F" w:rsidRPr="00734A50">
        <w:rPr>
          <w:rFonts w:ascii="Calibri" w:eastAsia="Calibri" w:hAnsi="Calibri" w:cs="Arial"/>
        </w:rPr>
        <w:t xml:space="preserve">is </w:t>
      </w:r>
      <w:r w:rsidRPr="00734A50">
        <w:rPr>
          <w:rFonts w:ascii="Calibri" w:eastAsia="Calibri" w:hAnsi="Calibri" w:cs="Arial"/>
        </w:rPr>
        <w:t>covered in more detail in section</w:t>
      </w:r>
      <w:r w:rsidR="00797420" w:rsidRPr="00734A50">
        <w:rPr>
          <w:rFonts w:ascii="Calibri" w:eastAsia="Calibri" w:hAnsi="Calibri" w:cs="Arial"/>
        </w:rPr>
        <w:t xml:space="preserve"> 1.3</w:t>
      </w:r>
      <w:r w:rsidRPr="00734A50">
        <w:rPr>
          <w:rFonts w:ascii="Calibri" w:eastAsia="Calibri" w:hAnsi="Calibri" w:cs="Arial"/>
        </w:rPr>
        <w:t>.</w:t>
      </w:r>
    </w:p>
    <w:p w14:paraId="0948B5B6" w14:textId="25C774E8" w:rsidR="005A0222" w:rsidRPr="00734A50" w:rsidRDefault="005A0222" w:rsidP="00D16490">
      <w:pPr>
        <w:pStyle w:val="HeadingTable"/>
        <w:numPr>
          <w:ilvl w:val="0"/>
          <w:numId w:val="0"/>
        </w:numPr>
        <w:tabs>
          <w:tab w:val="clear" w:pos="1021"/>
          <w:tab w:val="clear" w:pos="1361"/>
        </w:tabs>
        <w:rPr>
          <w:rFonts w:eastAsia="Calibri"/>
          <w:sz w:val="22"/>
          <w:szCs w:val="28"/>
        </w:rPr>
      </w:pPr>
      <w:r w:rsidRPr="00734A50">
        <w:rPr>
          <w:rFonts w:eastAsia="Calibri"/>
          <w:sz w:val="22"/>
          <w:szCs w:val="28"/>
        </w:rPr>
        <w:t xml:space="preserve">Table </w:t>
      </w:r>
      <w:r w:rsidR="00CE53CB" w:rsidRPr="00734A50">
        <w:rPr>
          <w:rFonts w:eastAsia="Calibri"/>
          <w:sz w:val="22"/>
          <w:szCs w:val="28"/>
        </w:rPr>
        <w:t>1</w:t>
      </w:r>
      <w:r w:rsidR="0049461B" w:rsidRPr="00734A50">
        <w:rPr>
          <w:rFonts w:eastAsia="Calibri"/>
          <w:sz w:val="22"/>
          <w:szCs w:val="28"/>
        </w:rPr>
        <w:t>.1</w:t>
      </w:r>
      <w:r w:rsidRPr="00734A50">
        <w:rPr>
          <w:rFonts w:eastAsia="Calibri"/>
          <w:sz w:val="22"/>
          <w:szCs w:val="28"/>
        </w:rPr>
        <w:t>: Core content example</w:t>
      </w:r>
      <w:r w:rsidR="00E20A8B">
        <w:rPr>
          <w:rFonts w:eastAsia="Calibri"/>
          <w:sz w:val="22"/>
          <w:szCs w:val="28"/>
        </w:rPr>
        <w:t>: L</w:t>
      </w:r>
      <w:r w:rsidR="00CE6A6D" w:rsidRPr="00734A50">
        <w:rPr>
          <w:rFonts w:eastAsia="Calibri"/>
          <w:sz w:val="22"/>
          <w:szCs w:val="28"/>
        </w:rPr>
        <w:t xml:space="preserve">earning outcomes </w:t>
      </w:r>
      <w:r w:rsidRPr="00734A50">
        <w:rPr>
          <w:rFonts w:eastAsia="Calibri"/>
          <w:sz w:val="22"/>
          <w:szCs w:val="28"/>
        </w:rPr>
        <w:t>and what ITE programs should teach for effective pedagogical practices</w:t>
      </w:r>
    </w:p>
    <w:tbl>
      <w:tblPr>
        <w:tblStyle w:val="ListTable3-Accent2"/>
        <w:tblW w:w="9067" w:type="dxa"/>
        <w:tblLook w:val="04A0" w:firstRow="1" w:lastRow="0" w:firstColumn="1" w:lastColumn="0" w:noHBand="0" w:noVBand="1"/>
      </w:tblPr>
      <w:tblGrid>
        <w:gridCol w:w="2547"/>
        <w:gridCol w:w="6520"/>
      </w:tblGrid>
      <w:tr w:rsidR="005A0222" w:rsidRPr="00734A50" w14:paraId="458699F9" w14:textId="77777777" w:rsidTr="00E44E8A">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9067" w:type="dxa"/>
            <w:gridSpan w:val="2"/>
            <w:tcBorders>
              <w:top w:val="single" w:sz="4" w:space="0" w:color="FECF52" w:themeColor="accent2"/>
              <w:right w:val="single" w:sz="4" w:space="0" w:color="FECF52" w:themeColor="accent2"/>
            </w:tcBorders>
          </w:tcPr>
          <w:p w14:paraId="6B981C67" w14:textId="63CA2683" w:rsidR="005A0222" w:rsidRPr="00734A50" w:rsidRDefault="00E8144F" w:rsidP="00E44E8A">
            <w:pPr>
              <w:rPr>
                <w:rFonts w:cstheme="minorHAnsi"/>
                <w:sz w:val="16"/>
                <w:szCs w:val="14"/>
              </w:rPr>
            </w:pPr>
            <w:r w:rsidRPr="00734A50">
              <w:rPr>
                <w:rFonts w:cstheme="minorHAnsi"/>
                <w:color w:val="auto"/>
                <w:sz w:val="24"/>
                <w:szCs w:val="24"/>
                <w:lang w:eastAsia="en-AU"/>
              </w:rPr>
              <w:t xml:space="preserve">Core </w:t>
            </w:r>
            <w:r w:rsidR="005A0222" w:rsidRPr="00734A50">
              <w:rPr>
                <w:rFonts w:cstheme="minorHAnsi"/>
                <w:color w:val="auto"/>
                <w:sz w:val="24"/>
                <w:szCs w:val="24"/>
                <w:lang w:eastAsia="en-AU"/>
              </w:rPr>
              <w:t>Content 2: Effective Pedagogical Practices</w:t>
            </w:r>
          </w:p>
        </w:tc>
      </w:tr>
      <w:tr w:rsidR="005A0222" w:rsidRPr="00734A50" w14:paraId="39270323" w14:textId="77777777" w:rsidTr="00AF123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547" w:type="dxa"/>
          </w:tcPr>
          <w:p w14:paraId="57CDB75A" w14:textId="77777777" w:rsidR="005A0222" w:rsidRPr="00734A50" w:rsidRDefault="005A0222" w:rsidP="00E44E8A">
            <w:pPr>
              <w:rPr>
                <w:rFonts w:cstheme="minorHAnsi"/>
                <w:sz w:val="16"/>
                <w:szCs w:val="14"/>
              </w:rPr>
            </w:pPr>
            <w:r w:rsidRPr="00734A50">
              <w:rPr>
                <w:rFonts w:cstheme="minorHAnsi"/>
                <w:b w:val="0"/>
                <w:bCs w:val="0"/>
                <w:i/>
                <w:iCs/>
                <w:sz w:val="16"/>
                <w:szCs w:val="14"/>
              </w:rPr>
              <w:t>Graduate Teacher Standards</w:t>
            </w:r>
          </w:p>
        </w:tc>
        <w:tc>
          <w:tcPr>
            <w:tcW w:w="6520" w:type="dxa"/>
          </w:tcPr>
          <w:p w14:paraId="09FFE5FE" w14:textId="7185D336" w:rsidR="005A0222" w:rsidRPr="00734A50" w:rsidRDefault="005A0222" w:rsidP="00E44E8A">
            <w:pPr>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heme="minorHAnsi"/>
                <w:sz w:val="16"/>
                <w:szCs w:val="16"/>
              </w:rPr>
              <w:t xml:space="preserve">1.3, 1.5, 1.6; 2.1, 2.2, 2.3, 2.4, 2.5; 3.1, 3.2, 3.3 3.4, 3.5, 3.6; 4.1, 4.2; </w:t>
            </w:r>
            <w:r w:rsidR="00B7038B">
              <w:rPr>
                <w:rFonts w:eastAsia="Calibri" w:cstheme="minorHAnsi"/>
                <w:sz w:val="16"/>
                <w:szCs w:val="16"/>
              </w:rPr>
              <w:t xml:space="preserve">5.1, 5.2, </w:t>
            </w:r>
            <w:r w:rsidRPr="00734A50">
              <w:rPr>
                <w:rFonts w:eastAsia="Calibri" w:cstheme="minorHAnsi"/>
                <w:sz w:val="16"/>
                <w:szCs w:val="16"/>
              </w:rPr>
              <w:t xml:space="preserve">5.4 </w:t>
            </w:r>
          </w:p>
        </w:tc>
      </w:tr>
      <w:tr w:rsidR="005A0222" w:rsidRPr="00734A50" w14:paraId="16A22A49" w14:textId="77777777" w:rsidTr="00AF1232">
        <w:trPr>
          <w:trHeight w:val="225"/>
        </w:trPr>
        <w:tc>
          <w:tcPr>
            <w:cnfStyle w:val="001000000000" w:firstRow="0" w:lastRow="0" w:firstColumn="1" w:lastColumn="0" w:oddVBand="0" w:evenVBand="0" w:oddHBand="0" w:evenHBand="0" w:firstRowFirstColumn="0" w:firstRowLastColumn="0" w:lastRowFirstColumn="0" w:lastRowLastColumn="0"/>
            <w:tcW w:w="2547" w:type="dxa"/>
            <w:shd w:val="clear" w:color="auto" w:fill="FECF52" w:themeFill="accent2"/>
          </w:tcPr>
          <w:p w14:paraId="28B02298" w14:textId="77777777" w:rsidR="005A0222" w:rsidRPr="00734A50" w:rsidRDefault="005A0222" w:rsidP="00E44E8A">
            <w:pPr>
              <w:rPr>
                <w:rFonts w:eastAsia="Calibri" w:cstheme="minorHAnsi"/>
                <w:szCs w:val="20"/>
              </w:rPr>
            </w:pPr>
            <w:r w:rsidRPr="00734A50">
              <w:rPr>
                <w:rFonts w:cstheme="minorHAnsi"/>
                <w:szCs w:val="20"/>
              </w:rPr>
              <w:t>Learning Outcome</w:t>
            </w:r>
          </w:p>
        </w:tc>
        <w:tc>
          <w:tcPr>
            <w:tcW w:w="6520" w:type="dxa"/>
            <w:shd w:val="clear" w:color="auto" w:fill="FECF52" w:themeFill="accent2"/>
          </w:tcPr>
          <w:p w14:paraId="082BE2A3" w14:textId="5D3458F0" w:rsidR="005A0222" w:rsidRPr="00734A50" w:rsidRDefault="00E8144F" w:rsidP="00E44E8A">
            <w:pPr>
              <w:cnfStyle w:val="000000000000" w:firstRow="0" w:lastRow="0" w:firstColumn="0" w:lastColumn="0" w:oddVBand="0" w:evenVBand="0" w:oddHBand="0" w:evenHBand="0" w:firstRowFirstColumn="0" w:firstRowLastColumn="0" w:lastRowFirstColumn="0" w:lastRowLastColumn="0"/>
              <w:rPr>
                <w:rFonts w:eastAsia="Calibri" w:cstheme="minorHAnsi"/>
                <w:b/>
                <w:bCs/>
                <w:szCs w:val="20"/>
              </w:rPr>
            </w:pPr>
            <w:r w:rsidRPr="00734A50">
              <w:rPr>
                <w:rFonts w:cstheme="minorHAnsi"/>
                <w:b/>
                <w:bCs/>
                <w:szCs w:val="20"/>
              </w:rPr>
              <w:t xml:space="preserve">Core </w:t>
            </w:r>
            <w:r w:rsidR="005A0222" w:rsidRPr="00734A50">
              <w:rPr>
                <w:rFonts w:cstheme="minorHAnsi"/>
                <w:b/>
                <w:bCs/>
                <w:szCs w:val="20"/>
              </w:rPr>
              <w:t>content ITE programs should teach</w:t>
            </w:r>
          </w:p>
        </w:tc>
      </w:tr>
      <w:tr w:rsidR="005A0222" w:rsidRPr="00734A50" w14:paraId="5A790A5B" w14:textId="77777777" w:rsidTr="00AF123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EEBB9" w:themeFill="accent2" w:themeFillTint="66"/>
          </w:tcPr>
          <w:p w14:paraId="663CE64B" w14:textId="77777777" w:rsidR="005A0222" w:rsidRPr="00734A50" w:rsidRDefault="005A0222" w:rsidP="00E44E8A">
            <w:pPr>
              <w:tabs>
                <w:tab w:val="right" w:pos="9026"/>
              </w:tabs>
              <w:suppressAutoHyphens/>
              <w:spacing w:after="160"/>
              <w:rPr>
                <w:rFonts w:cstheme="minorHAnsi"/>
                <w:b w:val="0"/>
                <w:bCs w:val="0"/>
                <w:sz w:val="20"/>
                <w:szCs w:val="20"/>
                <w:lang w:val="en-US"/>
              </w:rPr>
            </w:pPr>
          </w:p>
          <w:p w14:paraId="495BB8CA" w14:textId="77777777" w:rsidR="005A0222" w:rsidRPr="00734A50" w:rsidRDefault="005A0222" w:rsidP="00E44E8A">
            <w:pPr>
              <w:tabs>
                <w:tab w:val="right" w:pos="9026"/>
              </w:tabs>
              <w:suppressAutoHyphens/>
              <w:spacing w:after="160"/>
              <w:rPr>
                <w:rFonts w:cstheme="minorHAnsi"/>
                <w:b w:val="0"/>
                <w:bCs w:val="0"/>
                <w:sz w:val="20"/>
                <w:szCs w:val="20"/>
                <w:lang w:val="en-US"/>
              </w:rPr>
            </w:pPr>
          </w:p>
          <w:p w14:paraId="5ECD0CA6" w14:textId="77777777" w:rsidR="005A0222" w:rsidRPr="00734A50" w:rsidRDefault="005A0222" w:rsidP="00E44E8A">
            <w:pPr>
              <w:tabs>
                <w:tab w:val="right" w:pos="9026"/>
              </w:tabs>
              <w:suppressAutoHyphens/>
              <w:spacing w:after="160"/>
              <w:rPr>
                <w:rFonts w:cstheme="minorHAnsi"/>
                <w:b w:val="0"/>
                <w:bCs w:val="0"/>
                <w:sz w:val="20"/>
                <w:szCs w:val="20"/>
                <w:lang w:val="en-US"/>
              </w:rPr>
            </w:pPr>
            <w:r w:rsidRPr="00734A50">
              <w:rPr>
                <w:rFonts w:cstheme="minorHAnsi"/>
                <w:lang w:val="en-US"/>
              </w:rPr>
              <w:t>Knowledge of and skill in planning and sequencing content and tasks so that they become increasingly challenging and incorporate spacing and retrieval practice.</w:t>
            </w:r>
          </w:p>
        </w:tc>
        <w:tc>
          <w:tcPr>
            <w:tcW w:w="6520" w:type="dxa"/>
            <w:shd w:val="clear" w:color="auto" w:fill="FEEBB9" w:themeFill="accent2" w:themeFillTint="66"/>
          </w:tcPr>
          <w:p w14:paraId="7B6B3263" w14:textId="77777777" w:rsidR="005A0222" w:rsidRPr="00734A50" w:rsidRDefault="005A0222" w:rsidP="00E73BBF">
            <w:pPr>
              <w:pStyle w:val="Heading3"/>
              <w:cnfStyle w:val="000000100000" w:firstRow="0" w:lastRow="0" w:firstColumn="0" w:lastColumn="0" w:oddVBand="0" w:evenVBand="0" w:oddHBand="1" w:evenHBand="0" w:firstRowFirstColumn="0" w:firstRowLastColumn="0" w:lastRowFirstColumn="0" w:lastRowLastColumn="0"/>
            </w:pPr>
            <w:bookmarkStart w:id="58" w:name="_Toc139366516"/>
            <w:bookmarkStart w:id="59" w:name="_Toc139366634"/>
            <w:r w:rsidRPr="00734A50">
              <w:t>Planning and sequencing</w:t>
            </w:r>
            <w:bookmarkEnd w:id="58"/>
            <w:bookmarkEnd w:id="59"/>
          </w:p>
        </w:tc>
      </w:tr>
      <w:tr w:rsidR="005A0222" w:rsidRPr="00734A50" w14:paraId="78EDDA0E" w14:textId="77777777" w:rsidTr="00AF1232">
        <w:trPr>
          <w:trHeight w:val="104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EEBB9" w:themeFill="accent2" w:themeFillTint="66"/>
          </w:tcPr>
          <w:p w14:paraId="708F31C7" w14:textId="77777777" w:rsidR="005A0222" w:rsidRPr="00734A50" w:rsidRDefault="005A0222" w:rsidP="00E44E8A">
            <w:pPr>
              <w:rPr>
                <w:rFonts w:eastAsia="Calibri" w:cstheme="minorHAnsi"/>
                <w:b w:val="0"/>
                <w:bCs w:val="0"/>
                <w:sz w:val="16"/>
                <w:szCs w:val="16"/>
              </w:rPr>
            </w:pPr>
          </w:p>
        </w:tc>
        <w:tc>
          <w:tcPr>
            <w:tcW w:w="6520" w:type="dxa"/>
          </w:tcPr>
          <w:p w14:paraId="40758EA3" w14:textId="77777777" w:rsidR="005A0222" w:rsidRPr="00734A50" w:rsidRDefault="005A0222" w:rsidP="00E44E8A">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734A50">
              <w:rPr>
                <w:rFonts w:eastAsia="Calibri" w:cstheme="minorHAnsi"/>
                <w:sz w:val="20"/>
                <w:szCs w:val="20"/>
              </w:rPr>
              <w:t xml:space="preserve">The </w:t>
            </w:r>
            <w:r w:rsidRPr="004C0A94">
              <w:rPr>
                <w:rFonts w:eastAsia="Calibri" w:cstheme="minorHAnsi"/>
                <w:b/>
                <w:bCs/>
                <w:sz w:val="20"/>
                <w:szCs w:val="20"/>
              </w:rPr>
              <w:t>key features of coherent and deliberate planning and sequencing of tasks and lessons</w:t>
            </w:r>
            <w:r w:rsidRPr="00734A50">
              <w:rPr>
                <w:rFonts w:eastAsia="Calibri" w:cstheme="minorHAnsi"/>
                <w:sz w:val="20"/>
                <w:szCs w:val="20"/>
              </w:rPr>
              <w:t xml:space="preserve"> including </w:t>
            </w:r>
            <w:r w:rsidRPr="004C0A94">
              <w:rPr>
                <w:rFonts w:eastAsia="Calibri" w:cstheme="minorHAnsi"/>
                <w:sz w:val="20"/>
                <w:szCs w:val="20"/>
              </w:rPr>
              <w:t xml:space="preserve">curriculum-aligned learning objectives, clear descriptions of how students will show evidence of mastery, the </w:t>
            </w:r>
            <w:r w:rsidRPr="004C0A94">
              <w:rPr>
                <w:rFonts w:eastAsia="Calibri" w:cstheme="minorHAnsi"/>
                <w:sz w:val="20"/>
                <w:szCs w:val="20"/>
                <w:lang w:eastAsia="en-AU"/>
              </w:rPr>
              <w:t>common progression of learning in a subject area and the critical curriculum knowledge needed for students to progress.</w:t>
            </w:r>
          </w:p>
        </w:tc>
      </w:tr>
      <w:tr w:rsidR="005A0222" w:rsidRPr="00734A50" w14:paraId="5E28B481" w14:textId="77777777" w:rsidTr="00AF1232">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EEBB9" w:themeFill="accent2" w:themeFillTint="66"/>
          </w:tcPr>
          <w:p w14:paraId="57D338EE" w14:textId="77777777" w:rsidR="005A0222" w:rsidRPr="00734A50" w:rsidRDefault="005A0222" w:rsidP="00E44E8A">
            <w:pPr>
              <w:rPr>
                <w:rFonts w:eastAsia="Calibri" w:cstheme="minorHAnsi"/>
                <w:sz w:val="16"/>
                <w:szCs w:val="16"/>
              </w:rPr>
            </w:pPr>
          </w:p>
        </w:tc>
        <w:tc>
          <w:tcPr>
            <w:tcW w:w="6520" w:type="dxa"/>
          </w:tcPr>
          <w:p w14:paraId="5D3BE763" w14:textId="77777777" w:rsidR="005A0222" w:rsidRPr="00734A50" w:rsidRDefault="005A0222" w:rsidP="00E44E8A">
            <w:pP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FA2343">
              <w:rPr>
                <w:rFonts w:eastAsia="Calibri" w:cstheme="minorHAnsi"/>
                <w:b/>
                <w:bCs/>
                <w:sz w:val="20"/>
                <w:szCs w:val="20"/>
              </w:rPr>
              <w:t>How to plan</w:t>
            </w:r>
            <w:r w:rsidRPr="00734A50">
              <w:rPr>
                <w:rFonts w:eastAsia="Calibri" w:cstheme="minorHAnsi"/>
                <w:sz w:val="20"/>
                <w:szCs w:val="20"/>
              </w:rPr>
              <w:t xml:space="preserve"> </w:t>
            </w:r>
            <w:r w:rsidRPr="00734A50">
              <w:rPr>
                <w:rFonts w:eastAsia="Calibri" w:cstheme="minorHAnsi"/>
                <w:b/>
                <w:bCs/>
                <w:sz w:val="20"/>
                <w:szCs w:val="20"/>
              </w:rPr>
              <w:t>a sequence of lessons</w:t>
            </w:r>
            <w:r w:rsidRPr="00734A50">
              <w:rPr>
                <w:rFonts w:eastAsia="Calibri" w:cstheme="minorHAnsi"/>
                <w:sz w:val="20"/>
                <w:szCs w:val="20"/>
              </w:rPr>
              <w:t xml:space="preserve"> that incorporate spacing and retrieval practice, build upon each other, meet students where they are in their learning and help students retrieve past learning and consolidate it in long-term memory.</w:t>
            </w:r>
          </w:p>
        </w:tc>
      </w:tr>
      <w:tr w:rsidR="005A0222" w:rsidRPr="00734A50" w14:paraId="10F2A72D" w14:textId="77777777" w:rsidTr="00AF1232">
        <w:trPr>
          <w:trHeight w:val="143"/>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EEBB9" w:themeFill="accent2" w:themeFillTint="66"/>
          </w:tcPr>
          <w:p w14:paraId="5AA19626" w14:textId="77777777" w:rsidR="005A0222" w:rsidRPr="00734A50" w:rsidRDefault="005A0222" w:rsidP="00E44E8A">
            <w:pPr>
              <w:rPr>
                <w:rFonts w:eastAsia="Calibri" w:cstheme="minorHAnsi"/>
                <w:sz w:val="16"/>
                <w:szCs w:val="16"/>
              </w:rPr>
            </w:pPr>
          </w:p>
        </w:tc>
        <w:tc>
          <w:tcPr>
            <w:tcW w:w="6520" w:type="dxa"/>
          </w:tcPr>
          <w:p w14:paraId="040A0F1E" w14:textId="77777777" w:rsidR="005A0222" w:rsidRPr="00734A50" w:rsidRDefault="005A0222" w:rsidP="00E44E8A">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FA2343">
              <w:rPr>
                <w:rFonts w:eastAsia="Calibri" w:cstheme="minorHAnsi"/>
                <w:b/>
                <w:bCs/>
                <w:sz w:val="20"/>
                <w:szCs w:val="20"/>
              </w:rPr>
              <w:t>How to</w:t>
            </w:r>
            <w:r w:rsidRPr="00734A50">
              <w:rPr>
                <w:rFonts w:eastAsia="Calibri" w:cstheme="minorHAnsi"/>
                <w:sz w:val="20"/>
                <w:szCs w:val="20"/>
              </w:rPr>
              <w:t xml:space="preserve"> </w:t>
            </w:r>
            <w:r w:rsidRPr="00734A50">
              <w:rPr>
                <w:rFonts w:eastAsia="Calibri" w:cstheme="minorHAnsi"/>
                <w:b/>
                <w:bCs/>
                <w:sz w:val="20"/>
                <w:szCs w:val="20"/>
              </w:rPr>
              <w:t>sequence tasks within a lesson</w:t>
            </w:r>
            <w:r w:rsidRPr="00734A50">
              <w:rPr>
                <w:rFonts w:eastAsia="Calibri" w:cstheme="minorHAnsi"/>
                <w:sz w:val="20"/>
                <w:szCs w:val="20"/>
              </w:rPr>
              <w:t xml:space="preserve"> that build upon each other, meet students where they are in their learning and help them understand the progression of skills needed to attain mastery.</w:t>
            </w:r>
          </w:p>
        </w:tc>
      </w:tr>
      <w:tr w:rsidR="005A0222" w:rsidRPr="00734A50" w14:paraId="61AA329F" w14:textId="77777777" w:rsidTr="00E44E8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FECF52" w:themeColor="accent2"/>
            </w:tcBorders>
            <w:shd w:val="clear" w:color="auto" w:fill="auto"/>
          </w:tcPr>
          <w:p w14:paraId="48042271" w14:textId="02D0B3C8" w:rsidR="005A0222" w:rsidRPr="00734A50" w:rsidRDefault="005A0222" w:rsidP="00E44E8A">
            <w:pPr>
              <w:rPr>
                <w:rFonts w:eastAsia="Calibri" w:cstheme="minorHAnsi"/>
                <w:sz w:val="20"/>
                <w:szCs w:val="20"/>
              </w:rPr>
            </w:pPr>
            <w:r w:rsidRPr="00975D6A">
              <w:rPr>
                <w:rFonts w:ascii="Calibri" w:eastAsia="Calibri" w:hAnsi="Calibri" w:cs="Calibri"/>
                <w:color w:val="000000" w:themeColor="text1"/>
                <w:sz w:val="20"/>
                <w:szCs w:val="20"/>
              </w:rPr>
              <w:t>Note</w:t>
            </w:r>
            <w:r w:rsidR="00E20A8B" w:rsidRPr="00E20A8B">
              <w:rPr>
                <w:rFonts w:ascii="Calibri" w:eastAsia="Calibri" w:hAnsi="Calibri" w:cs="Calibri"/>
                <w:b w:val="0"/>
                <w:bCs w:val="0"/>
                <w:color w:val="000000" w:themeColor="text1"/>
                <w:sz w:val="20"/>
                <w:szCs w:val="20"/>
              </w:rPr>
              <w:t xml:space="preserve">: </w:t>
            </w:r>
            <w:r w:rsidR="002B6B64">
              <w:rPr>
                <w:rFonts w:ascii="Calibri" w:eastAsia="Calibri" w:hAnsi="Calibri" w:cs="Calibri"/>
                <w:b w:val="0"/>
                <w:bCs w:val="0"/>
                <w:color w:val="000000" w:themeColor="text1"/>
                <w:sz w:val="20"/>
                <w:szCs w:val="20"/>
              </w:rPr>
              <w:t>T</w:t>
            </w:r>
            <w:r w:rsidRPr="00734A50">
              <w:rPr>
                <w:rFonts w:ascii="Calibri" w:eastAsia="Calibri" w:hAnsi="Calibri" w:cs="Calibri"/>
                <w:b w:val="0"/>
                <w:bCs w:val="0"/>
                <w:color w:val="000000" w:themeColor="text1"/>
                <w:sz w:val="20"/>
                <w:szCs w:val="20"/>
              </w:rPr>
              <w:t>his is not the full content for Effective Pedagogical Practices – please see Appendix D for full version</w:t>
            </w:r>
          </w:p>
        </w:tc>
      </w:tr>
    </w:tbl>
    <w:p w14:paraId="120B22EF" w14:textId="77777777" w:rsidR="005A0222" w:rsidRPr="00734A50" w:rsidRDefault="005A0222" w:rsidP="005A0222">
      <w:pPr>
        <w:spacing w:before="120" w:after="120"/>
        <w:rPr>
          <w:rFonts w:ascii="Calibri" w:eastAsia="Calibri" w:hAnsi="Calibri" w:cs="Arial"/>
        </w:rPr>
      </w:pPr>
      <w:bookmarkStart w:id="60" w:name="_Hlk131527961"/>
    </w:p>
    <w:p w14:paraId="5047D4A2" w14:textId="77777777" w:rsidR="005A0222" w:rsidRPr="00734A50" w:rsidRDefault="005A0222" w:rsidP="005A0222">
      <w:pPr>
        <w:spacing w:after="160" w:line="259" w:lineRule="auto"/>
        <w:rPr>
          <w:rFonts w:ascii="Calibri Light" w:eastAsia="Times New Roman" w:hAnsi="Calibri Light" w:cs="Times New Roman"/>
          <w:b/>
          <w:color w:val="002C3E"/>
          <w:sz w:val="32"/>
          <w:szCs w:val="32"/>
          <w:lang w:eastAsia="en-AU"/>
        </w:rPr>
      </w:pPr>
      <w:r w:rsidRPr="00734A50">
        <w:rPr>
          <w:rFonts w:ascii="Calibri Light" w:eastAsia="Times New Roman" w:hAnsi="Calibri Light" w:cs="Times New Roman"/>
          <w:b/>
          <w:color w:val="002C3E" w:themeColor="background2"/>
          <w:sz w:val="32"/>
          <w:szCs w:val="32"/>
          <w:lang w:eastAsia="en-AU"/>
        </w:rPr>
        <w:br w:type="page"/>
      </w:r>
    </w:p>
    <w:p w14:paraId="6EB53253" w14:textId="6DEC27A9" w:rsidR="005A0222" w:rsidRPr="00734A50" w:rsidRDefault="004D4DA8" w:rsidP="00E73BBF">
      <w:pPr>
        <w:pStyle w:val="Heading3"/>
      </w:pPr>
      <w:bookmarkStart w:id="61" w:name="_Toc139366517"/>
      <w:bookmarkStart w:id="62" w:name="_Toc139366635"/>
      <w:r w:rsidRPr="00734A50">
        <w:lastRenderedPageBreak/>
        <w:t xml:space="preserve">1.3 </w:t>
      </w:r>
      <w:r w:rsidR="005A0222" w:rsidRPr="00734A50">
        <w:t>Embedding the core content in ITE programs</w:t>
      </w:r>
      <w:bookmarkEnd w:id="60"/>
      <w:bookmarkEnd w:id="61"/>
      <w:bookmarkEnd w:id="62"/>
    </w:p>
    <w:p w14:paraId="38589470" w14:textId="473E09B4" w:rsidR="005A0222" w:rsidRPr="00734A50" w:rsidRDefault="005A0222" w:rsidP="009D03EB">
      <w:pPr>
        <w:ind w:left="45"/>
        <w:rPr>
          <w:rFonts w:ascii="Calibri" w:eastAsia="Calibri" w:hAnsi="Calibri" w:cs="Arial"/>
        </w:rPr>
      </w:pPr>
      <w:r w:rsidRPr="00734A50">
        <w:rPr>
          <w:rFonts w:ascii="Calibri" w:eastAsia="Calibri" w:hAnsi="Calibri" w:cs="Arial"/>
        </w:rPr>
        <w:t xml:space="preserve">Research shows that coherently integrating key content in ITE programs supports ITE students to build a deeper understanding of teaching and learning </w:t>
      </w:r>
      <w:r w:rsidRPr="00734A50">
        <w:rPr>
          <w:rFonts w:ascii="Calibri" w:eastAsia="Calibri" w:hAnsi="Calibri" w:cs="Arial"/>
        </w:rPr>
        <w:fldChar w:fldCharType="begin"/>
      </w:r>
      <w:r w:rsidRPr="00734A50">
        <w:rPr>
          <w:rFonts w:ascii="Calibri" w:eastAsia="Calibri" w:hAnsi="Calibri" w:cs="Arial"/>
        </w:rPr>
        <w:instrText xml:space="preserve"> ADDIN ZOTERO_ITEM CSL_CITATION {"citationID":"YjdtuXtk","properties":{"formattedCitation":"(Darling-Hammond et al. 2019)","plainCitation":"(Darling-Hammond et al. 2019)","noteIndex":0},"citationItems":[{"id":48,"uris":["http://zotero.org/users/10549213/items/B8AI6J9A"],"itemData":{"id":48,"type":"report","abstract":"Preparing Teachers for Deeper Learning, summarized by this brief, describes the work of seven pioneering programs of teacher education that have organized themselves to meet the dual challenge of teacher preparation for deeper learning and equity. This study examined how teacher candidates learn to create personalized, inquiry-based learning opportunities for all children and how their programs create such opportunities for the candidates themselves. Through interviews, on-site observations, candidate surveys, and document review, the study describes the curriculum, practices, and institutional structures that make teacher preparation for deeper learning possible.","event-place":"Washington, DC","language":"en","publisher":"Learning Policy Institute","publisher-place":"Washington, DC","source":"Zotero","title":"Research brief: Preparing teachers for deeper learning","author":[{"family":"Darling-Hammond","given":"Linda"},{"family":"Oakes","given":"Jeannie"},{"family":"Wojcikiewicz","given":"Steven K"},{"family":"Hyler","given":"Maria E"},{"family":"Guha","given":"Roneeta"},{"family":"Podolsky","given":"Anne"},{"family":"Kini","given":"Tara"},{"family":"Cook-Harvey","given":"Channa M"},{"family":"Jackson Mercer","given":"Charmaine N"},{"family":"Harrell","given":"Akeelah"}],"issued":{"date-parts":[["2019"]]}},"locator":"-"}],"schema":"https://github.com/citation-style-language/schema/raw/master/csl-citation.json"} </w:instrText>
      </w:r>
      <w:r w:rsidRPr="00734A50">
        <w:rPr>
          <w:rFonts w:ascii="Calibri" w:eastAsia="Calibri" w:hAnsi="Calibri" w:cs="Arial"/>
        </w:rPr>
        <w:fldChar w:fldCharType="separate"/>
      </w:r>
      <w:r w:rsidRPr="00734A50">
        <w:rPr>
          <w:rFonts w:ascii="Calibri" w:eastAsia="Calibri" w:hAnsi="Calibri" w:cs="Arial"/>
        </w:rPr>
        <w:t>(Darling-Hammond et al. 2019)</w:t>
      </w:r>
      <w:r w:rsidRPr="00734A50">
        <w:rPr>
          <w:rFonts w:ascii="Calibri" w:eastAsia="Calibri" w:hAnsi="Calibri" w:cs="Arial"/>
        </w:rPr>
        <w:fldChar w:fldCharType="end"/>
      </w:r>
      <w:r w:rsidRPr="00734A50">
        <w:rPr>
          <w:rFonts w:ascii="Calibri" w:eastAsia="Calibri" w:hAnsi="Calibri" w:cs="Arial"/>
        </w:rPr>
        <w:t xml:space="preserve">. </w:t>
      </w:r>
      <w:r w:rsidR="0052282F" w:rsidRPr="00734A50" w:rsidDel="0086733B">
        <w:rPr>
          <w:rFonts w:ascii="Calibri" w:eastAsia="Calibri" w:hAnsi="Calibri" w:cs="Arial"/>
        </w:rPr>
        <w:t xml:space="preserve">Changing </w:t>
      </w:r>
      <w:r w:rsidRPr="00734A50" w:rsidDel="0086733B">
        <w:rPr>
          <w:rFonts w:ascii="Calibri" w:eastAsia="Calibri" w:hAnsi="Calibri" w:cs="Arial"/>
        </w:rPr>
        <w:t xml:space="preserve">the Accreditation Standards and Procedures would formalise the core content in ITE programs and ensure it is coherently integrated throughout </w:t>
      </w:r>
      <w:r w:rsidR="00845CE5" w:rsidRPr="00734A50">
        <w:rPr>
          <w:rFonts w:ascii="Calibri" w:eastAsia="Calibri" w:hAnsi="Calibri" w:cs="Arial"/>
        </w:rPr>
        <w:t xml:space="preserve">ITE </w:t>
      </w:r>
      <w:r w:rsidRPr="00734A50" w:rsidDel="0086733B">
        <w:rPr>
          <w:rFonts w:ascii="Calibri" w:eastAsia="Calibri" w:hAnsi="Calibri" w:cs="Arial"/>
        </w:rPr>
        <w:t>programs.</w:t>
      </w:r>
    </w:p>
    <w:p w14:paraId="2D120885" w14:textId="38C70423" w:rsidR="003C483E" w:rsidRPr="00734A50" w:rsidRDefault="000033C6" w:rsidP="0057333A">
      <w:pPr>
        <w:ind w:left="45"/>
        <w:rPr>
          <w:rFonts w:ascii="Calibri" w:eastAsia="Calibri" w:hAnsi="Calibri" w:cs="Arial"/>
          <w:lang w:val="en-US"/>
        </w:rPr>
      </w:pPr>
      <w:r w:rsidRPr="00734A50">
        <w:rPr>
          <w:rFonts w:ascii="Calibri" w:eastAsia="Calibri" w:hAnsi="Calibri" w:cs="Arial"/>
        </w:rPr>
        <w:t xml:space="preserve">In responses to the </w:t>
      </w:r>
      <w:r w:rsidR="00FA20DC" w:rsidRPr="00734A50">
        <w:rPr>
          <w:rFonts w:ascii="Calibri" w:eastAsia="Calibri" w:hAnsi="Calibri" w:cs="Arial"/>
        </w:rPr>
        <w:t xml:space="preserve">Panel’s </w:t>
      </w:r>
      <w:r w:rsidRPr="00734A50">
        <w:rPr>
          <w:rFonts w:ascii="Calibri" w:eastAsia="Calibri" w:hAnsi="Calibri" w:cs="Arial"/>
        </w:rPr>
        <w:t>Discussion Paper, s</w:t>
      </w:r>
      <w:r w:rsidR="005A0222" w:rsidRPr="00734A50">
        <w:rPr>
          <w:rFonts w:ascii="Calibri" w:eastAsia="Calibri" w:hAnsi="Calibri" w:cs="Arial"/>
        </w:rPr>
        <w:t xml:space="preserve">ome stakeholders did not support amending </w:t>
      </w:r>
      <w:r w:rsidR="0023726C" w:rsidRPr="00734A50">
        <w:rPr>
          <w:rFonts w:ascii="Calibri" w:eastAsia="Calibri" w:hAnsi="Calibri" w:cs="Arial"/>
        </w:rPr>
        <w:t xml:space="preserve">the Accreditation Standards and Procedures </w:t>
      </w:r>
      <w:r w:rsidR="00026898" w:rsidRPr="00734A50">
        <w:rPr>
          <w:rFonts w:ascii="Calibri" w:eastAsia="Calibri" w:hAnsi="Calibri" w:cs="Arial"/>
        </w:rPr>
        <w:t>to inco</w:t>
      </w:r>
      <w:r w:rsidR="00155C3F" w:rsidRPr="00734A50">
        <w:rPr>
          <w:rFonts w:ascii="Calibri" w:eastAsia="Calibri" w:hAnsi="Calibri" w:cs="Arial"/>
        </w:rPr>
        <w:t xml:space="preserve">rporate the </w:t>
      </w:r>
      <w:r w:rsidR="00EF2929" w:rsidRPr="00734A50">
        <w:rPr>
          <w:rFonts w:ascii="Calibri" w:eastAsia="Calibri" w:hAnsi="Calibri" w:cs="Arial"/>
        </w:rPr>
        <w:t xml:space="preserve">core content in ITE programs. </w:t>
      </w:r>
      <w:r w:rsidR="005A0222" w:rsidRPr="00734A50">
        <w:rPr>
          <w:rFonts w:ascii="Calibri" w:eastAsia="Calibri" w:hAnsi="Calibri" w:cs="Arial"/>
        </w:rPr>
        <w:t>ATRA</w:t>
      </w:r>
      <w:r w:rsidR="0009424B" w:rsidRPr="00734A50">
        <w:rPr>
          <w:rFonts w:ascii="Calibri" w:eastAsia="Calibri" w:hAnsi="Calibri" w:cs="Arial"/>
        </w:rPr>
        <w:t xml:space="preserve"> </w:t>
      </w:r>
      <w:r w:rsidR="00CD0172" w:rsidRPr="00734A50">
        <w:rPr>
          <w:rFonts w:ascii="Calibri" w:eastAsia="Calibri" w:hAnsi="Calibri" w:cs="Arial"/>
        </w:rPr>
        <w:t>viewed</w:t>
      </w:r>
      <w:r w:rsidR="005A0222" w:rsidRPr="00734A50">
        <w:rPr>
          <w:rFonts w:ascii="Calibri" w:eastAsia="Calibri" w:hAnsi="Calibri" w:cs="Arial"/>
        </w:rPr>
        <w:t xml:space="preserve"> </w:t>
      </w:r>
      <w:r w:rsidR="000A3A16" w:rsidRPr="00734A50">
        <w:rPr>
          <w:rFonts w:ascii="Calibri" w:eastAsia="Calibri" w:hAnsi="Calibri" w:cs="Arial"/>
        </w:rPr>
        <w:t xml:space="preserve">the existing </w:t>
      </w:r>
      <w:r w:rsidR="005A0222" w:rsidRPr="00734A50">
        <w:rPr>
          <w:rFonts w:ascii="Calibri" w:eastAsia="Calibri" w:hAnsi="Calibri" w:cs="Arial"/>
          <w:lang w:val="en-US"/>
        </w:rPr>
        <w:t xml:space="preserve">Standards and Procedures </w:t>
      </w:r>
      <w:r w:rsidR="00537B26" w:rsidRPr="00734A50">
        <w:rPr>
          <w:rFonts w:ascii="Calibri" w:eastAsia="Calibri" w:hAnsi="Calibri" w:cs="Arial"/>
          <w:lang w:val="en-US"/>
        </w:rPr>
        <w:t xml:space="preserve">as </w:t>
      </w:r>
      <w:r w:rsidR="005315A4" w:rsidRPr="00734A50">
        <w:rPr>
          <w:rFonts w:ascii="Calibri" w:eastAsia="Calibri" w:hAnsi="Calibri" w:cs="Arial"/>
          <w:lang w:val="en-US"/>
        </w:rPr>
        <w:t xml:space="preserve">being </w:t>
      </w:r>
      <w:r w:rsidR="005A0222" w:rsidRPr="00734A50">
        <w:rPr>
          <w:rFonts w:ascii="Calibri" w:eastAsia="Calibri" w:hAnsi="Calibri" w:cs="Arial"/>
          <w:lang w:val="en-US"/>
        </w:rPr>
        <w:t xml:space="preserve">sufficiently high level </w:t>
      </w:r>
      <w:r w:rsidR="005315A4" w:rsidRPr="00734A50">
        <w:rPr>
          <w:rFonts w:ascii="Calibri" w:eastAsia="Calibri" w:hAnsi="Calibri" w:cs="Arial"/>
          <w:lang w:val="en-US"/>
        </w:rPr>
        <w:t>to</w:t>
      </w:r>
      <w:r w:rsidR="007D3890" w:rsidRPr="00734A50">
        <w:rPr>
          <w:rFonts w:ascii="Calibri" w:eastAsia="Calibri" w:hAnsi="Calibri" w:cs="Arial"/>
          <w:lang w:val="en-US"/>
        </w:rPr>
        <w:t xml:space="preserve"> remain </w:t>
      </w:r>
      <w:r w:rsidR="009347F1" w:rsidRPr="00734A50">
        <w:rPr>
          <w:rFonts w:ascii="Calibri" w:eastAsia="Calibri" w:hAnsi="Calibri" w:cs="Arial"/>
          <w:lang w:val="en-US"/>
        </w:rPr>
        <w:t>contemporary as</w:t>
      </w:r>
      <w:r w:rsidR="005A0222" w:rsidRPr="00734A50">
        <w:rPr>
          <w:rFonts w:ascii="Calibri" w:eastAsia="Calibri" w:hAnsi="Calibri" w:cs="Arial"/>
          <w:lang w:val="en-US"/>
        </w:rPr>
        <w:t xml:space="preserve"> research in ITE evolves.</w:t>
      </w:r>
    </w:p>
    <w:p w14:paraId="34177F30" w14:textId="6F36D7E4" w:rsidR="0057333A" w:rsidRPr="00734A50" w:rsidRDefault="005A0222" w:rsidP="0057333A">
      <w:pPr>
        <w:ind w:left="45"/>
        <w:rPr>
          <w:rFonts w:ascii="Calibri" w:eastAsia="Calibri" w:hAnsi="Calibri" w:cs="Arial"/>
        </w:rPr>
      </w:pPr>
      <w:r w:rsidRPr="00734A50">
        <w:rPr>
          <w:rFonts w:ascii="Calibri" w:eastAsia="Calibri" w:hAnsi="Calibri" w:cs="Arial"/>
          <w:lang w:val="en-US"/>
        </w:rPr>
        <w:t xml:space="preserve">However, </w:t>
      </w:r>
      <w:r w:rsidR="0073128C" w:rsidRPr="00734A50">
        <w:rPr>
          <w:rFonts w:ascii="Calibri" w:eastAsia="Calibri" w:hAnsi="Calibri" w:cs="Arial"/>
          <w:lang w:val="en-US"/>
        </w:rPr>
        <w:t>most</w:t>
      </w:r>
      <w:r w:rsidRPr="00734A50">
        <w:rPr>
          <w:rFonts w:ascii="Calibri" w:eastAsia="Calibri" w:hAnsi="Calibri" w:cs="Arial"/>
          <w:lang w:val="en-US"/>
        </w:rPr>
        <w:t xml:space="preserve"> submissions did support amending accreditation to reflect the core content</w:t>
      </w:r>
      <w:r w:rsidR="00AC3D93" w:rsidRPr="00734A50">
        <w:rPr>
          <w:rFonts w:ascii="Calibri" w:eastAsia="Calibri" w:hAnsi="Calibri" w:cs="Arial"/>
          <w:lang w:val="en-US"/>
        </w:rPr>
        <w:t xml:space="preserve"> (</w:t>
      </w:r>
      <w:r w:rsidR="00F02736" w:rsidRPr="00734A50">
        <w:rPr>
          <w:rFonts w:ascii="Calibri" w:eastAsia="Calibri" w:hAnsi="Calibri" w:cs="Arial"/>
          <w:lang w:val="en-US"/>
        </w:rPr>
        <w:t xml:space="preserve">including </w:t>
      </w:r>
      <w:r w:rsidR="00E50FE6" w:rsidRPr="00734A50">
        <w:rPr>
          <w:rFonts w:ascii="Calibri" w:eastAsia="Calibri" w:hAnsi="Calibri" w:cs="Arial"/>
          <w:lang w:val="en-US"/>
        </w:rPr>
        <w:t>ACDE</w:t>
      </w:r>
      <w:r w:rsidR="00CD75C8" w:rsidRPr="00734A50">
        <w:rPr>
          <w:rFonts w:ascii="Calibri" w:eastAsia="Calibri" w:hAnsi="Calibri" w:cs="Arial"/>
          <w:lang w:val="en-US"/>
        </w:rPr>
        <w:t xml:space="preserve"> submission;</w:t>
      </w:r>
      <w:r w:rsidRPr="00734A50">
        <w:rPr>
          <w:rFonts w:ascii="Calibri" w:eastAsia="Calibri" w:hAnsi="Calibri" w:cs="Arial"/>
          <w:lang w:val="en-US"/>
        </w:rPr>
        <w:t xml:space="preserve"> </w:t>
      </w:r>
      <w:r w:rsidR="0067502E">
        <w:rPr>
          <w:rFonts w:ascii="Calibri" w:eastAsia="Calibri" w:hAnsi="Calibri" w:cs="Arial"/>
          <w:lang w:val="en-US"/>
        </w:rPr>
        <w:t>AITSL</w:t>
      </w:r>
      <w:r w:rsidR="00320C89" w:rsidRPr="00734A50">
        <w:rPr>
          <w:rFonts w:ascii="Calibri" w:eastAsia="Calibri" w:hAnsi="Calibri" w:cs="Arial"/>
          <w:lang w:val="en-US"/>
        </w:rPr>
        <w:t xml:space="preserve"> </w:t>
      </w:r>
      <w:r w:rsidR="00CD75C8" w:rsidRPr="00734A50">
        <w:rPr>
          <w:rFonts w:ascii="Calibri" w:eastAsia="Calibri" w:hAnsi="Calibri" w:cs="Arial"/>
          <w:lang w:val="en-US"/>
        </w:rPr>
        <w:t>submission;</w:t>
      </w:r>
      <w:r w:rsidRPr="00734A50">
        <w:rPr>
          <w:rFonts w:ascii="Calibri" w:eastAsia="Calibri" w:hAnsi="Calibri" w:cs="Arial"/>
          <w:lang w:val="en-US"/>
        </w:rPr>
        <w:t xml:space="preserve"> </w:t>
      </w:r>
      <w:r w:rsidR="008D391C" w:rsidRPr="00734A50">
        <w:rPr>
          <w:rFonts w:ascii="Calibri" w:eastAsia="Calibri" w:hAnsi="Calibri" w:cs="Arial"/>
          <w:lang w:val="en-US"/>
        </w:rPr>
        <w:t>NCEC</w:t>
      </w:r>
      <w:r w:rsidR="00C54E32" w:rsidRPr="00734A50">
        <w:rPr>
          <w:rFonts w:ascii="Calibri" w:eastAsia="Calibri" w:hAnsi="Calibri" w:cs="Arial"/>
          <w:lang w:val="en-US"/>
        </w:rPr>
        <w:t xml:space="preserve"> submission)</w:t>
      </w:r>
      <w:r w:rsidR="00956F5F" w:rsidRPr="00734A50">
        <w:rPr>
          <w:rFonts w:ascii="Calibri" w:eastAsia="Calibri" w:hAnsi="Calibri" w:cs="Arial"/>
          <w:lang w:val="en-US"/>
        </w:rPr>
        <w:t>.</w:t>
      </w:r>
      <w:r w:rsidR="006F5539" w:rsidRPr="00734A50">
        <w:rPr>
          <w:rFonts w:ascii="Calibri" w:eastAsia="Calibri" w:hAnsi="Calibri" w:cs="Arial"/>
          <w:lang w:val="en-US"/>
        </w:rPr>
        <w:t xml:space="preserve"> </w:t>
      </w:r>
      <w:r w:rsidR="00956F5F" w:rsidRPr="00734A50">
        <w:rPr>
          <w:rFonts w:ascii="Calibri" w:eastAsia="Calibri" w:hAnsi="Calibri" w:cs="Arial"/>
          <w:lang w:val="en-US"/>
        </w:rPr>
        <w:t>T</w:t>
      </w:r>
      <w:r w:rsidR="006F5539" w:rsidRPr="00734A50">
        <w:rPr>
          <w:rFonts w:ascii="Calibri" w:eastAsia="Calibri" w:hAnsi="Calibri" w:cs="Arial"/>
          <w:lang w:val="en-US"/>
        </w:rPr>
        <w:t>he AERO Board highlight</w:t>
      </w:r>
      <w:r w:rsidR="00956F5F" w:rsidRPr="00734A50">
        <w:rPr>
          <w:rFonts w:ascii="Calibri" w:eastAsia="Calibri" w:hAnsi="Calibri" w:cs="Arial"/>
          <w:lang w:val="en-US"/>
        </w:rPr>
        <w:t>ed</w:t>
      </w:r>
      <w:r w:rsidR="006F5539" w:rsidRPr="00734A50">
        <w:rPr>
          <w:rFonts w:ascii="Calibri" w:eastAsia="Calibri" w:hAnsi="Calibri" w:cs="Arial"/>
          <w:lang w:val="en-US"/>
        </w:rPr>
        <w:t xml:space="preserve"> a </w:t>
      </w:r>
      <w:r w:rsidRPr="00734A50">
        <w:rPr>
          <w:rFonts w:ascii="Calibri" w:eastAsia="Calibri" w:hAnsi="Calibri" w:cs="Arial"/>
          <w:lang w:val="en-US"/>
        </w:rPr>
        <w:t>preference for authoritative national elaborations of core content</w:t>
      </w:r>
      <w:r w:rsidR="006F5539" w:rsidRPr="00734A50">
        <w:rPr>
          <w:rFonts w:ascii="Calibri" w:eastAsia="Calibri" w:hAnsi="Calibri" w:cs="Arial"/>
          <w:lang w:val="en-US"/>
        </w:rPr>
        <w:t xml:space="preserve">. </w:t>
      </w:r>
      <w:r w:rsidR="00956F5F" w:rsidRPr="00734A50">
        <w:rPr>
          <w:rFonts w:ascii="Calibri" w:eastAsia="Calibri" w:hAnsi="Calibri" w:cs="Arial"/>
          <w:lang w:val="en-US"/>
        </w:rPr>
        <w:t>It</w:t>
      </w:r>
      <w:r w:rsidR="00A1092A" w:rsidRPr="00734A50">
        <w:rPr>
          <w:rFonts w:ascii="Calibri" w:eastAsia="Calibri" w:hAnsi="Calibri" w:cs="Arial"/>
          <w:lang w:val="en-US"/>
        </w:rPr>
        <w:t xml:space="preserve"> </w:t>
      </w:r>
      <w:r w:rsidR="00F611D8" w:rsidRPr="00734A50">
        <w:rPr>
          <w:rFonts w:ascii="Calibri" w:eastAsia="Calibri" w:hAnsi="Calibri" w:cs="Arial"/>
          <w:lang w:val="en-US"/>
        </w:rPr>
        <w:t xml:space="preserve">argued that </w:t>
      </w:r>
      <w:r w:rsidR="00870ABD" w:rsidRPr="00734A50">
        <w:rPr>
          <w:rFonts w:ascii="Calibri" w:eastAsia="Calibri" w:hAnsi="Calibri" w:cs="Arial"/>
          <w:lang w:val="en-US"/>
        </w:rPr>
        <w:t>anything less</w:t>
      </w:r>
      <w:r w:rsidR="000045A7" w:rsidRPr="00734A50">
        <w:rPr>
          <w:rFonts w:ascii="Calibri" w:eastAsia="Calibri" w:hAnsi="Calibri" w:cs="Arial"/>
          <w:lang w:val="en-US"/>
        </w:rPr>
        <w:t xml:space="preserve"> would be </w:t>
      </w:r>
      <w:r w:rsidRPr="00734A50">
        <w:rPr>
          <w:rFonts w:ascii="Calibri" w:eastAsia="Calibri" w:hAnsi="Calibri" w:cs="Arial"/>
          <w:lang w:val="en-US"/>
        </w:rPr>
        <w:t>insufficient to underpin consistent national understanding of these practices by accreditation panels and ITE program developers.</w:t>
      </w:r>
      <w:r w:rsidR="0057333A" w:rsidRPr="00734A50">
        <w:rPr>
          <w:rFonts w:ascii="Calibri" w:eastAsia="Calibri" w:hAnsi="Calibri" w:cs="Arial"/>
          <w:lang w:val="en-US"/>
        </w:rPr>
        <w:t xml:space="preserve"> </w:t>
      </w:r>
      <w:r w:rsidR="0097610D" w:rsidRPr="00734A50">
        <w:rPr>
          <w:rFonts w:ascii="Calibri" w:eastAsia="Calibri" w:hAnsi="Calibri" w:cs="Arial"/>
          <w:lang w:val="en-US"/>
        </w:rPr>
        <w:t xml:space="preserve">The </w:t>
      </w:r>
      <w:r w:rsidR="00E50FE6" w:rsidRPr="00734A50">
        <w:rPr>
          <w:rFonts w:ascii="Calibri" w:eastAsia="Calibri" w:hAnsi="Calibri" w:cs="Arial"/>
          <w:lang w:val="en-US"/>
        </w:rPr>
        <w:t>ACDE</w:t>
      </w:r>
      <w:r w:rsidR="0097610D" w:rsidRPr="00734A50">
        <w:rPr>
          <w:rFonts w:ascii="Calibri" w:eastAsia="Calibri" w:hAnsi="Calibri" w:cs="Arial"/>
          <w:lang w:val="en-US"/>
        </w:rPr>
        <w:t xml:space="preserve"> </w:t>
      </w:r>
      <w:r w:rsidR="003C483E" w:rsidRPr="00734A50">
        <w:rPr>
          <w:rFonts w:ascii="Calibri" w:eastAsia="Calibri" w:hAnsi="Calibri" w:cs="Arial"/>
          <w:lang w:val="en-US"/>
        </w:rPr>
        <w:t>also</w:t>
      </w:r>
      <w:r w:rsidR="0057333A" w:rsidRPr="00734A50">
        <w:rPr>
          <w:rFonts w:ascii="Calibri" w:eastAsia="Calibri" w:hAnsi="Calibri" w:cs="Arial"/>
          <w:lang w:val="en-US"/>
        </w:rPr>
        <w:t xml:space="preserve"> </w:t>
      </w:r>
      <w:r w:rsidR="0045490D" w:rsidRPr="00734A50">
        <w:rPr>
          <w:rFonts w:ascii="Calibri" w:eastAsia="Calibri" w:hAnsi="Calibri" w:cs="Arial"/>
        </w:rPr>
        <w:t xml:space="preserve">recommended </w:t>
      </w:r>
      <w:r w:rsidR="00B25FE6" w:rsidRPr="00734A50">
        <w:rPr>
          <w:rFonts w:ascii="Calibri" w:eastAsia="Calibri" w:hAnsi="Calibri" w:cs="Arial"/>
        </w:rPr>
        <w:t xml:space="preserve">amending </w:t>
      </w:r>
      <w:r w:rsidR="0045490D" w:rsidRPr="00734A50">
        <w:rPr>
          <w:rFonts w:ascii="Calibri" w:eastAsia="Calibri" w:hAnsi="Calibri" w:cs="Arial"/>
        </w:rPr>
        <w:t>particular standards</w:t>
      </w:r>
      <w:r w:rsidR="007B0B52" w:rsidRPr="00734A50">
        <w:rPr>
          <w:rFonts w:ascii="Calibri" w:eastAsia="Calibri" w:hAnsi="Calibri" w:cs="Arial"/>
        </w:rPr>
        <w:t xml:space="preserve">, where the best evidence can be provided on </w:t>
      </w:r>
      <w:r w:rsidR="0040683B" w:rsidRPr="00734A50">
        <w:rPr>
          <w:rFonts w:ascii="Calibri" w:eastAsia="Calibri" w:hAnsi="Calibri" w:cs="Arial"/>
        </w:rPr>
        <w:t xml:space="preserve">how the core content has been </w:t>
      </w:r>
      <w:r w:rsidR="00BC783D" w:rsidRPr="00734A50">
        <w:rPr>
          <w:rFonts w:ascii="Calibri" w:eastAsia="Calibri" w:hAnsi="Calibri" w:cs="Arial"/>
        </w:rPr>
        <w:t>incorporated.</w:t>
      </w:r>
    </w:p>
    <w:p w14:paraId="51CD6E95" w14:textId="6BA27F26" w:rsidR="0086733B" w:rsidRPr="00734A50" w:rsidRDefault="0086733B" w:rsidP="0086733B">
      <w:pPr>
        <w:rPr>
          <w:rFonts w:ascii="Calibri" w:eastAsia="Calibri" w:hAnsi="Calibri" w:cs="Arial"/>
        </w:rPr>
      </w:pPr>
      <w:r w:rsidRPr="00734A50">
        <w:rPr>
          <w:rFonts w:ascii="Calibri" w:eastAsia="Calibri" w:hAnsi="Calibri" w:cs="Arial"/>
        </w:rPr>
        <w:t>The Panel do</w:t>
      </w:r>
      <w:r w:rsidR="000E42E0" w:rsidRPr="00734A50">
        <w:rPr>
          <w:rFonts w:ascii="Calibri" w:eastAsia="Calibri" w:hAnsi="Calibri" w:cs="Arial"/>
        </w:rPr>
        <w:t>es</w:t>
      </w:r>
      <w:r w:rsidRPr="00734A50">
        <w:rPr>
          <w:rFonts w:ascii="Calibri" w:eastAsia="Calibri" w:hAnsi="Calibri" w:cs="Arial"/>
        </w:rPr>
        <w:t xml:space="preserve"> not believe </w:t>
      </w:r>
      <w:r w:rsidR="00956F5F" w:rsidRPr="00734A50">
        <w:rPr>
          <w:rFonts w:ascii="Calibri" w:eastAsia="Calibri" w:hAnsi="Calibri" w:cs="Arial"/>
        </w:rPr>
        <w:t xml:space="preserve">that </w:t>
      </w:r>
      <w:r w:rsidRPr="00734A50">
        <w:rPr>
          <w:rFonts w:ascii="Calibri" w:eastAsia="Calibri" w:hAnsi="Calibri" w:cs="Arial"/>
        </w:rPr>
        <w:t xml:space="preserve">a full review of the Accreditation Standards and Procedures is required to implement the core content, as was recommended by some stakeholders. </w:t>
      </w:r>
      <w:r w:rsidR="00956F5F" w:rsidRPr="00734A50">
        <w:rPr>
          <w:rFonts w:ascii="Calibri" w:eastAsia="Calibri" w:hAnsi="Calibri" w:cs="Arial"/>
          <w:lang w:val="en-US"/>
        </w:rPr>
        <w:t>It believes that</w:t>
      </w:r>
      <w:r w:rsidRPr="00734A50">
        <w:rPr>
          <w:rFonts w:ascii="Calibri" w:eastAsia="Calibri" w:hAnsi="Calibri" w:cs="Arial"/>
          <w:lang w:val="en-US"/>
        </w:rPr>
        <w:t xml:space="preserve"> amendments </w:t>
      </w:r>
      <w:r w:rsidR="0033286F" w:rsidRPr="00734A50">
        <w:rPr>
          <w:rFonts w:ascii="Calibri" w:eastAsia="Calibri" w:hAnsi="Calibri" w:cs="Arial"/>
          <w:lang w:val="en-US"/>
        </w:rPr>
        <w:t xml:space="preserve">to particular </w:t>
      </w:r>
      <w:r w:rsidR="00C801DA" w:rsidRPr="00734A50">
        <w:rPr>
          <w:rFonts w:ascii="Calibri" w:eastAsia="Calibri" w:hAnsi="Calibri" w:cs="Arial"/>
          <w:lang w:val="en-US"/>
        </w:rPr>
        <w:t xml:space="preserve">standards </w:t>
      </w:r>
      <w:r w:rsidR="00870ABD" w:rsidRPr="00734A50">
        <w:rPr>
          <w:rFonts w:ascii="Calibri" w:eastAsia="Calibri" w:hAnsi="Calibri" w:cs="Arial"/>
          <w:lang w:val="en-US"/>
        </w:rPr>
        <w:t>would be</w:t>
      </w:r>
      <w:r w:rsidR="00A0141A" w:rsidRPr="00734A50">
        <w:rPr>
          <w:rFonts w:ascii="Calibri" w:eastAsia="Calibri" w:hAnsi="Calibri" w:cs="Arial"/>
          <w:lang w:val="en-US"/>
        </w:rPr>
        <w:t xml:space="preserve"> </w:t>
      </w:r>
      <w:r w:rsidR="002938FA" w:rsidRPr="00734A50">
        <w:rPr>
          <w:rFonts w:ascii="Calibri" w:eastAsia="Calibri" w:hAnsi="Calibri" w:cs="Arial"/>
          <w:lang w:val="en-US"/>
        </w:rPr>
        <w:t>s</w:t>
      </w:r>
      <w:r w:rsidRPr="00734A50">
        <w:rPr>
          <w:rFonts w:ascii="Calibri" w:eastAsia="Calibri" w:hAnsi="Calibri" w:cs="Arial"/>
          <w:lang w:val="en-US"/>
        </w:rPr>
        <w:t>ufficient</w:t>
      </w:r>
      <w:r w:rsidR="002938FA" w:rsidRPr="00734A50">
        <w:rPr>
          <w:rFonts w:ascii="Calibri" w:eastAsia="Calibri" w:hAnsi="Calibri" w:cs="Arial"/>
          <w:lang w:val="en-US"/>
        </w:rPr>
        <w:t xml:space="preserve"> to</w:t>
      </w:r>
      <w:r w:rsidR="00A0141A" w:rsidRPr="00734A50">
        <w:rPr>
          <w:rFonts w:ascii="Calibri" w:eastAsia="Calibri" w:hAnsi="Calibri" w:cs="Arial"/>
          <w:lang w:val="en-US"/>
        </w:rPr>
        <w:t xml:space="preserve"> </w:t>
      </w:r>
      <w:r w:rsidRPr="00734A50">
        <w:rPr>
          <w:rFonts w:ascii="Calibri" w:eastAsia="Calibri" w:hAnsi="Calibri" w:cs="Arial"/>
          <w:lang w:val="en-US"/>
        </w:rPr>
        <w:t>embed the core content</w:t>
      </w:r>
      <w:r w:rsidR="000E42E0" w:rsidRPr="00734A50">
        <w:rPr>
          <w:rFonts w:ascii="Calibri" w:eastAsia="Calibri" w:hAnsi="Calibri" w:cs="Arial"/>
          <w:lang w:val="en-US"/>
        </w:rPr>
        <w:t xml:space="preserve"> </w:t>
      </w:r>
      <w:r w:rsidR="007207C0" w:rsidRPr="00734A50">
        <w:rPr>
          <w:rFonts w:ascii="Calibri" w:eastAsia="Calibri" w:hAnsi="Calibri" w:cs="Arial"/>
          <w:lang w:val="en-US"/>
        </w:rPr>
        <w:t>and</w:t>
      </w:r>
      <w:r w:rsidRPr="00734A50">
        <w:rPr>
          <w:rFonts w:ascii="Calibri" w:eastAsia="Calibri" w:hAnsi="Calibri" w:cs="Arial"/>
          <w:lang w:val="en-US"/>
        </w:rPr>
        <w:t xml:space="preserve"> </w:t>
      </w:r>
      <w:r w:rsidR="00047EC1" w:rsidRPr="00734A50">
        <w:rPr>
          <w:rFonts w:ascii="Calibri" w:eastAsia="Calibri" w:hAnsi="Calibri" w:cs="Arial"/>
          <w:lang w:val="en-US"/>
        </w:rPr>
        <w:t>would</w:t>
      </w:r>
      <w:r w:rsidRPr="00734A50">
        <w:rPr>
          <w:rFonts w:ascii="Calibri" w:eastAsia="Calibri" w:hAnsi="Calibri" w:cs="Arial"/>
          <w:lang w:val="en-US"/>
        </w:rPr>
        <w:t xml:space="preserve"> allow for the recommendations to be implemented more quickly.</w:t>
      </w:r>
      <w:r w:rsidRPr="00734A50">
        <w:rPr>
          <w:rFonts w:ascii="Calibri" w:eastAsia="Calibri" w:hAnsi="Calibri" w:cs="Arial"/>
        </w:rPr>
        <w:t xml:space="preserve"> </w:t>
      </w:r>
    </w:p>
    <w:p w14:paraId="20F3975C" w14:textId="15A278A6" w:rsidR="005A0222" w:rsidRPr="00734A50" w:rsidRDefault="005A0222" w:rsidP="6DDCDED7">
      <w:pPr>
        <w:pStyle w:val="Heading4"/>
      </w:pPr>
      <w:r w:rsidRPr="00734A50">
        <w:t>1.3.1 Amending the Accreditation Standards and Procedures</w:t>
      </w:r>
    </w:p>
    <w:p w14:paraId="3C0279D7" w14:textId="47ECCAA9" w:rsidR="005A0222" w:rsidRPr="00734A50" w:rsidRDefault="005A0222" w:rsidP="005A0222">
      <w:pPr>
        <w:spacing w:after="0"/>
        <w:textAlignment w:val="baseline"/>
        <w:rPr>
          <w:rFonts w:ascii="Calibri" w:eastAsia="Calibri" w:hAnsi="Calibri" w:cs="Arial"/>
        </w:rPr>
      </w:pPr>
      <w:r w:rsidRPr="00734A50">
        <w:rPr>
          <w:rFonts w:ascii="Calibri" w:eastAsia="Calibri" w:hAnsi="Calibri" w:cs="Arial"/>
        </w:rPr>
        <w:t>Amending the Accreditation Standards and Procedures to include the core content must</w:t>
      </w:r>
      <w:r w:rsidR="0079768C" w:rsidRPr="00734A50">
        <w:rPr>
          <w:rFonts w:ascii="Calibri" w:eastAsia="Calibri" w:hAnsi="Calibri" w:cs="Arial"/>
        </w:rPr>
        <w:t xml:space="preserve"> involve</w:t>
      </w:r>
      <w:r w:rsidRPr="00734A50">
        <w:rPr>
          <w:rFonts w:ascii="Calibri" w:eastAsia="Calibri" w:hAnsi="Calibri" w:cs="Arial"/>
        </w:rPr>
        <w:t xml:space="preserve"> consider</w:t>
      </w:r>
      <w:r w:rsidR="0079768C" w:rsidRPr="00734A50">
        <w:rPr>
          <w:rFonts w:ascii="Calibri" w:eastAsia="Calibri" w:hAnsi="Calibri" w:cs="Arial"/>
        </w:rPr>
        <w:t>ation of</w:t>
      </w:r>
      <w:r w:rsidRPr="00734A50">
        <w:rPr>
          <w:rFonts w:ascii="Calibri" w:eastAsia="Calibri" w:hAnsi="Calibri" w:cs="Arial"/>
        </w:rPr>
        <w:t xml:space="preserve"> the three integrated elements of national accreditation for ITE programs:</w:t>
      </w:r>
    </w:p>
    <w:p w14:paraId="460909A4" w14:textId="5E94C446" w:rsidR="005A0222" w:rsidRPr="00734A50" w:rsidRDefault="005A0222" w:rsidP="00180A03">
      <w:pPr>
        <w:pStyle w:val="ListBullet"/>
        <w:numPr>
          <w:ilvl w:val="0"/>
          <w:numId w:val="214"/>
        </w:numPr>
        <w:rPr>
          <w:shd w:val="clear" w:color="auto" w:fill="FFFFFF"/>
          <w:lang w:eastAsia="en-AU"/>
        </w:rPr>
      </w:pPr>
      <w:r w:rsidRPr="003374FB">
        <w:rPr>
          <w:shd w:val="clear" w:color="auto" w:fill="FFFFFF"/>
          <w:lang w:eastAsia="en-AU"/>
        </w:rPr>
        <w:t>The Graduate Teacher Standards</w:t>
      </w:r>
      <w:r w:rsidR="00956F5F" w:rsidRPr="003374FB">
        <w:rPr>
          <w:shd w:val="clear" w:color="auto" w:fill="FFFFFF"/>
          <w:lang w:eastAsia="en-AU"/>
        </w:rPr>
        <w:t>,</w:t>
      </w:r>
      <w:r w:rsidRPr="00734A50">
        <w:rPr>
          <w:shd w:val="clear" w:color="auto" w:fill="FFFFFF"/>
          <w:lang w:eastAsia="en-AU"/>
        </w:rPr>
        <w:t xml:space="preserve"> which describe the knowledge, skills and attributes expected of graduates of nationally accredited programs</w:t>
      </w:r>
    </w:p>
    <w:p w14:paraId="63C3BEEE" w14:textId="56769C4C" w:rsidR="005A0222" w:rsidRPr="00734A50" w:rsidRDefault="005A0222" w:rsidP="00180A03">
      <w:pPr>
        <w:pStyle w:val="ListBullet"/>
        <w:numPr>
          <w:ilvl w:val="0"/>
          <w:numId w:val="214"/>
        </w:numPr>
        <w:rPr>
          <w:shd w:val="clear" w:color="auto" w:fill="FFFFFF"/>
          <w:lang w:eastAsia="en-AU"/>
        </w:rPr>
      </w:pPr>
      <w:r w:rsidRPr="003374FB">
        <w:rPr>
          <w:shd w:val="clear" w:color="auto" w:fill="FFFFFF"/>
          <w:lang w:eastAsia="en-AU"/>
        </w:rPr>
        <w:t>The National Program Standards,</w:t>
      </w:r>
      <w:r w:rsidRPr="00734A50">
        <w:rPr>
          <w:shd w:val="clear" w:color="auto" w:fill="FFFFFF"/>
          <w:lang w:eastAsia="en-AU"/>
        </w:rPr>
        <w:t xml:space="preserve"> which make explicit what is required in high-quality ITE programs to give confidence</w:t>
      </w:r>
      <w:r w:rsidR="00956F5F" w:rsidRPr="00734A50">
        <w:rPr>
          <w:shd w:val="clear" w:color="auto" w:fill="FFFFFF"/>
          <w:lang w:eastAsia="en-AU"/>
        </w:rPr>
        <w:t xml:space="preserve"> that</w:t>
      </w:r>
      <w:r w:rsidRPr="00734A50">
        <w:rPr>
          <w:shd w:val="clear" w:color="auto" w:fill="FFFFFF"/>
          <w:lang w:eastAsia="en-AU"/>
        </w:rPr>
        <w:t xml:space="preserve"> the Graduate Teacher Standards will be achieved</w:t>
      </w:r>
    </w:p>
    <w:p w14:paraId="67808EF2" w14:textId="456A5204" w:rsidR="005A0222" w:rsidRPr="00734A50" w:rsidRDefault="005A0222" w:rsidP="0026262D">
      <w:pPr>
        <w:pStyle w:val="ListBullet"/>
        <w:numPr>
          <w:ilvl w:val="0"/>
          <w:numId w:val="214"/>
        </w:numPr>
        <w:spacing w:after="200"/>
        <w:ind w:left="357" w:hanging="357"/>
        <w:rPr>
          <w:shd w:val="clear" w:color="auto" w:fill="FFFFFF"/>
          <w:lang w:eastAsia="en-AU"/>
        </w:rPr>
      </w:pPr>
      <w:r w:rsidRPr="003374FB">
        <w:rPr>
          <w:shd w:val="clear" w:color="auto" w:fill="FFFFFF"/>
          <w:lang w:eastAsia="en-AU"/>
        </w:rPr>
        <w:t>The National Accreditation Procedures</w:t>
      </w:r>
      <w:r w:rsidR="00956F5F" w:rsidRPr="003374FB">
        <w:rPr>
          <w:shd w:val="clear" w:color="auto" w:fill="FFFFFF"/>
          <w:lang w:eastAsia="en-AU"/>
        </w:rPr>
        <w:t>,</w:t>
      </w:r>
      <w:r w:rsidRPr="00734A50">
        <w:rPr>
          <w:shd w:val="clear" w:color="auto" w:fill="FFFFFF"/>
          <w:lang w:eastAsia="en-AU"/>
        </w:rPr>
        <w:t xml:space="preserve"> which set out a nationally consistent process to accredit ITE programs</w:t>
      </w:r>
      <w:r w:rsidR="00956F5F" w:rsidRPr="00734A50">
        <w:rPr>
          <w:shd w:val="clear" w:color="auto" w:fill="FFFFFF"/>
          <w:lang w:eastAsia="en-AU"/>
        </w:rPr>
        <w:t>.</w:t>
      </w:r>
    </w:p>
    <w:p w14:paraId="49F8B5A0" w14:textId="4C3D9016" w:rsidR="005A0222" w:rsidRPr="00734A50" w:rsidRDefault="005A0222" w:rsidP="005A0222">
      <w:pPr>
        <w:textAlignment w:val="baseline"/>
        <w:rPr>
          <w:rFonts w:ascii="Calibri" w:eastAsia="Calibri" w:hAnsi="Calibri" w:cs="Arial"/>
        </w:rPr>
      </w:pPr>
      <w:r w:rsidRPr="00734A50">
        <w:rPr>
          <w:rFonts w:ascii="Calibri" w:eastAsia="Calibri" w:hAnsi="Calibri" w:cs="Arial"/>
        </w:rPr>
        <w:t xml:space="preserve">The ITE core content identifies the knowledge and evidence-based practices which support </w:t>
      </w:r>
      <w:r w:rsidR="007D1256" w:rsidRPr="00734A50">
        <w:rPr>
          <w:rFonts w:ascii="Calibri" w:eastAsia="Calibri" w:hAnsi="Calibri" w:cs="Arial"/>
        </w:rPr>
        <w:t xml:space="preserve">ITE students to meet the </w:t>
      </w:r>
      <w:r w:rsidRPr="00734A50">
        <w:rPr>
          <w:rFonts w:ascii="Calibri" w:eastAsia="Calibri" w:hAnsi="Calibri" w:cs="Arial"/>
        </w:rPr>
        <w:t>Graduate Teacher Standards</w:t>
      </w:r>
      <w:r w:rsidR="00C84BF5" w:rsidRPr="00734A50">
        <w:rPr>
          <w:rFonts w:ascii="Calibri" w:eastAsia="Calibri" w:hAnsi="Calibri" w:cs="Arial"/>
        </w:rPr>
        <w:t>, and</w:t>
      </w:r>
      <w:r w:rsidRPr="00734A50">
        <w:rPr>
          <w:rFonts w:ascii="Calibri" w:eastAsia="Calibri" w:hAnsi="Calibri" w:cs="Arial"/>
        </w:rPr>
        <w:t xml:space="preserve"> it articulates the practices which every graduate teacher should </w:t>
      </w:r>
      <w:r w:rsidR="00175792" w:rsidRPr="00734A50">
        <w:rPr>
          <w:rFonts w:ascii="Calibri" w:eastAsia="Calibri" w:hAnsi="Calibri" w:cs="Arial"/>
        </w:rPr>
        <w:t xml:space="preserve">learn and </w:t>
      </w:r>
      <w:r w:rsidRPr="00734A50">
        <w:rPr>
          <w:rFonts w:ascii="Calibri" w:eastAsia="Calibri" w:hAnsi="Calibri" w:cs="Arial"/>
        </w:rPr>
        <w:t>be able to demonstrate. Changes to the Accreditation Standards and Procedures should reflect this intention.</w:t>
      </w:r>
    </w:p>
    <w:p w14:paraId="2DAE83AD" w14:textId="14FB2830" w:rsidR="005A0222" w:rsidRPr="00734A50" w:rsidRDefault="005A0222" w:rsidP="00E73BBF">
      <w:pPr>
        <w:pStyle w:val="Heading5"/>
      </w:pPr>
      <w:r w:rsidRPr="00734A50">
        <w:t>Amending the Accreditation Standards</w:t>
      </w:r>
    </w:p>
    <w:p w14:paraId="140DDCF4" w14:textId="27200618" w:rsidR="0063780F" w:rsidRPr="00734A50" w:rsidRDefault="00A646AF" w:rsidP="6DDCDED7">
      <w:r w:rsidRPr="00734A50">
        <w:rPr>
          <w:rFonts w:ascii="Calibri" w:eastAsia="Calibri" w:hAnsi="Calibri" w:cs="Arial"/>
        </w:rPr>
        <w:t xml:space="preserve">Stakeholders had different views on the specific changes which should be made to the Accreditation Standards to reflect the core content. </w:t>
      </w:r>
      <w:r w:rsidR="00746D5A" w:rsidRPr="00734A50">
        <w:t>A</w:t>
      </w:r>
      <w:r w:rsidR="00E945D7" w:rsidRPr="00734A50">
        <w:t xml:space="preserve"> range of submissions</w:t>
      </w:r>
      <w:r w:rsidR="00746D5A" w:rsidRPr="00734A50">
        <w:t xml:space="preserve"> to the Panel</w:t>
      </w:r>
      <w:r w:rsidR="00E945D7" w:rsidRPr="00734A50">
        <w:t xml:space="preserve"> </w:t>
      </w:r>
      <w:r w:rsidR="00BD272D" w:rsidRPr="00734A50">
        <w:t>expressed</w:t>
      </w:r>
      <w:r w:rsidR="00746D5A" w:rsidRPr="00734A50">
        <w:t xml:space="preserve"> </w:t>
      </w:r>
      <w:r w:rsidR="00E945D7" w:rsidRPr="00734A50">
        <w:t>concern</w:t>
      </w:r>
      <w:r w:rsidR="00746D5A" w:rsidRPr="00734A50">
        <w:t xml:space="preserve"> that</w:t>
      </w:r>
      <w:r w:rsidR="00E945D7" w:rsidRPr="00734A50">
        <w:t xml:space="preserve"> </w:t>
      </w:r>
      <w:r w:rsidR="00746D5A" w:rsidRPr="00734A50">
        <w:t xml:space="preserve">imposing </w:t>
      </w:r>
      <w:r w:rsidR="00E945D7" w:rsidRPr="00734A50">
        <w:t>overly prescriptive requirements on ITE providers</w:t>
      </w:r>
      <w:r w:rsidR="00746D5A" w:rsidRPr="00734A50">
        <w:t xml:space="preserve"> would</w:t>
      </w:r>
      <w:r w:rsidR="00E945D7" w:rsidRPr="00734A50">
        <w:t xml:space="preserve"> </w:t>
      </w:r>
      <w:r w:rsidR="00782408" w:rsidRPr="00734A50">
        <w:t>restr</w:t>
      </w:r>
      <w:r w:rsidR="008E4C80" w:rsidRPr="00734A50">
        <w:t>ict their ability</w:t>
      </w:r>
      <w:r w:rsidR="00E945D7" w:rsidRPr="00734A50">
        <w:t xml:space="preserve"> to integrate content in the most effective way for their programs and students</w:t>
      </w:r>
      <w:r w:rsidR="00AA009E" w:rsidRPr="00734A50">
        <w:t xml:space="preserve"> and</w:t>
      </w:r>
      <w:r w:rsidR="00746D5A" w:rsidRPr="00734A50">
        <w:t xml:space="preserve"> to</w:t>
      </w:r>
      <w:r w:rsidR="00AA009E" w:rsidRPr="00734A50">
        <w:t xml:space="preserve"> update the core content as new evidence emerges</w:t>
      </w:r>
      <w:r w:rsidR="00E945D7" w:rsidRPr="00734A50">
        <w:t xml:space="preserve"> (</w:t>
      </w:r>
      <w:r w:rsidR="00115073" w:rsidRPr="00734A50">
        <w:t>A</w:t>
      </w:r>
      <w:r w:rsidR="00376C71" w:rsidRPr="00734A50">
        <w:t xml:space="preserve">ustralian </w:t>
      </w:r>
      <w:r w:rsidR="00115073" w:rsidRPr="00734A50">
        <w:t>C</w:t>
      </w:r>
      <w:r w:rsidR="00376C71" w:rsidRPr="00734A50">
        <w:t xml:space="preserve">atholic </w:t>
      </w:r>
      <w:r w:rsidR="00115073" w:rsidRPr="00734A50">
        <w:t>U</w:t>
      </w:r>
      <w:r w:rsidR="00376C71" w:rsidRPr="00734A50">
        <w:t>niversity</w:t>
      </w:r>
      <w:r w:rsidR="00DC6CC9" w:rsidRPr="00734A50">
        <w:t xml:space="preserve"> submission;</w:t>
      </w:r>
      <w:r w:rsidR="00115073" w:rsidRPr="00734A50">
        <w:t xml:space="preserve"> </w:t>
      </w:r>
      <w:r w:rsidR="00455298" w:rsidRPr="00734A50">
        <w:t>University of Technology Sydney</w:t>
      </w:r>
      <w:r w:rsidR="00DC6CC9" w:rsidRPr="00734A50">
        <w:t xml:space="preserve"> submission;</w:t>
      </w:r>
      <w:r w:rsidR="00115073" w:rsidRPr="00734A50">
        <w:t xml:space="preserve"> Griffith</w:t>
      </w:r>
      <w:r w:rsidR="00E8234F" w:rsidRPr="00734A50">
        <w:t xml:space="preserve"> University</w:t>
      </w:r>
      <w:r w:rsidR="00422E3F">
        <w:t xml:space="preserve"> submission</w:t>
      </w:r>
      <w:r w:rsidR="003B1B48" w:rsidRPr="00734A50">
        <w:t>;</w:t>
      </w:r>
      <w:r w:rsidR="00115073" w:rsidRPr="00734A50">
        <w:t xml:space="preserve"> </w:t>
      </w:r>
      <w:r w:rsidR="00746D5A" w:rsidRPr="00734A50">
        <w:t>ATRA</w:t>
      </w:r>
      <w:r w:rsidR="00DC6CC9" w:rsidRPr="00734A50">
        <w:t xml:space="preserve"> submission</w:t>
      </w:r>
      <w:r w:rsidR="00C86A9B" w:rsidRPr="00734A50">
        <w:t>;</w:t>
      </w:r>
      <w:r w:rsidR="00115073" w:rsidRPr="00734A50">
        <w:t xml:space="preserve"> U</w:t>
      </w:r>
      <w:r w:rsidR="00DB17BE" w:rsidRPr="00734A50">
        <w:t xml:space="preserve">niversity of </w:t>
      </w:r>
      <w:r w:rsidR="00115073" w:rsidRPr="00734A50">
        <w:t>S</w:t>
      </w:r>
      <w:r w:rsidR="00DB17BE" w:rsidRPr="00734A50">
        <w:t xml:space="preserve">outhern </w:t>
      </w:r>
      <w:r w:rsidR="00115073" w:rsidRPr="00734A50">
        <w:t>Q</w:t>
      </w:r>
      <w:r w:rsidR="00DB17BE" w:rsidRPr="00734A50">
        <w:t>ueensland</w:t>
      </w:r>
      <w:r w:rsidR="00C86A9B" w:rsidRPr="00734A50">
        <w:t xml:space="preserve"> </w:t>
      </w:r>
      <w:r w:rsidR="00C86A9B" w:rsidRPr="00734A50">
        <w:lastRenderedPageBreak/>
        <w:t>submission;</w:t>
      </w:r>
      <w:r w:rsidR="00EA6ADE" w:rsidRPr="00734A50">
        <w:t xml:space="preserve"> </w:t>
      </w:r>
      <w:r w:rsidR="00206319" w:rsidRPr="00734A50">
        <w:t xml:space="preserve">Network of </w:t>
      </w:r>
      <w:r w:rsidR="00115073" w:rsidRPr="00734A50">
        <w:t>Associate Deans of Learning and Teaching in</w:t>
      </w:r>
      <w:r w:rsidR="00206319" w:rsidRPr="00734A50">
        <w:t xml:space="preserve"> the Discipline of</w:t>
      </w:r>
      <w:r w:rsidR="00115073" w:rsidRPr="00734A50">
        <w:t xml:space="preserve"> Education</w:t>
      </w:r>
      <w:r w:rsidR="00376C71" w:rsidRPr="00734A50">
        <w:t xml:space="preserve"> submission</w:t>
      </w:r>
      <w:r w:rsidR="00EA6ADE" w:rsidRPr="00734A50">
        <w:t>)</w:t>
      </w:r>
      <w:r w:rsidR="00BE585B" w:rsidRPr="00734A50">
        <w:t xml:space="preserve">. </w:t>
      </w:r>
    </w:p>
    <w:p w14:paraId="1AFE5B71" w14:textId="1A94546E" w:rsidR="005A0222" w:rsidRPr="00734A50" w:rsidRDefault="005A0222" w:rsidP="005C7F67">
      <w:pPr>
        <w:spacing w:after="0"/>
        <w:rPr>
          <w:rFonts w:ascii="Calibri" w:eastAsia="Calibri" w:hAnsi="Calibri" w:cs="Arial"/>
        </w:rPr>
      </w:pPr>
      <w:r w:rsidRPr="00734A50">
        <w:rPr>
          <w:rFonts w:ascii="Calibri" w:eastAsia="Calibri" w:hAnsi="Calibri" w:cs="Arial"/>
        </w:rPr>
        <w:t xml:space="preserve">The consistent themes in submissions were that changes </w:t>
      </w:r>
      <w:r w:rsidR="00026B1F" w:rsidRPr="00734A50">
        <w:rPr>
          <w:rFonts w:ascii="Calibri" w:eastAsia="Calibri" w:hAnsi="Calibri" w:cs="Arial"/>
        </w:rPr>
        <w:t xml:space="preserve">to accreditation </w:t>
      </w:r>
      <w:r w:rsidRPr="00734A50">
        <w:rPr>
          <w:rFonts w:ascii="Calibri" w:eastAsia="Calibri" w:hAnsi="Calibri" w:cs="Arial"/>
        </w:rPr>
        <w:t>should:</w:t>
      </w:r>
    </w:p>
    <w:p w14:paraId="2B06BE7E" w14:textId="3633E932" w:rsidR="005A0222" w:rsidRPr="00734A50" w:rsidRDefault="001B4C85" w:rsidP="00180A03">
      <w:pPr>
        <w:pStyle w:val="ListBullet"/>
        <w:numPr>
          <w:ilvl w:val="0"/>
          <w:numId w:val="215"/>
        </w:numPr>
      </w:pPr>
      <w:r w:rsidRPr="00734A50">
        <w:t>b</w:t>
      </w:r>
      <w:r w:rsidR="005A0222" w:rsidRPr="00734A50">
        <w:t>e minimal, given the complexity of making amendments</w:t>
      </w:r>
    </w:p>
    <w:p w14:paraId="3CC6A358" w14:textId="2F61BFDF" w:rsidR="005A0222" w:rsidRPr="00734A50" w:rsidRDefault="001B4C85" w:rsidP="00180A03">
      <w:pPr>
        <w:pStyle w:val="ListBullet"/>
        <w:numPr>
          <w:ilvl w:val="0"/>
          <w:numId w:val="215"/>
        </w:numPr>
      </w:pPr>
      <w:r w:rsidRPr="00734A50">
        <w:t>a</w:t>
      </w:r>
      <w:r w:rsidR="005A0222" w:rsidRPr="00734A50">
        <w:t xml:space="preserve">llow providers flexibility in how to incorporate the core content into ITE program structure </w:t>
      </w:r>
    </w:p>
    <w:p w14:paraId="2B7529F5" w14:textId="732D4405" w:rsidR="005A0222" w:rsidRPr="00734A50" w:rsidRDefault="001B4C85" w:rsidP="00180A03">
      <w:pPr>
        <w:pStyle w:val="ListBullet"/>
        <w:numPr>
          <w:ilvl w:val="0"/>
          <w:numId w:val="215"/>
        </w:numPr>
      </w:pPr>
      <w:r w:rsidRPr="00734A50">
        <w:t>e</w:t>
      </w:r>
      <w:r w:rsidR="005A0222" w:rsidRPr="00734A50">
        <w:t xml:space="preserve">nsure </w:t>
      </w:r>
      <w:r w:rsidR="00795184">
        <w:t xml:space="preserve">the </w:t>
      </w:r>
      <w:r w:rsidR="005A0222" w:rsidRPr="00734A50">
        <w:t>core content coherently runs through ITE programs</w:t>
      </w:r>
      <w:r w:rsidR="00BD272D" w:rsidRPr="00734A50">
        <w:t xml:space="preserve"> –</w:t>
      </w:r>
      <w:r w:rsidR="005A0222" w:rsidRPr="00734A50">
        <w:t xml:space="preserve"> </w:t>
      </w:r>
      <w:r w:rsidR="00454A26" w:rsidRPr="00734A50">
        <w:t>for example</w:t>
      </w:r>
      <w:r w:rsidR="005A0222" w:rsidRPr="00734A50">
        <w:t>, discipline</w:t>
      </w:r>
      <w:r w:rsidR="00BD272D" w:rsidRPr="00734A50">
        <w:t>-</w:t>
      </w:r>
      <w:r w:rsidR="005A0222" w:rsidRPr="00734A50">
        <w:t xml:space="preserve">specific subjects </w:t>
      </w:r>
    </w:p>
    <w:p w14:paraId="48D75E51" w14:textId="11C31E76" w:rsidR="005A0222" w:rsidRPr="00734A50" w:rsidRDefault="005C7F67" w:rsidP="00180A03">
      <w:pPr>
        <w:pStyle w:val="ListBullet"/>
        <w:numPr>
          <w:ilvl w:val="0"/>
          <w:numId w:val="215"/>
        </w:numPr>
      </w:pPr>
      <w:r w:rsidRPr="00734A50">
        <w:t>e</w:t>
      </w:r>
      <w:r w:rsidR="005A0222" w:rsidRPr="00734A50">
        <w:t>nsure</w:t>
      </w:r>
      <w:r w:rsidR="00795184">
        <w:t xml:space="preserve"> the</w:t>
      </w:r>
      <w:r w:rsidR="005A0222" w:rsidRPr="00734A50">
        <w:t xml:space="preserve"> core content can be updated over</w:t>
      </w:r>
      <w:r w:rsidR="00BD272D" w:rsidRPr="00734A50">
        <w:t xml:space="preserve"> </w:t>
      </w:r>
      <w:r w:rsidR="005A0222" w:rsidRPr="00734A50">
        <w:t>time as new evidence emerges</w:t>
      </w:r>
      <w:r w:rsidR="00BD272D" w:rsidRPr="00734A50">
        <w:t xml:space="preserve"> –</w:t>
      </w:r>
      <w:r w:rsidR="005A0222" w:rsidRPr="00734A50">
        <w:t xml:space="preserve"> </w:t>
      </w:r>
      <w:r w:rsidR="00454A26" w:rsidRPr="00734A50">
        <w:t>for example</w:t>
      </w:r>
      <w:r w:rsidR="005A0222" w:rsidRPr="00734A50">
        <w:t xml:space="preserve">, </w:t>
      </w:r>
      <w:r w:rsidR="00023921" w:rsidRPr="00734A50">
        <w:t xml:space="preserve">see </w:t>
      </w:r>
      <w:r w:rsidR="0079768C" w:rsidRPr="00734A50">
        <w:t xml:space="preserve">the proposed </w:t>
      </w:r>
      <w:r w:rsidR="0079768C" w:rsidRPr="00734A50">
        <w:rPr>
          <w:rFonts w:cs="Arial"/>
        </w:rPr>
        <w:t>s</w:t>
      </w:r>
      <w:r w:rsidR="00023921" w:rsidRPr="00734A50">
        <w:rPr>
          <w:rFonts w:cs="Arial"/>
        </w:rPr>
        <w:t xml:space="preserve">chedule </w:t>
      </w:r>
      <w:r w:rsidR="0079768C" w:rsidRPr="00734A50">
        <w:rPr>
          <w:rFonts w:cs="Arial"/>
        </w:rPr>
        <w:t>in</w:t>
      </w:r>
      <w:r w:rsidR="00023921" w:rsidRPr="00734A50">
        <w:rPr>
          <w:rFonts w:cs="Arial"/>
        </w:rPr>
        <w:t xml:space="preserve"> Appendix </w:t>
      </w:r>
      <w:r w:rsidR="00675DEF" w:rsidRPr="00734A50">
        <w:rPr>
          <w:rFonts w:cs="Arial"/>
        </w:rPr>
        <w:t>F</w:t>
      </w:r>
    </w:p>
    <w:p w14:paraId="7ACAA9CC" w14:textId="2B4D0DD0" w:rsidR="005A0222" w:rsidRPr="00734A50" w:rsidRDefault="005C7F67" w:rsidP="0026262D">
      <w:pPr>
        <w:pStyle w:val="ListBullet"/>
        <w:numPr>
          <w:ilvl w:val="0"/>
          <w:numId w:val="215"/>
        </w:numPr>
        <w:spacing w:after="200"/>
        <w:ind w:left="357" w:hanging="357"/>
      </w:pPr>
      <w:r w:rsidRPr="00734A50">
        <w:t>n</w:t>
      </w:r>
      <w:r w:rsidR="003D3E89" w:rsidRPr="00734A50">
        <w:t xml:space="preserve">ot </w:t>
      </w:r>
      <w:r w:rsidR="003F132A" w:rsidRPr="00734A50">
        <w:t xml:space="preserve">require TPAs to assess </w:t>
      </w:r>
      <w:r w:rsidR="001A0211" w:rsidRPr="00734A50">
        <w:t xml:space="preserve">the </w:t>
      </w:r>
      <w:r w:rsidR="003F132A" w:rsidRPr="00734A50">
        <w:t>core content</w:t>
      </w:r>
      <w:r w:rsidR="52D7B1E7" w:rsidRPr="00734A50">
        <w:t>.</w:t>
      </w:r>
      <w:r w:rsidR="005A0222" w:rsidRPr="00734A50">
        <w:t xml:space="preserve"> </w:t>
      </w:r>
    </w:p>
    <w:p w14:paraId="02F13545" w14:textId="2BF50BD6" w:rsidR="005A0222" w:rsidRPr="00734A50" w:rsidRDefault="638059E0" w:rsidP="028A1B93">
      <w:r w:rsidRPr="00734A50">
        <w:rPr>
          <w:rFonts w:ascii="Calibri" w:eastAsia="Calibri" w:hAnsi="Calibri" w:cs="Arial"/>
        </w:rPr>
        <w:t xml:space="preserve">There are currently six National Program Standards for ITE accreditation. </w:t>
      </w:r>
      <w:r w:rsidR="00780E60" w:rsidRPr="00734A50">
        <w:t>The Panel proposes primarily reflecting the core content in Standard 1.1, as the core content identifies the knowledge and evidence-based practices which support ITE students to meet the Graduate Teacher Standards. This would ensure that knowledge and application of the core content is a requirement for all graduates of ITE programs and would make the core content central to ITE program accreditation</w:t>
      </w:r>
      <w:r w:rsidRPr="00734A50">
        <w:rPr>
          <w:rFonts w:ascii="Calibri" w:eastAsia="Calibri" w:hAnsi="Calibri" w:cs="Arial"/>
        </w:rPr>
        <w:t xml:space="preserve">. </w:t>
      </w:r>
    </w:p>
    <w:p w14:paraId="0E5D4255" w14:textId="26052810" w:rsidR="005A0222" w:rsidRPr="00734A50" w:rsidRDefault="005A0222" w:rsidP="009D03EB">
      <w:pPr>
        <w:rPr>
          <w:rFonts w:ascii="Calibri" w:eastAsia="Calibri" w:hAnsi="Calibri" w:cs="Arial"/>
        </w:rPr>
      </w:pPr>
      <w:r w:rsidRPr="00734A50">
        <w:rPr>
          <w:rFonts w:ascii="Calibri" w:eastAsia="Calibri" w:hAnsi="Calibri" w:cs="Arial"/>
        </w:rPr>
        <w:t xml:space="preserve">The Panel proposes making amendments to </w:t>
      </w:r>
      <w:r w:rsidR="0079668F" w:rsidRPr="00734A50">
        <w:rPr>
          <w:rFonts w:ascii="Calibri" w:eastAsia="Calibri" w:hAnsi="Calibri" w:cs="Arial"/>
        </w:rPr>
        <w:t>two</w:t>
      </w:r>
      <w:r w:rsidRPr="00734A50">
        <w:rPr>
          <w:rFonts w:ascii="Calibri" w:eastAsia="Calibri" w:hAnsi="Calibri" w:cs="Arial"/>
        </w:rPr>
        <w:t xml:space="preserve"> further sub-standards: Standard 2.1</w:t>
      </w:r>
      <w:r w:rsidR="00AB2D4C" w:rsidRPr="00734A50">
        <w:rPr>
          <w:rFonts w:ascii="Calibri" w:eastAsia="Calibri" w:hAnsi="Calibri" w:cs="Arial"/>
        </w:rPr>
        <w:t>,</w:t>
      </w:r>
      <w:r w:rsidRPr="00734A50">
        <w:rPr>
          <w:rFonts w:ascii="Calibri" w:eastAsia="Calibri" w:hAnsi="Calibri" w:cs="Arial"/>
        </w:rPr>
        <w:t xml:space="preserve"> to ensure the core content is coherently embedded through program development, design and delivery; and Standard 4.2</w:t>
      </w:r>
      <w:r w:rsidR="00AB2D4C" w:rsidRPr="00734A50">
        <w:rPr>
          <w:rFonts w:ascii="Calibri" w:eastAsia="Calibri" w:hAnsi="Calibri" w:cs="Arial"/>
        </w:rPr>
        <w:t>,</w:t>
      </w:r>
      <w:r w:rsidRPr="00734A50">
        <w:rPr>
          <w:rFonts w:ascii="Calibri" w:eastAsia="Calibri" w:hAnsi="Calibri" w:cs="Arial"/>
        </w:rPr>
        <w:t xml:space="preserve"> to ensure the </w:t>
      </w:r>
      <w:r w:rsidR="001740E6" w:rsidRPr="00734A50">
        <w:rPr>
          <w:rFonts w:ascii="Calibri" w:eastAsia="Calibri" w:hAnsi="Calibri" w:cs="Arial"/>
        </w:rPr>
        <w:t>discipline</w:t>
      </w:r>
      <w:r w:rsidR="00060AD1">
        <w:rPr>
          <w:rFonts w:ascii="Calibri" w:eastAsia="Calibri" w:hAnsi="Calibri" w:cs="Arial"/>
        </w:rPr>
        <w:t>-</w:t>
      </w:r>
      <w:r w:rsidR="001740E6" w:rsidRPr="00734A50">
        <w:rPr>
          <w:rFonts w:ascii="Calibri" w:eastAsia="Calibri" w:hAnsi="Calibri" w:cs="Arial"/>
        </w:rPr>
        <w:t xml:space="preserve">specific </w:t>
      </w:r>
      <w:r w:rsidRPr="00734A50">
        <w:rPr>
          <w:rFonts w:ascii="Calibri" w:eastAsia="Calibri" w:hAnsi="Calibri" w:cs="Arial"/>
        </w:rPr>
        <w:t xml:space="preserve">content is </w:t>
      </w:r>
      <w:r w:rsidR="001740E6" w:rsidRPr="00734A50">
        <w:rPr>
          <w:rFonts w:ascii="Calibri" w:eastAsia="Calibri" w:hAnsi="Calibri" w:cs="Arial"/>
        </w:rPr>
        <w:t xml:space="preserve">consistent with the </w:t>
      </w:r>
      <w:r w:rsidRPr="00734A50">
        <w:rPr>
          <w:rFonts w:ascii="Calibri" w:eastAsia="Calibri" w:hAnsi="Calibri" w:cs="Arial"/>
        </w:rPr>
        <w:t xml:space="preserve">core content. </w:t>
      </w:r>
    </w:p>
    <w:p w14:paraId="16EE2DA0" w14:textId="794FAFAC" w:rsidR="00E94A9B" w:rsidRPr="00734A50" w:rsidRDefault="005A0222" w:rsidP="005A0222">
      <w:pPr>
        <w:rPr>
          <w:rFonts w:ascii="Calibri" w:eastAsia="Calibri" w:hAnsi="Calibri" w:cs="Arial"/>
        </w:rPr>
      </w:pPr>
      <w:r w:rsidRPr="00734A50">
        <w:rPr>
          <w:rFonts w:ascii="Calibri" w:eastAsia="Calibri" w:hAnsi="Calibri" w:cs="Arial"/>
        </w:rPr>
        <w:t xml:space="preserve">Table </w:t>
      </w:r>
      <w:r w:rsidR="001C4D7C" w:rsidRPr="00734A50">
        <w:rPr>
          <w:rFonts w:ascii="Calibri" w:eastAsia="Calibri" w:hAnsi="Calibri" w:cs="Arial"/>
        </w:rPr>
        <w:t>1.</w:t>
      </w:r>
      <w:r w:rsidR="00EA6ADE" w:rsidRPr="00734A50">
        <w:rPr>
          <w:rFonts w:ascii="Calibri" w:eastAsia="Calibri" w:hAnsi="Calibri" w:cs="Arial"/>
        </w:rPr>
        <w:t>2</w:t>
      </w:r>
      <w:r w:rsidRPr="00734A50">
        <w:rPr>
          <w:rFonts w:ascii="Calibri" w:eastAsia="Calibri" w:hAnsi="Calibri" w:cs="Arial"/>
        </w:rPr>
        <w:t xml:space="preserve"> provides an overview of proposed amendments</w:t>
      </w:r>
      <w:r w:rsidR="00AB2D4C" w:rsidRPr="00734A50">
        <w:rPr>
          <w:rFonts w:ascii="Calibri" w:eastAsia="Calibri" w:hAnsi="Calibri" w:cs="Arial"/>
        </w:rPr>
        <w:t>.</w:t>
      </w:r>
      <w:r w:rsidRPr="00734A50">
        <w:rPr>
          <w:rFonts w:ascii="Calibri" w:eastAsia="Calibri" w:hAnsi="Calibri" w:cs="Arial"/>
        </w:rPr>
        <w:t xml:space="preserve"> </w:t>
      </w:r>
      <w:r w:rsidR="00AB2D4C" w:rsidRPr="00734A50">
        <w:rPr>
          <w:rFonts w:ascii="Calibri" w:eastAsia="Calibri" w:hAnsi="Calibri" w:cs="Arial"/>
        </w:rPr>
        <w:t>Appendix F provides f</w:t>
      </w:r>
      <w:r w:rsidRPr="00734A50">
        <w:rPr>
          <w:rFonts w:ascii="Calibri" w:eastAsia="Calibri" w:hAnsi="Calibri" w:cs="Arial"/>
        </w:rPr>
        <w:t>urther details and the proposed schedule for the changes.</w:t>
      </w:r>
    </w:p>
    <w:p w14:paraId="046AD642" w14:textId="77777777" w:rsidR="00E94A9B" w:rsidRPr="00734A50" w:rsidRDefault="00E94A9B">
      <w:pPr>
        <w:spacing w:after="160" w:line="259" w:lineRule="auto"/>
        <w:rPr>
          <w:rFonts w:ascii="Calibri" w:eastAsia="Calibri" w:hAnsi="Calibri" w:cs="Arial"/>
        </w:rPr>
      </w:pPr>
      <w:r w:rsidRPr="00734A50">
        <w:rPr>
          <w:rFonts w:ascii="Calibri" w:eastAsia="Calibri" w:hAnsi="Calibri" w:cs="Arial"/>
        </w:rPr>
        <w:br w:type="page"/>
      </w:r>
    </w:p>
    <w:p w14:paraId="4A5906AD" w14:textId="2BFFEDEB" w:rsidR="005A0222" w:rsidRPr="00734A50" w:rsidRDefault="005A0222" w:rsidP="6DDCDED7">
      <w:pPr>
        <w:pStyle w:val="HeadingTable"/>
        <w:numPr>
          <w:ilvl w:val="0"/>
          <w:numId w:val="0"/>
        </w:numPr>
        <w:rPr>
          <w:rFonts w:eastAsia="Calibri"/>
          <w:sz w:val="22"/>
          <w:szCs w:val="28"/>
        </w:rPr>
      </w:pPr>
      <w:r w:rsidRPr="00734A50">
        <w:rPr>
          <w:rFonts w:eastAsia="Calibri"/>
          <w:sz w:val="22"/>
          <w:szCs w:val="28"/>
        </w:rPr>
        <w:lastRenderedPageBreak/>
        <w:t xml:space="preserve">Table </w:t>
      </w:r>
      <w:r w:rsidR="001C4D7C" w:rsidRPr="00734A50">
        <w:rPr>
          <w:rFonts w:eastAsia="Calibri"/>
          <w:sz w:val="22"/>
          <w:szCs w:val="28"/>
        </w:rPr>
        <w:t>1.</w:t>
      </w:r>
      <w:r w:rsidR="0049461B" w:rsidRPr="00734A50">
        <w:rPr>
          <w:rFonts w:eastAsia="Calibri"/>
          <w:sz w:val="22"/>
          <w:szCs w:val="28"/>
        </w:rPr>
        <w:t>2</w:t>
      </w:r>
      <w:r w:rsidRPr="00734A50">
        <w:rPr>
          <w:rFonts w:eastAsia="Calibri"/>
          <w:sz w:val="22"/>
          <w:szCs w:val="28"/>
        </w:rPr>
        <w:t xml:space="preserve">: Proposed amendments to the Accreditation Standards </w:t>
      </w:r>
    </w:p>
    <w:tbl>
      <w:tblPr>
        <w:tblStyle w:val="GridTable4-Accent2"/>
        <w:tblW w:w="9016" w:type="dxa"/>
        <w:tblLayout w:type="fixed"/>
        <w:tblLook w:val="04A0" w:firstRow="1" w:lastRow="0" w:firstColumn="1" w:lastColumn="0" w:noHBand="0" w:noVBand="1"/>
      </w:tblPr>
      <w:tblGrid>
        <w:gridCol w:w="2122"/>
        <w:gridCol w:w="3260"/>
        <w:gridCol w:w="3634"/>
      </w:tblGrid>
      <w:tr w:rsidR="005A0222" w:rsidRPr="00734A50" w14:paraId="3B8B7FCB" w14:textId="77777777" w:rsidTr="6DDCDED7">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2122" w:type="dxa"/>
          </w:tcPr>
          <w:p w14:paraId="5461F37D" w14:textId="32957CC0" w:rsidR="005A0222" w:rsidRPr="00734A50" w:rsidRDefault="005A0222" w:rsidP="00E44E8A">
            <w:pPr>
              <w:rPr>
                <w:rFonts w:ascii="Calibri" w:eastAsia="Calibri" w:hAnsi="Calibri" w:cs="Calibri"/>
                <w:color w:val="auto"/>
              </w:rPr>
            </w:pPr>
            <w:r w:rsidRPr="00734A50">
              <w:rPr>
                <w:rFonts w:ascii="Calibri" w:eastAsia="Calibri" w:hAnsi="Calibri" w:cs="Calibri"/>
                <w:color w:val="auto"/>
              </w:rPr>
              <w:t xml:space="preserve">Program </w:t>
            </w:r>
            <w:r w:rsidR="00F5234C" w:rsidRPr="00734A50">
              <w:rPr>
                <w:rFonts w:ascii="Calibri" w:eastAsia="Calibri" w:hAnsi="Calibri" w:cs="Calibri"/>
                <w:color w:val="auto"/>
              </w:rPr>
              <w:t>s</w:t>
            </w:r>
            <w:r w:rsidRPr="00734A50">
              <w:rPr>
                <w:rFonts w:ascii="Calibri" w:eastAsia="Calibri" w:hAnsi="Calibri" w:cs="Calibri"/>
                <w:color w:val="auto"/>
              </w:rPr>
              <w:t>tandard</w:t>
            </w:r>
          </w:p>
        </w:tc>
        <w:tc>
          <w:tcPr>
            <w:tcW w:w="3260" w:type="dxa"/>
          </w:tcPr>
          <w:p w14:paraId="4CC6D7AE" w14:textId="77777777" w:rsidR="005A0222" w:rsidRPr="00734A50" w:rsidRDefault="005A0222" w:rsidP="00E44E8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rPr>
            </w:pPr>
            <w:r w:rsidRPr="00734A50">
              <w:rPr>
                <w:rFonts w:ascii="Calibri" w:eastAsia="Calibri" w:hAnsi="Calibri" w:cs="Calibri"/>
                <w:color w:val="auto"/>
              </w:rPr>
              <w:t>Definition</w:t>
            </w:r>
          </w:p>
        </w:tc>
        <w:tc>
          <w:tcPr>
            <w:tcW w:w="3634" w:type="dxa"/>
          </w:tcPr>
          <w:p w14:paraId="034CFCD1" w14:textId="7549658F" w:rsidR="005A0222" w:rsidRPr="00734A50" w:rsidRDefault="005A0222" w:rsidP="00E44E8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rPr>
            </w:pPr>
            <w:r w:rsidRPr="00734A50">
              <w:rPr>
                <w:rFonts w:ascii="Calibri" w:eastAsia="Calibri" w:hAnsi="Calibri" w:cs="Calibri"/>
                <w:color w:val="auto"/>
              </w:rPr>
              <w:t xml:space="preserve">Proposed amendments (details in Appendix </w:t>
            </w:r>
            <w:r w:rsidR="002325F9" w:rsidRPr="00734A50">
              <w:rPr>
                <w:rFonts w:ascii="Calibri" w:eastAsia="Calibri" w:hAnsi="Calibri" w:cs="Calibri"/>
                <w:color w:val="auto"/>
              </w:rPr>
              <w:t>F</w:t>
            </w:r>
            <w:r w:rsidRPr="00734A50">
              <w:rPr>
                <w:rFonts w:ascii="Calibri" w:eastAsia="Calibri" w:hAnsi="Calibri" w:cs="Calibri"/>
                <w:color w:val="auto"/>
              </w:rPr>
              <w:t>)</w:t>
            </w:r>
          </w:p>
        </w:tc>
      </w:tr>
      <w:tr w:rsidR="005A0222" w:rsidRPr="00734A50" w14:paraId="6446627C" w14:textId="77777777" w:rsidTr="6DDCDE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71B26C7B" w14:textId="77777777" w:rsidR="005A0222" w:rsidRPr="00734A50" w:rsidRDefault="005A0222" w:rsidP="00E44E8A">
            <w:pPr>
              <w:rPr>
                <w:rFonts w:ascii="Calibri" w:eastAsia="Calibri" w:hAnsi="Calibri" w:cs="Calibri"/>
                <w:b w:val="0"/>
                <w:bCs w:val="0"/>
                <w:sz w:val="20"/>
                <w:szCs w:val="20"/>
              </w:rPr>
            </w:pPr>
            <w:r w:rsidRPr="00734A50">
              <w:rPr>
                <w:rFonts w:ascii="Calibri" w:eastAsia="Calibri" w:hAnsi="Calibri" w:cs="Calibri"/>
                <w:sz w:val="20"/>
                <w:szCs w:val="20"/>
              </w:rPr>
              <w:t xml:space="preserve">Standard 1.1 </w:t>
            </w:r>
          </w:p>
          <w:p w14:paraId="64F8A471" w14:textId="77777777" w:rsidR="005A0222" w:rsidRPr="00734A50" w:rsidRDefault="005A0222" w:rsidP="00E44E8A">
            <w:pPr>
              <w:rPr>
                <w:rFonts w:ascii="Calibri" w:eastAsia="Calibri" w:hAnsi="Calibri" w:cs="Calibri"/>
                <w:sz w:val="20"/>
                <w:szCs w:val="20"/>
              </w:rPr>
            </w:pPr>
            <w:r w:rsidRPr="00734A50">
              <w:rPr>
                <w:rFonts w:ascii="Calibri" w:eastAsia="Calibri" w:hAnsi="Calibri" w:cs="Calibri"/>
                <w:sz w:val="20"/>
                <w:szCs w:val="20"/>
              </w:rPr>
              <w:t>(Program design and assessment processes)</w:t>
            </w:r>
          </w:p>
        </w:tc>
        <w:tc>
          <w:tcPr>
            <w:tcW w:w="3260" w:type="dxa"/>
          </w:tcPr>
          <w:p w14:paraId="31C96356" w14:textId="2EDEA662" w:rsidR="005A0222" w:rsidRPr="00734A50" w:rsidRDefault="005A0222" w:rsidP="00E44E8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r w:rsidRPr="00734A50">
              <w:rPr>
                <w:rFonts w:ascii="Calibri" w:eastAsia="Calibri" w:hAnsi="Calibri" w:cs="Arial"/>
                <w:sz w:val="20"/>
                <w:szCs w:val="20"/>
              </w:rPr>
              <w:t xml:space="preserve">Standard 1 defines the key outcomes for ITE Programs </w:t>
            </w:r>
            <w:r w:rsidR="006C6D3D" w:rsidRPr="00734A50">
              <w:rPr>
                <w:rFonts w:ascii="Calibri" w:eastAsia="Calibri" w:hAnsi="Calibri" w:cs="Arial"/>
                <w:sz w:val="20"/>
                <w:szCs w:val="20"/>
              </w:rPr>
              <w:t>–</w:t>
            </w:r>
            <w:r w:rsidRPr="00734A50">
              <w:rPr>
                <w:rFonts w:ascii="Calibri" w:eastAsia="Calibri" w:hAnsi="Calibri" w:cs="Arial"/>
                <w:sz w:val="20"/>
                <w:szCs w:val="20"/>
              </w:rPr>
              <w:t xml:space="preserve"> ‘Program design and assessment processes identify where each Graduate Teacher Standard is taught, practi</w:t>
            </w:r>
            <w:r w:rsidR="006C6D3D" w:rsidRPr="00734A50">
              <w:rPr>
                <w:rFonts w:ascii="Calibri" w:eastAsia="Calibri" w:hAnsi="Calibri" w:cs="Arial"/>
                <w:sz w:val="20"/>
                <w:szCs w:val="20"/>
              </w:rPr>
              <w:t>s</w:t>
            </w:r>
            <w:r w:rsidRPr="00734A50">
              <w:rPr>
                <w:rFonts w:ascii="Calibri" w:eastAsia="Calibri" w:hAnsi="Calibri" w:cs="Arial"/>
                <w:sz w:val="20"/>
                <w:szCs w:val="20"/>
              </w:rPr>
              <w:t>ed and assessed and requires that pre-service teachers have demonstrated successful performance against all of the Graduate Teacher Standards prior to graduation.’</w:t>
            </w:r>
          </w:p>
        </w:tc>
        <w:tc>
          <w:tcPr>
            <w:tcW w:w="3634" w:type="dxa"/>
          </w:tcPr>
          <w:p w14:paraId="15F49D61" w14:textId="3D2AC672" w:rsidR="005A0222" w:rsidRPr="00734A50" w:rsidRDefault="005A0222" w:rsidP="00E44E8A">
            <w:pPr>
              <w:spacing w:after="240"/>
              <w:cnfStyle w:val="000000100000" w:firstRow="0" w:lastRow="0" w:firstColumn="0" w:lastColumn="0" w:oddVBand="0" w:evenVBand="0" w:oddHBand="1" w:evenHBand="0" w:firstRowFirstColumn="0" w:firstRowLastColumn="0" w:lastRowFirstColumn="0" w:lastRowLastColumn="0"/>
              <w:rPr>
                <w:rFonts w:ascii="Calibri" w:eastAsia="Calibri" w:hAnsi="Calibri" w:cs="Arial"/>
                <w:color w:val="000000"/>
                <w:sz w:val="20"/>
                <w:szCs w:val="20"/>
              </w:rPr>
            </w:pPr>
            <w:r w:rsidRPr="00734A50">
              <w:rPr>
                <w:rFonts w:ascii="Calibri" w:eastAsia="Calibri" w:hAnsi="Calibri" w:cs="Arial"/>
                <w:color w:val="000000" w:themeColor="text1"/>
                <w:sz w:val="20"/>
                <w:szCs w:val="20"/>
              </w:rPr>
              <w:t>As the ITE core content supports ITE students to meet the Graduate level of the Teacher Standards, Standard 1.1 should be amended to require</w:t>
            </w:r>
            <w:r w:rsidR="006C6D3D" w:rsidRPr="00734A50">
              <w:rPr>
                <w:rFonts w:ascii="Calibri" w:eastAsia="Calibri" w:hAnsi="Calibri" w:cs="Arial"/>
                <w:color w:val="000000" w:themeColor="text1"/>
                <w:sz w:val="20"/>
                <w:szCs w:val="20"/>
              </w:rPr>
              <w:t xml:space="preserve"> that</w:t>
            </w:r>
            <w:r w:rsidRPr="00734A50">
              <w:rPr>
                <w:rFonts w:ascii="Calibri" w:eastAsia="Calibri" w:hAnsi="Calibri" w:cs="Arial"/>
                <w:color w:val="000000" w:themeColor="text1"/>
                <w:sz w:val="20"/>
                <w:szCs w:val="20"/>
              </w:rPr>
              <w:t xml:space="preserve"> pre-service teachers have demonstrated knowledge and met the </w:t>
            </w:r>
            <w:r w:rsidR="006C6D3D" w:rsidRPr="00734A50">
              <w:rPr>
                <w:rFonts w:ascii="Calibri" w:eastAsia="Calibri" w:hAnsi="Calibri" w:cs="Arial"/>
                <w:color w:val="000000" w:themeColor="text1"/>
                <w:sz w:val="20"/>
                <w:szCs w:val="20"/>
              </w:rPr>
              <w:t>l</w:t>
            </w:r>
            <w:r w:rsidRPr="00734A50">
              <w:rPr>
                <w:rFonts w:ascii="Calibri" w:eastAsia="Calibri" w:hAnsi="Calibri" w:cs="Arial"/>
                <w:color w:val="000000" w:themeColor="text1"/>
                <w:sz w:val="20"/>
                <w:szCs w:val="20"/>
              </w:rPr>
              <w:t xml:space="preserve">earning </w:t>
            </w:r>
            <w:r w:rsidR="006C6D3D" w:rsidRPr="00734A50">
              <w:rPr>
                <w:rFonts w:ascii="Calibri" w:eastAsia="Calibri" w:hAnsi="Calibri" w:cs="Arial"/>
                <w:color w:val="000000" w:themeColor="text1"/>
                <w:sz w:val="20"/>
                <w:szCs w:val="20"/>
              </w:rPr>
              <w:t>o</w:t>
            </w:r>
            <w:r w:rsidRPr="00734A50">
              <w:rPr>
                <w:rFonts w:ascii="Calibri" w:eastAsia="Calibri" w:hAnsi="Calibri" w:cs="Arial"/>
                <w:color w:val="000000" w:themeColor="text1"/>
                <w:sz w:val="20"/>
                <w:szCs w:val="20"/>
              </w:rPr>
              <w:t xml:space="preserve">utcomes of the core content prior to graduation. A </w:t>
            </w:r>
            <w:r w:rsidR="006C6D3D" w:rsidRPr="00734A50">
              <w:rPr>
                <w:rFonts w:ascii="Calibri" w:eastAsia="Calibri" w:hAnsi="Calibri" w:cs="Arial"/>
                <w:color w:val="000000" w:themeColor="text1"/>
                <w:sz w:val="20"/>
                <w:szCs w:val="20"/>
              </w:rPr>
              <w:t>s</w:t>
            </w:r>
            <w:r w:rsidRPr="00734A50">
              <w:rPr>
                <w:rFonts w:ascii="Calibri" w:eastAsia="Calibri" w:hAnsi="Calibri" w:cs="Arial"/>
                <w:color w:val="000000" w:themeColor="text1"/>
                <w:sz w:val="20"/>
                <w:szCs w:val="20"/>
              </w:rPr>
              <w:t>chedule for the core content should be attached to Standard</w:t>
            </w:r>
            <w:r w:rsidR="006C6D3D" w:rsidRPr="00734A50">
              <w:rPr>
                <w:rFonts w:ascii="Calibri" w:eastAsia="Calibri" w:hAnsi="Calibri" w:cs="Arial"/>
                <w:color w:val="000000" w:themeColor="text1"/>
                <w:sz w:val="20"/>
                <w:szCs w:val="20"/>
              </w:rPr>
              <w:t> </w:t>
            </w:r>
            <w:r w:rsidRPr="00734A50">
              <w:rPr>
                <w:rFonts w:ascii="Calibri" w:eastAsia="Calibri" w:hAnsi="Calibri" w:cs="Arial"/>
                <w:color w:val="000000" w:themeColor="text1"/>
                <w:sz w:val="20"/>
                <w:szCs w:val="20"/>
              </w:rPr>
              <w:t xml:space="preserve">1.1 describing the </w:t>
            </w:r>
            <w:r w:rsidR="006C6D3D" w:rsidRPr="00734A50">
              <w:rPr>
                <w:rFonts w:ascii="Calibri" w:eastAsia="Calibri" w:hAnsi="Calibri" w:cs="Arial"/>
                <w:color w:val="000000" w:themeColor="text1"/>
                <w:sz w:val="20"/>
                <w:szCs w:val="20"/>
              </w:rPr>
              <w:t>l</w:t>
            </w:r>
            <w:r w:rsidRPr="00734A50">
              <w:rPr>
                <w:rFonts w:ascii="Calibri" w:eastAsia="Calibri" w:hAnsi="Calibri" w:cs="Arial"/>
                <w:color w:val="000000" w:themeColor="text1"/>
                <w:sz w:val="20"/>
                <w:szCs w:val="20"/>
              </w:rPr>
              <w:t xml:space="preserve">earning </w:t>
            </w:r>
            <w:r w:rsidR="006C6D3D" w:rsidRPr="00734A50">
              <w:rPr>
                <w:rFonts w:ascii="Calibri" w:eastAsia="Calibri" w:hAnsi="Calibri" w:cs="Arial"/>
                <w:color w:val="000000" w:themeColor="text1"/>
                <w:sz w:val="20"/>
                <w:szCs w:val="20"/>
              </w:rPr>
              <w:t>o</w:t>
            </w:r>
            <w:r w:rsidRPr="00734A50">
              <w:rPr>
                <w:rFonts w:ascii="Calibri" w:eastAsia="Calibri" w:hAnsi="Calibri" w:cs="Arial"/>
                <w:color w:val="000000" w:themeColor="text1"/>
                <w:sz w:val="20"/>
                <w:szCs w:val="20"/>
              </w:rPr>
              <w:t xml:space="preserve">utcomes and </w:t>
            </w:r>
            <w:r w:rsidR="006C6D3D" w:rsidRPr="00734A50">
              <w:rPr>
                <w:rFonts w:ascii="Calibri" w:eastAsia="Calibri" w:hAnsi="Calibri" w:cs="Arial"/>
                <w:color w:val="000000" w:themeColor="text1"/>
                <w:sz w:val="20"/>
                <w:szCs w:val="20"/>
              </w:rPr>
              <w:t>w</w:t>
            </w:r>
            <w:r w:rsidRPr="00734A50">
              <w:rPr>
                <w:rFonts w:ascii="Calibri" w:eastAsia="Calibri" w:hAnsi="Calibri" w:cs="Arial"/>
                <w:color w:val="000000" w:themeColor="text1"/>
                <w:sz w:val="20"/>
                <w:szCs w:val="20"/>
              </w:rPr>
              <w:t xml:space="preserve">hat ITE </w:t>
            </w:r>
            <w:r w:rsidR="006C6D3D" w:rsidRPr="00734A50">
              <w:rPr>
                <w:rFonts w:ascii="Calibri" w:eastAsia="Calibri" w:hAnsi="Calibri" w:cs="Arial"/>
                <w:color w:val="000000" w:themeColor="text1"/>
                <w:sz w:val="20"/>
                <w:szCs w:val="20"/>
              </w:rPr>
              <w:t>p</w:t>
            </w:r>
            <w:r w:rsidRPr="00734A50">
              <w:rPr>
                <w:rFonts w:ascii="Calibri" w:eastAsia="Calibri" w:hAnsi="Calibri" w:cs="Arial"/>
                <w:color w:val="000000" w:themeColor="text1"/>
                <w:sz w:val="20"/>
                <w:szCs w:val="20"/>
              </w:rPr>
              <w:t xml:space="preserve">rograms </w:t>
            </w:r>
            <w:r w:rsidR="006C6D3D" w:rsidRPr="00734A50">
              <w:rPr>
                <w:rFonts w:ascii="Calibri" w:eastAsia="Calibri" w:hAnsi="Calibri" w:cs="Arial"/>
                <w:color w:val="000000" w:themeColor="text1"/>
                <w:sz w:val="20"/>
                <w:szCs w:val="20"/>
              </w:rPr>
              <w:t>s</w:t>
            </w:r>
            <w:r w:rsidRPr="00734A50">
              <w:rPr>
                <w:rFonts w:ascii="Calibri" w:eastAsia="Calibri" w:hAnsi="Calibri" w:cs="Arial"/>
                <w:color w:val="000000" w:themeColor="text1"/>
                <w:sz w:val="20"/>
                <w:szCs w:val="20"/>
              </w:rPr>
              <w:t xml:space="preserve">hould </w:t>
            </w:r>
            <w:r w:rsidR="006C6D3D" w:rsidRPr="00734A50">
              <w:rPr>
                <w:rFonts w:ascii="Calibri" w:eastAsia="Calibri" w:hAnsi="Calibri" w:cs="Arial"/>
                <w:color w:val="000000" w:themeColor="text1"/>
                <w:sz w:val="20"/>
                <w:szCs w:val="20"/>
              </w:rPr>
              <w:t>t</w:t>
            </w:r>
            <w:r w:rsidRPr="00734A50">
              <w:rPr>
                <w:rFonts w:ascii="Calibri" w:eastAsia="Calibri" w:hAnsi="Calibri" w:cs="Arial"/>
                <w:color w:val="000000" w:themeColor="text1"/>
                <w:sz w:val="20"/>
                <w:szCs w:val="20"/>
              </w:rPr>
              <w:t>each (</w:t>
            </w:r>
            <w:r w:rsidR="006C6D3D" w:rsidRPr="00734A50">
              <w:rPr>
                <w:rFonts w:ascii="Calibri" w:eastAsia="Calibri" w:hAnsi="Calibri" w:cs="Arial"/>
                <w:color w:val="000000" w:themeColor="text1"/>
                <w:sz w:val="20"/>
                <w:szCs w:val="20"/>
              </w:rPr>
              <w:t xml:space="preserve">see </w:t>
            </w:r>
            <w:r w:rsidRPr="00734A50">
              <w:rPr>
                <w:rFonts w:ascii="Calibri" w:eastAsia="Calibri" w:hAnsi="Calibri" w:cs="Arial"/>
                <w:color w:val="000000" w:themeColor="text1"/>
                <w:sz w:val="20"/>
                <w:szCs w:val="20"/>
              </w:rPr>
              <w:t>Appendix D)</w:t>
            </w:r>
            <w:r w:rsidR="006C6D3D" w:rsidRPr="00734A50">
              <w:rPr>
                <w:rFonts w:ascii="Calibri" w:eastAsia="Calibri" w:hAnsi="Calibri" w:cs="Arial"/>
                <w:color w:val="000000" w:themeColor="text1"/>
                <w:sz w:val="20"/>
                <w:szCs w:val="20"/>
              </w:rPr>
              <w:t>.</w:t>
            </w:r>
          </w:p>
        </w:tc>
      </w:tr>
      <w:tr w:rsidR="005A0222" w:rsidRPr="00734A50" w14:paraId="7A748754" w14:textId="77777777" w:rsidTr="6DDCDED7">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2C1A7C86" w14:textId="77777777" w:rsidR="005A0222" w:rsidRPr="00734A50" w:rsidRDefault="005A0222" w:rsidP="00E44E8A">
            <w:pPr>
              <w:rPr>
                <w:rFonts w:ascii="Calibri" w:eastAsia="Calibri" w:hAnsi="Calibri" w:cs="Calibri"/>
                <w:b w:val="0"/>
                <w:bCs w:val="0"/>
                <w:sz w:val="20"/>
                <w:szCs w:val="20"/>
              </w:rPr>
            </w:pPr>
            <w:r w:rsidRPr="00734A50">
              <w:rPr>
                <w:rFonts w:ascii="Calibri" w:eastAsia="Calibri" w:hAnsi="Calibri" w:cs="Calibri"/>
                <w:sz w:val="20"/>
                <w:szCs w:val="20"/>
              </w:rPr>
              <w:t xml:space="preserve">Standard 2.1 </w:t>
            </w:r>
          </w:p>
          <w:p w14:paraId="0F27E877" w14:textId="77777777" w:rsidR="005A0222" w:rsidRPr="00734A50" w:rsidRDefault="005A0222" w:rsidP="00E44E8A">
            <w:pPr>
              <w:rPr>
                <w:rFonts w:ascii="Calibri" w:eastAsia="Calibri" w:hAnsi="Calibri" w:cs="Calibri"/>
                <w:sz w:val="20"/>
                <w:szCs w:val="20"/>
              </w:rPr>
            </w:pPr>
            <w:r w:rsidRPr="00734A50">
              <w:rPr>
                <w:rFonts w:ascii="Calibri" w:eastAsia="Calibri" w:hAnsi="Calibri" w:cs="Calibri"/>
                <w:sz w:val="20"/>
                <w:szCs w:val="20"/>
              </w:rPr>
              <w:t>(Program development, design and delivery)</w:t>
            </w:r>
          </w:p>
        </w:tc>
        <w:tc>
          <w:tcPr>
            <w:tcW w:w="3260" w:type="dxa"/>
          </w:tcPr>
          <w:p w14:paraId="090DD129" w14:textId="1CCF7DD0" w:rsidR="005A0222" w:rsidRPr="00734A50" w:rsidRDefault="005A0222" w:rsidP="00E44E8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0"/>
                <w:szCs w:val="20"/>
              </w:rPr>
            </w:pPr>
            <w:r w:rsidRPr="00734A50">
              <w:rPr>
                <w:rFonts w:ascii="Calibri" w:eastAsia="Times New Roman" w:hAnsi="Calibri" w:cs="Calibri"/>
                <w:sz w:val="20"/>
                <w:szCs w:val="20"/>
                <w:lang w:eastAsia="en-AU"/>
              </w:rPr>
              <w:t xml:space="preserve">Standard 2.1 articulates the requirements </w:t>
            </w:r>
            <w:r w:rsidRPr="00734A50">
              <w:rPr>
                <w:sz w:val="20"/>
                <w:szCs w:val="20"/>
              </w:rPr>
              <w:t>that program development, design and delivery has, ‘a documented coherent rationale based on authoritative and evidence-based understandings of how the program will develop effective teachers who meet the Graduate Teacher Standards</w:t>
            </w:r>
            <w:r w:rsidRPr="00734A50">
              <w:rPr>
                <w:rFonts w:ascii="Calibri" w:eastAsia="Times New Roman" w:hAnsi="Calibri" w:cs="Calibri"/>
                <w:sz w:val="20"/>
                <w:szCs w:val="20"/>
                <w:lang w:eastAsia="en-AU"/>
              </w:rPr>
              <w:t>’</w:t>
            </w:r>
            <w:r w:rsidR="006C6D3D" w:rsidRPr="00734A50">
              <w:rPr>
                <w:rFonts w:ascii="Calibri" w:eastAsia="Times New Roman" w:hAnsi="Calibri" w:cs="Calibri"/>
                <w:sz w:val="20"/>
                <w:szCs w:val="20"/>
                <w:lang w:eastAsia="en-AU"/>
              </w:rPr>
              <w:t>.</w:t>
            </w:r>
          </w:p>
        </w:tc>
        <w:tc>
          <w:tcPr>
            <w:tcW w:w="3634" w:type="dxa"/>
          </w:tcPr>
          <w:p w14:paraId="721DC0A6" w14:textId="1788F5B8" w:rsidR="005A0222" w:rsidRPr="00734A50" w:rsidRDefault="5BAA69A5" w:rsidP="00E44E8A">
            <w:pPr>
              <w:spacing w:line="257"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734A50">
              <w:rPr>
                <w:rFonts w:ascii="Calibri" w:eastAsia="Times New Roman" w:hAnsi="Calibri" w:cs="Calibri"/>
                <w:sz w:val="20"/>
                <w:szCs w:val="20"/>
                <w:lang w:eastAsia="en-AU"/>
              </w:rPr>
              <w:t>The core content should be part of the coherent evidence-based rationale for program development, design and delivery</w:t>
            </w:r>
            <w:r w:rsidR="153EB06F" w:rsidRPr="00734A50">
              <w:rPr>
                <w:rFonts w:ascii="Calibri" w:eastAsia="Times New Roman" w:hAnsi="Calibri" w:cs="Calibri"/>
                <w:sz w:val="20"/>
                <w:szCs w:val="20"/>
                <w:lang w:eastAsia="en-AU"/>
              </w:rPr>
              <w:t xml:space="preserve">. </w:t>
            </w:r>
          </w:p>
        </w:tc>
      </w:tr>
      <w:tr w:rsidR="005A0222" w:rsidRPr="00734A50" w14:paraId="7F455C5C" w14:textId="77777777" w:rsidTr="6DDCDE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6378986D" w14:textId="77777777" w:rsidR="005A0222" w:rsidRPr="00734A50" w:rsidRDefault="005A0222" w:rsidP="00E44E8A">
            <w:pPr>
              <w:rPr>
                <w:rFonts w:ascii="Calibri" w:eastAsia="Calibri" w:hAnsi="Calibri" w:cs="Calibri"/>
                <w:b w:val="0"/>
                <w:bCs w:val="0"/>
                <w:sz w:val="20"/>
                <w:szCs w:val="20"/>
              </w:rPr>
            </w:pPr>
            <w:r w:rsidRPr="00734A50">
              <w:rPr>
                <w:rFonts w:ascii="Calibri" w:eastAsia="Calibri" w:hAnsi="Calibri" w:cs="Calibri"/>
                <w:sz w:val="20"/>
                <w:szCs w:val="20"/>
              </w:rPr>
              <w:t>Standard 4.2</w:t>
            </w:r>
          </w:p>
          <w:p w14:paraId="247C71A1" w14:textId="77777777" w:rsidR="005A0222" w:rsidRPr="00734A50" w:rsidRDefault="005A0222" w:rsidP="00E44E8A">
            <w:pPr>
              <w:rPr>
                <w:rFonts w:ascii="Calibri" w:eastAsia="Calibri" w:hAnsi="Calibri" w:cs="Calibri"/>
                <w:sz w:val="20"/>
                <w:szCs w:val="20"/>
              </w:rPr>
            </w:pPr>
            <w:r w:rsidRPr="00734A50">
              <w:rPr>
                <w:rFonts w:ascii="Calibri" w:eastAsia="Calibri" w:hAnsi="Calibri" w:cs="Calibri"/>
                <w:sz w:val="20"/>
                <w:szCs w:val="20"/>
              </w:rPr>
              <w:t>(Preparing pre-service teachers for curriculum/mandatory content requirements)</w:t>
            </w:r>
          </w:p>
        </w:tc>
        <w:tc>
          <w:tcPr>
            <w:tcW w:w="3260" w:type="dxa"/>
          </w:tcPr>
          <w:p w14:paraId="551FF3C5" w14:textId="5A7F0208" w:rsidR="005A0222" w:rsidRPr="00734A50" w:rsidRDefault="005A0222" w:rsidP="00E44E8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r w:rsidRPr="00734A50">
              <w:rPr>
                <w:rFonts w:ascii="Calibri" w:eastAsia="Times New Roman" w:hAnsi="Calibri" w:cs="Calibri"/>
                <w:sz w:val="20"/>
                <w:szCs w:val="20"/>
                <w:lang w:eastAsia="en-AU"/>
              </w:rPr>
              <w:t xml:space="preserve">Standard 4.2 articulates the requirements for </w:t>
            </w:r>
            <w:r w:rsidRPr="00734A50">
              <w:rPr>
                <w:sz w:val="20"/>
                <w:szCs w:val="20"/>
              </w:rPr>
              <w:t>ITE programs to ‘prepare pre-service teachers for the school curriculum and learning areas of their chosen discipline and/or stage of schooling in accordance with Schedule 1’.</w:t>
            </w:r>
          </w:p>
        </w:tc>
        <w:tc>
          <w:tcPr>
            <w:tcW w:w="3634" w:type="dxa"/>
          </w:tcPr>
          <w:p w14:paraId="45D7B4F1" w14:textId="1D7D6102" w:rsidR="005A0222" w:rsidRPr="00734A50" w:rsidRDefault="005A0222" w:rsidP="00E44E8A">
            <w:pPr>
              <w:spacing w:line="257"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734A50">
              <w:rPr>
                <w:rFonts w:ascii="Calibri" w:eastAsia="Calibri" w:hAnsi="Calibri" w:cs="Arial"/>
                <w:sz w:val="20"/>
                <w:szCs w:val="20"/>
              </w:rPr>
              <w:t xml:space="preserve">The core content does not seek to support </w:t>
            </w:r>
            <w:r w:rsidR="338B0446" w:rsidRPr="00734A50">
              <w:rPr>
                <w:rFonts w:ascii="Calibri" w:eastAsia="Calibri" w:hAnsi="Calibri" w:cs="Arial"/>
                <w:sz w:val="20"/>
                <w:szCs w:val="20"/>
              </w:rPr>
              <w:t xml:space="preserve">ITE students in </w:t>
            </w:r>
            <w:r w:rsidRPr="00734A50">
              <w:rPr>
                <w:rFonts w:ascii="Calibri" w:eastAsia="Calibri" w:hAnsi="Calibri" w:cs="Arial"/>
                <w:sz w:val="20"/>
                <w:szCs w:val="20"/>
              </w:rPr>
              <w:t>meeting all Graduate Teacher Standards</w:t>
            </w:r>
            <w:r w:rsidR="006C6D3D" w:rsidRPr="00734A50">
              <w:rPr>
                <w:rFonts w:ascii="Calibri" w:eastAsia="Calibri" w:hAnsi="Calibri" w:cs="Arial"/>
                <w:sz w:val="20"/>
                <w:szCs w:val="20"/>
              </w:rPr>
              <w:t>;</w:t>
            </w:r>
            <w:r w:rsidRPr="00734A50">
              <w:rPr>
                <w:rFonts w:ascii="Calibri" w:eastAsia="Calibri" w:hAnsi="Calibri" w:cs="Arial"/>
                <w:sz w:val="20"/>
                <w:szCs w:val="20"/>
              </w:rPr>
              <w:t xml:space="preserve"> nor</w:t>
            </w:r>
            <w:r w:rsidR="006C6D3D" w:rsidRPr="00734A50">
              <w:rPr>
                <w:rFonts w:ascii="Calibri" w:eastAsia="Calibri" w:hAnsi="Calibri" w:cs="Arial"/>
                <w:sz w:val="20"/>
                <w:szCs w:val="20"/>
              </w:rPr>
              <w:t xml:space="preserve"> does it</w:t>
            </w:r>
            <w:r w:rsidRPr="00734A50">
              <w:rPr>
                <w:rFonts w:ascii="Calibri" w:eastAsia="Calibri" w:hAnsi="Calibri" w:cs="Arial"/>
                <w:sz w:val="20"/>
                <w:szCs w:val="20"/>
              </w:rPr>
              <w:t xml:space="preserve"> attempt to address the subject-specific content or the related knowledge of the Australian curriculum. However, it is appropriate and important that the discipline</w:t>
            </w:r>
            <w:r w:rsidR="006C6D3D" w:rsidRPr="00734A50">
              <w:rPr>
                <w:rFonts w:ascii="Calibri" w:eastAsia="Calibri" w:hAnsi="Calibri" w:cs="Arial"/>
                <w:sz w:val="20"/>
                <w:szCs w:val="20"/>
              </w:rPr>
              <w:t>-</w:t>
            </w:r>
            <w:r w:rsidRPr="00734A50">
              <w:rPr>
                <w:rFonts w:ascii="Calibri" w:eastAsia="Calibri" w:hAnsi="Calibri" w:cs="Arial"/>
                <w:sz w:val="20"/>
                <w:szCs w:val="20"/>
              </w:rPr>
              <w:t xml:space="preserve">specific content </w:t>
            </w:r>
            <w:r w:rsidR="1D5CBE77" w:rsidRPr="00734A50">
              <w:rPr>
                <w:rFonts w:ascii="Calibri" w:eastAsia="Calibri" w:hAnsi="Calibri" w:cs="Arial"/>
                <w:sz w:val="20"/>
                <w:szCs w:val="20"/>
              </w:rPr>
              <w:t>is consistent with the core content</w:t>
            </w:r>
            <w:r w:rsidRPr="00734A50">
              <w:rPr>
                <w:rFonts w:ascii="Calibri" w:eastAsia="Times New Roman" w:hAnsi="Calibri" w:cs="Calibri"/>
                <w:sz w:val="20"/>
                <w:szCs w:val="20"/>
                <w:lang w:eastAsia="en-AU"/>
              </w:rPr>
              <w:t>.</w:t>
            </w:r>
          </w:p>
        </w:tc>
      </w:tr>
    </w:tbl>
    <w:p w14:paraId="22F53B52" w14:textId="77777777" w:rsidR="005A0222" w:rsidRPr="00734A50" w:rsidRDefault="005A0222" w:rsidP="00E73BBF">
      <w:pPr>
        <w:pStyle w:val="Heading5"/>
      </w:pPr>
      <w:r w:rsidRPr="00734A50">
        <w:t>Amending the Accreditation Procedures</w:t>
      </w:r>
    </w:p>
    <w:p w14:paraId="34F1830B" w14:textId="2084BB5E" w:rsidR="005A0222" w:rsidRPr="00734A50" w:rsidRDefault="005A0222" w:rsidP="005A0222">
      <w:pPr>
        <w:spacing w:after="120"/>
        <w:textAlignment w:val="baseline"/>
        <w:rPr>
          <w:rFonts w:ascii="Calibri" w:eastAsia="Calibri" w:hAnsi="Calibri" w:cs="Arial"/>
        </w:rPr>
      </w:pPr>
      <w:r w:rsidRPr="00734A50">
        <w:rPr>
          <w:rFonts w:ascii="Calibri" w:eastAsia="Calibri" w:hAnsi="Calibri" w:cs="Arial"/>
        </w:rPr>
        <w:t xml:space="preserve">The National Accreditation Procedures set out a nationally consistent process to accredit ITE programs, supplemented by national </w:t>
      </w:r>
      <w:r w:rsidR="00AB2BA2" w:rsidRPr="00734A50">
        <w:rPr>
          <w:rFonts w:ascii="Calibri" w:eastAsia="Calibri" w:hAnsi="Calibri" w:cs="Arial"/>
        </w:rPr>
        <w:t>g</w:t>
      </w:r>
      <w:r w:rsidRPr="00734A50">
        <w:rPr>
          <w:rFonts w:ascii="Calibri" w:eastAsia="Calibri" w:hAnsi="Calibri" w:cs="Arial"/>
        </w:rPr>
        <w:t xml:space="preserve">uidelines. The </w:t>
      </w:r>
      <w:r w:rsidR="00AB2D4C" w:rsidRPr="00734A50">
        <w:rPr>
          <w:rFonts w:ascii="Calibri" w:eastAsia="Calibri" w:hAnsi="Calibri" w:cs="Arial"/>
        </w:rPr>
        <w:t xml:space="preserve">Accreditation </w:t>
      </w:r>
      <w:r w:rsidRPr="00734A50">
        <w:rPr>
          <w:rFonts w:ascii="Calibri" w:eastAsia="Calibri" w:hAnsi="Calibri" w:cs="Arial"/>
        </w:rPr>
        <w:t xml:space="preserve">Procedures and Guidelines outline the evidence which must be provided to show </w:t>
      </w:r>
      <w:r w:rsidR="00AB2D4C" w:rsidRPr="00734A50">
        <w:rPr>
          <w:rFonts w:ascii="Calibri" w:eastAsia="Calibri" w:hAnsi="Calibri" w:cs="Arial"/>
        </w:rPr>
        <w:t xml:space="preserve">that </w:t>
      </w:r>
      <w:r w:rsidRPr="00734A50">
        <w:rPr>
          <w:rFonts w:ascii="Calibri" w:eastAsia="Calibri" w:hAnsi="Calibri" w:cs="Arial"/>
        </w:rPr>
        <w:t>the Program Standards are met</w:t>
      </w:r>
      <w:r w:rsidR="00E176AB" w:rsidRPr="00734A50">
        <w:rPr>
          <w:rFonts w:ascii="Calibri" w:eastAsia="Calibri" w:hAnsi="Calibri" w:cs="Arial"/>
        </w:rPr>
        <w:t>,</w:t>
      </w:r>
      <w:r w:rsidRPr="00734A50">
        <w:rPr>
          <w:rFonts w:ascii="Calibri" w:eastAsia="Calibri" w:hAnsi="Calibri" w:cs="Arial"/>
        </w:rPr>
        <w:t xml:space="preserve"> and the process</w:t>
      </w:r>
      <w:r w:rsidR="00E176AB" w:rsidRPr="00734A50">
        <w:rPr>
          <w:rFonts w:ascii="Calibri" w:eastAsia="Calibri" w:hAnsi="Calibri" w:cs="Arial"/>
        </w:rPr>
        <w:t xml:space="preserve"> that</w:t>
      </w:r>
      <w:r w:rsidRPr="00734A50">
        <w:rPr>
          <w:rFonts w:ascii="Calibri" w:eastAsia="Calibri" w:hAnsi="Calibri" w:cs="Arial"/>
        </w:rPr>
        <w:t xml:space="preserve"> accreditation panels (TRAs) should follow to assess the evidence. </w:t>
      </w:r>
    </w:p>
    <w:p w14:paraId="303D1710" w14:textId="77777777" w:rsidR="005A0222" w:rsidRPr="00734A50" w:rsidRDefault="005A0222" w:rsidP="005A0222">
      <w:pPr>
        <w:spacing w:after="0" w:line="240" w:lineRule="auto"/>
        <w:rPr>
          <w:rFonts w:ascii="Calibri" w:eastAsia="Calibri" w:hAnsi="Calibri" w:cs="Calibri"/>
          <w:b/>
          <w:sz w:val="24"/>
          <w:szCs w:val="24"/>
        </w:rPr>
      </w:pPr>
      <w:r w:rsidRPr="00734A50">
        <w:rPr>
          <w:rFonts w:ascii="Calibri" w:eastAsia="Calibri" w:hAnsi="Calibri" w:cs="Arial"/>
        </w:rPr>
        <w:t>Key pieces of evidence that must be provided in initial accreditation (Stage 1) include:</w:t>
      </w:r>
    </w:p>
    <w:p w14:paraId="32AA8107" w14:textId="77777777" w:rsidR="005A0222" w:rsidRPr="00734A50" w:rsidRDefault="005A0222" w:rsidP="00DF04ED">
      <w:pPr>
        <w:pStyle w:val="ListBullet"/>
        <w:numPr>
          <w:ilvl w:val="0"/>
          <w:numId w:val="216"/>
        </w:numPr>
        <w:rPr>
          <w:rFonts w:cs="Arial"/>
        </w:rPr>
      </w:pPr>
      <w:r w:rsidRPr="00734A50">
        <w:t>Template 1: Application overview, with Dean sign-off</w:t>
      </w:r>
    </w:p>
    <w:p w14:paraId="5224B692" w14:textId="1ED65CEC" w:rsidR="005A0222" w:rsidRPr="00734A50" w:rsidRDefault="005A0222" w:rsidP="00DF04ED">
      <w:pPr>
        <w:pStyle w:val="ListBullet"/>
        <w:numPr>
          <w:ilvl w:val="0"/>
          <w:numId w:val="216"/>
        </w:numPr>
        <w:rPr>
          <w:rFonts w:cs="Arial"/>
        </w:rPr>
      </w:pPr>
      <w:r w:rsidRPr="00734A50">
        <w:t xml:space="preserve">Template 2: Program Standards Matrix, showing how </w:t>
      </w:r>
      <w:r w:rsidR="00AB2D4C" w:rsidRPr="00734A50">
        <w:t>P</w:t>
      </w:r>
      <w:r w:rsidRPr="00734A50">
        <w:t xml:space="preserve">rogram </w:t>
      </w:r>
      <w:r w:rsidR="00AB2D4C" w:rsidRPr="00734A50">
        <w:t>S</w:t>
      </w:r>
      <w:r w:rsidRPr="00734A50">
        <w:t>tandards have been met</w:t>
      </w:r>
    </w:p>
    <w:p w14:paraId="657CCE63" w14:textId="0E52D6CB" w:rsidR="005A0222" w:rsidRPr="00734A50" w:rsidRDefault="005A0222" w:rsidP="00DF04ED">
      <w:pPr>
        <w:pStyle w:val="ListBullet"/>
        <w:numPr>
          <w:ilvl w:val="0"/>
          <w:numId w:val="216"/>
        </w:numPr>
        <w:rPr>
          <w:rFonts w:cs="Arial"/>
        </w:rPr>
      </w:pPr>
      <w:r w:rsidRPr="00734A50">
        <w:t xml:space="preserve">Template 3: Graduate Teacher Standards Matrix, showing how </w:t>
      </w:r>
      <w:r w:rsidR="0097787D" w:rsidRPr="00734A50">
        <w:t>T</w:t>
      </w:r>
      <w:r w:rsidRPr="00734A50">
        <w:t xml:space="preserve">eacher Standards </w:t>
      </w:r>
      <w:r w:rsidR="75D919E0" w:rsidRPr="00734A50">
        <w:t xml:space="preserve">have been </w:t>
      </w:r>
      <w:r w:rsidRPr="00734A50">
        <w:t>met</w:t>
      </w:r>
    </w:p>
    <w:p w14:paraId="00069385" w14:textId="6F4EB260" w:rsidR="005A0222" w:rsidRPr="00734A50" w:rsidRDefault="005A0222" w:rsidP="0026262D">
      <w:pPr>
        <w:pStyle w:val="ListBullet"/>
        <w:numPr>
          <w:ilvl w:val="0"/>
          <w:numId w:val="216"/>
        </w:numPr>
        <w:spacing w:after="200"/>
        <w:ind w:left="357" w:hanging="357"/>
      </w:pPr>
      <w:r w:rsidRPr="00734A50">
        <w:lastRenderedPageBreak/>
        <w:t>Template 4: Plan for Demonstrating Impact, covering program evaluation</w:t>
      </w:r>
      <w:r w:rsidR="009E2BC5" w:rsidRPr="00734A50">
        <w:t>.</w:t>
      </w:r>
    </w:p>
    <w:p w14:paraId="175609D8" w14:textId="0E72A6C9" w:rsidR="005A0222" w:rsidRPr="00734A50" w:rsidRDefault="005A0222" w:rsidP="005A0222">
      <w:pPr>
        <w:spacing w:after="120"/>
        <w:textAlignment w:val="baseline"/>
        <w:rPr>
          <w:rFonts w:ascii="Calibri" w:eastAsia="Calibri" w:hAnsi="Calibri" w:cs="Arial"/>
        </w:rPr>
      </w:pPr>
      <w:r w:rsidRPr="00734A50">
        <w:rPr>
          <w:rFonts w:ascii="Calibri" w:eastAsia="Calibri" w:hAnsi="Calibri" w:cs="Arial"/>
        </w:rPr>
        <w:t>The Panel has considered how to best amend the National Accreditation Procedures to assess the delivery of core content whil</w:t>
      </w:r>
      <w:r w:rsidR="00AB2BA2" w:rsidRPr="00734A50">
        <w:rPr>
          <w:rFonts w:ascii="Calibri" w:eastAsia="Calibri" w:hAnsi="Calibri" w:cs="Arial"/>
        </w:rPr>
        <w:t>e</w:t>
      </w:r>
      <w:r w:rsidRPr="00734A50">
        <w:rPr>
          <w:rFonts w:ascii="Calibri" w:eastAsia="Calibri" w:hAnsi="Calibri" w:cs="Arial"/>
        </w:rPr>
        <w:t xml:space="preserve"> minimising the accreditation burden on </w:t>
      </w:r>
      <w:r w:rsidR="00BD0761" w:rsidRPr="00734A50">
        <w:rPr>
          <w:rFonts w:ascii="Calibri" w:eastAsia="Calibri" w:hAnsi="Calibri" w:cs="Arial"/>
        </w:rPr>
        <w:t xml:space="preserve">higher education </w:t>
      </w:r>
      <w:r w:rsidRPr="00734A50">
        <w:rPr>
          <w:rFonts w:ascii="Calibri" w:eastAsia="Calibri" w:hAnsi="Calibri" w:cs="Arial"/>
        </w:rPr>
        <w:t>providers.</w:t>
      </w:r>
    </w:p>
    <w:p w14:paraId="3B2E2B63" w14:textId="5046F602" w:rsidR="005A0222" w:rsidRPr="00734A50" w:rsidRDefault="005A0222" w:rsidP="005A0222">
      <w:pPr>
        <w:spacing w:after="120"/>
        <w:textAlignment w:val="baseline"/>
        <w:rPr>
          <w:rFonts w:ascii="Calibri" w:eastAsia="Calibri" w:hAnsi="Calibri" w:cs="Arial"/>
        </w:rPr>
      </w:pPr>
      <w:r w:rsidRPr="00734A50">
        <w:rPr>
          <w:rFonts w:ascii="Calibri" w:eastAsia="Calibri" w:hAnsi="Calibri" w:cs="Arial"/>
        </w:rPr>
        <w:t xml:space="preserve">As described </w:t>
      </w:r>
      <w:r w:rsidR="00000860" w:rsidRPr="00734A50">
        <w:rPr>
          <w:rFonts w:ascii="Calibri" w:eastAsia="Calibri" w:hAnsi="Calibri" w:cs="Arial"/>
        </w:rPr>
        <w:t>in Table 1.2</w:t>
      </w:r>
      <w:r w:rsidRPr="00734A50">
        <w:rPr>
          <w:rFonts w:ascii="Calibri" w:eastAsia="Calibri" w:hAnsi="Calibri" w:cs="Arial"/>
        </w:rPr>
        <w:t>, the core content should primarily be reflected in Standard 1.1</w:t>
      </w:r>
      <w:r w:rsidR="0077539A" w:rsidRPr="00734A50">
        <w:rPr>
          <w:rFonts w:ascii="Calibri" w:eastAsia="Calibri" w:hAnsi="Calibri" w:cs="Arial"/>
        </w:rPr>
        <w:t>.</w:t>
      </w:r>
      <w:r w:rsidRPr="00734A50">
        <w:rPr>
          <w:rFonts w:ascii="Calibri" w:eastAsia="Calibri" w:hAnsi="Calibri" w:cs="Arial"/>
        </w:rPr>
        <w:t xml:space="preserve"> </w:t>
      </w:r>
      <w:r w:rsidR="0077539A" w:rsidRPr="00734A50">
        <w:t>T</w:t>
      </w:r>
      <w:r w:rsidR="006433A0" w:rsidRPr="00734A50">
        <w:t>he core content identifies the knowledge and evidence-based practices which support ITE students to meet the Graduate Teacher Standards.</w:t>
      </w:r>
      <w:r w:rsidRPr="00734A50">
        <w:rPr>
          <w:rFonts w:ascii="Calibri" w:eastAsia="Calibri" w:hAnsi="Calibri" w:cs="Arial"/>
        </w:rPr>
        <w:t xml:space="preserve"> </w:t>
      </w:r>
      <w:r w:rsidR="002D6878" w:rsidRPr="00734A50">
        <w:rPr>
          <w:rFonts w:ascii="Calibri" w:eastAsia="Calibri" w:hAnsi="Calibri" w:cs="Arial"/>
        </w:rPr>
        <w:t>Higher education</w:t>
      </w:r>
      <w:r w:rsidRPr="00734A50">
        <w:rPr>
          <w:rFonts w:ascii="Calibri" w:eastAsia="Calibri" w:hAnsi="Calibri" w:cs="Arial"/>
        </w:rPr>
        <w:t xml:space="preserve"> providers </w:t>
      </w:r>
      <w:r w:rsidR="002D6878" w:rsidRPr="00734A50">
        <w:rPr>
          <w:rFonts w:ascii="Calibri" w:eastAsia="Calibri" w:hAnsi="Calibri" w:cs="Arial"/>
        </w:rPr>
        <w:t>demonstrate</w:t>
      </w:r>
      <w:r w:rsidRPr="00734A50">
        <w:rPr>
          <w:rFonts w:ascii="Calibri" w:eastAsia="Calibri" w:hAnsi="Calibri" w:cs="Arial"/>
        </w:rPr>
        <w:t xml:space="preserve"> meet</w:t>
      </w:r>
      <w:r w:rsidR="002D6878" w:rsidRPr="00734A50">
        <w:rPr>
          <w:rFonts w:ascii="Calibri" w:eastAsia="Calibri" w:hAnsi="Calibri" w:cs="Arial"/>
        </w:rPr>
        <w:t>ing</w:t>
      </w:r>
      <w:r w:rsidRPr="00734A50">
        <w:rPr>
          <w:rFonts w:ascii="Calibri" w:eastAsia="Calibri" w:hAnsi="Calibri" w:cs="Arial"/>
        </w:rPr>
        <w:t xml:space="preserve"> Standard 1.1</w:t>
      </w:r>
      <w:r w:rsidR="002D6878" w:rsidRPr="00734A50">
        <w:rPr>
          <w:rFonts w:ascii="Calibri" w:eastAsia="Calibri" w:hAnsi="Calibri" w:cs="Arial"/>
        </w:rPr>
        <w:t xml:space="preserve"> by</w:t>
      </w:r>
      <w:r w:rsidRPr="00734A50">
        <w:rPr>
          <w:rFonts w:ascii="Calibri" w:eastAsia="Calibri" w:hAnsi="Calibri" w:cs="Arial"/>
        </w:rPr>
        <w:t xml:space="preserve"> complet</w:t>
      </w:r>
      <w:r w:rsidR="002D6878" w:rsidRPr="00734A50">
        <w:rPr>
          <w:rFonts w:ascii="Calibri" w:eastAsia="Calibri" w:hAnsi="Calibri" w:cs="Arial"/>
        </w:rPr>
        <w:t>ing</w:t>
      </w:r>
      <w:r w:rsidRPr="00734A50">
        <w:rPr>
          <w:rFonts w:ascii="Calibri" w:eastAsia="Calibri" w:hAnsi="Calibri" w:cs="Arial"/>
        </w:rPr>
        <w:t xml:space="preserve"> ‘Template 3 – Graduate Teacher Standard</w:t>
      </w:r>
      <w:r w:rsidR="009E2BC5" w:rsidRPr="00734A50">
        <w:rPr>
          <w:rFonts w:ascii="Calibri" w:eastAsia="Calibri" w:hAnsi="Calibri" w:cs="Arial"/>
        </w:rPr>
        <w:t>s</w:t>
      </w:r>
      <w:r w:rsidRPr="00734A50">
        <w:rPr>
          <w:rFonts w:ascii="Calibri" w:eastAsia="Calibri" w:hAnsi="Calibri" w:cs="Arial"/>
        </w:rPr>
        <w:t xml:space="preserve"> Matrix’</w:t>
      </w:r>
      <w:r w:rsidR="002D6878" w:rsidRPr="00734A50">
        <w:rPr>
          <w:rFonts w:ascii="Calibri" w:eastAsia="Calibri" w:hAnsi="Calibri" w:cs="Arial"/>
        </w:rPr>
        <w:t>,</w:t>
      </w:r>
      <w:r w:rsidRPr="00734A50">
        <w:rPr>
          <w:rFonts w:ascii="Calibri" w:eastAsia="Calibri" w:hAnsi="Calibri" w:cs="Arial"/>
        </w:rPr>
        <w:t xml:space="preserve"> providing evidence of where each Graduate Teacher Standard is taught, practi</w:t>
      </w:r>
      <w:r w:rsidR="006C6D3D" w:rsidRPr="00734A50">
        <w:rPr>
          <w:rFonts w:ascii="Calibri" w:eastAsia="Calibri" w:hAnsi="Calibri" w:cs="Arial"/>
        </w:rPr>
        <w:t>s</w:t>
      </w:r>
      <w:r w:rsidRPr="00734A50">
        <w:rPr>
          <w:rFonts w:ascii="Calibri" w:eastAsia="Calibri" w:hAnsi="Calibri" w:cs="Arial"/>
        </w:rPr>
        <w:t xml:space="preserve">ed and assessed, as well as a ‘Graduate Teacher Standards Map’ which shows how the standards are delivered over the duration of the program. </w:t>
      </w:r>
    </w:p>
    <w:p w14:paraId="754342D0" w14:textId="02B8C7F8" w:rsidR="005A0222" w:rsidRPr="00734A50" w:rsidRDefault="5BAA69A5" w:rsidP="137EBE1B">
      <w:pPr>
        <w:spacing w:after="120"/>
        <w:textAlignment w:val="baseline"/>
        <w:rPr>
          <w:lang w:val="en-US"/>
        </w:rPr>
      </w:pPr>
      <w:r w:rsidRPr="00734A50">
        <w:rPr>
          <w:rFonts w:ascii="Calibri" w:eastAsia="Calibri" w:hAnsi="Calibri" w:cs="Arial"/>
        </w:rPr>
        <w:t xml:space="preserve">To avoid confusion with the evidence requirements for the Graduate Teacher Standards and minimise changes to the </w:t>
      </w:r>
      <w:r w:rsidR="009E2BC5" w:rsidRPr="00734A50">
        <w:rPr>
          <w:rFonts w:ascii="Calibri" w:eastAsia="Calibri" w:hAnsi="Calibri" w:cs="Arial"/>
        </w:rPr>
        <w:t>a</w:t>
      </w:r>
      <w:r w:rsidRPr="00734A50">
        <w:rPr>
          <w:rFonts w:ascii="Calibri" w:eastAsia="Calibri" w:hAnsi="Calibri" w:cs="Arial"/>
        </w:rPr>
        <w:t xml:space="preserve">ccreditation processes, the Panel proposes </w:t>
      </w:r>
      <w:r w:rsidR="009E2BC5" w:rsidRPr="00734A50">
        <w:rPr>
          <w:rFonts w:ascii="Calibri" w:eastAsia="Calibri" w:hAnsi="Calibri" w:cs="Arial"/>
        </w:rPr>
        <w:t xml:space="preserve">that </w:t>
      </w:r>
      <w:r w:rsidRPr="00734A50">
        <w:rPr>
          <w:rFonts w:ascii="Calibri" w:eastAsia="Calibri" w:hAnsi="Calibri" w:cs="Arial"/>
        </w:rPr>
        <w:t>a separate template</w:t>
      </w:r>
      <w:r w:rsidR="726FF539" w:rsidRPr="00734A50">
        <w:rPr>
          <w:rFonts w:ascii="Calibri" w:eastAsia="Calibri" w:hAnsi="Calibri" w:cs="Arial"/>
        </w:rPr>
        <w:t xml:space="preserve"> should </w:t>
      </w:r>
      <w:r w:rsidRPr="00734A50">
        <w:rPr>
          <w:rFonts w:ascii="Calibri" w:eastAsia="Calibri" w:hAnsi="Calibri" w:cs="Arial"/>
        </w:rPr>
        <w:t xml:space="preserve">be </w:t>
      </w:r>
      <w:r w:rsidR="00C332E2" w:rsidRPr="00734A50">
        <w:t xml:space="preserve">developed to assess the core content in accreditation (called, </w:t>
      </w:r>
      <w:r w:rsidR="00685757" w:rsidRPr="00734A50">
        <w:rPr>
          <w:rFonts w:ascii="Calibri" w:eastAsia="Calibri" w:hAnsi="Calibri" w:cs="Arial"/>
        </w:rPr>
        <w:t>for example</w:t>
      </w:r>
      <w:r w:rsidR="009E2BC5" w:rsidRPr="00734A50">
        <w:rPr>
          <w:rFonts w:ascii="Calibri" w:eastAsia="Calibri" w:hAnsi="Calibri" w:cs="Arial"/>
        </w:rPr>
        <w:t>,</w:t>
      </w:r>
      <w:r w:rsidR="00685757" w:rsidRPr="00734A50">
        <w:rPr>
          <w:rFonts w:ascii="Calibri" w:eastAsia="Calibri" w:hAnsi="Calibri" w:cs="Arial"/>
        </w:rPr>
        <w:t xml:space="preserve"> Template 3.1</w:t>
      </w:r>
      <w:r w:rsidR="00780F56" w:rsidRPr="00734A50">
        <w:rPr>
          <w:rFonts w:ascii="Calibri" w:eastAsia="Calibri" w:hAnsi="Calibri" w:cs="Arial"/>
        </w:rPr>
        <w:t>)</w:t>
      </w:r>
      <w:r w:rsidRPr="00734A50">
        <w:rPr>
          <w:rFonts w:ascii="Calibri" w:eastAsia="Calibri" w:hAnsi="Calibri" w:cs="Arial"/>
        </w:rPr>
        <w:t>. This is similar to an approach described by ATRA in its submission</w:t>
      </w:r>
      <w:r w:rsidR="001550CA" w:rsidRPr="00734A50">
        <w:rPr>
          <w:rFonts w:ascii="Calibri" w:eastAsia="Calibri" w:hAnsi="Calibri" w:cs="Arial"/>
        </w:rPr>
        <w:t xml:space="preserve"> </w:t>
      </w:r>
      <w:r w:rsidR="009E2BC5" w:rsidRPr="00734A50">
        <w:rPr>
          <w:rFonts w:ascii="Calibri" w:eastAsia="Calibri" w:hAnsi="Calibri" w:cs="Arial"/>
        </w:rPr>
        <w:t xml:space="preserve">on </w:t>
      </w:r>
      <w:r w:rsidR="001550CA" w:rsidRPr="00734A50">
        <w:rPr>
          <w:rFonts w:ascii="Calibri" w:eastAsia="Calibri" w:hAnsi="Calibri" w:cs="Arial"/>
        </w:rPr>
        <w:t>the Discussion Paper</w:t>
      </w:r>
      <w:r w:rsidRPr="00734A50">
        <w:rPr>
          <w:rFonts w:ascii="Calibri" w:eastAsia="Calibri" w:hAnsi="Calibri" w:cs="Arial"/>
        </w:rPr>
        <w:t xml:space="preserve"> </w:t>
      </w:r>
      <w:r w:rsidRPr="00734A50">
        <w:rPr>
          <w:lang w:val="en-US"/>
        </w:rPr>
        <w:t>and align</w:t>
      </w:r>
      <w:r w:rsidR="009E2BC5" w:rsidRPr="00734A50">
        <w:rPr>
          <w:lang w:val="en-US"/>
        </w:rPr>
        <w:t>s</w:t>
      </w:r>
      <w:r w:rsidRPr="00734A50">
        <w:rPr>
          <w:lang w:val="en-US"/>
        </w:rPr>
        <w:t xml:space="preserve"> with NSW’s approach to </w:t>
      </w:r>
      <w:r w:rsidR="00AB2BA2" w:rsidRPr="00734A50">
        <w:rPr>
          <w:lang w:val="en-US"/>
        </w:rPr>
        <w:t>p</w:t>
      </w:r>
      <w:r w:rsidRPr="00734A50">
        <w:rPr>
          <w:lang w:val="en-US"/>
        </w:rPr>
        <w:t xml:space="preserve">riority </w:t>
      </w:r>
      <w:r w:rsidR="00AB2BA2" w:rsidRPr="00734A50">
        <w:rPr>
          <w:lang w:val="en-US"/>
        </w:rPr>
        <w:t>a</w:t>
      </w:r>
      <w:r w:rsidRPr="00734A50">
        <w:rPr>
          <w:lang w:val="en-US"/>
        </w:rPr>
        <w:t xml:space="preserve">reas, which </w:t>
      </w:r>
      <w:r w:rsidR="00B2599E" w:rsidRPr="00734A50">
        <w:rPr>
          <w:lang w:val="en-US"/>
        </w:rPr>
        <w:t xml:space="preserve">the Panel understands </w:t>
      </w:r>
      <w:r w:rsidRPr="00734A50">
        <w:rPr>
          <w:lang w:val="en-US"/>
        </w:rPr>
        <w:t xml:space="preserve">has been in use in NSW since </w:t>
      </w:r>
      <w:r w:rsidR="00AD76F1" w:rsidRPr="00734A50">
        <w:rPr>
          <w:lang w:val="en-US"/>
        </w:rPr>
        <w:t>2017.</w:t>
      </w:r>
      <w:r w:rsidRPr="00734A50">
        <w:rPr>
          <w:lang w:val="en-US"/>
        </w:rPr>
        <w:t xml:space="preserve"> </w:t>
      </w:r>
      <w:r w:rsidR="00D476EC" w:rsidRPr="00734A50">
        <w:rPr>
          <w:lang w:val="en-US"/>
        </w:rPr>
        <w:t>Higher education p</w:t>
      </w:r>
      <w:r w:rsidRPr="00734A50">
        <w:rPr>
          <w:lang w:val="en-US"/>
        </w:rPr>
        <w:t>roviders could cross-reference evidence across Templates 3 and 3.1 to avoid duplication of content.</w:t>
      </w:r>
    </w:p>
    <w:p w14:paraId="4118D487" w14:textId="356A8459" w:rsidR="00FE4E9E" w:rsidRPr="00734A50" w:rsidRDefault="00FE4E9E" w:rsidP="00F273EC">
      <w:pPr>
        <w:rPr>
          <w:color w:val="000000"/>
        </w:rPr>
      </w:pPr>
      <w:r w:rsidRPr="00734A50">
        <w:rPr>
          <w:color w:val="000000" w:themeColor="text1"/>
        </w:rPr>
        <w:t xml:space="preserve">A draft Template 3.1 for assessing delivery of the core content in accreditation is provided in </w:t>
      </w:r>
      <w:r w:rsidR="009E2BC5" w:rsidRPr="00734A50">
        <w:rPr>
          <w:color w:val="000000" w:themeColor="text1"/>
        </w:rPr>
        <w:t>A</w:t>
      </w:r>
      <w:r w:rsidRPr="00734A50">
        <w:rPr>
          <w:color w:val="000000" w:themeColor="text1"/>
        </w:rPr>
        <w:t>ppendi</w:t>
      </w:r>
      <w:r w:rsidR="009E2BC5" w:rsidRPr="00734A50">
        <w:rPr>
          <w:color w:val="000000" w:themeColor="text1"/>
        </w:rPr>
        <w:t>x</w:t>
      </w:r>
      <w:r w:rsidR="004F3B8C" w:rsidRPr="00734A50">
        <w:rPr>
          <w:color w:val="000000" w:themeColor="text1"/>
        </w:rPr>
        <w:t xml:space="preserve"> </w:t>
      </w:r>
      <w:r w:rsidR="009E2BC5" w:rsidRPr="00734A50">
        <w:rPr>
          <w:color w:val="000000" w:themeColor="text1"/>
        </w:rPr>
        <w:t>F</w:t>
      </w:r>
      <w:r w:rsidRPr="00734A50">
        <w:rPr>
          <w:color w:val="000000" w:themeColor="text1"/>
        </w:rPr>
        <w:t xml:space="preserve"> of this report. As part of </w:t>
      </w:r>
      <w:r w:rsidRPr="00734A50">
        <w:rPr>
          <w:b/>
          <w:bCs/>
          <w:color w:val="000000" w:themeColor="text1"/>
        </w:rPr>
        <w:t xml:space="preserve">Recommendation 1: Establish </w:t>
      </w:r>
      <w:r w:rsidR="000A7803">
        <w:rPr>
          <w:b/>
          <w:bCs/>
          <w:color w:val="000000" w:themeColor="text1"/>
        </w:rPr>
        <w:t xml:space="preserve">the </w:t>
      </w:r>
      <w:r w:rsidRPr="00734A50">
        <w:rPr>
          <w:b/>
          <w:bCs/>
          <w:color w:val="000000" w:themeColor="text1"/>
        </w:rPr>
        <w:t>core content and mandate</w:t>
      </w:r>
      <w:r w:rsidR="00CF2238" w:rsidRPr="00734A50">
        <w:rPr>
          <w:b/>
          <w:bCs/>
          <w:color w:val="000000" w:themeColor="text1"/>
        </w:rPr>
        <w:t xml:space="preserve"> it</w:t>
      </w:r>
      <w:r w:rsidRPr="00734A50">
        <w:rPr>
          <w:b/>
          <w:bCs/>
          <w:color w:val="000000" w:themeColor="text1"/>
        </w:rPr>
        <w:t xml:space="preserve"> in national accreditation</w:t>
      </w:r>
      <w:r w:rsidRPr="00734A50">
        <w:rPr>
          <w:color w:val="000000" w:themeColor="text1"/>
        </w:rPr>
        <w:t>, AITSL should work with the sector to finalise this template and provide guidance to providers and accreditation panels on assessing the core content in accreditation.</w:t>
      </w:r>
    </w:p>
    <w:p w14:paraId="30671B34" w14:textId="586E4767" w:rsidR="005A0222" w:rsidRPr="00734A50" w:rsidRDefault="00236836" w:rsidP="00F273EC">
      <w:r w:rsidRPr="00734A50">
        <w:t>G</w:t>
      </w:r>
      <w:r w:rsidR="005A0222" w:rsidRPr="00734A50">
        <w:t>uidance should be provided on the evidence requirements for the core content</w:t>
      </w:r>
      <w:r w:rsidR="001550CA" w:rsidRPr="00734A50">
        <w:t xml:space="preserve">. This evidence could include </w:t>
      </w:r>
      <w:r w:rsidR="005A0222" w:rsidRPr="00734A50">
        <w:t xml:space="preserve">unit outlines, reading lists and ‘critical tasks’ (supported by assessment criteria, marking rubrics and worked examples). </w:t>
      </w:r>
      <w:r w:rsidR="00FE4E9E" w:rsidRPr="00734A50">
        <w:t>Longer term, g</w:t>
      </w:r>
      <w:r w:rsidR="005A0222" w:rsidRPr="00734A50">
        <w:t>uidance should</w:t>
      </w:r>
      <w:r w:rsidR="00780F56" w:rsidRPr="00734A50">
        <w:t xml:space="preserve"> also</w:t>
      </w:r>
      <w:r w:rsidR="005A0222" w:rsidRPr="00734A50">
        <w:t xml:space="preserve"> be developed on the types of assessment task</w:t>
      </w:r>
      <w:r w:rsidR="009E2BC5" w:rsidRPr="00734A50">
        <w:t>s</w:t>
      </w:r>
      <w:r w:rsidR="005A0222" w:rsidRPr="00734A50">
        <w:t xml:space="preserve"> that should be used to assess ITE </w:t>
      </w:r>
      <w:r w:rsidR="0E64172A" w:rsidRPr="00734A50">
        <w:t>students</w:t>
      </w:r>
      <w:r w:rsidR="009E2BC5" w:rsidRPr="00734A50">
        <w:t>’</w:t>
      </w:r>
      <w:r w:rsidR="005A0222" w:rsidRPr="00734A50">
        <w:t xml:space="preserve"> skills/capability against the learning outcomes of the core content.</w:t>
      </w:r>
    </w:p>
    <w:p w14:paraId="422C54EC" w14:textId="15048F13" w:rsidR="005A0222" w:rsidRPr="00734A50" w:rsidRDefault="000619D0" w:rsidP="00F273EC">
      <w:pPr>
        <w:rPr>
          <w:rFonts w:ascii="Calibri" w:eastAsia="Calibri" w:hAnsi="Calibri" w:cs="Arial"/>
          <w:color w:val="000000" w:themeColor="text1"/>
        </w:rPr>
      </w:pPr>
      <w:r w:rsidRPr="00734A50">
        <w:rPr>
          <w:rFonts w:ascii="Calibri" w:eastAsia="Calibri" w:hAnsi="Calibri" w:cs="Arial"/>
          <w:color w:val="000000" w:themeColor="text1"/>
        </w:rPr>
        <w:t xml:space="preserve">Appendix </w:t>
      </w:r>
      <w:r w:rsidR="002325F9" w:rsidRPr="00734A50">
        <w:rPr>
          <w:rFonts w:ascii="Calibri" w:eastAsia="Calibri" w:hAnsi="Calibri" w:cs="Arial"/>
          <w:color w:val="000000" w:themeColor="text1"/>
        </w:rPr>
        <w:t>F</w:t>
      </w:r>
      <w:r w:rsidR="005A0222" w:rsidRPr="00734A50">
        <w:rPr>
          <w:rFonts w:ascii="Calibri" w:eastAsia="Calibri" w:hAnsi="Calibri" w:cs="Arial"/>
          <w:color w:val="000000" w:themeColor="text1"/>
        </w:rPr>
        <w:t xml:space="preserve"> details the recommended changes to the National Accreditation Standards and Procedures and provides a draft Template 3.1.</w:t>
      </w:r>
    </w:p>
    <w:p w14:paraId="4424AF01" w14:textId="01E3A11B" w:rsidR="001A7F30" w:rsidRPr="00734A50" w:rsidRDefault="001A7F30" w:rsidP="6DDCDED7">
      <w:pPr>
        <w:pStyle w:val="Heading4"/>
      </w:pPr>
      <w:r w:rsidRPr="00734A50">
        <w:t>1.3.2 Implementing the revised Accreditation Standards and Procedures</w:t>
      </w:r>
    </w:p>
    <w:p w14:paraId="5C75DA65" w14:textId="736161F9" w:rsidR="00FB25AA" w:rsidRPr="00734A50" w:rsidRDefault="00FB25AA" w:rsidP="00FB25AA">
      <w:r w:rsidRPr="00734A50">
        <w:t>Under the current accreditation arrangements, higher education providers will not be required to provide evidence of the core content until their ITE programs are due for accreditation. The Panel has, however, considered options for earlier assessment of ITE programs against the amended Accreditation Standards and Procedures.</w:t>
      </w:r>
    </w:p>
    <w:p w14:paraId="69B16567" w14:textId="2EA1DCC3" w:rsidR="00C70BF6" w:rsidRPr="00734A50" w:rsidRDefault="00C70BF6" w:rsidP="00C70BF6">
      <w:pPr>
        <w:spacing w:after="240"/>
      </w:pPr>
      <w:r w:rsidRPr="00734A50">
        <w:t xml:space="preserve">The Accreditation Standards and Procedures articulate that the time between accreditation cycles should not exceed five years. This means existing ITE programs (over 300) would be re-accredited and assessed against delivery of the core content at different points over the next five years (on average 60 programs accredited per year). This accreditation cycle would result in a significant lag in implementing the core content in ITE programs and a further lag before </w:t>
      </w:r>
      <w:r w:rsidRPr="00A92903">
        <w:t>beginning</w:t>
      </w:r>
      <w:r w:rsidRPr="00734A50">
        <w:t xml:space="preserve"> teachers graduate with knowledge of the core content.</w:t>
      </w:r>
    </w:p>
    <w:p w14:paraId="558C141B" w14:textId="2767CD0E" w:rsidR="00C70BF6" w:rsidRPr="00734A50" w:rsidRDefault="00C70BF6" w:rsidP="000906B0">
      <w:pPr>
        <w:spacing w:after="0"/>
      </w:pPr>
      <w:r w:rsidRPr="00734A50">
        <w:lastRenderedPageBreak/>
        <w:t xml:space="preserve">To expedite implementation, Education Ministers could instruct AITSL to amend the Accreditation Standards and Procedures to include out-of-cycle accreditation of the core content, with a set date by which all ITE programs should be assessed and approved by TRAs. </w:t>
      </w:r>
      <w:r w:rsidR="00FC3913" w:rsidRPr="00FC3913">
        <w:t>Most jurisdictions have used out-of-cycle procedures to ensure timely implementation of previous changes to accreditation, including the introduction of LANTITE assessments and Teaching Performance Assessments.</w:t>
      </w:r>
      <w:r w:rsidR="00FC3913">
        <w:rPr>
          <w:rFonts w:eastAsia="Times New Roman"/>
          <w:color w:val="FF2600"/>
        </w:rPr>
        <w:t xml:space="preserve"> </w:t>
      </w:r>
      <w:r w:rsidRPr="00734A50">
        <w:t>The date by which all ITE programs should</w:t>
      </w:r>
      <w:r w:rsidR="00D3769A" w:rsidRPr="00734A50">
        <w:t xml:space="preserve"> </w:t>
      </w:r>
      <w:r w:rsidRPr="00734A50">
        <w:t>be</w:t>
      </w:r>
      <w:r w:rsidR="00D3769A" w:rsidRPr="00734A50">
        <w:t xml:space="preserve"> </w:t>
      </w:r>
      <w:r w:rsidRPr="00734A50">
        <w:t xml:space="preserve">assessed would need to </w:t>
      </w:r>
      <w:r w:rsidRPr="00536EF0">
        <w:t>consider time</w:t>
      </w:r>
      <w:r w:rsidR="008B5A5F" w:rsidRPr="00536EF0">
        <w:t xml:space="preserve"> </w:t>
      </w:r>
      <w:r w:rsidRPr="00536EF0">
        <w:t>frames</w:t>
      </w:r>
      <w:r w:rsidRPr="00734A50">
        <w:t xml:space="preserve"> for:</w:t>
      </w:r>
    </w:p>
    <w:p w14:paraId="79EC3B07" w14:textId="284F822E" w:rsidR="00C70BF6" w:rsidRPr="00734A50" w:rsidRDefault="00C70BF6" w:rsidP="00DF04ED">
      <w:pPr>
        <w:pStyle w:val="ListBullet"/>
        <w:numPr>
          <w:ilvl w:val="0"/>
          <w:numId w:val="216"/>
        </w:numPr>
      </w:pPr>
      <w:r w:rsidRPr="00734A50">
        <w:t>revision of the Standards and Procedures and accompanying guidelines and supporting templates, and publication of documentation</w:t>
      </w:r>
    </w:p>
    <w:p w14:paraId="102B71A8" w14:textId="28A42EF4" w:rsidR="00C70BF6" w:rsidRPr="00734A50" w:rsidRDefault="00C70BF6" w:rsidP="00DF04ED">
      <w:pPr>
        <w:pStyle w:val="ListBullet"/>
        <w:numPr>
          <w:ilvl w:val="0"/>
          <w:numId w:val="216"/>
        </w:numPr>
      </w:pPr>
      <w:r w:rsidRPr="00734A50">
        <w:t>education and training of accreditation panellists and higher education provider staff involved in the accreditation process to support high-quality implementation</w:t>
      </w:r>
    </w:p>
    <w:p w14:paraId="2BAAC4FF" w14:textId="6F50F748" w:rsidR="00C70BF6" w:rsidRPr="00734A50" w:rsidRDefault="00C70BF6" w:rsidP="00DF04ED">
      <w:pPr>
        <w:pStyle w:val="ListBullet"/>
        <w:numPr>
          <w:ilvl w:val="0"/>
          <w:numId w:val="216"/>
        </w:numPr>
      </w:pPr>
      <w:r w:rsidRPr="00734A50">
        <w:t>making changes to ITE programs to embed the core content</w:t>
      </w:r>
    </w:p>
    <w:p w14:paraId="51542AB3" w14:textId="3886CF24" w:rsidR="00C70BF6" w:rsidRPr="00734A50" w:rsidRDefault="00C70BF6" w:rsidP="0026262D">
      <w:pPr>
        <w:pStyle w:val="ListBullet"/>
        <w:numPr>
          <w:ilvl w:val="0"/>
          <w:numId w:val="216"/>
        </w:numPr>
        <w:spacing w:after="200"/>
        <w:ind w:left="357" w:hanging="357"/>
        <w:contextualSpacing w:val="0"/>
      </w:pPr>
      <w:r w:rsidRPr="00734A50">
        <w:t>higher education providers’ internal approval processes.</w:t>
      </w:r>
    </w:p>
    <w:p w14:paraId="31F41847" w14:textId="71AAF5BD" w:rsidR="00C70BF6" w:rsidRPr="00734A50" w:rsidRDefault="00C70BF6" w:rsidP="00C70BF6">
      <w:r w:rsidRPr="00734A50">
        <w:t xml:space="preserve">It is important to note that before ITE accreditation, changes to programs must be approved by the academic boards of higher education providers, which can take up to 18–24 months. Higher education providers would have an important role to play in expediting their internal approval processes, to ensure all ITE programs could be accredited </w:t>
      </w:r>
      <w:r w:rsidR="00540C2D">
        <w:t>before</w:t>
      </w:r>
      <w:r w:rsidRPr="00734A50">
        <w:t xml:space="preserve"> the agreed date by which all ITE programs are to be assessed.</w:t>
      </w:r>
    </w:p>
    <w:p w14:paraId="36C9152C" w14:textId="76CB7FD5" w:rsidR="00B501DE" w:rsidRPr="00E1274A" w:rsidRDefault="00B501DE" w:rsidP="00B501DE">
      <w:pPr>
        <w:rPr>
          <w:rStyle w:val="normaltextrun"/>
        </w:rPr>
      </w:pPr>
      <w:r>
        <w:rPr>
          <w:rStyle w:val="normaltextrun"/>
          <w:rFonts w:eastAsia="Times New Roman"/>
        </w:rPr>
        <w:t>Some jurisdictions have capacity in their legislation to impose conditions on accreditation. These provisions are primarily used by TRAs to increase flexibility in accreditation and support implementation of accreditation changes.</w:t>
      </w:r>
      <w:r w:rsidRPr="00E1274A">
        <w:rPr>
          <w:rStyle w:val="normaltextrun"/>
        </w:rPr>
        <w:t xml:space="preserve"> It would be open to these jurisdictions to place conditions on accreditation if evidence of the core content is not satisfactory, specifying </w:t>
      </w:r>
      <w:r w:rsidRPr="00540C2D">
        <w:rPr>
          <w:rStyle w:val="normaltextrun"/>
        </w:rPr>
        <w:t>a time</w:t>
      </w:r>
      <w:r w:rsidR="00C44982" w:rsidRPr="00540C2D">
        <w:rPr>
          <w:rStyle w:val="normaltextrun"/>
        </w:rPr>
        <w:t xml:space="preserve"> </w:t>
      </w:r>
      <w:r w:rsidRPr="00540C2D">
        <w:rPr>
          <w:rStyle w:val="normaltextrun"/>
        </w:rPr>
        <w:t xml:space="preserve">frame for </w:t>
      </w:r>
      <w:r w:rsidR="005A3780" w:rsidRPr="00540C2D">
        <w:rPr>
          <w:rStyle w:val="normaltextrun"/>
        </w:rPr>
        <w:t xml:space="preserve">compliance </w:t>
      </w:r>
      <w:r w:rsidR="00C44982" w:rsidRPr="00540C2D">
        <w:rPr>
          <w:rStyle w:val="normaltextrun"/>
        </w:rPr>
        <w:t xml:space="preserve">with </w:t>
      </w:r>
      <w:r w:rsidRPr="00540C2D">
        <w:rPr>
          <w:rStyle w:val="normaltextrun"/>
        </w:rPr>
        <w:t>the requirements for the core content.</w:t>
      </w:r>
    </w:p>
    <w:p w14:paraId="39C2BFC5" w14:textId="37FE3D1C" w:rsidR="005A0222" w:rsidRPr="00734A50" w:rsidRDefault="004D4DA8" w:rsidP="6DDCDED7">
      <w:pPr>
        <w:pStyle w:val="Heading3"/>
        <w:rPr>
          <w:rFonts w:eastAsia="Calibri Light"/>
        </w:rPr>
      </w:pPr>
      <w:bookmarkStart w:id="63" w:name="_Toc139366518"/>
      <w:bookmarkStart w:id="64" w:name="_Toc139366636"/>
      <w:r w:rsidRPr="00734A50">
        <w:t xml:space="preserve">1.4 </w:t>
      </w:r>
      <w:r w:rsidR="5BAA69A5" w:rsidRPr="00734A50">
        <w:rPr>
          <w:rFonts w:eastAsia="Calibri Light"/>
        </w:rPr>
        <w:t>Nationally consistent assessment of ITE program quality</w:t>
      </w:r>
      <w:bookmarkEnd w:id="63"/>
      <w:bookmarkEnd w:id="64"/>
    </w:p>
    <w:p w14:paraId="7F43C0D4" w14:textId="32296589" w:rsidR="005A0222" w:rsidRPr="00734A50" w:rsidRDefault="005A0222" w:rsidP="005A0222">
      <w:pPr>
        <w:spacing w:after="240"/>
        <w:rPr>
          <w:rFonts w:ascii="Calibri" w:eastAsia="Calibri" w:hAnsi="Calibri" w:cs="Calibri"/>
        </w:rPr>
      </w:pPr>
      <w:r w:rsidRPr="00734A50">
        <w:rPr>
          <w:lang w:eastAsia="en-AU"/>
        </w:rPr>
        <w:t xml:space="preserve">Australia’s ITE landscape is complex. There is no single body or government with sole responsibility or accountability for ITE. </w:t>
      </w:r>
      <w:r w:rsidRPr="00734A50">
        <w:rPr>
          <w:rFonts w:ascii="Calibri" w:eastAsia="Calibri" w:hAnsi="Calibri" w:cs="Calibri"/>
        </w:rPr>
        <w:t xml:space="preserve">This reflects the separation of responsibilities between the Australian Government and </w:t>
      </w:r>
      <w:r w:rsidR="00AA17ED" w:rsidRPr="00734A50">
        <w:rPr>
          <w:rFonts w:ascii="Calibri" w:eastAsia="Calibri" w:hAnsi="Calibri" w:cs="Calibri"/>
        </w:rPr>
        <w:t xml:space="preserve">the </w:t>
      </w:r>
      <w:r w:rsidRPr="00734A50">
        <w:rPr>
          <w:rFonts w:ascii="Calibri" w:eastAsia="Calibri" w:hAnsi="Calibri" w:cs="Calibri"/>
        </w:rPr>
        <w:t>states and territories</w:t>
      </w:r>
      <w:r w:rsidR="001550CA" w:rsidRPr="00734A50">
        <w:rPr>
          <w:rFonts w:ascii="Calibri" w:eastAsia="Calibri" w:hAnsi="Calibri" w:cs="Calibri"/>
        </w:rPr>
        <w:t xml:space="preserve">. </w:t>
      </w:r>
      <w:r w:rsidR="0096726A" w:rsidRPr="00734A50">
        <w:t xml:space="preserve">The current ITE system, </w:t>
      </w:r>
      <w:r w:rsidR="00AA17ED" w:rsidRPr="00734A50">
        <w:t xml:space="preserve">in which </w:t>
      </w:r>
      <w:r w:rsidR="0096726A" w:rsidRPr="00734A50">
        <w:t xml:space="preserve">the Australian Government </w:t>
      </w:r>
      <w:r w:rsidR="00AA17ED" w:rsidRPr="00734A50">
        <w:t xml:space="preserve">is </w:t>
      </w:r>
      <w:r w:rsidR="0096726A" w:rsidRPr="00734A50">
        <w:t xml:space="preserve">the primary funder of ITE, </w:t>
      </w:r>
      <w:r w:rsidR="003748A5" w:rsidRPr="00734A50">
        <w:t>and</w:t>
      </w:r>
      <w:r w:rsidR="00AA17ED" w:rsidRPr="00734A50">
        <w:t xml:space="preserve"> the</w:t>
      </w:r>
      <w:r w:rsidR="0096726A" w:rsidRPr="00734A50">
        <w:t xml:space="preserve"> states and territories </w:t>
      </w:r>
      <w:r w:rsidR="00AA17ED" w:rsidRPr="00734A50">
        <w:t xml:space="preserve">have </w:t>
      </w:r>
      <w:r w:rsidR="0096726A" w:rsidRPr="00734A50">
        <w:t xml:space="preserve">the legislative authority to accredit ITE </w:t>
      </w:r>
      <w:r w:rsidR="00A515DC" w:rsidRPr="00734A50">
        <w:t>programs</w:t>
      </w:r>
      <w:r w:rsidR="0096726A" w:rsidRPr="00734A50">
        <w:t>, is limiting the ability to implement reform that encourages a focus on quality</w:t>
      </w:r>
      <w:r w:rsidR="0096726A" w:rsidRPr="00734A50">
        <w:rPr>
          <w:rFonts w:ascii="Calibri" w:eastAsia="Calibri" w:hAnsi="Calibri" w:cs="Calibri"/>
        </w:rPr>
        <w:t xml:space="preserve"> </w:t>
      </w:r>
      <w:r w:rsidRPr="00734A50">
        <w:rPr>
          <w:rFonts w:ascii="Calibri" w:eastAsia="Calibri" w:hAnsi="Calibri" w:cs="Calibri"/>
        </w:rPr>
        <w:t xml:space="preserve">(QITE Review 2022). </w:t>
      </w:r>
    </w:p>
    <w:p w14:paraId="15992C4B" w14:textId="7E11FF56" w:rsidR="00AB25C7" w:rsidRPr="00734A50" w:rsidRDefault="005A0222" w:rsidP="00AB25C7">
      <w:pPr>
        <w:rPr>
          <w:rFonts w:ascii="Calibri" w:eastAsia="Calibri" w:hAnsi="Calibri" w:cs="Calibri"/>
        </w:rPr>
      </w:pPr>
      <w:r w:rsidRPr="00734A50">
        <w:rPr>
          <w:lang w:eastAsia="en-AU"/>
        </w:rPr>
        <w:t xml:space="preserve">A significant collective effort by all stakeholders has been made over the last decade to strengthen national consistency and the rigour of accreditation decisions in response to the 2014 TEMAG Review. </w:t>
      </w:r>
      <w:r w:rsidRPr="00734A50">
        <w:rPr>
          <w:rFonts w:ascii="Calibri" w:eastAsia="Calibri" w:hAnsi="Calibri" w:cs="Calibri"/>
        </w:rPr>
        <w:t>Jurisdictions have participated in a standard</w:t>
      </w:r>
      <w:r w:rsidR="00346ADE" w:rsidRPr="00734A50">
        <w:rPr>
          <w:rFonts w:ascii="Calibri" w:eastAsia="Calibri" w:hAnsi="Calibri" w:cs="Calibri"/>
        </w:rPr>
        <w:t>-</w:t>
      </w:r>
      <w:r w:rsidRPr="00734A50">
        <w:rPr>
          <w:rFonts w:ascii="Calibri" w:eastAsia="Calibri" w:hAnsi="Calibri" w:cs="Calibri"/>
        </w:rPr>
        <w:t xml:space="preserve">setting process and quality assurance activities, establishing an advisory group on TPAs, </w:t>
      </w:r>
      <w:r w:rsidR="00346ADE" w:rsidRPr="00734A50">
        <w:rPr>
          <w:rFonts w:ascii="Calibri" w:eastAsia="Calibri" w:hAnsi="Calibri" w:cs="Calibri"/>
        </w:rPr>
        <w:t xml:space="preserve">conducting </w:t>
      </w:r>
      <w:r w:rsidRPr="00734A50">
        <w:rPr>
          <w:rFonts w:ascii="Calibri" w:eastAsia="Calibri" w:hAnsi="Calibri" w:cs="Calibri"/>
        </w:rPr>
        <w:t>national analysis of the quality of ITE programs</w:t>
      </w:r>
      <w:r w:rsidR="00346ADE" w:rsidRPr="00734A50">
        <w:rPr>
          <w:rFonts w:ascii="Calibri" w:eastAsia="Calibri" w:hAnsi="Calibri" w:cs="Calibri"/>
        </w:rPr>
        <w:t>,</w:t>
      </w:r>
      <w:r w:rsidRPr="00734A50">
        <w:rPr>
          <w:rFonts w:ascii="Calibri" w:eastAsia="Calibri" w:hAnsi="Calibri" w:cs="Calibri"/>
        </w:rPr>
        <w:t xml:space="preserve"> and publishing a summary of each accreditation decision. </w:t>
      </w:r>
      <w:r w:rsidR="00AB25C7" w:rsidRPr="00734A50">
        <w:rPr>
          <w:rFonts w:ascii="Calibri" w:eastAsia="Calibri" w:hAnsi="Calibri" w:cs="Calibri"/>
        </w:rPr>
        <w:t xml:space="preserve">The ITE sector views many of these mechanisms favourably. </w:t>
      </w:r>
    </w:p>
    <w:p w14:paraId="338C2810" w14:textId="48F218AC" w:rsidR="00AB25C7" w:rsidRPr="00734A50" w:rsidRDefault="004B22D7" w:rsidP="00AB25C7">
      <w:pPr>
        <w:rPr>
          <w:rFonts w:ascii="Calibri" w:eastAsia="Calibri" w:hAnsi="Calibri" w:cs="Calibri"/>
        </w:rPr>
      </w:pPr>
      <w:r w:rsidRPr="00734A50">
        <w:rPr>
          <w:rFonts w:ascii="Calibri" w:eastAsia="Calibri" w:hAnsi="Calibri" w:cs="Calibri"/>
        </w:rPr>
        <w:t xml:space="preserve">Despite </w:t>
      </w:r>
      <w:r w:rsidR="00AB12F9" w:rsidRPr="00734A50">
        <w:rPr>
          <w:rFonts w:ascii="Calibri" w:eastAsia="Calibri" w:hAnsi="Calibri" w:cs="Calibri"/>
        </w:rPr>
        <w:t>the TEMAG</w:t>
      </w:r>
      <w:r w:rsidRPr="00734A50">
        <w:rPr>
          <w:rFonts w:ascii="Calibri" w:eastAsia="Calibri" w:hAnsi="Calibri" w:cs="Calibri"/>
        </w:rPr>
        <w:t xml:space="preserve"> reforms, the QITE Review found </w:t>
      </w:r>
      <w:r w:rsidRPr="00734A50">
        <w:rPr>
          <w:rFonts w:ascii="Calibri" w:hAnsi="Calibri" w:cs="Calibri"/>
        </w:rPr>
        <w:t xml:space="preserve">there are no mechanisms to ensure all </w:t>
      </w:r>
      <w:r w:rsidR="0097787D" w:rsidRPr="00734A50">
        <w:rPr>
          <w:rFonts w:ascii="Calibri" w:hAnsi="Calibri" w:cs="Calibri"/>
        </w:rPr>
        <w:t>TRAs</w:t>
      </w:r>
      <w:r w:rsidRPr="00734A50">
        <w:rPr>
          <w:rFonts w:ascii="Calibri" w:hAnsi="Calibri" w:cs="Calibri"/>
        </w:rPr>
        <w:t xml:space="preserve"> are consistently assessing ITE programs against the Accreditation Standards and Procedures in the same way. </w:t>
      </w:r>
    </w:p>
    <w:p w14:paraId="0A6B4192" w14:textId="24ECC0B4" w:rsidR="0015243B" w:rsidRPr="00734A50" w:rsidRDefault="0015243B" w:rsidP="0015243B">
      <w:pPr>
        <w:rPr>
          <w:rFonts w:ascii="Calibri" w:eastAsia="Calibri" w:hAnsi="Calibri" w:cs="Calibri"/>
        </w:rPr>
      </w:pPr>
      <w:r w:rsidRPr="00734A50">
        <w:rPr>
          <w:rFonts w:ascii="Calibri" w:eastAsia="Calibri" w:hAnsi="Calibri" w:cs="Calibri"/>
        </w:rPr>
        <w:lastRenderedPageBreak/>
        <w:t xml:space="preserve">AITSL stated in its submission to the QITE Review that </w:t>
      </w:r>
      <w:r w:rsidR="00346ADE" w:rsidRPr="00734A50">
        <w:rPr>
          <w:rFonts w:ascii="Calibri" w:eastAsia="Calibri" w:hAnsi="Calibri" w:cs="Calibri"/>
        </w:rPr>
        <w:t>‘</w:t>
      </w:r>
      <w:r w:rsidRPr="00734A50">
        <w:rPr>
          <w:rFonts w:ascii="Calibri" w:eastAsia="Calibri" w:hAnsi="Calibri" w:cs="Calibri"/>
        </w:rPr>
        <w:t>the revision or amendment of the Accreditation Standards and Procedures cannot overcome the structural differences that result from eight different interpretations of the accreditation standards</w:t>
      </w:r>
      <w:r w:rsidR="00346ADE" w:rsidRPr="00734A50">
        <w:rPr>
          <w:rFonts w:ascii="Calibri" w:eastAsia="Calibri" w:hAnsi="Calibri" w:cs="Calibri"/>
        </w:rPr>
        <w:t>’</w:t>
      </w:r>
      <w:r w:rsidRPr="00734A50">
        <w:rPr>
          <w:rFonts w:ascii="Calibri" w:eastAsia="Calibri" w:hAnsi="Calibri" w:cs="Calibri"/>
        </w:rPr>
        <w:t xml:space="preserve"> (AITSL 2021, p.20).</w:t>
      </w:r>
    </w:p>
    <w:p w14:paraId="756A4F25" w14:textId="7B58D6DE" w:rsidR="0015243B" w:rsidRPr="00734A50" w:rsidRDefault="001550CA" w:rsidP="00E32B3F">
      <w:pPr>
        <w:textAlignment w:val="baseline"/>
        <w:rPr>
          <w:lang w:val="en-US"/>
        </w:rPr>
      </w:pPr>
      <w:r w:rsidRPr="00734A50">
        <w:rPr>
          <w:lang w:val="en-US"/>
        </w:rPr>
        <w:t xml:space="preserve">Some </w:t>
      </w:r>
      <w:r w:rsidR="0015243B" w:rsidRPr="00734A50">
        <w:rPr>
          <w:lang w:val="en-US"/>
        </w:rPr>
        <w:t xml:space="preserve">submissions </w:t>
      </w:r>
      <w:r w:rsidR="00D84700" w:rsidRPr="00734A50">
        <w:rPr>
          <w:lang w:val="en-US"/>
        </w:rPr>
        <w:t xml:space="preserve">highlighted </w:t>
      </w:r>
      <w:r w:rsidR="0015243B" w:rsidRPr="00734A50">
        <w:rPr>
          <w:lang w:val="en-US"/>
        </w:rPr>
        <w:t xml:space="preserve">the important relationship between nationally consistent assessment of ITE program quality and high-quality delivery of the core content in ITE programs. AITSL recommended that </w:t>
      </w:r>
      <w:r w:rsidR="00346ADE" w:rsidRPr="00734A50">
        <w:rPr>
          <w:lang w:val="en-US"/>
        </w:rPr>
        <w:t>‘</w:t>
      </w:r>
      <w:r w:rsidR="0015243B" w:rsidRPr="00734A50">
        <w:rPr>
          <w:lang w:val="en-US"/>
        </w:rPr>
        <w:t xml:space="preserve">the Standards and Procedures </w:t>
      </w:r>
      <w:r w:rsidR="003748A5" w:rsidRPr="00734A50">
        <w:rPr>
          <w:lang w:val="en-US"/>
        </w:rPr>
        <w:t>b</w:t>
      </w:r>
      <w:r w:rsidR="0015243B" w:rsidRPr="00734A50">
        <w:rPr>
          <w:lang w:val="en-US"/>
        </w:rPr>
        <w:t>e revised in the context of a</w:t>
      </w:r>
      <w:r w:rsidR="0015243B" w:rsidRPr="00734A50">
        <w:rPr>
          <w:b/>
          <w:bCs/>
          <w:lang w:val="en-US"/>
        </w:rPr>
        <w:t xml:space="preserve"> </w:t>
      </w:r>
      <w:r w:rsidR="0015243B" w:rsidRPr="00734A50">
        <w:rPr>
          <w:lang w:val="en-US"/>
        </w:rPr>
        <w:t>strengthened authori</w:t>
      </w:r>
      <w:r w:rsidR="00DD526F" w:rsidRPr="00734A50">
        <w:rPr>
          <w:lang w:val="en-US"/>
        </w:rPr>
        <w:t>s</w:t>
      </w:r>
      <w:r w:rsidR="0015243B" w:rsidRPr="00734A50">
        <w:rPr>
          <w:lang w:val="en-US"/>
        </w:rPr>
        <w:t xml:space="preserve">ing environment. Without such a change, the reforms described in the </w:t>
      </w:r>
      <w:r w:rsidR="00BC7467" w:rsidRPr="00734A50">
        <w:rPr>
          <w:lang w:val="en-US"/>
        </w:rPr>
        <w:t>D</w:t>
      </w:r>
      <w:r w:rsidR="0015243B" w:rsidRPr="00734A50">
        <w:rPr>
          <w:lang w:val="en-US"/>
        </w:rPr>
        <w:t xml:space="preserve">iscussion </w:t>
      </w:r>
      <w:r w:rsidR="00BC7467" w:rsidRPr="00734A50">
        <w:rPr>
          <w:lang w:val="en-US"/>
        </w:rPr>
        <w:t>P</w:t>
      </w:r>
      <w:r w:rsidR="0015243B" w:rsidRPr="00734A50">
        <w:rPr>
          <w:lang w:val="en-US"/>
        </w:rPr>
        <w:t>aper are likely to be subject to inadequate and inconsistent implementation</w:t>
      </w:r>
      <w:r w:rsidR="00346ADE" w:rsidRPr="00734A50">
        <w:rPr>
          <w:lang w:val="en-US"/>
        </w:rPr>
        <w:t>’</w:t>
      </w:r>
      <w:r w:rsidR="0015243B" w:rsidRPr="00734A50">
        <w:rPr>
          <w:lang w:val="en-US"/>
        </w:rPr>
        <w:t xml:space="preserve"> </w:t>
      </w:r>
      <w:r w:rsidR="00195B34" w:rsidRPr="00734A50">
        <w:rPr>
          <w:lang w:val="en-US"/>
        </w:rPr>
        <w:t>(AITSL</w:t>
      </w:r>
      <w:r w:rsidR="002E5587" w:rsidRPr="00734A50">
        <w:rPr>
          <w:lang w:val="en-US"/>
        </w:rPr>
        <w:t xml:space="preserve"> Board</w:t>
      </w:r>
      <w:r w:rsidR="00195B34" w:rsidRPr="00734A50">
        <w:rPr>
          <w:lang w:val="en-US"/>
        </w:rPr>
        <w:t xml:space="preserve"> </w:t>
      </w:r>
      <w:r w:rsidR="00C26592" w:rsidRPr="00734A50">
        <w:rPr>
          <w:lang w:val="en-US"/>
        </w:rPr>
        <w:t>submission).</w:t>
      </w:r>
      <w:r w:rsidR="0015243B" w:rsidRPr="00734A50">
        <w:rPr>
          <w:lang w:val="en-US"/>
        </w:rPr>
        <w:t xml:space="preserve"> </w:t>
      </w:r>
    </w:p>
    <w:p w14:paraId="3DCFE8ED" w14:textId="4CB981A4" w:rsidR="005A0222" w:rsidRPr="00734A50" w:rsidRDefault="005A0222" w:rsidP="000C2F25">
      <w:pPr>
        <w:pStyle w:val="Heading4"/>
      </w:pPr>
      <w:r w:rsidRPr="00734A50">
        <w:t xml:space="preserve">1.4.1 National ITE accreditation </w:t>
      </w:r>
    </w:p>
    <w:p w14:paraId="0F742275" w14:textId="6007933A" w:rsidR="005A0222" w:rsidRPr="00734A50" w:rsidRDefault="005A0222" w:rsidP="00E32B3F">
      <w:r w:rsidRPr="00734A50">
        <w:rPr>
          <w:rFonts w:ascii="Calibri" w:eastAsia="Calibri" w:hAnsi="Calibri" w:cs="Calibri"/>
        </w:rPr>
        <w:t xml:space="preserve">Most professions have delegated the accreditation function to specially created national accreditation bodies. For example, the Australian Health Practitioner Regulation Agency was established in 2008 as a single </w:t>
      </w:r>
      <w:r w:rsidR="00346ADE" w:rsidRPr="00734A50">
        <w:rPr>
          <w:rFonts w:ascii="Calibri" w:eastAsia="Calibri" w:hAnsi="Calibri" w:cs="Calibri"/>
        </w:rPr>
        <w:t>n</w:t>
      </w:r>
      <w:r w:rsidRPr="00734A50">
        <w:rPr>
          <w:rFonts w:ascii="Calibri" w:eastAsia="Calibri" w:hAnsi="Calibri" w:cs="Calibri"/>
        </w:rPr>
        <w:t xml:space="preserve">ational </w:t>
      </w:r>
      <w:r w:rsidR="00346ADE" w:rsidRPr="00734A50">
        <w:rPr>
          <w:rFonts w:ascii="Calibri" w:eastAsia="Calibri" w:hAnsi="Calibri" w:cs="Calibri"/>
        </w:rPr>
        <w:t>r</w:t>
      </w:r>
      <w:r w:rsidRPr="00734A50">
        <w:rPr>
          <w:rFonts w:ascii="Calibri" w:eastAsia="Calibri" w:hAnsi="Calibri" w:cs="Calibri"/>
        </w:rPr>
        <w:t xml:space="preserve">egistration and </w:t>
      </w:r>
      <w:r w:rsidR="00346ADE" w:rsidRPr="00734A50">
        <w:rPr>
          <w:rFonts w:ascii="Calibri" w:eastAsia="Calibri" w:hAnsi="Calibri" w:cs="Calibri"/>
        </w:rPr>
        <w:t>a</w:t>
      </w:r>
      <w:r w:rsidRPr="00734A50">
        <w:rPr>
          <w:rFonts w:ascii="Calibri" w:eastAsia="Calibri" w:hAnsi="Calibri" w:cs="Calibri"/>
        </w:rPr>
        <w:t xml:space="preserve">ccreditation </w:t>
      </w:r>
      <w:r w:rsidR="00346ADE" w:rsidRPr="00734A50">
        <w:rPr>
          <w:rFonts w:ascii="Calibri" w:eastAsia="Calibri" w:hAnsi="Calibri" w:cs="Calibri"/>
        </w:rPr>
        <w:t>s</w:t>
      </w:r>
      <w:r w:rsidRPr="00734A50">
        <w:rPr>
          <w:rFonts w:ascii="Calibri" w:eastAsia="Calibri" w:hAnsi="Calibri" w:cs="Calibri"/>
        </w:rPr>
        <w:t xml:space="preserve">cheme for registered health practitioners (Ingvarson et al. 2014). </w:t>
      </w:r>
    </w:p>
    <w:p w14:paraId="755A98AD" w14:textId="4F340297" w:rsidR="005A0222" w:rsidRPr="00734A50" w:rsidRDefault="00346ADE" w:rsidP="005A0222">
      <w:pPr>
        <w:spacing w:after="0"/>
      </w:pPr>
      <w:r w:rsidRPr="00734A50">
        <w:rPr>
          <w:rFonts w:ascii="Calibri" w:eastAsia="Calibri" w:hAnsi="Calibri" w:cs="Calibri"/>
        </w:rPr>
        <w:t>TEMAG recommended a</w:t>
      </w:r>
      <w:r w:rsidR="005A0222" w:rsidRPr="00734A50">
        <w:rPr>
          <w:rFonts w:ascii="Calibri" w:eastAsia="Calibri" w:hAnsi="Calibri" w:cs="Calibri"/>
        </w:rPr>
        <w:t xml:space="preserve"> national accreditation process for ITE programs</w:t>
      </w:r>
      <w:r w:rsidRPr="00734A50">
        <w:rPr>
          <w:rFonts w:ascii="Calibri" w:eastAsia="Calibri" w:hAnsi="Calibri" w:cs="Calibri"/>
        </w:rPr>
        <w:t>,</w:t>
      </w:r>
      <w:r w:rsidR="005A0222" w:rsidRPr="00734A50">
        <w:rPr>
          <w:rFonts w:ascii="Calibri" w:eastAsia="Calibri" w:hAnsi="Calibri" w:cs="Calibri"/>
        </w:rPr>
        <w:t xml:space="preserve"> administered by a national regulator (TEMAG 2014). This would assure ITE programs are held to the same standard regardless of their delivery mode or location. National accreditation has a number of potential benefits (QITE Review 2022):</w:t>
      </w:r>
    </w:p>
    <w:p w14:paraId="2FA00B33" w14:textId="77777777" w:rsidR="005A0222" w:rsidRPr="00734A50" w:rsidRDefault="005A0222" w:rsidP="00DF04ED">
      <w:pPr>
        <w:pStyle w:val="ListBullet"/>
        <w:numPr>
          <w:ilvl w:val="0"/>
          <w:numId w:val="216"/>
        </w:numPr>
      </w:pPr>
      <w:r w:rsidRPr="00734A50">
        <w:t>ensure national consistency and rigour in the accreditation process</w:t>
      </w:r>
    </w:p>
    <w:p w14:paraId="29DA822A" w14:textId="77777777" w:rsidR="005A0222" w:rsidRPr="00734A50" w:rsidRDefault="005A0222" w:rsidP="00DF04ED">
      <w:pPr>
        <w:pStyle w:val="ListBullet"/>
        <w:numPr>
          <w:ilvl w:val="0"/>
          <w:numId w:val="216"/>
        </w:numPr>
      </w:pPr>
      <w:r w:rsidRPr="00734A50">
        <w:t xml:space="preserve">simplify the accreditation process for providers, particularly those operating across several jurisdictions </w:t>
      </w:r>
    </w:p>
    <w:p w14:paraId="3EC0488B" w14:textId="77777777" w:rsidR="005A0222" w:rsidRPr="00734A50" w:rsidRDefault="005A0222" w:rsidP="00DF04ED">
      <w:pPr>
        <w:pStyle w:val="ListBullet"/>
        <w:numPr>
          <w:ilvl w:val="0"/>
          <w:numId w:val="216"/>
        </w:numPr>
      </w:pPr>
      <w:r w:rsidRPr="00734A50">
        <w:t xml:space="preserve">ensure any future developments can be implemented in a timely manner </w:t>
      </w:r>
    </w:p>
    <w:p w14:paraId="71ABDAAE" w14:textId="77777777" w:rsidR="005A0222" w:rsidRPr="00734A50" w:rsidRDefault="005A0222" w:rsidP="00DF04ED">
      <w:pPr>
        <w:pStyle w:val="ListBullet"/>
        <w:numPr>
          <w:ilvl w:val="0"/>
          <w:numId w:val="216"/>
        </w:numPr>
      </w:pPr>
      <w:r w:rsidRPr="00734A50">
        <w:t xml:space="preserve">drive continuous improvement and quality assurance </w:t>
      </w:r>
    </w:p>
    <w:p w14:paraId="24E5A0E0" w14:textId="35F3866C" w:rsidR="005A0222" w:rsidRPr="00734A50" w:rsidRDefault="005A0222" w:rsidP="00DF04ED">
      <w:pPr>
        <w:pStyle w:val="ListBullet"/>
        <w:numPr>
          <w:ilvl w:val="0"/>
          <w:numId w:val="216"/>
        </w:numPr>
      </w:pPr>
      <w:r w:rsidRPr="00734A50">
        <w:t>allow a risk-based regulatory approach to be implemented over time</w:t>
      </w:r>
    </w:p>
    <w:p w14:paraId="071B520F" w14:textId="75ADBAD6" w:rsidR="005A0222" w:rsidRPr="00734A50" w:rsidRDefault="005A0222" w:rsidP="0026262D">
      <w:pPr>
        <w:pStyle w:val="ListBullet"/>
        <w:numPr>
          <w:ilvl w:val="0"/>
          <w:numId w:val="216"/>
        </w:numPr>
        <w:spacing w:after="200"/>
        <w:ind w:left="357" w:hanging="357"/>
      </w:pPr>
      <w:r w:rsidRPr="00734A50">
        <w:t>enable the collection of national data to support workforce planning.</w:t>
      </w:r>
    </w:p>
    <w:p w14:paraId="3E27C70A" w14:textId="08B292EA" w:rsidR="005A0222" w:rsidRPr="00734A50" w:rsidRDefault="005A0222" w:rsidP="005A0222">
      <w:pPr>
        <w:spacing w:after="0"/>
      </w:pPr>
      <w:r w:rsidRPr="00734A50">
        <w:rPr>
          <w:rFonts w:ascii="Calibri" w:eastAsia="Calibri" w:hAnsi="Calibri" w:cs="Calibri"/>
        </w:rPr>
        <w:t>However, implementing a national system of accreditation for ITE programs</w:t>
      </w:r>
      <w:r w:rsidR="0047689C" w:rsidRPr="00734A50">
        <w:rPr>
          <w:rFonts w:ascii="Calibri" w:eastAsia="Calibri" w:hAnsi="Calibri" w:cs="Calibri"/>
        </w:rPr>
        <w:t xml:space="preserve"> involves challenges and risks</w:t>
      </w:r>
      <w:r w:rsidRPr="00734A50">
        <w:rPr>
          <w:rFonts w:ascii="Calibri" w:eastAsia="Calibri" w:hAnsi="Calibri" w:cs="Calibri"/>
        </w:rPr>
        <w:t xml:space="preserve">. </w:t>
      </w:r>
      <w:r w:rsidR="0047689C" w:rsidRPr="00734A50">
        <w:rPr>
          <w:rFonts w:ascii="Calibri" w:eastAsia="Calibri" w:hAnsi="Calibri" w:cs="Calibri"/>
        </w:rPr>
        <w:t>Specifically, a</w:t>
      </w:r>
      <w:r w:rsidRPr="00734A50">
        <w:rPr>
          <w:rFonts w:ascii="Calibri" w:eastAsia="Calibri" w:hAnsi="Calibri" w:cs="Calibri"/>
        </w:rPr>
        <w:t xml:space="preserve"> national system: </w:t>
      </w:r>
    </w:p>
    <w:p w14:paraId="170BB050" w14:textId="77777777" w:rsidR="005A0222" w:rsidRPr="00734A50" w:rsidRDefault="005A0222" w:rsidP="00DF04ED">
      <w:pPr>
        <w:pStyle w:val="ListBullet"/>
        <w:numPr>
          <w:ilvl w:val="0"/>
          <w:numId w:val="216"/>
        </w:numPr>
      </w:pPr>
      <w:r w:rsidRPr="00734A50">
        <w:t>would require substantial regulatory and legislative change, as all TRAs have been established through legislation in their respective jurisdictions (QITE Review 2022, p.62)</w:t>
      </w:r>
    </w:p>
    <w:p w14:paraId="3677B332" w14:textId="77777777" w:rsidR="005A0222" w:rsidRPr="00734A50" w:rsidRDefault="005A0222" w:rsidP="00DF04ED">
      <w:pPr>
        <w:pStyle w:val="ListBullet"/>
        <w:numPr>
          <w:ilvl w:val="0"/>
          <w:numId w:val="216"/>
        </w:numPr>
      </w:pPr>
      <w:r w:rsidRPr="00734A50">
        <w:t>would require significant financial outlay</w:t>
      </w:r>
    </w:p>
    <w:p w14:paraId="29225F9B" w14:textId="03A8F8C2" w:rsidR="005A0222" w:rsidRPr="00734A50" w:rsidRDefault="005A0222" w:rsidP="00DF04ED">
      <w:pPr>
        <w:pStyle w:val="ListBullet"/>
        <w:numPr>
          <w:ilvl w:val="0"/>
          <w:numId w:val="216"/>
        </w:numPr>
      </w:pPr>
      <w:r w:rsidRPr="00734A50">
        <w:t xml:space="preserve">could lead to a </w:t>
      </w:r>
      <w:r w:rsidR="0047689C" w:rsidRPr="00734A50">
        <w:t>‘</w:t>
      </w:r>
      <w:r w:rsidRPr="00734A50">
        <w:t>one size fits all</w:t>
      </w:r>
      <w:r w:rsidR="0047689C" w:rsidRPr="00734A50">
        <w:t>’</w:t>
      </w:r>
      <w:r w:rsidRPr="00734A50">
        <w:t xml:space="preserve"> approach in the design of ITE programs</w:t>
      </w:r>
    </w:p>
    <w:p w14:paraId="26BA7A01" w14:textId="43B9319B" w:rsidR="005A0222" w:rsidRPr="00734A50" w:rsidRDefault="005A0222" w:rsidP="0026262D">
      <w:pPr>
        <w:pStyle w:val="ListBullet"/>
        <w:numPr>
          <w:ilvl w:val="0"/>
          <w:numId w:val="216"/>
        </w:numPr>
        <w:spacing w:after="200"/>
        <w:ind w:left="357" w:hanging="357"/>
      </w:pPr>
      <w:r w:rsidRPr="00734A50">
        <w:t>may be less responsive to local contexts. This is particularly important in smaller jurisdictions with strong relationships between ITE providers and their TRA (noting</w:t>
      </w:r>
      <w:r w:rsidR="0047689C" w:rsidRPr="00734A50">
        <w:t xml:space="preserve"> that</w:t>
      </w:r>
      <w:r w:rsidRPr="00734A50">
        <w:t xml:space="preserve"> </w:t>
      </w:r>
      <w:r w:rsidR="0047689C" w:rsidRPr="00734A50">
        <w:t xml:space="preserve">Tasmania </w:t>
      </w:r>
      <w:r w:rsidRPr="00734A50">
        <w:t xml:space="preserve">and </w:t>
      </w:r>
      <w:r w:rsidR="0047689C" w:rsidRPr="00734A50">
        <w:t xml:space="preserve">the Northern Territory </w:t>
      </w:r>
      <w:r w:rsidRPr="00734A50">
        <w:t>only accredit programs from one provider each).</w:t>
      </w:r>
    </w:p>
    <w:p w14:paraId="0EF65D8A" w14:textId="26FB58A6" w:rsidR="005001F0" w:rsidRPr="00734A50" w:rsidRDefault="00B54EB8" w:rsidP="00E32B3F">
      <w:r w:rsidRPr="00734A50">
        <w:t>In responses to the Panel’s Discussion Paper, t</w:t>
      </w:r>
      <w:r w:rsidR="005001F0" w:rsidRPr="00734A50">
        <w:t>here was limited support for moving to national accreditation</w:t>
      </w:r>
      <w:r w:rsidR="583DBFAB" w:rsidRPr="00734A50">
        <w:t>.</w:t>
      </w:r>
      <w:r w:rsidR="005001F0" w:rsidRPr="00734A50">
        <w:t xml:space="preserve"> </w:t>
      </w:r>
      <w:r w:rsidR="00881B0E" w:rsidRPr="00734A50">
        <w:t>Some higher education</w:t>
      </w:r>
      <w:r w:rsidR="005001F0" w:rsidRPr="00734A50">
        <w:t xml:space="preserve"> providers were supportive of national accreditation on the proviso that there was not duplication of registration functions </w:t>
      </w:r>
      <w:r w:rsidR="00D37CF9" w:rsidRPr="00734A50">
        <w:t xml:space="preserve">between </w:t>
      </w:r>
      <w:r w:rsidR="00AB12F9" w:rsidRPr="00734A50">
        <w:t>national</w:t>
      </w:r>
      <w:r w:rsidR="005001F0" w:rsidRPr="00734A50">
        <w:t xml:space="preserve"> and </w:t>
      </w:r>
      <w:r w:rsidR="00D37CF9" w:rsidRPr="00734A50">
        <w:t>s</w:t>
      </w:r>
      <w:r w:rsidR="005001F0" w:rsidRPr="00734A50">
        <w:t xml:space="preserve">tate and </w:t>
      </w:r>
      <w:r w:rsidR="00D37CF9" w:rsidRPr="00734A50">
        <w:t>t</w:t>
      </w:r>
      <w:r w:rsidR="005001F0" w:rsidRPr="00734A50">
        <w:t>erritory jurisdictions</w:t>
      </w:r>
      <w:r w:rsidR="00881B0E" w:rsidRPr="00734A50">
        <w:t xml:space="preserve"> (</w:t>
      </w:r>
      <w:r w:rsidR="00784724" w:rsidRPr="00734A50">
        <w:t>Australian Catholic University</w:t>
      </w:r>
      <w:r w:rsidR="00B47412" w:rsidRPr="00734A50">
        <w:t xml:space="preserve"> submission; </w:t>
      </w:r>
      <w:r w:rsidR="59650809" w:rsidRPr="00734A50">
        <w:t>Edith Cowan University</w:t>
      </w:r>
      <w:r w:rsidR="00881B0E" w:rsidRPr="00734A50">
        <w:t xml:space="preserve"> submission)</w:t>
      </w:r>
      <w:r w:rsidR="005001F0" w:rsidRPr="00734A50">
        <w:t xml:space="preserve">. Catholic Schools NSW </w:t>
      </w:r>
      <w:r w:rsidR="00D37CF9" w:rsidRPr="00734A50">
        <w:t xml:space="preserve">was </w:t>
      </w:r>
      <w:r w:rsidR="00175005" w:rsidRPr="00734A50">
        <w:t>also</w:t>
      </w:r>
      <w:r w:rsidR="005001F0" w:rsidRPr="00734A50">
        <w:t xml:space="preserve"> supportive</w:t>
      </w:r>
      <w:r w:rsidR="00ED750E" w:rsidRPr="00734A50">
        <w:t>, noting</w:t>
      </w:r>
      <w:r w:rsidR="00D37CF9" w:rsidRPr="00734A50">
        <w:t xml:space="preserve"> that</w:t>
      </w:r>
      <w:r w:rsidR="00ED750E" w:rsidRPr="00734A50">
        <w:t xml:space="preserve"> </w:t>
      </w:r>
      <w:r w:rsidR="005001F0" w:rsidRPr="00734A50">
        <w:t xml:space="preserve">a </w:t>
      </w:r>
      <w:r w:rsidR="00AB12F9" w:rsidRPr="00734A50">
        <w:t>national</w:t>
      </w:r>
      <w:r w:rsidR="005001F0" w:rsidRPr="00734A50">
        <w:t xml:space="preserve"> registration authority and consistent standards would provide effective means of ensuring consistent, robust delivery of the core content in ITE programs.</w:t>
      </w:r>
    </w:p>
    <w:p w14:paraId="523A90FA" w14:textId="734690EF" w:rsidR="00DE1969" w:rsidRPr="00734A50" w:rsidRDefault="005001F0" w:rsidP="00937758">
      <w:r w:rsidRPr="00734A50">
        <w:lastRenderedPageBreak/>
        <w:t xml:space="preserve">ATRA </w:t>
      </w:r>
      <w:r w:rsidR="00D37CF9" w:rsidRPr="00734A50">
        <w:t xml:space="preserve">did </w:t>
      </w:r>
      <w:r w:rsidRPr="00734A50">
        <w:t xml:space="preserve">not support national accreditation </w:t>
      </w:r>
      <w:r w:rsidR="001425E4" w:rsidRPr="00734A50">
        <w:t>or</w:t>
      </w:r>
      <w:r w:rsidRPr="00734A50">
        <w:t xml:space="preserve"> changes to the authorising environment</w:t>
      </w:r>
      <w:r w:rsidR="00B44747" w:rsidRPr="00734A50">
        <w:t xml:space="preserve">, </w:t>
      </w:r>
      <w:r w:rsidR="00F434DB" w:rsidRPr="00734A50">
        <w:t>not</w:t>
      </w:r>
      <w:r w:rsidR="00B44747" w:rsidRPr="00734A50">
        <w:t>ing</w:t>
      </w:r>
      <w:r w:rsidR="00F434DB" w:rsidRPr="00734A50">
        <w:t xml:space="preserve"> </w:t>
      </w:r>
      <w:r w:rsidR="00D37CF9" w:rsidRPr="00734A50">
        <w:t xml:space="preserve">that </w:t>
      </w:r>
      <w:r w:rsidR="006B45BB" w:rsidRPr="00734A50">
        <w:t xml:space="preserve">existing </w:t>
      </w:r>
      <w:r w:rsidR="0060218B" w:rsidRPr="00734A50">
        <w:t xml:space="preserve">quality assurance </w:t>
      </w:r>
      <w:r w:rsidR="006B45BB" w:rsidRPr="00734A50">
        <w:t xml:space="preserve">practices </w:t>
      </w:r>
      <w:r w:rsidR="00B44747" w:rsidRPr="00734A50">
        <w:t>should</w:t>
      </w:r>
      <w:r w:rsidR="006B45BB" w:rsidRPr="00734A50">
        <w:t xml:space="preserve"> ensure national consistency and harmonisation in </w:t>
      </w:r>
      <w:r w:rsidRPr="00734A50">
        <w:t xml:space="preserve">the accreditation of </w:t>
      </w:r>
      <w:r w:rsidR="00D37CF9" w:rsidRPr="00734A50">
        <w:t>ITE</w:t>
      </w:r>
      <w:r w:rsidRPr="00734A50">
        <w:t xml:space="preserve"> programs.</w:t>
      </w:r>
    </w:p>
    <w:p w14:paraId="5AE730C8" w14:textId="1C7623BE" w:rsidR="005A0222" w:rsidRPr="00734A50" w:rsidRDefault="005A0222" w:rsidP="00AB2BA2">
      <w:pPr>
        <w:pStyle w:val="Heading4"/>
      </w:pPr>
      <w:r w:rsidRPr="00734A50">
        <w:t xml:space="preserve">1.4.2 Strengthening </w:t>
      </w:r>
      <w:r w:rsidR="00846B81" w:rsidRPr="00484DD3">
        <w:t>the</w:t>
      </w:r>
      <w:r w:rsidR="00846B81">
        <w:t xml:space="preserve"> </w:t>
      </w:r>
      <w:r w:rsidR="00572319" w:rsidRPr="00734A50">
        <w:t xml:space="preserve">quality and </w:t>
      </w:r>
      <w:r w:rsidRPr="00734A50">
        <w:t>consistency of ITE program</w:t>
      </w:r>
      <w:r w:rsidR="00AB2BA2" w:rsidRPr="00734A50">
        <w:t>s</w:t>
      </w:r>
      <w:r w:rsidRPr="00734A50">
        <w:t xml:space="preserve"> </w:t>
      </w:r>
      <w:r w:rsidR="00AB2BA2" w:rsidRPr="00734A50">
        <w:t>nationally</w:t>
      </w:r>
    </w:p>
    <w:p w14:paraId="2324F506" w14:textId="7C3A5916" w:rsidR="00621A0B" w:rsidRPr="00734A50" w:rsidRDefault="00F309F3" w:rsidP="00621A0B">
      <w:r w:rsidRPr="00734A50">
        <w:rPr>
          <w:rFonts w:ascii="Calibri" w:eastAsia="Calibri" w:hAnsi="Calibri" w:cs="Calibri"/>
        </w:rPr>
        <w:t>While n</w:t>
      </w:r>
      <w:r w:rsidR="00C72239" w:rsidRPr="00734A50">
        <w:rPr>
          <w:rFonts w:ascii="Calibri" w:eastAsia="Calibri" w:hAnsi="Calibri" w:cs="Calibri"/>
        </w:rPr>
        <w:t>ational accreditation</w:t>
      </w:r>
      <w:r w:rsidRPr="00734A50">
        <w:rPr>
          <w:rFonts w:ascii="Calibri" w:eastAsia="Calibri" w:hAnsi="Calibri" w:cs="Calibri"/>
        </w:rPr>
        <w:t xml:space="preserve"> would be the simplest </w:t>
      </w:r>
      <w:r w:rsidR="00C72239" w:rsidRPr="00734A50">
        <w:rPr>
          <w:rFonts w:ascii="Calibri" w:eastAsia="Calibri" w:hAnsi="Calibri" w:cs="Calibri"/>
        </w:rPr>
        <w:t>mechanism for ensuring nationally consistent ITE program quality</w:t>
      </w:r>
      <w:r w:rsidRPr="00734A50">
        <w:rPr>
          <w:rFonts w:ascii="Calibri" w:eastAsia="Calibri" w:hAnsi="Calibri" w:cs="Calibri"/>
        </w:rPr>
        <w:t>, the pathway to achieving</w:t>
      </w:r>
      <w:r w:rsidR="00C72239" w:rsidRPr="00734A50">
        <w:rPr>
          <w:rFonts w:ascii="Calibri" w:eastAsia="Calibri" w:hAnsi="Calibri" w:cs="Calibri"/>
        </w:rPr>
        <w:t xml:space="preserve"> </w:t>
      </w:r>
      <w:r w:rsidRPr="00734A50">
        <w:rPr>
          <w:rFonts w:ascii="Calibri" w:eastAsia="Calibri" w:hAnsi="Calibri" w:cs="Calibri"/>
        </w:rPr>
        <w:t xml:space="preserve">it is fraught with risks and challenges. </w:t>
      </w:r>
      <w:r w:rsidR="00C72239" w:rsidRPr="00734A50">
        <w:rPr>
          <w:rFonts w:ascii="Calibri" w:eastAsia="Calibri" w:hAnsi="Calibri" w:cs="Calibri"/>
        </w:rPr>
        <w:t xml:space="preserve">The Panel has weighed feedback from key stakeholders and considered existing arrangements and architecture in in achieving national consistency in the accreditation of ITE programs. </w:t>
      </w:r>
      <w:r w:rsidRPr="00734A50">
        <w:rPr>
          <w:rFonts w:ascii="Calibri" w:eastAsia="Calibri" w:hAnsi="Calibri" w:cs="Calibri"/>
        </w:rPr>
        <w:t>The Panel believes</w:t>
      </w:r>
      <w:r w:rsidR="00D37CF9" w:rsidRPr="00734A50">
        <w:rPr>
          <w:rFonts w:ascii="Calibri" w:eastAsia="Calibri" w:hAnsi="Calibri" w:cs="Calibri"/>
        </w:rPr>
        <w:t xml:space="preserve"> that</w:t>
      </w:r>
      <w:r w:rsidRPr="00734A50">
        <w:rPr>
          <w:rFonts w:ascii="Calibri" w:eastAsia="Calibri" w:hAnsi="Calibri" w:cs="Calibri"/>
        </w:rPr>
        <w:t xml:space="preserve"> </w:t>
      </w:r>
      <w:r w:rsidR="00621A0B" w:rsidRPr="00734A50">
        <w:t>strengthen</w:t>
      </w:r>
      <w:r w:rsidR="00B4582D" w:rsidRPr="00734A50">
        <w:t>ed</w:t>
      </w:r>
      <w:r w:rsidR="00621A0B" w:rsidRPr="00734A50">
        <w:t xml:space="preserve"> oversight and governance arrangements for ITE programs</w:t>
      </w:r>
      <w:r w:rsidR="007B78AB" w:rsidRPr="00734A50">
        <w:t xml:space="preserve"> </w:t>
      </w:r>
      <w:r w:rsidR="009E5E08">
        <w:t>are</w:t>
      </w:r>
      <w:r w:rsidR="00722B4C" w:rsidRPr="00734A50">
        <w:t xml:space="preserve"> needed to</w:t>
      </w:r>
      <w:r w:rsidR="007B78AB" w:rsidRPr="00734A50">
        <w:t xml:space="preserve"> </w:t>
      </w:r>
      <w:r w:rsidR="001173A9" w:rsidRPr="00734A50">
        <w:t>ensure</w:t>
      </w:r>
      <w:r w:rsidR="00B36213" w:rsidRPr="00734A50">
        <w:t xml:space="preserve"> </w:t>
      </w:r>
      <w:r w:rsidR="00EA1A65" w:rsidRPr="00734A50">
        <w:t>the</w:t>
      </w:r>
      <w:r w:rsidR="001931A3" w:rsidRPr="00734A50">
        <w:t xml:space="preserve"> quality</w:t>
      </w:r>
      <w:r w:rsidR="00EA1A65" w:rsidRPr="00734A50">
        <w:t xml:space="preserve"> an</w:t>
      </w:r>
      <w:r w:rsidR="005E2A88" w:rsidRPr="00734A50">
        <w:t xml:space="preserve">d consistency of ITE programs, </w:t>
      </w:r>
      <w:r w:rsidR="00722B4C" w:rsidRPr="00734A50">
        <w:t>rather than moving to a national accreditation model</w:t>
      </w:r>
      <w:r w:rsidR="00621A0B" w:rsidRPr="00734A50">
        <w:t xml:space="preserve">. </w:t>
      </w:r>
    </w:p>
    <w:p w14:paraId="46D2BC42" w14:textId="79290EB6" w:rsidR="00C445BE" w:rsidRPr="00734A50" w:rsidRDefault="00B53F4B" w:rsidP="005A0222">
      <w:pPr>
        <w:rPr>
          <w:rFonts w:ascii="Calibri" w:eastAsia="Calibri" w:hAnsi="Calibri" w:cs="Calibri"/>
        </w:rPr>
      </w:pPr>
      <w:r w:rsidRPr="00734A50">
        <w:rPr>
          <w:rFonts w:ascii="Calibri" w:eastAsia="Calibri" w:hAnsi="Calibri" w:cs="Calibri"/>
        </w:rPr>
        <w:t xml:space="preserve">The QITE Review </w:t>
      </w:r>
      <w:r w:rsidR="00E5431B" w:rsidRPr="00734A50">
        <w:rPr>
          <w:rFonts w:ascii="Calibri" w:eastAsia="Calibri" w:hAnsi="Calibri" w:cs="Calibri"/>
        </w:rPr>
        <w:t xml:space="preserve">highlighted the value of </w:t>
      </w:r>
      <w:r w:rsidR="004175BD" w:rsidRPr="00734A50">
        <w:rPr>
          <w:rFonts w:ascii="Calibri" w:eastAsia="Calibri" w:hAnsi="Calibri" w:cs="Calibri"/>
        </w:rPr>
        <w:t xml:space="preserve">undertaking a ‘health check’ of the </w:t>
      </w:r>
      <w:r w:rsidR="001C3A8C" w:rsidRPr="00734A50">
        <w:rPr>
          <w:rFonts w:ascii="Calibri" w:eastAsia="Calibri" w:hAnsi="Calibri" w:cs="Calibri"/>
        </w:rPr>
        <w:t>national accreditation system and noted</w:t>
      </w:r>
      <w:r w:rsidR="00D37CF9" w:rsidRPr="00734A50">
        <w:rPr>
          <w:rFonts w:ascii="Calibri" w:eastAsia="Calibri" w:hAnsi="Calibri" w:cs="Calibri"/>
        </w:rPr>
        <w:t xml:space="preserve"> that</w:t>
      </w:r>
      <w:r w:rsidR="001C3A8C" w:rsidRPr="00734A50">
        <w:rPr>
          <w:rFonts w:ascii="Calibri" w:eastAsia="Calibri" w:hAnsi="Calibri" w:cs="Calibri"/>
        </w:rPr>
        <w:t xml:space="preserve"> </w:t>
      </w:r>
      <w:r w:rsidR="00E5431B" w:rsidRPr="00734A50">
        <w:rPr>
          <w:rFonts w:ascii="Calibri" w:eastAsia="Calibri" w:hAnsi="Calibri" w:cs="Calibri"/>
        </w:rPr>
        <w:t>a</w:t>
      </w:r>
      <w:r w:rsidR="009311A8" w:rsidRPr="00734A50">
        <w:rPr>
          <w:rFonts w:ascii="Calibri" w:eastAsia="Calibri" w:hAnsi="Calibri" w:cs="Calibri"/>
        </w:rPr>
        <w:t xml:space="preserve">n ITE </w:t>
      </w:r>
      <w:r w:rsidR="00FF0C67" w:rsidRPr="00734A50">
        <w:rPr>
          <w:rFonts w:ascii="Calibri" w:eastAsia="Calibri" w:hAnsi="Calibri" w:cs="Calibri"/>
        </w:rPr>
        <w:t xml:space="preserve">quality assurance </w:t>
      </w:r>
      <w:r w:rsidR="00C86A38" w:rsidRPr="00734A50">
        <w:rPr>
          <w:rFonts w:ascii="Calibri" w:eastAsia="Calibri" w:hAnsi="Calibri" w:cs="Calibri"/>
        </w:rPr>
        <w:t>board</w:t>
      </w:r>
      <w:r w:rsidR="002A35B5" w:rsidRPr="00734A50">
        <w:rPr>
          <w:rFonts w:ascii="Calibri" w:eastAsia="Calibri" w:hAnsi="Calibri" w:cs="Calibri"/>
        </w:rPr>
        <w:t>, established with states and territories, could support this by undertaking</w:t>
      </w:r>
      <w:r w:rsidR="005A0C78" w:rsidRPr="00734A50">
        <w:rPr>
          <w:rFonts w:ascii="Calibri" w:eastAsia="Calibri" w:hAnsi="Calibri" w:cs="Calibri"/>
        </w:rPr>
        <w:t xml:space="preserve"> </w:t>
      </w:r>
      <w:r w:rsidR="00D37CF9" w:rsidRPr="00734A50">
        <w:rPr>
          <w:rFonts w:ascii="Calibri" w:eastAsia="Calibri" w:hAnsi="Calibri" w:cs="Calibri"/>
        </w:rPr>
        <w:t>i</w:t>
      </w:r>
      <w:r w:rsidR="005A0C78" w:rsidRPr="00734A50">
        <w:rPr>
          <w:rFonts w:ascii="Calibri" w:eastAsia="Calibri" w:hAnsi="Calibri" w:cs="Calibri"/>
        </w:rPr>
        <w:t xml:space="preserve">nquiries </w:t>
      </w:r>
      <w:r w:rsidR="00B91EA2" w:rsidRPr="00734A50">
        <w:rPr>
          <w:rFonts w:ascii="Calibri" w:eastAsia="Calibri" w:hAnsi="Calibri" w:cs="Calibri"/>
        </w:rPr>
        <w:t>and publicly report</w:t>
      </w:r>
      <w:r w:rsidR="002A35B5" w:rsidRPr="00734A50">
        <w:rPr>
          <w:rFonts w:ascii="Calibri" w:eastAsia="Calibri" w:hAnsi="Calibri" w:cs="Calibri"/>
        </w:rPr>
        <w:t>ing</w:t>
      </w:r>
      <w:r w:rsidR="00B91EA2" w:rsidRPr="00734A50">
        <w:rPr>
          <w:rFonts w:ascii="Calibri" w:eastAsia="Calibri" w:hAnsi="Calibri" w:cs="Calibri"/>
        </w:rPr>
        <w:t xml:space="preserve"> on </w:t>
      </w:r>
      <w:r w:rsidR="00BC7462" w:rsidRPr="00734A50">
        <w:rPr>
          <w:rFonts w:ascii="Calibri" w:eastAsia="Calibri" w:hAnsi="Calibri" w:cs="Calibri"/>
        </w:rPr>
        <w:t xml:space="preserve">ITE </w:t>
      </w:r>
      <w:r w:rsidR="00B21E18" w:rsidRPr="00734A50">
        <w:rPr>
          <w:rFonts w:ascii="Calibri" w:eastAsia="Calibri" w:hAnsi="Calibri" w:cs="Calibri"/>
        </w:rPr>
        <w:t xml:space="preserve">programs </w:t>
      </w:r>
      <w:r w:rsidR="00BC7462" w:rsidRPr="00734A50">
        <w:rPr>
          <w:rFonts w:ascii="Calibri" w:eastAsia="Calibri" w:hAnsi="Calibri" w:cs="Calibri"/>
        </w:rPr>
        <w:t>in Australia</w:t>
      </w:r>
      <w:r w:rsidR="005A0222" w:rsidRPr="00734A50">
        <w:rPr>
          <w:rFonts w:ascii="Calibri" w:eastAsia="Calibri" w:hAnsi="Calibri" w:cs="Calibri"/>
        </w:rPr>
        <w:t xml:space="preserve"> (QITE Review 2022). </w:t>
      </w:r>
      <w:r w:rsidRPr="00734A50">
        <w:rPr>
          <w:rFonts w:ascii="Calibri" w:eastAsia="Calibri" w:hAnsi="Calibri" w:cs="Calibri"/>
        </w:rPr>
        <w:t>This Panel supports the QITE Review</w:t>
      </w:r>
      <w:r w:rsidR="00C84FE6" w:rsidRPr="00734A50">
        <w:rPr>
          <w:rFonts w:ascii="Calibri" w:eastAsia="Calibri" w:hAnsi="Calibri" w:cs="Calibri"/>
        </w:rPr>
        <w:t>’s findin</w:t>
      </w:r>
      <w:r w:rsidR="008118C4" w:rsidRPr="00734A50">
        <w:rPr>
          <w:rFonts w:ascii="Calibri" w:eastAsia="Calibri" w:hAnsi="Calibri" w:cs="Calibri"/>
        </w:rPr>
        <w:t>g and recommends establishing an ITE quality assurance board.</w:t>
      </w:r>
      <w:r w:rsidR="00CE0D55" w:rsidRPr="00734A50">
        <w:rPr>
          <w:rFonts w:ascii="Calibri" w:eastAsia="Calibri" w:hAnsi="Calibri" w:cs="Calibri"/>
        </w:rPr>
        <w:t xml:space="preserve"> This is essential to strengthening </w:t>
      </w:r>
      <w:r w:rsidR="00923193" w:rsidRPr="00734A50">
        <w:rPr>
          <w:rFonts w:ascii="Calibri" w:eastAsia="Calibri" w:hAnsi="Calibri" w:cs="Calibri"/>
        </w:rPr>
        <w:t>the quality and consistency of ITE programs</w:t>
      </w:r>
      <w:r w:rsidR="00AB2BA2" w:rsidRPr="00734A50">
        <w:rPr>
          <w:rFonts w:ascii="Calibri" w:eastAsia="Calibri" w:hAnsi="Calibri" w:cs="Calibri"/>
        </w:rPr>
        <w:t xml:space="preserve"> nationally</w:t>
      </w:r>
      <w:r w:rsidR="00923193" w:rsidRPr="00734A50">
        <w:rPr>
          <w:rFonts w:ascii="Calibri" w:eastAsia="Calibri" w:hAnsi="Calibri" w:cs="Calibri"/>
        </w:rPr>
        <w:t>.</w:t>
      </w:r>
    </w:p>
    <w:p w14:paraId="1CC5C2DF" w14:textId="08178C8E" w:rsidR="00C84FE6" w:rsidRPr="00734A50" w:rsidRDefault="00C84FE6" w:rsidP="00E73BBF">
      <w:pPr>
        <w:pStyle w:val="Heading5"/>
      </w:pPr>
      <w:r w:rsidRPr="00734A50">
        <w:t>Establish</w:t>
      </w:r>
      <w:r w:rsidR="000C2F25" w:rsidRPr="00734A50">
        <w:t>ment of</w:t>
      </w:r>
      <w:r w:rsidRPr="00734A50">
        <w:t xml:space="preserve"> a</w:t>
      </w:r>
      <w:r w:rsidR="00486A1E" w:rsidRPr="00734A50">
        <w:t xml:space="preserve">n ITE quality assurance </w:t>
      </w:r>
      <w:r w:rsidR="003E2535" w:rsidRPr="00734A50">
        <w:t>board</w:t>
      </w:r>
    </w:p>
    <w:p w14:paraId="22812752" w14:textId="7B1D32B2" w:rsidR="00AD4043" w:rsidRPr="00734A50" w:rsidRDefault="00025CB2" w:rsidP="007423A3">
      <w:pPr>
        <w:keepNext/>
        <w:rPr>
          <w:rFonts w:ascii="Calibri" w:eastAsia="Calibri" w:hAnsi="Calibri" w:cs="Calibri"/>
        </w:rPr>
      </w:pPr>
      <w:r w:rsidRPr="00734A50">
        <w:rPr>
          <w:rFonts w:ascii="Calibri" w:eastAsia="Calibri" w:hAnsi="Calibri" w:cs="Calibri"/>
        </w:rPr>
        <w:t xml:space="preserve">In line with the QITE Review </w:t>
      </w:r>
      <w:r w:rsidR="00572319" w:rsidRPr="00734A50">
        <w:rPr>
          <w:rFonts w:ascii="Calibri" w:eastAsia="Calibri" w:hAnsi="Calibri" w:cs="Calibri"/>
        </w:rPr>
        <w:t>findings,</w:t>
      </w:r>
      <w:r w:rsidRPr="00734A50">
        <w:rPr>
          <w:rFonts w:ascii="Calibri" w:eastAsia="Calibri" w:hAnsi="Calibri" w:cs="Calibri"/>
        </w:rPr>
        <w:t xml:space="preserve"> a</w:t>
      </w:r>
      <w:r w:rsidR="007F4127" w:rsidRPr="00734A50">
        <w:rPr>
          <w:rFonts w:ascii="Calibri" w:eastAsia="Calibri" w:hAnsi="Calibri" w:cs="Calibri"/>
        </w:rPr>
        <w:t xml:space="preserve">n ITE quality assurance board </w:t>
      </w:r>
      <w:r w:rsidR="00145530" w:rsidRPr="00734A50">
        <w:rPr>
          <w:rFonts w:ascii="Calibri" w:eastAsia="Calibri" w:hAnsi="Calibri" w:cs="Calibri"/>
        </w:rPr>
        <w:t>would independently assess ITE program content and performance, including as directed by Education Ministers. The</w:t>
      </w:r>
      <w:r w:rsidR="00897396" w:rsidRPr="00734A50">
        <w:rPr>
          <w:rFonts w:ascii="Calibri" w:eastAsia="Calibri" w:hAnsi="Calibri" w:cs="Calibri"/>
        </w:rPr>
        <w:t xml:space="preserve"> </w:t>
      </w:r>
      <w:r w:rsidR="002F6E45" w:rsidRPr="00734A50">
        <w:rPr>
          <w:rFonts w:ascii="Calibri" w:eastAsia="Calibri" w:hAnsi="Calibri" w:cs="Calibri"/>
        </w:rPr>
        <w:t>board</w:t>
      </w:r>
      <w:r w:rsidR="00ED6011" w:rsidRPr="00734A50">
        <w:rPr>
          <w:rFonts w:ascii="Calibri" w:eastAsia="Calibri" w:hAnsi="Calibri" w:cs="Calibri"/>
        </w:rPr>
        <w:t xml:space="preserve"> and its membership</w:t>
      </w:r>
      <w:r w:rsidR="00145530" w:rsidRPr="00734A50">
        <w:rPr>
          <w:rFonts w:ascii="Calibri" w:eastAsia="Calibri" w:hAnsi="Calibri" w:cs="Calibri"/>
        </w:rPr>
        <w:t xml:space="preserve"> </w:t>
      </w:r>
      <w:r w:rsidR="005A0222" w:rsidRPr="00734A50">
        <w:rPr>
          <w:rFonts w:ascii="Calibri" w:eastAsia="Calibri" w:hAnsi="Calibri" w:cs="Calibri"/>
        </w:rPr>
        <w:t xml:space="preserve">would align with the </w:t>
      </w:r>
      <w:r w:rsidR="00145530" w:rsidRPr="00734A50">
        <w:rPr>
          <w:rFonts w:ascii="Calibri" w:eastAsia="Calibri" w:hAnsi="Calibri" w:cs="Calibri"/>
        </w:rPr>
        <w:t>current</w:t>
      </w:r>
      <w:r w:rsidR="005A0222" w:rsidRPr="00734A50">
        <w:rPr>
          <w:rFonts w:ascii="Calibri" w:eastAsia="Calibri" w:hAnsi="Calibri" w:cs="Calibri"/>
        </w:rPr>
        <w:t xml:space="preserve"> national architecture, following existing models like the Australian Teacher Workforce Data Oversight Board</w:t>
      </w:r>
      <w:r w:rsidR="00D37CF9" w:rsidRPr="00734A50">
        <w:rPr>
          <w:rFonts w:ascii="Calibri" w:eastAsia="Calibri" w:hAnsi="Calibri" w:cs="Calibri"/>
        </w:rPr>
        <w:t>,</w:t>
      </w:r>
      <w:r w:rsidR="005A0222" w:rsidRPr="00734A50">
        <w:rPr>
          <w:rFonts w:ascii="Calibri" w:eastAsia="Calibri" w:hAnsi="Calibri" w:cs="Calibri"/>
        </w:rPr>
        <w:t xml:space="preserve"> with the </w:t>
      </w:r>
      <w:r w:rsidR="00D37CF9" w:rsidRPr="00734A50">
        <w:rPr>
          <w:rFonts w:ascii="Calibri" w:eastAsia="Calibri" w:hAnsi="Calibri" w:cs="Calibri"/>
        </w:rPr>
        <w:t>c</w:t>
      </w:r>
      <w:r w:rsidR="005A0222" w:rsidRPr="00734A50">
        <w:rPr>
          <w:rFonts w:ascii="Calibri" w:eastAsia="Calibri" w:hAnsi="Calibri" w:cs="Calibri"/>
        </w:rPr>
        <w:t xml:space="preserve">hair of the </w:t>
      </w:r>
      <w:r w:rsidR="00507095" w:rsidRPr="00734A50">
        <w:rPr>
          <w:rFonts w:ascii="Calibri" w:eastAsia="Calibri" w:hAnsi="Calibri" w:cs="Calibri"/>
        </w:rPr>
        <w:t xml:space="preserve">board </w:t>
      </w:r>
      <w:r w:rsidR="005A0222" w:rsidRPr="00734A50">
        <w:rPr>
          <w:rFonts w:ascii="Calibri" w:eastAsia="Calibri" w:hAnsi="Calibri" w:cs="Calibri"/>
        </w:rPr>
        <w:t xml:space="preserve">to be a member of the Australian Education Senior Officials Committee. </w:t>
      </w:r>
      <w:r w:rsidR="004E2159" w:rsidRPr="00734A50">
        <w:rPr>
          <w:rFonts w:ascii="Calibri" w:eastAsia="Calibri" w:hAnsi="Calibri" w:cs="Calibri"/>
        </w:rPr>
        <w:t>Board membership</w:t>
      </w:r>
      <w:r w:rsidR="00AD4043" w:rsidRPr="00734A50">
        <w:rPr>
          <w:rFonts w:ascii="Calibri" w:eastAsia="Calibri" w:hAnsi="Calibri" w:cs="Calibri"/>
        </w:rPr>
        <w:t xml:space="preserve"> would be based on </w:t>
      </w:r>
      <w:r w:rsidR="007E683E" w:rsidRPr="00734A50">
        <w:rPr>
          <w:rFonts w:ascii="Calibri" w:eastAsia="Calibri" w:hAnsi="Calibri" w:cs="Calibri"/>
        </w:rPr>
        <w:t xml:space="preserve">relevant </w:t>
      </w:r>
      <w:r w:rsidR="00AD4043" w:rsidRPr="00734A50">
        <w:rPr>
          <w:rFonts w:ascii="Calibri" w:eastAsia="Calibri" w:hAnsi="Calibri" w:cs="Calibri"/>
        </w:rPr>
        <w:t xml:space="preserve">expertise </w:t>
      </w:r>
      <w:r w:rsidR="007E683E" w:rsidRPr="00734A50">
        <w:rPr>
          <w:rFonts w:ascii="Calibri" w:eastAsia="Calibri" w:hAnsi="Calibri" w:cs="Calibri"/>
        </w:rPr>
        <w:t>across the sector</w:t>
      </w:r>
      <w:r w:rsidR="00E62944" w:rsidRPr="00734A50">
        <w:rPr>
          <w:rFonts w:ascii="Calibri" w:eastAsia="Calibri" w:hAnsi="Calibri" w:cs="Calibri"/>
        </w:rPr>
        <w:t xml:space="preserve"> and would support </w:t>
      </w:r>
      <w:r w:rsidR="004F11B0" w:rsidRPr="00734A50">
        <w:rPr>
          <w:rFonts w:ascii="Calibri" w:eastAsia="Calibri" w:hAnsi="Calibri" w:cs="Calibri"/>
        </w:rPr>
        <w:t xml:space="preserve">the spirit of independent review. </w:t>
      </w:r>
    </w:p>
    <w:p w14:paraId="1D8D0074" w14:textId="06775F17" w:rsidR="005A0222" w:rsidRPr="00734A50" w:rsidRDefault="003628B9" w:rsidP="004668D2">
      <w:pPr>
        <w:keepNext/>
        <w:spacing w:after="0"/>
        <w:rPr>
          <w:rFonts w:ascii="Calibri" w:eastAsia="Calibri" w:hAnsi="Calibri" w:cs="Calibri"/>
        </w:rPr>
      </w:pPr>
      <w:r w:rsidRPr="00734A50">
        <w:rPr>
          <w:rFonts w:ascii="Calibri" w:eastAsia="Calibri" w:hAnsi="Calibri" w:cs="Calibri"/>
        </w:rPr>
        <w:t xml:space="preserve">Under </w:t>
      </w:r>
      <w:r w:rsidR="002D15FF" w:rsidRPr="00734A50">
        <w:rPr>
          <w:rFonts w:ascii="Calibri" w:eastAsia="Calibri" w:hAnsi="Calibri" w:cs="Calibri"/>
        </w:rPr>
        <w:t>such</w:t>
      </w:r>
      <w:r w:rsidR="00180A50" w:rsidRPr="00734A50">
        <w:rPr>
          <w:rFonts w:ascii="Calibri" w:eastAsia="Calibri" w:hAnsi="Calibri" w:cs="Calibri"/>
        </w:rPr>
        <w:t xml:space="preserve"> an</w:t>
      </w:r>
      <w:r w:rsidR="002D15FF" w:rsidRPr="00734A50">
        <w:rPr>
          <w:rFonts w:ascii="Calibri" w:eastAsia="Calibri" w:hAnsi="Calibri" w:cs="Calibri"/>
        </w:rPr>
        <w:t xml:space="preserve"> a</w:t>
      </w:r>
      <w:r w:rsidRPr="00734A50">
        <w:rPr>
          <w:rFonts w:ascii="Calibri" w:eastAsia="Calibri" w:hAnsi="Calibri" w:cs="Calibri"/>
        </w:rPr>
        <w:t xml:space="preserve">rrangement, AITSL </w:t>
      </w:r>
      <w:r w:rsidR="002D15FF" w:rsidRPr="00734A50">
        <w:rPr>
          <w:rFonts w:ascii="Calibri" w:eastAsia="Calibri" w:hAnsi="Calibri" w:cs="Calibri"/>
        </w:rPr>
        <w:t>would</w:t>
      </w:r>
      <w:r w:rsidRPr="00734A50">
        <w:rPr>
          <w:rFonts w:ascii="Calibri" w:eastAsia="Calibri" w:hAnsi="Calibri" w:cs="Calibri"/>
        </w:rPr>
        <w:t xml:space="preserve"> continue to </w:t>
      </w:r>
      <w:r w:rsidR="004E6EA8" w:rsidRPr="00734A50">
        <w:rPr>
          <w:rFonts w:ascii="Calibri" w:eastAsia="Calibri" w:hAnsi="Calibri" w:cs="Calibri"/>
        </w:rPr>
        <w:t xml:space="preserve">have </w:t>
      </w:r>
      <w:r w:rsidR="00492A45" w:rsidRPr="00734A50">
        <w:rPr>
          <w:rFonts w:ascii="Calibri" w:eastAsia="Calibri" w:hAnsi="Calibri" w:cs="Calibri"/>
        </w:rPr>
        <w:t>responsibility for updating and amending</w:t>
      </w:r>
      <w:r w:rsidR="00011950" w:rsidRPr="00734A50">
        <w:rPr>
          <w:rFonts w:ascii="Calibri" w:eastAsia="Calibri" w:hAnsi="Calibri" w:cs="Calibri"/>
        </w:rPr>
        <w:t xml:space="preserve"> the </w:t>
      </w:r>
      <w:r w:rsidR="00516260" w:rsidRPr="00734A50">
        <w:rPr>
          <w:rFonts w:ascii="Calibri" w:eastAsia="Calibri" w:hAnsi="Calibri" w:cs="Calibri"/>
        </w:rPr>
        <w:t>Teacher</w:t>
      </w:r>
      <w:r w:rsidR="004E6EA8" w:rsidRPr="00734A50">
        <w:rPr>
          <w:rFonts w:ascii="Calibri" w:eastAsia="Calibri" w:hAnsi="Calibri" w:cs="Calibri"/>
        </w:rPr>
        <w:t xml:space="preserve"> Standards</w:t>
      </w:r>
      <w:r w:rsidR="00492A45" w:rsidRPr="00734A50">
        <w:rPr>
          <w:rFonts w:ascii="Calibri" w:eastAsia="Calibri" w:hAnsi="Calibri" w:cs="Calibri"/>
        </w:rPr>
        <w:t xml:space="preserve"> a</w:t>
      </w:r>
      <w:r w:rsidR="007E2BB7" w:rsidRPr="00734A50">
        <w:rPr>
          <w:rFonts w:ascii="Calibri" w:eastAsia="Calibri" w:hAnsi="Calibri" w:cs="Calibri"/>
        </w:rPr>
        <w:t xml:space="preserve">s instructed by Education </w:t>
      </w:r>
      <w:r w:rsidR="00CD02C0" w:rsidRPr="00734A50">
        <w:rPr>
          <w:rFonts w:ascii="Calibri" w:eastAsia="Calibri" w:hAnsi="Calibri" w:cs="Calibri"/>
        </w:rPr>
        <w:t>Ministers</w:t>
      </w:r>
      <w:r w:rsidR="00D37CF9" w:rsidRPr="00734A50">
        <w:rPr>
          <w:rFonts w:ascii="Calibri" w:eastAsia="Calibri" w:hAnsi="Calibri" w:cs="Calibri"/>
        </w:rPr>
        <w:t>,</w:t>
      </w:r>
      <w:r w:rsidR="00492A45" w:rsidRPr="00734A50">
        <w:rPr>
          <w:rFonts w:ascii="Calibri" w:eastAsia="Calibri" w:hAnsi="Calibri" w:cs="Calibri"/>
        </w:rPr>
        <w:t xml:space="preserve"> and</w:t>
      </w:r>
      <w:r w:rsidR="00516260" w:rsidRPr="00734A50">
        <w:rPr>
          <w:rFonts w:ascii="Calibri" w:eastAsia="Calibri" w:hAnsi="Calibri" w:cs="Calibri"/>
        </w:rPr>
        <w:t xml:space="preserve"> </w:t>
      </w:r>
      <w:r w:rsidR="006543D9" w:rsidRPr="00734A50">
        <w:rPr>
          <w:rFonts w:ascii="Calibri" w:eastAsia="Calibri" w:hAnsi="Calibri" w:cs="Calibri"/>
        </w:rPr>
        <w:t xml:space="preserve">TRAs </w:t>
      </w:r>
      <w:r w:rsidR="003B4027" w:rsidRPr="00734A50">
        <w:rPr>
          <w:rFonts w:ascii="Calibri" w:eastAsia="Calibri" w:hAnsi="Calibri" w:cs="Calibri"/>
        </w:rPr>
        <w:t>would</w:t>
      </w:r>
      <w:r w:rsidR="006543D9" w:rsidRPr="00734A50">
        <w:rPr>
          <w:rFonts w:ascii="Calibri" w:eastAsia="Calibri" w:hAnsi="Calibri" w:cs="Calibri"/>
        </w:rPr>
        <w:t xml:space="preserve"> continue to regulate ITE providers</w:t>
      </w:r>
      <w:r w:rsidR="00516260" w:rsidRPr="00734A50">
        <w:rPr>
          <w:rFonts w:ascii="Calibri" w:eastAsia="Calibri" w:hAnsi="Calibri" w:cs="Calibri"/>
        </w:rPr>
        <w:t xml:space="preserve">. </w:t>
      </w:r>
      <w:r w:rsidR="007B4335" w:rsidRPr="00734A50">
        <w:rPr>
          <w:rFonts w:ascii="Calibri" w:eastAsia="Calibri" w:hAnsi="Calibri" w:cs="Calibri"/>
        </w:rPr>
        <w:t>The</w:t>
      </w:r>
      <w:r w:rsidR="00A0547C" w:rsidRPr="00734A50">
        <w:rPr>
          <w:rFonts w:ascii="Calibri" w:eastAsia="Calibri" w:hAnsi="Calibri" w:cs="Calibri"/>
        </w:rPr>
        <w:t xml:space="preserve"> ITE</w:t>
      </w:r>
      <w:r w:rsidR="00D37CF9" w:rsidRPr="00734A50">
        <w:rPr>
          <w:rFonts w:ascii="Calibri" w:eastAsia="Calibri" w:hAnsi="Calibri" w:cs="Calibri"/>
        </w:rPr>
        <w:t xml:space="preserve"> quality assurance</w:t>
      </w:r>
      <w:r w:rsidR="007B4335" w:rsidRPr="00734A50">
        <w:rPr>
          <w:rFonts w:ascii="Calibri" w:eastAsia="Calibri" w:hAnsi="Calibri" w:cs="Calibri"/>
        </w:rPr>
        <w:t xml:space="preserve"> board </w:t>
      </w:r>
      <w:r w:rsidR="0001025B" w:rsidRPr="00734A50">
        <w:rPr>
          <w:rFonts w:ascii="Calibri" w:eastAsia="Calibri" w:hAnsi="Calibri" w:cs="Calibri"/>
        </w:rPr>
        <w:t xml:space="preserve">would </w:t>
      </w:r>
      <w:r w:rsidR="0001025B" w:rsidRPr="00734A50">
        <w:t xml:space="preserve">oversee a systematic approach to </w:t>
      </w:r>
      <w:r w:rsidR="00F6034B" w:rsidRPr="00734A50">
        <w:t>assessing</w:t>
      </w:r>
      <w:r w:rsidR="0001025B" w:rsidRPr="00734A50">
        <w:t xml:space="preserve"> the quality, consistency and outcomes of ITE program</w:t>
      </w:r>
      <w:r w:rsidR="00D37CF9" w:rsidRPr="00734A50">
        <w:t>s</w:t>
      </w:r>
      <w:r w:rsidR="0001025B" w:rsidRPr="00734A50">
        <w:t xml:space="preserve"> and report to Education Ministers</w:t>
      </w:r>
      <w:r w:rsidR="00D37CF9" w:rsidRPr="00734A50">
        <w:t>. It would</w:t>
      </w:r>
      <w:r w:rsidR="004668D2" w:rsidRPr="00734A50">
        <w:rPr>
          <w:rFonts w:ascii="Calibri" w:eastAsia="Calibri" w:hAnsi="Calibri" w:cs="Calibri"/>
        </w:rPr>
        <w:t>:</w:t>
      </w:r>
    </w:p>
    <w:p w14:paraId="4FE7E8CB" w14:textId="27846A15" w:rsidR="00831F3A" w:rsidRPr="00734A50" w:rsidRDefault="00831F3A" w:rsidP="0026262D">
      <w:pPr>
        <w:pStyle w:val="ListBullet"/>
        <w:numPr>
          <w:ilvl w:val="0"/>
          <w:numId w:val="216"/>
        </w:numPr>
      </w:pPr>
      <w:r w:rsidRPr="00734A50">
        <w:t>provid</w:t>
      </w:r>
      <w:r w:rsidR="00D37CF9" w:rsidRPr="00734A50">
        <w:t>e</w:t>
      </w:r>
      <w:r w:rsidRPr="00734A50">
        <w:t xml:space="preserve"> independent verification of the implementation of the revised Accreditation Standards and Procedures</w:t>
      </w:r>
    </w:p>
    <w:p w14:paraId="1995D178" w14:textId="619CCBFF" w:rsidR="00831F3A" w:rsidRPr="00734A50" w:rsidRDefault="00831F3A" w:rsidP="0026262D">
      <w:pPr>
        <w:pStyle w:val="ListBullet"/>
        <w:numPr>
          <w:ilvl w:val="0"/>
          <w:numId w:val="216"/>
        </w:numPr>
      </w:pPr>
      <w:r w:rsidRPr="00734A50">
        <w:t>assess and monitor students’ knowledge of the core content and periodically review and recommend updates to the core content for beginning teachers</w:t>
      </w:r>
    </w:p>
    <w:p w14:paraId="2391B3F9" w14:textId="1F2BDECD" w:rsidR="00831F3A" w:rsidRPr="00734A50" w:rsidRDefault="00831F3A" w:rsidP="0026262D">
      <w:pPr>
        <w:pStyle w:val="ListBullet"/>
        <w:numPr>
          <w:ilvl w:val="0"/>
          <w:numId w:val="216"/>
        </w:numPr>
      </w:pPr>
      <w:r w:rsidRPr="00734A50">
        <w:t>undertak</w:t>
      </w:r>
      <w:r w:rsidR="00D37CF9" w:rsidRPr="00734A50">
        <w:t>e</w:t>
      </w:r>
      <w:r w:rsidRPr="00734A50">
        <w:t xml:space="preserve"> cross-institutional moderation of </w:t>
      </w:r>
      <w:r w:rsidR="00D37CF9" w:rsidRPr="00734A50">
        <w:t>TPAs</w:t>
      </w:r>
    </w:p>
    <w:p w14:paraId="27B226F5" w14:textId="1FCD6C7E" w:rsidR="00831F3A" w:rsidRPr="00734A50" w:rsidRDefault="00831F3A" w:rsidP="0026262D">
      <w:pPr>
        <w:pStyle w:val="ListBullet"/>
        <w:numPr>
          <w:ilvl w:val="0"/>
          <w:numId w:val="216"/>
        </w:numPr>
      </w:pPr>
      <w:r w:rsidRPr="00734A50">
        <w:t>repor</w:t>
      </w:r>
      <w:r w:rsidR="00FA62B3" w:rsidRPr="00734A50">
        <w:t>t</w:t>
      </w:r>
      <w:r w:rsidRPr="00734A50">
        <w:t xml:space="preserve"> on (to </w:t>
      </w:r>
      <w:r w:rsidR="00D37CF9" w:rsidRPr="00734A50">
        <w:t xml:space="preserve">Education </w:t>
      </w:r>
      <w:r w:rsidRPr="00734A50">
        <w:t>Ministers and publicly) and periodically review and recommend adjustment of the nationally consistent</w:t>
      </w:r>
      <w:r w:rsidR="00B654AC">
        <w:t>,</w:t>
      </w:r>
      <w:r w:rsidRPr="00734A50">
        <w:t xml:space="preserve"> transparent indicators</w:t>
      </w:r>
    </w:p>
    <w:p w14:paraId="788D5420" w14:textId="716FC149" w:rsidR="00831F3A" w:rsidRPr="00734A50" w:rsidRDefault="00831F3A" w:rsidP="0026262D">
      <w:pPr>
        <w:pStyle w:val="ListBullet"/>
        <w:numPr>
          <w:ilvl w:val="0"/>
          <w:numId w:val="216"/>
        </w:numPr>
      </w:pPr>
      <w:r w:rsidRPr="00734A50">
        <w:t>report</w:t>
      </w:r>
      <w:r w:rsidR="00FA62B3" w:rsidRPr="00734A50">
        <w:t xml:space="preserve"> </w:t>
      </w:r>
      <w:r w:rsidRPr="00734A50">
        <w:t>on the quality and delivery of practical experience</w:t>
      </w:r>
    </w:p>
    <w:p w14:paraId="76282AAD" w14:textId="4D99ED1F" w:rsidR="00C445BE" w:rsidRPr="00734A50" w:rsidRDefault="00831F3A" w:rsidP="00553516">
      <w:pPr>
        <w:pStyle w:val="ListBullet"/>
        <w:numPr>
          <w:ilvl w:val="0"/>
          <w:numId w:val="216"/>
        </w:numPr>
        <w:spacing w:after="200"/>
        <w:ind w:left="357" w:hanging="357"/>
      </w:pPr>
      <w:r w:rsidRPr="00734A50">
        <w:t>oversee a program of research designed to inform improvements to the quality of ITE programs, including thematic quality reviews on areas requested by Education Ministers</w:t>
      </w:r>
      <w:r w:rsidR="00930A1F" w:rsidRPr="00734A50">
        <w:t>.</w:t>
      </w:r>
    </w:p>
    <w:p w14:paraId="0764EB09" w14:textId="542FF420" w:rsidR="005A0222" w:rsidRPr="00734A50" w:rsidRDefault="005A0222" w:rsidP="005A0222">
      <w:pPr>
        <w:rPr>
          <w:rFonts w:ascii="Calibri" w:eastAsia="Calibri" w:hAnsi="Calibri" w:cs="Calibri"/>
        </w:rPr>
      </w:pPr>
      <w:r w:rsidRPr="00734A50">
        <w:rPr>
          <w:rFonts w:ascii="Calibri" w:eastAsia="Calibri" w:hAnsi="Calibri" w:cs="Calibri"/>
        </w:rPr>
        <w:t>The</w:t>
      </w:r>
      <w:r w:rsidR="00897396" w:rsidRPr="00734A50">
        <w:rPr>
          <w:rFonts w:ascii="Calibri" w:eastAsia="Calibri" w:hAnsi="Calibri" w:cs="Calibri"/>
        </w:rPr>
        <w:t xml:space="preserve"> </w:t>
      </w:r>
      <w:r w:rsidR="00A0547C" w:rsidRPr="00734A50">
        <w:rPr>
          <w:rFonts w:ascii="Calibri" w:eastAsia="Calibri" w:hAnsi="Calibri" w:cs="Calibri"/>
        </w:rPr>
        <w:t>ITE</w:t>
      </w:r>
      <w:r w:rsidR="00897396" w:rsidRPr="00734A50">
        <w:rPr>
          <w:rFonts w:ascii="Calibri" w:eastAsia="Calibri" w:hAnsi="Calibri" w:cs="Calibri"/>
        </w:rPr>
        <w:t xml:space="preserve"> </w:t>
      </w:r>
      <w:r w:rsidR="000B0C2C" w:rsidRPr="00734A50">
        <w:rPr>
          <w:rFonts w:ascii="Calibri" w:eastAsia="Calibri" w:hAnsi="Calibri" w:cs="Calibri"/>
        </w:rPr>
        <w:t xml:space="preserve">quality assurance </w:t>
      </w:r>
      <w:r w:rsidR="00507095" w:rsidRPr="00734A50">
        <w:rPr>
          <w:rFonts w:ascii="Calibri" w:eastAsia="Calibri" w:hAnsi="Calibri" w:cs="Calibri"/>
        </w:rPr>
        <w:t xml:space="preserve">board </w:t>
      </w:r>
      <w:r w:rsidRPr="00734A50">
        <w:rPr>
          <w:rFonts w:ascii="Calibri" w:eastAsia="Calibri" w:hAnsi="Calibri" w:cs="Calibri"/>
        </w:rPr>
        <w:t xml:space="preserve">would develop an annual national ITE quality and performance report on the outcomes of these activities to identify where national consistency of ITE program quality </w:t>
      </w:r>
      <w:r w:rsidR="0012041E" w:rsidRPr="00734A50">
        <w:rPr>
          <w:rFonts w:ascii="Calibri" w:eastAsia="Calibri" w:hAnsi="Calibri" w:cs="Calibri"/>
        </w:rPr>
        <w:t xml:space="preserve">could </w:t>
      </w:r>
      <w:r w:rsidRPr="00734A50">
        <w:rPr>
          <w:rFonts w:ascii="Calibri" w:eastAsia="Calibri" w:hAnsi="Calibri" w:cs="Calibri"/>
        </w:rPr>
        <w:t>be improved.</w:t>
      </w:r>
      <w:r w:rsidR="00622B15" w:rsidRPr="00734A50">
        <w:rPr>
          <w:rFonts w:ascii="Calibri" w:eastAsia="Calibri" w:hAnsi="Calibri" w:cs="Calibri"/>
        </w:rPr>
        <w:t xml:space="preserve"> </w:t>
      </w:r>
      <w:r w:rsidR="006E0F93" w:rsidRPr="00734A50">
        <w:rPr>
          <w:rFonts w:ascii="Calibri" w:eastAsia="Calibri" w:hAnsi="Calibri" w:cs="Calibri"/>
        </w:rPr>
        <w:t xml:space="preserve">The </w:t>
      </w:r>
      <w:r w:rsidR="0012041E" w:rsidRPr="00734A50">
        <w:rPr>
          <w:rFonts w:ascii="Calibri" w:eastAsia="Calibri" w:hAnsi="Calibri" w:cs="Calibri"/>
        </w:rPr>
        <w:t xml:space="preserve">board’s </w:t>
      </w:r>
      <w:r w:rsidR="006E0F93" w:rsidRPr="00734A50">
        <w:rPr>
          <w:rFonts w:ascii="Calibri" w:eastAsia="Calibri" w:hAnsi="Calibri" w:cs="Calibri"/>
        </w:rPr>
        <w:t>role would not</w:t>
      </w:r>
      <w:r w:rsidR="003C47DE" w:rsidRPr="00734A50">
        <w:rPr>
          <w:rFonts w:ascii="Calibri" w:eastAsia="Calibri" w:hAnsi="Calibri" w:cs="Calibri"/>
        </w:rPr>
        <w:t xml:space="preserve"> restrict states and territories fro</w:t>
      </w:r>
      <w:r w:rsidR="008F413F" w:rsidRPr="00734A50">
        <w:rPr>
          <w:rFonts w:ascii="Calibri" w:eastAsia="Calibri" w:hAnsi="Calibri" w:cs="Calibri"/>
        </w:rPr>
        <w:t xml:space="preserve">m going </w:t>
      </w:r>
      <w:r w:rsidR="0019526A" w:rsidRPr="00734A50">
        <w:rPr>
          <w:rFonts w:ascii="Calibri" w:eastAsia="Calibri" w:hAnsi="Calibri" w:cs="Calibri"/>
        </w:rPr>
        <w:lastRenderedPageBreak/>
        <w:t>further in prescribing</w:t>
      </w:r>
      <w:r w:rsidR="007962EA" w:rsidRPr="00734A50">
        <w:rPr>
          <w:rFonts w:ascii="Calibri" w:eastAsia="Calibri" w:hAnsi="Calibri" w:cs="Calibri"/>
        </w:rPr>
        <w:t xml:space="preserve"> ho</w:t>
      </w:r>
      <w:r w:rsidR="00AE6651" w:rsidRPr="00734A50">
        <w:rPr>
          <w:rFonts w:ascii="Calibri" w:eastAsia="Calibri" w:hAnsi="Calibri" w:cs="Calibri"/>
        </w:rPr>
        <w:t xml:space="preserve">w their ITE </w:t>
      </w:r>
      <w:r w:rsidR="00BB7393" w:rsidRPr="00734A50">
        <w:rPr>
          <w:rFonts w:ascii="Calibri" w:eastAsia="Calibri" w:hAnsi="Calibri" w:cs="Calibri"/>
        </w:rPr>
        <w:t xml:space="preserve">programs </w:t>
      </w:r>
      <w:r w:rsidR="009B7B7C" w:rsidRPr="00734A50">
        <w:rPr>
          <w:rFonts w:ascii="Calibri" w:eastAsia="Calibri" w:hAnsi="Calibri" w:cs="Calibri"/>
        </w:rPr>
        <w:t xml:space="preserve">should </w:t>
      </w:r>
      <w:r w:rsidR="00FC0B24" w:rsidRPr="00734A50">
        <w:rPr>
          <w:rFonts w:ascii="Calibri" w:eastAsia="Calibri" w:hAnsi="Calibri" w:cs="Calibri"/>
        </w:rPr>
        <w:t xml:space="preserve">meet </w:t>
      </w:r>
      <w:r w:rsidR="00B7518A" w:rsidRPr="00734A50">
        <w:rPr>
          <w:rFonts w:ascii="Calibri" w:eastAsia="Calibri" w:hAnsi="Calibri" w:cs="Calibri"/>
        </w:rPr>
        <w:t xml:space="preserve">accreditation requirements and </w:t>
      </w:r>
      <w:r w:rsidR="00090E50" w:rsidRPr="00734A50">
        <w:rPr>
          <w:rFonts w:ascii="Calibri" w:eastAsia="Calibri" w:hAnsi="Calibri" w:cs="Calibri"/>
        </w:rPr>
        <w:t xml:space="preserve">improve </w:t>
      </w:r>
      <w:r w:rsidR="00785097" w:rsidRPr="00734A50">
        <w:rPr>
          <w:rFonts w:ascii="Calibri" w:eastAsia="Calibri" w:hAnsi="Calibri" w:cs="Calibri"/>
        </w:rPr>
        <w:t xml:space="preserve">overall </w:t>
      </w:r>
      <w:r w:rsidR="00F90930" w:rsidRPr="00734A50">
        <w:rPr>
          <w:rFonts w:ascii="Calibri" w:eastAsia="Calibri" w:hAnsi="Calibri" w:cs="Calibri"/>
        </w:rPr>
        <w:t>performance and quality.</w:t>
      </w:r>
    </w:p>
    <w:p w14:paraId="202CFC6B" w14:textId="655F6439" w:rsidR="00EC7F78" w:rsidRPr="00734A50" w:rsidRDefault="00980B5A" w:rsidP="00076061">
      <w:pPr>
        <w:rPr>
          <w:rFonts w:ascii="Calibri" w:eastAsia="Times New Roman" w:hAnsi="Calibri" w:cs="Calibri"/>
          <w:lang w:eastAsia="en-AU"/>
        </w:rPr>
      </w:pPr>
      <w:r w:rsidRPr="00734A50">
        <w:rPr>
          <w:rFonts w:ascii="Calibri" w:eastAsia="Calibri" w:hAnsi="Calibri" w:cs="Calibri"/>
        </w:rPr>
        <w:t>In responses to the Discussion Paper, there</w:t>
      </w:r>
      <w:r w:rsidR="00EC7F78" w:rsidRPr="00734A50">
        <w:rPr>
          <w:rFonts w:ascii="Calibri" w:eastAsia="Calibri" w:hAnsi="Calibri" w:cs="Calibri"/>
        </w:rPr>
        <w:t xml:space="preserve"> was broad support from across the sector for an </w:t>
      </w:r>
      <w:r w:rsidR="00FA632C" w:rsidRPr="00734A50">
        <w:rPr>
          <w:rFonts w:ascii="Calibri" w:eastAsia="Calibri" w:hAnsi="Calibri" w:cs="Calibri"/>
        </w:rPr>
        <w:t>ITE quality assurance</w:t>
      </w:r>
      <w:r w:rsidR="00897396" w:rsidRPr="00734A50">
        <w:rPr>
          <w:rFonts w:ascii="Calibri" w:eastAsia="Calibri" w:hAnsi="Calibri" w:cs="Calibri"/>
        </w:rPr>
        <w:t xml:space="preserve"> </w:t>
      </w:r>
      <w:r w:rsidR="002F6E45" w:rsidRPr="00734A50">
        <w:rPr>
          <w:rFonts w:ascii="Calibri" w:eastAsia="Calibri" w:hAnsi="Calibri" w:cs="Calibri"/>
        </w:rPr>
        <w:t xml:space="preserve">board </w:t>
      </w:r>
      <w:r w:rsidR="00EC7F78" w:rsidRPr="00734A50">
        <w:rPr>
          <w:rFonts w:ascii="Calibri" w:eastAsia="Calibri" w:hAnsi="Calibri" w:cs="Calibri"/>
        </w:rPr>
        <w:t xml:space="preserve">with </w:t>
      </w:r>
      <w:r w:rsidR="009566C3" w:rsidRPr="00734A50">
        <w:rPr>
          <w:rFonts w:ascii="Calibri" w:eastAsia="Calibri" w:hAnsi="Calibri" w:cs="Calibri"/>
        </w:rPr>
        <w:t>the</w:t>
      </w:r>
      <w:r w:rsidR="005E484C" w:rsidRPr="00734A50">
        <w:rPr>
          <w:rFonts w:ascii="Calibri" w:eastAsia="Calibri" w:hAnsi="Calibri" w:cs="Calibri"/>
        </w:rPr>
        <w:t xml:space="preserve"> </w:t>
      </w:r>
      <w:r w:rsidR="00EC7F78" w:rsidRPr="00734A50">
        <w:rPr>
          <w:rFonts w:ascii="Calibri" w:eastAsia="Calibri" w:hAnsi="Calibri" w:cs="Calibri"/>
        </w:rPr>
        <w:t xml:space="preserve">scope outlined </w:t>
      </w:r>
      <w:r w:rsidR="009566C3" w:rsidRPr="00734A50">
        <w:rPr>
          <w:rFonts w:ascii="Calibri" w:eastAsia="Calibri" w:hAnsi="Calibri" w:cs="Calibri"/>
        </w:rPr>
        <w:t>above</w:t>
      </w:r>
      <w:r w:rsidR="00EC7F78" w:rsidRPr="00734A50">
        <w:rPr>
          <w:rFonts w:ascii="Calibri" w:eastAsia="Times New Roman" w:hAnsi="Calibri" w:cs="Calibri"/>
          <w:lang w:eastAsia="en-AU"/>
        </w:rPr>
        <w:t xml:space="preserve">. </w:t>
      </w:r>
      <w:r w:rsidR="00071391" w:rsidRPr="00734A50">
        <w:rPr>
          <w:rFonts w:ascii="Calibri" w:eastAsia="Times New Roman" w:hAnsi="Calibri" w:cs="Calibri"/>
          <w:lang w:eastAsia="en-AU"/>
        </w:rPr>
        <w:t xml:space="preserve">Some stakeholders highlighted the </w:t>
      </w:r>
      <w:r w:rsidR="009166C0" w:rsidRPr="00734A50">
        <w:rPr>
          <w:rFonts w:ascii="Calibri" w:eastAsia="Times New Roman" w:hAnsi="Calibri" w:cs="Calibri"/>
          <w:lang w:eastAsia="en-AU"/>
        </w:rPr>
        <w:t xml:space="preserve">potential </w:t>
      </w:r>
      <w:r w:rsidR="00D116B4" w:rsidRPr="00734A50">
        <w:rPr>
          <w:rFonts w:ascii="Calibri" w:eastAsia="Times New Roman" w:hAnsi="Calibri" w:cs="Calibri"/>
          <w:lang w:eastAsia="en-AU"/>
        </w:rPr>
        <w:t xml:space="preserve">for </w:t>
      </w:r>
      <w:r w:rsidR="00CC259D" w:rsidRPr="00734A50">
        <w:rPr>
          <w:rFonts w:ascii="Calibri" w:eastAsia="Times New Roman" w:hAnsi="Calibri" w:cs="Calibri"/>
          <w:lang w:eastAsia="en-AU"/>
        </w:rPr>
        <w:t>strengthened governance arrangements</w:t>
      </w:r>
      <w:r w:rsidR="002F6E45" w:rsidRPr="00734A50">
        <w:rPr>
          <w:rFonts w:ascii="Calibri" w:eastAsia="Times New Roman" w:hAnsi="Calibri" w:cs="Calibri"/>
          <w:lang w:eastAsia="en-AU"/>
        </w:rPr>
        <w:t xml:space="preserve"> </w:t>
      </w:r>
      <w:r w:rsidR="009166C0" w:rsidRPr="00734A50">
        <w:rPr>
          <w:rFonts w:ascii="Calibri" w:eastAsia="Times New Roman" w:hAnsi="Calibri" w:cs="Calibri"/>
          <w:lang w:eastAsia="en-AU"/>
        </w:rPr>
        <w:t>to supplement the current authorising environment (ACDE</w:t>
      </w:r>
      <w:r w:rsidR="00694B8C" w:rsidRPr="00734A50">
        <w:rPr>
          <w:rFonts w:ascii="Calibri" w:eastAsia="Times New Roman" w:hAnsi="Calibri" w:cs="Calibri"/>
          <w:lang w:eastAsia="en-AU"/>
        </w:rPr>
        <w:t xml:space="preserve"> submission</w:t>
      </w:r>
      <w:r w:rsidR="009166C0" w:rsidRPr="00734A50">
        <w:rPr>
          <w:rFonts w:ascii="Calibri" w:eastAsia="Times New Roman" w:hAnsi="Calibri" w:cs="Calibri"/>
          <w:lang w:eastAsia="en-AU"/>
        </w:rPr>
        <w:t xml:space="preserve">); </w:t>
      </w:r>
      <w:r w:rsidR="0012041E" w:rsidRPr="00734A50">
        <w:rPr>
          <w:rFonts w:ascii="Calibri" w:eastAsia="Times New Roman" w:hAnsi="Calibri" w:cs="Calibri"/>
          <w:lang w:eastAsia="en-AU"/>
        </w:rPr>
        <w:t>oversee</w:t>
      </w:r>
      <w:r w:rsidR="00BA161F" w:rsidRPr="00734A50">
        <w:rPr>
          <w:rFonts w:ascii="Calibri" w:eastAsia="Times New Roman" w:hAnsi="Calibri" w:cs="Calibri"/>
          <w:lang w:eastAsia="en-AU"/>
        </w:rPr>
        <w:t xml:space="preserve"> the quality across ITE programs (AITSL Board</w:t>
      </w:r>
      <w:r w:rsidR="00694B8C" w:rsidRPr="00734A50">
        <w:rPr>
          <w:rFonts w:ascii="Calibri" w:eastAsia="Times New Roman" w:hAnsi="Calibri" w:cs="Calibri"/>
          <w:lang w:eastAsia="en-AU"/>
        </w:rPr>
        <w:t xml:space="preserve"> submission</w:t>
      </w:r>
      <w:r w:rsidR="00BA161F" w:rsidRPr="00734A50">
        <w:rPr>
          <w:rFonts w:ascii="Calibri" w:eastAsia="Times New Roman" w:hAnsi="Calibri" w:cs="Calibri"/>
          <w:lang w:eastAsia="en-AU"/>
        </w:rPr>
        <w:t xml:space="preserve">); </w:t>
      </w:r>
      <w:r w:rsidR="00CE355E" w:rsidRPr="00734A50">
        <w:rPr>
          <w:rFonts w:ascii="Calibri" w:eastAsia="Times New Roman" w:hAnsi="Calibri" w:cs="Calibri"/>
          <w:lang w:eastAsia="en-AU"/>
        </w:rPr>
        <w:t xml:space="preserve">ensure the Panel’s reforms are </w:t>
      </w:r>
      <w:r w:rsidR="000C5F8D" w:rsidRPr="00734A50">
        <w:rPr>
          <w:rFonts w:ascii="Calibri" w:eastAsia="Times New Roman" w:hAnsi="Calibri" w:cs="Calibri"/>
          <w:lang w:eastAsia="en-AU"/>
        </w:rPr>
        <w:t>enacted effectively (NSW Department of Education submission)</w:t>
      </w:r>
      <w:r w:rsidR="000137FF" w:rsidRPr="00734A50">
        <w:rPr>
          <w:rFonts w:ascii="Calibri" w:eastAsia="Times New Roman" w:hAnsi="Calibri" w:cs="Calibri"/>
          <w:lang w:eastAsia="en-AU"/>
        </w:rPr>
        <w:t xml:space="preserve">; </w:t>
      </w:r>
      <w:r w:rsidR="00624317" w:rsidRPr="00734A50">
        <w:rPr>
          <w:rFonts w:ascii="Calibri" w:eastAsia="Times New Roman" w:hAnsi="Calibri" w:cs="Calibri"/>
          <w:lang w:eastAsia="en-AU"/>
        </w:rPr>
        <w:t>assure that the Accreditation Standards and Procedures are applied fairly across ITE programs (</w:t>
      </w:r>
      <w:r w:rsidR="00F30A12" w:rsidRPr="00734A50">
        <w:rPr>
          <w:rFonts w:ascii="Calibri" w:eastAsia="Calibri" w:hAnsi="Calibri" w:cs="Calibri"/>
          <w:color w:val="000000" w:themeColor="text1"/>
        </w:rPr>
        <w:t>Australian Council for Educational Research</w:t>
      </w:r>
      <w:r w:rsidR="00624317" w:rsidRPr="00734A50">
        <w:rPr>
          <w:rFonts w:ascii="Calibri" w:eastAsia="Times New Roman" w:hAnsi="Calibri" w:cs="Calibri"/>
          <w:lang w:eastAsia="en-AU"/>
        </w:rPr>
        <w:t xml:space="preserve"> submission) </w:t>
      </w:r>
      <w:r w:rsidR="00B625D9" w:rsidRPr="00734A50">
        <w:rPr>
          <w:rFonts w:ascii="Calibri" w:eastAsia="Times New Roman" w:hAnsi="Calibri" w:cs="Calibri"/>
          <w:lang w:eastAsia="en-AU"/>
        </w:rPr>
        <w:t xml:space="preserve">and </w:t>
      </w:r>
      <w:r w:rsidR="00BA161F" w:rsidRPr="00734A50">
        <w:rPr>
          <w:rFonts w:ascii="Calibri" w:eastAsia="Times New Roman" w:hAnsi="Calibri" w:cs="Calibri"/>
          <w:lang w:eastAsia="en-AU"/>
        </w:rPr>
        <w:t>s</w:t>
      </w:r>
      <w:r w:rsidR="00DA5CC2" w:rsidRPr="00734A50">
        <w:rPr>
          <w:rFonts w:ascii="Calibri" w:eastAsia="Times New Roman" w:hAnsi="Calibri" w:cs="Calibri"/>
          <w:lang w:eastAsia="en-AU"/>
        </w:rPr>
        <w:t xml:space="preserve">upport </w:t>
      </w:r>
      <w:r w:rsidR="008913D6" w:rsidRPr="00734A50">
        <w:rPr>
          <w:rFonts w:ascii="Calibri" w:eastAsia="Times New Roman" w:hAnsi="Calibri" w:cs="Calibri"/>
          <w:lang w:eastAsia="en-AU"/>
        </w:rPr>
        <w:t>cross-institutional moderation and national benchmarking (</w:t>
      </w:r>
      <w:r w:rsidR="00EC7F78" w:rsidRPr="00734A50">
        <w:rPr>
          <w:rFonts w:ascii="Calibri" w:eastAsia="Times New Roman" w:hAnsi="Calibri" w:cs="Calibri"/>
          <w:lang w:eastAsia="en-AU"/>
        </w:rPr>
        <w:t>Assessment for Graduate Teaching Consortium</w:t>
      </w:r>
      <w:r w:rsidR="00E82915" w:rsidRPr="00734A50">
        <w:rPr>
          <w:rFonts w:ascii="Calibri" w:eastAsia="Times New Roman" w:hAnsi="Calibri" w:cs="Calibri"/>
          <w:lang w:eastAsia="en-AU"/>
        </w:rPr>
        <w:t xml:space="preserve"> submission</w:t>
      </w:r>
      <w:r w:rsidR="00B625D9" w:rsidRPr="00734A50">
        <w:rPr>
          <w:rFonts w:ascii="Calibri" w:eastAsia="Times New Roman" w:hAnsi="Calibri" w:cs="Calibri"/>
          <w:lang w:eastAsia="en-AU"/>
        </w:rPr>
        <w:t>).</w:t>
      </w:r>
      <w:r w:rsidR="00EC7F78" w:rsidRPr="00734A50">
        <w:rPr>
          <w:rFonts w:ascii="Calibri" w:eastAsia="Times New Roman" w:hAnsi="Calibri" w:cs="Calibri"/>
          <w:lang w:eastAsia="en-AU"/>
        </w:rPr>
        <w:t xml:space="preserve"> </w:t>
      </w:r>
      <w:r w:rsidR="00B7647D" w:rsidRPr="00734A50">
        <w:rPr>
          <w:rFonts w:ascii="Calibri" w:eastAsia="Times New Roman" w:hAnsi="Calibri" w:cs="Calibri"/>
          <w:lang w:eastAsia="en-AU"/>
        </w:rPr>
        <w:t xml:space="preserve">State and Territory </w:t>
      </w:r>
      <w:r w:rsidR="00D022AF">
        <w:rPr>
          <w:rFonts w:ascii="Calibri" w:eastAsia="Times New Roman" w:hAnsi="Calibri" w:cs="Calibri"/>
          <w:lang w:eastAsia="en-AU"/>
        </w:rPr>
        <w:t>d</w:t>
      </w:r>
      <w:r w:rsidR="11DB60FA" w:rsidRPr="00734A50">
        <w:rPr>
          <w:rFonts w:ascii="Calibri" w:eastAsia="Times New Roman" w:hAnsi="Calibri" w:cs="Calibri"/>
          <w:lang w:eastAsia="en-AU"/>
        </w:rPr>
        <w:t xml:space="preserve">epartments of </w:t>
      </w:r>
      <w:r w:rsidR="00D022AF">
        <w:rPr>
          <w:rFonts w:ascii="Calibri" w:eastAsia="Times New Roman" w:hAnsi="Calibri" w:cs="Calibri"/>
          <w:lang w:eastAsia="en-AU"/>
        </w:rPr>
        <w:t>e</w:t>
      </w:r>
      <w:r w:rsidR="11DB60FA" w:rsidRPr="00734A50">
        <w:rPr>
          <w:rFonts w:ascii="Calibri" w:eastAsia="Times New Roman" w:hAnsi="Calibri" w:cs="Calibri"/>
          <w:lang w:eastAsia="en-AU"/>
        </w:rPr>
        <w:t xml:space="preserve">ducation </w:t>
      </w:r>
      <w:r w:rsidR="00EC7F78" w:rsidRPr="00734A50">
        <w:rPr>
          <w:rFonts w:ascii="Calibri" w:eastAsia="Times New Roman" w:hAnsi="Calibri" w:cs="Calibri"/>
          <w:lang w:eastAsia="en-AU"/>
        </w:rPr>
        <w:t>were</w:t>
      </w:r>
      <w:r w:rsidR="00ED78FB" w:rsidRPr="00734A50">
        <w:rPr>
          <w:rFonts w:ascii="Calibri" w:eastAsia="Times New Roman" w:hAnsi="Calibri" w:cs="Calibri"/>
          <w:lang w:eastAsia="en-AU"/>
        </w:rPr>
        <w:t xml:space="preserve"> broadly</w:t>
      </w:r>
      <w:r w:rsidR="00EC7F78" w:rsidRPr="00734A50">
        <w:rPr>
          <w:rFonts w:ascii="Calibri" w:eastAsia="Times New Roman" w:hAnsi="Calibri" w:cs="Calibri"/>
          <w:lang w:eastAsia="en-AU"/>
        </w:rPr>
        <w:t xml:space="preserve"> supportive of national oversight </w:t>
      </w:r>
      <w:r w:rsidR="000573F5" w:rsidRPr="00734A50">
        <w:rPr>
          <w:rFonts w:ascii="Calibri" w:eastAsia="Times New Roman" w:hAnsi="Calibri" w:cs="Calibri"/>
          <w:lang w:eastAsia="en-AU"/>
        </w:rPr>
        <w:t>if</w:t>
      </w:r>
      <w:r w:rsidR="00EC7F78" w:rsidRPr="00734A50">
        <w:rPr>
          <w:rFonts w:ascii="Calibri" w:eastAsia="Times New Roman" w:hAnsi="Calibri" w:cs="Calibri"/>
          <w:lang w:eastAsia="en-AU"/>
        </w:rPr>
        <w:t xml:space="preserve"> legislative responsibility for accreditation remained with </w:t>
      </w:r>
      <w:r w:rsidR="0097787D" w:rsidRPr="00734A50">
        <w:rPr>
          <w:rFonts w:ascii="Calibri" w:eastAsia="Times New Roman" w:hAnsi="Calibri" w:cs="Calibri"/>
          <w:lang w:eastAsia="en-AU"/>
        </w:rPr>
        <w:t>TRAs</w:t>
      </w:r>
      <w:r w:rsidR="00EC7F78" w:rsidRPr="00734A50">
        <w:rPr>
          <w:rFonts w:ascii="Calibri" w:eastAsia="Times New Roman" w:hAnsi="Calibri" w:cs="Calibri"/>
          <w:lang w:eastAsia="en-AU"/>
        </w:rPr>
        <w:t>.</w:t>
      </w:r>
    </w:p>
    <w:p w14:paraId="7420C2C3" w14:textId="10165D9A" w:rsidR="00AE5971" w:rsidRPr="00734A50" w:rsidRDefault="000C2F25" w:rsidP="00E73BBF">
      <w:pPr>
        <w:pStyle w:val="Heading5"/>
        <w:rPr>
          <w:lang w:eastAsia="en-AU"/>
        </w:rPr>
      </w:pPr>
      <w:r w:rsidRPr="00734A50">
        <w:rPr>
          <w:lang w:eastAsia="en-AU"/>
        </w:rPr>
        <w:t>R</w:t>
      </w:r>
      <w:r w:rsidR="00AE5971" w:rsidRPr="00734A50">
        <w:rPr>
          <w:lang w:eastAsia="en-AU"/>
        </w:rPr>
        <w:t xml:space="preserve">oles and responsibilities of the </w:t>
      </w:r>
      <w:r w:rsidRPr="00734A50">
        <w:rPr>
          <w:lang w:eastAsia="en-AU"/>
        </w:rPr>
        <w:t xml:space="preserve">ITE </w:t>
      </w:r>
      <w:r w:rsidR="00212CB9" w:rsidRPr="00734A50">
        <w:rPr>
          <w:lang w:eastAsia="en-AU"/>
        </w:rPr>
        <w:t>quality assurance board</w:t>
      </w:r>
    </w:p>
    <w:p w14:paraId="1A5810AC" w14:textId="620EB3CE" w:rsidR="000C2F25" w:rsidRPr="00734A50" w:rsidRDefault="000C2F25" w:rsidP="000C2F25">
      <w:pPr>
        <w:rPr>
          <w:lang w:eastAsia="en-AU"/>
        </w:rPr>
      </w:pPr>
      <w:r w:rsidRPr="00734A50">
        <w:rPr>
          <w:lang w:eastAsia="en-AU"/>
        </w:rPr>
        <w:t>The</w:t>
      </w:r>
      <w:r w:rsidR="00A0547C" w:rsidRPr="00734A50">
        <w:rPr>
          <w:lang w:eastAsia="en-AU"/>
        </w:rPr>
        <w:t xml:space="preserve"> ITE</w:t>
      </w:r>
      <w:r w:rsidRPr="00734A50">
        <w:rPr>
          <w:lang w:eastAsia="en-AU"/>
        </w:rPr>
        <w:t xml:space="preserve"> quality assurance board would have the following key roles and responsibilities.</w:t>
      </w:r>
    </w:p>
    <w:p w14:paraId="35555C00" w14:textId="4EEEAFC2" w:rsidR="00D40352" w:rsidRPr="00734A50" w:rsidRDefault="00212CB9" w:rsidP="006D7FA8">
      <w:pPr>
        <w:pStyle w:val="Heading6"/>
        <w:rPr>
          <w:color w:val="auto"/>
          <w:u w:val="single"/>
        </w:rPr>
      </w:pPr>
      <w:r w:rsidRPr="00734A50">
        <w:rPr>
          <w:color w:val="auto"/>
          <w:u w:val="single"/>
        </w:rPr>
        <w:t>Provide independent verification</w:t>
      </w:r>
      <w:r w:rsidR="00257049" w:rsidRPr="00734A50">
        <w:rPr>
          <w:color w:val="auto"/>
          <w:u w:val="single"/>
        </w:rPr>
        <w:t xml:space="preserve"> o</w:t>
      </w:r>
      <w:r w:rsidRPr="00734A50">
        <w:rPr>
          <w:color w:val="auto"/>
          <w:u w:val="single"/>
        </w:rPr>
        <w:t>f</w:t>
      </w:r>
      <w:r w:rsidR="005A0222" w:rsidRPr="00734A50">
        <w:rPr>
          <w:color w:val="auto"/>
          <w:u w:val="single"/>
        </w:rPr>
        <w:t xml:space="preserve"> the inclusion of evidence-based practices in ITE </w:t>
      </w:r>
      <w:r w:rsidR="00954CDF" w:rsidRPr="00734A50">
        <w:rPr>
          <w:color w:val="auto"/>
          <w:u w:val="single"/>
        </w:rPr>
        <w:t>programs</w:t>
      </w:r>
      <w:r w:rsidR="00D40352" w:rsidRPr="00734A50">
        <w:rPr>
          <w:color w:val="auto"/>
          <w:u w:val="single"/>
        </w:rPr>
        <w:t xml:space="preserve"> </w:t>
      </w:r>
    </w:p>
    <w:p w14:paraId="305D668E" w14:textId="461A8C88" w:rsidR="005A0222" w:rsidRPr="00734A50" w:rsidRDefault="005A0222" w:rsidP="008676C9">
      <w:pPr>
        <w:keepNext/>
        <w:rPr>
          <w:rFonts w:ascii="Calibri" w:eastAsia="Calibri" w:hAnsi="Calibri" w:cs="Calibri"/>
        </w:rPr>
      </w:pPr>
      <w:r w:rsidRPr="00734A50">
        <w:rPr>
          <w:rFonts w:ascii="Calibri" w:eastAsia="Calibri" w:hAnsi="Calibri" w:cs="Calibri"/>
        </w:rPr>
        <w:t>The</w:t>
      </w:r>
      <w:r w:rsidR="00897396" w:rsidRPr="00734A50">
        <w:rPr>
          <w:rFonts w:ascii="Calibri" w:eastAsia="Calibri" w:hAnsi="Calibri" w:cs="Calibri"/>
        </w:rPr>
        <w:t xml:space="preserve"> </w:t>
      </w:r>
      <w:r w:rsidR="005D22B5" w:rsidRPr="00734A50">
        <w:rPr>
          <w:rFonts w:ascii="Calibri" w:eastAsia="Calibri" w:hAnsi="Calibri" w:cs="Calibri"/>
        </w:rPr>
        <w:t>board</w:t>
      </w:r>
      <w:r w:rsidRPr="00734A50">
        <w:rPr>
          <w:rFonts w:ascii="Calibri" w:eastAsia="Calibri" w:hAnsi="Calibri" w:cs="Calibri"/>
        </w:rPr>
        <w:t xml:space="preserve"> would publish information about the national consistency of the revised Accreditation Standards and Procedures on the core content of ITE programs. </w:t>
      </w:r>
      <w:r w:rsidR="00D725DF" w:rsidRPr="00734A50">
        <w:rPr>
          <w:rFonts w:ascii="Calibri" w:eastAsia="Calibri" w:hAnsi="Calibri" w:cs="Calibri"/>
        </w:rPr>
        <w:t>It would derive this information</w:t>
      </w:r>
      <w:r w:rsidR="0084589B" w:rsidRPr="00734A50">
        <w:rPr>
          <w:rFonts w:ascii="Calibri" w:eastAsia="Calibri" w:hAnsi="Calibri" w:cs="Calibri"/>
        </w:rPr>
        <w:t xml:space="preserve"> b</w:t>
      </w:r>
      <w:r w:rsidRPr="00734A50">
        <w:rPr>
          <w:rFonts w:ascii="Calibri" w:eastAsia="Calibri" w:hAnsi="Calibri" w:cs="Calibri"/>
        </w:rPr>
        <w:t xml:space="preserve">y </w:t>
      </w:r>
      <w:r w:rsidR="00B90707" w:rsidRPr="00734A50">
        <w:rPr>
          <w:rFonts w:ascii="Calibri" w:eastAsia="Calibri" w:hAnsi="Calibri" w:cs="Calibri"/>
        </w:rPr>
        <w:t xml:space="preserve">independently </w:t>
      </w:r>
      <w:r w:rsidRPr="00734A50">
        <w:rPr>
          <w:rFonts w:ascii="Calibri" w:eastAsia="Calibri" w:hAnsi="Calibri" w:cs="Calibri"/>
        </w:rPr>
        <w:t xml:space="preserve">assessing the consistency of evidence showing delivery of the core content across ITE programs accredited each year. This may result in the </w:t>
      </w:r>
      <w:r w:rsidR="00A0547C" w:rsidRPr="00734A50">
        <w:rPr>
          <w:rFonts w:ascii="Calibri" w:eastAsia="Calibri" w:hAnsi="Calibri" w:cs="Calibri"/>
        </w:rPr>
        <w:t>ITE</w:t>
      </w:r>
      <w:r w:rsidRPr="00734A50">
        <w:rPr>
          <w:rFonts w:ascii="Calibri" w:eastAsia="Calibri" w:hAnsi="Calibri" w:cs="Calibri"/>
        </w:rPr>
        <w:t xml:space="preserve"> </w:t>
      </w:r>
      <w:r w:rsidR="00FA632C" w:rsidRPr="00734A50">
        <w:rPr>
          <w:rFonts w:ascii="Calibri" w:eastAsia="Calibri" w:hAnsi="Calibri" w:cs="Calibri"/>
        </w:rPr>
        <w:t>quality assurance</w:t>
      </w:r>
      <w:r w:rsidR="00897396" w:rsidRPr="00734A50">
        <w:rPr>
          <w:rFonts w:ascii="Calibri" w:eastAsia="Calibri" w:hAnsi="Calibri" w:cs="Calibri"/>
        </w:rPr>
        <w:t xml:space="preserve"> </w:t>
      </w:r>
      <w:r w:rsidR="00847EDD" w:rsidRPr="00734A50">
        <w:rPr>
          <w:rFonts w:ascii="Calibri" w:eastAsia="Calibri" w:hAnsi="Calibri" w:cs="Calibri"/>
        </w:rPr>
        <w:t xml:space="preserve">board </w:t>
      </w:r>
      <w:r w:rsidRPr="00734A50">
        <w:rPr>
          <w:rFonts w:ascii="Calibri" w:eastAsia="Calibri" w:hAnsi="Calibri" w:cs="Calibri"/>
        </w:rPr>
        <w:t>making recommendations on the evidence required to show core content being delivered in ITE programs.</w:t>
      </w:r>
    </w:p>
    <w:p w14:paraId="0A34217E" w14:textId="0FD0931B" w:rsidR="005A0222" w:rsidRPr="00734A50" w:rsidRDefault="005A0222" w:rsidP="008676C9">
      <w:r w:rsidRPr="00734A50">
        <w:rPr>
          <w:rFonts w:ascii="Calibri" w:eastAsia="Calibri" w:hAnsi="Calibri" w:cs="Calibri"/>
        </w:rPr>
        <w:t>This follows the practice used in other countries which have mechanisms in place to assess the content delivered in ITE. The National Council on Teacher Quality in the United States reviews teacher education programs across the country and provides information to the public about the quality of these programs.</w:t>
      </w:r>
    </w:p>
    <w:p w14:paraId="15F04D14" w14:textId="49405B09" w:rsidR="00111FB1" w:rsidRPr="00734A50" w:rsidRDefault="00111FB1" w:rsidP="6DDCDED7">
      <w:pPr>
        <w:pStyle w:val="Heading6"/>
        <w:rPr>
          <w:color w:val="auto"/>
          <w:u w:val="single"/>
        </w:rPr>
      </w:pPr>
      <w:r w:rsidRPr="00734A50">
        <w:rPr>
          <w:color w:val="auto"/>
          <w:u w:val="single"/>
        </w:rPr>
        <w:t>Assess and monitor students’ knowledge of</w:t>
      </w:r>
      <w:r w:rsidR="006D7FA8" w:rsidRPr="00734A50">
        <w:rPr>
          <w:color w:val="auto"/>
          <w:u w:val="single"/>
        </w:rPr>
        <w:t>,</w:t>
      </w:r>
      <w:r w:rsidRPr="00734A50">
        <w:rPr>
          <w:color w:val="auto"/>
          <w:u w:val="single"/>
        </w:rPr>
        <w:t xml:space="preserve"> </w:t>
      </w:r>
      <w:r w:rsidR="0017513D" w:rsidRPr="00734A50">
        <w:rPr>
          <w:color w:val="auto"/>
          <w:u w:val="single"/>
        </w:rPr>
        <w:t xml:space="preserve">and </w:t>
      </w:r>
      <w:r w:rsidR="00D310CE" w:rsidRPr="00734A50">
        <w:rPr>
          <w:color w:val="auto"/>
          <w:u w:val="single"/>
        </w:rPr>
        <w:t>periodically review</w:t>
      </w:r>
      <w:r w:rsidR="006D7FA8" w:rsidRPr="00734A50">
        <w:rPr>
          <w:color w:val="auto"/>
          <w:u w:val="single"/>
        </w:rPr>
        <w:t>,</w:t>
      </w:r>
      <w:r w:rsidR="00D310CE" w:rsidRPr="00734A50">
        <w:rPr>
          <w:color w:val="auto"/>
          <w:u w:val="single"/>
        </w:rPr>
        <w:t xml:space="preserve"> the core content</w:t>
      </w:r>
    </w:p>
    <w:p w14:paraId="3998C4B7" w14:textId="1794D2EC" w:rsidR="00A277D6" w:rsidRPr="00734A50" w:rsidRDefault="005A0222" w:rsidP="008676C9">
      <w:pPr>
        <w:rPr>
          <w:rFonts w:ascii="Calibri" w:eastAsia="Calibri" w:hAnsi="Calibri" w:cs="Calibri"/>
        </w:rPr>
      </w:pPr>
      <w:r w:rsidRPr="00734A50">
        <w:rPr>
          <w:rFonts w:ascii="Calibri" w:eastAsia="Calibri" w:hAnsi="Calibri" w:cs="Calibri"/>
        </w:rPr>
        <w:t>The</w:t>
      </w:r>
      <w:r w:rsidR="00897396" w:rsidRPr="00734A50">
        <w:rPr>
          <w:rFonts w:ascii="Calibri" w:eastAsia="Calibri" w:hAnsi="Calibri" w:cs="Calibri"/>
        </w:rPr>
        <w:t xml:space="preserve"> </w:t>
      </w:r>
      <w:r w:rsidR="00847EDD" w:rsidRPr="00734A50">
        <w:rPr>
          <w:rFonts w:ascii="Calibri" w:eastAsia="Calibri" w:hAnsi="Calibri" w:cs="Calibri"/>
        </w:rPr>
        <w:t>board</w:t>
      </w:r>
      <w:r w:rsidRPr="00734A50">
        <w:rPr>
          <w:rFonts w:ascii="Calibri" w:eastAsia="Calibri" w:hAnsi="Calibri" w:cs="Calibri"/>
        </w:rPr>
        <w:t xml:space="preserve"> would annually survey final</w:t>
      </w:r>
      <w:r w:rsidR="00B63302" w:rsidRPr="00734A50">
        <w:rPr>
          <w:rFonts w:ascii="Calibri" w:eastAsia="Calibri" w:hAnsi="Calibri" w:cs="Calibri"/>
        </w:rPr>
        <w:t>-</w:t>
      </w:r>
      <w:r w:rsidRPr="00734A50">
        <w:rPr>
          <w:rFonts w:ascii="Calibri" w:eastAsia="Calibri" w:hAnsi="Calibri" w:cs="Calibri"/>
        </w:rPr>
        <w:t xml:space="preserve">year ITE students on whether they had an opportunity to practise evidence-based teaching practices during their program. This provides an indication of the extent to which students have the opportunity to develop their knowledge </w:t>
      </w:r>
      <w:r w:rsidR="007F3DC3">
        <w:rPr>
          <w:rFonts w:ascii="Calibri" w:eastAsia="Calibri" w:hAnsi="Calibri" w:cs="Calibri"/>
        </w:rPr>
        <w:t xml:space="preserve">of </w:t>
      </w:r>
      <w:r w:rsidRPr="00734A50">
        <w:rPr>
          <w:rFonts w:ascii="Calibri" w:eastAsia="Calibri" w:hAnsi="Calibri" w:cs="Calibri"/>
        </w:rPr>
        <w:t xml:space="preserve">and skill </w:t>
      </w:r>
      <w:r w:rsidR="007F3DC3">
        <w:rPr>
          <w:rFonts w:ascii="Calibri" w:eastAsia="Calibri" w:hAnsi="Calibri" w:cs="Calibri"/>
        </w:rPr>
        <w:t>in</w:t>
      </w:r>
      <w:r w:rsidR="007F3DC3" w:rsidRPr="00734A50">
        <w:rPr>
          <w:rFonts w:ascii="Calibri" w:eastAsia="Calibri" w:hAnsi="Calibri" w:cs="Calibri"/>
        </w:rPr>
        <w:t xml:space="preserve"> </w:t>
      </w:r>
      <w:r w:rsidRPr="00734A50">
        <w:rPr>
          <w:rFonts w:ascii="Calibri" w:eastAsia="Calibri" w:hAnsi="Calibri" w:cs="Calibri"/>
        </w:rPr>
        <w:t xml:space="preserve">the core content. </w:t>
      </w:r>
    </w:p>
    <w:p w14:paraId="4B82F1F3" w14:textId="1AAC0822" w:rsidR="00400DE0" w:rsidRPr="00734A50" w:rsidRDefault="005109AA" w:rsidP="00400DE0">
      <w:r w:rsidRPr="00734A50">
        <w:t>S</w:t>
      </w:r>
      <w:r w:rsidR="00400DE0" w:rsidRPr="00734A50">
        <w:t xml:space="preserve">takeholders note that the core content should be updated as ITE research evolves, to ensure that it adheres to </w:t>
      </w:r>
      <w:r w:rsidR="00B63302" w:rsidRPr="00734A50">
        <w:t xml:space="preserve">the </w:t>
      </w:r>
      <w:r w:rsidR="00400DE0" w:rsidRPr="00734A50">
        <w:t>best evidence-based practices (ATRA</w:t>
      </w:r>
      <w:r w:rsidR="000657B9" w:rsidRPr="00734A50">
        <w:t xml:space="preserve"> submission;</w:t>
      </w:r>
      <w:r w:rsidR="00400DE0" w:rsidRPr="00734A50">
        <w:t xml:space="preserve"> NSW </w:t>
      </w:r>
      <w:r w:rsidR="00DA4D4A">
        <w:t>Department of Education</w:t>
      </w:r>
      <w:r w:rsidR="000657B9" w:rsidRPr="00734A50">
        <w:t xml:space="preserve"> submission</w:t>
      </w:r>
      <w:r w:rsidR="00B63302" w:rsidRPr="00734A50">
        <w:t>;</w:t>
      </w:r>
      <w:r w:rsidR="00400DE0" w:rsidRPr="00734A50">
        <w:t xml:space="preserve"> University of Canberra submission). The board should undertake periodic reviews of the core content for ITE programs, assessed against available evidence</w:t>
      </w:r>
      <w:r w:rsidR="00E4728A" w:rsidRPr="00734A50">
        <w:t>.</w:t>
      </w:r>
      <w:r w:rsidR="00400DE0" w:rsidRPr="00734A50">
        <w:t xml:space="preserve"> and recommend to </w:t>
      </w:r>
      <w:r w:rsidR="00E4728A" w:rsidRPr="00734A50">
        <w:t xml:space="preserve">Education </w:t>
      </w:r>
      <w:r w:rsidR="00400DE0" w:rsidRPr="00734A50">
        <w:t>Ministers if and how the core content should be updated.</w:t>
      </w:r>
    </w:p>
    <w:p w14:paraId="5CF8FC7F" w14:textId="6DB92180" w:rsidR="00852299" w:rsidRDefault="00852299">
      <w:pPr>
        <w:spacing w:after="160" w:line="259" w:lineRule="auto"/>
        <w:rPr>
          <w:rFonts w:ascii="Calibri" w:eastAsia="Calibri" w:hAnsi="Calibri" w:cs="Arial"/>
          <w:lang w:eastAsia="en-AU"/>
        </w:rPr>
      </w:pPr>
      <w:r>
        <w:rPr>
          <w:rFonts w:ascii="Calibri" w:eastAsia="Calibri" w:hAnsi="Calibri" w:cs="Arial"/>
          <w:lang w:eastAsia="en-AU"/>
        </w:rPr>
        <w:br w:type="page"/>
      </w:r>
    </w:p>
    <w:p w14:paraId="72471166" w14:textId="77777777" w:rsidR="00800A35" w:rsidRPr="00734A50" w:rsidRDefault="00800A35" w:rsidP="00BA4731">
      <w:pPr>
        <w:spacing w:after="240"/>
        <w:rPr>
          <w:rFonts w:ascii="Calibri" w:eastAsia="Calibri" w:hAnsi="Calibri" w:cs="Arial"/>
          <w:lang w:eastAsia="en-AU"/>
        </w:rPr>
      </w:pPr>
    </w:p>
    <w:p w14:paraId="10341BC2" w14:textId="77777777" w:rsidR="00852299" w:rsidRDefault="00852299" w:rsidP="00852299">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Pr>
          <w:b/>
          <w:bCs/>
        </w:rPr>
        <w:t>Example: ITE student survey</w:t>
      </w:r>
    </w:p>
    <w:p w14:paraId="3A19A6A3" w14:textId="77777777" w:rsidR="00852299" w:rsidRPr="00970586" w:rsidRDefault="00852299" w:rsidP="00852299">
      <w:pPr>
        <w:pBdr>
          <w:top w:val="single" w:sz="4" w:space="1" w:color="auto"/>
          <w:left w:val="single" w:sz="4" w:space="4" w:color="auto"/>
          <w:bottom w:val="single" w:sz="4" w:space="1" w:color="auto"/>
          <w:right w:val="single" w:sz="4" w:space="4" w:color="auto"/>
        </w:pBdr>
        <w:shd w:val="clear" w:color="auto" w:fill="FECF52" w:themeFill="accent2"/>
        <w:spacing w:after="0"/>
        <w:rPr>
          <w:rFonts w:ascii="Calibri" w:eastAsia="Calibri" w:hAnsi="Calibri" w:cs="Arial"/>
          <w:lang w:eastAsia="en-AU"/>
        </w:rPr>
      </w:pPr>
      <w:r>
        <w:rPr>
          <w:rFonts w:ascii="Calibri" w:eastAsia="Calibri" w:hAnsi="Calibri" w:cs="Arial"/>
          <w:lang w:eastAsia="en-AU"/>
        </w:rPr>
        <w:t>The</w:t>
      </w:r>
      <w:r w:rsidRPr="00970586">
        <w:rPr>
          <w:rFonts w:ascii="Calibri" w:eastAsia="Calibri" w:hAnsi="Calibri" w:cs="Arial"/>
          <w:lang w:eastAsia="en-AU"/>
        </w:rPr>
        <w:t xml:space="preserve"> Panel surveyed final</w:t>
      </w:r>
      <w:r>
        <w:rPr>
          <w:rFonts w:ascii="Calibri" w:eastAsia="Calibri" w:hAnsi="Calibri" w:cs="Arial"/>
          <w:lang w:eastAsia="en-AU"/>
        </w:rPr>
        <w:t>-</w:t>
      </w:r>
      <w:r w:rsidRPr="00970586">
        <w:rPr>
          <w:rFonts w:ascii="Calibri" w:eastAsia="Calibri" w:hAnsi="Calibri" w:cs="Arial"/>
          <w:lang w:eastAsia="en-AU"/>
        </w:rPr>
        <w:t>year ITE students who responded to the Australian Government Department of Education’s higher education Student Experience Survey. ITE students were ask</w:t>
      </w:r>
      <w:r>
        <w:rPr>
          <w:rFonts w:ascii="Calibri" w:eastAsia="Calibri" w:hAnsi="Calibri" w:cs="Arial"/>
          <w:lang w:eastAsia="en-AU"/>
        </w:rPr>
        <w:t>ed</w:t>
      </w:r>
      <w:r w:rsidRPr="00970586">
        <w:rPr>
          <w:rFonts w:ascii="Calibri" w:eastAsia="Calibri" w:hAnsi="Calibri" w:cs="Arial"/>
          <w:lang w:eastAsia="en-AU"/>
        </w:rPr>
        <w:t xml:space="preserve"> if their ITE program provided an opportunity to practise key teaching practices. </w:t>
      </w:r>
      <w:r>
        <w:rPr>
          <w:rFonts w:ascii="Calibri" w:eastAsia="Calibri" w:hAnsi="Calibri" w:cs="Arial"/>
          <w:lang w:eastAsia="en-AU"/>
        </w:rPr>
        <w:t>In t</w:t>
      </w:r>
      <w:r w:rsidRPr="00970586">
        <w:rPr>
          <w:rFonts w:ascii="Calibri" w:eastAsia="Calibri" w:hAnsi="Calibri" w:cs="Arial"/>
          <w:lang w:eastAsia="en-AU"/>
        </w:rPr>
        <w:t xml:space="preserve">he survey </w:t>
      </w:r>
      <w:r>
        <w:rPr>
          <w:rFonts w:ascii="Calibri" w:eastAsia="Calibri" w:hAnsi="Calibri" w:cs="Arial"/>
          <w:lang w:eastAsia="en-AU"/>
        </w:rPr>
        <w:t>responses</w:t>
      </w:r>
      <w:r w:rsidRPr="00970586">
        <w:rPr>
          <w:rFonts w:ascii="Calibri" w:eastAsia="Calibri" w:hAnsi="Calibri" w:cs="Arial"/>
          <w:lang w:eastAsia="en-AU"/>
        </w:rPr>
        <w:t>:</w:t>
      </w:r>
    </w:p>
    <w:p w14:paraId="051A87CC" w14:textId="77777777" w:rsidR="00852299" w:rsidRPr="008C5F66" w:rsidRDefault="00852299" w:rsidP="00852299">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pPr>
      <w:r w:rsidRPr="008C5F66">
        <w:t>73 per cent agreed they had many opportunities to practise explicit modelling and scaffolding of content in classrooms</w:t>
      </w:r>
    </w:p>
    <w:p w14:paraId="65D842A5" w14:textId="77777777" w:rsidR="00852299" w:rsidRPr="008C5F66" w:rsidRDefault="00852299" w:rsidP="00852299">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pPr>
      <w:r w:rsidRPr="008C5F66">
        <w:t>68 per cent agreed they had many opportunities to plan and sequence content and tasks so that they become increasingly challenging for students, and to implement these plans in classrooms</w:t>
      </w:r>
    </w:p>
    <w:p w14:paraId="3481B438" w14:textId="77777777" w:rsidR="00852299" w:rsidRPr="008C5F66" w:rsidRDefault="00852299" w:rsidP="00852299">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pPr>
      <w:r w:rsidRPr="008C5F66">
        <w:t>63 per cent agreed they had many opportunities to practise the use of calm, consistent and proportional responses to student behaviour in classrooms</w:t>
      </w:r>
    </w:p>
    <w:p w14:paraId="6EEBA0FB" w14:textId="77777777" w:rsidR="00852299" w:rsidRPr="008C5F66" w:rsidRDefault="00852299" w:rsidP="00852299">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spacing w:after="0"/>
        <w:ind w:left="357" w:hanging="357"/>
      </w:pPr>
      <w:r w:rsidRPr="008C5F66">
        <w:t>52 per cent agreed they had many opportunities to use assessment to evaluate students’ progress, adjust instruction and provide targeted feedback in classrooms</w:t>
      </w:r>
    </w:p>
    <w:p w14:paraId="608BB8D0" w14:textId="77777777" w:rsidR="00852299" w:rsidRPr="008C5F66" w:rsidRDefault="00852299" w:rsidP="00852299">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pPr>
      <w:r w:rsidRPr="008C5F66">
        <w:t>40 per cent of primary school teaching students agreed they had many opportunities to practise the explicit teaching of phonics in classrooms.</w:t>
      </w:r>
    </w:p>
    <w:p w14:paraId="6C54E723" w14:textId="77777777" w:rsidR="00852299" w:rsidRDefault="00852299" w:rsidP="6DDCDED7">
      <w:pPr>
        <w:pStyle w:val="Heading6"/>
        <w:rPr>
          <w:color w:val="auto"/>
          <w:u w:val="single"/>
        </w:rPr>
      </w:pPr>
    </w:p>
    <w:p w14:paraId="0C3BF0F2" w14:textId="2801E903" w:rsidR="005A0222" w:rsidRPr="00734A50" w:rsidRDefault="00CF2238" w:rsidP="6DDCDED7">
      <w:pPr>
        <w:pStyle w:val="Heading6"/>
        <w:rPr>
          <w:color w:val="auto"/>
          <w:u w:val="single"/>
        </w:rPr>
      </w:pPr>
      <w:r w:rsidRPr="00734A50">
        <w:rPr>
          <w:color w:val="auto"/>
          <w:u w:val="single"/>
        </w:rPr>
        <w:t>Introduce c</w:t>
      </w:r>
      <w:r w:rsidR="000D1EE1" w:rsidRPr="00734A50">
        <w:rPr>
          <w:color w:val="auto"/>
          <w:u w:val="single"/>
        </w:rPr>
        <w:t>ross-institutional m</w:t>
      </w:r>
      <w:r w:rsidR="005A0222" w:rsidRPr="00734A50">
        <w:rPr>
          <w:color w:val="auto"/>
          <w:u w:val="single"/>
        </w:rPr>
        <w:t>odera</w:t>
      </w:r>
      <w:r w:rsidR="000D1EE1" w:rsidRPr="00734A50">
        <w:rPr>
          <w:color w:val="auto"/>
          <w:u w:val="single"/>
        </w:rPr>
        <w:t>tion of</w:t>
      </w:r>
      <w:r w:rsidR="005A0222" w:rsidRPr="00734A50">
        <w:rPr>
          <w:color w:val="auto"/>
          <w:u w:val="single"/>
        </w:rPr>
        <w:t xml:space="preserve"> </w:t>
      </w:r>
      <w:r w:rsidR="00B721B6" w:rsidRPr="00734A50">
        <w:rPr>
          <w:color w:val="auto"/>
          <w:u w:val="single"/>
        </w:rPr>
        <w:t>T</w:t>
      </w:r>
      <w:r w:rsidR="005A0222" w:rsidRPr="00734A50">
        <w:rPr>
          <w:color w:val="auto"/>
          <w:u w:val="single"/>
        </w:rPr>
        <w:t xml:space="preserve">eaching </w:t>
      </w:r>
      <w:r w:rsidR="00B721B6" w:rsidRPr="00734A50">
        <w:rPr>
          <w:color w:val="auto"/>
          <w:u w:val="single"/>
        </w:rPr>
        <w:t>P</w:t>
      </w:r>
      <w:r w:rsidR="005A0222" w:rsidRPr="00734A50">
        <w:rPr>
          <w:color w:val="auto"/>
          <w:u w:val="single"/>
        </w:rPr>
        <w:t xml:space="preserve">erformance </w:t>
      </w:r>
      <w:r w:rsidR="00B721B6" w:rsidRPr="00734A50">
        <w:rPr>
          <w:color w:val="auto"/>
          <w:u w:val="single"/>
        </w:rPr>
        <w:t>A</w:t>
      </w:r>
      <w:r w:rsidR="005A0222" w:rsidRPr="00734A50">
        <w:rPr>
          <w:color w:val="auto"/>
          <w:u w:val="single"/>
        </w:rPr>
        <w:t>ssessments</w:t>
      </w:r>
    </w:p>
    <w:p w14:paraId="71494C50" w14:textId="178AE5AC" w:rsidR="005A0222" w:rsidRPr="00734A50" w:rsidRDefault="005A0222" w:rsidP="008676C9">
      <w:r w:rsidRPr="00734A50">
        <w:rPr>
          <w:rFonts w:ascii="Calibri" w:eastAsia="Calibri" w:hAnsi="Calibri" w:cs="Calibri"/>
        </w:rPr>
        <w:t xml:space="preserve">TPAs assess what ITE students are taught, to ensure they develop key capabilities to prepare them for the classroom. The TEMAG Review noted that a </w:t>
      </w:r>
      <w:r w:rsidR="00996DBB" w:rsidRPr="00734A50">
        <w:rPr>
          <w:rFonts w:ascii="Calibri" w:eastAsia="Calibri" w:hAnsi="Calibri" w:cs="Calibri"/>
        </w:rPr>
        <w:t>‘</w:t>
      </w:r>
      <w:r w:rsidRPr="00734A50">
        <w:rPr>
          <w:rFonts w:ascii="Calibri" w:eastAsia="Calibri" w:hAnsi="Calibri" w:cs="Calibri"/>
        </w:rPr>
        <w:t>consistent and transparent graduate assessment against an agreed benchmark is a key feature of profession entry requirements both internationally and in comparable professions in Australia</w:t>
      </w:r>
      <w:r w:rsidR="00996DBB" w:rsidRPr="00734A50">
        <w:rPr>
          <w:rFonts w:ascii="Calibri" w:eastAsia="Calibri" w:hAnsi="Calibri" w:cs="Calibri"/>
        </w:rPr>
        <w:t>’</w:t>
      </w:r>
      <w:r w:rsidRPr="00734A50">
        <w:rPr>
          <w:rFonts w:ascii="Calibri" w:eastAsia="Calibri" w:hAnsi="Calibri" w:cs="Calibri"/>
        </w:rPr>
        <w:t xml:space="preserve"> (TEMAG 2014, p.38). However, the assessment standards are likely to vary across ITE programs</w:t>
      </w:r>
      <w:r w:rsidR="00996DBB" w:rsidRPr="00734A50">
        <w:rPr>
          <w:rFonts w:ascii="Calibri" w:eastAsia="Calibri" w:hAnsi="Calibri" w:cs="Calibri"/>
        </w:rPr>
        <w:t>,</w:t>
      </w:r>
      <w:r w:rsidRPr="00734A50">
        <w:rPr>
          <w:rFonts w:ascii="Calibri" w:eastAsia="Calibri" w:hAnsi="Calibri" w:cs="Calibri"/>
        </w:rPr>
        <w:t xml:space="preserve"> as </w:t>
      </w:r>
      <w:r w:rsidR="00996DBB" w:rsidRPr="00734A50">
        <w:rPr>
          <w:rFonts w:ascii="Calibri" w:eastAsia="Calibri" w:hAnsi="Calibri" w:cs="Calibri"/>
        </w:rPr>
        <w:t xml:space="preserve">the Accreditation Standards and Procedures do not require </w:t>
      </w:r>
      <w:r w:rsidRPr="00734A50">
        <w:rPr>
          <w:rFonts w:ascii="Calibri" w:eastAsia="Calibri" w:hAnsi="Calibri" w:cs="Calibri"/>
        </w:rPr>
        <w:t xml:space="preserve">national moderation and benchmarking of TPAs. This means it is still difficult to ensure graduate teachers </w:t>
      </w:r>
      <w:r w:rsidR="00996DBB" w:rsidRPr="00734A50">
        <w:rPr>
          <w:rFonts w:ascii="Calibri" w:eastAsia="Calibri" w:hAnsi="Calibri" w:cs="Calibri"/>
        </w:rPr>
        <w:t xml:space="preserve">from </w:t>
      </w:r>
      <w:r w:rsidRPr="00734A50">
        <w:rPr>
          <w:rFonts w:ascii="Calibri" w:eastAsia="Calibri" w:hAnsi="Calibri" w:cs="Calibri"/>
        </w:rPr>
        <w:t xml:space="preserve">one higher education provider are achieving a consistent standard compared with graduates from other higher education providers. </w:t>
      </w:r>
    </w:p>
    <w:p w14:paraId="6CF710B9" w14:textId="7FAB2ED6" w:rsidR="005A0222" w:rsidRPr="00734A50" w:rsidRDefault="005A0222" w:rsidP="008676C9">
      <w:r w:rsidRPr="00734A50">
        <w:rPr>
          <w:rFonts w:ascii="Calibri" w:eastAsia="Calibri" w:hAnsi="Calibri" w:cs="Calibri"/>
        </w:rPr>
        <w:t xml:space="preserve">National consistency would be improved by providing the </w:t>
      </w:r>
      <w:r w:rsidR="00F8269A" w:rsidRPr="00734A50">
        <w:rPr>
          <w:rFonts w:ascii="Calibri" w:eastAsia="Calibri" w:hAnsi="Calibri" w:cs="Calibri"/>
        </w:rPr>
        <w:t>ITE quality assurance</w:t>
      </w:r>
      <w:r w:rsidR="00897396" w:rsidRPr="00734A50">
        <w:rPr>
          <w:rFonts w:ascii="Calibri" w:eastAsia="Calibri" w:hAnsi="Calibri" w:cs="Calibri"/>
        </w:rPr>
        <w:t xml:space="preserve"> </w:t>
      </w:r>
      <w:r w:rsidR="00847EDD" w:rsidRPr="00734A50">
        <w:rPr>
          <w:rFonts w:ascii="Calibri" w:eastAsia="Calibri" w:hAnsi="Calibri" w:cs="Calibri"/>
        </w:rPr>
        <w:t xml:space="preserve">board </w:t>
      </w:r>
      <w:r w:rsidRPr="00734A50">
        <w:rPr>
          <w:rFonts w:ascii="Calibri" w:eastAsia="Calibri" w:hAnsi="Calibri" w:cs="Calibri"/>
        </w:rPr>
        <w:t>with delegated authority to make decisions on TPAs, including national standard setting, moderation and comparability (Recommendation 10, QITE Review 2022).</w:t>
      </w:r>
      <w:r w:rsidR="00996DBB" w:rsidRPr="00734A50">
        <w:rPr>
          <w:rFonts w:ascii="Calibri" w:eastAsia="Calibri" w:hAnsi="Calibri" w:cs="Calibri"/>
        </w:rPr>
        <w:t xml:space="preserve"> </w:t>
      </w:r>
      <w:r w:rsidRPr="00734A50">
        <w:rPr>
          <w:rFonts w:ascii="Calibri" w:eastAsia="Calibri" w:hAnsi="Calibri" w:cs="Calibri"/>
        </w:rPr>
        <w:t xml:space="preserve">This would ensure ITE students are consistently assessed against the Australian Professional Standards for Teachers (Graduate Level Standards), regardless of their higher education provider. </w:t>
      </w:r>
    </w:p>
    <w:p w14:paraId="472789A4" w14:textId="1709811D" w:rsidR="00850552" w:rsidRPr="00734A50" w:rsidRDefault="00E27802" w:rsidP="6DDCDED7">
      <w:pPr>
        <w:pStyle w:val="Heading6"/>
        <w:rPr>
          <w:color w:val="auto"/>
          <w:u w:val="single"/>
        </w:rPr>
      </w:pPr>
      <w:r w:rsidRPr="00734A50">
        <w:rPr>
          <w:color w:val="auto"/>
          <w:u w:val="single"/>
        </w:rPr>
        <w:t>Report o</w:t>
      </w:r>
      <w:r w:rsidR="00DF1846" w:rsidRPr="00734A50">
        <w:rPr>
          <w:color w:val="auto"/>
          <w:u w:val="single"/>
        </w:rPr>
        <w:t xml:space="preserve">n, periodically review and recommend updates to the </w:t>
      </w:r>
      <w:r w:rsidRPr="00734A50">
        <w:rPr>
          <w:color w:val="auto"/>
          <w:u w:val="single"/>
        </w:rPr>
        <w:t>ITE indicators</w:t>
      </w:r>
    </w:p>
    <w:p w14:paraId="1A0CD62C" w14:textId="41354BA8" w:rsidR="00E27802" w:rsidRPr="00734A50" w:rsidRDefault="00E27802" w:rsidP="008676C9">
      <w:pPr>
        <w:rPr>
          <w:rFonts w:ascii="Calibri" w:eastAsia="Calibri" w:hAnsi="Calibri" w:cs="Calibri"/>
        </w:rPr>
      </w:pPr>
      <w:r w:rsidRPr="00734A50">
        <w:rPr>
          <w:rFonts w:ascii="Calibri" w:eastAsia="Calibri" w:hAnsi="Calibri" w:cs="Calibri"/>
        </w:rPr>
        <w:t xml:space="preserve">The </w:t>
      </w:r>
      <w:r w:rsidR="00523BB0" w:rsidRPr="00734A50">
        <w:rPr>
          <w:rFonts w:ascii="Calibri" w:eastAsia="Calibri" w:hAnsi="Calibri" w:cs="Calibri"/>
        </w:rPr>
        <w:t>ITE</w:t>
      </w:r>
      <w:r w:rsidRPr="00734A50">
        <w:rPr>
          <w:rFonts w:ascii="Calibri" w:eastAsia="Calibri" w:hAnsi="Calibri" w:cs="Calibri"/>
        </w:rPr>
        <w:t xml:space="preserve"> </w:t>
      </w:r>
      <w:r w:rsidR="00F8269A" w:rsidRPr="00734A50">
        <w:rPr>
          <w:rFonts w:ascii="Calibri" w:eastAsia="Calibri" w:hAnsi="Calibri" w:cs="Calibri"/>
        </w:rPr>
        <w:t>quality assurance</w:t>
      </w:r>
      <w:r w:rsidRPr="00734A50">
        <w:rPr>
          <w:rFonts w:ascii="Calibri" w:eastAsia="Calibri" w:hAnsi="Calibri" w:cs="Calibri"/>
        </w:rPr>
        <w:t xml:space="preserve"> board would </w:t>
      </w:r>
      <w:r w:rsidR="001309B7" w:rsidRPr="00734A50">
        <w:rPr>
          <w:rFonts w:ascii="Calibri" w:eastAsia="Calibri" w:hAnsi="Calibri" w:cs="Calibri"/>
        </w:rPr>
        <w:t xml:space="preserve">report on </w:t>
      </w:r>
      <w:r w:rsidRPr="00734A50">
        <w:rPr>
          <w:rFonts w:ascii="Calibri" w:eastAsia="Calibri" w:hAnsi="Calibri" w:cs="Calibri"/>
        </w:rPr>
        <w:t xml:space="preserve">the </w:t>
      </w:r>
      <w:r w:rsidRPr="00734A50">
        <w:rPr>
          <w:lang w:eastAsia="en-AU"/>
        </w:rPr>
        <w:t>nationally consistent, transparent indicators</w:t>
      </w:r>
      <w:r w:rsidRPr="00734A50">
        <w:rPr>
          <w:rFonts w:ascii="Calibri" w:eastAsia="Calibri" w:hAnsi="Calibri" w:cs="Calibri"/>
        </w:rPr>
        <w:t xml:space="preserve"> for each </w:t>
      </w:r>
      <w:r w:rsidR="006827A4" w:rsidRPr="00734A50">
        <w:rPr>
          <w:rFonts w:ascii="Calibri" w:eastAsia="Calibri" w:hAnsi="Calibri" w:cs="Calibri"/>
        </w:rPr>
        <w:t>higher education</w:t>
      </w:r>
      <w:r w:rsidRPr="00734A50">
        <w:rPr>
          <w:rFonts w:ascii="Calibri" w:eastAsia="Calibri" w:hAnsi="Calibri" w:cs="Calibri"/>
        </w:rPr>
        <w:t xml:space="preserve"> provider, as outlined </w:t>
      </w:r>
      <w:r w:rsidR="005B0DE6" w:rsidRPr="00734A50">
        <w:rPr>
          <w:rFonts w:ascii="Calibri" w:eastAsia="Calibri" w:hAnsi="Calibri" w:cs="Calibri"/>
        </w:rPr>
        <w:t xml:space="preserve">further </w:t>
      </w:r>
      <w:r w:rsidRPr="00734A50">
        <w:rPr>
          <w:rFonts w:ascii="Calibri" w:eastAsia="Calibri" w:hAnsi="Calibri" w:cs="Calibri"/>
        </w:rPr>
        <w:t xml:space="preserve">in Chapter 2. It would analyse the results of the indicators and </w:t>
      </w:r>
      <w:r w:rsidR="00EC4BF4" w:rsidRPr="00734A50">
        <w:rPr>
          <w:rFonts w:ascii="Calibri" w:eastAsia="Calibri" w:hAnsi="Calibri" w:cs="Calibri"/>
        </w:rPr>
        <w:t xml:space="preserve">contextual information </w:t>
      </w:r>
      <w:r w:rsidRPr="00734A50">
        <w:rPr>
          <w:rFonts w:ascii="Calibri" w:eastAsia="Calibri" w:hAnsi="Calibri" w:cs="Calibri"/>
        </w:rPr>
        <w:t>and report on the outcomes.</w:t>
      </w:r>
      <w:r w:rsidR="00EC4BF4" w:rsidRPr="00734A50">
        <w:rPr>
          <w:rFonts w:ascii="Calibri" w:eastAsia="Calibri" w:hAnsi="Calibri" w:cs="Calibri"/>
        </w:rPr>
        <w:t xml:space="preserve"> </w:t>
      </w:r>
      <w:r w:rsidRPr="00734A50">
        <w:rPr>
          <w:rFonts w:ascii="Calibri" w:eastAsia="Calibri" w:hAnsi="Calibri" w:cs="Calibri"/>
        </w:rPr>
        <w:t xml:space="preserve">This information would be made publicly available for use by governments, higher education providers, and other interested users such as prospective </w:t>
      </w:r>
      <w:r w:rsidR="006827A4" w:rsidRPr="00734A50">
        <w:rPr>
          <w:rFonts w:ascii="Calibri" w:eastAsia="Calibri" w:hAnsi="Calibri" w:cs="Calibri"/>
        </w:rPr>
        <w:t>ITE students</w:t>
      </w:r>
      <w:r w:rsidRPr="00734A50">
        <w:rPr>
          <w:rFonts w:ascii="Calibri" w:eastAsia="Calibri" w:hAnsi="Calibri" w:cs="Calibri"/>
        </w:rPr>
        <w:t xml:space="preserve">. </w:t>
      </w:r>
    </w:p>
    <w:p w14:paraId="198DFE8D" w14:textId="0087658A" w:rsidR="00527D1A" w:rsidRPr="00734A50" w:rsidRDefault="00E27802" w:rsidP="00527D1A">
      <w:pPr>
        <w:rPr>
          <w:rFonts w:ascii="Calibri" w:eastAsia="Calibri" w:hAnsi="Calibri" w:cs="Calibri"/>
        </w:rPr>
      </w:pPr>
      <w:r w:rsidRPr="00734A50">
        <w:rPr>
          <w:rFonts w:ascii="Calibri" w:eastAsia="Calibri" w:hAnsi="Calibri" w:cs="Calibri"/>
        </w:rPr>
        <w:t xml:space="preserve">The Panel acknowledges that the indicators </w:t>
      </w:r>
      <w:r w:rsidR="4728A63A" w:rsidRPr="00734A50">
        <w:rPr>
          <w:rFonts w:ascii="Calibri" w:eastAsia="Calibri" w:hAnsi="Calibri" w:cs="Calibri"/>
        </w:rPr>
        <w:t xml:space="preserve">outlined in this report </w:t>
      </w:r>
      <w:r w:rsidRPr="00734A50">
        <w:rPr>
          <w:rFonts w:ascii="Calibri" w:eastAsia="Calibri" w:hAnsi="Calibri" w:cs="Calibri"/>
        </w:rPr>
        <w:t xml:space="preserve">are not </w:t>
      </w:r>
      <w:r w:rsidRPr="00734A50">
        <w:t xml:space="preserve">exhaustive or a comprehensive measure of the quality of ITE programs. </w:t>
      </w:r>
      <w:r w:rsidR="008C6A4A" w:rsidRPr="00734A50">
        <w:t>We</w:t>
      </w:r>
      <w:r w:rsidRPr="00734A50">
        <w:t xml:space="preserve"> </w:t>
      </w:r>
      <w:r w:rsidR="00141DEC" w:rsidRPr="00734A50">
        <w:t>recognise</w:t>
      </w:r>
      <w:r w:rsidR="00996DBB" w:rsidRPr="00734A50">
        <w:t xml:space="preserve"> that</w:t>
      </w:r>
      <w:r w:rsidRPr="00734A50">
        <w:t xml:space="preserve"> further work </w:t>
      </w:r>
      <w:r w:rsidR="003B4027" w:rsidRPr="00734A50">
        <w:t>would</w:t>
      </w:r>
      <w:r w:rsidRPr="00734A50">
        <w:t xml:space="preserve"> be required to address data and evidence gaps</w:t>
      </w:r>
      <w:r w:rsidR="004D31B6" w:rsidRPr="00734A50">
        <w:t xml:space="preserve"> to</w:t>
      </w:r>
      <w:r w:rsidRPr="00734A50">
        <w:t xml:space="preserve"> provide insights into the pathways of ITE students </w:t>
      </w:r>
      <w:r w:rsidRPr="00734A50">
        <w:lastRenderedPageBreak/>
        <w:t>and develop better quality measures into the future.</w:t>
      </w:r>
      <w:r w:rsidR="00527D1A" w:rsidRPr="00734A50">
        <w:t xml:space="preserve"> </w:t>
      </w:r>
      <w:r w:rsidR="000A344B" w:rsidRPr="00734A50">
        <w:rPr>
          <w:rFonts w:ascii="Calibri" w:eastAsia="Calibri" w:hAnsi="Calibri" w:cs="Calibri"/>
        </w:rPr>
        <w:t>The</w:t>
      </w:r>
      <w:r w:rsidR="00527D1A" w:rsidRPr="00734A50">
        <w:rPr>
          <w:rFonts w:ascii="Calibri" w:eastAsia="Calibri" w:hAnsi="Calibri" w:cs="Calibri"/>
        </w:rPr>
        <w:t xml:space="preserve"> board should be responsible for the development of future measures, informed by research and improved data.</w:t>
      </w:r>
    </w:p>
    <w:p w14:paraId="38908349" w14:textId="7805740B" w:rsidR="00AE5971" w:rsidRPr="00734A50" w:rsidRDefault="001B2942" w:rsidP="6DDCDED7">
      <w:pPr>
        <w:pStyle w:val="Heading6"/>
        <w:rPr>
          <w:color w:val="auto"/>
          <w:u w:val="single"/>
        </w:rPr>
      </w:pPr>
      <w:r w:rsidRPr="00734A50">
        <w:rPr>
          <w:color w:val="auto"/>
          <w:u w:val="single"/>
        </w:rPr>
        <w:t xml:space="preserve">Report on the quality </w:t>
      </w:r>
      <w:r w:rsidR="00DF1846" w:rsidRPr="00734A50">
        <w:rPr>
          <w:color w:val="auto"/>
          <w:u w:val="single"/>
        </w:rPr>
        <w:t xml:space="preserve">and delivery </w:t>
      </w:r>
      <w:r w:rsidRPr="00734A50">
        <w:rPr>
          <w:color w:val="auto"/>
          <w:u w:val="single"/>
        </w:rPr>
        <w:t>of practical experience</w:t>
      </w:r>
      <w:r w:rsidR="00DB5D27">
        <w:rPr>
          <w:color w:val="auto"/>
          <w:u w:val="single"/>
        </w:rPr>
        <w:t xml:space="preserve"> and the evidence base for mid-career programs</w:t>
      </w:r>
    </w:p>
    <w:p w14:paraId="32976901" w14:textId="5FC5221F" w:rsidR="00941CA9" w:rsidRPr="00734A50" w:rsidRDefault="00090503" w:rsidP="00076061">
      <w:pPr>
        <w:rPr>
          <w:rFonts w:ascii="Calibri" w:eastAsia="Calibri" w:hAnsi="Calibri" w:cs="Calibri"/>
        </w:rPr>
      </w:pPr>
      <w:r w:rsidRPr="00734A50">
        <w:rPr>
          <w:rFonts w:ascii="Calibri" w:eastAsia="Calibri" w:hAnsi="Calibri" w:cs="Calibri"/>
        </w:rPr>
        <w:t>The Panel found that the quality of practical experience is highly variable for ITE students, particularly for beginning teachers in regional and remote areas.</w:t>
      </w:r>
    </w:p>
    <w:p w14:paraId="313E9EBD" w14:textId="171D1923" w:rsidR="001B2942" w:rsidRPr="00176E2F" w:rsidRDefault="00284BDB" w:rsidP="00E75E45">
      <w:pPr>
        <w:rPr>
          <w:rFonts w:ascii="Calibri" w:eastAsia="Calibri" w:hAnsi="Calibri" w:cs="Calibri"/>
        </w:rPr>
      </w:pPr>
      <w:r w:rsidRPr="00734A50">
        <w:rPr>
          <w:rFonts w:ascii="Calibri" w:eastAsia="Calibri" w:hAnsi="Calibri" w:cs="Calibri"/>
        </w:rPr>
        <w:t xml:space="preserve">As part of the annual survey </w:t>
      </w:r>
      <w:r w:rsidR="00A1650C" w:rsidRPr="00734A50">
        <w:rPr>
          <w:rFonts w:ascii="Calibri" w:eastAsia="Calibri" w:hAnsi="Calibri" w:cs="Calibri"/>
        </w:rPr>
        <w:t xml:space="preserve">of </w:t>
      </w:r>
      <w:r w:rsidRPr="00734A50">
        <w:rPr>
          <w:rFonts w:ascii="Calibri" w:eastAsia="Calibri" w:hAnsi="Calibri" w:cs="Calibri"/>
        </w:rPr>
        <w:t>final</w:t>
      </w:r>
      <w:r w:rsidR="00996DBB" w:rsidRPr="00734A50">
        <w:rPr>
          <w:rFonts w:ascii="Calibri" w:eastAsia="Calibri" w:hAnsi="Calibri" w:cs="Calibri"/>
        </w:rPr>
        <w:t>-</w:t>
      </w:r>
      <w:r w:rsidRPr="00734A50">
        <w:rPr>
          <w:rFonts w:ascii="Calibri" w:eastAsia="Calibri" w:hAnsi="Calibri" w:cs="Calibri"/>
        </w:rPr>
        <w:t>year ITE students</w:t>
      </w:r>
      <w:r w:rsidR="009B689D" w:rsidRPr="00734A50">
        <w:rPr>
          <w:rFonts w:ascii="Calibri" w:eastAsia="Calibri" w:hAnsi="Calibri" w:cs="Calibri"/>
        </w:rPr>
        <w:t>, t</w:t>
      </w:r>
      <w:r w:rsidRPr="00734A50">
        <w:rPr>
          <w:rFonts w:ascii="Calibri" w:eastAsia="Calibri" w:hAnsi="Calibri" w:cs="Calibri"/>
        </w:rPr>
        <w:t xml:space="preserve">he </w:t>
      </w:r>
      <w:r w:rsidR="00523BB0" w:rsidRPr="00734A50">
        <w:rPr>
          <w:rFonts w:ascii="Calibri" w:eastAsia="Calibri" w:hAnsi="Calibri" w:cs="Calibri"/>
        </w:rPr>
        <w:t xml:space="preserve">ITE </w:t>
      </w:r>
      <w:r w:rsidR="00C80377" w:rsidRPr="00734A50">
        <w:rPr>
          <w:rFonts w:ascii="Calibri" w:eastAsia="Calibri" w:hAnsi="Calibri" w:cs="Calibri"/>
        </w:rPr>
        <w:t>quality assurance</w:t>
      </w:r>
      <w:r w:rsidRPr="00734A50">
        <w:rPr>
          <w:rFonts w:ascii="Calibri" w:eastAsia="Calibri" w:hAnsi="Calibri" w:cs="Calibri"/>
        </w:rPr>
        <w:t xml:space="preserve"> board would </w:t>
      </w:r>
      <w:r w:rsidR="001B2942" w:rsidRPr="00734A50">
        <w:rPr>
          <w:rFonts w:ascii="Calibri" w:eastAsia="Calibri" w:hAnsi="Calibri" w:cs="Calibri"/>
        </w:rPr>
        <w:t>survey students about their practical experience placements</w:t>
      </w:r>
      <w:r w:rsidR="006E4A9A" w:rsidRPr="00734A50">
        <w:rPr>
          <w:rFonts w:ascii="Calibri" w:eastAsia="Calibri" w:hAnsi="Calibri" w:cs="Calibri"/>
        </w:rPr>
        <w:t>. This data would be used</w:t>
      </w:r>
      <w:r w:rsidR="001B2942" w:rsidRPr="00734A50">
        <w:rPr>
          <w:rFonts w:ascii="Calibri" w:eastAsia="Calibri" w:hAnsi="Calibri" w:cs="Calibri"/>
        </w:rPr>
        <w:t xml:space="preserve"> to track improvements in quality over time and advise on </w:t>
      </w:r>
      <w:r w:rsidR="003C56DA" w:rsidRPr="00734A50">
        <w:rPr>
          <w:rFonts w:ascii="Calibri" w:eastAsia="Calibri" w:hAnsi="Calibri" w:cs="Calibri"/>
        </w:rPr>
        <w:t xml:space="preserve">if and </w:t>
      </w:r>
      <w:r w:rsidR="001B2942" w:rsidRPr="00734A50">
        <w:rPr>
          <w:rFonts w:ascii="Calibri" w:eastAsia="Calibri" w:hAnsi="Calibri" w:cs="Calibri"/>
        </w:rPr>
        <w:t xml:space="preserve">how </w:t>
      </w:r>
      <w:r w:rsidR="003C56DA" w:rsidRPr="00734A50">
        <w:rPr>
          <w:rFonts w:ascii="Calibri" w:eastAsia="Calibri" w:hAnsi="Calibri" w:cs="Calibri"/>
        </w:rPr>
        <w:t>high</w:t>
      </w:r>
      <w:r w:rsidR="00E43ED5" w:rsidRPr="00734A50">
        <w:rPr>
          <w:rFonts w:ascii="Calibri" w:eastAsia="Calibri" w:hAnsi="Calibri" w:cs="Calibri"/>
        </w:rPr>
        <w:t>-</w:t>
      </w:r>
      <w:r w:rsidR="001B2942" w:rsidRPr="00734A50">
        <w:rPr>
          <w:rFonts w:ascii="Calibri" w:eastAsia="Calibri" w:hAnsi="Calibri" w:cs="Calibri"/>
        </w:rPr>
        <w:t xml:space="preserve">quality practical experience is </w:t>
      </w:r>
      <w:r w:rsidR="001B2942" w:rsidRPr="00176E2F">
        <w:rPr>
          <w:rFonts w:ascii="Calibri" w:eastAsia="Calibri" w:hAnsi="Calibri" w:cs="Calibri"/>
        </w:rPr>
        <w:t xml:space="preserve">being achieved. </w:t>
      </w:r>
    </w:p>
    <w:p w14:paraId="0920EA6E" w14:textId="370F7955" w:rsidR="5DFA4806" w:rsidRDefault="5DFA4806" w:rsidP="1885DB07">
      <w:pPr>
        <w:rPr>
          <w:rFonts w:ascii="Calibri" w:eastAsia="Calibri" w:hAnsi="Calibri" w:cs="Calibri"/>
        </w:rPr>
      </w:pPr>
      <w:r w:rsidRPr="00176E2F">
        <w:rPr>
          <w:rFonts w:ascii="Calibri" w:eastAsia="Calibri" w:hAnsi="Calibri" w:cs="Calibri"/>
        </w:rPr>
        <w:t xml:space="preserve">The Panel </w:t>
      </w:r>
      <w:r w:rsidR="70F1B667" w:rsidRPr="00176E2F">
        <w:rPr>
          <w:rFonts w:ascii="Calibri" w:eastAsia="Calibri" w:hAnsi="Calibri" w:cs="Calibri"/>
        </w:rPr>
        <w:t xml:space="preserve">also </w:t>
      </w:r>
      <w:r w:rsidRPr="00176E2F">
        <w:rPr>
          <w:rFonts w:ascii="Calibri" w:eastAsia="Calibri" w:hAnsi="Calibri" w:cs="Calibri"/>
        </w:rPr>
        <w:t>found th</w:t>
      </w:r>
      <w:r w:rsidR="3F60398B" w:rsidRPr="00176E2F">
        <w:rPr>
          <w:rFonts w:ascii="Calibri" w:eastAsia="Calibri" w:hAnsi="Calibri" w:cs="Calibri"/>
        </w:rPr>
        <w:t>at</w:t>
      </w:r>
      <w:r w:rsidRPr="00176E2F">
        <w:rPr>
          <w:rFonts w:ascii="Calibri" w:eastAsia="Calibri" w:hAnsi="Calibri" w:cs="Calibri"/>
        </w:rPr>
        <w:t xml:space="preserve"> </w:t>
      </w:r>
      <w:r w:rsidR="4C1A4F2E" w:rsidRPr="00176E2F">
        <w:rPr>
          <w:rFonts w:ascii="Calibri" w:eastAsia="Calibri" w:hAnsi="Calibri" w:cs="Calibri"/>
        </w:rPr>
        <w:t xml:space="preserve">programs </w:t>
      </w:r>
      <w:r w:rsidR="2657C37A" w:rsidRPr="00176E2F">
        <w:rPr>
          <w:rFonts w:ascii="Calibri" w:eastAsia="Calibri" w:hAnsi="Calibri" w:cs="Calibri"/>
        </w:rPr>
        <w:t xml:space="preserve">to attract mid-career entrants </w:t>
      </w:r>
      <w:r w:rsidR="4C1A4F2E" w:rsidRPr="00176E2F">
        <w:rPr>
          <w:rFonts w:ascii="Calibri" w:eastAsia="Calibri" w:hAnsi="Calibri" w:cs="Calibri"/>
        </w:rPr>
        <w:t>are in their infancy and evidence on their effectiveness is just emerging. Building the evidence base for mid-career programs is needed to inform their future development.</w:t>
      </w:r>
      <w:r w:rsidR="4C1A4F2E" w:rsidRPr="00176E2F">
        <w:rPr>
          <w:rFonts w:ascii="Calibri" w:eastAsia="Calibri" w:hAnsi="Calibri" w:cs="Calibri"/>
          <w:color w:val="000000" w:themeColor="text1"/>
        </w:rPr>
        <w:t xml:space="preserve"> </w:t>
      </w:r>
      <w:r w:rsidR="1F06D486" w:rsidRPr="00176E2F">
        <w:rPr>
          <w:rFonts w:ascii="Calibri" w:eastAsia="Calibri" w:hAnsi="Calibri" w:cs="Calibri"/>
          <w:color w:val="000000" w:themeColor="text1"/>
        </w:rPr>
        <w:t xml:space="preserve">The board could support </w:t>
      </w:r>
      <w:r w:rsidR="00504FED">
        <w:rPr>
          <w:rFonts w:ascii="Calibri" w:eastAsia="Calibri" w:hAnsi="Calibri" w:cs="Calibri"/>
          <w:color w:val="000000" w:themeColor="text1"/>
        </w:rPr>
        <w:t xml:space="preserve">this through developing </w:t>
      </w:r>
      <w:r w:rsidR="006B3ABB">
        <w:rPr>
          <w:rFonts w:ascii="Calibri" w:eastAsia="Calibri" w:hAnsi="Calibri" w:cs="Calibri"/>
          <w:color w:val="000000" w:themeColor="text1"/>
        </w:rPr>
        <w:t>a</w:t>
      </w:r>
      <w:r w:rsidR="78B09294" w:rsidRPr="00176E2F">
        <w:rPr>
          <w:rFonts w:ascii="Calibri" w:eastAsia="Calibri" w:hAnsi="Calibri" w:cs="Calibri"/>
          <w:color w:val="000000" w:themeColor="text1"/>
        </w:rPr>
        <w:t xml:space="preserve"> framework </w:t>
      </w:r>
      <w:r w:rsidR="00884ABB">
        <w:rPr>
          <w:rFonts w:ascii="Calibri" w:eastAsia="Calibri" w:hAnsi="Calibri" w:cs="Calibri"/>
          <w:color w:val="000000" w:themeColor="text1"/>
        </w:rPr>
        <w:t>for defining and measuring the</w:t>
      </w:r>
      <w:r w:rsidR="61119814" w:rsidRPr="00176E2F">
        <w:rPr>
          <w:rFonts w:ascii="Calibri" w:eastAsia="Calibri" w:hAnsi="Calibri" w:cs="Calibri"/>
          <w:color w:val="000000" w:themeColor="text1"/>
        </w:rPr>
        <w:t xml:space="preserve"> </w:t>
      </w:r>
      <w:r w:rsidR="78B09294" w:rsidRPr="00176E2F">
        <w:rPr>
          <w:rFonts w:ascii="Calibri" w:eastAsia="Calibri" w:hAnsi="Calibri" w:cs="Calibri"/>
          <w:color w:val="000000" w:themeColor="text1"/>
        </w:rPr>
        <w:t xml:space="preserve">success of mid-career programs, </w:t>
      </w:r>
      <w:r w:rsidR="008C5F0F">
        <w:rPr>
          <w:rFonts w:ascii="Calibri" w:eastAsia="Calibri" w:hAnsi="Calibri" w:cs="Calibri"/>
          <w:color w:val="000000" w:themeColor="text1"/>
        </w:rPr>
        <w:t>for use by</w:t>
      </w:r>
      <w:r w:rsidR="78B09294" w:rsidRPr="00176E2F">
        <w:rPr>
          <w:rFonts w:ascii="Calibri" w:eastAsia="Calibri" w:hAnsi="Calibri" w:cs="Calibri"/>
          <w:color w:val="000000" w:themeColor="text1"/>
        </w:rPr>
        <w:t xml:space="preserve"> </w:t>
      </w:r>
      <w:r w:rsidR="10C5861D" w:rsidRPr="00176E2F">
        <w:rPr>
          <w:rFonts w:ascii="Calibri" w:eastAsia="Calibri" w:hAnsi="Calibri" w:cs="Calibri"/>
          <w:color w:val="000000" w:themeColor="text1"/>
        </w:rPr>
        <w:t>jurisdictions</w:t>
      </w:r>
      <w:r w:rsidR="78B09294" w:rsidRPr="00176E2F">
        <w:rPr>
          <w:rFonts w:ascii="Calibri" w:eastAsia="Calibri" w:hAnsi="Calibri" w:cs="Calibri"/>
          <w:color w:val="000000" w:themeColor="text1"/>
        </w:rPr>
        <w:t xml:space="preserve"> and higher education providers in evaluating mid</w:t>
      </w:r>
      <w:r w:rsidR="226CB2E3" w:rsidRPr="00176E2F">
        <w:rPr>
          <w:rFonts w:ascii="Calibri" w:eastAsia="Calibri" w:hAnsi="Calibri" w:cs="Calibri"/>
          <w:color w:val="000000" w:themeColor="text1"/>
        </w:rPr>
        <w:t>-career programs. The board could also collate evaluation findings from different programs to share lessons learned.</w:t>
      </w:r>
      <w:r w:rsidR="226CB2E3" w:rsidRPr="1885DB07">
        <w:rPr>
          <w:rFonts w:ascii="Calibri" w:eastAsia="Calibri" w:hAnsi="Calibri" w:cs="Calibri"/>
          <w:color w:val="000000" w:themeColor="text1"/>
        </w:rPr>
        <w:t xml:space="preserve"> </w:t>
      </w:r>
    </w:p>
    <w:p w14:paraId="5160A4F1" w14:textId="6FD87462" w:rsidR="00AE5971" w:rsidRPr="00734A50" w:rsidRDefault="00DF1846" w:rsidP="6DDCDED7">
      <w:pPr>
        <w:pStyle w:val="Heading6"/>
        <w:rPr>
          <w:u w:val="single"/>
        </w:rPr>
      </w:pPr>
      <w:r w:rsidRPr="00734A50">
        <w:rPr>
          <w:color w:val="auto"/>
          <w:u w:val="single"/>
        </w:rPr>
        <w:t>Oversee research to build</w:t>
      </w:r>
      <w:r w:rsidR="00CF4BB9" w:rsidRPr="00734A50">
        <w:rPr>
          <w:color w:val="auto"/>
          <w:u w:val="single"/>
        </w:rPr>
        <w:t xml:space="preserve"> the evidence base for</w:t>
      </w:r>
      <w:r w:rsidR="00400D07" w:rsidRPr="00734A50">
        <w:rPr>
          <w:color w:val="auto"/>
          <w:u w:val="single"/>
        </w:rPr>
        <w:t xml:space="preserve"> </w:t>
      </w:r>
      <w:r w:rsidR="00CF4BB9" w:rsidRPr="00734A50">
        <w:rPr>
          <w:color w:val="auto"/>
          <w:u w:val="single"/>
        </w:rPr>
        <w:t>improv</w:t>
      </w:r>
      <w:r w:rsidR="00594B6A" w:rsidRPr="00734A50">
        <w:rPr>
          <w:color w:val="auto"/>
          <w:u w:val="single"/>
        </w:rPr>
        <w:t>ing the quality of ITE</w:t>
      </w:r>
    </w:p>
    <w:p w14:paraId="1C0C2B3C" w14:textId="10478122" w:rsidR="005A0222" w:rsidRPr="00734A50" w:rsidRDefault="005A0222" w:rsidP="005A0222">
      <w:pPr>
        <w:rPr>
          <w:rFonts w:ascii="Calibri" w:eastAsia="Calibri" w:hAnsi="Calibri" w:cs="Calibri"/>
        </w:rPr>
      </w:pPr>
      <w:r w:rsidRPr="00734A50">
        <w:rPr>
          <w:rFonts w:ascii="Calibri" w:eastAsia="Calibri" w:hAnsi="Calibri" w:cs="Calibri"/>
        </w:rPr>
        <w:t>Due to the diverse and disparate nature of the delivery of ITE programs, identifying and sharing best practice across the sector can be challenging.</w:t>
      </w:r>
    </w:p>
    <w:p w14:paraId="3DBC0C29" w14:textId="70D5A2AD" w:rsidR="005A0222" w:rsidRPr="00734A50" w:rsidRDefault="002C2DDC" w:rsidP="00937758">
      <w:r w:rsidRPr="00734A50">
        <w:t>There is a paucity of rigorously designed impact evaluations in ITE research (Mancenido 2022). Existing research into the effectiveness of ITE programs largely draws on seminal texts and program evaluations, which often rely on graduates’ perceptions about their preparedness for teaching</w:t>
      </w:r>
      <w:r w:rsidR="00996DBB" w:rsidRPr="00734A50">
        <w:t>,</w:t>
      </w:r>
      <w:r w:rsidRPr="00734A50">
        <w:t xml:space="preserve"> and employers’ perceptions of graduate effectiveness (Wilson et al. 2002; Ronfeldt 2021). There is also a lack of publicly available research conducted in the Australian context (Ingvarson et al. 2014). </w:t>
      </w:r>
    </w:p>
    <w:p w14:paraId="4301E97A" w14:textId="436C7702" w:rsidR="0064555D" w:rsidRPr="00734A50" w:rsidRDefault="0064555D" w:rsidP="00937758">
      <w:r w:rsidRPr="00734A50">
        <w:t xml:space="preserve">This reflects </w:t>
      </w:r>
      <w:r w:rsidR="00A655A0" w:rsidRPr="00734A50">
        <w:t>limited education research funding</w:t>
      </w:r>
      <w:r w:rsidR="00587134" w:rsidRPr="00734A50">
        <w:t>:</w:t>
      </w:r>
      <w:r w:rsidR="00A655A0" w:rsidRPr="00734A50">
        <w:t xml:space="preserve"> </w:t>
      </w:r>
      <w:r w:rsidR="00C76A85" w:rsidRPr="00734A50">
        <w:t>e</w:t>
      </w:r>
      <w:r w:rsidR="00252D7E" w:rsidRPr="00734A50">
        <w:t>ducation</w:t>
      </w:r>
      <w:r w:rsidR="00E93338" w:rsidRPr="00734A50">
        <w:t xml:space="preserve"> receiv</w:t>
      </w:r>
      <w:r w:rsidR="00996DBB" w:rsidRPr="00734A50">
        <w:t>ed</w:t>
      </w:r>
      <w:r w:rsidR="00E93338" w:rsidRPr="00734A50">
        <w:t xml:space="preserve"> just 1.6 per cent of all grant dollars provided by the </w:t>
      </w:r>
      <w:r w:rsidR="006D7FA8" w:rsidRPr="00734A50">
        <w:t xml:space="preserve">Australian Research Council </w:t>
      </w:r>
      <w:r w:rsidR="006B1903" w:rsidRPr="00734A50">
        <w:t>over the last 20 years</w:t>
      </w:r>
      <w:r w:rsidR="00F27A52" w:rsidRPr="00734A50">
        <w:t xml:space="preserve"> (</w:t>
      </w:r>
      <w:r w:rsidR="00E512A9" w:rsidRPr="00E512A9">
        <w:t xml:space="preserve">Teachers and Teaching Research Centre - University of Newcastle </w:t>
      </w:r>
      <w:r w:rsidR="00F27A52" w:rsidRPr="00734A50">
        <w:t>submission)</w:t>
      </w:r>
      <w:r w:rsidR="00587134" w:rsidRPr="00734A50">
        <w:t>.</w:t>
      </w:r>
      <w:r w:rsidR="00D16860" w:rsidRPr="00734A50">
        <w:t xml:space="preserve"> </w:t>
      </w:r>
      <w:r w:rsidR="00587134" w:rsidRPr="00734A50">
        <w:t xml:space="preserve">It </w:t>
      </w:r>
      <w:r w:rsidR="00D16860" w:rsidRPr="00734A50">
        <w:t>lead</w:t>
      </w:r>
      <w:r w:rsidR="00587134" w:rsidRPr="00734A50">
        <w:t>s</w:t>
      </w:r>
      <w:r w:rsidR="00D16860" w:rsidRPr="00734A50">
        <w:t xml:space="preserve"> to many unanswered questions about </w:t>
      </w:r>
      <w:r w:rsidR="00347BD2" w:rsidRPr="00734A50">
        <w:t xml:space="preserve">how to improve the quality of </w:t>
      </w:r>
      <w:r w:rsidR="00C2628B" w:rsidRPr="00734A50">
        <w:t>teaching and learning</w:t>
      </w:r>
      <w:r w:rsidR="008F2A4B" w:rsidRPr="00734A50">
        <w:t>.</w:t>
      </w:r>
    </w:p>
    <w:p w14:paraId="6C2F22F0" w14:textId="0D9BC3F0" w:rsidR="005A0222" w:rsidRPr="00734A50" w:rsidRDefault="005D1443" w:rsidP="678B3FCC">
      <w:pPr>
        <w:rPr>
          <w:rFonts w:ascii="Calibri" w:eastAsia="Calibri" w:hAnsi="Calibri" w:cs="Calibri"/>
        </w:rPr>
      </w:pPr>
      <w:r w:rsidRPr="00734A50">
        <w:rPr>
          <w:rFonts w:ascii="Calibri" w:eastAsia="Calibri" w:hAnsi="Calibri" w:cs="Calibri"/>
        </w:rPr>
        <w:t xml:space="preserve">The </w:t>
      </w:r>
      <w:r w:rsidR="00523BB0" w:rsidRPr="00734A50">
        <w:rPr>
          <w:rFonts w:ascii="Calibri" w:eastAsia="Calibri" w:hAnsi="Calibri" w:cs="Calibri"/>
        </w:rPr>
        <w:t>ITE</w:t>
      </w:r>
      <w:r w:rsidRPr="00734A50">
        <w:rPr>
          <w:rFonts w:ascii="Calibri" w:eastAsia="Calibri" w:hAnsi="Calibri" w:cs="Calibri"/>
        </w:rPr>
        <w:t xml:space="preserve"> </w:t>
      </w:r>
      <w:r w:rsidR="00221035" w:rsidRPr="00734A50">
        <w:rPr>
          <w:rFonts w:ascii="Calibri" w:eastAsia="Calibri" w:hAnsi="Calibri" w:cs="Calibri"/>
        </w:rPr>
        <w:t>quality assurance</w:t>
      </w:r>
      <w:r w:rsidRPr="00734A50">
        <w:rPr>
          <w:rFonts w:ascii="Calibri" w:eastAsia="Calibri" w:hAnsi="Calibri" w:cs="Calibri"/>
        </w:rPr>
        <w:t xml:space="preserve"> board would </w:t>
      </w:r>
      <w:r w:rsidR="00B95AE6" w:rsidRPr="00734A50">
        <w:rPr>
          <w:rFonts w:ascii="Calibri" w:eastAsia="Calibri" w:hAnsi="Calibri" w:cs="Calibri"/>
        </w:rPr>
        <w:t>commission</w:t>
      </w:r>
      <w:r w:rsidRPr="00734A50">
        <w:rPr>
          <w:rFonts w:ascii="Calibri" w:eastAsia="Calibri" w:hAnsi="Calibri" w:cs="Calibri"/>
        </w:rPr>
        <w:t xml:space="preserve"> </w:t>
      </w:r>
      <w:r w:rsidR="004B4DEE" w:rsidRPr="00734A50">
        <w:rPr>
          <w:rFonts w:ascii="Calibri" w:eastAsia="Calibri" w:hAnsi="Calibri" w:cs="Calibri"/>
        </w:rPr>
        <w:t xml:space="preserve">independent research-based comparative evaluations of ITE programs </w:t>
      </w:r>
      <w:r w:rsidR="00EA4613" w:rsidRPr="00734A50">
        <w:rPr>
          <w:rFonts w:ascii="Calibri" w:eastAsia="Calibri" w:hAnsi="Calibri" w:cs="Calibri"/>
        </w:rPr>
        <w:t xml:space="preserve">through thematic reviews of ITE best practice, as directed by Education Ministers. This </w:t>
      </w:r>
      <w:r w:rsidR="003B4027" w:rsidRPr="00734A50">
        <w:rPr>
          <w:rFonts w:ascii="Calibri" w:eastAsia="Calibri" w:hAnsi="Calibri" w:cs="Calibri"/>
        </w:rPr>
        <w:t>would</w:t>
      </w:r>
      <w:r w:rsidR="00EA4613" w:rsidRPr="00734A50">
        <w:rPr>
          <w:rFonts w:ascii="Calibri" w:eastAsia="Calibri" w:hAnsi="Calibri" w:cs="Calibri"/>
        </w:rPr>
        <w:t xml:space="preserve"> identify higher education providers who are performing particularly well and </w:t>
      </w:r>
      <w:r w:rsidR="00587134" w:rsidRPr="00734A50">
        <w:rPr>
          <w:rFonts w:ascii="Calibri" w:eastAsia="Calibri" w:hAnsi="Calibri" w:cs="Calibri"/>
        </w:rPr>
        <w:t xml:space="preserve">enable </w:t>
      </w:r>
      <w:r w:rsidR="00F3022A" w:rsidRPr="00734A50">
        <w:rPr>
          <w:rFonts w:ascii="Calibri" w:eastAsia="Calibri" w:hAnsi="Calibri" w:cs="Calibri"/>
        </w:rPr>
        <w:t>better understand</w:t>
      </w:r>
      <w:r w:rsidR="00587134" w:rsidRPr="00734A50">
        <w:rPr>
          <w:rFonts w:ascii="Calibri" w:eastAsia="Calibri" w:hAnsi="Calibri" w:cs="Calibri"/>
        </w:rPr>
        <w:t>ing of</w:t>
      </w:r>
      <w:r w:rsidR="00F3022A" w:rsidRPr="00734A50">
        <w:rPr>
          <w:rFonts w:ascii="Calibri" w:eastAsia="Calibri" w:hAnsi="Calibri" w:cs="Calibri"/>
        </w:rPr>
        <w:t xml:space="preserve"> how they are </w:t>
      </w:r>
      <w:r w:rsidR="00EB439E" w:rsidRPr="00734A50">
        <w:rPr>
          <w:rFonts w:ascii="Calibri" w:eastAsia="Calibri" w:hAnsi="Calibri" w:cs="Calibri"/>
        </w:rPr>
        <w:t>achieving</w:t>
      </w:r>
      <w:r w:rsidR="00F3022A" w:rsidRPr="00734A50">
        <w:rPr>
          <w:rFonts w:ascii="Calibri" w:eastAsia="Calibri" w:hAnsi="Calibri" w:cs="Calibri"/>
        </w:rPr>
        <w:t xml:space="preserve"> best practice.</w:t>
      </w:r>
      <w:r w:rsidR="130CD496" w:rsidRPr="00734A50">
        <w:rPr>
          <w:rFonts w:ascii="Calibri" w:eastAsia="Calibri" w:hAnsi="Calibri" w:cs="Calibri"/>
        </w:rPr>
        <w:t xml:space="preserve"> </w:t>
      </w:r>
    </w:p>
    <w:p w14:paraId="4F690537" w14:textId="3F4039FC" w:rsidR="001D0FB8" w:rsidRPr="00734A50" w:rsidRDefault="5BAA69A5" w:rsidP="6DDCDED7">
      <w:pPr>
        <w:pStyle w:val="Heading2"/>
      </w:pPr>
      <w:bookmarkStart w:id="65" w:name="_Toc139366637"/>
      <w:r w:rsidRPr="00734A50">
        <w:t xml:space="preserve">Conclusions and </w:t>
      </w:r>
      <w:r w:rsidR="00CF2238" w:rsidRPr="00734A50">
        <w:t>r</w:t>
      </w:r>
      <w:r w:rsidRPr="00734A50">
        <w:t>ecommendations</w:t>
      </w:r>
      <w:bookmarkEnd w:id="65"/>
    </w:p>
    <w:p w14:paraId="1043F111" w14:textId="46BA91A8" w:rsidR="00B70DF6" w:rsidRPr="00734A50" w:rsidRDefault="0029043C" w:rsidP="00640CF2">
      <w:pPr>
        <w:rPr>
          <w:lang w:eastAsia="en-AU"/>
        </w:rPr>
      </w:pPr>
      <w:r w:rsidRPr="00734A50">
        <w:rPr>
          <w:rFonts w:ascii="Calibri" w:eastAsia="Calibri" w:hAnsi="Calibri" w:cs="Calibri"/>
        </w:rPr>
        <w:t>Following a</w:t>
      </w:r>
      <w:r w:rsidR="003F420E" w:rsidRPr="00734A50">
        <w:rPr>
          <w:rFonts w:ascii="Calibri" w:eastAsia="Calibri" w:hAnsi="Calibri" w:cs="Calibri"/>
        </w:rPr>
        <w:t>n extensive review of available literature and research, t</w:t>
      </w:r>
      <w:r w:rsidR="00117074" w:rsidRPr="00734A50">
        <w:rPr>
          <w:rFonts w:ascii="Calibri" w:eastAsia="Calibri" w:hAnsi="Calibri" w:cs="Calibri"/>
        </w:rPr>
        <w:t xml:space="preserve">he Panel identified </w:t>
      </w:r>
      <w:r w:rsidR="003F420E" w:rsidRPr="00734A50">
        <w:rPr>
          <w:rFonts w:ascii="Calibri" w:eastAsia="Calibri" w:hAnsi="Calibri" w:cs="Calibri"/>
        </w:rPr>
        <w:t xml:space="preserve">four areas of </w:t>
      </w:r>
      <w:r w:rsidR="00117074" w:rsidRPr="00734A50">
        <w:rPr>
          <w:rFonts w:ascii="Calibri" w:eastAsia="Calibri" w:hAnsi="Calibri" w:cs="Calibri"/>
        </w:rPr>
        <w:t xml:space="preserve">core content </w:t>
      </w:r>
      <w:r w:rsidR="00CC5EA8" w:rsidRPr="00734A50">
        <w:rPr>
          <w:lang w:eastAsia="en-AU"/>
        </w:rPr>
        <w:t>for ITE programs</w:t>
      </w:r>
      <w:r w:rsidR="00587134" w:rsidRPr="00734A50">
        <w:rPr>
          <w:lang w:eastAsia="en-AU"/>
        </w:rPr>
        <w:t xml:space="preserve">. These areas of content </w:t>
      </w:r>
      <w:r w:rsidR="00DD3F1B" w:rsidRPr="00734A50">
        <w:rPr>
          <w:lang w:eastAsia="en-AU"/>
        </w:rPr>
        <w:t xml:space="preserve">cover </w:t>
      </w:r>
      <w:r w:rsidR="00DD3F1B" w:rsidRPr="00734A50">
        <w:rPr>
          <w:rFonts w:ascii="Calibri" w:eastAsia="Calibri" w:hAnsi="Calibri" w:cs="Arial"/>
        </w:rPr>
        <w:t xml:space="preserve">what every teacher should learn in ITE to be prepared for the classroom and best support students. </w:t>
      </w:r>
      <w:r w:rsidR="00B70DF6" w:rsidRPr="00734A50">
        <w:rPr>
          <w:lang w:eastAsia="en-AU"/>
        </w:rPr>
        <w:t>The</w:t>
      </w:r>
      <w:r w:rsidR="00587134" w:rsidRPr="00734A50">
        <w:rPr>
          <w:lang w:eastAsia="en-AU"/>
        </w:rPr>
        <w:t>y are</w:t>
      </w:r>
      <w:r w:rsidR="00CC5EA8" w:rsidRPr="00734A50">
        <w:rPr>
          <w:lang w:eastAsia="en-AU"/>
        </w:rPr>
        <w:t xml:space="preserve"> knowledge</w:t>
      </w:r>
      <w:r w:rsidR="004066B0" w:rsidRPr="00734A50">
        <w:rPr>
          <w:lang w:eastAsia="en-AU"/>
        </w:rPr>
        <w:t>-</w:t>
      </w:r>
      <w:r w:rsidR="00CC5EA8" w:rsidRPr="00734A50">
        <w:rPr>
          <w:lang w:eastAsia="en-AU"/>
        </w:rPr>
        <w:t xml:space="preserve">and evidence-based practices </w:t>
      </w:r>
      <w:r w:rsidR="00587134" w:rsidRPr="00734A50">
        <w:rPr>
          <w:lang w:eastAsia="en-AU"/>
        </w:rPr>
        <w:t xml:space="preserve">that </w:t>
      </w:r>
      <w:r w:rsidR="00F55816" w:rsidRPr="00734A50">
        <w:rPr>
          <w:lang w:eastAsia="en-AU"/>
        </w:rPr>
        <w:t>would</w:t>
      </w:r>
      <w:r w:rsidR="00CC5EA8" w:rsidRPr="00734A50">
        <w:rPr>
          <w:lang w:eastAsia="en-AU"/>
        </w:rPr>
        <w:t xml:space="preserve"> have the greatest impact on student learning. </w:t>
      </w:r>
    </w:p>
    <w:p w14:paraId="2A68C2D8" w14:textId="055B5FB4" w:rsidR="00EF73CA" w:rsidRPr="00852299" w:rsidRDefault="00D75F3A" w:rsidP="00640CF2">
      <w:pPr>
        <w:rPr>
          <w:rFonts w:ascii="Calibri" w:eastAsia="Calibri" w:hAnsi="Calibri" w:cs="Arial"/>
          <w:lang w:val="en-US"/>
        </w:rPr>
      </w:pPr>
      <w:r w:rsidRPr="00734A50">
        <w:rPr>
          <w:rFonts w:ascii="Calibri" w:eastAsia="Calibri" w:hAnsi="Calibri" w:cs="Arial"/>
          <w:lang w:val="en-US"/>
        </w:rPr>
        <w:lastRenderedPageBreak/>
        <w:t xml:space="preserve">The Panel </w:t>
      </w:r>
      <w:r w:rsidR="00347F6B" w:rsidRPr="00734A50">
        <w:rPr>
          <w:rFonts w:ascii="Calibri" w:eastAsia="Calibri" w:hAnsi="Calibri" w:cs="Arial"/>
          <w:lang w:val="en-US"/>
        </w:rPr>
        <w:t>recommends</w:t>
      </w:r>
      <w:r w:rsidRPr="00734A50">
        <w:rPr>
          <w:rFonts w:ascii="Calibri" w:eastAsia="Calibri" w:hAnsi="Calibri" w:cs="Arial"/>
          <w:lang w:val="en-US"/>
        </w:rPr>
        <w:t xml:space="preserve"> amending the Accreditation Standards and Procedures to </w:t>
      </w:r>
      <w:r w:rsidR="00323849" w:rsidRPr="00734A50">
        <w:rPr>
          <w:rFonts w:ascii="Calibri" w:eastAsia="Calibri" w:hAnsi="Calibri" w:cs="Arial"/>
          <w:lang w:val="en-US"/>
        </w:rPr>
        <w:t xml:space="preserve">embed </w:t>
      </w:r>
      <w:r w:rsidR="00183319" w:rsidRPr="00734A50">
        <w:rPr>
          <w:rFonts w:ascii="Calibri" w:eastAsia="Calibri" w:hAnsi="Calibri" w:cs="Arial"/>
          <w:lang w:val="en-US"/>
        </w:rPr>
        <w:t xml:space="preserve">the </w:t>
      </w:r>
      <w:r w:rsidR="00323849" w:rsidRPr="00734A50">
        <w:rPr>
          <w:rFonts w:ascii="Calibri" w:eastAsia="Calibri" w:hAnsi="Calibri" w:cs="Arial"/>
          <w:lang w:val="en-US"/>
        </w:rPr>
        <w:t>core content into ITE programs</w:t>
      </w:r>
      <w:r w:rsidR="0091758E" w:rsidRPr="00734A50">
        <w:rPr>
          <w:rFonts w:ascii="Calibri" w:eastAsia="Calibri" w:hAnsi="Calibri" w:cs="Arial"/>
          <w:lang w:val="en-US"/>
        </w:rPr>
        <w:t>, describing what ITE programs should teach and the learning outcomes to be achieved</w:t>
      </w:r>
      <w:r w:rsidRPr="00734A50">
        <w:rPr>
          <w:rFonts w:ascii="Calibri" w:eastAsia="Calibri" w:hAnsi="Calibri" w:cs="Arial"/>
          <w:lang w:val="en-US"/>
        </w:rPr>
        <w:t>.</w:t>
      </w:r>
    </w:p>
    <w:p w14:paraId="131BE7FA" w14:textId="6DD09EBB" w:rsidR="005F69E7" w:rsidRPr="00734A50" w:rsidRDefault="005F69E7" w:rsidP="6DDCDED7">
      <w:pPr>
        <w:pStyle w:val="Recommendation2"/>
        <w:spacing w:after="0"/>
        <w:rPr>
          <w:b/>
          <w:bCs/>
        </w:rPr>
      </w:pPr>
      <w:r w:rsidRPr="00734A50">
        <w:rPr>
          <w:b/>
          <w:bCs/>
        </w:rPr>
        <w:t xml:space="preserve">Recommendation 1: Establish </w:t>
      </w:r>
      <w:r w:rsidR="00EF73CA">
        <w:rPr>
          <w:b/>
          <w:bCs/>
        </w:rPr>
        <w:t xml:space="preserve">the </w:t>
      </w:r>
      <w:r w:rsidRPr="00734A50">
        <w:rPr>
          <w:b/>
          <w:bCs/>
        </w:rPr>
        <w:t>core content and mandate it in national accreditation</w:t>
      </w:r>
    </w:p>
    <w:p w14:paraId="309F1F0A" w14:textId="77777777" w:rsidR="005F69E7" w:rsidRPr="00734A50" w:rsidRDefault="005F69E7" w:rsidP="005F69E7">
      <w:pPr>
        <w:pStyle w:val="Recommendation2"/>
        <w:rPr>
          <w:lang w:eastAsia="en-AU"/>
        </w:rPr>
      </w:pPr>
      <w:r w:rsidRPr="00734A50">
        <w:rPr>
          <w:rFonts w:eastAsia="Times New Roman"/>
        </w:rPr>
        <w:t>The Australian Institute for Teaching and School Leadership to add ‘core content’ as a schedule to the Accreditation</w:t>
      </w:r>
      <w:r w:rsidRPr="00734A50">
        <w:t xml:space="preserve"> Standards</w:t>
      </w:r>
      <w:r w:rsidRPr="00734A50">
        <w:rPr>
          <w:rFonts w:eastAsia="Times New Roman"/>
        </w:rPr>
        <w:t xml:space="preserve"> and Procedures. The schedule should describe what initial teacher education programs should teach and the</w:t>
      </w:r>
      <w:r w:rsidRPr="00734A50">
        <w:rPr>
          <w:lang w:eastAsia="en-AU"/>
        </w:rPr>
        <w:t xml:space="preserve"> learning outcomes that should be achieved for the core content.</w:t>
      </w:r>
    </w:p>
    <w:p w14:paraId="63768578" w14:textId="77777777" w:rsidR="005F69E7" w:rsidRPr="00734A50" w:rsidRDefault="005F69E7" w:rsidP="005F69E7">
      <w:pPr>
        <w:pStyle w:val="Recommendation2"/>
        <w:spacing w:after="0"/>
        <w:rPr>
          <w:rFonts w:ascii="Calibri" w:eastAsia="Calibri" w:hAnsi="Calibri" w:cs="Arial"/>
        </w:rPr>
      </w:pPr>
      <w:r w:rsidRPr="00734A50">
        <w:t xml:space="preserve">Four types of core content have been defined, which cover the knowledge and evidence-based practices that have the greatest impact on student learning and are </w:t>
      </w:r>
      <w:r w:rsidRPr="00734A50">
        <w:rPr>
          <w:rFonts w:ascii="Calibri" w:eastAsia="Calibri" w:hAnsi="Calibri" w:cs="Arial"/>
        </w:rPr>
        <w:t xml:space="preserve">essential for all beginning teachers: </w:t>
      </w:r>
    </w:p>
    <w:p w14:paraId="54EB2755" w14:textId="77777777" w:rsidR="005F69E7" w:rsidRPr="00734A50" w:rsidRDefault="005F69E7" w:rsidP="005F69E7">
      <w:pPr>
        <w:pStyle w:val="Recommendation2"/>
        <w:numPr>
          <w:ilvl w:val="0"/>
          <w:numId w:val="168"/>
        </w:numPr>
        <w:spacing w:after="0"/>
        <w:rPr>
          <w:rFonts w:ascii="Calibri" w:eastAsia="Calibri" w:hAnsi="Calibri" w:cs="Arial"/>
          <w:b/>
          <w:bCs/>
        </w:rPr>
      </w:pPr>
      <w:r w:rsidRPr="00734A50">
        <w:rPr>
          <w:b/>
          <w:bCs/>
        </w:rPr>
        <w:t>The brain and learning</w:t>
      </w:r>
    </w:p>
    <w:p w14:paraId="5C50C071" w14:textId="77777777" w:rsidR="005F69E7" w:rsidRPr="00734A50" w:rsidRDefault="005F69E7" w:rsidP="005F69E7">
      <w:pPr>
        <w:pStyle w:val="Recommendation2"/>
        <w:numPr>
          <w:ilvl w:val="0"/>
          <w:numId w:val="168"/>
        </w:numPr>
        <w:spacing w:after="0"/>
        <w:rPr>
          <w:rFonts w:ascii="Calibri" w:eastAsia="Calibri" w:hAnsi="Calibri" w:cs="Arial"/>
          <w:b/>
          <w:bCs/>
        </w:rPr>
      </w:pPr>
      <w:r w:rsidRPr="00734A50">
        <w:rPr>
          <w:b/>
          <w:bCs/>
        </w:rPr>
        <w:t>Effective pedagogical practices</w:t>
      </w:r>
    </w:p>
    <w:p w14:paraId="20F3A3B7" w14:textId="77777777" w:rsidR="005F69E7" w:rsidRPr="00734A50" w:rsidRDefault="005F69E7" w:rsidP="005F69E7">
      <w:pPr>
        <w:pStyle w:val="Recommendation2"/>
        <w:numPr>
          <w:ilvl w:val="0"/>
          <w:numId w:val="168"/>
        </w:numPr>
        <w:spacing w:after="0"/>
        <w:rPr>
          <w:rFonts w:ascii="Calibri" w:eastAsia="Calibri" w:hAnsi="Calibri" w:cs="Arial"/>
          <w:b/>
          <w:bCs/>
        </w:rPr>
      </w:pPr>
      <w:r w:rsidRPr="00734A50">
        <w:rPr>
          <w:b/>
          <w:bCs/>
        </w:rPr>
        <w:t>Classroom management</w:t>
      </w:r>
    </w:p>
    <w:p w14:paraId="05960BB0" w14:textId="50A32415" w:rsidR="6DDCDED7" w:rsidRPr="00734A50" w:rsidRDefault="005F69E7" w:rsidP="00816825">
      <w:pPr>
        <w:pStyle w:val="Recommendation2"/>
        <w:numPr>
          <w:ilvl w:val="0"/>
          <w:numId w:val="168"/>
        </w:numPr>
        <w:spacing w:after="0"/>
        <w:rPr>
          <w:rFonts w:ascii="Calibri" w:eastAsia="Calibri" w:hAnsi="Calibri" w:cs="Arial"/>
          <w:color w:val="auto"/>
          <w:szCs w:val="22"/>
        </w:rPr>
      </w:pPr>
      <w:r w:rsidRPr="00734A50">
        <w:rPr>
          <w:b/>
          <w:bCs/>
        </w:rPr>
        <w:t>Responsive teaching.</w:t>
      </w:r>
    </w:p>
    <w:p w14:paraId="4536D479" w14:textId="46051823" w:rsidR="00816825" w:rsidRPr="00734A50" w:rsidRDefault="00816825" w:rsidP="00B07368">
      <w:pPr>
        <w:spacing w:before="240"/>
        <w:textAlignment w:val="baseline"/>
        <w:rPr>
          <w:rFonts w:ascii="Calibri" w:eastAsia="Calibri" w:hAnsi="Calibri" w:cs="Arial"/>
        </w:rPr>
      </w:pPr>
      <w:r w:rsidRPr="00734A50">
        <w:rPr>
          <w:rFonts w:ascii="Calibri" w:eastAsia="Calibri" w:hAnsi="Calibri" w:cs="Arial"/>
        </w:rPr>
        <w:t xml:space="preserve">To ensure the core content is coherently embedded into ITE programs, higher education providers should be assessed against the amended Accreditation Standards and Procedures. </w:t>
      </w:r>
    </w:p>
    <w:p w14:paraId="6B0DEE1D" w14:textId="6EC43FD8" w:rsidR="00EA4BB6" w:rsidRPr="00734A50" w:rsidRDefault="00134209" w:rsidP="00134209">
      <w:pPr>
        <w:textAlignment w:val="baseline"/>
        <w:rPr>
          <w:rFonts w:ascii="Calibri" w:eastAsia="Calibri" w:hAnsi="Calibri" w:cs="Arial"/>
        </w:rPr>
      </w:pPr>
      <w:r w:rsidRPr="00734A50">
        <w:rPr>
          <w:rFonts w:ascii="Calibri" w:eastAsia="Calibri" w:hAnsi="Calibri" w:cs="Arial"/>
        </w:rPr>
        <w:t>In feedback to the Panel, some stakeholders highlighted that core content does not cover all knowledge and skills required by beginning teachers</w:t>
      </w:r>
      <w:r w:rsidR="0007140E" w:rsidRPr="00734A50">
        <w:rPr>
          <w:rFonts w:ascii="Calibri" w:eastAsia="Calibri" w:hAnsi="Calibri" w:cs="Arial"/>
        </w:rPr>
        <w:t>.</w:t>
      </w:r>
      <w:r w:rsidRPr="00734A50">
        <w:rPr>
          <w:rFonts w:ascii="Calibri" w:eastAsia="Calibri" w:hAnsi="Calibri" w:cs="Arial"/>
        </w:rPr>
        <w:t xml:space="preserve"> The Panel acknowledges that the core content does not cover all content a beginning teacher should learn</w:t>
      </w:r>
      <w:r w:rsidR="002D0384" w:rsidRPr="00734A50">
        <w:rPr>
          <w:rFonts w:ascii="Calibri" w:eastAsia="Calibri" w:hAnsi="Calibri" w:cs="Arial"/>
        </w:rPr>
        <w:t xml:space="preserve">. </w:t>
      </w:r>
      <w:r w:rsidR="00587134" w:rsidRPr="00734A50">
        <w:rPr>
          <w:rFonts w:ascii="Calibri" w:eastAsia="Calibri" w:hAnsi="Calibri" w:cs="Arial"/>
        </w:rPr>
        <w:t>It</w:t>
      </w:r>
      <w:r w:rsidR="00697575" w:rsidRPr="00734A50">
        <w:rPr>
          <w:rFonts w:ascii="Calibri" w:eastAsia="Calibri" w:hAnsi="Calibri" w:cs="Arial"/>
        </w:rPr>
        <w:t xml:space="preserve"> recommends</w:t>
      </w:r>
      <w:r w:rsidR="00587134" w:rsidRPr="00734A50">
        <w:rPr>
          <w:rFonts w:ascii="Calibri" w:eastAsia="Calibri" w:hAnsi="Calibri" w:cs="Arial"/>
        </w:rPr>
        <w:t xml:space="preserve"> that</w:t>
      </w:r>
      <w:r w:rsidR="00697575" w:rsidRPr="00734A50">
        <w:rPr>
          <w:rFonts w:ascii="Calibri" w:eastAsia="Calibri" w:hAnsi="Calibri" w:cs="Arial"/>
        </w:rPr>
        <w:t xml:space="preserve"> h</w:t>
      </w:r>
      <w:r w:rsidR="002D0384" w:rsidRPr="00734A50">
        <w:rPr>
          <w:rFonts w:ascii="Calibri" w:eastAsia="Calibri" w:hAnsi="Calibri" w:cs="Arial"/>
        </w:rPr>
        <w:t>igher education providers</w:t>
      </w:r>
      <w:r w:rsidR="00534B21" w:rsidRPr="00734A50">
        <w:rPr>
          <w:rFonts w:ascii="Calibri" w:eastAsia="Calibri" w:hAnsi="Calibri" w:cs="Arial"/>
        </w:rPr>
        <w:t xml:space="preserve"> should incorporate</w:t>
      </w:r>
      <w:r w:rsidR="002D0384" w:rsidRPr="00734A50">
        <w:rPr>
          <w:rFonts w:ascii="Calibri" w:eastAsia="Calibri" w:hAnsi="Calibri" w:cs="Arial"/>
        </w:rPr>
        <w:t xml:space="preserve"> the core content</w:t>
      </w:r>
      <w:r w:rsidR="00534B21" w:rsidRPr="00734A50">
        <w:rPr>
          <w:rFonts w:ascii="Calibri" w:eastAsia="Calibri" w:hAnsi="Calibri" w:cs="Arial"/>
        </w:rPr>
        <w:t xml:space="preserve"> into ITE programs</w:t>
      </w:r>
      <w:r w:rsidR="00587134" w:rsidRPr="00734A50">
        <w:rPr>
          <w:rFonts w:ascii="Calibri" w:eastAsia="Calibri" w:hAnsi="Calibri" w:cs="Arial"/>
        </w:rPr>
        <w:t xml:space="preserve"> in a way that is</w:t>
      </w:r>
      <w:r w:rsidR="00534B21" w:rsidRPr="00734A50">
        <w:rPr>
          <w:rFonts w:ascii="Calibri" w:eastAsia="Calibri" w:hAnsi="Calibri" w:cs="Arial"/>
        </w:rPr>
        <w:t xml:space="preserve"> </w:t>
      </w:r>
      <w:r w:rsidRPr="00734A50">
        <w:rPr>
          <w:rFonts w:ascii="Calibri" w:eastAsia="Calibri" w:hAnsi="Calibri" w:cs="Arial"/>
        </w:rPr>
        <w:t>relevant to their local context.</w:t>
      </w:r>
    </w:p>
    <w:p w14:paraId="314331C8" w14:textId="1F64A1E9" w:rsidR="005F69E7" w:rsidRPr="00734A50" w:rsidRDefault="005F69E7" w:rsidP="6DDCDED7">
      <w:pPr>
        <w:pStyle w:val="Recommendation2"/>
        <w:spacing w:after="0"/>
        <w:rPr>
          <w:b/>
          <w:bCs/>
        </w:rPr>
      </w:pPr>
      <w:r w:rsidRPr="00734A50">
        <w:rPr>
          <w:b/>
          <w:bCs/>
        </w:rPr>
        <w:t xml:space="preserve">Recommendation 2: Embed </w:t>
      </w:r>
      <w:r w:rsidR="00EF73CA">
        <w:rPr>
          <w:b/>
          <w:bCs/>
        </w:rPr>
        <w:t xml:space="preserve">the </w:t>
      </w:r>
      <w:r w:rsidRPr="00734A50">
        <w:rPr>
          <w:b/>
          <w:bCs/>
        </w:rPr>
        <w:t>core content in initial teacher education programs</w:t>
      </w:r>
    </w:p>
    <w:p w14:paraId="764FF695" w14:textId="52D8902D" w:rsidR="005F69E7" w:rsidRPr="00734A50" w:rsidRDefault="005F69E7" w:rsidP="009208CC">
      <w:pPr>
        <w:pStyle w:val="Recommendation2"/>
        <w:spacing w:after="0"/>
      </w:pPr>
      <w:r w:rsidRPr="00734A50">
        <w:t xml:space="preserve">Higher education providers </w:t>
      </w:r>
      <w:r w:rsidR="003B023A" w:rsidRPr="00734A50">
        <w:t>to</w:t>
      </w:r>
      <w:r w:rsidRPr="00734A50">
        <w:t xml:space="preserve"> design courses that coherently incorporate the core content into initial teacher education programs and </w:t>
      </w:r>
      <w:r w:rsidR="003B023A" w:rsidRPr="00734A50">
        <w:t>to</w:t>
      </w:r>
      <w:r w:rsidRPr="00734A50">
        <w:t xml:space="preserve"> provide evidence during accreditation that they have met the amended Accreditation Standards and Procedures.</w:t>
      </w:r>
    </w:p>
    <w:p w14:paraId="354EC092" w14:textId="5C915885" w:rsidR="00303ED8" w:rsidRPr="00734A50" w:rsidRDefault="00303ED8" w:rsidP="00465017">
      <w:pPr>
        <w:spacing w:before="200"/>
        <w:rPr>
          <w:lang w:eastAsia="en-AU"/>
        </w:rPr>
      </w:pPr>
      <w:r w:rsidRPr="00734A50">
        <w:rPr>
          <w:lang w:eastAsia="en-AU"/>
        </w:rPr>
        <w:t xml:space="preserve">Ensuring </w:t>
      </w:r>
      <w:r w:rsidRPr="00734A50">
        <w:rPr>
          <w:rFonts w:ascii="Calibri" w:eastAsia="Calibri" w:hAnsi="Calibri" w:cs="Arial"/>
          <w:lang w:val="en-US"/>
        </w:rPr>
        <w:t>consistent</w:t>
      </w:r>
      <w:r w:rsidRPr="00734A50">
        <w:rPr>
          <w:lang w:eastAsia="en-AU"/>
        </w:rPr>
        <w:t xml:space="preserve">, high-quality delivery of the core content depends on </w:t>
      </w:r>
      <w:r w:rsidR="00C30724" w:rsidRPr="00734A50">
        <w:rPr>
          <w:lang w:eastAsia="en-AU"/>
        </w:rPr>
        <w:t xml:space="preserve">consistent </w:t>
      </w:r>
      <w:r w:rsidRPr="00734A50">
        <w:rPr>
          <w:lang w:eastAsia="en-AU"/>
        </w:rPr>
        <w:t>accreditation decisions.</w:t>
      </w:r>
      <w:r w:rsidR="006F0A08" w:rsidRPr="00734A50">
        <w:rPr>
          <w:lang w:eastAsia="en-AU"/>
        </w:rPr>
        <w:t xml:space="preserve"> While t</w:t>
      </w:r>
      <w:r w:rsidRPr="00734A50">
        <w:rPr>
          <w:lang w:eastAsia="en-AU"/>
        </w:rPr>
        <w:t xml:space="preserve">here </w:t>
      </w:r>
      <w:r w:rsidR="00576231" w:rsidRPr="00734A50">
        <w:rPr>
          <w:lang w:eastAsia="en-AU"/>
        </w:rPr>
        <w:t>has</w:t>
      </w:r>
      <w:r w:rsidRPr="00734A50">
        <w:rPr>
          <w:lang w:eastAsia="en-AU"/>
        </w:rPr>
        <w:t xml:space="preserve"> been significant </w:t>
      </w:r>
      <w:r w:rsidR="00077D3D" w:rsidRPr="00734A50">
        <w:rPr>
          <w:lang w:eastAsia="en-AU"/>
        </w:rPr>
        <w:t>work</w:t>
      </w:r>
      <w:r w:rsidRPr="00734A50">
        <w:rPr>
          <w:lang w:eastAsia="en-AU"/>
        </w:rPr>
        <w:t xml:space="preserve"> to strengthen national consistency and the rigour of accreditation decisions, there are no mechanisms to ensure all </w:t>
      </w:r>
      <w:r w:rsidR="0097787D" w:rsidRPr="00734A50">
        <w:rPr>
          <w:lang w:eastAsia="en-AU"/>
        </w:rPr>
        <w:t>TRAs</w:t>
      </w:r>
      <w:r w:rsidRPr="00734A50">
        <w:rPr>
          <w:lang w:eastAsia="en-AU"/>
        </w:rPr>
        <w:t xml:space="preserve"> are consistently assessing ITE programs against the Accreditation Standards and Procedures in the same way. </w:t>
      </w:r>
    </w:p>
    <w:p w14:paraId="3BEB475C" w14:textId="6722321C" w:rsidR="00852299" w:rsidRDefault="00303ED8" w:rsidP="005F69E7">
      <w:pPr>
        <w:spacing w:before="240"/>
        <w:rPr>
          <w:lang w:eastAsia="en-AU"/>
        </w:rPr>
      </w:pPr>
      <w:r w:rsidRPr="00734A50">
        <w:rPr>
          <w:lang w:eastAsia="en-AU"/>
        </w:rPr>
        <w:t xml:space="preserve">While national accreditation would be the simplest mechanism for ensuring nationally consistent ITE program quality, </w:t>
      </w:r>
      <w:r w:rsidR="002B2479" w:rsidRPr="00734A50">
        <w:rPr>
          <w:lang w:eastAsia="en-AU"/>
        </w:rPr>
        <w:t>this would be challenging to implement</w:t>
      </w:r>
      <w:r w:rsidRPr="00734A50">
        <w:rPr>
          <w:lang w:eastAsia="en-AU"/>
        </w:rPr>
        <w:t xml:space="preserve">. The Panel believes </w:t>
      </w:r>
      <w:r w:rsidR="00587134" w:rsidRPr="00734A50">
        <w:rPr>
          <w:lang w:eastAsia="en-AU"/>
        </w:rPr>
        <w:t xml:space="preserve">that </w:t>
      </w:r>
      <w:r w:rsidRPr="00734A50">
        <w:rPr>
          <w:lang w:eastAsia="en-AU"/>
        </w:rPr>
        <w:t>a</w:t>
      </w:r>
      <w:r w:rsidR="00DF7A10" w:rsidRPr="00734A50">
        <w:rPr>
          <w:lang w:eastAsia="en-AU"/>
        </w:rPr>
        <w:t xml:space="preserve">n ITE quality assurance </w:t>
      </w:r>
      <w:r w:rsidR="00847EDD" w:rsidRPr="00734A50">
        <w:rPr>
          <w:lang w:eastAsia="en-AU"/>
        </w:rPr>
        <w:t xml:space="preserve">board </w:t>
      </w:r>
      <w:r w:rsidRPr="00734A50">
        <w:rPr>
          <w:lang w:eastAsia="en-AU"/>
        </w:rPr>
        <w:t>could assess national consistency of the quality of ITE programs and publicly report these outcomes</w:t>
      </w:r>
      <w:r w:rsidR="001E050A" w:rsidRPr="00734A50">
        <w:rPr>
          <w:lang w:eastAsia="en-AU"/>
        </w:rPr>
        <w:t xml:space="preserve"> to Education Ministers</w:t>
      </w:r>
      <w:r w:rsidRPr="00734A50">
        <w:rPr>
          <w:lang w:eastAsia="en-AU"/>
        </w:rPr>
        <w:t>. Stakeholders were</w:t>
      </w:r>
      <w:r w:rsidR="00AA7A6E" w:rsidRPr="00734A50">
        <w:rPr>
          <w:lang w:eastAsia="en-AU"/>
        </w:rPr>
        <w:t xml:space="preserve"> broadly</w:t>
      </w:r>
      <w:r w:rsidRPr="00734A50">
        <w:rPr>
          <w:lang w:eastAsia="en-AU"/>
        </w:rPr>
        <w:t xml:space="preserve"> supportive of </w:t>
      </w:r>
      <w:r w:rsidR="00A75832" w:rsidRPr="00734A50">
        <w:rPr>
          <w:lang w:eastAsia="en-AU"/>
        </w:rPr>
        <w:t>strengthened governance arrangements</w:t>
      </w:r>
      <w:r w:rsidR="00847EDD" w:rsidRPr="00734A50">
        <w:rPr>
          <w:lang w:eastAsia="en-AU"/>
        </w:rPr>
        <w:t xml:space="preserve"> </w:t>
      </w:r>
      <w:r w:rsidRPr="00734A50">
        <w:rPr>
          <w:lang w:eastAsia="en-AU"/>
        </w:rPr>
        <w:t xml:space="preserve">to supplement the existing accreditation system. </w:t>
      </w:r>
    </w:p>
    <w:p w14:paraId="25E939AF" w14:textId="77777777" w:rsidR="00852299" w:rsidRDefault="00852299">
      <w:pPr>
        <w:spacing w:after="160" w:line="259" w:lineRule="auto"/>
        <w:rPr>
          <w:lang w:eastAsia="en-AU"/>
        </w:rPr>
      </w:pPr>
      <w:r>
        <w:rPr>
          <w:lang w:eastAsia="en-AU"/>
        </w:rPr>
        <w:br w:type="page"/>
      </w:r>
    </w:p>
    <w:p w14:paraId="6528BE87" w14:textId="77777777" w:rsidR="006F301E" w:rsidRPr="00734A50" w:rsidRDefault="006F301E" w:rsidP="005F69E7">
      <w:pPr>
        <w:spacing w:before="240"/>
      </w:pPr>
    </w:p>
    <w:p w14:paraId="0FB69821" w14:textId="34E8B378" w:rsidR="005F69E7" w:rsidRPr="00734A50" w:rsidRDefault="005F69E7" w:rsidP="6DDCDED7">
      <w:pPr>
        <w:pStyle w:val="Recommendation2"/>
        <w:spacing w:after="0"/>
        <w:rPr>
          <w:b/>
          <w:bCs/>
        </w:rPr>
      </w:pPr>
      <w:r w:rsidRPr="00734A50">
        <w:rPr>
          <w:b/>
          <w:bCs/>
        </w:rPr>
        <w:t xml:space="preserve">Recommendation 3: Strengthen national quality and consistency of </w:t>
      </w:r>
      <w:r w:rsidR="0026262D" w:rsidRPr="00734A50">
        <w:rPr>
          <w:b/>
          <w:bCs/>
        </w:rPr>
        <w:t>initial teacher education</w:t>
      </w:r>
      <w:r w:rsidR="00216DFF" w:rsidRPr="00734A50">
        <w:rPr>
          <w:b/>
          <w:bCs/>
        </w:rPr>
        <w:t xml:space="preserve"> programs</w:t>
      </w:r>
      <w:r w:rsidRPr="00734A50">
        <w:rPr>
          <w:b/>
          <w:bCs/>
        </w:rPr>
        <w:t xml:space="preserve"> </w:t>
      </w:r>
    </w:p>
    <w:p w14:paraId="6AF6D6F1" w14:textId="525A17C0" w:rsidR="005F69E7" w:rsidRPr="00734A50" w:rsidRDefault="005F69E7" w:rsidP="005F69E7">
      <w:pPr>
        <w:pStyle w:val="Recommendation2"/>
      </w:pPr>
      <w:r w:rsidRPr="00734A50">
        <w:t xml:space="preserve">Education Ministers to agree to </w:t>
      </w:r>
      <w:r w:rsidRPr="00734A50">
        <w:rPr>
          <w:lang w:eastAsia="en-AU"/>
        </w:rPr>
        <w:t>establishing an initial teacher</w:t>
      </w:r>
      <w:r w:rsidR="00523BB0" w:rsidRPr="00734A50">
        <w:rPr>
          <w:lang w:eastAsia="en-AU"/>
        </w:rPr>
        <w:t xml:space="preserve"> </w:t>
      </w:r>
      <w:r w:rsidRPr="00734A50">
        <w:rPr>
          <w:lang w:eastAsia="en-AU"/>
        </w:rPr>
        <w:t>education</w:t>
      </w:r>
      <w:r w:rsidR="0026262D" w:rsidRPr="00734A50">
        <w:rPr>
          <w:lang w:eastAsia="en-AU"/>
        </w:rPr>
        <w:t xml:space="preserve"> (ITE)</w:t>
      </w:r>
      <w:r w:rsidRPr="00734A50">
        <w:rPr>
          <w:lang w:eastAsia="en-AU"/>
        </w:rPr>
        <w:t xml:space="preserve"> quality assurance board to report to Education Ministers annually on the quality and consistency of </w:t>
      </w:r>
      <w:r w:rsidR="00E5365B" w:rsidRPr="00734A50">
        <w:rPr>
          <w:lang w:eastAsia="en-AU"/>
        </w:rPr>
        <w:t>ITE</w:t>
      </w:r>
      <w:r w:rsidRPr="00734A50">
        <w:rPr>
          <w:lang w:eastAsia="en-AU"/>
        </w:rPr>
        <w:t xml:space="preserve"> programs and their outcomes.</w:t>
      </w:r>
    </w:p>
    <w:p w14:paraId="1AA0DB28" w14:textId="654DF7E4" w:rsidR="005F69E7" w:rsidRPr="00734A50" w:rsidRDefault="005F69E7" w:rsidP="6DDCDED7">
      <w:pPr>
        <w:pStyle w:val="Recommendation2"/>
        <w:spacing w:after="0"/>
        <w:rPr>
          <w:lang w:eastAsia="en-AU"/>
        </w:rPr>
      </w:pPr>
      <w:r w:rsidRPr="00734A50">
        <w:t xml:space="preserve">The </w:t>
      </w:r>
      <w:r w:rsidR="0026262D" w:rsidRPr="00734A50">
        <w:t>ITE</w:t>
      </w:r>
      <w:r w:rsidR="00515F78" w:rsidRPr="00734A50">
        <w:t xml:space="preserve"> </w:t>
      </w:r>
      <w:r w:rsidRPr="00734A50">
        <w:t xml:space="preserve">quality assurance board would oversee a systematic approach to </w:t>
      </w:r>
      <w:r w:rsidR="00BC474B" w:rsidRPr="00734A50">
        <w:t xml:space="preserve">assessing </w:t>
      </w:r>
      <w:r w:rsidRPr="00734A50">
        <w:t xml:space="preserve">the quality, consistency and outcomes of </w:t>
      </w:r>
      <w:r w:rsidR="00A064E4" w:rsidRPr="00734A50">
        <w:rPr>
          <w:lang w:eastAsia="en-AU"/>
        </w:rPr>
        <w:t>ITE</w:t>
      </w:r>
      <w:r w:rsidRPr="00734A50">
        <w:t xml:space="preserve"> programs, by:</w:t>
      </w:r>
    </w:p>
    <w:p w14:paraId="28044DE5" w14:textId="77777777" w:rsidR="005F69E7" w:rsidRPr="00734A50" w:rsidRDefault="005F69E7" w:rsidP="005F69E7">
      <w:pPr>
        <w:pStyle w:val="Recommendation2"/>
        <w:numPr>
          <w:ilvl w:val="0"/>
          <w:numId w:val="82"/>
        </w:numPr>
        <w:spacing w:after="0"/>
      </w:pPr>
      <w:r w:rsidRPr="00734A50">
        <w:t>providing independent verification of the implementation of the revised Accreditation Standards and Procedures</w:t>
      </w:r>
    </w:p>
    <w:p w14:paraId="482D2527" w14:textId="77777777" w:rsidR="005F69E7" w:rsidRPr="00734A50" w:rsidRDefault="005F69E7" w:rsidP="005F69E7">
      <w:pPr>
        <w:pStyle w:val="Recommendation2"/>
        <w:numPr>
          <w:ilvl w:val="0"/>
          <w:numId w:val="82"/>
        </w:numPr>
        <w:spacing w:after="0"/>
      </w:pPr>
      <w:r w:rsidRPr="00734A50">
        <w:t>assessing and monitoring students’ knowledge of the core content and periodically reviewing and recommending updates to the core content for beginning teachers</w:t>
      </w:r>
    </w:p>
    <w:p w14:paraId="06F736A4" w14:textId="77777777" w:rsidR="005F69E7" w:rsidRPr="00734A50" w:rsidRDefault="005F69E7" w:rsidP="005F69E7">
      <w:pPr>
        <w:pStyle w:val="Recommendation2"/>
        <w:numPr>
          <w:ilvl w:val="0"/>
          <w:numId w:val="82"/>
        </w:numPr>
        <w:spacing w:after="0"/>
      </w:pPr>
      <w:r w:rsidRPr="00734A50">
        <w:t>undertaking cross-institutional moderation of Teaching Performance Assessments</w:t>
      </w:r>
    </w:p>
    <w:p w14:paraId="54F7F384" w14:textId="58502D96" w:rsidR="005F69E7" w:rsidRPr="00734A50" w:rsidRDefault="005F69E7" w:rsidP="005F69E7">
      <w:pPr>
        <w:pStyle w:val="Recommendation2"/>
        <w:numPr>
          <w:ilvl w:val="0"/>
          <w:numId w:val="82"/>
        </w:numPr>
        <w:spacing w:after="0"/>
      </w:pPr>
      <w:r w:rsidRPr="00734A50">
        <w:t>reporting on (to Education Ministers and publicly) and periodically reviewing and recommending adjustment of the nationally consistent</w:t>
      </w:r>
      <w:r w:rsidR="00EA7B0E">
        <w:t>,</w:t>
      </w:r>
      <w:r w:rsidRPr="00734A50">
        <w:t xml:space="preserve"> transparent indicators</w:t>
      </w:r>
    </w:p>
    <w:p w14:paraId="4745E2CC" w14:textId="0644E3DE" w:rsidR="005F69E7" w:rsidRPr="00734A50" w:rsidRDefault="005F69E7" w:rsidP="005F69E7">
      <w:pPr>
        <w:pStyle w:val="Recommendation2"/>
        <w:numPr>
          <w:ilvl w:val="0"/>
          <w:numId w:val="82"/>
        </w:numPr>
        <w:spacing w:after="0"/>
      </w:pPr>
      <w:r w:rsidRPr="00734A50">
        <w:t>reporting on the quality and delivery of practical experience</w:t>
      </w:r>
      <w:r w:rsidR="004457F6">
        <w:t xml:space="preserve"> and the evidence base for mid-career programs</w:t>
      </w:r>
    </w:p>
    <w:p w14:paraId="2F0AE318" w14:textId="6432D153" w:rsidR="006F301E" w:rsidRPr="00734A50" w:rsidRDefault="005F69E7" w:rsidP="6DDCDED7">
      <w:pPr>
        <w:pStyle w:val="Recommendation2"/>
        <w:numPr>
          <w:ilvl w:val="0"/>
          <w:numId w:val="82"/>
        </w:numPr>
        <w:spacing w:after="0"/>
        <w:rPr>
          <w:b/>
          <w:bCs/>
        </w:rPr>
      </w:pPr>
      <w:r w:rsidRPr="00734A50">
        <w:t>overseeing a program of research designed to inform improvements to the quality of</w:t>
      </w:r>
      <w:r w:rsidRPr="00734A50">
        <w:rPr>
          <w:lang w:eastAsia="en-AU"/>
        </w:rPr>
        <w:t xml:space="preserve"> </w:t>
      </w:r>
      <w:r w:rsidR="00A064E4" w:rsidRPr="00734A50">
        <w:rPr>
          <w:lang w:eastAsia="en-AU"/>
        </w:rPr>
        <w:t>ITE</w:t>
      </w:r>
      <w:r w:rsidRPr="00734A50">
        <w:t xml:space="preserve"> programs, including thematic quality reviews on areas requested by Education Ministers.</w:t>
      </w:r>
    </w:p>
    <w:p w14:paraId="381C1CFD" w14:textId="77777777" w:rsidR="00CF2238" w:rsidRPr="00734A50" w:rsidRDefault="001014BF" w:rsidP="6DDCDED7">
      <w:pPr>
        <w:spacing w:after="160" w:line="259" w:lineRule="auto"/>
        <w:rPr>
          <w:rFonts w:ascii="Calibri Light" w:eastAsia="Times New Roman" w:hAnsi="Calibri Light" w:cs="Times New Roman"/>
          <w:b/>
          <w:bCs/>
          <w:color w:val="002C3E"/>
          <w:sz w:val="44"/>
          <w:szCs w:val="44"/>
          <w:lang w:eastAsia="en-AU"/>
        </w:rPr>
      </w:pPr>
      <w:r w:rsidRPr="00734A50">
        <w:rPr>
          <w:rFonts w:ascii="Calibri Light" w:eastAsia="Times New Roman" w:hAnsi="Calibri Light" w:cs="Times New Roman"/>
          <w:b/>
          <w:bCs/>
          <w:color w:val="002C3E" w:themeColor="background2"/>
          <w:sz w:val="44"/>
          <w:szCs w:val="44"/>
          <w:lang w:eastAsia="en-AU"/>
        </w:rPr>
        <w:br w:type="page"/>
      </w:r>
    </w:p>
    <w:p w14:paraId="2198D88A" w14:textId="4EC47D92" w:rsidR="00536EF0" w:rsidRDefault="00536EF0" w:rsidP="00536EF0">
      <w:pPr>
        <w:spacing w:after="160" w:line="259" w:lineRule="auto"/>
        <w:ind w:left="1560" w:hanging="426"/>
        <w:rPr>
          <w:rFonts w:asciiTheme="majorHAnsi" w:hAnsiTheme="majorHAnsi" w:cstheme="majorHAnsi"/>
          <w:b/>
          <w:bCs/>
          <w:noProof/>
          <w:color w:val="FFFFFF" w:themeColor="accent3"/>
          <w:sz w:val="52"/>
          <w:szCs w:val="52"/>
        </w:rPr>
      </w:pPr>
      <w:r>
        <w:rPr>
          <w:rFonts w:asciiTheme="majorHAnsi" w:hAnsiTheme="majorHAnsi" w:cstheme="majorHAnsi"/>
          <w:b/>
          <w:bCs/>
          <w:noProof/>
          <w:color w:val="FFFFFF" w:themeColor="accent3"/>
          <w:sz w:val="52"/>
          <w:szCs w:val="52"/>
        </w:rPr>
        <w:lastRenderedPageBreak/>
        <w:drawing>
          <wp:anchor distT="0" distB="0" distL="114300" distR="114300" simplePos="0" relativeHeight="251658241" behindDoc="1" locked="0" layoutInCell="1" allowOverlap="1" wp14:anchorId="63122F1E" wp14:editId="4D5C4037">
            <wp:simplePos x="0" y="0"/>
            <wp:positionH relativeFrom="column">
              <wp:posOffset>-1038225</wp:posOffset>
            </wp:positionH>
            <wp:positionV relativeFrom="paragraph">
              <wp:posOffset>-285750</wp:posOffset>
            </wp:positionV>
            <wp:extent cx="7402195" cy="9305472"/>
            <wp:effectExtent l="0" t="0" r="8255"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422026" cy="9330402"/>
                    </a:xfrm>
                    <a:prstGeom prst="rect">
                      <a:avLst/>
                    </a:prstGeom>
                  </pic:spPr>
                </pic:pic>
              </a:graphicData>
            </a:graphic>
            <wp14:sizeRelH relativeFrom="margin">
              <wp14:pctWidth>0</wp14:pctWidth>
            </wp14:sizeRelH>
            <wp14:sizeRelV relativeFrom="margin">
              <wp14:pctHeight>0</wp14:pctHeight>
            </wp14:sizeRelV>
          </wp:anchor>
        </w:drawing>
      </w:r>
    </w:p>
    <w:p w14:paraId="2BBFE708" w14:textId="77777777" w:rsidR="00536EF0" w:rsidRDefault="00536EF0" w:rsidP="00536EF0">
      <w:pPr>
        <w:spacing w:after="160" w:line="259" w:lineRule="auto"/>
        <w:ind w:left="1560" w:hanging="426"/>
        <w:rPr>
          <w:rFonts w:asciiTheme="majorHAnsi" w:hAnsiTheme="majorHAnsi" w:cstheme="majorHAnsi"/>
          <w:b/>
          <w:bCs/>
          <w:noProof/>
          <w:color w:val="FFFFFF" w:themeColor="accent3"/>
          <w:sz w:val="52"/>
          <w:szCs w:val="52"/>
        </w:rPr>
      </w:pPr>
    </w:p>
    <w:p w14:paraId="6393FF75" w14:textId="77777777" w:rsidR="00536EF0" w:rsidRPr="00536EF0" w:rsidRDefault="00536EF0" w:rsidP="00536EF0">
      <w:pPr>
        <w:spacing w:after="160" w:line="259" w:lineRule="auto"/>
        <w:ind w:left="1560" w:hanging="426"/>
        <w:rPr>
          <w:rFonts w:asciiTheme="majorHAnsi" w:hAnsiTheme="majorHAnsi" w:cstheme="majorHAnsi"/>
          <w:b/>
          <w:bCs/>
          <w:noProof/>
          <w:color w:val="FFFFFF" w:themeColor="accent3"/>
          <w:sz w:val="44"/>
          <w:szCs w:val="44"/>
        </w:rPr>
      </w:pPr>
    </w:p>
    <w:p w14:paraId="2BBB4BEB" w14:textId="77777777" w:rsidR="00536EF0" w:rsidRPr="00536EF0" w:rsidRDefault="00536EF0" w:rsidP="00536EF0">
      <w:pPr>
        <w:spacing w:after="160" w:line="259" w:lineRule="auto"/>
        <w:ind w:left="1560" w:hanging="426"/>
        <w:rPr>
          <w:rFonts w:asciiTheme="majorHAnsi" w:hAnsiTheme="majorHAnsi" w:cstheme="majorHAnsi"/>
          <w:b/>
          <w:bCs/>
          <w:noProof/>
          <w:color w:val="FFFFFF" w:themeColor="accent3"/>
          <w:sz w:val="44"/>
          <w:szCs w:val="44"/>
        </w:rPr>
      </w:pPr>
    </w:p>
    <w:p w14:paraId="06B0ED68" w14:textId="3FBC093D" w:rsidR="00536EF0" w:rsidRPr="00536EF0" w:rsidRDefault="00536EF0" w:rsidP="00536EF0">
      <w:pPr>
        <w:spacing w:after="0" w:line="259" w:lineRule="auto"/>
        <w:ind w:left="1560" w:hanging="426"/>
        <w:rPr>
          <w:rFonts w:asciiTheme="majorHAnsi" w:hAnsiTheme="majorHAnsi" w:cstheme="majorHAnsi"/>
          <w:b/>
          <w:bCs/>
          <w:noProof/>
          <w:color w:val="FFFFFF" w:themeColor="accent3"/>
          <w:sz w:val="52"/>
          <w:szCs w:val="52"/>
        </w:rPr>
      </w:pPr>
      <w:r w:rsidRPr="00536EF0">
        <w:rPr>
          <w:rFonts w:asciiTheme="majorHAnsi" w:hAnsiTheme="majorHAnsi" w:cstheme="majorHAnsi"/>
          <w:b/>
          <w:bCs/>
          <w:noProof/>
          <w:color w:val="FFFFFF" w:themeColor="accent3"/>
          <w:sz w:val="52"/>
          <w:szCs w:val="52"/>
        </w:rPr>
        <w:t>Chapter 2</w:t>
      </w:r>
    </w:p>
    <w:p w14:paraId="59AA75D0" w14:textId="77777777" w:rsidR="00536EF0" w:rsidRPr="004F3824" w:rsidRDefault="00536EF0" w:rsidP="00536EF0">
      <w:pPr>
        <w:spacing w:after="0" w:line="259" w:lineRule="auto"/>
        <w:ind w:left="1560"/>
        <w:rPr>
          <w:rFonts w:asciiTheme="majorHAnsi" w:hAnsiTheme="majorHAnsi" w:cstheme="majorHAnsi"/>
          <w:noProof/>
          <w:color w:val="FFFFFF" w:themeColor="accent3"/>
          <w:sz w:val="36"/>
          <w:szCs w:val="36"/>
        </w:rPr>
      </w:pPr>
      <w:r w:rsidRPr="004F3824">
        <w:rPr>
          <w:rFonts w:asciiTheme="majorHAnsi" w:hAnsiTheme="majorHAnsi" w:cstheme="majorHAnsi"/>
          <w:noProof/>
          <w:color w:val="FFFFFF" w:themeColor="accent3"/>
          <w:sz w:val="36"/>
          <w:szCs w:val="36"/>
        </w:rPr>
        <w:t xml:space="preserve">Strengthening the link between </w:t>
      </w:r>
    </w:p>
    <w:p w14:paraId="0DAD07FB" w14:textId="77777777" w:rsidR="00536EF0" w:rsidRPr="004F3824" w:rsidRDefault="00536EF0" w:rsidP="00536EF0">
      <w:pPr>
        <w:spacing w:after="0" w:line="259" w:lineRule="auto"/>
        <w:ind w:left="1560"/>
        <w:rPr>
          <w:rFonts w:asciiTheme="majorHAnsi" w:hAnsiTheme="majorHAnsi" w:cstheme="majorHAnsi"/>
          <w:noProof/>
          <w:color w:val="FFFFFF" w:themeColor="accent3"/>
          <w:sz w:val="36"/>
          <w:szCs w:val="36"/>
        </w:rPr>
      </w:pPr>
      <w:r w:rsidRPr="004F3824">
        <w:rPr>
          <w:rFonts w:asciiTheme="majorHAnsi" w:hAnsiTheme="majorHAnsi" w:cstheme="majorHAnsi"/>
          <w:noProof/>
          <w:color w:val="FFFFFF" w:themeColor="accent3"/>
          <w:sz w:val="36"/>
          <w:szCs w:val="36"/>
        </w:rPr>
        <w:t xml:space="preserve">performance and funding of initial </w:t>
      </w:r>
    </w:p>
    <w:p w14:paraId="3088793E" w14:textId="7B768A85" w:rsidR="00536EF0" w:rsidRPr="004F3824" w:rsidRDefault="00536EF0" w:rsidP="00536EF0">
      <w:pPr>
        <w:spacing w:after="0" w:line="259" w:lineRule="auto"/>
        <w:ind w:left="1560"/>
        <w:rPr>
          <w:rFonts w:asciiTheme="majorHAnsi" w:hAnsiTheme="majorHAnsi" w:cstheme="majorHAnsi"/>
          <w:noProof/>
          <w:color w:val="FFFFFF" w:themeColor="accent3"/>
          <w:sz w:val="36"/>
          <w:szCs w:val="36"/>
        </w:rPr>
      </w:pPr>
      <w:r w:rsidRPr="004F3824">
        <w:rPr>
          <w:rFonts w:asciiTheme="majorHAnsi" w:hAnsiTheme="majorHAnsi" w:cstheme="majorHAnsi"/>
          <w:noProof/>
          <w:color w:val="FFFFFF" w:themeColor="accent3"/>
          <w:sz w:val="36"/>
          <w:szCs w:val="36"/>
        </w:rPr>
        <w:t>teacher education programs</w:t>
      </w:r>
    </w:p>
    <w:p w14:paraId="19163CE4" w14:textId="7EA01FA7" w:rsidR="004C2D06" w:rsidRPr="00734A50" w:rsidRDefault="004C2D06" w:rsidP="004066B0">
      <w:pPr>
        <w:rPr>
          <w:rFonts w:ascii="Calibri Light" w:eastAsia="Times New Roman" w:hAnsi="Calibri Light" w:cs="Times New Roman"/>
          <w:color w:val="002C3E"/>
          <w:sz w:val="44"/>
          <w:szCs w:val="44"/>
          <w:lang w:eastAsia="en-AU"/>
        </w:rPr>
      </w:pPr>
    </w:p>
    <w:p w14:paraId="156E71D1" w14:textId="49111CBE" w:rsidR="00536EF0" w:rsidRPr="00536EF0" w:rsidRDefault="00CF2238" w:rsidP="0DD6F353">
      <w:pPr>
        <w:spacing w:after="160" w:line="259" w:lineRule="auto"/>
      </w:pPr>
      <w:r w:rsidRPr="00734A50">
        <w:br w:type="page"/>
      </w:r>
    </w:p>
    <w:p w14:paraId="078A42CA" w14:textId="7421791F" w:rsidR="00945A71" w:rsidRDefault="5FED39C1" w:rsidP="0012041E">
      <w:pPr>
        <w:pStyle w:val="Heading1"/>
      </w:pPr>
      <w:bookmarkStart w:id="66" w:name="_Toc139366638"/>
      <w:r w:rsidRPr="00734A50">
        <w:lastRenderedPageBreak/>
        <w:t>Strengthen</w:t>
      </w:r>
      <w:r w:rsidR="26F92584" w:rsidRPr="00734A50">
        <w:t>ing</w:t>
      </w:r>
      <w:r w:rsidRPr="00734A50">
        <w:t xml:space="preserve"> the link between performance and funding of initial teacher education</w:t>
      </w:r>
      <w:bookmarkStart w:id="67" w:name="_Toc127978384"/>
      <w:bookmarkEnd w:id="45"/>
      <w:bookmarkEnd w:id="46"/>
      <w:bookmarkEnd w:id="47"/>
      <w:r w:rsidR="00FD7042" w:rsidRPr="00734A50">
        <w:t xml:space="preserve"> programs</w:t>
      </w:r>
      <w:bookmarkEnd w:id="66"/>
    </w:p>
    <w:p w14:paraId="2D8BEF48" w14:textId="77777777" w:rsidR="00D62E67" w:rsidRDefault="00D62E67" w:rsidP="00D67B5D">
      <w:pPr>
        <w:pBdr>
          <w:top w:val="single" w:sz="4" w:space="1" w:color="auto"/>
          <w:left w:val="single" w:sz="4" w:space="4" w:color="auto"/>
          <w:bottom w:val="single" w:sz="4" w:space="1" w:color="auto"/>
          <w:right w:val="single" w:sz="4" w:space="4" w:color="auto"/>
        </w:pBdr>
        <w:rPr>
          <w:b/>
          <w:bCs/>
          <w:color w:val="002C3E" w:themeColor="background2"/>
        </w:rPr>
      </w:pPr>
      <w:r w:rsidRPr="008935BC">
        <w:rPr>
          <w:b/>
          <w:bCs/>
          <w:color w:val="002C3E" w:themeColor="background2"/>
        </w:rPr>
        <w:t>Key points</w:t>
      </w:r>
    </w:p>
    <w:p w14:paraId="76CCB014" w14:textId="769E2F5D" w:rsidR="00D62E67" w:rsidRPr="00D67B5D" w:rsidRDefault="00D62E67" w:rsidP="008A0376">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The QITE Review acknowledged the centrality of the Accreditation Standards and Procedures in in strengthening the quality of ITE through enforceable standards but recommended the development of a quality measure for ITE programs to encourage quality improvements.</w:t>
      </w:r>
    </w:p>
    <w:p w14:paraId="258BF52A" w14:textId="07D9C57C" w:rsidR="00D62E67" w:rsidRPr="00284EAA" w:rsidRDefault="00D62E67" w:rsidP="00284EAA">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 xml:space="preserve">The Panel was asked to provide advice on defining a set of performance measures for ITE and strengthening links between </w:t>
      </w:r>
      <w:r w:rsidRPr="00284EAA">
        <w:rPr>
          <w:color w:val="002C3E" w:themeColor="background2"/>
        </w:rPr>
        <w:t>performance and funding.</w:t>
      </w:r>
    </w:p>
    <w:p w14:paraId="05491684" w14:textId="77777777" w:rsidR="00D62E67" w:rsidRPr="00D67B5D" w:rsidRDefault="00D62E67" w:rsidP="00F800DE">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The Panel has defined four categories of relevant nationally consistent, transparent indicators for ITE: selection, retention, preparedness of beginning teachers and transition.</w:t>
      </w:r>
    </w:p>
    <w:p w14:paraId="5FF179A7" w14:textId="77777777" w:rsidR="00D62E67" w:rsidRPr="00D67B5D" w:rsidRDefault="00D62E67" w:rsidP="00F800DE">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Publicly reporting on these indicators would increase transparency, ensure consistency and help prospective ITE students choose programs best suited to their needs.</w:t>
      </w:r>
    </w:p>
    <w:p w14:paraId="4DD4E23F" w14:textId="77777777" w:rsidR="00D62E67" w:rsidRPr="00D67B5D" w:rsidRDefault="00D62E67" w:rsidP="00F800DE">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 xml:space="preserve">These indicators can be used to streamline how evidence of impact is demonstrated and assessed in ITE program accreditation. </w:t>
      </w:r>
    </w:p>
    <w:p w14:paraId="7AF857E9" w14:textId="77777777" w:rsidR="00D62E67" w:rsidRPr="00D67B5D" w:rsidRDefault="00D62E67" w:rsidP="00F800DE">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A Transition Fund could support higher education providers to improve performance and assist with any costs associated with incorporating core content into ITE programs.</w:t>
      </w:r>
    </w:p>
    <w:p w14:paraId="24517B5C" w14:textId="77777777" w:rsidR="00D62E67" w:rsidRPr="00D67B5D" w:rsidRDefault="00D62E67" w:rsidP="00F800DE">
      <w:pPr>
        <w:keepNext/>
        <w:numPr>
          <w:ilvl w:val="0"/>
          <w:numId w:val="68"/>
        </w:numPr>
        <w:pBdr>
          <w:top w:val="single" w:sz="4" w:space="1" w:color="auto"/>
          <w:left w:val="single" w:sz="4" w:space="4" w:color="auto"/>
          <w:bottom w:val="single" w:sz="4" w:space="1" w:color="auto"/>
          <w:right w:val="single" w:sz="4" w:space="4" w:color="auto"/>
        </w:pBdr>
        <w:spacing w:before="200"/>
        <w:ind w:left="357" w:hanging="357"/>
        <w:rPr>
          <w:color w:val="002C3E" w:themeColor="background2"/>
        </w:rPr>
      </w:pPr>
      <w:r w:rsidRPr="00D67B5D">
        <w:rPr>
          <w:color w:val="002C3E" w:themeColor="background2"/>
        </w:rPr>
        <w:t>An Excellence Fund could support select higher education providers to take a leadership role in fostering improved performance across the sector.</w:t>
      </w:r>
    </w:p>
    <w:p w14:paraId="6482FD00" w14:textId="77777777" w:rsidR="00D62E67" w:rsidRPr="00D62E67" w:rsidRDefault="00D62E67" w:rsidP="00D62E67">
      <w:pPr>
        <w:rPr>
          <w:lang w:eastAsia="en-AU"/>
        </w:rPr>
      </w:pPr>
    </w:p>
    <w:p w14:paraId="5032BDCB" w14:textId="0C753CE4" w:rsidR="00CE62D0" w:rsidRPr="00734A50" w:rsidRDefault="445C2214" w:rsidP="0012041E">
      <w:pPr>
        <w:pStyle w:val="Heading2"/>
      </w:pPr>
      <w:bookmarkStart w:id="68" w:name="_Toc139366639"/>
      <w:r w:rsidRPr="00734A50">
        <w:t>Context</w:t>
      </w:r>
      <w:bookmarkEnd w:id="68"/>
    </w:p>
    <w:p w14:paraId="306C9958" w14:textId="71559DAE" w:rsidR="000E064F" w:rsidRPr="00734A50" w:rsidRDefault="00E00EBB" w:rsidP="00D80EB1">
      <w:pPr>
        <w:rPr>
          <w:rFonts w:ascii="Calibri" w:eastAsia="Times New Roman" w:hAnsi="Calibri" w:cs="Calibri"/>
          <w:lang w:eastAsia="en-AU"/>
        </w:rPr>
      </w:pPr>
      <w:r w:rsidRPr="00734A50">
        <w:t>T</w:t>
      </w:r>
      <w:r w:rsidR="004A5835" w:rsidRPr="00734A50">
        <w:t xml:space="preserve">he Accreditation Standards </w:t>
      </w:r>
      <w:r w:rsidR="00B735D7" w:rsidRPr="00734A50">
        <w:t xml:space="preserve">and Procedures (AITSL 2022a) </w:t>
      </w:r>
      <w:r w:rsidR="004A5835" w:rsidRPr="00734A50">
        <w:t xml:space="preserve">play an important role in strengthening the quality of ITE through </w:t>
      </w:r>
      <w:r w:rsidR="0055690D" w:rsidRPr="00734A50">
        <w:t xml:space="preserve">enforceable </w:t>
      </w:r>
      <w:r w:rsidR="001F2749" w:rsidRPr="00734A50">
        <w:t>standards of quality</w:t>
      </w:r>
      <w:r w:rsidR="00B735D7" w:rsidRPr="00734A50">
        <w:t xml:space="preserve">. However, </w:t>
      </w:r>
      <w:r w:rsidR="00AB43CC">
        <w:t>they do</w:t>
      </w:r>
      <w:r w:rsidR="004A5835" w:rsidRPr="00734A50">
        <w:t xml:space="preserve"> not sufficiently recognise and reward ITE providers with a culture of continuous improvement.</w:t>
      </w:r>
      <w:r w:rsidR="00E47525" w:rsidRPr="00734A50">
        <w:t xml:space="preserve"> </w:t>
      </w:r>
      <w:r w:rsidR="000E064F" w:rsidRPr="00734A50">
        <w:t>The QITE Review recommended the development of a quality measure for ITE programs to encourage quality improvements, including through the allocation of higher education funding (Recommendation 15 of the QITE Review).</w:t>
      </w:r>
    </w:p>
    <w:p w14:paraId="4D819B98" w14:textId="4BB93A6D" w:rsidR="002F6998" w:rsidRPr="00734A50" w:rsidRDefault="52B1ECBC" w:rsidP="002F6998">
      <w:r w:rsidRPr="00734A50">
        <w:t xml:space="preserve">The QITE </w:t>
      </w:r>
      <w:r w:rsidR="001C7AE6" w:rsidRPr="00734A50">
        <w:t>R</w:t>
      </w:r>
      <w:r w:rsidRPr="00734A50">
        <w:t xml:space="preserve">eview also noted </w:t>
      </w:r>
      <w:r w:rsidR="1A3FDF06" w:rsidRPr="00734A50">
        <w:t xml:space="preserve">the lack of transparency in </w:t>
      </w:r>
      <w:r w:rsidR="5AB9E422" w:rsidRPr="00734A50">
        <w:t>the current system</w:t>
      </w:r>
      <w:r w:rsidR="00910809" w:rsidRPr="00734A50">
        <w:t>,</w:t>
      </w:r>
      <w:r w:rsidR="5AB9E422" w:rsidRPr="00734A50">
        <w:t xml:space="preserve"> where information</w:t>
      </w:r>
      <w:r w:rsidR="00D92FFC" w:rsidRPr="00734A50">
        <w:t xml:space="preserve"> on ITE programs</w:t>
      </w:r>
      <w:r w:rsidR="5AB9E422" w:rsidRPr="00734A50">
        <w:t xml:space="preserve"> is not easily available to the public. </w:t>
      </w:r>
      <w:r w:rsidR="759ECEED" w:rsidRPr="00734A50">
        <w:t>Furthermore, the Panel notes that the current system allow</w:t>
      </w:r>
      <w:r w:rsidR="00B735D7" w:rsidRPr="00734A50">
        <w:t>s</w:t>
      </w:r>
      <w:r w:rsidR="759ECEED" w:rsidRPr="00734A50">
        <w:t xml:space="preserve"> for </w:t>
      </w:r>
      <w:r w:rsidR="00B735D7" w:rsidRPr="00734A50">
        <w:t xml:space="preserve">only limited </w:t>
      </w:r>
      <w:r w:rsidR="759ECEED" w:rsidRPr="00734A50">
        <w:t xml:space="preserve">comparison across </w:t>
      </w:r>
      <w:r w:rsidR="00645529" w:rsidRPr="00734A50">
        <w:t>higher education providers</w:t>
      </w:r>
      <w:r w:rsidR="00B735D7" w:rsidRPr="00734A50">
        <w:t xml:space="preserve"> (e.g.</w:t>
      </w:r>
      <w:r w:rsidR="00910809" w:rsidRPr="00734A50">
        <w:t xml:space="preserve"> using</w:t>
      </w:r>
      <w:r w:rsidR="00B735D7" w:rsidRPr="00734A50">
        <w:t xml:space="preserve"> </w:t>
      </w:r>
      <w:r w:rsidR="00F96292" w:rsidRPr="00734A50">
        <w:t xml:space="preserve">the Australian Government </w:t>
      </w:r>
      <w:r w:rsidR="00910809" w:rsidRPr="00734A50">
        <w:t>i</w:t>
      </w:r>
      <w:r w:rsidR="00F96292" w:rsidRPr="00734A50">
        <w:t>nitiative</w:t>
      </w:r>
      <w:r w:rsidR="00B735D7" w:rsidRPr="00734A50">
        <w:t xml:space="preserve"> ComparEd)</w:t>
      </w:r>
      <w:r w:rsidR="38BA5985" w:rsidRPr="00734A50">
        <w:t>.</w:t>
      </w:r>
    </w:p>
    <w:p w14:paraId="5B0FC1E3" w14:textId="5AB3CD40" w:rsidR="002F6998" w:rsidRPr="00734A50" w:rsidRDefault="002F6998" w:rsidP="008D41A1">
      <w:r w:rsidRPr="00734A50">
        <w:t>Accreditation requir</w:t>
      </w:r>
      <w:r w:rsidR="001E1D49" w:rsidRPr="00734A50">
        <w:t>es</w:t>
      </w:r>
      <w:r w:rsidRPr="00734A50">
        <w:t xml:space="preserve"> higher education providers to evaluate their ITE programs. Part of meeting the </w:t>
      </w:r>
      <w:r w:rsidR="00044D90" w:rsidRPr="00734A50">
        <w:t xml:space="preserve">Accreditation </w:t>
      </w:r>
      <w:r w:rsidRPr="00734A50">
        <w:t xml:space="preserve">Standards </w:t>
      </w:r>
      <w:r w:rsidR="00044D90" w:rsidRPr="00734A50">
        <w:t>is</w:t>
      </w:r>
      <w:r w:rsidRPr="00734A50">
        <w:t xml:space="preserve"> identifying intended outcomes through a plan for demonstrating </w:t>
      </w:r>
      <w:r w:rsidR="00D13FB8" w:rsidRPr="00734A50">
        <w:t>impact</w:t>
      </w:r>
      <w:r w:rsidRPr="00734A50">
        <w:t xml:space="preserve"> (Standard 6). This </w:t>
      </w:r>
      <w:r w:rsidR="00044D90" w:rsidRPr="00734A50">
        <w:t>p</w:t>
      </w:r>
      <w:r w:rsidRPr="00734A50">
        <w:t xml:space="preserve">lan must include evidence on ITE student performance and graduate </w:t>
      </w:r>
      <w:r w:rsidRPr="00734A50">
        <w:lastRenderedPageBreak/>
        <w:t>outcomes</w:t>
      </w:r>
      <w:r w:rsidR="00754949" w:rsidRPr="00734A50">
        <w:t xml:space="preserve"> – </w:t>
      </w:r>
      <w:r w:rsidRPr="00734A50">
        <w:t xml:space="preserve">but otherwise, higher education providers are free to choose the outcomes and evidence they </w:t>
      </w:r>
      <w:r w:rsidR="000E7E91">
        <w:t>do</w:t>
      </w:r>
      <w:r w:rsidR="000E7E91" w:rsidRPr="00734A50">
        <w:t xml:space="preserve"> </w:t>
      </w:r>
      <w:r w:rsidRPr="00734A50">
        <w:t>use when evaluating their own ITE programs.</w:t>
      </w:r>
      <w:r w:rsidR="001E1D49" w:rsidRPr="00734A50">
        <w:t xml:space="preserve"> </w:t>
      </w:r>
      <w:r w:rsidR="00D70251" w:rsidRPr="00734A50">
        <w:t>One way to address this inconsistency is to develop national</w:t>
      </w:r>
      <w:r w:rsidR="00044D90" w:rsidRPr="00734A50">
        <w:t>ly</w:t>
      </w:r>
      <w:r w:rsidR="00D70251" w:rsidRPr="00734A50">
        <w:t xml:space="preserve"> consistent, transparent indicators </w:t>
      </w:r>
      <w:r w:rsidR="00141401">
        <w:t>for</w:t>
      </w:r>
      <w:r w:rsidR="00141401" w:rsidRPr="00734A50">
        <w:t xml:space="preserve"> </w:t>
      </w:r>
      <w:r w:rsidR="00D70251" w:rsidRPr="00734A50">
        <w:t>ITE programs</w:t>
      </w:r>
      <w:r w:rsidR="00380BD3" w:rsidRPr="00734A50">
        <w:t>.</w:t>
      </w:r>
    </w:p>
    <w:p w14:paraId="61B1B540" w14:textId="1CB8D4E0" w:rsidR="00043482" w:rsidRPr="00734A50" w:rsidRDefault="00043482" w:rsidP="2AE1E6EC">
      <w:pPr>
        <w:textAlignment w:val="baseline"/>
        <w:rPr>
          <w:rFonts w:ascii="Calibri" w:eastAsia="Times New Roman" w:hAnsi="Calibri" w:cs="Calibri"/>
          <w:lang w:eastAsia="en-AU"/>
        </w:rPr>
      </w:pPr>
      <w:r w:rsidRPr="00734A50">
        <w:rPr>
          <w:rFonts w:ascii="Calibri" w:eastAsia="Times New Roman" w:hAnsi="Calibri" w:cs="Calibri"/>
          <w:lang w:eastAsia="en-AU"/>
        </w:rPr>
        <w:t xml:space="preserve">The Panel has been asked to provide advice on establishing a quality measure </w:t>
      </w:r>
      <w:r w:rsidR="00044D90" w:rsidRPr="00734A50">
        <w:rPr>
          <w:rFonts w:ascii="Calibri" w:eastAsia="Times New Roman" w:hAnsi="Calibri" w:cs="Calibri"/>
          <w:lang w:eastAsia="en-AU"/>
        </w:rPr>
        <w:t xml:space="preserve">for </w:t>
      </w:r>
      <w:r w:rsidRPr="00734A50">
        <w:rPr>
          <w:rFonts w:ascii="Calibri" w:eastAsia="Times New Roman" w:hAnsi="Calibri" w:cs="Calibri"/>
          <w:lang w:eastAsia="en-AU"/>
        </w:rPr>
        <w:t xml:space="preserve">ITE programs and </w:t>
      </w:r>
      <w:r w:rsidR="006F355C" w:rsidRPr="00734A50">
        <w:rPr>
          <w:rFonts w:ascii="Calibri" w:eastAsia="Times New Roman" w:hAnsi="Calibri" w:cs="Calibri"/>
          <w:lang w:eastAsia="en-AU"/>
        </w:rPr>
        <w:t>whether and how funding of higher education providers should be based on quality and other factors.</w:t>
      </w:r>
      <w:r w:rsidR="00851024" w:rsidRPr="00734A50">
        <w:rPr>
          <w:rFonts w:ascii="Calibri" w:eastAsia="Times New Roman" w:hAnsi="Calibri" w:cs="Calibri"/>
          <w:lang w:eastAsia="en-AU"/>
        </w:rPr>
        <w:t xml:space="preserve"> </w:t>
      </w:r>
    </w:p>
    <w:p w14:paraId="2C54EF45" w14:textId="41DFD57C" w:rsidR="00B40066" w:rsidRPr="00734A50" w:rsidRDefault="00B40066" w:rsidP="2AE1E6EC">
      <w:pPr>
        <w:textAlignment w:val="baseline"/>
        <w:rPr>
          <w:rFonts w:ascii="Calibri" w:eastAsia="Calibri" w:hAnsi="Calibri" w:cs="Calibri"/>
        </w:rPr>
      </w:pPr>
      <w:r w:rsidRPr="00734A50">
        <w:t>While the</w:t>
      </w:r>
      <w:r w:rsidR="00891A3D" w:rsidRPr="00734A50">
        <w:t xml:space="preserve"> Panel</w:t>
      </w:r>
      <w:r w:rsidRPr="00734A50">
        <w:t xml:space="preserve"> propose</w:t>
      </w:r>
      <w:r w:rsidR="00891A3D" w:rsidRPr="00734A50">
        <w:t>s</w:t>
      </w:r>
      <w:r w:rsidRPr="00734A50">
        <w:t xml:space="preserve"> </w:t>
      </w:r>
      <w:r w:rsidR="003C51EC" w:rsidRPr="00734A50">
        <w:t xml:space="preserve">indicators of ITE programs </w:t>
      </w:r>
      <w:r w:rsidR="000602D6" w:rsidRPr="00734A50">
        <w:t>based on curren</w:t>
      </w:r>
      <w:r w:rsidR="00980B56" w:rsidRPr="00734A50">
        <w:t>tly available data</w:t>
      </w:r>
      <w:r w:rsidRPr="00734A50">
        <w:t>, the</w:t>
      </w:r>
      <w:r w:rsidR="00044D90" w:rsidRPr="00734A50">
        <w:t>se indicators</w:t>
      </w:r>
      <w:r w:rsidRPr="00734A50">
        <w:t xml:space="preserve"> are not exhaustive or a comprehensive measure of the quality of ITE programs. The Panel acknowledges </w:t>
      </w:r>
      <w:r w:rsidR="00044D90" w:rsidRPr="00734A50">
        <w:t xml:space="preserve">that </w:t>
      </w:r>
      <w:r w:rsidRPr="00734A50">
        <w:t xml:space="preserve">further knowledge and work </w:t>
      </w:r>
      <w:r w:rsidR="00F53259" w:rsidRPr="00734A50">
        <w:t>would</w:t>
      </w:r>
      <w:r w:rsidRPr="00734A50">
        <w:t xml:space="preserve"> be required to address </w:t>
      </w:r>
      <w:r w:rsidR="0067353C" w:rsidRPr="00734A50">
        <w:t xml:space="preserve">data and evidence </w:t>
      </w:r>
      <w:r w:rsidRPr="00734A50">
        <w:t xml:space="preserve">gaps, provide insights into the pathways of ITE students and develop better quality measures. As noted in Chapter 1, the Panel sees this as a role for the proposed new </w:t>
      </w:r>
      <w:r w:rsidR="00527D7E" w:rsidRPr="00734A50">
        <w:t>IT</w:t>
      </w:r>
      <w:r w:rsidR="00AD3B19" w:rsidRPr="00734A50">
        <w:t>E</w:t>
      </w:r>
      <w:r w:rsidR="00527D7E" w:rsidRPr="00734A50">
        <w:t xml:space="preserve"> quality assurance</w:t>
      </w:r>
      <w:r w:rsidRPr="00734A50">
        <w:t xml:space="preserve"> b</w:t>
      </w:r>
      <w:r w:rsidR="008D5247" w:rsidRPr="00734A50">
        <w:t>oard</w:t>
      </w:r>
      <w:r w:rsidRPr="00734A50">
        <w:t>.</w:t>
      </w:r>
    </w:p>
    <w:p w14:paraId="379ED2FF" w14:textId="1F0A7959" w:rsidR="000E064F" w:rsidRPr="00734A50" w:rsidRDefault="000E064F" w:rsidP="0012041E">
      <w:pPr>
        <w:pStyle w:val="Heading2"/>
      </w:pPr>
      <w:bookmarkStart w:id="69" w:name="_Toc139366640"/>
      <w:r w:rsidRPr="00734A50">
        <w:t xml:space="preserve">Key findings: </w:t>
      </w:r>
      <w:r w:rsidR="000F2322" w:rsidRPr="00734A50">
        <w:t>e</w:t>
      </w:r>
      <w:r w:rsidRPr="00734A50">
        <w:t xml:space="preserve">stablishing </w:t>
      </w:r>
      <w:r w:rsidR="0332FB90" w:rsidRPr="00734A50">
        <w:rPr>
          <w:lang w:eastAsia="en-AU"/>
        </w:rPr>
        <w:t>nationally consistent, transparent indicator</w:t>
      </w:r>
      <w:r w:rsidR="383BAAB3" w:rsidRPr="00734A50">
        <w:t>s</w:t>
      </w:r>
      <w:r w:rsidRPr="00734A50">
        <w:t xml:space="preserve"> for ITE </w:t>
      </w:r>
      <w:r w:rsidR="00B21E18" w:rsidRPr="00734A50">
        <w:t>programs</w:t>
      </w:r>
      <w:bookmarkEnd w:id="69"/>
    </w:p>
    <w:p w14:paraId="5981E6D9" w14:textId="4B314B93" w:rsidR="00EA00B0" w:rsidRPr="00734A50" w:rsidRDefault="00EA00B0" w:rsidP="00E73BBF">
      <w:pPr>
        <w:pStyle w:val="Heading3"/>
      </w:pPr>
      <w:bookmarkStart w:id="70" w:name="_Toc139366641"/>
      <w:r w:rsidRPr="00734A50">
        <w:t xml:space="preserve">2.1 Purpose of the </w:t>
      </w:r>
      <w:r w:rsidR="01AE1068" w:rsidRPr="00734A50">
        <w:t>indicators</w:t>
      </w:r>
      <w:bookmarkEnd w:id="70"/>
    </w:p>
    <w:p w14:paraId="6781EEBB" w14:textId="24F8D170" w:rsidR="00EA00B0" w:rsidRPr="00734A50" w:rsidRDefault="00EC3BBA" w:rsidP="00DD5A15">
      <w:pPr>
        <w:rPr>
          <w:rFonts w:ascii="Calibri" w:eastAsia="Times New Roman" w:hAnsi="Calibri" w:cs="Calibri"/>
          <w:lang w:eastAsia="en-AU"/>
        </w:rPr>
      </w:pPr>
      <w:r w:rsidRPr="00734A50">
        <w:t>A</w:t>
      </w:r>
      <w:r w:rsidR="00EA00B0" w:rsidRPr="00734A50">
        <w:t>ccreditation plays an important and effective role in supporting the quality of ITE programs.</w:t>
      </w:r>
      <w:r w:rsidR="00EA00B0" w:rsidRPr="00734A50">
        <w:rPr>
          <w:rFonts w:ascii="Calibri" w:eastAsia="Times New Roman" w:hAnsi="Calibri" w:cs="Calibri"/>
          <w:lang w:eastAsia="en-AU"/>
        </w:rPr>
        <w:t xml:space="preserve"> </w:t>
      </w:r>
      <w:r w:rsidR="00EA00B0" w:rsidRPr="00734A50">
        <w:t>W</w:t>
      </w:r>
      <w:r w:rsidR="00EA00B0" w:rsidRPr="00734A50">
        <w:rPr>
          <w:rFonts w:ascii="Calibri" w:eastAsia="Times New Roman" w:hAnsi="Calibri" w:cs="Calibri"/>
          <w:lang w:eastAsia="en-AU"/>
        </w:rPr>
        <w:t xml:space="preserve">hile the Accreditation Standards and Procedures strengthen the quality of ITE through </w:t>
      </w:r>
      <w:r w:rsidR="004216D6" w:rsidRPr="00734A50">
        <w:rPr>
          <w:rFonts w:ascii="Calibri" w:eastAsia="Times New Roman" w:hAnsi="Calibri" w:cs="Calibri"/>
          <w:lang w:eastAsia="en-AU"/>
        </w:rPr>
        <w:t>enforceable</w:t>
      </w:r>
      <w:r w:rsidR="00EA00B0" w:rsidRPr="00734A50">
        <w:rPr>
          <w:rFonts w:ascii="Calibri" w:eastAsia="Times New Roman" w:hAnsi="Calibri" w:cs="Calibri"/>
          <w:lang w:eastAsia="en-AU"/>
        </w:rPr>
        <w:t xml:space="preserve"> standard</w:t>
      </w:r>
      <w:r w:rsidR="004216D6" w:rsidRPr="00734A50">
        <w:rPr>
          <w:rFonts w:ascii="Calibri" w:eastAsia="Times New Roman" w:hAnsi="Calibri" w:cs="Calibri"/>
          <w:lang w:eastAsia="en-AU"/>
        </w:rPr>
        <w:t>s</w:t>
      </w:r>
      <w:r w:rsidR="00EA00B0" w:rsidRPr="00734A50">
        <w:rPr>
          <w:rFonts w:ascii="Calibri" w:eastAsia="Times New Roman" w:hAnsi="Calibri" w:cs="Calibri"/>
          <w:lang w:eastAsia="en-AU"/>
        </w:rPr>
        <w:t>, they do not sufficiently recognise and reward ITE providers with a culture of continuous improvement.</w:t>
      </w:r>
    </w:p>
    <w:p w14:paraId="03AF4368" w14:textId="61970E1B" w:rsidR="005F0900" w:rsidRPr="00734A50" w:rsidRDefault="00EA00B0" w:rsidP="00EA00B0">
      <w:r w:rsidRPr="00734A50">
        <w:t xml:space="preserve">Creating and implementing standardised </w:t>
      </w:r>
      <w:r w:rsidR="75133D04" w:rsidRPr="00734A50">
        <w:t>indicators</w:t>
      </w:r>
      <w:r w:rsidRPr="00734A50">
        <w:t xml:space="preserve">, </w:t>
      </w:r>
      <w:r w:rsidR="00C63940" w:rsidRPr="00734A50">
        <w:t>and</w:t>
      </w:r>
      <w:r w:rsidRPr="00734A50">
        <w:t xml:space="preserve"> </w:t>
      </w:r>
      <w:r w:rsidR="00DB60AB" w:rsidRPr="00734A50">
        <w:t xml:space="preserve">annually </w:t>
      </w:r>
      <w:r w:rsidR="00B40066" w:rsidRPr="00734A50">
        <w:t xml:space="preserve">and </w:t>
      </w:r>
      <w:r w:rsidR="008340A1" w:rsidRPr="00734A50">
        <w:t>transparently</w:t>
      </w:r>
      <w:r w:rsidR="00B40066" w:rsidRPr="00734A50">
        <w:t xml:space="preserve"> </w:t>
      </w:r>
      <w:r w:rsidRPr="00734A50">
        <w:t>report</w:t>
      </w:r>
      <w:r w:rsidR="00C63940" w:rsidRPr="00734A50">
        <w:t>ing</w:t>
      </w:r>
      <w:r w:rsidRPr="00734A50">
        <w:t xml:space="preserve"> on</w:t>
      </w:r>
      <w:r w:rsidR="00C63940" w:rsidRPr="00734A50">
        <w:t xml:space="preserve"> them</w:t>
      </w:r>
      <w:r w:rsidRPr="00734A50">
        <w:t xml:space="preserve">, can </w:t>
      </w:r>
      <w:r w:rsidR="006406AE" w:rsidRPr="00734A50">
        <w:t xml:space="preserve">identify trends </w:t>
      </w:r>
      <w:r w:rsidR="00E12FEF" w:rsidRPr="00734A50">
        <w:t>over time</w:t>
      </w:r>
      <w:r w:rsidRPr="00734A50">
        <w:t xml:space="preserve"> and create a culture of continuous improvement (Edith Cowan University submission). </w:t>
      </w:r>
      <w:r w:rsidR="00B40066" w:rsidRPr="00734A50">
        <w:t xml:space="preserve">The annual reporting of indicators </w:t>
      </w:r>
      <w:r w:rsidRPr="00734A50">
        <w:t>would complement the less frequent accreditation processes</w:t>
      </w:r>
      <w:r w:rsidR="008340A1" w:rsidRPr="00734A50">
        <w:t>,</w:t>
      </w:r>
      <w:r w:rsidR="00C63940" w:rsidRPr="00734A50">
        <w:t xml:space="preserve"> which are</w:t>
      </w:r>
      <w:r w:rsidR="008340A1" w:rsidRPr="00734A50">
        <w:t xml:space="preserve"> conducted </w:t>
      </w:r>
      <w:r w:rsidR="00B40066" w:rsidRPr="00734A50">
        <w:t>every five years.</w:t>
      </w:r>
    </w:p>
    <w:p w14:paraId="14AAEB70" w14:textId="17CF7A88" w:rsidR="00C638AF" w:rsidRPr="00734A50" w:rsidRDefault="00870465" w:rsidP="00C638AF">
      <w:r w:rsidRPr="00734A50">
        <w:t xml:space="preserve">Some stakeholders highlighted the importance of </w:t>
      </w:r>
      <w:r w:rsidR="00C638AF" w:rsidRPr="00734A50">
        <w:t>measuring and encouraging continuous improvement</w:t>
      </w:r>
      <w:r w:rsidR="00D149D2">
        <w:t>, and</w:t>
      </w:r>
      <w:r w:rsidR="00C638AF" w:rsidRPr="00734A50">
        <w:t xml:space="preserve"> the value of having national benchmarks and consistent data across ITE providers in Australia (</w:t>
      </w:r>
      <w:r w:rsidR="008A448B" w:rsidRPr="00734A50">
        <w:t xml:space="preserve">Edith Cowan University submission, </w:t>
      </w:r>
      <w:r w:rsidR="00225A6C" w:rsidRPr="00734A50">
        <w:t>Highly Accomplished and Lead Teacher</w:t>
      </w:r>
      <w:r w:rsidR="00C638AF" w:rsidRPr="00734A50">
        <w:t xml:space="preserve"> Association NSW submission). </w:t>
      </w:r>
    </w:p>
    <w:p w14:paraId="4F782BD9" w14:textId="1D91CE7D" w:rsidR="00EA00B0" w:rsidRPr="00734A50" w:rsidRDefault="2EE3EF1C" w:rsidP="00E73BBF">
      <w:pPr>
        <w:pStyle w:val="Heading3"/>
      </w:pPr>
      <w:bookmarkStart w:id="71" w:name="_Toc139366642"/>
      <w:r w:rsidRPr="00734A50">
        <w:t xml:space="preserve">2.2 </w:t>
      </w:r>
      <w:r w:rsidR="00B40066" w:rsidRPr="00734A50">
        <w:t>Reporting on indicators</w:t>
      </w:r>
      <w:bookmarkEnd w:id="71"/>
    </w:p>
    <w:p w14:paraId="711D92B4" w14:textId="34EAA6CE" w:rsidR="00BE13E2" w:rsidRPr="00734A50" w:rsidRDefault="00BE13E2" w:rsidP="00BE13E2">
      <w:r w:rsidRPr="00734A50">
        <w:t xml:space="preserve">The Panel’s Discussion Paper considered data available for </w:t>
      </w:r>
      <w:r w:rsidR="006C0004" w:rsidRPr="00734A50">
        <w:t xml:space="preserve">reporting on higher education providers ITE </w:t>
      </w:r>
      <w:r w:rsidR="00850BEE" w:rsidRPr="00734A50">
        <w:t>programs and</w:t>
      </w:r>
      <w:r w:rsidRPr="00734A50">
        <w:t xml:space="preserve"> highlighted</w:t>
      </w:r>
      <w:r w:rsidR="00C63940" w:rsidRPr="00734A50">
        <w:t xml:space="preserve"> the need for</w:t>
      </w:r>
      <w:r w:rsidRPr="00734A50">
        <w:t xml:space="preserve"> </w:t>
      </w:r>
      <w:r w:rsidR="000B1E25" w:rsidRPr="00734A50">
        <w:t xml:space="preserve">greater </w:t>
      </w:r>
      <w:r w:rsidRPr="00734A50">
        <w:t xml:space="preserve">transparency </w:t>
      </w:r>
      <w:r w:rsidR="004E66D1" w:rsidRPr="00734A50">
        <w:t>of information on ITE programs</w:t>
      </w:r>
      <w:r w:rsidRPr="00734A50">
        <w:t xml:space="preserve">. </w:t>
      </w:r>
    </w:p>
    <w:p w14:paraId="5885BAFE" w14:textId="569C8F1C" w:rsidR="00F37956" w:rsidRPr="00734A50" w:rsidRDefault="004E0ED8" w:rsidP="00F37956">
      <w:r w:rsidRPr="00734A50">
        <w:t>The Panel proposes</w:t>
      </w:r>
      <w:r w:rsidR="00E16F5E" w:rsidRPr="00734A50">
        <w:t xml:space="preserve"> reporting on ITE programs</w:t>
      </w:r>
      <w:r w:rsidRPr="00734A50">
        <w:t xml:space="preserve"> across four categories</w:t>
      </w:r>
      <w:r w:rsidR="00C63940" w:rsidRPr="00734A50">
        <w:t xml:space="preserve"> to</w:t>
      </w:r>
      <w:r w:rsidR="00F37956" w:rsidRPr="00734A50">
        <w:t xml:space="preserve"> </w:t>
      </w:r>
      <w:r w:rsidR="003D3154" w:rsidRPr="00734A50">
        <w:t>identify higher education providers demonstrating improvement in</w:t>
      </w:r>
      <w:r w:rsidR="00F37956" w:rsidRPr="00734A50">
        <w:t xml:space="preserve"> </w:t>
      </w:r>
      <w:r w:rsidR="00F37956" w:rsidRPr="00734A50">
        <w:rPr>
          <w:b/>
          <w:bCs/>
        </w:rPr>
        <w:t>select</w:t>
      </w:r>
      <w:r w:rsidR="003D3154" w:rsidRPr="00734A50">
        <w:rPr>
          <w:b/>
          <w:bCs/>
        </w:rPr>
        <w:t>ing</w:t>
      </w:r>
      <w:r w:rsidR="00F37956" w:rsidRPr="00734A50">
        <w:t xml:space="preserve"> diverse, high-quality candidates in areas of workforce need; support</w:t>
      </w:r>
      <w:r w:rsidR="003D3154" w:rsidRPr="00734A50">
        <w:t>ing</w:t>
      </w:r>
      <w:r w:rsidR="00F37956" w:rsidRPr="00734A50">
        <w:t xml:space="preserve"> and </w:t>
      </w:r>
      <w:r w:rsidR="00F37956" w:rsidRPr="00734A50">
        <w:rPr>
          <w:b/>
          <w:bCs/>
        </w:rPr>
        <w:t>retain</w:t>
      </w:r>
      <w:r w:rsidR="003D3154" w:rsidRPr="00734A50">
        <w:rPr>
          <w:b/>
          <w:bCs/>
        </w:rPr>
        <w:t>ing</w:t>
      </w:r>
      <w:r w:rsidR="00F37956" w:rsidRPr="00734A50">
        <w:t xml:space="preserve"> their ITE students to graduate as teacher</w:t>
      </w:r>
      <w:r w:rsidR="00C63940" w:rsidRPr="00734A50">
        <w:t>s</w:t>
      </w:r>
      <w:r w:rsidR="00F37956" w:rsidRPr="00734A50">
        <w:t>; support</w:t>
      </w:r>
      <w:r w:rsidR="003D3154" w:rsidRPr="00734A50">
        <w:t>ing</w:t>
      </w:r>
      <w:r w:rsidR="00F37956" w:rsidRPr="00734A50">
        <w:t xml:space="preserve"> ITE students to be </w:t>
      </w:r>
      <w:r w:rsidR="00F37956" w:rsidRPr="00734A50">
        <w:rPr>
          <w:b/>
          <w:bCs/>
        </w:rPr>
        <w:t>prepared to begin teaching</w:t>
      </w:r>
      <w:r w:rsidR="00F37956" w:rsidRPr="00734A50">
        <w:t>; and support</w:t>
      </w:r>
      <w:r w:rsidR="009C7A7C" w:rsidRPr="00734A50">
        <w:t>ing</w:t>
      </w:r>
      <w:r w:rsidR="00F37956" w:rsidRPr="00734A50">
        <w:t xml:space="preserve"> graduate teachers to </w:t>
      </w:r>
      <w:r w:rsidR="00F37956" w:rsidRPr="00734A50">
        <w:rPr>
          <w:b/>
          <w:bCs/>
        </w:rPr>
        <w:t>transition</w:t>
      </w:r>
      <w:r w:rsidR="00F37956" w:rsidRPr="00734A50">
        <w:t xml:space="preserve"> effectively into the teaching profession. The four categories provide a holistic assessment of ITE</w:t>
      </w:r>
      <w:r w:rsidR="009C7A7C" w:rsidRPr="00734A50">
        <w:t xml:space="preserve"> programs</w:t>
      </w:r>
      <w:r w:rsidR="00F37956" w:rsidRPr="00734A50">
        <w:t xml:space="preserve"> and are consistent with previous reviews </w:t>
      </w:r>
      <w:r w:rsidR="00C63940" w:rsidRPr="00734A50">
        <w:t xml:space="preserve">of </w:t>
      </w:r>
      <w:r w:rsidR="00F37956" w:rsidRPr="00734A50">
        <w:t xml:space="preserve">ITE, as well as the structure of the Accreditation Standards and Procedures. </w:t>
      </w:r>
    </w:p>
    <w:p w14:paraId="5BED65BD" w14:textId="48F9EB63" w:rsidR="00EA00B0" w:rsidRPr="00734A50" w:rsidRDefault="002E3C72" w:rsidP="6DDCDED7">
      <w:pPr>
        <w:spacing w:after="0"/>
      </w:pPr>
      <w:r w:rsidRPr="00734A50">
        <w:lastRenderedPageBreak/>
        <w:t xml:space="preserve">This </w:t>
      </w:r>
      <w:r w:rsidR="00C63940" w:rsidRPr="00734A50">
        <w:t xml:space="preserve">reporting </w:t>
      </w:r>
      <w:r w:rsidR="00BB479E" w:rsidRPr="00734A50">
        <w:t>would complement t</w:t>
      </w:r>
      <w:r w:rsidR="00EA00B0" w:rsidRPr="00734A50">
        <w:t>he Accreditation Standards and Procedures</w:t>
      </w:r>
      <w:r w:rsidR="00BB479E" w:rsidRPr="00734A50">
        <w:t>, which</w:t>
      </w:r>
      <w:r w:rsidR="00C25979" w:rsidRPr="00734A50">
        <w:t xml:space="preserve"> a</w:t>
      </w:r>
      <w:r w:rsidR="0096608B" w:rsidRPr="00734A50">
        <w:t xml:space="preserve">lready require </w:t>
      </w:r>
      <w:r w:rsidR="00EA00B0" w:rsidRPr="00734A50">
        <w:t>program</w:t>
      </w:r>
      <w:r w:rsidR="0096608B" w:rsidRPr="00734A50">
        <w:t>s to evaluate how they</w:t>
      </w:r>
      <w:r w:rsidR="00EA00B0" w:rsidRPr="00734A50">
        <w:t xml:space="preserve"> select students, support them and prepare them for employment after graduation. The Accreditation Standards and Procedures include requirements to: </w:t>
      </w:r>
    </w:p>
    <w:p w14:paraId="3D64FB05" w14:textId="4931039B" w:rsidR="00EA00B0" w:rsidRPr="00734A50" w:rsidRDefault="00F423D6" w:rsidP="0026262D">
      <w:pPr>
        <w:pStyle w:val="ListBullet"/>
        <w:numPr>
          <w:ilvl w:val="0"/>
          <w:numId w:val="216"/>
        </w:numPr>
      </w:pPr>
      <w:r w:rsidRPr="00734A50">
        <w:t>p</w:t>
      </w:r>
      <w:r w:rsidR="00EA00B0" w:rsidRPr="00734A50">
        <w:t xml:space="preserve">rovide publicly available information on student selection processes for entry into initial teacher education programs, including student cohort data </w:t>
      </w:r>
    </w:p>
    <w:p w14:paraId="65FED637" w14:textId="741B4FDC" w:rsidR="00EA00B0" w:rsidRPr="00734A50" w:rsidRDefault="00F423D6" w:rsidP="0026262D">
      <w:pPr>
        <w:pStyle w:val="ListBullet"/>
        <w:numPr>
          <w:ilvl w:val="0"/>
          <w:numId w:val="216"/>
        </w:numPr>
      </w:pPr>
      <w:r w:rsidRPr="00734A50">
        <w:t>d</w:t>
      </w:r>
      <w:r w:rsidR="00EA00B0" w:rsidRPr="00734A50">
        <w:t>esign the program to address the learning needs of all pre-service teachers admitted, including through provision of additional support to any cohort or individual who may be at risk of not being able to participate fully in the program or achieve its expected outcomes</w:t>
      </w:r>
    </w:p>
    <w:p w14:paraId="7C6CEF4B" w14:textId="11B4B83D" w:rsidR="00EA00B0" w:rsidRPr="00734A50" w:rsidRDefault="00F423D6" w:rsidP="0026262D">
      <w:pPr>
        <w:pStyle w:val="ListBullet"/>
        <w:numPr>
          <w:ilvl w:val="0"/>
          <w:numId w:val="216"/>
        </w:numPr>
      </w:pPr>
      <w:r w:rsidRPr="00734A50">
        <w:t>s</w:t>
      </w:r>
      <w:r w:rsidR="00EA00B0" w:rsidRPr="00734A50">
        <w:t>how evidence of graduate outcomes, including employment data and graduate and principal satisfaction surveys</w:t>
      </w:r>
    </w:p>
    <w:p w14:paraId="354DA29C" w14:textId="4414B75D" w:rsidR="00852299" w:rsidRDefault="0037786E" w:rsidP="00852299">
      <w:pPr>
        <w:pStyle w:val="ListBullet"/>
        <w:numPr>
          <w:ilvl w:val="0"/>
          <w:numId w:val="216"/>
        </w:numPr>
        <w:spacing w:after="200"/>
        <w:ind w:left="357" w:hanging="357"/>
      </w:pPr>
      <w:r w:rsidRPr="00734A50">
        <w:t>t</w:t>
      </w:r>
      <w:r w:rsidR="00EA00B0" w:rsidRPr="00734A50">
        <w:t>ake account of employer and national system needs, including workforce demands for teaching specialisations.</w:t>
      </w:r>
    </w:p>
    <w:p w14:paraId="43D839C5" w14:textId="77777777" w:rsidR="00852299" w:rsidRDefault="00852299" w:rsidP="00852299">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sidRPr="00912D84">
        <w:rPr>
          <w:b/>
          <w:bCs/>
        </w:rPr>
        <w:t xml:space="preserve">Principles for selecting indicators </w:t>
      </w:r>
    </w:p>
    <w:p w14:paraId="592D100F" w14:textId="77777777" w:rsidR="00852299" w:rsidRDefault="00852299" w:rsidP="00852299">
      <w:pPr>
        <w:pBdr>
          <w:top w:val="single" w:sz="4" w:space="1" w:color="auto"/>
          <w:left w:val="single" w:sz="4" w:space="4" w:color="auto"/>
          <w:bottom w:val="single" w:sz="4" w:space="1" w:color="auto"/>
          <w:right w:val="single" w:sz="4" w:space="4" w:color="auto"/>
        </w:pBdr>
        <w:shd w:val="clear" w:color="auto" w:fill="FECF52" w:themeFill="accent2"/>
        <w:spacing w:after="0"/>
      </w:pPr>
      <w:r>
        <w:t>The indicators were selected on the basis of:</w:t>
      </w:r>
    </w:p>
    <w:p w14:paraId="30CDF2F5" w14:textId="77777777" w:rsidR="00852299" w:rsidRPr="00BF6EBE" w:rsidRDefault="00852299" w:rsidP="00852299">
      <w:pPr>
        <w:pStyle w:val="ListBullet"/>
        <w:numPr>
          <w:ilvl w:val="0"/>
          <w:numId w:val="180"/>
        </w:numPr>
        <w:pBdr>
          <w:top w:val="single" w:sz="4" w:space="1" w:color="auto"/>
          <w:left w:val="single" w:sz="4" w:space="4" w:color="auto"/>
          <w:bottom w:val="single" w:sz="4" w:space="1" w:color="auto"/>
          <w:right w:val="single" w:sz="4" w:space="4" w:color="auto"/>
        </w:pBdr>
        <w:shd w:val="clear" w:color="auto" w:fill="FECF52" w:themeFill="accent2"/>
      </w:pPr>
      <w:r>
        <w:t>i</w:t>
      </w:r>
      <w:r w:rsidRPr="00BF6EBE">
        <w:t xml:space="preserve">nternational precedent </w:t>
      </w:r>
    </w:p>
    <w:p w14:paraId="67EE5CDF" w14:textId="77777777" w:rsidR="00852299" w:rsidRPr="00BF6EBE" w:rsidRDefault="00852299" w:rsidP="00852299">
      <w:pPr>
        <w:pStyle w:val="ListBullet"/>
        <w:numPr>
          <w:ilvl w:val="0"/>
          <w:numId w:val="180"/>
        </w:numPr>
        <w:pBdr>
          <w:top w:val="single" w:sz="4" w:space="1" w:color="auto"/>
          <w:left w:val="single" w:sz="4" w:space="4" w:color="auto"/>
          <w:bottom w:val="single" w:sz="4" w:space="1" w:color="auto"/>
          <w:right w:val="single" w:sz="4" w:space="4" w:color="auto"/>
        </w:pBdr>
        <w:shd w:val="clear" w:color="auto" w:fill="FECF52" w:themeFill="accent2"/>
      </w:pPr>
      <w:r>
        <w:t>r</w:t>
      </w:r>
      <w:r w:rsidRPr="00BF6EBE">
        <w:t>elevance to the Australian context</w:t>
      </w:r>
    </w:p>
    <w:p w14:paraId="3E6DB5DF" w14:textId="77777777" w:rsidR="00852299" w:rsidRPr="00BF6EBE" w:rsidRDefault="00852299" w:rsidP="00852299">
      <w:pPr>
        <w:pStyle w:val="ListBullet"/>
        <w:numPr>
          <w:ilvl w:val="0"/>
          <w:numId w:val="180"/>
        </w:numPr>
        <w:pBdr>
          <w:top w:val="single" w:sz="4" w:space="1" w:color="auto"/>
          <w:left w:val="single" w:sz="4" w:space="4" w:color="auto"/>
          <w:bottom w:val="single" w:sz="4" w:space="1" w:color="auto"/>
          <w:right w:val="single" w:sz="4" w:space="4" w:color="auto"/>
        </w:pBdr>
        <w:shd w:val="clear" w:color="auto" w:fill="FECF52" w:themeFill="accent2"/>
      </w:pPr>
      <w:r>
        <w:t>c</w:t>
      </w:r>
      <w:r w:rsidRPr="00BF6EBE">
        <w:t>ost-effectiveness, drawing on available, relevant and accurate data</w:t>
      </w:r>
    </w:p>
    <w:p w14:paraId="11E70435" w14:textId="77777777" w:rsidR="00852299" w:rsidRPr="00BF6EBE" w:rsidRDefault="00852299" w:rsidP="00852299">
      <w:pPr>
        <w:pStyle w:val="ListBullet"/>
        <w:numPr>
          <w:ilvl w:val="0"/>
          <w:numId w:val="180"/>
        </w:numPr>
        <w:pBdr>
          <w:top w:val="single" w:sz="4" w:space="1" w:color="auto"/>
          <w:left w:val="single" w:sz="4" w:space="4" w:color="auto"/>
          <w:bottom w:val="single" w:sz="4" w:space="1" w:color="auto"/>
          <w:right w:val="single" w:sz="4" w:space="4" w:color="auto"/>
        </w:pBdr>
        <w:shd w:val="clear" w:color="auto" w:fill="FECF52" w:themeFill="accent2"/>
      </w:pPr>
      <w:r>
        <w:t>i</w:t>
      </w:r>
      <w:r w:rsidRPr="00BF6EBE">
        <w:t>nforming improvement</w:t>
      </w:r>
    </w:p>
    <w:p w14:paraId="669910B6" w14:textId="77777777" w:rsidR="00852299" w:rsidRPr="00BF6EBE" w:rsidRDefault="00852299" w:rsidP="00852299">
      <w:pPr>
        <w:pStyle w:val="ListBullet"/>
        <w:numPr>
          <w:ilvl w:val="0"/>
          <w:numId w:val="180"/>
        </w:numPr>
        <w:pBdr>
          <w:top w:val="single" w:sz="4" w:space="1" w:color="auto"/>
          <w:left w:val="single" w:sz="4" w:space="4" w:color="auto"/>
          <w:bottom w:val="single" w:sz="4" w:space="1" w:color="auto"/>
          <w:right w:val="single" w:sz="4" w:space="4" w:color="auto"/>
        </w:pBdr>
        <w:shd w:val="clear" w:color="auto" w:fill="FECF52" w:themeFill="accent2"/>
      </w:pPr>
      <w:r>
        <w:t>a</w:t>
      </w:r>
      <w:r w:rsidRPr="00BF6EBE">
        <w:t>pplicability across programs, contexts and cohort</w:t>
      </w:r>
      <w:r>
        <w:t>s</w:t>
      </w:r>
    </w:p>
    <w:p w14:paraId="78571BBB" w14:textId="1C641C88" w:rsidR="00EA00B0" w:rsidRPr="00734A50" w:rsidRDefault="00852299" w:rsidP="00852299">
      <w:pPr>
        <w:pStyle w:val="ListBullet"/>
        <w:numPr>
          <w:ilvl w:val="0"/>
          <w:numId w:val="180"/>
        </w:numPr>
        <w:pBdr>
          <w:top w:val="single" w:sz="4" w:space="1" w:color="auto"/>
          <w:left w:val="single" w:sz="4" w:space="4" w:color="auto"/>
          <w:bottom w:val="single" w:sz="4" w:space="1" w:color="auto"/>
          <w:right w:val="single" w:sz="4" w:space="4" w:color="auto"/>
        </w:pBdr>
        <w:shd w:val="clear" w:color="auto" w:fill="FECF52" w:themeFill="accent2"/>
      </w:pPr>
      <w:r>
        <w:t>e</w:t>
      </w:r>
      <w:r w:rsidRPr="00BF6EBE">
        <w:t>xcluding requirements that would be more appropriate in accreditation.</w:t>
      </w:r>
    </w:p>
    <w:p w14:paraId="1FF483DC" w14:textId="0607A28F" w:rsidR="00C638AF" w:rsidRPr="00734A50" w:rsidRDefault="00EA00B0" w:rsidP="002C1A0E">
      <w:pPr>
        <w:spacing w:before="200"/>
      </w:pPr>
      <w:r w:rsidRPr="00734A50">
        <w:t xml:space="preserve">The list of indicators is shown in Table 2.1. Some stakeholders provided examples where improvement in one </w:t>
      </w:r>
      <w:r w:rsidR="4F3A4A6D" w:rsidRPr="00734A50">
        <w:t>indicator</w:t>
      </w:r>
      <w:r w:rsidR="00D759D5" w:rsidRPr="00734A50">
        <w:t>,</w:t>
      </w:r>
      <w:r w:rsidRPr="00734A50">
        <w:t xml:space="preserve"> </w:t>
      </w:r>
      <w:r w:rsidR="00D759D5" w:rsidRPr="00734A50">
        <w:t>such as</w:t>
      </w:r>
      <w:r w:rsidRPr="00734A50">
        <w:t xml:space="preserve"> selection of under</w:t>
      </w:r>
      <w:r w:rsidR="00942FE5" w:rsidRPr="00734A50">
        <w:t>-</w:t>
      </w:r>
      <w:r w:rsidRPr="00734A50">
        <w:t>represented cohorts</w:t>
      </w:r>
      <w:r w:rsidR="00D759D5" w:rsidRPr="00734A50">
        <w:t>,</w:t>
      </w:r>
      <w:r w:rsidRPr="00734A50">
        <w:t xml:space="preserve"> may compromise progress in another indicator</w:t>
      </w:r>
      <w:r w:rsidR="00D759D5" w:rsidRPr="00734A50">
        <w:t>,</w:t>
      </w:r>
      <w:r w:rsidRPr="00734A50">
        <w:t xml:space="preserve"> such as retention (Australian Catholic University submission; </w:t>
      </w:r>
      <w:r w:rsidR="7046814D" w:rsidRPr="00734A50">
        <w:t>N</w:t>
      </w:r>
      <w:r w:rsidR="1117291A" w:rsidRPr="00734A50">
        <w:t>SW Department</w:t>
      </w:r>
      <w:r w:rsidRPr="00734A50">
        <w:t xml:space="preserve"> of </w:t>
      </w:r>
      <w:r w:rsidR="1117291A" w:rsidRPr="00734A50">
        <w:t xml:space="preserve">Education submission; </w:t>
      </w:r>
      <w:r w:rsidR="11381A15" w:rsidRPr="00734A50">
        <w:t xml:space="preserve">University of </w:t>
      </w:r>
      <w:r w:rsidRPr="00734A50">
        <w:t>Southern Queensland submission; University of South Australia submission). Weightings are not applied to indicators</w:t>
      </w:r>
      <w:r w:rsidR="00D759D5" w:rsidRPr="00734A50">
        <w:t>,</w:t>
      </w:r>
      <w:r w:rsidRPr="00734A50">
        <w:t xml:space="preserve"> and each indicator </w:t>
      </w:r>
      <w:r w:rsidR="00851891" w:rsidRPr="00734A50">
        <w:t>would</w:t>
      </w:r>
      <w:r w:rsidRPr="00734A50">
        <w:t xml:space="preserve"> always be reported individually. This provides a holistic assessment to incentivise a broad effort to improve across the indicators.</w:t>
      </w:r>
      <w:r w:rsidR="00C638AF" w:rsidRPr="00734A50">
        <w:t xml:space="preserve"> Reporting </w:t>
      </w:r>
      <w:r w:rsidR="00851891" w:rsidRPr="00734A50">
        <w:t>would</w:t>
      </w:r>
      <w:r w:rsidR="00C638AF" w:rsidRPr="00734A50">
        <w:t xml:space="preserve"> be accompanied by contextual information about each higher education provider</w:t>
      </w:r>
      <w:r w:rsidR="00D759D5" w:rsidRPr="00734A50">
        <w:t xml:space="preserve"> –</w:t>
      </w:r>
      <w:r w:rsidR="00C638AF" w:rsidRPr="00734A50">
        <w:t xml:space="preserve"> a concern raised by numerous stakeholders (</w:t>
      </w:r>
      <w:r w:rsidR="00D759D5" w:rsidRPr="00734A50">
        <w:t>see</w:t>
      </w:r>
      <w:r w:rsidR="00C638AF" w:rsidRPr="00734A50">
        <w:t xml:space="preserve"> </w:t>
      </w:r>
      <w:r w:rsidR="00DE6994" w:rsidRPr="00734A50">
        <w:t xml:space="preserve">section </w:t>
      </w:r>
      <w:r w:rsidR="00C638AF" w:rsidRPr="00734A50">
        <w:t>2.</w:t>
      </w:r>
      <w:r w:rsidR="00D759D5" w:rsidRPr="00734A50">
        <w:t>3.</w:t>
      </w:r>
      <w:r w:rsidR="00C85E82" w:rsidRPr="00734A50">
        <w:t>6</w:t>
      </w:r>
      <w:r w:rsidR="00C638AF" w:rsidRPr="00734A50">
        <w:t>).</w:t>
      </w:r>
    </w:p>
    <w:p w14:paraId="35C1238C" w14:textId="77777777" w:rsidR="00852299" w:rsidRDefault="00852299">
      <w:pPr>
        <w:spacing w:after="160" w:line="259" w:lineRule="auto"/>
        <w:rPr>
          <w:rFonts w:asciiTheme="majorHAnsi" w:eastAsia="Times New Roman" w:hAnsiTheme="majorHAnsi" w:cs="Times New Roman"/>
          <w:b/>
          <w:color w:val="000000"/>
          <w:szCs w:val="28"/>
          <w:lang w:eastAsia="en-AU"/>
        </w:rPr>
      </w:pPr>
      <w:r>
        <w:rPr>
          <w:szCs w:val="28"/>
        </w:rPr>
        <w:br w:type="page"/>
      </w:r>
    </w:p>
    <w:p w14:paraId="5DDBFB3E" w14:textId="69CB4273" w:rsidR="00EA00B0" w:rsidRPr="00734A50" w:rsidRDefault="00EA00B0" w:rsidP="6DDCDED7">
      <w:pPr>
        <w:pStyle w:val="HeadingTable"/>
        <w:numPr>
          <w:ilvl w:val="0"/>
          <w:numId w:val="0"/>
        </w:numPr>
        <w:ind w:left="360" w:hanging="360"/>
        <w:rPr>
          <w:sz w:val="22"/>
          <w:szCs w:val="28"/>
        </w:rPr>
      </w:pPr>
      <w:r w:rsidRPr="00734A50">
        <w:rPr>
          <w:sz w:val="22"/>
          <w:szCs w:val="28"/>
        </w:rPr>
        <w:lastRenderedPageBreak/>
        <w:t xml:space="preserve">Table 2.1: </w:t>
      </w:r>
      <w:r w:rsidR="53D63D60" w:rsidRPr="00734A50">
        <w:rPr>
          <w:sz w:val="22"/>
          <w:szCs w:val="28"/>
        </w:rPr>
        <w:t>Indicators</w:t>
      </w:r>
      <w:r w:rsidRPr="00734A50">
        <w:rPr>
          <w:sz w:val="22"/>
          <w:szCs w:val="28"/>
        </w:rPr>
        <w:t xml:space="preserve"> for ITE programs</w:t>
      </w:r>
    </w:p>
    <w:tbl>
      <w:tblPr>
        <w:tblStyle w:val="GridTable1Light-Accent2"/>
        <w:tblW w:w="9067" w:type="dxa"/>
        <w:tblLook w:val="04A0" w:firstRow="1" w:lastRow="0" w:firstColumn="1" w:lastColumn="0" w:noHBand="0" w:noVBand="1"/>
      </w:tblPr>
      <w:tblGrid>
        <w:gridCol w:w="562"/>
        <w:gridCol w:w="2694"/>
        <w:gridCol w:w="5811"/>
      </w:tblGrid>
      <w:tr w:rsidR="00EA00B0" w:rsidRPr="00734A50" w14:paraId="1A374BF4" w14:textId="77777777" w:rsidTr="6DDCDE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ECF52" w:themeFill="accent2"/>
          </w:tcPr>
          <w:p w14:paraId="5B425157" w14:textId="77777777" w:rsidR="00EA00B0" w:rsidRPr="00734A50" w:rsidRDefault="00EA00B0" w:rsidP="00C0287D">
            <w:pPr>
              <w:keepNext/>
              <w:spacing w:line="240" w:lineRule="auto"/>
            </w:pPr>
            <w:r w:rsidRPr="00734A50">
              <w:t>Selection: This category refers to the entry and participation of diverse, high-achieving cohorts in areas of workforce need</w:t>
            </w:r>
          </w:p>
        </w:tc>
      </w:tr>
      <w:tr w:rsidR="00EA00B0" w:rsidRPr="00734A50" w14:paraId="32685FA1"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56697ED8" w14:textId="77777777" w:rsidR="00EA00B0" w:rsidRPr="00734A50" w:rsidRDefault="00EA00B0" w:rsidP="00E44E8A">
            <w:pPr>
              <w:spacing w:line="240" w:lineRule="auto"/>
              <w:rPr>
                <w:iCs/>
              </w:rPr>
            </w:pPr>
            <w:r w:rsidRPr="00734A50">
              <w:rPr>
                <w:iCs/>
              </w:rPr>
              <w:t>1</w:t>
            </w:r>
          </w:p>
        </w:tc>
        <w:tc>
          <w:tcPr>
            <w:tcW w:w="2694" w:type="dxa"/>
          </w:tcPr>
          <w:p w14:paraId="28340EF2"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Participation of First Nations Students</w:t>
            </w:r>
          </w:p>
        </w:tc>
        <w:tc>
          <w:tcPr>
            <w:tcW w:w="5811" w:type="dxa"/>
          </w:tcPr>
          <w:p w14:paraId="702E11A8" w14:textId="4A22ADD1"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First Nations students enrolled in ITE</w:t>
            </w:r>
          </w:p>
        </w:tc>
      </w:tr>
      <w:tr w:rsidR="00EA00B0" w:rsidRPr="00734A50" w14:paraId="29DD0087" w14:textId="77777777" w:rsidTr="6DDCDED7">
        <w:tc>
          <w:tcPr>
            <w:cnfStyle w:val="001000000000" w:firstRow="0" w:lastRow="0" w:firstColumn="1" w:lastColumn="0" w:oddVBand="0" w:evenVBand="0" w:oddHBand="0" w:evenHBand="0" w:firstRowFirstColumn="0" w:firstRowLastColumn="0" w:lastRowFirstColumn="0" w:lastRowLastColumn="0"/>
            <w:tcW w:w="562" w:type="dxa"/>
            <w:shd w:val="clear" w:color="auto" w:fill="FEF5DC" w:themeFill="accent2" w:themeFillTint="33"/>
          </w:tcPr>
          <w:p w14:paraId="6929783B" w14:textId="77777777" w:rsidR="00EA00B0" w:rsidRPr="00734A50" w:rsidRDefault="00EA00B0" w:rsidP="00E44E8A">
            <w:pPr>
              <w:spacing w:line="240" w:lineRule="auto"/>
              <w:rPr>
                <w:iCs/>
              </w:rPr>
            </w:pPr>
            <w:r w:rsidRPr="00734A50">
              <w:rPr>
                <w:iCs/>
              </w:rPr>
              <w:t>2</w:t>
            </w:r>
          </w:p>
        </w:tc>
        <w:tc>
          <w:tcPr>
            <w:tcW w:w="2694" w:type="dxa"/>
            <w:shd w:val="clear" w:color="auto" w:fill="FEF5DC" w:themeFill="accent2" w:themeFillTint="33"/>
          </w:tcPr>
          <w:p w14:paraId="76F659FB"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Participation of regional and remote students</w:t>
            </w:r>
          </w:p>
        </w:tc>
        <w:tc>
          <w:tcPr>
            <w:tcW w:w="5811" w:type="dxa"/>
            <w:shd w:val="clear" w:color="auto" w:fill="FEF5DC" w:themeFill="accent2" w:themeFillTint="33"/>
          </w:tcPr>
          <w:p w14:paraId="63E6D743" w14:textId="1BB69788"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regional and remote students enrolled in ITE</w:t>
            </w:r>
          </w:p>
        </w:tc>
      </w:tr>
      <w:tr w:rsidR="00EA00B0" w:rsidRPr="00734A50" w14:paraId="7C7B49E4"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1E6A170F" w14:textId="77777777" w:rsidR="00EA00B0" w:rsidRPr="00734A50" w:rsidRDefault="00EA00B0" w:rsidP="00E44E8A">
            <w:pPr>
              <w:spacing w:line="240" w:lineRule="auto"/>
              <w:rPr>
                <w:iCs/>
              </w:rPr>
            </w:pPr>
            <w:r w:rsidRPr="00734A50">
              <w:rPr>
                <w:iCs/>
              </w:rPr>
              <w:t>3</w:t>
            </w:r>
          </w:p>
        </w:tc>
        <w:tc>
          <w:tcPr>
            <w:tcW w:w="2694" w:type="dxa"/>
          </w:tcPr>
          <w:p w14:paraId="67035005" w14:textId="214F36C8"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Participation of low socio-economic status</w:t>
            </w:r>
            <w:r w:rsidR="0052040D" w:rsidRPr="00734A50">
              <w:t xml:space="preserve"> (SES)</w:t>
            </w:r>
            <w:r w:rsidRPr="00734A50">
              <w:t xml:space="preserve"> students</w:t>
            </w:r>
          </w:p>
        </w:tc>
        <w:tc>
          <w:tcPr>
            <w:tcW w:w="5811" w:type="dxa"/>
          </w:tcPr>
          <w:p w14:paraId="0521CB27" w14:textId="05BA632B"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 xml:space="preserve">roportion of low </w:t>
            </w:r>
            <w:r w:rsidRPr="00734A50">
              <w:t>SES</w:t>
            </w:r>
            <w:r w:rsidR="00EA00B0" w:rsidRPr="00734A50">
              <w:t xml:space="preserve"> students enrolled in ITE</w:t>
            </w:r>
          </w:p>
        </w:tc>
      </w:tr>
      <w:tr w:rsidR="00EA00B0" w:rsidRPr="00734A50" w14:paraId="38DC38B7" w14:textId="77777777" w:rsidTr="6DDCDED7">
        <w:tc>
          <w:tcPr>
            <w:cnfStyle w:val="001000000000" w:firstRow="0" w:lastRow="0" w:firstColumn="1" w:lastColumn="0" w:oddVBand="0" w:evenVBand="0" w:oddHBand="0" w:evenHBand="0" w:firstRowFirstColumn="0" w:firstRowLastColumn="0" w:lastRowFirstColumn="0" w:lastRowLastColumn="0"/>
            <w:tcW w:w="562" w:type="dxa"/>
            <w:shd w:val="clear" w:color="auto" w:fill="FEF5DC" w:themeFill="accent2" w:themeFillTint="33"/>
          </w:tcPr>
          <w:p w14:paraId="20CEAEE9" w14:textId="77777777" w:rsidR="00EA00B0" w:rsidRPr="00734A50" w:rsidRDefault="00EA00B0" w:rsidP="00E44E8A">
            <w:pPr>
              <w:spacing w:line="240" w:lineRule="auto"/>
              <w:rPr>
                <w:iCs/>
              </w:rPr>
            </w:pPr>
            <w:r w:rsidRPr="00734A50">
              <w:rPr>
                <w:iCs/>
              </w:rPr>
              <w:t>4</w:t>
            </w:r>
          </w:p>
        </w:tc>
        <w:tc>
          <w:tcPr>
            <w:tcW w:w="2694" w:type="dxa"/>
            <w:shd w:val="clear" w:color="auto" w:fill="FEF5DC" w:themeFill="accent2" w:themeFillTint="33"/>
          </w:tcPr>
          <w:p w14:paraId="3418D685" w14:textId="7B94E99F"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Participation of high</w:t>
            </w:r>
            <w:r w:rsidR="3C33EF46" w:rsidRPr="00734A50">
              <w:t>-</w:t>
            </w:r>
            <w:r w:rsidRPr="00734A50">
              <w:t>achieving students</w:t>
            </w:r>
          </w:p>
        </w:tc>
        <w:tc>
          <w:tcPr>
            <w:tcW w:w="5811" w:type="dxa"/>
            <w:shd w:val="clear" w:color="auto" w:fill="FEF5DC" w:themeFill="accent2" w:themeFillTint="33"/>
          </w:tcPr>
          <w:p w14:paraId="37EA76CC" w14:textId="37B307F6"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school leavers with an Australian Tertiary Admission Rank (ATAR) above 80 enrolled in ITE</w:t>
            </w:r>
          </w:p>
        </w:tc>
      </w:tr>
      <w:tr w:rsidR="00EA00B0" w:rsidRPr="00734A50" w14:paraId="394ED429"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73789EB1" w14:textId="77777777" w:rsidR="00EA00B0" w:rsidRPr="00734A50" w:rsidRDefault="00EA00B0" w:rsidP="00E44E8A">
            <w:pPr>
              <w:spacing w:line="240" w:lineRule="auto"/>
              <w:rPr>
                <w:iCs/>
              </w:rPr>
            </w:pPr>
            <w:r w:rsidRPr="00734A50">
              <w:rPr>
                <w:iCs/>
              </w:rPr>
              <w:t>5</w:t>
            </w:r>
          </w:p>
        </w:tc>
        <w:tc>
          <w:tcPr>
            <w:tcW w:w="2694" w:type="dxa"/>
          </w:tcPr>
          <w:p w14:paraId="756CE0D0"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Participation of STEM students</w:t>
            </w:r>
          </w:p>
        </w:tc>
        <w:tc>
          <w:tcPr>
            <w:tcW w:w="5811" w:type="dxa"/>
          </w:tcPr>
          <w:p w14:paraId="6CF976C8" w14:textId="06B5DA4F"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secondary STEM students enrolled in ITE</w:t>
            </w:r>
          </w:p>
        </w:tc>
      </w:tr>
      <w:tr w:rsidR="00EA00B0" w:rsidRPr="00734A50" w14:paraId="2052433A"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202E0C54" w14:textId="77777777" w:rsidR="00EA00B0" w:rsidRPr="00734A50" w:rsidRDefault="00EA00B0" w:rsidP="00E44E8A">
            <w:pPr>
              <w:spacing w:line="240" w:lineRule="auto"/>
              <w:rPr>
                <w:iCs/>
              </w:rPr>
            </w:pPr>
            <w:r w:rsidRPr="00734A50">
              <w:rPr>
                <w:iCs/>
              </w:rPr>
              <w:t>6</w:t>
            </w:r>
          </w:p>
        </w:tc>
        <w:tc>
          <w:tcPr>
            <w:tcW w:w="2694" w:type="dxa"/>
          </w:tcPr>
          <w:p w14:paraId="219BA76B" w14:textId="3ED60224"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Participation of non-English</w:t>
            </w:r>
            <w:r w:rsidR="007552C0">
              <w:t>-</w:t>
            </w:r>
            <w:r w:rsidRPr="00734A50">
              <w:t>speaking background students</w:t>
            </w:r>
          </w:p>
        </w:tc>
        <w:tc>
          <w:tcPr>
            <w:tcW w:w="5811" w:type="dxa"/>
          </w:tcPr>
          <w:p w14:paraId="6B72707C" w14:textId="331CFC84"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students with a non-English</w:t>
            </w:r>
            <w:r w:rsidR="00A52905">
              <w:t>-</w:t>
            </w:r>
            <w:r w:rsidR="00EA00B0" w:rsidRPr="00734A50">
              <w:t>speaking background enrolled in ITE</w:t>
            </w:r>
          </w:p>
        </w:tc>
      </w:tr>
      <w:tr w:rsidR="00EA00B0" w:rsidRPr="00734A50" w14:paraId="3CE00114" w14:textId="77777777" w:rsidTr="6DDCDED7">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ECF52" w:themeFill="accent2"/>
          </w:tcPr>
          <w:p w14:paraId="0EE9DD6B" w14:textId="77777777" w:rsidR="00EA00B0" w:rsidRPr="00734A50" w:rsidRDefault="00EA00B0" w:rsidP="00E44E8A">
            <w:pPr>
              <w:spacing w:line="240" w:lineRule="auto"/>
            </w:pPr>
            <w:r w:rsidRPr="00734A50">
              <w:t>Retention: This category refers to retaining students over the duration of ITE, from entry to graduation</w:t>
            </w:r>
          </w:p>
        </w:tc>
      </w:tr>
      <w:tr w:rsidR="00EA00B0" w:rsidRPr="00734A50" w14:paraId="2B2F8754" w14:textId="77777777" w:rsidTr="6DDCDED7">
        <w:tc>
          <w:tcPr>
            <w:cnfStyle w:val="001000000000" w:firstRow="0" w:lastRow="0" w:firstColumn="1" w:lastColumn="0" w:oddVBand="0" w:evenVBand="0" w:oddHBand="0" w:evenHBand="0" w:firstRowFirstColumn="0" w:firstRowLastColumn="0" w:lastRowFirstColumn="0" w:lastRowLastColumn="0"/>
            <w:tcW w:w="562" w:type="dxa"/>
            <w:shd w:val="clear" w:color="auto" w:fill="FEF5DC" w:themeFill="accent2" w:themeFillTint="33"/>
          </w:tcPr>
          <w:p w14:paraId="7896205F" w14:textId="77777777" w:rsidR="00EA00B0" w:rsidRPr="00734A50" w:rsidRDefault="00EA00B0" w:rsidP="00E44E8A">
            <w:pPr>
              <w:spacing w:line="240" w:lineRule="auto"/>
              <w:rPr>
                <w:iCs/>
              </w:rPr>
            </w:pPr>
            <w:r w:rsidRPr="00734A50">
              <w:rPr>
                <w:iCs/>
              </w:rPr>
              <w:t>7</w:t>
            </w:r>
          </w:p>
        </w:tc>
        <w:tc>
          <w:tcPr>
            <w:tcW w:w="2694" w:type="dxa"/>
            <w:shd w:val="clear" w:color="auto" w:fill="FEF5DC" w:themeFill="accent2" w:themeFillTint="33"/>
          </w:tcPr>
          <w:p w14:paraId="3264E0FC"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First-year attrition rate</w:t>
            </w:r>
          </w:p>
        </w:tc>
        <w:tc>
          <w:tcPr>
            <w:tcW w:w="5811" w:type="dxa"/>
            <w:shd w:val="clear" w:color="auto" w:fill="FEF5DC" w:themeFill="accent2" w:themeFillTint="33"/>
          </w:tcPr>
          <w:p w14:paraId="631802C7" w14:textId="56DE9C6D"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students leaving ITE in their first year</w:t>
            </w:r>
          </w:p>
        </w:tc>
      </w:tr>
      <w:tr w:rsidR="00EA00B0" w:rsidRPr="00734A50" w14:paraId="71B30EFE"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59675EBB" w14:textId="77777777" w:rsidR="00EA00B0" w:rsidRPr="00734A50" w:rsidRDefault="00EA00B0" w:rsidP="00E44E8A">
            <w:pPr>
              <w:spacing w:line="240" w:lineRule="auto"/>
              <w:rPr>
                <w:iCs/>
              </w:rPr>
            </w:pPr>
            <w:r w:rsidRPr="00734A50">
              <w:rPr>
                <w:iCs/>
              </w:rPr>
              <w:t>8</w:t>
            </w:r>
          </w:p>
        </w:tc>
        <w:tc>
          <w:tcPr>
            <w:tcW w:w="2694" w:type="dxa"/>
          </w:tcPr>
          <w:p w14:paraId="6DAA1521"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Six-year dropout rate</w:t>
            </w:r>
          </w:p>
        </w:tc>
        <w:tc>
          <w:tcPr>
            <w:tcW w:w="5811" w:type="dxa"/>
          </w:tcPr>
          <w:p w14:paraId="30F99417" w14:textId="251261D2" w:rsidR="00EA00B0" w:rsidRPr="00734A50" w:rsidRDefault="0052040D"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w:t>
            </w:r>
            <w:r w:rsidR="00EA00B0" w:rsidRPr="00734A50">
              <w:t>roportion of commencing students leaving the ITE program within six years</w:t>
            </w:r>
          </w:p>
        </w:tc>
      </w:tr>
      <w:tr w:rsidR="00EA00B0" w:rsidRPr="00734A50" w14:paraId="79489007" w14:textId="77777777" w:rsidTr="6DDCDED7">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ECF52" w:themeFill="accent2"/>
          </w:tcPr>
          <w:p w14:paraId="7D5321E7" w14:textId="764009D7" w:rsidR="00EA00B0" w:rsidRPr="00734A50" w:rsidRDefault="4748BD4A" w:rsidP="00E44E8A">
            <w:pPr>
              <w:spacing w:line="240" w:lineRule="auto"/>
            </w:pPr>
            <w:r w:rsidRPr="00734A50">
              <w:t>Preparedness of beginning teachers</w:t>
            </w:r>
            <w:r w:rsidR="00EA00B0" w:rsidRPr="00734A50">
              <w:t>: This category refers to students’ perceived preparedness for entering the teaching profession and their satisfaction with the quality of their course</w:t>
            </w:r>
          </w:p>
        </w:tc>
      </w:tr>
      <w:tr w:rsidR="00EA00B0" w:rsidRPr="00734A50" w14:paraId="52FD835C" w14:textId="77777777" w:rsidTr="6DDCDED7">
        <w:tc>
          <w:tcPr>
            <w:cnfStyle w:val="001000000000" w:firstRow="0" w:lastRow="0" w:firstColumn="1" w:lastColumn="0" w:oddVBand="0" w:evenVBand="0" w:oddHBand="0" w:evenHBand="0" w:firstRowFirstColumn="0" w:firstRowLastColumn="0" w:lastRowFirstColumn="0" w:lastRowLastColumn="0"/>
            <w:tcW w:w="562" w:type="dxa"/>
            <w:shd w:val="clear" w:color="auto" w:fill="FEF5DC" w:themeFill="accent2" w:themeFillTint="33"/>
          </w:tcPr>
          <w:p w14:paraId="6FCA5925" w14:textId="77777777" w:rsidR="00EA00B0" w:rsidRPr="00734A50" w:rsidRDefault="00EA00B0" w:rsidP="00E44E8A">
            <w:pPr>
              <w:spacing w:line="240" w:lineRule="auto"/>
              <w:rPr>
                <w:iCs/>
              </w:rPr>
            </w:pPr>
            <w:r w:rsidRPr="00734A50">
              <w:rPr>
                <w:iCs/>
              </w:rPr>
              <w:t>9</w:t>
            </w:r>
          </w:p>
        </w:tc>
        <w:tc>
          <w:tcPr>
            <w:tcW w:w="2694" w:type="dxa"/>
            <w:shd w:val="clear" w:color="auto" w:fill="FEF5DC" w:themeFill="accent2" w:themeFillTint="33"/>
          </w:tcPr>
          <w:p w14:paraId="40CAE357" w14:textId="37264312"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 xml:space="preserve">Student satisfaction with the quality of their </w:t>
            </w:r>
            <w:r w:rsidR="00B21E18" w:rsidRPr="00734A50">
              <w:t>program</w:t>
            </w:r>
          </w:p>
        </w:tc>
        <w:tc>
          <w:tcPr>
            <w:tcW w:w="5811" w:type="dxa"/>
            <w:shd w:val="clear" w:color="auto" w:fill="FEF5DC" w:themeFill="accent2" w:themeFillTint="33"/>
          </w:tcPr>
          <w:p w14:paraId="42806708" w14:textId="6E52E87C"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 xml:space="preserve">Results from the </w:t>
            </w:r>
            <w:r w:rsidR="0052040D" w:rsidRPr="00734A50">
              <w:t>‘</w:t>
            </w:r>
            <w:r w:rsidRPr="00734A50">
              <w:t xml:space="preserve">Student </w:t>
            </w:r>
            <w:r w:rsidR="0052040D" w:rsidRPr="00734A50">
              <w:t>s</w:t>
            </w:r>
            <w:r w:rsidRPr="00734A50">
              <w:t>atisfaction</w:t>
            </w:r>
            <w:r w:rsidR="0052040D" w:rsidRPr="00734A50">
              <w:t>’</w:t>
            </w:r>
            <w:r w:rsidRPr="00734A50">
              <w:t xml:space="preserve"> question in QILT survey data</w:t>
            </w:r>
          </w:p>
        </w:tc>
      </w:tr>
      <w:tr w:rsidR="00EA00B0" w:rsidRPr="00734A50" w14:paraId="1F3350E7"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62A53803" w14:textId="77777777" w:rsidR="00EA00B0" w:rsidRPr="00734A50" w:rsidRDefault="00EA00B0" w:rsidP="00E44E8A">
            <w:pPr>
              <w:spacing w:line="240" w:lineRule="auto"/>
              <w:rPr>
                <w:iCs/>
              </w:rPr>
            </w:pPr>
            <w:r w:rsidRPr="00734A50">
              <w:rPr>
                <w:iCs/>
              </w:rPr>
              <w:t>10</w:t>
            </w:r>
          </w:p>
        </w:tc>
        <w:tc>
          <w:tcPr>
            <w:tcW w:w="2694" w:type="dxa"/>
          </w:tcPr>
          <w:p w14:paraId="7762B1E3"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Graduate preparedness for employment</w:t>
            </w:r>
          </w:p>
        </w:tc>
        <w:tc>
          <w:tcPr>
            <w:tcW w:w="5811" w:type="dxa"/>
          </w:tcPr>
          <w:p w14:paraId="204F59C3" w14:textId="5140A7C5"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 xml:space="preserve">Results from the </w:t>
            </w:r>
            <w:r w:rsidR="0052040D" w:rsidRPr="00734A50">
              <w:t>‘</w:t>
            </w:r>
            <w:r w:rsidRPr="00734A50">
              <w:t>Preparedness to teach</w:t>
            </w:r>
            <w:r w:rsidR="0052040D" w:rsidRPr="00734A50">
              <w:t>’</w:t>
            </w:r>
            <w:r w:rsidRPr="00734A50">
              <w:t xml:space="preserve"> question in the Graduate Outcomes Survey</w:t>
            </w:r>
          </w:p>
        </w:tc>
      </w:tr>
      <w:tr w:rsidR="00EA00B0" w:rsidRPr="00734A50" w14:paraId="15F0ABBB" w14:textId="77777777" w:rsidTr="6DDCDED7">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ECF52" w:themeFill="accent2"/>
          </w:tcPr>
          <w:p w14:paraId="0EB37734" w14:textId="77777777" w:rsidR="00EA00B0" w:rsidRPr="00734A50" w:rsidRDefault="00EA00B0" w:rsidP="00E44E8A">
            <w:pPr>
              <w:spacing w:line="240" w:lineRule="auto"/>
            </w:pPr>
            <w:r w:rsidRPr="00734A50">
              <w:t>Transition: This category refers to the employment outcomes of recent graduates and early career teachers</w:t>
            </w:r>
          </w:p>
        </w:tc>
      </w:tr>
      <w:tr w:rsidR="00EA00B0" w:rsidRPr="00734A50" w14:paraId="58D75948" w14:textId="77777777" w:rsidTr="6DDCDED7">
        <w:tc>
          <w:tcPr>
            <w:cnfStyle w:val="001000000000" w:firstRow="0" w:lastRow="0" w:firstColumn="1" w:lastColumn="0" w:oddVBand="0" w:evenVBand="0" w:oddHBand="0" w:evenHBand="0" w:firstRowFirstColumn="0" w:firstRowLastColumn="0" w:lastRowFirstColumn="0" w:lastRowLastColumn="0"/>
            <w:tcW w:w="562" w:type="dxa"/>
            <w:shd w:val="clear" w:color="auto" w:fill="FEF5DC" w:themeFill="accent2" w:themeFillTint="33"/>
          </w:tcPr>
          <w:p w14:paraId="4CF8F45B" w14:textId="77777777" w:rsidR="00EA00B0" w:rsidRPr="00734A50" w:rsidRDefault="00EA00B0" w:rsidP="00E44E8A">
            <w:pPr>
              <w:spacing w:line="240" w:lineRule="auto"/>
              <w:rPr>
                <w:iCs/>
              </w:rPr>
            </w:pPr>
            <w:r w:rsidRPr="00734A50">
              <w:rPr>
                <w:iCs/>
              </w:rPr>
              <w:t>11</w:t>
            </w:r>
          </w:p>
        </w:tc>
        <w:tc>
          <w:tcPr>
            <w:tcW w:w="2694" w:type="dxa"/>
            <w:shd w:val="clear" w:color="auto" w:fill="FEF5DC" w:themeFill="accent2" w:themeFillTint="33"/>
          </w:tcPr>
          <w:p w14:paraId="05C33595"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Graduate employment outcomes</w:t>
            </w:r>
          </w:p>
        </w:tc>
        <w:tc>
          <w:tcPr>
            <w:tcW w:w="5811" w:type="dxa"/>
            <w:shd w:val="clear" w:color="auto" w:fill="FEF5DC" w:themeFill="accent2" w:themeFillTint="33"/>
          </w:tcPr>
          <w:p w14:paraId="2CEB4589"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Proportion of teaching graduates employed upon graduation</w:t>
            </w:r>
          </w:p>
        </w:tc>
      </w:tr>
      <w:tr w:rsidR="00EA00B0" w:rsidRPr="00734A50" w14:paraId="58794956" w14:textId="77777777" w:rsidTr="6DDCDED7">
        <w:tc>
          <w:tcPr>
            <w:cnfStyle w:val="001000000000" w:firstRow="0" w:lastRow="0" w:firstColumn="1" w:lastColumn="0" w:oddVBand="0" w:evenVBand="0" w:oddHBand="0" w:evenHBand="0" w:firstRowFirstColumn="0" w:firstRowLastColumn="0" w:lastRowFirstColumn="0" w:lastRowLastColumn="0"/>
            <w:tcW w:w="562" w:type="dxa"/>
          </w:tcPr>
          <w:p w14:paraId="5889080E" w14:textId="77777777" w:rsidR="00EA00B0" w:rsidRPr="00734A50" w:rsidRDefault="00EA00B0" w:rsidP="00E44E8A">
            <w:pPr>
              <w:spacing w:line="240" w:lineRule="auto"/>
              <w:rPr>
                <w:iCs/>
              </w:rPr>
            </w:pPr>
            <w:r w:rsidRPr="00734A50">
              <w:rPr>
                <w:iCs/>
              </w:rPr>
              <w:t>12</w:t>
            </w:r>
          </w:p>
        </w:tc>
        <w:tc>
          <w:tcPr>
            <w:tcW w:w="2694" w:type="dxa"/>
          </w:tcPr>
          <w:p w14:paraId="1C06E651"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Sustainability of employment</w:t>
            </w:r>
          </w:p>
        </w:tc>
        <w:tc>
          <w:tcPr>
            <w:tcW w:w="5811" w:type="dxa"/>
          </w:tcPr>
          <w:p w14:paraId="4FBE741D" w14:textId="7EDA293C"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 xml:space="preserve">Proportion of graduates registered and employed at the end of the </w:t>
            </w:r>
            <w:r w:rsidR="000619D0" w:rsidRPr="00734A50">
              <w:t>second</w:t>
            </w:r>
            <w:r w:rsidR="0052040D" w:rsidRPr="00734A50">
              <w:t xml:space="preserve"> </w:t>
            </w:r>
            <w:r w:rsidR="000619D0" w:rsidRPr="00734A50">
              <w:t>year</w:t>
            </w:r>
            <w:r w:rsidRPr="00734A50">
              <w:t xml:space="preserve"> post graduation</w:t>
            </w:r>
          </w:p>
        </w:tc>
      </w:tr>
      <w:tr w:rsidR="00EA00B0" w:rsidRPr="00734A50" w14:paraId="27D210DF" w14:textId="77777777" w:rsidTr="6DDCDED7">
        <w:tc>
          <w:tcPr>
            <w:cnfStyle w:val="001000000000" w:firstRow="0" w:lastRow="0" w:firstColumn="1" w:lastColumn="0" w:oddVBand="0" w:evenVBand="0" w:oddHBand="0" w:evenHBand="0" w:firstRowFirstColumn="0" w:firstRowLastColumn="0" w:lastRowFirstColumn="0" w:lastRowLastColumn="0"/>
            <w:tcW w:w="562" w:type="dxa"/>
            <w:shd w:val="clear" w:color="auto" w:fill="FEF5DC" w:themeFill="accent2" w:themeFillTint="33"/>
          </w:tcPr>
          <w:p w14:paraId="3FFF490D" w14:textId="77777777" w:rsidR="00EA00B0" w:rsidRPr="00734A50" w:rsidRDefault="00EA00B0" w:rsidP="00E44E8A">
            <w:pPr>
              <w:spacing w:line="240" w:lineRule="auto"/>
              <w:rPr>
                <w:iCs/>
              </w:rPr>
            </w:pPr>
            <w:r w:rsidRPr="00734A50">
              <w:rPr>
                <w:iCs/>
              </w:rPr>
              <w:t>13</w:t>
            </w:r>
          </w:p>
        </w:tc>
        <w:tc>
          <w:tcPr>
            <w:tcW w:w="2694" w:type="dxa"/>
            <w:shd w:val="clear" w:color="auto" w:fill="FEF5DC" w:themeFill="accent2" w:themeFillTint="33"/>
          </w:tcPr>
          <w:p w14:paraId="3FA24546" w14:textId="77777777"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Employment in areas of highest workforce need</w:t>
            </w:r>
          </w:p>
        </w:tc>
        <w:tc>
          <w:tcPr>
            <w:tcW w:w="5811" w:type="dxa"/>
            <w:shd w:val="clear" w:color="auto" w:fill="FEF5DC" w:themeFill="accent2" w:themeFillTint="33"/>
          </w:tcPr>
          <w:p w14:paraId="4F486831" w14:textId="0D513D4D" w:rsidR="00EA00B0" w:rsidRPr="00734A50" w:rsidRDefault="00EA00B0" w:rsidP="00E44E8A">
            <w:pPr>
              <w:spacing w:line="240" w:lineRule="auto"/>
              <w:cnfStyle w:val="000000000000" w:firstRow="0" w:lastRow="0" w:firstColumn="0" w:lastColumn="0" w:oddVBand="0" w:evenVBand="0" w:oddHBand="0" w:evenHBand="0" w:firstRowFirstColumn="0" w:firstRowLastColumn="0" w:lastRowFirstColumn="0" w:lastRowLastColumn="0"/>
            </w:pPr>
            <w:r w:rsidRPr="00734A50">
              <w:t>Proportion of graduates employed in regional and remote</w:t>
            </w:r>
            <w:r w:rsidR="0052040D" w:rsidRPr="00734A50">
              <w:t xml:space="preserve"> areas</w:t>
            </w:r>
            <w:r w:rsidRPr="00734A50">
              <w:t xml:space="preserve">, </w:t>
            </w:r>
            <w:r w:rsidR="0052040D" w:rsidRPr="00734A50">
              <w:t xml:space="preserve">in </w:t>
            </w:r>
            <w:r w:rsidRPr="00734A50">
              <w:t>low SES locations or in STEM subjects</w:t>
            </w:r>
          </w:p>
        </w:tc>
      </w:tr>
    </w:tbl>
    <w:p w14:paraId="40DDF229" w14:textId="7A101AD5" w:rsidR="00EA00B0" w:rsidRPr="00734A50" w:rsidRDefault="00B233CC" w:rsidP="002C1A0E">
      <w:pPr>
        <w:spacing w:before="200"/>
      </w:pPr>
      <w:r w:rsidRPr="00734A50">
        <w:lastRenderedPageBreak/>
        <w:t>In response to the Discu</w:t>
      </w:r>
      <w:r w:rsidR="00864662" w:rsidRPr="00734A50">
        <w:t>ssion Paper</w:t>
      </w:r>
      <w:r w:rsidR="003B63DC" w:rsidRPr="00734A50">
        <w:t>, t</w:t>
      </w:r>
      <w:r w:rsidR="00EA00B0" w:rsidRPr="00734A50">
        <w:t xml:space="preserve">here was widespread support among stakeholders for encouraging more diverse cohorts </w:t>
      </w:r>
      <w:r w:rsidR="00FD3F6A" w:rsidRPr="00734A50">
        <w:t>into ITE</w:t>
      </w:r>
      <w:r w:rsidR="00EA00B0" w:rsidRPr="00734A50">
        <w:t xml:space="preserve"> (Swinburne University of Technology submission; University of Canberra submission; Australian Primary Principals Association</w:t>
      </w:r>
      <w:r w:rsidR="00961ACB" w:rsidRPr="00734A50">
        <w:t xml:space="preserve"> submission</w:t>
      </w:r>
      <w:r w:rsidR="00EA00B0" w:rsidRPr="00734A50">
        <w:t xml:space="preserve">). Several stakeholders (La Trobe University submission, </w:t>
      </w:r>
      <w:r w:rsidR="00E50FE6" w:rsidRPr="00734A50">
        <w:t>ATRA</w:t>
      </w:r>
      <w:r w:rsidR="00EA00B0" w:rsidRPr="00734A50">
        <w:t xml:space="preserve"> submission, </w:t>
      </w:r>
      <w:r w:rsidR="00E50FE6" w:rsidRPr="00734A50">
        <w:t>ACDE</w:t>
      </w:r>
      <w:r w:rsidR="00EA00B0" w:rsidRPr="00734A50">
        <w:t xml:space="preserve"> submission) recommended an additional indicator to capture the cultural and linguistic diversity of ITE students. The Panel </w:t>
      </w:r>
      <w:r w:rsidR="0052040D" w:rsidRPr="00734A50">
        <w:t xml:space="preserve">therefore </w:t>
      </w:r>
      <w:r w:rsidR="00EA00B0" w:rsidRPr="00734A50">
        <w:t>proposes to include an additional indicator that captures the participation of non-English</w:t>
      </w:r>
      <w:r w:rsidR="0071467D">
        <w:t>-</w:t>
      </w:r>
      <w:r w:rsidR="00EA00B0" w:rsidRPr="00734A50">
        <w:t xml:space="preserve">speaking background students. </w:t>
      </w:r>
    </w:p>
    <w:p w14:paraId="1D9FDCBF" w14:textId="6BA9D63D" w:rsidR="00EA00B0" w:rsidRPr="00734A50" w:rsidRDefault="00EA00B0" w:rsidP="002C1A0E">
      <w:pPr>
        <w:spacing w:before="200"/>
      </w:pPr>
      <w:r w:rsidRPr="00734A50">
        <w:t xml:space="preserve">Other feedback included concerns about the inclusion of ATAR </w:t>
      </w:r>
      <w:r w:rsidR="002C3BFA" w:rsidRPr="00734A50">
        <w:t>as an indicator</w:t>
      </w:r>
      <w:r w:rsidRPr="00734A50">
        <w:t xml:space="preserve"> (University of Technology Sydney submission; Melbourne Graduate School of Education, University of Melbourne submission</w:t>
      </w:r>
      <w:r w:rsidR="0052040D" w:rsidRPr="00734A50">
        <w:t>;</w:t>
      </w:r>
      <w:r w:rsidRPr="00734A50">
        <w:t xml:space="preserve"> Flinders University submission). The Panel recognises that </w:t>
      </w:r>
      <w:r w:rsidR="28E68797" w:rsidRPr="00734A50">
        <w:t>prior academic achievement of students is important</w:t>
      </w:r>
      <w:r w:rsidR="006642D2" w:rsidRPr="00734A50">
        <w:t>,</w:t>
      </w:r>
      <w:r w:rsidR="28E68797" w:rsidRPr="00734A50">
        <w:t xml:space="preserve"> </w:t>
      </w:r>
      <w:r w:rsidR="00585EAE" w:rsidRPr="00734A50">
        <w:t>with</w:t>
      </w:r>
      <w:r w:rsidR="359E4AE7" w:rsidRPr="00734A50">
        <w:t xml:space="preserve"> </w:t>
      </w:r>
      <w:r w:rsidRPr="00734A50">
        <w:t xml:space="preserve">ATAR </w:t>
      </w:r>
      <w:r w:rsidR="09188C52" w:rsidRPr="00734A50">
        <w:t>an</w:t>
      </w:r>
      <w:r w:rsidR="227FF133" w:rsidRPr="00734A50">
        <w:t xml:space="preserve"> </w:t>
      </w:r>
      <w:r w:rsidR="66F80D25" w:rsidRPr="00734A50">
        <w:t>important</w:t>
      </w:r>
      <w:r w:rsidRPr="00734A50">
        <w:t xml:space="preserve"> </w:t>
      </w:r>
      <w:r w:rsidR="095A2E13" w:rsidRPr="00734A50">
        <w:t xml:space="preserve">but </w:t>
      </w:r>
      <w:r w:rsidR="00007DE0" w:rsidRPr="00734A50">
        <w:t>incomplete</w:t>
      </w:r>
      <w:r w:rsidR="095A2E13" w:rsidRPr="00734A50">
        <w:t xml:space="preserve"> </w:t>
      </w:r>
      <w:r w:rsidRPr="00734A50">
        <w:t>indicator of the quality of students and their potential as teachers (</w:t>
      </w:r>
      <w:r w:rsidR="001332DA" w:rsidRPr="00734A50">
        <w:t>e.g.</w:t>
      </w:r>
      <w:r w:rsidRPr="00734A50">
        <w:t xml:space="preserve"> Hanushek, Piopiunik </w:t>
      </w:r>
      <w:r w:rsidR="0052040D" w:rsidRPr="00734A50">
        <w:t xml:space="preserve">&amp; </w:t>
      </w:r>
      <w:r w:rsidRPr="00734A50">
        <w:t xml:space="preserve">Wiederhold 2019; QITE Review 2022). </w:t>
      </w:r>
      <w:r w:rsidR="00125EF6" w:rsidRPr="00734A50">
        <w:t>Enrolling</w:t>
      </w:r>
      <w:r w:rsidRPr="00734A50">
        <w:t xml:space="preserve"> students with high ATAR scores does not discourage </w:t>
      </w:r>
      <w:r w:rsidR="005F6527" w:rsidRPr="00734A50">
        <w:t xml:space="preserve">higher education </w:t>
      </w:r>
      <w:r w:rsidRPr="00734A50">
        <w:t>providers from continuing to apply rigorous selection criteria across a range of academic and non-academic skills.</w:t>
      </w:r>
    </w:p>
    <w:p w14:paraId="18E45AAA" w14:textId="44C327D5" w:rsidR="00EA00B0" w:rsidRPr="00734A50" w:rsidRDefault="00EA00B0" w:rsidP="002C1A0E">
      <w:r w:rsidRPr="00734A50">
        <w:t>Other concerns were raised about the retention indicators penalising students studying part</w:t>
      </w:r>
      <w:r w:rsidR="0052040D" w:rsidRPr="00734A50">
        <w:t xml:space="preserve"> </w:t>
      </w:r>
      <w:r w:rsidRPr="00734A50">
        <w:t>time. However, attrition and dropout rates only include students who exit the program and do not include those who are still studying</w:t>
      </w:r>
      <w:r w:rsidR="00125EF6" w:rsidRPr="00734A50">
        <w:t xml:space="preserve"> (who </w:t>
      </w:r>
      <w:r w:rsidR="00F33216" w:rsidRPr="00734A50">
        <w:t>would</w:t>
      </w:r>
      <w:r w:rsidR="00125EF6" w:rsidRPr="00734A50">
        <w:t xml:space="preserve"> be classified as still enrolled).</w:t>
      </w:r>
    </w:p>
    <w:p w14:paraId="687EE144" w14:textId="56E25723" w:rsidR="0096608B" w:rsidRPr="00734A50" w:rsidRDefault="0096608B" w:rsidP="002C1A0E">
      <w:pPr>
        <w:spacing w:before="200"/>
      </w:pPr>
      <w:r w:rsidRPr="00734A50">
        <w:t>The indicators</w:t>
      </w:r>
      <w:r w:rsidR="00125EF6" w:rsidRPr="00734A50">
        <w:t xml:space="preserve"> are not targets or requirements (unlike </w:t>
      </w:r>
      <w:r w:rsidRPr="00734A50">
        <w:t>elements specified in the Accreditation Standards</w:t>
      </w:r>
      <w:r w:rsidR="00294C42" w:rsidRPr="00734A50">
        <w:t>).</w:t>
      </w:r>
      <w:r w:rsidRPr="00734A50">
        <w:t xml:space="preserve"> Rather, they </w:t>
      </w:r>
      <w:r w:rsidR="00294C42" w:rsidRPr="00734A50">
        <w:t xml:space="preserve">assess and measure improvements in the profile of ITE students, their progression and outcomes from their </w:t>
      </w:r>
      <w:r w:rsidR="00B21E18" w:rsidRPr="00734A50">
        <w:t>programs</w:t>
      </w:r>
      <w:r w:rsidRPr="00734A50">
        <w:t xml:space="preserve">. </w:t>
      </w:r>
    </w:p>
    <w:p w14:paraId="6694D075" w14:textId="62AF98EF" w:rsidR="0096608B" w:rsidRPr="00734A50" w:rsidRDefault="0096608B" w:rsidP="002C1A0E">
      <w:pPr>
        <w:spacing w:before="200"/>
      </w:pPr>
      <w:r w:rsidRPr="00734A50">
        <w:t xml:space="preserve">The indicators also do not prescribe </w:t>
      </w:r>
      <w:r w:rsidRPr="00734A50">
        <w:rPr>
          <w:i/>
        </w:rPr>
        <w:t>how</w:t>
      </w:r>
      <w:r w:rsidRPr="00734A50">
        <w:t xml:space="preserve"> a higher education provider could improve. Stakeholders expressed a desire for ITE providers to remain flexible and to retain the ability to cater </w:t>
      </w:r>
      <w:r w:rsidR="0052040D" w:rsidRPr="00734A50">
        <w:t xml:space="preserve">to </w:t>
      </w:r>
      <w:r w:rsidRPr="00734A50">
        <w:t xml:space="preserve">their unique environments and cohorts (Australian Special Education Principals Association submission; Alphacrucis University College submission). Some stakeholders were concerned that standardised performance measures would lead to standardising ITE programs (La Trobe University submission; School of Education and Professional Studies, Griffith University submission). The Panel believes that diverse and specialised programs should still </w:t>
      </w:r>
      <w:r w:rsidR="00CA3297" w:rsidRPr="00734A50">
        <w:t>improve against</w:t>
      </w:r>
      <w:r w:rsidRPr="00734A50">
        <w:t xml:space="preserve"> these indicators.</w:t>
      </w:r>
    </w:p>
    <w:p w14:paraId="0B76E5FB" w14:textId="0246218C" w:rsidR="00EA00B0" w:rsidRPr="00734A50" w:rsidRDefault="00EA00B0" w:rsidP="00E73BBF">
      <w:pPr>
        <w:pStyle w:val="Heading3"/>
      </w:pPr>
      <w:bookmarkStart w:id="72" w:name="_Toc139366643"/>
      <w:r w:rsidRPr="00734A50">
        <w:t>2.</w:t>
      </w:r>
      <w:r w:rsidR="4142FA12" w:rsidRPr="00734A50">
        <w:t>3</w:t>
      </w:r>
      <w:r w:rsidRPr="00734A50">
        <w:t xml:space="preserve"> Future development of the </w:t>
      </w:r>
      <w:r w:rsidR="773A8ECA" w:rsidRPr="00734A50">
        <w:t>indicators</w:t>
      </w:r>
      <w:bookmarkEnd w:id="72"/>
    </w:p>
    <w:p w14:paraId="755E8640" w14:textId="7F66C249" w:rsidR="00294C42" w:rsidRPr="00734A50" w:rsidRDefault="00294C42" w:rsidP="00294C42">
      <w:r w:rsidRPr="00734A50">
        <w:t xml:space="preserve">The chosen indicators </w:t>
      </w:r>
      <w:r w:rsidR="00282228" w:rsidRPr="00734A50">
        <w:t xml:space="preserve">would </w:t>
      </w:r>
      <w:r w:rsidR="00F717CD" w:rsidRPr="00734A50">
        <w:t>provide</w:t>
      </w:r>
      <w:r w:rsidRPr="00734A50">
        <w:t xml:space="preserve"> </w:t>
      </w:r>
      <w:r w:rsidR="00E86EA5" w:rsidRPr="00734A50">
        <w:t>greater</w:t>
      </w:r>
      <w:r w:rsidRPr="00734A50">
        <w:t xml:space="preserve"> </w:t>
      </w:r>
      <w:r w:rsidR="007221C8" w:rsidRPr="00734A50">
        <w:t xml:space="preserve">consistency and </w:t>
      </w:r>
      <w:r w:rsidRPr="00734A50">
        <w:t>transparency of ITE programs. The indicators are also a first step in understanding the quality of ITE programs</w:t>
      </w:r>
      <w:r w:rsidR="0052040D" w:rsidRPr="00734A50">
        <w:t>,</w:t>
      </w:r>
      <w:r w:rsidRPr="00734A50">
        <w:t xml:space="preserve"> but other indicators are needed to measure quality reliably. The proposed </w:t>
      </w:r>
      <w:r w:rsidR="00ED087E" w:rsidRPr="00734A50">
        <w:t>ITE quality assurance</w:t>
      </w:r>
      <w:r w:rsidR="006A67E2" w:rsidRPr="00734A50">
        <w:t xml:space="preserve"> board </w:t>
      </w:r>
      <w:r w:rsidRPr="00734A50">
        <w:t xml:space="preserve">discussed in Chapter 1 (Recommendation 3) should have responsibility for developing future indicators. </w:t>
      </w:r>
      <w:r w:rsidR="006A67E2" w:rsidRPr="00734A50">
        <w:t xml:space="preserve">It would have </w:t>
      </w:r>
      <w:r w:rsidR="00C81AAD" w:rsidRPr="00734A50">
        <w:rPr>
          <w:rFonts w:ascii="Calibri" w:eastAsia="Calibri" w:hAnsi="Calibri" w:cs="Calibri"/>
        </w:rPr>
        <w:t xml:space="preserve">responsibility for commissioning research to develop better measures that track the pathway or life cycle of a </w:t>
      </w:r>
      <w:r w:rsidR="0055484D" w:rsidRPr="00734A50">
        <w:rPr>
          <w:rFonts w:ascii="Calibri" w:eastAsia="Calibri" w:hAnsi="Calibri" w:cs="Calibri"/>
        </w:rPr>
        <w:t>beginning</w:t>
      </w:r>
      <w:r w:rsidR="00C81AAD" w:rsidRPr="00734A50">
        <w:rPr>
          <w:rFonts w:ascii="Calibri" w:eastAsia="Calibri" w:hAnsi="Calibri" w:cs="Calibri"/>
        </w:rPr>
        <w:t xml:space="preserve"> teacher, their experiences in ITE and</w:t>
      </w:r>
      <w:r w:rsidR="0052040D" w:rsidRPr="00734A50">
        <w:rPr>
          <w:rFonts w:ascii="Calibri" w:eastAsia="Calibri" w:hAnsi="Calibri" w:cs="Calibri"/>
        </w:rPr>
        <w:t xml:space="preserve"> the</w:t>
      </w:r>
      <w:r w:rsidR="00C81AAD" w:rsidRPr="00734A50">
        <w:rPr>
          <w:rFonts w:ascii="Calibri" w:eastAsia="Calibri" w:hAnsi="Calibri" w:cs="Calibri"/>
        </w:rPr>
        <w:t xml:space="preserve"> knowledge they acquire</w:t>
      </w:r>
      <w:r w:rsidR="0052040D" w:rsidRPr="00734A50">
        <w:rPr>
          <w:rFonts w:ascii="Calibri" w:eastAsia="Calibri" w:hAnsi="Calibri" w:cs="Calibri"/>
        </w:rPr>
        <w:t>,</w:t>
      </w:r>
      <w:r w:rsidR="00C81AAD" w:rsidRPr="00734A50">
        <w:rPr>
          <w:rFonts w:ascii="Calibri" w:eastAsia="Calibri" w:hAnsi="Calibri" w:cs="Calibri"/>
        </w:rPr>
        <w:t xml:space="preserve"> through to their practice as a teacher and </w:t>
      </w:r>
      <w:r w:rsidR="0052040D" w:rsidRPr="00734A50">
        <w:rPr>
          <w:rFonts w:ascii="Calibri" w:eastAsia="Calibri" w:hAnsi="Calibri" w:cs="Calibri"/>
        </w:rPr>
        <w:t xml:space="preserve">their </w:t>
      </w:r>
      <w:r w:rsidR="00C81AAD" w:rsidRPr="00734A50">
        <w:rPr>
          <w:rFonts w:ascii="Calibri" w:eastAsia="Calibri" w:hAnsi="Calibri" w:cs="Calibri"/>
        </w:rPr>
        <w:t>longevity in the profession.</w:t>
      </w:r>
    </w:p>
    <w:p w14:paraId="6B6186D4" w14:textId="797E4482" w:rsidR="00EA00B0" w:rsidRPr="00734A50" w:rsidRDefault="00EA00B0" w:rsidP="00EA00B0">
      <w:r w:rsidRPr="00734A50">
        <w:t xml:space="preserve">The </w:t>
      </w:r>
      <w:r w:rsidR="00294C42" w:rsidRPr="00734A50">
        <w:t xml:space="preserve">current </w:t>
      </w:r>
      <w:r w:rsidR="7620D39B" w:rsidRPr="00734A50">
        <w:t>indicators</w:t>
      </w:r>
      <w:r w:rsidRPr="00734A50">
        <w:t xml:space="preserve"> </w:t>
      </w:r>
      <w:r w:rsidR="00C638B9" w:rsidRPr="00734A50">
        <w:t>l</w:t>
      </w:r>
      <w:r w:rsidR="005D1BCC" w:rsidRPr="00734A50">
        <w:t>everage</w:t>
      </w:r>
      <w:r w:rsidR="00C638B9" w:rsidRPr="00734A50">
        <w:t xml:space="preserve"> </w:t>
      </w:r>
      <w:r w:rsidRPr="00734A50">
        <w:t>available data</w:t>
      </w:r>
      <w:r w:rsidR="00C638B9" w:rsidRPr="00734A50">
        <w:t xml:space="preserve"> </w:t>
      </w:r>
      <w:r w:rsidR="00294C42" w:rsidRPr="00734A50">
        <w:t>(</w:t>
      </w:r>
      <w:r w:rsidR="00C638B9" w:rsidRPr="00734A50">
        <w:t xml:space="preserve">collected through the </w:t>
      </w:r>
      <w:r w:rsidR="00B81933" w:rsidRPr="00734A50">
        <w:t>ATWD</w:t>
      </w:r>
      <w:r w:rsidR="004E210A" w:rsidRPr="00734A50">
        <w:t xml:space="preserve"> collection</w:t>
      </w:r>
      <w:r w:rsidR="00C638B9" w:rsidRPr="00734A50">
        <w:t xml:space="preserve"> and actions being progressed under the National Teacher Workforce Action Plan</w:t>
      </w:r>
      <w:r w:rsidR="003F16C3" w:rsidRPr="00734A50">
        <w:t xml:space="preserve"> (NTWAP)</w:t>
      </w:r>
      <w:r w:rsidR="00294C42" w:rsidRPr="00734A50">
        <w:t>)</w:t>
      </w:r>
      <w:r w:rsidR="00533052" w:rsidRPr="00734A50">
        <w:t xml:space="preserve"> and </w:t>
      </w:r>
      <w:r w:rsidRPr="00734A50">
        <w:t xml:space="preserve">complement the Accreditation Standards and Procedures. </w:t>
      </w:r>
      <w:r w:rsidR="00294C42" w:rsidRPr="00734A50">
        <w:t xml:space="preserve">The </w:t>
      </w:r>
      <w:r w:rsidR="0039624D" w:rsidRPr="00734A50">
        <w:t>ITE</w:t>
      </w:r>
      <w:r w:rsidR="00294C42" w:rsidRPr="00734A50">
        <w:t xml:space="preserve"> </w:t>
      </w:r>
      <w:r w:rsidR="00ED087E" w:rsidRPr="00734A50">
        <w:t>quality assurance</w:t>
      </w:r>
      <w:r w:rsidR="00294C42" w:rsidRPr="00734A50">
        <w:t xml:space="preserve"> </w:t>
      </w:r>
      <w:r w:rsidR="00CC6F6B" w:rsidRPr="00734A50">
        <w:t>board</w:t>
      </w:r>
      <w:r w:rsidR="00294C42" w:rsidRPr="00734A50">
        <w:t xml:space="preserve"> would review and</w:t>
      </w:r>
      <w:r w:rsidRPr="00734A50">
        <w:t xml:space="preserve"> revise these </w:t>
      </w:r>
      <w:r w:rsidR="0BE147A5" w:rsidRPr="00734A50">
        <w:t>indicators</w:t>
      </w:r>
      <w:r w:rsidRPr="00734A50">
        <w:t xml:space="preserve"> periodically (</w:t>
      </w:r>
      <w:r w:rsidR="001332DA" w:rsidRPr="00734A50">
        <w:t>e.g.</w:t>
      </w:r>
      <w:r w:rsidRPr="00734A50">
        <w:t xml:space="preserve"> every three years) </w:t>
      </w:r>
      <w:r w:rsidR="00294C42" w:rsidRPr="00734A50">
        <w:t>to respond to new research, improvements in</w:t>
      </w:r>
      <w:r w:rsidRPr="00734A50">
        <w:t xml:space="preserve"> data collection</w:t>
      </w:r>
      <w:r w:rsidR="0052040D" w:rsidRPr="00734A50">
        <w:t>,</w:t>
      </w:r>
      <w:r w:rsidRPr="00734A50">
        <w:t xml:space="preserve"> and accreditation requirements </w:t>
      </w:r>
      <w:r w:rsidR="00294C42" w:rsidRPr="00734A50">
        <w:t>(</w:t>
      </w:r>
      <w:r w:rsidRPr="00734A50">
        <w:t>including the Panel’s core content requirements</w:t>
      </w:r>
      <w:r w:rsidR="00294C42" w:rsidRPr="00734A50">
        <w:t>)</w:t>
      </w:r>
      <w:r w:rsidRPr="00734A50">
        <w:t xml:space="preserve">. </w:t>
      </w:r>
    </w:p>
    <w:p w14:paraId="68856852" w14:textId="6DF1E525" w:rsidR="00294C42" w:rsidRPr="00734A50" w:rsidRDefault="00076401" w:rsidP="00A70E7B">
      <w:pPr>
        <w:pStyle w:val="Heading4"/>
      </w:pPr>
      <w:r w:rsidRPr="00734A50">
        <w:lastRenderedPageBreak/>
        <w:t xml:space="preserve">2.3.1 </w:t>
      </w:r>
      <w:r w:rsidR="00294C42" w:rsidRPr="00734A50">
        <w:t>Readiness to begin teaching</w:t>
      </w:r>
    </w:p>
    <w:p w14:paraId="177E5925" w14:textId="13165081" w:rsidR="00EA00B0" w:rsidRPr="00734A50" w:rsidRDefault="00EA00B0" w:rsidP="00EA00B0">
      <w:r w:rsidRPr="00734A50">
        <w:t xml:space="preserve">Many stakeholders suggested </w:t>
      </w:r>
      <w:r w:rsidR="00B721B6" w:rsidRPr="00734A50">
        <w:t xml:space="preserve">that </w:t>
      </w:r>
      <w:r w:rsidRPr="00734A50">
        <w:t>TPAs be used as a better measure</w:t>
      </w:r>
      <w:r w:rsidR="0052040D" w:rsidRPr="00734A50">
        <w:t xml:space="preserve"> than survey measures</w:t>
      </w:r>
      <w:r w:rsidRPr="00734A50">
        <w:t xml:space="preserve"> of </w:t>
      </w:r>
      <w:r w:rsidR="3D859B6A" w:rsidRPr="00734A50">
        <w:t xml:space="preserve">how well </w:t>
      </w:r>
      <w:r w:rsidR="7F58D5F8" w:rsidRPr="00734A50">
        <w:t>prepared</w:t>
      </w:r>
      <w:r w:rsidR="577253A3" w:rsidRPr="00734A50">
        <w:t xml:space="preserve"> </w:t>
      </w:r>
      <w:r w:rsidR="3D859B6A" w:rsidRPr="00734A50">
        <w:t>a graduate teacher is to begin teaching</w:t>
      </w:r>
      <w:r w:rsidRPr="00734A50">
        <w:t xml:space="preserve"> (NSW Council of Deans of Education submission; University of the Sunshine Coast submission; University of Sydney School of Education and Social Work submission; Edith Cowan University submission).</w:t>
      </w:r>
    </w:p>
    <w:p w14:paraId="2AE19498" w14:textId="756C2EB8" w:rsidR="00294C42" w:rsidRPr="00734A50" w:rsidRDefault="00294C42" w:rsidP="006401D3">
      <w:r w:rsidRPr="00734A50">
        <w:t>One key challenge with including TPAs as a measure of the readiness to begin teaching is the absence of national moderation or benchmarking of the different TPAs used by higher education providers (</w:t>
      </w:r>
      <w:r w:rsidR="0052040D" w:rsidRPr="00734A50">
        <w:t xml:space="preserve">AITSL </w:t>
      </w:r>
      <w:r w:rsidRPr="00734A50">
        <w:t xml:space="preserve">submission). Once national moderation is in place (see Chapter 1), the </w:t>
      </w:r>
      <w:r w:rsidR="0039624D" w:rsidRPr="00734A50">
        <w:t xml:space="preserve">ITE </w:t>
      </w:r>
      <w:r w:rsidR="00ED087E" w:rsidRPr="00734A50">
        <w:t>quality assurance</w:t>
      </w:r>
      <w:r w:rsidR="00D7024F" w:rsidRPr="00734A50">
        <w:t xml:space="preserve"> </w:t>
      </w:r>
      <w:r w:rsidR="00391227" w:rsidRPr="00734A50">
        <w:t>board</w:t>
      </w:r>
      <w:r w:rsidR="00D7024F" w:rsidRPr="00734A50">
        <w:t xml:space="preserve"> </w:t>
      </w:r>
      <w:r w:rsidRPr="00734A50">
        <w:t>could consider including TPAs as a measure of preparedness for beginning teachers.</w:t>
      </w:r>
    </w:p>
    <w:p w14:paraId="652EAA18" w14:textId="08C6F04A" w:rsidR="00EA00B0" w:rsidRPr="00734A50" w:rsidRDefault="003D7124" w:rsidP="00EA00B0">
      <w:r w:rsidRPr="00734A50">
        <w:t>Some stakeholders</w:t>
      </w:r>
      <w:r w:rsidR="00EA00B0" w:rsidRPr="00734A50">
        <w:t xml:space="preserve"> also suggest</w:t>
      </w:r>
      <w:r w:rsidRPr="00734A50">
        <w:t>ed using</w:t>
      </w:r>
      <w:r w:rsidR="00EA00B0" w:rsidRPr="00734A50">
        <w:t xml:space="preserve"> principal employer surveys. These stakeholders often pointed to the Western Australian Principal Perceptions of First Year Graduates Survey and recommended scaling this up to a national level (University of Newcastle, School of Education submission</w:t>
      </w:r>
      <w:r w:rsidR="00FA2A6C" w:rsidRPr="00734A50">
        <w:t>;</w:t>
      </w:r>
      <w:r w:rsidR="00EA00B0" w:rsidRPr="00734A50">
        <w:t xml:space="preserve"> Charles Sturt University submission</w:t>
      </w:r>
      <w:r w:rsidR="00FA2A6C" w:rsidRPr="00734A50">
        <w:t>;</w:t>
      </w:r>
      <w:r w:rsidR="00EA00B0" w:rsidRPr="00734A50">
        <w:t xml:space="preserve"> Network of Associate Deans </w:t>
      </w:r>
      <w:r w:rsidR="00206319" w:rsidRPr="00734A50">
        <w:t xml:space="preserve">of </w:t>
      </w:r>
      <w:r w:rsidR="00EA00B0" w:rsidRPr="00734A50">
        <w:t>Learning and Teaching in</w:t>
      </w:r>
      <w:r w:rsidR="00206319" w:rsidRPr="00734A50">
        <w:t xml:space="preserve"> the Discipline of</w:t>
      </w:r>
      <w:r w:rsidR="00EA00B0" w:rsidRPr="00734A50">
        <w:t xml:space="preserve"> Education submission). </w:t>
      </w:r>
    </w:p>
    <w:p w14:paraId="1DB7A3C7" w14:textId="76A05762" w:rsidR="00EA00B0" w:rsidRPr="00734A50" w:rsidRDefault="00D90B1B" w:rsidP="00A70E7B">
      <w:pPr>
        <w:pStyle w:val="Heading4"/>
      </w:pPr>
      <w:r w:rsidRPr="00734A50">
        <w:t xml:space="preserve">2.3.2 </w:t>
      </w:r>
      <w:r w:rsidR="00EA00B0" w:rsidRPr="00734A50">
        <w:t>Transition</w:t>
      </w:r>
    </w:p>
    <w:p w14:paraId="2912D5F2" w14:textId="2A539E0C" w:rsidR="00EA00B0" w:rsidRPr="00734A50" w:rsidRDefault="00EA00B0" w:rsidP="00EA00B0">
      <w:pPr>
        <w:spacing w:after="0"/>
      </w:pPr>
      <w:r w:rsidRPr="00734A50">
        <w:t xml:space="preserve">The final two </w:t>
      </w:r>
      <w:r w:rsidR="30DE661F" w:rsidRPr="00734A50">
        <w:t>indicators</w:t>
      </w:r>
      <w:r w:rsidR="00754949" w:rsidRPr="00734A50">
        <w:rPr>
          <w:rFonts w:cstheme="minorHAnsi"/>
        </w:rPr>
        <w:t xml:space="preserve"> – </w:t>
      </w:r>
      <w:r w:rsidRPr="00734A50">
        <w:t>sustainability of employment</w:t>
      </w:r>
      <w:r w:rsidR="584975AE" w:rsidRPr="00734A50">
        <w:t>,</w:t>
      </w:r>
      <w:r w:rsidRPr="00734A50">
        <w:t xml:space="preserve"> and employment in areas of highest workforce need</w:t>
      </w:r>
      <w:r w:rsidR="00754949" w:rsidRPr="00734A50">
        <w:rPr>
          <w:rFonts w:cstheme="minorHAnsi"/>
        </w:rPr>
        <w:t xml:space="preserve"> – </w:t>
      </w:r>
      <w:r w:rsidR="2AA10A41" w:rsidRPr="00734A50">
        <w:t>would</w:t>
      </w:r>
      <w:r w:rsidR="39E1EACB" w:rsidRPr="00734A50">
        <w:t xml:space="preserve"> </w:t>
      </w:r>
      <w:r w:rsidRPr="00734A50">
        <w:t xml:space="preserve">be updated as additional data becomes available. </w:t>
      </w:r>
    </w:p>
    <w:p w14:paraId="52A677C9" w14:textId="59BFA589" w:rsidR="00EA00B0" w:rsidRPr="00734A50" w:rsidRDefault="00EA00B0" w:rsidP="00553516">
      <w:pPr>
        <w:pStyle w:val="ListBullet"/>
        <w:numPr>
          <w:ilvl w:val="0"/>
          <w:numId w:val="216"/>
        </w:numPr>
        <w:spacing w:after="200"/>
        <w:ind w:left="357" w:hanging="357"/>
      </w:pPr>
      <w:r w:rsidRPr="00734A50">
        <w:t>Data on longer</w:t>
      </w:r>
      <w:r w:rsidR="00754949" w:rsidRPr="00734A50">
        <w:t xml:space="preserve"> </w:t>
      </w:r>
      <w:r w:rsidRPr="00734A50">
        <w:t xml:space="preserve">term employment outcomes can be assessed as the ATWD collection matures. </w:t>
      </w:r>
    </w:p>
    <w:p w14:paraId="574E2FD0" w14:textId="30932007" w:rsidR="00EA00B0" w:rsidRPr="00734A50" w:rsidRDefault="00EA00B0" w:rsidP="00553516">
      <w:pPr>
        <w:pStyle w:val="ListBullet"/>
        <w:numPr>
          <w:ilvl w:val="0"/>
          <w:numId w:val="216"/>
        </w:numPr>
        <w:spacing w:after="200"/>
        <w:ind w:left="357" w:hanging="357"/>
      </w:pPr>
      <w:r w:rsidRPr="00734A50">
        <w:t xml:space="preserve">Data on employment in areas of highest workforce need can be assessed through the development of supply and demand projections in the ATWD (Actions 26 and 27 of the </w:t>
      </w:r>
      <w:r w:rsidR="0D1FBC95" w:rsidRPr="00734A50">
        <w:t>NTWAP</w:t>
      </w:r>
      <w:r w:rsidRPr="00734A50">
        <w:t>).</w:t>
      </w:r>
    </w:p>
    <w:p w14:paraId="6D8D1793" w14:textId="6A07D8BC" w:rsidR="00EA00B0" w:rsidRPr="00734A50" w:rsidRDefault="00EA00B0" w:rsidP="00E73BBF">
      <w:pPr>
        <w:pStyle w:val="Heading4"/>
      </w:pPr>
      <w:r w:rsidRPr="00734A50">
        <w:t>2.</w:t>
      </w:r>
      <w:r w:rsidR="274F7F64" w:rsidRPr="00734A50">
        <w:t>3</w:t>
      </w:r>
      <w:r w:rsidR="0B173EFF" w:rsidRPr="00734A50">
        <w:t>.</w:t>
      </w:r>
      <w:r w:rsidR="00D90B1B" w:rsidRPr="00734A50">
        <w:t>3</w:t>
      </w:r>
      <w:r w:rsidRPr="00734A50">
        <w:t xml:space="preserve"> </w:t>
      </w:r>
      <w:r w:rsidR="00D7024F" w:rsidRPr="00734A50">
        <w:t xml:space="preserve">Data for </w:t>
      </w:r>
      <w:r w:rsidR="00AF615C" w:rsidRPr="00734A50">
        <w:t xml:space="preserve">the </w:t>
      </w:r>
      <w:r w:rsidR="00AD1482" w:rsidRPr="00734A50">
        <w:t>indicators</w:t>
      </w:r>
    </w:p>
    <w:p w14:paraId="58CE5A83" w14:textId="15C54EA5" w:rsidR="00EA00B0" w:rsidRPr="00734A50" w:rsidRDefault="00EA00B0" w:rsidP="00EA00B0">
      <w:r w:rsidRPr="00734A50">
        <w:t xml:space="preserve">The </w:t>
      </w:r>
      <w:r w:rsidR="38268CCB" w:rsidRPr="00734A50">
        <w:t>indicators</w:t>
      </w:r>
      <w:r w:rsidRPr="00734A50">
        <w:t xml:space="preserve"> should be reported on through the ATWD. The ATWD annually collects and connects national teacher registration data, initial teacher education data, and teacher workforce data. The ATWD Key Metrics Dashboard website</w:t>
      </w:r>
      <w:r w:rsidR="199459A5" w:rsidRPr="00734A50">
        <w:t xml:space="preserve"> </w:t>
      </w:r>
      <w:r w:rsidR="39E1EACB" w:rsidRPr="00734A50">
        <w:t>can be used to report the nationally consistent indicators</w:t>
      </w:r>
      <w:r w:rsidRPr="00734A50">
        <w:t xml:space="preserve">. Stakeholders broadly agreed that the ATWD Key Metrics Dashboard is a logical site for publishing the </w:t>
      </w:r>
      <w:r w:rsidR="39E1EACB" w:rsidRPr="00734A50">
        <w:t>indicators</w:t>
      </w:r>
      <w:r w:rsidRPr="00734A50">
        <w:t xml:space="preserve"> (</w:t>
      </w:r>
      <w:r w:rsidR="199459A5" w:rsidRPr="00734A50">
        <w:t xml:space="preserve">AERO </w:t>
      </w:r>
      <w:r w:rsidRPr="00734A50">
        <w:t>Board submission; University of Newcastle, School of Education submission; University of the Sunshine Coast submission).</w:t>
      </w:r>
    </w:p>
    <w:p w14:paraId="7F733405" w14:textId="3B85F6B6" w:rsidR="00EA00B0" w:rsidRPr="00734A50" w:rsidRDefault="00EA00B0" w:rsidP="00EA00B0">
      <w:r w:rsidRPr="00734A50">
        <w:t xml:space="preserve">Importantly, the data underlying these </w:t>
      </w:r>
      <w:r w:rsidR="48C0886E" w:rsidRPr="00734A50">
        <w:t>indicators</w:t>
      </w:r>
      <w:r w:rsidRPr="00734A50">
        <w:t xml:space="preserve"> is already collected and reported</w:t>
      </w:r>
      <w:r w:rsidR="39E1EACB" w:rsidRPr="00734A50">
        <w:t xml:space="preserve"> (albeit not in a way that </w:t>
      </w:r>
      <w:r w:rsidR="00516055" w:rsidRPr="00734A50">
        <w:t>encourages</w:t>
      </w:r>
      <w:r w:rsidR="39E1EACB" w:rsidRPr="00734A50">
        <w:t xml:space="preserve"> improvement or facilitates comparison across higher education providers). </w:t>
      </w:r>
      <w:r w:rsidRPr="00734A50">
        <w:t xml:space="preserve">This does not place </w:t>
      </w:r>
      <w:r w:rsidR="199459A5" w:rsidRPr="00734A50">
        <w:t xml:space="preserve">an </w:t>
      </w:r>
      <w:r w:rsidRPr="00734A50">
        <w:t>additional reporting burden on higher education providers, a concern raised by some stakeholders (University of Technology Sydney submission</w:t>
      </w:r>
      <w:r w:rsidR="4F882FE2" w:rsidRPr="00734A50">
        <w:t>;</w:t>
      </w:r>
      <w:r w:rsidRPr="00734A50">
        <w:t xml:space="preserve"> Australian Association of Special Education submission; Australian Early Childhood Teacher Education Network submission).</w:t>
      </w:r>
    </w:p>
    <w:p w14:paraId="019F9B42" w14:textId="4EF79207" w:rsidR="00EA00B0" w:rsidRPr="00734A50" w:rsidRDefault="00D90B1B" w:rsidP="00A70E7B">
      <w:pPr>
        <w:pStyle w:val="Heading4"/>
      </w:pPr>
      <w:r w:rsidRPr="00734A50">
        <w:t xml:space="preserve">2.3.4 </w:t>
      </w:r>
      <w:r w:rsidR="00EA00B0" w:rsidRPr="00734A50">
        <w:t>Defining improvement</w:t>
      </w:r>
    </w:p>
    <w:p w14:paraId="6313D4C4" w14:textId="00F1399F" w:rsidR="00EA00B0" w:rsidRPr="00734A50" w:rsidRDefault="7AC7574F" w:rsidP="00EA00B0">
      <w:r w:rsidRPr="00734A50">
        <w:t>The Panel considers that</w:t>
      </w:r>
      <w:r w:rsidR="725E0D75" w:rsidRPr="00734A50">
        <w:t xml:space="preserve"> each indicator </w:t>
      </w:r>
      <w:r w:rsidR="736B69B6" w:rsidRPr="00734A50">
        <w:t>should be viewed</w:t>
      </w:r>
      <w:r w:rsidR="725E0D75" w:rsidRPr="00734A50">
        <w:t xml:space="preserve"> separately.</w:t>
      </w:r>
      <w:r w:rsidR="00EA00B0" w:rsidRPr="00734A50">
        <w:t xml:space="preserve"> Indicators </w:t>
      </w:r>
      <w:r w:rsidR="199459A5" w:rsidRPr="00734A50">
        <w:t xml:space="preserve">should </w:t>
      </w:r>
      <w:r w:rsidR="00EA00B0" w:rsidRPr="00734A50">
        <w:t>not be aggregated into summary measures, as this obscures the importance of each individual indicator.</w:t>
      </w:r>
    </w:p>
    <w:p w14:paraId="0AD66057" w14:textId="5D5CEE6D" w:rsidR="00EA00B0" w:rsidRPr="00734A50" w:rsidRDefault="00EA00B0" w:rsidP="00EA00B0">
      <w:r w:rsidRPr="00734A50">
        <w:t xml:space="preserve">Stakeholders were supportive of </w:t>
      </w:r>
      <w:r w:rsidR="00AD1482" w:rsidRPr="00734A50">
        <w:t xml:space="preserve">measuring </w:t>
      </w:r>
      <w:r w:rsidRPr="00734A50">
        <w:t>improvement</w:t>
      </w:r>
      <w:r w:rsidR="00D7024F" w:rsidRPr="00734A50">
        <w:t xml:space="preserve"> </w:t>
      </w:r>
      <w:r w:rsidR="00DC4827" w:rsidRPr="00734A50">
        <w:t>by comparing</w:t>
      </w:r>
      <w:r w:rsidRPr="00734A50">
        <w:t xml:space="preserve"> their current </w:t>
      </w:r>
      <w:r w:rsidR="00D7024F" w:rsidRPr="00734A50">
        <w:t xml:space="preserve">data </w:t>
      </w:r>
      <w:r w:rsidRPr="00734A50">
        <w:t xml:space="preserve">to their own past </w:t>
      </w:r>
      <w:r w:rsidR="00D7024F" w:rsidRPr="00734A50">
        <w:t xml:space="preserve">data </w:t>
      </w:r>
      <w:r w:rsidRPr="00734A50">
        <w:t>(NSW Council of Deans of Education submission</w:t>
      </w:r>
      <w:r w:rsidR="007E2E38" w:rsidRPr="00734A50">
        <w:t>;</w:t>
      </w:r>
      <w:r w:rsidRPr="00734A50">
        <w:t xml:space="preserve"> Australian Catholic University submission</w:t>
      </w:r>
      <w:r w:rsidR="007E2E38" w:rsidRPr="00734A50">
        <w:t>;</w:t>
      </w:r>
      <w:r w:rsidRPr="00734A50">
        <w:t xml:space="preserve"> Flinders University submission). </w:t>
      </w:r>
    </w:p>
    <w:p w14:paraId="5D3A8F38" w14:textId="7C865ECA" w:rsidR="00EA00B0" w:rsidRPr="00734A50" w:rsidRDefault="0A0D965F" w:rsidP="269CEF16">
      <w:pPr>
        <w:keepNext/>
        <w:spacing w:after="0"/>
      </w:pPr>
      <w:r w:rsidRPr="00734A50">
        <w:lastRenderedPageBreak/>
        <w:t>The indicators</w:t>
      </w:r>
      <w:r w:rsidR="00EA00B0" w:rsidRPr="00734A50">
        <w:t xml:space="preserve"> </w:t>
      </w:r>
      <w:r w:rsidR="1BD917BD" w:rsidRPr="00734A50">
        <w:t>would</w:t>
      </w:r>
      <w:r w:rsidR="00EA00B0" w:rsidRPr="00734A50">
        <w:t xml:space="preserve"> be compared against two benchmarks:</w:t>
      </w:r>
    </w:p>
    <w:p w14:paraId="2A95383A" w14:textId="62487BA2" w:rsidR="00EA00B0" w:rsidRPr="00734A50" w:rsidRDefault="00EA00B0" w:rsidP="00000141">
      <w:pPr>
        <w:pStyle w:val="List"/>
        <w:numPr>
          <w:ilvl w:val="0"/>
          <w:numId w:val="163"/>
        </w:numPr>
      </w:pPr>
      <w:r w:rsidRPr="00734A50">
        <w:t xml:space="preserve">Previous long-term </w:t>
      </w:r>
      <w:r w:rsidR="00D7024F" w:rsidRPr="00734A50">
        <w:t>data</w:t>
      </w:r>
      <w:r w:rsidR="00754949" w:rsidRPr="00734A50">
        <w:t xml:space="preserve"> – </w:t>
      </w:r>
      <w:r w:rsidR="39E1EACB" w:rsidRPr="00734A50">
        <w:t xml:space="preserve">the average of </w:t>
      </w:r>
      <w:r w:rsidRPr="00734A50">
        <w:t>each higher education provider</w:t>
      </w:r>
      <w:r w:rsidR="199459A5" w:rsidRPr="00734A50">
        <w:t>’</w:t>
      </w:r>
      <w:r w:rsidRPr="00734A50">
        <w:t xml:space="preserve">s average </w:t>
      </w:r>
      <w:r w:rsidR="39E1EACB" w:rsidRPr="00734A50">
        <w:t xml:space="preserve">data </w:t>
      </w:r>
      <w:r w:rsidRPr="00734A50">
        <w:t xml:space="preserve">over the previous </w:t>
      </w:r>
      <w:r w:rsidR="39E1EACB" w:rsidRPr="00734A50">
        <w:t xml:space="preserve">five </w:t>
      </w:r>
      <w:r w:rsidRPr="00734A50">
        <w:t>years</w:t>
      </w:r>
      <w:r w:rsidR="199459A5" w:rsidRPr="00734A50">
        <w:t>.</w:t>
      </w:r>
      <w:r w:rsidRPr="00734A50">
        <w:t xml:space="preserve"> This accounts for each higher education provider</w:t>
      </w:r>
      <w:r w:rsidR="199459A5" w:rsidRPr="00734A50">
        <w:t>’</w:t>
      </w:r>
      <w:r w:rsidRPr="00734A50">
        <w:t>s context and avoids penalising providers for factors outside their control.</w:t>
      </w:r>
    </w:p>
    <w:p w14:paraId="399ADD97" w14:textId="375C3E60" w:rsidR="00EA00B0" w:rsidRPr="00734A50" w:rsidRDefault="00EA00B0" w:rsidP="00000141">
      <w:pPr>
        <w:pStyle w:val="List"/>
        <w:numPr>
          <w:ilvl w:val="0"/>
          <w:numId w:val="163"/>
        </w:numPr>
      </w:pPr>
      <w:r w:rsidRPr="00734A50">
        <w:t>National average</w:t>
      </w:r>
      <w:r w:rsidR="00754949" w:rsidRPr="00734A50">
        <w:t xml:space="preserve"> </w:t>
      </w:r>
      <w:r w:rsidR="00ED381B" w:rsidRPr="00734A50">
        <w:t xml:space="preserve">of </w:t>
      </w:r>
      <w:r w:rsidRPr="00734A50">
        <w:t xml:space="preserve">all </w:t>
      </w:r>
      <w:r w:rsidR="00006115" w:rsidRPr="00734A50">
        <w:t>higher education</w:t>
      </w:r>
      <w:r w:rsidRPr="00734A50">
        <w:t xml:space="preserve"> </w:t>
      </w:r>
      <w:r w:rsidR="00DD5793" w:rsidRPr="00734A50">
        <w:t>providers</w:t>
      </w:r>
      <w:r w:rsidRPr="00734A50">
        <w:t xml:space="preserve"> in that year. This recognises that higher education providers who are already above average may have little room for further improvement. </w:t>
      </w:r>
    </w:p>
    <w:p w14:paraId="0533BF81" w14:textId="2B289878" w:rsidR="00EA00B0" w:rsidRPr="00734A50" w:rsidRDefault="00EA00B0" w:rsidP="00E73BBF">
      <w:pPr>
        <w:pStyle w:val="Heading4"/>
      </w:pPr>
      <w:r w:rsidRPr="00734A50">
        <w:t>2.</w:t>
      </w:r>
      <w:r w:rsidR="47551D9D" w:rsidRPr="00734A50">
        <w:t>3.</w:t>
      </w:r>
      <w:r w:rsidR="00964528" w:rsidRPr="00734A50">
        <w:t>5</w:t>
      </w:r>
      <w:r w:rsidRPr="00734A50">
        <w:t xml:space="preserve"> Public transparency and accountability</w:t>
      </w:r>
    </w:p>
    <w:p w14:paraId="2D465C94" w14:textId="7F431E78" w:rsidR="00EA00B0" w:rsidRPr="00734A50" w:rsidRDefault="00EA00B0" w:rsidP="00EA00B0">
      <w:pPr>
        <w:textAlignment w:val="baseline"/>
        <w:rPr>
          <w:rFonts w:ascii="Calibri" w:hAnsi="Calibri" w:cs="Calibri"/>
        </w:rPr>
      </w:pPr>
      <w:r w:rsidRPr="00734A50">
        <w:rPr>
          <w:rFonts w:ascii="Calibri" w:eastAsia="Times New Roman" w:hAnsi="Calibri" w:cs="Calibri"/>
          <w:color w:val="000000" w:themeColor="text1"/>
          <w:lang w:eastAsia="en-AU"/>
        </w:rPr>
        <w:t xml:space="preserve">Publicly reporting the </w:t>
      </w:r>
      <w:r w:rsidR="4BD949FA" w:rsidRPr="00734A50">
        <w:rPr>
          <w:rFonts w:ascii="Calibri" w:eastAsia="Times New Roman" w:hAnsi="Calibri" w:cs="Calibri"/>
          <w:color w:val="000000" w:themeColor="text1"/>
          <w:lang w:eastAsia="en-AU"/>
        </w:rPr>
        <w:t xml:space="preserve">indicators </w:t>
      </w:r>
      <w:r w:rsidR="3320C906" w:rsidRPr="00734A50">
        <w:rPr>
          <w:rFonts w:ascii="Calibri" w:eastAsia="Times New Roman" w:hAnsi="Calibri" w:cs="Calibri"/>
          <w:color w:val="000000" w:themeColor="text1"/>
          <w:lang w:eastAsia="en-AU"/>
        </w:rPr>
        <w:t>would</w:t>
      </w:r>
      <w:r w:rsidRPr="00734A50">
        <w:rPr>
          <w:rFonts w:ascii="Calibri" w:eastAsia="Times New Roman" w:hAnsi="Calibri" w:cs="Calibri"/>
          <w:color w:val="000000" w:themeColor="text1"/>
          <w:lang w:eastAsia="en-AU"/>
        </w:rPr>
        <w:t xml:space="preserve"> </w:t>
      </w:r>
      <w:r w:rsidRPr="00734A50">
        <w:rPr>
          <w:rFonts w:ascii="Calibri" w:hAnsi="Calibri" w:cs="Calibri"/>
        </w:rPr>
        <w:t>increase government accountability at a national and</w:t>
      </w:r>
      <w:r w:rsidR="00E73E7B" w:rsidRPr="00734A50">
        <w:rPr>
          <w:rFonts w:ascii="Calibri" w:hAnsi="Calibri" w:cs="Calibri"/>
        </w:rPr>
        <w:t xml:space="preserve"> a</w:t>
      </w:r>
      <w:r w:rsidRPr="00734A50">
        <w:rPr>
          <w:rFonts w:ascii="Calibri" w:hAnsi="Calibri" w:cs="Calibri"/>
        </w:rPr>
        <w:t xml:space="preserve"> state and territory level over ITE programs, encourage higher education providers to improve their ITE programs, and provide standardised information that prospective students could use to inform their choice of higher education provider.</w:t>
      </w:r>
    </w:p>
    <w:p w14:paraId="7F5A73C0" w14:textId="3F68DD6B" w:rsidR="00EA00B0" w:rsidRPr="00734A50" w:rsidRDefault="00EA00B0" w:rsidP="00EA00B0">
      <w:r w:rsidRPr="00734A50">
        <w:t>Stakeholders were supportive of public reporting and the resulting benefits to transparency and accountability (Charles Darwin University submission; Australian Council of State School Organisations submission; Flinders University submission). Several stakeholders recognised that much of this data is already publicly available but could benefit from consolidation in a single source</w:t>
      </w:r>
      <w:r w:rsidR="199459A5" w:rsidRPr="00734A50">
        <w:t xml:space="preserve"> (ACDE submission; </w:t>
      </w:r>
      <w:r w:rsidRPr="00734A50">
        <w:t xml:space="preserve">Flinders University submission). </w:t>
      </w:r>
    </w:p>
    <w:p w14:paraId="4C1792B9" w14:textId="6DBD6B97" w:rsidR="00EA00B0" w:rsidRPr="00734A50" w:rsidRDefault="00EA00B0" w:rsidP="000C2F25">
      <w:pPr>
        <w:pStyle w:val="Heading4"/>
      </w:pPr>
      <w:r w:rsidRPr="00734A50">
        <w:t>2.</w:t>
      </w:r>
      <w:r w:rsidR="7286A216" w:rsidRPr="00734A50">
        <w:t>3</w:t>
      </w:r>
      <w:r w:rsidR="0B173EFF" w:rsidRPr="00734A50">
        <w:t>.</w:t>
      </w:r>
      <w:r w:rsidR="00964528" w:rsidRPr="00734A50">
        <w:t>6</w:t>
      </w:r>
      <w:r w:rsidRPr="00734A50">
        <w:t xml:space="preserve"> Reporting on ITE programs</w:t>
      </w:r>
    </w:p>
    <w:p w14:paraId="3F64945B" w14:textId="5D3F82DD" w:rsidR="00EA00B0" w:rsidRPr="00734A50" w:rsidRDefault="00EA00B0" w:rsidP="00A36740">
      <w:pPr>
        <w:pStyle w:val="Heading5"/>
      </w:pPr>
      <w:r w:rsidRPr="00734A50">
        <w:t xml:space="preserve">Principles for reporting on the </w:t>
      </w:r>
      <w:r w:rsidR="009E79E7" w:rsidRPr="00734A50">
        <w:t>indicators</w:t>
      </w:r>
    </w:p>
    <w:p w14:paraId="109C3609" w14:textId="1B69E49B" w:rsidR="00EA00B0" w:rsidRPr="00734A50" w:rsidRDefault="00EA00B0" w:rsidP="00EA00B0">
      <w:r w:rsidRPr="00734A50">
        <w:t>The reporting of indicators must be public and standardised. To maximise the</w:t>
      </w:r>
      <w:r w:rsidR="009E79E7" w:rsidRPr="00734A50">
        <w:t>ir</w:t>
      </w:r>
      <w:r w:rsidRPr="00734A50">
        <w:t xml:space="preserve"> impact on improving quality, the </w:t>
      </w:r>
      <w:r w:rsidR="7681F919" w:rsidRPr="00734A50">
        <w:t xml:space="preserve">reporting of </w:t>
      </w:r>
      <w:r w:rsidR="398AE70D" w:rsidRPr="00734A50">
        <w:t>indicators</w:t>
      </w:r>
      <w:r w:rsidRPr="00734A50">
        <w:t xml:space="preserve"> should be easily actionable for governments, higher education providers and prospective students (Table 2.2).</w:t>
      </w:r>
    </w:p>
    <w:p w14:paraId="53D1BBFA" w14:textId="37B2484C" w:rsidR="00EA00B0" w:rsidRPr="00734A50" w:rsidRDefault="00EA00B0" w:rsidP="185B2929">
      <w:pPr>
        <w:rPr>
          <w:b/>
          <w:iCs/>
        </w:rPr>
      </w:pPr>
      <w:r w:rsidRPr="00734A50">
        <w:t xml:space="preserve">Some stakeholders raised concerns that public reporting </w:t>
      </w:r>
      <w:r w:rsidR="000B3150" w:rsidRPr="00734A50">
        <w:t>would</w:t>
      </w:r>
      <w:r w:rsidRPr="00734A50">
        <w:t xml:space="preserve"> cause the public to misinterpret and misuse the data when making decisions (University of Technology Sydney submission; Australian Primary Principals Association submission). Public reporting of the data should be accompanied by clear explanatory text and relevant contextual information.</w:t>
      </w:r>
      <w:r w:rsidRPr="00734A50">
        <w:rPr>
          <w:b/>
          <w:iCs/>
        </w:rPr>
        <w:t xml:space="preserve"> </w:t>
      </w:r>
    </w:p>
    <w:p w14:paraId="30255551" w14:textId="63C1F32A" w:rsidR="00EA00B0" w:rsidRDefault="00EA00B0" w:rsidP="00EA00B0">
      <w:r w:rsidRPr="00734A50">
        <w:t xml:space="preserve">Where possible, data </w:t>
      </w:r>
      <w:r w:rsidR="007A72CA" w:rsidRPr="00734A50">
        <w:t>should</w:t>
      </w:r>
      <w:r w:rsidRPr="00734A50">
        <w:t xml:space="preserve"> be reported at a program level as well as at a provider level</w:t>
      </w:r>
      <w:r w:rsidR="00E73E7B" w:rsidRPr="00734A50">
        <w:t>,</w:t>
      </w:r>
      <w:r w:rsidRPr="00734A50">
        <w:t xml:space="preserve"> as </w:t>
      </w:r>
      <w:r w:rsidR="199459A5" w:rsidRPr="00734A50">
        <w:t xml:space="preserve">program-level data </w:t>
      </w:r>
      <w:r w:rsidRPr="00734A50">
        <w:t>can be more informative (</w:t>
      </w:r>
      <w:r w:rsidR="199459A5" w:rsidRPr="00734A50">
        <w:t>however,</w:t>
      </w:r>
      <w:r w:rsidRPr="00734A50">
        <w:t xml:space="preserve"> </w:t>
      </w:r>
      <w:r w:rsidR="199459A5" w:rsidRPr="00734A50">
        <w:t xml:space="preserve">with </w:t>
      </w:r>
      <w:r w:rsidRPr="00734A50">
        <w:t>small program cohorts this is not always feasible).</w:t>
      </w:r>
    </w:p>
    <w:p w14:paraId="3EE2741B" w14:textId="108CFAD1" w:rsidR="00852299" w:rsidRDefault="00852299">
      <w:pPr>
        <w:spacing w:after="160" w:line="259" w:lineRule="auto"/>
      </w:pPr>
      <w:r>
        <w:br w:type="page"/>
      </w:r>
    </w:p>
    <w:p w14:paraId="2346C2B1" w14:textId="4E9F0EF8" w:rsidR="00EA00B0" w:rsidRPr="00734A50" w:rsidRDefault="00EA00B0" w:rsidP="00852299">
      <w:pPr>
        <w:pStyle w:val="HeadingTable"/>
        <w:numPr>
          <w:ilvl w:val="0"/>
          <w:numId w:val="0"/>
        </w:numPr>
        <w:rPr>
          <w:sz w:val="22"/>
          <w:szCs w:val="28"/>
        </w:rPr>
      </w:pPr>
      <w:r w:rsidRPr="00734A50">
        <w:rPr>
          <w:sz w:val="22"/>
          <w:szCs w:val="28"/>
        </w:rPr>
        <w:lastRenderedPageBreak/>
        <w:t>Table 2.2: Key reporting principles</w:t>
      </w:r>
    </w:p>
    <w:tbl>
      <w:tblPr>
        <w:tblStyle w:val="GridTable4-Accent2"/>
        <w:tblW w:w="9067" w:type="dxa"/>
        <w:tblLook w:val="04A0" w:firstRow="1" w:lastRow="0" w:firstColumn="1" w:lastColumn="0" w:noHBand="0" w:noVBand="1"/>
      </w:tblPr>
      <w:tblGrid>
        <w:gridCol w:w="3820"/>
        <w:gridCol w:w="5247"/>
      </w:tblGrid>
      <w:tr w:rsidR="00EA00B0" w:rsidRPr="00734A50" w14:paraId="088D6864" w14:textId="77777777" w:rsidTr="0DD6F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0" w:type="dxa"/>
          </w:tcPr>
          <w:p w14:paraId="6CA7D7F7" w14:textId="7D839EF5" w:rsidR="00EA00B0" w:rsidRPr="00734A50" w:rsidRDefault="00EA00B0" w:rsidP="00E44E8A">
            <w:pPr>
              <w:keepNext/>
              <w:rPr>
                <w:color w:val="auto"/>
              </w:rPr>
            </w:pPr>
            <w:r w:rsidRPr="00734A50">
              <w:rPr>
                <w:color w:val="auto"/>
              </w:rPr>
              <w:t xml:space="preserve">At a minimum, data </w:t>
            </w:r>
            <w:r w:rsidR="00E95EFF" w:rsidRPr="00734A50">
              <w:rPr>
                <w:color w:val="auto"/>
              </w:rPr>
              <w:t>would</w:t>
            </w:r>
            <w:r w:rsidRPr="00734A50">
              <w:rPr>
                <w:color w:val="auto"/>
              </w:rPr>
              <w:t xml:space="preserve"> be:</w:t>
            </w:r>
          </w:p>
        </w:tc>
        <w:tc>
          <w:tcPr>
            <w:tcW w:w="5247" w:type="dxa"/>
          </w:tcPr>
          <w:p w14:paraId="7E150C7F" w14:textId="77777777" w:rsidR="00EA00B0" w:rsidRPr="00734A50" w:rsidRDefault="00EA00B0" w:rsidP="00E44E8A">
            <w:pPr>
              <w:keepNext/>
              <w:cnfStyle w:val="100000000000" w:firstRow="1" w:lastRow="0" w:firstColumn="0" w:lastColumn="0" w:oddVBand="0" w:evenVBand="0" w:oddHBand="0" w:evenHBand="0" w:firstRowFirstColumn="0" w:firstRowLastColumn="0" w:lastRowFirstColumn="0" w:lastRowLastColumn="0"/>
              <w:rPr>
                <w:color w:val="auto"/>
              </w:rPr>
            </w:pPr>
            <w:r w:rsidRPr="00734A50">
              <w:rPr>
                <w:color w:val="auto"/>
              </w:rPr>
              <w:t>To maximise impact, data should be:</w:t>
            </w:r>
          </w:p>
        </w:tc>
      </w:tr>
      <w:tr w:rsidR="00EA00B0" w:rsidRPr="00734A50" w14:paraId="5F687E23" w14:textId="77777777" w:rsidTr="0DD6F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0" w:type="dxa"/>
          </w:tcPr>
          <w:p w14:paraId="33EA685F" w14:textId="77777777" w:rsidR="00EA00B0" w:rsidRPr="00734A50" w:rsidRDefault="00EA00B0" w:rsidP="000C715B">
            <w:pPr>
              <w:pStyle w:val="ListBullet"/>
            </w:pPr>
            <w:r w:rsidRPr="00734A50">
              <w:t xml:space="preserve">Updated annually </w:t>
            </w:r>
          </w:p>
        </w:tc>
        <w:tc>
          <w:tcPr>
            <w:tcW w:w="5247" w:type="dxa"/>
          </w:tcPr>
          <w:p w14:paraId="42B2C626" w14:textId="5A417120" w:rsidR="00EA00B0" w:rsidRPr="00734A50" w:rsidRDefault="00EA00B0" w:rsidP="00FF7813">
            <w:pPr>
              <w:pStyle w:val="ListBullet"/>
              <w:tabs>
                <w:tab w:val="clear" w:pos="360"/>
                <w:tab w:val="num" w:pos="742"/>
              </w:tabs>
              <w:ind w:left="33" w:firstLine="0"/>
              <w:cnfStyle w:val="000000100000" w:firstRow="0" w:lastRow="0" w:firstColumn="0" w:lastColumn="0" w:oddVBand="0" w:evenVBand="0" w:oddHBand="1" w:evenHBand="0" w:firstRowFirstColumn="0" w:firstRowLastColumn="0" w:lastRowFirstColumn="0" w:lastRowLastColumn="0"/>
            </w:pPr>
            <w:r w:rsidRPr="00734A50">
              <w:rPr>
                <w:b/>
              </w:rPr>
              <w:t>Easy to action</w:t>
            </w:r>
            <w:r w:rsidRPr="00734A50">
              <w:t xml:space="preserve"> for governments, higher education providers and prospective students by providing information that is relevant to them.</w:t>
            </w:r>
          </w:p>
        </w:tc>
      </w:tr>
      <w:tr w:rsidR="00EA00B0" w:rsidRPr="00734A50" w14:paraId="108838F0" w14:textId="77777777" w:rsidTr="0DD6F353">
        <w:tc>
          <w:tcPr>
            <w:cnfStyle w:val="001000000000" w:firstRow="0" w:lastRow="0" w:firstColumn="1" w:lastColumn="0" w:oddVBand="0" w:evenVBand="0" w:oddHBand="0" w:evenHBand="0" w:firstRowFirstColumn="0" w:firstRowLastColumn="0" w:lastRowFirstColumn="0" w:lastRowLastColumn="0"/>
            <w:tcW w:w="3820" w:type="dxa"/>
          </w:tcPr>
          <w:p w14:paraId="46BBF8DB" w14:textId="13883745" w:rsidR="00EA00B0" w:rsidRPr="00734A50" w:rsidRDefault="00EA00B0" w:rsidP="002A0CA6">
            <w:pPr>
              <w:pStyle w:val="ListBullet"/>
              <w:tabs>
                <w:tab w:val="clear" w:pos="360"/>
                <w:tab w:val="num" w:pos="33"/>
              </w:tabs>
              <w:ind w:left="33" w:firstLine="0"/>
            </w:pPr>
            <w:r w:rsidRPr="00734A50">
              <w:t>Reported on the ATWD Key Metrics Dashboard in the first instance.</w:t>
            </w:r>
            <w:r w:rsidR="00F41747" w:rsidRPr="00734A50">
              <w:t xml:space="preserve"> </w:t>
            </w:r>
            <w:r w:rsidRPr="00734A50">
              <w:rPr>
                <w:b w:val="0"/>
                <w:bCs w:val="0"/>
              </w:rPr>
              <w:t>The data could then be republished elsewhere (</w:t>
            </w:r>
            <w:r w:rsidR="48C61349" w:rsidRPr="00734A50">
              <w:rPr>
                <w:b w:val="0"/>
                <w:bCs w:val="0"/>
              </w:rPr>
              <w:t>e.g.</w:t>
            </w:r>
            <w:r w:rsidRPr="00734A50">
              <w:rPr>
                <w:b w:val="0"/>
                <w:bCs w:val="0"/>
              </w:rPr>
              <w:t xml:space="preserve"> higher education providers</w:t>
            </w:r>
            <w:r w:rsidR="00454A26" w:rsidRPr="00734A50">
              <w:rPr>
                <w:b w:val="0"/>
                <w:bCs w:val="0"/>
              </w:rPr>
              <w:t>’</w:t>
            </w:r>
            <w:r w:rsidRPr="00734A50">
              <w:rPr>
                <w:b w:val="0"/>
                <w:bCs w:val="0"/>
              </w:rPr>
              <w:t xml:space="preserve"> websites, </w:t>
            </w:r>
            <w:r w:rsidR="00F41747" w:rsidRPr="00734A50">
              <w:rPr>
                <w:b w:val="0"/>
                <w:bCs w:val="0"/>
              </w:rPr>
              <w:t>education d</w:t>
            </w:r>
            <w:r w:rsidRPr="00734A50">
              <w:rPr>
                <w:b w:val="0"/>
                <w:bCs w:val="0"/>
              </w:rPr>
              <w:t>epartment websites about ITE).</w:t>
            </w:r>
          </w:p>
          <w:p w14:paraId="3446B1DE" w14:textId="77777777" w:rsidR="00EA00B0" w:rsidRPr="00734A50" w:rsidRDefault="00EA00B0" w:rsidP="00E44E8A"/>
        </w:tc>
        <w:tc>
          <w:tcPr>
            <w:tcW w:w="5247" w:type="dxa"/>
          </w:tcPr>
          <w:p w14:paraId="5924AB2B" w14:textId="77777777" w:rsidR="006C68F3" w:rsidRPr="00734A50" w:rsidRDefault="00EA00B0" w:rsidP="006C68F3">
            <w:pPr>
              <w:pStyle w:val="ListBullet"/>
              <w:cnfStyle w:val="000000000000" w:firstRow="0" w:lastRow="0" w:firstColumn="0" w:lastColumn="0" w:oddVBand="0" w:evenVBand="0" w:oddHBand="0" w:evenHBand="0" w:firstRowFirstColumn="0" w:firstRowLastColumn="0" w:lastRowFirstColumn="0" w:lastRowLastColumn="0"/>
            </w:pPr>
            <w:r w:rsidRPr="00734A50">
              <w:rPr>
                <w:b/>
              </w:rPr>
              <w:t>Easy to understand</w:t>
            </w:r>
            <w:r w:rsidRPr="00734A50">
              <w:t xml:space="preserve"> by:</w:t>
            </w:r>
          </w:p>
          <w:p w14:paraId="220DFE66" w14:textId="4435B9FF" w:rsidR="006C68F3" w:rsidRPr="00734A50" w:rsidRDefault="00314C68" w:rsidP="006C68F3">
            <w:pPr>
              <w:pStyle w:val="ListBullet"/>
              <w:numPr>
                <w:ilvl w:val="0"/>
                <w:numId w:val="30"/>
              </w:numPr>
              <w:spacing w:after="160"/>
              <w:ind w:left="360"/>
              <w:cnfStyle w:val="000000000000" w:firstRow="0" w:lastRow="0" w:firstColumn="0" w:lastColumn="0" w:oddVBand="0" w:evenVBand="0" w:oddHBand="0" w:evenHBand="0" w:firstRowFirstColumn="0" w:firstRowLastColumn="0" w:lastRowFirstColumn="0" w:lastRowLastColumn="0"/>
            </w:pPr>
            <w:r w:rsidRPr="00734A50">
              <w:t>h</w:t>
            </w:r>
            <w:r w:rsidR="006C68F3" w:rsidRPr="00734A50">
              <w:t>elping people interpret the data accurately. Data will not be displayed in isolation, and contextual information will be provided as part of reporting and as explanatory text</w:t>
            </w:r>
          </w:p>
          <w:p w14:paraId="0DE554AB" w14:textId="5C2D5522" w:rsidR="006C68F3" w:rsidRPr="00734A50" w:rsidRDefault="00314C68" w:rsidP="006C68F3">
            <w:pPr>
              <w:pStyle w:val="ListBullet"/>
              <w:numPr>
                <w:ilvl w:val="0"/>
                <w:numId w:val="30"/>
              </w:numPr>
              <w:spacing w:after="160"/>
              <w:ind w:left="360"/>
              <w:cnfStyle w:val="000000000000" w:firstRow="0" w:lastRow="0" w:firstColumn="0" w:lastColumn="0" w:oddVBand="0" w:evenVBand="0" w:oddHBand="0" w:evenHBand="0" w:firstRowFirstColumn="0" w:firstRowLastColumn="0" w:lastRowFirstColumn="0" w:lastRowLastColumn="0"/>
            </w:pPr>
            <w:r w:rsidRPr="00734A50">
              <w:t>o</w:t>
            </w:r>
            <w:r w:rsidR="006C68F3" w:rsidRPr="00734A50">
              <w:t>nly showing relevant and reliable data (e.g. not reporting data if the sample size is too small)</w:t>
            </w:r>
          </w:p>
          <w:p w14:paraId="31EDCDC8" w14:textId="7DFA05C0" w:rsidR="006C68F3" w:rsidRPr="00734A50" w:rsidRDefault="00314C68" w:rsidP="006C68F3">
            <w:pPr>
              <w:pStyle w:val="ListBullet"/>
              <w:numPr>
                <w:ilvl w:val="0"/>
                <w:numId w:val="30"/>
              </w:numPr>
              <w:spacing w:after="160"/>
              <w:ind w:left="360"/>
              <w:cnfStyle w:val="000000000000" w:firstRow="0" w:lastRow="0" w:firstColumn="0" w:lastColumn="0" w:oddVBand="0" w:evenVBand="0" w:oddHBand="0" w:evenHBand="0" w:firstRowFirstColumn="0" w:firstRowLastColumn="0" w:lastRowFirstColumn="0" w:lastRowLastColumn="0"/>
            </w:pPr>
            <w:r w:rsidRPr="00734A50">
              <w:t>c</w:t>
            </w:r>
            <w:r w:rsidR="006C68F3" w:rsidRPr="00734A50">
              <w:t>learly stating the limitations or caveats associated with the data (e.g. First Nations people are likely to be under</w:t>
            </w:r>
            <w:r w:rsidR="00C64EA9">
              <w:t>-</w:t>
            </w:r>
            <w:r w:rsidR="006C68F3" w:rsidRPr="00734A50">
              <w:t>reported for known reasons).</w:t>
            </w:r>
          </w:p>
          <w:p w14:paraId="42389A67" w14:textId="412AA3AA" w:rsidR="00EA00B0" w:rsidRPr="00734A50" w:rsidRDefault="00314C68" w:rsidP="006C68F3">
            <w:pPr>
              <w:pStyle w:val="ListBullet"/>
              <w:numPr>
                <w:ilvl w:val="0"/>
                <w:numId w:val="30"/>
              </w:numPr>
              <w:spacing w:after="160"/>
              <w:ind w:left="360"/>
              <w:cnfStyle w:val="000000000000" w:firstRow="0" w:lastRow="0" w:firstColumn="0" w:lastColumn="0" w:oddVBand="0" w:evenVBand="0" w:oddHBand="0" w:evenHBand="0" w:firstRowFirstColumn="0" w:firstRowLastColumn="0" w:lastRowFirstColumn="0" w:lastRowLastColumn="0"/>
            </w:pPr>
            <w:r w:rsidRPr="00734A50">
              <w:t>p</w:t>
            </w:r>
            <w:r w:rsidR="006C68F3" w:rsidRPr="00734A50">
              <w:t>roviding an opportunity to download underlying data files.</w:t>
            </w:r>
          </w:p>
        </w:tc>
      </w:tr>
    </w:tbl>
    <w:p w14:paraId="54FD08A8" w14:textId="507A955E" w:rsidR="00EA00B0" w:rsidRPr="00734A50" w:rsidRDefault="00EA00B0" w:rsidP="00A36740">
      <w:pPr>
        <w:pStyle w:val="Heading5"/>
      </w:pPr>
      <w:r w:rsidRPr="00734A50">
        <w:t>Contextual information to aid interpretation</w:t>
      </w:r>
    </w:p>
    <w:p w14:paraId="0A41FB16" w14:textId="16151116" w:rsidR="00EA00B0" w:rsidRPr="00734A50" w:rsidRDefault="00EA00B0" w:rsidP="00931F38">
      <w:r w:rsidRPr="00734A50">
        <w:t xml:space="preserve">To support accurate interpretation of data, </w:t>
      </w:r>
      <w:r w:rsidR="00467193" w:rsidRPr="00734A50">
        <w:t xml:space="preserve">contextual information </w:t>
      </w:r>
      <w:r w:rsidRPr="00734A50">
        <w:t xml:space="preserve">about </w:t>
      </w:r>
      <w:r w:rsidR="00ED381B" w:rsidRPr="00734A50">
        <w:t>the institution and programs would accompany the indicators</w:t>
      </w:r>
      <w:r w:rsidR="003D5A82" w:rsidRPr="00734A50">
        <w:t>. This</w:t>
      </w:r>
      <w:r w:rsidR="00ED381B" w:rsidRPr="00734A50">
        <w:t xml:space="preserve"> </w:t>
      </w:r>
      <w:r w:rsidRPr="00734A50">
        <w:t xml:space="preserve">could include supplementary data related to the </w:t>
      </w:r>
      <w:r w:rsidR="6A58BB34" w:rsidRPr="00734A50">
        <w:t>indicators</w:t>
      </w:r>
      <w:r w:rsidRPr="00734A50">
        <w:t xml:space="preserve"> </w:t>
      </w:r>
      <w:r w:rsidR="00ED381B" w:rsidRPr="00734A50">
        <w:t>(e.g. data on why the</w:t>
      </w:r>
      <w:r w:rsidR="00D376F6" w:rsidRPr="00734A50">
        <w:t xml:space="preserve"> institution’s</w:t>
      </w:r>
      <w:r w:rsidR="00ED381B" w:rsidRPr="00734A50">
        <w:t xml:space="preserve"> students leave ITE), </w:t>
      </w:r>
      <w:r w:rsidRPr="00734A50">
        <w:t>information about ITE offerings (</w:t>
      </w:r>
      <w:r w:rsidR="00B80243" w:rsidRPr="00734A50">
        <w:t>e.g.</w:t>
      </w:r>
      <w:r w:rsidRPr="00734A50">
        <w:t xml:space="preserve"> programs offered, size of student cohorts) and broader environmental contexts (</w:t>
      </w:r>
      <w:r w:rsidR="00466189" w:rsidRPr="00734A50">
        <w:t>e.g.</w:t>
      </w:r>
      <w:r w:rsidRPr="00734A50">
        <w:t xml:space="preserve"> geographic location). </w:t>
      </w:r>
    </w:p>
    <w:p w14:paraId="204A3D9B" w14:textId="5A13F4AA" w:rsidR="00EA00B0" w:rsidRPr="00734A50" w:rsidRDefault="00EA00B0" w:rsidP="00EA00B0">
      <w:pPr>
        <w:spacing w:before="240"/>
      </w:pPr>
      <w:r w:rsidRPr="00734A50">
        <w:t xml:space="preserve">Several stakeholders expressed concern that their </w:t>
      </w:r>
      <w:r w:rsidR="00885B73" w:rsidRPr="00734A50">
        <w:t xml:space="preserve">results </w:t>
      </w:r>
      <w:r w:rsidRPr="00734A50">
        <w:t xml:space="preserve">on certain measures </w:t>
      </w:r>
      <w:r w:rsidR="00D376F6" w:rsidRPr="00734A50">
        <w:t>are</w:t>
      </w:r>
      <w:r w:rsidRPr="00734A50">
        <w:t xml:space="preserve"> outside of their control. The indicators most commonly singled out </w:t>
      </w:r>
      <w:r w:rsidR="5BE967BC" w:rsidRPr="00734A50">
        <w:t xml:space="preserve">as being impacted by a broad range of factors </w:t>
      </w:r>
      <w:r w:rsidRPr="00734A50">
        <w:t>include attrition and dropout rates (Charles Darwin University submission; University of Canberra submission; Queensland University of Technology submission) and sustainability of employment (</w:t>
      </w:r>
      <w:r w:rsidR="00E50FE6" w:rsidRPr="00734A50">
        <w:t>ACDE</w:t>
      </w:r>
      <w:r w:rsidRPr="00734A50">
        <w:t xml:space="preserve"> submission; Queensland University of Technology submission; School of Education and Professional Studies, Griffith University submission).</w:t>
      </w:r>
    </w:p>
    <w:p w14:paraId="5B2A2924" w14:textId="612D9ECF" w:rsidR="00EA00B0" w:rsidRPr="00734A50" w:rsidRDefault="00EA00B0" w:rsidP="000B3BBC">
      <w:pPr>
        <w:spacing w:after="160"/>
      </w:pPr>
      <w:r w:rsidRPr="00734A50">
        <w:t xml:space="preserve">The Panel believes that higher education providers do have </w:t>
      </w:r>
      <w:r w:rsidR="114B3917" w:rsidRPr="00734A50">
        <w:t xml:space="preserve">influence </w:t>
      </w:r>
      <w:r w:rsidRPr="00734A50">
        <w:t>over these outcomes. For example, a student’s choice of institution is more influential on attrition than other student-level factors like attendance type (part or full</w:t>
      </w:r>
      <w:r w:rsidR="00EA76F0">
        <w:t xml:space="preserve"> </w:t>
      </w:r>
      <w:r w:rsidRPr="00734A50">
        <w:t xml:space="preserve">time) or equity group status (HESP 2017). </w:t>
      </w:r>
    </w:p>
    <w:p w14:paraId="7B792F01" w14:textId="05502D15" w:rsidR="00EA00B0" w:rsidRPr="00734A50" w:rsidRDefault="00EA00B0" w:rsidP="000B3BBC">
      <w:pPr>
        <w:spacing w:after="160"/>
      </w:pPr>
      <w:r w:rsidRPr="00734A50">
        <w:t xml:space="preserve">However, there are certainly cases where external factors affect </w:t>
      </w:r>
      <w:r w:rsidR="00FF5478" w:rsidRPr="00734A50">
        <w:t>these indicators</w:t>
      </w:r>
      <w:r w:rsidR="00885B73" w:rsidRPr="00734A50">
        <w:t xml:space="preserve"> (e.g. attrition due to personal reasons)</w:t>
      </w:r>
      <w:r w:rsidR="3320C906" w:rsidRPr="00734A50">
        <w:t>.</w:t>
      </w:r>
      <w:r w:rsidRPr="00734A50">
        <w:t xml:space="preserve"> </w:t>
      </w:r>
      <w:r w:rsidR="00885B73" w:rsidRPr="00734A50">
        <w:t xml:space="preserve">When </w:t>
      </w:r>
      <w:r w:rsidRPr="00734A50">
        <w:t xml:space="preserve">data on attrition and sustainability of employment </w:t>
      </w:r>
      <w:r w:rsidR="00D376F6" w:rsidRPr="00734A50">
        <w:t xml:space="preserve">is </w:t>
      </w:r>
      <w:r w:rsidR="00885B73" w:rsidRPr="00734A50">
        <w:t xml:space="preserve">reported, it </w:t>
      </w:r>
      <w:r w:rsidRPr="00734A50">
        <w:t>should be accompanied</w:t>
      </w:r>
      <w:r w:rsidR="00885B73" w:rsidRPr="00734A50">
        <w:t xml:space="preserve"> </w:t>
      </w:r>
      <w:r w:rsidR="00034E5F">
        <w:t xml:space="preserve">by </w:t>
      </w:r>
      <w:r w:rsidR="00885B73" w:rsidRPr="00734A50">
        <w:t>contextual information from each higher education provider (e.g.</w:t>
      </w:r>
      <w:r w:rsidR="00DD5793" w:rsidRPr="00734A50">
        <w:t xml:space="preserve"> the</w:t>
      </w:r>
      <w:r w:rsidRPr="00734A50">
        <w:t xml:space="preserve"> reasons why ITE students and beginning teachers intend to leave their </w:t>
      </w:r>
      <w:r w:rsidR="00A32228" w:rsidRPr="00734A50">
        <w:t xml:space="preserve">program </w:t>
      </w:r>
      <w:r w:rsidRPr="00734A50">
        <w:t>and the teaching profession</w:t>
      </w:r>
      <w:r w:rsidR="00885B73" w:rsidRPr="00734A50">
        <w:t>)</w:t>
      </w:r>
      <w:r w:rsidRPr="00734A50">
        <w:t xml:space="preserve">. This data is </w:t>
      </w:r>
      <w:r w:rsidR="00885B73" w:rsidRPr="00734A50">
        <w:t xml:space="preserve">already collected </w:t>
      </w:r>
      <w:r w:rsidR="00DD5793" w:rsidRPr="00734A50">
        <w:t>through the</w:t>
      </w:r>
      <w:r w:rsidRPr="00734A50">
        <w:t xml:space="preserve"> ATWD</w:t>
      </w:r>
      <w:r w:rsidR="00885B73" w:rsidRPr="00734A50">
        <w:t xml:space="preserve"> collection</w:t>
      </w:r>
      <w:r w:rsidRPr="00734A50">
        <w:t xml:space="preserve">. </w:t>
      </w:r>
    </w:p>
    <w:p w14:paraId="730D2CE6" w14:textId="76246EB1" w:rsidR="00EA00B0" w:rsidRPr="00734A50" w:rsidRDefault="00EA00B0" w:rsidP="00A36740">
      <w:pPr>
        <w:pStyle w:val="Heading5"/>
      </w:pPr>
      <w:r w:rsidRPr="00734A50">
        <w:lastRenderedPageBreak/>
        <w:t>Displaying data</w:t>
      </w:r>
    </w:p>
    <w:p w14:paraId="5B80775A" w14:textId="5614F74A" w:rsidR="00EA00B0" w:rsidRPr="00734A50" w:rsidRDefault="00EA00B0" w:rsidP="00EA00B0">
      <w:r w:rsidRPr="00734A50">
        <w:t xml:space="preserve">Reporting on the </w:t>
      </w:r>
      <w:r w:rsidR="51E9C9ED" w:rsidRPr="00734A50">
        <w:t>indicators</w:t>
      </w:r>
      <w:r w:rsidR="3320C906" w:rsidRPr="00734A50">
        <w:t xml:space="preserve"> </w:t>
      </w:r>
      <w:r w:rsidR="00443446" w:rsidRPr="00734A50">
        <w:t>will</w:t>
      </w:r>
      <w:r w:rsidRPr="00734A50">
        <w:t xml:space="preserve"> show </w:t>
      </w:r>
      <w:r w:rsidR="00885B73" w:rsidRPr="00734A50">
        <w:t>trends over time</w:t>
      </w:r>
      <w:r w:rsidRPr="00734A50">
        <w:t xml:space="preserve">. Where </w:t>
      </w:r>
      <w:r w:rsidR="00D376F6" w:rsidRPr="00734A50">
        <w:t xml:space="preserve">it is </w:t>
      </w:r>
      <w:r w:rsidRPr="00734A50">
        <w:t xml:space="preserve">possible and sample sizes are sufficient, data </w:t>
      </w:r>
      <w:r w:rsidR="00E95EFF" w:rsidRPr="00734A50">
        <w:t>would</w:t>
      </w:r>
      <w:r w:rsidRPr="00734A50">
        <w:t xml:space="preserve"> be published by program as well as by higher education provider. </w:t>
      </w:r>
    </w:p>
    <w:p w14:paraId="6A6FA503" w14:textId="5D792182" w:rsidR="00EA00B0" w:rsidRPr="00734A50" w:rsidRDefault="00EA00B0" w:rsidP="00EA00B0">
      <w:r w:rsidRPr="00734A50">
        <w:t xml:space="preserve">In the first summary table </w:t>
      </w:r>
      <w:r w:rsidR="00D376F6" w:rsidRPr="00734A50">
        <w:t xml:space="preserve">each </w:t>
      </w:r>
      <w:r w:rsidRPr="00734A50">
        <w:t xml:space="preserve">higher education provider’s results </w:t>
      </w:r>
      <w:r w:rsidR="00E95EFF" w:rsidRPr="00734A50">
        <w:t>would</w:t>
      </w:r>
      <w:r w:rsidRPr="00734A50">
        <w:t xml:space="preserve"> be summarised by comparing statistics from the most recent reporting period to previous long-term results (see Table</w:t>
      </w:r>
      <w:r w:rsidR="00D376F6" w:rsidRPr="00734A50">
        <w:t> </w:t>
      </w:r>
      <w:r w:rsidRPr="00734A50">
        <w:t>2.3).</w:t>
      </w:r>
      <w:r w:rsidR="007B31A6" w:rsidRPr="00734A50">
        <w:rPr>
          <w:rStyle w:val="FootnoteReference"/>
        </w:rPr>
        <w:footnoteReference w:id="9"/>
      </w:r>
      <w:r w:rsidRPr="00734A50">
        <w:t xml:space="preserve"> </w:t>
      </w:r>
      <w:r w:rsidR="152B398F" w:rsidRPr="00734A50">
        <w:t>Each</w:t>
      </w:r>
      <w:r w:rsidR="3EE13CA1" w:rsidRPr="00734A50">
        <w:t xml:space="preserve"> </w:t>
      </w:r>
      <w:r w:rsidR="00885B73" w:rsidRPr="00734A50">
        <w:t xml:space="preserve">of the four categories </w:t>
      </w:r>
      <w:r w:rsidR="26BE76B2" w:rsidRPr="00734A50">
        <w:t>would have its own table.</w:t>
      </w:r>
    </w:p>
    <w:p w14:paraId="581A64D1" w14:textId="6A7C974F" w:rsidR="00EA00B0" w:rsidRPr="00734A50" w:rsidRDefault="00EA00B0" w:rsidP="00A11638">
      <w:pPr>
        <w:pStyle w:val="HeadingTable"/>
        <w:numPr>
          <w:ilvl w:val="0"/>
          <w:numId w:val="0"/>
        </w:numPr>
        <w:rPr>
          <w:szCs w:val="28"/>
        </w:rPr>
      </w:pPr>
      <w:r w:rsidRPr="00734A50">
        <w:rPr>
          <w:sz w:val="22"/>
          <w:szCs w:val="28"/>
        </w:rPr>
        <w:t>Table 2.3</w:t>
      </w:r>
      <w:r w:rsidR="00E77A6C" w:rsidRPr="00734A50">
        <w:rPr>
          <w:sz w:val="22"/>
          <w:szCs w:val="28"/>
        </w:rPr>
        <w:t>:</w:t>
      </w:r>
      <w:r w:rsidRPr="00734A50">
        <w:rPr>
          <w:sz w:val="22"/>
          <w:szCs w:val="28"/>
        </w:rPr>
        <w:t xml:space="preserve"> Excerpt </w:t>
      </w:r>
      <w:r w:rsidR="00D376F6" w:rsidRPr="00734A50">
        <w:rPr>
          <w:sz w:val="22"/>
          <w:szCs w:val="28"/>
        </w:rPr>
        <w:t>from</w:t>
      </w:r>
      <w:r w:rsidRPr="00734A50">
        <w:rPr>
          <w:sz w:val="22"/>
          <w:szCs w:val="28"/>
        </w:rPr>
        <w:t xml:space="preserve"> </w:t>
      </w:r>
      <w:r w:rsidR="00581E26" w:rsidRPr="00734A50">
        <w:rPr>
          <w:sz w:val="22"/>
          <w:szCs w:val="28"/>
        </w:rPr>
        <w:t>s</w:t>
      </w:r>
      <w:r w:rsidRPr="00734A50">
        <w:rPr>
          <w:sz w:val="22"/>
          <w:szCs w:val="28"/>
        </w:rPr>
        <w:t xml:space="preserve">election summary tables comparing </w:t>
      </w:r>
      <w:r w:rsidR="007C39FE" w:rsidRPr="00734A50">
        <w:rPr>
          <w:sz w:val="22"/>
          <w:szCs w:val="28"/>
        </w:rPr>
        <w:t>indicators across</w:t>
      </w:r>
      <w:r w:rsidRPr="00734A50">
        <w:rPr>
          <w:sz w:val="22"/>
          <w:szCs w:val="28"/>
        </w:rPr>
        <w:t xml:space="preserve"> higher education providers</w:t>
      </w:r>
    </w:p>
    <w:tbl>
      <w:tblPr>
        <w:tblStyle w:val="EDU-Basic"/>
        <w:tblW w:w="9214" w:type="dxa"/>
        <w:tblLayout w:type="fixed"/>
        <w:tblLook w:val="04A0" w:firstRow="1" w:lastRow="0" w:firstColumn="1" w:lastColumn="0" w:noHBand="0" w:noVBand="1"/>
      </w:tblPr>
      <w:tblGrid>
        <w:gridCol w:w="1134"/>
        <w:gridCol w:w="1134"/>
        <w:gridCol w:w="1276"/>
        <w:gridCol w:w="1008"/>
        <w:gridCol w:w="1544"/>
        <w:gridCol w:w="1038"/>
        <w:gridCol w:w="2080"/>
      </w:tblGrid>
      <w:tr w:rsidR="00EA00B0" w:rsidRPr="00734A50" w14:paraId="0037B6F0" w14:textId="77777777" w:rsidTr="3B825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nil"/>
              <w:right w:val="single" w:sz="4" w:space="0" w:color="auto"/>
            </w:tcBorders>
            <w:shd w:val="clear" w:color="auto" w:fill="auto"/>
          </w:tcPr>
          <w:p w14:paraId="079A8204" w14:textId="77777777" w:rsidR="00EA00B0" w:rsidRPr="00734A50" w:rsidRDefault="00EA00B0" w:rsidP="00E44E8A">
            <w:pPr>
              <w:spacing w:after="0"/>
              <w:rPr>
                <w:b/>
                <w:bCs/>
                <w:color w:val="auto"/>
              </w:rPr>
            </w:pPr>
            <w:r w:rsidRPr="00734A50">
              <w:rPr>
                <w:b/>
                <w:bCs/>
                <w:color w:val="auto"/>
              </w:rPr>
              <w:t>Selection</w:t>
            </w:r>
          </w:p>
        </w:tc>
        <w:tc>
          <w:tcPr>
            <w:tcW w:w="2410" w:type="dxa"/>
            <w:gridSpan w:val="2"/>
            <w:tcBorders>
              <w:left w:val="single" w:sz="4" w:space="0" w:color="auto"/>
              <w:bottom w:val="nil"/>
            </w:tcBorders>
            <w:shd w:val="clear" w:color="auto" w:fill="FECF52" w:themeFill="accent2"/>
          </w:tcPr>
          <w:p w14:paraId="4D7A8FFF" w14:textId="77777777" w:rsidR="00EA00B0" w:rsidRPr="00734A50" w:rsidRDefault="00EA00B0" w:rsidP="00E44E8A">
            <w:pPr>
              <w:spacing w:after="0"/>
              <w:jc w:val="center"/>
              <w:cnfStyle w:val="100000000000" w:firstRow="1" w:lastRow="0" w:firstColumn="0" w:lastColumn="0" w:oddVBand="0" w:evenVBand="0" w:oddHBand="0" w:evenHBand="0" w:firstRowFirstColumn="0" w:firstRowLastColumn="0" w:lastRowFirstColumn="0" w:lastRowLastColumn="0"/>
              <w:rPr>
                <w:b/>
                <w:bCs/>
                <w:color w:val="auto"/>
              </w:rPr>
            </w:pPr>
            <w:r w:rsidRPr="00734A50">
              <w:rPr>
                <w:b/>
                <w:bCs/>
                <w:color w:val="auto"/>
              </w:rPr>
              <w:t>First Nations students</w:t>
            </w:r>
          </w:p>
        </w:tc>
        <w:tc>
          <w:tcPr>
            <w:tcW w:w="2552" w:type="dxa"/>
            <w:gridSpan w:val="2"/>
            <w:tcBorders>
              <w:bottom w:val="nil"/>
            </w:tcBorders>
            <w:shd w:val="clear" w:color="auto" w:fill="FECF52" w:themeFill="accent2"/>
          </w:tcPr>
          <w:p w14:paraId="71F2FA7B" w14:textId="77777777" w:rsidR="00EA00B0" w:rsidRPr="00734A50" w:rsidRDefault="00EA00B0" w:rsidP="00E44E8A">
            <w:pPr>
              <w:spacing w:after="0"/>
              <w:jc w:val="center"/>
              <w:cnfStyle w:val="100000000000" w:firstRow="1" w:lastRow="0" w:firstColumn="0" w:lastColumn="0" w:oddVBand="0" w:evenVBand="0" w:oddHBand="0" w:evenHBand="0" w:firstRowFirstColumn="0" w:firstRowLastColumn="0" w:lastRowFirstColumn="0" w:lastRowLastColumn="0"/>
              <w:rPr>
                <w:b/>
                <w:bCs/>
                <w:color w:val="auto"/>
              </w:rPr>
            </w:pPr>
            <w:r w:rsidRPr="00734A50">
              <w:rPr>
                <w:b/>
                <w:bCs/>
                <w:color w:val="auto"/>
              </w:rPr>
              <w:t>Regional and remote students</w:t>
            </w:r>
          </w:p>
        </w:tc>
        <w:tc>
          <w:tcPr>
            <w:tcW w:w="3118" w:type="dxa"/>
            <w:gridSpan w:val="2"/>
            <w:tcBorders>
              <w:bottom w:val="nil"/>
            </w:tcBorders>
            <w:shd w:val="clear" w:color="auto" w:fill="FECF52" w:themeFill="accent2"/>
          </w:tcPr>
          <w:p w14:paraId="11804084" w14:textId="77777777" w:rsidR="00EA00B0" w:rsidRPr="00734A50" w:rsidRDefault="00EA00B0" w:rsidP="00E44E8A">
            <w:pPr>
              <w:spacing w:after="0"/>
              <w:jc w:val="center"/>
              <w:cnfStyle w:val="100000000000" w:firstRow="1" w:lastRow="0" w:firstColumn="0" w:lastColumn="0" w:oddVBand="0" w:evenVBand="0" w:oddHBand="0" w:evenHBand="0" w:firstRowFirstColumn="0" w:firstRowLastColumn="0" w:lastRowFirstColumn="0" w:lastRowLastColumn="0"/>
              <w:rPr>
                <w:b/>
                <w:bCs/>
                <w:color w:val="auto"/>
              </w:rPr>
            </w:pPr>
            <w:r w:rsidRPr="00734A50">
              <w:rPr>
                <w:b/>
                <w:bCs/>
                <w:color w:val="auto"/>
              </w:rPr>
              <w:t>Low SES students</w:t>
            </w:r>
          </w:p>
        </w:tc>
      </w:tr>
      <w:tr w:rsidR="00DC5231" w:rsidRPr="00734A50" w14:paraId="71D2C96A" w14:textId="77777777" w:rsidTr="3B8259A4">
        <w:tc>
          <w:tcPr>
            <w:cnfStyle w:val="001000000000" w:firstRow="0" w:lastRow="0" w:firstColumn="1" w:lastColumn="0" w:oddVBand="0" w:evenVBand="0" w:oddHBand="0" w:evenHBand="0" w:firstRowFirstColumn="0" w:firstRowLastColumn="0" w:lastRowFirstColumn="0" w:lastRowLastColumn="0"/>
            <w:tcW w:w="1134" w:type="dxa"/>
            <w:tcBorders>
              <w:top w:val="nil"/>
              <w:left w:val="nil"/>
              <w:bottom w:val="single" w:sz="4" w:space="0" w:color="auto"/>
              <w:right w:val="single" w:sz="4" w:space="0" w:color="auto"/>
            </w:tcBorders>
            <w:shd w:val="clear" w:color="auto" w:fill="auto"/>
          </w:tcPr>
          <w:p w14:paraId="7471C464" w14:textId="77777777" w:rsidR="00EA00B0" w:rsidRPr="00734A50" w:rsidRDefault="00EA00B0" w:rsidP="00E44E8A">
            <w:pPr>
              <w:spacing w:after="0"/>
              <w:rPr>
                <w:b/>
                <w:bCs/>
              </w:rPr>
            </w:pPr>
          </w:p>
        </w:tc>
        <w:tc>
          <w:tcPr>
            <w:tcW w:w="1134" w:type="dxa"/>
            <w:tcBorders>
              <w:top w:val="nil"/>
              <w:left w:val="single" w:sz="4" w:space="0" w:color="auto"/>
              <w:bottom w:val="single" w:sz="4" w:space="0" w:color="auto"/>
              <w:right w:val="nil"/>
            </w:tcBorders>
            <w:shd w:val="clear" w:color="auto" w:fill="FECF52" w:themeFill="accent2"/>
          </w:tcPr>
          <w:p w14:paraId="4B881ACD" w14:textId="2FC6134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
                <w:bCs/>
                <w:sz w:val="20"/>
              </w:rPr>
            </w:pPr>
            <w:r w:rsidRPr="00734A50">
              <w:rPr>
                <w:b/>
                <w:bCs/>
                <w:sz w:val="20"/>
              </w:rPr>
              <w:t xml:space="preserve">2020 </w:t>
            </w:r>
          </w:p>
        </w:tc>
        <w:tc>
          <w:tcPr>
            <w:tcW w:w="1276" w:type="dxa"/>
            <w:tcBorders>
              <w:top w:val="nil"/>
              <w:left w:val="nil"/>
              <w:bottom w:val="single" w:sz="4" w:space="0" w:color="auto"/>
            </w:tcBorders>
            <w:shd w:val="clear" w:color="auto" w:fill="FECF52" w:themeFill="accent2"/>
          </w:tcPr>
          <w:p w14:paraId="3F79170B" w14:textId="5F968014" w:rsidR="00EA00B0" w:rsidRPr="00734A50" w:rsidRDefault="00EA00B0" w:rsidP="00CFAC41">
            <w:pPr>
              <w:spacing w:after="0"/>
              <w:jc w:val="center"/>
              <w:cnfStyle w:val="000000000000" w:firstRow="0" w:lastRow="0" w:firstColumn="0" w:lastColumn="0" w:oddVBand="0" w:evenVBand="0" w:oddHBand="0" w:evenHBand="0" w:firstRowFirstColumn="0" w:firstRowLastColumn="0" w:lastRowFirstColumn="0" w:lastRowLastColumn="0"/>
              <w:rPr>
                <w:b/>
                <w:bCs/>
                <w:sz w:val="20"/>
              </w:rPr>
            </w:pPr>
            <w:r w:rsidRPr="00734A50">
              <w:rPr>
                <w:bCs/>
                <w:sz w:val="20"/>
              </w:rPr>
              <w:t xml:space="preserve">Difference </w:t>
            </w:r>
            <w:r w:rsidRPr="00734A50">
              <w:rPr>
                <w:b/>
                <w:bCs/>
                <w:sz w:val="20"/>
              </w:rPr>
              <w:t>201</w:t>
            </w:r>
            <w:r w:rsidR="00BD7805">
              <w:rPr>
                <w:b/>
                <w:bCs/>
                <w:sz w:val="20"/>
              </w:rPr>
              <w:t>5</w:t>
            </w:r>
            <w:r w:rsidR="00D376F6" w:rsidRPr="00734A50">
              <w:rPr>
                <w:b/>
                <w:bCs/>
                <w:sz w:val="20"/>
              </w:rPr>
              <w:t>–</w:t>
            </w:r>
            <w:r w:rsidR="00D376F6" w:rsidRPr="00734A50">
              <w:rPr>
                <w:b/>
                <w:bCs/>
                <w:sz w:val="20"/>
                <w:szCs w:val="20"/>
              </w:rPr>
              <w:t>20</w:t>
            </w:r>
            <w:r w:rsidRPr="00734A50">
              <w:rPr>
                <w:b/>
                <w:bCs/>
                <w:sz w:val="20"/>
                <w:szCs w:val="20"/>
              </w:rPr>
              <w:t>19</w:t>
            </w:r>
          </w:p>
        </w:tc>
        <w:tc>
          <w:tcPr>
            <w:tcW w:w="1008" w:type="dxa"/>
            <w:tcBorders>
              <w:top w:val="nil"/>
              <w:bottom w:val="single" w:sz="4" w:space="0" w:color="auto"/>
              <w:right w:val="nil"/>
            </w:tcBorders>
            <w:shd w:val="clear" w:color="auto" w:fill="FECF52" w:themeFill="accent2"/>
          </w:tcPr>
          <w:p w14:paraId="2375E268" w14:textId="5CDE68D4"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
                <w:bCs/>
                <w:sz w:val="20"/>
              </w:rPr>
            </w:pPr>
            <w:r w:rsidRPr="00734A50">
              <w:rPr>
                <w:b/>
                <w:bCs/>
                <w:sz w:val="20"/>
              </w:rPr>
              <w:t xml:space="preserve">2020 </w:t>
            </w:r>
          </w:p>
        </w:tc>
        <w:tc>
          <w:tcPr>
            <w:tcW w:w="1544" w:type="dxa"/>
            <w:tcBorders>
              <w:top w:val="nil"/>
              <w:left w:val="nil"/>
              <w:bottom w:val="single" w:sz="4" w:space="0" w:color="auto"/>
            </w:tcBorders>
            <w:shd w:val="clear" w:color="auto" w:fill="FECF52" w:themeFill="accent2"/>
          </w:tcPr>
          <w:p w14:paraId="7C7B6859" w14:textId="2BBC6206" w:rsidR="00EA00B0" w:rsidRPr="00734A50" w:rsidRDefault="00EA00B0" w:rsidP="00CFAC41">
            <w:pPr>
              <w:spacing w:after="0"/>
              <w:jc w:val="center"/>
              <w:cnfStyle w:val="000000000000" w:firstRow="0" w:lastRow="0" w:firstColumn="0" w:lastColumn="0" w:oddVBand="0" w:evenVBand="0" w:oddHBand="0" w:evenHBand="0" w:firstRowFirstColumn="0" w:firstRowLastColumn="0" w:lastRowFirstColumn="0" w:lastRowLastColumn="0"/>
              <w:rPr>
                <w:b/>
                <w:bCs/>
                <w:sz w:val="20"/>
              </w:rPr>
            </w:pPr>
            <w:r w:rsidRPr="00734A50">
              <w:rPr>
                <w:bCs/>
                <w:sz w:val="20"/>
              </w:rPr>
              <w:t xml:space="preserve">Difference </w:t>
            </w:r>
            <w:r w:rsidRPr="00734A50">
              <w:rPr>
                <w:b/>
                <w:bCs/>
                <w:sz w:val="20"/>
              </w:rPr>
              <w:t>201</w:t>
            </w:r>
            <w:r w:rsidR="00BD7805">
              <w:rPr>
                <w:b/>
                <w:bCs/>
                <w:sz w:val="20"/>
              </w:rPr>
              <w:t>5</w:t>
            </w:r>
            <w:r w:rsidR="00D376F6" w:rsidRPr="00734A50">
              <w:rPr>
                <w:b/>
                <w:bCs/>
                <w:sz w:val="20"/>
              </w:rPr>
              <w:t>–</w:t>
            </w:r>
            <w:r w:rsidR="00D376F6" w:rsidRPr="00734A50">
              <w:rPr>
                <w:b/>
                <w:bCs/>
                <w:sz w:val="20"/>
                <w:szCs w:val="20"/>
              </w:rPr>
              <w:t>20</w:t>
            </w:r>
            <w:r w:rsidRPr="00734A50">
              <w:rPr>
                <w:b/>
                <w:bCs/>
                <w:sz w:val="20"/>
                <w:szCs w:val="20"/>
              </w:rPr>
              <w:t>19</w:t>
            </w:r>
          </w:p>
        </w:tc>
        <w:tc>
          <w:tcPr>
            <w:tcW w:w="1038" w:type="dxa"/>
            <w:tcBorders>
              <w:top w:val="nil"/>
              <w:bottom w:val="single" w:sz="4" w:space="0" w:color="auto"/>
              <w:right w:val="nil"/>
            </w:tcBorders>
            <w:shd w:val="clear" w:color="auto" w:fill="FECF52" w:themeFill="accent2"/>
          </w:tcPr>
          <w:p w14:paraId="255F23DB" w14:textId="5B686548"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
                <w:bCs/>
                <w:sz w:val="20"/>
              </w:rPr>
            </w:pPr>
            <w:r w:rsidRPr="00734A50">
              <w:rPr>
                <w:b/>
                <w:bCs/>
                <w:sz w:val="20"/>
              </w:rPr>
              <w:t xml:space="preserve">2020 </w:t>
            </w:r>
          </w:p>
        </w:tc>
        <w:tc>
          <w:tcPr>
            <w:tcW w:w="2080" w:type="dxa"/>
            <w:tcBorders>
              <w:top w:val="nil"/>
              <w:left w:val="nil"/>
              <w:bottom w:val="single" w:sz="4" w:space="0" w:color="auto"/>
            </w:tcBorders>
            <w:shd w:val="clear" w:color="auto" w:fill="FECF52" w:themeFill="accent2"/>
          </w:tcPr>
          <w:p w14:paraId="4DEF5669" w14:textId="75094316" w:rsidR="00EA00B0" w:rsidRPr="00734A50" w:rsidRDefault="00EA00B0" w:rsidP="00CFAC41">
            <w:pPr>
              <w:spacing w:after="0"/>
              <w:jc w:val="center"/>
              <w:cnfStyle w:val="000000000000" w:firstRow="0" w:lastRow="0" w:firstColumn="0" w:lastColumn="0" w:oddVBand="0" w:evenVBand="0" w:oddHBand="0" w:evenHBand="0" w:firstRowFirstColumn="0" w:firstRowLastColumn="0" w:lastRowFirstColumn="0" w:lastRowLastColumn="0"/>
              <w:rPr>
                <w:b/>
                <w:bCs/>
                <w:sz w:val="20"/>
              </w:rPr>
            </w:pPr>
            <w:r w:rsidRPr="00734A50">
              <w:rPr>
                <w:bCs/>
                <w:sz w:val="20"/>
              </w:rPr>
              <w:t xml:space="preserve">Difference </w:t>
            </w:r>
            <w:r w:rsidRPr="00734A50">
              <w:rPr>
                <w:b/>
                <w:bCs/>
                <w:sz w:val="20"/>
              </w:rPr>
              <w:t>201</w:t>
            </w:r>
            <w:r w:rsidR="00BD7805">
              <w:rPr>
                <w:b/>
                <w:bCs/>
                <w:sz w:val="20"/>
              </w:rPr>
              <w:t>5</w:t>
            </w:r>
            <w:r w:rsidR="00D376F6" w:rsidRPr="00734A50">
              <w:rPr>
                <w:b/>
                <w:bCs/>
                <w:sz w:val="20"/>
              </w:rPr>
              <w:t>–</w:t>
            </w:r>
            <w:r w:rsidR="00D376F6" w:rsidRPr="00734A50">
              <w:rPr>
                <w:b/>
                <w:bCs/>
                <w:sz w:val="20"/>
                <w:szCs w:val="20"/>
              </w:rPr>
              <w:t>20</w:t>
            </w:r>
            <w:r w:rsidRPr="00734A50">
              <w:rPr>
                <w:b/>
                <w:bCs/>
                <w:sz w:val="20"/>
                <w:szCs w:val="20"/>
              </w:rPr>
              <w:t>19</w:t>
            </w:r>
          </w:p>
        </w:tc>
      </w:tr>
      <w:tr w:rsidR="00DC5231" w:rsidRPr="00734A50" w14:paraId="305134C6" w14:textId="77777777" w:rsidTr="3B8259A4">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nil"/>
              <w:right w:val="single" w:sz="4" w:space="0" w:color="auto"/>
            </w:tcBorders>
            <w:shd w:val="clear" w:color="auto" w:fill="F2F2F2" w:themeFill="accent6" w:themeFillShade="F2"/>
          </w:tcPr>
          <w:p w14:paraId="3E85EE74" w14:textId="7B7669E1" w:rsidR="00EA00B0" w:rsidRPr="00734A50" w:rsidRDefault="00EA00B0" w:rsidP="00E44E8A">
            <w:pPr>
              <w:spacing w:after="0"/>
              <w:rPr>
                <w:b/>
                <w:bCs/>
              </w:rPr>
            </w:pPr>
            <w:r w:rsidRPr="00734A50">
              <w:rPr>
                <w:b/>
                <w:bCs/>
              </w:rPr>
              <w:t xml:space="preserve">National </w:t>
            </w:r>
            <w:r w:rsidR="00D376F6" w:rsidRPr="00734A50">
              <w:rPr>
                <w:b/>
                <w:bCs/>
              </w:rPr>
              <w:t>a</w:t>
            </w:r>
            <w:r w:rsidRPr="00734A50">
              <w:rPr>
                <w:b/>
                <w:bCs/>
              </w:rPr>
              <w:t>verage</w:t>
            </w:r>
          </w:p>
        </w:tc>
        <w:tc>
          <w:tcPr>
            <w:tcW w:w="1134" w:type="dxa"/>
            <w:tcBorders>
              <w:left w:val="single" w:sz="4" w:space="0" w:color="auto"/>
              <w:bottom w:val="nil"/>
              <w:right w:val="nil"/>
            </w:tcBorders>
            <w:shd w:val="clear" w:color="auto" w:fill="F2F2F2" w:themeFill="accent6" w:themeFillShade="F2"/>
          </w:tcPr>
          <w:p w14:paraId="3319B73A"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2.4%</w:t>
            </w:r>
          </w:p>
        </w:tc>
        <w:tc>
          <w:tcPr>
            <w:tcW w:w="1276" w:type="dxa"/>
            <w:tcBorders>
              <w:left w:val="nil"/>
              <w:bottom w:val="nil"/>
              <w:right w:val="single" w:sz="4" w:space="0" w:color="auto"/>
            </w:tcBorders>
            <w:shd w:val="clear" w:color="auto" w:fill="F2F2F2" w:themeFill="accent6" w:themeFillShade="F2"/>
          </w:tcPr>
          <w:p w14:paraId="7C96F2CD" w14:textId="5471A84C"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↑0.</w:t>
            </w:r>
            <w:r w:rsidR="00BD3763">
              <w:rPr>
                <w:bCs/>
              </w:rPr>
              <w:t>2</w:t>
            </w:r>
          </w:p>
        </w:tc>
        <w:tc>
          <w:tcPr>
            <w:tcW w:w="1008" w:type="dxa"/>
            <w:tcBorders>
              <w:left w:val="single" w:sz="4" w:space="0" w:color="auto"/>
              <w:bottom w:val="nil"/>
              <w:right w:val="nil"/>
            </w:tcBorders>
            <w:shd w:val="clear" w:color="auto" w:fill="F2F2F2" w:themeFill="accent6" w:themeFillShade="F2"/>
          </w:tcPr>
          <w:p w14:paraId="45ED8E4B"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24.8%</w:t>
            </w:r>
          </w:p>
        </w:tc>
        <w:tc>
          <w:tcPr>
            <w:tcW w:w="1544" w:type="dxa"/>
            <w:tcBorders>
              <w:left w:val="nil"/>
              <w:bottom w:val="nil"/>
              <w:right w:val="single" w:sz="4" w:space="0" w:color="auto"/>
            </w:tcBorders>
            <w:shd w:val="clear" w:color="auto" w:fill="F2F2F2" w:themeFill="accent6" w:themeFillShade="F2"/>
          </w:tcPr>
          <w:p w14:paraId="4578BBC5" w14:textId="71173DFE"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↓1.</w:t>
            </w:r>
            <w:r w:rsidR="00BD3763">
              <w:rPr>
                <w:bCs/>
              </w:rPr>
              <w:t>7</w:t>
            </w:r>
          </w:p>
        </w:tc>
        <w:tc>
          <w:tcPr>
            <w:tcW w:w="1038" w:type="dxa"/>
            <w:tcBorders>
              <w:left w:val="single" w:sz="4" w:space="0" w:color="auto"/>
              <w:bottom w:val="nil"/>
              <w:right w:val="nil"/>
            </w:tcBorders>
            <w:shd w:val="clear" w:color="auto" w:fill="F2F2F2" w:themeFill="accent6" w:themeFillShade="F2"/>
          </w:tcPr>
          <w:p w14:paraId="43C85D51"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20.4%</w:t>
            </w:r>
          </w:p>
        </w:tc>
        <w:tc>
          <w:tcPr>
            <w:tcW w:w="2080" w:type="dxa"/>
            <w:tcBorders>
              <w:left w:val="nil"/>
              <w:bottom w:val="nil"/>
            </w:tcBorders>
            <w:shd w:val="clear" w:color="auto" w:fill="F2F2F2" w:themeFill="accent6" w:themeFillShade="F2"/>
          </w:tcPr>
          <w:p w14:paraId="78B0C3B7" w14:textId="26439D8B"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↓0.</w:t>
            </w:r>
            <w:r w:rsidR="00BD3763">
              <w:rPr>
                <w:bCs/>
              </w:rPr>
              <w:t>4</w:t>
            </w:r>
          </w:p>
        </w:tc>
      </w:tr>
      <w:tr w:rsidR="004E7A04" w:rsidRPr="00734A50" w14:paraId="318612F5" w14:textId="77777777" w:rsidTr="3B8259A4">
        <w:tc>
          <w:tcPr>
            <w:cnfStyle w:val="001000000000" w:firstRow="0" w:lastRow="0" w:firstColumn="1" w:lastColumn="0" w:oddVBand="0" w:evenVBand="0" w:oddHBand="0" w:evenHBand="0" w:firstRowFirstColumn="0" w:firstRowLastColumn="0" w:lastRowFirstColumn="0" w:lastRowLastColumn="0"/>
            <w:tcW w:w="1134" w:type="dxa"/>
            <w:tcBorders>
              <w:top w:val="nil"/>
              <w:bottom w:val="nil"/>
              <w:right w:val="single" w:sz="4" w:space="0" w:color="auto"/>
            </w:tcBorders>
            <w:shd w:val="clear" w:color="auto" w:fill="FEF5DC" w:themeFill="accent2" w:themeFillTint="33"/>
          </w:tcPr>
          <w:p w14:paraId="36625BFC" w14:textId="77777777" w:rsidR="00EA00B0" w:rsidRPr="00734A50" w:rsidRDefault="00EA00B0" w:rsidP="00E44E8A">
            <w:pPr>
              <w:spacing w:after="0"/>
              <w:rPr>
                <w:b/>
                <w:bCs/>
              </w:rPr>
            </w:pPr>
            <w:r w:rsidRPr="00734A50">
              <w:rPr>
                <w:b/>
                <w:bCs/>
              </w:rPr>
              <w:t>HEP1</w:t>
            </w:r>
          </w:p>
        </w:tc>
        <w:tc>
          <w:tcPr>
            <w:tcW w:w="1134" w:type="dxa"/>
            <w:tcBorders>
              <w:top w:val="nil"/>
              <w:left w:val="single" w:sz="4" w:space="0" w:color="auto"/>
              <w:bottom w:val="nil"/>
              <w:right w:val="nil"/>
            </w:tcBorders>
          </w:tcPr>
          <w:p w14:paraId="766F9408"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2.4%</w:t>
            </w:r>
          </w:p>
        </w:tc>
        <w:tc>
          <w:tcPr>
            <w:tcW w:w="1276" w:type="dxa"/>
            <w:tcBorders>
              <w:top w:val="nil"/>
              <w:left w:val="nil"/>
              <w:bottom w:val="nil"/>
              <w:right w:val="single" w:sz="4" w:space="0" w:color="auto"/>
            </w:tcBorders>
          </w:tcPr>
          <w:p w14:paraId="318EEDAB" w14:textId="1E415048"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↑0.</w:t>
            </w:r>
            <w:r w:rsidR="00BD3763">
              <w:rPr>
                <w:bCs/>
              </w:rPr>
              <w:t>8</w:t>
            </w:r>
          </w:p>
        </w:tc>
        <w:tc>
          <w:tcPr>
            <w:tcW w:w="1008" w:type="dxa"/>
            <w:tcBorders>
              <w:top w:val="nil"/>
              <w:left w:val="single" w:sz="4" w:space="0" w:color="auto"/>
              <w:bottom w:val="nil"/>
              <w:right w:val="nil"/>
            </w:tcBorders>
          </w:tcPr>
          <w:p w14:paraId="53408F36"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4.8%</w:t>
            </w:r>
          </w:p>
        </w:tc>
        <w:tc>
          <w:tcPr>
            <w:tcW w:w="1544" w:type="dxa"/>
            <w:tcBorders>
              <w:top w:val="nil"/>
              <w:left w:val="nil"/>
              <w:bottom w:val="nil"/>
              <w:right w:val="single" w:sz="4" w:space="0" w:color="auto"/>
            </w:tcBorders>
          </w:tcPr>
          <w:p w14:paraId="6EC2FF81" w14:textId="6AA31192"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w:t>
            </w:r>
            <w:r w:rsidR="00BD3763">
              <w:rPr>
                <w:bCs/>
              </w:rPr>
              <w:t>6.9</w:t>
            </w:r>
          </w:p>
        </w:tc>
        <w:tc>
          <w:tcPr>
            <w:tcW w:w="1038" w:type="dxa"/>
            <w:tcBorders>
              <w:top w:val="nil"/>
              <w:left w:val="single" w:sz="4" w:space="0" w:color="auto"/>
              <w:bottom w:val="nil"/>
              <w:right w:val="nil"/>
            </w:tcBorders>
          </w:tcPr>
          <w:p w14:paraId="49D0DF7D"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14.3%</w:t>
            </w:r>
          </w:p>
        </w:tc>
        <w:tc>
          <w:tcPr>
            <w:tcW w:w="2080" w:type="dxa"/>
            <w:tcBorders>
              <w:top w:val="nil"/>
              <w:left w:val="nil"/>
              <w:bottom w:val="nil"/>
            </w:tcBorders>
          </w:tcPr>
          <w:p w14:paraId="6D1AA057" w14:textId="0E5FF8F8"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↓3.</w:t>
            </w:r>
            <w:r w:rsidR="00BD3763">
              <w:rPr>
                <w:bCs/>
              </w:rPr>
              <w:t>2</w:t>
            </w:r>
          </w:p>
        </w:tc>
      </w:tr>
      <w:tr w:rsidR="004E7A04" w:rsidRPr="00734A50" w14:paraId="00E6CEEF" w14:textId="77777777" w:rsidTr="007A7831">
        <w:tc>
          <w:tcPr>
            <w:cnfStyle w:val="001000000000" w:firstRow="0" w:lastRow="0" w:firstColumn="1" w:lastColumn="0" w:oddVBand="0" w:evenVBand="0" w:oddHBand="0" w:evenHBand="0" w:firstRowFirstColumn="0" w:firstRowLastColumn="0" w:lastRowFirstColumn="0" w:lastRowLastColumn="0"/>
            <w:tcW w:w="1134" w:type="dxa"/>
            <w:tcBorders>
              <w:top w:val="nil"/>
              <w:bottom w:val="nil"/>
              <w:right w:val="single" w:sz="4" w:space="0" w:color="auto"/>
            </w:tcBorders>
            <w:shd w:val="clear" w:color="auto" w:fill="FEF5DC" w:themeFill="accent2" w:themeFillTint="33"/>
          </w:tcPr>
          <w:p w14:paraId="7F920376" w14:textId="77777777" w:rsidR="00EA00B0" w:rsidRPr="00734A50" w:rsidRDefault="00EA00B0" w:rsidP="00E44E8A">
            <w:pPr>
              <w:spacing w:after="0"/>
              <w:rPr>
                <w:b/>
                <w:bCs/>
              </w:rPr>
            </w:pPr>
            <w:r w:rsidRPr="00734A50">
              <w:rPr>
                <w:b/>
                <w:bCs/>
              </w:rPr>
              <w:t>HEP2</w:t>
            </w:r>
          </w:p>
        </w:tc>
        <w:tc>
          <w:tcPr>
            <w:tcW w:w="1134" w:type="dxa"/>
            <w:tcBorders>
              <w:top w:val="nil"/>
              <w:left w:val="single" w:sz="4" w:space="0" w:color="auto"/>
              <w:bottom w:val="nil"/>
              <w:right w:val="nil"/>
            </w:tcBorders>
          </w:tcPr>
          <w:p w14:paraId="1F9BCA7E"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2.1%</w:t>
            </w:r>
          </w:p>
        </w:tc>
        <w:tc>
          <w:tcPr>
            <w:tcW w:w="1276" w:type="dxa"/>
            <w:tcBorders>
              <w:top w:val="nil"/>
              <w:left w:val="nil"/>
              <w:bottom w:val="nil"/>
              <w:right w:val="single" w:sz="4" w:space="0" w:color="auto"/>
            </w:tcBorders>
          </w:tcPr>
          <w:p w14:paraId="36B40ABB" w14:textId="1C3F473D"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↑0.</w:t>
            </w:r>
            <w:r w:rsidR="00BD3763">
              <w:rPr>
                <w:bCs/>
              </w:rPr>
              <w:t>3</w:t>
            </w:r>
          </w:p>
        </w:tc>
        <w:tc>
          <w:tcPr>
            <w:tcW w:w="1008" w:type="dxa"/>
            <w:tcBorders>
              <w:top w:val="nil"/>
              <w:left w:val="single" w:sz="4" w:space="0" w:color="auto"/>
              <w:bottom w:val="nil"/>
              <w:right w:val="nil"/>
            </w:tcBorders>
          </w:tcPr>
          <w:p w14:paraId="340C824C"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20.1%</w:t>
            </w:r>
          </w:p>
        </w:tc>
        <w:tc>
          <w:tcPr>
            <w:tcW w:w="1544" w:type="dxa"/>
            <w:tcBorders>
              <w:top w:val="nil"/>
              <w:left w:val="nil"/>
              <w:bottom w:val="nil"/>
              <w:right w:val="single" w:sz="4" w:space="0" w:color="auto"/>
            </w:tcBorders>
          </w:tcPr>
          <w:p w14:paraId="5EEF79B2" w14:textId="6A6A044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w:t>
            </w:r>
            <w:r w:rsidR="00BD3763">
              <w:rPr>
                <w:bCs/>
              </w:rPr>
              <w:t>0.6</w:t>
            </w:r>
          </w:p>
        </w:tc>
        <w:tc>
          <w:tcPr>
            <w:tcW w:w="1038" w:type="dxa"/>
            <w:tcBorders>
              <w:top w:val="nil"/>
              <w:left w:val="single" w:sz="4" w:space="0" w:color="auto"/>
              <w:bottom w:val="nil"/>
              <w:right w:val="nil"/>
            </w:tcBorders>
          </w:tcPr>
          <w:p w14:paraId="241C8492"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14.7%</w:t>
            </w:r>
          </w:p>
        </w:tc>
        <w:tc>
          <w:tcPr>
            <w:tcW w:w="2080" w:type="dxa"/>
            <w:tcBorders>
              <w:top w:val="nil"/>
              <w:left w:val="nil"/>
              <w:bottom w:val="nil"/>
            </w:tcBorders>
          </w:tcPr>
          <w:p w14:paraId="7516A5E2" w14:textId="116B121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↓0.</w:t>
            </w:r>
            <w:r w:rsidR="00BD3763">
              <w:rPr>
                <w:bCs/>
              </w:rPr>
              <w:t>3</w:t>
            </w:r>
          </w:p>
        </w:tc>
      </w:tr>
      <w:tr w:rsidR="004E7A04" w:rsidRPr="00734A50" w14:paraId="588AFB07" w14:textId="77777777" w:rsidTr="007A7831">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right w:val="single" w:sz="4" w:space="0" w:color="auto"/>
            </w:tcBorders>
            <w:shd w:val="clear" w:color="auto" w:fill="FEF5DC" w:themeFill="accent2" w:themeFillTint="33"/>
          </w:tcPr>
          <w:p w14:paraId="319D55CE" w14:textId="77777777" w:rsidR="00EA00B0" w:rsidRPr="00734A50" w:rsidRDefault="00EA00B0" w:rsidP="00E44E8A">
            <w:pPr>
              <w:spacing w:after="0"/>
              <w:rPr>
                <w:b/>
                <w:bCs/>
              </w:rPr>
            </w:pPr>
            <w:r w:rsidRPr="00734A50">
              <w:rPr>
                <w:b/>
                <w:bCs/>
              </w:rPr>
              <w:t>HEP3</w:t>
            </w:r>
          </w:p>
        </w:tc>
        <w:tc>
          <w:tcPr>
            <w:tcW w:w="1134" w:type="dxa"/>
            <w:tcBorders>
              <w:top w:val="nil"/>
              <w:left w:val="single" w:sz="4" w:space="0" w:color="auto"/>
              <w:bottom w:val="single" w:sz="4" w:space="0" w:color="auto"/>
              <w:right w:val="nil"/>
            </w:tcBorders>
          </w:tcPr>
          <w:p w14:paraId="7BF19567"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1.5%</w:t>
            </w:r>
          </w:p>
        </w:tc>
        <w:tc>
          <w:tcPr>
            <w:tcW w:w="1276" w:type="dxa"/>
            <w:tcBorders>
              <w:top w:val="nil"/>
              <w:left w:val="nil"/>
              <w:bottom w:val="single" w:sz="4" w:space="0" w:color="auto"/>
              <w:right w:val="single" w:sz="4" w:space="0" w:color="auto"/>
            </w:tcBorders>
          </w:tcPr>
          <w:p w14:paraId="7DFD8664" w14:textId="4EC9DA03" w:rsidR="00EA00B0" w:rsidRPr="00734A50" w:rsidRDefault="00BD3763"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w:t>
            </w:r>
            <w:r>
              <w:rPr>
                <w:bCs/>
              </w:rPr>
              <w:t>0.1</w:t>
            </w:r>
          </w:p>
        </w:tc>
        <w:tc>
          <w:tcPr>
            <w:tcW w:w="1008" w:type="dxa"/>
            <w:tcBorders>
              <w:top w:val="nil"/>
              <w:left w:val="single" w:sz="4" w:space="0" w:color="auto"/>
              <w:bottom w:val="single" w:sz="4" w:space="0" w:color="auto"/>
              <w:right w:val="nil"/>
            </w:tcBorders>
          </w:tcPr>
          <w:p w14:paraId="02199734"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24.1%</w:t>
            </w:r>
          </w:p>
        </w:tc>
        <w:tc>
          <w:tcPr>
            <w:tcW w:w="1544" w:type="dxa"/>
            <w:tcBorders>
              <w:top w:val="nil"/>
              <w:left w:val="nil"/>
              <w:bottom w:val="single" w:sz="4" w:space="0" w:color="auto"/>
              <w:right w:val="single" w:sz="4" w:space="0" w:color="auto"/>
            </w:tcBorders>
          </w:tcPr>
          <w:p w14:paraId="2ACA5685" w14:textId="3FD3C9D9"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↓0.</w:t>
            </w:r>
            <w:r w:rsidR="00BD3763">
              <w:rPr>
                <w:bCs/>
              </w:rPr>
              <w:t>3</w:t>
            </w:r>
          </w:p>
        </w:tc>
        <w:tc>
          <w:tcPr>
            <w:tcW w:w="1038" w:type="dxa"/>
            <w:tcBorders>
              <w:top w:val="nil"/>
              <w:left w:val="single" w:sz="4" w:space="0" w:color="auto"/>
              <w:bottom w:val="single" w:sz="4" w:space="0" w:color="auto"/>
              <w:right w:val="nil"/>
            </w:tcBorders>
          </w:tcPr>
          <w:p w14:paraId="2F6601BD" w14:textId="77777777" w:rsidR="00EA00B0" w:rsidRPr="00734A50" w:rsidRDefault="00EA00B0"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23.2%</w:t>
            </w:r>
          </w:p>
        </w:tc>
        <w:tc>
          <w:tcPr>
            <w:tcW w:w="2080" w:type="dxa"/>
            <w:tcBorders>
              <w:top w:val="nil"/>
              <w:left w:val="nil"/>
              <w:bottom w:val="single" w:sz="4" w:space="0" w:color="auto"/>
            </w:tcBorders>
          </w:tcPr>
          <w:p w14:paraId="775D7CD5" w14:textId="09346A49" w:rsidR="00EA00B0" w:rsidRPr="00734A50" w:rsidRDefault="00BD3763" w:rsidP="00E44E8A">
            <w:pPr>
              <w:spacing w:after="0"/>
              <w:jc w:val="center"/>
              <w:cnfStyle w:val="000000000000" w:firstRow="0" w:lastRow="0" w:firstColumn="0" w:lastColumn="0" w:oddVBand="0" w:evenVBand="0" w:oddHBand="0" w:evenHBand="0" w:firstRowFirstColumn="0" w:firstRowLastColumn="0" w:lastRowFirstColumn="0" w:lastRowLastColumn="0"/>
              <w:rPr>
                <w:bCs/>
              </w:rPr>
            </w:pPr>
            <w:r w:rsidRPr="00734A50">
              <w:rPr>
                <w:bCs/>
              </w:rPr>
              <w:t>↑</w:t>
            </w:r>
            <w:r w:rsidR="00EA00B0" w:rsidRPr="00734A50">
              <w:rPr>
                <w:bCs/>
              </w:rPr>
              <w:t>0.</w:t>
            </w:r>
            <w:r>
              <w:rPr>
                <w:bCs/>
              </w:rPr>
              <w:t>2</w:t>
            </w:r>
          </w:p>
        </w:tc>
      </w:tr>
    </w:tbl>
    <w:p w14:paraId="6520A4FA" w14:textId="3FF8DA6B" w:rsidR="00D376F6" w:rsidRPr="00734A50" w:rsidRDefault="00D376F6" w:rsidP="00A36740">
      <w:pPr>
        <w:pStyle w:val="Source"/>
        <w:rPr>
          <w:sz w:val="20"/>
          <w:szCs w:val="24"/>
        </w:rPr>
      </w:pPr>
      <w:r w:rsidRPr="00734A50">
        <w:rPr>
          <w:sz w:val="20"/>
          <w:szCs w:val="24"/>
        </w:rPr>
        <w:t>HEP = higher education provider.</w:t>
      </w:r>
    </w:p>
    <w:p w14:paraId="76FF33F7" w14:textId="60BBE714" w:rsidR="00EA00B0" w:rsidRPr="00734A50" w:rsidRDefault="00EA00B0" w:rsidP="009A39F2">
      <w:pPr>
        <w:spacing w:before="200"/>
      </w:pPr>
      <w:r w:rsidRPr="00734A50">
        <w:t xml:space="preserve">Summary tables </w:t>
      </w:r>
      <w:r w:rsidR="003E7832" w:rsidRPr="00734A50">
        <w:t>would</w:t>
      </w:r>
      <w:r w:rsidRPr="00734A50">
        <w:t xml:space="preserve"> be linked to tables for each higher education provider, showing how each provider’s results compare to their previous long-term results and the national average. An example is shown in </w:t>
      </w:r>
      <w:r w:rsidR="00D82B16" w:rsidRPr="00734A50">
        <w:t>Table 2.4</w:t>
      </w:r>
      <w:r w:rsidRPr="00734A50">
        <w:t>.</w:t>
      </w:r>
    </w:p>
    <w:p w14:paraId="37797A99" w14:textId="0C6147AE" w:rsidR="00EA00B0" w:rsidRPr="00734A50" w:rsidRDefault="00D82B16" w:rsidP="00A36740">
      <w:pPr>
        <w:pStyle w:val="HeadingTable"/>
        <w:numPr>
          <w:ilvl w:val="0"/>
          <w:numId w:val="0"/>
        </w:numPr>
        <w:ind w:left="360" w:hanging="360"/>
        <w:rPr>
          <w:szCs w:val="28"/>
        </w:rPr>
      </w:pPr>
      <w:r w:rsidRPr="00734A50">
        <w:rPr>
          <w:sz w:val="22"/>
          <w:szCs w:val="28"/>
        </w:rPr>
        <w:t>Table 2.4</w:t>
      </w:r>
      <w:r w:rsidR="00E77A6C" w:rsidRPr="00734A50">
        <w:rPr>
          <w:sz w:val="22"/>
          <w:szCs w:val="28"/>
        </w:rPr>
        <w:t>:</w:t>
      </w:r>
      <w:r w:rsidR="00EA00B0" w:rsidRPr="00734A50">
        <w:rPr>
          <w:sz w:val="22"/>
          <w:szCs w:val="28"/>
        </w:rPr>
        <w:t xml:space="preserve"> Example of reporting performance for each higher education provider</w:t>
      </w:r>
      <w:r w:rsidR="00754949" w:rsidRPr="00734A50">
        <w:rPr>
          <w:rFonts w:cstheme="minorBidi"/>
          <w:sz w:val="22"/>
          <w:szCs w:val="28"/>
        </w:rPr>
        <w:t xml:space="preserve"> – </w:t>
      </w:r>
      <w:r w:rsidR="00EA00B0" w:rsidRPr="00734A50">
        <w:rPr>
          <w:sz w:val="22"/>
          <w:szCs w:val="28"/>
        </w:rPr>
        <w:t>HEP2</w:t>
      </w:r>
    </w:p>
    <w:tbl>
      <w:tblPr>
        <w:tblStyle w:val="TableGrid"/>
        <w:tblW w:w="9214" w:type="dxa"/>
        <w:tblInd w:w="-5" w:type="dxa"/>
        <w:tblBorders>
          <w:insideH w:val="none" w:sz="0" w:space="0" w:color="auto"/>
          <w:insideV w:val="none" w:sz="0" w:space="0" w:color="auto"/>
        </w:tblBorders>
        <w:tblLayout w:type="fixed"/>
        <w:tblLook w:val="04A0" w:firstRow="1" w:lastRow="0" w:firstColumn="1" w:lastColumn="0" w:noHBand="0" w:noVBand="1"/>
      </w:tblPr>
      <w:tblGrid>
        <w:gridCol w:w="1843"/>
        <w:gridCol w:w="1421"/>
        <w:gridCol w:w="1275"/>
        <w:gridCol w:w="1275"/>
        <w:gridCol w:w="991"/>
        <w:gridCol w:w="851"/>
        <w:gridCol w:w="284"/>
        <w:gridCol w:w="1274"/>
      </w:tblGrid>
      <w:tr w:rsidR="00E2716A" w:rsidRPr="00734A50" w14:paraId="3706B2E0" w14:textId="77777777" w:rsidTr="00A720D7">
        <w:tc>
          <w:tcPr>
            <w:tcW w:w="1843" w:type="dxa"/>
            <w:tcBorders>
              <w:top w:val="single" w:sz="4" w:space="0" w:color="auto"/>
              <w:left w:val="single" w:sz="4" w:space="0" w:color="auto"/>
              <w:bottom w:val="single" w:sz="4" w:space="0" w:color="auto"/>
            </w:tcBorders>
            <w:shd w:val="clear" w:color="auto" w:fill="FECF52" w:themeFill="accent2"/>
            <w:vAlign w:val="center"/>
          </w:tcPr>
          <w:p w14:paraId="4A6120C4" w14:textId="77777777" w:rsidR="0061305E" w:rsidRPr="00734A50" w:rsidRDefault="0061305E" w:rsidP="00E44E8A">
            <w:pPr>
              <w:rPr>
                <w:b/>
                <w:szCs w:val="20"/>
              </w:rPr>
            </w:pPr>
            <w:r w:rsidRPr="00734A50">
              <w:rPr>
                <w:b/>
                <w:szCs w:val="20"/>
              </w:rPr>
              <w:t>Indicator</w:t>
            </w:r>
          </w:p>
        </w:tc>
        <w:tc>
          <w:tcPr>
            <w:tcW w:w="1421" w:type="dxa"/>
            <w:tcBorders>
              <w:top w:val="single" w:sz="4" w:space="0" w:color="auto"/>
              <w:bottom w:val="single" w:sz="4" w:space="0" w:color="auto"/>
              <w:right w:val="single" w:sz="4" w:space="0" w:color="auto"/>
            </w:tcBorders>
            <w:shd w:val="clear" w:color="auto" w:fill="FECF52" w:themeFill="accent2"/>
            <w:vAlign w:val="center"/>
          </w:tcPr>
          <w:p w14:paraId="0B32C93C" w14:textId="4F0253F2" w:rsidR="0061305E" w:rsidRPr="00734A50" w:rsidRDefault="0061305E" w:rsidP="00E44E8A">
            <w:pPr>
              <w:jc w:val="center"/>
              <w:rPr>
                <w:b/>
                <w:szCs w:val="20"/>
              </w:rPr>
            </w:pPr>
            <w:r w:rsidRPr="00734A50">
              <w:rPr>
                <w:b/>
                <w:szCs w:val="20"/>
              </w:rPr>
              <w:t xml:space="preserve">2020 </w:t>
            </w:r>
          </w:p>
        </w:tc>
        <w:tc>
          <w:tcPr>
            <w:tcW w:w="1275" w:type="dxa"/>
            <w:tcBorders>
              <w:top w:val="single" w:sz="4" w:space="0" w:color="auto"/>
              <w:left w:val="single" w:sz="4" w:space="0" w:color="auto"/>
              <w:bottom w:val="single" w:sz="4" w:space="0" w:color="auto"/>
            </w:tcBorders>
            <w:shd w:val="clear" w:color="auto" w:fill="FECF52" w:themeFill="accent2"/>
            <w:vAlign w:val="center"/>
          </w:tcPr>
          <w:p w14:paraId="365EC7F5" w14:textId="7F5FAB0F" w:rsidR="0061305E" w:rsidRPr="00734A50" w:rsidRDefault="0061305E" w:rsidP="3B8259A4">
            <w:pPr>
              <w:jc w:val="center"/>
              <w:rPr>
                <w:b/>
              </w:rPr>
            </w:pPr>
            <w:r w:rsidRPr="00734A50">
              <w:rPr>
                <w:b/>
              </w:rPr>
              <w:t>201</w:t>
            </w:r>
            <w:r w:rsidR="00A720D7">
              <w:rPr>
                <w:b/>
              </w:rPr>
              <w:t>5</w:t>
            </w:r>
            <w:r w:rsidR="00581E26" w:rsidRPr="00734A50">
              <w:rPr>
                <w:b/>
              </w:rPr>
              <w:t>–</w:t>
            </w:r>
            <w:r w:rsidR="00581E26" w:rsidRPr="00734A50">
              <w:rPr>
                <w:b/>
                <w:bCs/>
              </w:rPr>
              <w:t>20</w:t>
            </w:r>
            <w:r w:rsidRPr="00734A50">
              <w:rPr>
                <w:b/>
                <w:bCs/>
              </w:rPr>
              <w:t>19</w:t>
            </w:r>
            <w:r w:rsidRPr="00734A50">
              <w:rPr>
                <w:b/>
              </w:rPr>
              <w:t xml:space="preserve"> </w:t>
            </w:r>
          </w:p>
        </w:tc>
        <w:tc>
          <w:tcPr>
            <w:tcW w:w="1275" w:type="dxa"/>
            <w:tcBorders>
              <w:top w:val="single" w:sz="4" w:space="0" w:color="auto"/>
              <w:bottom w:val="single" w:sz="4" w:space="0" w:color="auto"/>
              <w:right w:val="single" w:sz="4" w:space="0" w:color="auto"/>
            </w:tcBorders>
            <w:shd w:val="clear" w:color="auto" w:fill="FECF52" w:themeFill="accent2"/>
            <w:vAlign w:val="center"/>
          </w:tcPr>
          <w:p w14:paraId="6D29CE94" w14:textId="14325942" w:rsidR="0061305E" w:rsidRPr="00734A50" w:rsidRDefault="0061305E" w:rsidP="3B8259A4">
            <w:pPr>
              <w:jc w:val="center"/>
              <w:rPr>
                <w:b/>
              </w:rPr>
            </w:pPr>
            <w:r w:rsidRPr="00734A50">
              <w:rPr>
                <w:b/>
              </w:rPr>
              <w:t>Difference 201</w:t>
            </w:r>
            <w:r w:rsidR="00A720D7">
              <w:rPr>
                <w:b/>
              </w:rPr>
              <w:t>5</w:t>
            </w:r>
            <w:r w:rsidR="00581E26" w:rsidRPr="00734A50">
              <w:rPr>
                <w:b/>
              </w:rPr>
              <w:t>–</w:t>
            </w:r>
            <w:r w:rsidR="00581E26" w:rsidRPr="00734A50">
              <w:rPr>
                <w:b/>
                <w:bCs/>
              </w:rPr>
              <w:t>20</w:t>
            </w:r>
            <w:r w:rsidRPr="00734A50">
              <w:rPr>
                <w:b/>
                <w:bCs/>
              </w:rPr>
              <w:t>19</w:t>
            </w:r>
          </w:p>
        </w:tc>
        <w:tc>
          <w:tcPr>
            <w:tcW w:w="991" w:type="dxa"/>
            <w:tcBorders>
              <w:top w:val="single" w:sz="4" w:space="0" w:color="auto"/>
              <w:left w:val="single" w:sz="4" w:space="0" w:color="auto"/>
              <w:bottom w:val="single" w:sz="4" w:space="0" w:color="auto"/>
            </w:tcBorders>
            <w:shd w:val="clear" w:color="auto" w:fill="FECF52" w:themeFill="accent2"/>
            <w:vAlign w:val="center"/>
          </w:tcPr>
          <w:p w14:paraId="77E6F607" w14:textId="5DCDF16B" w:rsidR="0061305E" w:rsidRPr="00734A50" w:rsidRDefault="00B10DC0" w:rsidP="00E44E8A">
            <w:pPr>
              <w:jc w:val="center"/>
              <w:rPr>
                <w:szCs w:val="20"/>
              </w:rPr>
            </w:pPr>
            <w:r>
              <w:t>N</w:t>
            </w:r>
            <w:r w:rsidR="0061305E" w:rsidRPr="00734A50">
              <w:t>ational</w:t>
            </w:r>
            <w:r w:rsidR="0061305E" w:rsidRPr="00734A50">
              <w:rPr>
                <w:szCs w:val="20"/>
              </w:rPr>
              <w:t xml:space="preserve"> average</w:t>
            </w:r>
            <w:r w:rsidR="00A47EE3">
              <w:rPr>
                <w:szCs w:val="20"/>
              </w:rPr>
              <w:t xml:space="preserve"> </w:t>
            </w:r>
            <w:r w:rsidR="00A47EE3" w:rsidRPr="00734A50">
              <w:rPr>
                <w:szCs w:val="20"/>
              </w:rPr>
              <w:t>2020</w:t>
            </w:r>
          </w:p>
        </w:tc>
        <w:tc>
          <w:tcPr>
            <w:tcW w:w="851" w:type="dxa"/>
            <w:tcBorders>
              <w:top w:val="single" w:sz="4" w:space="0" w:color="auto"/>
              <w:bottom w:val="single" w:sz="4" w:space="0" w:color="auto"/>
            </w:tcBorders>
            <w:shd w:val="clear" w:color="auto" w:fill="FECF52" w:themeFill="accent2"/>
          </w:tcPr>
          <w:p w14:paraId="5EDA2BBA" w14:textId="77777777" w:rsidR="0061305E" w:rsidRPr="00734A50" w:rsidRDefault="0061305E" w:rsidP="00E44E8A">
            <w:pPr>
              <w:jc w:val="center"/>
              <w:rPr>
                <w:szCs w:val="20"/>
              </w:rPr>
            </w:pPr>
          </w:p>
        </w:tc>
        <w:tc>
          <w:tcPr>
            <w:tcW w:w="284" w:type="dxa"/>
            <w:tcBorders>
              <w:top w:val="single" w:sz="4" w:space="0" w:color="auto"/>
              <w:bottom w:val="single" w:sz="4" w:space="0" w:color="auto"/>
            </w:tcBorders>
            <w:shd w:val="clear" w:color="auto" w:fill="FECF52" w:themeFill="accent2"/>
          </w:tcPr>
          <w:p w14:paraId="5412EEC9" w14:textId="3CD552E7" w:rsidR="0061305E" w:rsidRPr="00734A50" w:rsidRDefault="0061305E" w:rsidP="00E44E8A">
            <w:pPr>
              <w:jc w:val="center"/>
              <w:rPr>
                <w:szCs w:val="20"/>
              </w:rPr>
            </w:pPr>
          </w:p>
        </w:tc>
        <w:tc>
          <w:tcPr>
            <w:tcW w:w="1274" w:type="dxa"/>
            <w:tcBorders>
              <w:top w:val="single" w:sz="4" w:space="0" w:color="auto"/>
              <w:bottom w:val="single" w:sz="4" w:space="0" w:color="auto"/>
              <w:right w:val="single" w:sz="4" w:space="0" w:color="auto"/>
            </w:tcBorders>
            <w:shd w:val="clear" w:color="auto" w:fill="FECF52" w:themeFill="accent2"/>
            <w:vAlign w:val="center"/>
          </w:tcPr>
          <w:p w14:paraId="72796AE4" w14:textId="65930425" w:rsidR="0061305E" w:rsidRPr="00734A50" w:rsidRDefault="0061305E" w:rsidP="00E44E8A">
            <w:pPr>
              <w:jc w:val="center"/>
              <w:rPr>
                <w:szCs w:val="20"/>
              </w:rPr>
            </w:pPr>
            <w:r w:rsidRPr="00734A50">
              <w:rPr>
                <w:szCs w:val="20"/>
              </w:rPr>
              <w:t>Difference from national average</w:t>
            </w:r>
          </w:p>
        </w:tc>
      </w:tr>
      <w:tr w:rsidR="002A23E9" w:rsidRPr="00734A50" w14:paraId="12BD4739" w14:textId="77777777" w:rsidTr="00A720D7">
        <w:trPr>
          <w:trHeight w:val="300"/>
        </w:trPr>
        <w:tc>
          <w:tcPr>
            <w:tcW w:w="1843" w:type="dxa"/>
            <w:tcBorders>
              <w:top w:val="single" w:sz="4" w:space="0" w:color="auto"/>
              <w:left w:val="single" w:sz="4" w:space="0" w:color="auto"/>
              <w:bottom w:val="nil"/>
            </w:tcBorders>
            <w:shd w:val="clear" w:color="auto" w:fill="FEF5DC" w:themeFill="accent2" w:themeFillTint="33"/>
            <w:vAlign w:val="center"/>
          </w:tcPr>
          <w:p w14:paraId="17091392" w14:textId="77777777" w:rsidR="0061305E" w:rsidRPr="00734A50" w:rsidRDefault="0061305E" w:rsidP="00E44E8A">
            <w:pPr>
              <w:spacing w:after="0"/>
              <w:rPr>
                <w:b/>
                <w:szCs w:val="20"/>
              </w:rPr>
            </w:pPr>
            <w:r w:rsidRPr="00734A50">
              <w:rPr>
                <w:b/>
                <w:szCs w:val="20"/>
              </w:rPr>
              <w:t>Selection</w:t>
            </w:r>
          </w:p>
        </w:tc>
        <w:tc>
          <w:tcPr>
            <w:tcW w:w="1421" w:type="dxa"/>
            <w:tcBorders>
              <w:top w:val="single" w:sz="4" w:space="0" w:color="auto"/>
              <w:bottom w:val="nil"/>
              <w:right w:val="single" w:sz="4" w:space="0" w:color="auto"/>
            </w:tcBorders>
            <w:shd w:val="clear" w:color="auto" w:fill="auto"/>
            <w:vAlign w:val="center"/>
          </w:tcPr>
          <w:p w14:paraId="5240737F" w14:textId="77777777" w:rsidR="0061305E" w:rsidRPr="00734A50" w:rsidRDefault="0061305E" w:rsidP="00E44E8A">
            <w:pPr>
              <w:jc w:val="center"/>
              <w:rPr>
                <w:rFonts w:cstheme="minorHAnsi"/>
                <w:szCs w:val="20"/>
              </w:rPr>
            </w:pPr>
          </w:p>
        </w:tc>
        <w:tc>
          <w:tcPr>
            <w:tcW w:w="1275" w:type="dxa"/>
            <w:tcBorders>
              <w:top w:val="single" w:sz="4" w:space="0" w:color="auto"/>
              <w:left w:val="single" w:sz="4" w:space="0" w:color="auto"/>
              <w:bottom w:val="nil"/>
            </w:tcBorders>
            <w:shd w:val="clear" w:color="auto" w:fill="auto"/>
            <w:vAlign w:val="center"/>
          </w:tcPr>
          <w:p w14:paraId="0D9BB677" w14:textId="77777777" w:rsidR="0061305E" w:rsidRPr="00734A50" w:rsidRDefault="0061305E" w:rsidP="00E44E8A">
            <w:pPr>
              <w:jc w:val="center"/>
              <w:rPr>
                <w:rFonts w:cstheme="minorHAnsi"/>
                <w:szCs w:val="20"/>
              </w:rPr>
            </w:pPr>
          </w:p>
        </w:tc>
        <w:tc>
          <w:tcPr>
            <w:tcW w:w="1275" w:type="dxa"/>
            <w:tcBorders>
              <w:top w:val="single" w:sz="4" w:space="0" w:color="auto"/>
              <w:bottom w:val="nil"/>
              <w:right w:val="single" w:sz="4" w:space="0" w:color="auto"/>
            </w:tcBorders>
            <w:shd w:val="clear" w:color="auto" w:fill="auto"/>
            <w:vAlign w:val="center"/>
          </w:tcPr>
          <w:p w14:paraId="29B3B937" w14:textId="77777777" w:rsidR="0061305E" w:rsidRPr="00734A50" w:rsidRDefault="0061305E" w:rsidP="00E44E8A">
            <w:pPr>
              <w:jc w:val="center"/>
              <w:rPr>
                <w:rFonts w:cstheme="minorHAnsi"/>
                <w:szCs w:val="20"/>
              </w:rPr>
            </w:pPr>
          </w:p>
        </w:tc>
        <w:tc>
          <w:tcPr>
            <w:tcW w:w="991" w:type="dxa"/>
            <w:tcBorders>
              <w:top w:val="single" w:sz="4" w:space="0" w:color="auto"/>
              <w:left w:val="single" w:sz="4" w:space="0" w:color="auto"/>
              <w:bottom w:val="nil"/>
            </w:tcBorders>
            <w:vAlign w:val="center"/>
          </w:tcPr>
          <w:p w14:paraId="6ED53F7B" w14:textId="77777777" w:rsidR="0061305E" w:rsidRPr="00734A50" w:rsidRDefault="0061305E" w:rsidP="00E44E8A">
            <w:pPr>
              <w:jc w:val="center"/>
              <w:rPr>
                <w:szCs w:val="20"/>
              </w:rPr>
            </w:pPr>
          </w:p>
        </w:tc>
        <w:tc>
          <w:tcPr>
            <w:tcW w:w="851" w:type="dxa"/>
            <w:tcBorders>
              <w:top w:val="single" w:sz="4" w:space="0" w:color="auto"/>
              <w:bottom w:val="nil"/>
            </w:tcBorders>
          </w:tcPr>
          <w:p w14:paraId="0D849578" w14:textId="77777777" w:rsidR="0061305E" w:rsidRPr="00734A50" w:rsidRDefault="0061305E" w:rsidP="00E44E8A">
            <w:pPr>
              <w:jc w:val="center"/>
              <w:rPr>
                <w:szCs w:val="20"/>
              </w:rPr>
            </w:pPr>
          </w:p>
        </w:tc>
        <w:tc>
          <w:tcPr>
            <w:tcW w:w="284" w:type="dxa"/>
            <w:tcBorders>
              <w:top w:val="single" w:sz="4" w:space="0" w:color="auto"/>
              <w:bottom w:val="nil"/>
            </w:tcBorders>
          </w:tcPr>
          <w:p w14:paraId="48FC2B93" w14:textId="3511F8DA" w:rsidR="0061305E" w:rsidRPr="00734A50" w:rsidRDefault="0061305E" w:rsidP="00E44E8A">
            <w:pPr>
              <w:jc w:val="center"/>
              <w:rPr>
                <w:szCs w:val="20"/>
              </w:rPr>
            </w:pPr>
          </w:p>
        </w:tc>
        <w:tc>
          <w:tcPr>
            <w:tcW w:w="1274" w:type="dxa"/>
            <w:tcBorders>
              <w:top w:val="single" w:sz="4" w:space="0" w:color="auto"/>
              <w:bottom w:val="nil"/>
              <w:right w:val="single" w:sz="4" w:space="0" w:color="auto"/>
            </w:tcBorders>
            <w:vAlign w:val="center"/>
          </w:tcPr>
          <w:p w14:paraId="05F13CFC" w14:textId="1BA2A0B6" w:rsidR="0061305E" w:rsidRPr="00734A50" w:rsidRDefault="0061305E" w:rsidP="00E44E8A">
            <w:pPr>
              <w:jc w:val="center"/>
              <w:rPr>
                <w:szCs w:val="20"/>
              </w:rPr>
            </w:pPr>
          </w:p>
        </w:tc>
      </w:tr>
      <w:tr w:rsidR="002A23E9" w:rsidRPr="00734A50" w14:paraId="2A5676FB" w14:textId="77777777" w:rsidTr="00A720D7">
        <w:trPr>
          <w:trHeight w:val="300"/>
        </w:trPr>
        <w:tc>
          <w:tcPr>
            <w:tcW w:w="1843" w:type="dxa"/>
            <w:tcBorders>
              <w:top w:val="nil"/>
              <w:left w:val="single" w:sz="4" w:space="0" w:color="auto"/>
              <w:bottom w:val="nil"/>
            </w:tcBorders>
            <w:shd w:val="clear" w:color="auto" w:fill="F2F2F2" w:themeFill="accent6" w:themeFillShade="F2"/>
            <w:vAlign w:val="center"/>
          </w:tcPr>
          <w:p w14:paraId="0262079D" w14:textId="77777777" w:rsidR="0061305E" w:rsidRPr="00734A50" w:rsidRDefault="0061305E" w:rsidP="00E44E8A">
            <w:pPr>
              <w:spacing w:after="0"/>
              <w:rPr>
                <w:szCs w:val="20"/>
              </w:rPr>
            </w:pPr>
            <w:r w:rsidRPr="00734A50">
              <w:rPr>
                <w:szCs w:val="20"/>
              </w:rPr>
              <w:t>First Nations students</w:t>
            </w:r>
          </w:p>
        </w:tc>
        <w:tc>
          <w:tcPr>
            <w:tcW w:w="1421" w:type="dxa"/>
            <w:tcBorders>
              <w:top w:val="nil"/>
              <w:bottom w:val="nil"/>
              <w:right w:val="single" w:sz="4" w:space="0" w:color="auto"/>
            </w:tcBorders>
            <w:shd w:val="clear" w:color="auto" w:fill="F2F2F2" w:themeFill="accent6" w:themeFillShade="F2"/>
            <w:vAlign w:val="center"/>
          </w:tcPr>
          <w:p w14:paraId="05CAC477" w14:textId="77777777" w:rsidR="0061305E" w:rsidRPr="00734A50" w:rsidRDefault="0061305E" w:rsidP="00E44E8A">
            <w:pPr>
              <w:jc w:val="center"/>
              <w:rPr>
                <w:rFonts w:cstheme="minorHAnsi"/>
                <w:b/>
                <w:szCs w:val="20"/>
              </w:rPr>
            </w:pPr>
            <w:r w:rsidRPr="00734A50">
              <w:rPr>
                <w:rFonts w:cstheme="minorHAnsi"/>
                <w:b/>
                <w:szCs w:val="20"/>
              </w:rPr>
              <w:t>2.1%</w:t>
            </w:r>
          </w:p>
        </w:tc>
        <w:tc>
          <w:tcPr>
            <w:tcW w:w="1275" w:type="dxa"/>
            <w:tcBorders>
              <w:top w:val="nil"/>
              <w:left w:val="single" w:sz="4" w:space="0" w:color="auto"/>
              <w:bottom w:val="nil"/>
            </w:tcBorders>
            <w:shd w:val="clear" w:color="auto" w:fill="F2F2F2" w:themeFill="accent6" w:themeFillShade="F2"/>
            <w:vAlign w:val="center"/>
          </w:tcPr>
          <w:p w14:paraId="4EDFC613" w14:textId="756D6FF0" w:rsidR="0061305E" w:rsidRPr="00734A50" w:rsidRDefault="0061305E" w:rsidP="00E44E8A">
            <w:pPr>
              <w:jc w:val="center"/>
              <w:rPr>
                <w:rFonts w:cstheme="minorHAnsi"/>
                <w:szCs w:val="20"/>
              </w:rPr>
            </w:pPr>
            <w:r w:rsidRPr="00734A50">
              <w:rPr>
                <w:rFonts w:cstheme="minorHAnsi"/>
                <w:szCs w:val="20"/>
              </w:rPr>
              <w:t>1.</w:t>
            </w:r>
            <w:r w:rsidR="00BD3763">
              <w:rPr>
                <w:rFonts w:cstheme="minorHAnsi"/>
                <w:szCs w:val="20"/>
              </w:rPr>
              <w:t>8</w:t>
            </w:r>
            <w:r w:rsidRPr="00734A50">
              <w:rPr>
                <w:rFonts w:cstheme="minorHAnsi"/>
                <w:szCs w:val="20"/>
              </w:rPr>
              <w:t>%</w:t>
            </w:r>
          </w:p>
        </w:tc>
        <w:tc>
          <w:tcPr>
            <w:tcW w:w="1275" w:type="dxa"/>
            <w:tcBorders>
              <w:top w:val="nil"/>
              <w:bottom w:val="nil"/>
              <w:right w:val="single" w:sz="4" w:space="0" w:color="auto"/>
            </w:tcBorders>
            <w:shd w:val="clear" w:color="auto" w:fill="F2F2F2" w:themeFill="accent6" w:themeFillShade="F2"/>
            <w:vAlign w:val="center"/>
          </w:tcPr>
          <w:p w14:paraId="79BEA440" w14:textId="0E355E40" w:rsidR="0061305E" w:rsidRPr="00734A50" w:rsidRDefault="0061305E" w:rsidP="00E44E8A">
            <w:pPr>
              <w:jc w:val="center"/>
              <w:rPr>
                <w:rFonts w:cstheme="minorHAnsi"/>
                <w:szCs w:val="20"/>
              </w:rPr>
            </w:pPr>
            <w:r w:rsidRPr="00734A50">
              <w:rPr>
                <w:rFonts w:cstheme="minorHAnsi"/>
                <w:szCs w:val="20"/>
              </w:rPr>
              <w:t>↑0.</w:t>
            </w:r>
            <w:r w:rsidR="00BD3763">
              <w:rPr>
                <w:rFonts w:cstheme="minorHAnsi"/>
                <w:szCs w:val="20"/>
              </w:rPr>
              <w:t>3</w:t>
            </w:r>
          </w:p>
        </w:tc>
        <w:tc>
          <w:tcPr>
            <w:tcW w:w="991" w:type="dxa"/>
            <w:tcBorders>
              <w:top w:val="nil"/>
              <w:left w:val="single" w:sz="4" w:space="0" w:color="auto"/>
              <w:bottom w:val="nil"/>
            </w:tcBorders>
            <w:shd w:val="clear" w:color="auto" w:fill="F2F2F2" w:themeFill="accent6" w:themeFillShade="F2"/>
            <w:vAlign w:val="center"/>
          </w:tcPr>
          <w:p w14:paraId="21B0289B" w14:textId="77777777" w:rsidR="0061305E" w:rsidRPr="00734A50" w:rsidRDefault="0061305E" w:rsidP="00E44E8A">
            <w:pPr>
              <w:jc w:val="center"/>
              <w:rPr>
                <w:szCs w:val="20"/>
              </w:rPr>
            </w:pPr>
            <w:r w:rsidRPr="00734A50">
              <w:rPr>
                <w:szCs w:val="20"/>
              </w:rPr>
              <w:t>2.4%</w:t>
            </w:r>
          </w:p>
        </w:tc>
        <w:tc>
          <w:tcPr>
            <w:tcW w:w="851" w:type="dxa"/>
            <w:tcBorders>
              <w:top w:val="nil"/>
              <w:bottom w:val="nil"/>
            </w:tcBorders>
            <w:shd w:val="clear" w:color="auto" w:fill="F2F2F2" w:themeFill="accent6" w:themeFillShade="F2"/>
          </w:tcPr>
          <w:p w14:paraId="64F229C6" w14:textId="77777777" w:rsidR="0061305E" w:rsidRPr="00734A50" w:rsidRDefault="0061305E" w:rsidP="00E44E8A">
            <w:pPr>
              <w:jc w:val="center"/>
              <w:rPr>
                <w:szCs w:val="20"/>
              </w:rPr>
            </w:pPr>
          </w:p>
        </w:tc>
        <w:tc>
          <w:tcPr>
            <w:tcW w:w="284" w:type="dxa"/>
            <w:tcBorders>
              <w:top w:val="nil"/>
              <w:bottom w:val="nil"/>
            </w:tcBorders>
            <w:shd w:val="clear" w:color="auto" w:fill="F2F2F2" w:themeFill="accent6" w:themeFillShade="F2"/>
          </w:tcPr>
          <w:p w14:paraId="1A3B445A" w14:textId="41C2B04C" w:rsidR="0061305E" w:rsidRPr="00734A50" w:rsidRDefault="0061305E" w:rsidP="00E44E8A">
            <w:pPr>
              <w:jc w:val="center"/>
              <w:rPr>
                <w:szCs w:val="20"/>
              </w:rPr>
            </w:pPr>
          </w:p>
        </w:tc>
        <w:tc>
          <w:tcPr>
            <w:tcW w:w="1274" w:type="dxa"/>
            <w:tcBorders>
              <w:top w:val="nil"/>
              <w:bottom w:val="nil"/>
              <w:right w:val="single" w:sz="4" w:space="0" w:color="auto"/>
            </w:tcBorders>
            <w:shd w:val="clear" w:color="auto" w:fill="F2F2F2" w:themeFill="accent6" w:themeFillShade="F2"/>
            <w:vAlign w:val="center"/>
          </w:tcPr>
          <w:p w14:paraId="7E1297CC" w14:textId="06EBAC3D" w:rsidR="0061305E" w:rsidRPr="00734A50" w:rsidRDefault="0061305E" w:rsidP="00E44E8A">
            <w:pPr>
              <w:jc w:val="center"/>
              <w:rPr>
                <w:szCs w:val="20"/>
              </w:rPr>
            </w:pPr>
            <w:r w:rsidRPr="00734A50">
              <w:rPr>
                <w:szCs w:val="20"/>
              </w:rPr>
              <w:t>↓0.3</w:t>
            </w:r>
          </w:p>
        </w:tc>
      </w:tr>
      <w:tr w:rsidR="002A23E9" w:rsidRPr="00734A50" w14:paraId="49A8F80C" w14:textId="77777777" w:rsidTr="00A720D7">
        <w:trPr>
          <w:trHeight w:val="300"/>
        </w:trPr>
        <w:tc>
          <w:tcPr>
            <w:tcW w:w="1843" w:type="dxa"/>
            <w:tcBorders>
              <w:top w:val="nil"/>
              <w:left w:val="single" w:sz="4" w:space="0" w:color="auto"/>
              <w:bottom w:val="nil"/>
            </w:tcBorders>
            <w:vAlign w:val="center"/>
          </w:tcPr>
          <w:p w14:paraId="521F370D" w14:textId="77777777" w:rsidR="0061305E" w:rsidRPr="00734A50" w:rsidRDefault="0061305E" w:rsidP="00E44E8A">
            <w:pPr>
              <w:spacing w:after="0"/>
              <w:rPr>
                <w:szCs w:val="20"/>
              </w:rPr>
            </w:pPr>
            <w:r w:rsidRPr="00734A50">
              <w:rPr>
                <w:szCs w:val="20"/>
              </w:rPr>
              <w:t>Regional and remote students</w:t>
            </w:r>
          </w:p>
        </w:tc>
        <w:tc>
          <w:tcPr>
            <w:tcW w:w="1421" w:type="dxa"/>
            <w:tcBorders>
              <w:top w:val="nil"/>
              <w:bottom w:val="nil"/>
              <w:right w:val="single" w:sz="4" w:space="0" w:color="auto"/>
            </w:tcBorders>
            <w:shd w:val="clear" w:color="auto" w:fill="auto"/>
            <w:vAlign w:val="center"/>
          </w:tcPr>
          <w:p w14:paraId="128FCC96" w14:textId="77777777" w:rsidR="0061305E" w:rsidRPr="00734A50" w:rsidRDefault="0061305E" w:rsidP="00E44E8A">
            <w:pPr>
              <w:jc w:val="center"/>
              <w:rPr>
                <w:rFonts w:cstheme="minorHAnsi"/>
                <w:b/>
                <w:szCs w:val="20"/>
              </w:rPr>
            </w:pPr>
            <w:r w:rsidRPr="00734A50">
              <w:rPr>
                <w:rFonts w:cstheme="minorHAnsi"/>
                <w:b/>
                <w:szCs w:val="20"/>
              </w:rPr>
              <w:t>20.1%</w:t>
            </w:r>
          </w:p>
        </w:tc>
        <w:tc>
          <w:tcPr>
            <w:tcW w:w="1275" w:type="dxa"/>
            <w:tcBorders>
              <w:top w:val="nil"/>
              <w:left w:val="single" w:sz="4" w:space="0" w:color="auto"/>
              <w:bottom w:val="nil"/>
            </w:tcBorders>
            <w:shd w:val="clear" w:color="auto" w:fill="auto"/>
            <w:vAlign w:val="center"/>
          </w:tcPr>
          <w:p w14:paraId="31A84852" w14:textId="771D0A10" w:rsidR="0061305E" w:rsidRPr="00734A50" w:rsidRDefault="0061305E" w:rsidP="00E44E8A">
            <w:pPr>
              <w:jc w:val="center"/>
              <w:rPr>
                <w:rFonts w:cstheme="minorHAnsi"/>
                <w:szCs w:val="20"/>
              </w:rPr>
            </w:pPr>
            <w:r w:rsidRPr="00734A50">
              <w:rPr>
                <w:rFonts w:cstheme="minorHAnsi"/>
                <w:szCs w:val="20"/>
              </w:rPr>
              <w:t>2</w:t>
            </w:r>
            <w:r w:rsidR="00BD3763">
              <w:rPr>
                <w:rFonts w:cstheme="minorHAnsi"/>
                <w:szCs w:val="20"/>
              </w:rPr>
              <w:t>0.7</w:t>
            </w:r>
            <w:r w:rsidRPr="00734A50">
              <w:rPr>
                <w:rFonts w:cstheme="minorHAnsi"/>
                <w:szCs w:val="20"/>
              </w:rPr>
              <w:t>%</w:t>
            </w:r>
          </w:p>
        </w:tc>
        <w:tc>
          <w:tcPr>
            <w:tcW w:w="1275" w:type="dxa"/>
            <w:tcBorders>
              <w:top w:val="nil"/>
              <w:bottom w:val="nil"/>
              <w:right w:val="single" w:sz="4" w:space="0" w:color="auto"/>
            </w:tcBorders>
            <w:shd w:val="clear" w:color="auto" w:fill="auto"/>
            <w:vAlign w:val="center"/>
          </w:tcPr>
          <w:p w14:paraId="1FEB439D" w14:textId="0D03DF30" w:rsidR="0061305E" w:rsidRPr="00734A50" w:rsidRDefault="0061305E" w:rsidP="00E44E8A">
            <w:pPr>
              <w:jc w:val="center"/>
              <w:rPr>
                <w:rFonts w:cstheme="minorHAnsi"/>
                <w:szCs w:val="20"/>
              </w:rPr>
            </w:pPr>
            <w:r w:rsidRPr="00734A50">
              <w:rPr>
                <w:rFonts w:cstheme="minorHAnsi"/>
                <w:szCs w:val="20"/>
              </w:rPr>
              <w:t>↓</w:t>
            </w:r>
            <w:r w:rsidR="00BD3763">
              <w:rPr>
                <w:rFonts w:cstheme="minorHAnsi"/>
                <w:szCs w:val="20"/>
              </w:rPr>
              <w:t>0.6</w:t>
            </w:r>
          </w:p>
        </w:tc>
        <w:tc>
          <w:tcPr>
            <w:tcW w:w="991" w:type="dxa"/>
            <w:tcBorders>
              <w:top w:val="nil"/>
              <w:left w:val="single" w:sz="4" w:space="0" w:color="auto"/>
              <w:bottom w:val="nil"/>
            </w:tcBorders>
            <w:vAlign w:val="center"/>
          </w:tcPr>
          <w:p w14:paraId="1F8D9F00" w14:textId="77777777" w:rsidR="0061305E" w:rsidRPr="00734A50" w:rsidRDefault="0061305E" w:rsidP="00E44E8A">
            <w:pPr>
              <w:jc w:val="center"/>
              <w:rPr>
                <w:szCs w:val="20"/>
              </w:rPr>
            </w:pPr>
            <w:r w:rsidRPr="00734A50">
              <w:rPr>
                <w:szCs w:val="20"/>
              </w:rPr>
              <w:t>24.8%</w:t>
            </w:r>
          </w:p>
        </w:tc>
        <w:tc>
          <w:tcPr>
            <w:tcW w:w="851" w:type="dxa"/>
            <w:tcBorders>
              <w:top w:val="nil"/>
              <w:bottom w:val="nil"/>
            </w:tcBorders>
          </w:tcPr>
          <w:p w14:paraId="656B7594" w14:textId="77777777" w:rsidR="0061305E" w:rsidRPr="00734A50" w:rsidRDefault="0061305E" w:rsidP="00E44E8A">
            <w:pPr>
              <w:jc w:val="center"/>
              <w:rPr>
                <w:szCs w:val="20"/>
              </w:rPr>
            </w:pPr>
          </w:p>
        </w:tc>
        <w:tc>
          <w:tcPr>
            <w:tcW w:w="284" w:type="dxa"/>
            <w:tcBorders>
              <w:top w:val="nil"/>
              <w:bottom w:val="nil"/>
            </w:tcBorders>
          </w:tcPr>
          <w:p w14:paraId="2F216C72" w14:textId="3A979CE9" w:rsidR="0061305E" w:rsidRPr="00734A50" w:rsidRDefault="0061305E" w:rsidP="00E44E8A">
            <w:pPr>
              <w:jc w:val="center"/>
              <w:rPr>
                <w:szCs w:val="20"/>
              </w:rPr>
            </w:pPr>
          </w:p>
        </w:tc>
        <w:tc>
          <w:tcPr>
            <w:tcW w:w="1274" w:type="dxa"/>
            <w:tcBorders>
              <w:top w:val="nil"/>
              <w:bottom w:val="nil"/>
              <w:right w:val="single" w:sz="4" w:space="0" w:color="auto"/>
            </w:tcBorders>
            <w:vAlign w:val="center"/>
          </w:tcPr>
          <w:p w14:paraId="171988FC" w14:textId="25364C7F" w:rsidR="0061305E" w:rsidRPr="00734A50" w:rsidRDefault="0061305E" w:rsidP="00E44E8A">
            <w:pPr>
              <w:jc w:val="center"/>
              <w:rPr>
                <w:szCs w:val="20"/>
              </w:rPr>
            </w:pPr>
            <w:r w:rsidRPr="00734A50">
              <w:rPr>
                <w:szCs w:val="20"/>
              </w:rPr>
              <w:t>↓4.7</w:t>
            </w:r>
          </w:p>
        </w:tc>
      </w:tr>
      <w:tr w:rsidR="002A23E9" w:rsidRPr="00734A50" w14:paraId="6FB1C695" w14:textId="77777777" w:rsidTr="00A720D7">
        <w:trPr>
          <w:trHeight w:val="300"/>
        </w:trPr>
        <w:tc>
          <w:tcPr>
            <w:tcW w:w="1843" w:type="dxa"/>
            <w:tcBorders>
              <w:top w:val="nil"/>
              <w:left w:val="single" w:sz="4" w:space="0" w:color="auto"/>
              <w:bottom w:val="nil"/>
            </w:tcBorders>
            <w:shd w:val="clear" w:color="auto" w:fill="F2F2F2" w:themeFill="accent6" w:themeFillShade="F2"/>
            <w:vAlign w:val="center"/>
          </w:tcPr>
          <w:p w14:paraId="7240CFA7" w14:textId="77777777" w:rsidR="0061305E" w:rsidRPr="00734A50" w:rsidRDefault="0061305E" w:rsidP="00E44E8A">
            <w:pPr>
              <w:spacing w:after="0"/>
              <w:rPr>
                <w:szCs w:val="20"/>
              </w:rPr>
            </w:pPr>
            <w:r w:rsidRPr="00734A50">
              <w:rPr>
                <w:szCs w:val="20"/>
              </w:rPr>
              <w:t>Low SES students</w:t>
            </w:r>
          </w:p>
        </w:tc>
        <w:tc>
          <w:tcPr>
            <w:tcW w:w="1421" w:type="dxa"/>
            <w:tcBorders>
              <w:top w:val="nil"/>
              <w:bottom w:val="nil"/>
              <w:right w:val="single" w:sz="4" w:space="0" w:color="auto"/>
            </w:tcBorders>
            <w:shd w:val="clear" w:color="auto" w:fill="F2F2F2" w:themeFill="accent6" w:themeFillShade="F2"/>
            <w:vAlign w:val="center"/>
          </w:tcPr>
          <w:p w14:paraId="3B6B3E11" w14:textId="77777777" w:rsidR="0061305E" w:rsidRPr="00734A50" w:rsidRDefault="0061305E" w:rsidP="00E44E8A">
            <w:pPr>
              <w:jc w:val="center"/>
              <w:rPr>
                <w:b/>
                <w:szCs w:val="20"/>
              </w:rPr>
            </w:pPr>
            <w:r w:rsidRPr="00734A50">
              <w:rPr>
                <w:b/>
                <w:szCs w:val="20"/>
              </w:rPr>
              <w:t>14.7%</w:t>
            </w:r>
          </w:p>
        </w:tc>
        <w:tc>
          <w:tcPr>
            <w:tcW w:w="1275" w:type="dxa"/>
            <w:tcBorders>
              <w:top w:val="nil"/>
              <w:left w:val="single" w:sz="4" w:space="0" w:color="auto"/>
              <w:bottom w:val="nil"/>
            </w:tcBorders>
            <w:shd w:val="clear" w:color="auto" w:fill="F2F2F2" w:themeFill="accent6" w:themeFillShade="F2"/>
            <w:vAlign w:val="center"/>
          </w:tcPr>
          <w:p w14:paraId="1C38EA85" w14:textId="599B716E" w:rsidR="0061305E" w:rsidRPr="00734A50" w:rsidRDefault="0061305E" w:rsidP="00E44E8A">
            <w:pPr>
              <w:jc w:val="center"/>
              <w:rPr>
                <w:szCs w:val="20"/>
              </w:rPr>
            </w:pPr>
            <w:r w:rsidRPr="00734A50">
              <w:rPr>
                <w:szCs w:val="20"/>
              </w:rPr>
              <w:t>15.</w:t>
            </w:r>
            <w:r w:rsidR="00BD3763">
              <w:rPr>
                <w:szCs w:val="20"/>
              </w:rPr>
              <w:t>0</w:t>
            </w:r>
            <w:r w:rsidRPr="00734A50">
              <w:rPr>
                <w:szCs w:val="20"/>
              </w:rPr>
              <w:t>%</w:t>
            </w:r>
          </w:p>
        </w:tc>
        <w:tc>
          <w:tcPr>
            <w:tcW w:w="1275" w:type="dxa"/>
            <w:tcBorders>
              <w:top w:val="nil"/>
              <w:bottom w:val="nil"/>
              <w:right w:val="single" w:sz="4" w:space="0" w:color="auto"/>
            </w:tcBorders>
            <w:shd w:val="clear" w:color="auto" w:fill="F2F2F2" w:themeFill="accent6" w:themeFillShade="F2"/>
            <w:vAlign w:val="center"/>
          </w:tcPr>
          <w:p w14:paraId="4E89A9B6" w14:textId="3C827D4A" w:rsidR="0061305E" w:rsidRPr="00734A50" w:rsidRDefault="0061305E" w:rsidP="00E44E8A">
            <w:pPr>
              <w:jc w:val="center"/>
              <w:rPr>
                <w:szCs w:val="20"/>
              </w:rPr>
            </w:pPr>
            <w:r w:rsidRPr="00734A50">
              <w:rPr>
                <w:szCs w:val="20"/>
              </w:rPr>
              <w:t>↓0.</w:t>
            </w:r>
            <w:r w:rsidR="00BD3763">
              <w:rPr>
                <w:szCs w:val="20"/>
              </w:rPr>
              <w:t>3</w:t>
            </w:r>
          </w:p>
        </w:tc>
        <w:tc>
          <w:tcPr>
            <w:tcW w:w="991" w:type="dxa"/>
            <w:tcBorders>
              <w:top w:val="nil"/>
              <w:left w:val="single" w:sz="4" w:space="0" w:color="auto"/>
              <w:bottom w:val="nil"/>
            </w:tcBorders>
            <w:shd w:val="clear" w:color="auto" w:fill="F2F2F2" w:themeFill="accent6" w:themeFillShade="F2"/>
            <w:vAlign w:val="center"/>
          </w:tcPr>
          <w:p w14:paraId="12408A34" w14:textId="77777777" w:rsidR="0061305E" w:rsidRPr="00734A50" w:rsidRDefault="0061305E" w:rsidP="00E44E8A">
            <w:pPr>
              <w:jc w:val="center"/>
              <w:rPr>
                <w:szCs w:val="20"/>
              </w:rPr>
            </w:pPr>
            <w:r w:rsidRPr="00734A50">
              <w:rPr>
                <w:szCs w:val="20"/>
              </w:rPr>
              <w:t>20.4%</w:t>
            </w:r>
          </w:p>
        </w:tc>
        <w:tc>
          <w:tcPr>
            <w:tcW w:w="851" w:type="dxa"/>
            <w:tcBorders>
              <w:top w:val="nil"/>
              <w:bottom w:val="nil"/>
            </w:tcBorders>
            <w:shd w:val="clear" w:color="auto" w:fill="F2F2F2" w:themeFill="accent6" w:themeFillShade="F2"/>
          </w:tcPr>
          <w:p w14:paraId="57863D06" w14:textId="77777777" w:rsidR="0061305E" w:rsidRPr="00734A50" w:rsidRDefault="0061305E" w:rsidP="00E44E8A">
            <w:pPr>
              <w:jc w:val="center"/>
              <w:rPr>
                <w:szCs w:val="20"/>
              </w:rPr>
            </w:pPr>
          </w:p>
        </w:tc>
        <w:tc>
          <w:tcPr>
            <w:tcW w:w="284" w:type="dxa"/>
            <w:tcBorders>
              <w:top w:val="nil"/>
              <w:bottom w:val="nil"/>
            </w:tcBorders>
            <w:shd w:val="clear" w:color="auto" w:fill="F2F2F2" w:themeFill="accent6" w:themeFillShade="F2"/>
          </w:tcPr>
          <w:p w14:paraId="3196E175" w14:textId="27A09BD0" w:rsidR="0061305E" w:rsidRPr="00734A50" w:rsidRDefault="0061305E" w:rsidP="00E44E8A">
            <w:pPr>
              <w:jc w:val="center"/>
              <w:rPr>
                <w:szCs w:val="20"/>
              </w:rPr>
            </w:pPr>
          </w:p>
        </w:tc>
        <w:tc>
          <w:tcPr>
            <w:tcW w:w="1274" w:type="dxa"/>
            <w:tcBorders>
              <w:top w:val="nil"/>
              <w:bottom w:val="nil"/>
              <w:right w:val="single" w:sz="4" w:space="0" w:color="auto"/>
            </w:tcBorders>
            <w:shd w:val="clear" w:color="auto" w:fill="F2F2F2" w:themeFill="accent6" w:themeFillShade="F2"/>
            <w:vAlign w:val="center"/>
          </w:tcPr>
          <w:p w14:paraId="5102B39F" w14:textId="758CB208" w:rsidR="0061305E" w:rsidRPr="00734A50" w:rsidRDefault="0061305E" w:rsidP="00E44E8A">
            <w:pPr>
              <w:jc w:val="center"/>
              <w:rPr>
                <w:szCs w:val="20"/>
              </w:rPr>
            </w:pPr>
            <w:r w:rsidRPr="00734A50">
              <w:rPr>
                <w:szCs w:val="20"/>
              </w:rPr>
              <w:t>↓5.7</w:t>
            </w:r>
          </w:p>
        </w:tc>
      </w:tr>
      <w:tr w:rsidR="002A23E9" w:rsidRPr="00734A50" w14:paraId="07BB4313" w14:textId="77777777" w:rsidTr="007A7831">
        <w:trPr>
          <w:trHeight w:val="300"/>
        </w:trPr>
        <w:tc>
          <w:tcPr>
            <w:tcW w:w="1843" w:type="dxa"/>
            <w:tcBorders>
              <w:top w:val="single" w:sz="4" w:space="0" w:color="auto"/>
              <w:bottom w:val="nil"/>
            </w:tcBorders>
            <w:shd w:val="clear" w:color="auto" w:fill="FEF5DC" w:themeFill="accent2" w:themeFillTint="33"/>
            <w:vAlign w:val="center"/>
          </w:tcPr>
          <w:p w14:paraId="59FA3936" w14:textId="77777777" w:rsidR="0061305E" w:rsidRPr="00734A50" w:rsidRDefault="0061305E" w:rsidP="00E44E8A">
            <w:pPr>
              <w:rPr>
                <w:szCs w:val="20"/>
              </w:rPr>
            </w:pPr>
            <w:r w:rsidRPr="00734A50">
              <w:rPr>
                <w:b/>
                <w:szCs w:val="20"/>
              </w:rPr>
              <w:t>Retention</w:t>
            </w:r>
          </w:p>
        </w:tc>
        <w:tc>
          <w:tcPr>
            <w:tcW w:w="1421" w:type="dxa"/>
            <w:tcBorders>
              <w:top w:val="single" w:sz="4" w:space="0" w:color="auto"/>
              <w:bottom w:val="nil"/>
              <w:right w:val="single" w:sz="4" w:space="0" w:color="auto"/>
            </w:tcBorders>
            <w:shd w:val="clear" w:color="auto" w:fill="auto"/>
            <w:vAlign w:val="center"/>
          </w:tcPr>
          <w:p w14:paraId="6F71BF8E" w14:textId="77777777" w:rsidR="0061305E" w:rsidRPr="00734A50" w:rsidRDefault="0061305E" w:rsidP="00E44E8A">
            <w:pPr>
              <w:jc w:val="center"/>
              <w:rPr>
                <w:b/>
                <w:szCs w:val="20"/>
              </w:rPr>
            </w:pPr>
          </w:p>
        </w:tc>
        <w:tc>
          <w:tcPr>
            <w:tcW w:w="1275" w:type="dxa"/>
            <w:tcBorders>
              <w:top w:val="single" w:sz="4" w:space="0" w:color="auto"/>
              <w:left w:val="single" w:sz="4" w:space="0" w:color="auto"/>
              <w:bottom w:val="nil"/>
            </w:tcBorders>
            <w:shd w:val="clear" w:color="auto" w:fill="auto"/>
            <w:vAlign w:val="center"/>
          </w:tcPr>
          <w:p w14:paraId="79CE9CD9" w14:textId="77777777" w:rsidR="0061305E" w:rsidRPr="00734A50" w:rsidRDefault="0061305E" w:rsidP="00E44E8A">
            <w:pPr>
              <w:jc w:val="center"/>
              <w:rPr>
                <w:szCs w:val="20"/>
              </w:rPr>
            </w:pPr>
          </w:p>
        </w:tc>
        <w:tc>
          <w:tcPr>
            <w:tcW w:w="1275" w:type="dxa"/>
            <w:tcBorders>
              <w:top w:val="single" w:sz="4" w:space="0" w:color="auto"/>
              <w:bottom w:val="nil"/>
              <w:right w:val="single" w:sz="4" w:space="0" w:color="auto"/>
            </w:tcBorders>
            <w:shd w:val="clear" w:color="auto" w:fill="auto"/>
            <w:vAlign w:val="center"/>
          </w:tcPr>
          <w:p w14:paraId="06643130" w14:textId="77777777" w:rsidR="0061305E" w:rsidRPr="00734A50" w:rsidRDefault="0061305E" w:rsidP="00E44E8A">
            <w:pPr>
              <w:jc w:val="center"/>
              <w:rPr>
                <w:szCs w:val="20"/>
              </w:rPr>
            </w:pPr>
          </w:p>
        </w:tc>
        <w:tc>
          <w:tcPr>
            <w:tcW w:w="991" w:type="dxa"/>
            <w:tcBorders>
              <w:top w:val="single" w:sz="4" w:space="0" w:color="auto"/>
              <w:left w:val="single" w:sz="4" w:space="0" w:color="auto"/>
              <w:bottom w:val="nil"/>
            </w:tcBorders>
            <w:vAlign w:val="center"/>
          </w:tcPr>
          <w:p w14:paraId="4CBFB7C2" w14:textId="77777777" w:rsidR="0061305E" w:rsidRPr="00734A50" w:rsidRDefault="0061305E" w:rsidP="00E44E8A">
            <w:pPr>
              <w:jc w:val="center"/>
              <w:rPr>
                <w:szCs w:val="20"/>
              </w:rPr>
            </w:pPr>
          </w:p>
        </w:tc>
        <w:tc>
          <w:tcPr>
            <w:tcW w:w="851" w:type="dxa"/>
            <w:tcBorders>
              <w:top w:val="single" w:sz="4" w:space="0" w:color="auto"/>
              <w:bottom w:val="nil"/>
            </w:tcBorders>
          </w:tcPr>
          <w:p w14:paraId="4CE0840F" w14:textId="77777777" w:rsidR="0061305E" w:rsidRPr="00734A50" w:rsidRDefault="0061305E" w:rsidP="00E44E8A">
            <w:pPr>
              <w:jc w:val="center"/>
              <w:rPr>
                <w:szCs w:val="20"/>
              </w:rPr>
            </w:pPr>
          </w:p>
        </w:tc>
        <w:tc>
          <w:tcPr>
            <w:tcW w:w="284" w:type="dxa"/>
            <w:tcBorders>
              <w:top w:val="single" w:sz="4" w:space="0" w:color="auto"/>
              <w:bottom w:val="nil"/>
            </w:tcBorders>
          </w:tcPr>
          <w:p w14:paraId="7B53304D" w14:textId="336BE297" w:rsidR="0061305E" w:rsidRPr="00734A50" w:rsidRDefault="0061305E" w:rsidP="00E44E8A">
            <w:pPr>
              <w:jc w:val="center"/>
              <w:rPr>
                <w:szCs w:val="20"/>
              </w:rPr>
            </w:pPr>
          </w:p>
        </w:tc>
        <w:tc>
          <w:tcPr>
            <w:tcW w:w="1274" w:type="dxa"/>
            <w:tcBorders>
              <w:top w:val="single" w:sz="4" w:space="0" w:color="auto"/>
              <w:bottom w:val="nil"/>
            </w:tcBorders>
            <w:vAlign w:val="center"/>
          </w:tcPr>
          <w:p w14:paraId="71F96597" w14:textId="002DE267" w:rsidR="0061305E" w:rsidRPr="00734A50" w:rsidRDefault="0061305E" w:rsidP="00E44E8A">
            <w:pPr>
              <w:jc w:val="center"/>
              <w:rPr>
                <w:szCs w:val="20"/>
              </w:rPr>
            </w:pPr>
          </w:p>
        </w:tc>
      </w:tr>
      <w:tr w:rsidR="002A23E9" w:rsidRPr="00734A50" w14:paraId="0FF6312C" w14:textId="77777777" w:rsidTr="007A7831">
        <w:trPr>
          <w:trHeight w:val="300"/>
        </w:trPr>
        <w:tc>
          <w:tcPr>
            <w:tcW w:w="1843" w:type="dxa"/>
            <w:tcBorders>
              <w:top w:val="nil"/>
              <w:bottom w:val="single" w:sz="4" w:space="0" w:color="auto"/>
            </w:tcBorders>
            <w:shd w:val="clear" w:color="auto" w:fill="F2F2F2" w:themeFill="accent6" w:themeFillShade="F2"/>
            <w:vAlign w:val="center"/>
          </w:tcPr>
          <w:p w14:paraId="3608F510" w14:textId="77777777" w:rsidR="0061305E" w:rsidRPr="00734A50" w:rsidRDefault="0061305E" w:rsidP="00E44E8A">
            <w:pPr>
              <w:rPr>
                <w:szCs w:val="20"/>
              </w:rPr>
            </w:pPr>
            <w:r w:rsidRPr="00734A50">
              <w:rPr>
                <w:szCs w:val="20"/>
              </w:rPr>
              <w:t>1</w:t>
            </w:r>
            <w:r w:rsidRPr="00734A50">
              <w:rPr>
                <w:szCs w:val="20"/>
                <w:vertAlign w:val="superscript"/>
              </w:rPr>
              <w:t>st</w:t>
            </w:r>
            <w:r w:rsidRPr="00734A50">
              <w:rPr>
                <w:szCs w:val="20"/>
              </w:rPr>
              <w:t xml:space="preserve"> year attrition</w:t>
            </w:r>
          </w:p>
        </w:tc>
        <w:tc>
          <w:tcPr>
            <w:tcW w:w="1421" w:type="dxa"/>
            <w:tcBorders>
              <w:top w:val="nil"/>
              <w:bottom w:val="single" w:sz="4" w:space="0" w:color="auto"/>
              <w:right w:val="single" w:sz="4" w:space="0" w:color="auto"/>
            </w:tcBorders>
            <w:shd w:val="clear" w:color="auto" w:fill="F2F2F2" w:themeFill="accent6" w:themeFillShade="F2"/>
            <w:vAlign w:val="center"/>
          </w:tcPr>
          <w:p w14:paraId="10AE3364" w14:textId="77777777" w:rsidR="0061305E" w:rsidRPr="00734A50" w:rsidRDefault="0061305E" w:rsidP="00E44E8A">
            <w:pPr>
              <w:jc w:val="center"/>
              <w:rPr>
                <w:b/>
                <w:szCs w:val="20"/>
              </w:rPr>
            </w:pPr>
            <w:r w:rsidRPr="00734A50">
              <w:rPr>
                <w:b/>
                <w:szCs w:val="20"/>
              </w:rPr>
              <w:t>25.5%</w:t>
            </w:r>
          </w:p>
        </w:tc>
        <w:tc>
          <w:tcPr>
            <w:tcW w:w="1275" w:type="dxa"/>
            <w:tcBorders>
              <w:top w:val="nil"/>
              <w:left w:val="single" w:sz="4" w:space="0" w:color="auto"/>
              <w:bottom w:val="single" w:sz="4" w:space="0" w:color="auto"/>
            </w:tcBorders>
            <w:shd w:val="clear" w:color="auto" w:fill="F2F2F2" w:themeFill="accent6" w:themeFillShade="F2"/>
            <w:vAlign w:val="center"/>
          </w:tcPr>
          <w:p w14:paraId="05F64F3C" w14:textId="7E7397F1" w:rsidR="0061305E" w:rsidRPr="00734A50" w:rsidRDefault="00EA4251" w:rsidP="00E44E8A">
            <w:pPr>
              <w:jc w:val="center"/>
              <w:rPr>
                <w:szCs w:val="20"/>
              </w:rPr>
            </w:pPr>
            <w:r>
              <w:rPr>
                <w:szCs w:val="20"/>
              </w:rPr>
              <w:t>20.7</w:t>
            </w:r>
            <w:r w:rsidR="0061305E" w:rsidRPr="00734A50">
              <w:rPr>
                <w:szCs w:val="20"/>
              </w:rPr>
              <w:t>%</w:t>
            </w:r>
          </w:p>
        </w:tc>
        <w:tc>
          <w:tcPr>
            <w:tcW w:w="1275" w:type="dxa"/>
            <w:tcBorders>
              <w:top w:val="nil"/>
              <w:bottom w:val="single" w:sz="4" w:space="0" w:color="auto"/>
              <w:right w:val="single" w:sz="4" w:space="0" w:color="auto"/>
            </w:tcBorders>
            <w:shd w:val="clear" w:color="auto" w:fill="F2F2F2" w:themeFill="accent6" w:themeFillShade="F2"/>
            <w:vAlign w:val="center"/>
          </w:tcPr>
          <w:p w14:paraId="554A6459" w14:textId="3398FEC0" w:rsidR="0061305E" w:rsidRPr="00734A50" w:rsidRDefault="0061305E" w:rsidP="00E44E8A">
            <w:pPr>
              <w:jc w:val="center"/>
              <w:rPr>
                <w:szCs w:val="20"/>
              </w:rPr>
            </w:pPr>
            <w:r w:rsidRPr="00734A50">
              <w:rPr>
                <w:szCs w:val="20"/>
              </w:rPr>
              <w:t>↑</w:t>
            </w:r>
            <w:r w:rsidR="00EA4251">
              <w:rPr>
                <w:szCs w:val="20"/>
              </w:rPr>
              <w:t>4</w:t>
            </w:r>
            <w:r w:rsidRPr="00734A50">
              <w:rPr>
                <w:szCs w:val="20"/>
              </w:rPr>
              <w:t>.8</w:t>
            </w:r>
          </w:p>
        </w:tc>
        <w:tc>
          <w:tcPr>
            <w:tcW w:w="991" w:type="dxa"/>
            <w:tcBorders>
              <w:top w:val="nil"/>
              <w:left w:val="single" w:sz="4" w:space="0" w:color="auto"/>
              <w:bottom w:val="single" w:sz="4" w:space="0" w:color="auto"/>
            </w:tcBorders>
            <w:shd w:val="clear" w:color="auto" w:fill="F2F2F2" w:themeFill="accent6" w:themeFillShade="F2"/>
            <w:vAlign w:val="center"/>
          </w:tcPr>
          <w:p w14:paraId="21F882F9" w14:textId="77777777" w:rsidR="0061305E" w:rsidRPr="00734A50" w:rsidRDefault="0061305E" w:rsidP="00E44E8A">
            <w:pPr>
              <w:jc w:val="center"/>
              <w:rPr>
                <w:szCs w:val="20"/>
              </w:rPr>
            </w:pPr>
            <w:r w:rsidRPr="00734A50">
              <w:rPr>
                <w:szCs w:val="20"/>
              </w:rPr>
              <w:t>21.8%</w:t>
            </w:r>
          </w:p>
        </w:tc>
        <w:tc>
          <w:tcPr>
            <w:tcW w:w="851" w:type="dxa"/>
            <w:tcBorders>
              <w:top w:val="nil"/>
              <w:bottom w:val="single" w:sz="4" w:space="0" w:color="auto"/>
            </w:tcBorders>
            <w:shd w:val="clear" w:color="auto" w:fill="F2F2F2" w:themeFill="accent6" w:themeFillShade="F2"/>
          </w:tcPr>
          <w:p w14:paraId="1F468E1A" w14:textId="77777777" w:rsidR="0061305E" w:rsidRPr="00734A50" w:rsidRDefault="0061305E" w:rsidP="00E44E8A">
            <w:pPr>
              <w:jc w:val="center"/>
              <w:rPr>
                <w:szCs w:val="20"/>
              </w:rPr>
            </w:pPr>
          </w:p>
        </w:tc>
        <w:tc>
          <w:tcPr>
            <w:tcW w:w="284" w:type="dxa"/>
            <w:tcBorders>
              <w:top w:val="nil"/>
              <w:bottom w:val="single" w:sz="4" w:space="0" w:color="auto"/>
            </w:tcBorders>
            <w:shd w:val="clear" w:color="auto" w:fill="F2F2F2" w:themeFill="accent6" w:themeFillShade="F2"/>
          </w:tcPr>
          <w:p w14:paraId="2F2B3DAC" w14:textId="5543A610" w:rsidR="0061305E" w:rsidRPr="00734A50" w:rsidRDefault="0061305E" w:rsidP="00E44E8A">
            <w:pPr>
              <w:jc w:val="center"/>
              <w:rPr>
                <w:szCs w:val="20"/>
              </w:rPr>
            </w:pPr>
          </w:p>
        </w:tc>
        <w:tc>
          <w:tcPr>
            <w:tcW w:w="1274" w:type="dxa"/>
            <w:tcBorders>
              <w:top w:val="nil"/>
              <w:bottom w:val="single" w:sz="4" w:space="0" w:color="auto"/>
            </w:tcBorders>
            <w:shd w:val="clear" w:color="auto" w:fill="F2F2F2" w:themeFill="accent6" w:themeFillShade="F2"/>
            <w:vAlign w:val="center"/>
          </w:tcPr>
          <w:p w14:paraId="55C55FB9" w14:textId="0B32992E" w:rsidR="0061305E" w:rsidRPr="00734A50" w:rsidRDefault="0061305E" w:rsidP="00E44E8A">
            <w:pPr>
              <w:jc w:val="center"/>
              <w:rPr>
                <w:szCs w:val="20"/>
              </w:rPr>
            </w:pPr>
            <w:r w:rsidRPr="00734A50">
              <w:rPr>
                <w:szCs w:val="20"/>
              </w:rPr>
              <w:t>↑3.7</w:t>
            </w:r>
          </w:p>
        </w:tc>
      </w:tr>
    </w:tbl>
    <w:p w14:paraId="53C4D019" w14:textId="5AB8FC7B" w:rsidR="00EA00B0" w:rsidRPr="00734A50" w:rsidRDefault="00EA00B0" w:rsidP="00E73BBF">
      <w:pPr>
        <w:pStyle w:val="Heading3"/>
      </w:pPr>
      <w:bookmarkStart w:id="73" w:name="_Toc139366644"/>
      <w:r w:rsidRPr="00734A50">
        <w:lastRenderedPageBreak/>
        <w:t>2.</w:t>
      </w:r>
      <w:r w:rsidR="540CE0ED" w:rsidRPr="00734A50">
        <w:t>4</w:t>
      </w:r>
      <w:r w:rsidRPr="00734A50">
        <w:t xml:space="preserve"> Informing student choice</w:t>
      </w:r>
      <w:bookmarkEnd w:id="73"/>
    </w:p>
    <w:p w14:paraId="40702327" w14:textId="40B37E65" w:rsidR="00EA00B0" w:rsidRPr="00734A50" w:rsidRDefault="00EA00B0" w:rsidP="00EA00B0">
      <w:r w:rsidRPr="00734A50">
        <w:t xml:space="preserve">More accessible information about the </w:t>
      </w:r>
      <w:r w:rsidR="00885B73" w:rsidRPr="00734A50">
        <w:t xml:space="preserve">features </w:t>
      </w:r>
      <w:r w:rsidRPr="00734A50">
        <w:t xml:space="preserve">of ITE programs </w:t>
      </w:r>
      <w:r w:rsidR="003E7832" w:rsidRPr="00734A50">
        <w:t>would</w:t>
      </w:r>
      <w:r w:rsidRPr="00734A50">
        <w:t xml:space="preserve"> drive ongoing improvements if it is used by students in choosing their higher education provider </w:t>
      </w:r>
      <w:r w:rsidRPr="008E5C8F">
        <w:t>(Productivity Commission 202</w:t>
      </w:r>
      <w:r w:rsidR="008C5372" w:rsidRPr="008E5C8F">
        <w:t>3</w:t>
      </w:r>
      <w:r w:rsidRPr="008E5C8F">
        <w:t>).</w:t>
      </w:r>
      <w:r w:rsidRPr="00734A50">
        <w:t xml:space="preserve"> Student choice increases competition between higher education providers, creating a financial incentive for higher education providers to improve </w:t>
      </w:r>
      <w:r w:rsidR="00885B73" w:rsidRPr="00734A50">
        <w:t xml:space="preserve">in order </w:t>
      </w:r>
      <w:r w:rsidRPr="00734A50">
        <w:t xml:space="preserve">to attract students. </w:t>
      </w:r>
    </w:p>
    <w:p w14:paraId="2901615E" w14:textId="60997411" w:rsidR="00EA00B0" w:rsidRDefault="00EA00B0" w:rsidP="00EA00B0">
      <w:r w:rsidRPr="00734A50">
        <w:t xml:space="preserve">Some stakeholders did not believe public reporting of </w:t>
      </w:r>
      <w:r w:rsidR="7FA67154" w:rsidRPr="00734A50">
        <w:t>these indicators</w:t>
      </w:r>
      <w:r w:rsidRPr="00734A50">
        <w:t xml:space="preserve"> would drive improvements (</w:t>
      </w:r>
      <w:r w:rsidR="0061428C" w:rsidRPr="00734A50">
        <w:t xml:space="preserve">Network of Associate Deans of Learning and Teaching </w:t>
      </w:r>
      <w:r w:rsidR="00C2356C" w:rsidRPr="00734A50">
        <w:t>in</w:t>
      </w:r>
      <w:r w:rsidR="00206319" w:rsidRPr="00734A50">
        <w:t xml:space="preserve"> the Discipline of</w:t>
      </w:r>
      <w:r w:rsidR="0061428C" w:rsidRPr="00734A50">
        <w:t xml:space="preserve"> Education</w:t>
      </w:r>
      <w:r w:rsidRPr="00734A50">
        <w:t xml:space="preserve"> submission; C</w:t>
      </w:r>
      <w:r w:rsidR="00C2356C" w:rsidRPr="00734A50">
        <w:t xml:space="preserve">entral Queensland </w:t>
      </w:r>
      <w:r w:rsidRPr="00734A50">
        <w:t xml:space="preserve">University Australia submission; University of the Sunshine Coast submission; University of Southern Queensland submission). The Panel conducted a survey of current ITE students and found that students would value knowing more about </w:t>
      </w:r>
      <w:r w:rsidR="011D9661" w:rsidRPr="00734A50">
        <w:t>these indicators</w:t>
      </w:r>
      <w:r w:rsidR="00BB1658" w:rsidRPr="00734A50">
        <w:t xml:space="preserve"> (see summary information below)</w:t>
      </w:r>
      <w:r w:rsidR="2100F58F" w:rsidRPr="00734A50">
        <w:t>.</w:t>
      </w:r>
      <w:r w:rsidRPr="00734A50">
        <w:t xml:space="preserve"> The Panel heard that ITE students currently have a limited understanding of the </w:t>
      </w:r>
      <w:r w:rsidR="77208FD0" w:rsidRPr="00734A50">
        <w:t>indicators</w:t>
      </w:r>
      <w:r w:rsidR="004668EF" w:rsidRPr="00734A50">
        <w:t xml:space="preserve"> </w:t>
      </w:r>
      <w:r w:rsidRPr="00734A50">
        <w:t>but</w:t>
      </w:r>
      <w:r w:rsidR="004668EF" w:rsidRPr="00734A50">
        <w:t xml:space="preserve"> that</w:t>
      </w:r>
      <w:r w:rsidRPr="00734A50">
        <w:t xml:space="preserve"> knowing mo</w:t>
      </w:r>
      <w:r w:rsidR="003910D4" w:rsidRPr="00734A50">
        <w:t xml:space="preserve">re information </w:t>
      </w:r>
      <w:r w:rsidRPr="00734A50">
        <w:t>would have helped them decide which higher education provider to choose.</w:t>
      </w:r>
    </w:p>
    <w:p w14:paraId="6045B768" w14:textId="77777777" w:rsidR="00852299" w:rsidRDefault="00852299" w:rsidP="00852299">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Pr>
          <w:b/>
          <w:bCs/>
        </w:rPr>
        <w:t xml:space="preserve">Accessible information on the nationally consistent indicators </w:t>
      </w:r>
      <w:r w:rsidRPr="00775057">
        <w:rPr>
          <w:b/>
          <w:bCs/>
        </w:rPr>
        <w:t>would</w:t>
      </w:r>
      <w:r>
        <w:rPr>
          <w:b/>
          <w:bCs/>
        </w:rPr>
        <w:t xml:space="preserve"> inform student choice</w:t>
      </w:r>
    </w:p>
    <w:p w14:paraId="6D9A0A16" w14:textId="77777777" w:rsidR="00852299" w:rsidRDefault="00852299" w:rsidP="00852299">
      <w:pPr>
        <w:pBdr>
          <w:top w:val="single" w:sz="4" w:space="1" w:color="auto"/>
          <w:left w:val="single" w:sz="4" w:space="4" w:color="auto"/>
          <w:bottom w:val="single" w:sz="4" w:space="1" w:color="auto"/>
          <w:right w:val="single" w:sz="4" w:space="4" w:color="auto"/>
        </w:pBdr>
        <w:shd w:val="clear" w:color="auto" w:fill="FECF52" w:themeFill="accent2"/>
      </w:pPr>
      <w:r>
        <w:t>The Behavioural Economics Team of the Australian Government (BETA) designed a survey to identify the factors that influenced ITE students’ decision to attend their chosen ITE provider. ITE students (N = 278) who were not yet in their final year were surveyed. The university being located close to home, having flexible study options (e.g. part-time study options) or having attractive course offerings were most commonly nominated as influential factors.</w:t>
      </w:r>
    </w:p>
    <w:p w14:paraId="4981F11E" w14:textId="642AD7CD" w:rsidR="00852299" w:rsidRPr="000302A1" w:rsidRDefault="00852299" w:rsidP="00852299">
      <w:pPr>
        <w:pBdr>
          <w:top w:val="single" w:sz="4" w:space="1" w:color="auto"/>
          <w:left w:val="single" w:sz="4" w:space="4" w:color="auto"/>
          <w:bottom w:val="single" w:sz="4" w:space="1" w:color="auto"/>
          <w:right w:val="single" w:sz="4" w:space="4" w:color="auto"/>
        </w:pBdr>
        <w:shd w:val="clear" w:color="auto" w:fill="FECF52" w:themeFill="accent2"/>
      </w:pPr>
      <w:r>
        <w:t>ITE students were then asked specifically about the indicators currently proposed. More than 65 </w:t>
      </w:r>
      <w:r w:rsidRPr="002521A5">
        <w:t xml:space="preserve">per cent </w:t>
      </w:r>
      <w:r w:rsidRPr="000302A1">
        <w:t xml:space="preserve">reported that they had little to no information about each of these indicators when they were deciding which university to attend. Students reported the most knowledge about graduate employment outcomes (31 </w:t>
      </w:r>
      <w:r w:rsidRPr="002521A5">
        <w:t>per cent</w:t>
      </w:r>
      <w:r w:rsidRPr="000302A1">
        <w:t xml:space="preserve"> knew ‘a lot’) and the least knowledge about selection indicators (12 </w:t>
      </w:r>
      <w:r w:rsidRPr="002521A5">
        <w:t>per cent</w:t>
      </w:r>
      <w:r w:rsidRPr="000302A1">
        <w:t xml:space="preserve"> knew ‘a lot’ about competitive entry requirements while 14 </w:t>
      </w:r>
      <w:r w:rsidRPr="002521A5">
        <w:t>per cent</w:t>
      </w:r>
      <w:r w:rsidRPr="000302A1">
        <w:t xml:space="preserve"> knew ‘a lot’ about the diversity of student populations).</w:t>
      </w:r>
    </w:p>
    <w:p w14:paraId="35011097" w14:textId="70E6DFF6" w:rsidR="00EA00B0" w:rsidRPr="00734A50" w:rsidRDefault="00852299" w:rsidP="00852299">
      <w:pPr>
        <w:pBdr>
          <w:top w:val="single" w:sz="4" w:space="1" w:color="auto"/>
          <w:left w:val="single" w:sz="4" w:space="4" w:color="auto"/>
          <w:bottom w:val="single" w:sz="4" w:space="1" w:color="auto"/>
          <w:right w:val="single" w:sz="4" w:space="4" w:color="auto"/>
        </w:pBdr>
        <w:shd w:val="clear" w:color="auto" w:fill="FECF52" w:themeFill="accent2"/>
      </w:pPr>
      <w:r w:rsidRPr="000302A1">
        <w:t xml:space="preserve">When asked if more information about these indicators would have helped them decide which university to attend, most students said that knowing more about student satisfaction (81 </w:t>
      </w:r>
      <w:r w:rsidRPr="002521A5">
        <w:t>per cent</w:t>
      </w:r>
      <w:r w:rsidRPr="000302A1">
        <w:t xml:space="preserve">), employment outcomes (81 </w:t>
      </w:r>
      <w:r w:rsidRPr="002521A5">
        <w:t>per cent</w:t>
      </w:r>
      <w:r w:rsidRPr="000302A1">
        <w:t xml:space="preserve">) and graduation rates (73 </w:t>
      </w:r>
      <w:r w:rsidRPr="002521A5">
        <w:t>per cent</w:t>
      </w:r>
      <w:r w:rsidRPr="000302A1">
        <w:t xml:space="preserve">) would have helped. The indicators related to selection (competitive entry requirements and a diverse student population) would have helped fewer than 50 </w:t>
      </w:r>
      <w:r w:rsidRPr="002521A5">
        <w:t>per cent</w:t>
      </w:r>
      <w:r w:rsidRPr="000302A1">
        <w:t xml:space="preserve"> of students decide which university to attend.</w:t>
      </w:r>
    </w:p>
    <w:p w14:paraId="04E6489A" w14:textId="5C987E67" w:rsidR="00EA00B0" w:rsidRPr="00734A50" w:rsidRDefault="00581E26" w:rsidP="00A36740">
      <w:pPr>
        <w:pStyle w:val="Heading4"/>
      </w:pPr>
      <w:r w:rsidRPr="00734A50">
        <w:t xml:space="preserve">2.4.1 </w:t>
      </w:r>
      <w:r w:rsidR="00EA00B0" w:rsidRPr="00734A50">
        <w:t xml:space="preserve">Displaying </w:t>
      </w:r>
      <w:r w:rsidR="00745DD3" w:rsidRPr="00734A50">
        <w:t>indicators</w:t>
      </w:r>
      <w:r w:rsidR="00EA00B0" w:rsidRPr="00734A50">
        <w:t xml:space="preserve"> for prospective ITE students</w:t>
      </w:r>
    </w:p>
    <w:p w14:paraId="117BE3F6" w14:textId="72BF7862" w:rsidR="00EA00B0" w:rsidRPr="00734A50" w:rsidRDefault="00EA00B0" w:rsidP="00EA00B0">
      <w:r w:rsidRPr="00734A50">
        <w:t xml:space="preserve">The </w:t>
      </w:r>
      <w:r w:rsidR="00745DD3" w:rsidRPr="00734A50">
        <w:t>indicators</w:t>
      </w:r>
      <w:r w:rsidRPr="00734A50">
        <w:t xml:space="preserve"> should be presented in a way that aids and simplifies decision</w:t>
      </w:r>
      <w:r w:rsidR="000F2322" w:rsidRPr="00734A50">
        <w:t>-</w:t>
      </w:r>
      <w:r w:rsidRPr="00734A50">
        <w:t>making, such as through an interactive comparison tool. This tool would allow students to specify their preferences and only receive information that is relevant to them. This ensures students can easily use relevant data to inform their decision-making, without being overwhelmed (as</w:t>
      </w:r>
      <w:r w:rsidR="00E55405" w:rsidRPr="00734A50">
        <w:t xml:space="preserve"> the amount of information</w:t>
      </w:r>
      <w:r w:rsidR="00BA2A33" w:rsidRPr="00734A50">
        <w:t xml:space="preserve"> about</w:t>
      </w:r>
      <w:r w:rsidRPr="00734A50">
        <w:t xml:space="preserve"> 47 higher education providers each being measured on multiple indicators is likely to be overwhelming).</w:t>
      </w:r>
    </w:p>
    <w:p w14:paraId="58E507B1" w14:textId="403CECDA" w:rsidR="00EA00B0" w:rsidRPr="00734A50" w:rsidRDefault="00EA00B0" w:rsidP="00EA00B0">
      <w:r w:rsidRPr="00734A50">
        <w:t xml:space="preserve">Students </w:t>
      </w:r>
      <w:r w:rsidR="003E7832" w:rsidRPr="00734A50">
        <w:t>would</w:t>
      </w:r>
      <w:r w:rsidRPr="00734A50">
        <w:t xml:space="preserve"> be able to specify what kind of ITE program they want to pursue (</w:t>
      </w:r>
      <w:r w:rsidR="00442D6F" w:rsidRPr="00734A50">
        <w:t>e.g.</w:t>
      </w:r>
      <w:r w:rsidRPr="00734A50">
        <w:t xml:space="preserve"> </w:t>
      </w:r>
      <w:r w:rsidR="00A2751A" w:rsidRPr="00734A50">
        <w:t>an</w:t>
      </w:r>
      <w:r w:rsidR="00BA2A33" w:rsidRPr="00734A50">
        <w:t xml:space="preserve"> </w:t>
      </w:r>
      <w:r w:rsidRPr="00734A50">
        <w:t xml:space="preserve">undergraduate course in primary education in South Australia) and </w:t>
      </w:r>
      <w:r w:rsidR="008E1CEF" w:rsidRPr="00734A50">
        <w:t xml:space="preserve">which </w:t>
      </w:r>
      <w:r w:rsidR="7AC45510" w:rsidRPr="00734A50">
        <w:t>indicators</w:t>
      </w:r>
      <w:r w:rsidRPr="00734A50">
        <w:t xml:space="preserve"> are most important to them. The tool </w:t>
      </w:r>
      <w:r w:rsidR="00F960E4" w:rsidRPr="00734A50">
        <w:t>would</w:t>
      </w:r>
      <w:r w:rsidRPr="00734A50">
        <w:t xml:space="preserve"> then give them targeted information comparing relevant </w:t>
      </w:r>
      <w:r w:rsidRPr="00734A50">
        <w:lastRenderedPageBreak/>
        <w:t xml:space="preserve">providers on the </w:t>
      </w:r>
      <w:r w:rsidR="0159A3AB" w:rsidRPr="00734A50">
        <w:t>indicators</w:t>
      </w:r>
      <w:r w:rsidRPr="00734A50">
        <w:t xml:space="preserve"> they care most about. An example of the final results is shown in Figure</w:t>
      </w:r>
      <w:r w:rsidR="008E1CEF" w:rsidRPr="00734A50">
        <w:t> </w:t>
      </w:r>
      <w:r w:rsidRPr="00734A50">
        <w:t>2.</w:t>
      </w:r>
      <w:r w:rsidR="00A65DFD" w:rsidRPr="00734A50">
        <w:t>1</w:t>
      </w:r>
      <w:r w:rsidR="00B90907">
        <w:rPr>
          <w:rStyle w:val="FootnoteReference"/>
        </w:rPr>
        <w:footnoteReference w:id="10"/>
      </w:r>
      <w:r w:rsidRPr="00734A50">
        <w:t xml:space="preserve"> (and more information about how the tool would work is provided in Appendix </w:t>
      </w:r>
      <w:r w:rsidR="00874D3E" w:rsidRPr="00734A50">
        <w:t>G</w:t>
      </w:r>
      <w:r w:rsidRPr="00734A50">
        <w:t>).</w:t>
      </w:r>
    </w:p>
    <w:p w14:paraId="6564FB66" w14:textId="0C8B8643" w:rsidR="00EA00B0" w:rsidRPr="00734A50" w:rsidRDefault="38708CEF" w:rsidP="00A36740">
      <w:pPr>
        <w:pStyle w:val="FigureHeading"/>
        <w:numPr>
          <w:ilvl w:val="0"/>
          <w:numId w:val="0"/>
        </w:numPr>
        <w:ind w:left="357"/>
        <w:rPr>
          <w:szCs w:val="28"/>
        </w:rPr>
      </w:pPr>
      <w:r w:rsidRPr="00734A50">
        <w:rPr>
          <w:sz w:val="22"/>
          <w:szCs w:val="28"/>
        </w:rPr>
        <w:t>Figure 2.</w:t>
      </w:r>
      <w:r w:rsidR="00A65DFD" w:rsidRPr="00734A50">
        <w:rPr>
          <w:sz w:val="22"/>
          <w:szCs w:val="28"/>
        </w:rPr>
        <w:t>1</w:t>
      </w:r>
      <w:r w:rsidR="006A439D" w:rsidRPr="00734A50">
        <w:rPr>
          <w:sz w:val="22"/>
          <w:szCs w:val="28"/>
        </w:rPr>
        <w:t>:</w:t>
      </w:r>
      <w:r w:rsidRPr="00734A50">
        <w:rPr>
          <w:sz w:val="22"/>
          <w:szCs w:val="28"/>
        </w:rPr>
        <w:t xml:space="preserve"> </w:t>
      </w:r>
      <w:r w:rsidR="00042AB5">
        <w:rPr>
          <w:sz w:val="22"/>
          <w:szCs w:val="28"/>
        </w:rPr>
        <w:t>I</w:t>
      </w:r>
      <w:r w:rsidRPr="00734A50">
        <w:rPr>
          <w:sz w:val="22"/>
          <w:szCs w:val="28"/>
        </w:rPr>
        <w:t xml:space="preserve">nteractive comparison tool for prospective </w:t>
      </w:r>
      <w:r w:rsidR="00FD7D47">
        <w:rPr>
          <w:sz w:val="22"/>
          <w:szCs w:val="28"/>
        </w:rPr>
        <w:t xml:space="preserve">ITE </w:t>
      </w:r>
      <w:r w:rsidRPr="00734A50">
        <w:rPr>
          <w:sz w:val="22"/>
          <w:szCs w:val="28"/>
        </w:rPr>
        <w:t xml:space="preserve">students </w:t>
      </w:r>
    </w:p>
    <w:p w14:paraId="6E0D59AF" w14:textId="336BBB91" w:rsidR="00EA00B0" w:rsidRPr="00734A50" w:rsidRDefault="00EA00B0" w:rsidP="78576E9B">
      <w:pPr>
        <w:keepNext/>
        <w:ind w:left="720"/>
      </w:pPr>
      <w:r w:rsidRPr="00734A50">
        <w:t xml:space="preserve"> </w:t>
      </w:r>
      <w:r w:rsidR="00B90907">
        <w:rPr>
          <w:noProof/>
          <w:lang w:eastAsia="en-AU"/>
        </w:rPr>
        <w:drawing>
          <wp:inline distT="0" distB="0" distL="0" distR="0" wp14:anchorId="4EF8E6EC" wp14:editId="6A41D499">
            <wp:extent cx="4776089" cy="3958541"/>
            <wp:effectExtent l="0" t="0" r="5715" b="4445"/>
            <wp:docPr id="13" name="Picture 13" descr="A picture containing a screenshot  example of an interactive comparison tool for prospective ITE students, highlighting differences between three different ITE providers.&#10;&#10;Indicators most important to the student are shown at the top such as Graduate employment outcomes; graduate preparedness for employment; participation of high-achieving students; and participation of regional and remote students. &#10;&#10;Other indicators would be displayed underneath the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a screenshot  example of an interactive comparison tool for prospective ITE students, highlighting differences between three different ITE providers.&#10;&#10;Indicators most important to the student are shown at the top such as Graduate employment outcomes; graduate preparedness for employment; participation of high-achieving students; and participation of regional and remote students. &#10;&#10;Other indicators would be displayed underneath these. "/>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4782090" cy="3963515"/>
                    </a:xfrm>
                    <a:prstGeom prst="rect">
                      <a:avLst/>
                    </a:prstGeom>
                    <a:noFill/>
                    <a:ln>
                      <a:noFill/>
                    </a:ln>
                  </pic:spPr>
                </pic:pic>
              </a:graphicData>
            </a:graphic>
          </wp:inline>
        </w:drawing>
      </w:r>
    </w:p>
    <w:p w14:paraId="7335EF73" w14:textId="67A464B4" w:rsidR="00EA00B0" w:rsidRPr="00734A50" w:rsidRDefault="00EA00B0" w:rsidP="00E73BBF">
      <w:pPr>
        <w:pStyle w:val="Heading3"/>
      </w:pPr>
      <w:bookmarkStart w:id="74" w:name="_Toc139366645"/>
      <w:r w:rsidRPr="00734A50">
        <w:t>2.</w:t>
      </w:r>
      <w:r w:rsidR="59037AC1" w:rsidRPr="00734A50">
        <w:t>5</w:t>
      </w:r>
      <w:r w:rsidRPr="00734A50">
        <w:t xml:space="preserve"> </w:t>
      </w:r>
      <w:r w:rsidR="00B73D8C" w:rsidRPr="00734A50">
        <w:t>Streamlin</w:t>
      </w:r>
      <w:r w:rsidR="00E94E46" w:rsidRPr="00734A50">
        <w:t>ing</w:t>
      </w:r>
      <w:r w:rsidRPr="00734A50">
        <w:t xml:space="preserve"> reporting </w:t>
      </w:r>
      <w:r w:rsidR="00920D15" w:rsidRPr="00734A50">
        <w:t>requirements</w:t>
      </w:r>
      <w:bookmarkEnd w:id="74"/>
    </w:p>
    <w:p w14:paraId="0A2B9FF7" w14:textId="3F29B506" w:rsidR="00EA00B0" w:rsidRPr="00734A50" w:rsidRDefault="00EA00B0" w:rsidP="00EA00B0">
      <w:r w:rsidRPr="00734A50">
        <w:t>The Accreditation Standards and Procedures require new ITE programs to develop a plan for demonstrating the impact of their program and to provide evidence of impact at the end of the accreditation period (Program Standard 6).</w:t>
      </w:r>
    </w:p>
    <w:p w14:paraId="1B4F7227" w14:textId="45E7C8B2" w:rsidR="00A87D88" w:rsidRPr="00734A50" w:rsidRDefault="002243C6" w:rsidP="00EA00B0">
      <w:r w:rsidRPr="00734A50">
        <w:t>Focus group</w:t>
      </w:r>
      <w:r w:rsidR="00251520" w:rsidRPr="00734A50">
        <w:t>s with higher education providers r</w:t>
      </w:r>
      <w:r w:rsidR="00EA00B0" w:rsidRPr="00734A50">
        <w:t>eveal</w:t>
      </w:r>
      <w:r w:rsidR="008E1CEF" w:rsidRPr="00734A50">
        <w:t xml:space="preserve"> that</w:t>
      </w:r>
      <w:r w:rsidR="00EA00B0" w:rsidRPr="00734A50">
        <w:t xml:space="preserve"> </w:t>
      </w:r>
      <w:r w:rsidR="00251520" w:rsidRPr="00734A50">
        <w:t>they</w:t>
      </w:r>
      <w:r w:rsidR="00EA00B0" w:rsidRPr="00734A50">
        <w:t xml:space="preserve"> value this requirement as a way of identifying how their program has performed and where it can improve</w:t>
      </w:r>
      <w:r w:rsidR="00251520" w:rsidRPr="00734A50">
        <w:t>.</w:t>
      </w:r>
      <w:r w:rsidR="00A87D88" w:rsidRPr="00734A50">
        <w:t xml:space="preserve"> ATRA </w:t>
      </w:r>
      <w:r w:rsidR="008E4F4E" w:rsidRPr="00734A50">
        <w:t>highlighted</w:t>
      </w:r>
      <w:r w:rsidR="00A87D88" w:rsidRPr="00734A50">
        <w:t xml:space="preserve"> the value of assessing plans </w:t>
      </w:r>
      <w:r w:rsidR="007349CA" w:rsidRPr="00734A50">
        <w:t>on</w:t>
      </w:r>
      <w:r w:rsidR="00A87D88" w:rsidRPr="00734A50">
        <w:t xml:space="preserve"> </w:t>
      </w:r>
      <w:r w:rsidR="008E4F4E" w:rsidRPr="00734A50">
        <w:t>the</w:t>
      </w:r>
      <w:r w:rsidR="00A87D88" w:rsidRPr="00734A50">
        <w:t xml:space="preserve"> impact of </w:t>
      </w:r>
      <w:r w:rsidR="008E4F4E" w:rsidRPr="00734A50">
        <w:t>ITE progr</w:t>
      </w:r>
      <w:r w:rsidR="007349CA" w:rsidRPr="00734A50">
        <w:t>ams</w:t>
      </w:r>
      <w:r w:rsidR="00A87D88" w:rsidRPr="00734A50">
        <w:t xml:space="preserve"> on student learning and </w:t>
      </w:r>
      <w:r w:rsidR="00A938DF" w:rsidRPr="00734A50">
        <w:t>ITE student</w:t>
      </w:r>
      <w:r w:rsidR="00A87D88" w:rsidRPr="00734A50">
        <w:t xml:space="preserve"> performance and </w:t>
      </w:r>
      <w:r w:rsidR="0016186C" w:rsidRPr="00734A50">
        <w:t xml:space="preserve">the need </w:t>
      </w:r>
      <w:r w:rsidR="00A87D88" w:rsidRPr="00734A50">
        <w:t xml:space="preserve">to ensure </w:t>
      </w:r>
      <w:r w:rsidR="007349CA" w:rsidRPr="00734A50">
        <w:t>this</w:t>
      </w:r>
      <w:r w:rsidR="00A87D88" w:rsidRPr="00734A50">
        <w:t xml:space="preserve"> data is sufficient to inform and drive quality improvement</w:t>
      </w:r>
      <w:r w:rsidR="007349CA" w:rsidRPr="00734A50">
        <w:t>s</w:t>
      </w:r>
      <w:r w:rsidR="00EA00B0" w:rsidRPr="00734A50">
        <w:t xml:space="preserve">. </w:t>
      </w:r>
    </w:p>
    <w:p w14:paraId="237D26C7" w14:textId="464D420A" w:rsidR="00F867E8" w:rsidRDefault="00EA00B0" w:rsidP="00E14138">
      <w:r w:rsidRPr="00734A50">
        <w:t xml:space="preserve">Despite this, </w:t>
      </w:r>
      <w:r w:rsidR="001D13FF" w:rsidRPr="00734A50">
        <w:t>the focus g</w:t>
      </w:r>
      <w:r w:rsidR="00E873BD" w:rsidRPr="00734A50">
        <w:t xml:space="preserve">roup findings revealed </w:t>
      </w:r>
      <w:r w:rsidRPr="00734A50">
        <w:t>two main difficulties in meeting this requirement: collecting and analysing this data</w:t>
      </w:r>
      <w:r w:rsidR="008E1CEF" w:rsidRPr="00734A50">
        <w:t>,</w:t>
      </w:r>
      <w:r w:rsidRPr="00734A50">
        <w:t xml:space="preserve"> and the level </w:t>
      </w:r>
      <w:r w:rsidR="00755398" w:rsidRPr="00734A50">
        <w:t xml:space="preserve">of detail </w:t>
      </w:r>
      <w:r w:rsidRPr="00734A50">
        <w:t>and types of information needed to meet accreditation requirements</w:t>
      </w:r>
      <w:r w:rsidR="00614C58" w:rsidRPr="00734A50">
        <w:t xml:space="preserve"> for Program Standard 6</w:t>
      </w:r>
      <w:r w:rsidRPr="00734A50">
        <w:t xml:space="preserve">. </w:t>
      </w:r>
      <w:r w:rsidR="00DA7851" w:rsidRPr="00734A50">
        <w:t xml:space="preserve">In addition, higher education providers selecting their own outcome measures creates inconsistency in how ITE programs are evaluated. </w:t>
      </w:r>
      <w:r w:rsidRPr="00734A50">
        <w:t xml:space="preserve">Table </w:t>
      </w:r>
      <w:r w:rsidR="008F1B60" w:rsidRPr="00734A50">
        <w:t>2.</w:t>
      </w:r>
      <w:r w:rsidR="00EB68F5" w:rsidRPr="00734A50">
        <w:t>5</w:t>
      </w:r>
      <w:r w:rsidRPr="00734A50">
        <w:t xml:space="preserve"> outlines these challenges and how the </w:t>
      </w:r>
      <w:r w:rsidR="00635AEC" w:rsidRPr="00734A50">
        <w:t>indicators</w:t>
      </w:r>
      <w:r w:rsidRPr="00734A50">
        <w:t xml:space="preserve"> can reduce the reporting burden on higher education providers.</w:t>
      </w:r>
      <w:r w:rsidR="00E14138" w:rsidRPr="00734A50">
        <w:t xml:space="preserve"> </w:t>
      </w:r>
    </w:p>
    <w:p w14:paraId="1CEB514D" w14:textId="77777777" w:rsidR="00F867E8" w:rsidRDefault="00F867E8">
      <w:pPr>
        <w:spacing w:after="160" w:line="259" w:lineRule="auto"/>
      </w:pPr>
      <w:r>
        <w:br w:type="page"/>
      </w:r>
    </w:p>
    <w:p w14:paraId="2FE28A10" w14:textId="6F313E7B" w:rsidR="00EA00B0" w:rsidRPr="00734A50" w:rsidRDefault="00EA00B0" w:rsidP="265CE943">
      <w:pPr>
        <w:pStyle w:val="HeadingTable"/>
        <w:numPr>
          <w:ilvl w:val="0"/>
          <w:numId w:val="0"/>
        </w:numPr>
        <w:ind w:left="360" w:hanging="360"/>
        <w:rPr>
          <w:sz w:val="22"/>
          <w:szCs w:val="28"/>
        </w:rPr>
      </w:pPr>
      <w:r w:rsidRPr="00734A50">
        <w:rPr>
          <w:sz w:val="22"/>
          <w:szCs w:val="28"/>
        </w:rPr>
        <w:lastRenderedPageBreak/>
        <w:t>Table</w:t>
      </w:r>
      <w:r w:rsidR="008F1B60" w:rsidRPr="00734A50">
        <w:rPr>
          <w:sz w:val="22"/>
          <w:szCs w:val="28"/>
        </w:rPr>
        <w:t xml:space="preserve"> 2.</w:t>
      </w:r>
      <w:r w:rsidR="00EB68F5" w:rsidRPr="00734A50">
        <w:rPr>
          <w:sz w:val="22"/>
          <w:szCs w:val="28"/>
        </w:rPr>
        <w:t>5</w:t>
      </w:r>
      <w:r w:rsidRPr="00734A50">
        <w:rPr>
          <w:sz w:val="22"/>
          <w:szCs w:val="28"/>
        </w:rPr>
        <w:t>: Plans for demonstrating impac</w:t>
      </w:r>
      <w:r w:rsidR="003E1D16" w:rsidRPr="00734A50">
        <w:rPr>
          <w:sz w:val="22"/>
          <w:szCs w:val="28"/>
        </w:rPr>
        <w:t xml:space="preserve">t </w:t>
      </w:r>
      <w:r w:rsidR="00FD17B3" w:rsidRPr="00734A50">
        <w:rPr>
          <w:sz w:val="22"/>
          <w:szCs w:val="28"/>
        </w:rPr>
        <w:t>–</w:t>
      </w:r>
      <w:r w:rsidR="003E1D16" w:rsidRPr="00734A50">
        <w:rPr>
          <w:sz w:val="22"/>
          <w:szCs w:val="28"/>
        </w:rPr>
        <w:t xml:space="preserve"> streamline</w:t>
      </w:r>
      <w:r w:rsidR="00CD59AE" w:rsidRPr="00734A50">
        <w:rPr>
          <w:sz w:val="22"/>
          <w:szCs w:val="28"/>
        </w:rPr>
        <w:t>d</w:t>
      </w:r>
      <w:r w:rsidRPr="00734A50">
        <w:rPr>
          <w:sz w:val="22"/>
          <w:szCs w:val="28"/>
        </w:rPr>
        <w:t xml:space="preserve"> reporting </w:t>
      </w:r>
      <w:r w:rsidR="006D6309" w:rsidRPr="00734A50">
        <w:rPr>
          <w:sz w:val="22"/>
          <w:szCs w:val="28"/>
        </w:rPr>
        <w:t>for</w:t>
      </w:r>
      <w:r w:rsidRPr="00734A50">
        <w:rPr>
          <w:sz w:val="22"/>
          <w:szCs w:val="28"/>
        </w:rPr>
        <w:t xml:space="preserve"> </w:t>
      </w:r>
      <w:r w:rsidR="00FF1DDE" w:rsidRPr="00734A50">
        <w:rPr>
          <w:sz w:val="22"/>
          <w:szCs w:val="28"/>
        </w:rPr>
        <w:t xml:space="preserve">higher education </w:t>
      </w:r>
      <w:r w:rsidRPr="00734A50">
        <w:rPr>
          <w:sz w:val="22"/>
          <w:szCs w:val="28"/>
        </w:rPr>
        <w:t>providers</w:t>
      </w:r>
    </w:p>
    <w:tbl>
      <w:tblPr>
        <w:tblStyle w:val="GridTable4-Accent2"/>
        <w:tblW w:w="9067" w:type="dxa"/>
        <w:tblLook w:val="04A0" w:firstRow="1" w:lastRow="0" w:firstColumn="1" w:lastColumn="0" w:noHBand="0" w:noVBand="1"/>
      </w:tblPr>
      <w:tblGrid>
        <w:gridCol w:w="3823"/>
        <w:gridCol w:w="5244"/>
      </w:tblGrid>
      <w:tr w:rsidR="00EA00B0" w:rsidRPr="00734A50" w14:paraId="7FAE11F6" w14:textId="77777777" w:rsidTr="72197D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0D7604E" w14:textId="77777777" w:rsidR="00EA00B0" w:rsidRPr="00734A50" w:rsidRDefault="00EA00B0" w:rsidP="00E44E8A">
            <w:pPr>
              <w:spacing w:after="0"/>
              <w:rPr>
                <w:color w:val="auto"/>
              </w:rPr>
            </w:pPr>
            <w:r w:rsidRPr="00734A50">
              <w:rPr>
                <w:color w:val="auto"/>
              </w:rPr>
              <w:t>Challenges</w:t>
            </w:r>
          </w:p>
        </w:tc>
        <w:tc>
          <w:tcPr>
            <w:tcW w:w="5244" w:type="dxa"/>
          </w:tcPr>
          <w:p w14:paraId="019657AC" w14:textId="0CEFE8A9" w:rsidR="00EA00B0" w:rsidRPr="00734A50" w:rsidRDefault="001700AB" w:rsidP="00E44E8A">
            <w:pPr>
              <w:spacing w:after="0"/>
              <w:cnfStyle w:val="100000000000" w:firstRow="1" w:lastRow="0" w:firstColumn="0" w:lastColumn="0" w:oddVBand="0" w:evenVBand="0" w:oddHBand="0" w:evenHBand="0" w:firstRowFirstColumn="0" w:firstRowLastColumn="0" w:lastRowFirstColumn="0" w:lastRowLastColumn="0"/>
              <w:rPr>
                <w:color w:val="auto"/>
              </w:rPr>
            </w:pPr>
            <w:r w:rsidRPr="00734A50">
              <w:rPr>
                <w:color w:val="auto"/>
              </w:rPr>
              <w:t>Streamline</w:t>
            </w:r>
            <w:r w:rsidR="008E1CEF" w:rsidRPr="00734A50">
              <w:rPr>
                <w:color w:val="auto"/>
              </w:rPr>
              <w:t>d</w:t>
            </w:r>
            <w:r w:rsidR="00EA00B0" w:rsidRPr="00734A50">
              <w:rPr>
                <w:color w:val="auto"/>
              </w:rPr>
              <w:t xml:space="preserve"> reporting</w:t>
            </w:r>
          </w:p>
        </w:tc>
      </w:tr>
      <w:tr w:rsidR="00EA00B0" w:rsidRPr="00734A50" w14:paraId="5EDC71EF" w14:textId="77777777" w:rsidTr="72197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1861FEF" w14:textId="544C9588" w:rsidR="00EA00B0" w:rsidRPr="00734A50" w:rsidRDefault="00EA00B0" w:rsidP="00EC148E">
            <w:pPr>
              <w:rPr>
                <w:b w:val="0"/>
                <w:bCs w:val="0"/>
              </w:rPr>
            </w:pPr>
            <w:r w:rsidRPr="00734A50">
              <w:rPr>
                <w:b w:val="0"/>
                <w:bCs w:val="0"/>
              </w:rPr>
              <w:t>Collecting and analysing data to demonstrate the impact of their ITE programs is resource intensive and not readily accessible.</w:t>
            </w:r>
          </w:p>
        </w:tc>
        <w:tc>
          <w:tcPr>
            <w:tcW w:w="5244" w:type="dxa"/>
          </w:tcPr>
          <w:p w14:paraId="2183F861" w14:textId="5FAA7DB9" w:rsidR="00EA00B0" w:rsidRPr="00734A50" w:rsidRDefault="2912B10C" w:rsidP="00E44E8A">
            <w:pPr>
              <w:cnfStyle w:val="000000100000" w:firstRow="0" w:lastRow="0" w:firstColumn="0" w:lastColumn="0" w:oddVBand="0" w:evenVBand="0" w:oddHBand="1" w:evenHBand="0" w:firstRowFirstColumn="0" w:firstRowLastColumn="0" w:lastRowFirstColumn="0" w:lastRowLastColumn="0"/>
            </w:pPr>
            <w:r w:rsidRPr="00734A50">
              <w:t xml:space="preserve">Providing data on an agreed set of </w:t>
            </w:r>
            <w:r w:rsidR="604A99D6" w:rsidRPr="00734A50">
              <w:t>indicators</w:t>
            </w:r>
            <w:r w:rsidRPr="00734A50">
              <w:t xml:space="preserve"> would reduce the burden of collecting this data. </w:t>
            </w:r>
            <w:r w:rsidR="3CAB3533" w:rsidRPr="00734A50">
              <w:t xml:space="preserve">This would </w:t>
            </w:r>
            <w:r w:rsidRPr="00734A50">
              <w:t>allow for more time spent</w:t>
            </w:r>
            <w:r w:rsidR="571B64D6" w:rsidRPr="00734A50">
              <w:t xml:space="preserve"> </w:t>
            </w:r>
            <w:r w:rsidR="3CAB3533" w:rsidRPr="00734A50">
              <w:t xml:space="preserve">on </w:t>
            </w:r>
            <w:r w:rsidRPr="00734A50">
              <w:t>program improvement.</w:t>
            </w:r>
          </w:p>
        </w:tc>
      </w:tr>
      <w:tr w:rsidR="00EA00B0" w:rsidRPr="00734A50" w14:paraId="6BB33302" w14:textId="77777777" w:rsidTr="72197D63">
        <w:tc>
          <w:tcPr>
            <w:cnfStyle w:val="001000000000" w:firstRow="0" w:lastRow="0" w:firstColumn="1" w:lastColumn="0" w:oddVBand="0" w:evenVBand="0" w:oddHBand="0" w:evenHBand="0" w:firstRowFirstColumn="0" w:firstRowLastColumn="0" w:lastRowFirstColumn="0" w:lastRowLastColumn="0"/>
            <w:tcW w:w="3823" w:type="dxa"/>
          </w:tcPr>
          <w:p w14:paraId="422C7CEB" w14:textId="06E25201" w:rsidR="00EA00B0" w:rsidRPr="00734A50" w:rsidRDefault="00EA00B0" w:rsidP="00EC148E">
            <w:pPr>
              <w:rPr>
                <w:b w:val="0"/>
                <w:bCs w:val="0"/>
              </w:rPr>
            </w:pPr>
            <w:r w:rsidRPr="00734A50">
              <w:rPr>
                <w:b w:val="0"/>
                <w:bCs w:val="0"/>
              </w:rPr>
              <w:t>Unclear expectations for the level of information required in providing, evaluating, and interpreting data on the impact of their ITE programs.</w:t>
            </w:r>
          </w:p>
        </w:tc>
        <w:tc>
          <w:tcPr>
            <w:tcW w:w="5244" w:type="dxa"/>
          </w:tcPr>
          <w:p w14:paraId="3FC10A41" w14:textId="569C3779" w:rsidR="00EA00B0" w:rsidRPr="00734A50" w:rsidRDefault="2912B10C" w:rsidP="00E44E8A">
            <w:pPr>
              <w:cnfStyle w:val="000000000000" w:firstRow="0" w:lastRow="0" w:firstColumn="0" w:lastColumn="0" w:oddVBand="0" w:evenVBand="0" w:oddHBand="0" w:evenHBand="0" w:firstRowFirstColumn="0" w:firstRowLastColumn="0" w:lastRowFirstColumn="0" w:lastRowLastColumn="0"/>
            </w:pPr>
            <w:r w:rsidRPr="00734A50">
              <w:t>Consistent standardised reporting</w:t>
            </w:r>
            <w:r w:rsidR="3CAB3533" w:rsidRPr="00734A50">
              <w:t xml:space="preserve"> would</w:t>
            </w:r>
            <w:r w:rsidRPr="00734A50">
              <w:t xml:space="preserve"> provide a </w:t>
            </w:r>
            <w:r w:rsidR="571B64D6" w:rsidRPr="00734A50">
              <w:t>streamlined</w:t>
            </w:r>
            <w:r w:rsidRPr="00734A50">
              <w:t xml:space="preserve"> approach to demonstrate evidence of impact. </w:t>
            </w:r>
          </w:p>
        </w:tc>
      </w:tr>
    </w:tbl>
    <w:p w14:paraId="665E3A4D" w14:textId="5BDA8922" w:rsidR="001F2145" w:rsidRPr="00734A50" w:rsidRDefault="041BF842" w:rsidP="00FF1DDE">
      <w:pPr>
        <w:spacing w:before="200"/>
      </w:pPr>
      <w:r w:rsidRPr="00734A50">
        <w:t xml:space="preserve">The Accreditation Standards and Procedures require higher education providers to include a minimum of five types of evidence in their </w:t>
      </w:r>
      <w:r w:rsidR="694541DD" w:rsidRPr="00734A50">
        <w:t>‘</w:t>
      </w:r>
      <w:r w:rsidRPr="00734A50">
        <w:t>Plan for Demonstrating Impact</w:t>
      </w:r>
      <w:r w:rsidR="694541DD" w:rsidRPr="00734A50">
        <w:t>’</w:t>
      </w:r>
      <w:r w:rsidRPr="00734A50">
        <w:t xml:space="preserve"> and for program reporting. </w:t>
      </w:r>
      <w:r w:rsidR="5EBCF405" w:rsidRPr="00734A50">
        <w:t xml:space="preserve">Some stakeholders supported the </w:t>
      </w:r>
      <w:r w:rsidR="00FC62AB">
        <w:t>use</w:t>
      </w:r>
      <w:r w:rsidR="5EBCF405" w:rsidRPr="00734A50">
        <w:t xml:space="preserve"> of indicators </w:t>
      </w:r>
      <w:r w:rsidR="00E10211">
        <w:t>in</w:t>
      </w:r>
      <w:r w:rsidR="5EBCF405" w:rsidRPr="00734A50">
        <w:t xml:space="preserve"> accreditation processes (</w:t>
      </w:r>
      <w:r w:rsidR="483283D8" w:rsidRPr="00734A50">
        <w:t>ACDE</w:t>
      </w:r>
      <w:r w:rsidR="062C61D1" w:rsidRPr="00734A50">
        <w:t xml:space="preserve"> </w:t>
      </w:r>
      <w:r w:rsidR="333D514A" w:rsidRPr="00734A50">
        <w:t>submission;</w:t>
      </w:r>
      <w:r w:rsidR="062C61D1" w:rsidRPr="00734A50">
        <w:t xml:space="preserve"> </w:t>
      </w:r>
      <w:r w:rsidR="28C84C59" w:rsidRPr="00734A50">
        <w:t xml:space="preserve">University of Southern Queensland </w:t>
      </w:r>
      <w:r w:rsidR="5EBCF405" w:rsidRPr="00734A50">
        <w:t>submission)</w:t>
      </w:r>
      <w:r w:rsidR="694541DD" w:rsidRPr="00734A50">
        <w:t>. F</w:t>
      </w:r>
      <w:r w:rsidR="346012EA" w:rsidRPr="00734A50">
        <w:t xml:space="preserve">ocus groups </w:t>
      </w:r>
      <w:r w:rsidR="77477711" w:rsidRPr="00734A50">
        <w:t>highlight</w:t>
      </w:r>
      <w:r w:rsidR="694541DD" w:rsidRPr="00734A50">
        <w:t>ed that</w:t>
      </w:r>
      <w:r w:rsidR="346012EA" w:rsidRPr="00734A50">
        <w:t xml:space="preserve"> many of the Panel’s indicators are used to demonstrate the impact of their ITE </w:t>
      </w:r>
      <w:r w:rsidR="74D206AA" w:rsidRPr="00734A50">
        <w:t>programs.</w:t>
      </w:r>
    </w:p>
    <w:p w14:paraId="47EF7C68" w14:textId="6A7B04A6" w:rsidR="001F2145" w:rsidRPr="00734A50" w:rsidRDefault="001F2145" w:rsidP="001F2145">
      <w:pPr>
        <w:spacing w:after="0"/>
      </w:pPr>
      <w:r w:rsidRPr="00734A50">
        <w:t xml:space="preserve">The minimum evidence requirements in the Accreditation Standards and Procedures (Program Standard 6.3) should be </w:t>
      </w:r>
      <w:r w:rsidR="00894BD8" w:rsidRPr="00734A50">
        <w:t>reduced</w:t>
      </w:r>
      <w:r w:rsidRPr="00734A50">
        <w:t xml:space="preserve"> from five to three requirements:</w:t>
      </w:r>
    </w:p>
    <w:p w14:paraId="498472DA" w14:textId="463795C9" w:rsidR="00EA00B0" w:rsidRPr="00734A50" w:rsidRDefault="2912B10C" w:rsidP="00553516">
      <w:pPr>
        <w:pStyle w:val="ListBullet"/>
        <w:numPr>
          <w:ilvl w:val="0"/>
          <w:numId w:val="216"/>
        </w:numPr>
        <w:spacing w:after="200"/>
        <w:ind w:left="357" w:hanging="357"/>
      </w:pPr>
      <w:r w:rsidRPr="00734A50">
        <w:t xml:space="preserve">aggregated assessment data from the </w:t>
      </w:r>
      <w:r w:rsidR="0E49D2A8" w:rsidRPr="00734A50">
        <w:t>T</w:t>
      </w:r>
      <w:r w:rsidRPr="00734A50">
        <w:t xml:space="preserve">eaching </w:t>
      </w:r>
      <w:r w:rsidR="0E49D2A8" w:rsidRPr="00734A50">
        <w:t>P</w:t>
      </w:r>
      <w:r w:rsidRPr="00734A50">
        <w:t xml:space="preserve">erformance </w:t>
      </w:r>
      <w:r w:rsidR="0E49D2A8" w:rsidRPr="00734A50">
        <w:t>A</w:t>
      </w:r>
      <w:r w:rsidRPr="00734A50">
        <w:t>ssessment for all pre-service teachers</w:t>
      </w:r>
    </w:p>
    <w:p w14:paraId="79370390" w14:textId="76B1F300" w:rsidR="001F2145" w:rsidRPr="00734A50" w:rsidRDefault="001F2145" w:rsidP="00553516">
      <w:pPr>
        <w:pStyle w:val="ListBullet"/>
        <w:numPr>
          <w:ilvl w:val="0"/>
          <w:numId w:val="216"/>
        </w:numPr>
        <w:spacing w:after="200"/>
        <w:ind w:left="357" w:hanging="357"/>
      </w:pPr>
      <w:r w:rsidRPr="00734A50">
        <w:t xml:space="preserve">aggregated assessment data from any other assessments identified in a plan for impact as contributing to evidence in relation to pre-service teacher performance and impact </w:t>
      </w:r>
    </w:p>
    <w:p w14:paraId="4E909A81" w14:textId="72A176C7" w:rsidR="001F2145" w:rsidRPr="00734A50" w:rsidRDefault="001F2145" w:rsidP="00553516">
      <w:pPr>
        <w:pStyle w:val="ListBullet"/>
        <w:numPr>
          <w:ilvl w:val="0"/>
          <w:numId w:val="216"/>
        </w:numPr>
        <w:spacing w:after="200"/>
        <w:ind w:left="357" w:hanging="357"/>
      </w:pPr>
      <w:r w:rsidRPr="00734A50">
        <w:t xml:space="preserve">aggregated data from the </w:t>
      </w:r>
      <w:r w:rsidR="00C701EC" w:rsidRPr="00734A50">
        <w:t>national</w:t>
      </w:r>
      <w:r w:rsidRPr="00734A50">
        <w:t xml:space="preserve"> </w:t>
      </w:r>
      <w:r w:rsidR="2DB91456" w:rsidRPr="00734A50">
        <w:t>indicators</w:t>
      </w:r>
      <w:r w:rsidRPr="00734A50">
        <w:t xml:space="preserve"> for all pre-service teachers</w:t>
      </w:r>
      <w:r w:rsidR="032A06EE" w:rsidRPr="00734A50">
        <w:t>.</w:t>
      </w:r>
    </w:p>
    <w:p w14:paraId="540EFAEB" w14:textId="5FC72008" w:rsidR="00EA00B0" w:rsidRPr="00734A50" w:rsidRDefault="001F2145" w:rsidP="00140BCC">
      <w:r w:rsidRPr="00734A50">
        <w:t xml:space="preserve">This would </w:t>
      </w:r>
      <w:r w:rsidR="00120069" w:rsidRPr="00734A50">
        <w:t xml:space="preserve">standardise the reporting of </w:t>
      </w:r>
      <w:r w:rsidR="00F5717C" w:rsidRPr="00734A50">
        <w:t xml:space="preserve">key </w:t>
      </w:r>
      <w:r w:rsidR="00120069" w:rsidRPr="00734A50">
        <w:t xml:space="preserve">outcomes across providers and streamline the existing </w:t>
      </w:r>
      <w:r w:rsidR="00850C69" w:rsidRPr="00734A50">
        <w:t xml:space="preserve">reporting </w:t>
      </w:r>
      <w:r w:rsidR="00120069" w:rsidRPr="00734A50">
        <w:t>requirements</w:t>
      </w:r>
      <w:r w:rsidR="00850C69" w:rsidRPr="00734A50">
        <w:t xml:space="preserve">. </w:t>
      </w:r>
      <w:r w:rsidR="00140BCC" w:rsidRPr="00734A50">
        <w:t>It</w:t>
      </w:r>
      <w:r w:rsidR="00850C69" w:rsidRPr="00734A50">
        <w:t xml:space="preserve"> would make it easier to</w:t>
      </w:r>
      <w:r w:rsidR="00140BCC" w:rsidRPr="00734A50">
        <w:t xml:space="preserve"> report </w:t>
      </w:r>
      <w:r w:rsidRPr="00734A50">
        <w:t xml:space="preserve">on selection cohorts, </w:t>
      </w:r>
      <w:r w:rsidR="00D112BB" w:rsidRPr="00734A50">
        <w:t xml:space="preserve">participate in </w:t>
      </w:r>
      <w:r w:rsidR="009F1B1E" w:rsidRPr="00734A50">
        <w:t>national</w:t>
      </w:r>
      <w:r w:rsidRPr="00734A50">
        <w:t xml:space="preserve">/jurisdictional data collections and </w:t>
      </w:r>
      <w:r w:rsidR="00CE3442" w:rsidRPr="00734A50">
        <w:t xml:space="preserve">provide </w:t>
      </w:r>
      <w:r w:rsidRPr="00734A50">
        <w:t xml:space="preserve">evidence of graduate outcomes, as this </w:t>
      </w:r>
      <w:r w:rsidR="001222B3" w:rsidRPr="00734A50">
        <w:t>would</w:t>
      </w:r>
      <w:r w:rsidRPr="00734A50">
        <w:t xml:space="preserve"> be collected and reported on through the </w:t>
      </w:r>
      <w:r w:rsidR="00C2767C" w:rsidRPr="00734A50">
        <w:t>indicators</w:t>
      </w:r>
      <w:r w:rsidR="00FC5CD3" w:rsidRPr="00734A50">
        <w:t xml:space="preserve"> available in the ATWD</w:t>
      </w:r>
      <w:r w:rsidRPr="00734A50">
        <w:t xml:space="preserve">. </w:t>
      </w:r>
    </w:p>
    <w:p w14:paraId="4348629B" w14:textId="52307608" w:rsidR="00975855" w:rsidRPr="00734A50" w:rsidRDefault="00E67159" w:rsidP="000C4C7F">
      <w:pPr>
        <w:rPr>
          <w:rFonts w:ascii="Calibri" w:eastAsia="Calibri" w:hAnsi="Calibri" w:cs="Arial"/>
        </w:rPr>
      </w:pPr>
      <w:r w:rsidRPr="00734A50">
        <w:t xml:space="preserve">As part of </w:t>
      </w:r>
      <w:r w:rsidR="00894BD8" w:rsidRPr="00734A50">
        <w:t>streamlining</w:t>
      </w:r>
      <w:r w:rsidRPr="00734A50">
        <w:t xml:space="preserve"> the reporting requirements for higher education providers</w:t>
      </w:r>
      <w:r w:rsidR="00530F5B" w:rsidRPr="00734A50">
        <w:t xml:space="preserve">, other opportunities to </w:t>
      </w:r>
      <w:r w:rsidR="00A620C2" w:rsidRPr="00734A50">
        <w:t xml:space="preserve">streamline </w:t>
      </w:r>
      <w:r w:rsidR="00530F5B" w:rsidRPr="00734A50">
        <w:t xml:space="preserve">accreditation </w:t>
      </w:r>
      <w:r w:rsidR="000C4C7F" w:rsidRPr="00734A50">
        <w:t>should also be explored.</w:t>
      </w:r>
    </w:p>
    <w:p w14:paraId="5B4AFD0D" w14:textId="491A9FBC" w:rsidR="00513C98" w:rsidRPr="00734A50" w:rsidRDefault="689DFFE8" w:rsidP="72197D63">
      <w:pPr>
        <w:pStyle w:val="Heading2"/>
      </w:pPr>
      <w:bookmarkStart w:id="75" w:name="_Toc139366646"/>
      <w:r w:rsidRPr="00734A50">
        <w:t>Key findings</w:t>
      </w:r>
      <w:r w:rsidR="5BCB09E5" w:rsidRPr="00734A50">
        <w:t xml:space="preserve">: </w:t>
      </w:r>
      <w:r w:rsidR="24D9C7D2" w:rsidRPr="00734A50">
        <w:t>l</w:t>
      </w:r>
      <w:r w:rsidR="5D5F9941" w:rsidRPr="00734A50">
        <w:t xml:space="preserve">inking </w:t>
      </w:r>
      <w:r w:rsidRPr="00734A50">
        <w:t>p</w:t>
      </w:r>
      <w:r w:rsidR="5D5F9941" w:rsidRPr="00734A50">
        <w:t xml:space="preserve">erformance to </w:t>
      </w:r>
      <w:r w:rsidRPr="00734A50">
        <w:t>f</w:t>
      </w:r>
      <w:r w:rsidR="5D5F9941" w:rsidRPr="00734A50">
        <w:t>unding</w:t>
      </w:r>
      <w:bookmarkEnd w:id="75"/>
    </w:p>
    <w:p w14:paraId="10FCE18C" w14:textId="525AC98A" w:rsidR="00F2580D" w:rsidRPr="00734A50" w:rsidRDefault="002976A9" w:rsidP="00C921B0">
      <w:pPr>
        <w:spacing w:after="0"/>
        <w:textAlignment w:val="baseline"/>
        <w:rPr>
          <w:rFonts w:ascii="Calibri" w:eastAsia="Times New Roman" w:hAnsi="Calibri" w:cs="Calibri"/>
          <w:lang w:eastAsia="en-AU"/>
        </w:rPr>
      </w:pPr>
      <w:r w:rsidRPr="00734A50">
        <w:rPr>
          <w:rFonts w:ascii="Calibri" w:eastAsia="Times New Roman" w:hAnsi="Calibri" w:cs="Calibri"/>
          <w:lang w:eastAsia="en-AU"/>
        </w:rPr>
        <w:t>Publicly r</w:t>
      </w:r>
      <w:r w:rsidR="00CE457E" w:rsidRPr="00734A50">
        <w:rPr>
          <w:rFonts w:ascii="Calibri" w:eastAsia="Times New Roman" w:hAnsi="Calibri" w:cs="Calibri"/>
          <w:lang w:eastAsia="en-AU"/>
        </w:rPr>
        <w:t xml:space="preserve">eporting on the </w:t>
      </w:r>
      <w:r w:rsidRPr="00734A50">
        <w:rPr>
          <w:rFonts w:ascii="Calibri" w:eastAsia="Times New Roman" w:hAnsi="Calibri" w:cs="Calibri"/>
          <w:lang w:eastAsia="en-AU"/>
        </w:rPr>
        <w:t xml:space="preserve">performance of ITE programs </w:t>
      </w:r>
      <w:r w:rsidR="00291DDE" w:rsidRPr="00734A50">
        <w:rPr>
          <w:rFonts w:ascii="Calibri" w:eastAsia="Times New Roman" w:hAnsi="Calibri" w:cs="Calibri"/>
          <w:lang w:eastAsia="en-AU"/>
        </w:rPr>
        <w:t>would</w:t>
      </w:r>
      <w:r w:rsidR="00B67C8C" w:rsidRPr="00734A50">
        <w:rPr>
          <w:rFonts w:ascii="Calibri" w:eastAsia="Times New Roman" w:hAnsi="Calibri" w:cs="Calibri"/>
          <w:lang w:eastAsia="en-AU"/>
        </w:rPr>
        <w:t xml:space="preserve"> </w:t>
      </w:r>
      <w:r w:rsidR="00F2580D" w:rsidRPr="00734A50">
        <w:rPr>
          <w:rFonts w:ascii="Calibri" w:eastAsia="Times New Roman" w:hAnsi="Calibri" w:cs="Calibri"/>
          <w:lang w:eastAsia="en-AU"/>
        </w:rPr>
        <w:t>incentivise</w:t>
      </w:r>
      <w:r w:rsidR="008141E9" w:rsidRPr="00734A50">
        <w:rPr>
          <w:rFonts w:ascii="Calibri" w:eastAsia="Times New Roman" w:hAnsi="Calibri" w:cs="Calibri"/>
          <w:lang w:eastAsia="en-AU"/>
        </w:rPr>
        <w:t xml:space="preserve"> higher education providers </w:t>
      </w:r>
      <w:r w:rsidR="00F2580D" w:rsidRPr="00734A50">
        <w:rPr>
          <w:rFonts w:ascii="Calibri" w:eastAsia="Times New Roman" w:hAnsi="Calibri" w:cs="Calibri"/>
          <w:lang w:eastAsia="en-AU"/>
        </w:rPr>
        <w:t xml:space="preserve">to improve </w:t>
      </w:r>
      <w:r w:rsidR="00B54D6A" w:rsidRPr="00734A50">
        <w:rPr>
          <w:rFonts w:ascii="Calibri" w:eastAsia="Times New Roman" w:hAnsi="Calibri" w:cs="Calibri"/>
          <w:lang w:eastAsia="en-AU"/>
        </w:rPr>
        <w:t xml:space="preserve">their </w:t>
      </w:r>
      <w:r w:rsidR="00F2580D" w:rsidRPr="00734A50">
        <w:rPr>
          <w:rFonts w:ascii="Calibri" w:eastAsia="Times New Roman" w:hAnsi="Calibri" w:cs="Calibri"/>
          <w:lang w:eastAsia="en-AU"/>
        </w:rPr>
        <w:t xml:space="preserve">performance and be </w:t>
      </w:r>
      <w:r w:rsidR="008141E9" w:rsidRPr="00734A50">
        <w:rPr>
          <w:rFonts w:ascii="Calibri" w:eastAsia="Times New Roman" w:hAnsi="Calibri" w:cs="Calibri"/>
          <w:lang w:eastAsia="en-AU"/>
        </w:rPr>
        <w:t xml:space="preserve">accountable for </w:t>
      </w:r>
      <w:r w:rsidR="00DB19A7" w:rsidRPr="00734A50">
        <w:rPr>
          <w:rFonts w:ascii="Calibri" w:eastAsia="Times New Roman" w:hAnsi="Calibri" w:cs="Calibri"/>
          <w:lang w:eastAsia="en-AU"/>
        </w:rPr>
        <w:t xml:space="preserve">the </w:t>
      </w:r>
      <w:r w:rsidR="008141E9" w:rsidRPr="00734A50">
        <w:rPr>
          <w:rFonts w:ascii="Calibri" w:eastAsia="Times New Roman" w:hAnsi="Calibri" w:cs="Calibri"/>
          <w:lang w:eastAsia="en-AU"/>
        </w:rPr>
        <w:t>Commonwealth funding</w:t>
      </w:r>
      <w:r w:rsidR="00DB19A7" w:rsidRPr="00734A50">
        <w:rPr>
          <w:rFonts w:ascii="Calibri" w:eastAsia="Times New Roman" w:hAnsi="Calibri" w:cs="Calibri"/>
          <w:lang w:eastAsia="en-AU"/>
        </w:rPr>
        <w:t xml:space="preserve"> they receive</w:t>
      </w:r>
      <w:r w:rsidR="0FB33552" w:rsidRPr="00734A50">
        <w:rPr>
          <w:rFonts w:ascii="Calibri" w:eastAsia="Times New Roman" w:hAnsi="Calibri" w:cs="Calibri"/>
          <w:lang w:eastAsia="en-AU"/>
        </w:rPr>
        <w:t>:</w:t>
      </w:r>
      <w:r w:rsidR="008141E9" w:rsidRPr="00734A50">
        <w:rPr>
          <w:rFonts w:ascii="Calibri" w:eastAsia="Times New Roman" w:hAnsi="Calibri" w:cs="Calibri"/>
          <w:lang w:eastAsia="en-AU"/>
        </w:rPr>
        <w:t xml:space="preserve"> </w:t>
      </w:r>
    </w:p>
    <w:p w14:paraId="255E5CB7" w14:textId="5A79496D" w:rsidR="00C921B0" w:rsidRPr="00734A50" w:rsidRDefault="00B54D6A" w:rsidP="00553516">
      <w:pPr>
        <w:pStyle w:val="ListBullet"/>
        <w:numPr>
          <w:ilvl w:val="0"/>
          <w:numId w:val="216"/>
        </w:numPr>
        <w:spacing w:after="200"/>
        <w:ind w:left="357" w:hanging="357"/>
      </w:pPr>
      <w:r w:rsidRPr="00734A50">
        <w:t>H</w:t>
      </w:r>
      <w:r w:rsidR="000002FA" w:rsidRPr="00734A50">
        <w:t>igher education providers would be able to see where they are performing well, and which aspects they can improve on</w:t>
      </w:r>
      <w:r w:rsidRPr="00734A50">
        <w:t>.</w:t>
      </w:r>
    </w:p>
    <w:p w14:paraId="1CCCB592" w14:textId="6A965955" w:rsidR="00A224B0" w:rsidRPr="00734A50" w:rsidRDefault="00B54D6A" w:rsidP="00553516">
      <w:pPr>
        <w:pStyle w:val="ListBullet"/>
        <w:numPr>
          <w:ilvl w:val="0"/>
          <w:numId w:val="216"/>
        </w:numPr>
        <w:spacing w:after="200"/>
        <w:ind w:left="357" w:hanging="357"/>
      </w:pPr>
      <w:r w:rsidRPr="00734A50">
        <w:t>P</w:t>
      </w:r>
      <w:r w:rsidR="18C2E917" w:rsidRPr="00734A50">
        <w:t>rospective ITE students</w:t>
      </w:r>
      <w:r w:rsidRPr="00734A50">
        <w:t xml:space="preserve"> would be able to </w:t>
      </w:r>
      <w:r w:rsidR="00476DE9" w:rsidRPr="00734A50">
        <w:t xml:space="preserve">use this information to </w:t>
      </w:r>
      <w:r w:rsidR="00904D04" w:rsidRPr="00734A50">
        <w:t xml:space="preserve">inform </w:t>
      </w:r>
      <w:r w:rsidR="00476DE9" w:rsidRPr="00734A50">
        <w:t>their</w:t>
      </w:r>
      <w:r w:rsidR="00904D04" w:rsidRPr="00734A50">
        <w:t xml:space="preserve"> choice of higher education provider</w:t>
      </w:r>
      <w:r w:rsidR="34E67509" w:rsidRPr="00734A50">
        <w:t>.</w:t>
      </w:r>
      <w:r w:rsidR="00241238" w:rsidRPr="00734A50">
        <w:t xml:space="preserve"> </w:t>
      </w:r>
    </w:p>
    <w:p w14:paraId="1EA5EDA4" w14:textId="1636F35F" w:rsidR="00B53CA6" w:rsidRDefault="001B2E69" w:rsidP="00F2580D">
      <w:pPr>
        <w:textAlignment w:val="baseline"/>
        <w:rPr>
          <w:rFonts w:ascii="Calibri" w:eastAsia="Calibri" w:hAnsi="Calibri" w:cs="Arial"/>
        </w:rPr>
      </w:pPr>
      <w:r w:rsidRPr="00734A50">
        <w:rPr>
          <w:rFonts w:ascii="Calibri" w:eastAsia="Times New Roman" w:hAnsi="Calibri" w:cs="Calibri"/>
          <w:lang w:eastAsia="en-AU"/>
        </w:rPr>
        <w:t xml:space="preserve">The Panel </w:t>
      </w:r>
      <w:r w:rsidR="00B53CA6" w:rsidRPr="00734A50">
        <w:rPr>
          <w:rFonts w:ascii="Calibri" w:eastAsia="Calibri" w:hAnsi="Calibri" w:cs="Arial"/>
          <w:lang w:eastAsia="en-AU"/>
        </w:rPr>
        <w:t>also recognises</w:t>
      </w:r>
      <w:r w:rsidR="00B54D6A" w:rsidRPr="00734A50">
        <w:rPr>
          <w:rFonts w:ascii="Calibri" w:eastAsia="Calibri" w:hAnsi="Calibri" w:cs="Arial"/>
          <w:lang w:eastAsia="en-AU"/>
        </w:rPr>
        <w:t xml:space="preserve"> that</w:t>
      </w:r>
      <w:r w:rsidR="00B53CA6" w:rsidRPr="00734A50">
        <w:rPr>
          <w:rFonts w:ascii="Calibri" w:eastAsia="Calibri" w:hAnsi="Calibri" w:cs="Arial"/>
          <w:lang w:eastAsia="en-AU"/>
        </w:rPr>
        <w:t xml:space="preserve"> improving performance can be resource intensive.</w:t>
      </w:r>
      <w:r w:rsidR="00B53CA6" w:rsidRPr="00734A50">
        <w:rPr>
          <w:rFonts w:ascii="Calibri" w:eastAsia="Calibri" w:hAnsi="Calibri" w:cs="Arial"/>
        </w:rPr>
        <w:t xml:space="preserve"> For example, </w:t>
      </w:r>
      <w:r w:rsidR="00BB5CCB" w:rsidRPr="00734A50">
        <w:rPr>
          <w:rFonts w:ascii="Calibri" w:eastAsia="Calibri" w:hAnsi="Calibri" w:cs="Arial"/>
        </w:rPr>
        <w:t>better supporting ITE students during their ITE programs may require</w:t>
      </w:r>
      <w:r w:rsidR="003A5E90" w:rsidRPr="00734A50">
        <w:rPr>
          <w:rFonts w:ascii="Calibri" w:eastAsia="Calibri" w:hAnsi="Calibri" w:cs="Arial"/>
        </w:rPr>
        <w:t xml:space="preserve"> professional learning for ITE </w:t>
      </w:r>
      <w:r w:rsidR="003A5E90" w:rsidRPr="00734A50">
        <w:rPr>
          <w:rFonts w:ascii="Calibri" w:eastAsia="Calibri" w:hAnsi="Calibri" w:cs="Arial"/>
        </w:rPr>
        <w:lastRenderedPageBreak/>
        <w:t xml:space="preserve">staff. </w:t>
      </w:r>
      <w:r w:rsidR="00B53CA6" w:rsidRPr="00734A50">
        <w:rPr>
          <w:rFonts w:ascii="Calibri" w:eastAsia="Calibri" w:hAnsi="Calibri" w:cs="Arial"/>
        </w:rPr>
        <w:t>There is</w:t>
      </w:r>
      <w:r w:rsidR="009C28CC" w:rsidRPr="00734A50">
        <w:rPr>
          <w:rFonts w:ascii="Calibri" w:eastAsia="Calibri" w:hAnsi="Calibri" w:cs="Arial"/>
        </w:rPr>
        <w:t xml:space="preserve"> also</w:t>
      </w:r>
      <w:r w:rsidR="00B53CA6" w:rsidRPr="00734A50">
        <w:rPr>
          <w:rFonts w:ascii="Calibri" w:eastAsia="Calibri" w:hAnsi="Calibri" w:cs="Arial"/>
        </w:rPr>
        <w:t xml:space="preserve"> a limited evidence base</w:t>
      </w:r>
      <w:r w:rsidR="00B54D6A" w:rsidRPr="00734A50">
        <w:rPr>
          <w:rFonts w:ascii="Calibri" w:eastAsia="Calibri" w:hAnsi="Calibri" w:cs="Arial"/>
        </w:rPr>
        <w:t xml:space="preserve"> that</w:t>
      </w:r>
      <w:r w:rsidR="00B53CA6" w:rsidRPr="00734A50">
        <w:rPr>
          <w:rFonts w:ascii="Calibri" w:eastAsia="Calibri" w:hAnsi="Calibri" w:cs="Arial"/>
        </w:rPr>
        <w:t xml:space="preserve"> </w:t>
      </w:r>
      <w:r w:rsidR="009C28CC" w:rsidRPr="00734A50">
        <w:rPr>
          <w:rFonts w:ascii="Calibri" w:eastAsia="Calibri" w:hAnsi="Calibri" w:cs="Arial"/>
        </w:rPr>
        <w:t>higher education providers can</w:t>
      </w:r>
      <w:r w:rsidR="00B53CA6" w:rsidRPr="00734A50">
        <w:rPr>
          <w:rFonts w:ascii="Calibri" w:eastAsia="Calibri" w:hAnsi="Calibri" w:cs="Arial"/>
        </w:rPr>
        <w:t xml:space="preserve"> draw from to improve </w:t>
      </w:r>
      <w:r w:rsidR="009C28CC" w:rsidRPr="00734A50">
        <w:rPr>
          <w:rFonts w:ascii="Calibri" w:eastAsia="Calibri" w:hAnsi="Calibri" w:cs="Arial"/>
        </w:rPr>
        <w:t xml:space="preserve">the </w:t>
      </w:r>
      <w:r w:rsidR="00B53CA6" w:rsidRPr="00734A50">
        <w:rPr>
          <w:rFonts w:ascii="Calibri" w:eastAsia="Calibri" w:hAnsi="Calibri" w:cs="Arial"/>
        </w:rPr>
        <w:t>performance</w:t>
      </w:r>
      <w:r w:rsidR="009C28CC" w:rsidRPr="00734A50">
        <w:rPr>
          <w:rFonts w:ascii="Calibri" w:eastAsia="Calibri" w:hAnsi="Calibri" w:cs="Arial"/>
        </w:rPr>
        <w:t xml:space="preserve"> of ITE programs</w:t>
      </w:r>
      <w:r w:rsidR="00102B4E" w:rsidRPr="00734A50">
        <w:rPr>
          <w:rFonts w:ascii="Calibri" w:eastAsia="Calibri" w:hAnsi="Calibri" w:cs="Arial"/>
        </w:rPr>
        <w:t xml:space="preserve">. </w:t>
      </w:r>
      <w:r w:rsidR="00BA50E6" w:rsidRPr="00734A50">
        <w:rPr>
          <w:rFonts w:ascii="Calibri" w:eastAsia="Calibri" w:hAnsi="Calibri" w:cs="Arial"/>
        </w:rPr>
        <w:t>Investing</w:t>
      </w:r>
      <w:r w:rsidR="00B54D6A" w:rsidRPr="00734A50">
        <w:rPr>
          <w:rFonts w:ascii="Calibri" w:eastAsia="Calibri" w:hAnsi="Calibri" w:cs="Arial"/>
        </w:rPr>
        <w:t xml:space="preserve"> in</w:t>
      </w:r>
      <w:r w:rsidR="00BA50E6" w:rsidRPr="00734A50">
        <w:rPr>
          <w:rFonts w:ascii="Calibri" w:eastAsia="Calibri" w:hAnsi="Calibri" w:cs="Arial"/>
        </w:rPr>
        <w:t xml:space="preserve"> </w:t>
      </w:r>
      <w:r w:rsidR="0078647A" w:rsidRPr="00734A50">
        <w:rPr>
          <w:rFonts w:ascii="Calibri" w:eastAsia="Calibri" w:hAnsi="Calibri" w:cs="Arial"/>
        </w:rPr>
        <w:t>and sharing findings from</w:t>
      </w:r>
      <w:r w:rsidR="00BA50E6" w:rsidRPr="00734A50">
        <w:rPr>
          <w:rFonts w:ascii="Calibri" w:eastAsia="Calibri" w:hAnsi="Calibri" w:cs="Arial"/>
        </w:rPr>
        <w:t xml:space="preserve"> </w:t>
      </w:r>
      <w:r w:rsidR="00B60550" w:rsidRPr="00734A50">
        <w:rPr>
          <w:rFonts w:ascii="Calibri" w:eastAsia="Calibri" w:hAnsi="Calibri" w:cs="Arial"/>
        </w:rPr>
        <w:t>research</w:t>
      </w:r>
      <w:r w:rsidR="00653697" w:rsidRPr="00734A50">
        <w:rPr>
          <w:rFonts w:ascii="Calibri" w:eastAsia="Calibri" w:hAnsi="Calibri" w:cs="Arial"/>
        </w:rPr>
        <w:t xml:space="preserve"> can </w:t>
      </w:r>
      <w:r w:rsidR="004B2ACA" w:rsidRPr="00734A50">
        <w:t xml:space="preserve">help </w:t>
      </w:r>
      <w:r w:rsidR="007B7AA6" w:rsidRPr="00734A50">
        <w:t xml:space="preserve">show </w:t>
      </w:r>
      <w:r w:rsidR="007E4DF2" w:rsidRPr="00734A50">
        <w:t xml:space="preserve">how to best </w:t>
      </w:r>
      <w:r w:rsidR="004B2ACA" w:rsidRPr="00734A50">
        <w:t>support</w:t>
      </w:r>
      <w:r w:rsidR="007B7AA6" w:rsidRPr="00734A50">
        <w:t xml:space="preserve"> ITE</w:t>
      </w:r>
      <w:r w:rsidR="004B2ACA" w:rsidRPr="00734A50">
        <w:t xml:space="preserve"> students to become great teachers</w:t>
      </w:r>
      <w:r w:rsidR="00122695" w:rsidRPr="00734A50">
        <w:rPr>
          <w:rFonts w:ascii="Calibri" w:eastAsia="Calibri" w:hAnsi="Calibri" w:cs="Arial"/>
        </w:rPr>
        <w:t>.</w:t>
      </w:r>
    </w:p>
    <w:p w14:paraId="6E38D29D" w14:textId="77777777" w:rsidR="00C6323C" w:rsidRDefault="00C6323C" w:rsidP="00C6323C">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Pr>
          <w:b/>
          <w:bCs/>
        </w:rPr>
        <w:t>There is a limited evidence base to improve student completion rates</w:t>
      </w:r>
    </w:p>
    <w:p w14:paraId="14F4BFC8" w14:textId="512A6883" w:rsidR="00C6323C" w:rsidRDefault="00C6323C" w:rsidP="00C6323C">
      <w:pPr>
        <w:pBdr>
          <w:top w:val="single" w:sz="4" w:space="1" w:color="auto"/>
          <w:left w:val="single" w:sz="4" w:space="4" w:color="auto"/>
          <w:bottom w:val="single" w:sz="4" w:space="1" w:color="auto"/>
          <w:right w:val="single" w:sz="4" w:space="4" w:color="auto"/>
        </w:pBdr>
        <w:shd w:val="clear" w:color="auto" w:fill="FECF52" w:themeFill="accent2"/>
        <w:textAlignment w:val="baseline"/>
        <w:rPr>
          <w:rFonts w:ascii="Calibri" w:eastAsia="Times New Roman" w:hAnsi="Calibri" w:cs="Calibri"/>
          <w:lang w:eastAsia="en-AU"/>
        </w:rPr>
      </w:pPr>
      <w:r>
        <w:rPr>
          <w:rFonts w:ascii="Calibri" w:eastAsia="Calibri" w:hAnsi="Calibri" w:cs="Arial"/>
        </w:rPr>
        <w:t>T</w:t>
      </w:r>
      <w:r w:rsidRPr="00777E6A">
        <w:rPr>
          <w:rFonts w:ascii="Calibri" w:eastAsia="Calibri" w:hAnsi="Calibri" w:cs="Arial"/>
        </w:rPr>
        <w:t xml:space="preserve">he Productivity Commission reports that identifying successful programs to improve </w:t>
      </w:r>
      <w:r>
        <w:rPr>
          <w:rFonts w:ascii="Calibri" w:eastAsia="Calibri" w:hAnsi="Calibri" w:cs="Arial"/>
        </w:rPr>
        <w:t xml:space="preserve">student </w:t>
      </w:r>
      <w:r w:rsidRPr="00777E6A">
        <w:rPr>
          <w:rFonts w:ascii="Calibri" w:eastAsia="Calibri" w:hAnsi="Calibri" w:cs="Arial"/>
        </w:rPr>
        <w:t xml:space="preserve">completion rates is difficult. The Tertiary Quality and Standards Agency (TEQSA) developed a guide on ‘good practice’ examples for </w:t>
      </w:r>
      <w:r>
        <w:rPr>
          <w:rFonts w:ascii="Calibri" w:eastAsia="Calibri" w:hAnsi="Calibri" w:cs="Arial"/>
        </w:rPr>
        <w:t>increasing</w:t>
      </w:r>
      <w:r w:rsidRPr="00777E6A">
        <w:rPr>
          <w:rFonts w:ascii="Calibri" w:eastAsia="Calibri" w:hAnsi="Calibri" w:cs="Arial"/>
        </w:rPr>
        <w:t xml:space="preserve"> retention</w:t>
      </w:r>
      <w:r>
        <w:rPr>
          <w:rFonts w:ascii="Calibri" w:eastAsia="Calibri" w:hAnsi="Calibri" w:cs="Arial"/>
        </w:rPr>
        <w:t xml:space="preserve">. </w:t>
      </w:r>
      <w:r>
        <w:t>While it identified 29 ‘good practice’ examples, TEQSA had to rely on a thin evidence base and acknowledged that ‘many providers have difficulty demonstrating whether particular initiatives have worked’. There was a</w:t>
      </w:r>
      <w:r w:rsidRPr="00777E6A">
        <w:rPr>
          <w:rFonts w:ascii="Calibri" w:eastAsia="Calibri" w:hAnsi="Calibri" w:cs="Arial"/>
        </w:rPr>
        <w:t xml:space="preserve"> lack of evidence for whether these initiatives led to improved completion rates</w:t>
      </w:r>
      <w:r>
        <w:rPr>
          <w:rFonts w:ascii="Calibri" w:eastAsia="Calibri" w:hAnsi="Calibri" w:cs="Arial"/>
        </w:rPr>
        <w:t>. For example, some higher education providers reported students feeling positive about the experience, without reporting any impact on retention.</w:t>
      </w:r>
    </w:p>
    <w:p w14:paraId="6BBF3876" w14:textId="0B752EC7" w:rsidR="00513C98" w:rsidRPr="00734A50" w:rsidRDefault="00513C98" w:rsidP="00A36740">
      <w:pPr>
        <w:pStyle w:val="Heading3"/>
        <w:rPr>
          <w:rFonts w:eastAsia="Yu Gothic Light"/>
        </w:rPr>
      </w:pPr>
      <w:bookmarkStart w:id="76" w:name="_Toc139366647"/>
      <w:r w:rsidRPr="00734A50">
        <w:rPr>
          <w:rFonts w:eastAsia="Yu Gothic Light"/>
        </w:rPr>
        <w:t>2.</w:t>
      </w:r>
      <w:r w:rsidR="0034335A" w:rsidRPr="00734A50">
        <w:rPr>
          <w:rFonts w:eastAsia="Yu Gothic Light"/>
          <w:bCs/>
        </w:rPr>
        <w:t>6</w:t>
      </w:r>
      <w:r w:rsidRPr="00734A50">
        <w:rPr>
          <w:rFonts w:eastAsia="Yu Gothic Light"/>
        </w:rPr>
        <w:t xml:space="preserve"> Financial incentives</w:t>
      </w:r>
      <w:bookmarkEnd w:id="76"/>
    </w:p>
    <w:p w14:paraId="3441287A" w14:textId="6474B8A2" w:rsidR="00E0274E" w:rsidRPr="00734A50" w:rsidRDefault="002975B0" w:rsidP="00E7669C">
      <w:pPr>
        <w:rPr>
          <w:rFonts w:ascii="Calibri" w:eastAsia="Calibri" w:hAnsi="Calibri" w:cs="Arial"/>
          <w:lang w:eastAsia="en-AU"/>
        </w:rPr>
      </w:pPr>
      <w:r w:rsidRPr="00734A50">
        <w:rPr>
          <w:rFonts w:ascii="Calibri" w:eastAsia="Calibri" w:hAnsi="Calibri" w:cs="Arial"/>
          <w:lang w:eastAsia="en-AU"/>
        </w:rPr>
        <w:t xml:space="preserve">Modest financial </w:t>
      </w:r>
      <w:r w:rsidR="61ACA4AE" w:rsidRPr="00734A50">
        <w:rPr>
          <w:rFonts w:ascii="Calibri" w:eastAsia="Calibri" w:hAnsi="Calibri" w:cs="Arial"/>
          <w:lang w:eastAsia="en-AU"/>
        </w:rPr>
        <w:t>incentives</w:t>
      </w:r>
      <w:r w:rsidRPr="00734A50">
        <w:rPr>
          <w:rFonts w:ascii="Calibri" w:eastAsia="Calibri" w:hAnsi="Calibri" w:cs="Arial"/>
          <w:lang w:eastAsia="en-AU"/>
        </w:rPr>
        <w:t xml:space="preserve"> for higher education providers making genuine and successful efforts to improve the quality of their ITE programs is a low-risk option to encourage improved quality (Productivity Commission</w:t>
      </w:r>
      <w:r w:rsidR="11DE9078" w:rsidRPr="00734A50">
        <w:rPr>
          <w:rFonts w:ascii="Calibri" w:eastAsia="Calibri" w:hAnsi="Calibri" w:cs="Arial"/>
          <w:lang w:eastAsia="en-AU"/>
        </w:rPr>
        <w:t xml:space="preserve"> 2023).</w:t>
      </w:r>
      <w:r w:rsidR="2F326C18" w:rsidRPr="00734A50">
        <w:rPr>
          <w:rFonts w:ascii="Calibri" w:eastAsia="Calibri" w:hAnsi="Calibri" w:cs="Arial"/>
          <w:lang w:eastAsia="en-AU"/>
        </w:rPr>
        <w:t xml:space="preserve"> The Panel</w:t>
      </w:r>
      <w:r w:rsidR="009364F2" w:rsidRPr="00734A50">
        <w:rPr>
          <w:rFonts w:ascii="Calibri" w:eastAsia="Calibri" w:hAnsi="Calibri" w:cs="Arial"/>
          <w:lang w:eastAsia="en-AU"/>
        </w:rPr>
        <w:t xml:space="preserve"> </w:t>
      </w:r>
      <w:r w:rsidR="00B54D6A" w:rsidRPr="00734A50">
        <w:rPr>
          <w:rFonts w:ascii="Calibri" w:eastAsia="Calibri" w:hAnsi="Calibri" w:cs="Arial"/>
          <w:lang w:eastAsia="en-AU"/>
        </w:rPr>
        <w:t xml:space="preserve">identifies </w:t>
      </w:r>
      <w:r w:rsidR="009364F2" w:rsidRPr="00734A50">
        <w:rPr>
          <w:rFonts w:ascii="Calibri" w:eastAsia="Calibri" w:hAnsi="Calibri" w:cs="Arial"/>
          <w:lang w:eastAsia="en-AU"/>
        </w:rPr>
        <w:t xml:space="preserve">two types of financial incentives </w:t>
      </w:r>
      <w:r w:rsidR="00EE378F" w:rsidRPr="00734A50">
        <w:rPr>
          <w:rFonts w:ascii="Calibri" w:eastAsia="Calibri" w:hAnsi="Calibri" w:cs="Arial"/>
          <w:lang w:eastAsia="en-AU"/>
        </w:rPr>
        <w:t xml:space="preserve">which </w:t>
      </w:r>
      <w:r w:rsidR="009364F2" w:rsidRPr="00734A50">
        <w:rPr>
          <w:rFonts w:ascii="Calibri" w:eastAsia="Calibri" w:hAnsi="Calibri" w:cs="Arial"/>
          <w:lang w:eastAsia="en-AU"/>
        </w:rPr>
        <w:t>c</w:t>
      </w:r>
      <w:r w:rsidR="00097F36" w:rsidRPr="00734A50">
        <w:rPr>
          <w:rFonts w:ascii="Calibri" w:eastAsia="Calibri" w:hAnsi="Calibri" w:cs="Arial"/>
          <w:lang w:eastAsia="en-AU"/>
        </w:rPr>
        <w:t>ould</w:t>
      </w:r>
      <w:r w:rsidR="009364F2" w:rsidRPr="00734A50">
        <w:rPr>
          <w:rFonts w:ascii="Calibri" w:eastAsia="Calibri" w:hAnsi="Calibri" w:cs="Arial"/>
          <w:lang w:eastAsia="en-AU"/>
        </w:rPr>
        <w:t xml:space="preserve"> </w:t>
      </w:r>
      <w:r w:rsidR="002A6AD4" w:rsidRPr="00734A50">
        <w:rPr>
          <w:rFonts w:ascii="Calibri" w:eastAsia="Calibri" w:hAnsi="Calibri" w:cs="Arial"/>
          <w:lang w:eastAsia="en-AU"/>
        </w:rPr>
        <w:t xml:space="preserve">support higher education providers </w:t>
      </w:r>
      <w:r w:rsidR="00E33344" w:rsidRPr="00734A50">
        <w:rPr>
          <w:rFonts w:ascii="Calibri" w:eastAsia="Calibri" w:hAnsi="Calibri" w:cs="Arial"/>
          <w:lang w:eastAsia="en-AU"/>
        </w:rPr>
        <w:t>improve the quality of</w:t>
      </w:r>
      <w:r w:rsidR="00406FC2" w:rsidRPr="00734A50">
        <w:rPr>
          <w:rFonts w:ascii="Calibri" w:eastAsia="Calibri" w:hAnsi="Calibri" w:cs="Arial"/>
          <w:lang w:eastAsia="en-AU"/>
        </w:rPr>
        <w:t xml:space="preserve"> their ITE programs</w:t>
      </w:r>
      <w:r w:rsidR="00E33344" w:rsidRPr="00734A50">
        <w:rPr>
          <w:rFonts w:ascii="Calibri" w:eastAsia="Calibri" w:hAnsi="Calibri" w:cs="Arial"/>
          <w:lang w:eastAsia="en-AU"/>
        </w:rPr>
        <w:t>:</w:t>
      </w:r>
      <w:r w:rsidR="0066390F" w:rsidRPr="00734A50">
        <w:rPr>
          <w:rFonts w:ascii="Calibri" w:eastAsia="Calibri" w:hAnsi="Calibri" w:cs="Arial"/>
          <w:lang w:eastAsia="en-AU"/>
        </w:rPr>
        <w:t xml:space="preserve"> a Transition Fund and an Excellence Fund (Table 2.6). </w:t>
      </w:r>
    </w:p>
    <w:p w14:paraId="426222D1" w14:textId="20DD54FE" w:rsidR="00D32CDE" w:rsidRPr="00734A50" w:rsidRDefault="00D32CDE" w:rsidP="00A36740">
      <w:pPr>
        <w:pStyle w:val="HeadingTable"/>
        <w:numPr>
          <w:ilvl w:val="0"/>
          <w:numId w:val="0"/>
        </w:numPr>
        <w:ind w:left="360" w:hanging="360"/>
        <w:rPr>
          <w:rFonts w:eastAsia="Calibri"/>
          <w:szCs w:val="28"/>
        </w:rPr>
      </w:pPr>
      <w:r w:rsidRPr="00734A50">
        <w:rPr>
          <w:rFonts w:eastAsia="Calibri"/>
          <w:sz w:val="22"/>
          <w:szCs w:val="28"/>
        </w:rPr>
        <w:t xml:space="preserve">Table </w:t>
      </w:r>
      <w:r w:rsidR="002975B0" w:rsidRPr="00734A50">
        <w:rPr>
          <w:rFonts w:eastAsia="Calibri"/>
          <w:sz w:val="22"/>
          <w:szCs w:val="28"/>
        </w:rPr>
        <w:t>2.</w:t>
      </w:r>
      <w:r w:rsidR="00EB68F5" w:rsidRPr="00734A50">
        <w:rPr>
          <w:rFonts w:eastAsia="Calibri"/>
          <w:sz w:val="22"/>
          <w:szCs w:val="28"/>
        </w:rPr>
        <w:t>6</w:t>
      </w:r>
      <w:r w:rsidRPr="00734A50">
        <w:rPr>
          <w:rFonts w:eastAsia="Calibri"/>
          <w:sz w:val="22"/>
          <w:szCs w:val="28"/>
        </w:rPr>
        <w:t>: Proposed financial incentives</w:t>
      </w:r>
    </w:p>
    <w:tbl>
      <w:tblPr>
        <w:tblStyle w:val="GridTable4-Accent2"/>
        <w:tblW w:w="9016" w:type="dxa"/>
        <w:tblLook w:val="04A0" w:firstRow="1" w:lastRow="0" w:firstColumn="1" w:lastColumn="0" w:noHBand="0" w:noVBand="1"/>
      </w:tblPr>
      <w:tblGrid>
        <w:gridCol w:w="1706"/>
        <w:gridCol w:w="3239"/>
        <w:gridCol w:w="2656"/>
        <w:gridCol w:w="1415"/>
      </w:tblGrid>
      <w:tr w:rsidR="00B83A8D" w:rsidRPr="00734A50" w14:paraId="026CFEC5" w14:textId="23EBBC7C" w:rsidTr="4DE448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522EE7E" w14:textId="72726487" w:rsidR="00B83A8D" w:rsidRPr="00734A50" w:rsidRDefault="00D32CDE" w:rsidP="00513C98">
            <w:pPr>
              <w:rPr>
                <w:rFonts w:ascii="Calibri" w:eastAsia="Calibri" w:hAnsi="Calibri" w:cs="Arial"/>
                <w:b w:val="0"/>
                <w:bCs w:val="0"/>
              </w:rPr>
            </w:pPr>
            <w:r w:rsidRPr="00734A50">
              <w:rPr>
                <w:rFonts w:ascii="Calibri" w:eastAsia="Calibri" w:hAnsi="Calibri" w:cs="Arial"/>
                <w:color w:val="auto"/>
              </w:rPr>
              <w:t>Incentive</w:t>
            </w:r>
          </w:p>
        </w:tc>
        <w:tc>
          <w:tcPr>
            <w:tcW w:w="2897" w:type="dxa"/>
          </w:tcPr>
          <w:p w14:paraId="28240B67" w14:textId="6AAF0F9D" w:rsidR="00B83A8D" w:rsidRPr="00734A50" w:rsidRDefault="00757634" w:rsidP="00513C98">
            <w:pP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auto"/>
              </w:rPr>
            </w:pPr>
            <w:r w:rsidRPr="00734A50">
              <w:rPr>
                <w:rFonts w:ascii="Calibri" w:eastAsia="Calibri" w:hAnsi="Calibri" w:cs="Arial"/>
                <w:color w:val="auto"/>
              </w:rPr>
              <w:t>Overview</w:t>
            </w:r>
          </w:p>
        </w:tc>
        <w:tc>
          <w:tcPr>
            <w:tcW w:w="2376" w:type="dxa"/>
          </w:tcPr>
          <w:p w14:paraId="2D5A75FC" w14:textId="6942C3E1" w:rsidR="00B83A8D" w:rsidRPr="00734A50" w:rsidRDefault="00D74A16" w:rsidP="00513C98">
            <w:pPr>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auto"/>
              </w:rPr>
            </w:pPr>
            <w:r w:rsidRPr="00734A50">
              <w:rPr>
                <w:rFonts w:ascii="Calibri" w:eastAsia="Calibri" w:hAnsi="Calibri" w:cs="Arial"/>
                <w:color w:val="auto"/>
              </w:rPr>
              <w:t>Timing</w:t>
            </w:r>
          </w:p>
        </w:tc>
        <w:tc>
          <w:tcPr>
            <w:tcW w:w="0" w:type="dxa"/>
          </w:tcPr>
          <w:p w14:paraId="6867089F" w14:textId="13D07EAA" w:rsidR="00380330" w:rsidRPr="00734A50" w:rsidRDefault="46AA466B" w:rsidP="678B3FCC">
            <w:pPr>
              <w:cnfStyle w:val="100000000000" w:firstRow="1" w:lastRow="0" w:firstColumn="0" w:lastColumn="0" w:oddVBand="0" w:evenVBand="0" w:oddHBand="0" w:evenHBand="0" w:firstRowFirstColumn="0" w:firstRowLastColumn="0" w:lastRowFirstColumn="0" w:lastRowLastColumn="0"/>
              <w:rPr>
                <w:rFonts w:ascii="Calibri" w:eastAsia="Calibri" w:hAnsi="Calibri" w:cs="Arial"/>
              </w:rPr>
            </w:pPr>
            <w:r w:rsidRPr="00734A50">
              <w:rPr>
                <w:rFonts w:ascii="Calibri" w:eastAsia="Calibri" w:hAnsi="Calibri" w:cs="Arial"/>
                <w:color w:val="auto"/>
              </w:rPr>
              <w:t>Cost estimate</w:t>
            </w:r>
          </w:p>
        </w:tc>
      </w:tr>
      <w:tr w:rsidR="008A43DA" w:rsidRPr="00734A50" w14:paraId="5ED3651A" w14:textId="64FCB03D" w:rsidTr="4DE44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2A768437" w14:textId="523B607F" w:rsidR="008A43DA" w:rsidRPr="00734A50" w:rsidRDefault="002C6293" w:rsidP="00513C98">
            <w:pPr>
              <w:rPr>
                <w:rFonts w:ascii="Calibri" w:eastAsia="Calibri" w:hAnsi="Calibri" w:cs="Arial"/>
              </w:rPr>
            </w:pPr>
            <w:r w:rsidRPr="00734A50">
              <w:rPr>
                <w:rFonts w:ascii="Calibri" w:eastAsia="Calibri" w:hAnsi="Calibri" w:cs="Arial"/>
              </w:rPr>
              <w:t>Transition Fund</w:t>
            </w:r>
          </w:p>
        </w:tc>
        <w:tc>
          <w:tcPr>
            <w:tcW w:w="2897" w:type="dxa"/>
          </w:tcPr>
          <w:p w14:paraId="1FBAF1C0" w14:textId="40AD66C3" w:rsidR="008A43DA" w:rsidRPr="00734A50" w:rsidRDefault="00EC5BD1" w:rsidP="00513C98">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734A50">
              <w:rPr>
                <w:rFonts w:ascii="Calibri" w:eastAsia="Calibri" w:hAnsi="Calibri" w:cs="Arial"/>
              </w:rPr>
              <w:t>In the shorter</w:t>
            </w:r>
            <w:r w:rsidR="00B54D6A" w:rsidRPr="00734A50">
              <w:rPr>
                <w:rFonts w:ascii="Calibri" w:eastAsia="Calibri" w:hAnsi="Calibri" w:cs="Arial"/>
              </w:rPr>
              <w:t xml:space="preserve"> </w:t>
            </w:r>
            <w:r w:rsidRPr="00734A50">
              <w:rPr>
                <w:rFonts w:ascii="Calibri" w:eastAsia="Calibri" w:hAnsi="Calibri" w:cs="Arial"/>
              </w:rPr>
              <w:t>term,</w:t>
            </w:r>
            <w:r w:rsidR="00FA637B" w:rsidRPr="00734A50">
              <w:rPr>
                <w:rFonts w:ascii="Calibri" w:eastAsia="Calibri" w:hAnsi="Calibri" w:cs="Arial"/>
              </w:rPr>
              <w:t xml:space="preserve"> </w:t>
            </w:r>
            <w:r w:rsidRPr="00734A50">
              <w:rPr>
                <w:rFonts w:ascii="Calibri" w:eastAsia="Calibri" w:hAnsi="Calibri" w:cs="Arial"/>
              </w:rPr>
              <w:t xml:space="preserve">a </w:t>
            </w:r>
            <w:r w:rsidR="00A147EC" w:rsidRPr="00734A50">
              <w:rPr>
                <w:rFonts w:ascii="Calibri" w:eastAsia="Calibri" w:hAnsi="Calibri" w:cs="Arial"/>
              </w:rPr>
              <w:t xml:space="preserve">dedicated </w:t>
            </w:r>
            <w:r w:rsidR="00FA637B" w:rsidRPr="00734A50">
              <w:rPr>
                <w:rFonts w:ascii="Calibri" w:eastAsia="Calibri" w:hAnsi="Calibri" w:cs="Arial"/>
              </w:rPr>
              <w:t>Transition Fund</w:t>
            </w:r>
            <w:r w:rsidR="00AC3402" w:rsidRPr="00734A50">
              <w:rPr>
                <w:rFonts w:ascii="Calibri" w:eastAsia="Calibri" w:hAnsi="Calibri" w:cs="Arial"/>
              </w:rPr>
              <w:t xml:space="preserve"> for ITE programs</w:t>
            </w:r>
            <w:r w:rsidR="00FA637B" w:rsidRPr="00734A50">
              <w:rPr>
                <w:rFonts w:ascii="Calibri" w:eastAsia="Calibri" w:hAnsi="Calibri" w:cs="Arial"/>
              </w:rPr>
              <w:t xml:space="preserve"> could support </w:t>
            </w:r>
            <w:r w:rsidR="726403E9" w:rsidRPr="00734A50">
              <w:rPr>
                <w:rFonts w:ascii="Calibri" w:eastAsia="Calibri" w:hAnsi="Calibri" w:cs="Arial"/>
              </w:rPr>
              <w:t xml:space="preserve">all </w:t>
            </w:r>
            <w:r w:rsidR="00FA637B" w:rsidRPr="00734A50">
              <w:rPr>
                <w:rFonts w:ascii="Calibri" w:eastAsia="Calibri" w:hAnsi="Calibri" w:cs="Arial"/>
              </w:rPr>
              <w:t xml:space="preserve">higher education providers to improve performance and assist with any costs associated with incorporating core content into ITE programs. </w:t>
            </w:r>
          </w:p>
        </w:tc>
        <w:tc>
          <w:tcPr>
            <w:tcW w:w="2376" w:type="dxa"/>
          </w:tcPr>
          <w:p w14:paraId="61D90CF8" w14:textId="6D1E04BB" w:rsidR="008A43DA" w:rsidRPr="00734A50" w:rsidRDefault="00B83A8D" w:rsidP="00513C98">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734A50">
              <w:rPr>
                <w:rFonts w:ascii="Calibri" w:eastAsia="Calibri" w:hAnsi="Calibri" w:cs="Arial"/>
              </w:rPr>
              <w:t xml:space="preserve">The Transition Fund could provide funding for a </w:t>
            </w:r>
            <w:r w:rsidR="00E350E5" w:rsidRPr="00734A50">
              <w:rPr>
                <w:rFonts w:ascii="Calibri" w:eastAsia="Calibri" w:hAnsi="Calibri" w:cs="Arial"/>
              </w:rPr>
              <w:t>set period of time</w:t>
            </w:r>
            <w:r w:rsidR="006E5DB5" w:rsidRPr="00734A50">
              <w:rPr>
                <w:rFonts w:ascii="Calibri" w:eastAsia="Calibri" w:hAnsi="Calibri" w:cs="Arial"/>
              </w:rPr>
              <w:t xml:space="preserve"> to support</w:t>
            </w:r>
            <w:r w:rsidR="00F35793" w:rsidRPr="00734A50">
              <w:rPr>
                <w:rFonts w:ascii="Calibri" w:eastAsia="Calibri" w:hAnsi="Calibri" w:cs="Arial"/>
              </w:rPr>
              <w:t xml:space="preserve"> higher education providers</w:t>
            </w:r>
          </w:p>
        </w:tc>
        <w:tc>
          <w:tcPr>
            <w:tcW w:w="0" w:type="dxa"/>
          </w:tcPr>
          <w:p w14:paraId="53D9FB0A" w14:textId="64C57E51" w:rsidR="0091006D" w:rsidRPr="00734A50" w:rsidRDefault="124C0DD8" w:rsidP="678B3FCC">
            <w:pPr>
              <w:cnfStyle w:val="000000100000" w:firstRow="0" w:lastRow="0" w:firstColumn="0" w:lastColumn="0" w:oddVBand="0" w:evenVBand="0" w:oddHBand="1" w:evenHBand="0" w:firstRowFirstColumn="0" w:firstRowLastColumn="0" w:lastRowFirstColumn="0" w:lastRowLastColumn="0"/>
              <w:rPr>
                <w:rFonts w:ascii="Calibri" w:eastAsia="Calibri" w:hAnsi="Calibri" w:cs="Arial"/>
              </w:rPr>
            </w:pPr>
            <w:r w:rsidRPr="00734A50">
              <w:rPr>
                <w:rFonts w:ascii="Calibri" w:eastAsia="Calibri" w:hAnsi="Calibri" w:cs="Arial"/>
              </w:rPr>
              <w:t xml:space="preserve">Up to </w:t>
            </w:r>
            <w:r w:rsidR="46AA466B" w:rsidRPr="00734A50">
              <w:rPr>
                <w:rFonts w:ascii="Calibri" w:eastAsia="Calibri" w:hAnsi="Calibri" w:cs="Arial"/>
              </w:rPr>
              <w:t>$5</w:t>
            </w:r>
            <w:r w:rsidR="00B54D6A" w:rsidRPr="00734A50">
              <w:rPr>
                <w:rFonts w:ascii="Calibri" w:eastAsia="Calibri" w:hAnsi="Calibri" w:cs="Arial"/>
              </w:rPr>
              <w:t> </w:t>
            </w:r>
            <w:r w:rsidR="46AA466B" w:rsidRPr="00734A50">
              <w:rPr>
                <w:rFonts w:ascii="Calibri" w:eastAsia="Calibri" w:hAnsi="Calibri" w:cs="Arial"/>
              </w:rPr>
              <w:t>million total</w:t>
            </w:r>
          </w:p>
        </w:tc>
      </w:tr>
      <w:tr w:rsidR="008A43DA" w:rsidRPr="00734A50" w14:paraId="3D3E9605" w14:textId="16F0C2D2" w:rsidTr="4DE448C3">
        <w:tc>
          <w:tcPr>
            <w:cnfStyle w:val="001000000000" w:firstRow="0" w:lastRow="0" w:firstColumn="1" w:lastColumn="0" w:oddVBand="0" w:evenVBand="0" w:oddHBand="0" w:evenHBand="0" w:firstRowFirstColumn="0" w:firstRowLastColumn="0" w:lastRowFirstColumn="0" w:lastRowLastColumn="0"/>
            <w:tcW w:w="1526" w:type="dxa"/>
          </w:tcPr>
          <w:p w14:paraId="6EDA7C92" w14:textId="1DEB5D65" w:rsidR="008A43DA" w:rsidRPr="00734A50" w:rsidRDefault="6F654C97" w:rsidP="678B3FCC">
            <w:pPr>
              <w:rPr>
                <w:rFonts w:ascii="Calibri" w:eastAsia="Calibri" w:hAnsi="Calibri" w:cs="Arial"/>
              </w:rPr>
            </w:pPr>
            <w:r w:rsidRPr="00734A50">
              <w:rPr>
                <w:rFonts w:ascii="Calibri" w:eastAsia="Calibri" w:hAnsi="Calibri" w:cs="Arial"/>
              </w:rPr>
              <w:t xml:space="preserve">Excellence </w:t>
            </w:r>
            <w:r w:rsidR="2174F282" w:rsidRPr="00734A50">
              <w:rPr>
                <w:rFonts w:ascii="Calibri" w:eastAsia="Calibri" w:hAnsi="Calibri" w:cs="Arial"/>
              </w:rPr>
              <w:t>Fund</w:t>
            </w:r>
          </w:p>
        </w:tc>
        <w:tc>
          <w:tcPr>
            <w:tcW w:w="2897" w:type="dxa"/>
          </w:tcPr>
          <w:p w14:paraId="4EE9DCFB" w14:textId="554D70F4" w:rsidR="008A43DA" w:rsidRPr="00734A50" w:rsidRDefault="584AC0B7" w:rsidP="678B3FCC">
            <w:pPr>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eastAsia="en-AU"/>
              </w:rPr>
            </w:pPr>
            <w:r w:rsidRPr="00734A50">
              <w:rPr>
                <w:rFonts w:ascii="Calibri" w:eastAsia="Calibri" w:hAnsi="Calibri" w:cs="Arial"/>
                <w:lang w:eastAsia="en-AU"/>
              </w:rPr>
              <w:t>In the longer</w:t>
            </w:r>
            <w:r w:rsidR="00B54D6A" w:rsidRPr="00734A50">
              <w:rPr>
                <w:rFonts w:ascii="Calibri" w:eastAsia="Calibri" w:hAnsi="Calibri" w:cs="Arial"/>
                <w:lang w:eastAsia="en-AU"/>
              </w:rPr>
              <w:t xml:space="preserve"> </w:t>
            </w:r>
            <w:r w:rsidRPr="00734A50">
              <w:rPr>
                <w:rFonts w:ascii="Calibri" w:eastAsia="Calibri" w:hAnsi="Calibri" w:cs="Arial"/>
                <w:lang w:eastAsia="en-AU"/>
              </w:rPr>
              <w:t xml:space="preserve">term, </w:t>
            </w:r>
            <w:r w:rsidR="193C5EA0" w:rsidRPr="00734A50">
              <w:rPr>
                <w:rFonts w:ascii="Calibri" w:eastAsia="Calibri" w:hAnsi="Calibri" w:cs="Arial"/>
                <w:lang w:eastAsia="en-AU"/>
              </w:rPr>
              <w:t>a</w:t>
            </w:r>
            <w:r w:rsidR="00AC3402" w:rsidRPr="00734A50">
              <w:rPr>
                <w:rFonts w:ascii="Calibri" w:eastAsia="Calibri" w:hAnsi="Calibri" w:cs="Arial"/>
                <w:lang w:eastAsia="en-AU"/>
              </w:rPr>
              <w:t xml:space="preserve"> dedicated</w:t>
            </w:r>
            <w:r w:rsidR="193C5EA0" w:rsidRPr="00734A50">
              <w:rPr>
                <w:rFonts w:ascii="Calibri" w:eastAsia="Calibri" w:hAnsi="Calibri" w:cs="Arial"/>
                <w:lang w:eastAsia="en-AU"/>
              </w:rPr>
              <w:t xml:space="preserve"> Excellence Fund</w:t>
            </w:r>
            <w:r w:rsidR="001C5E96" w:rsidRPr="00734A50">
              <w:rPr>
                <w:rFonts w:ascii="Calibri" w:eastAsia="Calibri" w:hAnsi="Calibri" w:cs="Arial"/>
                <w:lang w:eastAsia="en-AU"/>
              </w:rPr>
              <w:t xml:space="preserve"> for ITE programs</w:t>
            </w:r>
            <w:r w:rsidR="193C5EA0" w:rsidRPr="00734A50">
              <w:rPr>
                <w:rFonts w:ascii="Calibri" w:eastAsia="Calibri" w:hAnsi="Calibri" w:cs="Arial"/>
                <w:lang w:eastAsia="en-AU"/>
              </w:rPr>
              <w:t xml:space="preserve"> could </w:t>
            </w:r>
            <w:r w:rsidR="53A1FA41" w:rsidRPr="00734A50">
              <w:rPr>
                <w:rFonts w:ascii="Calibri" w:eastAsia="Calibri" w:hAnsi="Calibri" w:cs="Arial"/>
                <w:lang w:eastAsia="en-AU"/>
              </w:rPr>
              <w:t>support</w:t>
            </w:r>
            <w:r w:rsidR="6F882D95" w:rsidRPr="00734A50">
              <w:rPr>
                <w:rFonts w:ascii="Calibri" w:eastAsia="Calibri" w:hAnsi="Calibri" w:cs="Arial"/>
                <w:lang w:eastAsia="en-AU"/>
              </w:rPr>
              <w:t xml:space="preserve"> </w:t>
            </w:r>
            <w:r w:rsidR="6F882D95" w:rsidRPr="00734A50">
              <w:rPr>
                <w:rFonts w:ascii="Calibri" w:eastAsia="Calibri" w:hAnsi="Calibri" w:cs="Calibri"/>
              </w:rPr>
              <w:t>select higher education providers to take a leadership role in fostering improved performance across the sector.</w:t>
            </w:r>
            <w:r w:rsidR="00FE3112" w:rsidRPr="00734A50">
              <w:rPr>
                <w:rFonts w:ascii="Calibri" w:eastAsia="Calibri" w:hAnsi="Calibri" w:cs="Calibri"/>
              </w:rPr>
              <w:t xml:space="preserve"> </w:t>
            </w:r>
          </w:p>
        </w:tc>
        <w:tc>
          <w:tcPr>
            <w:tcW w:w="2376" w:type="dxa"/>
          </w:tcPr>
          <w:p w14:paraId="2A3E2AE8" w14:textId="2D2ABDFF" w:rsidR="005B14AD" w:rsidRPr="00734A50" w:rsidRDefault="00C846B7" w:rsidP="005B14AD">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734A50">
              <w:rPr>
                <w:rFonts w:ascii="Calibri" w:eastAsia="Calibri" w:hAnsi="Calibri" w:cs="Arial"/>
              </w:rPr>
              <w:t>The</w:t>
            </w:r>
            <w:r w:rsidR="005B14AD" w:rsidRPr="00734A50">
              <w:rPr>
                <w:rFonts w:ascii="Calibri" w:eastAsia="Calibri" w:hAnsi="Calibri" w:cs="Arial"/>
              </w:rPr>
              <w:t xml:space="preserve"> Excellence </w:t>
            </w:r>
            <w:r w:rsidRPr="00734A50">
              <w:rPr>
                <w:rFonts w:ascii="Calibri" w:eastAsia="Calibri" w:hAnsi="Calibri" w:cs="Arial"/>
              </w:rPr>
              <w:t>Fund</w:t>
            </w:r>
            <w:r w:rsidR="005B14AD" w:rsidRPr="00734A50">
              <w:rPr>
                <w:rFonts w:ascii="Calibri" w:eastAsia="Calibri" w:hAnsi="Calibri" w:cs="Arial"/>
              </w:rPr>
              <w:t xml:space="preserve"> could also be made available for a set period of time </w:t>
            </w:r>
            <w:r w:rsidR="0036257D" w:rsidRPr="00734A50">
              <w:rPr>
                <w:rFonts w:ascii="Calibri" w:eastAsia="Calibri" w:hAnsi="Calibri" w:cs="Arial"/>
              </w:rPr>
              <w:t xml:space="preserve">to build the capability of </w:t>
            </w:r>
            <w:r w:rsidR="002513C8" w:rsidRPr="00734A50">
              <w:rPr>
                <w:rFonts w:ascii="Calibri" w:eastAsia="Calibri" w:hAnsi="Calibri" w:cs="Arial"/>
              </w:rPr>
              <w:t>higher education providers</w:t>
            </w:r>
            <w:r w:rsidR="0036257D" w:rsidRPr="00734A50">
              <w:rPr>
                <w:rFonts w:ascii="Calibri" w:eastAsia="Calibri" w:hAnsi="Calibri" w:cs="Arial"/>
              </w:rPr>
              <w:t xml:space="preserve">. </w:t>
            </w:r>
          </w:p>
          <w:p w14:paraId="7CCF7168" w14:textId="77777777" w:rsidR="008A43DA" w:rsidRPr="00734A50" w:rsidRDefault="008A43DA" w:rsidP="00513C98">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p>
        </w:tc>
        <w:tc>
          <w:tcPr>
            <w:tcW w:w="0" w:type="dxa"/>
          </w:tcPr>
          <w:p w14:paraId="7204DCAB" w14:textId="0B071AC6" w:rsidR="0091006D" w:rsidRPr="00734A50" w:rsidRDefault="124C0DD8" w:rsidP="678B3FCC">
            <w:pPr>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sidRPr="00734A50">
              <w:rPr>
                <w:rFonts w:ascii="Calibri" w:eastAsia="Calibri" w:hAnsi="Calibri" w:cs="Arial"/>
              </w:rPr>
              <w:t xml:space="preserve">Up to </w:t>
            </w:r>
            <w:r w:rsidR="46AA466B" w:rsidRPr="00734A50">
              <w:rPr>
                <w:rFonts w:ascii="Calibri" w:eastAsia="Calibri" w:hAnsi="Calibri" w:cs="Arial"/>
              </w:rPr>
              <w:t>$2.5</w:t>
            </w:r>
            <w:r w:rsidR="00B54D6A" w:rsidRPr="00734A50">
              <w:rPr>
                <w:rFonts w:ascii="Calibri" w:eastAsia="Calibri" w:hAnsi="Calibri" w:cs="Arial"/>
              </w:rPr>
              <w:t> </w:t>
            </w:r>
            <w:r w:rsidR="46AA466B" w:rsidRPr="00734A50">
              <w:rPr>
                <w:rFonts w:ascii="Calibri" w:eastAsia="Calibri" w:hAnsi="Calibri" w:cs="Arial"/>
              </w:rPr>
              <w:t>million total</w:t>
            </w:r>
          </w:p>
        </w:tc>
      </w:tr>
    </w:tbl>
    <w:p w14:paraId="4681AB01" w14:textId="68A4AD73" w:rsidR="00513C98" w:rsidRPr="00734A50" w:rsidRDefault="006913FD" w:rsidP="00A36740">
      <w:pPr>
        <w:pStyle w:val="Heading4"/>
        <w:rPr>
          <w:color w:val="002C3E"/>
        </w:rPr>
      </w:pPr>
      <w:r w:rsidRPr="00734A50">
        <w:lastRenderedPageBreak/>
        <w:t>2.</w:t>
      </w:r>
      <w:r w:rsidR="0034335A" w:rsidRPr="00734A50">
        <w:t>6</w:t>
      </w:r>
      <w:r w:rsidR="0C832CD6" w:rsidRPr="00734A50">
        <w:t>.</w:t>
      </w:r>
      <w:r w:rsidR="5F8A11CF" w:rsidRPr="00734A50">
        <w:t>1</w:t>
      </w:r>
      <w:r w:rsidRPr="00734A50">
        <w:t xml:space="preserve"> </w:t>
      </w:r>
      <w:r w:rsidR="00513C98" w:rsidRPr="00734A50">
        <w:t xml:space="preserve">Transition funding </w:t>
      </w:r>
    </w:p>
    <w:p w14:paraId="0643DD71" w14:textId="525AC98A" w:rsidR="00513C98" w:rsidRPr="00734A50" w:rsidRDefault="00AC66FD" w:rsidP="00513C98">
      <w:pPr>
        <w:rPr>
          <w:rFonts w:ascii="Calibri" w:eastAsia="Calibri" w:hAnsi="Calibri" w:cs="Arial"/>
        </w:rPr>
      </w:pPr>
      <w:r w:rsidRPr="00734A50">
        <w:rPr>
          <w:rFonts w:ascii="Calibri" w:eastAsia="Calibri" w:hAnsi="Calibri" w:cs="Arial"/>
        </w:rPr>
        <w:t>A</w:t>
      </w:r>
      <w:r w:rsidR="00513C98" w:rsidRPr="00734A50">
        <w:rPr>
          <w:rFonts w:ascii="Calibri" w:eastAsia="Calibri" w:hAnsi="Calibri" w:cs="Arial"/>
        </w:rPr>
        <w:t xml:space="preserve"> Transition Fund could support higher education providers to improve </w:t>
      </w:r>
      <w:r w:rsidR="00B54D6A" w:rsidRPr="00734A50">
        <w:rPr>
          <w:rFonts w:ascii="Calibri" w:eastAsia="Calibri" w:hAnsi="Calibri" w:cs="Arial"/>
        </w:rPr>
        <w:t xml:space="preserve">their </w:t>
      </w:r>
      <w:r w:rsidR="00513C98" w:rsidRPr="00734A50">
        <w:rPr>
          <w:rFonts w:ascii="Calibri" w:eastAsia="Calibri" w:hAnsi="Calibri" w:cs="Arial"/>
        </w:rPr>
        <w:t xml:space="preserve">performance and assist with any costs associated with incorporating </w:t>
      </w:r>
      <w:r w:rsidR="00097F36" w:rsidRPr="00734A50">
        <w:rPr>
          <w:rFonts w:ascii="Calibri" w:eastAsia="Calibri" w:hAnsi="Calibri" w:cs="Arial"/>
        </w:rPr>
        <w:t xml:space="preserve">the </w:t>
      </w:r>
      <w:r w:rsidR="00513C98" w:rsidRPr="00734A50">
        <w:rPr>
          <w:rFonts w:ascii="Calibri" w:eastAsia="Calibri" w:hAnsi="Calibri" w:cs="Arial"/>
        </w:rPr>
        <w:t xml:space="preserve">core content into ITE programs. This could help lift the quality of ITE programs delivered nationally by ensuring all providers are supported to improve their performance. </w:t>
      </w:r>
    </w:p>
    <w:p w14:paraId="4DCF8660" w14:textId="12AA3E04" w:rsidR="00D63141" w:rsidRPr="00734A50" w:rsidRDefault="00D63141" w:rsidP="00D63141">
      <w:pPr>
        <w:rPr>
          <w:rFonts w:ascii="Calibri" w:eastAsia="Calibri" w:hAnsi="Calibri" w:cs="Arial"/>
        </w:rPr>
      </w:pPr>
      <w:r w:rsidRPr="00734A50">
        <w:rPr>
          <w:rFonts w:ascii="Calibri" w:eastAsia="Calibri" w:hAnsi="Calibri" w:cs="Arial"/>
        </w:rPr>
        <w:t xml:space="preserve">Stakeholders broadly supported transition funding to </w:t>
      </w:r>
      <w:r w:rsidR="00694094" w:rsidRPr="00734A50">
        <w:rPr>
          <w:rFonts w:ascii="Calibri" w:eastAsia="Calibri" w:hAnsi="Calibri" w:cs="Arial"/>
        </w:rPr>
        <w:t xml:space="preserve">support </w:t>
      </w:r>
      <w:r w:rsidRPr="00734A50">
        <w:rPr>
          <w:rFonts w:ascii="Calibri" w:eastAsia="Calibri" w:hAnsi="Calibri" w:cs="Arial"/>
        </w:rPr>
        <w:t>improve</w:t>
      </w:r>
      <w:r w:rsidR="00694094" w:rsidRPr="00734A50">
        <w:rPr>
          <w:rFonts w:ascii="Calibri" w:eastAsia="Calibri" w:hAnsi="Calibri" w:cs="Arial"/>
        </w:rPr>
        <w:t>ment</w:t>
      </w:r>
      <w:r w:rsidRPr="00734A50">
        <w:rPr>
          <w:rFonts w:ascii="Calibri" w:eastAsia="Calibri" w:hAnsi="Calibri" w:cs="Arial"/>
        </w:rPr>
        <w:t xml:space="preserve"> and demonstrate the quality and delivery of ITE through cross-sector partnerships and collaboration, sharing best practice, </w:t>
      </w:r>
      <w:r w:rsidR="00702495" w:rsidRPr="00734A50">
        <w:rPr>
          <w:rFonts w:ascii="Calibri" w:eastAsia="Calibri" w:hAnsi="Calibri" w:cs="Arial"/>
        </w:rPr>
        <w:t xml:space="preserve">participating in </w:t>
      </w:r>
      <w:r w:rsidRPr="00734A50">
        <w:rPr>
          <w:rFonts w:ascii="Calibri" w:eastAsia="Calibri" w:hAnsi="Calibri" w:cs="Arial"/>
        </w:rPr>
        <w:t>national</w:t>
      </w:r>
      <w:r w:rsidR="00B54D6A" w:rsidRPr="00734A50">
        <w:rPr>
          <w:rFonts w:ascii="Calibri" w:eastAsia="Calibri" w:hAnsi="Calibri" w:cs="Arial"/>
        </w:rPr>
        <w:t>-</w:t>
      </w:r>
      <w:r w:rsidR="184244DB" w:rsidRPr="00734A50">
        <w:rPr>
          <w:rFonts w:ascii="Calibri" w:eastAsia="Calibri" w:hAnsi="Calibri" w:cs="Arial"/>
        </w:rPr>
        <w:t>level data collection</w:t>
      </w:r>
      <w:r w:rsidR="7092DD0C" w:rsidRPr="00734A50">
        <w:rPr>
          <w:rFonts w:ascii="Calibri" w:eastAsia="Calibri" w:hAnsi="Calibri" w:cs="Arial"/>
        </w:rPr>
        <w:t>,</w:t>
      </w:r>
      <w:r w:rsidR="184244DB" w:rsidRPr="00734A50">
        <w:rPr>
          <w:rFonts w:ascii="Calibri" w:eastAsia="Calibri" w:hAnsi="Calibri" w:cs="Arial"/>
        </w:rPr>
        <w:t xml:space="preserve"> and scal</w:t>
      </w:r>
      <w:r w:rsidR="7092DD0C" w:rsidRPr="00734A50">
        <w:rPr>
          <w:rFonts w:ascii="Calibri" w:eastAsia="Calibri" w:hAnsi="Calibri" w:cs="Arial"/>
        </w:rPr>
        <w:t>ing</w:t>
      </w:r>
      <w:r w:rsidR="184244DB" w:rsidRPr="00734A50">
        <w:rPr>
          <w:rFonts w:ascii="Calibri" w:eastAsia="Calibri" w:hAnsi="Calibri" w:cs="Arial"/>
        </w:rPr>
        <w:t xml:space="preserve"> up priority projects</w:t>
      </w:r>
      <w:r w:rsidR="42FFC3AC" w:rsidRPr="00734A50">
        <w:rPr>
          <w:rFonts w:ascii="Calibri" w:eastAsia="Calibri" w:hAnsi="Calibri" w:cs="Arial"/>
        </w:rPr>
        <w:t>.</w:t>
      </w:r>
      <w:r w:rsidR="184244DB" w:rsidRPr="00734A50">
        <w:rPr>
          <w:rFonts w:ascii="Calibri" w:eastAsia="Calibri" w:hAnsi="Calibri" w:cs="Arial"/>
        </w:rPr>
        <w:t xml:space="preserve"> Some stakeholders highlighted the value of additional funding to support in-school mentoring, to </w:t>
      </w:r>
      <w:r w:rsidR="2A06C4DB" w:rsidRPr="00734A50">
        <w:rPr>
          <w:rFonts w:ascii="Calibri" w:eastAsia="Calibri" w:hAnsi="Calibri" w:cs="Arial"/>
        </w:rPr>
        <w:t>allow</w:t>
      </w:r>
      <w:r w:rsidR="184244DB" w:rsidRPr="00734A50">
        <w:rPr>
          <w:rFonts w:ascii="Calibri" w:eastAsia="Calibri" w:hAnsi="Calibri" w:cs="Arial"/>
        </w:rPr>
        <w:t xml:space="preserve"> </w:t>
      </w:r>
      <w:r w:rsidR="00CE6C9C" w:rsidRPr="00734A50">
        <w:rPr>
          <w:rFonts w:ascii="Calibri" w:eastAsia="Calibri" w:hAnsi="Calibri" w:cs="Arial"/>
        </w:rPr>
        <w:t xml:space="preserve">ITE students </w:t>
      </w:r>
      <w:r w:rsidR="184244DB" w:rsidRPr="00734A50">
        <w:rPr>
          <w:rFonts w:ascii="Calibri" w:eastAsia="Calibri" w:hAnsi="Calibri" w:cs="Arial"/>
        </w:rPr>
        <w:t>to support themselves during their study and practical experience placements (NSW Council of Deans submission</w:t>
      </w:r>
      <w:r w:rsidR="3FE7668D" w:rsidRPr="00734A50">
        <w:rPr>
          <w:rFonts w:ascii="Calibri" w:eastAsia="Calibri" w:hAnsi="Calibri" w:cs="Arial"/>
        </w:rPr>
        <w:t>;</w:t>
      </w:r>
      <w:r w:rsidR="184244DB" w:rsidRPr="00734A50">
        <w:rPr>
          <w:rFonts w:ascii="Calibri" w:eastAsia="Calibri" w:hAnsi="Calibri" w:cs="Arial"/>
        </w:rPr>
        <w:t xml:space="preserve"> Australian Primary Principals Association submission) or to incentivise providers to undertake earlier and more extensive reviews of their programs (</w:t>
      </w:r>
      <w:r w:rsidR="00E50FE6" w:rsidRPr="00734A50">
        <w:rPr>
          <w:rFonts w:ascii="Calibri" w:eastAsia="Calibri" w:hAnsi="Calibri" w:cs="Arial"/>
        </w:rPr>
        <w:t>ACDE</w:t>
      </w:r>
      <w:r w:rsidRPr="00734A50">
        <w:rPr>
          <w:rFonts w:ascii="Calibri" w:eastAsia="Calibri" w:hAnsi="Calibri" w:cs="Arial"/>
        </w:rPr>
        <w:t xml:space="preserve"> submission). </w:t>
      </w:r>
    </w:p>
    <w:p w14:paraId="1F7B64C6" w14:textId="6BAF907B" w:rsidR="00BE0766" w:rsidRPr="00734A50" w:rsidRDefault="007B2950" w:rsidP="00FA06DB">
      <w:pPr>
        <w:spacing w:after="0"/>
        <w:rPr>
          <w:rFonts w:ascii="Calibri" w:eastAsia="Calibri" w:hAnsi="Calibri" w:cs="Arial"/>
        </w:rPr>
      </w:pPr>
      <w:r w:rsidRPr="00734A50">
        <w:rPr>
          <w:rFonts w:ascii="Calibri" w:eastAsia="Times New Roman" w:hAnsi="Calibri" w:cs="Calibri"/>
          <w:lang w:eastAsia="en-AU"/>
        </w:rPr>
        <w:t>T</w:t>
      </w:r>
      <w:r w:rsidR="68C4F428" w:rsidRPr="00734A50">
        <w:rPr>
          <w:rFonts w:ascii="Calibri" w:eastAsia="Calibri" w:hAnsi="Calibri" w:cs="Arial"/>
        </w:rPr>
        <w:t>he</w:t>
      </w:r>
      <w:r w:rsidR="00513C98" w:rsidRPr="00734A50">
        <w:rPr>
          <w:rFonts w:ascii="Calibri" w:eastAsia="Calibri" w:hAnsi="Calibri" w:cs="Arial"/>
        </w:rPr>
        <w:t xml:space="preserve"> Transition Fund could provide </w:t>
      </w:r>
      <w:r w:rsidR="005F20A2" w:rsidRPr="00734A50">
        <w:rPr>
          <w:rFonts w:ascii="Calibri" w:eastAsia="Calibri" w:hAnsi="Calibri" w:cs="Arial"/>
        </w:rPr>
        <w:t xml:space="preserve">modest </w:t>
      </w:r>
      <w:r w:rsidR="002C7FF3" w:rsidRPr="00734A50">
        <w:rPr>
          <w:rFonts w:ascii="Calibri" w:eastAsia="Calibri" w:hAnsi="Calibri" w:cs="Arial"/>
        </w:rPr>
        <w:t xml:space="preserve">grant </w:t>
      </w:r>
      <w:r w:rsidR="00513C98" w:rsidRPr="00734A50">
        <w:rPr>
          <w:rFonts w:ascii="Calibri" w:eastAsia="Calibri" w:hAnsi="Calibri" w:cs="Arial"/>
        </w:rPr>
        <w:t xml:space="preserve">funding </w:t>
      </w:r>
      <w:r w:rsidR="007336E6" w:rsidRPr="00734A50">
        <w:rPr>
          <w:rFonts w:ascii="Calibri" w:eastAsia="Calibri" w:hAnsi="Calibri" w:cs="Arial"/>
        </w:rPr>
        <w:t xml:space="preserve">(up to $5 million) </w:t>
      </w:r>
      <w:r w:rsidR="00FD6C8C" w:rsidRPr="00734A50">
        <w:rPr>
          <w:rFonts w:ascii="Calibri" w:eastAsia="Calibri" w:hAnsi="Calibri" w:cs="Arial"/>
        </w:rPr>
        <w:t>support</w:t>
      </w:r>
      <w:r w:rsidR="0010322D" w:rsidRPr="00734A50">
        <w:rPr>
          <w:rFonts w:ascii="Calibri" w:eastAsia="Calibri" w:hAnsi="Calibri" w:cs="Arial"/>
        </w:rPr>
        <w:t xml:space="preserve">ing higher education providers to </w:t>
      </w:r>
      <w:r w:rsidR="00FD6C8C" w:rsidRPr="00734A50">
        <w:rPr>
          <w:rFonts w:ascii="Calibri" w:eastAsia="Calibri" w:hAnsi="Calibri" w:cs="Arial"/>
        </w:rPr>
        <w:t>embed the core content and lift the performance of their ITE programs</w:t>
      </w:r>
      <w:r w:rsidR="7244D02C" w:rsidRPr="00734A50">
        <w:rPr>
          <w:rFonts w:ascii="Calibri" w:eastAsia="Calibri" w:hAnsi="Calibri" w:cs="Arial"/>
        </w:rPr>
        <w:t>.</w:t>
      </w:r>
      <w:r w:rsidR="00FD6C8C" w:rsidRPr="00734A50">
        <w:rPr>
          <w:rFonts w:ascii="Calibri" w:eastAsia="Calibri" w:hAnsi="Calibri" w:cs="Arial"/>
        </w:rPr>
        <w:t xml:space="preserve"> </w:t>
      </w:r>
      <w:r w:rsidR="005C1057" w:rsidRPr="00734A50">
        <w:rPr>
          <w:rFonts w:ascii="Calibri" w:eastAsia="Calibri" w:hAnsi="Calibri" w:cs="Arial"/>
        </w:rPr>
        <w:t>This could include activities such as:</w:t>
      </w:r>
    </w:p>
    <w:p w14:paraId="5BD5C264" w14:textId="77777777" w:rsidR="005C1057" w:rsidRPr="00734A50" w:rsidRDefault="005C1057" w:rsidP="00553516">
      <w:pPr>
        <w:pStyle w:val="ListBullet"/>
        <w:numPr>
          <w:ilvl w:val="0"/>
          <w:numId w:val="216"/>
        </w:numPr>
        <w:spacing w:after="200"/>
        <w:ind w:left="357" w:hanging="357"/>
      </w:pPr>
      <w:r w:rsidRPr="00734A50">
        <w:t>developing curriculum resources</w:t>
      </w:r>
    </w:p>
    <w:p w14:paraId="328F5497" w14:textId="5CDB0133" w:rsidR="005C1057" w:rsidRPr="00734A50" w:rsidRDefault="005C1057" w:rsidP="00553516">
      <w:pPr>
        <w:pStyle w:val="ListBullet"/>
        <w:numPr>
          <w:ilvl w:val="0"/>
          <w:numId w:val="216"/>
        </w:numPr>
        <w:spacing w:after="200"/>
        <w:ind w:left="357" w:hanging="357"/>
      </w:pPr>
      <w:r w:rsidRPr="00734A50">
        <w:t xml:space="preserve">professional development </w:t>
      </w:r>
      <w:r w:rsidR="00837397" w:rsidRPr="00734A50">
        <w:t xml:space="preserve">resources </w:t>
      </w:r>
      <w:r w:rsidRPr="00734A50">
        <w:t xml:space="preserve">for staff </w:t>
      </w:r>
    </w:p>
    <w:p w14:paraId="5790427A" w14:textId="0D3F820B" w:rsidR="003B6F14" w:rsidRPr="00734A50" w:rsidRDefault="007F1081" w:rsidP="00553516">
      <w:pPr>
        <w:pStyle w:val="ListBullet"/>
        <w:numPr>
          <w:ilvl w:val="0"/>
          <w:numId w:val="216"/>
        </w:numPr>
        <w:spacing w:after="200"/>
        <w:ind w:left="357" w:hanging="357"/>
      </w:pPr>
      <w:r w:rsidRPr="00734A50">
        <w:t>sharing</w:t>
      </w:r>
      <w:r w:rsidR="00DB38B9" w:rsidRPr="00734A50">
        <w:t xml:space="preserve"> research</w:t>
      </w:r>
      <w:r w:rsidRPr="00734A50">
        <w:t xml:space="preserve"> findings</w:t>
      </w:r>
      <w:r w:rsidR="00DB38B9" w:rsidRPr="00734A50">
        <w:t xml:space="preserve"> on how to best </w:t>
      </w:r>
      <w:r w:rsidR="003B6F14" w:rsidRPr="00734A50">
        <w:t>support ITE students during their</w:t>
      </w:r>
      <w:r w:rsidR="00DB38B9" w:rsidRPr="00734A50">
        <w:t xml:space="preserve"> </w:t>
      </w:r>
      <w:r w:rsidR="003B6F14" w:rsidRPr="00734A50">
        <w:t>program</w:t>
      </w:r>
      <w:r w:rsidR="725AC1D3" w:rsidRPr="00734A50">
        <w:t>.</w:t>
      </w:r>
    </w:p>
    <w:p w14:paraId="2DD98B97" w14:textId="77777777" w:rsidR="00513C98" w:rsidRPr="00734A50" w:rsidRDefault="00513C98" w:rsidP="00A36740">
      <w:pPr>
        <w:pStyle w:val="Heading5"/>
      </w:pPr>
      <w:r w:rsidRPr="00734A50">
        <w:t>Principles</w:t>
      </w:r>
    </w:p>
    <w:p w14:paraId="61F988DA" w14:textId="1148C185" w:rsidR="00513C98" w:rsidRPr="00734A50" w:rsidRDefault="00513C98" w:rsidP="00ED77B7">
      <w:pPr>
        <w:rPr>
          <w:rFonts w:ascii="Calibri" w:eastAsia="Calibri" w:hAnsi="Calibri" w:cs="Arial"/>
        </w:rPr>
      </w:pPr>
      <w:r w:rsidRPr="00734A50">
        <w:rPr>
          <w:rFonts w:ascii="Calibri" w:eastAsia="Calibri" w:hAnsi="Calibri" w:cs="Arial"/>
        </w:rPr>
        <w:t>Clear principles should guide the implementation of transition funding</w:t>
      </w:r>
      <w:r w:rsidR="005D0BF2" w:rsidRPr="00734A50">
        <w:rPr>
          <w:rFonts w:ascii="Calibri" w:eastAsia="Calibri" w:hAnsi="Calibri" w:cs="Arial"/>
        </w:rPr>
        <w:t xml:space="preserve">, as </w:t>
      </w:r>
      <w:r w:rsidR="3C3A4123" w:rsidRPr="00734A50">
        <w:rPr>
          <w:rFonts w:ascii="Calibri" w:eastAsia="Calibri" w:hAnsi="Calibri" w:cs="Arial"/>
        </w:rPr>
        <w:t>shown in Figure 2.2.</w:t>
      </w:r>
    </w:p>
    <w:p w14:paraId="02DE7D4D" w14:textId="143F6965" w:rsidR="00000141" w:rsidRDefault="00000141" w:rsidP="00A36740">
      <w:pPr>
        <w:pStyle w:val="FigureHeading"/>
        <w:numPr>
          <w:ilvl w:val="0"/>
          <w:numId w:val="0"/>
        </w:numPr>
        <w:ind w:left="357" w:hanging="357"/>
        <w:rPr>
          <w:sz w:val="22"/>
          <w:szCs w:val="28"/>
        </w:rPr>
      </w:pPr>
      <w:r w:rsidRPr="00734A50">
        <w:rPr>
          <w:sz w:val="22"/>
          <w:szCs w:val="28"/>
        </w:rPr>
        <w:t>Figure 2.</w:t>
      </w:r>
      <w:r w:rsidR="0006143B" w:rsidRPr="00734A50">
        <w:rPr>
          <w:sz w:val="22"/>
          <w:szCs w:val="28"/>
        </w:rPr>
        <w:t>2</w:t>
      </w:r>
      <w:r w:rsidRPr="00734A50">
        <w:rPr>
          <w:sz w:val="22"/>
          <w:szCs w:val="28"/>
        </w:rPr>
        <w:t>: Principles for implementation of transition funding</w:t>
      </w:r>
    </w:p>
    <w:p w14:paraId="0A2C1C6E" w14:textId="39A998C0" w:rsidR="003730CF" w:rsidRPr="003730CF" w:rsidRDefault="003730CF" w:rsidP="003730CF">
      <w:pPr>
        <w:rPr>
          <w:lang w:eastAsia="en-AU"/>
        </w:rPr>
      </w:pPr>
      <w:r>
        <w:rPr>
          <w:noProof/>
          <w:lang w:eastAsia="en-AU"/>
        </w:rPr>
        <w:drawing>
          <wp:inline distT="0" distB="0" distL="0" distR="0" wp14:anchorId="3A55CED3" wp14:editId="3AE625A6">
            <wp:extent cx="5708904" cy="1655064"/>
            <wp:effectExtent l="0" t="0" r="6350" b="2540"/>
            <wp:docPr id="18" name="Picture 18" descr="A diagram with four columns describing the four principles for implementation of transition funding.&#10;&#10;Collaboration: higher education providers to collaborate to embed core content and improve performance&#10;&#10;Identified need: Support higher education providers to improve the quality of their programs in areas of need.&#10;&#10;Impact: Create institutional change to ensure successful delivery of core content in ITE programs and improve performance.&#10;&#10;Measurement: Demonstrate improvement through institutions determining how to measure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with four columns describing the four principles for implementation of transition funding.&#10;&#10;Collaboration: higher education providers to collaborate to embed core content and improve performance&#10;&#10;Identified need: Support higher education providers to improve the quality of their programs in areas of need.&#10;&#10;Impact: Create institutional change to ensure successful delivery of core content in ITE programs and improve performance.&#10;&#10;Measurement: Demonstrate improvement through institutions determining how to measure succes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08904" cy="1655064"/>
                    </a:xfrm>
                    <a:prstGeom prst="rect">
                      <a:avLst/>
                    </a:prstGeom>
                  </pic:spPr>
                </pic:pic>
              </a:graphicData>
            </a:graphic>
          </wp:inline>
        </w:drawing>
      </w:r>
    </w:p>
    <w:p w14:paraId="4114522D" w14:textId="77777777" w:rsidR="00513C98" w:rsidRPr="00734A50" w:rsidRDefault="00513C98" w:rsidP="00A36740">
      <w:pPr>
        <w:pStyle w:val="Heading5"/>
      </w:pPr>
      <w:r w:rsidRPr="00734A50">
        <w:t>Eligibility</w:t>
      </w:r>
    </w:p>
    <w:p w14:paraId="43A16E8D" w14:textId="15B192D4" w:rsidR="00513C98" w:rsidRPr="00734A50" w:rsidRDefault="00513C98" w:rsidP="00513C98">
      <w:pPr>
        <w:rPr>
          <w:rFonts w:ascii="Calibri" w:eastAsia="Calibri" w:hAnsi="Calibri" w:cs="Arial"/>
        </w:rPr>
      </w:pPr>
      <w:r w:rsidRPr="00734A50">
        <w:rPr>
          <w:rFonts w:ascii="Calibri" w:eastAsia="Calibri" w:hAnsi="Calibri" w:cs="Arial"/>
        </w:rPr>
        <w:t xml:space="preserve">Higher education providers </w:t>
      </w:r>
      <w:r w:rsidR="006C57D0" w:rsidRPr="00734A50">
        <w:rPr>
          <w:rFonts w:ascii="Calibri" w:eastAsia="Calibri" w:hAnsi="Calibri" w:cs="Arial"/>
        </w:rPr>
        <w:t xml:space="preserve">could </w:t>
      </w:r>
      <w:r w:rsidRPr="00734A50">
        <w:rPr>
          <w:rFonts w:ascii="Calibri" w:eastAsia="Calibri" w:hAnsi="Calibri" w:cs="Arial"/>
        </w:rPr>
        <w:t xml:space="preserve">apply for grant funding, with a proposal for how they would use the funding to incorporate core content in ITE programs and improve performance. </w:t>
      </w:r>
      <w:r w:rsidR="00421DC0" w:rsidRPr="00734A50">
        <w:rPr>
          <w:rFonts w:ascii="Calibri" w:eastAsia="Calibri" w:hAnsi="Calibri" w:cs="Arial"/>
        </w:rPr>
        <w:t xml:space="preserve">Providers </w:t>
      </w:r>
      <w:r w:rsidR="00AD31A0" w:rsidRPr="00734A50">
        <w:rPr>
          <w:rFonts w:ascii="Calibri" w:eastAsia="Calibri" w:hAnsi="Calibri" w:cs="Arial"/>
        </w:rPr>
        <w:t xml:space="preserve">would have the option to </w:t>
      </w:r>
      <w:r w:rsidR="001C548F" w:rsidRPr="00734A50">
        <w:rPr>
          <w:rFonts w:ascii="Calibri" w:eastAsia="Calibri" w:hAnsi="Calibri" w:cs="Arial"/>
        </w:rPr>
        <w:t xml:space="preserve">pool funding </w:t>
      </w:r>
      <w:r w:rsidR="00352F4B" w:rsidRPr="00734A50">
        <w:rPr>
          <w:rFonts w:ascii="Calibri" w:eastAsia="Calibri" w:hAnsi="Calibri" w:cs="Arial"/>
        </w:rPr>
        <w:t>by collaborating</w:t>
      </w:r>
      <w:r w:rsidR="00630F14" w:rsidRPr="00734A50">
        <w:rPr>
          <w:rFonts w:ascii="Calibri" w:eastAsia="Calibri" w:hAnsi="Calibri" w:cs="Arial"/>
        </w:rPr>
        <w:t xml:space="preserve"> on </w:t>
      </w:r>
      <w:r w:rsidR="00352F4B" w:rsidRPr="00734A50">
        <w:rPr>
          <w:rFonts w:ascii="Calibri" w:eastAsia="Calibri" w:hAnsi="Calibri" w:cs="Arial"/>
        </w:rPr>
        <w:t>a shared proposal</w:t>
      </w:r>
      <w:r w:rsidR="00835AA5" w:rsidRPr="00734A50">
        <w:rPr>
          <w:rFonts w:ascii="Calibri" w:eastAsia="Calibri" w:hAnsi="Calibri" w:cs="Arial"/>
        </w:rPr>
        <w:t xml:space="preserve">, to </w:t>
      </w:r>
      <w:r w:rsidR="00571566" w:rsidRPr="00734A50">
        <w:rPr>
          <w:rFonts w:ascii="Calibri" w:eastAsia="Calibri" w:hAnsi="Calibri" w:cs="Arial"/>
        </w:rPr>
        <w:t>support</w:t>
      </w:r>
      <w:r w:rsidR="00835AA5" w:rsidRPr="00734A50">
        <w:rPr>
          <w:rFonts w:ascii="Calibri" w:eastAsia="Calibri" w:hAnsi="Calibri" w:cs="Arial"/>
        </w:rPr>
        <w:t xml:space="preserve"> </w:t>
      </w:r>
      <w:r w:rsidR="00702495" w:rsidRPr="00734A50">
        <w:rPr>
          <w:rFonts w:ascii="Calibri" w:eastAsia="Calibri" w:hAnsi="Calibri" w:cs="Arial"/>
        </w:rPr>
        <w:t xml:space="preserve">improvement </w:t>
      </w:r>
      <w:r w:rsidR="00835AA5" w:rsidRPr="00734A50">
        <w:rPr>
          <w:rFonts w:ascii="Calibri" w:eastAsia="Calibri" w:hAnsi="Calibri" w:cs="Arial"/>
        </w:rPr>
        <w:t>across the sector</w:t>
      </w:r>
      <w:r w:rsidR="00352F4B" w:rsidRPr="00734A50">
        <w:rPr>
          <w:rFonts w:ascii="Calibri" w:eastAsia="Calibri" w:hAnsi="Calibri" w:cs="Arial"/>
        </w:rPr>
        <w:t>.</w:t>
      </w:r>
    </w:p>
    <w:p w14:paraId="5A3A5485" w14:textId="40C9C79C" w:rsidR="00513C98" w:rsidRPr="00734A50" w:rsidRDefault="00513C98" w:rsidP="00A36740">
      <w:pPr>
        <w:pStyle w:val="Heading5"/>
      </w:pPr>
      <w:r w:rsidRPr="00734A50">
        <w:t xml:space="preserve">Assessment </w:t>
      </w:r>
    </w:p>
    <w:p w14:paraId="0AC957FF" w14:textId="268F6A6A" w:rsidR="00513C98" w:rsidRPr="00734A50" w:rsidRDefault="15DDDD7F" w:rsidP="00513C98">
      <w:pPr>
        <w:rPr>
          <w:rFonts w:ascii="Calibri" w:eastAsia="Calibri" w:hAnsi="Calibri" w:cs="Arial"/>
        </w:rPr>
      </w:pPr>
      <w:r w:rsidRPr="00734A50">
        <w:rPr>
          <w:rFonts w:ascii="Calibri" w:eastAsia="Calibri" w:hAnsi="Calibri" w:cs="Arial"/>
        </w:rPr>
        <w:t xml:space="preserve">Transition funding should be contingent on higher education providers demonstrating how they </w:t>
      </w:r>
      <w:r w:rsidR="00291DDE" w:rsidRPr="00734A50">
        <w:rPr>
          <w:rFonts w:ascii="Calibri" w:eastAsia="Calibri" w:hAnsi="Calibri" w:cs="Arial"/>
        </w:rPr>
        <w:t>would</w:t>
      </w:r>
      <w:r w:rsidRPr="00734A50">
        <w:rPr>
          <w:rFonts w:ascii="Calibri" w:eastAsia="Calibri" w:hAnsi="Calibri" w:cs="Arial"/>
        </w:rPr>
        <w:t xml:space="preserve"> support the delivery of ITE content and improved performance against the principles. </w:t>
      </w:r>
    </w:p>
    <w:p w14:paraId="5C947FA7" w14:textId="77777777" w:rsidR="00513C98" w:rsidRPr="00734A50" w:rsidRDefault="00513C98" w:rsidP="00A36740">
      <w:pPr>
        <w:pStyle w:val="Heading5"/>
      </w:pPr>
      <w:r w:rsidRPr="00734A50">
        <w:lastRenderedPageBreak/>
        <w:t>Reporting</w:t>
      </w:r>
    </w:p>
    <w:p w14:paraId="47F22154" w14:textId="4CBDA085" w:rsidR="00513C98" w:rsidRPr="00734A50" w:rsidRDefault="00513C98" w:rsidP="00403AA9">
      <w:pPr>
        <w:keepNext/>
        <w:rPr>
          <w:rFonts w:ascii="Calibri" w:eastAsia="Calibri" w:hAnsi="Calibri" w:cs="Arial"/>
        </w:rPr>
      </w:pPr>
      <w:r w:rsidRPr="00734A50">
        <w:rPr>
          <w:rFonts w:ascii="Calibri" w:eastAsia="Calibri" w:hAnsi="Calibri" w:cs="Arial"/>
        </w:rPr>
        <w:t xml:space="preserve">Higher education providers would report on </w:t>
      </w:r>
      <w:r w:rsidR="008C142F" w:rsidRPr="00734A50">
        <w:rPr>
          <w:rFonts w:ascii="Calibri" w:eastAsia="Calibri" w:hAnsi="Calibri" w:cs="Arial"/>
        </w:rPr>
        <w:t>how they</w:t>
      </w:r>
      <w:r w:rsidRPr="00734A50">
        <w:rPr>
          <w:rFonts w:ascii="Calibri" w:eastAsia="Calibri" w:hAnsi="Calibri" w:cs="Arial"/>
        </w:rPr>
        <w:t xml:space="preserve"> implement</w:t>
      </w:r>
      <w:r w:rsidR="008C142F" w:rsidRPr="00734A50">
        <w:rPr>
          <w:rFonts w:ascii="Calibri" w:eastAsia="Calibri" w:hAnsi="Calibri" w:cs="Arial"/>
        </w:rPr>
        <w:t>ed</w:t>
      </w:r>
      <w:r w:rsidRPr="00734A50">
        <w:rPr>
          <w:rFonts w:ascii="Calibri" w:eastAsia="Calibri" w:hAnsi="Calibri" w:cs="Arial"/>
        </w:rPr>
        <w:t xml:space="preserve"> their initiatives</w:t>
      </w:r>
      <w:r w:rsidR="469D21FF" w:rsidRPr="00734A50">
        <w:rPr>
          <w:rFonts w:ascii="Calibri" w:eastAsia="Calibri" w:hAnsi="Calibri" w:cs="Arial"/>
        </w:rPr>
        <w:t>.</w:t>
      </w:r>
      <w:r w:rsidRPr="00734A50">
        <w:rPr>
          <w:rFonts w:ascii="Calibri" w:eastAsia="Calibri" w:hAnsi="Calibri" w:cs="Arial"/>
        </w:rPr>
        <w:t xml:space="preserve"> At the end of the funding period, higher education providers should </w:t>
      </w:r>
      <w:r w:rsidR="00702495" w:rsidRPr="00734A50">
        <w:rPr>
          <w:rFonts w:ascii="Calibri" w:eastAsia="Calibri" w:hAnsi="Calibri" w:cs="Arial"/>
        </w:rPr>
        <w:t xml:space="preserve">report on </w:t>
      </w:r>
      <w:r w:rsidR="005074B8" w:rsidRPr="00734A50">
        <w:rPr>
          <w:rFonts w:ascii="Calibri" w:eastAsia="Calibri" w:hAnsi="Calibri" w:cs="Arial"/>
        </w:rPr>
        <w:t xml:space="preserve">the outcomes of these activities, to show </w:t>
      </w:r>
      <w:r w:rsidR="00B04A17" w:rsidRPr="00734A50">
        <w:rPr>
          <w:rFonts w:ascii="Calibri" w:eastAsia="Calibri" w:hAnsi="Calibri" w:cs="Arial"/>
        </w:rPr>
        <w:t>the impact of funding a</w:t>
      </w:r>
      <w:r w:rsidRPr="00734A50">
        <w:rPr>
          <w:rFonts w:ascii="Calibri" w:eastAsia="Calibri" w:hAnsi="Calibri" w:cs="Arial"/>
        </w:rPr>
        <w:t xml:space="preserve">nd lessons learned. This </w:t>
      </w:r>
      <w:r w:rsidR="00291DDE" w:rsidRPr="00734A50">
        <w:rPr>
          <w:rFonts w:ascii="Calibri" w:eastAsia="Calibri" w:hAnsi="Calibri" w:cs="Arial"/>
        </w:rPr>
        <w:t>would</w:t>
      </w:r>
      <w:r w:rsidRPr="00734A50">
        <w:rPr>
          <w:rFonts w:ascii="Calibri" w:eastAsia="Calibri" w:hAnsi="Calibri" w:cs="Arial"/>
        </w:rPr>
        <w:t xml:space="preserve"> build the evidence base on successful approaches to deliver core content in ITE programs and to </w:t>
      </w:r>
      <w:r w:rsidR="16457F81" w:rsidRPr="00734A50">
        <w:rPr>
          <w:rFonts w:ascii="Calibri" w:eastAsia="Calibri" w:hAnsi="Calibri" w:cs="Arial"/>
        </w:rPr>
        <w:t>lift</w:t>
      </w:r>
      <w:r w:rsidRPr="00734A50">
        <w:rPr>
          <w:rFonts w:ascii="Calibri" w:eastAsia="Calibri" w:hAnsi="Calibri" w:cs="Arial"/>
        </w:rPr>
        <w:t xml:space="preserve"> performance.</w:t>
      </w:r>
    </w:p>
    <w:p w14:paraId="6BA14EB0" w14:textId="68A4AD73" w:rsidR="00513C98" w:rsidRPr="00734A50" w:rsidRDefault="006913FD" w:rsidP="00A36740">
      <w:pPr>
        <w:pStyle w:val="Heading4"/>
        <w:rPr>
          <w:color w:val="002C3E"/>
        </w:rPr>
      </w:pPr>
      <w:r w:rsidRPr="00734A50">
        <w:t>2</w:t>
      </w:r>
      <w:r w:rsidR="7A097DA7" w:rsidRPr="00734A50">
        <w:t>.</w:t>
      </w:r>
      <w:r w:rsidR="0034335A" w:rsidRPr="00734A50">
        <w:t>6</w:t>
      </w:r>
      <w:r w:rsidR="78E93477" w:rsidRPr="00734A50">
        <w:t>.</w:t>
      </w:r>
      <w:r w:rsidR="4995C208" w:rsidRPr="00734A50">
        <w:t>2</w:t>
      </w:r>
      <w:r w:rsidRPr="00734A50">
        <w:t xml:space="preserve"> </w:t>
      </w:r>
      <w:r w:rsidR="00513C98" w:rsidRPr="00734A50">
        <w:t xml:space="preserve">Excellence </w:t>
      </w:r>
      <w:r w:rsidR="001B36AB" w:rsidRPr="00734A50">
        <w:t>Fund</w:t>
      </w:r>
    </w:p>
    <w:p w14:paraId="7168CF53" w14:textId="7A994340" w:rsidR="003A2D3A" w:rsidRPr="00734A50" w:rsidRDefault="008907B3" w:rsidP="678B3FCC">
      <w:pPr>
        <w:rPr>
          <w:rFonts w:ascii="Calibri" w:eastAsia="Calibri" w:hAnsi="Calibri" w:cs="Calibri"/>
        </w:rPr>
      </w:pPr>
      <w:r w:rsidRPr="00734A50">
        <w:rPr>
          <w:rFonts w:ascii="Calibri" w:eastAsia="Calibri" w:hAnsi="Calibri" w:cs="Calibri"/>
        </w:rPr>
        <w:t xml:space="preserve">An </w:t>
      </w:r>
      <w:r w:rsidR="001201CC" w:rsidRPr="00734A50">
        <w:rPr>
          <w:rFonts w:ascii="Calibri" w:eastAsia="Calibri" w:hAnsi="Calibri" w:cs="Calibri"/>
        </w:rPr>
        <w:t>E</w:t>
      </w:r>
      <w:r w:rsidRPr="00734A50">
        <w:rPr>
          <w:rFonts w:ascii="Calibri" w:eastAsia="Calibri" w:hAnsi="Calibri" w:cs="Calibri"/>
        </w:rPr>
        <w:t xml:space="preserve">xcellence </w:t>
      </w:r>
      <w:r w:rsidR="0016146A" w:rsidRPr="00734A50">
        <w:rPr>
          <w:rFonts w:ascii="Calibri" w:eastAsia="Calibri" w:hAnsi="Calibri" w:cs="Calibri"/>
        </w:rPr>
        <w:t xml:space="preserve">Fund </w:t>
      </w:r>
      <w:r w:rsidRPr="00734A50">
        <w:rPr>
          <w:rFonts w:ascii="Calibri" w:eastAsia="Calibri" w:hAnsi="Calibri" w:cs="Calibri"/>
        </w:rPr>
        <w:t xml:space="preserve">could </w:t>
      </w:r>
      <w:r w:rsidR="00837DF2" w:rsidRPr="00734A50">
        <w:rPr>
          <w:rFonts w:ascii="Calibri" w:eastAsia="Calibri" w:hAnsi="Calibri" w:cs="Calibri"/>
        </w:rPr>
        <w:t>provid</w:t>
      </w:r>
      <w:r w:rsidR="00187849" w:rsidRPr="00734A50">
        <w:rPr>
          <w:rFonts w:ascii="Calibri" w:eastAsia="Calibri" w:hAnsi="Calibri" w:cs="Calibri"/>
        </w:rPr>
        <w:t>e</w:t>
      </w:r>
      <w:r w:rsidR="00837DF2" w:rsidRPr="00734A50">
        <w:rPr>
          <w:rFonts w:ascii="Calibri" w:eastAsia="Calibri" w:hAnsi="Calibri" w:cs="Calibri"/>
        </w:rPr>
        <w:t xml:space="preserve"> funding to </w:t>
      </w:r>
      <w:r w:rsidR="008038EC" w:rsidRPr="00734A50">
        <w:rPr>
          <w:rFonts w:ascii="Calibri" w:eastAsia="Calibri" w:hAnsi="Calibri" w:cs="Calibri"/>
        </w:rPr>
        <w:t>select</w:t>
      </w:r>
      <w:r w:rsidRPr="00734A50">
        <w:rPr>
          <w:rFonts w:ascii="Calibri" w:eastAsia="Calibri" w:hAnsi="Calibri" w:cs="Calibri"/>
        </w:rPr>
        <w:t xml:space="preserve"> </w:t>
      </w:r>
      <w:r w:rsidR="00187849" w:rsidRPr="00734A50">
        <w:rPr>
          <w:rFonts w:ascii="Calibri" w:eastAsia="Calibri" w:hAnsi="Calibri" w:cs="Calibri"/>
        </w:rPr>
        <w:t xml:space="preserve">higher education </w:t>
      </w:r>
      <w:r w:rsidRPr="00734A50">
        <w:rPr>
          <w:rFonts w:ascii="Calibri" w:eastAsia="Calibri" w:hAnsi="Calibri" w:cs="Calibri"/>
        </w:rPr>
        <w:t xml:space="preserve">providers to </w:t>
      </w:r>
      <w:r w:rsidR="00DC08A2" w:rsidRPr="00734A50">
        <w:rPr>
          <w:rFonts w:ascii="Calibri" w:eastAsia="Calibri" w:hAnsi="Calibri" w:cs="Calibri"/>
        </w:rPr>
        <w:t xml:space="preserve">take a leadership role </w:t>
      </w:r>
      <w:r w:rsidR="001170EF" w:rsidRPr="00734A50">
        <w:rPr>
          <w:rFonts w:ascii="Calibri" w:eastAsia="Calibri" w:hAnsi="Calibri" w:cs="Calibri"/>
        </w:rPr>
        <w:t>in fostering improved performance across the sector.</w:t>
      </w:r>
    </w:p>
    <w:p w14:paraId="2CD0439F" w14:textId="3FB853F0" w:rsidR="1CE3CA0B" w:rsidRPr="00734A50" w:rsidRDefault="00015DD3" w:rsidP="04E64743">
      <w:pPr>
        <w:rPr>
          <w:rFonts w:ascii="Calibri" w:eastAsia="Calibri" w:hAnsi="Calibri" w:cs="Arial"/>
        </w:rPr>
      </w:pPr>
      <w:r w:rsidRPr="00734A50">
        <w:rPr>
          <w:rFonts w:ascii="Calibri" w:eastAsia="Calibri" w:hAnsi="Calibri" w:cs="Arial"/>
        </w:rPr>
        <w:t xml:space="preserve">Stakeholders </w:t>
      </w:r>
      <w:r w:rsidR="00581283" w:rsidRPr="00734A50">
        <w:rPr>
          <w:rFonts w:ascii="Calibri" w:eastAsia="Calibri" w:hAnsi="Calibri" w:cs="Arial"/>
        </w:rPr>
        <w:t xml:space="preserve">highlighted </w:t>
      </w:r>
      <w:r w:rsidR="004678F9" w:rsidRPr="00734A50">
        <w:rPr>
          <w:rFonts w:ascii="Calibri" w:eastAsia="Calibri" w:hAnsi="Calibri" w:cs="Arial"/>
        </w:rPr>
        <w:t>the</w:t>
      </w:r>
      <w:r w:rsidR="00581283" w:rsidRPr="00734A50">
        <w:rPr>
          <w:rFonts w:ascii="Calibri" w:eastAsia="Calibri" w:hAnsi="Calibri" w:cs="Arial"/>
        </w:rPr>
        <w:t xml:space="preserve"> </w:t>
      </w:r>
      <w:r w:rsidR="00D86BE3" w:rsidRPr="00734A50">
        <w:rPr>
          <w:rFonts w:ascii="Calibri" w:eastAsia="Calibri" w:hAnsi="Calibri" w:cs="Arial"/>
        </w:rPr>
        <w:t>need to ensure funding of ITE programs does not create a two</w:t>
      </w:r>
      <w:r w:rsidR="00702495" w:rsidRPr="00734A50">
        <w:rPr>
          <w:rFonts w:ascii="Calibri" w:eastAsia="Calibri" w:hAnsi="Calibri" w:cs="Arial"/>
        </w:rPr>
        <w:t>-</w:t>
      </w:r>
      <w:r w:rsidR="00D86BE3" w:rsidRPr="00734A50">
        <w:rPr>
          <w:rFonts w:ascii="Calibri" w:eastAsia="Calibri" w:hAnsi="Calibri" w:cs="Arial"/>
        </w:rPr>
        <w:t>tier</w:t>
      </w:r>
      <w:r w:rsidR="00FB7D0D" w:rsidRPr="00734A50">
        <w:rPr>
          <w:rFonts w:ascii="Calibri" w:eastAsia="Calibri" w:hAnsi="Calibri" w:cs="Arial"/>
        </w:rPr>
        <w:t xml:space="preserve"> </w:t>
      </w:r>
      <w:r w:rsidR="1CE3CA0B" w:rsidRPr="00734A50">
        <w:rPr>
          <w:rFonts w:ascii="Calibri" w:eastAsia="Calibri" w:hAnsi="Calibri" w:cs="Arial"/>
        </w:rPr>
        <w:t>ITE system (</w:t>
      </w:r>
      <w:r w:rsidR="00735807" w:rsidRPr="00734A50">
        <w:rPr>
          <w:rFonts w:ascii="Calibri" w:eastAsia="Calibri" w:hAnsi="Calibri" w:cs="Arial"/>
        </w:rPr>
        <w:t>ATRA</w:t>
      </w:r>
      <w:r w:rsidR="1CE3CA0B" w:rsidRPr="00734A50">
        <w:rPr>
          <w:rFonts w:ascii="Calibri" w:eastAsia="Calibri" w:hAnsi="Calibri" w:cs="Arial"/>
        </w:rPr>
        <w:t xml:space="preserve"> submission</w:t>
      </w:r>
      <w:r w:rsidR="00AF5455" w:rsidRPr="00734A50">
        <w:rPr>
          <w:rFonts w:ascii="Calibri" w:eastAsia="Calibri" w:hAnsi="Calibri" w:cs="Arial"/>
        </w:rPr>
        <w:t>;</w:t>
      </w:r>
      <w:r w:rsidR="1CE3CA0B" w:rsidRPr="00734A50">
        <w:rPr>
          <w:rFonts w:ascii="Calibri" w:eastAsia="Calibri" w:hAnsi="Calibri" w:cs="Arial"/>
        </w:rPr>
        <w:t xml:space="preserve"> Independent Education Union submission; Catholic Schools NSW submission) or unintended consequences for providers who support more rural and regional students or students from diverse equity backgrounds (NSW Council of Deans submission).</w:t>
      </w:r>
    </w:p>
    <w:p w14:paraId="7075E35D" w14:textId="4D08FB59" w:rsidR="1CE3CA0B" w:rsidRPr="00734A50" w:rsidRDefault="00DE6078" w:rsidP="4D1F5346">
      <w:pPr>
        <w:rPr>
          <w:rFonts w:ascii="Calibri" w:eastAsia="Calibri" w:hAnsi="Calibri" w:cs="Arial"/>
        </w:rPr>
      </w:pPr>
      <w:r w:rsidRPr="00734A50">
        <w:rPr>
          <w:rFonts w:ascii="Calibri" w:eastAsia="Calibri" w:hAnsi="Calibri" w:cs="Arial"/>
        </w:rPr>
        <w:t>T</w:t>
      </w:r>
      <w:r w:rsidR="1CE3CA0B" w:rsidRPr="00734A50">
        <w:rPr>
          <w:rFonts w:ascii="Calibri" w:eastAsia="Calibri" w:hAnsi="Calibri" w:cs="Arial"/>
        </w:rPr>
        <w:t>he Panel considers the</w:t>
      </w:r>
      <w:r w:rsidRPr="00734A50">
        <w:rPr>
          <w:rFonts w:ascii="Calibri" w:eastAsia="Calibri" w:hAnsi="Calibri" w:cs="Arial"/>
        </w:rPr>
        <w:t>re is</w:t>
      </w:r>
      <w:r w:rsidR="1CE3CA0B" w:rsidRPr="00734A50">
        <w:rPr>
          <w:rFonts w:ascii="Calibri" w:eastAsia="Calibri" w:hAnsi="Calibri" w:cs="Arial"/>
        </w:rPr>
        <w:t xml:space="preserve"> value</w:t>
      </w:r>
      <w:r w:rsidRPr="00734A50">
        <w:rPr>
          <w:rFonts w:ascii="Calibri" w:eastAsia="Calibri" w:hAnsi="Calibri" w:cs="Arial"/>
        </w:rPr>
        <w:t xml:space="preserve"> in establishing</w:t>
      </w:r>
      <w:r w:rsidR="1CE3CA0B" w:rsidRPr="00734A50">
        <w:rPr>
          <w:rFonts w:ascii="Calibri" w:eastAsia="Calibri" w:hAnsi="Calibri" w:cs="Arial"/>
        </w:rPr>
        <w:t xml:space="preserve"> an Excellence Fund </w:t>
      </w:r>
      <w:r w:rsidR="002D7734" w:rsidRPr="00734A50">
        <w:rPr>
          <w:rFonts w:ascii="Calibri" w:eastAsia="Calibri" w:hAnsi="Calibri" w:cs="Arial"/>
        </w:rPr>
        <w:t>to</w:t>
      </w:r>
      <w:r w:rsidR="1CE3CA0B" w:rsidRPr="00734A50">
        <w:rPr>
          <w:rFonts w:ascii="Calibri" w:eastAsia="Calibri" w:hAnsi="Calibri" w:cs="Arial"/>
        </w:rPr>
        <w:t xml:space="preserve"> support</w:t>
      </w:r>
      <w:r w:rsidR="002D7734" w:rsidRPr="00734A50">
        <w:rPr>
          <w:rFonts w:ascii="Calibri" w:eastAsia="Calibri" w:hAnsi="Calibri" w:cs="Arial"/>
        </w:rPr>
        <w:t xml:space="preserve"> high</w:t>
      </w:r>
      <w:r w:rsidR="00702495" w:rsidRPr="00734A50">
        <w:rPr>
          <w:rFonts w:ascii="Calibri" w:eastAsia="Calibri" w:hAnsi="Calibri" w:cs="Arial"/>
        </w:rPr>
        <w:t>-</w:t>
      </w:r>
      <w:r w:rsidR="002D7734" w:rsidRPr="00734A50">
        <w:rPr>
          <w:rFonts w:ascii="Calibri" w:eastAsia="Calibri" w:hAnsi="Calibri" w:cs="Arial"/>
        </w:rPr>
        <w:t>performing or fast</w:t>
      </w:r>
      <w:r w:rsidR="00702495" w:rsidRPr="00734A50">
        <w:rPr>
          <w:rFonts w:ascii="Calibri" w:eastAsia="Calibri" w:hAnsi="Calibri" w:cs="Arial"/>
        </w:rPr>
        <w:t>-</w:t>
      </w:r>
      <w:r w:rsidR="002D7734" w:rsidRPr="00734A50">
        <w:rPr>
          <w:rFonts w:ascii="Calibri" w:eastAsia="Calibri" w:hAnsi="Calibri" w:cs="Arial"/>
        </w:rPr>
        <w:t>improving</w:t>
      </w:r>
      <w:r w:rsidR="1CE3CA0B" w:rsidRPr="00734A50">
        <w:rPr>
          <w:rFonts w:ascii="Calibri" w:eastAsia="Calibri" w:hAnsi="Calibri" w:cs="Arial"/>
        </w:rPr>
        <w:t xml:space="preserve"> high education providers to share their </w:t>
      </w:r>
      <w:r w:rsidR="002D7734" w:rsidRPr="00734A50">
        <w:rPr>
          <w:rFonts w:ascii="Calibri" w:eastAsia="Calibri" w:hAnsi="Calibri" w:cs="Arial"/>
        </w:rPr>
        <w:t>learnings</w:t>
      </w:r>
      <w:r w:rsidR="1CE3CA0B" w:rsidRPr="00734A50">
        <w:rPr>
          <w:rFonts w:ascii="Calibri" w:eastAsia="Calibri" w:hAnsi="Calibri" w:cs="Arial"/>
        </w:rPr>
        <w:t xml:space="preserve"> </w:t>
      </w:r>
      <w:r w:rsidR="00F416A5" w:rsidRPr="00734A50">
        <w:rPr>
          <w:rFonts w:ascii="Calibri" w:eastAsia="Calibri" w:hAnsi="Calibri" w:cs="Arial"/>
        </w:rPr>
        <w:t>with</w:t>
      </w:r>
      <w:r w:rsidR="005C214C" w:rsidRPr="00734A50">
        <w:rPr>
          <w:rFonts w:ascii="Calibri" w:eastAsia="Calibri" w:hAnsi="Calibri" w:cs="Arial"/>
        </w:rPr>
        <w:t>,</w:t>
      </w:r>
      <w:r w:rsidR="1CE3CA0B" w:rsidRPr="00734A50">
        <w:rPr>
          <w:rFonts w:ascii="Calibri" w:eastAsia="Calibri" w:hAnsi="Calibri" w:cs="Arial"/>
        </w:rPr>
        <w:t xml:space="preserve"> mentor and </w:t>
      </w:r>
      <w:r w:rsidR="00702495" w:rsidRPr="00734A50">
        <w:rPr>
          <w:rFonts w:ascii="Calibri" w:eastAsia="Calibri" w:hAnsi="Calibri" w:cs="Arial"/>
        </w:rPr>
        <w:t xml:space="preserve">raise the performance </w:t>
      </w:r>
      <w:r w:rsidR="1CE3CA0B" w:rsidRPr="00734A50">
        <w:rPr>
          <w:rFonts w:ascii="Calibri" w:eastAsia="Calibri" w:hAnsi="Calibri" w:cs="Arial"/>
        </w:rPr>
        <w:t>o</w:t>
      </w:r>
      <w:r w:rsidR="000862E9">
        <w:rPr>
          <w:rFonts w:ascii="Calibri" w:eastAsia="Calibri" w:hAnsi="Calibri" w:cs="Arial"/>
        </w:rPr>
        <w:t>f o</w:t>
      </w:r>
      <w:r w:rsidR="1CE3CA0B" w:rsidRPr="00734A50">
        <w:rPr>
          <w:rFonts w:ascii="Calibri" w:eastAsia="Calibri" w:hAnsi="Calibri" w:cs="Arial"/>
        </w:rPr>
        <w:t xml:space="preserve">ther </w:t>
      </w:r>
      <w:r w:rsidR="00FC168C" w:rsidRPr="00734A50">
        <w:rPr>
          <w:rFonts w:ascii="Calibri" w:eastAsia="Calibri" w:hAnsi="Calibri" w:cs="Arial"/>
        </w:rPr>
        <w:t xml:space="preserve">higher education </w:t>
      </w:r>
      <w:r w:rsidR="1CE3CA0B" w:rsidRPr="00734A50">
        <w:rPr>
          <w:rFonts w:ascii="Calibri" w:eastAsia="Calibri" w:hAnsi="Calibri" w:cs="Arial"/>
        </w:rPr>
        <w:t>providers.</w:t>
      </w:r>
    </w:p>
    <w:p w14:paraId="078C8FCB" w14:textId="396BAA4C" w:rsidR="00274300" w:rsidRPr="00734A50" w:rsidRDefault="00274300" w:rsidP="00274300">
      <w:pPr>
        <w:rPr>
          <w:rFonts w:ascii="Calibri" w:eastAsia="Calibri" w:hAnsi="Calibri" w:cs="Calibri"/>
          <w:color w:val="000000" w:themeColor="text1"/>
        </w:rPr>
      </w:pPr>
      <w:r w:rsidRPr="00734A50">
        <w:rPr>
          <w:rFonts w:ascii="Calibri" w:eastAsia="Calibri" w:hAnsi="Calibri" w:cs="Calibri"/>
          <w:color w:val="000000" w:themeColor="text1"/>
        </w:rPr>
        <w:t xml:space="preserve">The </w:t>
      </w:r>
      <w:r w:rsidR="00F008C5" w:rsidRPr="00734A50">
        <w:rPr>
          <w:rFonts w:ascii="Calibri" w:eastAsia="Calibri" w:hAnsi="Calibri" w:cs="Calibri"/>
          <w:color w:val="000000" w:themeColor="text1"/>
        </w:rPr>
        <w:t>ITE quality assurance</w:t>
      </w:r>
      <w:r w:rsidR="00025CB2" w:rsidRPr="00734A50">
        <w:rPr>
          <w:rFonts w:ascii="Calibri" w:eastAsia="Calibri" w:hAnsi="Calibri" w:cs="Calibri"/>
          <w:color w:val="000000" w:themeColor="text1"/>
        </w:rPr>
        <w:t xml:space="preserve"> </w:t>
      </w:r>
      <w:r w:rsidR="00F51EED" w:rsidRPr="00734A50">
        <w:rPr>
          <w:rFonts w:ascii="Calibri" w:eastAsia="Calibri" w:hAnsi="Calibri" w:cs="Calibri"/>
          <w:color w:val="000000" w:themeColor="text1"/>
        </w:rPr>
        <w:t>b</w:t>
      </w:r>
      <w:r w:rsidR="00CC6F6B" w:rsidRPr="00734A50">
        <w:rPr>
          <w:rFonts w:ascii="Calibri" w:eastAsia="Calibri" w:hAnsi="Calibri" w:cs="Calibri"/>
          <w:color w:val="000000" w:themeColor="text1"/>
        </w:rPr>
        <w:t>oard</w:t>
      </w:r>
      <w:r w:rsidR="00025CB2" w:rsidRPr="00734A50">
        <w:rPr>
          <w:rFonts w:ascii="Calibri" w:eastAsia="Calibri" w:hAnsi="Calibri" w:cs="Calibri"/>
          <w:color w:val="000000" w:themeColor="text1"/>
        </w:rPr>
        <w:t xml:space="preserve"> </w:t>
      </w:r>
      <w:r w:rsidRPr="00734A50">
        <w:rPr>
          <w:rFonts w:ascii="Calibri" w:eastAsia="Calibri" w:hAnsi="Calibri" w:cs="Calibri"/>
          <w:color w:val="000000" w:themeColor="text1"/>
        </w:rPr>
        <w:t xml:space="preserve">(discussed in Chapter 1) would undertake thematic reviews of ITE best practice in areas agreed to by Education Ministers. </w:t>
      </w:r>
      <w:r w:rsidR="00CD568E" w:rsidRPr="00734A50">
        <w:rPr>
          <w:rFonts w:ascii="Calibri" w:eastAsia="Calibri" w:hAnsi="Calibri" w:cs="Calibri"/>
          <w:color w:val="000000" w:themeColor="text1"/>
        </w:rPr>
        <w:t xml:space="preserve">This </w:t>
      </w:r>
      <w:r w:rsidR="0051000E" w:rsidRPr="00734A50">
        <w:rPr>
          <w:rFonts w:ascii="Calibri" w:eastAsia="Calibri" w:hAnsi="Calibri" w:cs="Calibri"/>
          <w:color w:val="000000" w:themeColor="text1"/>
        </w:rPr>
        <w:t>could</w:t>
      </w:r>
      <w:r w:rsidR="00CD568E" w:rsidRPr="00734A50">
        <w:rPr>
          <w:rFonts w:ascii="Calibri" w:eastAsia="Calibri" w:hAnsi="Calibri" w:cs="Calibri"/>
          <w:color w:val="000000" w:themeColor="text1"/>
        </w:rPr>
        <w:t xml:space="preserve"> be used to identify higher education providers </w:t>
      </w:r>
      <w:r w:rsidR="00E8395E" w:rsidRPr="00734A50">
        <w:rPr>
          <w:rFonts w:ascii="Calibri" w:eastAsia="Calibri" w:hAnsi="Calibri" w:cs="Calibri"/>
          <w:color w:val="000000" w:themeColor="text1"/>
        </w:rPr>
        <w:t xml:space="preserve">undertaking successful approaches to improve the quality of their ITE programs. </w:t>
      </w:r>
      <w:r w:rsidRPr="00734A50">
        <w:rPr>
          <w:rFonts w:ascii="Calibri" w:eastAsia="Calibri" w:hAnsi="Calibri" w:cs="Calibri"/>
          <w:color w:val="000000" w:themeColor="text1"/>
        </w:rPr>
        <w:t>For example, the Panel’s survey of final</w:t>
      </w:r>
      <w:r w:rsidR="00702495"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year ITE students reveals </w:t>
      </w:r>
      <w:r w:rsidR="003422FD" w:rsidRPr="00734A50">
        <w:rPr>
          <w:rFonts w:ascii="Calibri" w:eastAsia="Calibri" w:hAnsi="Calibri" w:cs="Calibri"/>
          <w:color w:val="000000" w:themeColor="text1"/>
        </w:rPr>
        <w:t>around half</w:t>
      </w:r>
      <w:r w:rsidRPr="00734A50">
        <w:rPr>
          <w:rFonts w:ascii="Calibri" w:eastAsia="Calibri" w:hAnsi="Calibri" w:cs="Calibri"/>
          <w:color w:val="000000" w:themeColor="text1"/>
        </w:rPr>
        <w:t xml:space="preserve"> agreed they had many opportunities to use assessment to evaluate </w:t>
      </w:r>
      <w:r w:rsidR="00702495" w:rsidRPr="00734A50">
        <w:rPr>
          <w:rFonts w:ascii="Calibri" w:eastAsia="Calibri" w:hAnsi="Calibri" w:cs="Calibri"/>
          <w:color w:val="000000" w:themeColor="text1"/>
        </w:rPr>
        <w:t xml:space="preserve">their </w:t>
      </w:r>
      <w:r w:rsidRPr="00734A50">
        <w:rPr>
          <w:rFonts w:ascii="Calibri" w:eastAsia="Calibri" w:hAnsi="Calibri" w:cs="Calibri"/>
          <w:color w:val="000000" w:themeColor="text1"/>
        </w:rPr>
        <w:t xml:space="preserve">students’ progress, adjust instruction and provide targeted feedback in classrooms. The </w:t>
      </w:r>
      <w:r w:rsidR="0039624D" w:rsidRPr="00734A50">
        <w:rPr>
          <w:rFonts w:ascii="Calibri" w:eastAsia="Calibri" w:hAnsi="Calibri" w:cs="Calibri"/>
          <w:color w:val="000000" w:themeColor="text1"/>
        </w:rPr>
        <w:t>ITE</w:t>
      </w:r>
      <w:r w:rsidRPr="00734A50">
        <w:rPr>
          <w:rFonts w:ascii="Calibri" w:eastAsia="Calibri" w:hAnsi="Calibri" w:cs="Calibri"/>
          <w:color w:val="000000" w:themeColor="text1"/>
        </w:rPr>
        <w:t xml:space="preserve"> </w:t>
      </w:r>
      <w:r w:rsidR="00FB55C8" w:rsidRPr="00734A50">
        <w:rPr>
          <w:rFonts w:ascii="Calibri" w:eastAsia="Calibri" w:hAnsi="Calibri" w:cs="Calibri"/>
          <w:color w:val="000000" w:themeColor="text1"/>
        </w:rPr>
        <w:t>quality assurance</w:t>
      </w:r>
      <w:r w:rsidR="00025CB2" w:rsidRPr="00734A50">
        <w:rPr>
          <w:rFonts w:ascii="Calibri" w:eastAsia="Calibri" w:hAnsi="Calibri" w:cs="Calibri"/>
          <w:color w:val="000000" w:themeColor="text1"/>
        </w:rPr>
        <w:t xml:space="preserve"> </w:t>
      </w:r>
      <w:r w:rsidR="00CC6F6B" w:rsidRPr="00734A50">
        <w:rPr>
          <w:rFonts w:ascii="Calibri" w:eastAsia="Calibri" w:hAnsi="Calibri" w:cs="Calibri"/>
          <w:color w:val="000000" w:themeColor="text1"/>
        </w:rPr>
        <w:t>board</w:t>
      </w:r>
      <w:r w:rsidRPr="00734A50">
        <w:rPr>
          <w:rFonts w:ascii="Calibri" w:eastAsia="Calibri" w:hAnsi="Calibri" w:cs="Calibri"/>
          <w:color w:val="000000" w:themeColor="text1"/>
        </w:rPr>
        <w:t xml:space="preserve"> could review how ITE programs teach assessment and which higher education providers are successfully delivering this in their ITE programs. </w:t>
      </w:r>
    </w:p>
    <w:p w14:paraId="14AAC84A" w14:textId="77777777" w:rsidR="008038EC" w:rsidRPr="00734A50" w:rsidRDefault="00FC168C" w:rsidP="03430AD8">
      <w:pPr>
        <w:spacing w:after="0"/>
        <w:rPr>
          <w:rFonts w:ascii="Calibri" w:eastAsia="Calibri" w:hAnsi="Calibri" w:cs="Arial"/>
        </w:rPr>
      </w:pPr>
      <w:r w:rsidRPr="00734A50">
        <w:rPr>
          <w:rFonts w:ascii="Calibri" w:eastAsia="Calibri" w:hAnsi="Calibri" w:cs="Calibri"/>
          <w:color w:val="000000" w:themeColor="text1"/>
        </w:rPr>
        <w:t>T</w:t>
      </w:r>
      <w:r w:rsidR="1DEBB868" w:rsidRPr="00734A50">
        <w:rPr>
          <w:rFonts w:ascii="Calibri" w:eastAsia="Calibri" w:hAnsi="Calibri" w:cs="Calibri"/>
          <w:color w:val="000000" w:themeColor="text1"/>
        </w:rPr>
        <w:t>he</w:t>
      </w:r>
      <w:r w:rsidR="008563B1" w:rsidRPr="00734A50">
        <w:rPr>
          <w:rFonts w:ascii="Calibri" w:eastAsia="Calibri" w:hAnsi="Calibri" w:cs="Calibri"/>
          <w:color w:val="000000" w:themeColor="text1"/>
        </w:rPr>
        <w:t xml:space="preserve"> Excellence Fund could provide grant funding </w:t>
      </w:r>
      <w:r w:rsidR="00C9675F" w:rsidRPr="00734A50">
        <w:rPr>
          <w:rFonts w:ascii="Calibri" w:eastAsia="Calibri" w:hAnsi="Calibri" w:cs="Calibri"/>
          <w:color w:val="000000" w:themeColor="text1"/>
        </w:rPr>
        <w:t>(up to $2.5 million) to these higher education</w:t>
      </w:r>
      <w:r w:rsidR="00BB268B" w:rsidRPr="00734A50">
        <w:rPr>
          <w:rFonts w:ascii="Calibri" w:eastAsia="Calibri" w:hAnsi="Calibri" w:cs="Calibri"/>
          <w:color w:val="000000" w:themeColor="text1"/>
        </w:rPr>
        <w:t xml:space="preserve"> providers to share their successful </w:t>
      </w:r>
      <w:r w:rsidR="00C9675F" w:rsidRPr="00734A50">
        <w:rPr>
          <w:rFonts w:ascii="Calibri" w:eastAsia="Calibri" w:hAnsi="Calibri" w:cs="Calibri"/>
          <w:color w:val="000000" w:themeColor="text1"/>
        </w:rPr>
        <w:t>approaches</w:t>
      </w:r>
      <w:r w:rsidR="00BB268B" w:rsidRPr="00734A50">
        <w:rPr>
          <w:rFonts w:ascii="Calibri" w:eastAsia="Calibri" w:hAnsi="Calibri" w:cs="Calibri"/>
          <w:color w:val="000000" w:themeColor="text1"/>
        </w:rPr>
        <w:t xml:space="preserve"> for improving </w:t>
      </w:r>
      <w:r w:rsidR="00C9675F" w:rsidRPr="00734A50">
        <w:rPr>
          <w:rFonts w:ascii="Calibri" w:eastAsia="Calibri" w:hAnsi="Calibri" w:cs="Calibri"/>
          <w:color w:val="000000" w:themeColor="text1"/>
        </w:rPr>
        <w:t xml:space="preserve">the quality of </w:t>
      </w:r>
      <w:r w:rsidR="00BB268B" w:rsidRPr="00734A50">
        <w:rPr>
          <w:rFonts w:ascii="Calibri" w:eastAsia="Calibri" w:hAnsi="Calibri" w:cs="Calibri"/>
          <w:color w:val="000000" w:themeColor="text1"/>
        </w:rPr>
        <w:t>ITE programs</w:t>
      </w:r>
      <w:r w:rsidR="00AA1061" w:rsidRPr="00734A50">
        <w:rPr>
          <w:rFonts w:ascii="Calibri" w:eastAsia="Calibri" w:hAnsi="Calibri" w:cs="Calibri"/>
          <w:color w:val="000000" w:themeColor="text1"/>
        </w:rPr>
        <w:t xml:space="preserve"> in these key areas.</w:t>
      </w:r>
      <w:r w:rsidR="79C70A96" w:rsidRPr="00734A50">
        <w:rPr>
          <w:rFonts w:ascii="Calibri" w:eastAsia="Calibri" w:hAnsi="Calibri" w:cs="Calibri"/>
          <w:color w:val="000000" w:themeColor="text1"/>
        </w:rPr>
        <w:t xml:space="preserve"> </w:t>
      </w:r>
      <w:r w:rsidR="79C70A96" w:rsidRPr="00734A50">
        <w:rPr>
          <w:rFonts w:ascii="Calibri" w:eastAsia="Calibri" w:hAnsi="Calibri" w:cs="Arial"/>
        </w:rPr>
        <w:t>This could include activities such as:</w:t>
      </w:r>
    </w:p>
    <w:p w14:paraId="76D273A1" w14:textId="220EF267" w:rsidR="008038EC" w:rsidRPr="00734A50" w:rsidRDefault="007404CE" w:rsidP="00553516">
      <w:pPr>
        <w:pStyle w:val="ListBullet"/>
        <w:numPr>
          <w:ilvl w:val="0"/>
          <w:numId w:val="216"/>
        </w:numPr>
        <w:spacing w:after="200"/>
        <w:ind w:left="357" w:hanging="357"/>
      </w:pPr>
      <w:r w:rsidRPr="00734A50">
        <w:t>h</w:t>
      </w:r>
      <w:r w:rsidR="79C70A96" w:rsidRPr="00734A50">
        <w:t>igh</w:t>
      </w:r>
      <w:r w:rsidR="00702495" w:rsidRPr="00734A50">
        <w:t>-</w:t>
      </w:r>
      <w:r w:rsidR="79C70A96" w:rsidRPr="00734A50">
        <w:t xml:space="preserve">performing providers mentoring </w:t>
      </w:r>
      <w:r w:rsidR="3771889E" w:rsidRPr="00734A50">
        <w:t>other</w:t>
      </w:r>
      <w:r w:rsidR="7FEA496A" w:rsidRPr="00734A50">
        <w:t xml:space="preserve"> providers (</w:t>
      </w:r>
      <w:r w:rsidR="4B6DDD3F" w:rsidRPr="00734A50">
        <w:t>La Trobe University submission)</w:t>
      </w:r>
    </w:p>
    <w:p w14:paraId="02AAE2E6" w14:textId="43CDCFE7" w:rsidR="00311255" w:rsidRPr="00734A50" w:rsidRDefault="007404CE" w:rsidP="00553516">
      <w:pPr>
        <w:pStyle w:val="ListBullet"/>
        <w:numPr>
          <w:ilvl w:val="0"/>
          <w:numId w:val="216"/>
        </w:numPr>
        <w:spacing w:after="200"/>
        <w:ind w:left="357" w:hanging="357"/>
      </w:pPr>
      <w:r w:rsidRPr="00734A50">
        <w:t>s</w:t>
      </w:r>
      <w:r w:rsidR="00311255" w:rsidRPr="00734A50">
        <w:t>howcasing successful mentorship models for students (Macquarie University submission)</w:t>
      </w:r>
    </w:p>
    <w:p w14:paraId="70CF4B52" w14:textId="23FDB861" w:rsidR="00311255" w:rsidRPr="00734A50" w:rsidRDefault="007404CE" w:rsidP="00553516">
      <w:pPr>
        <w:pStyle w:val="ListBullet"/>
        <w:numPr>
          <w:ilvl w:val="0"/>
          <w:numId w:val="216"/>
        </w:numPr>
        <w:spacing w:after="200"/>
        <w:ind w:left="357" w:hanging="357"/>
      </w:pPr>
      <w:r w:rsidRPr="00734A50">
        <w:t>s</w:t>
      </w:r>
      <w:r w:rsidR="00311255" w:rsidRPr="00734A50">
        <w:t>eed funding to incentivise collaboration and communities of practice (NSW Department of Education submission).</w:t>
      </w:r>
    </w:p>
    <w:p w14:paraId="70C79CC8" w14:textId="08C544B2" w:rsidR="7FA92BCB" w:rsidRPr="00734A50" w:rsidRDefault="00CF7DED" w:rsidP="3DF59451">
      <w:pPr>
        <w:spacing w:after="0"/>
        <w:rPr>
          <w:rFonts w:ascii="Calibri" w:eastAsia="Calibri" w:hAnsi="Calibri" w:cs="Calibri"/>
          <w:color w:val="000000" w:themeColor="text1"/>
          <w:lang w:val="en-GB"/>
        </w:rPr>
      </w:pPr>
      <w:r w:rsidRPr="00734A50">
        <w:rPr>
          <w:rFonts w:ascii="Calibri" w:eastAsia="Calibri" w:hAnsi="Calibri" w:cs="Calibri"/>
          <w:color w:val="000000" w:themeColor="text1"/>
        </w:rPr>
        <w:t>The Excellence Fund</w:t>
      </w:r>
      <w:r w:rsidR="7FA92BCB" w:rsidRPr="00734A50">
        <w:rPr>
          <w:rFonts w:ascii="Calibri" w:eastAsia="Calibri" w:hAnsi="Calibri" w:cs="Calibri"/>
          <w:color w:val="000000" w:themeColor="text1"/>
        </w:rPr>
        <w:t xml:space="preserve"> </w:t>
      </w:r>
      <w:r w:rsidR="00847A93" w:rsidRPr="00734A50">
        <w:rPr>
          <w:rFonts w:ascii="Calibri" w:eastAsia="Calibri" w:hAnsi="Calibri" w:cs="Calibri"/>
          <w:color w:val="000000" w:themeColor="text1"/>
        </w:rPr>
        <w:t xml:space="preserve">should </w:t>
      </w:r>
      <w:r w:rsidR="7FA92BCB" w:rsidRPr="00734A50">
        <w:rPr>
          <w:rFonts w:ascii="Calibri" w:eastAsia="Calibri" w:hAnsi="Calibri" w:cs="Calibri"/>
          <w:color w:val="000000" w:themeColor="text1"/>
        </w:rPr>
        <w:t>follow the same criteria as the Transition Fund for the principles, eligibility, assessment, allocation and reporting</w:t>
      </w:r>
      <w:r w:rsidR="00847A93" w:rsidRPr="00734A50">
        <w:rPr>
          <w:rFonts w:ascii="Calibri" w:eastAsia="Calibri" w:hAnsi="Calibri" w:cs="Calibri"/>
          <w:color w:val="000000" w:themeColor="text1"/>
        </w:rPr>
        <w:t>, such as</w:t>
      </w:r>
      <w:r w:rsidR="008565AD">
        <w:rPr>
          <w:rFonts w:ascii="Calibri" w:eastAsia="Calibri" w:hAnsi="Calibri" w:cs="Calibri"/>
          <w:color w:val="000000" w:themeColor="text1"/>
        </w:rPr>
        <w:t xml:space="preserve"> requiring providers to</w:t>
      </w:r>
      <w:r w:rsidR="7FA92BCB" w:rsidRPr="00734A50">
        <w:rPr>
          <w:rFonts w:ascii="Calibri" w:eastAsia="Calibri" w:hAnsi="Calibri" w:cs="Calibri"/>
          <w:color w:val="000000" w:themeColor="text1"/>
        </w:rPr>
        <w:t>:</w:t>
      </w:r>
    </w:p>
    <w:p w14:paraId="01B7031C" w14:textId="2AA60F31" w:rsidR="7FA92BCB" w:rsidRPr="00734A50" w:rsidRDefault="00847A93" w:rsidP="00553516">
      <w:pPr>
        <w:pStyle w:val="ListBullet"/>
        <w:numPr>
          <w:ilvl w:val="0"/>
          <w:numId w:val="216"/>
        </w:numPr>
        <w:spacing w:after="200"/>
        <w:ind w:left="357" w:hanging="357"/>
      </w:pPr>
      <w:r w:rsidRPr="00734A50">
        <w:t>a</w:t>
      </w:r>
      <w:r w:rsidR="7FA92BCB" w:rsidRPr="00734A50">
        <w:t xml:space="preserve">pply for grant funding with a proposal for how they would implement the initiative </w:t>
      </w:r>
      <w:r w:rsidR="009E3E09" w:rsidRPr="00734A50">
        <w:t xml:space="preserve">to </w:t>
      </w:r>
      <w:r w:rsidR="00702495" w:rsidRPr="00734A50">
        <w:t xml:space="preserve">raise the performance of </w:t>
      </w:r>
      <w:r w:rsidR="009E3E09" w:rsidRPr="00734A50">
        <w:t>the</w:t>
      </w:r>
      <w:r w:rsidR="7FA92BCB" w:rsidRPr="00734A50">
        <w:t xml:space="preserve"> ITE </w:t>
      </w:r>
      <w:r w:rsidR="009E3E09" w:rsidRPr="00734A50">
        <w:t>sector</w:t>
      </w:r>
    </w:p>
    <w:p w14:paraId="2826C5D1" w14:textId="35786D4C" w:rsidR="7FA92BCB" w:rsidRPr="00734A50" w:rsidRDefault="00847A93" w:rsidP="00553516">
      <w:pPr>
        <w:pStyle w:val="ListBullet"/>
        <w:numPr>
          <w:ilvl w:val="0"/>
          <w:numId w:val="216"/>
        </w:numPr>
        <w:spacing w:after="200"/>
        <w:ind w:left="357" w:hanging="357"/>
      </w:pPr>
      <w:r w:rsidRPr="00734A50">
        <w:t>d</w:t>
      </w:r>
      <w:r w:rsidR="7FA92BCB" w:rsidRPr="00734A50">
        <w:t>emonstra</w:t>
      </w:r>
      <w:r w:rsidR="00BE462D">
        <w:t>te</w:t>
      </w:r>
      <w:r w:rsidR="7FA92BCB" w:rsidRPr="00734A50">
        <w:t xml:space="preserve"> the need for funding, the expected impact of the proposed initiative for their ITE program and how they </w:t>
      </w:r>
      <w:r w:rsidR="00291DDE" w:rsidRPr="00734A50">
        <w:t>would</w:t>
      </w:r>
      <w:r w:rsidR="7FA92BCB" w:rsidRPr="00734A50">
        <w:t xml:space="preserve"> measure success</w:t>
      </w:r>
    </w:p>
    <w:p w14:paraId="1923107A" w14:textId="40ED0360" w:rsidR="2E0FAB1F" w:rsidRPr="00734A50" w:rsidRDefault="00A317EC" w:rsidP="00553516">
      <w:pPr>
        <w:pStyle w:val="ListBullet"/>
        <w:numPr>
          <w:ilvl w:val="0"/>
          <w:numId w:val="216"/>
        </w:numPr>
        <w:spacing w:after="200"/>
        <w:ind w:left="357" w:hanging="357"/>
      </w:pPr>
      <w:r w:rsidRPr="00734A50">
        <w:t xml:space="preserve">report how </w:t>
      </w:r>
      <w:r w:rsidR="00BE462D">
        <w:t>the funded initiative</w:t>
      </w:r>
      <w:r w:rsidR="00BE462D" w:rsidRPr="00734A50">
        <w:t xml:space="preserve"> </w:t>
      </w:r>
      <w:r w:rsidRPr="00734A50">
        <w:t xml:space="preserve">has supported </w:t>
      </w:r>
      <w:r w:rsidR="0087007C" w:rsidRPr="00734A50">
        <w:t xml:space="preserve">the ITE sector in improving </w:t>
      </w:r>
      <w:r w:rsidR="00E30440" w:rsidRPr="00734A50">
        <w:t>quality</w:t>
      </w:r>
      <w:r w:rsidR="7FA92BCB" w:rsidRPr="00734A50">
        <w:t>.</w:t>
      </w:r>
    </w:p>
    <w:p w14:paraId="379CB2F3" w14:textId="2D33A056" w:rsidR="00123C6C" w:rsidRPr="00734A50" w:rsidRDefault="00123C6C" w:rsidP="00E73BBF">
      <w:pPr>
        <w:pStyle w:val="Heading3"/>
      </w:pPr>
      <w:bookmarkStart w:id="77" w:name="_Toc139366648"/>
      <w:r w:rsidRPr="00734A50">
        <w:lastRenderedPageBreak/>
        <w:t>2.</w:t>
      </w:r>
      <w:r w:rsidR="009831C0" w:rsidRPr="00734A50">
        <w:t>7</w:t>
      </w:r>
      <w:r w:rsidRPr="00734A50">
        <w:t xml:space="preserve"> </w:t>
      </w:r>
      <w:r w:rsidR="00DE6486" w:rsidRPr="00734A50">
        <w:t>Further options</w:t>
      </w:r>
      <w:r w:rsidRPr="00734A50">
        <w:t xml:space="preserve"> considered by the Panel</w:t>
      </w:r>
      <w:bookmarkEnd w:id="77"/>
    </w:p>
    <w:p w14:paraId="15E232DC" w14:textId="35EAD16F" w:rsidR="008C3E84" w:rsidRPr="00734A50" w:rsidRDefault="00123C6C" w:rsidP="00E73BBF">
      <w:pPr>
        <w:rPr>
          <w:rFonts w:ascii="Calibri" w:eastAsia="Calibri" w:hAnsi="Calibri" w:cs="Arial"/>
        </w:rPr>
      </w:pPr>
      <w:r w:rsidRPr="00734A50">
        <w:rPr>
          <w:rFonts w:ascii="Calibri" w:eastAsia="Calibri" w:hAnsi="Calibri" w:cs="Arial"/>
        </w:rPr>
        <w:t xml:space="preserve">The Panel also considered two existing </w:t>
      </w:r>
      <w:r w:rsidR="00B253ED" w:rsidRPr="00734A50">
        <w:rPr>
          <w:rFonts w:ascii="Calibri" w:eastAsia="Calibri" w:hAnsi="Calibri" w:cs="Arial"/>
        </w:rPr>
        <w:t xml:space="preserve">Commonwealth </w:t>
      </w:r>
      <w:r w:rsidRPr="00734A50">
        <w:rPr>
          <w:rFonts w:ascii="Calibri" w:eastAsia="Calibri" w:hAnsi="Calibri" w:cs="Arial"/>
        </w:rPr>
        <w:t xml:space="preserve">policy levers that </w:t>
      </w:r>
      <w:r w:rsidR="00E13AE6" w:rsidRPr="00734A50">
        <w:rPr>
          <w:rFonts w:ascii="Calibri" w:eastAsia="Calibri" w:hAnsi="Calibri" w:cs="Arial"/>
        </w:rPr>
        <w:t xml:space="preserve">the </w:t>
      </w:r>
      <w:r w:rsidR="52ED1321" w:rsidRPr="00734A50">
        <w:rPr>
          <w:rFonts w:ascii="Calibri" w:eastAsia="Calibri" w:hAnsi="Calibri" w:cs="Arial"/>
        </w:rPr>
        <w:t>Australian Government</w:t>
      </w:r>
      <w:r w:rsidR="00E13AE6" w:rsidRPr="00734A50">
        <w:rPr>
          <w:rFonts w:ascii="Calibri" w:eastAsia="Calibri" w:hAnsi="Calibri" w:cs="Arial"/>
        </w:rPr>
        <w:t xml:space="preserve"> </w:t>
      </w:r>
      <w:r w:rsidR="00702495" w:rsidRPr="00734A50">
        <w:rPr>
          <w:rFonts w:ascii="Calibri" w:eastAsia="Calibri" w:hAnsi="Calibri" w:cs="Arial"/>
        </w:rPr>
        <w:t xml:space="preserve">could pursue </w:t>
      </w:r>
      <w:r w:rsidR="00E13AE6" w:rsidRPr="00734A50">
        <w:rPr>
          <w:rFonts w:ascii="Calibri" w:eastAsia="Calibri" w:hAnsi="Calibri" w:cs="Arial"/>
        </w:rPr>
        <w:t xml:space="preserve">to </w:t>
      </w:r>
      <w:r w:rsidR="008C3E84" w:rsidRPr="00734A50">
        <w:rPr>
          <w:rFonts w:ascii="Calibri" w:eastAsia="Calibri" w:hAnsi="Calibri" w:cs="Arial"/>
        </w:rPr>
        <w:t xml:space="preserve">drive quality </w:t>
      </w:r>
      <w:r w:rsidR="47D7C2A3" w:rsidRPr="00734A50">
        <w:rPr>
          <w:rFonts w:ascii="Calibri" w:eastAsia="Calibri" w:hAnsi="Calibri" w:cs="Arial"/>
        </w:rPr>
        <w:t>improvements in</w:t>
      </w:r>
      <w:r w:rsidR="008C3E84" w:rsidRPr="00734A50">
        <w:rPr>
          <w:rFonts w:ascii="Calibri" w:eastAsia="Calibri" w:hAnsi="Calibri" w:cs="Arial"/>
        </w:rPr>
        <w:t xml:space="preserve"> ITE programs</w:t>
      </w:r>
      <w:r w:rsidR="36C129FE" w:rsidRPr="00734A50">
        <w:rPr>
          <w:rFonts w:ascii="Calibri" w:eastAsia="Calibri" w:hAnsi="Calibri" w:cs="Arial"/>
        </w:rPr>
        <w:t xml:space="preserve">: mission-based compacts and </w:t>
      </w:r>
      <w:r w:rsidR="70BC9E5B" w:rsidRPr="00734A50">
        <w:rPr>
          <w:rFonts w:ascii="Calibri" w:eastAsia="Calibri" w:hAnsi="Calibri" w:cs="Arial"/>
        </w:rPr>
        <w:t>Comm</w:t>
      </w:r>
      <w:r w:rsidR="36C129FE" w:rsidRPr="00734A50">
        <w:rPr>
          <w:rFonts w:ascii="Calibri" w:eastAsia="Calibri" w:hAnsi="Calibri" w:cs="Arial"/>
        </w:rPr>
        <w:t>onwealth Supported Places (CSPs)</w:t>
      </w:r>
      <w:r w:rsidR="6AE6BF9F" w:rsidRPr="00734A50">
        <w:rPr>
          <w:rFonts w:ascii="Calibri" w:eastAsia="Calibri" w:hAnsi="Calibri" w:cs="Arial"/>
        </w:rPr>
        <w:t>.</w:t>
      </w:r>
      <w:r w:rsidR="008C3E84" w:rsidRPr="00734A50">
        <w:rPr>
          <w:rFonts w:ascii="Calibri" w:eastAsia="Calibri" w:hAnsi="Calibri" w:cs="Arial"/>
        </w:rPr>
        <w:t xml:space="preserve"> </w:t>
      </w:r>
    </w:p>
    <w:p w14:paraId="129A9FF5" w14:textId="3DD8BA8E" w:rsidR="00BC476A" w:rsidRPr="00734A50" w:rsidRDefault="00123C6C" w:rsidP="6D5F349D">
      <w:pPr>
        <w:pStyle w:val="Heading4"/>
      </w:pPr>
      <w:r w:rsidRPr="00734A50">
        <w:t>2.</w:t>
      </w:r>
      <w:r w:rsidR="009831C0" w:rsidRPr="00734A50">
        <w:t>7</w:t>
      </w:r>
      <w:r w:rsidRPr="00734A50">
        <w:t>.1 Mission-based compacts</w:t>
      </w:r>
    </w:p>
    <w:p w14:paraId="6F64B5E7" w14:textId="4C9BDDD9" w:rsidR="00123C6C" w:rsidRDefault="00123C6C" w:rsidP="6D5F349D">
      <w:pPr>
        <w:rPr>
          <w:rFonts w:ascii="Calibri" w:eastAsia="Calibri" w:hAnsi="Calibri" w:cs="Arial"/>
        </w:rPr>
      </w:pPr>
      <w:r w:rsidRPr="00734A50">
        <w:rPr>
          <w:rFonts w:ascii="Calibri" w:eastAsia="Calibri" w:hAnsi="Calibri" w:cs="Arial"/>
        </w:rPr>
        <w:t xml:space="preserve">Higher education </w:t>
      </w:r>
      <w:r w:rsidRPr="00734A50">
        <w:t>providers</w:t>
      </w:r>
      <w:r w:rsidRPr="00734A50">
        <w:rPr>
          <w:rFonts w:ascii="Calibri" w:eastAsia="Calibri" w:hAnsi="Calibri" w:cs="Arial"/>
        </w:rPr>
        <w:t xml:space="preserve"> could be held more accountable for their performance through Commonwealth agreements with each provider, called mission-based compacts (compacts). Compacts provide an avenue for the Australian Government to negotiate with higher education providers on improving areas of underperformance and outlining strategies for how they will improve. </w:t>
      </w:r>
    </w:p>
    <w:p w14:paraId="4E1B96AB" w14:textId="77777777" w:rsidR="00D67B5D" w:rsidRDefault="00D67B5D" w:rsidP="00D67B5D">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Pr>
          <w:b/>
          <w:bCs/>
        </w:rPr>
        <w:t>Mission-based compact agreements</w:t>
      </w:r>
    </w:p>
    <w:p w14:paraId="13700573" w14:textId="6E68E73F" w:rsidR="00D67B5D" w:rsidRPr="0060616C" w:rsidRDefault="00D67B5D" w:rsidP="00D67B5D">
      <w:pPr>
        <w:pBdr>
          <w:top w:val="single" w:sz="4" w:space="1" w:color="auto"/>
          <w:left w:val="single" w:sz="4" w:space="4" w:color="auto"/>
          <w:bottom w:val="single" w:sz="4" w:space="1" w:color="auto"/>
          <w:right w:val="single" w:sz="4" w:space="4" w:color="auto"/>
        </w:pBdr>
        <w:shd w:val="clear" w:color="auto" w:fill="FECF52" w:themeFill="accent2"/>
        <w:rPr>
          <w:rFonts w:ascii="Calibri" w:eastAsia="Calibri" w:hAnsi="Calibri" w:cs="Arial"/>
        </w:rPr>
      </w:pPr>
      <w:r w:rsidRPr="00777E6A">
        <w:rPr>
          <w:rFonts w:ascii="Calibri" w:eastAsia="Calibri" w:hAnsi="Calibri" w:cs="Arial"/>
        </w:rPr>
        <w:t>Mission-based compacts provide an avenue for enhanced provider accountability for the performance of ITE programs.</w:t>
      </w:r>
      <w:r>
        <w:rPr>
          <w:rFonts w:ascii="Calibri" w:eastAsia="Calibri" w:hAnsi="Calibri" w:cs="Arial"/>
        </w:rPr>
        <w:t xml:space="preserve"> </w:t>
      </w:r>
      <w:r>
        <w:t xml:space="preserve">Compacts </w:t>
      </w:r>
      <w:r w:rsidRPr="00777E6A">
        <w:rPr>
          <w:rFonts w:ascii="Calibri" w:eastAsia="Calibri" w:hAnsi="Calibri" w:cs="Arial"/>
        </w:rPr>
        <w:t>are one of the quality and accountability requirements that providers must enter into to receive grant funding. The purpose of compacts is to provide a strategic framework that outline</w:t>
      </w:r>
      <w:r>
        <w:rPr>
          <w:rFonts w:ascii="Calibri" w:eastAsia="Calibri" w:hAnsi="Calibri" w:cs="Arial"/>
        </w:rPr>
        <w:t>s</w:t>
      </w:r>
      <w:r w:rsidRPr="00777E6A">
        <w:rPr>
          <w:rFonts w:ascii="Calibri" w:eastAsia="Calibri" w:hAnsi="Calibri" w:cs="Arial"/>
        </w:rPr>
        <w:t xml:space="preserve"> how each provider’s distinctive mission aligns with the Commonwealth’s goals for higher education, innovation, teaching and learning, research and equity. This makes higher education providers accountable for their strategies in meeting Commonwealth policy priorities.</w:t>
      </w:r>
    </w:p>
    <w:p w14:paraId="6385A80C" w14:textId="0DC19F5C" w:rsidR="00123C6C" w:rsidRPr="00734A50" w:rsidRDefault="00123C6C" w:rsidP="00123C6C">
      <w:pPr>
        <w:rPr>
          <w:rFonts w:ascii="Calibri" w:eastAsia="Calibri" w:hAnsi="Calibri" w:cs="Arial"/>
        </w:rPr>
      </w:pPr>
      <w:r w:rsidRPr="00734A50">
        <w:rPr>
          <w:rFonts w:ascii="Calibri" w:eastAsia="Calibri" w:hAnsi="Calibri" w:cs="Arial"/>
        </w:rPr>
        <w:t xml:space="preserve">The Australian Government could consider including ITE as a national priority area in compacts, </w:t>
      </w:r>
      <w:r w:rsidR="006906D1" w:rsidRPr="00734A50">
        <w:rPr>
          <w:rFonts w:ascii="Calibri" w:eastAsia="Calibri" w:hAnsi="Calibri" w:cs="Arial"/>
        </w:rPr>
        <w:t xml:space="preserve">subject </w:t>
      </w:r>
      <w:r w:rsidR="00947AB0" w:rsidRPr="00734A50">
        <w:rPr>
          <w:rFonts w:ascii="Calibri" w:eastAsia="Calibri" w:hAnsi="Calibri" w:cs="Arial"/>
        </w:rPr>
        <w:t xml:space="preserve">to </w:t>
      </w:r>
      <w:r w:rsidR="00FE53A2" w:rsidRPr="00734A50">
        <w:rPr>
          <w:rFonts w:ascii="Calibri" w:eastAsia="Calibri" w:hAnsi="Calibri" w:cs="Arial"/>
        </w:rPr>
        <w:t>any</w:t>
      </w:r>
      <w:r w:rsidR="00947AB0" w:rsidRPr="00734A50">
        <w:rPr>
          <w:rFonts w:ascii="Calibri" w:eastAsia="Calibri" w:hAnsi="Calibri" w:cs="Arial"/>
        </w:rPr>
        <w:t xml:space="preserve"> </w:t>
      </w:r>
      <w:r w:rsidR="00AD4967" w:rsidRPr="00734A50">
        <w:rPr>
          <w:rFonts w:ascii="Calibri" w:eastAsia="Calibri" w:hAnsi="Calibri" w:cs="Arial"/>
        </w:rPr>
        <w:t xml:space="preserve">outcomes from the Universities Accord on the role of compacts. </w:t>
      </w:r>
      <w:r w:rsidRPr="00734A50">
        <w:rPr>
          <w:rFonts w:ascii="Calibri" w:eastAsia="Calibri" w:hAnsi="Calibri" w:cs="Arial"/>
        </w:rPr>
        <w:t xml:space="preserve">This would make explicit the Australian Government’s objective for improving the performance of ITE programs and the </w:t>
      </w:r>
      <w:r w:rsidR="00925B8E" w:rsidRPr="00734A50">
        <w:rPr>
          <w:rFonts w:ascii="Calibri" w:eastAsia="Calibri" w:hAnsi="Calibri" w:cs="Arial"/>
        </w:rPr>
        <w:t xml:space="preserve">supply </w:t>
      </w:r>
      <w:r w:rsidRPr="00734A50">
        <w:rPr>
          <w:rFonts w:ascii="Calibri" w:eastAsia="Calibri" w:hAnsi="Calibri" w:cs="Arial"/>
        </w:rPr>
        <w:t>pipeline of beginning teachers.</w:t>
      </w:r>
    </w:p>
    <w:p w14:paraId="198CBE03" w14:textId="762E7D8C" w:rsidR="00123C6C" w:rsidRPr="00734A50" w:rsidRDefault="00123C6C" w:rsidP="00123C6C">
      <w:pPr>
        <w:rPr>
          <w:rFonts w:ascii="Calibri" w:eastAsia="Calibri" w:hAnsi="Calibri" w:cs="Arial"/>
        </w:rPr>
      </w:pPr>
      <w:r w:rsidRPr="00734A50">
        <w:rPr>
          <w:rFonts w:ascii="Calibri" w:eastAsia="Calibri" w:hAnsi="Calibri" w:cs="Arial"/>
        </w:rPr>
        <w:t xml:space="preserve">The compacts could specify how higher education providers </w:t>
      </w:r>
      <w:r w:rsidR="00C6603D" w:rsidRPr="00734A50">
        <w:rPr>
          <w:rFonts w:ascii="Calibri" w:eastAsia="Calibri" w:hAnsi="Calibri" w:cs="Arial"/>
        </w:rPr>
        <w:t xml:space="preserve">seek to improve </w:t>
      </w:r>
      <w:r w:rsidR="001D13ED" w:rsidRPr="00734A50">
        <w:rPr>
          <w:rFonts w:ascii="Calibri" w:eastAsia="Calibri" w:hAnsi="Calibri" w:cs="Arial"/>
        </w:rPr>
        <w:t>their ITE programs</w:t>
      </w:r>
      <w:r w:rsidRPr="00734A50">
        <w:rPr>
          <w:rFonts w:ascii="Calibri" w:eastAsia="Calibri" w:hAnsi="Calibri" w:cs="Arial"/>
        </w:rPr>
        <w:t xml:space="preserve"> against the </w:t>
      </w:r>
      <w:r w:rsidR="001D13ED" w:rsidRPr="00734A50">
        <w:rPr>
          <w:rFonts w:ascii="Calibri" w:eastAsia="Calibri" w:hAnsi="Calibri" w:cs="Arial"/>
        </w:rPr>
        <w:t>nationally consistent</w:t>
      </w:r>
      <w:r w:rsidR="00BE462D">
        <w:rPr>
          <w:rFonts w:ascii="Calibri" w:eastAsia="Calibri" w:hAnsi="Calibri" w:cs="Arial"/>
        </w:rPr>
        <w:t>,</w:t>
      </w:r>
      <w:r w:rsidR="001D13ED" w:rsidRPr="00734A50">
        <w:rPr>
          <w:rFonts w:ascii="Calibri" w:eastAsia="Calibri" w:hAnsi="Calibri" w:cs="Arial"/>
        </w:rPr>
        <w:t xml:space="preserve"> </w:t>
      </w:r>
      <w:r w:rsidR="000F6E03" w:rsidRPr="00734A50">
        <w:rPr>
          <w:rFonts w:ascii="Calibri" w:eastAsia="Calibri" w:hAnsi="Calibri" w:cs="Arial"/>
        </w:rPr>
        <w:t>transparent</w:t>
      </w:r>
      <w:r w:rsidR="001D13ED" w:rsidRPr="00734A50">
        <w:rPr>
          <w:rFonts w:ascii="Calibri" w:eastAsia="Calibri" w:hAnsi="Calibri" w:cs="Arial"/>
        </w:rPr>
        <w:t xml:space="preserve"> indicators.</w:t>
      </w:r>
      <w:r w:rsidRPr="00734A50">
        <w:rPr>
          <w:rFonts w:ascii="Calibri" w:eastAsia="Calibri" w:hAnsi="Calibri" w:cs="Arial"/>
        </w:rPr>
        <w:t xml:space="preserve"> </w:t>
      </w:r>
    </w:p>
    <w:p w14:paraId="7C339CC5" w14:textId="5CB75BD9" w:rsidR="00BC476A" w:rsidRPr="00734A50" w:rsidRDefault="00123C6C" w:rsidP="6D5F349D">
      <w:pPr>
        <w:pStyle w:val="Heading4"/>
      </w:pPr>
      <w:r w:rsidRPr="00734A50">
        <w:rPr>
          <w:bCs/>
        </w:rPr>
        <w:t>2.</w:t>
      </w:r>
      <w:r w:rsidR="009831C0" w:rsidRPr="00734A50">
        <w:rPr>
          <w:bCs/>
        </w:rPr>
        <w:t>7</w:t>
      </w:r>
      <w:r w:rsidRPr="00734A50">
        <w:rPr>
          <w:bCs/>
        </w:rPr>
        <w:t xml:space="preserve">.2 </w:t>
      </w:r>
      <w:r w:rsidRPr="00734A50">
        <w:t>Commonwealth Supported Places</w:t>
      </w:r>
    </w:p>
    <w:p w14:paraId="30EB87AC" w14:textId="3AC8942E" w:rsidR="004C7D07" w:rsidRPr="00734A50" w:rsidRDefault="00E64A35" w:rsidP="00E83B40">
      <w:pPr>
        <w:rPr>
          <w:lang w:eastAsia="en-AU"/>
        </w:rPr>
      </w:pPr>
      <w:r w:rsidRPr="00734A50">
        <w:t xml:space="preserve">The QITE Review recommended </w:t>
      </w:r>
      <w:r w:rsidR="00597F40" w:rsidRPr="00734A50">
        <w:t xml:space="preserve">allocating CSPs on the basis of ITE </w:t>
      </w:r>
      <w:r w:rsidR="00274153" w:rsidRPr="00734A50">
        <w:t>performance</w:t>
      </w:r>
      <w:r w:rsidR="00925B8E" w:rsidRPr="00734A50">
        <w:t>:</w:t>
      </w:r>
      <w:r w:rsidR="00AC3B94" w:rsidRPr="00734A50">
        <w:t xml:space="preserve"> h</w:t>
      </w:r>
      <w:r w:rsidR="00E269E5" w:rsidRPr="00734A50">
        <w:t xml:space="preserve">igher education providers </w:t>
      </w:r>
      <w:r w:rsidR="002528DE" w:rsidRPr="00734A50">
        <w:t xml:space="preserve">who meet specific performance criteria </w:t>
      </w:r>
      <w:r w:rsidR="00AC3B94" w:rsidRPr="00734A50">
        <w:t>would</w:t>
      </w:r>
      <w:r w:rsidR="002528DE" w:rsidRPr="00734A50">
        <w:t xml:space="preserve"> be rewarded by</w:t>
      </w:r>
      <w:r w:rsidR="00925B8E" w:rsidRPr="00734A50">
        <w:t xml:space="preserve"> having</w:t>
      </w:r>
      <w:r w:rsidR="002528DE" w:rsidRPr="00734A50">
        <w:t xml:space="preserve"> CSPs</w:t>
      </w:r>
      <w:r w:rsidR="005701D7" w:rsidRPr="00734A50">
        <w:t xml:space="preserve"> </w:t>
      </w:r>
      <w:r w:rsidR="00925B8E" w:rsidRPr="00734A50">
        <w:t xml:space="preserve">reallocated </w:t>
      </w:r>
      <w:r w:rsidR="005701D7" w:rsidRPr="00734A50">
        <w:t xml:space="preserve">to </w:t>
      </w:r>
      <w:r w:rsidR="00925B8E" w:rsidRPr="00734A50">
        <w:t>them</w:t>
      </w:r>
      <w:r w:rsidR="005701D7" w:rsidRPr="00734A50">
        <w:t xml:space="preserve">. </w:t>
      </w:r>
      <w:r w:rsidR="005701D7" w:rsidRPr="00734A50">
        <w:rPr>
          <w:lang w:eastAsia="en-AU"/>
        </w:rPr>
        <w:t>The Panel acknowledge</w:t>
      </w:r>
      <w:r w:rsidR="00764DC0" w:rsidRPr="00734A50">
        <w:rPr>
          <w:lang w:eastAsia="en-AU"/>
        </w:rPr>
        <w:t xml:space="preserve">s </w:t>
      </w:r>
      <w:r w:rsidR="005701D7" w:rsidRPr="00734A50">
        <w:rPr>
          <w:lang w:eastAsia="en-AU"/>
        </w:rPr>
        <w:t xml:space="preserve">that while </w:t>
      </w:r>
      <w:r w:rsidR="00764DC0" w:rsidRPr="00734A50">
        <w:rPr>
          <w:lang w:eastAsia="en-AU"/>
        </w:rPr>
        <w:t xml:space="preserve">this </w:t>
      </w:r>
      <w:r w:rsidR="009907D9" w:rsidRPr="00734A50">
        <w:rPr>
          <w:lang w:eastAsia="en-AU"/>
        </w:rPr>
        <w:t>could</w:t>
      </w:r>
      <w:r w:rsidR="00764DC0" w:rsidRPr="00734A50">
        <w:rPr>
          <w:lang w:eastAsia="en-AU"/>
        </w:rPr>
        <w:t xml:space="preserve"> provide an incentive to improve performance, </w:t>
      </w:r>
      <w:r w:rsidR="00437E7B" w:rsidRPr="00734A50">
        <w:rPr>
          <w:lang w:eastAsia="en-AU"/>
        </w:rPr>
        <w:t xml:space="preserve">linking performance to CSPs at this time </w:t>
      </w:r>
      <w:r w:rsidR="005701D7" w:rsidRPr="00734A50">
        <w:rPr>
          <w:lang w:eastAsia="en-AU"/>
        </w:rPr>
        <w:t xml:space="preserve">represents a real risk of exacerbating </w:t>
      </w:r>
      <w:r w:rsidR="00764DC0" w:rsidRPr="00734A50">
        <w:rPr>
          <w:lang w:eastAsia="en-AU"/>
        </w:rPr>
        <w:t xml:space="preserve">the </w:t>
      </w:r>
      <w:r w:rsidR="00437E7B" w:rsidRPr="00734A50">
        <w:rPr>
          <w:lang w:eastAsia="en-AU"/>
        </w:rPr>
        <w:t>national shortage of teachers</w:t>
      </w:r>
      <w:r w:rsidR="005701D7" w:rsidRPr="00734A50">
        <w:rPr>
          <w:lang w:eastAsia="en-AU"/>
        </w:rPr>
        <w:t xml:space="preserve">. </w:t>
      </w:r>
      <w:r w:rsidR="00D1537D" w:rsidRPr="00734A50">
        <w:rPr>
          <w:lang w:eastAsia="en-AU"/>
        </w:rPr>
        <w:t xml:space="preserve">Despite </w:t>
      </w:r>
      <w:r w:rsidR="004C7D07" w:rsidRPr="00734A50">
        <w:rPr>
          <w:lang w:eastAsia="en-AU"/>
        </w:rPr>
        <w:t>growing demand for teachers</w:t>
      </w:r>
      <w:r w:rsidR="009F24D0" w:rsidRPr="00734A50">
        <w:rPr>
          <w:lang w:eastAsia="en-AU"/>
        </w:rPr>
        <w:t>,</w:t>
      </w:r>
      <w:r w:rsidR="004C7D07" w:rsidRPr="00734A50">
        <w:rPr>
          <w:lang w:eastAsia="en-AU"/>
        </w:rPr>
        <w:t xml:space="preserve"> the number of beginning teachers entering the profession </w:t>
      </w:r>
      <w:r w:rsidR="00B55916" w:rsidRPr="00734A50">
        <w:rPr>
          <w:lang w:eastAsia="en-AU"/>
        </w:rPr>
        <w:t>has decline</w:t>
      </w:r>
      <w:r w:rsidR="00A13C7D" w:rsidRPr="00734A50">
        <w:rPr>
          <w:lang w:eastAsia="en-AU"/>
        </w:rPr>
        <w:t>d</w:t>
      </w:r>
      <w:r w:rsidR="00B55916" w:rsidRPr="00734A50">
        <w:rPr>
          <w:lang w:eastAsia="en-AU"/>
        </w:rPr>
        <w:t xml:space="preserve"> by 12 per cent since</w:t>
      </w:r>
      <w:r w:rsidR="008F3CCE" w:rsidRPr="00734A50">
        <w:rPr>
          <w:lang w:eastAsia="en-AU"/>
        </w:rPr>
        <w:t xml:space="preserve"> 2017</w:t>
      </w:r>
      <w:r w:rsidR="004C7D07" w:rsidRPr="00734A50">
        <w:rPr>
          <w:lang w:eastAsia="en-AU"/>
        </w:rPr>
        <w:t>.</w:t>
      </w:r>
      <w:r w:rsidR="00610335" w:rsidRPr="00734A50">
        <w:rPr>
          <w:rStyle w:val="FootnoteReference"/>
          <w:lang w:eastAsia="en-AU"/>
        </w:rPr>
        <w:footnoteReference w:id="11"/>
      </w:r>
      <w:r w:rsidR="004C7D07" w:rsidRPr="00734A50">
        <w:rPr>
          <w:lang w:eastAsia="en-AU"/>
        </w:rPr>
        <w:t xml:space="preserve"> </w:t>
      </w:r>
    </w:p>
    <w:p w14:paraId="596FDD3A" w14:textId="6F1BFFCF" w:rsidR="003719A9" w:rsidRPr="00734A50" w:rsidRDefault="00BA5DD9" w:rsidP="002632E8">
      <w:pPr>
        <w:textAlignment w:val="baseline"/>
        <w:rPr>
          <w:rFonts w:ascii="Calibri" w:eastAsia="Calibri" w:hAnsi="Calibri" w:cs="Calibri"/>
        </w:rPr>
      </w:pPr>
      <w:r w:rsidRPr="00734A50">
        <w:rPr>
          <w:rFonts w:ascii="Calibri" w:eastAsia="Calibri" w:hAnsi="Calibri" w:cs="Calibri"/>
          <w:lang w:eastAsia="en-AU"/>
        </w:rPr>
        <w:t>T</w:t>
      </w:r>
      <w:r w:rsidR="005701D7" w:rsidRPr="00734A50">
        <w:rPr>
          <w:rFonts w:ascii="Calibri" w:eastAsia="Calibri" w:hAnsi="Calibri" w:cs="Calibri"/>
          <w:lang w:eastAsia="en-AU"/>
        </w:rPr>
        <w:t xml:space="preserve">here is no guarantee that increasing places at some </w:t>
      </w:r>
      <w:r w:rsidR="00C45275" w:rsidRPr="00734A50">
        <w:rPr>
          <w:rFonts w:ascii="Calibri" w:eastAsia="Calibri" w:hAnsi="Calibri" w:cs="Calibri"/>
          <w:lang w:eastAsia="en-AU"/>
        </w:rPr>
        <w:t>higher education providers</w:t>
      </w:r>
      <w:r w:rsidR="005701D7" w:rsidRPr="00734A50">
        <w:rPr>
          <w:rFonts w:ascii="Calibri" w:eastAsia="Calibri" w:hAnsi="Calibri" w:cs="Calibri"/>
          <w:lang w:eastAsia="en-AU"/>
        </w:rPr>
        <w:t xml:space="preserve"> would balance out the loss of students at another institution</w:t>
      </w:r>
      <w:r w:rsidR="00510729" w:rsidRPr="00734A50">
        <w:rPr>
          <w:rFonts w:ascii="Calibri" w:eastAsia="Calibri" w:hAnsi="Calibri" w:cs="Calibri"/>
          <w:lang w:eastAsia="en-AU"/>
        </w:rPr>
        <w:t>,</w:t>
      </w:r>
      <w:r w:rsidR="005701D7" w:rsidRPr="00734A50">
        <w:rPr>
          <w:rFonts w:ascii="Calibri" w:eastAsia="Calibri" w:hAnsi="Calibri" w:cs="Calibri"/>
          <w:lang w:eastAsia="en-AU"/>
        </w:rPr>
        <w:t xml:space="preserve"> or that </w:t>
      </w:r>
      <w:r w:rsidR="005701D7" w:rsidRPr="00734A50">
        <w:rPr>
          <w:rFonts w:ascii="Calibri" w:eastAsia="Calibri" w:hAnsi="Calibri" w:cs="Calibri"/>
        </w:rPr>
        <w:t xml:space="preserve">all </w:t>
      </w:r>
      <w:r w:rsidR="005701D7" w:rsidRPr="00734A50">
        <w:rPr>
          <w:rFonts w:ascii="Calibri" w:eastAsia="Calibri" w:hAnsi="Calibri" w:cs="Calibri"/>
          <w:lang w:eastAsia="en-AU"/>
        </w:rPr>
        <w:t xml:space="preserve">universities </w:t>
      </w:r>
      <w:r w:rsidR="00944396" w:rsidRPr="00734A50">
        <w:rPr>
          <w:rFonts w:ascii="Calibri" w:eastAsia="Calibri" w:hAnsi="Calibri" w:cs="Calibri"/>
          <w:lang w:eastAsia="en-AU"/>
        </w:rPr>
        <w:t>would</w:t>
      </w:r>
      <w:r w:rsidR="005701D7" w:rsidRPr="00734A50">
        <w:rPr>
          <w:rFonts w:ascii="Calibri" w:eastAsia="Calibri" w:hAnsi="Calibri" w:cs="Calibri"/>
          <w:lang w:eastAsia="en-AU"/>
        </w:rPr>
        <w:t xml:space="preserve"> offer</w:t>
      </w:r>
      <w:r w:rsidRPr="00734A50">
        <w:rPr>
          <w:rFonts w:ascii="Calibri" w:eastAsia="Calibri" w:hAnsi="Calibri" w:cs="Calibri"/>
          <w:lang w:eastAsia="en-AU"/>
        </w:rPr>
        <w:t xml:space="preserve"> these students</w:t>
      </w:r>
      <w:r w:rsidR="005701D7" w:rsidRPr="00734A50">
        <w:rPr>
          <w:rFonts w:ascii="Calibri" w:eastAsia="Calibri" w:hAnsi="Calibri" w:cs="Calibri"/>
          <w:lang w:eastAsia="en-AU"/>
        </w:rPr>
        <w:t xml:space="preserve"> </w:t>
      </w:r>
      <w:r w:rsidR="003B07AB" w:rsidRPr="00734A50">
        <w:rPr>
          <w:rFonts w:ascii="Calibri" w:eastAsia="Calibri" w:hAnsi="Calibri" w:cs="Calibri"/>
          <w:lang w:eastAsia="en-AU"/>
        </w:rPr>
        <w:t>a place at their institution</w:t>
      </w:r>
      <w:r w:rsidR="005701D7" w:rsidRPr="00734A50">
        <w:rPr>
          <w:rFonts w:ascii="Calibri" w:eastAsia="Calibri" w:hAnsi="Calibri" w:cs="Calibri"/>
          <w:lang w:eastAsia="en-AU"/>
        </w:rPr>
        <w:t>.</w:t>
      </w:r>
      <w:r w:rsidR="00304F2F" w:rsidRPr="00734A50">
        <w:rPr>
          <w:rFonts w:ascii="Calibri" w:eastAsia="Calibri" w:hAnsi="Calibri" w:cs="Calibri"/>
          <w:lang w:eastAsia="en-AU"/>
        </w:rPr>
        <w:t xml:space="preserve"> </w:t>
      </w:r>
      <w:r w:rsidR="00662E8D" w:rsidRPr="00734A50">
        <w:rPr>
          <w:rFonts w:ascii="Calibri" w:eastAsia="Calibri" w:hAnsi="Calibri" w:cs="Calibri"/>
        </w:rPr>
        <w:t>Allocating places to particular higher education providers may not align with student preferences</w:t>
      </w:r>
      <w:r w:rsidR="00C45275" w:rsidRPr="00734A50">
        <w:rPr>
          <w:rFonts w:ascii="Calibri" w:eastAsia="Calibri" w:hAnsi="Calibri" w:cs="Calibri"/>
        </w:rPr>
        <w:t>,</w:t>
      </w:r>
      <w:r w:rsidR="00662E8D" w:rsidRPr="00734A50">
        <w:rPr>
          <w:rFonts w:ascii="Calibri" w:eastAsia="Calibri" w:hAnsi="Calibri" w:cs="Calibri"/>
          <w:lang w:eastAsia="en-AU"/>
        </w:rPr>
        <w:t xml:space="preserve"> as</w:t>
      </w:r>
      <w:r w:rsidR="00304F2F" w:rsidRPr="00734A50">
        <w:rPr>
          <w:rFonts w:ascii="Calibri" w:eastAsia="Calibri" w:hAnsi="Calibri" w:cs="Calibri"/>
          <w:lang w:eastAsia="en-AU"/>
        </w:rPr>
        <w:t xml:space="preserve"> </w:t>
      </w:r>
      <w:r w:rsidR="0039614A" w:rsidRPr="00734A50">
        <w:rPr>
          <w:rFonts w:ascii="Calibri" w:eastAsia="Calibri" w:hAnsi="Calibri" w:cs="Calibri"/>
          <w:lang w:eastAsia="en-AU"/>
        </w:rPr>
        <w:t>the majority of</w:t>
      </w:r>
      <w:r w:rsidR="00304F2F" w:rsidRPr="00734A50">
        <w:rPr>
          <w:rFonts w:ascii="Calibri" w:eastAsia="Calibri" w:hAnsi="Calibri" w:cs="Calibri"/>
          <w:lang w:eastAsia="en-AU"/>
        </w:rPr>
        <w:t xml:space="preserve"> </w:t>
      </w:r>
      <w:r w:rsidR="00304F2F" w:rsidRPr="00734A50">
        <w:rPr>
          <w:rFonts w:ascii="Calibri" w:eastAsia="Calibri" w:hAnsi="Calibri" w:cs="Calibri"/>
        </w:rPr>
        <w:t xml:space="preserve">ITE student </w:t>
      </w:r>
      <w:r w:rsidR="0039614A" w:rsidRPr="00734A50">
        <w:rPr>
          <w:rFonts w:ascii="Calibri" w:eastAsia="Calibri" w:hAnsi="Calibri" w:cs="Calibri"/>
        </w:rPr>
        <w:t xml:space="preserve">across regional and metropolitan locations </w:t>
      </w:r>
      <w:r w:rsidR="00304F2F" w:rsidRPr="00734A50">
        <w:rPr>
          <w:rFonts w:ascii="Calibri" w:eastAsia="Calibri" w:hAnsi="Calibri" w:cs="Calibri"/>
        </w:rPr>
        <w:t xml:space="preserve">only apply </w:t>
      </w:r>
      <w:r w:rsidR="000229E0" w:rsidRPr="00734A50">
        <w:rPr>
          <w:rFonts w:ascii="Calibri" w:eastAsia="Calibri" w:hAnsi="Calibri" w:cs="Calibri"/>
        </w:rPr>
        <w:t>to</w:t>
      </w:r>
      <w:r w:rsidR="00304F2F" w:rsidRPr="00734A50">
        <w:rPr>
          <w:rFonts w:ascii="Calibri" w:eastAsia="Calibri" w:hAnsi="Calibri" w:cs="Calibri"/>
        </w:rPr>
        <w:t xml:space="preserve"> one higher education provider</w:t>
      </w:r>
      <w:r w:rsidR="003719A9" w:rsidRPr="00734A50">
        <w:rPr>
          <w:rFonts w:ascii="Calibri" w:eastAsia="Calibri" w:hAnsi="Calibri" w:cs="Calibri"/>
        </w:rPr>
        <w:t>.</w:t>
      </w:r>
      <w:r w:rsidR="00E62D58" w:rsidRPr="00734A50">
        <w:rPr>
          <w:rFonts w:ascii="Calibri" w:eastAsia="Calibri" w:hAnsi="Calibri" w:cs="Calibri"/>
        </w:rPr>
        <w:t xml:space="preserve"> </w:t>
      </w:r>
      <w:r w:rsidR="001C12DE" w:rsidRPr="00734A50">
        <w:rPr>
          <w:rFonts w:ascii="Calibri" w:eastAsia="Calibri" w:hAnsi="Calibri" w:cs="Calibri"/>
        </w:rPr>
        <w:t xml:space="preserve">This </w:t>
      </w:r>
      <w:r w:rsidR="006E1871" w:rsidRPr="00734A50">
        <w:rPr>
          <w:rFonts w:ascii="Calibri" w:eastAsia="Calibri" w:hAnsi="Calibri" w:cs="Calibri"/>
        </w:rPr>
        <w:t>could</w:t>
      </w:r>
      <w:r w:rsidR="001C12DE" w:rsidRPr="00734A50">
        <w:rPr>
          <w:rFonts w:ascii="Calibri" w:eastAsia="Calibri" w:hAnsi="Calibri" w:cs="Calibri"/>
        </w:rPr>
        <w:t xml:space="preserve"> </w:t>
      </w:r>
      <w:r w:rsidR="00440519" w:rsidRPr="00734A50">
        <w:rPr>
          <w:rFonts w:ascii="Calibri" w:eastAsia="Calibri" w:hAnsi="Calibri" w:cs="Calibri"/>
        </w:rPr>
        <w:t xml:space="preserve">negatively impact local teacher workforce needs, </w:t>
      </w:r>
      <w:r w:rsidR="00157274" w:rsidRPr="00734A50">
        <w:rPr>
          <w:rFonts w:ascii="Calibri" w:eastAsia="Times New Roman" w:hAnsi="Calibri" w:cs="Calibri"/>
          <w:color w:val="000000" w:themeColor="text1"/>
          <w:lang w:eastAsia="en-AU"/>
        </w:rPr>
        <w:t>as ITE students tend to work in the same locations where they studied.</w:t>
      </w:r>
      <w:r w:rsidR="00CC1A7E" w:rsidRPr="00734A50">
        <w:rPr>
          <w:rFonts w:ascii="Calibri" w:eastAsia="Times New Roman" w:hAnsi="Calibri" w:cs="Calibri"/>
          <w:color w:val="000000" w:themeColor="text1"/>
          <w:lang w:eastAsia="en-AU"/>
        </w:rPr>
        <w:t xml:space="preserve"> </w:t>
      </w:r>
    </w:p>
    <w:p w14:paraId="1D8C13C3" w14:textId="09649FA8" w:rsidR="009808BA" w:rsidRPr="00734A50" w:rsidRDefault="000321E1" w:rsidP="002632E8">
      <w:pPr>
        <w:textAlignment w:val="baseline"/>
        <w:rPr>
          <w:rFonts w:ascii="Calibri" w:eastAsia="Calibri" w:hAnsi="Calibri" w:cs="Calibri"/>
        </w:rPr>
      </w:pPr>
      <w:r w:rsidRPr="00734A50">
        <w:rPr>
          <w:rFonts w:ascii="Calibri" w:eastAsia="Calibri" w:hAnsi="Calibri" w:cs="Calibri"/>
        </w:rPr>
        <w:lastRenderedPageBreak/>
        <w:t xml:space="preserve">Higher education providers may </w:t>
      </w:r>
      <w:r w:rsidR="00511860" w:rsidRPr="00734A50">
        <w:rPr>
          <w:rFonts w:ascii="Calibri" w:eastAsia="Calibri" w:hAnsi="Calibri" w:cs="Calibri"/>
        </w:rPr>
        <w:t xml:space="preserve">also not have a strong </w:t>
      </w:r>
      <w:r w:rsidR="008D55D2" w:rsidRPr="00734A50">
        <w:rPr>
          <w:rFonts w:ascii="Calibri" w:eastAsia="Calibri" w:hAnsi="Calibri" w:cs="Calibri"/>
        </w:rPr>
        <w:t>incentive to offer additional ITE places</w:t>
      </w:r>
      <w:r w:rsidR="00892239" w:rsidRPr="00734A50">
        <w:rPr>
          <w:rFonts w:ascii="Calibri" w:eastAsia="Calibri" w:hAnsi="Calibri" w:cs="Calibri"/>
        </w:rPr>
        <w:t xml:space="preserve">. </w:t>
      </w:r>
      <w:r w:rsidR="0074678E" w:rsidRPr="00734A50">
        <w:rPr>
          <w:rFonts w:ascii="Calibri" w:eastAsia="Calibri" w:hAnsi="Calibri" w:cs="Calibri"/>
        </w:rPr>
        <w:t xml:space="preserve">Base funding for </w:t>
      </w:r>
      <w:r w:rsidR="00A13C7D" w:rsidRPr="00734A50">
        <w:rPr>
          <w:rFonts w:ascii="Calibri" w:eastAsia="Calibri" w:hAnsi="Calibri" w:cs="Calibri"/>
        </w:rPr>
        <w:t>e</w:t>
      </w:r>
      <w:r w:rsidR="0074678E" w:rsidRPr="00734A50">
        <w:rPr>
          <w:rFonts w:ascii="Calibri" w:eastAsia="Calibri" w:hAnsi="Calibri" w:cs="Calibri"/>
        </w:rPr>
        <w:t xml:space="preserve">ducation </w:t>
      </w:r>
      <w:r w:rsidR="00A13C7D" w:rsidRPr="00734A50">
        <w:rPr>
          <w:rFonts w:ascii="Calibri" w:eastAsia="Calibri" w:hAnsi="Calibri" w:cs="Calibri"/>
        </w:rPr>
        <w:t>c</w:t>
      </w:r>
      <w:r w:rsidR="0074678E" w:rsidRPr="00734A50">
        <w:rPr>
          <w:rFonts w:ascii="Calibri" w:eastAsia="Calibri" w:hAnsi="Calibri" w:cs="Calibri"/>
        </w:rPr>
        <w:t xml:space="preserve">ourses declined </w:t>
      </w:r>
      <w:r w:rsidR="00B1627D" w:rsidRPr="00734A50">
        <w:rPr>
          <w:rFonts w:ascii="Calibri" w:eastAsia="Calibri" w:hAnsi="Calibri" w:cs="Calibri"/>
        </w:rPr>
        <w:t xml:space="preserve">under the </w:t>
      </w:r>
      <w:r w:rsidR="009808BA" w:rsidRPr="00734A50">
        <w:rPr>
          <w:rFonts w:ascii="Calibri" w:eastAsia="Calibri" w:hAnsi="Calibri" w:cs="Calibri"/>
        </w:rPr>
        <w:t>Job Ready Graduate</w:t>
      </w:r>
      <w:r w:rsidR="00D27197" w:rsidRPr="00734A50">
        <w:rPr>
          <w:rFonts w:ascii="Calibri" w:eastAsia="Calibri" w:hAnsi="Calibri" w:cs="Calibri"/>
        </w:rPr>
        <w:t>s</w:t>
      </w:r>
      <w:r w:rsidR="009808BA" w:rsidRPr="00734A50">
        <w:rPr>
          <w:rFonts w:ascii="Calibri" w:eastAsia="Calibri" w:hAnsi="Calibri" w:cs="Calibri"/>
        </w:rPr>
        <w:t xml:space="preserve"> </w:t>
      </w:r>
      <w:r w:rsidR="00D27197" w:rsidRPr="00734A50">
        <w:rPr>
          <w:rFonts w:ascii="Calibri" w:eastAsia="Calibri" w:hAnsi="Calibri" w:cs="Calibri"/>
        </w:rPr>
        <w:t>package</w:t>
      </w:r>
      <w:r w:rsidR="009808BA" w:rsidRPr="00734A50">
        <w:rPr>
          <w:rFonts w:ascii="Calibri" w:eastAsia="Calibri" w:hAnsi="Calibri" w:cs="Calibri"/>
        </w:rPr>
        <w:t xml:space="preserve">, </w:t>
      </w:r>
      <w:r w:rsidR="00DB0BED" w:rsidRPr="00734A50">
        <w:rPr>
          <w:rFonts w:ascii="Calibri" w:eastAsia="Times New Roman" w:hAnsi="Calibri" w:cs="Calibri"/>
          <w:color w:val="000000" w:themeColor="text1"/>
          <w:lang w:eastAsia="en-AU"/>
        </w:rPr>
        <w:t>due to the significant reduction in student contributions (</w:t>
      </w:r>
      <w:r w:rsidR="00C5153B" w:rsidRPr="00734A50">
        <w:rPr>
          <w:rFonts w:ascii="Calibri" w:eastAsia="Times New Roman" w:hAnsi="Calibri" w:cs="Calibri"/>
          <w:color w:val="000000" w:themeColor="text1"/>
          <w:lang w:eastAsia="en-AU"/>
        </w:rPr>
        <w:t xml:space="preserve">base funding </w:t>
      </w:r>
      <w:r w:rsidR="00DA049C" w:rsidRPr="00734A50">
        <w:rPr>
          <w:rFonts w:ascii="Calibri" w:eastAsia="Times New Roman" w:hAnsi="Calibri" w:cs="Calibri"/>
          <w:color w:val="000000" w:themeColor="text1"/>
          <w:lang w:eastAsia="en-AU"/>
        </w:rPr>
        <w:t xml:space="preserve">declined </w:t>
      </w:r>
      <w:r w:rsidR="00DB0BED" w:rsidRPr="00734A50">
        <w:rPr>
          <w:rFonts w:ascii="Calibri" w:eastAsia="Times New Roman" w:hAnsi="Calibri" w:cs="Calibri"/>
          <w:color w:val="000000" w:themeColor="text1"/>
          <w:lang w:eastAsia="en-AU"/>
        </w:rPr>
        <w:t xml:space="preserve">from $18,430 in 2020 to $17,354 in 2021 in 2022 dollars). </w:t>
      </w:r>
      <w:r w:rsidR="005C5183" w:rsidRPr="00734A50">
        <w:rPr>
          <w:rFonts w:ascii="Calibri" w:eastAsia="Times New Roman" w:hAnsi="Calibri" w:cs="Calibri"/>
          <w:color w:val="000000" w:themeColor="text1"/>
          <w:lang w:eastAsia="en-AU"/>
        </w:rPr>
        <w:t xml:space="preserve">This is lower than </w:t>
      </w:r>
      <w:r w:rsidR="00D56478" w:rsidRPr="00734A50">
        <w:rPr>
          <w:rFonts w:ascii="Calibri" w:eastAsia="Times New Roman" w:hAnsi="Calibri" w:cs="Calibri"/>
          <w:color w:val="000000" w:themeColor="text1"/>
          <w:lang w:eastAsia="en-AU"/>
        </w:rPr>
        <w:t xml:space="preserve">the </w:t>
      </w:r>
      <w:r w:rsidR="00916650" w:rsidRPr="00734A50">
        <w:rPr>
          <w:rFonts w:ascii="Calibri" w:eastAsia="Times New Roman" w:hAnsi="Calibri" w:cs="Calibri"/>
          <w:color w:val="000000" w:themeColor="text1"/>
          <w:lang w:eastAsia="en-AU"/>
        </w:rPr>
        <w:t xml:space="preserve">estimated teaching cost </w:t>
      </w:r>
      <w:r w:rsidR="00A13C7D" w:rsidRPr="00734A50">
        <w:rPr>
          <w:rFonts w:ascii="Calibri" w:eastAsia="Times New Roman" w:hAnsi="Calibri" w:cs="Calibri"/>
          <w:color w:val="000000" w:themeColor="text1"/>
          <w:lang w:eastAsia="en-AU"/>
        </w:rPr>
        <w:t xml:space="preserve">of </w:t>
      </w:r>
      <w:r w:rsidR="00A13C7D" w:rsidRPr="00734A50">
        <w:t xml:space="preserve">$18,629 </w:t>
      </w:r>
      <w:r w:rsidR="00916650" w:rsidRPr="00734A50">
        <w:rPr>
          <w:rFonts w:ascii="Calibri" w:eastAsia="Times New Roman" w:hAnsi="Calibri" w:cs="Calibri"/>
          <w:color w:val="000000" w:themeColor="text1"/>
          <w:lang w:eastAsia="en-AU"/>
        </w:rPr>
        <w:t xml:space="preserve">for delivering postgraduate </w:t>
      </w:r>
      <w:r w:rsidR="00D56478" w:rsidRPr="00734A50">
        <w:rPr>
          <w:rFonts w:ascii="Calibri" w:eastAsia="Times New Roman" w:hAnsi="Calibri" w:cs="Calibri"/>
          <w:color w:val="000000" w:themeColor="text1"/>
          <w:lang w:eastAsia="en-AU"/>
        </w:rPr>
        <w:t>ITE programs</w:t>
      </w:r>
      <w:r w:rsidR="0028591E" w:rsidRPr="00734A50">
        <w:t>.</w:t>
      </w:r>
    </w:p>
    <w:p w14:paraId="6DF39561" w14:textId="0B91FB03" w:rsidR="00123C6C" w:rsidRPr="00734A50" w:rsidRDefault="000F234B" w:rsidP="00123C6C">
      <w:pPr>
        <w:spacing w:after="0"/>
        <w:rPr>
          <w:rFonts w:ascii="Calibri" w:eastAsia="Calibri" w:hAnsi="Calibri" w:cs="Calibri"/>
        </w:rPr>
      </w:pPr>
      <w:r w:rsidRPr="00734A50">
        <w:rPr>
          <w:rFonts w:ascii="Calibri" w:eastAsia="Calibri" w:hAnsi="Calibri" w:cs="Calibri"/>
        </w:rPr>
        <w:t xml:space="preserve">Stakeholders </w:t>
      </w:r>
      <w:r w:rsidR="005703A2" w:rsidRPr="00734A50">
        <w:rPr>
          <w:rFonts w:ascii="Calibri" w:eastAsia="Calibri" w:hAnsi="Calibri" w:cs="Calibri"/>
        </w:rPr>
        <w:t xml:space="preserve">raised </w:t>
      </w:r>
      <w:r w:rsidR="002624FC" w:rsidRPr="00734A50">
        <w:rPr>
          <w:rFonts w:ascii="Calibri" w:eastAsia="Calibri" w:hAnsi="Calibri" w:cs="Calibri"/>
        </w:rPr>
        <w:t xml:space="preserve">further </w:t>
      </w:r>
      <w:r w:rsidR="005703A2" w:rsidRPr="00734A50">
        <w:rPr>
          <w:rFonts w:ascii="Calibri" w:eastAsia="Calibri" w:hAnsi="Calibri" w:cs="Calibri"/>
        </w:rPr>
        <w:t>c</w:t>
      </w:r>
      <w:r w:rsidR="002922B2" w:rsidRPr="00734A50">
        <w:rPr>
          <w:rFonts w:ascii="Calibri" w:eastAsia="Calibri" w:hAnsi="Calibri" w:cs="Calibri"/>
        </w:rPr>
        <w:t xml:space="preserve">oncerns </w:t>
      </w:r>
      <w:r w:rsidR="00A13C7D" w:rsidRPr="00734A50">
        <w:rPr>
          <w:rFonts w:ascii="Calibri" w:eastAsia="Calibri" w:hAnsi="Calibri" w:cs="Calibri"/>
        </w:rPr>
        <w:t xml:space="preserve">about </w:t>
      </w:r>
      <w:r w:rsidR="00776F99" w:rsidRPr="00734A50">
        <w:rPr>
          <w:rFonts w:ascii="Calibri" w:eastAsia="Calibri" w:hAnsi="Calibri" w:cs="Calibri"/>
        </w:rPr>
        <w:t xml:space="preserve">linking </w:t>
      </w:r>
      <w:r w:rsidR="00356767" w:rsidRPr="00734A50">
        <w:rPr>
          <w:rFonts w:ascii="Calibri" w:eastAsia="Calibri" w:hAnsi="Calibri" w:cs="Calibri"/>
        </w:rPr>
        <w:t>performance and funding</w:t>
      </w:r>
      <w:r w:rsidR="002922B2" w:rsidRPr="00734A50">
        <w:rPr>
          <w:rFonts w:ascii="Calibri" w:eastAsia="Calibri" w:hAnsi="Calibri" w:cs="Calibri"/>
        </w:rPr>
        <w:t>,</w:t>
      </w:r>
      <w:r w:rsidR="00214807" w:rsidRPr="00734A50">
        <w:rPr>
          <w:rFonts w:ascii="Calibri" w:eastAsia="Calibri" w:hAnsi="Calibri" w:cs="Calibri"/>
        </w:rPr>
        <w:t xml:space="preserve"> includ</w:t>
      </w:r>
      <w:r w:rsidR="002922B2" w:rsidRPr="00734A50">
        <w:rPr>
          <w:rFonts w:ascii="Calibri" w:eastAsia="Calibri" w:hAnsi="Calibri" w:cs="Calibri"/>
        </w:rPr>
        <w:t>ing</w:t>
      </w:r>
      <w:r w:rsidR="00123C6C" w:rsidRPr="00734A50">
        <w:rPr>
          <w:rFonts w:ascii="Calibri" w:eastAsia="Calibri" w:hAnsi="Calibri" w:cs="Calibri"/>
        </w:rPr>
        <w:t>:</w:t>
      </w:r>
    </w:p>
    <w:p w14:paraId="34B68E32" w14:textId="51519C4C" w:rsidR="00123C6C" w:rsidRPr="00734A50" w:rsidRDefault="00123C6C" w:rsidP="00553516">
      <w:pPr>
        <w:pStyle w:val="ListBullet"/>
        <w:numPr>
          <w:ilvl w:val="0"/>
          <w:numId w:val="216"/>
        </w:numPr>
        <w:spacing w:after="200"/>
        <w:ind w:left="357" w:hanging="357"/>
      </w:pPr>
      <w:r w:rsidRPr="00734A50">
        <w:t xml:space="preserve">Aggregating the indicators into a single measure </w:t>
      </w:r>
      <w:r w:rsidR="000D5AC8" w:rsidRPr="00734A50">
        <w:t xml:space="preserve">(which would be required </w:t>
      </w:r>
      <w:r w:rsidR="00DF6835" w:rsidRPr="00734A50">
        <w:t>for allocatin</w:t>
      </w:r>
      <w:r w:rsidR="0092274A" w:rsidRPr="00734A50">
        <w:t>g additional places</w:t>
      </w:r>
      <w:r w:rsidR="000D5AC8" w:rsidRPr="00734A50">
        <w:t>)</w:t>
      </w:r>
      <w:r w:rsidRPr="00734A50">
        <w:t xml:space="preserve"> would obscure the importance of each individual indicator </w:t>
      </w:r>
      <w:r w:rsidR="001F1896" w:rsidRPr="00734A50">
        <w:t>and</w:t>
      </w:r>
      <w:r w:rsidRPr="00734A50">
        <w:t xml:space="preserve"> require difficult and subjective judgements around how each indicator should be weighted relative to the others</w:t>
      </w:r>
      <w:r w:rsidR="00840497" w:rsidRPr="00734A50">
        <w:t>.</w:t>
      </w:r>
    </w:p>
    <w:p w14:paraId="0D542AE2" w14:textId="478A8879" w:rsidR="000B7C97" w:rsidRPr="00734A50" w:rsidRDefault="000B7C97" w:rsidP="00553516">
      <w:pPr>
        <w:pStyle w:val="ListBullet"/>
        <w:numPr>
          <w:ilvl w:val="0"/>
          <w:numId w:val="216"/>
        </w:numPr>
        <w:spacing w:after="200"/>
        <w:ind w:left="357" w:hanging="357"/>
      </w:pPr>
      <w:r w:rsidRPr="00734A50">
        <w:t xml:space="preserve">Weighting the indicators </w:t>
      </w:r>
      <w:r w:rsidR="0003345D" w:rsidRPr="00734A50">
        <w:t>may</w:t>
      </w:r>
      <w:r w:rsidRPr="00734A50">
        <w:t xml:space="preserve"> preference particular higher education providers</w:t>
      </w:r>
      <w:r w:rsidR="006A06FE" w:rsidRPr="00734A50">
        <w:t xml:space="preserve">. For example, weightings in favour of student retention and </w:t>
      </w:r>
      <w:r w:rsidR="002C17A8" w:rsidRPr="00734A50">
        <w:t xml:space="preserve">employment outcomes </w:t>
      </w:r>
      <w:r w:rsidR="004B7804" w:rsidRPr="00734A50">
        <w:t xml:space="preserve">may disadvantage </w:t>
      </w:r>
      <w:r w:rsidR="000E7455" w:rsidRPr="00734A50">
        <w:t>higher education providers</w:t>
      </w:r>
      <w:r w:rsidR="004B7804" w:rsidRPr="00734A50">
        <w:t xml:space="preserve"> serv</w:t>
      </w:r>
      <w:r w:rsidR="000E7455" w:rsidRPr="00734A50">
        <w:t>ing</w:t>
      </w:r>
      <w:r w:rsidR="004B7804" w:rsidRPr="00734A50">
        <w:t xml:space="preserve"> </w:t>
      </w:r>
      <w:r w:rsidR="000E7455" w:rsidRPr="00734A50">
        <w:t>regional</w:t>
      </w:r>
      <w:r w:rsidR="004B7804" w:rsidRPr="00734A50">
        <w:t xml:space="preserve"> </w:t>
      </w:r>
      <w:r w:rsidR="00F2755E" w:rsidRPr="00734A50">
        <w:t xml:space="preserve">and remote </w:t>
      </w:r>
      <w:r w:rsidR="004B7804" w:rsidRPr="00734A50">
        <w:t>cohorts</w:t>
      </w:r>
      <w:r w:rsidR="00165B39" w:rsidRPr="00734A50">
        <w:t>,</w:t>
      </w:r>
      <w:r w:rsidR="00C95105" w:rsidRPr="00734A50">
        <w:t xml:space="preserve"> who are essential to </w:t>
      </w:r>
      <w:r w:rsidR="000B302B" w:rsidRPr="00734A50">
        <w:t xml:space="preserve">supplying teachers in regional and remote schools. </w:t>
      </w:r>
    </w:p>
    <w:p w14:paraId="60BC5A15" w14:textId="217F808F" w:rsidR="000D5AC8" w:rsidRPr="00734A50" w:rsidRDefault="000D5AC8" w:rsidP="00553516">
      <w:pPr>
        <w:pStyle w:val="ListBullet"/>
        <w:numPr>
          <w:ilvl w:val="0"/>
          <w:numId w:val="216"/>
        </w:numPr>
        <w:spacing w:after="200"/>
        <w:ind w:left="357" w:hanging="357"/>
      </w:pPr>
      <w:r w:rsidRPr="00734A50">
        <w:t xml:space="preserve">Competition for additional places could come at the cost of collaboration between higher education providers, which may not lead to improvement for the whole ITE sector. </w:t>
      </w:r>
    </w:p>
    <w:p w14:paraId="5B136CAC" w14:textId="46DFC4F2" w:rsidR="00206F10" w:rsidRPr="00734A50" w:rsidRDefault="001F779E" w:rsidP="00206F10">
      <w:pPr>
        <w:rPr>
          <w:rFonts w:ascii="Calibri" w:eastAsia="Calibri" w:hAnsi="Calibri" w:cs="Calibri"/>
        </w:rPr>
      </w:pPr>
      <w:r w:rsidRPr="00734A50">
        <w:rPr>
          <w:rFonts w:ascii="Calibri" w:eastAsia="Calibri" w:hAnsi="Calibri" w:cs="Calibri"/>
        </w:rPr>
        <w:t xml:space="preserve">The Productivity </w:t>
      </w:r>
      <w:r w:rsidR="00373F70" w:rsidRPr="00734A50">
        <w:rPr>
          <w:rFonts w:ascii="Calibri" w:eastAsia="Calibri" w:hAnsi="Calibri" w:cs="Calibri"/>
        </w:rPr>
        <w:t>Commission</w:t>
      </w:r>
      <w:r w:rsidR="00A25ADD" w:rsidRPr="00734A50">
        <w:rPr>
          <w:rFonts w:ascii="Calibri" w:eastAsia="Calibri" w:hAnsi="Calibri" w:cs="Calibri"/>
        </w:rPr>
        <w:t xml:space="preserve"> (2023)</w:t>
      </w:r>
      <w:r w:rsidR="00233B57" w:rsidRPr="00734A50">
        <w:rPr>
          <w:rFonts w:ascii="Calibri" w:eastAsia="Calibri" w:hAnsi="Calibri" w:cs="Calibri"/>
        </w:rPr>
        <w:t xml:space="preserve"> </w:t>
      </w:r>
      <w:r w:rsidR="00B40313" w:rsidRPr="00734A50">
        <w:rPr>
          <w:rFonts w:ascii="Calibri" w:eastAsia="Calibri" w:hAnsi="Calibri" w:cs="Calibri"/>
        </w:rPr>
        <w:t>highlighted</w:t>
      </w:r>
      <w:r w:rsidR="00373F70" w:rsidRPr="00734A50">
        <w:rPr>
          <w:rFonts w:ascii="Calibri" w:eastAsia="Calibri" w:hAnsi="Calibri" w:cs="Calibri"/>
        </w:rPr>
        <w:t xml:space="preserve"> similar </w:t>
      </w:r>
      <w:r w:rsidR="00B40313" w:rsidRPr="00734A50">
        <w:rPr>
          <w:rFonts w:ascii="Calibri" w:eastAsia="Calibri" w:hAnsi="Calibri" w:cs="Calibri"/>
        </w:rPr>
        <w:t>issues with</w:t>
      </w:r>
      <w:r w:rsidR="00373F70" w:rsidRPr="00734A50">
        <w:rPr>
          <w:rFonts w:ascii="Calibri" w:eastAsia="Calibri" w:hAnsi="Calibri" w:cs="Calibri"/>
        </w:rPr>
        <w:t xml:space="preserve"> </w:t>
      </w:r>
      <w:r w:rsidRPr="00734A50">
        <w:rPr>
          <w:rFonts w:ascii="Calibri" w:eastAsia="Calibri" w:hAnsi="Calibri" w:cs="Calibri"/>
        </w:rPr>
        <w:t>performance-based funding of universities</w:t>
      </w:r>
      <w:r w:rsidR="00B177D9" w:rsidRPr="00734A50">
        <w:rPr>
          <w:rFonts w:ascii="Calibri" w:eastAsia="Calibri" w:hAnsi="Calibri" w:cs="Calibri"/>
        </w:rPr>
        <w:t xml:space="preserve"> </w:t>
      </w:r>
      <w:r w:rsidR="00D65172" w:rsidRPr="00734A50">
        <w:rPr>
          <w:rFonts w:ascii="Calibri" w:eastAsia="Calibri" w:hAnsi="Calibri" w:cs="Calibri"/>
        </w:rPr>
        <w:t>more</w:t>
      </w:r>
      <w:r w:rsidR="00B177D9" w:rsidRPr="00734A50">
        <w:rPr>
          <w:rFonts w:ascii="Calibri" w:eastAsia="Calibri" w:hAnsi="Calibri" w:cs="Calibri"/>
        </w:rPr>
        <w:t xml:space="preserve"> generally</w:t>
      </w:r>
      <w:r w:rsidR="003D3CA3" w:rsidRPr="00734A50">
        <w:rPr>
          <w:rFonts w:ascii="Calibri" w:eastAsia="Calibri" w:hAnsi="Calibri" w:cs="Calibri"/>
        </w:rPr>
        <w:t>. It</w:t>
      </w:r>
      <w:r w:rsidR="00B177D9" w:rsidRPr="00734A50">
        <w:rPr>
          <w:rFonts w:ascii="Calibri" w:eastAsia="Calibri" w:hAnsi="Calibri" w:cs="Calibri"/>
        </w:rPr>
        <w:t xml:space="preserve"> recommended</w:t>
      </w:r>
      <w:r w:rsidRPr="00734A50">
        <w:rPr>
          <w:rFonts w:ascii="Calibri" w:eastAsia="Calibri" w:hAnsi="Calibri" w:cs="Calibri"/>
        </w:rPr>
        <w:t xml:space="preserve"> instead exploring financial rewards to providers that have made successful efforts to improve their teaching quality.</w:t>
      </w:r>
      <w:r w:rsidR="00B970C8" w:rsidRPr="00734A50">
        <w:rPr>
          <w:rFonts w:ascii="Calibri" w:eastAsia="Calibri" w:hAnsi="Calibri" w:cs="Calibri"/>
        </w:rPr>
        <w:t xml:space="preserve"> This aligns to the Panel’s proposed Excellence Fund.</w:t>
      </w:r>
    </w:p>
    <w:p w14:paraId="5C816453" w14:textId="15617F4B" w:rsidR="006A127F" w:rsidRPr="00734A50" w:rsidRDefault="006A127F" w:rsidP="006A127F">
      <w:pPr>
        <w:rPr>
          <w:rFonts w:ascii="Calibri" w:eastAsia="Calibri" w:hAnsi="Calibri" w:cs="Calibri"/>
        </w:rPr>
      </w:pPr>
      <w:r w:rsidRPr="00734A50">
        <w:rPr>
          <w:rFonts w:ascii="Calibri" w:eastAsia="Calibri" w:hAnsi="Calibri" w:cs="Arial"/>
        </w:rPr>
        <w:t xml:space="preserve">The Panel does not consider it appropriate to link performance to CSPs in the present context, given the national shortage of teachers and potential risks to </w:t>
      </w:r>
      <w:r w:rsidRPr="00734A50">
        <w:t>teacher</w:t>
      </w:r>
      <w:r w:rsidRPr="00734A50">
        <w:rPr>
          <w:rFonts w:ascii="Calibri" w:eastAsia="Calibri" w:hAnsi="Calibri" w:cs="Arial"/>
        </w:rPr>
        <w:t xml:space="preserve"> supply</w:t>
      </w:r>
      <w:r w:rsidRPr="00734A50">
        <w:rPr>
          <w:rFonts w:ascii="Calibri" w:eastAsia="Calibri" w:hAnsi="Calibri" w:cs="Calibri"/>
        </w:rPr>
        <w:t xml:space="preserve">. </w:t>
      </w:r>
      <w:r w:rsidRPr="00734A50">
        <w:rPr>
          <w:rFonts w:ascii="Calibri" w:eastAsia="Calibri" w:hAnsi="Calibri" w:cs="Arial"/>
        </w:rPr>
        <w:t>While the risk of unfilled places could be managed when student demand for ITE significantly exceeds supply, higher education providers</w:t>
      </w:r>
      <w:r w:rsidR="00165B39" w:rsidRPr="00734A50">
        <w:rPr>
          <w:rFonts w:ascii="Calibri" w:eastAsia="Calibri" w:hAnsi="Calibri" w:cs="Arial"/>
        </w:rPr>
        <w:t xml:space="preserve"> are not experiencing this situation</w:t>
      </w:r>
      <w:r w:rsidRPr="00734A50">
        <w:rPr>
          <w:rFonts w:ascii="Calibri" w:eastAsia="Calibri" w:hAnsi="Calibri" w:cs="Arial"/>
        </w:rPr>
        <w:t>. The</w:t>
      </w:r>
      <w:r w:rsidRPr="00734A50">
        <w:rPr>
          <w:rFonts w:ascii="Calibri" w:eastAsia="Calibri" w:hAnsi="Calibri" w:cs="Calibri"/>
        </w:rPr>
        <w:t xml:space="preserve"> Panel is of the view that publishing nationally </w:t>
      </w:r>
      <w:r w:rsidR="001F1F83" w:rsidRPr="00734A50">
        <w:rPr>
          <w:rFonts w:ascii="Calibri" w:eastAsia="Calibri" w:hAnsi="Calibri" w:cs="Calibri"/>
        </w:rPr>
        <w:t>consistent</w:t>
      </w:r>
      <w:r w:rsidR="003021F3">
        <w:rPr>
          <w:rFonts w:ascii="Calibri" w:eastAsia="Calibri" w:hAnsi="Calibri" w:cs="Calibri"/>
        </w:rPr>
        <w:t>,</w:t>
      </w:r>
      <w:r w:rsidRPr="00734A50">
        <w:rPr>
          <w:rFonts w:ascii="Calibri" w:eastAsia="Calibri" w:hAnsi="Calibri" w:cs="Calibri"/>
        </w:rPr>
        <w:t xml:space="preserve"> transparent indicators to inform student choice would deliver a market-driven response for incentivising improved performance, without the associated teacher supply risks. The Panel’s survey of ITE students shows that </w:t>
      </w:r>
      <w:r w:rsidR="004922C5">
        <w:rPr>
          <w:rFonts w:ascii="Calibri" w:eastAsia="Calibri" w:hAnsi="Calibri" w:cs="Calibri"/>
        </w:rPr>
        <w:t>prospective ITE</w:t>
      </w:r>
      <w:r w:rsidRPr="00734A50">
        <w:rPr>
          <w:rFonts w:ascii="Calibri" w:eastAsia="Calibri" w:hAnsi="Calibri" w:cs="Calibri"/>
        </w:rPr>
        <w:t xml:space="preserve"> students would use the indicators to inform their choice of higher education provider. </w:t>
      </w:r>
      <w:r w:rsidRPr="00734A50">
        <w:rPr>
          <w:rFonts w:ascii="Calibri" w:eastAsia="Calibri" w:hAnsi="Calibri" w:cs="Arial"/>
        </w:rPr>
        <w:t>Howe</w:t>
      </w:r>
      <w:r w:rsidRPr="00734A50">
        <w:rPr>
          <w:rFonts w:ascii="Calibri" w:eastAsia="Calibri" w:hAnsi="Calibri" w:cs="Calibri"/>
        </w:rPr>
        <w:t xml:space="preserve">ver, the Panel notes that allocating CSPs on the basis of performance is an option that could be considered in the </w:t>
      </w:r>
      <w:r w:rsidR="00850BEE" w:rsidRPr="00734A50">
        <w:rPr>
          <w:rFonts w:ascii="Calibri" w:eastAsia="Calibri" w:hAnsi="Calibri" w:cs="Calibri"/>
        </w:rPr>
        <w:t>future if</w:t>
      </w:r>
      <w:r w:rsidR="00165B39" w:rsidRPr="00734A50">
        <w:rPr>
          <w:rFonts w:ascii="Calibri" w:eastAsia="Calibri" w:hAnsi="Calibri" w:cs="Calibri"/>
        </w:rPr>
        <w:t xml:space="preserve"> </w:t>
      </w:r>
      <w:r w:rsidRPr="00734A50">
        <w:rPr>
          <w:rFonts w:ascii="Calibri" w:eastAsia="Calibri" w:hAnsi="Calibri" w:cs="Calibri"/>
        </w:rPr>
        <w:t>current teacher workforce shortages improve and the associated risks to teacher supply can be effectively addressed.</w:t>
      </w:r>
    </w:p>
    <w:p w14:paraId="6AF299DE" w14:textId="77777777" w:rsidR="006A127F" w:rsidRPr="00734A50" w:rsidRDefault="006A127F" w:rsidP="006A127F">
      <w:pPr>
        <w:rPr>
          <w:rFonts w:ascii="Calibri" w:eastAsia="Calibri" w:hAnsi="Calibri" w:cs="Calibri"/>
        </w:rPr>
      </w:pPr>
      <w:r w:rsidRPr="00734A50">
        <w:rPr>
          <w:rFonts w:ascii="Calibri" w:eastAsia="Calibri" w:hAnsi="Calibri" w:cs="Calibri"/>
        </w:rPr>
        <w:t xml:space="preserve">In addition, strengthening the Accreditation Standards and Procedures would provide additional quality assurance, as higher education providers </w:t>
      </w:r>
      <w:r w:rsidRPr="00734A50">
        <w:t>who</w:t>
      </w:r>
      <w:r w:rsidRPr="00734A50">
        <w:rPr>
          <w:rFonts w:ascii="Calibri" w:eastAsia="Calibri" w:hAnsi="Calibri" w:cs="Calibri"/>
        </w:rPr>
        <w:t xml:space="preserve"> cannot meet this higher threshold would be ineligible to offer ITE programs. </w:t>
      </w:r>
    </w:p>
    <w:p w14:paraId="21E60A85" w14:textId="16417F92" w:rsidR="00513C98" w:rsidRPr="00734A50" w:rsidRDefault="00513C98" w:rsidP="00A36740">
      <w:pPr>
        <w:pStyle w:val="Heading2"/>
        <w:rPr>
          <w:color w:val="002C3E"/>
        </w:rPr>
      </w:pPr>
      <w:bookmarkStart w:id="78" w:name="_Toc139366649"/>
      <w:r w:rsidRPr="00734A50">
        <w:t xml:space="preserve">Conclusions and </w:t>
      </w:r>
      <w:r w:rsidR="00453AB9" w:rsidRPr="00734A50">
        <w:t>r</w:t>
      </w:r>
      <w:r w:rsidRPr="00734A50">
        <w:t>ecommendations</w:t>
      </w:r>
      <w:bookmarkEnd w:id="78"/>
    </w:p>
    <w:p w14:paraId="740676CD" w14:textId="30774E56" w:rsidR="002C349C" w:rsidRPr="00734A50" w:rsidRDefault="1095FF8C" w:rsidP="678B3FCC">
      <w:pPr>
        <w:rPr>
          <w:rFonts w:ascii="Calibri" w:eastAsia="Calibri" w:hAnsi="Calibri" w:cs="Arial"/>
          <w:lang w:eastAsia="en-AU"/>
        </w:rPr>
      </w:pPr>
      <w:r w:rsidRPr="00734A50">
        <w:rPr>
          <w:rFonts w:ascii="Calibri" w:eastAsia="Calibri" w:hAnsi="Calibri" w:cs="Arial"/>
          <w:lang w:eastAsia="en-AU"/>
        </w:rPr>
        <w:t>The Accreditation Standards and Procedures</w:t>
      </w:r>
      <w:r w:rsidR="437BB13D" w:rsidRPr="00734A50">
        <w:rPr>
          <w:rFonts w:ascii="Calibri" w:eastAsia="Calibri" w:hAnsi="Calibri" w:cs="Arial"/>
          <w:lang w:eastAsia="en-AU"/>
        </w:rPr>
        <w:t>,</w:t>
      </w:r>
      <w:r w:rsidRPr="00734A50">
        <w:rPr>
          <w:rFonts w:ascii="Calibri" w:eastAsia="Calibri" w:hAnsi="Calibri" w:cs="Arial"/>
          <w:lang w:eastAsia="en-AU"/>
        </w:rPr>
        <w:t xml:space="preserve"> </w:t>
      </w:r>
      <w:r w:rsidR="6D2348F3" w:rsidRPr="00734A50">
        <w:rPr>
          <w:rFonts w:ascii="Calibri" w:eastAsia="Calibri" w:hAnsi="Calibri" w:cs="Arial"/>
          <w:lang w:eastAsia="en-AU"/>
        </w:rPr>
        <w:t>while</w:t>
      </w:r>
      <w:r w:rsidRPr="00734A50">
        <w:rPr>
          <w:rFonts w:ascii="Calibri" w:eastAsia="Calibri" w:hAnsi="Calibri" w:cs="Arial"/>
          <w:lang w:eastAsia="en-AU"/>
        </w:rPr>
        <w:t xml:space="preserve"> effective in terms of enforcing standards </w:t>
      </w:r>
      <w:r w:rsidR="2BADB7FC" w:rsidRPr="00734A50">
        <w:rPr>
          <w:rFonts w:ascii="Calibri" w:eastAsia="Calibri" w:hAnsi="Calibri" w:cs="Arial"/>
          <w:lang w:eastAsia="en-AU"/>
        </w:rPr>
        <w:t>do not sufficiently recognise and encourage high perf</w:t>
      </w:r>
      <w:r w:rsidR="33303DC4" w:rsidRPr="00734A50">
        <w:rPr>
          <w:rFonts w:ascii="Calibri" w:eastAsia="Calibri" w:hAnsi="Calibri" w:cs="Arial"/>
          <w:lang w:eastAsia="en-AU"/>
        </w:rPr>
        <w:t>ormance in ITE or instil a culture of continuous improvement among higher educatio</w:t>
      </w:r>
      <w:r w:rsidR="620F2765" w:rsidRPr="00734A50">
        <w:rPr>
          <w:rFonts w:ascii="Calibri" w:eastAsia="Calibri" w:hAnsi="Calibri" w:cs="Arial"/>
          <w:lang w:eastAsia="en-AU"/>
        </w:rPr>
        <w:t>n providers</w:t>
      </w:r>
      <w:r w:rsidR="33303DC4" w:rsidRPr="00734A50">
        <w:rPr>
          <w:rFonts w:ascii="Calibri" w:eastAsia="Calibri" w:hAnsi="Calibri" w:cs="Arial"/>
          <w:lang w:eastAsia="en-AU"/>
        </w:rPr>
        <w:t xml:space="preserve">. </w:t>
      </w:r>
      <w:r w:rsidR="00BF7225" w:rsidRPr="00734A50">
        <w:rPr>
          <w:rFonts w:ascii="Calibri" w:eastAsia="Calibri" w:hAnsi="Calibri" w:cs="Arial"/>
          <w:lang w:eastAsia="en-AU"/>
        </w:rPr>
        <w:t xml:space="preserve">The Panel was asked to provide advice on defining a set of performance measures for ITE and strengthening the link between performance and funding. </w:t>
      </w:r>
    </w:p>
    <w:p w14:paraId="5C80292C" w14:textId="0DBDFF88" w:rsidR="00C854D0" w:rsidRPr="00734A50" w:rsidRDefault="0AA54E7B" w:rsidP="003425D4">
      <w:r w:rsidRPr="00734A50">
        <w:rPr>
          <w:rFonts w:ascii="Calibri" w:eastAsia="Calibri" w:hAnsi="Calibri" w:cs="Arial"/>
          <w:lang w:eastAsia="en-AU"/>
        </w:rPr>
        <w:lastRenderedPageBreak/>
        <w:t xml:space="preserve">Stakeholders </w:t>
      </w:r>
      <w:r w:rsidR="0076748D" w:rsidRPr="00734A50">
        <w:rPr>
          <w:rFonts w:ascii="Calibri" w:eastAsia="Calibri" w:hAnsi="Calibri" w:cs="Arial"/>
          <w:lang w:eastAsia="en-AU"/>
        </w:rPr>
        <w:t>broadly</w:t>
      </w:r>
      <w:r w:rsidRPr="00734A50">
        <w:rPr>
          <w:rFonts w:ascii="Calibri" w:eastAsia="Calibri" w:hAnsi="Calibri" w:cs="Arial"/>
          <w:lang w:eastAsia="en-AU"/>
        </w:rPr>
        <w:t xml:space="preserve"> supported the</w:t>
      </w:r>
      <w:r w:rsidR="06497A28" w:rsidRPr="00734A50">
        <w:rPr>
          <w:rFonts w:ascii="Calibri" w:eastAsia="Calibri" w:hAnsi="Calibri" w:cs="Arial"/>
          <w:lang w:eastAsia="en-AU"/>
        </w:rPr>
        <w:t xml:space="preserve"> case</w:t>
      </w:r>
      <w:r w:rsidRPr="00734A50">
        <w:rPr>
          <w:rFonts w:ascii="Calibri" w:eastAsia="Calibri" w:hAnsi="Calibri" w:cs="Arial"/>
          <w:lang w:eastAsia="en-AU"/>
        </w:rPr>
        <w:t xml:space="preserve"> for standardised indicators </w:t>
      </w:r>
      <w:r w:rsidR="288A6B14" w:rsidRPr="00734A50">
        <w:rPr>
          <w:rFonts w:ascii="Calibri" w:eastAsia="Calibri" w:hAnsi="Calibri" w:cs="Arial"/>
          <w:lang w:eastAsia="en-AU"/>
        </w:rPr>
        <w:t xml:space="preserve">based on principles such as international precedent, relevance to the Australian context and cost-effectiveness. </w:t>
      </w:r>
      <w:r w:rsidR="000B25C6" w:rsidRPr="00734A50">
        <w:t>The indicators represent potential areas for targeted improvement</w:t>
      </w:r>
      <w:r w:rsidR="004668EF" w:rsidRPr="00734A50">
        <w:t xml:space="preserve">; </w:t>
      </w:r>
      <w:r w:rsidR="000B25C6" w:rsidRPr="00734A50">
        <w:t>they are not targets or benchmarks</w:t>
      </w:r>
      <w:r w:rsidR="004668EF" w:rsidRPr="00734A50">
        <w:t xml:space="preserve"> and do not</w:t>
      </w:r>
      <w:r w:rsidR="000B25C6" w:rsidRPr="00734A50">
        <w:t xml:space="preserve"> prescribe </w:t>
      </w:r>
      <w:r w:rsidR="000B25C6" w:rsidRPr="005B65E7">
        <w:rPr>
          <w:iCs/>
        </w:rPr>
        <w:t>how</w:t>
      </w:r>
      <w:r w:rsidR="000B25C6" w:rsidRPr="00734A50">
        <w:t xml:space="preserve"> a higher education provider could improve. These indicators would be accompanied by relevant contextual information for each higher education provider. </w:t>
      </w:r>
    </w:p>
    <w:p w14:paraId="7C5AD42E" w14:textId="77777777" w:rsidR="005F69E7" w:rsidRPr="00734A50" w:rsidRDefault="005F69E7" w:rsidP="25FA049A">
      <w:pPr>
        <w:pStyle w:val="Recommendation2"/>
        <w:spacing w:after="0"/>
        <w:rPr>
          <w:b/>
        </w:rPr>
      </w:pPr>
      <w:r w:rsidRPr="00734A50">
        <w:rPr>
          <w:b/>
        </w:rPr>
        <w:t xml:space="preserve">Recommendation 4: Establish nationally consistent, transparent indicators </w:t>
      </w:r>
    </w:p>
    <w:p w14:paraId="438AE431" w14:textId="77777777" w:rsidR="005F69E7" w:rsidRPr="00734A50" w:rsidRDefault="005F69E7" w:rsidP="005F69E7">
      <w:pPr>
        <w:pStyle w:val="Recommendation2"/>
        <w:rPr>
          <w:color w:val="auto"/>
        </w:rPr>
      </w:pPr>
      <w:r w:rsidRPr="00734A50">
        <w:rPr>
          <w:lang w:eastAsia="en-AU"/>
        </w:rPr>
        <w:t>Education Ministers to agree to adopt an identified set of nationally consistent, transparent indicators based on the Australian Teacher Workforce Data collection</w:t>
      </w:r>
      <w:r w:rsidRPr="00734A50">
        <w:rPr>
          <w:color w:val="auto"/>
        </w:rPr>
        <w:t xml:space="preserve">. </w:t>
      </w:r>
    </w:p>
    <w:p w14:paraId="426112D4" w14:textId="36E45772" w:rsidR="005F69E7" w:rsidRPr="00734A50" w:rsidRDefault="005F69E7" w:rsidP="25FA049A">
      <w:pPr>
        <w:pStyle w:val="Recommendation2"/>
        <w:spacing w:after="0"/>
        <w:rPr>
          <w:color w:val="auto"/>
        </w:rPr>
      </w:pPr>
      <w:r w:rsidRPr="00734A50">
        <w:rPr>
          <w:color w:val="auto"/>
        </w:rPr>
        <w:t>The Panel has defined four categories of relevant nationally consistent, transparent indicators</w:t>
      </w:r>
      <w:r w:rsidRPr="00734A50">
        <w:t xml:space="preserve"> to encourage </w:t>
      </w:r>
      <w:r w:rsidR="00166F42" w:rsidRPr="00734A50">
        <w:t>higher</w:t>
      </w:r>
      <w:r w:rsidRPr="00734A50">
        <w:t xml:space="preserve"> education providers to improve the quality of programs, and inform prospective </w:t>
      </w:r>
      <w:r w:rsidR="00F7313B" w:rsidRPr="00734A50">
        <w:t>initial teach</w:t>
      </w:r>
      <w:r w:rsidR="000108D5" w:rsidRPr="00734A50">
        <w:t>er education (ITE)</w:t>
      </w:r>
      <w:r w:rsidR="00F7313B" w:rsidRPr="00734A50">
        <w:t xml:space="preserve"> </w:t>
      </w:r>
      <w:r w:rsidR="00187B90" w:rsidRPr="00734A50">
        <w:t>students</w:t>
      </w:r>
      <w:r w:rsidR="00167ABF" w:rsidRPr="00734A50">
        <w:t>’</w:t>
      </w:r>
      <w:r w:rsidR="00187B90" w:rsidRPr="00734A50">
        <w:t xml:space="preserve"> </w:t>
      </w:r>
      <w:r w:rsidRPr="00734A50">
        <w:t>choice of</w:t>
      </w:r>
      <w:r w:rsidRPr="00734A50">
        <w:rPr>
          <w:color w:val="auto"/>
        </w:rPr>
        <w:t xml:space="preserve"> programs best suited to their needs:</w:t>
      </w:r>
    </w:p>
    <w:p w14:paraId="211C1F7E" w14:textId="77777777" w:rsidR="005F69E7" w:rsidRPr="00734A50" w:rsidRDefault="005F69E7" w:rsidP="25FA049A">
      <w:pPr>
        <w:pStyle w:val="Recommendation2"/>
        <w:numPr>
          <w:ilvl w:val="0"/>
          <w:numId w:val="81"/>
        </w:numPr>
        <w:spacing w:after="0"/>
        <w:rPr>
          <w:color w:val="auto"/>
        </w:rPr>
      </w:pPr>
      <w:r w:rsidRPr="00734A50">
        <w:rPr>
          <w:b/>
        </w:rPr>
        <w:t>selection</w:t>
      </w:r>
      <w:r w:rsidRPr="00734A50">
        <w:t>: diverse, high-achieving cohorts in areas of workforce need</w:t>
      </w:r>
    </w:p>
    <w:p w14:paraId="4EF0DB65" w14:textId="77777777" w:rsidR="005F69E7" w:rsidRPr="00734A50" w:rsidRDefault="005F69E7" w:rsidP="25FA049A">
      <w:pPr>
        <w:pStyle w:val="Recommendation2"/>
        <w:numPr>
          <w:ilvl w:val="0"/>
          <w:numId w:val="81"/>
        </w:numPr>
        <w:spacing w:after="0"/>
        <w:rPr>
          <w:color w:val="auto"/>
        </w:rPr>
      </w:pPr>
      <w:r w:rsidRPr="00734A50">
        <w:rPr>
          <w:b/>
        </w:rPr>
        <w:t>retention</w:t>
      </w:r>
      <w:r w:rsidRPr="00734A50">
        <w:t xml:space="preserve">: retention of students over the duration of </w:t>
      </w:r>
      <w:r w:rsidRPr="00734A50">
        <w:rPr>
          <w:lang w:eastAsia="en-AU"/>
        </w:rPr>
        <w:t>initial teacher education</w:t>
      </w:r>
      <w:r w:rsidRPr="00734A50">
        <w:t>, from entry to graduation</w:t>
      </w:r>
    </w:p>
    <w:p w14:paraId="091D9B7E" w14:textId="2819EB5B" w:rsidR="005F69E7" w:rsidRPr="00734A50" w:rsidRDefault="005F69E7" w:rsidP="25FA049A">
      <w:pPr>
        <w:pStyle w:val="Recommendation2"/>
        <w:numPr>
          <w:ilvl w:val="0"/>
          <w:numId w:val="81"/>
        </w:numPr>
        <w:spacing w:after="0"/>
        <w:rPr>
          <w:color w:val="auto"/>
        </w:rPr>
      </w:pPr>
      <w:r w:rsidRPr="00734A50">
        <w:rPr>
          <w:b/>
          <w:bCs/>
        </w:rPr>
        <w:t>preparedness of beginning teachers</w:t>
      </w:r>
      <w:r w:rsidRPr="00734A50">
        <w:t xml:space="preserve">: perceived preparedness for entry into the teaching profession and student satisfaction with the quality of their </w:t>
      </w:r>
      <w:r w:rsidR="00A32228" w:rsidRPr="00734A50">
        <w:t>program</w:t>
      </w:r>
    </w:p>
    <w:p w14:paraId="74C37C79" w14:textId="3F6207D4" w:rsidR="00C854D0" w:rsidRPr="00734A50" w:rsidRDefault="005F69E7" w:rsidP="25FA049A">
      <w:pPr>
        <w:pStyle w:val="Recommendation2"/>
        <w:numPr>
          <w:ilvl w:val="0"/>
          <w:numId w:val="81"/>
        </w:numPr>
        <w:spacing w:after="0"/>
        <w:rPr>
          <w:b/>
        </w:rPr>
      </w:pPr>
      <w:r w:rsidRPr="00734A50">
        <w:rPr>
          <w:b/>
          <w:bCs/>
        </w:rPr>
        <w:t>transition</w:t>
      </w:r>
      <w:r w:rsidRPr="00734A50">
        <w:t>: employment outcomes of recent graduates and early career teachers.</w:t>
      </w:r>
    </w:p>
    <w:p w14:paraId="116D662E" w14:textId="75CBDE49" w:rsidR="1F9CDB21" w:rsidRPr="00734A50" w:rsidRDefault="1CC72FB6" w:rsidP="006637C6">
      <w:pPr>
        <w:spacing w:before="200"/>
      </w:pPr>
      <w:r w:rsidRPr="00734A50">
        <w:t xml:space="preserve">Establishment of nationally consistent, transparent indicators </w:t>
      </w:r>
      <w:r w:rsidR="2BF7CE57" w:rsidRPr="00734A50">
        <w:t>present</w:t>
      </w:r>
      <w:r w:rsidR="03EA409A" w:rsidRPr="00734A50">
        <w:t>s</w:t>
      </w:r>
      <w:r w:rsidRPr="00734A50">
        <w:t xml:space="preserve"> an opportunity to </w:t>
      </w:r>
      <w:r w:rsidR="0067216C" w:rsidRPr="00734A50">
        <w:t xml:space="preserve">ensure consistency </w:t>
      </w:r>
      <w:r w:rsidR="00042177" w:rsidRPr="00734A50">
        <w:t>and to streamline</w:t>
      </w:r>
      <w:r w:rsidRPr="00734A50">
        <w:t xml:space="preserve"> accreditation</w:t>
      </w:r>
      <w:r w:rsidR="4D4892BB" w:rsidRPr="00734A50">
        <w:t xml:space="preserve"> for higher education providers</w:t>
      </w:r>
      <w:r w:rsidR="00165B39" w:rsidRPr="00734A50">
        <w:t>,</w:t>
      </w:r>
      <w:r w:rsidR="0F07476D" w:rsidRPr="00734A50">
        <w:t xml:space="preserve"> as it would allow for the minimum evidence requirements in the Accreditation Standards and Procedures to be reduced from five to three requirements</w:t>
      </w:r>
      <w:r w:rsidR="1D0DE45D" w:rsidRPr="00734A50">
        <w:t>.</w:t>
      </w:r>
      <w:r w:rsidR="1B860C39" w:rsidRPr="00734A50">
        <w:t xml:space="preserve"> T</w:t>
      </w:r>
      <w:r w:rsidR="39C1B034" w:rsidRPr="00734A50">
        <w:t>he Panel observed that t</w:t>
      </w:r>
      <w:r w:rsidR="1D0DE45D" w:rsidRPr="00734A50">
        <w:t xml:space="preserve">ime and resources currently </w:t>
      </w:r>
      <w:r w:rsidR="0E5F7035" w:rsidRPr="00734A50">
        <w:t>devoted to collecting data to demonstrate the impact of ITE programs</w:t>
      </w:r>
      <w:r w:rsidR="55E75254" w:rsidRPr="00734A50">
        <w:t xml:space="preserve"> </w:t>
      </w:r>
      <w:r w:rsidR="6814CCD8" w:rsidRPr="00734A50">
        <w:t xml:space="preserve">could be </w:t>
      </w:r>
      <w:r w:rsidR="007C0E41" w:rsidRPr="00734A50">
        <w:t>spent</w:t>
      </w:r>
      <w:r w:rsidR="55E75254" w:rsidRPr="00734A50">
        <w:t xml:space="preserve"> inform</w:t>
      </w:r>
      <w:r w:rsidR="007C0E41" w:rsidRPr="00734A50">
        <w:t>ing</w:t>
      </w:r>
      <w:r w:rsidR="55E75254" w:rsidRPr="00734A50">
        <w:t xml:space="preserve"> program improvement. </w:t>
      </w:r>
    </w:p>
    <w:p w14:paraId="27D00B5F" w14:textId="2FD2E5BB" w:rsidR="005F69E7" w:rsidRPr="00734A50" w:rsidRDefault="005F69E7" w:rsidP="25FA049A">
      <w:pPr>
        <w:pStyle w:val="Recommendation2"/>
        <w:spacing w:after="0"/>
        <w:rPr>
          <w:b/>
        </w:rPr>
      </w:pPr>
      <w:r w:rsidRPr="00734A50">
        <w:rPr>
          <w:b/>
        </w:rPr>
        <w:t xml:space="preserve">Recommendation 5: </w:t>
      </w:r>
      <w:r w:rsidR="0070224C" w:rsidRPr="00734A50">
        <w:rPr>
          <w:b/>
        </w:rPr>
        <w:t>S</w:t>
      </w:r>
      <w:r w:rsidRPr="00734A50">
        <w:rPr>
          <w:b/>
        </w:rPr>
        <w:t>treamline reporting requirements in the Accreditation Standards and Procedures</w:t>
      </w:r>
    </w:p>
    <w:p w14:paraId="7350FC66" w14:textId="158C31AE" w:rsidR="005F69E7" w:rsidRPr="00734A50" w:rsidRDefault="005F69E7" w:rsidP="005F69E7">
      <w:pPr>
        <w:pStyle w:val="Recommendation2"/>
        <w:spacing w:after="0"/>
      </w:pPr>
      <w:r w:rsidRPr="00734A50">
        <w:t xml:space="preserve">Education Ministers to agree to </w:t>
      </w:r>
      <w:r w:rsidR="0070224C" w:rsidRPr="00734A50">
        <w:t>streamline</w:t>
      </w:r>
      <w:r w:rsidRPr="00734A50">
        <w:t xml:space="preserve"> the reporting requirements for higher education providers by mandating the </w:t>
      </w:r>
      <w:r w:rsidR="008252DE" w:rsidRPr="00734A50">
        <w:t xml:space="preserve">nationally consistent, transparent </w:t>
      </w:r>
      <w:r w:rsidRPr="00734A50">
        <w:t xml:space="preserve">indicators </w:t>
      </w:r>
      <w:r w:rsidR="00592966" w:rsidRPr="00734A50">
        <w:t xml:space="preserve">(Recommendation 4) </w:t>
      </w:r>
      <w:r w:rsidRPr="00734A50">
        <w:t>as key measures</w:t>
      </w:r>
      <w:r w:rsidR="008252DE" w:rsidRPr="00734A50">
        <w:t xml:space="preserve"> for demonstrating the impact of </w:t>
      </w:r>
      <w:r w:rsidR="00580776" w:rsidRPr="00734A50">
        <w:t xml:space="preserve">initial teacher education </w:t>
      </w:r>
      <w:r w:rsidR="008252DE" w:rsidRPr="00734A50">
        <w:t>programs</w:t>
      </w:r>
      <w:r w:rsidRPr="00734A50">
        <w:t>, and to explore other opportunities to streamline accreditation requirements.</w:t>
      </w:r>
    </w:p>
    <w:p w14:paraId="5D2E271D" w14:textId="42F184E5" w:rsidR="1F9CDB21" w:rsidRPr="00734A50" w:rsidRDefault="000B6026" w:rsidP="750D5626">
      <w:pPr>
        <w:spacing w:before="200" w:after="0"/>
      </w:pPr>
      <w:r w:rsidRPr="00734A50">
        <w:t xml:space="preserve">Financial incentives are a </w:t>
      </w:r>
      <w:r w:rsidR="00C54BF4" w:rsidRPr="00734A50">
        <w:t>low-risk</w:t>
      </w:r>
      <w:r w:rsidRPr="00734A50">
        <w:t xml:space="preserve"> option to </w:t>
      </w:r>
      <w:r w:rsidR="006510CA" w:rsidRPr="00734A50">
        <w:t xml:space="preserve">encourage quality improvements. </w:t>
      </w:r>
      <w:r w:rsidR="00C1513B" w:rsidRPr="00734A50">
        <w:t>T</w:t>
      </w:r>
      <w:r w:rsidR="32EB096C" w:rsidRPr="00734A50">
        <w:t>he Panel acknowledg</w:t>
      </w:r>
      <w:r w:rsidR="00C1513B" w:rsidRPr="00734A50">
        <w:t>es</w:t>
      </w:r>
      <w:r w:rsidR="32EB096C" w:rsidRPr="00734A50">
        <w:t xml:space="preserve"> th</w:t>
      </w:r>
      <w:r w:rsidR="079D88C0" w:rsidRPr="00734A50">
        <w:t xml:space="preserve">at </w:t>
      </w:r>
      <w:r w:rsidR="6F14A6C3" w:rsidRPr="00734A50">
        <w:t xml:space="preserve">improving performance can </w:t>
      </w:r>
      <w:r w:rsidR="079D88C0" w:rsidRPr="00734A50">
        <w:t>be resource</w:t>
      </w:r>
      <w:r w:rsidR="00165B39" w:rsidRPr="00734A50">
        <w:t xml:space="preserve"> </w:t>
      </w:r>
      <w:r w:rsidR="079D88C0" w:rsidRPr="00734A50">
        <w:t xml:space="preserve">intensive </w:t>
      </w:r>
      <w:r w:rsidR="490BEA42" w:rsidRPr="00734A50">
        <w:t xml:space="preserve">for higher education providers. </w:t>
      </w:r>
      <w:r w:rsidR="0DC3CC52" w:rsidRPr="00734A50">
        <w:t>H</w:t>
      </w:r>
      <w:r w:rsidR="6798FBCE" w:rsidRPr="00734A50">
        <w:t>igher</w:t>
      </w:r>
      <w:r w:rsidR="008C0F0A" w:rsidRPr="00734A50">
        <w:t xml:space="preserve"> education providers </w:t>
      </w:r>
      <w:r w:rsidR="6798FBCE" w:rsidRPr="00734A50">
        <w:t>c</w:t>
      </w:r>
      <w:r w:rsidR="7D08F518" w:rsidRPr="00734A50">
        <w:t>ould</w:t>
      </w:r>
      <w:r w:rsidR="008C0F0A" w:rsidRPr="00734A50">
        <w:t xml:space="preserve"> be supported to improve the quality of ITE programs through </w:t>
      </w:r>
      <w:r w:rsidR="079D88C0" w:rsidRPr="00734A50">
        <w:t>two distinct fund</w:t>
      </w:r>
      <w:r w:rsidR="008C0F0A" w:rsidRPr="00734A50">
        <w:t>s</w:t>
      </w:r>
      <w:r w:rsidR="079D88C0" w:rsidRPr="00734A50">
        <w:t xml:space="preserve">: </w:t>
      </w:r>
    </w:p>
    <w:p w14:paraId="67CCA7F6" w14:textId="71E5EDAD" w:rsidR="0061EE88" w:rsidRPr="00734A50" w:rsidRDefault="0061EE88" w:rsidP="00553516">
      <w:pPr>
        <w:pStyle w:val="ListBullet"/>
        <w:numPr>
          <w:ilvl w:val="0"/>
          <w:numId w:val="216"/>
        </w:numPr>
        <w:spacing w:after="200"/>
        <w:ind w:left="357" w:hanging="357"/>
      </w:pPr>
      <w:r w:rsidRPr="00734A50">
        <w:t>a short</w:t>
      </w:r>
      <w:r w:rsidR="0AF1B582" w:rsidRPr="00734A50">
        <w:t xml:space="preserve">-term transition fund to support </w:t>
      </w:r>
      <w:r w:rsidR="7477D07D" w:rsidRPr="00734A50">
        <w:t>i</w:t>
      </w:r>
      <w:r w:rsidR="1B0C2FE5" w:rsidRPr="00734A50">
        <w:t>m</w:t>
      </w:r>
      <w:r w:rsidR="7477D07D" w:rsidRPr="00734A50">
        <w:t>plementation</w:t>
      </w:r>
      <w:r w:rsidR="0AF1B582" w:rsidRPr="00734A50">
        <w:t xml:space="preserve"> of core c</w:t>
      </w:r>
      <w:r w:rsidRPr="00734A50">
        <w:t>ontent and lift performance</w:t>
      </w:r>
      <w:r w:rsidR="2C57EBBE" w:rsidRPr="00734A50">
        <w:t xml:space="preserve"> of </w:t>
      </w:r>
      <w:r w:rsidR="682861C2" w:rsidRPr="00734A50">
        <w:t>provid</w:t>
      </w:r>
      <w:r w:rsidR="2C57EBBE" w:rsidRPr="00734A50">
        <w:t>ers</w:t>
      </w:r>
      <w:r w:rsidR="07FA0DD7" w:rsidRPr="00734A50">
        <w:t xml:space="preserve">: </w:t>
      </w:r>
      <w:r w:rsidR="4BAAAE7F" w:rsidRPr="00734A50">
        <w:t>activities</w:t>
      </w:r>
      <w:r w:rsidR="52E2DC2A" w:rsidRPr="00734A50">
        <w:t xml:space="preserve"> could include developing curriculum resources, professional development for staff, </w:t>
      </w:r>
      <w:r w:rsidR="795A9953" w:rsidRPr="00734A50">
        <w:t xml:space="preserve">and sharing research findings on how to best support ITE students during </w:t>
      </w:r>
      <w:r w:rsidR="00A24AAF" w:rsidRPr="00734A50">
        <w:t xml:space="preserve">their </w:t>
      </w:r>
      <w:r w:rsidR="795A9953" w:rsidRPr="00734A50">
        <w:t>program</w:t>
      </w:r>
    </w:p>
    <w:p w14:paraId="3B73AE64" w14:textId="11378FA0" w:rsidR="00D67B5D" w:rsidRDefault="1629739B" w:rsidP="00D67B5D">
      <w:pPr>
        <w:pStyle w:val="ListBullet"/>
        <w:numPr>
          <w:ilvl w:val="0"/>
          <w:numId w:val="216"/>
        </w:numPr>
        <w:spacing w:after="200"/>
        <w:ind w:left="357" w:hanging="357"/>
      </w:pPr>
      <w:r w:rsidRPr="00734A50">
        <w:t xml:space="preserve">a longer-term excellence fund </w:t>
      </w:r>
      <w:r w:rsidR="2895BDCE" w:rsidRPr="00734A50">
        <w:t xml:space="preserve">to highlight </w:t>
      </w:r>
      <w:r w:rsidR="48836A5D" w:rsidRPr="00734A50">
        <w:t>ITE provider exemplars and foster</w:t>
      </w:r>
      <w:r w:rsidR="63456C10" w:rsidRPr="00734A50">
        <w:t xml:space="preserve"> a culture of continuous improvement</w:t>
      </w:r>
      <w:r w:rsidR="1D14A91D" w:rsidRPr="00734A50">
        <w:t xml:space="preserve"> in the ITE sector</w:t>
      </w:r>
      <w:r w:rsidR="660CBE6A" w:rsidRPr="00734A50">
        <w:t xml:space="preserve">: activities could include </w:t>
      </w:r>
      <w:r w:rsidR="0FC25D41" w:rsidRPr="00734A50">
        <w:t xml:space="preserve">exemplar </w:t>
      </w:r>
      <w:r w:rsidR="00CA7C21" w:rsidRPr="00734A50">
        <w:t xml:space="preserve">higher education </w:t>
      </w:r>
      <w:r w:rsidR="0FC25D41" w:rsidRPr="00734A50">
        <w:t xml:space="preserve">providers </w:t>
      </w:r>
      <w:r w:rsidR="097FCE1B" w:rsidRPr="00734A50">
        <w:t>sharing best practice with other providers,</w:t>
      </w:r>
      <w:r w:rsidR="0FC25D41" w:rsidRPr="00734A50">
        <w:t xml:space="preserve"> </w:t>
      </w:r>
      <w:r w:rsidR="097FCE1B" w:rsidRPr="00734A50">
        <w:t>showcasing successful mentorship models for students, and</w:t>
      </w:r>
      <w:r w:rsidR="461342CE" w:rsidRPr="00734A50">
        <w:t xml:space="preserve"> seed funding to incentivise collaboration</w:t>
      </w:r>
      <w:r w:rsidR="54CD2E2E" w:rsidRPr="00734A50">
        <w:t>.</w:t>
      </w:r>
    </w:p>
    <w:p w14:paraId="1B8DA83F" w14:textId="77777777" w:rsidR="00D67B5D" w:rsidRDefault="00D67B5D">
      <w:pPr>
        <w:spacing w:after="160" w:line="259" w:lineRule="auto"/>
        <w:rPr>
          <w:rFonts w:ascii="Calibri" w:eastAsia="Calibri" w:hAnsi="Calibri" w:cs="Calibri"/>
        </w:rPr>
      </w:pPr>
      <w:r>
        <w:br w:type="page"/>
      </w:r>
    </w:p>
    <w:p w14:paraId="3B0ED4D8" w14:textId="49A4284E" w:rsidR="005F69E7" w:rsidRPr="00734A50" w:rsidRDefault="005F69E7" w:rsidP="750D5626">
      <w:pPr>
        <w:pStyle w:val="Recommendation2"/>
        <w:spacing w:after="0"/>
        <w:rPr>
          <w:b/>
        </w:rPr>
      </w:pPr>
      <w:bookmarkStart w:id="79" w:name="_Toc128649092"/>
      <w:bookmarkStart w:id="80" w:name="_Toc130217448"/>
      <w:r w:rsidRPr="00734A50">
        <w:rPr>
          <w:b/>
        </w:rPr>
        <w:lastRenderedPageBreak/>
        <w:t>Recommendation 6: Establish a Transition Fund to support embedding of core content</w:t>
      </w:r>
    </w:p>
    <w:p w14:paraId="430844DA" w14:textId="6CB96BE8" w:rsidR="005F69E7" w:rsidRPr="00734A50" w:rsidRDefault="005F69E7" w:rsidP="005F69E7">
      <w:pPr>
        <w:pStyle w:val="Recommendation2"/>
        <w:spacing w:after="0"/>
      </w:pPr>
      <w:r w:rsidRPr="00734A50">
        <w:rPr>
          <w:lang w:eastAsia="en-AU"/>
        </w:rPr>
        <w:t>Education Ministers to agree to establish</w:t>
      </w:r>
      <w:r w:rsidRPr="00734A50">
        <w:t xml:space="preserve"> a </w:t>
      </w:r>
      <w:r w:rsidR="00323A58" w:rsidRPr="00734A50">
        <w:t>Transition F</w:t>
      </w:r>
      <w:r w:rsidRPr="00734A50">
        <w:t xml:space="preserve">und made available to all </w:t>
      </w:r>
      <w:r w:rsidR="002A7162" w:rsidRPr="00734A50">
        <w:t xml:space="preserve">higher </w:t>
      </w:r>
      <w:r w:rsidRPr="00734A50">
        <w:t xml:space="preserve">education providers to support them to embed the core content in their </w:t>
      </w:r>
      <w:r w:rsidRPr="00734A50">
        <w:rPr>
          <w:lang w:eastAsia="en-AU"/>
        </w:rPr>
        <w:t>initial teacher education</w:t>
      </w:r>
      <w:r w:rsidRPr="00734A50">
        <w:t xml:space="preserve"> programs and improve performance</w:t>
      </w:r>
      <w:r w:rsidR="00B52057" w:rsidRPr="00734A50">
        <w:t>.</w:t>
      </w:r>
    </w:p>
    <w:p w14:paraId="2F4625A1" w14:textId="77777777" w:rsidR="005F69E7" w:rsidRPr="00734A50" w:rsidRDefault="005F69E7" w:rsidP="005F69E7">
      <w:pPr>
        <w:spacing w:after="0"/>
      </w:pPr>
    </w:p>
    <w:p w14:paraId="311E6170" w14:textId="4707726E" w:rsidR="005F69E7" w:rsidRPr="00734A50" w:rsidRDefault="005F69E7" w:rsidP="750D5626">
      <w:pPr>
        <w:pStyle w:val="Recommendation2"/>
        <w:spacing w:after="0"/>
        <w:rPr>
          <w:b/>
        </w:rPr>
      </w:pPr>
      <w:r w:rsidRPr="00734A50">
        <w:rPr>
          <w:b/>
        </w:rPr>
        <w:t xml:space="preserve">Recommendation 7: Establish an Excellence Fund to improve the quality of </w:t>
      </w:r>
      <w:r w:rsidR="00EE66B0">
        <w:rPr>
          <w:b/>
        </w:rPr>
        <w:t>initial teacher education programs</w:t>
      </w:r>
    </w:p>
    <w:p w14:paraId="53D3C17A" w14:textId="13ADFA62" w:rsidR="004C2D06" w:rsidRPr="00734A50" w:rsidRDefault="005F69E7" w:rsidP="00BC2A08">
      <w:pPr>
        <w:pStyle w:val="Recommendation2"/>
        <w:spacing w:after="0"/>
      </w:pPr>
      <w:r w:rsidRPr="00734A50">
        <w:rPr>
          <w:lang w:eastAsia="en-AU"/>
        </w:rPr>
        <w:t>Education Ministers to agree to establish a</w:t>
      </w:r>
      <w:r w:rsidR="00876792" w:rsidRPr="00734A50">
        <w:rPr>
          <w:lang w:eastAsia="en-AU"/>
        </w:rPr>
        <w:t>n Excellence</w:t>
      </w:r>
      <w:r w:rsidRPr="00734A50">
        <w:rPr>
          <w:lang w:eastAsia="en-AU"/>
        </w:rPr>
        <w:t xml:space="preserve"> </w:t>
      </w:r>
      <w:r w:rsidR="00876792" w:rsidRPr="00734A50">
        <w:rPr>
          <w:lang w:eastAsia="en-AU"/>
        </w:rPr>
        <w:t>F</w:t>
      </w:r>
      <w:r w:rsidRPr="00734A50">
        <w:rPr>
          <w:lang w:eastAsia="en-AU"/>
        </w:rPr>
        <w:t>und to support</w:t>
      </w:r>
      <w:r w:rsidR="00E71210" w:rsidRPr="00734A50">
        <w:rPr>
          <w:lang w:eastAsia="en-AU"/>
        </w:rPr>
        <w:t xml:space="preserve"> higher education</w:t>
      </w:r>
      <w:r w:rsidRPr="00734A50">
        <w:rPr>
          <w:lang w:eastAsia="en-AU"/>
        </w:rPr>
        <w:t xml:space="preserve"> providers identified through the initial teacher education </w:t>
      </w:r>
      <w:r w:rsidR="00842772" w:rsidRPr="00734A50">
        <w:rPr>
          <w:lang w:eastAsia="en-AU"/>
        </w:rPr>
        <w:t>(ITE)</w:t>
      </w:r>
      <w:r w:rsidRPr="00734A50">
        <w:rPr>
          <w:lang w:eastAsia="en-AU"/>
        </w:rPr>
        <w:t xml:space="preserve"> quality assurance board’s work as high performing</w:t>
      </w:r>
      <w:r w:rsidR="001B1D1B" w:rsidRPr="00734A50">
        <w:rPr>
          <w:lang w:eastAsia="en-AU"/>
        </w:rPr>
        <w:t>,</w:t>
      </w:r>
      <w:r w:rsidRPr="00734A50">
        <w:rPr>
          <w:lang w:eastAsia="en-AU"/>
        </w:rPr>
        <w:t xml:space="preserve"> fast improving</w:t>
      </w:r>
      <w:r w:rsidR="001B1D1B" w:rsidRPr="00734A50">
        <w:rPr>
          <w:lang w:eastAsia="en-AU"/>
        </w:rPr>
        <w:t xml:space="preserve"> or excellent in a particular aspect of </w:t>
      </w:r>
      <w:r w:rsidR="00842772" w:rsidRPr="00734A50">
        <w:rPr>
          <w:lang w:eastAsia="en-AU"/>
        </w:rPr>
        <w:t>ITE</w:t>
      </w:r>
      <w:r w:rsidR="001B1D1B" w:rsidRPr="00734A50">
        <w:rPr>
          <w:lang w:eastAsia="en-AU"/>
        </w:rPr>
        <w:t xml:space="preserve"> delivery</w:t>
      </w:r>
      <w:r w:rsidRPr="00734A50">
        <w:rPr>
          <w:lang w:eastAsia="en-AU"/>
        </w:rPr>
        <w:t xml:space="preserve">. Identified </w:t>
      </w:r>
      <w:r w:rsidR="006F4563" w:rsidRPr="00734A50">
        <w:rPr>
          <w:lang w:eastAsia="en-AU"/>
        </w:rPr>
        <w:t xml:space="preserve">higher education </w:t>
      </w:r>
      <w:r w:rsidRPr="00734A50">
        <w:rPr>
          <w:lang w:eastAsia="en-AU"/>
        </w:rPr>
        <w:t>providers would be funded to take a leadership role in fostering improved performance across the sector.</w:t>
      </w:r>
      <w:r w:rsidRPr="00734A50">
        <w:rPr>
          <w:rFonts w:eastAsia="Times New Roman"/>
          <w:lang w:eastAsia="en-AU"/>
        </w:rPr>
        <w:br w:type="page"/>
      </w:r>
    </w:p>
    <w:p w14:paraId="632F2708" w14:textId="1F96B4F5" w:rsidR="00415A5F" w:rsidRPr="00734A50" w:rsidRDefault="00672B83" w:rsidP="00E83B40">
      <w:pPr>
        <w:rPr>
          <w:color w:val="002C3E"/>
        </w:rPr>
      </w:pPr>
      <w:r>
        <w:rPr>
          <w:noProof/>
          <w:color w:val="002C3E"/>
        </w:rPr>
        <w:lastRenderedPageBreak/>
        <w:drawing>
          <wp:anchor distT="0" distB="0" distL="114300" distR="114300" simplePos="0" relativeHeight="251658242" behindDoc="1" locked="0" layoutInCell="1" allowOverlap="1" wp14:anchorId="73A8D944" wp14:editId="2295EE95">
            <wp:simplePos x="0" y="0"/>
            <wp:positionH relativeFrom="column">
              <wp:posOffset>-974785</wp:posOffset>
            </wp:positionH>
            <wp:positionV relativeFrom="paragraph">
              <wp:posOffset>-60385</wp:posOffset>
            </wp:positionV>
            <wp:extent cx="7124700" cy="9083402"/>
            <wp:effectExtent l="0" t="0" r="0" b="381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131531" cy="9092110"/>
                    </a:xfrm>
                    <a:prstGeom prst="rect">
                      <a:avLst/>
                    </a:prstGeom>
                  </pic:spPr>
                </pic:pic>
              </a:graphicData>
            </a:graphic>
            <wp14:sizeRelH relativeFrom="margin">
              <wp14:pctWidth>0</wp14:pctWidth>
            </wp14:sizeRelH>
            <wp14:sizeRelV relativeFrom="margin">
              <wp14:pctHeight>0</wp14:pctHeight>
            </wp14:sizeRelV>
          </wp:anchor>
        </w:drawing>
      </w:r>
    </w:p>
    <w:p w14:paraId="165D3022" w14:textId="77777777" w:rsidR="00672B83" w:rsidRDefault="00672B83" w:rsidP="00672B83">
      <w:pPr>
        <w:spacing w:after="0" w:line="259" w:lineRule="auto"/>
        <w:ind w:left="1560" w:hanging="426"/>
        <w:rPr>
          <w:rFonts w:asciiTheme="majorHAnsi" w:hAnsiTheme="majorHAnsi" w:cstheme="majorHAnsi"/>
          <w:b/>
          <w:bCs/>
          <w:noProof/>
          <w:color w:val="FFFFFF" w:themeColor="accent3"/>
          <w:sz w:val="52"/>
          <w:szCs w:val="52"/>
        </w:rPr>
      </w:pPr>
    </w:p>
    <w:p w14:paraId="1B81C5D4" w14:textId="77777777" w:rsidR="00672B83" w:rsidRDefault="00672B83" w:rsidP="00672B83">
      <w:pPr>
        <w:spacing w:after="0" w:line="259" w:lineRule="auto"/>
        <w:ind w:left="1560" w:hanging="426"/>
        <w:rPr>
          <w:rFonts w:asciiTheme="majorHAnsi" w:hAnsiTheme="majorHAnsi" w:cstheme="majorHAnsi"/>
          <w:b/>
          <w:bCs/>
          <w:noProof/>
          <w:color w:val="FFFFFF" w:themeColor="accent3"/>
          <w:sz w:val="52"/>
          <w:szCs w:val="52"/>
        </w:rPr>
      </w:pPr>
    </w:p>
    <w:p w14:paraId="29930AA6" w14:textId="77777777" w:rsidR="00672B83" w:rsidRDefault="00672B83" w:rsidP="00672B83">
      <w:pPr>
        <w:spacing w:after="0" w:line="259" w:lineRule="auto"/>
        <w:ind w:left="1560" w:hanging="426"/>
        <w:rPr>
          <w:rFonts w:asciiTheme="majorHAnsi" w:hAnsiTheme="majorHAnsi" w:cstheme="majorHAnsi"/>
          <w:b/>
          <w:bCs/>
          <w:noProof/>
          <w:color w:val="FFFFFF" w:themeColor="accent3"/>
          <w:sz w:val="52"/>
          <w:szCs w:val="52"/>
        </w:rPr>
      </w:pPr>
    </w:p>
    <w:p w14:paraId="3A3AA8FC" w14:textId="77777777" w:rsidR="00672B83" w:rsidRPr="00F95A14" w:rsidRDefault="00672B83" w:rsidP="00672B83">
      <w:pPr>
        <w:spacing w:after="0" w:line="259" w:lineRule="auto"/>
        <w:ind w:left="1560" w:hanging="426"/>
        <w:rPr>
          <w:rFonts w:asciiTheme="majorHAnsi" w:hAnsiTheme="majorHAnsi" w:cstheme="majorHAnsi"/>
          <w:b/>
          <w:bCs/>
          <w:noProof/>
          <w:color w:val="FFFFFF" w:themeColor="accent3"/>
          <w:sz w:val="40"/>
          <w:szCs w:val="40"/>
        </w:rPr>
      </w:pPr>
    </w:p>
    <w:p w14:paraId="2D2DA5E4" w14:textId="77777777" w:rsidR="00F95A14" w:rsidRPr="00F95A14" w:rsidRDefault="00F95A14" w:rsidP="00672B83">
      <w:pPr>
        <w:spacing w:after="0" w:line="259" w:lineRule="auto"/>
        <w:ind w:left="1560" w:hanging="426"/>
        <w:rPr>
          <w:rFonts w:asciiTheme="majorHAnsi" w:hAnsiTheme="majorHAnsi" w:cstheme="majorHAnsi"/>
          <w:b/>
          <w:bCs/>
          <w:noProof/>
          <w:color w:val="FFFFFF" w:themeColor="accent3"/>
          <w:sz w:val="32"/>
          <w:szCs w:val="32"/>
        </w:rPr>
      </w:pPr>
    </w:p>
    <w:p w14:paraId="42AD4B2D" w14:textId="586B7328" w:rsidR="00672B83" w:rsidRDefault="00672B83" w:rsidP="00672B83">
      <w:pPr>
        <w:spacing w:after="0" w:line="259" w:lineRule="auto"/>
        <w:ind w:left="1560" w:hanging="426"/>
        <w:rPr>
          <w:rFonts w:asciiTheme="majorHAnsi" w:hAnsiTheme="majorHAnsi" w:cstheme="majorHAnsi"/>
          <w:b/>
          <w:bCs/>
          <w:noProof/>
          <w:color w:val="FFFFFF" w:themeColor="accent3"/>
          <w:sz w:val="52"/>
          <w:szCs w:val="52"/>
        </w:rPr>
      </w:pPr>
      <w:r>
        <w:rPr>
          <w:rFonts w:asciiTheme="majorHAnsi" w:hAnsiTheme="majorHAnsi" w:cstheme="majorHAnsi"/>
          <w:b/>
          <w:bCs/>
          <w:noProof/>
          <w:color w:val="FFFFFF" w:themeColor="accent3"/>
          <w:sz w:val="52"/>
          <w:szCs w:val="52"/>
        </w:rPr>
        <w:t>Chapter 3</w:t>
      </w:r>
    </w:p>
    <w:p w14:paraId="521B3837" w14:textId="77777777" w:rsidR="00672B83" w:rsidRPr="004F3824" w:rsidRDefault="00672B83" w:rsidP="00672B83">
      <w:pPr>
        <w:spacing w:after="0" w:line="259" w:lineRule="auto"/>
        <w:ind w:left="1560"/>
        <w:rPr>
          <w:rFonts w:asciiTheme="majorHAnsi" w:hAnsiTheme="majorHAnsi" w:cstheme="majorHAnsi"/>
          <w:noProof/>
          <w:color w:val="FFFFFF" w:themeColor="accent3"/>
          <w:sz w:val="36"/>
          <w:szCs w:val="36"/>
        </w:rPr>
      </w:pPr>
      <w:r w:rsidRPr="004F3824">
        <w:rPr>
          <w:rFonts w:asciiTheme="majorHAnsi" w:hAnsiTheme="majorHAnsi" w:cstheme="majorHAnsi"/>
          <w:noProof/>
          <w:color w:val="FFFFFF" w:themeColor="accent3"/>
          <w:sz w:val="36"/>
          <w:szCs w:val="36"/>
        </w:rPr>
        <w:t xml:space="preserve">Improving the quality of </w:t>
      </w:r>
    </w:p>
    <w:p w14:paraId="744CB366" w14:textId="43E8B958" w:rsidR="00672B83" w:rsidRPr="004F3824" w:rsidRDefault="00672B83" w:rsidP="00672B83">
      <w:pPr>
        <w:spacing w:after="0" w:line="259" w:lineRule="auto"/>
        <w:ind w:left="1560"/>
        <w:rPr>
          <w:rFonts w:asciiTheme="majorHAnsi" w:hAnsiTheme="majorHAnsi" w:cstheme="majorHAnsi"/>
          <w:noProof/>
          <w:color w:val="FFFFFF" w:themeColor="accent3"/>
          <w:sz w:val="36"/>
          <w:szCs w:val="36"/>
        </w:rPr>
      </w:pPr>
      <w:r w:rsidRPr="004F3824">
        <w:rPr>
          <w:rFonts w:asciiTheme="majorHAnsi" w:hAnsiTheme="majorHAnsi" w:cstheme="majorHAnsi"/>
          <w:noProof/>
          <w:color w:val="FFFFFF" w:themeColor="accent3"/>
          <w:sz w:val="36"/>
          <w:szCs w:val="36"/>
        </w:rPr>
        <w:t>practical experience in teaching</w:t>
      </w:r>
    </w:p>
    <w:p w14:paraId="5F5C5BA6" w14:textId="3D8B56DA" w:rsidR="00620F69" w:rsidRPr="00734A50" w:rsidRDefault="00620F69" w:rsidP="00E83B40">
      <w:pPr>
        <w:rPr>
          <w:b/>
          <w:color w:val="002C3E"/>
        </w:rPr>
      </w:pPr>
    </w:p>
    <w:p w14:paraId="7BE759A6" w14:textId="43158C07" w:rsidR="00415A5F" w:rsidRPr="00734A50" w:rsidRDefault="00415A5F" w:rsidP="00415A5F"/>
    <w:p w14:paraId="135FCF45" w14:textId="6F7E80DC" w:rsidR="00415A5F" w:rsidRPr="00734A50" w:rsidRDefault="00415A5F" w:rsidP="00415A5F"/>
    <w:p w14:paraId="50940CC3" w14:textId="77777777" w:rsidR="00415A5F" w:rsidRPr="00734A50" w:rsidRDefault="00415A5F" w:rsidP="00E83B40">
      <w:pPr>
        <w:rPr>
          <w:color w:val="002C3E"/>
        </w:rPr>
      </w:pPr>
    </w:p>
    <w:p w14:paraId="195D41AD" w14:textId="77777777" w:rsidR="00620F69" w:rsidRPr="00734A50" w:rsidRDefault="00620F69">
      <w:pPr>
        <w:spacing w:after="160" w:line="259" w:lineRule="auto"/>
        <w:rPr>
          <w:rFonts w:asciiTheme="majorHAnsi" w:eastAsia="Times New Roman" w:hAnsiTheme="majorHAnsi" w:cstheme="majorBidi"/>
          <w:b/>
          <w:color w:val="002C3E" w:themeColor="background2"/>
          <w:sz w:val="44"/>
          <w:szCs w:val="44"/>
          <w:lang w:eastAsia="en-AU"/>
        </w:rPr>
      </w:pPr>
      <w:r w:rsidRPr="00734A50">
        <w:rPr>
          <w:rFonts w:eastAsia="Times New Roman"/>
          <w:szCs w:val="44"/>
          <w:lang w:eastAsia="en-AU"/>
        </w:rPr>
        <w:br w:type="page"/>
      </w:r>
    </w:p>
    <w:p w14:paraId="66C052F7" w14:textId="6F372E3E" w:rsidR="00B707E9" w:rsidRDefault="00B707E9" w:rsidP="0012041E">
      <w:pPr>
        <w:pStyle w:val="Heading1"/>
      </w:pPr>
      <w:bookmarkStart w:id="81" w:name="_Toc139366650"/>
      <w:r w:rsidRPr="00734A50">
        <w:lastRenderedPageBreak/>
        <w:t>Improving the quality of practical experience in teaching</w:t>
      </w:r>
      <w:bookmarkEnd w:id="67"/>
      <w:bookmarkEnd w:id="79"/>
      <w:bookmarkEnd w:id="80"/>
      <w:bookmarkEnd w:id="81"/>
    </w:p>
    <w:p w14:paraId="5D682AB9" w14:textId="77777777" w:rsidR="00F800DE" w:rsidRPr="00F800DE" w:rsidRDefault="00D67B5D" w:rsidP="00F800DE">
      <w:pPr>
        <w:pBdr>
          <w:top w:val="single" w:sz="4" w:space="1" w:color="auto"/>
          <w:left w:val="single" w:sz="4" w:space="4" w:color="auto"/>
          <w:bottom w:val="single" w:sz="4" w:space="1" w:color="auto"/>
          <w:right w:val="single" w:sz="4" w:space="4" w:color="auto"/>
        </w:pBdr>
        <w:rPr>
          <w:b/>
          <w:bCs/>
          <w:color w:val="002C3E" w:themeColor="background2"/>
        </w:rPr>
      </w:pPr>
      <w:r w:rsidRPr="008935BC">
        <w:rPr>
          <w:b/>
          <w:bCs/>
          <w:color w:val="002C3E" w:themeColor="background2"/>
        </w:rPr>
        <w:t>Key points</w:t>
      </w:r>
    </w:p>
    <w:p w14:paraId="18F5E26B" w14:textId="69437EE6" w:rsidR="00D67B5D" w:rsidRPr="00F800DE" w:rsidRDefault="00D67B5D"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 xml:space="preserve">Successfully integrating theory and practice through practical experience gives initial teacher education (ITE) students the opportunity to develop their skills and teach in a real classroom. </w:t>
      </w:r>
    </w:p>
    <w:p w14:paraId="3AB954A3"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ITE students who have positive practical experience placements are more likely to successfully transition into teaching and remain in the profession longer term.</w:t>
      </w:r>
    </w:p>
    <w:p w14:paraId="72F0BE63"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The Panel was asked to provide advice on how to improve the quality of practical experience in teaching, building on previous reforms.</w:t>
      </w:r>
    </w:p>
    <w:p w14:paraId="18C4DF9E"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 xml:space="preserve">The Panel found that the quality of practical experience is highly variable for ITE students, particularly for ITE students in regional and remote areas. </w:t>
      </w:r>
    </w:p>
    <w:p w14:paraId="53C3696B"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Major barriers to high-quality practical experience include variable support for delivery of practical experience; ineffective relationships between providers, schools and school systems; unclear expectations for planning and delivery; resourcing challenges; limited mentor teacher capacity and capability; and limited support for ITE students with outside commitments.</w:t>
      </w:r>
    </w:p>
    <w:p w14:paraId="0AB0107B"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System-wide coordination of practical experience delivery through jurisdiction-level agreements and delivery models would lift the quality of practical experience.</w:t>
      </w:r>
    </w:p>
    <w:p w14:paraId="1F74F3A9"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 xml:space="preserve">National guidelines would support the delivery of consistent, high-quality practical experience. </w:t>
      </w:r>
    </w:p>
    <w:p w14:paraId="64B45DFA" w14:textId="77777777" w:rsidR="00F800DE" w:rsidRPr="00F800DE" w:rsidRDefault="00F800DE" w:rsidP="008A0376">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High-quality practical experience is costly and resource intensive. Systemic investment would incentivise schools to support delivery of practical experience and assist ITE students to juggle paid work, study, and practical experience placements.</w:t>
      </w:r>
    </w:p>
    <w:p w14:paraId="61039D22" w14:textId="730C2DD8" w:rsidR="00D67B5D" w:rsidRPr="008A0376" w:rsidRDefault="008A0376" w:rsidP="00D67B5D">
      <w:pPr>
        <w:pStyle w:val="ListParagraph"/>
        <w:numPr>
          <w:ilvl w:val="0"/>
          <w:numId w:val="229"/>
        </w:numPr>
        <w:pBdr>
          <w:top w:val="single" w:sz="4" w:space="1" w:color="auto"/>
          <w:left w:val="single" w:sz="4" w:space="4" w:color="auto"/>
          <w:bottom w:val="single" w:sz="4" w:space="1" w:color="auto"/>
          <w:right w:val="single" w:sz="4" w:space="4" w:color="auto"/>
        </w:pBdr>
        <w:spacing w:before="200" w:after="200" w:line="360" w:lineRule="auto"/>
        <w:ind w:left="357" w:hanging="357"/>
        <w:contextualSpacing w:val="0"/>
        <w:rPr>
          <w:color w:val="002C3E" w:themeColor="background2"/>
        </w:rPr>
      </w:pPr>
      <w:r w:rsidRPr="00F800DE">
        <w:rPr>
          <w:color w:val="002C3E" w:themeColor="background2"/>
        </w:rPr>
        <w:t>Profession</w:t>
      </w:r>
      <w:r>
        <w:rPr>
          <w:color w:val="002C3E" w:themeColor="background2"/>
        </w:rPr>
        <w:t>a</w:t>
      </w:r>
      <w:r w:rsidRPr="00F800DE">
        <w:rPr>
          <w:color w:val="002C3E" w:themeColor="background2"/>
        </w:rPr>
        <w:t>l</w:t>
      </w:r>
      <w:r w:rsidR="00F800DE" w:rsidRPr="00F800DE">
        <w:rPr>
          <w:color w:val="002C3E" w:themeColor="background2"/>
        </w:rPr>
        <w:t xml:space="preserve"> recognition for mentor teachers across jurisdictions would encourage more experienced and expert teachers to consider mentoring ITE students in their schools.</w:t>
      </w:r>
    </w:p>
    <w:p w14:paraId="30A4AFE4" w14:textId="20558C9B" w:rsidR="00726306" w:rsidRPr="00734A50" w:rsidRDefault="00726306" w:rsidP="00E83B40">
      <w:pPr>
        <w:rPr>
          <w:rFonts w:ascii="Calibri" w:eastAsia="Calibri" w:hAnsi="Calibri" w:cs="Calibri"/>
        </w:rPr>
      </w:pPr>
    </w:p>
    <w:p w14:paraId="5EA30763" w14:textId="5489EF02" w:rsidR="00726306" w:rsidRPr="00734A50" w:rsidRDefault="00726306" w:rsidP="0012041E">
      <w:pPr>
        <w:pStyle w:val="Heading2"/>
      </w:pPr>
      <w:bookmarkStart w:id="82" w:name="_Toc139366651"/>
      <w:r w:rsidRPr="00734A50">
        <w:t>Context</w:t>
      </w:r>
      <w:bookmarkEnd w:id="82"/>
    </w:p>
    <w:p w14:paraId="7983E5AF" w14:textId="3557FA6C" w:rsidR="000A1455" w:rsidRPr="00734A50" w:rsidRDefault="000A1455" w:rsidP="007818D9">
      <w:pPr>
        <w:rPr>
          <w:rFonts w:ascii="Calibri" w:eastAsia="Calibri" w:hAnsi="Calibri" w:cs="Calibri"/>
        </w:rPr>
      </w:pPr>
      <w:r w:rsidRPr="00734A50">
        <w:rPr>
          <w:rFonts w:ascii="Calibri" w:eastAsia="Calibri" w:hAnsi="Calibri" w:cs="Calibri"/>
        </w:rPr>
        <w:t xml:space="preserve">High-quality practical experience in teaching is critical to driving improvements in student outcomes. Successfully integrating theory and practice through practical experience means that ITE students </w:t>
      </w:r>
      <w:r w:rsidRPr="00734A50">
        <w:rPr>
          <w:rFonts w:ascii="Calibri" w:eastAsia="Calibri" w:hAnsi="Calibri" w:cs="Calibri"/>
        </w:rPr>
        <w:lastRenderedPageBreak/>
        <w:t>are more prepared to teach in a real classroom. Practical experience is particularly important for core skills such as behaviour management and differentiated teaching (Goss &amp; Sonnemann 2017). Research also shows that high-quality practical experience help</w:t>
      </w:r>
      <w:r w:rsidR="006F27C1" w:rsidRPr="00734A50">
        <w:rPr>
          <w:rFonts w:ascii="Calibri" w:eastAsia="Calibri" w:hAnsi="Calibri" w:cs="Calibri"/>
        </w:rPr>
        <w:t>s</w:t>
      </w:r>
      <w:r w:rsidR="00B83007" w:rsidRPr="00734A50">
        <w:rPr>
          <w:rFonts w:ascii="Calibri" w:eastAsia="Calibri" w:hAnsi="Calibri" w:cs="Calibri"/>
        </w:rPr>
        <w:t xml:space="preserve"> to</w:t>
      </w:r>
      <w:r w:rsidRPr="00734A50">
        <w:rPr>
          <w:rFonts w:ascii="Calibri" w:eastAsia="Calibri" w:hAnsi="Calibri" w:cs="Calibri"/>
        </w:rPr>
        <w:t xml:space="preserve"> attract and retain teachers</w:t>
      </w:r>
      <w:r w:rsidRPr="00734A50">
        <w:rPr>
          <w:rFonts w:ascii="Calibri" w:eastAsia="Calibri" w:hAnsi="Calibri" w:cs="Calibri"/>
          <w:b/>
          <w:bCs/>
        </w:rPr>
        <w:t>.</w:t>
      </w:r>
      <w:r w:rsidRPr="00734A50">
        <w:rPr>
          <w:rFonts w:ascii="Calibri" w:eastAsia="Calibri" w:hAnsi="Calibri" w:cs="Calibri"/>
        </w:rPr>
        <w:t xml:space="preserve"> ITE students who have positive practical experience placements in relevant settings are more likely to stay in ITE; make a successful transition to teaching; </w:t>
      </w:r>
      <w:r w:rsidR="00436F23" w:rsidRPr="00734A50">
        <w:rPr>
          <w:rFonts w:ascii="Calibri" w:eastAsia="Calibri" w:hAnsi="Calibri" w:cs="Calibri"/>
        </w:rPr>
        <w:t>and</w:t>
      </w:r>
      <w:r w:rsidRPr="00734A50">
        <w:rPr>
          <w:rFonts w:ascii="Calibri" w:eastAsia="Calibri" w:hAnsi="Calibri" w:cs="Calibri"/>
        </w:rPr>
        <w:t xml:space="preserve"> stay in teaching for the long</w:t>
      </w:r>
      <w:r w:rsidR="006F27C1" w:rsidRPr="00734A50">
        <w:rPr>
          <w:rFonts w:ascii="Calibri" w:eastAsia="Calibri" w:hAnsi="Calibri" w:cs="Calibri"/>
        </w:rPr>
        <w:t xml:space="preserve"> </w:t>
      </w:r>
      <w:r w:rsidRPr="00734A50">
        <w:rPr>
          <w:rFonts w:ascii="Calibri" w:eastAsia="Calibri" w:hAnsi="Calibri" w:cs="Calibri"/>
        </w:rPr>
        <w:t>term, including in those settings (e.g. regional and remote areas) (AITSL 202</w:t>
      </w:r>
      <w:r w:rsidR="00E902E1" w:rsidRPr="00734A50">
        <w:rPr>
          <w:rFonts w:ascii="Calibri" w:eastAsia="Calibri" w:hAnsi="Calibri" w:cs="Calibri"/>
        </w:rPr>
        <w:t>2a</w:t>
      </w:r>
      <w:r w:rsidRPr="00734A50">
        <w:rPr>
          <w:rFonts w:ascii="Calibri" w:eastAsia="Calibri" w:hAnsi="Calibri" w:cs="Calibri"/>
        </w:rPr>
        <w:t xml:space="preserve">; </w:t>
      </w:r>
      <w:r w:rsidR="00A111D9" w:rsidRPr="00734A50">
        <w:t>Podolsky et al. 2019;</w:t>
      </w:r>
      <w:r w:rsidR="00623A1B" w:rsidRPr="00734A50">
        <w:t xml:space="preserve"> and</w:t>
      </w:r>
      <w:r w:rsidR="00850BEE" w:rsidRPr="00734A50">
        <w:t xml:space="preserve"> </w:t>
      </w:r>
      <w:r w:rsidRPr="00734A50">
        <w:rPr>
          <w:rFonts w:ascii="Calibri" w:eastAsia="Calibri" w:hAnsi="Calibri" w:cs="Calibri"/>
        </w:rPr>
        <w:t>Ronfeldt 2021).</w:t>
      </w:r>
    </w:p>
    <w:p w14:paraId="043D2918" w14:textId="18536B8B" w:rsidR="007818D9" w:rsidRPr="00734A50" w:rsidRDefault="007818D9" w:rsidP="007818D9">
      <w:r w:rsidRPr="00734A50">
        <w:t>The critical role of practical experience in ITE means it has been subject to several reviews and actions</w:t>
      </w:r>
      <w:r w:rsidR="00D829B3" w:rsidRPr="00734A50">
        <w:t xml:space="preserve"> at</w:t>
      </w:r>
      <w:r w:rsidRPr="00734A50">
        <w:t xml:space="preserve"> both </w:t>
      </w:r>
      <w:r w:rsidR="00623A1B" w:rsidRPr="00734A50">
        <w:t>the Commonwealth</w:t>
      </w:r>
      <w:r w:rsidRPr="00734A50">
        <w:t xml:space="preserve"> and </w:t>
      </w:r>
      <w:r w:rsidR="00623A1B" w:rsidRPr="00734A50">
        <w:t>state and territory</w:t>
      </w:r>
      <w:r w:rsidRPr="00734A50">
        <w:t xml:space="preserve"> level, including the TEMAG </w:t>
      </w:r>
      <w:r w:rsidR="00637FE9" w:rsidRPr="00734A50">
        <w:t>R</w:t>
      </w:r>
      <w:r w:rsidRPr="00734A50">
        <w:t xml:space="preserve">eview (2014) and </w:t>
      </w:r>
      <w:r w:rsidR="00637FE9" w:rsidRPr="00734A50">
        <w:t xml:space="preserve">the </w:t>
      </w:r>
      <w:r w:rsidRPr="00734A50">
        <w:t xml:space="preserve">QITE </w:t>
      </w:r>
      <w:r w:rsidR="0067784B" w:rsidRPr="00734A50">
        <w:t>R</w:t>
      </w:r>
      <w:r w:rsidRPr="00734A50">
        <w:t>eview (2022). These</w:t>
      </w:r>
      <w:r w:rsidR="00D829B3" w:rsidRPr="00734A50">
        <w:t xml:space="preserve"> reviews</w:t>
      </w:r>
      <w:r w:rsidRPr="00734A50">
        <w:t xml:space="preserve"> have also highlighted the importance of high-quality practical experience but acknowledged that its delivery is complex and resource intensive. They have led to considerable reforms, but more attention and investment is still required to ensure high-quality practical experiences for all students.</w:t>
      </w:r>
    </w:p>
    <w:p w14:paraId="395E3A1D" w14:textId="38F7DD5A" w:rsidR="007818D9" w:rsidRPr="00734A50" w:rsidRDefault="007818D9" w:rsidP="007818D9">
      <w:r w:rsidRPr="00734A50">
        <w:t>The Panel has been asked to provide advice on how to improve the quality of practical experience in teaching. The findings and recommendations</w:t>
      </w:r>
      <w:r w:rsidR="00D829B3" w:rsidRPr="00734A50">
        <w:t xml:space="preserve"> in this report</w:t>
      </w:r>
      <w:r w:rsidRPr="00734A50">
        <w:t xml:space="preserve"> have been informed by a review of the existing literature, </w:t>
      </w:r>
      <w:r w:rsidR="00383BD2" w:rsidRPr="00734A50">
        <w:t>a survey of ITE students</w:t>
      </w:r>
      <w:r w:rsidR="00D829B3" w:rsidRPr="00734A50">
        <w:t>,</w:t>
      </w:r>
      <w:r w:rsidR="00842165" w:rsidRPr="00734A50">
        <w:t xml:space="preserve"> and </w:t>
      </w:r>
      <w:r w:rsidRPr="00734A50">
        <w:t>stakeholder consultation with higher education providers, education departments, TRAs, peak sector organisations, and operational staff responsible for practical experience placements.</w:t>
      </w:r>
    </w:p>
    <w:p w14:paraId="6BF3243D" w14:textId="12967A88" w:rsidR="29B69693" w:rsidRPr="00734A50" w:rsidRDefault="78C29BA2" w:rsidP="29B69693">
      <w:r w:rsidRPr="00734A50">
        <w:t>Stakeholder feedback was consistent in highlighting practical experience as the area in most need of reform</w:t>
      </w:r>
      <w:r w:rsidR="00D829B3" w:rsidRPr="00734A50">
        <w:t>.</w:t>
      </w:r>
      <w:r w:rsidR="2364E327" w:rsidRPr="00734A50">
        <w:t xml:space="preserve"> </w:t>
      </w:r>
      <w:r w:rsidR="00D829B3" w:rsidRPr="00734A50">
        <w:t>T</w:t>
      </w:r>
      <w:r w:rsidR="2364E327" w:rsidRPr="00734A50">
        <w:t xml:space="preserve">he </w:t>
      </w:r>
      <w:r w:rsidR="52604A1F" w:rsidRPr="00734A50">
        <w:t>Panel received</w:t>
      </w:r>
      <w:r w:rsidR="2364E327" w:rsidRPr="00734A50">
        <w:t xml:space="preserve"> broad </w:t>
      </w:r>
      <w:r w:rsidR="23BD6DC8" w:rsidRPr="00734A50">
        <w:t xml:space="preserve">stakeholder </w:t>
      </w:r>
      <w:r w:rsidR="2364E327" w:rsidRPr="00734A50">
        <w:t>support for the reform options</w:t>
      </w:r>
      <w:r w:rsidR="20A41F67" w:rsidRPr="00734A50">
        <w:t xml:space="preserve"> rais</w:t>
      </w:r>
      <w:r w:rsidR="3E4E1E02" w:rsidRPr="00734A50">
        <w:t xml:space="preserve">ed in its Discussion Paper. </w:t>
      </w:r>
    </w:p>
    <w:p w14:paraId="76CC7B0F" w14:textId="5B361336" w:rsidR="00726306" w:rsidRPr="00734A50" w:rsidRDefault="00726306" w:rsidP="0012041E">
      <w:pPr>
        <w:pStyle w:val="Heading2"/>
      </w:pPr>
      <w:bookmarkStart w:id="83" w:name="_Toc139366652"/>
      <w:r w:rsidRPr="00734A50">
        <w:t>Key findings</w:t>
      </w:r>
      <w:bookmarkEnd w:id="83"/>
    </w:p>
    <w:p w14:paraId="1D99F745" w14:textId="76F55BD7" w:rsidR="00726306" w:rsidRPr="00734A50" w:rsidRDefault="001D0FB8" w:rsidP="00E73BBF">
      <w:pPr>
        <w:pStyle w:val="Heading3"/>
      </w:pPr>
      <w:bookmarkStart w:id="84" w:name="_Toc139366653"/>
      <w:r w:rsidRPr="00734A50">
        <w:t xml:space="preserve">3.1 </w:t>
      </w:r>
      <w:r w:rsidR="00572D3A" w:rsidRPr="00734A50">
        <w:t>H</w:t>
      </w:r>
      <w:r w:rsidR="0043280D" w:rsidRPr="00734A50">
        <w:t>igh-quality practical experience</w:t>
      </w:r>
      <w:r w:rsidR="00E53C54" w:rsidRPr="00734A50">
        <w:t xml:space="preserve"> for </w:t>
      </w:r>
      <w:r w:rsidR="63FC0603">
        <w:t xml:space="preserve">ITE </w:t>
      </w:r>
      <w:r w:rsidR="00E53C54">
        <w:t>students</w:t>
      </w:r>
      <w:bookmarkEnd w:id="84"/>
    </w:p>
    <w:p w14:paraId="510ED57E" w14:textId="455135F5" w:rsidR="00BF778B" w:rsidRPr="00734A50" w:rsidRDefault="4C1F812E" w:rsidP="7BB08598">
      <w:pPr>
        <w:rPr>
          <w:rFonts w:ascii="Calibri" w:eastAsia="Calibri" w:hAnsi="Calibri" w:cs="Calibri"/>
        </w:rPr>
      </w:pPr>
      <w:r w:rsidRPr="00734A50">
        <w:rPr>
          <w:rFonts w:ascii="Calibri" w:eastAsia="Calibri" w:hAnsi="Calibri" w:cs="Calibri"/>
        </w:rPr>
        <w:t>High</w:t>
      </w:r>
      <w:r w:rsidR="007E0022" w:rsidRPr="00734A50">
        <w:rPr>
          <w:rFonts w:ascii="Calibri" w:eastAsia="Calibri" w:hAnsi="Calibri" w:cs="Calibri"/>
        </w:rPr>
        <w:t>-</w:t>
      </w:r>
      <w:r w:rsidRPr="00734A50">
        <w:rPr>
          <w:rFonts w:ascii="Calibri" w:eastAsia="Calibri" w:hAnsi="Calibri" w:cs="Calibri"/>
        </w:rPr>
        <w:t>quality practical experience starts before a student enters the classroom. It begins with well-defined and easily arranged placements</w:t>
      </w:r>
      <w:r w:rsidR="001638E8" w:rsidRPr="00734A50">
        <w:rPr>
          <w:rFonts w:ascii="Calibri" w:eastAsia="Calibri" w:hAnsi="Calibri" w:cs="Calibri"/>
        </w:rPr>
        <w:t>;</w:t>
      </w:r>
      <w:r w:rsidRPr="00734A50">
        <w:rPr>
          <w:rFonts w:ascii="Calibri" w:eastAsia="Calibri" w:hAnsi="Calibri" w:cs="Calibri"/>
        </w:rPr>
        <w:t xml:space="preserve"> early communication between the student and</w:t>
      </w:r>
      <w:r w:rsidR="001638E8" w:rsidRPr="00734A50">
        <w:rPr>
          <w:rFonts w:ascii="Calibri" w:eastAsia="Calibri" w:hAnsi="Calibri" w:cs="Calibri"/>
        </w:rPr>
        <w:t xml:space="preserve"> the</w:t>
      </w:r>
      <w:r w:rsidRPr="00734A50">
        <w:rPr>
          <w:rFonts w:ascii="Calibri" w:eastAsia="Calibri" w:hAnsi="Calibri" w:cs="Calibri"/>
        </w:rPr>
        <w:t xml:space="preserve"> school</w:t>
      </w:r>
      <w:r w:rsidR="001638E8" w:rsidRPr="00734A50">
        <w:rPr>
          <w:rFonts w:ascii="Calibri" w:eastAsia="Calibri" w:hAnsi="Calibri" w:cs="Calibri"/>
        </w:rPr>
        <w:t>;</w:t>
      </w:r>
      <w:r w:rsidRPr="00734A50">
        <w:rPr>
          <w:rFonts w:ascii="Calibri" w:eastAsia="Calibri" w:hAnsi="Calibri" w:cs="Calibri"/>
        </w:rPr>
        <w:t xml:space="preserve"> defined learning outcomes </w:t>
      </w:r>
      <w:r w:rsidR="009E1394" w:rsidRPr="00734A50">
        <w:rPr>
          <w:rFonts w:ascii="Calibri" w:eastAsia="Calibri" w:hAnsi="Calibri" w:cs="Calibri"/>
        </w:rPr>
        <w:t>for each placement</w:t>
      </w:r>
      <w:r w:rsidR="001638E8" w:rsidRPr="00734A50">
        <w:rPr>
          <w:rFonts w:ascii="Calibri" w:eastAsia="Calibri" w:hAnsi="Calibri" w:cs="Calibri"/>
        </w:rPr>
        <w:t>,</w:t>
      </w:r>
      <w:r w:rsidR="009E1394" w:rsidRPr="00734A50">
        <w:rPr>
          <w:rFonts w:ascii="Calibri" w:eastAsia="Calibri" w:hAnsi="Calibri" w:cs="Calibri"/>
        </w:rPr>
        <w:t xml:space="preserve"> </w:t>
      </w:r>
      <w:r w:rsidRPr="00734A50">
        <w:rPr>
          <w:rFonts w:ascii="Calibri" w:eastAsia="Calibri" w:hAnsi="Calibri" w:cs="Calibri"/>
        </w:rPr>
        <w:t xml:space="preserve">linked to the </w:t>
      </w:r>
      <w:r w:rsidR="001638E8" w:rsidRPr="00734A50">
        <w:rPr>
          <w:rFonts w:ascii="Calibri" w:eastAsia="Calibri" w:hAnsi="Calibri" w:cs="Calibri"/>
        </w:rPr>
        <w:t>T</w:t>
      </w:r>
      <w:r w:rsidRPr="00734A50">
        <w:rPr>
          <w:rFonts w:ascii="Calibri" w:eastAsia="Calibri" w:hAnsi="Calibri" w:cs="Calibri"/>
        </w:rPr>
        <w:t xml:space="preserve">eacher </w:t>
      </w:r>
      <w:r w:rsidR="001638E8" w:rsidRPr="00734A50">
        <w:rPr>
          <w:rFonts w:ascii="Calibri" w:eastAsia="Calibri" w:hAnsi="Calibri" w:cs="Calibri"/>
        </w:rPr>
        <w:t>S</w:t>
      </w:r>
      <w:r w:rsidRPr="00734A50">
        <w:rPr>
          <w:rFonts w:ascii="Calibri" w:eastAsia="Calibri" w:hAnsi="Calibri" w:cs="Calibri"/>
        </w:rPr>
        <w:t>tandards</w:t>
      </w:r>
      <w:r w:rsidR="001638E8" w:rsidRPr="00734A50">
        <w:rPr>
          <w:rFonts w:ascii="Calibri" w:eastAsia="Calibri" w:hAnsi="Calibri" w:cs="Calibri"/>
        </w:rPr>
        <w:t>;</w:t>
      </w:r>
      <w:r w:rsidRPr="00734A50">
        <w:rPr>
          <w:rFonts w:ascii="Calibri" w:eastAsia="Calibri" w:hAnsi="Calibri" w:cs="Calibri"/>
        </w:rPr>
        <w:t xml:space="preserve"> and flexibility for the student to accommodate work and other commitments. On</w:t>
      </w:r>
      <w:r w:rsidR="00E83B40" w:rsidRPr="00734A50">
        <w:rPr>
          <w:rFonts w:ascii="Calibri" w:eastAsia="Calibri" w:hAnsi="Calibri" w:cs="Calibri"/>
        </w:rPr>
        <w:t xml:space="preserve"> </w:t>
      </w:r>
      <w:r w:rsidRPr="00734A50">
        <w:rPr>
          <w:rFonts w:ascii="Calibri" w:eastAsia="Calibri" w:hAnsi="Calibri" w:cs="Calibri"/>
        </w:rPr>
        <w:t>site, students are exposed to high</w:t>
      </w:r>
      <w:r w:rsidR="00A63E85" w:rsidRPr="00734A50">
        <w:rPr>
          <w:rFonts w:ascii="Calibri" w:eastAsia="Calibri" w:hAnsi="Calibri" w:cs="Calibri"/>
        </w:rPr>
        <w:t>-</w:t>
      </w:r>
      <w:r w:rsidRPr="00734A50">
        <w:rPr>
          <w:rFonts w:ascii="Calibri" w:eastAsia="Calibri" w:hAnsi="Calibri" w:cs="Calibri"/>
        </w:rPr>
        <w:t>quality teaching and supervised and mentored by an experienced and skilled teacher</w:t>
      </w:r>
      <w:r w:rsidR="001638E8" w:rsidRPr="00734A50">
        <w:rPr>
          <w:rFonts w:ascii="Calibri" w:eastAsia="Calibri" w:hAnsi="Calibri" w:cs="Calibri"/>
        </w:rPr>
        <w:t>;</w:t>
      </w:r>
      <w:r w:rsidRPr="00734A50">
        <w:rPr>
          <w:rFonts w:ascii="Calibri" w:eastAsia="Calibri" w:hAnsi="Calibri" w:cs="Calibri"/>
        </w:rPr>
        <w:t xml:space="preserve"> tasks are aligned to the </w:t>
      </w:r>
      <w:r w:rsidR="001638E8" w:rsidRPr="00734A50">
        <w:rPr>
          <w:rFonts w:ascii="Calibri" w:eastAsia="Calibri" w:hAnsi="Calibri" w:cs="Calibri"/>
        </w:rPr>
        <w:t>T</w:t>
      </w:r>
      <w:r w:rsidRPr="00734A50">
        <w:rPr>
          <w:rFonts w:ascii="Calibri" w:eastAsia="Calibri" w:hAnsi="Calibri" w:cs="Calibri"/>
        </w:rPr>
        <w:t xml:space="preserve">eacher </w:t>
      </w:r>
      <w:r w:rsidR="001638E8" w:rsidRPr="00734A50">
        <w:rPr>
          <w:rFonts w:ascii="Calibri" w:eastAsia="Calibri" w:hAnsi="Calibri" w:cs="Calibri"/>
        </w:rPr>
        <w:t>S</w:t>
      </w:r>
      <w:r w:rsidRPr="00734A50">
        <w:rPr>
          <w:rFonts w:ascii="Calibri" w:eastAsia="Calibri" w:hAnsi="Calibri" w:cs="Calibri"/>
        </w:rPr>
        <w:t>tandards and coursework</w:t>
      </w:r>
      <w:r w:rsidR="001638E8" w:rsidRPr="00734A50">
        <w:rPr>
          <w:rFonts w:ascii="Calibri" w:eastAsia="Calibri" w:hAnsi="Calibri" w:cs="Calibri"/>
        </w:rPr>
        <w:t>;</w:t>
      </w:r>
      <w:r w:rsidRPr="00734A50">
        <w:rPr>
          <w:rFonts w:ascii="Calibri" w:eastAsia="Calibri" w:hAnsi="Calibri" w:cs="Calibri"/>
        </w:rPr>
        <w:t xml:space="preserve"> and students are given opportunities to learn and develop their expertise, informed by ongoing feedback from skilled professionals. Post placement, students have further contact with their school, and an opportunity to reflect on their learning and experience. </w:t>
      </w:r>
    </w:p>
    <w:p w14:paraId="750CE5FF" w14:textId="66795F05" w:rsidR="00BF778B" w:rsidRPr="00734A50" w:rsidRDefault="4C1F812E" w:rsidP="53B011C3">
      <w:r w:rsidRPr="00734A50">
        <w:rPr>
          <w:rFonts w:ascii="Calibri" w:eastAsia="Calibri" w:hAnsi="Calibri" w:cs="Calibri"/>
        </w:rPr>
        <w:t>There are different approaches when it comes to delivering the above features of high-quality practical experience placements. Some school systems and higher education providers have gone ‘above and beyond’ the minimum accreditation requirements for professional learning and support for teachers, entering into multi-provider partnership agreements and providing innovative delivery models that support multiple schools. However, this does not happen consistently across the practical experience placement ecosystem, leading to variation in ITE student experience.</w:t>
      </w:r>
    </w:p>
    <w:p w14:paraId="602A17D2" w14:textId="60E948D9" w:rsidR="00BF778B" w:rsidRPr="00734A50" w:rsidRDefault="62DA867B" w:rsidP="53B011C3">
      <w:r w:rsidRPr="00734A50">
        <w:lastRenderedPageBreak/>
        <w:t>Due to the vari</w:t>
      </w:r>
      <w:r w:rsidR="00E83B40" w:rsidRPr="00734A50">
        <w:t>ation in</w:t>
      </w:r>
      <w:r w:rsidRPr="00734A50">
        <w:t xml:space="preserve"> how practical experience is delivered and the complexity of arrangements, it is difficult to quantify how much </w:t>
      </w:r>
      <w:r w:rsidR="009E1394" w:rsidRPr="00734A50">
        <w:t xml:space="preserve">high-quality </w:t>
      </w:r>
      <w:r w:rsidRPr="00734A50">
        <w:t xml:space="preserve">practical experience </w:t>
      </w:r>
      <w:r w:rsidR="001F1896" w:rsidRPr="00734A50">
        <w:t>costs</w:t>
      </w:r>
      <w:r w:rsidRPr="00734A50">
        <w:t xml:space="preserve">. Feedback from </w:t>
      </w:r>
      <w:r w:rsidR="000C4EF5" w:rsidRPr="00734A50">
        <w:t>higher education</w:t>
      </w:r>
      <w:r w:rsidRPr="00734A50">
        <w:t xml:space="preserve"> providers has highlighted</w:t>
      </w:r>
      <w:r w:rsidR="004D6A00" w:rsidRPr="00734A50">
        <w:t xml:space="preserve"> that</w:t>
      </w:r>
      <w:r w:rsidRPr="00734A50">
        <w:t xml:space="preserve"> delivering practical experience is costly and resource intensive. What we do know is that delivering practical experience across all providers, jurisdictions, schools and school systems is a major financial and resource commitment. Factors to consider include the time needed by the provider, student</w:t>
      </w:r>
      <w:r w:rsidR="009E1394" w:rsidRPr="00734A50">
        <w:t>, school</w:t>
      </w:r>
      <w:r w:rsidRPr="00734A50">
        <w:t xml:space="preserve"> and school</w:t>
      </w:r>
      <w:r w:rsidR="009E1394" w:rsidRPr="00734A50">
        <w:t xml:space="preserve"> system</w:t>
      </w:r>
      <w:r w:rsidR="004D6A00" w:rsidRPr="00734A50">
        <w:t xml:space="preserve"> to set up and agree to practical experience placements</w:t>
      </w:r>
      <w:r w:rsidRPr="00734A50">
        <w:t xml:space="preserve">; the time and monetary cost incurred by ITE students to undertake placements; the cost of paying experienced teachers to supervise, observe and mentor ITE students; and the time and cost </w:t>
      </w:r>
      <w:r w:rsidR="004D6A00" w:rsidRPr="00734A50">
        <w:t>of providing</w:t>
      </w:r>
      <w:r w:rsidRPr="00734A50">
        <w:t xml:space="preserve"> feedback and ongoing support and communication to ITE students before, during and after placements</w:t>
      </w:r>
      <w:r w:rsidR="00003989" w:rsidRPr="00734A50">
        <w:t>.</w:t>
      </w:r>
    </w:p>
    <w:p w14:paraId="7F3A304B" w14:textId="062AD88D" w:rsidR="009E1394" w:rsidRPr="00734A50" w:rsidRDefault="009E1394" w:rsidP="009E1394">
      <w:pPr>
        <w:rPr>
          <w:rFonts w:ascii="Calibri" w:eastAsia="Calibri" w:hAnsi="Calibri" w:cs="Calibri"/>
        </w:rPr>
      </w:pPr>
      <w:bookmarkStart w:id="85" w:name="_Ref132122060"/>
      <w:r w:rsidRPr="587F422A">
        <w:rPr>
          <w:rFonts w:ascii="Calibri" w:eastAsia="Calibri" w:hAnsi="Calibri" w:cs="Calibri"/>
        </w:rPr>
        <w:t xml:space="preserve">The Panel has articulated </w:t>
      </w:r>
      <w:r w:rsidR="004D6A00" w:rsidRPr="587F422A">
        <w:rPr>
          <w:rFonts w:ascii="Calibri" w:eastAsia="Calibri" w:hAnsi="Calibri" w:cs="Calibri"/>
        </w:rPr>
        <w:t>a</w:t>
      </w:r>
      <w:r w:rsidRPr="587F422A">
        <w:rPr>
          <w:rFonts w:ascii="Calibri" w:eastAsia="Calibri" w:hAnsi="Calibri" w:cs="Calibri"/>
        </w:rPr>
        <w:t xml:space="preserve"> vision of high-quality practical experience placements</w:t>
      </w:r>
      <w:r w:rsidR="006D7057" w:rsidRPr="587F422A">
        <w:rPr>
          <w:rFonts w:ascii="Calibri" w:eastAsia="Calibri" w:hAnsi="Calibri" w:cs="Calibri"/>
        </w:rPr>
        <w:t xml:space="preserve"> that are</w:t>
      </w:r>
      <w:r w:rsidRPr="587F422A">
        <w:rPr>
          <w:rFonts w:ascii="Calibri" w:eastAsia="Calibri" w:hAnsi="Calibri" w:cs="Calibri"/>
        </w:rPr>
        <w:t xml:space="preserve"> targeted and delivered across as many different school and provider settings as possible (see Table 3.1). </w:t>
      </w:r>
      <w:r w:rsidR="004D6A00" w:rsidRPr="587F422A">
        <w:rPr>
          <w:rFonts w:ascii="Calibri" w:eastAsia="Calibri" w:hAnsi="Calibri" w:cs="Calibri"/>
        </w:rPr>
        <w:t xml:space="preserve">It </w:t>
      </w:r>
      <w:r w:rsidRPr="587F422A">
        <w:rPr>
          <w:rFonts w:ascii="Calibri" w:eastAsia="Calibri" w:hAnsi="Calibri" w:cs="Calibri"/>
        </w:rPr>
        <w:t xml:space="preserve">is based on available research, existing guidance and stakeholder engagement. </w:t>
      </w:r>
      <w:r w:rsidR="004D6A00" w:rsidRPr="587F422A">
        <w:rPr>
          <w:rFonts w:ascii="Calibri" w:eastAsia="Calibri" w:hAnsi="Calibri" w:cs="Calibri"/>
        </w:rPr>
        <w:t xml:space="preserve">Its </w:t>
      </w:r>
      <w:r w:rsidRPr="587F422A">
        <w:rPr>
          <w:rFonts w:ascii="Calibri" w:eastAsia="Calibri" w:hAnsi="Calibri" w:cs="Calibri"/>
        </w:rPr>
        <w:t xml:space="preserve">characteristics can also be incorporated into system-level actions (both nationally and for different jurisdictions) to support high-quality practical experiences from a regulation and resourcing standpoint. Further detail on </w:t>
      </w:r>
      <w:r w:rsidR="004D6A00" w:rsidRPr="587F422A">
        <w:rPr>
          <w:rFonts w:ascii="Calibri" w:eastAsia="Calibri" w:hAnsi="Calibri" w:cs="Calibri"/>
        </w:rPr>
        <w:t xml:space="preserve">this </w:t>
      </w:r>
      <w:r w:rsidRPr="587F422A">
        <w:rPr>
          <w:rFonts w:ascii="Calibri" w:eastAsia="Calibri" w:hAnsi="Calibri" w:cs="Calibri"/>
        </w:rPr>
        <w:t xml:space="preserve">is provided in </w:t>
      </w:r>
      <w:r w:rsidR="00F5234C" w:rsidRPr="587F422A">
        <w:rPr>
          <w:rFonts w:ascii="Calibri" w:eastAsia="Calibri" w:hAnsi="Calibri" w:cs="Calibri"/>
        </w:rPr>
        <w:t>s</w:t>
      </w:r>
      <w:r w:rsidRPr="587F422A">
        <w:rPr>
          <w:rFonts w:ascii="Calibri" w:eastAsia="Calibri" w:hAnsi="Calibri" w:cs="Calibri"/>
        </w:rPr>
        <w:t>ection 3.3.</w:t>
      </w:r>
    </w:p>
    <w:p w14:paraId="7BDC2EAE" w14:textId="280C92BB" w:rsidR="587F422A" w:rsidRDefault="587F422A">
      <w:r>
        <w:br w:type="page"/>
      </w:r>
    </w:p>
    <w:p w14:paraId="5010B284" w14:textId="131C24B2" w:rsidR="00D1133A" w:rsidRPr="00734A50" w:rsidRDefault="00D1133A" w:rsidP="587F422A">
      <w:pPr>
        <w:pStyle w:val="HeadingTable"/>
        <w:numPr>
          <w:ilvl w:val="0"/>
          <w:numId w:val="0"/>
        </w:numPr>
        <w:rPr>
          <w:sz w:val="22"/>
          <w:szCs w:val="22"/>
        </w:rPr>
      </w:pPr>
      <w:r w:rsidRPr="587F422A">
        <w:rPr>
          <w:sz w:val="22"/>
          <w:szCs w:val="22"/>
        </w:rPr>
        <w:lastRenderedPageBreak/>
        <w:t xml:space="preserve">Table </w:t>
      </w:r>
      <w:r w:rsidR="00EB68F5" w:rsidRPr="587F422A">
        <w:rPr>
          <w:sz w:val="22"/>
          <w:szCs w:val="22"/>
        </w:rPr>
        <w:t>3.</w:t>
      </w:r>
      <w:r w:rsidRPr="587F422A">
        <w:rPr>
          <w:sz w:val="22"/>
          <w:szCs w:val="22"/>
        </w:rPr>
        <w:fldChar w:fldCharType="begin"/>
      </w:r>
      <w:r w:rsidRPr="587F422A">
        <w:rPr>
          <w:sz w:val="22"/>
          <w:szCs w:val="22"/>
        </w:rPr>
        <w:instrText>SEQ Table \* ARABIC</w:instrText>
      </w:r>
      <w:r w:rsidRPr="587F422A">
        <w:rPr>
          <w:sz w:val="22"/>
          <w:szCs w:val="22"/>
        </w:rPr>
        <w:fldChar w:fldCharType="separate"/>
      </w:r>
      <w:r w:rsidR="00CC04C3" w:rsidRPr="587F422A">
        <w:rPr>
          <w:noProof/>
          <w:sz w:val="22"/>
          <w:szCs w:val="22"/>
        </w:rPr>
        <w:t>1</w:t>
      </w:r>
      <w:r w:rsidRPr="587F422A">
        <w:rPr>
          <w:sz w:val="22"/>
          <w:szCs w:val="22"/>
        </w:rPr>
        <w:fldChar w:fldCharType="end"/>
      </w:r>
      <w:bookmarkEnd w:id="85"/>
      <w:r w:rsidR="009D2A77" w:rsidRPr="587F422A">
        <w:rPr>
          <w:rFonts w:cstheme="minorBidi"/>
          <w:sz w:val="22"/>
          <w:szCs w:val="22"/>
        </w:rPr>
        <w:t>:</w:t>
      </w:r>
      <w:r w:rsidR="00B84E9B" w:rsidRPr="587F422A">
        <w:rPr>
          <w:rFonts w:cstheme="minorBidi"/>
          <w:sz w:val="22"/>
          <w:szCs w:val="22"/>
        </w:rPr>
        <w:t xml:space="preserve"> </w:t>
      </w:r>
      <w:r w:rsidRPr="587F422A">
        <w:rPr>
          <w:sz w:val="22"/>
          <w:szCs w:val="22"/>
        </w:rPr>
        <w:t>Consistent characteristics of high-quality practical experience</w:t>
      </w:r>
      <w:r w:rsidR="00B84E9B" w:rsidRPr="587F422A">
        <w:rPr>
          <w:sz w:val="22"/>
          <w:szCs w:val="22"/>
        </w:rPr>
        <w:t>s</w:t>
      </w:r>
      <w:r w:rsidRPr="587F422A">
        <w:rPr>
          <w:sz w:val="22"/>
          <w:szCs w:val="22"/>
        </w:rPr>
        <w:t xml:space="preserve"> for students</w:t>
      </w:r>
    </w:p>
    <w:tbl>
      <w:tblPr>
        <w:tblStyle w:val="GridTable4-Accent2"/>
        <w:tblW w:w="9209" w:type="dxa"/>
        <w:tblLook w:val="04A0" w:firstRow="1" w:lastRow="0" w:firstColumn="1" w:lastColumn="0" w:noHBand="0" w:noVBand="1"/>
      </w:tblPr>
      <w:tblGrid>
        <w:gridCol w:w="1837"/>
        <w:gridCol w:w="7372"/>
      </w:tblGrid>
      <w:tr w:rsidR="00B5252D" w:rsidRPr="00734A50" w14:paraId="1A15CC89" w14:textId="77777777" w:rsidTr="65FC3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7" w:type="dxa"/>
          </w:tcPr>
          <w:p w14:paraId="3D8707CA" w14:textId="77777777" w:rsidR="00B5252D" w:rsidRPr="00734A50" w:rsidRDefault="00B5252D">
            <w:pPr>
              <w:rPr>
                <w:color w:val="auto"/>
              </w:rPr>
            </w:pPr>
            <w:r w:rsidRPr="00734A50">
              <w:rPr>
                <w:color w:val="auto"/>
              </w:rPr>
              <w:t>Phase</w:t>
            </w:r>
          </w:p>
        </w:tc>
        <w:tc>
          <w:tcPr>
            <w:tcW w:w="7372" w:type="dxa"/>
          </w:tcPr>
          <w:p w14:paraId="0042B491" w14:textId="77777777" w:rsidR="00B5252D" w:rsidRPr="00734A50" w:rsidRDefault="00B5252D">
            <w:pPr>
              <w:cnfStyle w:val="100000000000" w:firstRow="1" w:lastRow="0" w:firstColumn="0" w:lastColumn="0" w:oddVBand="0" w:evenVBand="0" w:oddHBand="0" w:evenHBand="0" w:firstRowFirstColumn="0" w:firstRowLastColumn="0" w:lastRowFirstColumn="0" w:lastRowLastColumn="0"/>
              <w:rPr>
                <w:color w:val="auto"/>
              </w:rPr>
            </w:pPr>
            <w:r w:rsidRPr="00734A50">
              <w:rPr>
                <w:color w:val="auto"/>
              </w:rPr>
              <w:t>High-quality characteristic</w:t>
            </w:r>
          </w:p>
        </w:tc>
      </w:tr>
      <w:tr w:rsidR="00B5252D" w:rsidRPr="00734A50" w14:paraId="6A9D52BC" w14:textId="77777777" w:rsidTr="65FC3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7" w:type="dxa"/>
          </w:tcPr>
          <w:p w14:paraId="51545D8A" w14:textId="77777777" w:rsidR="00B5252D" w:rsidRPr="00734A50" w:rsidRDefault="00B5252D">
            <w:pPr>
              <w:rPr>
                <w:rFonts w:cstheme="minorHAnsi"/>
                <w:bCs w:val="0"/>
              </w:rPr>
            </w:pPr>
            <w:r w:rsidRPr="00734A50">
              <w:rPr>
                <w:rFonts w:cstheme="minorHAnsi"/>
              </w:rPr>
              <w:t>Before practical experience placements</w:t>
            </w:r>
          </w:p>
        </w:tc>
        <w:tc>
          <w:tcPr>
            <w:tcW w:w="7372" w:type="dxa"/>
          </w:tcPr>
          <w:p w14:paraId="2C956110" w14:textId="16F33056" w:rsidR="00B5252D" w:rsidRPr="00734A50" w:rsidRDefault="00B5252D" w:rsidP="002F590F">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 xml:space="preserve">Placements are easily arranged by the </w:t>
            </w:r>
            <w:r w:rsidR="0092545B" w:rsidRPr="00734A50">
              <w:t>higher education</w:t>
            </w:r>
            <w:r w:rsidRPr="00734A50">
              <w:t xml:space="preserve"> provider </w:t>
            </w:r>
          </w:p>
          <w:p w14:paraId="79B97E5F" w14:textId="77777777" w:rsidR="00B5252D" w:rsidRPr="00734A50" w:rsidRDefault="00B5252D" w:rsidP="002F590F">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An individual student’s placements occur in different settings</w:t>
            </w:r>
          </w:p>
          <w:p w14:paraId="5C32015D" w14:textId="74587110" w:rsidR="00B5252D" w:rsidRPr="00734A50" w:rsidRDefault="00B5252D" w:rsidP="002F590F">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 xml:space="preserve">The host school communicates with students </w:t>
            </w:r>
            <w:r w:rsidR="00AB2BA2" w:rsidRPr="00734A50">
              <w:t>before</w:t>
            </w:r>
            <w:r w:rsidRPr="00734A50">
              <w:t xml:space="preserve"> their placement </w:t>
            </w:r>
          </w:p>
          <w:p w14:paraId="056B3A8F" w14:textId="77777777" w:rsidR="00B5252D" w:rsidRPr="00734A50" w:rsidRDefault="00B5252D" w:rsidP="002F590F">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Each placement has an expected learning outcome aligned to one or more of the Australian Professional Standards for Teachers</w:t>
            </w:r>
          </w:p>
          <w:p w14:paraId="7DB23765" w14:textId="0DF6FA07" w:rsidR="00B5252D" w:rsidRPr="00734A50" w:rsidRDefault="00B5252D" w:rsidP="002F590F">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 xml:space="preserve">Students have a sound understanding of the skill level required of them </w:t>
            </w:r>
            <w:r w:rsidR="00AB2BA2" w:rsidRPr="00734A50">
              <w:t>before</w:t>
            </w:r>
            <w:r w:rsidRPr="00734A50">
              <w:t xml:space="preserve"> placement</w:t>
            </w:r>
          </w:p>
          <w:p w14:paraId="3904076A" w14:textId="77777777" w:rsidR="00B5252D" w:rsidRPr="00734A50" w:rsidRDefault="00B5252D" w:rsidP="002F590F">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Students are able to accommodate their other commitments around their placement</w:t>
            </w:r>
          </w:p>
        </w:tc>
      </w:tr>
      <w:tr w:rsidR="00B5252D" w:rsidRPr="00734A50" w14:paraId="089EF796" w14:textId="77777777" w:rsidTr="65FC3026">
        <w:tc>
          <w:tcPr>
            <w:cnfStyle w:val="001000000000" w:firstRow="0" w:lastRow="0" w:firstColumn="1" w:lastColumn="0" w:oddVBand="0" w:evenVBand="0" w:oddHBand="0" w:evenHBand="0" w:firstRowFirstColumn="0" w:firstRowLastColumn="0" w:lastRowFirstColumn="0" w:lastRowLastColumn="0"/>
            <w:tcW w:w="1837" w:type="dxa"/>
          </w:tcPr>
          <w:p w14:paraId="307BDF59" w14:textId="77777777" w:rsidR="00B5252D" w:rsidRPr="00734A50" w:rsidRDefault="00B5252D">
            <w:pPr>
              <w:rPr>
                <w:rFonts w:cstheme="minorHAnsi"/>
                <w:bCs w:val="0"/>
              </w:rPr>
            </w:pPr>
            <w:r w:rsidRPr="00734A50">
              <w:rPr>
                <w:rFonts w:cstheme="minorHAnsi"/>
              </w:rPr>
              <w:t>During practical experience placements</w:t>
            </w:r>
          </w:p>
        </w:tc>
        <w:tc>
          <w:tcPr>
            <w:tcW w:w="7372" w:type="dxa"/>
          </w:tcPr>
          <w:p w14:paraId="1B342623"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Students have a skilled mentor or supervising teacher</w:t>
            </w:r>
          </w:p>
          <w:p w14:paraId="3AA7C729"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Students are exposed to high-quality classroom teaching</w:t>
            </w:r>
          </w:p>
          <w:p w14:paraId="51903D72"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 xml:space="preserve">Expectations regarding student performance are clearly communicated </w:t>
            </w:r>
          </w:p>
          <w:p w14:paraId="2592182E" w14:textId="122D9346"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 xml:space="preserve">Tasks during placement are aligned with what a student was taught during their ITE </w:t>
            </w:r>
            <w:r w:rsidR="00A32228" w:rsidRPr="00734A50">
              <w:t>program</w:t>
            </w:r>
          </w:p>
          <w:p w14:paraId="70B66769" w14:textId="0A51AEC9"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 xml:space="preserve">Students undertake tasks focused on the Australian Professional Standards for </w:t>
            </w:r>
            <w:r w:rsidR="00CE73DD" w:rsidRPr="00734A50">
              <w:t>T</w:t>
            </w:r>
            <w:r w:rsidRPr="00734A50">
              <w:t>eachers</w:t>
            </w:r>
          </w:p>
          <w:p w14:paraId="20AA2B05" w14:textId="1C6B788B"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 xml:space="preserve">Students are provided opportunities to learn and develop their skills in the classroom appropriate to their level of expertise (e.g. </w:t>
            </w:r>
            <w:r w:rsidR="00CE73DD" w:rsidRPr="00734A50">
              <w:t>more</w:t>
            </w:r>
            <w:r w:rsidRPr="00734A50">
              <w:t xml:space="preserve"> guidance during their initial placement as opposed to </w:t>
            </w:r>
            <w:r w:rsidR="00CE73DD" w:rsidRPr="00734A50">
              <w:t>more</w:t>
            </w:r>
            <w:r w:rsidRPr="00734A50">
              <w:t xml:space="preserve"> independence later)</w:t>
            </w:r>
          </w:p>
          <w:p w14:paraId="3B412CAB"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Students receive regular observation, assessment and feedback to support their development</w:t>
            </w:r>
          </w:p>
          <w:p w14:paraId="4E5B6B65" w14:textId="4D34462F"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 xml:space="preserve">The </w:t>
            </w:r>
            <w:r w:rsidR="0092545B" w:rsidRPr="00734A50">
              <w:t>higher education</w:t>
            </w:r>
            <w:r w:rsidRPr="00734A50">
              <w:t xml:space="preserve"> provider maintains contact and provides support during a student’s placement </w:t>
            </w:r>
          </w:p>
          <w:p w14:paraId="2433E247"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Students feel connected to and receive support from peers during placement</w:t>
            </w:r>
          </w:p>
          <w:p w14:paraId="757C7670"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There are mechanisms in place to resolve a student’s grievances or issues while on placement</w:t>
            </w:r>
          </w:p>
          <w:p w14:paraId="42D88CD1" w14:textId="77777777" w:rsidR="00B5252D" w:rsidRPr="00734A50" w:rsidRDefault="00B5252D" w:rsidP="002F590F">
            <w:pPr>
              <w:pStyle w:val="ListBullet"/>
              <w:numPr>
                <w:ilvl w:val="0"/>
                <w:numId w:val="90"/>
              </w:numPr>
              <w:cnfStyle w:val="000000000000" w:firstRow="0" w:lastRow="0" w:firstColumn="0" w:lastColumn="0" w:oddVBand="0" w:evenVBand="0" w:oddHBand="0" w:evenHBand="0" w:firstRowFirstColumn="0" w:firstRowLastColumn="0" w:lastRowFirstColumn="0" w:lastRowLastColumn="0"/>
            </w:pPr>
            <w:r w:rsidRPr="00734A50">
              <w:t>Students feel they are able to manage their time while on placement</w:t>
            </w:r>
          </w:p>
        </w:tc>
      </w:tr>
      <w:tr w:rsidR="00B5252D" w:rsidRPr="00734A50" w14:paraId="1739A1AB" w14:textId="77777777" w:rsidTr="65FC3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7" w:type="dxa"/>
          </w:tcPr>
          <w:p w14:paraId="558CD7CF" w14:textId="77777777" w:rsidR="00B5252D" w:rsidRPr="00734A50" w:rsidRDefault="00B5252D">
            <w:pPr>
              <w:rPr>
                <w:rFonts w:cstheme="minorHAnsi"/>
                <w:bCs w:val="0"/>
              </w:rPr>
            </w:pPr>
            <w:r w:rsidRPr="00734A50">
              <w:rPr>
                <w:rFonts w:cstheme="minorHAnsi"/>
              </w:rPr>
              <w:t>After practical experience placements</w:t>
            </w:r>
          </w:p>
        </w:tc>
        <w:tc>
          <w:tcPr>
            <w:tcW w:w="7372" w:type="dxa"/>
          </w:tcPr>
          <w:p w14:paraId="17400162" w14:textId="77777777" w:rsidR="00B5252D" w:rsidRPr="00734A50" w:rsidRDefault="00B5252D" w:rsidP="000C715B">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A student’s required documentation is completed in a timely manner</w:t>
            </w:r>
          </w:p>
          <w:p w14:paraId="0D81D6A2" w14:textId="77777777" w:rsidR="00B5252D" w:rsidRPr="00734A50" w:rsidRDefault="00B5252D" w:rsidP="000C715B">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The school communicates with the student post placement</w:t>
            </w:r>
          </w:p>
          <w:p w14:paraId="4913CA03" w14:textId="10EA5E3D" w:rsidR="00B5252D" w:rsidRPr="00734A50" w:rsidRDefault="00B5252D" w:rsidP="000C715B">
            <w:pPr>
              <w:pStyle w:val="ListBullet"/>
              <w:numPr>
                <w:ilvl w:val="0"/>
                <w:numId w:val="90"/>
              </w:numPr>
              <w:cnfStyle w:val="000000100000" w:firstRow="0" w:lastRow="0" w:firstColumn="0" w:lastColumn="0" w:oddVBand="0" w:evenVBand="0" w:oddHBand="1" w:evenHBand="0" w:firstRowFirstColumn="0" w:firstRowLastColumn="0" w:lastRowFirstColumn="0" w:lastRowLastColumn="0"/>
            </w:pPr>
            <w:r w:rsidRPr="00734A50">
              <w:t xml:space="preserve">A </w:t>
            </w:r>
            <w:r w:rsidR="0092545B" w:rsidRPr="00734A50">
              <w:t>higher education</w:t>
            </w:r>
            <w:r w:rsidRPr="00734A50">
              <w:t xml:space="preserve"> provider allows a student to reflect on and share their placement experience</w:t>
            </w:r>
          </w:p>
        </w:tc>
      </w:tr>
    </w:tbl>
    <w:p w14:paraId="5BB147B0" w14:textId="7156DE82" w:rsidR="002942AC" w:rsidRPr="00734A50" w:rsidRDefault="008C35D6" w:rsidP="00E73BBF">
      <w:pPr>
        <w:pStyle w:val="Heading3"/>
      </w:pPr>
      <w:bookmarkStart w:id="86" w:name="_Toc139366654"/>
      <w:r w:rsidRPr="00734A50">
        <w:t xml:space="preserve">3.2 </w:t>
      </w:r>
      <w:r w:rsidR="00F73431" w:rsidRPr="00734A50">
        <w:t>R</w:t>
      </w:r>
      <w:r w:rsidR="00A677BB" w:rsidRPr="00734A50">
        <w:t>eforms</w:t>
      </w:r>
      <w:r w:rsidR="00F73431" w:rsidRPr="00734A50">
        <w:t xml:space="preserve"> to improve the quality of practical experience</w:t>
      </w:r>
      <w:bookmarkEnd w:id="86"/>
      <w:r w:rsidR="00F705E6" w:rsidRPr="00734A50">
        <w:t xml:space="preserve"> </w:t>
      </w:r>
    </w:p>
    <w:p w14:paraId="2F45F943" w14:textId="417B6E7A" w:rsidR="00796C87" w:rsidRPr="00734A50" w:rsidRDefault="5E2AA90D" w:rsidP="00CE73DD">
      <w:pPr>
        <w:spacing w:after="0"/>
      </w:pPr>
      <w:r w:rsidRPr="00734A50">
        <w:t xml:space="preserve">The TEMAG reforms </w:t>
      </w:r>
      <w:r w:rsidR="0C7A471A" w:rsidRPr="00734A50">
        <w:t xml:space="preserve">sought to improve the quality of practical experience through </w:t>
      </w:r>
      <w:r w:rsidRPr="00734A50">
        <w:t>introduc</w:t>
      </w:r>
      <w:r w:rsidR="0C7A471A" w:rsidRPr="00734A50">
        <w:t>ing</w:t>
      </w:r>
      <w:r w:rsidRPr="00734A50">
        <w:t xml:space="preserve"> mechanisms focused on </w:t>
      </w:r>
      <w:r w:rsidR="000C4EF5" w:rsidRPr="00734A50">
        <w:t>higher education</w:t>
      </w:r>
      <w:r w:rsidRPr="00734A50">
        <w:t xml:space="preserve"> providers, largely through accreditation and formalised partnerships between providers and schools. </w:t>
      </w:r>
      <w:r w:rsidR="00245AFD" w:rsidRPr="00734A50">
        <w:t>This included:</w:t>
      </w:r>
    </w:p>
    <w:p w14:paraId="017C2E59" w14:textId="09BD7CFF" w:rsidR="00245AFD" w:rsidRPr="00734A50" w:rsidRDefault="00043A65" w:rsidP="00553516">
      <w:pPr>
        <w:pStyle w:val="ListBullet"/>
        <w:numPr>
          <w:ilvl w:val="0"/>
          <w:numId w:val="216"/>
        </w:numPr>
        <w:spacing w:after="200"/>
        <w:ind w:left="357" w:hanging="357"/>
      </w:pPr>
      <w:r w:rsidRPr="00734A50">
        <w:t>h</w:t>
      </w:r>
      <w:r w:rsidR="000C5331" w:rsidRPr="00734A50">
        <w:t>igher education providers to deliver i</w:t>
      </w:r>
      <w:r w:rsidR="00245AFD" w:rsidRPr="00734A50">
        <w:t>ntegrated and structured professional experience through formalised partnership agreements with schools</w:t>
      </w:r>
    </w:p>
    <w:p w14:paraId="3C2EFC0B" w14:textId="19BAE364" w:rsidR="00263A9F" w:rsidRPr="00734A50" w:rsidRDefault="00043A65" w:rsidP="00553516">
      <w:pPr>
        <w:pStyle w:val="ListBullet"/>
        <w:numPr>
          <w:ilvl w:val="0"/>
          <w:numId w:val="216"/>
        </w:numPr>
        <w:spacing w:after="200"/>
        <w:ind w:left="357" w:hanging="357"/>
      </w:pPr>
      <w:r w:rsidRPr="00734A50">
        <w:lastRenderedPageBreak/>
        <w:t>h</w:t>
      </w:r>
      <w:r w:rsidR="00263A9F" w:rsidRPr="00734A50">
        <w:t xml:space="preserve">igher education providers to ensure sufficient placements of appropriate timing and </w:t>
      </w:r>
      <w:r w:rsidR="00263A9F">
        <w:t>length</w:t>
      </w:r>
      <w:r w:rsidR="00263A9F" w:rsidRPr="00734A50">
        <w:t xml:space="preserve"> are available for all </w:t>
      </w:r>
      <w:r w:rsidR="00B43118" w:rsidRPr="00734A50">
        <w:t>ITE students</w:t>
      </w:r>
    </w:p>
    <w:p w14:paraId="31D47939" w14:textId="30294D1D" w:rsidR="00245AFD" w:rsidRPr="00734A50" w:rsidRDefault="00043A65" w:rsidP="00553516">
      <w:pPr>
        <w:pStyle w:val="ListBullet"/>
        <w:numPr>
          <w:ilvl w:val="0"/>
          <w:numId w:val="216"/>
        </w:numPr>
        <w:spacing w:after="200"/>
        <w:ind w:left="357" w:hanging="357"/>
      </w:pPr>
      <w:r w:rsidRPr="00734A50">
        <w:t xml:space="preserve">higher education providers to ensure </w:t>
      </w:r>
      <w:r w:rsidR="00B43118" w:rsidRPr="00734A50">
        <w:t>ITE students</w:t>
      </w:r>
      <w:r w:rsidRPr="00734A50">
        <w:t xml:space="preserve"> have early opportunities to assess suitability for teaching, including through exposure to the classroom</w:t>
      </w:r>
    </w:p>
    <w:p w14:paraId="0207D020" w14:textId="3EFB6075" w:rsidR="00043A65" w:rsidRPr="00734A50" w:rsidRDefault="00043A65" w:rsidP="00553516">
      <w:pPr>
        <w:pStyle w:val="ListBullet"/>
        <w:numPr>
          <w:ilvl w:val="0"/>
          <w:numId w:val="216"/>
        </w:numPr>
        <w:spacing w:after="200"/>
        <w:ind w:left="357" w:hanging="357"/>
      </w:pPr>
      <w:r w:rsidRPr="00734A50">
        <w:t xml:space="preserve">systems/schools </w:t>
      </w:r>
      <w:r w:rsidR="00686D14" w:rsidRPr="00734A50">
        <w:t>to</w:t>
      </w:r>
      <w:r w:rsidRPr="00734A50">
        <w:t xml:space="preserve"> use the Teacher Standards in identifying highly skilled teachers to supervise practical experience</w:t>
      </w:r>
      <w:r w:rsidR="00F2705F" w:rsidRPr="00734A50">
        <w:t>.</w:t>
      </w:r>
    </w:p>
    <w:p w14:paraId="276F775E" w14:textId="417A4318" w:rsidR="004234A7" w:rsidRPr="00734A50" w:rsidRDefault="5E2AA90D" w:rsidP="00553516">
      <w:pPr>
        <w:spacing w:after="0"/>
      </w:pPr>
      <w:r w:rsidRPr="00734A50">
        <w:t>These reforms have gone some of the way to improving the quality of practical experience</w:t>
      </w:r>
      <w:r w:rsidR="00C754AB" w:rsidRPr="00734A50">
        <w:t xml:space="preserve">. </w:t>
      </w:r>
      <w:r w:rsidR="004234A7" w:rsidRPr="00734A50">
        <w:rPr>
          <w:rFonts w:ascii="Calibri" w:eastAsia="Calibri" w:hAnsi="Calibri" w:cs="Calibri"/>
        </w:rPr>
        <w:t xml:space="preserve">Despite </w:t>
      </w:r>
      <w:r w:rsidR="00E243CC" w:rsidRPr="00734A50">
        <w:rPr>
          <w:rFonts w:ascii="Calibri" w:eastAsia="Calibri" w:hAnsi="Calibri" w:cs="Calibri"/>
        </w:rPr>
        <w:t>this</w:t>
      </w:r>
      <w:r w:rsidR="004234A7" w:rsidRPr="00734A50">
        <w:rPr>
          <w:rFonts w:ascii="Calibri" w:eastAsia="Calibri" w:hAnsi="Calibri" w:cs="Calibri"/>
        </w:rPr>
        <w:t>, ITE students report they are still not consistently experiencing high</w:t>
      </w:r>
      <w:r w:rsidR="00A63E85" w:rsidRPr="00734A50">
        <w:rPr>
          <w:rFonts w:ascii="Calibri" w:eastAsia="Calibri" w:hAnsi="Calibri" w:cs="Calibri"/>
        </w:rPr>
        <w:t>-</w:t>
      </w:r>
      <w:r w:rsidR="004234A7" w:rsidRPr="00734A50">
        <w:rPr>
          <w:rFonts w:ascii="Calibri" w:eastAsia="Calibri" w:hAnsi="Calibri" w:cs="Calibri"/>
        </w:rPr>
        <w:t xml:space="preserve">quality placements. </w:t>
      </w:r>
      <w:r w:rsidR="004234A7" w:rsidRPr="00734A50">
        <w:rPr>
          <w:rFonts w:cstheme="minorHAnsi"/>
        </w:rPr>
        <w:t xml:space="preserve">The Panel’s survey results revealed </w:t>
      </w:r>
      <w:r w:rsidR="004D6A00" w:rsidRPr="00734A50">
        <w:rPr>
          <w:rFonts w:cstheme="minorHAnsi"/>
        </w:rPr>
        <w:t xml:space="preserve">that </w:t>
      </w:r>
      <w:r w:rsidR="004234A7" w:rsidRPr="00734A50">
        <w:rPr>
          <w:rFonts w:cstheme="minorHAnsi"/>
        </w:rPr>
        <w:t xml:space="preserve">there were </w:t>
      </w:r>
      <w:r w:rsidR="00986866" w:rsidRPr="00734A50">
        <w:rPr>
          <w:rFonts w:cstheme="minorHAnsi"/>
        </w:rPr>
        <w:t>five</w:t>
      </w:r>
      <w:r w:rsidR="004234A7" w:rsidRPr="00734A50">
        <w:rPr>
          <w:rFonts w:cstheme="minorHAnsi"/>
        </w:rPr>
        <w:t xml:space="preserve"> key characteristics </w:t>
      </w:r>
      <w:r w:rsidR="00BB1DD4" w:rsidRPr="00734A50">
        <w:rPr>
          <w:rFonts w:cstheme="minorHAnsi"/>
        </w:rPr>
        <w:t xml:space="preserve">of high-quality </w:t>
      </w:r>
      <w:r w:rsidR="00FB174F" w:rsidRPr="00734A50">
        <w:rPr>
          <w:rFonts w:cstheme="minorHAnsi"/>
        </w:rPr>
        <w:t xml:space="preserve">placements that </w:t>
      </w:r>
      <w:r w:rsidR="004234A7" w:rsidRPr="00734A50">
        <w:rPr>
          <w:rFonts w:cstheme="minorHAnsi"/>
        </w:rPr>
        <w:t>many ITE students did not experience during and after their placement</w:t>
      </w:r>
      <w:r w:rsidR="00A5067E" w:rsidRPr="00734A50">
        <w:t>:</w:t>
      </w:r>
    </w:p>
    <w:p w14:paraId="7A431E65" w14:textId="0D5372F3" w:rsidR="004234A7" w:rsidRPr="00734A50" w:rsidRDefault="004234A7" w:rsidP="00553516">
      <w:pPr>
        <w:pStyle w:val="ListBullet"/>
        <w:numPr>
          <w:ilvl w:val="0"/>
          <w:numId w:val="216"/>
        </w:numPr>
        <w:spacing w:after="200"/>
        <w:ind w:left="357" w:hanging="357"/>
      </w:pPr>
      <w:r w:rsidRPr="00734A50">
        <w:t>30</w:t>
      </w:r>
      <w:r w:rsidR="00C43875" w:rsidRPr="00734A50">
        <w:t xml:space="preserve"> per cent</w:t>
      </w:r>
      <w:r w:rsidRPr="00734A50">
        <w:t xml:space="preserve"> of students </w:t>
      </w:r>
      <w:r w:rsidR="00A5067E" w:rsidRPr="00734A50">
        <w:t xml:space="preserve">indicated </w:t>
      </w:r>
      <w:r w:rsidRPr="00734A50">
        <w:t xml:space="preserve">that there were no appropriate mechanisms in place to resolve grievances or issues during their placement </w:t>
      </w:r>
    </w:p>
    <w:p w14:paraId="445BD69D" w14:textId="77777777" w:rsidR="00574107" w:rsidRPr="00734A50" w:rsidRDefault="00574107" w:rsidP="00553516">
      <w:pPr>
        <w:pStyle w:val="ListBullet"/>
        <w:numPr>
          <w:ilvl w:val="0"/>
          <w:numId w:val="216"/>
        </w:numPr>
        <w:spacing w:after="200"/>
        <w:ind w:left="357" w:hanging="357"/>
      </w:pPr>
      <w:r w:rsidRPr="00734A50">
        <w:t>27 per cent of students did not feel that the expectations of their performance were clearly communicated</w:t>
      </w:r>
    </w:p>
    <w:p w14:paraId="7BF2134E" w14:textId="6DAE82E0" w:rsidR="004234A7" w:rsidRPr="00734A50" w:rsidRDefault="004234A7" w:rsidP="00553516">
      <w:pPr>
        <w:pStyle w:val="ListBullet"/>
        <w:numPr>
          <w:ilvl w:val="0"/>
          <w:numId w:val="216"/>
        </w:numPr>
        <w:spacing w:after="200"/>
        <w:ind w:left="357" w:hanging="357"/>
      </w:pPr>
      <w:r w:rsidRPr="00734A50">
        <w:t>30</w:t>
      </w:r>
      <w:r w:rsidR="00C43875" w:rsidRPr="00734A50">
        <w:t xml:space="preserve"> per cent</w:t>
      </w:r>
      <w:r w:rsidRPr="00734A50">
        <w:t xml:space="preserve"> of students felt that they could not connect </w:t>
      </w:r>
      <w:r w:rsidR="00A5067E" w:rsidRPr="00734A50">
        <w:t xml:space="preserve">with </w:t>
      </w:r>
      <w:r w:rsidRPr="00734A50">
        <w:t xml:space="preserve">and receive support from their peers during placement </w:t>
      </w:r>
    </w:p>
    <w:p w14:paraId="538AD84B" w14:textId="04805F0A" w:rsidR="004234A7" w:rsidRPr="00734A50" w:rsidRDefault="004234A7" w:rsidP="00553516">
      <w:pPr>
        <w:pStyle w:val="ListBullet"/>
        <w:numPr>
          <w:ilvl w:val="0"/>
          <w:numId w:val="216"/>
        </w:numPr>
        <w:spacing w:after="200"/>
        <w:ind w:left="357" w:hanging="357"/>
      </w:pPr>
      <w:r w:rsidRPr="00734A50">
        <w:t>3</w:t>
      </w:r>
      <w:r w:rsidR="00527B34" w:rsidRPr="00734A50">
        <w:t>2 per cent</w:t>
      </w:r>
      <w:r w:rsidRPr="00734A50">
        <w:t xml:space="preserve"> </w:t>
      </w:r>
      <w:r w:rsidR="1E9C33D7">
        <w:t xml:space="preserve">of students </w:t>
      </w:r>
      <w:r w:rsidRPr="00734A50">
        <w:t xml:space="preserve">said that they were not able to manage their time </w:t>
      </w:r>
      <w:r w:rsidR="463D7C4D" w:rsidRPr="00734A50">
        <w:t xml:space="preserve">and their other commitments </w:t>
      </w:r>
      <w:r w:rsidRPr="00734A50">
        <w:t>while on placement</w:t>
      </w:r>
    </w:p>
    <w:p w14:paraId="10988FEA" w14:textId="51C96AD9" w:rsidR="004234A7" w:rsidRPr="00734A50" w:rsidRDefault="004234A7" w:rsidP="00553516">
      <w:pPr>
        <w:pStyle w:val="ListBullet"/>
        <w:numPr>
          <w:ilvl w:val="0"/>
          <w:numId w:val="216"/>
        </w:numPr>
        <w:spacing w:after="200"/>
        <w:ind w:left="357" w:hanging="357"/>
      </w:pPr>
      <w:r w:rsidRPr="00734A50">
        <w:t>32</w:t>
      </w:r>
      <w:r w:rsidR="00527B34" w:rsidRPr="00734A50">
        <w:t xml:space="preserve"> per cent</w:t>
      </w:r>
      <w:r w:rsidRPr="00734A50">
        <w:t xml:space="preserve"> of students </w:t>
      </w:r>
      <w:r w:rsidR="00A5067E" w:rsidRPr="00734A50">
        <w:t xml:space="preserve">indicated </w:t>
      </w:r>
      <w:r w:rsidRPr="00734A50">
        <w:t xml:space="preserve">that their </w:t>
      </w:r>
      <w:r w:rsidR="00F40EFB" w:rsidRPr="00734A50">
        <w:t>higher education</w:t>
      </w:r>
      <w:r w:rsidRPr="00734A50">
        <w:t xml:space="preserve"> provider did not give them the opportunity to reflect</w:t>
      </w:r>
      <w:r w:rsidR="00A5067E" w:rsidRPr="00734A50">
        <w:t xml:space="preserve"> on</w:t>
      </w:r>
      <w:r w:rsidRPr="00734A50">
        <w:t xml:space="preserve"> and share their placement experience.</w:t>
      </w:r>
    </w:p>
    <w:p w14:paraId="70DBED13" w14:textId="79779FEB" w:rsidR="00DC30C8" w:rsidRPr="00734A50" w:rsidRDefault="00DC30C8" w:rsidP="3B467E30">
      <w:pPr>
        <w:pStyle w:val="NormalTextBulleted"/>
        <w:numPr>
          <w:ilvl w:val="0"/>
          <w:numId w:val="0"/>
        </w:numPr>
        <w:rPr>
          <w:rFonts w:asciiTheme="minorHAnsi" w:hAnsiTheme="minorHAnsi" w:cstheme="minorBidi"/>
          <w:sz w:val="22"/>
        </w:rPr>
      </w:pPr>
      <w:bookmarkStart w:id="87" w:name="_Ref132122317"/>
      <w:r w:rsidRPr="00734A50">
        <w:rPr>
          <w:rFonts w:asciiTheme="minorHAnsi" w:hAnsiTheme="minorHAnsi" w:cstheme="minorBidi"/>
          <w:sz w:val="22"/>
        </w:rPr>
        <w:t>ITE students in regional and remote locations were less likely to report experiencing high</w:t>
      </w:r>
      <w:r w:rsidR="00A63E85" w:rsidRPr="00734A50">
        <w:rPr>
          <w:rFonts w:asciiTheme="minorHAnsi" w:hAnsiTheme="minorHAnsi" w:cstheme="minorBidi"/>
          <w:sz w:val="22"/>
        </w:rPr>
        <w:t>-</w:t>
      </w:r>
      <w:r w:rsidRPr="00734A50">
        <w:rPr>
          <w:rFonts w:asciiTheme="minorHAnsi" w:hAnsiTheme="minorHAnsi" w:cstheme="minorBidi"/>
          <w:sz w:val="22"/>
        </w:rPr>
        <w:t>quality practical experience. For example, only 45</w:t>
      </w:r>
      <w:r w:rsidR="00281352" w:rsidRPr="00734A50">
        <w:rPr>
          <w:rFonts w:asciiTheme="minorHAnsi" w:hAnsiTheme="minorHAnsi" w:cstheme="minorBidi"/>
          <w:sz w:val="22"/>
        </w:rPr>
        <w:t xml:space="preserve"> per cent</w:t>
      </w:r>
      <w:r w:rsidRPr="00734A50">
        <w:rPr>
          <w:rFonts w:asciiTheme="minorHAnsi" w:hAnsiTheme="minorHAnsi" w:cstheme="minorBidi"/>
          <w:sz w:val="22"/>
        </w:rPr>
        <w:t xml:space="preserve"> </w:t>
      </w:r>
      <w:r w:rsidR="00A5067E" w:rsidRPr="00734A50">
        <w:rPr>
          <w:rFonts w:asciiTheme="minorHAnsi" w:hAnsiTheme="minorHAnsi" w:cstheme="minorBidi"/>
          <w:sz w:val="22"/>
        </w:rPr>
        <w:t xml:space="preserve">of students in remote areas </w:t>
      </w:r>
      <w:r w:rsidRPr="00734A50">
        <w:rPr>
          <w:rFonts w:asciiTheme="minorHAnsi" w:hAnsiTheme="minorHAnsi" w:cstheme="minorBidi"/>
          <w:sz w:val="22"/>
        </w:rPr>
        <w:t xml:space="preserve">received regular observation, assessment and feedback to support their development. A lower proportion of students in remote areas had an opportunity to learn skills and content aligned to their ITE </w:t>
      </w:r>
      <w:r w:rsidR="00A32228" w:rsidRPr="00734A50">
        <w:rPr>
          <w:rFonts w:asciiTheme="minorHAnsi" w:hAnsiTheme="minorHAnsi" w:cstheme="minorBidi"/>
          <w:sz w:val="22"/>
        </w:rPr>
        <w:t xml:space="preserve">program </w:t>
      </w:r>
      <w:r w:rsidRPr="00734A50">
        <w:rPr>
          <w:rFonts w:asciiTheme="minorHAnsi" w:hAnsiTheme="minorHAnsi" w:cstheme="minorBidi"/>
          <w:sz w:val="22"/>
        </w:rPr>
        <w:t>and at a level appropriate to their expertise.</w:t>
      </w:r>
    </w:p>
    <w:p w14:paraId="728633B2" w14:textId="07BC18B5" w:rsidR="00D00FF7" w:rsidRPr="00734A50" w:rsidRDefault="00EB68F5" w:rsidP="00E73BBF">
      <w:pPr>
        <w:pStyle w:val="Heading3"/>
      </w:pPr>
      <w:bookmarkStart w:id="88" w:name="_Toc139366655"/>
      <w:r w:rsidRPr="00734A50">
        <w:t>3</w:t>
      </w:r>
      <w:bookmarkEnd w:id="87"/>
      <w:r w:rsidR="0016408B" w:rsidRPr="00734A50">
        <w:t>.3 Key challenges to delivery</w:t>
      </w:r>
      <w:r w:rsidR="00D00FF7" w:rsidRPr="00734A50">
        <w:t xml:space="preserve"> </w:t>
      </w:r>
      <w:r w:rsidR="00880FDC" w:rsidRPr="00734A50">
        <w:t xml:space="preserve">of </w:t>
      </w:r>
      <w:r w:rsidR="00D00FF7" w:rsidRPr="00734A50">
        <w:t>high</w:t>
      </w:r>
      <w:r w:rsidR="00A63E85" w:rsidRPr="00734A50">
        <w:t>-</w:t>
      </w:r>
      <w:r w:rsidR="00D00FF7" w:rsidRPr="00734A50">
        <w:t xml:space="preserve">quality </w:t>
      </w:r>
      <w:r w:rsidR="0016408B" w:rsidRPr="00734A50">
        <w:t>practicum</w:t>
      </w:r>
      <w:r w:rsidR="00D00FF7" w:rsidRPr="00734A50">
        <w:t xml:space="preserve"> </w:t>
      </w:r>
      <w:r w:rsidR="00D00FF7">
        <w:t>placement</w:t>
      </w:r>
      <w:r w:rsidR="3A290DD0">
        <w:t>s</w:t>
      </w:r>
      <w:bookmarkEnd w:id="88"/>
    </w:p>
    <w:p w14:paraId="6DDB6005" w14:textId="5A60DE5B" w:rsidR="00C138D0" w:rsidRPr="00734A50" w:rsidRDefault="00A25B22" w:rsidP="008D391C">
      <w:r w:rsidRPr="00734A50">
        <w:t xml:space="preserve">Despite reform efforts </w:t>
      </w:r>
      <w:r w:rsidR="000729C2" w:rsidRPr="00734A50">
        <w:t>since TEMAG, k</w:t>
      </w:r>
      <w:r w:rsidR="00C138D0" w:rsidRPr="00734A50">
        <w:t>ey challenges in delivering consistently high-quality practical experience</w:t>
      </w:r>
      <w:r w:rsidR="00A5067E" w:rsidRPr="00734A50">
        <w:t xml:space="preserve"> persist</w:t>
      </w:r>
      <w:r w:rsidR="00C138D0" w:rsidRPr="00734A50">
        <w:t>.</w:t>
      </w:r>
    </w:p>
    <w:p w14:paraId="336336B8" w14:textId="051EC8F3" w:rsidR="00747BCE" w:rsidRPr="00734A50" w:rsidRDefault="00747BCE" w:rsidP="000C2F25">
      <w:pPr>
        <w:pStyle w:val="Heading4"/>
      </w:pPr>
      <w:r w:rsidRPr="00734A50">
        <w:t>3.</w:t>
      </w:r>
      <w:r w:rsidR="000E6D3A" w:rsidRPr="00734A50">
        <w:t>3</w:t>
      </w:r>
      <w:r w:rsidRPr="00734A50">
        <w:t>.</w:t>
      </w:r>
      <w:r w:rsidR="00FC7141" w:rsidRPr="00734A50">
        <w:t>1</w:t>
      </w:r>
      <w:r w:rsidRPr="00734A50">
        <w:t xml:space="preserve"> Variable support for high-quality practical experience </w:t>
      </w:r>
    </w:p>
    <w:p w14:paraId="43BD77E7" w14:textId="53E52501" w:rsidR="008A0376" w:rsidRDefault="00747BCE" w:rsidP="00FE57C2">
      <w:pPr>
        <w:rPr>
          <w:color w:val="000000" w:themeColor="text1"/>
        </w:rPr>
      </w:pPr>
      <w:r w:rsidRPr="00734A50">
        <w:t xml:space="preserve">There is a large degree of variation in how </w:t>
      </w:r>
      <w:r w:rsidR="00A118E1" w:rsidRPr="00734A50">
        <w:t xml:space="preserve">practical experience is </w:t>
      </w:r>
      <w:r w:rsidRPr="00734A50">
        <w:t xml:space="preserve">implemented </w:t>
      </w:r>
      <w:r w:rsidR="00A118E1" w:rsidRPr="00734A50">
        <w:t>across jurisdictions</w:t>
      </w:r>
      <w:r w:rsidRPr="00734A50">
        <w:t xml:space="preserve"> (se</w:t>
      </w:r>
      <w:r w:rsidR="00541AB1" w:rsidRPr="00734A50">
        <w:t>e Table 3.2</w:t>
      </w:r>
      <w:r w:rsidR="00FE57C2" w:rsidRPr="00734A50">
        <w:rPr>
          <w:color w:val="000000" w:themeColor="text1"/>
        </w:rPr>
        <w:t xml:space="preserve">). </w:t>
      </w:r>
    </w:p>
    <w:p w14:paraId="18C96CA2" w14:textId="77777777" w:rsidR="008A0376" w:rsidRDefault="008A0376">
      <w:pPr>
        <w:spacing w:after="160" w:line="259" w:lineRule="auto"/>
        <w:rPr>
          <w:color w:val="000000" w:themeColor="text1"/>
        </w:rPr>
      </w:pPr>
      <w:r>
        <w:rPr>
          <w:color w:val="000000" w:themeColor="text1"/>
        </w:rPr>
        <w:br w:type="page"/>
      </w:r>
    </w:p>
    <w:p w14:paraId="567A1D18" w14:textId="427E1506" w:rsidR="00747BCE" w:rsidRPr="00734A50" w:rsidRDefault="00747BCE" w:rsidP="3B467E30">
      <w:pPr>
        <w:pStyle w:val="HeadingTable"/>
        <w:numPr>
          <w:ilvl w:val="0"/>
          <w:numId w:val="0"/>
        </w:numPr>
        <w:ind w:left="360" w:hanging="360"/>
        <w:rPr>
          <w:sz w:val="22"/>
          <w:szCs w:val="28"/>
        </w:rPr>
      </w:pPr>
      <w:r w:rsidRPr="00734A50">
        <w:rPr>
          <w:sz w:val="22"/>
          <w:szCs w:val="28"/>
        </w:rPr>
        <w:lastRenderedPageBreak/>
        <w:t>Table 3.</w:t>
      </w:r>
      <w:r w:rsidRPr="00734A50">
        <w:rPr>
          <w:sz w:val="22"/>
          <w:szCs w:val="28"/>
        </w:rPr>
        <w:fldChar w:fldCharType="begin"/>
      </w:r>
      <w:r w:rsidRPr="00734A50">
        <w:rPr>
          <w:sz w:val="22"/>
          <w:szCs w:val="28"/>
        </w:rPr>
        <w:instrText>SEQ Table \* ARABIC</w:instrText>
      </w:r>
      <w:r w:rsidRPr="00734A50">
        <w:rPr>
          <w:sz w:val="22"/>
          <w:szCs w:val="28"/>
        </w:rPr>
        <w:fldChar w:fldCharType="separate"/>
      </w:r>
      <w:r w:rsidR="00CC04C3">
        <w:rPr>
          <w:noProof/>
          <w:sz w:val="22"/>
          <w:szCs w:val="28"/>
        </w:rPr>
        <w:t>2</w:t>
      </w:r>
      <w:r w:rsidRPr="00734A50">
        <w:rPr>
          <w:sz w:val="22"/>
          <w:szCs w:val="28"/>
        </w:rPr>
        <w:fldChar w:fldCharType="end"/>
      </w:r>
      <w:r w:rsidR="009D2A77" w:rsidRPr="00734A50">
        <w:rPr>
          <w:rFonts w:cstheme="minorHAnsi"/>
          <w:sz w:val="22"/>
          <w:szCs w:val="28"/>
        </w:rPr>
        <w:t>:</w:t>
      </w:r>
      <w:r w:rsidR="00B84E9B" w:rsidRPr="00734A50">
        <w:rPr>
          <w:rFonts w:cstheme="minorHAnsi"/>
          <w:sz w:val="22"/>
          <w:szCs w:val="28"/>
        </w:rPr>
        <w:t xml:space="preserve"> </w:t>
      </w:r>
      <w:r w:rsidRPr="00734A50">
        <w:rPr>
          <w:sz w:val="22"/>
          <w:szCs w:val="28"/>
        </w:rPr>
        <w:t>Gaps in implementation of support mechanisms across jurisdictions</w:t>
      </w:r>
    </w:p>
    <w:tbl>
      <w:tblPr>
        <w:tblStyle w:val="GridTable4-Accent2"/>
        <w:tblW w:w="9209" w:type="dxa"/>
        <w:tblLook w:val="04A0" w:firstRow="1" w:lastRow="0" w:firstColumn="1" w:lastColumn="0" w:noHBand="0" w:noVBand="1"/>
      </w:tblPr>
      <w:tblGrid>
        <w:gridCol w:w="2546"/>
        <w:gridCol w:w="6663"/>
      </w:tblGrid>
      <w:tr w:rsidR="00747BCE" w:rsidRPr="00734A50" w14:paraId="75A11135" w14:textId="77777777" w:rsidTr="14688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25BB17BC" w14:textId="77777777" w:rsidR="00747BCE" w:rsidRPr="00734A50" w:rsidRDefault="00747BCE" w:rsidP="00916A71">
            <w:pPr>
              <w:pStyle w:val="NormalTextBulleted"/>
              <w:numPr>
                <w:ilvl w:val="0"/>
                <w:numId w:val="0"/>
              </w:numPr>
              <w:rPr>
                <w:rFonts w:asciiTheme="minorHAnsi" w:hAnsiTheme="minorHAnsi" w:cstheme="minorHAnsi"/>
                <w:color w:val="auto"/>
                <w:sz w:val="22"/>
              </w:rPr>
            </w:pPr>
            <w:r w:rsidRPr="00734A50">
              <w:rPr>
                <w:rFonts w:asciiTheme="minorHAnsi" w:hAnsiTheme="minorHAnsi" w:cstheme="minorHAnsi"/>
                <w:color w:val="auto"/>
                <w:sz w:val="22"/>
              </w:rPr>
              <w:t>Support mechanisms</w:t>
            </w:r>
          </w:p>
        </w:tc>
        <w:tc>
          <w:tcPr>
            <w:tcW w:w="6663" w:type="dxa"/>
          </w:tcPr>
          <w:p w14:paraId="158A4C62" w14:textId="77777777" w:rsidR="00747BCE" w:rsidRPr="00734A50" w:rsidRDefault="00747BCE" w:rsidP="00916A71">
            <w:pPr>
              <w:pStyle w:val="NormalTextBulleted"/>
              <w:numPr>
                <w:ilvl w:val="0"/>
                <w:numId w:val="0"/>
              </w:num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sidRPr="00734A50">
              <w:rPr>
                <w:rFonts w:asciiTheme="minorHAnsi" w:hAnsiTheme="minorHAnsi" w:cstheme="minorHAnsi"/>
                <w:color w:val="auto"/>
                <w:sz w:val="22"/>
              </w:rPr>
              <w:t>Availability</w:t>
            </w:r>
          </w:p>
        </w:tc>
      </w:tr>
      <w:tr w:rsidR="00747BCE" w:rsidRPr="00734A50" w14:paraId="48D8FF31" w14:textId="77777777" w:rsidTr="14688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3F1E14A4" w14:textId="1185068B" w:rsidR="00747BCE" w:rsidRPr="00734A50" w:rsidRDefault="00814753" w:rsidP="00916A71">
            <w:pPr>
              <w:rPr>
                <w:rFonts w:cstheme="minorHAnsi"/>
                <w:bCs w:val="0"/>
              </w:rPr>
            </w:pPr>
            <w:r w:rsidRPr="00734A50">
              <w:rPr>
                <w:rFonts w:cstheme="minorHAnsi"/>
              </w:rPr>
              <w:t xml:space="preserve">Multi-provider partnership agreements </w:t>
            </w:r>
          </w:p>
        </w:tc>
        <w:tc>
          <w:tcPr>
            <w:tcW w:w="6663" w:type="dxa"/>
          </w:tcPr>
          <w:p w14:paraId="0394571B" w14:textId="633E0CA0" w:rsidR="00814753" w:rsidRPr="00734A50" w:rsidRDefault="00814753" w:rsidP="00814753">
            <w:pPr>
              <w:pStyle w:val="NormalTextBullete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 xml:space="preserve">Some jurisdictions have established system-level partnerships or agreements between </w:t>
            </w:r>
            <w:r w:rsidR="00992534" w:rsidRPr="00734A50">
              <w:rPr>
                <w:rFonts w:asciiTheme="minorHAnsi" w:hAnsiTheme="minorHAnsi" w:cstheme="minorBidi"/>
                <w:sz w:val="22"/>
              </w:rPr>
              <w:t>s</w:t>
            </w:r>
            <w:r w:rsidRPr="00734A50">
              <w:rPr>
                <w:rFonts w:asciiTheme="minorHAnsi" w:hAnsiTheme="minorHAnsi" w:cstheme="minorBidi"/>
                <w:sz w:val="22"/>
              </w:rPr>
              <w:t xml:space="preserve">tate and </w:t>
            </w:r>
            <w:r w:rsidR="00992534" w:rsidRPr="00734A50">
              <w:rPr>
                <w:rFonts w:asciiTheme="minorHAnsi" w:hAnsiTheme="minorHAnsi" w:cstheme="minorBidi"/>
                <w:sz w:val="22"/>
              </w:rPr>
              <w:t>t</w:t>
            </w:r>
            <w:r w:rsidRPr="00734A50">
              <w:rPr>
                <w:rFonts w:asciiTheme="minorHAnsi" w:hAnsiTheme="minorHAnsi" w:cstheme="minorBidi"/>
                <w:sz w:val="22"/>
              </w:rPr>
              <w:t xml:space="preserve">erritory governments, providers, and schools to support the coordination and delivery of practicum. </w:t>
            </w:r>
          </w:p>
          <w:p w14:paraId="6CDE5A35" w14:textId="77777777" w:rsidR="00814753" w:rsidRPr="00734A50" w:rsidRDefault="00814753" w:rsidP="00814753">
            <w:pPr>
              <w:pStyle w:val="NormalTextBullete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 xml:space="preserve">These agreements seek to establish clear roles and responsibilities, set expectations, and aid the facilitation and organisation of placements. </w:t>
            </w:r>
          </w:p>
          <w:p w14:paraId="62FE1784" w14:textId="29379453" w:rsidR="00747BCE" w:rsidRPr="00734A50" w:rsidRDefault="00814753" w:rsidP="00916A71">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These vary in their depth, breadth, and purpose.</w:t>
            </w:r>
          </w:p>
        </w:tc>
      </w:tr>
      <w:tr w:rsidR="00814753" w:rsidRPr="00734A50" w14:paraId="253264B8" w14:textId="77777777" w:rsidTr="14688DDF">
        <w:tc>
          <w:tcPr>
            <w:cnfStyle w:val="001000000000" w:firstRow="0" w:lastRow="0" w:firstColumn="1" w:lastColumn="0" w:oddVBand="0" w:evenVBand="0" w:oddHBand="0" w:evenHBand="0" w:firstRowFirstColumn="0" w:firstRowLastColumn="0" w:lastRowFirstColumn="0" w:lastRowLastColumn="0"/>
            <w:tcW w:w="2546" w:type="dxa"/>
          </w:tcPr>
          <w:p w14:paraId="7EF34744" w14:textId="5A9C404E" w:rsidR="00814753" w:rsidRPr="00734A50" w:rsidRDefault="00814753" w:rsidP="00814753">
            <w:pPr>
              <w:rPr>
                <w:rFonts w:cstheme="minorHAnsi"/>
              </w:rPr>
            </w:pPr>
            <w:r w:rsidRPr="00734A50">
              <w:rPr>
                <w:rFonts w:cstheme="minorHAnsi"/>
              </w:rPr>
              <w:t xml:space="preserve">Professional learning and support for mentor teachers </w:t>
            </w:r>
          </w:p>
        </w:tc>
        <w:tc>
          <w:tcPr>
            <w:tcW w:w="6663" w:type="dxa"/>
          </w:tcPr>
          <w:p w14:paraId="375BE5E6" w14:textId="6045DDD8" w:rsidR="00814753" w:rsidRPr="00734A50" w:rsidRDefault="00814753" w:rsidP="00814753">
            <w:pPr>
              <w:pStyle w:val="NormalTextBullet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 xml:space="preserve">Some </w:t>
            </w:r>
            <w:r w:rsidR="00F05B9A" w:rsidRPr="00734A50">
              <w:rPr>
                <w:rFonts w:asciiTheme="minorHAnsi" w:hAnsiTheme="minorHAnsi" w:cstheme="minorBidi"/>
                <w:sz w:val="22"/>
              </w:rPr>
              <w:t>school systems</w:t>
            </w:r>
            <w:r w:rsidRPr="00734A50">
              <w:rPr>
                <w:rFonts w:asciiTheme="minorHAnsi" w:hAnsiTheme="minorHAnsi" w:cstheme="minorBidi"/>
                <w:sz w:val="22"/>
              </w:rPr>
              <w:t xml:space="preserve"> provide guidance, resources, frameworks, or professional learning focused on supporting mentor teachers. </w:t>
            </w:r>
          </w:p>
          <w:p w14:paraId="5B8F822B" w14:textId="106A39F2" w:rsidR="00814753" w:rsidRPr="00734A50" w:rsidRDefault="00814753" w:rsidP="14688DDF">
            <w:pPr>
              <w:pStyle w:val="NormalTextBullet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These resources or programs often have a focus on supporting how to assess a</w:t>
            </w:r>
            <w:r w:rsidR="000447A4" w:rsidRPr="00734A50">
              <w:rPr>
                <w:rFonts w:asciiTheme="minorHAnsi" w:hAnsiTheme="minorHAnsi" w:cstheme="minorBidi"/>
                <w:sz w:val="22"/>
              </w:rPr>
              <w:t xml:space="preserve">n ITE student </w:t>
            </w:r>
            <w:r w:rsidRPr="00734A50">
              <w:rPr>
                <w:rFonts w:asciiTheme="minorHAnsi" w:hAnsiTheme="minorHAnsi" w:cstheme="minorBidi"/>
                <w:sz w:val="22"/>
              </w:rPr>
              <w:t xml:space="preserve">against the Graduate Teacher Standards. </w:t>
            </w:r>
          </w:p>
          <w:p w14:paraId="2B818EC1" w14:textId="18DDE924" w:rsidR="00814753" w:rsidRPr="00734A50" w:rsidRDefault="00886D69" w:rsidP="00814753">
            <w:pPr>
              <w:pStyle w:val="NormalTextBullet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Not all school systems</w:t>
            </w:r>
            <w:r w:rsidR="00814753" w:rsidRPr="00734A50">
              <w:rPr>
                <w:rFonts w:asciiTheme="minorHAnsi" w:hAnsiTheme="minorHAnsi" w:cstheme="minorBidi"/>
                <w:sz w:val="22"/>
              </w:rPr>
              <w:t xml:space="preserve"> provide specific professional learning or support</w:t>
            </w:r>
            <w:r w:rsidR="004B6307" w:rsidRPr="00734A50">
              <w:rPr>
                <w:rFonts w:asciiTheme="minorHAnsi" w:hAnsiTheme="minorHAnsi" w:cstheme="minorBidi"/>
                <w:sz w:val="22"/>
              </w:rPr>
              <w:t xml:space="preserve"> for</w:t>
            </w:r>
            <w:r w:rsidR="00814753" w:rsidRPr="00734A50">
              <w:rPr>
                <w:rFonts w:asciiTheme="minorHAnsi" w:hAnsiTheme="minorHAnsi" w:cstheme="minorBidi"/>
                <w:sz w:val="22"/>
              </w:rPr>
              <w:t xml:space="preserve"> mentor</w:t>
            </w:r>
            <w:r w:rsidR="00621951" w:rsidRPr="00734A50">
              <w:rPr>
                <w:rFonts w:asciiTheme="minorHAnsi" w:hAnsiTheme="minorHAnsi" w:cstheme="minorBidi"/>
                <w:sz w:val="22"/>
              </w:rPr>
              <w:t xml:space="preserve"> teacher</w:t>
            </w:r>
            <w:r w:rsidR="00814753" w:rsidRPr="00734A50">
              <w:rPr>
                <w:rFonts w:asciiTheme="minorHAnsi" w:hAnsiTheme="minorHAnsi" w:cstheme="minorBidi"/>
                <w:sz w:val="22"/>
              </w:rPr>
              <w:t xml:space="preserve">s. </w:t>
            </w:r>
          </w:p>
          <w:p w14:paraId="5601FC21" w14:textId="2BBC3862" w:rsidR="00814753" w:rsidRPr="00734A50" w:rsidRDefault="00814753" w:rsidP="00814753">
            <w:pPr>
              <w:pStyle w:val="NormalTextBulleted"/>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This variation results in inconsistency in the quality of mentoring </w:t>
            </w:r>
            <w:r w:rsidR="00E40313" w:rsidRPr="00734A50">
              <w:rPr>
                <w:rFonts w:asciiTheme="minorHAnsi" w:hAnsiTheme="minorHAnsi" w:cstheme="minorBidi"/>
                <w:sz w:val="22"/>
              </w:rPr>
              <w:t xml:space="preserve">and </w:t>
            </w:r>
            <w:r w:rsidRPr="00734A50">
              <w:rPr>
                <w:rFonts w:asciiTheme="minorHAnsi" w:hAnsiTheme="minorHAnsi" w:cstheme="minorBidi"/>
                <w:sz w:val="22"/>
              </w:rPr>
              <w:t xml:space="preserve">ultimately the quality of a practical </w:t>
            </w:r>
            <w:r w:rsidR="008E3CDD" w:rsidRPr="00734A50">
              <w:rPr>
                <w:rFonts w:asciiTheme="minorHAnsi" w:hAnsiTheme="minorHAnsi" w:cstheme="minorBidi"/>
                <w:sz w:val="22"/>
              </w:rPr>
              <w:t xml:space="preserve">experience </w:t>
            </w:r>
            <w:r w:rsidRPr="00734A50">
              <w:rPr>
                <w:rFonts w:asciiTheme="minorHAnsi" w:hAnsiTheme="minorHAnsi" w:cstheme="minorBidi"/>
                <w:sz w:val="22"/>
              </w:rPr>
              <w:t>placement.</w:t>
            </w:r>
          </w:p>
        </w:tc>
      </w:tr>
      <w:tr w:rsidR="00747BCE" w:rsidRPr="00734A50" w14:paraId="11A56DF3" w14:textId="77777777" w:rsidTr="14688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47C2C548" w14:textId="4A1B7E50" w:rsidR="00747BCE" w:rsidRPr="00734A50" w:rsidRDefault="00814753" w:rsidP="00916A71">
            <w:pPr>
              <w:rPr>
                <w:rFonts w:cstheme="minorHAnsi"/>
                <w:bCs w:val="0"/>
              </w:rPr>
            </w:pPr>
            <w:r w:rsidRPr="00734A50">
              <w:rPr>
                <w:rFonts w:cstheme="minorHAnsi"/>
              </w:rPr>
              <w:t xml:space="preserve">Delivery models supporting multiple schools </w:t>
            </w:r>
          </w:p>
        </w:tc>
        <w:tc>
          <w:tcPr>
            <w:tcW w:w="6663" w:type="dxa"/>
          </w:tcPr>
          <w:p w14:paraId="1BC9AEF6" w14:textId="5607BBB8" w:rsidR="00814753" w:rsidRPr="00734A50" w:rsidRDefault="00814753" w:rsidP="00814753">
            <w:pPr>
              <w:pStyle w:val="NormalTextBulleted"/>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2"/>
              </w:rPr>
            </w:pPr>
            <w:r w:rsidRPr="00734A50">
              <w:rPr>
                <w:rFonts w:asciiTheme="minorHAnsi" w:hAnsiTheme="minorHAnsi" w:cstheme="minorBidi"/>
                <w:sz w:val="22"/>
              </w:rPr>
              <w:t xml:space="preserve">Some </w:t>
            </w:r>
            <w:r w:rsidR="00F05B9A" w:rsidRPr="00734A50">
              <w:rPr>
                <w:rFonts w:asciiTheme="minorHAnsi" w:hAnsiTheme="minorHAnsi" w:cstheme="minorBidi"/>
                <w:sz w:val="22"/>
              </w:rPr>
              <w:t>school systems</w:t>
            </w:r>
            <w:r w:rsidRPr="00734A50">
              <w:rPr>
                <w:rFonts w:asciiTheme="minorHAnsi" w:hAnsiTheme="minorHAnsi" w:cstheme="minorBidi"/>
                <w:sz w:val="22"/>
              </w:rPr>
              <w:t xml:space="preserve"> have delivery models across multiple schools to deliver high-quality professional experience. </w:t>
            </w:r>
          </w:p>
          <w:p w14:paraId="2349DC6D" w14:textId="150BCDF6" w:rsidR="00814753" w:rsidRPr="00734A50" w:rsidRDefault="00814753" w:rsidP="14688DDF">
            <w:pPr>
              <w:pStyle w:val="NormalTextBulleted"/>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rPr>
            </w:pPr>
            <w:r w:rsidRPr="00734A50">
              <w:rPr>
                <w:rFonts w:asciiTheme="minorHAnsi" w:hAnsiTheme="minorHAnsi" w:cstheme="minorBidi"/>
                <w:sz w:val="22"/>
              </w:rPr>
              <w:t xml:space="preserve">These are models that focus on the actual delivery of quality practical placements to support supervising teachers, </w:t>
            </w:r>
            <w:r w:rsidR="000447A4" w:rsidRPr="00734A50">
              <w:rPr>
                <w:rFonts w:asciiTheme="minorHAnsi" w:hAnsiTheme="minorHAnsi" w:cstheme="minorBidi"/>
                <w:sz w:val="22"/>
              </w:rPr>
              <w:t>ITE students</w:t>
            </w:r>
            <w:r w:rsidRPr="00734A50">
              <w:rPr>
                <w:rFonts w:asciiTheme="minorHAnsi" w:hAnsiTheme="minorHAnsi" w:cstheme="minorBidi"/>
                <w:sz w:val="22"/>
              </w:rPr>
              <w:t xml:space="preserve"> and partner schools in implementation. </w:t>
            </w:r>
          </w:p>
          <w:p w14:paraId="422B493D" w14:textId="623D274A" w:rsidR="00747BCE" w:rsidRPr="00734A50" w:rsidRDefault="00814753" w:rsidP="00916A71">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734A50">
              <w:rPr>
                <w:rFonts w:asciiTheme="minorHAnsi" w:hAnsiTheme="minorHAnsi" w:cstheme="minorBidi"/>
                <w:sz w:val="22"/>
              </w:rPr>
              <w:t xml:space="preserve">While there are some key examples of delivery models across multiple schools for practical </w:t>
            </w:r>
            <w:r w:rsidR="00A940A7" w:rsidRPr="00734A50">
              <w:rPr>
                <w:rFonts w:asciiTheme="minorHAnsi" w:hAnsiTheme="minorHAnsi" w:cstheme="minorBidi"/>
                <w:sz w:val="22"/>
              </w:rPr>
              <w:t xml:space="preserve">experience </w:t>
            </w:r>
            <w:r w:rsidRPr="00734A50">
              <w:rPr>
                <w:rFonts w:asciiTheme="minorHAnsi" w:hAnsiTheme="minorHAnsi" w:cstheme="minorBidi"/>
                <w:sz w:val="22"/>
              </w:rPr>
              <w:t>placement</w:t>
            </w:r>
            <w:r w:rsidR="00D505F6" w:rsidRPr="00734A50">
              <w:rPr>
                <w:rFonts w:asciiTheme="minorHAnsi" w:hAnsiTheme="minorHAnsi" w:cstheme="minorBidi"/>
                <w:sz w:val="22"/>
              </w:rPr>
              <w:t>s</w:t>
            </w:r>
            <w:r w:rsidRPr="00734A50">
              <w:rPr>
                <w:rFonts w:asciiTheme="minorHAnsi" w:hAnsiTheme="minorHAnsi" w:cstheme="minorBidi"/>
                <w:sz w:val="22"/>
              </w:rPr>
              <w:t xml:space="preserve">, this is the support mechanism that is currently least </w:t>
            </w:r>
            <w:r w:rsidR="00D505F6" w:rsidRPr="00734A50">
              <w:rPr>
                <w:rFonts w:asciiTheme="minorHAnsi" w:hAnsiTheme="minorHAnsi" w:cstheme="minorBidi"/>
                <w:sz w:val="22"/>
              </w:rPr>
              <w:t>used</w:t>
            </w:r>
            <w:r w:rsidRPr="00734A50">
              <w:rPr>
                <w:rFonts w:asciiTheme="minorHAnsi" w:hAnsiTheme="minorHAnsi" w:cstheme="minorBidi"/>
                <w:sz w:val="22"/>
              </w:rPr>
              <w:t xml:space="preserve">. </w:t>
            </w:r>
          </w:p>
        </w:tc>
      </w:tr>
    </w:tbl>
    <w:p w14:paraId="1BF225F4" w14:textId="77777777" w:rsidR="00F94702" w:rsidRPr="00734A50" w:rsidRDefault="00F94702" w:rsidP="000C2F25">
      <w:pPr>
        <w:pStyle w:val="Heading4"/>
      </w:pPr>
      <w:r w:rsidRPr="00734A50">
        <w:t>3.3.2 Ineffective relationships between providers, schools and school systems</w:t>
      </w:r>
    </w:p>
    <w:p w14:paraId="666EF8FA" w14:textId="1C7AF5E9" w:rsidR="00687F8B" w:rsidRPr="00734A50" w:rsidRDefault="00296641" w:rsidP="00F05CBF">
      <w:r w:rsidRPr="00734A50">
        <w:rPr>
          <w:rFonts w:ascii="Calibri" w:eastAsiaTheme="minorEastAsia" w:hAnsi="Calibri" w:cs="Calibri"/>
          <w:color w:val="000000" w:themeColor="text1"/>
        </w:rPr>
        <w:t xml:space="preserve">Higher education providers are required to establish formal partnerships </w:t>
      </w:r>
      <w:r w:rsidR="00F4686F">
        <w:rPr>
          <w:rFonts w:ascii="Calibri" w:eastAsiaTheme="minorEastAsia" w:hAnsi="Calibri" w:cs="Calibri"/>
          <w:color w:val="000000" w:themeColor="text1"/>
        </w:rPr>
        <w:t>with</w:t>
      </w:r>
      <w:r w:rsidRPr="00734A50">
        <w:rPr>
          <w:rFonts w:ascii="Calibri" w:eastAsiaTheme="minorEastAsia" w:hAnsi="Calibri" w:cs="Calibri"/>
          <w:color w:val="000000" w:themeColor="text1"/>
        </w:rPr>
        <w:t xml:space="preserve"> schools to facilitate placements. </w:t>
      </w:r>
      <w:r w:rsidR="00687F8B" w:rsidRPr="00734A50">
        <w:rPr>
          <w:rFonts w:ascii="Calibri" w:eastAsiaTheme="minorEastAsia" w:hAnsi="Calibri" w:cs="Calibri"/>
          <w:color w:val="000000" w:themeColor="text1"/>
        </w:rPr>
        <w:t xml:space="preserve">However, </w:t>
      </w:r>
      <w:r w:rsidR="00687F8B" w:rsidRPr="00734A50">
        <w:t>systems and schools do not engage consistently in the delivery of professional experience</w:t>
      </w:r>
      <w:r w:rsidR="00A5067E" w:rsidRPr="00734A50">
        <w:t>,</w:t>
      </w:r>
      <w:r w:rsidR="00687F8B" w:rsidRPr="00734A50">
        <w:t xml:space="preserve"> and the commitment of schools and supervising teachers to professional practice is variable (</w:t>
      </w:r>
      <w:r w:rsidR="007E08F9" w:rsidRPr="00734A50">
        <w:t>Ure, C. et al., 2018)</w:t>
      </w:r>
      <w:r w:rsidR="00687F8B" w:rsidRPr="00734A50">
        <w:t>.</w:t>
      </w:r>
    </w:p>
    <w:p w14:paraId="5C89B96C" w14:textId="1D84B2F4" w:rsidR="0052789F" w:rsidRPr="00734A50" w:rsidRDefault="00296641" w:rsidP="00F05CBF">
      <w:pPr>
        <w:rPr>
          <w:rFonts w:ascii="Calibri" w:eastAsiaTheme="minorEastAsia" w:hAnsi="Calibri" w:cs="Calibri"/>
          <w:color w:val="000000" w:themeColor="text1"/>
        </w:rPr>
      </w:pPr>
      <w:r w:rsidRPr="00734A50">
        <w:rPr>
          <w:rFonts w:ascii="Calibri" w:eastAsiaTheme="minorEastAsia" w:hAnsi="Calibri" w:cs="Calibri"/>
          <w:color w:val="000000" w:themeColor="text1"/>
        </w:rPr>
        <w:t xml:space="preserve">Some jurisdictions have established system-level partnerships or agreements between </w:t>
      </w:r>
      <w:r w:rsidR="00A5067E" w:rsidRPr="00734A50">
        <w:rPr>
          <w:rFonts w:ascii="Calibri" w:eastAsiaTheme="minorEastAsia" w:hAnsi="Calibri" w:cs="Calibri"/>
          <w:color w:val="000000" w:themeColor="text1"/>
        </w:rPr>
        <w:t>s</w:t>
      </w:r>
      <w:r w:rsidRPr="00734A50">
        <w:rPr>
          <w:rFonts w:ascii="Calibri" w:eastAsiaTheme="minorEastAsia" w:hAnsi="Calibri" w:cs="Calibri"/>
          <w:color w:val="000000" w:themeColor="text1"/>
        </w:rPr>
        <w:t xml:space="preserve">tate and </w:t>
      </w:r>
      <w:r w:rsidR="00A5067E" w:rsidRPr="00734A50">
        <w:rPr>
          <w:rFonts w:ascii="Calibri" w:eastAsiaTheme="minorEastAsia" w:hAnsi="Calibri" w:cs="Calibri"/>
          <w:color w:val="000000" w:themeColor="text1"/>
        </w:rPr>
        <w:t>t</w:t>
      </w:r>
      <w:r w:rsidRPr="00734A50">
        <w:rPr>
          <w:rFonts w:ascii="Calibri" w:eastAsiaTheme="minorEastAsia" w:hAnsi="Calibri" w:cs="Calibri"/>
          <w:color w:val="000000" w:themeColor="text1"/>
        </w:rPr>
        <w:t>erritory governments, providers and schools to support the coordination and delivery of practical experience.</w:t>
      </w:r>
      <w:r w:rsidR="00A305D8" w:rsidRPr="00734A50">
        <w:rPr>
          <w:rFonts w:ascii="Calibri" w:eastAsiaTheme="minorEastAsia" w:hAnsi="Calibri" w:cs="Calibri"/>
          <w:color w:val="000000" w:themeColor="text1"/>
        </w:rPr>
        <w:t xml:space="preserve"> </w:t>
      </w:r>
      <w:r w:rsidR="00BC31E1" w:rsidRPr="00734A50">
        <w:rPr>
          <w:rFonts w:ascii="Calibri" w:eastAsiaTheme="minorEastAsia" w:hAnsi="Calibri" w:cs="Calibri"/>
          <w:color w:val="000000" w:themeColor="text1"/>
        </w:rPr>
        <w:t>I</w:t>
      </w:r>
      <w:r w:rsidR="00A305D8" w:rsidRPr="00734A50">
        <w:rPr>
          <w:rFonts w:ascii="Calibri" w:eastAsiaTheme="minorEastAsia" w:hAnsi="Calibri" w:cs="Calibri"/>
          <w:color w:val="000000" w:themeColor="text1"/>
        </w:rPr>
        <w:t xml:space="preserve">n other jurisdictions there is a lack of consistency in the scope and specificity of formal partnerships between higher education providers and schools, and the delivery models used to ensure high-quality placements. According to stakeholder </w:t>
      </w:r>
      <w:r w:rsidR="00F834E7" w:rsidRPr="00734A50">
        <w:rPr>
          <w:rFonts w:ascii="Calibri" w:eastAsiaTheme="minorEastAsia" w:hAnsi="Calibri" w:cs="Calibri"/>
          <w:color w:val="000000" w:themeColor="text1"/>
        </w:rPr>
        <w:t>interviews</w:t>
      </w:r>
      <w:r w:rsidR="00A305D8" w:rsidRPr="00734A50">
        <w:rPr>
          <w:rFonts w:ascii="Calibri" w:eastAsiaTheme="minorEastAsia" w:hAnsi="Calibri" w:cs="Calibri"/>
          <w:color w:val="000000" w:themeColor="text1"/>
        </w:rPr>
        <w:t>, in many jurisdictions this causes coordination processes</w:t>
      </w:r>
      <w:r w:rsidR="004D510B" w:rsidRPr="00734A50">
        <w:rPr>
          <w:rFonts w:ascii="Calibri" w:eastAsiaTheme="minorEastAsia" w:hAnsi="Calibri" w:cs="Calibri"/>
          <w:color w:val="000000" w:themeColor="text1"/>
        </w:rPr>
        <w:t xml:space="preserve"> around matching</w:t>
      </w:r>
      <w:r w:rsidR="00A305D8" w:rsidRPr="00734A50">
        <w:rPr>
          <w:rFonts w:ascii="Calibri" w:eastAsiaTheme="minorEastAsia" w:hAnsi="Calibri" w:cs="Calibri"/>
          <w:color w:val="000000" w:themeColor="text1"/>
        </w:rPr>
        <w:t xml:space="preserve"> to be</w:t>
      </w:r>
      <w:r w:rsidR="004D510B" w:rsidRPr="00734A50">
        <w:rPr>
          <w:rFonts w:ascii="Calibri" w:eastAsiaTheme="minorEastAsia" w:hAnsi="Calibri" w:cs="Calibri"/>
          <w:color w:val="000000" w:themeColor="text1"/>
        </w:rPr>
        <w:t xml:space="preserve"> decentralised and reliant on individual</w:t>
      </w:r>
      <w:r w:rsidR="00A305D8" w:rsidRPr="00734A50">
        <w:rPr>
          <w:rFonts w:ascii="Calibri" w:eastAsiaTheme="minorEastAsia" w:hAnsi="Calibri" w:cs="Calibri"/>
          <w:color w:val="000000" w:themeColor="text1"/>
        </w:rPr>
        <w:t xml:space="preserve"> </w:t>
      </w:r>
      <w:r w:rsidR="00EE1BDB" w:rsidRPr="00734A50">
        <w:rPr>
          <w:rFonts w:ascii="Calibri" w:eastAsiaTheme="minorEastAsia" w:hAnsi="Calibri" w:cs="Calibri"/>
          <w:color w:val="000000" w:themeColor="text1"/>
        </w:rPr>
        <w:t xml:space="preserve">higher education </w:t>
      </w:r>
      <w:r w:rsidR="00A305D8" w:rsidRPr="00734A50">
        <w:rPr>
          <w:rFonts w:ascii="Calibri" w:eastAsiaTheme="minorEastAsia" w:hAnsi="Calibri" w:cs="Calibri"/>
          <w:color w:val="000000" w:themeColor="text1"/>
        </w:rPr>
        <w:t xml:space="preserve">providers </w:t>
      </w:r>
      <w:r w:rsidR="0025270B" w:rsidRPr="00734A50">
        <w:rPr>
          <w:rFonts w:ascii="Calibri" w:eastAsiaTheme="minorEastAsia" w:hAnsi="Calibri" w:cs="Calibri"/>
          <w:color w:val="000000" w:themeColor="text1"/>
        </w:rPr>
        <w:t>reaching out to schools</w:t>
      </w:r>
      <w:r w:rsidR="00A305D8" w:rsidRPr="00734A50">
        <w:rPr>
          <w:rFonts w:ascii="Calibri" w:eastAsiaTheme="minorEastAsia" w:hAnsi="Calibri" w:cs="Calibri"/>
          <w:color w:val="000000" w:themeColor="text1"/>
        </w:rPr>
        <w:t xml:space="preserve"> themselves</w:t>
      </w:r>
      <w:r w:rsidR="0025270B" w:rsidRPr="00734A50">
        <w:rPr>
          <w:rFonts w:ascii="Calibri" w:eastAsiaTheme="minorEastAsia" w:hAnsi="Calibri" w:cs="Calibri"/>
          <w:color w:val="000000" w:themeColor="text1"/>
        </w:rPr>
        <w:t xml:space="preserve">. </w:t>
      </w:r>
    </w:p>
    <w:p w14:paraId="22A039F2" w14:textId="5D64BE36" w:rsidR="0052789F" w:rsidRPr="00734A50" w:rsidRDefault="0052789F" w:rsidP="00F05CBF">
      <w:pPr>
        <w:rPr>
          <w:rFonts w:ascii="Calibri" w:eastAsiaTheme="minorEastAsia" w:hAnsi="Calibri" w:cs="Calibri"/>
          <w:color w:val="000000" w:themeColor="text1"/>
        </w:rPr>
      </w:pPr>
      <w:r w:rsidRPr="00734A50">
        <w:rPr>
          <w:rFonts w:ascii="Calibri" w:eastAsiaTheme="minorEastAsia" w:hAnsi="Calibri" w:cs="Calibri"/>
          <w:color w:val="000000" w:themeColor="text1"/>
        </w:rPr>
        <w:t xml:space="preserve">The aggregation of many different placement arrangements between schools and </w:t>
      </w:r>
      <w:r w:rsidR="00ED0D06" w:rsidRPr="00734A50">
        <w:rPr>
          <w:rFonts w:ascii="Calibri" w:eastAsiaTheme="minorEastAsia" w:hAnsi="Calibri" w:cs="Calibri"/>
          <w:color w:val="000000" w:themeColor="text1"/>
        </w:rPr>
        <w:t>higher education</w:t>
      </w:r>
      <w:r w:rsidRPr="00734A50">
        <w:rPr>
          <w:rFonts w:ascii="Calibri" w:eastAsiaTheme="minorEastAsia" w:hAnsi="Calibri" w:cs="Calibri"/>
          <w:color w:val="000000" w:themeColor="text1"/>
        </w:rPr>
        <w:t xml:space="preserve"> providers (on behalf of many students) results in an increased risk of variable quality of those placements, as well as excessive workload for both </w:t>
      </w:r>
      <w:r w:rsidR="00EE1BDB" w:rsidRPr="00734A50">
        <w:rPr>
          <w:rFonts w:ascii="Calibri" w:eastAsiaTheme="minorEastAsia" w:hAnsi="Calibri" w:cs="Calibri"/>
          <w:color w:val="000000" w:themeColor="text1"/>
        </w:rPr>
        <w:t xml:space="preserve">higher education </w:t>
      </w:r>
      <w:r w:rsidRPr="00734A50">
        <w:rPr>
          <w:rFonts w:ascii="Calibri" w:eastAsiaTheme="minorEastAsia" w:hAnsi="Calibri" w:cs="Calibri"/>
          <w:color w:val="000000" w:themeColor="text1"/>
        </w:rPr>
        <w:t xml:space="preserve">providers and schools. For </w:t>
      </w:r>
      <w:r w:rsidRPr="00734A50">
        <w:rPr>
          <w:rFonts w:ascii="Calibri" w:eastAsiaTheme="minorEastAsia" w:hAnsi="Calibri" w:cs="Calibri"/>
          <w:color w:val="000000" w:themeColor="text1"/>
        </w:rPr>
        <w:lastRenderedPageBreak/>
        <w:t xml:space="preserve">example, a single school could be liaising with several different providers, each with their own requirements. This highlights a clear need for more system-level coordination, to reduce the burden on schools and </w:t>
      </w:r>
      <w:r w:rsidR="003D6551" w:rsidRPr="00734A50">
        <w:rPr>
          <w:rFonts w:ascii="Calibri" w:eastAsiaTheme="minorEastAsia" w:hAnsi="Calibri" w:cs="Calibri"/>
          <w:color w:val="000000" w:themeColor="text1"/>
        </w:rPr>
        <w:t xml:space="preserve">higher education </w:t>
      </w:r>
      <w:r w:rsidRPr="00734A50">
        <w:rPr>
          <w:rFonts w:ascii="Calibri" w:eastAsiaTheme="minorEastAsia" w:hAnsi="Calibri" w:cs="Calibri"/>
          <w:color w:val="000000" w:themeColor="text1"/>
        </w:rPr>
        <w:t xml:space="preserve">providers in trying to match </w:t>
      </w:r>
      <w:r w:rsidR="00ED0D06" w:rsidRPr="00734A50">
        <w:rPr>
          <w:rFonts w:ascii="Calibri" w:eastAsiaTheme="minorEastAsia" w:hAnsi="Calibri" w:cs="Calibri"/>
          <w:color w:val="000000" w:themeColor="text1"/>
        </w:rPr>
        <w:t xml:space="preserve">individual </w:t>
      </w:r>
      <w:r w:rsidRPr="00734A50">
        <w:rPr>
          <w:rFonts w:ascii="Calibri" w:eastAsiaTheme="minorEastAsia" w:hAnsi="Calibri" w:cs="Calibri"/>
          <w:color w:val="000000" w:themeColor="text1"/>
        </w:rPr>
        <w:t>students.</w:t>
      </w:r>
    </w:p>
    <w:p w14:paraId="2BA4EB8D" w14:textId="383540A9" w:rsidR="00A305D8" w:rsidRPr="00734A50" w:rsidRDefault="00A305D8" w:rsidP="3450DB9E">
      <w:pPr>
        <w:pStyle w:val="NoSpacing"/>
        <w:spacing w:after="0" w:line="276" w:lineRule="auto"/>
        <w:rPr>
          <w:rFonts w:cstheme="minorBidi"/>
        </w:rPr>
      </w:pPr>
      <w:r w:rsidRPr="00734A50">
        <w:rPr>
          <w:rFonts w:cstheme="minorBidi"/>
        </w:rPr>
        <w:t>Stakeholder consultation indicates that ineffective relationships between providers, schools and school systems results in an inconsistent, inefficient, ad</w:t>
      </w:r>
      <w:r w:rsidR="00A5067E" w:rsidRPr="00734A50">
        <w:rPr>
          <w:rFonts w:cstheme="minorBidi"/>
        </w:rPr>
        <w:t xml:space="preserve"> </w:t>
      </w:r>
      <w:r w:rsidRPr="00734A50">
        <w:rPr>
          <w:rFonts w:cstheme="minorBidi"/>
        </w:rPr>
        <w:t xml:space="preserve">hoc student-school matching process, evidenced by: </w:t>
      </w:r>
    </w:p>
    <w:p w14:paraId="44C619CA" w14:textId="76B1F300" w:rsidR="00296641" w:rsidRPr="00734A50" w:rsidRDefault="00296641" w:rsidP="00553516">
      <w:pPr>
        <w:pStyle w:val="ListBullet"/>
        <w:numPr>
          <w:ilvl w:val="0"/>
          <w:numId w:val="216"/>
        </w:numPr>
        <w:spacing w:after="200"/>
        <w:ind w:left="357" w:hanging="357"/>
      </w:pPr>
      <w:r w:rsidRPr="00734A50">
        <w:t>competition between providers to obtain practicum placements</w:t>
      </w:r>
    </w:p>
    <w:p w14:paraId="7ED8429B" w14:textId="4F43B775" w:rsidR="00296641" w:rsidRPr="00734A50" w:rsidRDefault="00296641" w:rsidP="00553516">
      <w:pPr>
        <w:pStyle w:val="ListBullet"/>
        <w:numPr>
          <w:ilvl w:val="0"/>
          <w:numId w:val="216"/>
        </w:numPr>
        <w:spacing w:after="200"/>
        <w:ind w:left="357" w:hanging="357"/>
      </w:pPr>
      <w:r w:rsidRPr="00734A50">
        <w:t>difficulty matching ITE students with an appropriate school for their subject specialisation/skill level</w:t>
      </w:r>
    </w:p>
    <w:p w14:paraId="4980278C" w14:textId="0533BE9B" w:rsidR="00296641" w:rsidRPr="00734A50" w:rsidRDefault="00296641" w:rsidP="00553516">
      <w:pPr>
        <w:pStyle w:val="ListBullet"/>
        <w:numPr>
          <w:ilvl w:val="0"/>
          <w:numId w:val="216"/>
        </w:numPr>
        <w:spacing w:after="200"/>
        <w:ind w:left="357" w:hanging="357"/>
      </w:pPr>
      <w:r w:rsidRPr="00734A50">
        <w:t>last-minute placement arrangement with minimal time for ITE student preparation</w:t>
      </w:r>
    </w:p>
    <w:p w14:paraId="2E8758C6" w14:textId="04594D6C" w:rsidR="00497C3A" w:rsidRPr="00734A50" w:rsidRDefault="00A305D8" w:rsidP="00553516">
      <w:pPr>
        <w:pStyle w:val="ListBullet"/>
        <w:numPr>
          <w:ilvl w:val="0"/>
          <w:numId w:val="216"/>
        </w:numPr>
        <w:spacing w:after="200"/>
        <w:ind w:left="357" w:hanging="357"/>
      </w:pPr>
      <w:r w:rsidRPr="00734A50">
        <w:t>i</w:t>
      </w:r>
      <w:r w:rsidR="00296641" w:rsidRPr="00734A50">
        <w:t>nsufficient support for ITE students</w:t>
      </w:r>
      <w:r w:rsidRPr="00734A50">
        <w:t>.</w:t>
      </w:r>
    </w:p>
    <w:p w14:paraId="2E9AE23D" w14:textId="4519B6D3" w:rsidR="00497C3A" w:rsidRPr="00734A50" w:rsidRDefault="00EE1BDB" w:rsidP="00497C3A">
      <w:pPr>
        <w:rPr>
          <w:rFonts w:ascii="Calibri" w:eastAsia="Calibri" w:hAnsi="Calibri" w:cs="Calibri"/>
        </w:rPr>
      </w:pPr>
      <w:r w:rsidRPr="00734A50">
        <w:t>Higher education p</w:t>
      </w:r>
      <w:r w:rsidR="00497C3A" w:rsidRPr="00734A50">
        <w:t xml:space="preserve">roviders have little capacity to influence </w:t>
      </w:r>
      <w:r w:rsidR="00A5067E" w:rsidRPr="00734A50">
        <w:t xml:space="preserve">how </w:t>
      </w:r>
      <w:r w:rsidR="00497C3A" w:rsidRPr="00734A50">
        <w:t>school</w:t>
      </w:r>
      <w:r w:rsidR="00A5067E" w:rsidRPr="00734A50">
        <w:t>s</w:t>
      </w:r>
      <w:r w:rsidR="00497C3A" w:rsidRPr="00734A50">
        <w:t xml:space="preserve"> engage</w:t>
      </w:r>
      <w:r w:rsidR="00A5067E" w:rsidRPr="00734A50">
        <w:t xml:space="preserve"> with ITE</w:t>
      </w:r>
      <w:r w:rsidR="00497C3A" w:rsidRPr="00734A50">
        <w:t xml:space="preserve"> and how the</w:t>
      </w:r>
      <w:r w:rsidR="005B5993" w:rsidRPr="00734A50">
        <w:t>y</w:t>
      </w:r>
      <w:r w:rsidR="00497C3A" w:rsidRPr="00734A50">
        <w:t xml:space="preserve"> select</w:t>
      </w:r>
      <w:r w:rsidR="00A5067E" w:rsidRPr="00734A50">
        <w:t xml:space="preserve"> and prepare</w:t>
      </w:r>
      <w:r w:rsidR="00497C3A" w:rsidRPr="00734A50">
        <w:t xml:space="preserve"> mentor teachers to work with ITE students during their placement.</w:t>
      </w:r>
      <w:r w:rsidR="00952358" w:rsidRPr="00734A50">
        <w:rPr>
          <w:rFonts w:ascii="Calibri" w:eastAsia="Calibri" w:hAnsi="Calibri" w:cs="Calibri"/>
        </w:rPr>
        <w:t xml:space="preserve"> In addition, stakeholder consultation raised the need for greater incentives for schools to buy</w:t>
      </w:r>
      <w:r w:rsidR="00A5067E" w:rsidRPr="00734A50">
        <w:rPr>
          <w:rFonts w:ascii="Calibri" w:eastAsia="Calibri" w:hAnsi="Calibri" w:cs="Calibri"/>
        </w:rPr>
        <w:t xml:space="preserve"> </w:t>
      </w:r>
      <w:r w:rsidR="00952358" w:rsidRPr="00734A50">
        <w:rPr>
          <w:rFonts w:ascii="Calibri" w:eastAsia="Calibri" w:hAnsi="Calibri" w:cs="Calibri"/>
        </w:rPr>
        <w:t xml:space="preserve">in to high-quality practical experience, including </w:t>
      </w:r>
      <w:r w:rsidRPr="00734A50">
        <w:rPr>
          <w:rFonts w:ascii="Calibri" w:eastAsia="Calibri" w:hAnsi="Calibri" w:cs="Calibri"/>
        </w:rPr>
        <w:t xml:space="preserve">professional and </w:t>
      </w:r>
      <w:r w:rsidR="00952358" w:rsidRPr="00734A50">
        <w:rPr>
          <w:rFonts w:ascii="Calibri" w:eastAsia="Calibri" w:hAnsi="Calibri" w:cs="Calibri"/>
        </w:rPr>
        <w:t>financial recognition-based incentives</w:t>
      </w:r>
      <w:r w:rsidR="00A65F5A" w:rsidRPr="00734A50">
        <w:rPr>
          <w:rFonts w:ascii="Calibri" w:eastAsia="Calibri" w:hAnsi="Calibri" w:cs="Calibri"/>
        </w:rPr>
        <w:t>.</w:t>
      </w:r>
    </w:p>
    <w:p w14:paraId="2891485F" w14:textId="58627284" w:rsidR="005577BF" w:rsidRPr="00734A50" w:rsidRDefault="005577BF" w:rsidP="000C2F25">
      <w:pPr>
        <w:pStyle w:val="Heading4"/>
      </w:pPr>
      <w:r w:rsidRPr="00734A50">
        <w:t>3.</w:t>
      </w:r>
      <w:r w:rsidR="00C94196" w:rsidRPr="00734A50">
        <w:t>3</w:t>
      </w:r>
      <w:r w:rsidRPr="00734A50">
        <w:t>.3 Unclear expectations for the planning and delivery of practical experience placements</w:t>
      </w:r>
    </w:p>
    <w:p w14:paraId="60ACCC2B" w14:textId="2D445D71" w:rsidR="00B43599" w:rsidRPr="00734A50" w:rsidRDefault="00B43599" w:rsidP="00B43599">
      <w:pPr>
        <w:rPr>
          <w:rFonts w:ascii="Calibri" w:eastAsia="Calibri" w:hAnsi="Calibri" w:cs="Calibri"/>
        </w:rPr>
      </w:pPr>
      <w:r w:rsidRPr="00734A50">
        <w:rPr>
          <w:rFonts w:ascii="Calibri" w:eastAsia="Calibri" w:hAnsi="Calibri" w:cs="Calibri"/>
        </w:rPr>
        <w:t xml:space="preserve">The Accreditation Standards and Procedures set the requirements for practical experience but do not provide clear expectations for the planning and delivery of practical experience placements. Focus groups with school-level stakeholders revealed that practical experience placements vary in length and timing across higher education providers, which creates a significant administrative burden when coordinating </w:t>
      </w:r>
      <w:r w:rsidR="00D8625A" w:rsidRPr="00734A50">
        <w:rPr>
          <w:rFonts w:ascii="Calibri" w:eastAsia="Calibri" w:hAnsi="Calibri" w:cs="Calibri"/>
        </w:rPr>
        <w:t>these</w:t>
      </w:r>
      <w:r w:rsidRPr="00734A50">
        <w:rPr>
          <w:rFonts w:ascii="Calibri" w:eastAsia="Calibri" w:hAnsi="Calibri" w:cs="Calibri"/>
        </w:rPr>
        <w:t xml:space="preserve"> placements.</w:t>
      </w:r>
    </w:p>
    <w:p w14:paraId="1FA8D1DB" w14:textId="67F59010" w:rsidR="004F0B8A" w:rsidRPr="00734A50" w:rsidRDefault="004F0B8A" w:rsidP="004F0B8A">
      <w:pPr>
        <w:rPr>
          <w:rFonts w:ascii="Calibri" w:eastAsia="Calibri" w:hAnsi="Calibri" w:cs="Calibri"/>
        </w:rPr>
      </w:pPr>
      <w:r w:rsidRPr="00734A50">
        <w:rPr>
          <w:rFonts w:ascii="Calibri" w:eastAsia="Calibri" w:hAnsi="Calibri" w:cs="Calibri"/>
        </w:rPr>
        <w:t xml:space="preserve">While some jurisdictions have created resources to clarify expectations, these are not universal. For example, </w:t>
      </w:r>
      <w:r w:rsidR="008D391C" w:rsidRPr="00734A50">
        <w:rPr>
          <w:rFonts w:ascii="Calibri" w:eastAsia="Calibri" w:hAnsi="Calibri" w:cs="Calibri"/>
        </w:rPr>
        <w:t xml:space="preserve">the </w:t>
      </w:r>
      <w:r w:rsidR="008D391C" w:rsidRPr="00734A50">
        <w:t>New South Wales Education Standards Authority</w:t>
      </w:r>
      <w:r w:rsidRPr="00734A50">
        <w:rPr>
          <w:rFonts w:ascii="Calibri" w:eastAsia="Calibri" w:hAnsi="Calibri" w:cs="Calibri"/>
        </w:rPr>
        <w:t xml:space="preserve"> developed a comprehensive NSW Professional Experience Framework that has been endorsed by all NSW education sectors and applies to all NSW ITE providers. Queensland education sectors have co-developed a Professional Experience Reporting Framework to provide a consistent approach to assessing professional experience in Queensland. However, similar frameworks are not available in every state</w:t>
      </w:r>
      <w:r w:rsidR="00CF0665" w:rsidRPr="00734A50">
        <w:rPr>
          <w:rFonts w:ascii="Calibri" w:eastAsia="Calibri" w:hAnsi="Calibri" w:cs="Calibri"/>
        </w:rPr>
        <w:t xml:space="preserve"> and territory</w:t>
      </w:r>
      <w:r w:rsidR="00F73B83" w:rsidRPr="00734A50">
        <w:rPr>
          <w:rFonts w:ascii="Calibri" w:eastAsia="Calibri" w:hAnsi="Calibri" w:cs="Calibri"/>
        </w:rPr>
        <w:t>;</w:t>
      </w:r>
      <w:r w:rsidRPr="00734A50">
        <w:rPr>
          <w:rFonts w:ascii="Calibri" w:eastAsia="Calibri" w:hAnsi="Calibri" w:cs="Calibri"/>
        </w:rPr>
        <w:t xml:space="preserve"> nor are they necessarily consistent in their expectations.</w:t>
      </w:r>
    </w:p>
    <w:p w14:paraId="2A878059" w14:textId="05562C96" w:rsidR="004F0B8A" w:rsidRPr="00734A50" w:rsidRDefault="004F0B8A" w:rsidP="004F0B8A">
      <w:pPr>
        <w:rPr>
          <w:rFonts w:ascii="Calibri" w:eastAsia="Calibri" w:hAnsi="Calibri" w:cs="Calibri"/>
        </w:rPr>
      </w:pPr>
      <w:r w:rsidRPr="00734A50">
        <w:rPr>
          <w:rFonts w:ascii="Calibri" w:eastAsia="Calibri" w:hAnsi="Calibri" w:cs="Calibri"/>
        </w:rPr>
        <w:t xml:space="preserve">This lack of consistency may also reflect that there is not always a clear, research-based platform for certain elements of practical experience placement delivery. For example, the </w:t>
      </w:r>
      <w:r w:rsidR="0013126A" w:rsidRPr="00734A50">
        <w:rPr>
          <w:rFonts w:ascii="Calibri" w:eastAsia="Calibri" w:hAnsi="Calibri" w:cs="Calibri"/>
        </w:rPr>
        <w:t xml:space="preserve">National Catholic Education Commission </w:t>
      </w:r>
      <w:r w:rsidRPr="00734A50">
        <w:rPr>
          <w:rFonts w:ascii="Calibri" w:eastAsia="Calibri" w:hAnsi="Calibri" w:cs="Calibri"/>
        </w:rPr>
        <w:t xml:space="preserve">and </w:t>
      </w:r>
      <w:r w:rsidR="00F73B83" w:rsidRPr="00734A50">
        <w:rPr>
          <w:rFonts w:ascii="Calibri" w:eastAsia="Calibri" w:hAnsi="Calibri" w:cs="Calibri"/>
        </w:rPr>
        <w:t xml:space="preserve">the </w:t>
      </w:r>
      <w:r w:rsidRPr="00734A50">
        <w:rPr>
          <w:rFonts w:ascii="Calibri" w:eastAsia="Calibri" w:hAnsi="Calibri" w:cs="Calibri"/>
        </w:rPr>
        <w:t xml:space="preserve">NSW </w:t>
      </w:r>
      <w:r w:rsidR="0013126A" w:rsidRPr="00734A50">
        <w:rPr>
          <w:rFonts w:ascii="Calibri" w:eastAsia="Calibri" w:hAnsi="Calibri" w:cs="Calibri"/>
        </w:rPr>
        <w:t xml:space="preserve">Council of Deans of Education </w:t>
      </w:r>
      <w:r w:rsidRPr="00734A50">
        <w:rPr>
          <w:rFonts w:ascii="Calibri" w:eastAsia="Calibri" w:hAnsi="Calibri" w:cs="Calibri"/>
        </w:rPr>
        <w:t>both identify that the ‘optimal time’ for professional experience is an under-researched but critical area, given</w:t>
      </w:r>
      <w:r w:rsidR="00F73B83" w:rsidRPr="00734A50">
        <w:rPr>
          <w:rFonts w:ascii="Calibri" w:eastAsia="Calibri" w:hAnsi="Calibri" w:cs="Calibri"/>
        </w:rPr>
        <w:t xml:space="preserve"> that</w:t>
      </w:r>
      <w:r w:rsidRPr="00734A50">
        <w:rPr>
          <w:rFonts w:ascii="Calibri" w:eastAsia="Calibri" w:hAnsi="Calibri" w:cs="Calibri"/>
        </w:rPr>
        <w:t xml:space="preserve"> there is considerable variation in when an ITE student’s first placement may occur (</w:t>
      </w:r>
      <w:r w:rsidR="008D391C" w:rsidRPr="00734A50">
        <w:rPr>
          <w:rFonts w:ascii="Calibri" w:eastAsia="Calibri" w:hAnsi="Calibri" w:cs="Calibri"/>
        </w:rPr>
        <w:t>NCEC</w:t>
      </w:r>
      <w:r w:rsidR="00441CCC" w:rsidRPr="00734A50">
        <w:rPr>
          <w:rFonts w:ascii="Calibri" w:eastAsia="Calibri" w:hAnsi="Calibri" w:cs="Calibri"/>
        </w:rPr>
        <w:t xml:space="preserve"> submission;</w:t>
      </w:r>
      <w:r w:rsidRPr="00734A50">
        <w:rPr>
          <w:rFonts w:ascii="Calibri" w:eastAsia="Calibri" w:hAnsi="Calibri" w:cs="Calibri"/>
        </w:rPr>
        <w:t xml:space="preserve"> NSW </w:t>
      </w:r>
      <w:r w:rsidR="0049108A" w:rsidRPr="00734A50">
        <w:rPr>
          <w:rFonts w:ascii="Calibri" w:eastAsia="Calibri" w:hAnsi="Calibri" w:cs="Calibri"/>
        </w:rPr>
        <w:t>Council of Deans of Education</w:t>
      </w:r>
      <w:r w:rsidRPr="00734A50">
        <w:rPr>
          <w:rFonts w:ascii="Calibri" w:eastAsia="Calibri" w:hAnsi="Calibri" w:cs="Calibri"/>
        </w:rPr>
        <w:t xml:space="preserve"> submission). While a certain degree of flexibility is appropriate, to accommodate different jurisdictional contexts, there is a lack of best practice evidence for certain elements of practical experience design and delivery (</w:t>
      </w:r>
      <w:r w:rsidR="00787A34" w:rsidRPr="00734A50">
        <w:rPr>
          <w:rFonts w:ascii="Calibri" w:eastAsia="Calibri" w:hAnsi="Calibri" w:cs="Calibri"/>
        </w:rPr>
        <w:t>Australian Catholic University</w:t>
      </w:r>
      <w:r w:rsidRPr="00734A50">
        <w:rPr>
          <w:rFonts w:ascii="Calibri" w:eastAsia="Calibri" w:hAnsi="Calibri" w:cs="Calibri"/>
        </w:rPr>
        <w:t xml:space="preserve"> submission).</w:t>
      </w:r>
    </w:p>
    <w:p w14:paraId="687B1C95" w14:textId="11576FCE" w:rsidR="004566F1" w:rsidRPr="00734A50" w:rsidRDefault="004566F1" w:rsidP="000C2F25">
      <w:pPr>
        <w:pStyle w:val="Heading4"/>
      </w:pPr>
      <w:r w:rsidRPr="00734A50">
        <w:t>3.</w:t>
      </w:r>
      <w:r w:rsidR="00865791" w:rsidRPr="00734A50">
        <w:t>3</w:t>
      </w:r>
      <w:r w:rsidRPr="00734A50">
        <w:t>.4 Resourcing challenges</w:t>
      </w:r>
    </w:p>
    <w:p w14:paraId="01DAA920" w14:textId="77777777" w:rsidR="00055092" w:rsidRPr="00734A50" w:rsidRDefault="0F8ABE58" w:rsidP="002F590F">
      <w:pPr>
        <w:rPr>
          <w:rFonts w:ascii="Calibri" w:eastAsia="Calibri" w:hAnsi="Calibri" w:cs="Calibri"/>
        </w:rPr>
      </w:pPr>
      <w:r w:rsidRPr="00734A50">
        <w:rPr>
          <w:rFonts w:ascii="Calibri" w:eastAsia="Calibri" w:hAnsi="Calibri" w:cs="Calibri"/>
        </w:rPr>
        <w:t xml:space="preserve">Due to the </w:t>
      </w:r>
      <w:r w:rsidR="00F73B83" w:rsidRPr="00734A50">
        <w:rPr>
          <w:rFonts w:ascii="Calibri" w:eastAsia="Calibri" w:hAnsi="Calibri" w:cs="Calibri"/>
        </w:rPr>
        <w:t>variations and complexities described above</w:t>
      </w:r>
      <w:r w:rsidRPr="00734A50">
        <w:rPr>
          <w:rFonts w:ascii="Calibri" w:eastAsia="Calibri" w:hAnsi="Calibri" w:cs="Calibri"/>
        </w:rPr>
        <w:t xml:space="preserve">, it is difficult to quantify how much practical experience </w:t>
      </w:r>
      <w:r w:rsidR="001B1D10" w:rsidRPr="00734A50">
        <w:rPr>
          <w:rFonts w:ascii="Calibri" w:eastAsia="Calibri" w:hAnsi="Calibri" w:cs="Calibri"/>
        </w:rPr>
        <w:t>costs</w:t>
      </w:r>
      <w:r w:rsidRPr="00734A50">
        <w:rPr>
          <w:rFonts w:ascii="Calibri" w:eastAsia="Calibri" w:hAnsi="Calibri" w:cs="Calibri"/>
        </w:rPr>
        <w:t>.</w:t>
      </w:r>
      <w:r w:rsidR="00311202" w:rsidRPr="00734A50">
        <w:rPr>
          <w:rFonts w:ascii="Calibri" w:eastAsia="Calibri" w:hAnsi="Calibri" w:cs="Calibri"/>
        </w:rPr>
        <w:t xml:space="preserve"> </w:t>
      </w:r>
      <w:r w:rsidR="002830B9" w:rsidRPr="00734A50">
        <w:rPr>
          <w:rFonts w:ascii="Calibri" w:eastAsia="Calibri" w:hAnsi="Calibri" w:cs="Calibri"/>
        </w:rPr>
        <w:t>The</w:t>
      </w:r>
      <w:r w:rsidR="00054CC2" w:rsidRPr="00734A50">
        <w:rPr>
          <w:rFonts w:ascii="Calibri" w:eastAsia="Calibri" w:hAnsi="Calibri" w:cs="Calibri"/>
        </w:rPr>
        <w:t xml:space="preserve"> Australian Government provides</w:t>
      </w:r>
      <w:r w:rsidR="009D13B7" w:rsidRPr="00734A50">
        <w:rPr>
          <w:rFonts w:ascii="Calibri" w:eastAsia="Calibri" w:hAnsi="Calibri" w:cs="Calibri"/>
        </w:rPr>
        <w:t xml:space="preserve"> </w:t>
      </w:r>
      <w:r w:rsidR="00311202" w:rsidRPr="00734A50">
        <w:rPr>
          <w:rFonts w:ascii="Calibri" w:eastAsia="Calibri" w:hAnsi="Calibri" w:cs="Calibri"/>
        </w:rPr>
        <w:t xml:space="preserve">funding </w:t>
      </w:r>
      <w:r w:rsidR="00054CC2" w:rsidRPr="00734A50">
        <w:rPr>
          <w:rFonts w:ascii="Calibri" w:eastAsia="Calibri" w:hAnsi="Calibri" w:cs="Calibri"/>
        </w:rPr>
        <w:t xml:space="preserve">for practical experience to higher </w:t>
      </w:r>
      <w:r w:rsidR="00054CC2" w:rsidRPr="00734A50">
        <w:rPr>
          <w:rFonts w:ascii="Calibri" w:eastAsia="Calibri" w:hAnsi="Calibri" w:cs="Calibri"/>
        </w:rPr>
        <w:lastRenderedPageBreak/>
        <w:t>education providers, which includes payments for mentor</w:t>
      </w:r>
      <w:r w:rsidR="00621951" w:rsidRPr="00734A50">
        <w:rPr>
          <w:rFonts w:ascii="Calibri" w:eastAsia="Calibri" w:hAnsi="Calibri" w:cs="Calibri"/>
        </w:rPr>
        <w:t xml:space="preserve"> teacher</w:t>
      </w:r>
      <w:r w:rsidR="00054CC2" w:rsidRPr="00734A50">
        <w:rPr>
          <w:rFonts w:ascii="Calibri" w:eastAsia="Calibri" w:hAnsi="Calibri" w:cs="Calibri"/>
        </w:rPr>
        <w:t xml:space="preserve">s. </w:t>
      </w:r>
      <w:r w:rsidR="0D3EFD5F" w:rsidRPr="00734A50">
        <w:rPr>
          <w:rFonts w:ascii="Calibri" w:eastAsia="Calibri" w:hAnsi="Calibri" w:cs="Calibri"/>
        </w:rPr>
        <w:t>While funding continues to be included in the Australian Government’s contribution to teacher education courses it is no longer spe</w:t>
      </w:r>
      <w:r w:rsidR="7475B946" w:rsidRPr="00734A50">
        <w:rPr>
          <w:rFonts w:ascii="Calibri" w:eastAsia="Calibri" w:hAnsi="Calibri" w:cs="Calibri"/>
        </w:rPr>
        <w:t>cified in Commonwealth Grant Scheme funding and</w:t>
      </w:r>
      <w:r w:rsidRPr="00734A50">
        <w:rPr>
          <w:rFonts w:ascii="Calibri" w:eastAsia="Calibri" w:hAnsi="Calibri" w:cs="Calibri"/>
        </w:rPr>
        <w:t xml:space="preserve"> the </w:t>
      </w:r>
      <w:r w:rsidR="0D3EFD5F" w:rsidRPr="00734A50">
        <w:rPr>
          <w:rFonts w:ascii="Calibri" w:eastAsia="Calibri" w:hAnsi="Calibri" w:cs="Calibri"/>
        </w:rPr>
        <w:t>funding for practical experience is not ‘ring-fenced’</w:t>
      </w:r>
      <w:r w:rsidR="6DB2D5B2" w:rsidRPr="00734A50">
        <w:rPr>
          <w:rFonts w:ascii="Calibri" w:eastAsia="Calibri" w:hAnsi="Calibri" w:cs="Calibri"/>
        </w:rPr>
        <w:t xml:space="preserve">. </w:t>
      </w:r>
    </w:p>
    <w:p w14:paraId="2F4143B2" w14:textId="7D51373E" w:rsidR="003714EA" w:rsidRPr="00734A50" w:rsidRDefault="251B591F" w:rsidP="005344D6">
      <w:r w:rsidRPr="00734A50">
        <w:t xml:space="preserve">The Panel has heard from stakeholders that high-quality practical experience is expensive (University of Queensland submission), </w:t>
      </w:r>
      <w:r w:rsidR="6E1A2FA2" w:rsidRPr="00734A50">
        <w:t xml:space="preserve">that it is </w:t>
      </w:r>
      <w:r w:rsidRPr="00734A50">
        <w:t>not adequately funded (Victorian Council of Deans of Education submission) and that appropriate resourcing is the most significant lever for improving the quality of practical experience in ITE programs (Australian Education Union submission). In particular, stakeholders consider that funding has not kept pace with the significant financial and administrative demands placed on providers to effectively coordinate and deliver high-quality practical experience (</w:t>
      </w:r>
      <w:r w:rsidR="0495195A" w:rsidRPr="00734A50">
        <w:t>ATRA</w:t>
      </w:r>
      <w:r w:rsidRPr="00734A50">
        <w:t xml:space="preserve"> submission). The need for funding models to support rural and remote placements</w:t>
      </w:r>
      <w:r w:rsidR="1BACE4FA" w:rsidRPr="00734A50">
        <w:t>,</w:t>
      </w:r>
      <w:r w:rsidRPr="00734A50">
        <w:t xml:space="preserve"> due to prohibitive accommodation and travel costs for many </w:t>
      </w:r>
      <w:r w:rsidR="000447A4" w:rsidRPr="00734A50">
        <w:t>ITE students</w:t>
      </w:r>
      <w:r w:rsidR="1BACE4FA" w:rsidRPr="00734A50">
        <w:t>,</w:t>
      </w:r>
      <w:r w:rsidRPr="00734A50">
        <w:t xml:space="preserve"> was also raised (Griffith University submission), while other stakeholders observed that the academic and administrative costs of practical experience placements are beyond the typical costs of higher education coursework (Queensland Deans of Education submission).</w:t>
      </w:r>
      <w:r w:rsidR="047CCF31" w:rsidRPr="00734A50">
        <w:t xml:space="preserve"> However, the amount of money actually spent on practical experience is unknown.</w:t>
      </w:r>
    </w:p>
    <w:p w14:paraId="67BAF1EC" w14:textId="164E5557" w:rsidR="005344D6" w:rsidRPr="00734A50" w:rsidRDefault="005344D6" w:rsidP="005344D6">
      <w:r w:rsidRPr="00734A50">
        <w:t xml:space="preserve">In its </w:t>
      </w:r>
      <w:r w:rsidR="00BC7467" w:rsidRPr="00734A50">
        <w:t>D</w:t>
      </w:r>
      <w:r w:rsidRPr="00734A50">
        <w:t xml:space="preserve">iscussion </w:t>
      </w:r>
      <w:r w:rsidR="00BC7467" w:rsidRPr="00734A50">
        <w:t>P</w:t>
      </w:r>
      <w:r w:rsidRPr="00734A50">
        <w:t xml:space="preserve">aper, the Panel noted that base funding for education courses (Commonwealth and student contributions) has declined under the Job Ready Graduates </w:t>
      </w:r>
      <w:r w:rsidR="009A0FBD" w:rsidRPr="00734A50">
        <w:t>package</w:t>
      </w:r>
      <w:r w:rsidRPr="00734A50">
        <w:t xml:space="preserve"> due to the significant reduction in student contributions, potentially discouraging providers from investing in improving the quality and quantity of ITE students.</w:t>
      </w:r>
      <w:r w:rsidR="00FB53CF" w:rsidRPr="00734A50">
        <w:t xml:space="preserve"> This difficult</w:t>
      </w:r>
      <w:r w:rsidR="00D476EE" w:rsidRPr="00734A50">
        <w:t>y</w:t>
      </w:r>
      <w:r w:rsidR="00FB53CF" w:rsidRPr="00734A50">
        <w:t xml:space="preserve"> was reinforced </w:t>
      </w:r>
      <w:r w:rsidR="0016186C" w:rsidRPr="00734A50">
        <w:t>in</w:t>
      </w:r>
      <w:r w:rsidR="00113A53" w:rsidRPr="00734A50">
        <w:t xml:space="preserve"> the Panel’s</w:t>
      </w:r>
      <w:r w:rsidR="0016186C" w:rsidRPr="00734A50">
        <w:t xml:space="preserve"> </w:t>
      </w:r>
      <w:r w:rsidR="00FB53CF" w:rsidRPr="00734A50">
        <w:t>consultation</w:t>
      </w:r>
      <w:r w:rsidR="00113A53" w:rsidRPr="00734A50">
        <w:t>s</w:t>
      </w:r>
      <w:r w:rsidR="00FB53CF" w:rsidRPr="00734A50">
        <w:t xml:space="preserve">. </w:t>
      </w:r>
      <w:r w:rsidR="00522104" w:rsidRPr="00734A50">
        <w:t>The</w:t>
      </w:r>
      <w:r w:rsidR="00FB53CF" w:rsidRPr="00734A50">
        <w:t xml:space="preserve"> University of Canberra stated that the quality of professional experience could be improved by direct funding to universities for the costs associated with providing student placements in schools. </w:t>
      </w:r>
      <w:r w:rsidR="0016186C" w:rsidRPr="00734A50">
        <w:t xml:space="preserve">It </w:t>
      </w:r>
      <w:r w:rsidR="00FB53CF" w:rsidRPr="00734A50">
        <w:t>note</w:t>
      </w:r>
      <w:r w:rsidR="0016186C" w:rsidRPr="00734A50">
        <w:t>d that</w:t>
      </w:r>
      <w:r w:rsidR="00FB53CF" w:rsidRPr="00734A50">
        <w:t xml:space="preserve"> the reduction in base funding for ITE programs through Job Ready Graduates has </w:t>
      </w:r>
      <w:r w:rsidR="47499C59" w:rsidRPr="00734A50">
        <w:t xml:space="preserve">reduced </w:t>
      </w:r>
      <w:r w:rsidR="00FB53CF" w:rsidRPr="00734A50">
        <w:t>funds available for all aspects of ITE programs</w:t>
      </w:r>
      <w:r w:rsidR="00732E97" w:rsidRPr="00734A50">
        <w:t>,</w:t>
      </w:r>
      <w:r w:rsidR="00FB53CF" w:rsidRPr="00734A50">
        <w:t xml:space="preserve"> including funds available to support high</w:t>
      </w:r>
      <w:r w:rsidR="00CE62F5" w:rsidRPr="00734A50">
        <w:t>-</w:t>
      </w:r>
      <w:r w:rsidR="00FB53CF" w:rsidRPr="00734A50">
        <w:t>quality school placements</w:t>
      </w:r>
      <w:r w:rsidR="00066EBA" w:rsidRPr="00734A50">
        <w:t>.</w:t>
      </w:r>
      <w:r w:rsidRPr="00734A50">
        <w:t xml:space="preserve"> </w:t>
      </w:r>
      <w:r w:rsidR="00732E97" w:rsidRPr="00734A50">
        <w:t xml:space="preserve">It </w:t>
      </w:r>
      <w:r w:rsidR="00FB53CF" w:rsidRPr="00734A50">
        <w:t xml:space="preserve">advocated for a return to previous funding levels consistent with the high priority the </w:t>
      </w:r>
      <w:r w:rsidR="005C4111" w:rsidRPr="00734A50">
        <w:t>Australian G</w:t>
      </w:r>
      <w:r w:rsidR="00FB53CF" w:rsidRPr="00734A50">
        <w:t>overnment is placing on addressing the teacher workforce shortage and the quality of teacher education</w:t>
      </w:r>
      <w:r w:rsidR="002476B5" w:rsidRPr="00734A50">
        <w:t xml:space="preserve"> (University of Canberra submission)</w:t>
      </w:r>
      <w:r w:rsidR="00FB53CF" w:rsidRPr="00734A50">
        <w:t>.</w:t>
      </w:r>
    </w:p>
    <w:p w14:paraId="09DFE03A" w14:textId="0D2321B7" w:rsidR="005344D6" w:rsidRPr="00734A50" w:rsidRDefault="005344D6" w:rsidP="00553516">
      <w:r w:rsidRPr="00734A50">
        <w:t xml:space="preserve">Stakeholder feedback to the Australian Universities Accord higher education review has highlighted </w:t>
      </w:r>
      <w:r w:rsidR="00732E97" w:rsidRPr="00734A50">
        <w:t xml:space="preserve">that </w:t>
      </w:r>
      <w:r w:rsidRPr="00734A50">
        <w:t>the rising cost of placements is adversely affecting the pipeline of skilled workers in</w:t>
      </w:r>
      <w:r w:rsidR="008D391C" w:rsidRPr="00734A50">
        <w:t>to</w:t>
      </w:r>
      <w:r w:rsidRPr="00734A50">
        <w:t xml:space="preserve"> health and education (Australian Catholic University submission). The Australian Catholic University </w:t>
      </w:r>
      <w:r w:rsidR="00732E97" w:rsidRPr="00734A50">
        <w:t xml:space="preserve">also </w:t>
      </w:r>
      <w:r w:rsidRPr="00734A50">
        <w:t xml:space="preserve">stated </w:t>
      </w:r>
      <w:r w:rsidR="00732E97" w:rsidRPr="00734A50">
        <w:t xml:space="preserve">that </w:t>
      </w:r>
      <w:r w:rsidRPr="00734A50">
        <w:t xml:space="preserve">the cost </w:t>
      </w:r>
      <w:r w:rsidR="00732E97" w:rsidRPr="00734A50">
        <w:t xml:space="preserve">to </w:t>
      </w:r>
      <w:r w:rsidRPr="00734A50">
        <w:t>universities</w:t>
      </w:r>
      <w:r w:rsidR="00732E97" w:rsidRPr="00734A50">
        <w:t xml:space="preserve"> of</w:t>
      </w:r>
      <w:r w:rsidRPr="00734A50">
        <w:t xml:space="preserve"> facilitating placements is increasing </w:t>
      </w:r>
      <w:r w:rsidR="008D391C" w:rsidRPr="00734A50">
        <w:t>more quickly</w:t>
      </w:r>
      <w:r w:rsidRPr="00734A50">
        <w:t xml:space="preserve"> than the funding universities receive to educate students and is taking up </w:t>
      </w:r>
      <w:r w:rsidR="00732E97" w:rsidRPr="00734A50">
        <w:t>‘</w:t>
      </w:r>
      <w:r w:rsidRPr="00734A50">
        <w:t>a potentially unsustainable proportion of university budgets</w:t>
      </w:r>
      <w:r w:rsidR="00732E97" w:rsidRPr="00734A50">
        <w:t>’</w:t>
      </w:r>
      <w:r w:rsidRPr="00734A50">
        <w:t>. The University of New England highlighted that</w:t>
      </w:r>
      <w:r w:rsidR="00732E97" w:rsidRPr="00734A50">
        <w:t>,</w:t>
      </w:r>
      <w:r w:rsidRPr="00734A50">
        <w:t xml:space="preserve"> due to the shortage of teachers and health professionals, employers cannot accommodate and supervise students on placement, further </w:t>
      </w:r>
      <w:r w:rsidR="008D391C" w:rsidRPr="00734A50">
        <w:t xml:space="preserve">slowing </w:t>
      </w:r>
      <w:r w:rsidRPr="00734A50">
        <w:t xml:space="preserve">the </w:t>
      </w:r>
      <w:r w:rsidR="008D391C" w:rsidRPr="00734A50">
        <w:t xml:space="preserve">supply of new teachers into the </w:t>
      </w:r>
      <w:r w:rsidRPr="00734A50">
        <w:t>workforce. Significant coordination between systems and providers, accrediting bodies and universities, together with more funding</w:t>
      </w:r>
      <w:r w:rsidR="00732E97" w:rsidRPr="00734A50">
        <w:t>,</w:t>
      </w:r>
      <w:r w:rsidRPr="00734A50">
        <w:t xml:space="preserve"> </w:t>
      </w:r>
      <w:r w:rsidR="00D54E60" w:rsidRPr="00734A50">
        <w:t>would</w:t>
      </w:r>
      <w:r w:rsidRPr="00734A50">
        <w:t xml:space="preserve"> be required to drive transformation in this area (University of New England submission).</w:t>
      </w:r>
    </w:p>
    <w:p w14:paraId="471B55E1" w14:textId="0A99EE05" w:rsidR="00E10B54" w:rsidRPr="00734A50" w:rsidRDefault="0F8ABE58" w:rsidP="007F3979">
      <w:pPr>
        <w:spacing w:after="0"/>
        <w:rPr>
          <w:rFonts w:ascii="Calibri" w:eastAsia="Calibri" w:hAnsi="Calibri" w:cs="Calibri"/>
        </w:rPr>
      </w:pPr>
      <w:r w:rsidRPr="00734A50">
        <w:rPr>
          <w:rFonts w:ascii="Calibri" w:eastAsia="Calibri" w:hAnsi="Calibri" w:cs="Calibri"/>
        </w:rPr>
        <w:t>Factors contributing to the cost of delivering practical experience include:</w:t>
      </w:r>
    </w:p>
    <w:p w14:paraId="40DBC75B" w14:textId="06A3CE42" w:rsidR="00E10B54" w:rsidRPr="00734A50" w:rsidRDefault="0F8ABE58" w:rsidP="00553516">
      <w:pPr>
        <w:pStyle w:val="ListBullet"/>
        <w:numPr>
          <w:ilvl w:val="0"/>
          <w:numId w:val="216"/>
        </w:numPr>
        <w:spacing w:after="200"/>
        <w:ind w:left="357" w:hanging="357"/>
      </w:pPr>
      <w:r w:rsidRPr="00734A50">
        <w:t>the time and resourcing needed by the provider, student</w:t>
      </w:r>
      <w:r w:rsidR="00BA6A76" w:rsidRPr="00734A50">
        <w:t>, school and school system</w:t>
      </w:r>
      <w:r w:rsidRPr="00734A50">
        <w:t xml:space="preserve"> </w:t>
      </w:r>
      <w:r w:rsidR="00732E97" w:rsidRPr="00734A50">
        <w:t>to set up and agree to practical experience placements</w:t>
      </w:r>
    </w:p>
    <w:p w14:paraId="4A7BBB89" w14:textId="41B6407D" w:rsidR="00E10B54" w:rsidRPr="00734A50" w:rsidRDefault="0F8ABE58" w:rsidP="00553516">
      <w:pPr>
        <w:pStyle w:val="ListBullet"/>
        <w:numPr>
          <w:ilvl w:val="0"/>
          <w:numId w:val="216"/>
        </w:numPr>
        <w:spacing w:after="200"/>
        <w:ind w:left="357" w:hanging="357"/>
      </w:pPr>
      <w:r w:rsidRPr="00734A50">
        <w:lastRenderedPageBreak/>
        <w:t>the time and cost to provide feedback and ongoing support and communication to ITE students before, during and after placements</w:t>
      </w:r>
    </w:p>
    <w:p w14:paraId="527984ED" w14:textId="25FA57EB" w:rsidR="00456A20" w:rsidRPr="00734A50" w:rsidRDefault="416E1416" w:rsidP="00553516">
      <w:pPr>
        <w:pStyle w:val="ListBullet"/>
        <w:numPr>
          <w:ilvl w:val="0"/>
          <w:numId w:val="216"/>
        </w:numPr>
        <w:spacing w:after="200"/>
        <w:ind w:left="357" w:hanging="357"/>
      </w:pPr>
      <w:r w:rsidRPr="00734A50">
        <w:t>the cost of preparing and paying experienced teachers to supervise, observe and mentor ITE students.</w:t>
      </w:r>
      <w:r w:rsidR="248F955E" w:rsidRPr="00734A50">
        <w:t xml:space="preserve"> </w:t>
      </w:r>
    </w:p>
    <w:p w14:paraId="4D1749A8" w14:textId="54B9B135" w:rsidR="1F8ABAC6" w:rsidRPr="00734A50" w:rsidRDefault="00EF283B" w:rsidP="00FD2FDE">
      <w:pPr>
        <w:rPr>
          <w:rFonts w:ascii="Calibri" w:eastAsia="Calibri" w:hAnsi="Calibri" w:cs="Calibri"/>
        </w:rPr>
      </w:pPr>
      <w:r w:rsidRPr="00734A50">
        <w:rPr>
          <w:rFonts w:ascii="Calibri" w:eastAsia="Calibri" w:hAnsi="Calibri" w:cs="Calibri"/>
        </w:rPr>
        <w:t>In addition to the c</w:t>
      </w:r>
      <w:r w:rsidR="1F8ABAC6" w:rsidRPr="00734A50">
        <w:rPr>
          <w:rFonts w:ascii="Calibri" w:eastAsia="Calibri" w:hAnsi="Calibri" w:cs="Calibri"/>
        </w:rPr>
        <w:t xml:space="preserve">osts incurred by providers, schools and school systems, mentor teachers </w:t>
      </w:r>
      <w:r w:rsidRPr="00734A50">
        <w:rPr>
          <w:rFonts w:ascii="Calibri" w:eastAsia="Calibri" w:hAnsi="Calibri" w:cs="Calibri"/>
        </w:rPr>
        <w:t>must</w:t>
      </w:r>
      <w:r w:rsidR="1F8ABAC6" w:rsidRPr="00734A50">
        <w:rPr>
          <w:rFonts w:ascii="Calibri" w:eastAsia="Calibri" w:hAnsi="Calibri" w:cs="Calibri"/>
        </w:rPr>
        <w:t xml:space="preserve"> juggl</w:t>
      </w:r>
      <w:r w:rsidRPr="00734A50">
        <w:rPr>
          <w:rFonts w:ascii="Calibri" w:eastAsia="Calibri" w:hAnsi="Calibri" w:cs="Calibri"/>
        </w:rPr>
        <w:t>e the</w:t>
      </w:r>
      <w:r w:rsidR="1F8ABAC6" w:rsidRPr="00734A50">
        <w:rPr>
          <w:rFonts w:ascii="Calibri" w:eastAsia="Calibri" w:hAnsi="Calibri" w:cs="Calibri"/>
        </w:rPr>
        <w:t xml:space="preserve"> demands of their teaching workload to support and mentor ITE students.</w:t>
      </w:r>
      <w:r w:rsidR="00B57F57" w:rsidRPr="00734A50">
        <w:rPr>
          <w:rFonts w:ascii="Calibri" w:eastAsia="Calibri" w:hAnsi="Calibri" w:cs="Calibri"/>
        </w:rPr>
        <w:t xml:space="preserve"> </w:t>
      </w:r>
      <w:r w:rsidR="00E61051" w:rsidRPr="00734A50">
        <w:rPr>
          <w:rFonts w:ascii="Calibri" w:eastAsia="Calibri" w:hAnsi="Calibri" w:cs="Calibri"/>
        </w:rPr>
        <w:t>T</w:t>
      </w:r>
      <w:r w:rsidR="00F94B96" w:rsidRPr="00734A50">
        <w:rPr>
          <w:rFonts w:ascii="Calibri" w:eastAsia="Calibri" w:hAnsi="Calibri" w:cs="Calibri"/>
        </w:rPr>
        <w:t xml:space="preserve">ime release arrangements </w:t>
      </w:r>
      <w:r w:rsidR="00E61051" w:rsidRPr="00734A50">
        <w:rPr>
          <w:rFonts w:ascii="Calibri" w:eastAsia="Calibri" w:hAnsi="Calibri" w:cs="Calibri"/>
        </w:rPr>
        <w:t>may</w:t>
      </w:r>
      <w:r w:rsidR="00F94B96" w:rsidRPr="00734A50">
        <w:rPr>
          <w:rFonts w:ascii="Calibri" w:eastAsia="Calibri" w:hAnsi="Calibri" w:cs="Calibri"/>
        </w:rPr>
        <w:t xml:space="preserve"> not fully compensate </w:t>
      </w:r>
      <w:r w:rsidR="00E61051" w:rsidRPr="00734A50">
        <w:rPr>
          <w:rFonts w:ascii="Calibri" w:eastAsia="Calibri" w:hAnsi="Calibri" w:cs="Calibri"/>
        </w:rPr>
        <w:t>mentor</w:t>
      </w:r>
      <w:r w:rsidR="00074438" w:rsidRPr="00734A50">
        <w:rPr>
          <w:rFonts w:ascii="Calibri" w:eastAsia="Calibri" w:hAnsi="Calibri" w:cs="Calibri"/>
        </w:rPr>
        <w:t xml:space="preserve"> teacher</w:t>
      </w:r>
      <w:r w:rsidR="00E61051" w:rsidRPr="00734A50">
        <w:rPr>
          <w:rFonts w:ascii="Calibri" w:eastAsia="Calibri" w:hAnsi="Calibri" w:cs="Calibri"/>
        </w:rPr>
        <w:t xml:space="preserve">s </w:t>
      </w:r>
      <w:r w:rsidR="002A6B3E" w:rsidRPr="00734A50">
        <w:rPr>
          <w:rFonts w:ascii="Calibri" w:eastAsia="Calibri" w:hAnsi="Calibri" w:cs="Calibri"/>
        </w:rPr>
        <w:t xml:space="preserve">for the </w:t>
      </w:r>
      <w:r w:rsidR="003977C0" w:rsidRPr="00734A50">
        <w:rPr>
          <w:rFonts w:ascii="Calibri" w:eastAsia="Calibri" w:hAnsi="Calibri" w:cs="Calibri"/>
        </w:rPr>
        <w:t>hours</w:t>
      </w:r>
      <w:r w:rsidR="002A6B3E" w:rsidRPr="00734A50">
        <w:rPr>
          <w:rFonts w:ascii="Calibri" w:eastAsia="Calibri" w:hAnsi="Calibri" w:cs="Calibri"/>
        </w:rPr>
        <w:t xml:space="preserve"> they </w:t>
      </w:r>
      <w:r w:rsidR="003977C0" w:rsidRPr="00734A50">
        <w:rPr>
          <w:rFonts w:ascii="Calibri" w:eastAsia="Calibri" w:hAnsi="Calibri" w:cs="Calibri"/>
        </w:rPr>
        <w:t>spend</w:t>
      </w:r>
      <w:r w:rsidR="002A6B3E" w:rsidRPr="00734A50">
        <w:rPr>
          <w:rFonts w:ascii="Calibri" w:eastAsia="Calibri" w:hAnsi="Calibri" w:cs="Calibri"/>
        </w:rPr>
        <w:t xml:space="preserve"> </w:t>
      </w:r>
      <w:r w:rsidR="003977C0" w:rsidRPr="00734A50">
        <w:rPr>
          <w:rFonts w:ascii="Calibri" w:eastAsia="Calibri" w:hAnsi="Calibri" w:cs="Calibri"/>
        </w:rPr>
        <w:t>mentoring</w:t>
      </w:r>
      <w:r w:rsidR="002A6B3E" w:rsidRPr="00734A50">
        <w:rPr>
          <w:rFonts w:ascii="Calibri" w:eastAsia="Calibri" w:hAnsi="Calibri" w:cs="Calibri"/>
        </w:rPr>
        <w:t xml:space="preserve"> ITE </w:t>
      </w:r>
      <w:r w:rsidR="0069673C" w:rsidRPr="00734A50">
        <w:rPr>
          <w:rFonts w:ascii="Calibri" w:eastAsia="Calibri" w:hAnsi="Calibri" w:cs="Calibri"/>
        </w:rPr>
        <w:t>students,</w:t>
      </w:r>
      <w:r w:rsidR="002A6B3E" w:rsidRPr="00734A50">
        <w:rPr>
          <w:rFonts w:ascii="Calibri" w:eastAsia="Calibri" w:hAnsi="Calibri" w:cs="Calibri"/>
        </w:rPr>
        <w:t xml:space="preserve"> and this can in turn deter</w:t>
      </w:r>
      <w:r w:rsidRPr="00734A50">
        <w:rPr>
          <w:rFonts w:ascii="Calibri" w:eastAsia="Calibri" w:hAnsi="Calibri" w:cs="Calibri"/>
        </w:rPr>
        <w:t xml:space="preserve"> </w:t>
      </w:r>
      <w:r w:rsidR="002A6B3E" w:rsidRPr="00734A50">
        <w:rPr>
          <w:rFonts w:ascii="Calibri" w:eastAsia="Calibri" w:hAnsi="Calibri" w:cs="Calibri"/>
        </w:rPr>
        <w:t>other experienced teacher</w:t>
      </w:r>
      <w:r w:rsidR="003977C0" w:rsidRPr="00734A50">
        <w:rPr>
          <w:rFonts w:ascii="Calibri" w:eastAsia="Calibri" w:hAnsi="Calibri" w:cs="Calibri"/>
        </w:rPr>
        <w:t>s</w:t>
      </w:r>
      <w:r w:rsidR="00732E97" w:rsidRPr="00734A50">
        <w:rPr>
          <w:rFonts w:ascii="Calibri" w:eastAsia="Calibri" w:hAnsi="Calibri" w:cs="Calibri"/>
        </w:rPr>
        <w:t xml:space="preserve"> from taking on this role</w:t>
      </w:r>
      <w:r w:rsidR="003977C0" w:rsidRPr="00734A50">
        <w:rPr>
          <w:rFonts w:ascii="Calibri" w:eastAsia="Calibri" w:hAnsi="Calibri" w:cs="Calibri"/>
        </w:rPr>
        <w:t>.</w:t>
      </w:r>
    </w:p>
    <w:p w14:paraId="3EE8ED84" w14:textId="3620B924" w:rsidR="00E10B54" w:rsidRPr="00734A50" w:rsidRDefault="0F8ABE58" w:rsidP="31856CD6">
      <w:pPr>
        <w:rPr>
          <w:rFonts w:ascii="Calibri" w:eastAsia="Calibri" w:hAnsi="Calibri" w:cs="Calibri"/>
        </w:rPr>
      </w:pPr>
      <w:r w:rsidRPr="00734A50">
        <w:rPr>
          <w:rFonts w:ascii="Calibri" w:eastAsia="Calibri" w:hAnsi="Calibri" w:cs="Calibri"/>
        </w:rPr>
        <w:t>Noting these elements, stakeholders assert</w:t>
      </w:r>
      <w:r w:rsidR="008D1B4C" w:rsidRPr="00734A50">
        <w:rPr>
          <w:rFonts w:ascii="Calibri" w:eastAsia="Calibri" w:hAnsi="Calibri" w:cs="Calibri"/>
        </w:rPr>
        <w:t>ed</w:t>
      </w:r>
      <w:r w:rsidRPr="00734A50">
        <w:rPr>
          <w:rFonts w:ascii="Calibri" w:eastAsia="Calibri" w:hAnsi="Calibri" w:cs="Calibri"/>
        </w:rPr>
        <w:t xml:space="preserve"> that the cost of practical experience placements is </w:t>
      </w:r>
      <w:r w:rsidR="00732E97" w:rsidRPr="00734A50">
        <w:rPr>
          <w:rFonts w:ascii="Calibri" w:eastAsia="Calibri" w:hAnsi="Calibri" w:cs="Calibri"/>
        </w:rPr>
        <w:t>‘</w:t>
      </w:r>
      <w:r w:rsidRPr="00734A50">
        <w:rPr>
          <w:rFonts w:ascii="Calibri" w:eastAsia="Calibri" w:hAnsi="Calibri" w:cs="Calibri"/>
        </w:rPr>
        <w:t>high and must be tackled at a national and jurisdiction level</w:t>
      </w:r>
      <w:r w:rsidR="00732E97" w:rsidRPr="00734A50">
        <w:rPr>
          <w:rFonts w:ascii="Calibri" w:eastAsia="Calibri" w:hAnsi="Calibri" w:cs="Calibri"/>
        </w:rPr>
        <w:t>’</w:t>
      </w:r>
      <w:r w:rsidRPr="00734A50">
        <w:rPr>
          <w:rFonts w:ascii="Calibri" w:eastAsia="Calibri" w:hAnsi="Calibri" w:cs="Calibri"/>
        </w:rPr>
        <w:t xml:space="preserve"> (</w:t>
      </w:r>
      <w:r w:rsidR="00E50FE6" w:rsidRPr="00734A50">
        <w:rPr>
          <w:rFonts w:ascii="Calibri" w:eastAsia="Calibri" w:hAnsi="Calibri" w:cs="Calibri"/>
        </w:rPr>
        <w:t>ACDE</w:t>
      </w:r>
      <w:r w:rsidR="00C40F5D" w:rsidRPr="00734A50">
        <w:rPr>
          <w:rFonts w:ascii="Calibri" w:eastAsia="Calibri" w:hAnsi="Calibri" w:cs="Calibri"/>
        </w:rPr>
        <w:t xml:space="preserve"> </w:t>
      </w:r>
      <w:r w:rsidRPr="00734A50">
        <w:rPr>
          <w:rFonts w:ascii="Calibri" w:eastAsia="Calibri" w:hAnsi="Calibri" w:cs="Calibri"/>
        </w:rPr>
        <w:t xml:space="preserve">submission). </w:t>
      </w:r>
    </w:p>
    <w:p w14:paraId="6C1F78B2" w14:textId="7042BC6D" w:rsidR="00FC7141" w:rsidRPr="00734A50" w:rsidRDefault="00FC7141" w:rsidP="000C2F25">
      <w:pPr>
        <w:pStyle w:val="Heading4"/>
      </w:pPr>
      <w:r w:rsidRPr="00734A50">
        <w:t>3.</w:t>
      </w:r>
      <w:r w:rsidR="00865791" w:rsidRPr="00734A50">
        <w:t>3</w:t>
      </w:r>
      <w:r w:rsidRPr="00734A50">
        <w:t>.5 Limited teacher capacity, capability and incentives to supervise and mentor ITE students</w:t>
      </w:r>
    </w:p>
    <w:p w14:paraId="4AF6FA8D" w14:textId="2940A026" w:rsidR="00C8074A" w:rsidRPr="00734A50" w:rsidRDefault="00FC7141" w:rsidP="00C8074A">
      <w:r w:rsidRPr="00734A50">
        <w:rPr>
          <w:rFonts w:ascii="Calibri" w:eastAsia="Calibri" w:hAnsi="Calibri" w:cs="Calibri"/>
          <w:color w:val="000000" w:themeColor="text1"/>
        </w:rPr>
        <w:t xml:space="preserve">Stakeholder consultation </w:t>
      </w:r>
      <w:r w:rsidR="00610B5F" w:rsidRPr="00734A50">
        <w:rPr>
          <w:rFonts w:ascii="Calibri" w:eastAsia="Calibri" w:hAnsi="Calibri" w:cs="Calibri"/>
          <w:color w:val="000000" w:themeColor="text1"/>
        </w:rPr>
        <w:t xml:space="preserve">indicates there is an </w:t>
      </w:r>
      <w:r w:rsidR="00610B5F" w:rsidRPr="00734A50">
        <w:t>ongoing challenge in identifying highly</w:t>
      </w:r>
      <w:r w:rsidR="00732E97" w:rsidRPr="00734A50">
        <w:t xml:space="preserve"> </w:t>
      </w:r>
      <w:r w:rsidR="00610B5F" w:rsidRPr="00734A50">
        <w:t>skilled mentor</w:t>
      </w:r>
      <w:r w:rsidR="00621951" w:rsidRPr="00734A50">
        <w:t xml:space="preserve"> teacher</w:t>
      </w:r>
      <w:r w:rsidR="00610B5F" w:rsidRPr="00734A50">
        <w:t>s</w:t>
      </w:r>
      <w:r w:rsidR="00610B5F" w:rsidRPr="00734A50">
        <w:rPr>
          <w:rFonts w:ascii="Calibri" w:eastAsia="Calibri" w:hAnsi="Calibri" w:cs="Calibri"/>
          <w:color w:val="000000" w:themeColor="text1"/>
        </w:rPr>
        <w:t xml:space="preserve"> to supervise ITE students</w:t>
      </w:r>
      <w:r w:rsidR="00DD4F5C" w:rsidRPr="00734A50">
        <w:rPr>
          <w:rFonts w:ascii="Calibri" w:eastAsia="Calibri" w:hAnsi="Calibri" w:cs="Calibri"/>
          <w:color w:val="000000" w:themeColor="text1"/>
        </w:rPr>
        <w:t xml:space="preserve"> (</w:t>
      </w:r>
      <w:r w:rsidR="00805F17" w:rsidRPr="00734A50">
        <w:rPr>
          <w:rFonts w:ascii="Calibri" w:eastAsia="Calibri" w:hAnsi="Calibri" w:cs="Calibri"/>
          <w:color w:val="000000" w:themeColor="text1"/>
        </w:rPr>
        <w:t>Independent Education Union</w:t>
      </w:r>
      <w:r w:rsidR="00AD7902" w:rsidRPr="00734A50">
        <w:rPr>
          <w:rFonts w:ascii="Calibri" w:eastAsia="Calibri" w:hAnsi="Calibri" w:cs="Calibri"/>
          <w:color w:val="000000" w:themeColor="text1"/>
        </w:rPr>
        <w:t xml:space="preserve"> submission;</w:t>
      </w:r>
      <w:r w:rsidR="00805F17" w:rsidRPr="00734A50">
        <w:rPr>
          <w:rFonts w:ascii="Calibri" w:eastAsia="Calibri" w:hAnsi="Calibri" w:cs="Calibri"/>
          <w:color w:val="000000" w:themeColor="text1"/>
        </w:rPr>
        <w:t xml:space="preserve"> RMIT</w:t>
      </w:r>
      <w:r w:rsidR="00AD7902" w:rsidRPr="00734A50">
        <w:rPr>
          <w:rFonts w:ascii="Calibri" w:eastAsia="Calibri" w:hAnsi="Calibri" w:cs="Calibri"/>
          <w:color w:val="000000" w:themeColor="text1"/>
        </w:rPr>
        <w:t xml:space="preserve"> submission;</w:t>
      </w:r>
      <w:r w:rsidR="00805F17" w:rsidRPr="00734A50">
        <w:rPr>
          <w:rFonts w:ascii="Calibri" w:eastAsia="Calibri" w:hAnsi="Calibri" w:cs="Calibri"/>
          <w:color w:val="000000" w:themeColor="text1"/>
        </w:rPr>
        <w:t xml:space="preserve"> Federation University Institute of Special Education submission</w:t>
      </w:r>
      <w:r w:rsidR="00DD4F5C" w:rsidRPr="00734A50">
        <w:rPr>
          <w:rFonts w:ascii="Calibri" w:eastAsia="Calibri" w:hAnsi="Calibri" w:cs="Calibri"/>
          <w:color w:val="000000" w:themeColor="text1"/>
        </w:rPr>
        <w:t>)</w:t>
      </w:r>
      <w:r w:rsidR="00610B5F" w:rsidRPr="00734A50">
        <w:rPr>
          <w:rFonts w:ascii="Calibri" w:eastAsia="Calibri" w:hAnsi="Calibri" w:cs="Calibri"/>
          <w:color w:val="000000" w:themeColor="text1"/>
        </w:rPr>
        <w:t xml:space="preserve">. </w:t>
      </w:r>
      <w:r w:rsidR="00C8074A" w:rsidRPr="00734A50">
        <w:rPr>
          <w:rFonts w:ascii="Calibri" w:eastAsia="Calibri" w:hAnsi="Calibri" w:cs="Calibri"/>
          <w:color w:val="000000" w:themeColor="text1"/>
        </w:rPr>
        <w:t xml:space="preserve">Focus groups with </w:t>
      </w:r>
      <w:r w:rsidR="00805F17" w:rsidRPr="00734A50">
        <w:rPr>
          <w:rFonts w:ascii="Calibri" w:eastAsia="Calibri" w:hAnsi="Calibri" w:cs="Calibri"/>
          <w:color w:val="000000" w:themeColor="text1"/>
        </w:rPr>
        <w:t>higher education providers</w:t>
      </w:r>
      <w:r w:rsidR="00C8074A" w:rsidRPr="00734A50">
        <w:t xml:space="preserve"> identified mentoring as a significant challenge in providing high</w:t>
      </w:r>
      <w:r w:rsidR="007E0022" w:rsidRPr="00734A50">
        <w:t>-</w:t>
      </w:r>
      <w:r w:rsidR="00C8074A" w:rsidRPr="00734A50">
        <w:t>quality practical experience.</w:t>
      </w:r>
    </w:p>
    <w:p w14:paraId="034A7789" w14:textId="29E0E0A0" w:rsidR="00FC7141" w:rsidRPr="00734A50" w:rsidRDefault="00FC7141" w:rsidP="00FC7141">
      <w:pPr>
        <w:rPr>
          <w:rFonts w:ascii="Calibri" w:eastAsia="Calibri" w:hAnsi="Calibri" w:cs="Calibri"/>
          <w:color w:val="000000" w:themeColor="text1"/>
        </w:rPr>
      </w:pPr>
      <w:r w:rsidRPr="00734A50">
        <w:rPr>
          <w:rFonts w:ascii="Calibri" w:eastAsia="Calibri" w:hAnsi="Calibri" w:cs="Calibri"/>
          <w:color w:val="000000" w:themeColor="text1"/>
        </w:rPr>
        <w:t xml:space="preserve">Teachers may be unclear about what is required of them if they are given mentoring responsibilities. AITSL highlights ambiguity about the </w:t>
      </w:r>
      <w:r w:rsidR="00732E97" w:rsidRPr="00734A50">
        <w:rPr>
          <w:rFonts w:ascii="Calibri" w:eastAsia="Calibri" w:hAnsi="Calibri" w:cs="Calibri"/>
          <w:color w:val="000000" w:themeColor="text1"/>
        </w:rPr>
        <w:t>‘</w:t>
      </w:r>
      <w:r w:rsidRPr="00734A50">
        <w:rPr>
          <w:rFonts w:ascii="Calibri" w:eastAsia="Calibri" w:hAnsi="Calibri" w:cs="Calibri"/>
          <w:color w:val="000000" w:themeColor="text1"/>
        </w:rPr>
        <w:t>expectations of mentors, their role, the mentoring processes expected, the pre-requisite experiences and qualities, the training available and the resources to support [mentors]</w:t>
      </w:r>
      <w:r w:rsidR="00732E97"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(AITSL submission). </w:t>
      </w:r>
      <w:r w:rsidR="00805F17" w:rsidRPr="00734A50">
        <w:rPr>
          <w:rFonts w:ascii="Calibri" w:eastAsia="Calibri" w:hAnsi="Calibri" w:cs="Calibri"/>
          <w:color w:val="000000" w:themeColor="text1"/>
        </w:rPr>
        <w:t xml:space="preserve">Focus groups with principals </w:t>
      </w:r>
      <w:r w:rsidRPr="00734A50">
        <w:rPr>
          <w:rFonts w:ascii="Calibri" w:eastAsia="Calibri" w:hAnsi="Calibri" w:cs="Calibri"/>
          <w:color w:val="000000" w:themeColor="text1"/>
        </w:rPr>
        <w:t xml:space="preserve">also identified that mentors were rarely </w:t>
      </w:r>
      <w:r w:rsidR="00732E97" w:rsidRPr="00734A50">
        <w:rPr>
          <w:rFonts w:ascii="Calibri" w:eastAsia="Calibri" w:hAnsi="Calibri" w:cs="Calibri"/>
          <w:color w:val="000000" w:themeColor="text1"/>
        </w:rPr>
        <w:t>given</w:t>
      </w:r>
      <w:r w:rsidRPr="00734A50">
        <w:rPr>
          <w:rFonts w:ascii="Calibri" w:eastAsia="Calibri" w:hAnsi="Calibri" w:cs="Calibri"/>
          <w:color w:val="000000" w:themeColor="text1"/>
        </w:rPr>
        <w:t xml:space="preserve"> adequate release time to genuinely engage with ITE students</w:t>
      </w:r>
      <w:r w:rsidR="00F01222" w:rsidRPr="00734A50">
        <w:rPr>
          <w:rFonts w:ascii="Calibri" w:eastAsia="Calibri" w:hAnsi="Calibri" w:cs="Calibri"/>
          <w:color w:val="000000" w:themeColor="text1"/>
        </w:rPr>
        <w:t>.</w:t>
      </w:r>
    </w:p>
    <w:p w14:paraId="5AD87DF6" w14:textId="7B3DA62C" w:rsidR="00FC7141" w:rsidRPr="00734A50" w:rsidRDefault="00FC7141" w:rsidP="00FC7141">
      <w:pPr>
        <w:rPr>
          <w:rFonts w:ascii="Calibri" w:eastAsia="Calibri" w:hAnsi="Calibri" w:cs="Calibri"/>
          <w:color w:val="000000" w:themeColor="text1"/>
        </w:rPr>
      </w:pPr>
      <w:r w:rsidRPr="00734A50">
        <w:rPr>
          <w:rFonts w:ascii="Calibri" w:eastAsia="Calibri" w:hAnsi="Calibri" w:cs="Calibri"/>
          <w:color w:val="000000" w:themeColor="text1"/>
          <w:lang w:val="en-US"/>
        </w:rPr>
        <w:t xml:space="preserve">Teachers may also not be adequately supported to effectively mentor ITE students. </w:t>
      </w:r>
      <w:r w:rsidR="00732E97" w:rsidRPr="00734A50">
        <w:rPr>
          <w:rFonts w:ascii="Calibri" w:eastAsia="Calibri" w:hAnsi="Calibri" w:cs="Calibri"/>
          <w:color w:val="000000" w:themeColor="text1"/>
          <w:lang w:val="en-US"/>
        </w:rPr>
        <w:t>P</w:t>
      </w:r>
      <w:r w:rsidR="00750320" w:rsidRPr="00734A50">
        <w:rPr>
          <w:rFonts w:ascii="Calibri" w:eastAsia="Calibri" w:hAnsi="Calibri" w:cs="Calibri"/>
          <w:color w:val="000000" w:themeColor="text1"/>
        </w:rPr>
        <w:t>rincipals</w:t>
      </w:r>
      <w:r w:rsidRPr="00734A50">
        <w:rPr>
          <w:rFonts w:ascii="Calibri" w:eastAsia="Calibri" w:hAnsi="Calibri" w:cs="Calibri"/>
          <w:color w:val="000000" w:themeColor="text1"/>
        </w:rPr>
        <w:t xml:space="preserve"> </w:t>
      </w:r>
      <w:r w:rsidR="00F01222" w:rsidRPr="00734A50">
        <w:rPr>
          <w:rFonts w:ascii="Calibri" w:eastAsia="Calibri" w:hAnsi="Calibri" w:cs="Calibri"/>
          <w:color w:val="000000" w:themeColor="text1"/>
        </w:rPr>
        <w:t>report</w:t>
      </w:r>
      <w:r w:rsidR="00732E97" w:rsidRPr="00734A50">
        <w:rPr>
          <w:rFonts w:ascii="Calibri" w:eastAsia="Calibri" w:hAnsi="Calibri" w:cs="Calibri"/>
          <w:color w:val="000000" w:themeColor="text1"/>
        </w:rPr>
        <w:t>ed in focus groups</w:t>
      </w:r>
      <w:r w:rsidR="00F01222" w:rsidRPr="00734A50">
        <w:rPr>
          <w:rFonts w:ascii="Calibri" w:eastAsia="Calibri" w:hAnsi="Calibri" w:cs="Calibri"/>
          <w:color w:val="000000" w:themeColor="text1"/>
        </w:rPr>
        <w:t xml:space="preserve"> that they </w:t>
      </w:r>
      <w:r w:rsidRPr="00734A50">
        <w:rPr>
          <w:rFonts w:ascii="Calibri" w:eastAsia="Calibri" w:hAnsi="Calibri" w:cs="Calibri"/>
          <w:color w:val="000000" w:themeColor="text1"/>
        </w:rPr>
        <w:t xml:space="preserve">do not always have adequate control over the capability of supervising teachers and are limited to those who can volunteer time. </w:t>
      </w:r>
      <w:r w:rsidRPr="00734A50">
        <w:rPr>
          <w:rFonts w:ascii="Calibri" w:eastAsia="Calibri" w:hAnsi="Calibri" w:cs="Calibri"/>
          <w:color w:val="000000" w:themeColor="text1"/>
          <w:lang w:val="en-US"/>
        </w:rPr>
        <w:t>Processes for</w:t>
      </w:r>
      <w:r w:rsidRPr="00734A50">
        <w:rPr>
          <w:rFonts w:ascii="Calibri" w:eastAsia="Calibri" w:hAnsi="Calibri" w:cs="Calibri"/>
          <w:color w:val="000000" w:themeColor="text1"/>
        </w:rPr>
        <w:t xml:space="preserve"> selecting mentors may be ad</w:t>
      </w:r>
      <w:r w:rsidR="00732E97" w:rsidRPr="00734A50">
        <w:rPr>
          <w:rFonts w:ascii="Calibri" w:eastAsia="Calibri" w:hAnsi="Calibri" w:cs="Calibri"/>
          <w:color w:val="000000" w:themeColor="text1"/>
        </w:rPr>
        <w:t xml:space="preserve"> </w:t>
      </w:r>
      <w:r w:rsidRPr="00734A50">
        <w:rPr>
          <w:rFonts w:ascii="Calibri" w:eastAsia="Calibri" w:hAnsi="Calibri" w:cs="Calibri"/>
          <w:color w:val="000000" w:themeColor="text1"/>
        </w:rPr>
        <w:t xml:space="preserve">hoc and unstructured, leading to </w:t>
      </w:r>
      <w:r w:rsidR="00732E97" w:rsidRPr="00734A50">
        <w:rPr>
          <w:rFonts w:ascii="Calibri" w:eastAsia="Calibri" w:hAnsi="Calibri" w:cs="Calibri"/>
          <w:color w:val="000000" w:themeColor="text1"/>
        </w:rPr>
        <w:t>‘</w:t>
      </w:r>
      <w:r w:rsidRPr="00734A50">
        <w:rPr>
          <w:rFonts w:ascii="Calibri" w:eastAsia="Calibri" w:hAnsi="Calibri" w:cs="Calibri"/>
          <w:color w:val="000000" w:themeColor="text1"/>
        </w:rPr>
        <w:t>considerable variation</w:t>
      </w:r>
      <w:r w:rsidR="00732E97"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in the quality of mentors and</w:t>
      </w:r>
      <w:r w:rsidR="00732E97" w:rsidRPr="00734A50">
        <w:rPr>
          <w:rFonts w:ascii="Calibri" w:eastAsia="Calibri" w:hAnsi="Calibri" w:cs="Calibri"/>
          <w:color w:val="000000" w:themeColor="text1"/>
        </w:rPr>
        <w:t xml:space="preserve"> of</w:t>
      </w:r>
      <w:r w:rsidRPr="00734A50">
        <w:rPr>
          <w:rFonts w:ascii="Calibri" w:eastAsia="Calibri" w:hAnsi="Calibri" w:cs="Calibri"/>
          <w:color w:val="000000" w:themeColor="text1"/>
        </w:rPr>
        <w:t xml:space="preserve"> practical experience placements for </w:t>
      </w:r>
      <w:r w:rsidR="00B965CB" w:rsidRPr="00734A50">
        <w:rPr>
          <w:rFonts w:ascii="Calibri" w:eastAsia="Calibri" w:hAnsi="Calibri" w:cs="Calibri"/>
          <w:color w:val="000000" w:themeColor="text1"/>
        </w:rPr>
        <w:t xml:space="preserve">ITE </w:t>
      </w:r>
      <w:r w:rsidRPr="00734A50">
        <w:rPr>
          <w:rFonts w:ascii="Calibri" w:eastAsia="Calibri" w:hAnsi="Calibri" w:cs="Calibri"/>
          <w:color w:val="000000" w:themeColor="text1"/>
        </w:rPr>
        <w:t xml:space="preserve">students (AITSL submission). </w:t>
      </w:r>
    </w:p>
    <w:p w14:paraId="3E65333E" w14:textId="3438A21E" w:rsidR="00FC7141" w:rsidRPr="00734A50" w:rsidRDefault="00FC7141" w:rsidP="00FC7141">
      <w:pPr>
        <w:rPr>
          <w:rFonts w:ascii="Calibri" w:eastAsia="Calibri" w:hAnsi="Calibri" w:cs="Calibri"/>
          <w:color w:val="000000" w:themeColor="text1"/>
        </w:rPr>
      </w:pPr>
      <w:r w:rsidRPr="00734A50">
        <w:rPr>
          <w:rFonts w:ascii="Calibri" w:eastAsia="Calibri" w:hAnsi="Calibri" w:cs="Calibri"/>
          <w:color w:val="000000" w:themeColor="text1"/>
        </w:rPr>
        <w:t xml:space="preserve">Currently the amount of financial recognition mentor teachers receive varies </w:t>
      </w:r>
      <w:r w:rsidR="003711A8" w:rsidRPr="00734A50">
        <w:rPr>
          <w:rFonts w:ascii="Calibri" w:eastAsia="Calibri" w:hAnsi="Calibri" w:cs="Calibri"/>
          <w:color w:val="000000" w:themeColor="text1"/>
        </w:rPr>
        <w:t>between</w:t>
      </w:r>
      <w:r w:rsidRPr="00734A50">
        <w:rPr>
          <w:rFonts w:ascii="Calibri" w:eastAsia="Calibri" w:hAnsi="Calibri" w:cs="Calibri"/>
          <w:color w:val="000000" w:themeColor="text1"/>
        </w:rPr>
        <w:t xml:space="preserve"> jurisdictions. Despite this being a significant cost to higher education providers, many stakeholders </w:t>
      </w:r>
      <w:r w:rsidR="003711A8" w:rsidRPr="00734A50">
        <w:rPr>
          <w:rFonts w:ascii="Calibri" w:eastAsia="Calibri" w:hAnsi="Calibri" w:cs="Calibri"/>
          <w:color w:val="000000" w:themeColor="text1"/>
        </w:rPr>
        <w:t>said</w:t>
      </w:r>
      <w:r w:rsidRPr="00734A50">
        <w:rPr>
          <w:rFonts w:ascii="Calibri" w:eastAsia="Calibri" w:hAnsi="Calibri" w:cs="Calibri"/>
          <w:color w:val="000000" w:themeColor="text1"/>
        </w:rPr>
        <w:t xml:space="preserve"> that </w:t>
      </w:r>
      <w:r w:rsidR="003711A8" w:rsidRPr="00734A50">
        <w:rPr>
          <w:rFonts w:ascii="Calibri" w:eastAsia="Calibri" w:hAnsi="Calibri" w:cs="Calibri"/>
          <w:color w:val="000000" w:themeColor="text1"/>
        </w:rPr>
        <w:t>the amount</w:t>
      </w:r>
      <w:r w:rsidRPr="00734A50">
        <w:rPr>
          <w:rFonts w:ascii="Calibri" w:eastAsia="Calibri" w:hAnsi="Calibri" w:cs="Calibri"/>
          <w:color w:val="000000" w:themeColor="text1"/>
        </w:rPr>
        <w:t xml:space="preserve"> is insufficient to properly recognise the work required to provide a quality practical </w:t>
      </w:r>
      <w:r w:rsidR="00450B40" w:rsidRPr="00734A50">
        <w:rPr>
          <w:rFonts w:ascii="Calibri" w:eastAsia="Calibri" w:hAnsi="Calibri" w:cs="Calibri"/>
          <w:color w:val="000000" w:themeColor="text1"/>
        </w:rPr>
        <w:t xml:space="preserve">experience </w:t>
      </w:r>
      <w:r w:rsidRPr="00734A50">
        <w:rPr>
          <w:rFonts w:ascii="Calibri" w:eastAsia="Calibri" w:hAnsi="Calibri" w:cs="Calibri"/>
          <w:color w:val="000000" w:themeColor="text1"/>
        </w:rPr>
        <w:t>placement (</w:t>
      </w:r>
      <w:r w:rsidR="00717693" w:rsidRPr="00734A50">
        <w:rPr>
          <w:rFonts w:ascii="Calibri" w:eastAsia="Calibri" w:hAnsi="Calibri" w:cs="Calibri"/>
          <w:color w:val="000000" w:themeColor="text1"/>
        </w:rPr>
        <w:t>University of Newcastle</w:t>
      </w:r>
      <w:r w:rsidR="00AD7902" w:rsidRPr="00734A50">
        <w:rPr>
          <w:rFonts w:ascii="Calibri" w:eastAsia="Calibri" w:hAnsi="Calibri" w:cs="Calibri"/>
          <w:color w:val="000000" w:themeColor="text1"/>
        </w:rPr>
        <w:t xml:space="preserve"> submission;</w:t>
      </w:r>
      <w:r w:rsidR="00717693" w:rsidRPr="00734A50">
        <w:rPr>
          <w:rFonts w:ascii="Calibri" w:eastAsia="Calibri" w:hAnsi="Calibri" w:cs="Calibri"/>
          <w:color w:val="000000" w:themeColor="text1"/>
        </w:rPr>
        <w:t xml:space="preserve"> Macquarie School of Education</w:t>
      </w:r>
      <w:r w:rsidR="00AD7902" w:rsidRPr="00734A50">
        <w:rPr>
          <w:rFonts w:ascii="Calibri" w:eastAsia="Calibri" w:hAnsi="Calibri" w:cs="Calibri"/>
          <w:color w:val="000000" w:themeColor="text1"/>
        </w:rPr>
        <w:t xml:space="preserve"> submission;</w:t>
      </w:r>
      <w:r w:rsidR="00717693" w:rsidRPr="00734A50">
        <w:rPr>
          <w:rFonts w:ascii="Calibri" w:eastAsia="Calibri" w:hAnsi="Calibri" w:cs="Calibri"/>
          <w:color w:val="000000" w:themeColor="text1"/>
        </w:rPr>
        <w:t xml:space="preserve"> Flinders University submission</w:t>
      </w:r>
      <w:r w:rsidRPr="00734A50">
        <w:rPr>
          <w:rFonts w:ascii="Calibri" w:eastAsia="Calibri" w:hAnsi="Calibri" w:cs="Calibri"/>
          <w:color w:val="000000" w:themeColor="text1"/>
        </w:rPr>
        <w:t>).</w:t>
      </w:r>
    </w:p>
    <w:p w14:paraId="105192C9" w14:textId="7AB1BDAA" w:rsidR="008F4359" w:rsidRPr="00734A50" w:rsidRDefault="008F4359" w:rsidP="000C2F25">
      <w:pPr>
        <w:pStyle w:val="Heading4"/>
      </w:pPr>
      <w:r w:rsidRPr="00734A50">
        <w:t>3.</w:t>
      </w:r>
      <w:r w:rsidR="00865791" w:rsidRPr="00734A50">
        <w:t>3</w:t>
      </w:r>
      <w:r w:rsidRPr="00734A50">
        <w:t>.6 Limited support for ITE students with outside commitments</w:t>
      </w:r>
    </w:p>
    <w:p w14:paraId="5DE6F8ED" w14:textId="61C0708D" w:rsidR="00F36273" w:rsidRPr="00734A50" w:rsidRDefault="00F36273" w:rsidP="00F36273">
      <w:pPr>
        <w:rPr>
          <w:rFonts w:ascii="Calibri" w:eastAsia="Calibri" w:hAnsi="Calibri" w:cs="Calibri"/>
          <w:color w:val="242424"/>
        </w:rPr>
      </w:pPr>
      <w:r w:rsidRPr="00734A50">
        <w:rPr>
          <w:rFonts w:ascii="Calibri" w:eastAsia="Calibri" w:hAnsi="Calibri" w:cs="Calibri"/>
        </w:rPr>
        <w:t>Many students juggle full-time or part-time study with paid work and/or caring and parental responsibilities. T</w:t>
      </w:r>
      <w:r w:rsidRPr="00734A50">
        <w:rPr>
          <w:rFonts w:ascii="Calibri" w:eastAsia="Calibri" w:hAnsi="Calibri" w:cs="Calibri"/>
          <w:color w:val="242424"/>
        </w:rPr>
        <w:t xml:space="preserve">aking time off from work or personal commitments to undertake practical experience is challenging for many, </w:t>
      </w:r>
      <w:r w:rsidR="009F44A0" w:rsidRPr="00734A50">
        <w:rPr>
          <w:rFonts w:ascii="Calibri" w:eastAsia="Calibri" w:hAnsi="Calibri" w:cs="Calibri"/>
          <w:color w:val="242424"/>
        </w:rPr>
        <w:t xml:space="preserve">both </w:t>
      </w:r>
      <w:r w:rsidRPr="00734A50">
        <w:rPr>
          <w:rFonts w:ascii="Calibri" w:eastAsia="Calibri" w:hAnsi="Calibri" w:cs="Calibri"/>
          <w:color w:val="242424"/>
        </w:rPr>
        <w:t xml:space="preserve">personally and financially. </w:t>
      </w:r>
    </w:p>
    <w:p w14:paraId="00E8732B" w14:textId="6F1836A2" w:rsidR="00F36273" w:rsidRPr="00734A50" w:rsidRDefault="003711A8" w:rsidP="00C33489">
      <w:pPr>
        <w:spacing w:after="0"/>
        <w:rPr>
          <w:rFonts w:ascii="Calibri" w:eastAsia="Calibri" w:hAnsi="Calibri" w:cs="Calibri"/>
          <w:color w:val="242424"/>
        </w:rPr>
      </w:pPr>
      <w:r w:rsidRPr="00734A50">
        <w:rPr>
          <w:rFonts w:ascii="Calibri" w:eastAsia="Calibri" w:hAnsi="Calibri" w:cs="Calibri"/>
          <w:color w:val="242424"/>
        </w:rPr>
        <w:t>ITE s</w:t>
      </w:r>
      <w:r w:rsidR="00F36273" w:rsidRPr="00734A50">
        <w:rPr>
          <w:rFonts w:ascii="Calibri" w:eastAsia="Calibri" w:hAnsi="Calibri" w:cs="Calibri"/>
          <w:color w:val="242424"/>
        </w:rPr>
        <w:t xml:space="preserve">tudents incur significant financial costs in undertaking their placements, which </w:t>
      </w:r>
      <w:r w:rsidR="00F729E1" w:rsidRPr="00734A50">
        <w:rPr>
          <w:rFonts w:ascii="Calibri" w:eastAsia="Calibri" w:hAnsi="Calibri" w:cs="Calibri"/>
          <w:color w:val="242424"/>
        </w:rPr>
        <w:t xml:space="preserve">may not be sustainable for </w:t>
      </w:r>
      <w:r w:rsidRPr="00734A50">
        <w:rPr>
          <w:rFonts w:ascii="Calibri" w:eastAsia="Calibri" w:hAnsi="Calibri" w:cs="Calibri"/>
          <w:color w:val="242424"/>
        </w:rPr>
        <w:t>them</w:t>
      </w:r>
      <w:r w:rsidR="00F729E1" w:rsidRPr="00734A50">
        <w:rPr>
          <w:rFonts w:ascii="Calibri" w:eastAsia="Calibri" w:hAnsi="Calibri" w:cs="Calibri"/>
          <w:color w:val="242424"/>
        </w:rPr>
        <w:t xml:space="preserve"> </w:t>
      </w:r>
      <w:r w:rsidR="00F36273" w:rsidRPr="00734A50">
        <w:rPr>
          <w:rFonts w:ascii="Calibri" w:eastAsia="Calibri" w:hAnsi="Calibri" w:cs="Calibri"/>
          <w:color w:val="242424"/>
        </w:rPr>
        <w:t xml:space="preserve">(Victorian Department of Education submission). Personal costs incurred when </w:t>
      </w:r>
      <w:r w:rsidR="00F36273" w:rsidRPr="00734A50">
        <w:rPr>
          <w:rFonts w:ascii="Calibri" w:eastAsia="Calibri" w:hAnsi="Calibri" w:cs="Calibri"/>
          <w:color w:val="242424"/>
        </w:rPr>
        <w:lastRenderedPageBreak/>
        <w:t xml:space="preserve">completing practical experience placements </w:t>
      </w:r>
      <w:r w:rsidRPr="00734A50">
        <w:rPr>
          <w:rFonts w:ascii="Calibri" w:eastAsia="Calibri" w:hAnsi="Calibri" w:cs="Calibri"/>
          <w:color w:val="242424"/>
        </w:rPr>
        <w:t xml:space="preserve">can </w:t>
      </w:r>
      <w:r w:rsidR="00F36273" w:rsidRPr="00734A50">
        <w:rPr>
          <w:rFonts w:ascii="Calibri" w:eastAsia="Calibri" w:hAnsi="Calibri" w:cs="Calibri"/>
          <w:color w:val="242424"/>
        </w:rPr>
        <w:t>include direct costs (such as purchasing materials for the classroom and travelling to the host school) and indirect costs, such as lost work shifts.</w:t>
      </w:r>
      <w:r w:rsidR="00FB623B" w:rsidRPr="00734A50">
        <w:rPr>
          <w:rFonts w:ascii="Calibri" w:eastAsia="Calibri" w:hAnsi="Calibri" w:cs="Calibri"/>
          <w:color w:val="242424"/>
        </w:rPr>
        <w:t xml:space="preserve"> The Panel’s survey results reveal:</w:t>
      </w:r>
    </w:p>
    <w:p w14:paraId="69E290B7" w14:textId="2E0EAB77" w:rsidR="004F05A9" w:rsidRPr="00734A50" w:rsidRDefault="003711A8" w:rsidP="00553516">
      <w:pPr>
        <w:pStyle w:val="ListBullet"/>
        <w:numPr>
          <w:ilvl w:val="0"/>
          <w:numId w:val="216"/>
        </w:numPr>
        <w:spacing w:after="200"/>
        <w:ind w:left="357" w:hanging="357"/>
      </w:pPr>
      <w:r w:rsidRPr="00734A50">
        <w:t xml:space="preserve">50 per cent </w:t>
      </w:r>
      <w:r w:rsidR="004F05A9" w:rsidRPr="00734A50">
        <w:t xml:space="preserve">of survey respondents from metro and regional areas said they spent up to $100/week on travel costs, while just under </w:t>
      </w:r>
      <w:r w:rsidRPr="00734A50">
        <w:t>50 per cent from</w:t>
      </w:r>
      <w:r w:rsidR="004F05A9" w:rsidRPr="00734A50">
        <w:t xml:space="preserve"> remote </w:t>
      </w:r>
      <w:r w:rsidRPr="00734A50">
        <w:t xml:space="preserve">areas </w:t>
      </w:r>
      <w:r w:rsidR="004F05A9" w:rsidRPr="00734A50">
        <w:t>reported spending at least $150/week on travel</w:t>
      </w:r>
    </w:p>
    <w:p w14:paraId="56B425B4" w14:textId="1071AB3C" w:rsidR="00C33489" w:rsidRPr="00734A50" w:rsidRDefault="001642EC" w:rsidP="00553516">
      <w:pPr>
        <w:pStyle w:val="ListBullet"/>
        <w:numPr>
          <w:ilvl w:val="0"/>
          <w:numId w:val="216"/>
        </w:numPr>
        <w:spacing w:after="200"/>
        <w:ind w:left="357" w:hanging="357"/>
      </w:pPr>
      <w:r w:rsidRPr="00734A50">
        <w:t>o</w:t>
      </w:r>
      <w:r w:rsidR="00C33489" w:rsidRPr="00734A50">
        <w:t>ver 80</w:t>
      </w:r>
      <w:r w:rsidR="00C75CAD" w:rsidRPr="00734A50">
        <w:t xml:space="preserve"> p</w:t>
      </w:r>
      <w:r w:rsidR="00514069" w:rsidRPr="00734A50">
        <w:t xml:space="preserve">er cent </w:t>
      </w:r>
      <w:r w:rsidR="00C33489" w:rsidRPr="00734A50">
        <w:t>of survey respondents forwent paid work to complete their placements</w:t>
      </w:r>
    </w:p>
    <w:p w14:paraId="49654DD1" w14:textId="7D41697E" w:rsidR="00C33489" w:rsidRPr="00734A50" w:rsidRDefault="001642EC" w:rsidP="00553516">
      <w:pPr>
        <w:pStyle w:val="ListBullet"/>
        <w:numPr>
          <w:ilvl w:val="0"/>
          <w:numId w:val="216"/>
        </w:numPr>
        <w:spacing w:after="200"/>
        <w:ind w:left="357" w:hanging="357"/>
      </w:pPr>
      <w:r w:rsidRPr="00734A50">
        <w:t>a</w:t>
      </w:r>
      <w:r w:rsidR="00C33489" w:rsidRPr="00734A50">
        <w:t>lmost 80</w:t>
      </w:r>
      <w:r w:rsidR="00514069" w:rsidRPr="00734A50">
        <w:t xml:space="preserve"> per cent</w:t>
      </w:r>
      <w:r w:rsidR="00C33489" w:rsidRPr="00734A50">
        <w:t xml:space="preserve"> of survey respondents purchased learning resources </w:t>
      </w:r>
      <w:r w:rsidR="003711A8" w:rsidRPr="00734A50">
        <w:t>(</w:t>
      </w:r>
      <w:r w:rsidR="00C33489" w:rsidRPr="00734A50">
        <w:t>up to $100</w:t>
      </w:r>
      <w:r w:rsidR="003711A8" w:rsidRPr="00734A50">
        <w:t>)</w:t>
      </w:r>
      <w:r w:rsidR="00C33489" w:rsidRPr="00734A50">
        <w:t xml:space="preserve"> for placements</w:t>
      </w:r>
    </w:p>
    <w:p w14:paraId="0FEC57C2" w14:textId="61C0708D" w:rsidR="00C33489" w:rsidRPr="00734A50" w:rsidRDefault="001642EC" w:rsidP="00553516">
      <w:pPr>
        <w:pStyle w:val="ListBullet"/>
        <w:numPr>
          <w:ilvl w:val="0"/>
          <w:numId w:val="216"/>
        </w:numPr>
        <w:spacing w:after="200"/>
        <w:ind w:left="357" w:hanging="357"/>
      </w:pPr>
      <w:r w:rsidRPr="00734A50">
        <w:t>o</w:t>
      </w:r>
      <w:r w:rsidR="00C33489" w:rsidRPr="00734A50">
        <w:t>n average, a third of survey respondents incurred additional care costs of at least $150 a week because of placements</w:t>
      </w:r>
    </w:p>
    <w:p w14:paraId="53417CBE" w14:textId="1C82FA63" w:rsidR="00C33489" w:rsidRPr="00734A50" w:rsidRDefault="001642EC" w:rsidP="00553516">
      <w:pPr>
        <w:pStyle w:val="ListBullet"/>
        <w:numPr>
          <w:ilvl w:val="0"/>
          <w:numId w:val="216"/>
        </w:numPr>
        <w:spacing w:after="200"/>
        <w:ind w:left="357" w:hanging="357"/>
      </w:pPr>
      <w:r w:rsidRPr="00734A50">
        <w:t>a</w:t>
      </w:r>
      <w:r w:rsidR="00C33489" w:rsidRPr="00734A50">
        <w:t xml:space="preserve">ll survey respondents </w:t>
      </w:r>
      <w:r w:rsidR="00C00AD3" w:rsidRPr="00734A50">
        <w:t>with</w:t>
      </w:r>
      <w:r w:rsidR="00C33489" w:rsidRPr="00734A50">
        <w:t xml:space="preserve"> </w:t>
      </w:r>
      <w:r w:rsidR="00652D0D" w:rsidRPr="00734A50">
        <w:t xml:space="preserve">additional </w:t>
      </w:r>
      <w:r w:rsidR="00C33489" w:rsidRPr="00734A50">
        <w:t xml:space="preserve">accommodation costs </w:t>
      </w:r>
      <w:r w:rsidR="00B2361D" w:rsidRPr="00734A50">
        <w:t xml:space="preserve">during placements </w:t>
      </w:r>
      <w:r w:rsidR="00C33489" w:rsidRPr="00734A50">
        <w:t>reported spending at least $150</w:t>
      </w:r>
      <w:r w:rsidR="00B2361D" w:rsidRPr="00734A50">
        <w:t>/</w:t>
      </w:r>
      <w:r w:rsidR="00C33489" w:rsidRPr="00734A50">
        <w:t>week</w:t>
      </w:r>
      <w:r w:rsidR="009227C2" w:rsidRPr="00734A50">
        <w:t xml:space="preserve"> on this accommodation</w:t>
      </w:r>
    </w:p>
    <w:p w14:paraId="26E250C6" w14:textId="3F910C0F" w:rsidR="00C33489" w:rsidRPr="00734A50" w:rsidRDefault="001642EC" w:rsidP="00553516">
      <w:pPr>
        <w:pStyle w:val="ListBullet"/>
        <w:numPr>
          <w:ilvl w:val="0"/>
          <w:numId w:val="216"/>
        </w:numPr>
        <w:spacing w:after="200"/>
        <w:ind w:left="357" w:hanging="357"/>
      </w:pPr>
      <w:r w:rsidRPr="00734A50">
        <w:t>r</w:t>
      </w:r>
      <w:r w:rsidR="00C33489" w:rsidRPr="00734A50">
        <w:t xml:space="preserve">espondents </w:t>
      </w:r>
      <w:r w:rsidR="003711A8" w:rsidRPr="00734A50">
        <w:t xml:space="preserve">who </w:t>
      </w:r>
      <w:r w:rsidR="00C33489" w:rsidRPr="00734A50">
        <w:t>completed a remote placement were at least twice as likely to report having to spend money on accommodation</w:t>
      </w:r>
      <w:r w:rsidR="00B2361D" w:rsidRPr="00734A50">
        <w:t xml:space="preserve"> during their placement</w:t>
      </w:r>
      <w:r w:rsidR="003711A8" w:rsidRPr="00734A50">
        <w:t>.</w:t>
      </w:r>
    </w:p>
    <w:p w14:paraId="4DB8C7FA" w14:textId="17E8862E" w:rsidR="000E6B30" w:rsidRPr="00734A50" w:rsidRDefault="000E6B30" w:rsidP="000E6B30">
      <w:r w:rsidRPr="00734A50">
        <w:t xml:space="preserve">The survey results also reveal that </w:t>
      </w:r>
      <w:r w:rsidR="003F546B" w:rsidRPr="00734A50">
        <w:t>37 per cent of ITE</w:t>
      </w:r>
      <w:r w:rsidRPr="00734A50">
        <w:t xml:space="preserve"> students</w:t>
      </w:r>
      <w:r w:rsidR="0029793D" w:rsidRPr="00734A50">
        <w:t xml:space="preserve"> whose practical experience placement involve</w:t>
      </w:r>
      <w:r w:rsidR="00BE540F" w:rsidRPr="00734A50">
        <w:t>d</w:t>
      </w:r>
      <w:r w:rsidR="0029793D" w:rsidRPr="00734A50">
        <w:t xml:space="preserve"> financial costs</w:t>
      </w:r>
      <w:r w:rsidRPr="00734A50">
        <w:t xml:space="preserve"> have withdrawn or considered withdrawing from ITE due to the</w:t>
      </w:r>
      <w:r w:rsidR="0029793D" w:rsidRPr="00734A50">
        <w:t>se</w:t>
      </w:r>
      <w:r w:rsidRPr="00734A50">
        <w:t xml:space="preserve"> costs.</w:t>
      </w:r>
    </w:p>
    <w:p w14:paraId="469F71E7" w14:textId="15997C80" w:rsidR="00926584" w:rsidRPr="00734A50" w:rsidRDefault="00F36273" w:rsidP="005153E8">
      <w:pPr>
        <w:spacing w:before="200" w:after="0"/>
        <w:rPr>
          <w:rFonts w:eastAsia="Times New Roman"/>
          <w:color w:val="000000" w:themeColor="text1"/>
        </w:rPr>
      </w:pPr>
      <w:r w:rsidRPr="00734A50">
        <w:rPr>
          <w:rFonts w:eastAsia="Times New Roman"/>
          <w:color w:val="000000" w:themeColor="text1"/>
        </w:rPr>
        <w:t xml:space="preserve">Some targeted supports for certain cohorts are available already, but </w:t>
      </w:r>
      <w:r w:rsidR="00215F81" w:rsidRPr="00734A50">
        <w:rPr>
          <w:rFonts w:eastAsia="Times New Roman"/>
          <w:color w:val="000000" w:themeColor="text1"/>
        </w:rPr>
        <w:t xml:space="preserve">stakeholders reported </w:t>
      </w:r>
      <w:r w:rsidR="0029793D" w:rsidRPr="00734A50">
        <w:rPr>
          <w:rFonts w:eastAsia="Times New Roman"/>
          <w:color w:val="000000" w:themeColor="text1"/>
        </w:rPr>
        <w:t xml:space="preserve">that </w:t>
      </w:r>
      <w:r w:rsidR="00215F81" w:rsidRPr="00734A50">
        <w:rPr>
          <w:rFonts w:eastAsia="Times New Roman"/>
          <w:color w:val="000000" w:themeColor="text1"/>
        </w:rPr>
        <w:t>this</w:t>
      </w:r>
      <w:r w:rsidRPr="00734A50">
        <w:rPr>
          <w:rFonts w:eastAsia="Times New Roman"/>
          <w:color w:val="000000" w:themeColor="text1"/>
        </w:rPr>
        <w:t xml:space="preserve"> may not be sufficient to compensate ITE students for the costs they incur. Stakeholders broadly agreed that additional, more targeted financial supports for the students who need them most would </w:t>
      </w:r>
      <w:r w:rsidR="00764386" w:rsidRPr="00734A50">
        <w:rPr>
          <w:rFonts w:eastAsia="Times New Roman"/>
          <w:color w:val="000000" w:themeColor="text1"/>
        </w:rPr>
        <w:t>improve outcomes from</w:t>
      </w:r>
      <w:r w:rsidRPr="00734A50">
        <w:rPr>
          <w:rFonts w:eastAsia="Times New Roman"/>
          <w:color w:val="000000" w:themeColor="text1"/>
        </w:rPr>
        <w:t xml:space="preserve"> practical experience </w:t>
      </w:r>
      <w:r w:rsidR="00764386" w:rsidRPr="00734A50">
        <w:rPr>
          <w:rFonts w:eastAsia="Times New Roman"/>
          <w:color w:val="000000" w:themeColor="text1"/>
        </w:rPr>
        <w:t>placements</w:t>
      </w:r>
      <w:r w:rsidRPr="00734A50">
        <w:rPr>
          <w:rFonts w:eastAsia="Times New Roman"/>
          <w:color w:val="000000" w:themeColor="text1"/>
        </w:rPr>
        <w:t xml:space="preserve"> (</w:t>
      </w:r>
      <w:r w:rsidR="00E50FE6" w:rsidRPr="00734A50">
        <w:rPr>
          <w:rFonts w:eastAsia="Times New Roman"/>
          <w:color w:val="000000" w:themeColor="text1"/>
        </w:rPr>
        <w:t>ACDE</w:t>
      </w:r>
      <w:r w:rsidR="00EA61C9" w:rsidRPr="00734A50">
        <w:rPr>
          <w:rFonts w:eastAsia="Times New Roman"/>
          <w:color w:val="000000" w:themeColor="text1"/>
        </w:rPr>
        <w:t xml:space="preserve"> submission;</w:t>
      </w:r>
      <w:r w:rsidR="008B0526" w:rsidRPr="00734A50">
        <w:rPr>
          <w:rFonts w:eastAsia="Times New Roman"/>
          <w:color w:val="000000" w:themeColor="text1"/>
        </w:rPr>
        <w:t xml:space="preserve"> Victoria</w:t>
      </w:r>
      <w:r w:rsidR="00B2361D" w:rsidRPr="00734A50">
        <w:rPr>
          <w:rFonts w:eastAsia="Times New Roman"/>
          <w:color w:val="000000" w:themeColor="text1"/>
        </w:rPr>
        <w:t>n Deans of Education submission;</w:t>
      </w:r>
      <w:r w:rsidR="008B0526" w:rsidRPr="00734A50">
        <w:rPr>
          <w:rFonts w:eastAsia="Times New Roman"/>
          <w:color w:val="000000" w:themeColor="text1"/>
        </w:rPr>
        <w:t xml:space="preserve"> Queensland Deans of Education</w:t>
      </w:r>
      <w:r w:rsidR="00EA61C9" w:rsidRPr="00734A50">
        <w:rPr>
          <w:rFonts w:eastAsia="Times New Roman"/>
          <w:color w:val="000000" w:themeColor="text1"/>
        </w:rPr>
        <w:t xml:space="preserve"> submission;</w:t>
      </w:r>
      <w:r w:rsidR="008B0526" w:rsidRPr="00734A50">
        <w:rPr>
          <w:rFonts w:eastAsia="Times New Roman"/>
          <w:color w:val="000000" w:themeColor="text1"/>
        </w:rPr>
        <w:t xml:space="preserve"> Monash University</w:t>
      </w:r>
      <w:r w:rsidR="00EA61C9" w:rsidRPr="00734A50">
        <w:rPr>
          <w:rFonts w:eastAsia="Times New Roman"/>
          <w:color w:val="000000" w:themeColor="text1"/>
        </w:rPr>
        <w:t xml:space="preserve"> submission</w:t>
      </w:r>
      <w:r w:rsidR="00DD2815" w:rsidRPr="00734A50">
        <w:rPr>
          <w:rFonts w:eastAsia="Times New Roman"/>
          <w:color w:val="000000" w:themeColor="text1"/>
        </w:rPr>
        <w:t>;</w:t>
      </w:r>
      <w:r w:rsidR="008B0526" w:rsidRPr="00734A50">
        <w:rPr>
          <w:rFonts w:eastAsia="Times New Roman"/>
          <w:color w:val="000000" w:themeColor="text1"/>
        </w:rPr>
        <w:t xml:space="preserve"> University of Queensland submission</w:t>
      </w:r>
      <w:r w:rsidRPr="00734A50">
        <w:rPr>
          <w:rFonts w:eastAsia="Times New Roman"/>
          <w:color w:val="000000" w:themeColor="text1"/>
        </w:rPr>
        <w:t>).</w:t>
      </w:r>
    </w:p>
    <w:p w14:paraId="705E921D" w14:textId="3FAE99E8" w:rsidR="00C47BF4" w:rsidRPr="00734A50" w:rsidRDefault="00E22982" w:rsidP="00E73BBF">
      <w:pPr>
        <w:pStyle w:val="Heading3"/>
      </w:pPr>
      <w:bookmarkStart w:id="89" w:name="_Toc139366656"/>
      <w:r w:rsidRPr="00734A50">
        <w:t>3.</w:t>
      </w:r>
      <w:r w:rsidR="00BA15E2" w:rsidRPr="00734A50">
        <w:t>4</w:t>
      </w:r>
      <w:r w:rsidRPr="00734A50">
        <w:t xml:space="preserve"> </w:t>
      </w:r>
      <w:r w:rsidR="000C08B0" w:rsidRPr="00734A50">
        <w:t>S</w:t>
      </w:r>
      <w:r w:rsidR="00E25497" w:rsidRPr="00734A50">
        <w:t>ystem</w:t>
      </w:r>
      <w:r w:rsidR="00B84E9B" w:rsidRPr="00734A50">
        <w:t>-</w:t>
      </w:r>
      <w:r w:rsidR="00E25497" w:rsidRPr="00734A50">
        <w:t>level approach</w:t>
      </w:r>
      <w:r w:rsidR="000C08B0" w:rsidRPr="00734A50">
        <w:t xml:space="preserve"> to delivering</w:t>
      </w:r>
      <w:r w:rsidR="00E10B54" w:rsidRPr="00734A50">
        <w:t xml:space="preserve"> practical experience</w:t>
      </w:r>
      <w:bookmarkEnd w:id="89"/>
    </w:p>
    <w:p w14:paraId="1A4BFBFB" w14:textId="03E32296" w:rsidR="00FC5200" w:rsidRPr="00734A50" w:rsidRDefault="00FC5200" w:rsidP="001F46DC">
      <w:pPr>
        <w:spacing w:after="0"/>
      </w:pPr>
      <w:r w:rsidRPr="00734A50">
        <w:t>The Panel considers</w:t>
      </w:r>
      <w:r w:rsidR="00FA2790" w:rsidRPr="00734A50">
        <w:t xml:space="preserve"> that</w:t>
      </w:r>
      <w:r w:rsidRPr="00734A50">
        <w:t xml:space="preserve"> further actions are needed to build on previous reforms to realise the aspiration of consistent, high-quality practical experience for all ITE students through</w:t>
      </w:r>
      <w:r w:rsidR="00902E8B" w:rsidRPr="00734A50">
        <w:t>:</w:t>
      </w:r>
      <w:r w:rsidRPr="00734A50">
        <w:t xml:space="preserve"> </w:t>
      </w:r>
    </w:p>
    <w:p w14:paraId="700E7DB5" w14:textId="22DBBF6A" w:rsidR="00FE7788" w:rsidRPr="00734A50" w:rsidRDefault="00FE7788" w:rsidP="00454A26">
      <w:pPr>
        <w:pStyle w:val="List"/>
        <w:numPr>
          <w:ilvl w:val="0"/>
          <w:numId w:val="162"/>
        </w:numPr>
      </w:pPr>
      <w:r w:rsidRPr="00734A50">
        <w:t xml:space="preserve">more comprehensive system-level agreements </w:t>
      </w:r>
      <w:r w:rsidR="00BE5E3D" w:rsidRPr="00734A50">
        <w:t>to clarify roles and responsibilities</w:t>
      </w:r>
    </w:p>
    <w:p w14:paraId="76F98B6D" w14:textId="0FADC346" w:rsidR="00FE7788" w:rsidRPr="00734A50" w:rsidRDefault="00FE7788" w:rsidP="00454A26">
      <w:pPr>
        <w:pStyle w:val="List"/>
        <w:numPr>
          <w:ilvl w:val="0"/>
          <w:numId w:val="162"/>
        </w:numPr>
      </w:pPr>
      <w:r w:rsidRPr="00734A50">
        <w:t xml:space="preserve">system-level delivery models that </w:t>
      </w:r>
      <w:r w:rsidR="00835B7F" w:rsidRPr="00734A50">
        <w:t>promote</w:t>
      </w:r>
      <w:r w:rsidRPr="00734A50">
        <w:t xml:space="preserve"> quality and reduce administrative burden</w:t>
      </w:r>
    </w:p>
    <w:p w14:paraId="28BC9CB5" w14:textId="1AC7CAB8" w:rsidR="00FE7788" w:rsidRPr="00734A50" w:rsidRDefault="00FE7788" w:rsidP="00454A26">
      <w:pPr>
        <w:pStyle w:val="List"/>
        <w:numPr>
          <w:ilvl w:val="0"/>
          <w:numId w:val="162"/>
        </w:numPr>
      </w:pPr>
      <w:r w:rsidRPr="00734A50">
        <w:t xml:space="preserve">national </w:t>
      </w:r>
      <w:r w:rsidR="008067C0" w:rsidRPr="00734A50">
        <w:t>guidelines</w:t>
      </w:r>
      <w:r w:rsidRPr="00734A50">
        <w:t xml:space="preserve"> for consistent, high-quality practical experience</w:t>
      </w:r>
    </w:p>
    <w:p w14:paraId="69920C2E" w14:textId="0FADC346" w:rsidR="00FE7788" w:rsidRPr="00734A50" w:rsidRDefault="00FE7788" w:rsidP="00454A26">
      <w:pPr>
        <w:pStyle w:val="List"/>
        <w:numPr>
          <w:ilvl w:val="0"/>
          <w:numId w:val="162"/>
        </w:numPr>
      </w:pPr>
      <w:r w:rsidRPr="00734A50">
        <w:t>support for supervisor and mentor teachers</w:t>
      </w:r>
    </w:p>
    <w:p w14:paraId="488B71DF" w14:textId="66581C81" w:rsidR="00FE7788" w:rsidRPr="00734A50" w:rsidRDefault="00FE7788" w:rsidP="00454A26">
      <w:pPr>
        <w:pStyle w:val="List"/>
        <w:numPr>
          <w:ilvl w:val="0"/>
          <w:numId w:val="162"/>
        </w:numPr>
      </w:pPr>
      <w:r w:rsidRPr="00734A50">
        <w:t>systemic investment in practicum</w:t>
      </w:r>
      <w:r w:rsidR="00367D6F">
        <w:t>s</w:t>
      </w:r>
      <w:r w:rsidRPr="00734A50">
        <w:t>, including targeted student support</w:t>
      </w:r>
      <w:r w:rsidR="00FA2790" w:rsidRPr="00734A50">
        <w:t>.</w:t>
      </w:r>
    </w:p>
    <w:p w14:paraId="2EA9ED13" w14:textId="1A0667FE" w:rsidR="00904B5E" w:rsidRPr="00734A50" w:rsidRDefault="00FD246E" w:rsidP="000C2F25">
      <w:pPr>
        <w:pStyle w:val="Heading4"/>
      </w:pPr>
      <w:r w:rsidRPr="00734A50">
        <w:t>3.</w:t>
      </w:r>
      <w:r w:rsidR="00BA15E2" w:rsidRPr="00734A50">
        <w:t>4</w:t>
      </w:r>
      <w:r w:rsidRPr="00734A50">
        <w:t>.</w:t>
      </w:r>
      <w:r w:rsidR="00A176FD" w:rsidRPr="00734A50">
        <w:t>1</w:t>
      </w:r>
      <w:r w:rsidR="00E22982" w:rsidRPr="00734A50">
        <w:t xml:space="preserve"> </w:t>
      </w:r>
      <w:r w:rsidR="00904B5E" w:rsidRPr="00734A50">
        <w:t>System-level agreements</w:t>
      </w:r>
      <w:r w:rsidR="00FC5200" w:rsidRPr="00734A50">
        <w:t xml:space="preserve"> </w:t>
      </w:r>
      <w:r w:rsidR="00EB6E2D" w:rsidRPr="00734A50">
        <w:t>for delivering</w:t>
      </w:r>
      <w:r w:rsidR="00FC5200" w:rsidRPr="00734A50">
        <w:t xml:space="preserve"> practical experience</w:t>
      </w:r>
    </w:p>
    <w:p w14:paraId="47F8B1F7" w14:textId="283330D3" w:rsidR="004C7FEE" w:rsidRPr="00734A50" w:rsidRDefault="004C7FEE" w:rsidP="003D323A">
      <w:r w:rsidRPr="00734A50">
        <w:t>Provider</w:t>
      </w:r>
      <w:r w:rsidR="00FA2790" w:rsidRPr="00734A50">
        <w:t>–</w:t>
      </w:r>
      <w:r w:rsidRPr="00734A50">
        <w:t xml:space="preserve">school agreements have gone some way to improving the quality of practical </w:t>
      </w:r>
      <w:r w:rsidR="0093207D" w:rsidRPr="00734A50">
        <w:t>experience but</w:t>
      </w:r>
      <w:r w:rsidRPr="00734A50">
        <w:t xml:space="preserve"> are not sufficient to address broader challenges such as inconsistency across the system and high administrative burden. A more collaborative whole-of-system approach is needed to improve consistency and reduce administrative burden in a way that better meets system aspirations for high-quality practical experience for all students. This is consistent with AITSL’s </w:t>
      </w:r>
      <w:r w:rsidR="00FA2790" w:rsidRPr="00734A50">
        <w:t>evaluation of school–university partnerships</w:t>
      </w:r>
      <w:r w:rsidRPr="00734A50">
        <w:t xml:space="preserve">, which found that ‘implementation now requires more collective action with wider engagement by systems, other employers and crucially by more </w:t>
      </w:r>
      <w:r w:rsidR="0093207D" w:rsidRPr="00734A50">
        <w:t>schools</w:t>
      </w:r>
      <w:r w:rsidR="00FD246E" w:rsidRPr="00734A50">
        <w:t>’ (</w:t>
      </w:r>
      <w:r w:rsidR="000D3F55" w:rsidRPr="00734A50">
        <w:t xml:space="preserve">PTR Consulting </w:t>
      </w:r>
      <w:r w:rsidR="00925B31" w:rsidRPr="00734A50">
        <w:t>2018</w:t>
      </w:r>
      <w:r w:rsidR="00FD246E" w:rsidRPr="00734A50">
        <w:t>)</w:t>
      </w:r>
      <w:r w:rsidR="00FA2790" w:rsidRPr="00734A50">
        <w:t>.</w:t>
      </w:r>
    </w:p>
    <w:p w14:paraId="2A86C60F" w14:textId="4B0DE57D" w:rsidR="00A73BD2" w:rsidRPr="00734A50" w:rsidRDefault="00AD41DE" w:rsidP="00454A26">
      <w:pPr>
        <w:spacing w:after="0"/>
      </w:pPr>
      <w:r w:rsidRPr="00734A50">
        <w:lastRenderedPageBreak/>
        <w:t>System</w:t>
      </w:r>
      <w:r w:rsidR="00FA2790" w:rsidRPr="00734A50">
        <w:t>-</w:t>
      </w:r>
      <w:r w:rsidRPr="00734A50">
        <w:t>level agreements</w:t>
      </w:r>
      <w:r w:rsidR="00FD246E" w:rsidRPr="00734A50">
        <w:t xml:space="preserve"> should be </w:t>
      </w:r>
      <w:r w:rsidR="009F3AEA" w:rsidRPr="00734A50">
        <w:t>developed</w:t>
      </w:r>
      <w:r w:rsidR="00FD246E" w:rsidRPr="00734A50">
        <w:t xml:space="preserve"> </w:t>
      </w:r>
      <w:r w:rsidR="00FA2790" w:rsidRPr="00734A50">
        <w:rPr>
          <w:lang w:eastAsia="en-AU"/>
        </w:rPr>
        <w:t>to</w:t>
      </w:r>
      <w:r w:rsidR="00FA2790" w:rsidRPr="00734A50">
        <w:t xml:space="preserve"> </w:t>
      </w:r>
      <w:r w:rsidR="009B0854" w:rsidRPr="00734A50">
        <w:t>support</w:t>
      </w:r>
      <w:r w:rsidR="00D452E0" w:rsidRPr="00734A50">
        <w:t xml:space="preserve"> deliver</w:t>
      </w:r>
      <w:r w:rsidR="009B0854" w:rsidRPr="00734A50">
        <w:t>y of</w:t>
      </w:r>
      <w:r w:rsidR="00D452E0" w:rsidRPr="00734A50">
        <w:t xml:space="preserve"> more consistent, high-quality practical experience placements for all students</w:t>
      </w:r>
      <w:r w:rsidR="009B0854" w:rsidRPr="00734A50">
        <w:t>. Agreements should</w:t>
      </w:r>
      <w:r w:rsidR="00131313" w:rsidRPr="00734A50">
        <w:t xml:space="preserve"> include components that</w:t>
      </w:r>
      <w:r w:rsidR="00796255" w:rsidRPr="00734A50">
        <w:t>:</w:t>
      </w:r>
    </w:p>
    <w:p w14:paraId="7A1461AB" w14:textId="462B0EC9" w:rsidR="003259CF" w:rsidRPr="00734A50" w:rsidRDefault="00D452E0" w:rsidP="00553516">
      <w:pPr>
        <w:pStyle w:val="ListBullet"/>
        <w:numPr>
          <w:ilvl w:val="0"/>
          <w:numId w:val="216"/>
        </w:numPr>
        <w:spacing w:after="200"/>
        <w:ind w:left="357" w:hanging="357"/>
      </w:pPr>
      <w:r w:rsidRPr="00734A50">
        <w:t>d</w:t>
      </w:r>
      <w:r w:rsidR="008B08E4" w:rsidRPr="00734A50">
        <w:t>efine</w:t>
      </w:r>
      <w:r w:rsidR="008A4012" w:rsidRPr="00734A50">
        <w:t xml:space="preserve"> clear roles</w:t>
      </w:r>
      <w:r w:rsidR="00796255" w:rsidRPr="00734A50">
        <w:t xml:space="preserve">, </w:t>
      </w:r>
      <w:r w:rsidR="008A4012" w:rsidRPr="00734A50">
        <w:t xml:space="preserve">responsibilities </w:t>
      </w:r>
      <w:r w:rsidR="00796255" w:rsidRPr="00734A50">
        <w:t xml:space="preserve">and expectations </w:t>
      </w:r>
      <w:r w:rsidR="008A4012" w:rsidRPr="00734A50">
        <w:t>for the development of beginning teachers across all parties (ITE providers, TRAs and employers)</w:t>
      </w:r>
    </w:p>
    <w:p w14:paraId="7E094106" w14:textId="471E0DE2" w:rsidR="00796255" w:rsidRPr="00734A50" w:rsidRDefault="00131313" w:rsidP="00553516">
      <w:pPr>
        <w:pStyle w:val="ListBullet"/>
        <w:numPr>
          <w:ilvl w:val="0"/>
          <w:numId w:val="216"/>
        </w:numPr>
        <w:spacing w:after="200"/>
        <w:ind w:left="357" w:hanging="357"/>
      </w:pPr>
      <w:r w:rsidRPr="00734A50">
        <w:t xml:space="preserve">support and value </w:t>
      </w:r>
      <w:r w:rsidR="009344BB" w:rsidRPr="00734A50">
        <w:t>mentor teachers</w:t>
      </w:r>
    </w:p>
    <w:p w14:paraId="1E181A87" w14:textId="60117B93" w:rsidR="00D2070F" w:rsidRPr="00734A50" w:rsidRDefault="00D2070F" w:rsidP="00553516">
      <w:pPr>
        <w:pStyle w:val="ListBullet"/>
        <w:numPr>
          <w:ilvl w:val="0"/>
          <w:numId w:val="216"/>
        </w:numPr>
        <w:spacing w:after="200"/>
        <w:ind w:left="357" w:hanging="357"/>
      </w:pPr>
      <w:r w:rsidRPr="00734A50">
        <w:t>encourage system-level delivery models</w:t>
      </w:r>
    </w:p>
    <w:p w14:paraId="3F0C680F" w14:textId="4B13FB3E" w:rsidR="00D2070F" w:rsidRPr="00734A50" w:rsidRDefault="009269AD" w:rsidP="00553516">
      <w:pPr>
        <w:pStyle w:val="ListBullet"/>
        <w:numPr>
          <w:ilvl w:val="0"/>
          <w:numId w:val="216"/>
        </w:numPr>
        <w:spacing w:after="200"/>
        <w:ind w:left="357" w:hanging="357"/>
      </w:pPr>
      <w:r w:rsidRPr="00734A50">
        <w:t>improve coordination in matching</w:t>
      </w:r>
      <w:r w:rsidR="006D42BC" w:rsidRPr="00734A50">
        <w:t xml:space="preserve"> </w:t>
      </w:r>
      <w:r w:rsidR="002A1BA2" w:rsidRPr="00734A50">
        <w:t>placements to demand</w:t>
      </w:r>
    </w:p>
    <w:p w14:paraId="3E366B5F" w14:textId="07FD0B30" w:rsidR="00E62A44" w:rsidRPr="00734A50" w:rsidRDefault="00E62A44" w:rsidP="00553516">
      <w:pPr>
        <w:pStyle w:val="ListBullet"/>
        <w:numPr>
          <w:ilvl w:val="0"/>
          <w:numId w:val="216"/>
        </w:numPr>
        <w:spacing w:after="200"/>
        <w:ind w:left="357" w:hanging="357"/>
      </w:pPr>
      <w:r w:rsidRPr="00734A50">
        <w:t xml:space="preserve">demonstrate </w:t>
      </w:r>
      <w:r w:rsidR="000C00FD" w:rsidRPr="00734A50">
        <w:t>understanding of core content</w:t>
      </w:r>
    </w:p>
    <w:p w14:paraId="04A9A0E6" w14:textId="5475254D" w:rsidR="003259CF" w:rsidRDefault="001609E0" w:rsidP="00553516">
      <w:pPr>
        <w:pStyle w:val="ListBullet"/>
        <w:numPr>
          <w:ilvl w:val="0"/>
          <w:numId w:val="216"/>
        </w:numPr>
        <w:spacing w:after="200"/>
        <w:ind w:left="357" w:hanging="357"/>
      </w:pPr>
      <w:r w:rsidRPr="00734A50">
        <w:t>measure implementation and impact</w:t>
      </w:r>
      <w:r w:rsidR="003259CF" w:rsidRPr="00734A50">
        <w:t>.</w:t>
      </w:r>
    </w:p>
    <w:p w14:paraId="24E3A0A2" w14:textId="77777777" w:rsidR="008A0376" w:rsidRDefault="008A0376" w:rsidP="008A0376">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Pr>
          <w:b/>
          <w:bCs/>
        </w:rPr>
        <w:t xml:space="preserve">Victorian provider collaborative agreements </w:t>
      </w:r>
    </w:p>
    <w:p w14:paraId="4B962E1C" w14:textId="77777777" w:rsidR="008A0376" w:rsidRPr="005F556C" w:rsidRDefault="008A0376" w:rsidP="008A0376">
      <w:pPr>
        <w:pBdr>
          <w:top w:val="single" w:sz="4" w:space="1" w:color="auto"/>
          <w:left w:val="single" w:sz="4" w:space="4" w:color="auto"/>
          <w:bottom w:val="single" w:sz="4" w:space="1" w:color="auto"/>
          <w:right w:val="single" w:sz="4" w:space="4" w:color="auto"/>
        </w:pBdr>
        <w:shd w:val="clear" w:color="auto" w:fill="FECF52" w:themeFill="accent2"/>
        <w:spacing w:after="0"/>
        <w:rPr>
          <w:rFonts w:cstheme="minorHAnsi"/>
        </w:rPr>
      </w:pPr>
      <w:r>
        <w:rPr>
          <w:rFonts w:cstheme="minorHAnsi"/>
        </w:rPr>
        <w:t>T</w:t>
      </w:r>
      <w:r w:rsidRPr="00F721FB">
        <w:rPr>
          <w:rFonts w:cstheme="minorHAnsi"/>
        </w:rPr>
        <w:t xml:space="preserve">he Victorian Government </w:t>
      </w:r>
      <w:r>
        <w:rPr>
          <w:rFonts w:cstheme="minorHAnsi"/>
        </w:rPr>
        <w:t xml:space="preserve">established a memorandum of understanding (MOU) with higher education providers </w:t>
      </w:r>
      <w:r w:rsidRPr="00F721FB">
        <w:rPr>
          <w:rFonts w:cstheme="minorHAnsi"/>
        </w:rPr>
        <w:t>to strengthen Victorian government schools’ capacity to host high</w:t>
      </w:r>
      <w:r>
        <w:rPr>
          <w:rFonts w:cstheme="minorHAnsi"/>
        </w:rPr>
        <w:t>-</w:t>
      </w:r>
      <w:r w:rsidRPr="00F721FB">
        <w:rPr>
          <w:rFonts w:cstheme="minorHAnsi"/>
        </w:rPr>
        <w:t>quality practical placements. The MOU aims to:</w:t>
      </w:r>
    </w:p>
    <w:p w14:paraId="5B73B80B" w14:textId="77777777" w:rsidR="008A0376" w:rsidRPr="001E2A11" w:rsidRDefault="008A0376" w:rsidP="008A0376">
      <w:pPr>
        <w:pStyle w:val="ListBullet"/>
        <w:numPr>
          <w:ilvl w:val="0"/>
          <w:numId w:val="231"/>
        </w:numPr>
        <w:pBdr>
          <w:top w:val="single" w:sz="4" w:space="1" w:color="auto"/>
          <w:left w:val="single" w:sz="4" w:space="4" w:color="auto"/>
          <w:bottom w:val="single" w:sz="4" w:space="1" w:color="auto"/>
          <w:right w:val="single" w:sz="4" w:space="4" w:color="auto"/>
        </w:pBdr>
        <w:shd w:val="clear" w:color="auto" w:fill="FECF52" w:themeFill="accent2"/>
      </w:pPr>
      <w:r w:rsidRPr="001E2A11">
        <w:t>streamline the administration of placements</w:t>
      </w:r>
      <w:r>
        <w:t xml:space="preserve"> –</w:t>
      </w:r>
      <w:r w:rsidRPr="00454A26">
        <w:t xml:space="preserve"> for example</w:t>
      </w:r>
      <w:r>
        <w:t>,</w:t>
      </w:r>
      <w:r w:rsidRPr="00454A26">
        <w:t xml:space="preserve"> by</w:t>
      </w:r>
      <w:r w:rsidRPr="001E2A11">
        <w:t xml:space="preserve"> establishing designated placement booking windows</w:t>
      </w:r>
    </w:p>
    <w:p w14:paraId="01686FF7" w14:textId="77777777" w:rsidR="008A0376" w:rsidRPr="001E2A11" w:rsidRDefault="008A0376" w:rsidP="008A0376">
      <w:pPr>
        <w:pStyle w:val="ListBullet"/>
        <w:numPr>
          <w:ilvl w:val="0"/>
          <w:numId w:val="231"/>
        </w:numPr>
        <w:pBdr>
          <w:top w:val="single" w:sz="4" w:space="1" w:color="auto"/>
          <w:left w:val="single" w:sz="4" w:space="4" w:color="auto"/>
          <w:bottom w:val="single" w:sz="4" w:space="1" w:color="auto"/>
          <w:right w:val="single" w:sz="4" w:space="4" w:color="auto"/>
        </w:pBdr>
        <w:shd w:val="clear" w:color="auto" w:fill="FECF52" w:themeFill="accent2"/>
      </w:pPr>
      <w:r w:rsidRPr="001E2A11">
        <w:t>clarify the roles and responsibilities of schools, ITE providers and ITE students during placement</w:t>
      </w:r>
    </w:p>
    <w:p w14:paraId="1E9C14C6" w14:textId="77777777" w:rsidR="008A0376" w:rsidRPr="001E2A11" w:rsidRDefault="008A0376" w:rsidP="008A0376">
      <w:pPr>
        <w:pStyle w:val="ListBullet"/>
        <w:numPr>
          <w:ilvl w:val="0"/>
          <w:numId w:val="231"/>
        </w:numPr>
        <w:pBdr>
          <w:top w:val="single" w:sz="4" w:space="1" w:color="auto"/>
          <w:left w:val="single" w:sz="4" w:space="4" w:color="auto"/>
          <w:bottom w:val="single" w:sz="4" w:space="1" w:color="auto"/>
          <w:right w:val="single" w:sz="4" w:space="4" w:color="auto"/>
        </w:pBdr>
        <w:shd w:val="clear" w:color="auto" w:fill="FECF52" w:themeFill="accent2"/>
      </w:pPr>
      <w:r w:rsidRPr="001E2A11">
        <w:t>introduce one standard placement assessment template for all ITE students, used by all ITE providers</w:t>
      </w:r>
    </w:p>
    <w:p w14:paraId="64D5B2B1" w14:textId="77777777" w:rsidR="008A0376" w:rsidRPr="001E2A11" w:rsidRDefault="008A0376" w:rsidP="008A0376">
      <w:pPr>
        <w:pStyle w:val="ListBullet"/>
        <w:numPr>
          <w:ilvl w:val="0"/>
          <w:numId w:val="231"/>
        </w:numPr>
        <w:pBdr>
          <w:top w:val="single" w:sz="4" w:space="1" w:color="auto"/>
          <w:left w:val="single" w:sz="4" w:space="4" w:color="auto"/>
          <w:bottom w:val="single" w:sz="4" w:space="1" w:color="auto"/>
          <w:right w:val="single" w:sz="4" w:space="4" w:color="auto"/>
        </w:pBdr>
        <w:shd w:val="clear" w:color="auto" w:fill="FECF52" w:themeFill="accent2"/>
      </w:pPr>
      <w:r w:rsidRPr="001E2A11">
        <w:t>support schools and ITE providers to build new relationships, particularly in areas of high forecast workforce demand.</w:t>
      </w:r>
    </w:p>
    <w:p w14:paraId="0B4AD5F1" w14:textId="707B1C7D" w:rsidR="00AD1DA7" w:rsidRPr="00734A50" w:rsidRDefault="008A0376" w:rsidP="008A0376">
      <w:pPr>
        <w:pBdr>
          <w:top w:val="single" w:sz="4" w:space="1" w:color="auto"/>
          <w:left w:val="single" w:sz="4" w:space="4" w:color="auto"/>
          <w:bottom w:val="single" w:sz="4" w:space="1" w:color="auto"/>
          <w:right w:val="single" w:sz="4" w:space="4" w:color="auto"/>
        </w:pBdr>
        <w:shd w:val="clear" w:color="auto" w:fill="FECF52" w:themeFill="accent2"/>
      </w:pPr>
      <w:r>
        <w:t>These aspects of the MOU are intended to increase the transparency and predictability of communication between higher education providers and schools in order to support schools’ planning and allocation of staff resources to arrange placements. The MOU also includes a commitment that the department and Victorian higher education providers will continue to work together to strengthen the strategic distribution of placements. From 2023, each government school is allocated a minimum number of placement days to host, depending on school size and location. This system-level delivery model is designed to share responsibility for hosting placements more equitably and provide fairer access to graduate recruits.</w:t>
      </w:r>
    </w:p>
    <w:p w14:paraId="2307FCD5" w14:textId="644918BA" w:rsidR="00FD246E" w:rsidRPr="00734A50" w:rsidRDefault="00FD246E" w:rsidP="00CA3164">
      <w:pPr>
        <w:spacing w:before="200"/>
      </w:pPr>
      <w:r w:rsidRPr="00734A50">
        <w:t>Stakeholders</w:t>
      </w:r>
      <w:r w:rsidR="00754AC0" w:rsidRPr="00734A50">
        <w:t xml:space="preserve"> across the jurisdictions and</w:t>
      </w:r>
      <w:r w:rsidR="00071BE7" w:rsidRPr="00734A50">
        <w:t xml:space="preserve"> the</w:t>
      </w:r>
      <w:r w:rsidR="00754AC0" w:rsidRPr="00734A50">
        <w:t xml:space="preserve"> higher education sector</w:t>
      </w:r>
      <w:r w:rsidRPr="00734A50">
        <w:t xml:space="preserve"> </w:t>
      </w:r>
      <w:r w:rsidR="0095637E" w:rsidRPr="00734A50">
        <w:t xml:space="preserve">broadly support </w:t>
      </w:r>
      <w:r w:rsidR="009424E9" w:rsidRPr="00734A50">
        <w:t>system</w:t>
      </w:r>
      <w:r w:rsidR="001944D6">
        <w:t>-</w:t>
      </w:r>
      <w:r w:rsidR="009424E9" w:rsidRPr="00734A50">
        <w:t>level agreements</w:t>
      </w:r>
      <w:r w:rsidR="0095637E" w:rsidRPr="00734A50">
        <w:t xml:space="preserve"> and note the importance of ensuring consistency in</w:t>
      </w:r>
      <w:r w:rsidR="00071BE7" w:rsidRPr="00734A50">
        <w:t xml:space="preserve"> practical</w:t>
      </w:r>
      <w:r w:rsidR="0095637E" w:rsidRPr="00734A50">
        <w:t xml:space="preserve"> experience for ITE students (Queensland College of Teachers</w:t>
      </w:r>
      <w:r w:rsidR="00DD2815" w:rsidRPr="00734A50">
        <w:t xml:space="preserve"> submission;</w:t>
      </w:r>
      <w:r w:rsidR="0095637E" w:rsidRPr="00734A50">
        <w:t xml:space="preserve"> Macquarie School of Education</w:t>
      </w:r>
      <w:r w:rsidR="00DD2815" w:rsidRPr="00734A50">
        <w:t xml:space="preserve"> submission;</w:t>
      </w:r>
      <w:r w:rsidR="0095637E" w:rsidRPr="00734A50">
        <w:t xml:space="preserve"> Northern Territory Department of Education </w:t>
      </w:r>
      <w:r w:rsidR="00DD2815" w:rsidRPr="00734A50">
        <w:t xml:space="preserve">submission; </w:t>
      </w:r>
      <w:r w:rsidR="0095637E" w:rsidRPr="00734A50">
        <w:t>Charles Darwin University submission</w:t>
      </w:r>
      <w:r w:rsidR="008A0CD6" w:rsidRPr="00734A50">
        <w:t>)</w:t>
      </w:r>
      <w:r w:rsidRPr="00734A50">
        <w:t xml:space="preserve">. The Panel acknowledges that while a </w:t>
      </w:r>
      <w:r w:rsidR="008C0D35" w:rsidRPr="00734A50">
        <w:t>system</w:t>
      </w:r>
      <w:r w:rsidR="001944D6">
        <w:t>-</w:t>
      </w:r>
      <w:r w:rsidR="008C0D35" w:rsidRPr="00734A50">
        <w:t>level</w:t>
      </w:r>
      <w:r w:rsidRPr="00734A50">
        <w:t xml:space="preserve"> approach </w:t>
      </w:r>
      <w:r w:rsidR="008C0D35" w:rsidRPr="00734A50">
        <w:t>is needed</w:t>
      </w:r>
      <w:r w:rsidRPr="00734A50">
        <w:t xml:space="preserve">, the </w:t>
      </w:r>
      <w:r w:rsidR="7C028979" w:rsidRPr="00734A50">
        <w:t xml:space="preserve">system-level </w:t>
      </w:r>
      <w:r w:rsidRPr="00734A50">
        <w:t xml:space="preserve">agreements should still enable an operating environment that supports </w:t>
      </w:r>
      <w:r w:rsidR="004715D7" w:rsidRPr="00734A50">
        <w:t xml:space="preserve">provider </w:t>
      </w:r>
      <w:r w:rsidRPr="00734A50">
        <w:t>flexibility and innovation</w:t>
      </w:r>
      <w:r w:rsidR="00C46D56" w:rsidRPr="00734A50">
        <w:t xml:space="preserve"> </w:t>
      </w:r>
      <w:r w:rsidR="004715D7" w:rsidRPr="00734A50">
        <w:t>in</w:t>
      </w:r>
      <w:r w:rsidR="00C46D56" w:rsidRPr="00734A50">
        <w:t xml:space="preserve"> deliver</w:t>
      </w:r>
      <w:r w:rsidR="004715D7" w:rsidRPr="00734A50">
        <w:t>ing</w:t>
      </w:r>
      <w:r w:rsidR="00C46D56" w:rsidRPr="00734A50">
        <w:t xml:space="preserve"> placements</w:t>
      </w:r>
      <w:r w:rsidRPr="00734A50">
        <w:t xml:space="preserve">. </w:t>
      </w:r>
    </w:p>
    <w:p w14:paraId="047B4D07" w14:textId="4AA66180" w:rsidR="00FD246E" w:rsidRPr="00734A50" w:rsidRDefault="00FD246E" w:rsidP="00FD246E">
      <w:pPr>
        <w:rPr>
          <w:rFonts w:ascii="Calibri" w:eastAsia="Calibri" w:hAnsi="Calibri" w:cs="Calibri"/>
        </w:rPr>
      </w:pPr>
      <w:r w:rsidRPr="00734A50">
        <w:t xml:space="preserve">These agreements would not supersede accreditation </w:t>
      </w:r>
      <w:r w:rsidR="00233BDF" w:rsidRPr="00734A50">
        <w:t xml:space="preserve">requirements </w:t>
      </w:r>
      <w:r w:rsidRPr="00734A50">
        <w:t>or existing provider</w:t>
      </w:r>
      <w:r w:rsidR="00071BE7" w:rsidRPr="00734A50">
        <w:t>–</w:t>
      </w:r>
      <w:r w:rsidRPr="00734A50">
        <w:t>school agreements but rather remove administrative burden by centralising and standardising processes in the context of a more consistent system-wide approach</w:t>
      </w:r>
      <w:r w:rsidR="00A176FD" w:rsidRPr="00734A50">
        <w:t xml:space="preserve">. </w:t>
      </w:r>
      <w:r w:rsidRPr="00734A50">
        <w:t>The t</w:t>
      </w:r>
      <w:r w:rsidRPr="00734A50">
        <w:rPr>
          <w:rFonts w:ascii="Calibri" w:eastAsia="Calibri" w:hAnsi="Calibri" w:cs="Calibri"/>
        </w:rPr>
        <w:t xml:space="preserve">able at Appendix </w:t>
      </w:r>
      <w:r w:rsidR="00874D3E" w:rsidRPr="00734A50">
        <w:rPr>
          <w:rFonts w:ascii="Calibri" w:eastAsia="Calibri" w:hAnsi="Calibri" w:cs="Calibri"/>
        </w:rPr>
        <w:t>H</w:t>
      </w:r>
      <w:r w:rsidRPr="00734A50">
        <w:rPr>
          <w:rFonts w:ascii="Calibri" w:eastAsia="Calibri" w:hAnsi="Calibri" w:cs="Calibri"/>
        </w:rPr>
        <w:t xml:space="preserve"> outlines the components that should be considered as part of system-level </w:t>
      </w:r>
      <w:r w:rsidR="00B2076F" w:rsidRPr="00734A50">
        <w:rPr>
          <w:rFonts w:ascii="Calibri" w:eastAsia="Calibri" w:hAnsi="Calibri" w:cs="Calibri"/>
        </w:rPr>
        <w:t>agreements</w:t>
      </w:r>
      <w:r w:rsidRPr="00734A50">
        <w:rPr>
          <w:rFonts w:ascii="Calibri" w:eastAsia="Calibri" w:hAnsi="Calibri" w:cs="Calibri"/>
        </w:rPr>
        <w:t xml:space="preserve"> to address specific ongoing challenges. </w:t>
      </w:r>
    </w:p>
    <w:p w14:paraId="49C936D1" w14:textId="675739FC" w:rsidR="000C5975" w:rsidRPr="00734A50" w:rsidRDefault="000C5975" w:rsidP="000C2F25">
      <w:pPr>
        <w:pStyle w:val="Heading4"/>
      </w:pPr>
      <w:r w:rsidRPr="00734A50">
        <w:lastRenderedPageBreak/>
        <w:t>3.</w:t>
      </w:r>
      <w:r w:rsidR="00635185" w:rsidRPr="00734A50">
        <w:t>4</w:t>
      </w:r>
      <w:r w:rsidRPr="00734A50">
        <w:t>.2 Adoption of delivery models to support high-quality practical experience</w:t>
      </w:r>
    </w:p>
    <w:p w14:paraId="3AE0323D" w14:textId="62A0A3C8" w:rsidR="00E11F03" w:rsidRPr="00734A50" w:rsidRDefault="0071289F" w:rsidP="00E11F03">
      <w:r w:rsidRPr="00734A50">
        <w:t xml:space="preserve">A more collaborative whole-of-system approach </w:t>
      </w:r>
      <w:r w:rsidR="0042536A" w:rsidRPr="00734A50">
        <w:t xml:space="preserve">needs to </w:t>
      </w:r>
      <w:r w:rsidR="00E11F03" w:rsidRPr="00734A50">
        <w:t xml:space="preserve">be complemented by successful delivery models on the ground. A number of jurisdictions </w:t>
      </w:r>
      <w:r w:rsidR="00D27CC0" w:rsidRPr="00734A50">
        <w:t>have system</w:t>
      </w:r>
      <w:r w:rsidR="00071BE7" w:rsidRPr="00734A50">
        <w:t>-</w:t>
      </w:r>
      <w:r w:rsidR="00D27CC0" w:rsidRPr="00734A50">
        <w:t xml:space="preserve">level delivery models </w:t>
      </w:r>
      <w:r w:rsidR="00AC7BC0" w:rsidRPr="00734A50">
        <w:t xml:space="preserve">providing an </w:t>
      </w:r>
      <w:r w:rsidR="00AC7BC0" w:rsidRPr="00734A50">
        <w:rPr>
          <w:rFonts w:eastAsia="Times New Roman"/>
        </w:rPr>
        <w:t>intentional, comprehensive and cohesive approach to delivering high-quality practical experience</w:t>
      </w:r>
      <w:r w:rsidR="00FB6969" w:rsidRPr="00734A50">
        <w:rPr>
          <w:rFonts w:eastAsia="Times New Roman"/>
        </w:rPr>
        <w:t xml:space="preserve"> across higher education providers and schools. </w:t>
      </w:r>
      <w:r w:rsidR="00071BE7" w:rsidRPr="00734A50">
        <w:rPr>
          <w:rFonts w:eastAsia="Times New Roman"/>
        </w:rPr>
        <w:t>They do this</w:t>
      </w:r>
      <w:r w:rsidR="00B501B2" w:rsidRPr="00734A50">
        <w:rPr>
          <w:rFonts w:eastAsia="Times New Roman"/>
        </w:rPr>
        <w:t xml:space="preserve"> through </w:t>
      </w:r>
      <w:r w:rsidR="00E11F03" w:rsidRPr="00734A50">
        <w:t>support</w:t>
      </w:r>
      <w:r w:rsidR="00B501B2" w:rsidRPr="00734A50">
        <w:t>ing</w:t>
      </w:r>
      <w:bookmarkStart w:id="90" w:name="_Ref132123382"/>
      <w:r w:rsidR="00E11F03" w:rsidRPr="00734A50">
        <w:t xml:space="preserve"> clusters of schools to deliver </w:t>
      </w:r>
      <w:r w:rsidR="2F92E598" w:rsidRPr="00734A50">
        <w:t>high-quality</w:t>
      </w:r>
      <w:r w:rsidR="00E11F03" w:rsidRPr="00734A50">
        <w:t xml:space="preserve"> practical experience placements</w:t>
      </w:r>
      <w:r w:rsidR="00B501B2" w:rsidRPr="00734A50">
        <w:t xml:space="preserve">, </w:t>
      </w:r>
      <w:r w:rsidR="00E11F03" w:rsidRPr="00734A50">
        <w:t>includ</w:t>
      </w:r>
      <w:r w:rsidR="00B501B2" w:rsidRPr="00734A50">
        <w:t>ing</w:t>
      </w:r>
      <w:r w:rsidR="00E11F03" w:rsidRPr="00734A50">
        <w:t xml:space="preserve"> the provision of professional learning, funding</w:t>
      </w:r>
      <w:r w:rsidR="00B501B2" w:rsidRPr="00734A50">
        <w:t xml:space="preserve"> and</w:t>
      </w:r>
      <w:r w:rsidR="00E11F03" w:rsidRPr="00734A50">
        <w:t xml:space="preserve"> resources. There is often a focus on the alignment between ITE course content and practical experience placements. This aims to strengthen the link between theory, research and practice to enhance the effectiveness of ITE.</w:t>
      </w:r>
    </w:p>
    <w:p w14:paraId="45F4126B" w14:textId="6FF55931" w:rsidR="00E11F03" w:rsidRPr="00734A50" w:rsidRDefault="00E11F03" w:rsidP="00E11F03">
      <w:pPr>
        <w:spacing w:after="0"/>
      </w:pPr>
      <w:r w:rsidRPr="00734A50">
        <w:t xml:space="preserve">Evidence </w:t>
      </w:r>
      <w:r w:rsidR="00071BE7" w:rsidRPr="00734A50">
        <w:t xml:space="preserve">on </w:t>
      </w:r>
      <w:r w:rsidRPr="00734A50">
        <w:t>these delivery models show</w:t>
      </w:r>
      <w:r w:rsidR="00071BE7" w:rsidRPr="00734A50">
        <w:t>s</w:t>
      </w:r>
      <w:r w:rsidRPr="00734A50">
        <w:t xml:space="preserve"> positive impacts on the quality of practical experience, including:</w:t>
      </w:r>
    </w:p>
    <w:p w14:paraId="3F737EEB" w14:textId="6775EBFA" w:rsidR="00E11F03" w:rsidRPr="00734A50" w:rsidRDefault="00071BE7" w:rsidP="00553516">
      <w:pPr>
        <w:pStyle w:val="ListBullet"/>
        <w:numPr>
          <w:ilvl w:val="0"/>
          <w:numId w:val="216"/>
        </w:numPr>
        <w:spacing w:after="200"/>
        <w:ind w:left="357" w:hanging="357"/>
      </w:pPr>
      <w:r w:rsidRPr="00734A50">
        <w:t>a</w:t>
      </w:r>
      <w:r w:rsidR="00E11F03" w:rsidRPr="00734A50">
        <w:t xml:space="preserve"> change of culture and attitude towards </w:t>
      </w:r>
      <w:r w:rsidR="000447A4" w:rsidRPr="00734A50">
        <w:t>ITE students</w:t>
      </w:r>
      <w:r w:rsidR="00E11F03" w:rsidRPr="00734A50">
        <w:t xml:space="preserve"> within schools, improved mentoring skills and </w:t>
      </w:r>
      <w:r w:rsidRPr="00734A50">
        <w:t xml:space="preserve">increased </w:t>
      </w:r>
      <w:r w:rsidR="00E11F03" w:rsidRPr="00734A50">
        <w:t xml:space="preserve">capacity for supervising teachers, and </w:t>
      </w:r>
      <w:r w:rsidRPr="00734A50">
        <w:t xml:space="preserve">stronger </w:t>
      </w:r>
      <w:r w:rsidR="00E11F03" w:rsidRPr="00734A50">
        <w:t>connections and support for partner schools</w:t>
      </w:r>
    </w:p>
    <w:p w14:paraId="4CD8D45D" w14:textId="31EAC16B" w:rsidR="00E11F03" w:rsidRPr="00734A50" w:rsidRDefault="00D10BF3" w:rsidP="00553516">
      <w:pPr>
        <w:pStyle w:val="ListBullet"/>
        <w:numPr>
          <w:ilvl w:val="0"/>
          <w:numId w:val="216"/>
        </w:numPr>
        <w:spacing w:after="200"/>
        <w:ind w:left="357" w:hanging="357"/>
      </w:pPr>
      <w:r w:rsidRPr="00734A50">
        <w:t>i</w:t>
      </w:r>
      <w:r w:rsidR="00E11F03" w:rsidRPr="00734A50">
        <w:t xml:space="preserve">mproved levels of </w:t>
      </w:r>
      <w:r w:rsidR="000447A4" w:rsidRPr="00734A50">
        <w:t>ITE student</w:t>
      </w:r>
      <w:r w:rsidR="00E11F03" w:rsidRPr="00734A50">
        <w:t xml:space="preserve"> confidence, greater readiness to enter teaching, and greater understanding of the whole</w:t>
      </w:r>
      <w:r w:rsidR="00454A26" w:rsidRPr="00734A50">
        <w:t>-</w:t>
      </w:r>
      <w:r w:rsidR="00E11F03" w:rsidRPr="00734A50">
        <w:t>of</w:t>
      </w:r>
      <w:r w:rsidR="00454A26" w:rsidRPr="00734A50">
        <w:t>-</w:t>
      </w:r>
      <w:r w:rsidR="00E11F03" w:rsidRPr="00734A50">
        <w:t>school context and processes.</w:t>
      </w:r>
    </w:p>
    <w:p w14:paraId="2AB9B7F4" w14:textId="4C0B4BC6" w:rsidR="00E11F03" w:rsidRPr="00734A50" w:rsidRDefault="00E11F03" w:rsidP="008E3F99">
      <w:r w:rsidRPr="00734A50">
        <w:t>It would be inappropriate to impose a standardised approach given</w:t>
      </w:r>
      <w:r w:rsidR="008E3F99" w:rsidRPr="00734A50">
        <w:t xml:space="preserve"> t</w:t>
      </w:r>
      <w:r w:rsidRPr="00734A50">
        <w:t>here are already a range of delivery models operating across jurisdictions that are working in their unique contexts.</w:t>
      </w:r>
      <w:r w:rsidR="008E3F99" w:rsidRPr="00734A50">
        <w:t xml:space="preserve"> </w:t>
      </w:r>
      <w:r w:rsidRPr="00734A50">
        <w:t xml:space="preserve">There is </w:t>
      </w:r>
      <w:r w:rsidR="008E3F99" w:rsidRPr="00734A50">
        <w:t>also</w:t>
      </w:r>
      <w:r w:rsidRPr="00734A50">
        <w:t xml:space="preserve"> limited evidence </w:t>
      </w:r>
      <w:r w:rsidR="00D10BF3" w:rsidRPr="00734A50">
        <w:t xml:space="preserve">as to which </w:t>
      </w:r>
      <w:r w:rsidRPr="00734A50">
        <w:t>delivery models work best, and best</w:t>
      </w:r>
      <w:r w:rsidR="00D10BF3" w:rsidRPr="00734A50">
        <w:t xml:space="preserve"> </w:t>
      </w:r>
      <w:r w:rsidRPr="00734A50">
        <w:t xml:space="preserve">practice is likely to differ between jurisdictional contexts (for example, one delivery model may be more appropriate for regional, rural and remote contexts). </w:t>
      </w:r>
    </w:p>
    <w:p w14:paraId="334733C2" w14:textId="6E32C23C" w:rsidR="00390FB3" w:rsidRPr="00734A50" w:rsidRDefault="2FA72C0B" w:rsidP="00390FB3">
      <w:pPr>
        <w:spacing w:after="0"/>
        <w:rPr>
          <w:rFonts w:eastAsia="Times New Roman"/>
        </w:rPr>
      </w:pPr>
      <w:r w:rsidRPr="00734A50">
        <w:t>There is value, however, in encouraging new and scaled</w:t>
      </w:r>
      <w:r w:rsidR="00D10BF3" w:rsidRPr="00734A50">
        <w:t>-</w:t>
      </w:r>
      <w:r w:rsidRPr="00734A50">
        <w:t>up delivery models, whereby more students are exposed to higher quality practical experience</w:t>
      </w:r>
      <w:r w:rsidR="00F1786E" w:rsidRPr="00734A50">
        <w:t xml:space="preserve"> (see Table 3.</w:t>
      </w:r>
      <w:r w:rsidR="00D10BF3" w:rsidRPr="00734A50">
        <w:t>3</w:t>
      </w:r>
      <w:r w:rsidR="00F1786E" w:rsidRPr="00734A50">
        <w:t xml:space="preserve"> for examples)</w:t>
      </w:r>
      <w:r w:rsidRPr="00734A50">
        <w:t xml:space="preserve">. </w:t>
      </w:r>
      <w:r w:rsidR="50D99C9E" w:rsidRPr="00734A50">
        <w:rPr>
          <w:rFonts w:eastAsia="Times New Roman"/>
        </w:rPr>
        <w:t>The</w:t>
      </w:r>
      <w:r w:rsidR="00390FB3" w:rsidRPr="00734A50">
        <w:rPr>
          <w:rFonts w:eastAsia="Times New Roman"/>
        </w:rPr>
        <w:t xml:space="preserve"> features of these models, common to existing delivery models, could include:</w:t>
      </w:r>
    </w:p>
    <w:p w14:paraId="4D996082" w14:textId="46BC0E99" w:rsidR="004A4730" w:rsidRPr="00734A50" w:rsidRDefault="00802098" w:rsidP="00553516">
      <w:pPr>
        <w:pStyle w:val="ListBullet"/>
        <w:numPr>
          <w:ilvl w:val="0"/>
          <w:numId w:val="216"/>
        </w:numPr>
        <w:spacing w:after="200"/>
        <w:ind w:left="357" w:hanging="357"/>
      </w:pPr>
      <w:r w:rsidRPr="00734A50">
        <w:t>p</w:t>
      </w:r>
      <w:r w:rsidR="004A4730" w:rsidRPr="00734A50">
        <w:t xml:space="preserve">rofessional </w:t>
      </w:r>
      <w:r w:rsidR="009076E6" w:rsidRPr="00734A50">
        <w:t>development of</w:t>
      </w:r>
      <w:r w:rsidR="004A4730" w:rsidRPr="00734A50">
        <w:t xml:space="preserve"> mentor</w:t>
      </w:r>
      <w:r w:rsidR="0054574E" w:rsidRPr="00734A50">
        <w:t xml:space="preserve"> teacher</w:t>
      </w:r>
      <w:r w:rsidR="004A4730" w:rsidRPr="00734A50">
        <w:t xml:space="preserve">s </w:t>
      </w:r>
    </w:p>
    <w:p w14:paraId="10183C90" w14:textId="4A6EA8F9" w:rsidR="00390FB3" w:rsidRPr="00734A50" w:rsidRDefault="00390FB3" w:rsidP="00553516">
      <w:pPr>
        <w:pStyle w:val="ListBullet"/>
        <w:numPr>
          <w:ilvl w:val="0"/>
          <w:numId w:val="216"/>
        </w:numPr>
        <w:spacing w:after="200"/>
        <w:ind w:left="357" w:hanging="357"/>
      </w:pPr>
      <w:r w:rsidRPr="00734A50">
        <w:t xml:space="preserve">focus on alignment between theory, research and practice </w:t>
      </w:r>
      <w:r w:rsidR="00F01938" w:rsidRPr="00734A50">
        <w:t>(</w:t>
      </w:r>
      <w:r w:rsidRPr="00734A50">
        <w:t>e.g. core content</w:t>
      </w:r>
      <w:r w:rsidR="00F01938" w:rsidRPr="00734A50">
        <w:t>)</w:t>
      </w:r>
    </w:p>
    <w:p w14:paraId="0CD811EB" w14:textId="77777777" w:rsidR="004A4730" w:rsidRPr="00734A50" w:rsidRDefault="00390FB3" w:rsidP="00553516">
      <w:pPr>
        <w:pStyle w:val="ListBullet"/>
        <w:numPr>
          <w:ilvl w:val="0"/>
          <w:numId w:val="216"/>
        </w:numPr>
        <w:spacing w:after="200"/>
        <w:ind w:left="357" w:hanging="357"/>
      </w:pPr>
      <w:r w:rsidRPr="00734A50">
        <w:t>points of coordination</w:t>
      </w:r>
      <w:r w:rsidR="004A4730" w:rsidRPr="00734A50">
        <w:t xml:space="preserve"> between schools and providers </w:t>
      </w:r>
      <w:r w:rsidRPr="00734A50">
        <w:t>to encourage strong links (e.g. practicum coordinators,</w:t>
      </w:r>
      <w:r w:rsidR="004A4730" w:rsidRPr="00734A50">
        <w:t xml:space="preserve"> school-based clinics and research projects)</w:t>
      </w:r>
    </w:p>
    <w:p w14:paraId="58342149" w14:textId="5A5E9F9E" w:rsidR="004A4730" w:rsidRPr="00734A50" w:rsidRDefault="00802098" w:rsidP="00553516">
      <w:pPr>
        <w:pStyle w:val="ListBullet"/>
        <w:numPr>
          <w:ilvl w:val="0"/>
          <w:numId w:val="216"/>
        </w:numPr>
        <w:spacing w:after="200"/>
        <w:ind w:left="357" w:hanging="357"/>
      </w:pPr>
      <w:r w:rsidRPr="00734A50">
        <w:t>c</w:t>
      </w:r>
      <w:r w:rsidR="004A4730" w:rsidRPr="00734A50">
        <w:t>entralised resources for stakeholders involved in practical experience (e.g. mentor</w:t>
      </w:r>
      <w:r w:rsidR="00621951" w:rsidRPr="00734A50">
        <w:t xml:space="preserve"> </w:t>
      </w:r>
      <w:r w:rsidR="004A4730" w:rsidRPr="00734A50">
        <w:t xml:space="preserve">teacher guide and </w:t>
      </w:r>
      <w:r w:rsidR="00390FB3" w:rsidRPr="00734A50">
        <w:t>assessment templates)</w:t>
      </w:r>
    </w:p>
    <w:p w14:paraId="62EDE135" w14:textId="5CE31216" w:rsidR="00390FB3" w:rsidRPr="00734A50" w:rsidRDefault="00390FB3" w:rsidP="00553516">
      <w:pPr>
        <w:pStyle w:val="ListBullet"/>
        <w:numPr>
          <w:ilvl w:val="0"/>
          <w:numId w:val="216"/>
        </w:numPr>
        <w:spacing w:after="200"/>
        <w:ind w:left="357" w:hanging="357"/>
      </w:pPr>
      <w:r w:rsidRPr="00734A50">
        <w:t>logistical support for schools to manage high-quality placements (e.g. financial</w:t>
      </w:r>
      <w:r w:rsidR="00543975" w:rsidRPr="00734A50">
        <w:t xml:space="preserve"> and</w:t>
      </w:r>
      <w:r w:rsidRPr="00734A50">
        <w:t xml:space="preserve"> admin</w:t>
      </w:r>
      <w:r w:rsidR="00640F54" w:rsidRPr="00734A50">
        <w:t>istrative support</w:t>
      </w:r>
      <w:r w:rsidRPr="00734A50">
        <w:t>)</w:t>
      </w:r>
    </w:p>
    <w:p w14:paraId="132A40E9" w14:textId="083A3A43" w:rsidR="21F857CC" w:rsidRPr="00734A50" w:rsidRDefault="21F857CC" w:rsidP="00553516">
      <w:pPr>
        <w:pStyle w:val="ListBullet"/>
        <w:numPr>
          <w:ilvl w:val="0"/>
          <w:numId w:val="216"/>
        </w:numPr>
        <w:spacing w:after="200"/>
        <w:ind w:left="357" w:hanging="357"/>
      </w:pPr>
      <w:r w:rsidRPr="00734A50">
        <w:t>e</w:t>
      </w:r>
      <w:r w:rsidR="681FE8FD" w:rsidRPr="00734A50">
        <w:t>xplicit links to practical experience requirements</w:t>
      </w:r>
      <w:r w:rsidR="6D8EE323" w:rsidRPr="00734A50">
        <w:t>.</w:t>
      </w:r>
    </w:p>
    <w:p w14:paraId="6606C88F" w14:textId="77777777" w:rsidR="008A0376" w:rsidRDefault="008A0376">
      <w:pPr>
        <w:spacing w:after="160" w:line="259" w:lineRule="auto"/>
        <w:rPr>
          <w:rFonts w:asciiTheme="majorHAnsi" w:eastAsia="Times New Roman" w:hAnsiTheme="majorHAnsi" w:cs="Times New Roman"/>
          <w:b/>
          <w:color w:val="000000"/>
          <w:szCs w:val="28"/>
          <w:lang w:eastAsia="en-AU"/>
        </w:rPr>
      </w:pPr>
      <w:r>
        <w:rPr>
          <w:szCs w:val="28"/>
        </w:rPr>
        <w:br w:type="page"/>
      </w:r>
    </w:p>
    <w:p w14:paraId="7DACEB8C" w14:textId="33ABEF44" w:rsidR="00E11F03" w:rsidRPr="00734A50" w:rsidRDefault="00E11F03" w:rsidP="0041040B">
      <w:pPr>
        <w:pStyle w:val="HeadingTable"/>
        <w:numPr>
          <w:ilvl w:val="0"/>
          <w:numId w:val="0"/>
        </w:numPr>
        <w:ind w:left="360" w:hanging="360"/>
        <w:rPr>
          <w:sz w:val="22"/>
          <w:szCs w:val="28"/>
        </w:rPr>
      </w:pPr>
      <w:r w:rsidRPr="00734A50">
        <w:rPr>
          <w:sz w:val="22"/>
          <w:szCs w:val="28"/>
        </w:rPr>
        <w:lastRenderedPageBreak/>
        <w:t xml:space="preserve">Table </w:t>
      </w:r>
      <w:r w:rsidR="00AF29A8" w:rsidRPr="00734A50">
        <w:rPr>
          <w:sz w:val="22"/>
          <w:szCs w:val="28"/>
        </w:rPr>
        <w:t>3.</w:t>
      </w:r>
      <w:r w:rsidRPr="00734A50">
        <w:rPr>
          <w:sz w:val="22"/>
          <w:szCs w:val="28"/>
        </w:rPr>
        <w:fldChar w:fldCharType="begin"/>
      </w:r>
      <w:r w:rsidRPr="00734A50">
        <w:rPr>
          <w:sz w:val="22"/>
          <w:szCs w:val="28"/>
        </w:rPr>
        <w:instrText>SEQ Table \* ARABIC</w:instrText>
      </w:r>
      <w:r w:rsidRPr="00734A50">
        <w:rPr>
          <w:sz w:val="22"/>
          <w:szCs w:val="28"/>
        </w:rPr>
        <w:fldChar w:fldCharType="separate"/>
      </w:r>
      <w:r w:rsidR="00CC04C3">
        <w:rPr>
          <w:noProof/>
          <w:sz w:val="22"/>
          <w:szCs w:val="28"/>
        </w:rPr>
        <w:t>3</w:t>
      </w:r>
      <w:r w:rsidRPr="00734A50">
        <w:rPr>
          <w:sz w:val="22"/>
          <w:szCs w:val="28"/>
        </w:rPr>
        <w:fldChar w:fldCharType="end"/>
      </w:r>
      <w:bookmarkEnd w:id="90"/>
      <w:r w:rsidR="009D2A77" w:rsidRPr="00734A50">
        <w:rPr>
          <w:sz w:val="22"/>
          <w:szCs w:val="28"/>
        </w:rPr>
        <w:t>:</w:t>
      </w:r>
      <w:r w:rsidR="00B84E9B" w:rsidRPr="00734A50">
        <w:rPr>
          <w:sz w:val="22"/>
          <w:szCs w:val="28"/>
        </w:rPr>
        <w:t xml:space="preserve"> </w:t>
      </w:r>
      <w:r w:rsidRPr="00734A50">
        <w:rPr>
          <w:sz w:val="22"/>
          <w:szCs w:val="28"/>
        </w:rPr>
        <w:t>Current examples of system</w:t>
      </w:r>
      <w:r w:rsidR="00543975" w:rsidRPr="00734A50">
        <w:rPr>
          <w:sz w:val="22"/>
          <w:szCs w:val="28"/>
        </w:rPr>
        <w:t>-wide</w:t>
      </w:r>
      <w:r w:rsidRPr="00734A50">
        <w:rPr>
          <w:sz w:val="22"/>
          <w:szCs w:val="28"/>
        </w:rPr>
        <w:t xml:space="preserve"> delivery models across jurisdictions</w:t>
      </w:r>
    </w:p>
    <w:tbl>
      <w:tblPr>
        <w:tblStyle w:val="GridTable4-Accent2"/>
        <w:tblW w:w="9204" w:type="dxa"/>
        <w:tblLayout w:type="fixed"/>
        <w:tblLook w:val="04A0" w:firstRow="1" w:lastRow="0" w:firstColumn="1" w:lastColumn="0" w:noHBand="0" w:noVBand="1"/>
      </w:tblPr>
      <w:tblGrid>
        <w:gridCol w:w="2970"/>
        <w:gridCol w:w="6234"/>
      </w:tblGrid>
      <w:tr w:rsidR="53B011C3" w:rsidRPr="00734A50" w14:paraId="3D252758" w14:textId="77777777" w:rsidTr="72A75B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CF52" w:themeColor="accent2"/>
              <w:left w:val="single" w:sz="8" w:space="0" w:color="FECF52" w:themeColor="accent2"/>
              <w:bottom w:val="single" w:sz="8" w:space="0" w:color="FECF52" w:themeColor="accent2"/>
            </w:tcBorders>
            <w:tcMar>
              <w:left w:w="108" w:type="dxa"/>
              <w:right w:w="108" w:type="dxa"/>
            </w:tcMar>
          </w:tcPr>
          <w:p w14:paraId="7BF16707" w14:textId="48DAB421" w:rsidR="53B011C3" w:rsidRPr="00734A50" w:rsidRDefault="53B011C3" w:rsidP="53B011C3">
            <w:r w:rsidRPr="00734A50">
              <w:rPr>
                <w:rFonts w:ascii="Calibri" w:eastAsia="Calibri" w:hAnsi="Calibri" w:cs="Calibri"/>
                <w:color w:val="000000" w:themeColor="text1"/>
              </w:rPr>
              <w:t>System delivery model</w:t>
            </w:r>
          </w:p>
        </w:tc>
        <w:tc>
          <w:tcPr>
            <w:tcW w:w="6234" w:type="dxa"/>
            <w:tcBorders>
              <w:top w:val="single" w:sz="8" w:space="0" w:color="FECF52" w:themeColor="accent2"/>
              <w:bottom w:val="single" w:sz="8" w:space="0" w:color="FECF52" w:themeColor="accent2"/>
              <w:right w:val="single" w:sz="8" w:space="0" w:color="FECF52" w:themeColor="accent2"/>
            </w:tcBorders>
            <w:tcMar>
              <w:left w:w="108" w:type="dxa"/>
              <w:right w:w="108" w:type="dxa"/>
            </w:tcMar>
          </w:tcPr>
          <w:p w14:paraId="4E5FFA06" w14:textId="07E9E7D1" w:rsidR="53B011C3" w:rsidRPr="00734A50" w:rsidRDefault="53B011C3" w:rsidP="53B011C3">
            <w:pPr>
              <w:cnfStyle w:val="100000000000" w:firstRow="1" w:lastRow="0" w:firstColumn="0" w:lastColumn="0" w:oddVBand="0" w:evenVBand="0" w:oddHBand="0" w:evenHBand="0" w:firstRowFirstColumn="0" w:firstRowLastColumn="0" w:lastRowFirstColumn="0" w:lastRowLastColumn="0"/>
            </w:pPr>
            <w:r w:rsidRPr="00734A50">
              <w:rPr>
                <w:rFonts w:ascii="Calibri" w:eastAsia="Calibri" w:hAnsi="Calibri" w:cs="Calibri"/>
                <w:color w:val="000000" w:themeColor="text1"/>
              </w:rPr>
              <w:t>Description</w:t>
            </w:r>
          </w:p>
        </w:tc>
      </w:tr>
      <w:tr w:rsidR="53B011C3" w:rsidRPr="00734A50" w14:paraId="314D5B04" w14:textId="77777777" w:rsidTr="72A75B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CF52" w:themeColor="accent2"/>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15939AB7" w14:textId="1D84FC47" w:rsidR="53B011C3" w:rsidRPr="00734A50" w:rsidRDefault="53B011C3" w:rsidP="53B011C3">
            <w:r w:rsidRPr="00734A50">
              <w:rPr>
                <w:rFonts w:ascii="Calibri" w:eastAsia="Calibri" w:hAnsi="Calibri" w:cs="Calibri"/>
                <w:color w:val="000000" w:themeColor="text1"/>
              </w:rPr>
              <w:t>NSW Professional Experience Hub Schools</w:t>
            </w:r>
          </w:p>
        </w:tc>
        <w:tc>
          <w:tcPr>
            <w:tcW w:w="6234" w:type="dxa"/>
            <w:tcBorders>
              <w:top w:val="single" w:sz="8" w:space="0" w:color="FECF52" w:themeColor="accent2"/>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46FE5E29" w14:textId="6346881C" w:rsidR="53B011C3" w:rsidRPr="00734A50" w:rsidRDefault="53B011C3" w:rsidP="53B011C3">
            <w:pPr>
              <w:cnfStyle w:val="000000100000" w:firstRow="0" w:lastRow="0" w:firstColumn="0" w:lastColumn="0" w:oddVBand="0" w:evenVBand="0" w:oddHBand="1" w:evenHBand="0" w:firstRowFirstColumn="0" w:firstRowLastColumn="0" w:lastRowFirstColumn="0" w:lastRowLastColumn="0"/>
            </w:pPr>
            <w:r w:rsidRPr="00734A50">
              <w:rPr>
                <w:rFonts w:ascii="Calibri" w:eastAsia="Calibri" w:hAnsi="Calibri" w:cs="Calibri"/>
                <w:color w:val="000000" w:themeColor="text1"/>
              </w:rPr>
              <w:t xml:space="preserve">Specific initiatives to support involved schools to host high-quality practical placements, including Professional Experience Coordinators, professional learning for school staff, sharing resources between schools, and linkages between schools and </w:t>
            </w:r>
            <w:r w:rsidR="006B75D6" w:rsidRPr="00734A50">
              <w:rPr>
                <w:rFonts w:ascii="Calibri" w:eastAsia="Calibri" w:hAnsi="Calibri" w:cs="Calibri"/>
                <w:color w:val="000000" w:themeColor="text1"/>
              </w:rPr>
              <w:t xml:space="preserve">higher education </w:t>
            </w:r>
            <w:r w:rsidRPr="00734A50">
              <w:rPr>
                <w:rFonts w:ascii="Calibri" w:eastAsia="Calibri" w:hAnsi="Calibri" w:cs="Calibri"/>
                <w:color w:val="000000" w:themeColor="text1"/>
              </w:rPr>
              <w:t>providers. The NSW C</w:t>
            </w:r>
            <w:r w:rsidR="008B013E" w:rsidRPr="00734A50">
              <w:rPr>
                <w:rFonts w:ascii="Calibri" w:eastAsia="Calibri" w:hAnsi="Calibri" w:cs="Calibri"/>
                <w:color w:val="000000" w:themeColor="text1"/>
              </w:rPr>
              <w:t xml:space="preserve">ouncil of Deans </w:t>
            </w:r>
            <w:r w:rsidR="00C30995" w:rsidRPr="00734A50">
              <w:rPr>
                <w:rFonts w:ascii="Calibri" w:eastAsia="Calibri" w:hAnsi="Calibri" w:cs="Calibri"/>
                <w:color w:val="000000" w:themeColor="text1"/>
              </w:rPr>
              <w:t xml:space="preserve">of Education </w:t>
            </w:r>
            <w:r w:rsidR="008B013E" w:rsidRPr="00734A50">
              <w:rPr>
                <w:rFonts w:ascii="Calibri" w:eastAsia="Calibri" w:hAnsi="Calibri" w:cs="Calibri"/>
                <w:color w:val="000000" w:themeColor="text1"/>
              </w:rPr>
              <w:t>(C</w:t>
            </w:r>
            <w:r w:rsidRPr="00734A50">
              <w:rPr>
                <w:rFonts w:ascii="Calibri" w:eastAsia="Calibri" w:hAnsi="Calibri" w:cs="Calibri"/>
                <w:color w:val="000000" w:themeColor="text1"/>
              </w:rPr>
              <w:t>DE</w:t>
            </w:r>
            <w:r w:rsidR="00C30995"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endorses this model as a high-quality model for practical placements (</w:t>
            </w:r>
            <w:r w:rsidR="00C30995" w:rsidRPr="00734A50">
              <w:rPr>
                <w:rFonts w:ascii="Calibri" w:eastAsia="Calibri" w:hAnsi="Calibri" w:cs="Calibri"/>
                <w:color w:val="000000" w:themeColor="text1"/>
              </w:rPr>
              <w:t xml:space="preserve">NSW CDE </w:t>
            </w:r>
            <w:r w:rsidR="001944D6">
              <w:rPr>
                <w:rFonts w:ascii="Calibri" w:eastAsia="Calibri" w:hAnsi="Calibri" w:cs="Calibri"/>
                <w:color w:val="000000" w:themeColor="text1"/>
              </w:rPr>
              <w:t>s</w:t>
            </w:r>
            <w:r w:rsidRPr="00734A50">
              <w:rPr>
                <w:rFonts w:ascii="Calibri" w:eastAsia="Calibri" w:hAnsi="Calibri" w:cs="Calibri"/>
                <w:color w:val="000000" w:themeColor="text1"/>
              </w:rPr>
              <w:t xml:space="preserve">ubmission). </w:t>
            </w:r>
          </w:p>
        </w:tc>
      </w:tr>
      <w:tr w:rsidR="53B011C3" w:rsidRPr="00734A50" w14:paraId="7C3A8DE0" w14:textId="77777777" w:rsidTr="72A75BBD">
        <w:trPr>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4B9ADD5E" w14:textId="28B5FF7B" w:rsidR="53B011C3" w:rsidRPr="00734A50" w:rsidRDefault="53B011C3" w:rsidP="53B011C3">
            <w:r w:rsidRPr="00734A50">
              <w:rPr>
                <w:rFonts w:ascii="Calibri" w:eastAsia="Calibri" w:hAnsi="Calibri" w:cs="Calibri"/>
              </w:rPr>
              <w:t>ACT Affiliated Schools Program</w:t>
            </w:r>
          </w:p>
        </w:tc>
        <w:tc>
          <w:tcPr>
            <w:tcW w:w="6234"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47108539" w14:textId="5962916B" w:rsidR="53B011C3" w:rsidRPr="00734A50" w:rsidRDefault="53B011C3" w:rsidP="53B011C3">
            <w:pPr>
              <w:cnfStyle w:val="000000000000" w:firstRow="0" w:lastRow="0" w:firstColumn="0" w:lastColumn="0" w:oddVBand="0" w:evenVBand="0" w:oddHBand="0" w:evenHBand="0" w:firstRowFirstColumn="0" w:firstRowLastColumn="0" w:lastRowFirstColumn="0" w:lastRowLastColumn="0"/>
            </w:pPr>
            <w:r w:rsidRPr="00734A50">
              <w:rPr>
                <w:rFonts w:ascii="Calibri" w:eastAsia="Calibri" w:hAnsi="Calibri" w:cs="Calibri"/>
              </w:rPr>
              <w:t xml:space="preserve">A collaborative partnership incorporating </w:t>
            </w:r>
            <w:r w:rsidR="0093207D" w:rsidRPr="00734A50">
              <w:rPr>
                <w:rFonts w:ascii="Calibri" w:eastAsia="Calibri" w:hAnsi="Calibri" w:cs="Calibri"/>
              </w:rPr>
              <w:t>school-based</w:t>
            </w:r>
            <w:r w:rsidRPr="00734A50">
              <w:rPr>
                <w:rFonts w:ascii="Calibri" w:eastAsia="Calibri" w:hAnsi="Calibri" w:cs="Calibri"/>
              </w:rPr>
              <w:t xml:space="preserve"> clinics, practical experience, university-facilitated professional learning, research driven school and system improvement and school-based research projects to meet school and system needs. </w:t>
            </w:r>
          </w:p>
        </w:tc>
      </w:tr>
      <w:tr w:rsidR="53B011C3" w:rsidRPr="00734A50" w14:paraId="78A3DC6B" w14:textId="77777777" w:rsidTr="72A75B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17244044" w14:textId="34592BEB" w:rsidR="53B011C3" w:rsidRPr="00734A50" w:rsidRDefault="53B011C3" w:rsidP="53B011C3">
            <w:r w:rsidRPr="00734A50">
              <w:rPr>
                <w:rFonts w:ascii="Calibri" w:eastAsia="Calibri" w:hAnsi="Calibri" w:cs="Calibri"/>
                <w:color w:val="000000" w:themeColor="text1"/>
              </w:rPr>
              <w:t>NT Teaching Schools Program</w:t>
            </w:r>
          </w:p>
        </w:tc>
        <w:tc>
          <w:tcPr>
            <w:tcW w:w="6234"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1AB283B7" w14:textId="51615D39" w:rsidR="53B011C3" w:rsidRPr="00734A50" w:rsidRDefault="53B011C3" w:rsidP="53B011C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734A50">
              <w:rPr>
                <w:rFonts w:ascii="Calibri" w:eastAsia="Calibri" w:hAnsi="Calibri" w:cs="Calibri"/>
                <w:color w:val="000000" w:themeColor="text1"/>
              </w:rPr>
              <w:t xml:space="preserve">A program where students can undertake practical experience placements in designated partnership schools. These partnerships facilitate a close working relationship between Charles Darwin University (CDU) and partnership schools, resources for mentors, ongoing communication between CDU and </w:t>
            </w:r>
            <w:r w:rsidR="006C4412" w:rsidRPr="00734A50">
              <w:rPr>
                <w:rFonts w:ascii="Calibri" w:eastAsia="Calibri" w:hAnsi="Calibri" w:cs="Calibri"/>
                <w:color w:val="000000" w:themeColor="text1"/>
              </w:rPr>
              <w:t xml:space="preserve">the Northern Territory </w:t>
            </w:r>
            <w:r w:rsidRPr="30B3B22A">
              <w:rPr>
                <w:rFonts w:ascii="Calibri" w:eastAsia="Calibri" w:hAnsi="Calibri" w:cs="Calibri"/>
                <w:color w:val="000000" w:themeColor="text1"/>
              </w:rPr>
              <w:t>D</w:t>
            </w:r>
            <w:r w:rsidR="4D59A2B5" w:rsidRPr="30B3B22A">
              <w:rPr>
                <w:rFonts w:ascii="Calibri" w:eastAsia="Calibri" w:hAnsi="Calibri" w:cs="Calibri"/>
                <w:color w:val="000000" w:themeColor="text1"/>
              </w:rPr>
              <w:t xml:space="preserve">epartment of </w:t>
            </w:r>
            <w:r w:rsidRPr="66DF6D3D">
              <w:rPr>
                <w:rFonts w:ascii="Calibri" w:eastAsia="Calibri" w:hAnsi="Calibri" w:cs="Calibri"/>
                <w:color w:val="000000" w:themeColor="text1"/>
              </w:rPr>
              <w:t>E</w:t>
            </w:r>
            <w:r w:rsidR="5BE57683" w:rsidRPr="66DF6D3D">
              <w:rPr>
                <w:rFonts w:ascii="Calibri" w:eastAsia="Calibri" w:hAnsi="Calibri" w:cs="Calibri"/>
                <w:color w:val="000000" w:themeColor="text1"/>
              </w:rPr>
              <w:t>ducation</w:t>
            </w:r>
            <w:r w:rsidRPr="00734A50">
              <w:rPr>
                <w:rFonts w:ascii="Calibri" w:eastAsia="Calibri" w:hAnsi="Calibri" w:cs="Calibri"/>
                <w:color w:val="000000" w:themeColor="text1"/>
              </w:rPr>
              <w:t xml:space="preserve">, as well as ongoing professional learning for mentor teachers and Professional Learning Leaders in schools. The model highlights the increased efficiency benefits of a well-run partnership </w:t>
            </w:r>
            <w:r w:rsidR="0093207D" w:rsidRPr="00734A50">
              <w:rPr>
                <w:rFonts w:ascii="Calibri" w:eastAsia="Calibri" w:hAnsi="Calibri" w:cs="Calibri"/>
                <w:color w:val="000000" w:themeColor="text1"/>
              </w:rPr>
              <w:t>agreement and</w:t>
            </w:r>
            <w:r w:rsidRPr="00734A50">
              <w:rPr>
                <w:rFonts w:ascii="Calibri" w:eastAsia="Calibri" w:hAnsi="Calibri" w:cs="Calibri"/>
                <w:color w:val="000000" w:themeColor="text1"/>
              </w:rPr>
              <w:t xml:space="preserve"> has been responsible for a </w:t>
            </w:r>
            <w:r w:rsidR="00E44CFC">
              <w:rPr>
                <w:rFonts w:ascii="Calibri" w:eastAsia="Calibri" w:hAnsi="Calibri" w:cs="Calibri"/>
                <w:color w:val="000000" w:themeColor="text1"/>
              </w:rPr>
              <w:t>118</w:t>
            </w:r>
            <w:r w:rsidRPr="00734A50">
              <w:rPr>
                <w:rFonts w:ascii="Calibri" w:eastAsia="Calibri" w:hAnsi="Calibri" w:cs="Calibri"/>
                <w:color w:val="000000" w:themeColor="text1"/>
              </w:rPr>
              <w:t xml:space="preserve">% increase (from 423 to 923) in ITE student placements between 2020 and 2021 (CDU 2021). </w:t>
            </w:r>
          </w:p>
        </w:tc>
      </w:tr>
      <w:tr w:rsidR="53B011C3" w:rsidRPr="00734A50" w14:paraId="48E52599" w14:textId="77777777" w:rsidTr="72A75BBD">
        <w:trPr>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66F81921" w14:textId="55A1C500" w:rsidR="53B011C3" w:rsidRPr="00734A50" w:rsidRDefault="53B011C3" w:rsidP="53B011C3">
            <w:r w:rsidRPr="00734A50">
              <w:rPr>
                <w:rFonts w:ascii="Calibri" w:eastAsia="Calibri" w:hAnsi="Calibri" w:cs="Calibri"/>
              </w:rPr>
              <w:t>Victorian Teaching Academies of Professional Practice (TAPP)</w:t>
            </w:r>
          </w:p>
        </w:tc>
        <w:tc>
          <w:tcPr>
            <w:tcW w:w="6234"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tcPr>
          <w:p w14:paraId="70A97605" w14:textId="7C73A357" w:rsidR="53B011C3" w:rsidRPr="00734A50" w:rsidRDefault="0CDA5CB4" w:rsidP="53B011C3">
            <w:pPr>
              <w:cnfStyle w:val="000000000000" w:firstRow="0" w:lastRow="0" w:firstColumn="0" w:lastColumn="0" w:oddVBand="0" w:evenVBand="0" w:oddHBand="0" w:evenHBand="0" w:firstRowFirstColumn="0" w:firstRowLastColumn="0" w:lastRowFirstColumn="0" w:lastRowLastColumn="0"/>
            </w:pPr>
            <w:r w:rsidRPr="00734A50">
              <w:rPr>
                <w:rFonts w:ascii="Calibri" w:eastAsia="Calibri" w:hAnsi="Calibri" w:cs="Calibri"/>
              </w:rPr>
              <w:t xml:space="preserve">A program that delivers an immersive preparation experience for </w:t>
            </w:r>
            <w:r w:rsidR="000447A4" w:rsidRPr="00734A50">
              <w:rPr>
                <w:rFonts w:ascii="Calibri" w:eastAsia="Calibri" w:hAnsi="Calibri" w:cs="Calibri"/>
              </w:rPr>
              <w:t>ITE students</w:t>
            </w:r>
            <w:r w:rsidRPr="00734A50">
              <w:rPr>
                <w:rFonts w:ascii="Calibri" w:eastAsia="Calibri" w:hAnsi="Calibri" w:cs="Calibri"/>
              </w:rPr>
              <w:t xml:space="preserve">, testing innovative approaches to ITE, strengthening the links between theory, research, and practice. Each TAPP has a different focus </w:t>
            </w:r>
            <w:r w:rsidR="00E44CFC">
              <w:rPr>
                <w:rFonts w:ascii="Calibri" w:eastAsia="Calibri" w:hAnsi="Calibri" w:cs="Calibri"/>
              </w:rPr>
              <w:t xml:space="preserve">- </w:t>
            </w:r>
            <w:r w:rsidRPr="00734A50">
              <w:rPr>
                <w:rFonts w:ascii="Calibri" w:eastAsia="Calibri" w:hAnsi="Calibri" w:cs="Calibri"/>
              </w:rPr>
              <w:t>from collaborative course design to evidence-based feedback, to professional learning for mentor teachers.</w:t>
            </w:r>
          </w:p>
        </w:tc>
      </w:tr>
    </w:tbl>
    <w:p w14:paraId="41111714" w14:textId="2135F9FC" w:rsidR="003E1E2E" w:rsidRPr="00734A50" w:rsidRDefault="003E1E2E" w:rsidP="000C2F25">
      <w:pPr>
        <w:pStyle w:val="Heading4"/>
      </w:pPr>
      <w:r w:rsidRPr="00734A50">
        <w:t>3.</w:t>
      </w:r>
      <w:r w:rsidR="006D38F9" w:rsidRPr="00734A50">
        <w:t>4</w:t>
      </w:r>
      <w:r w:rsidRPr="00734A50">
        <w:t>.</w:t>
      </w:r>
      <w:r w:rsidR="008C595A" w:rsidRPr="00734A50">
        <w:t>3</w:t>
      </w:r>
      <w:r w:rsidRPr="00734A50">
        <w:t xml:space="preserve"> National guidelines for consistent, high-quality practical experience</w:t>
      </w:r>
    </w:p>
    <w:p w14:paraId="47AF1F80" w14:textId="0079A053" w:rsidR="003E1E2E" w:rsidRPr="00734A50" w:rsidRDefault="003E1E2E" w:rsidP="472A3437">
      <w:r w:rsidRPr="00734A50">
        <w:t xml:space="preserve">The practical experience requirements in the Accreditation Standards and Procedures do not provide clear directions for </w:t>
      </w:r>
      <w:r w:rsidR="00506EA5" w:rsidRPr="00734A50">
        <w:t>planning and</w:t>
      </w:r>
      <w:r w:rsidRPr="00734A50">
        <w:t xml:space="preserve"> delivering high-quality placements. Given the variety of student and provider experiences, there is a case for guidance at the national level.</w:t>
      </w:r>
    </w:p>
    <w:p w14:paraId="2458450C" w14:textId="280A901B" w:rsidR="003E1E2E" w:rsidRPr="00734A50" w:rsidRDefault="0072409E" w:rsidP="003E1E2E">
      <w:pPr>
        <w:spacing w:after="0"/>
      </w:pPr>
      <w:r w:rsidRPr="00734A50">
        <w:t>AITSL should develop n</w:t>
      </w:r>
      <w:r w:rsidR="003E1E2E" w:rsidRPr="00734A50">
        <w:t>ational guidelines for consistent high</w:t>
      </w:r>
      <w:r w:rsidR="007E0022" w:rsidRPr="00734A50">
        <w:t>-</w:t>
      </w:r>
      <w:r w:rsidR="003E1E2E" w:rsidRPr="00734A50">
        <w:t>quality practical experience, building on th</w:t>
      </w:r>
      <w:r w:rsidR="00F41A09" w:rsidRPr="00734A50">
        <w:t xml:space="preserve">e accreditation </w:t>
      </w:r>
      <w:r w:rsidR="003E1E2E" w:rsidRPr="00734A50">
        <w:t>requirements by:</w:t>
      </w:r>
    </w:p>
    <w:p w14:paraId="695DA523" w14:textId="0FADC346" w:rsidR="003E1E2E" w:rsidRPr="00734A50" w:rsidRDefault="003E1E2E" w:rsidP="00553516">
      <w:pPr>
        <w:pStyle w:val="ListBullet"/>
        <w:numPr>
          <w:ilvl w:val="0"/>
          <w:numId w:val="216"/>
        </w:numPr>
        <w:spacing w:after="200"/>
        <w:ind w:left="357" w:hanging="357"/>
      </w:pPr>
      <w:r w:rsidRPr="00734A50">
        <w:t>better defining and communicating the national aspiration for practical experience, including what a high-quality practical experience looks like</w:t>
      </w:r>
    </w:p>
    <w:p w14:paraId="303861FD" w14:textId="3396B9E9" w:rsidR="00E84730" w:rsidRPr="00734A50" w:rsidRDefault="54B24C10" w:rsidP="00553516">
      <w:pPr>
        <w:pStyle w:val="ListBullet"/>
        <w:numPr>
          <w:ilvl w:val="0"/>
          <w:numId w:val="216"/>
        </w:numPr>
        <w:spacing w:after="200"/>
        <w:ind w:left="357" w:hanging="357"/>
      </w:pPr>
      <w:r w:rsidRPr="00734A50">
        <w:t xml:space="preserve">reducing the administrative burden </w:t>
      </w:r>
      <w:r w:rsidR="009D7290" w:rsidRPr="00734A50">
        <w:t>in</w:t>
      </w:r>
      <w:r w:rsidRPr="00734A50">
        <w:t xml:space="preserve"> meeting the Accreditation Standards and Procedures</w:t>
      </w:r>
      <w:r w:rsidR="009D7290" w:rsidRPr="00734A50">
        <w:t xml:space="preserve"> by providing a consistent </w:t>
      </w:r>
      <w:r w:rsidR="009B4BDC" w:rsidRPr="00734A50">
        <w:t>interpretation</w:t>
      </w:r>
      <w:r w:rsidR="00621EAB" w:rsidRPr="00734A50">
        <w:t xml:space="preserve"> </w:t>
      </w:r>
      <w:r w:rsidR="004A3B70" w:rsidRPr="00734A50">
        <w:t>to follow</w:t>
      </w:r>
    </w:p>
    <w:p w14:paraId="1E6D5B45" w14:textId="298F5E7F" w:rsidR="003E1E2E" w:rsidRPr="00734A50" w:rsidRDefault="003E1E2E" w:rsidP="00553516">
      <w:pPr>
        <w:pStyle w:val="ListBullet"/>
        <w:numPr>
          <w:ilvl w:val="0"/>
          <w:numId w:val="216"/>
        </w:numPr>
        <w:spacing w:after="200"/>
        <w:ind w:left="357" w:hanging="357"/>
      </w:pPr>
      <w:r w:rsidRPr="00734A50">
        <w:lastRenderedPageBreak/>
        <w:t>defining standards for mentoring ITE students during the placement</w:t>
      </w:r>
      <w:r w:rsidR="00CA29A3" w:rsidRPr="00734A50">
        <w:t>.</w:t>
      </w:r>
    </w:p>
    <w:p w14:paraId="645326BA" w14:textId="71BEE15C" w:rsidR="003E1E2E" w:rsidRPr="00734A50" w:rsidRDefault="003E1E2E" w:rsidP="003E1E2E">
      <w:r w:rsidRPr="00734A50">
        <w:t xml:space="preserve">The national </w:t>
      </w:r>
      <w:r w:rsidR="000E1B55" w:rsidRPr="00734A50">
        <w:t>guidelines</w:t>
      </w:r>
      <w:r w:rsidRPr="00734A50">
        <w:t xml:space="preserve"> would support the Accreditation Standards and Procedures (Program Standard 5.1</w:t>
      </w:r>
      <w:r w:rsidR="000A13DD" w:rsidRPr="00734A50">
        <w:t>–</w:t>
      </w:r>
      <w:r w:rsidRPr="00734A50">
        <w:t>5.5) by providing clear expectations for delivering these requirements. They would build on existing practical experience resources already being used in some jurisdictions</w:t>
      </w:r>
      <w:r w:rsidR="000A13DD" w:rsidRPr="00734A50">
        <w:t xml:space="preserve"> (e.g. the NSW Professional Experience Framework)</w:t>
      </w:r>
      <w:r w:rsidRPr="00734A50">
        <w:t xml:space="preserve"> rather than ‘reinventing the wheel’.</w:t>
      </w:r>
    </w:p>
    <w:p w14:paraId="6501A468" w14:textId="7ED055E3" w:rsidR="003E1E2E" w:rsidRPr="00734A50" w:rsidRDefault="003E1E2E" w:rsidP="003E1E2E">
      <w:r w:rsidRPr="00734A50">
        <w:t>Stakeholders broadly agree with the concept of national guidelines</w:t>
      </w:r>
      <w:r w:rsidR="000A13DD" w:rsidRPr="00734A50">
        <w:t xml:space="preserve"> that would</w:t>
      </w:r>
      <w:r w:rsidRPr="00734A50">
        <w:t xml:space="preserve"> reduc</w:t>
      </w:r>
      <w:r w:rsidR="000A13DD" w:rsidRPr="00734A50">
        <w:t>e</w:t>
      </w:r>
      <w:r w:rsidRPr="00734A50">
        <w:t xml:space="preserve"> the burden on higher education providers and schools in planning and administering practical experience placements (Victorian Council of Deans of Education</w:t>
      </w:r>
      <w:r w:rsidR="000C6B2E" w:rsidRPr="00734A50">
        <w:t xml:space="preserve"> submission;</w:t>
      </w:r>
      <w:r w:rsidRPr="00734A50">
        <w:t xml:space="preserve"> </w:t>
      </w:r>
      <w:r w:rsidR="00B16733" w:rsidRPr="00734A50">
        <w:t>Australian Council of State School Organisations</w:t>
      </w:r>
      <w:r w:rsidR="000C6B2E" w:rsidRPr="00734A50">
        <w:t xml:space="preserve"> submission;</w:t>
      </w:r>
      <w:r w:rsidRPr="00734A50">
        <w:t xml:space="preserve"> NSW Department of Education submission). </w:t>
      </w:r>
    </w:p>
    <w:p w14:paraId="2FA381E1" w14:textId="38E97D64" w:rsidR="0072409E" w:rsidRPr="00734A50" w:rsidRDefault="003E1E2E" w:rsidP="003E1E2E">
      <w:r w:rsidRPr="00734A50">
        <w:t>Several stakeholders suggested direct amendments to Program Standard 5 (</w:t>
      </w:r>
      <w:r w:rsidR="00077241" w:rsidRPr="00734A50">
        <w:t xml:space="preserve">AITSL </w:t>
      </w:r>
      <w:r w:rsidR="008926BF" w:rsidRPr="00734A50">
        <w:t xml:space="preserve">submission; </w:t>
      </w:r>
      <w:r w:rsidR="00E50FE6" w:rsidRPr="00734A50">
        <w:t>ACDE</w:t>
      </w:r>
      <w:r w:rsidR="00077241" w:rsidRPr="00734A50">
        <w:t xml:space="preserve"> submission</w:t>
      </w:r>
      <w:r w:rsidRPr="00734A50">
        <w:t xml:space="preserve">). The Panel considers </w:t>
      </w:r>
      <w:r w:rsidR="00166F4E" w:rsidRPr="00734A50">
        <w:t xml:space="preserve">that </w:t>
      </w:r>
      <w:r w:rsidRPr="00734A50">
        <w:t xml:space="preserve">supplementary national guidelines would support higher education providers in meeting accreditation requirements while providing flexibility in delivering practical experience suited to local contexts. </w:t>
      </w:r>
    </w:p>
    <w:p w14:paraId="0B0D06C5" w14:textId="110F93E4" w:rsidR="003E1E2E" w:rsidRPr="00734A50" w:rsidRDefault="003D73E2" w:rsidP="001909AA">
      <w:pPr>
        <w:keepNext/>
      </w:pPr>
      <w:r w:rsidRPr="00734A50">
        <w:t>The national guidelines should be developed in collaboration with relevant stakeholders, including jurisdictions</w:t>
      </w:r>
      <w:r w:rsidR="00031238" w:rsidRPr="00734A50">
        <w:t xml:space="preserve">, </w:t>
      </w:r>
      <w:r w:rsidRPr="00734A50">
        <w:t xml:space="preserve">higher education providers </w:t>
      </w:r>
      <w:r w:rsidR="00031238" w:rsidRPr="00734A50">
        <w:t>and teachers.</w:t>
      </w:r>
      <w:r w:rsidRPr="00734A50">
        <w:t xml:space="preserve"> </w:t>
      </w:r>
      <w:r w:rsidR="003E1E2E" w:rsidRPr="00734A50">
        <w:t xml:space="preserve">The types of information that should be covered in these guidelines to support existing accreditation requirements are outlined in </w:t>
      </w:r>
      <w:r w:rsidRPr="00734A50">
        <w:br/>
      </w:r>
      <w:r w:rsidR="003E1E2E" w:rsidRPr="00734A50">
        <w:t xml:space="preserve">Appendix </w:t>
      </w:r>
      <w:r w:rsidR="00874D3E" w:rsidRPr="00734A50">
        <w:t>I</w:t>
      </w:r>
      <w:r w:rsidR="003E1E2E" w:rsidRPr="00734A50">
        <w:t xml:space="preserve">. </w:t>
      </w:r>
    </w:p>
    <w:p w14:paraId="59A30444" w14:textId="018B1834" w:rsidR="005E4581" w:rsidRPr="00734A50" w:rsidRDefault="005E4581" w:rsidP="000C2F25">
      <w:pPr>
        <w:pStyle w:val="Heading4"/>
      </w:pPr>
      <w:r w:rsidRPr="00734A50">
        <w:t>3.</w:t>
      </w:r>
      <w:r w:rsidR="001B1E83" w:rsidRPr="00734A50">
        <w:t>4</w:t>
      </w:r>
      <w:r w:rsidRPr="00734A50">
        <w:t>.</w:t>
      </w:r>
      <w:r w:rsidR="008C595A" w:rsidRPr="00734A50">
        <w:t>4</w:t>
      </w:r>
      <w:r w:rsidRPr="00734A50">
        <w:t xml:space="preserve"> Systemic investment in practical experience </w:t>
      </w:r>
    </w:p>
    <w:p w14:paraId="5D4FD13B" w14:textId="183C1FCB" w:rsidR="006D1812" w:rsidRPr="00734A50" w:rsidRDefault="002403C3" w:rsidP="00EE1053">
      <w:pPr>
        <w:rPr>
          <w:rFonts w:ascii="Calibri" w:eastAsia="Calibri" w:hAnsi="Calibri" w:cs="Calibri"/>
        </w:rPr>
      </w:pPr>
      <w:r w:rsidRPr="00734A50">
        <w:rPr>
          <w:rFonts w:ascii="Calibri" w:eastAsia="Calibri" w:hAnsi="Calibri" w:cs="Calibri"/>
          <w:color w:val="000000" w:themeColor="text1"/>
        </w:rPr>
        <w:t xml:space="preserve">The </w:t>
      </w:r>
      <w:r w:rsidR="00C57C3E" w:rsidRPr="00734A50">
        <w:rPr>
          <w:rFonts w:ascii="Calibri" w:eastAsia="Calibri" w:hAnsi="Calibri" w:cs="Calibri"/>
          <w:color w:val="000000" w:themeColor="text1"/>
        </w:rPr>
        <w:t>Australia</w:t>
      </w:r>
      <w:r w:rsidRPr="00734A50">
        <w:rPr>
          <w:rFonts w:ascii="Calibri" w:eastAsia="Calibri" w:hAnsi="Calibri" w:cs="Calibri"/>
          <w:color w:val="000000" w:themeColor="text1"/>
        </w:rPr>
        <w:t>n, state and territory governments</w:t>
      </w:r>
      <w:r w:rsidR="00C57C3E" w:rsidRPr="00734A50">
        <w:rPr>
          <w:rFonts w:ascii="Calibri" w:eastAsia="Calibri" w:hAnsi="Calibri" w:cs="Calibri"/>
          <w:color w:val="000000" w:themeColor="text1"/>
        </w:rPr>
        <w:t xml:space="preserve"> invest</w:t>
      </w:r>
      <w:r w:rsidRPr="00734A50">
        <w:rPr>
          <w:rFonts w:ascii="Calibri" w:eastAsia="Calibri" w:hAnsi="Calibri" w:cs="Calibri"/>
          <w:color w:val="000000" w:themeColor="text1"/>
        </w:rPr>
        <w:t xml:space="preserve">ed more than </w:t>
      </w:r>
      <w:r w:rsidR="003210BD" w:rsidRPr="00734A50">
        <w:rPr>
          <w:rFonts w:ascii="Calibri" w:eastAsia="Calibri" w:hAnsi="Calibri" w:cs="Calibri"/>
          <w:color w:val="000000" w:themeColor="text1"/>
        </w:rPr>
        <w:t xml:space="preserve">$72.2 billion in school education in </w:t>
      </w:r>
      <w:r w:rsidR="003210BD" w:rsidRPr="3AD2E1D5">
        <w:rPr>
          <w:rFonts w:ascii="Calibri" w:eastAsia="Calibri" w:hAnsi="Calibri" w:cs="Calibri"/>
          <w:color w:val="000000" w:themeColor="text1"/>
        </w:rPr>
        <w:t>202</w:t>
      </w:r>
      <w:r w:rsidR="4D69BF0C" w:rsidRPr="3AD2E1D5">
        <w:rPr>
          <w:rFonts w:ascii="Calibri" w:eastAsia="Calibri" w:hAnsi="Calibri" w:cs="Calibri"/>
          <w:color w:val="000000" w:themeColor="text1"/>
        </w:rPr>
        <w:t>1-22</w:t>
      </w:r>
      <w:r w:rsidR="004D5027" w:rsidRPr="3AD2E1D5">
        <w:rPr>
          <w:rFonts w:ascii="Calibri" w:eastAsia="Calibri" w:hAnsi="Calibri" w:cs="Calibri"/>
          <w:color w:val="000000" w:themeColor="text1"/>
        </w:rPr>
        <w:t>.</w:t>
      </w:r>
      <w:r w:rsidR="004D5027" w:rsidRPr="00734A50">
        <w:rPr>
          <w:rFonts w:ascii="Calibri" w:eastAsia="Calibri" w:hAnsi="Calibri" w:cs="Calibri"/>
          <w:color w:val="000000" w:themeColor="text1"/>
        </w:rPr>
        <w:t xml:space="preserve"> </w:t>
      </w:r>
      <w:r w:rsidR="00DC6296" w:rsidRPr="00734A50">
        <w:rPr>
          <w:rFonts w:ascii="Calibri" w:eastAsia="Calibri" w:hAnsi="Calibri" w:cs="Calibri"/>
          <w:color w:val="000000" w:themeColor="text1"/>
        </w:rPr>
        <w:t xml:space="preserve">This </w:t>
      </w:r>
      <w:r w:rsidR="003B41F0" w:rsidRPr="00734A50">
        <w:rPr>
          <w:rFonts w:ascii="Calibri" w:eastAsia="Calibri" w:hAnsi="Calibri" w:cs="Calibri"/>
          <w:color w:val="000000" w:themeColor="text1"/>
        </w:rPr>
        <w:t>investment</w:t>
      </w:r>
      <w:r w:rsidR="00DC6296" w:rsidRPr="00734A50">
        <w:rPr>
          <w:rFonts w:ascii="Calibri" w:eastAsia="Calibri" w:hAnsi="Calibri" w:cs="Calibri"/>
          <w:color w:val="000000" w:themeColor="text1"/>
        </w:rPr>
        <w:t xml:space="preserve"> would be support</w:t>
      </w:r>
      <w:r w:rsidR="003B41F0" w:rsidRPr="00734A50">
        <w:rPr>
          <w:rFonts w:ascii="Calibri" w:eastAsia="Calibri" w:hAnsi="Calibri" w:cs="Calibri"/>
          <w:color w:val="000000" w:themeColor="text1"/>
        </w:rPr>
        <w:t>ed through a</w:t>
      </w:r>
      <w:r w:rsidR="00267AB2" w:rsidRPr="00734A50">
        <w:rPr>
          <w:rFonts w:ascii="Calibri" w:eastAsia="Calibri" w:hAnsi="Calibri" w:cs="Calibri"/>
          <w:color w:val="000000" w:themeColor="text1"/>
        </w:rPr>
        <w:t xml:space="preserve"> greater focus on </w:t>
      </w:r>
      <w:r w:rsidR="00A92594" w:rsidRPr="00734A50">
        <w:rPr>
          <w:rFonts w:ascii="Calibri" w:eastAsia="Calibri" w:hAnsi="Calibri" w:cs="Calibri"/>
          <w:color w:val="000000" w:themeColor="text1"/>
        </w:rPr>
        <w:t xml:space="preserve">improving </w:t>
      </w:r>
      <w:r w:rsidR="0039326B" w:rsidRPr="00734A50">
        <w:rPr>
          <w:rFonts w:ascii="Calibri" w:eastAsia="Calibri" w:hAnsi="Calibri" w:cs="Calibri"/>
          <w:color w:val="000000" w:themeColor="text1"/>
        </w:rPr>
        <w:t xml:space="preserve">the quality and consistency of </w:t>
      </w:r>
      <w:r w:rsidR="00A92594" w:rsidRPr="00734A50">
        <w:rPr>
          <w:rFonts w:ascii="Calibri" w:eastAsia="Calibri" w:hAnsi="Calibri" w:cs="Calibri"/>
          <w:color w:val="000000" w:themeColor="text1"/>
        </w:rPr>
        <w:t>practical</w:t>
      </w:r>
      <w:r w:rsidR="00DC0E6C" w:rsidRPr="00734A50">
        <w:rPr>
          <w:rFonts w:ascii="Calibri" w:eastAsia="Calibri" w:hAnsi="Calibri" w:cs="Calibri"/>
          <w:color w:val="000000" w:themeColor="text1"/>
        </w:rPr>
        <w:t xml:space="preserve"> </w:t>
      </w:r>
      <w:r w:rsidR="00DB337A" w:rsidRPr="00734A50">
        <w:rPr>
          <w:rFonts w:ascii="Calibri" w:eastAsia="Calibri" w:hAnsi="Calibri" w:cs="Calibri"/>
          <w:color w:val="000000" w:themeColor="text1"/>
        </w:rPr>
        <w:t>experience</w:t>
      </w:r>
      <w:r w:rsidR="00C57C3E" w:rsidRPr="00734A50">
        <w:rPr>
          <w:rFonts w:ascii="Calibri" w:eastAsia="Calibri" w:hAnsi="Calibri" w:cs="Calibri"/>
          <w:color w:val="000000" w:themeColor="text1"/>
        </w:rPr>
        <w:t>.</w:t>
      </w:r>
      <w:r w:rsidR="00C57C3E" w:rsidRPr="00734A50">
        <w:rPr>
          <w:rFonts w:ascii="Calibri" w:eastAsia="Calibri" w:hAnsi="Calibri" w:cs="Calibri"/>
        </w:rPr>
        <w:t xml:space="preserve"> </w:t>
      </w:r>
      <w:r w:rsidR="00AC074F" w:rsidRPr="00734A50">
        <w:rPr>
          <w:rFonts w:ascii="Calibri" w:eastAsia="Calibri" w:hAnsi="Calibri" w:cs="Calibri"/>
        </w:rPr>
        <w:t xml:space="preserve">Across the nation, </w:t>
      </w:r>
      <w:r w:rsidR="00E512E8" w:rsidRPr="00734A50">
        <w:rPr>
          <w:rFonts w:ascii="Calibri" w:eastAsia="Calibri" w:hAnsi="Calibri" w:cs="Calibri"/>
        </w:rPr>
        <w:t xml:space="preserve">in a competitive labour market, </w:t>
      </w:r>
      <w:r w:rsidR="00AC074F" w:rsidRPr="00734A50">
        <w:rPr>
          <w:rFonts w:ascii="Calibri" w:eastAsia="Calibri" w:hAnsi="Calibri" w:cs="Calibri"/>
        </w:rPr>
        <w:t xml:space="preserve">workplaces are </w:t>
      </w:r>
      <w:r w:rsidR="00891A02" w:rsidRPr="00734A50">
        <w:rPr>
          <w:rFonts w:ascii="Calibri" w:eastAsia="Calibri" w:hAnsi="Calibri" w:cs="Calibri"/>
        </w:rPr>
        <w:t>prioritising and investing in attracting and developing talent</w:t>
      </w:r>
      <w:r w:rsidR="00587EA1" w:rsidRPr="00734A50">
        <w:rPr>
          <w:rFonts w:ascii="Calibri" w:eastAsia="Calibri" w:hAnsi="Calibri" w:cs="Calibri"/>
        </w:rPr>
        <w:t>.</w:t>
      </w:r>
    </w:p>
    <w:p w14:paraId="0FEA6413" w14:textId="77777777" w:rsidR="00704614" w:rsidRPr="00734A50" w:rsidRDefault="006E4FD8" w:rsidP="009227C2">
      <w:pPr>
        <w:spacing w:after="0"/>
      </w:pPr>
      <w:r w:rsidRPr="00734A50">
        <w:t>The Panel aspires for all beginning teachers to have a high</w:t>
      </w:r>
      <w:r w:rsidR="000E788F" w:rsidRPr="00734A50">
        <w:t>-</w:t>
      </w:r>
      <w:r w:rsidRPr="00734A50">
        <w:t>quality practical experience</w:t>
      </w:r>
      <w:r w:rsidR="00F95BF9" w:rsidRPr="00734A50">
        <w:t xml:space="preserve"> placement that</w:t>
      </w:r>
      <w:r w:rsidR="00704614" w:rsidRPr="00734A50">
        <w:t>:</w:t>
      </w:r>
      <w:r w:rsidR="00F95BF9" w:rsidRPr="00734A50">
        <w:t xml:space="preserve"> </w:t>
      </w:r>
    </w:p>
    <w:p w14:paraId="1445B710" w14:textId="5C8B3642" w:rsidR="00704614" w:rsidRPr="00734A50" w:rsidRDefault="00F95BF9" w:rsidP="00553516">
      <w:pPr>
        <w:pStyle w:val="ListBullet"/>
        <w:numPr>
          <w:ilvl w:val="0"/>
          <w:numId w:val="216"/>
        </w:numPr>
        <w:spacing w:after="200"/>
        <w:ind w:left="357" w:hanging="357"/>
      </w:pPr>
      <w:r w:rsidRPr="00734A50">
        <w:t>provides supervision and mentoring by</w:t>
      </w:r>
      <w:r w:rsidR="006E4FD8" w:rsidRPr="00734A50">
        <w:t xml:space="preserve"> experienced and skilled teachers who can reflect on their learning </w:t>
      </w:r>
    </w:p>
    <w:p w14:paraId="1CC3A562" w14:textId="1B343E23" w:rsidR="00704614" w:rsidRPr="00734A50" w:rsidRDefault="006E4FD8" w:rsidP="00553516">
      <w:pPr>
        <w:pStyle w:val="ListBullet"/>
        <w:numPr>
          <w:ilvl w:val="0"/>
          <w:numId w:val="216"/>
        </w:numPr>
        <w:spacing w:after="200"/>
        <w:ind w:left="357" w:hanging="357"/>
      </w:pPr>
      <w:r w:rsidRPr="00734A50">
        <w:t xml:space="preserve">is clearly aligned to the Teacher Standards and course content. </w:t>
      </w:r>
    </w:p>
    <w:p w14:paraId="43AF90C2" w14:textId="35BE202E" w:rsidR="006E4FD8" w:rsidRPr="00734A50" w:rsidRDefault="006E4FD8" w:rsidP="006E4FD8">
      <w:r w:rsidRPr="00734A50">
        <w:t>High-quality practical experience is achieved through strong and effective communication and partnerships between jurisdictions, higher education providers, ITE students, schools and school systems</w:t>
      </w:r>
      <w:r w:rsidR="00704614" w:rsidRPr="00734A50">
        <w:t>,</w:t>
      </w:r>
      <w:r w:rsidRPr="00734A50">
        <w:t xml:space="preserve"> where all parties understand their roles and responsibilities and </w:t>
      </w:r>
      <w:r w:rsidR="00704614" w:rsidRPr="00734A50">
        <w:t xml:space="preserve">where </w:t>
      </w:r>
      <w:r w:rsidRPr="00734A50">
        <w:t xml:space="preserve">delivery models are in place to ensure those roles and responsibilities are </w:t>
      </w:r>
      <w:r w:rsidR="00704614" w:rsidRPr="00734A50">
        <w:t xml:space="preserve">fulfilled </w:t>
      </w:r>
      <w:r w:rsidRPr="00734A50">
        <w:t xml:space="preserve">on the ground. </w:t>
      </w:r>
    </w:p>
    <w:p w14:paraId="41512CA8" w14:textId="76EFE289" w:rsidR="006E4FD8" w:rsidRPr="00734A50" w:rsidRDefault="006E4FD8" w:rsidP="006E4FD8">
      <w:r w:rsidRPr="00734A50">
        <w:t>The Panel has found that the quality of practical experience is variable and</w:t>
      </w:r>
      <w:r w:rsidR="00704614" w:rsidRPr="00734A50">
        <w:t xml:space="preserve"> that</w:t>
      </w:r>
      <w:r w:rsidRPr="00734A50">
        <w:t xml:space="preserve"> support for high-quality practical experience differs considerably by jurisdiction. Investment in high-quality practical experience in teaching is critical to driving improvements in student outcomes, attracting and retaining beginning teachers in ITE and preparing them for the classroom. This</w:t>
      </w:r>
      <w:r w:rsidR="00704614" w:rsidRPr="00734A50">
        <w:t>,</w:t>
      </w:r>
      <w:r w:rsidRPr="00734A50">
        <w:t xml:space="preserve"> in turn, </w:t>
      </w:r>
      <w:r w:rsidR="00D54E60" w:rsidRPr="00734A50">
        <w:t>would</w:t>
      </w:r>
      <w:r w:rsidRPr="00734A50">
        <w:t xml:space="preserve"> assist in alleviating workforce shortages.</w:t>
      </w:r>
    </w:p>
    <w:p w14:paraId="670159AB" w14:textId="3F0A762F" w:rsidR="00A52E16" w:rsidRPr="00734A50" w:rsidRDefault="00A52E16" w:rsidP="00A52E16">
      <w:r w:rsidRPr="00734A50">
        <w:t xml:space="preserve">Systemic investment by jurisdictions in high-quality practical experience should be prioritised </w:t>
      </w:r>
      <w:r w:rsidR="00BB768E" w:rsidRPr="00734A50">
        <w:t xml:space="preserve">to </w:t>
      </w:r>
      <w:r w:rsidRPr="00734A50">
        <w:t>support system</w:t>
      </w:r>
      <w:r w:rsidR="00704614" w:rsidRPr="00734A50">
        <w:t>-</w:t>
      </w:r>
      <w:r w:rsidRPr="00734A50">
        <w:t>level agreements, whole</w:t>
      </w:r>
      <w:r w:rsidR="009227C2" w:rsidRPr="00734A50">
        <w:t>-</w:t>
      </w:r>
      <w:r w:rsidRPr="00734A50">
        <w:t>of</w:t>
      </w:r>
      <w:r w:rsidR="009227C2" w:rsidRPr="00734A50">
        <w:t>-</w:t>
      </w:r>
      <w:r w:rsidRPr="00734A50">
        <w:t xml:space="preserve">system delivery models and targeted support for </w:t>
      </w:r>
      <w:r w:rsidRPr="00734A50">
        <w:lastRenderedPageBreak/>
        <w:t xml:space="preserve">beginning teachers. This could include financial support to assist with travel, accommodation and other costs for ITE students undertaking practical experience, particularly for those undertaking placements in regional, rural and remote locations. This would deliver on the Panel’s vision that all beginning teachers receive a high-quality practical experience. </w:t>
      </w:r>
    </w:p>
    <w:p w14:paraId="26174253" w14:textId="6C3B6286" w:rsidR="006E4FD8" w:rsidRPr="00734A50" w:rsidRDefault="006E4FD8" w:rsidP="006E4FD8">
      <w:r w:rsidRPr="00734A50">
        <w:t xml:space="preserve">The Panel proposes </w:t>
      </w:r>
      <w:r w:rsidR="00704614" w:rsidRPr="00734A50">
        <w:t xml:space="preserve">that </w:t>
      </w:r>
      <w:r w:rsidRPr="00734A50">
        <w:t>Education Ministers consider how to increase systemic support for and investment in practical experience to improve student outcomes and attract, develop and retain beginning teachers. One option is to consider this through the next National School Reform Agreement. The Panel notes</w:t>
      </w:r>
      <w:r w:rsidR="00704614" w:rsidRPr="00734A50">
        <w:t xml:space="preserve"> that</w:t>
      </w:r>
      <w:r w:rsidRPr="00734A50">
        <w:t xml:space="preserve"> the broader issue of access to quality </w:t>
      </w:r>
      <w:r w:rsidR="007207E7" w:rsidRPr="00734A50">
        <w:t>practical</w:t>
      </w:r>
      <w:r w:rsidR="0057453F" w:rsidRPr="00734A50">
        <w:t xml:space="preserve"> experience</w:t>
      </w:r>
      <w:r w:rsidRPr="00734A50">
        <w:t xml:space="preserve"> placements and industry experiences is also a priority for the Australian Universities Accord </w:t>
      </w:r>
      <w:r w:rsidR="00113A53" w:rsidRPr="00734A50">
        <w:t>r</w:t>
      </w:r>
      <w:r w:rsidR="00F01629" w:rsidRPr="00734A50">
        <w:t>eview</w:t>
      </w:r>
      <w:r w:rsidRPr="00734A50">
        <w:t xml:space="preserve">. </w:t>
      </w:r>
    </w:p>
    <w:p w14:paraId="00011068" w14:textId="797024EF" w:rsidR="00D33F4E" w:rsidRPr="00734A50" w:rsidRDefault="00D33F4E" w:rsidP="000C2F25">
      <w:pPr>
        <w:pStyle w:val="Heading4"/>
      </w:pPr>
      <w:r w:rsidRPr="00734A50">
        <w:t>3.</w:t>
      </w:r>
      <w:r w:rsidR="0039733E" w:rsidRPr="00734A50">
        <w:t>4.</w:t>
      </w:r>
      <w:r w:rsidR="395CB9F5" w:rsidRPr="00734A50">
        <w:t>5</w:t>
      </w:r>
      <w:r w:rsidRPr="00734A50">
        <w:t xml:space="preserve"> Supporting and valuing effective mentoring</w:t>
      </w:r>
    </w:p>
    <w:p w14:paraId="43CE0252" w14:textId="025F71EA" w:rsidR="00D33F4E" w:rsidRPr="00734A50" w:rsidRDefault="00D33F4E" w:rsidP="006E091D">
      <w:pPr>
        <w:rPr>
          <w:color w:val="000000" w:themeColor="text1"/>
        </w:rPr>
      </w:pPr>
      <w:r w:rsidRPr="00734A50">
        <w:rPr>
          <w:color w:val="000000" w:themeColor="text1"/>
        </w:rPr>
        <w:t>For ITE students to practi</w:t>
      </w:r>
      <w:r w:rsidR="000806AC" w:rsidRPr="00734A50">
        <w:rPr>
          <w:color w:val="000000" w:themeColor="text1"/>
        </w:rPr>
        <w:t>s</w:t>
      </w:r>
      <w:r w:rsidRPr="00734A50">
        <w:rPr>
          <w:color w:val="000000" w:themeColor="text1"/>
        </w:rPr>
        <w:t xml:space="preserve">e and develop their skills, they require support, learning and feedback from experienced and expert teachers before, during and after placements. Skilled mentors are critical to the quality of practical experience and learning outcomes for students. </w:t>
      </w:r>
    </w:p>
    <w:p w14:paraId="7EC3D167" w14:textId="7CE39170" w:rsidR="00D33F4E" w:rsidRPr="00734A50" w:rsidRDefault="00D33F4E" w:rsidP="006E091D">
      <w:pPr>
        <w:rPr>
          <w:color w:val="000000"/>
        </w:rPr>
      </w:pPr>
      <w:r w:rsidRPr="00734A50">
        <w:rPr>
          <w:color w:val="000000" w:themeColor="text1"/>
        </w:rPr>
        <w:t>The Panel heard that professional learning for mentor teachers is available to varying degrees across jurisdictions and school sectors. AITSL currently offers a Supervising Preservice Teachers program to all teachers across Australia. Additionally, the Queensland College of Teachers offers a mentor training</w:t>
      </w:r>
      <w:r w:rsidR="003F16C3" w:rsidRPr="00734A50">
        <w:rPr>
          <w:color w:val="000000" w:themeColor="text1"/>
        </w:rPr>
        <w:t xml:space="preserve"> program</w:t>
      </w:r>
      <w:r w:rsidRPr="00734A50">
        <w:rPr>
          <w:color w:val="000000" w:themeColor="text1"/>
        </w:rPr>
        <w:t xml:space="preserve"> that has been used across different sectors of the Queensland education system (</w:t>
      </w:r>
      <w:r w:rsidR="008D391C" w:rsidRPr="00734A50">
        <w:rPr>
          <w:color w:val="000000" w:themeColor="text1"/>
        </w:rPr>
        <w:t>NCEC</w:t>
      </w:r>
      <w:r w:rsidRPr="00734A50">
        <w:rPr>
          <w:color w:val="000000" w:themeColor="text1"/>
        </w:rPr>
        <w:t xml:space="preserve"> submission). </w:t>
      </w:r>
    </w:p>
    <w:p w14:paraId="39454817" w14:textId="0E26C4BD" w:rsidR="00D33F4E" w:rsidRPr="00734A50" w:rsidRDefault="00D33F4E" w:rsidP="00D33F4E">
      <w:pPr>
        <w:spacing w:after="240"/>
        <w:rPr>
          <w:color w:val="313131"/>
          <w:lang w:eastAsia="en-AU"/>
        </w:rPr>
      </w:pPr>
      <w:r w:rsidRPr="00734A50">
        <w:t>Several of the initiatives already identified by the Panel would have a significant impact on the support for mentor teachers. The development of national guidelines and system-level agreements would ensure there are clear roles and responsibilities for mentor teachers and would provide access to high</w:t>
      </w:r>
      <w:r w:rsidR="003F16C3" w:rsidRPr="00734A50">
        <w:t>-</w:t>
      </w:r>
      <w:r w:rsidRPr="00734A50">
        <w:t xml:space="preserve">quality guidance and support materials. </w:t>
      </w:r>
      <w:r w:rsidR="00BE7A84" w:rsidRPr="00734A50">
        <w:t>Several d</w:t>
      </w:r>
      <w:r w:rsidRPr="00734A50">
        <w:t>elivery models have been shown to improve mentoring skills and build capacity for mentor teachers, through increased administrative support for practical experience and high-quality professional learning. For example,</w:t>
      </w:r>
      <w:r w:rsidRPr="00734A50">
        <w:rPr>
          <w:color w:val="000000" w:themeColor="text1"/>
        </w:rPr>
        <w:t xml:space="preserve"> in the ACT </w:t>
      </w:r>
      <w:r w:rsidR="000F2322" w:rsidRPr="00734A50">
        <w:rPr>
          <w:color w:val="000000" w:themeColor="text1"/>
        </w:rPr>
        <w:t>A</w:t>
      </w:r>
      <w:r w:rsidRPr="00734A50">
        <w:rPr>
          <w:color w:val="000000" w:themeColor="text1"/>
        </w:rPr>
        <w:t xml:space="preserve">ffiliated Schools Program, the University of Canberra facilitates </w:t>
      </w:r>
      <w:r w:rsidRPr="00734A50">
        <w:t>research</w:t>
      </w:r>
      <w:r w:rsidR="00BE7A84" w:rsidRPr="00734A50">
        <w:t>-</w:t>
      </w:r>
      <w:r w:rsidRPr="00734A50">
        <w:t>informed professional learning for mentor teachers delivered through workshops, masterclasses and conferences</w:t>
      </w:r>
      <w:r w:rsidRPr="00734A50">
        <w:rPr>
          <w:color w:val="313131"/>
          <w:lang w:eastAsia="en-AU"/>
        </w:rPr>
        <w:t>.</w:t>
      </w:r>
    </w:p>
    <w:p w14:paraId="30F2328B" w14:textId="66E95590" w:rsidR="00D33F4E" w:rsidRPr="00734A50" w:rsidRDefault="00D33F4E" w:rsidP="00D33F4E">
      <w:pPr>
        <w:rPr>
          <w:color w:val="000000"/>
        </w:rPr>
      </w:pPr>
      <w:r w:rsidRPr="00734A50">
        <w:t xml:space="preserve">However, there are further actions that can be taken. </w:t>
      </w:r>
      <w:r w:rsidRPr="00734A50">
        <w:rPr>
          <w:color w:val="000000"/>
        </w:rPr>
        <w:t xml:space="preserve">There is minimal professional recognition for mentor teachers. Mentor teachers should be able to count part of their hours spent supervising practical experience placements towards their own professional learning requirements for obtaining and maintaining teacher registration. States and territories and other employers should pursue relevant regulatory changes to improve the recognition of mentoring ITE students. This should include more explicit links between mentor </w:t>
      </w:r>
      <w:r w:rsidR="00794FFF" w:rsidRPr="00734A50">
        <w:rPr>
          <w:color w:val="000000"/>
        </w:rPr>
        <w:t xml:space="preserve">teacher </w:t>
      </w:r>
      <w:r w:rsidRPr="00734A50">
        <w:rPr>
          <w:color w:val="000000"/>
        </w:rPr>
        <w:t>duties and teacher registration requirements. This can encourage more teachers to become mentors and, more broadly, recognise teachers’ important role in mentoring ITE students. This has already been established in the ACT, where mentoring an ITE student from the University of Canberra attracts up to five hours of required professional learning.</w:t>
      </w:r>
    </w:p>
    <w:p w14:paraId="00BEB29C" w14:textId="16770D4E" w:rsidR="00D33F4E" w:rsidRPr="00734A50" w:rsidRDefault="002031BC" w:rsidP="00444779">
      <w:pPr>
        <w:rPr>
          <w:color w:val="000000"/>
        </w:rPr>
      </w:pPr>
      <w:r w:rsidRPr="00734A50">
        <w:rPr>
          <w:color w:val="000000"/>
        </w:rPr>
        <w:t xml:space="preserve">The NTWAP includes an action to increase </w:t>
      </w:r>
      <w:r w:rsidR="00BC2E6D" w:rsidRPr="00734A50">
        <w:rPr>
          <w:color w:val="000000"/>
        </w:rPr>
        <w:t>the number of High</w:t>
      </w:r>
      <w:r w:rsidR="00D36252">
        <w:rPr>
          <w:color w:val="000000"/>
        </w:rPr>
        <w:t>ly</w:t>
      </w:r>
      <w:r w:rsidR="00BC2E6D" w:rsidRPr="00734A50">
        <w:rPr>
          <w:color w:val="000000"/>
        </w:rPr>
        <w:t xml:space="preserve"> </w:t>
      </w:r>
      <w:r w:rsidR="00897F39" w:rsidRPr="00942865">
        <w:rPr>
          <w:color w:val="000000"/>
        </w:rPr>
        <w:t xml:space="preserve">Accomplished </w:t>
      </w:r>
      <w:r w:rsidR="00BC2E6D" w:rsidRPr="00942865">
        <w:rPr>
          <w:color w:val="000000"/>
        </w:rPr>
        <w:t>a</w:t>
      </w:r>
      <w:r w:rsidR="00BC2E6D" w:rsidRPr="00734A50">
        <w:rPr>
          <w:color w:val="000000"/>
        </w:rPr>
        <w:t>nd Lead Teachers</w:t>
      </w:r>
      <w:r w:rsidR="00897F39">
        <w:rPr>
          <w:color w:val="000000"/>
        </w:rPr>
        <w:t xml:space="preserve"> (HALTs)</w:t>
      </w:r>
      <w:r w:rsidR="00BC2E6D" w:rsidRPr="00734A50">
        <w:rPr>
          <w:color w:val="000000"/>
        </w:rPr>
        <w:t xml:space="preserve">, with </w:t>
      </w:r>
      <w:r w:rsidRPr="00734A50">
        <w:rPr>
          <w:color w:val="000000"/>
        </w:rPr>
        <w:t xml:space="preserve">AITSL </w:t>
      </w:r>
      <w:r w:rsidR="00BC2E6D" w:rsidRPr="00734A50">
        <w:rPr>
          <w:color w:val="000000"/>
        </w:rPr>
        <w:t>to</w:t>
      </w:r>
      <w:r w:rsidRPr="00734A50">
        <w:rPr>
          <w:color w:val="000000"/>
        </w:rPr>
        <w:t xml:space="preserve"> work with states and territories to increase the number of teachers certified as HALT or equivalent to 10,000 nationally by 2025. </w:t>
      </w:r>
      <w:r w:rsidR="00D33F4E" w:rsidRPr="00734A50">
        <w:rPr>
          <w:color w:val="000000"/>
        </w:rPr>
        <w:t xml:space="preserve">Mentoring ITE students should be linked more explicitly with HALT </w:t>
      </w:r>
      <w:r w:rsidR="004A5DEC" w:rsidRPr="00734A50">
        <w:rPr>
          <w:color w:val="000000"/>
        </w:rPr>
        <w:t xml:space="preserve">certification or equivalent </w:t>
      </w:r>
      <w:r w:rsidR="00D33F4E" w:rsidRPr="00734A50">
        <w:rPr>
          <w:color w:val="000000"/>
        </w:rPr>
        <w:t>frameworks</w:t>
      </w:r>
      <w:r w:rsidR="00BC2E6D" w:rsidRPr="00734A50">
        <w:rPr>
          <w:color w:val="000000"/>
        </w:rPr>
        <w:t xml:space="preserve"> to support mentoring of ITE students by </w:t>
      </w:r>
      <w:r w:rsidR="00BC2E6D" w:rsidRPr="00734A50">
        <w:rPr>
          <w:color w:val="000000"/>
        </w:rPr>
        <w:lastRenderedPageBreak/>
        <w:t>highly accomplished teachers</w:t>
      </w:r>
      <w:r w:rsidR="006D52BE" w:rsidRPr="00734A50">
        <w:rPr>
          <w:color w:val="000000"/>
        </w:rPr>
        <w:t xml:space="preserve"> (Australian Catholic University submission)</w:t>
      </w:r>
      <w:r w:rsidR="00D33F4E" w:rsidRPr="00734A50">
        <w:rPr>
          <w:color w:val="000000"/>
        </w:rPr>
        <w:t xml:space="preserve">. </w:t>
      </w:r>
      <w:r w:rsidR="00B124F1" w:rsidRPr="00734A50">
        <w:rPr>
          <w:color w:val="000000"/>
        </w:rPr>
        <w:t>HALTs</w:t>
      </w:r>
      <w:r w:rsidR="004A5DEC" w:rsidRPr="00734A50">
        <w:rPr>
          <w:color w:val="000000"/>
        </w:rPr>
        <w:t xml:space="preserve"> </w:t>
      </w:r>
      <w:r w:rsidR="00EE07C7" w:rsidRPr="00734A50">
        <w:rPr>
          <w:color w:val="000000"/>
        </w:rPr>
        <w:t>(</w:t>
      </w:r>
      <w:r w:rsidR="004A5DEC" w:rsidRPr="00734A50">
        <w:rPr>
          <w:color w:val="000000"/>
        </w:rPr>
        <w:t>or equivalent</w:t>
      </w:r>
      <w:r w:rsidR="00EE07C7" w:rsidRPr="00734A50">
        <w:rPr>
          <w:color w:val="000000"/>
        </w:rPr>
        <w:t>)</w:t>
      </w:r>
      <w:r w:rsidR="00D33F4E" w:rsidRPr="00734A50">
        <w:rPr>
          <w:color w:val="000000"/>
        </w:rPr>
        <w:t xml:space="preserve"> should be </w:t>
      </w:r>
      <w:r w:rsidR="00EE3DD4" w:rsidRPr="00734A50">
        <w:rPr>
          <w:color w:val="000000"/>
        </w:rPr>
        <w:t>required</w:t>
      </w:r>
      <w:r w:rsidR="00D33F4E" w:rsidRPr="00734A50">
        <w:rPr>
          <w:color w:val="000000"/>
        </w:rPr>
        <w:t xml:space="preserve"> to </w:t>
      </w:r>
      <w:r w:rsidR="006A72EB" w:rsidRPr="00734A50">
        <w:rPr>
          <w:color w:val="000000"/>
        </w:rPr>
        <w:t>provide</w:t>
      </w:r>
      <w:r w:rsidR="00D33F4E" w:rsidRPr="00734A50">
        <w:rPr>
          <w:color w:val="000000"/>
        </w:rPr>
        <w:t xml:space="preserve"> practical experience supervision as evidence for </w:t>
      </w:r>
      <w:r w:rsidR="00396AE8" w:rsidRPr="00734A50">
        <w:rPr>
          <w:color w:val="000000"/>
        </w:rPr>
        <w:t xml:space="preserve">certification </w:t>
      </w:r>
      <w:r w:rsidR="00D33F4E" w:rsidRPr="00734A50">
        <w:rPr>
          <w:color w:val="000000"/>
        </w:rPr>
        <w:t>processes.</w:t>
      </w:r>
    </w:p>
    <w:p w14:paraId="2ED6B336" w14:textId="649A9C0F" w:rsidR="00D33F4E" w:rsidRPr="00734A50" w:rsidRDefault="00D33F4E" w:rsidP="00D33F4E">
      <w:r w:rsidRPr="00734A50">
        <w:t>States and territories should pursue professional recognition of mentor teachers to support teachers in mentoring ITE students during their practical experience placements.</w:t>
      </w:r>
    </w:p>
    <w:p w14:paraId="40D9D0C9" w14:textId="63F8CABF" w:rsidR="0063644F" w:rsidRPr="00734A50" w:rsidRDefault="0063644F" w:rsidP="0063644F">
      <w:r w:rsidRPr="00734A50">
        <w:rPr>
          <w:rFonts w:ascii="Calibri" w:eastAsia="Calibri" w:hAnsi="Calibri" w:cs="Calibri"/>
          <w:color w:val="000000" w:themeColor="text1"/>
        </w:rPr>
        <w:t>The Panel also recognises that the amount of financial recognition mentor teachers receive for practical experience varies between jurisdictions. Financial recognition for mentor teachers could be considered as part of systemic investment in practical experience.</w:t>
      </w:r>
    </w:p>
    <w:p w14:paraId="2E48A5DE" w14:textId="5FAF7AF9" w:rsidR="50EBD4C1" w:rsidRPr="00734A50" w:rsidRDefault="63DDE3CC" w:rsidP="4B3298D5">
      <w:pPr>
        <w:pStyle w:val="Heading4"/>
      </w:pPr>
      <w:r w:rsidRPr="00734A50">
        <w:t>3.4.</w:t>
      </w:r>
      <w:r w:rsidR="00502234" w:rsidRPr="00734A50">
        <w:t>6</w:t>
      </w:r>
      <w:r w:rsidRPr="00734A50">
        <w:t xml:space="preserve"> Additional considerations by the Panel</w:t>
      </w:r>
    </w:p>
    <w:p w14:paraId="7313E3F7" w14:textId="649A9C0F" w:rsidR="63DDE3CC" w:rsidRPr="00734A50" w:rsidRDefault="63DDE3CC" w:rsidP="4B3298D5">
      <w:pPr>
        <w:rPr>
          <w:rFonts w:ascii="Calibri" w:eastAsia="Calibri" w:hAnsi="Calibri" w:cs="Calibri"/>
          <w:color w:val="000000" w:themeColor="text1"/>
        </w:rPr>
      </w:pPr>
      <w:r w:rsidRPr="00734A50">
        <w:rPr>
          <w:rFonts w:ascii="Calibri" w:eastAsia="Calibri" w:hAnsi="Calibri" w:cs="Calibri"/>
          <w:color w:val="000000" w:themeColor="text1"/>
        </w:rPr>
        <w:t>High-quality practical experience is important for workforce development, but building strong foundations for beginning teachers does not stop when they graduate from ITE. Ongoing development and support during the initial years of service is vital to building confidence and resilience and in retaining great teachers in our schools.</w:t>
      </w:r>
    </w:p>
    <w:p w14:paraId="09266156" w14:textId="3D6B8AB2" w:rsidR="63DDE3CC" w:rsidRPr="00734A50" w:rsidRDefault="63DDE3CC">
      <w:r w:rsidRPr="00734A50">
        <w:t>This has been recognised in the UK, where the government has invested significantly (around £130 million annually) in high-quality training and mentoring for early career teachers in the first years after initial teacher training. Under the UK’s Early Career Framework, all early career teachers are entitled to a funded two-year package of structured training and support which includes additional time off from their school timetable for training and mentoring during the first two years, training materials for early career teachers and mentors</w:t>
      </w:r>
      <w:r w:rsidR="00F530E3">
        <w:t>,</w:t>
      </w:r>
      <w:r w:rsidRPr="00734A50">
        <w:t xml:space="preserve"> and support from approved providers. While it is too early to determine the impact of these reforms on the retention of early career teachers, the initiative has been strongly supported across the sector.</w:t>
      </w:r>
    </w:p>
    <w:p w14:paraId="5B2225EC" w14:textId="651F112D" w:rsidR="4B3298D5" w:rsidRPr="00734A50" w:rsidRDefault="63DDE3CC" w:rsidP="3C314CE6">
      <w:r>
        <w:t>The NTWAP includes an action to develop national guidelines to support early career teachers and new school leaders, including mentoring and induction. However, there is not a comprehensive approach to the professional development, mentoring and support provided to beginning teachers across jurisdictions, school systems and schools. In Victoria</w:t>
      </w:r>
      <w:r w:rsidR="00B80805">
        <w:t>,</w:t>
      </w:r>
      <w:r>
        <w:t xml:space="preserve"> the Career Start Pilot is a structured pilot program where graduate teachers are given additional time and support to focus on preparation, receive support from mentors and take up targeted professional learning and networking opportunities. Mentor teachers are also given additional time release and support. Evaluations of the Career Start Pilot have demonstrated that the program effectively addresses retention of graduate teachers, their transition into the workplace and their classroom readiness (Victorian Department of Education submission). The Panel acknowledges that more could be done nationally to support beginning teachers as they enter the teaching profession.</w:t>
      </w:r>
    </w:p>
    <w:p w14:paraId="619A83E2" w14:textId="5AB66685" w:rsidR="587F422A" w:rsidRDefault="587F422A">
      <w:r>
        <w:br w:type="page"/>
      </w:r>
    </w:p>
    <w:p w14:paraId="6671C466" w14:textId="465616DD" w:rsidR="6C686054" w:rsidRPr="00734A50" w:rsidRDefault="00BE22C5" w:rsidP="0012041E">
      <w:pPr>
        <w:pStyle w:val="Heading2"/>
      </w:pPr>
      <w:bookmarkStart w:id="91" w:name="_Toc139366657"/>
      <w:r w:rsidRPr="00734A50">
        <w:lastRenderedPageBreak/>
        <w:t xml:space="preserve">Conclusions and </w:t>
      </w:r>
      <w:r w:rsidR="00726306" w:rsidRPr="00734A50">
        <w:t>Re</w:t>
      </w:r>
      <w:r w:rsidR="23E35AFA" w:rsidRPr="00734A50">
        <w:t>c</w:t>
      </w:r>
      <w:r w:rsidR="00726306" w:rsidRPr="00734A50">
        <w:t>ommendations</w:t>
      </w:r>
      <w:bookmarkEnd w:id="91"/>
    </w:p>
    <w:p w14:paraId="66FF5ECB" w14:textId="61CA7F44" w:rsidR="004D4D9A" w:rsidRPr="00734A50" w:rsidRDefault="00B564EE" w:rsidP="00937758">
      <w:r w:rsidRPr="00734A50">
        <w:t>High-quality practical experience</w:t>
      </w:r>
      <w:r w:rsidR="0078280B" w:rsidRPr="00734A50">
        <w:t xml:space="preserve"> </w:t>
      </w:r>
      <w:r w:rsidR="00FF60F0" w:rsidRPr="00734A50">
        <w:t>allows beginning t</w:t>
      </w:r>
      <w:r w:rsidR="00851AE9" w:rsidRPr="00734A50">
        <w:t xml:space="preserve">eachers to integrate theory and practice </w:t>
      </w:r>
      <w:r w:rsidR="00B20B59" w:rsidRPr="00734A50">
        <w:t xml:space="preserve">by developing their skills to teach in a classroom </w:t>
      </w:r>
      <w:r w:rsidR="00A77B18" w:rsidRPr="00734A50">
        <w:t xml:space="preserve">environment. </w:t>
      </w:r>
      <w:r w:rsidR="00C00845" w:rsidRPr="00734A50">
        <w:t>Beginning teachers who have h</w:t>
      </w:r>
      <w:r w:rsidR="0078280B" w:rsidRPr="00734A50">
        <w:t>igh-quality practical experience</w:t>
      </w:r>
      <w:r w:rsidR="00C00845" w:rsidRPr="00734A50">
        <w:t xml:space="preserve"> placements </w:t>
      </w:r>
      <w:r w:rsidR="00A712E8" w:rsidRPr="00734A50">
        <w:t>are more likely to successfully transition into teaching and remain in the profession</w:t>
      </w:r>
      <w:r w:rsidR="00AA664A" w:rsidRPr="00734A50">
        <w:t xml:space="preserve"> for longer</w:t>
      </w:r>
      <w:r w:rsidR="0020241A" w:rsidRPr="00734A50">
        <w:t xml:space="preserve"> (</w:t>
      </w:r>
      <w:r w:rsidR="00A0362B" w:rsidRPr="00734A50">
        <w:t>AITSL 202</w:t>
      </w:r>
      <w:r w:rsidR="00E902E1" w:rsidRPr="00734A50">
        <w:t>2a</w:t>
      </w:r>
      <w:r w:rsidR="00BE7A84" w:rsidRPr="00734A50">
        <w:t>;</w:t>
      </w:r>
      <w:r w:rsidR="00A0362B" w:rsidRPr="00734A50">
        <w:t xml:space="preserve"> </w:t>
      </w:r>
      <w:r w:rsidR="00E902E1" w:rsidRPr="00734A50">
        <w:t>Podolsky et al. 2019</w:t>
      </w:r>
      <w:r w:rsidR="0024053F" w:rsidRPr="00734A50">
        <w:t xml:space="preserve">; </w:t>
      </w:r>
      <w:r w:rsidR="00A0362B" w:rsidRPr="00734A50">
        <w:t xml:space="preserve">Ronfeldt </w:t>
      </w:r>
      <w:r w:rsidR="008A0275" w:rsidRPr="00734A50">
        <w:t>2021)</w:t>
      </w:r>
      <w:r w:rsidR="00AA664A" w:rsidRPr="00734A50">
        <w:t>, but high-quality practical experience is</w:t>
      </w:r>
      <w:r w:rsidR="00815404" w:rsidRPr="00734A50">
        <w:t xml:space="preserve"> costly and </w:t>
      </w:r>
      <w:r w:rsidR="0071085D" w:rsidRPr="00734A50">
        <w:t>resource intensive to deliver</w:t>
      </w:r>
      <w:r w:rsidR="009D240F" w:rsidRPr="00734A50">
        <w:t xml:space="preserve">. The Panel </w:t>
      </w:r>
      <w:r w:rsidR="00C42FEF" w:rsidRPr="00734A50">
        <w:t xml:space="preserve">found </w:t>
      </w:r>
      <w:r w:rsidR="00BE7A84" w:rsidRPr="00734A50">
        <w:t xml:space="preserve">that </w:t>
      </w:r>
      <w:r w:rsidR="00C42FEF" w:rsidRPr="00734A50">
        <w:t>the quality of practical experience is highly variable for ITE students, particularly for beginning teachers in regional</w:t>
      </w:r>
      <w:r w:rsidR="00B25658" w:rsidRPr="00734A50">
        <w:t>, rural</w:t>
      </w:r>
      <w:r w:rsidR="00C42FEF" w:rsidRPr="00734A50">
        <w:t xml:space="preserve"> and remote areas</w:t>
      </w:r>
      <w:r w:rsidR="00E927A9" w:rsidRPr="00734A50">
        <w:t>.</w:t>
      </w:r>
    </w:p>
    <w:p w14:paraId="6B363180" w14:textId="70461FBB" w:rsidR="009D2D0F" w:rsidRPr="00734A50" w:rsidRDefault="00DA2797" w:rsidP="00937758">
      <w:r w:rsidRPr="00734A50">
        <w:t xml:space="preserve">The Panel </w:t>
      </w:r>
      <w:r w:rsidR="00487ADC" w:rsidRPr="00734A50">
        <w:t>recommends</w:t>
      </w:r>
      <w:r w:rsidR="00D536B1" w:rsidRPr="00734A50">
        <w:t xml:space="preserve"> that</w:t>
      </w:r>
      <w:r w:rsidRPr="00734A50">
        <w:t xml:space="preserve"> </w:t>
      </w:r>
      <w:r w:rsidR="0027300F" w:rsidRPr="00734A50">
        <w:t>system</w:t>
      </w:r>
      <w:r w:rsidR="008A7FF8">
        <w:t>-</w:t>
      </w:r>
      <w:r w:rsidR="0027300F" w:rsidRPr="00734A50">
        <w:t xml:space="preserve">wide </w:t>
      </w:r>
      <w:r w:rsidR="00CC5D82" w:rsidRPr="00734A50">
        <w:t xml:space="preserve">coordination of practical experience delivery </w:t>
      </w:r>
      <w:r w:rsidR="00193004" w:rsidRPr="00734A50">
        <w:t>through jurisdiction-level agreements</w:t>
      </w:r>
      <w:r w:rsidR="00E5730E" w:rsidRPr="00734A50">
        <w:t xml:space="preserve"> and </w:t>
      </w:r>
      <w:r w:rsidR="00193004" w:rsidRPr="00734A50">
        <w:t xml:space="preserve">delivery models </w:t>
      </w:r>
      <w:r w:rsidR="00BE0D09" w:rsidRPr="00734A50">
        <w:t xml:space="preserve">is </w:t>
      </w:r>
      <w:r w:rsidR="00B36FF0" w:rsidRPr="00734A50">
        <w:t>required to</w:t>
      </w:r>
      <w:r w:rsidR="00193004" w:rsidRPr="00734A50">
        <w:t xml:space="preserve"> lift the quality of practical experience.</w:t>
      </w:r>
    </w:p>
    <w:p w14:paraId="662133A4" w14:textId="6A4F160A" w:rsidR="005F69E7" w:rsidRPr="00734A50" w:rsidRDefault="005F69E7" w:rsidP="00A36740">
      <w:pPr>
        <w:pStyle w:val="Recommendation2"/>
        <w:keepNext/>
        <w:spacing w:after="0"/>
        <w:rPr>
          <w:b/>
        </w:rPr>
      </w:pPr>
      <w:r w:rsidRPr="00734A50">
        <w:rPr>
          <w:b/>
        </w:rPr>
        <w:t xml:space="preserve">Recommendation 8: Establish </w:t>
      </w:r>
      <w:r w:rsidR="00A25CD0" w:rsidRPr="00734A50">
        <w:rPr>
          <w:b/>
        </w:rPr>
        <w:t>system-wide coordination of</w:t>
      </w:r>
      <w:r w:rsidRPr="00734A50">
        <w:rPr>
          <w:b/>
        </w:rPr>
        <w:t xml:space="preserve"> practical experience delivery</w:t>
      </w:r>
    </w:p>
    <w:p w14:paraId="22C7019B" w14:textId="3B01BF8C" w:rsidR="005F69E7" w:rsidRPr="00734A50" w:rsidRDefault="005F69E7" w:rsidP="005F69E7">
      <w:pPr>
        <w:pStyle w:val="Recommendation2"/>
        <w:spacing w:after="0"/>
        <w:rPr>
          <w:lang w:eastAsia="en-AU"/>
        </w:rPr>
      </w:pPr>
      <w:r w:rsidRPr="00734A50">
        <w:rPr>
          <w:lang w:eastAsia="en-AU"/>
        </w:rPr>
        <w:t>Education Ministers to agree to enter into suitable agreements, such as memorandums of understanding, that establish clear roles and responsibilities for the development of beginning teachers across all parties (</w:t>
      </w:r>
      <w:r w:rsidR="00FB605D" w:rsidRPr="00734A50">
        <w:rPr>
          <w:lang w:eastAsia="en-AU"/>
        </w:rPr>
        <w:t>higher</w:t>
      </w:r>
      <w:r w:rsidRPr="00734A50">
        <w:rPr>
          <w:lang w:eastAsia="en-AU"/>
        </w:rPr>
        <w:t xml:space="preserve"> education providers, </w:t>
      </w:r>
      <w:r w:rsidR="00C35F5F" w:rsidRPr="00734A50">
        <w:rPr>
          <w:lang w:eastAsia="en-AU"/>
        </w:rPr>
        <w:t>T</w:t>
      </w:r>
      <w:r w:rsidRPr="00734A50">
        <w:rPr>
          <w:lang w:eastAsia="en-AU"/>
        </w:rPr>
        <w:t xml:space="preserve">eacher </w:t>
      </w:r>
      <w:r w:rsidR="00C35F5F" w:rsidRPr="00734A50">
        <w:rPr>
          <w:lang w:eastAsia="en-AU"/>
        </w:rPr>
        <w:t>R</w:t>
      </w:r>
      <w:r w:rsidRPr="00734A50">
        <w:rPr>
          <w:lang w:eastAsia="en-AU"/>
        </w:rPr>
        <w:t xml:space="preserve">egulatory </w:t>
      </w:r>
      <w:r w:rsidR="00C35F5F" w:rsidRPr="00734A50">
        <w:rPr>
          <w:lang w:eastAsia="en-AU"/>
        </w:rPr>
        <w:t>A</w:t>
      </w:r>
      <w:r w:rsidRPr="00734A50">
        <w:rPr>
          <w:lang w:eastAsia="en-AU"/>
        </w:rPr>
        <w:t xml:space="preserve">uthorities and </w:t>
      </w:r>
      <w:r w:rsidR="00CC5D87" w:rsidRPr="00734A50">
        <w:rPr>
          <w:lang w:eastAsia="en-AU"/>
        </w:rPr>
        <w:t xml:space="preserve">teacher </w:t>
      </w:r>
      <w:r w:rsidRPr="00734A50">
        <w:rPr>
          <w:lang w:eastAsia="en-AU"/>
        </w:rPr>
        <w:t xml:space="preserve">employers). Agreements would set expectations for practical experience placements, put in place delivery models to ensure quality and make sure beginning teachers have the opportunity to apply and practise core content while on placement. </w:t>
      </w:r>
    </w:p>
    <w:p w14:paraId="64BBC8FE" w14:textId="1C10DE00" w:rsidR="006937C1" w:rsidRPr="00734A50" w:rsidRDefault="00102AF1" w:rsidP="00553516">
      <w:pPr>
        <w:keepNext/>
        <w:spacing w:before="200"/>
      </w:pPr>
      <w:r w:rsidRPr="00734A50">
        <w:t>T</w:t>
      </w:r>
      <w:r w:rsidR="00A51010" w:rsidRPr="00734A50">
        <w:t xml:space="preserve">he Panel found </w:t>
      </w:r>
      <w:r w:rsidR="00BE7A84" w:rsidRPr="00734A50">
        <w:t xml:space="preserve">that </w:t>
      </w:r>
      <w:r w:rsidR="00CB2F79" w:rsidRPr="00734A50">
        <w:t xml:space="preserve">there is no single definition of what constitutes </w:t>
      </w:r>
      <w:r w:rsidR="00A51010" w:rsidRPr="00734A50">
        <w:t xml:space="preserve">high-quality practical experience </w:t>
      </w:r>
      <w:r w:rsidR="00CB2F79" w:rsidRPr="00734A50">
        <w:t>and</w:t>
      </w:r>
      <w:r w:rsidR="00BE7A84" w:rsidRPr="00734A50">
        <w:t xml:space="preserve"> that</w:t>
      </w:r>
      <w:r w:rsidR="00CB2F79" w:rsidRPr="00734A50">
        <w:t xml:space="preserve"> </w:t>
      </w:r>
      <w:r w:rsidR="008A7FF8">
        <w:t>a variety of</w:t>
      </w:r>
      <w:r w:rsidR="00E927A9" w:rsidRPr="00734A50">
        <w:t xml:space="preserve"> delivery models</w:t>
      </w:r>
      <w:r w:rsidR="00BE7A84" w:rsidRPr="00734A50">
        <w:t xml:space="preserve"> </w:t>
      </w:r>
      <w:r w:rsidR="008A7FF8">
        <w:t xml:space="preserve">are </w:t>
      </w:r>
      <w:r w:rsidR="00E927A9" w:rsidRPr="00734A50">
        <w:t>in place across providers and jurisdictions</w:t>
      </w:r>
      <w:r w:rsidR="00BE7A84" w:rsidRPr="00734A50">
        <w:t>,</w:t>
      </w:r>
      <w:r w:rsidR="0067707C" w:rsidRPr="00734A50">
        <w:t xml:space="preserve"> resulting in an inconsistent experience for many ITE students</w:t>
      </w:r>
      <w:r w:rsidR="00E927A9" w:rsidRPr="00734A50">
        <w:t>.</w:t>
      </w:r>
    </w:p>
    <w:p w14:paraId="6845E53A" w14:textId="762566E5" w:rsidR="75192FAF" w:rsidRPr="00734A50" w:rsidRDefault="006937C1" w:rsidP="00D877D0">
      <w:r w:rsidRPr="00734A50">
        <w:t>Providing clear</w:t>
      </w:r>
      <w:r w:rsidR="00F22D7B" w:rsidRPr="00734A50">
        <w:t>, national</w:t>
      </w:r>
      <w:r w:rsidRPr="00734A50">
        <w:t xml:space="preserve"> </w:t>
      </w:r>
      <w:r w:rsidR="007B43F2" w:rsidRPr="00734A50">
        <w:t>guid</w:t>
      </w:r>
      <w:r w:rsidR="00BA5EB6" w:rsidRPr="00734A50">
        <w:t>ance</w:t>
      </w:r>
      <w:r w:rsidRPr="00734A50">
        <w:t xml:space="preserve"> </w:t>
      </w:r>
      <w:r w:rsidR="00934BD7" w:rsidRPr="00734A50">
        <w:t xml:space="preserve">around </w:t>
      </w:r>
      <w:r w:rsidR="005F2609" w:rsidRPr="00734A50">
        <w:t>partnerships and delivery features of high</w:t>
      </w:r>
      <w:r w:rsidR="00F22D7B" w:rsidRPr="00734A50">
        <w:t>-</w:t>
      </w:r>
      <w:r w:rsidR="005F2609" w:rsidRPr="00734A50">
        <w:t xml:space="preserve">quality </w:t>
      </w:r>
      <w:r w:rsidR="00F22D7B" w:rsidRPr="00734A50">
        <w:t xml:space="preserve">practical experience </w:t>
      </w:r>
      <w:r w:rsidR="00D54E60" w:rsidRPr="00734A50">
        <w:t>would</w:t>
      </w:r>
      <w:r w:rsidR="00F22D7B" w:rsidRPr="00734A50">
        <w:t xml:space="preserve"> </w:t>
      </w:r>
      <w:r w:rsidR="00025E00" w:rsidRPr="00734A50">
        <w:t xml:space="preserve">support better </w:t>
      </w:r>
      <w:r w:rsidR="00C60342" w:rsidRPr="00734A50">
        <w:t xml:space="preserve">and more consistent </w:t>
      </w:r>
      <w:r w:rsidR="00025E00" w:rsidRPr="00734A50">
        <w:t xml:space="preserve">experiences for </w:t>
      </w:r>
      <w:r w:rsidR="00991A0B" w:rsidRPr="00734A50">
        <w:t xml:space="preserve">providers, ITE students, schools and </w:t>
      </w:r>
      <w:r w:rsidR="00C60342" w:rsidRPr="00734A50">
        <w:t xml:space="preserve">jurisdictions. </w:t>
      </w:r>
    </w:p>
    <w:p w14:paraId="377C0F45" w14:textId="77777777" w:rsidR="005F69E7" w:rsidRPr="00734A50" w:rsidRDefault="005F69E7" w:rsidP="66A336DD">
      <w:pPr>
        <w:pStyle w:val="Recommendation2"/>
        <w:spacing w:after="0"/>
        <w:rPr>
          <w:b/>
        </w:rPr>
      </w:pPr>
      <w:r w:rsidRPr="00734A50">
        <w:rPr>
          <w:b/>
        </w:rPr>
        <w:t>Recommendation 9: Develop national guidelines for high-quality practical experience</w:t>
      </w:r>
    </w:p>
    <w:p w14:paraId="2D6292C0" w14:textId="1B6D7DA6" w:rsidR="005F69E7" w:rsidRPr="00734A50" w:rsidRDefault="005F69E7" w:rsidP="005F69E7">
      <w:pPr>
        <w:pStyle w:val="Recommendation2"/>
        <w:spacing w:after="0"/>
      </w:pPr>
      <w:r w:rsidRPr="00734A50">
        <w:rPr>
          <w:rFonts w:eastAsia="Times New Roman"/>
        </w:rPr>
        <w:t xml:space="preserve">The Australian Institute for Teaching and School Leadership (AITSL) </w:t>
      </w:r>
      <w:r w:rsidRPr="00734A50">
        <w:t xml:space="preserve">to develop, and the </w:t>
      </w:r>
      <w:r w:rsidRPr="00734A50">
        <w:rPr>
          <w:lang w:eastAsia="en-AU"/>
        </w:rPr>
        <w:t>initial teacher education</w:t>
      </w:r>
      <w:r w:rsidRPr="00734A50">
        <w:t xml:space="preserve"> </w:t>
      </w:r>
      <w:r w:rsidR="00CC5D87" w:rsidRPr="00734A50">
        <w:t>(</w:t>
      </w:r>
      <w:r w:rsidR="00850BEE" w:rsidRPr="00734A50">
        <w:t>ITE)</w:t>
      </w:r>
      <w:r w:rsidR="00CC5D87" w:rsidRPr="00734A50">
        <w:t xml:space="preserve"> </w:t>
      </w:r>
      <w:r w:rsidRPr="00734A50">
        <w:t>quality assurance board to endorse, national guidelines for consistent high-quality practical experience, including</w:t>
      </w:r>
      <w:r w:rsidR="0051368C" w:rsidRPr="00734A50">
        <w:t xml:space="preserve"> information on</w:t>
      </w:r>
      <w:r w:rsidRPr="00734A50">
        <w:t>:</w:t>
      </w:r>
    </w:p>
    <w:p w14:paraId="39A48A92" w14:textId="5E315318" w:rsidR="005F69E7" w:rsidRPr="00734A50" w:rsidRDefault="005F69E7" w:rsidP="005F69E7">
      <w:pPr>
        <w:pStyle w:val="Recommendation2"/>
        <w:numPr>
          <w:ilvl w:val="0"/>
          <w:numId w:val="66"/>
        </w:numPr>
        <w:spacing w:after="0"/>
        <w:rPr>
          <w:szCs w:val="22"/>
        </w:rPr>
      </w:pPr>
      <w:r w:rsidRPr="00734A50">
        <w:t>what formal partnerships should include</w:t>
      </w:r>
    </w:p>
    <w:p w14:paraId="7864CD11" w14:textId="77777777" w:rsidR="005F69E7" w:rsidRPr="00734A50" w:rsidRDefault="005F69E7" w:rsidP="005F69E7">
      <w:pPr>
        <w:pStyle w:val="Recommendation2"/>
        <w:numPr>
          <w:ilvl w:val="0"/>
          <w:numId w:val="66"/>
        </w:numPr>
        <w:spacing w:after="0"/>
        <w:rPr>
          <w:szCs w:val="22"/>
        </w:rPr>
      </w:pPr>
      <w:r w:rsidRPr="00734A50">
        <w:t>design and delivery features of practical experience to ensure it is aligned with evidence</w:t>
      </w:r>
    </w:p>
    <w:p w14:paraId="4E1BF0B3" w14:textId="77777777" w:rsidR="005F69E7" w:rsidRPr="00734A50" w:rsidRDefault="005F69E7" w:rsidP="66A336DD">
      <w:pPr>
        <w:pStyle w:val="Recommendation2"/>
        <w:numPr>
          <w:ilvl w:val="0"/>
          <w:numId w:val="66"/>
        </w:numPr>
        <w:spacing w:after="0"/>
        <w:rPr>
          <w:szCs w:val="22"/>
        </w:rPr>
      </w:pPr>
      <w:r w:rsidRPr="00734A50">
        <w:t>mechanisms for communication between higher education providers, schools and students</w:t>
      </w:r>
    </w:p>
    <w:p w14:paraId="20EDCFAE" w14:textId="59FB3502" w:rsidR="005F69E7" w:rsidRPr="00734A50" w:rsidRDefault="0051368C" w:rsidP="66A336DD">
      <w:pPr>
        <w:pStyle w:val="Recommendation2"/>
        <w:numPr>
          <w:ilvl w:val="0"/>
          <w:numId w:val="66"/>
        </w:numPr>
        <w:spacing w:after="0"/>
        <w:rPr>
          <w:szCs w:val="22"/>
        </w:rPr>
      </w:pPr>
      <w:r w:rsidRPr="00734A50">
        <w:t>supporting</w:t>
      </w:r>
      <w:r w:rsidR="005F69E7" w:rsidRPr="00734A50">
        <w:t xml:space="preserve"> high-quality assessment of</w:t>
      </w:r>
      <w:r w:rsidR="005F69E7" w:rsidRPr="00734A50">
        <w:rPr>
          <w:lang w:eastAsia="en-AU"/>
        </w:rPr>
        <w:t xml:space="preserve"> </w:t>
      </w:r>
      <w:r w:rsidRPr="00734A50">
        <w:rPr>
          <w:lang w:eastAsia="en-AU"/>
        </w:rPr>
        <w:t>ITE</w:t>
      </w:r>
      <w:r w:rsidR="005F69E7" w:rsidRPr="00734A50">
        <w:t xml:space="preserve"> students against the Graduate Teacher Standards and the core content, including the provision of standardised reporting templates</w:t>
      </w:r>
    </w:p>
    <w:p w14:paraId="5E451915" w14:textId="65C67A4D" w:rsidR="005F69E7" w:rsidRPr="00734A50" w:rsidRDefault="005F69E7" w:rsidP="005F69E7">
      <w:pPr>
        <w:pStyle w:val="Recommendation2"/>
        <w:numPr>
          <w:ilvl w:val="0"/>
          <w:numId w:val="66"/>
        </w:numPr>
        <w:spacing w:after="0"/>
      </w:pPr>
      <w:r w:rsidRPr="00734A50">
        <w:t>mentoring</w:t>
      </w:r>
      <w:r w:rsidRPr="00734A50">
        <w:rPr>
          <w:lang w:eastAsia="en-AU"/>
        </w:rPr>
        <w:t xml:space="preserve"> </w:t>
      </w:r>
      <w:r w:rsidR="0051368C" w:rsidRPr="00734A50">
        <w:rPr>
          <w:lang w:eastAsia="en-AU"/>
        </w:rPr>
        <w:t>ITE</w:t>
      </w:r>
      <w:r w:rsidRPr="00734A50">
        <w:t xml:space="preserve"> students as part of AITSL’s development of national mentoring standards for early career teachers, with a focus on mentors being able to coach on the core content.</w:t>
      </w:r>
    </w:p>
    <w:p w14:paraId="2C8AC5CA" w14:textId="0C094963" w:rsidR="66A336DD" w:rsidRPr="00734A50" w:rsidRDefault="00452540" w:rsidP="00B71F35">
      <w:pPr>
        <w:spacing w:before="200"/>
      </w:pPr>
      <w:r w:rsidRPr="00734A50">
        <w:t xml:space="preserve">The Panel identified that the major barriers to high-quality practical experience include poor coordination between schools and </w:t>
      </w:r>
      <w:r w:rsidR="000070CF" w:rsidRPr="00734A50">
        <w:t>higher education</w:t>
      </w:r>
      <w:r w:rsidRPr="00734A50">
        <w:t xml:space="preserve"> providers, limited mentor</w:t>
      </w:r>
      <w:r w:rsidR="00794FFF" w:rsidRPr="00734A50">
        <w:t xml:space="preserve"> </w:t>
      </w:r>
      <w:r w:rsidRPr="00734A50">
        <w:t>teacher capacity and capability</w:t>
      </w:r>
      <w:r w:rsidR="00BE7A84" w:rsidRPr="00734A50">
        <w:t>,</w:t>
      </w:r>
      <w:r w:rsidRPr="00734A50">
        <w:t xml:space="preserve"> and lack of buy-in from schools.</w:t>
      </w:r>
      <w:r w:rsidR="00BF69A3" w:rsidRPr="00734A50">
        <w:t xml:space="preserve"> </w:t>
      </w:r>
      <w:r w:rsidR="00BF0453" w:rsidRPr="00734A50">
        <w:t xml:space="preserve">While the true cost of high-quality practical experience is difficult to determine, the Panel heard from </w:t>
      </w:r>
      <w:r w:rsidR="00012528" w:rsidRPr="00734A50">
        <w:t>stakeholders that they have experienced significant financial and resource pressures in delive</w:t>
      </w:r>
      <w:r w:rsidR="008B4766" w:rsidRPr="00734A50">
        <w:t xml:space="preserve">ring practicums. </w:t>
      </w:r>
    </w:p>
    <w:p w14:paraId="79DFB944" w14:textId="77777777" w:rsidR="005F69E7" w:rsidRPr="00734A50" w:rsidRDefault="005F69E7" w:rsidP="66A336DD">
      <w:pPr>
        <w:pStyle w:val="Recommendation2"/>
        <w:keepNext/>
        <w:spacing w:after="0"/>
        <w:rPr>
          <w:rFonts w:ascii="Calibri" w:eastAsia="Calibri" w:hAnsi="Calibri" w:cs="Calibri"/>
          <w:b/>
          <w:bCs/>
          <w:szCs w:val="22"/>
        </w:rPr>
      </w:pPr>
      <w:r w:rsidRPr="00734A50">
        <w:rPr>
          <w:b/>
          <w:bCs/>
        </w:rPr>
        <w:lastRenderedPageBreak/>
        <w:t xml:space="preserve">Recommendation 10: Increase </w:t>
      </w:r>
      <w:r w:rsidRPr="00734A50">
        <w:rPr>
          <w:rFonts w:ascii="Calibri" w:eastAsia="Calibri" w:hAnsi="Calibri" w:cs="Calibri"/>
          <w:b/>
          <w:bCs/>
          <w:szCs w:val="22"/>
        </w:rPr>
        <w:t>systemic investment in practical experience</w:t>
      </w:r>
    </w:p>
    <w:p w14:paraId="16D3587F" w14:textId="7FFB6006" w:rsidR="005F69E7" w:rsidRPr="00734A50" w:rsidRDefault="005F69E7" w:rsidP="4D978C87">
      <w:pPr>
        <w:pStyle w:val="Recommendation2"/>
        <w:spacing w:after="0"/>
        <w:rPr>
          <w:rFonts w:ascii="Calibri" w:eastAsia="Calibri" w:hAnsi="Calibri" w:cs="Calibri"/>
          <w:b/>
        </w:rPr>
      </w:pPr>
      <w:r w:rsidRPr="00734A50">
        <w:rPr>
          <w:rFonts w:ascii="Calibri" w:eastAsia="Calibri" w:hAnsi="Calibri" w:cs="Calibri"/>
        </w:rPr>
        <w:t>Education Ministers to consider how to increase systemic support for and investment in practical experience to improve student outcomes and attract, develop and retain beginning teachers.</w:t>
      </w:r>
    </w:p>
    <w:p w14:paraId="3B3E254B" w14:textId="7C013FBD" w:rsidR="007578F1" w:rsidRPr="00734A50" w:rsidRDefault="00F67C72" w:rsidP="00B71F35">
      <w:pPr>
        <w:spacing w:before="200"/>
      </w:pPr>
      <w:r w:rsidRPr="00734A50">
        <w:t xml:space="preserve">The Panel heard that beginning teachers </w:t>
      </w:r>
      <w:r w:rsidR="00015EC2" w:rsidRPr="00734A50">
        <w:t xml:space="preserve">highly </w:t>
      </w:r>
      <w:r w:rsidR="00935837" w:rsidRPr="00734A50">
        <w:t>value the support and mentoring of experienced and skilled teachers</w:t>
      </w:r>
      <w:r w:rsidR="007C6439" w:rsidRPr="00734A50">
        <w:t xml:space="preserve">. </w:t>
      </w:r>
      <w:r w:rsidR="00484376" w:rsidRPr="00734A50">
        <w:t xml:space="preserve">Stakeholders also reported that </w:t>
      </w:r>
      <w:r w:rsidR="006F090C" w:rsidRPr="00734A50">
        <w:t xml:space="preserve">it is challenging for teachers mentoring ITE students to </w:t>
      </w:r>
      <w:r w:rsidR="004144D2" w:rsidRPr="00734A50">
        <w:t xml:space="preserve">find time </w:t>
      </w:r>
      <w:r w:rsidR="00CB6C7E" w:rsidRPr="00734A50">
        <w:t xml:space="preserve">to support </w:t>
      </w:r>
      <w:r w:rsidR="00BE7A84" w:rsidRPr="00734A50">
        <w:t>them</w:t>
      </w:r>
      <w:r w:rsidR="00EF062B" w:rsidRPr="00734A50">
        <w:t xml:space="preserve">. </w:t>
      </w:r>
      <w:r w:rsidR="004F2103" w:rsidRPr="00734A50">
        <w:rPr>
          <w:rFonts w:ascii="Calibri" w:eastAsia="Calibri" w:hAnsi="Calibri" w:cs="Calibri"/>
        </w:rPr>
        <w:t xml:space="preserve">Several of the initiatives identified by the Panel would have a significant impact on the support for mentor teachers. </w:t>
      </w:r>
      <w:r w:rsidR="0058610A" w:rsidRPr="00734A50">
        <w:rPr>
          <w:rFonts w:ascii="Calibri" w:eastAsia="Calibri" w:hAnsi="Calibri" w:cs="Calibri"/>
        </w:rPr>
        <w:t xml:space="preserve">However, there are further actions that can be taken to support and value mentor teachers. </w:t>
      </w:r>
      <w:r w:rsidR="000E45B3" w:rsidRPr="00734A50">
        <w:t>Professional recognition for mentor</w:t>
      </w:r>
      <w:r w:rsidR="00794FFF" w:rsidRPr="00734A50">
        <w:t xml:space="preserve"> teacher</w:t>
      </w:r>
      <w:r w:rsidR="000E45B3" w:rsidRPr="00734A50">
        <w:t xml:space="preserve">s across jurisdictions would encourage </w:t>
      </w:r>
      <w:r w:rsidR="003D7044" w:rsidRPr="00734A50">
        <w:t xml:space="preserve">more </w:t>
      </w:r>
      <w:r w:rsidR="000E45B3" w:rsidRPr="00734A50">
        <w:t xml:space="preserve">teachers to consider mentoring beginning teachers </w:t>
      </w:r>
      <w:r w:rsidR="003D7044" w:rsidRPr="00734A50">
        <w:t xml:space="preserve">during their practical experience placement. </w:t>
      </w:r>
    </w:p>
    <w:p w14:paraId="7F33A961" w14:textId="7FFB6006" w:rsidR="007C7EE3" w:rsidRPr="00734A50" w:rsidRDefault="007C7EE3" w:rsidP="00A36740">
      <w:pPr>
        <w:pStyle w:val="Recommendation2"/>
        <w:keepNext/>
        <w:spacing w:after="0"/>
        <w:rPr>
          <w:b/>
          <w:bCs/>
        </w:rPr>
      </w:pPr>
      <w:bookmarkStart w:id="92" w:name="_Toc127978392"/>
      <w:bookmarkStart w:id="93" w:name="_Toc128649100"/>
      <w:bookmarkStart w:id="94" w:name="_Toc130217456"/>
      <w:r w:rsidRPr="00734A50">
        <w:rPr>
          <w:b/>
          <w:bCs/>
        </w:rPr>
        <w:t>Recommendation 11: Ensure professional recognition for mentor teachers</w:t>
      </w:r>
    </w:p>
    <w:p w14:paraId="7BF5E8AB" w14:textId="77777777" w:rsidR="007C7EE3" w:rsidRPr="00734A50" w:rsidRDefault="007C7EE3" w:rsidP="00684BA1">
      <w:pPr>
        <w:pStyle w:val="Recommendation2"/>
        <w:spacing w:after="0"/>
      </w:pPr>
      <w:r w:rsidRPr="00734A50">
        <w:t>Education Ministers to agree to pursue professional recognition of mentor teachers by:</w:t>
      </w:r>
    </w:p>
    <w:p w14:paraId="66C9BBE4" w14:textId="77777777" w:rsidR="00684BA1" w:rsidRPr="00734A50" w:rsidRDefault="007C7EE3" w:rsidP="00684BA1">
      <w:pPr>
        <w:pStyle w:val="Recommendation2"/>
        <w:numPr>
          <w:ilvl w:val="0"/>
          <w:numId w:val="171"/>
        </w:numPr>
        <w:spacing w:after="0"/>
      </w:pPr>
      <w:r w:rsidRPr="00734A50">
        <w:t xml:space="preserve">counting part of the hours mentor teachers spend supervising practical experience placements toward their professional learning requirements for obtaining and maintaining teacher </w:t>
      </w:r>
      <w:r w:rsidRPr="00734A50">
        <w:rPr>
          <w:szCs w:val="22"/>
        </w:rPr>
        <w:t>registration</w:t>
      </w:r>
    </w:p>
    <w:p w14:paraId="7CC6290E" w14:textId="4E216371" w:rsidR="008D077B" w:rsidRPr="00734A50" w:rsidRDefault="00EE3DD4" w:rsidP="00684BA1">
      <w:pPr>
        <w:pStyle w:val="Recommendation2"/>
        <w:numPr>
          <w:ilvl w:val="0"/>
          <w:numId w:val="171"/>
        </w:numPr>
        <w:spacing w:after="0"/>
      </w:pPr>
      <w:r w:rsidRPr="00734A50">
        <w:t>requiring</w:t>
      </w:r>
      <w:r w:rsidR="007C7EE3" w:rsidRPr="00734A50">
        <w:t xml:space="preserve"> the experience of mentoring </w:t>
      </w:r>
      <w:r w:rsidR="007C7EE3" w:rsidRPr="00734A50">
        <w:rPr>
          <w:lang w:eastAsia="en-AU"/>
        </w:rPr>
        <w:t>initial teacher education</w:t>
      </w:r>
      <w:r w:rsidR="007C7EE3" w:rsidRPr="00734A50">
        <w:t xml:space="preserve"> students as evidence for High</w:t>
      </w:r>
      <w:r w:rsidR="00D36252">
        <w:t>ly</w:t>
      </w:r>
      <w:r w:rsidR="007C7EE3" w:rsidRPr="00734A50">
        <w:t xml:space="preserve"> </w:t>
      </w:r>
      <w:r w:rsidR="00D36252">
        <w:t>Accomplished</w:t>
      </w:r>
      <w:r w:rsidR="00D36252" w:rsidRPr="00734A50">
        <w:t xml:space="preserve"> </w:t>
      </w:r>
      <w:r w:rsidR="007C7EE3" w:rsidRPr="00734A50">
        <w:t xml:space="preserve">and Lead Teacher </w:t>
      </w:r>
      <w:r w:rsidR="00E21E99" w:rsidRPr="00734A50">
        <w:t xml:space="preserve">or equivalent </w:t>
      </w:r>
      <w:r w:rsidR="00710336" w:rsidRPr="00734A50">
        <w:t>certification</w:t>
      </w:r>
      <w:r w:rsidR="007C7EE3" w:rsidRPr="00734A50">
        <w:t>.</w:t>
      </w:r>
    </w:p>
    <w:p w14:paraId="3DF0AA1B" w14:textId="77777777" w:rsidR="00684BA1" w:rsidRPr="00734A50" w:rsidRDefault="00684BA1">
      <w:pPr>
        <w:spacing w:after="160" w:line="259" w:lineRule="auto"/>
      </w:pPr>
      <w:r w:rsidRPr="00734A50">
        <w:br w:type="page"/>
      </w:r>
    </w:p>
    <w:p w14:paraId="0CD754F4" w14:textId="37F524AF" w:rsidR="009651C9" w:rsidRPr="009651C9" w:rsidRDefault="009651C9" w:rsidP="009651C9">
      <w:pPr>
        <w:spacing w:after="0" w:line="259" w:lineRule="auto"/>
        <w:ind w:left="1560" w:hanging="426"/>
        <w:rPr>
          <w:rFonts w:asciiTheme="majorHAnsi" w:hAnsiTheme="majorHAnsi" w:cstheme="majorHAnsi"/>
          <w:b/>
          <w:bCs/>
          <w:noProof/>
          <w:color w:val="FFFFFF" w:themeColor="accent3"/>
          <w:sz w:val="32"/>
          <w:szCs w:val="32"/>
        </w:rPr>
      </w:pPr>
      <w:r>
        <w:rPr>
          <w:noProof/>
        </w:rPr>
        <w:lastRenderedPageBreak/>
        <w:drawing>
          <wp:anchor distT="0" distB="0" distL="114300" distR="114300" simplePos="0" relativeHeight="251658243" behindDoc="1" locked="0" layoutInCell="1" allowOverlap="1" wp14:anchorId="130025DC" wp14:editId="5C66EB8E">
            <wp:simplePos x="0" y="0"/>
            <wp:positionH relativeFrom="column">
              <wp:posOffset>-1019175</wp:posOffset>
            </wp:positionH>
            <wp:positionV relativeFrom="paragraph">
              <wp:posOffset>-1323975</wp:posOffset>
            </wp:positionV>
            <wp:extent cx="7325225" cy="10401300"/>
            <wp:effectExtent l="0" t="0" r="9525"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335610" cy="10416046"/>
                    </a:xfrm>
                    <a:prstGeom prst="rect">
                      <a:avLst/>
                    </a:prstGeom>
                  </pic:spPr>
                </pic:pic>
              </a:graphicData>
            </a:graphic>
            <wp14:sizeRelH relativeFrom="margin">
              <wp14:pctWidth>0</wp14:pctWidth>
            </wp14:sizeRelH>
            <wp14:sizeRelV relativeFrom="margin">
              <wp14:pctHeight>0</wp14:pctHeight>
            </wp14:sizeRelV>
          </wp:anchor>
        </w:drawing>
      </w:r>
    </w:p>
    <w:p w14:paraId="04A5A9C6" w14:textId="77777777" w:rsidR="009651C9" w:rsidRPr="009651C9" w:rsidRDefault="009651C9" w:rsidP="009651C9">
      <w:pPr>
        <w:spacing w:after="0" w:line="259" w:lineRule="auto"/>
        <w:ind w:left="1560" w:hanging="426"/>
        <w:rPr>
          <w:rFonts w:asciiTheme="majorHAnsi" w:hAnsiTheme="majorHAnsi" w:cstheme="majorHAnsi"/>
          <w:b/>
          <w:bCs/>
          <w:noProof/>
          <w:color w:val="FFFFFF" w:themeColor="accent3"/>
          <w:sz w:val="32"/>
          <w:szCs w:val="32"/>
        </w:rPr>
      </w:pPr>
    </w:p>
    <w:p w14:paraId="710BA97F" w14:textId="77777777" w:rsidR="009651C9" w:rsidRDefault="009651C9" w:rsidP="009651C9">
      <w:pPr>
        <w:spacing w:after="0" w:line="259" w:lineRule="auto"/>
        <w:ind w:left="1560" w:hanging="426"/>
        <w:rPr>
          <w:rFonts w:asciiTheme="majorHAnsi" w:hAnsiTheme="majorHAnsi" w:cstheme="majorHAnsi"/>
          <w:b/>
          <w:bCs/>
          <w:noProof/>
          <w:color w:val="FFFFFF" w:themeColor="accent3"/>
          <w:sz w:val="52"/>
          <w:szCs w:val="52"/>
        </w:rPr>
      </w:pPr>
    </w:p>
    <w:p w14:paraId="296110CE" w14:textId="77777777" w:rsidR="009651C9" w:rsidRDefault="009651C9" w:rsidP="009651C9">
      <w:pPr>
        <w:spacing w:after="0" w:line="259" w:lineRule="auto"/>
        <w:ind w:left="1560" w:hanging="426"/>
        <w:rPr>
          <w:rFonts w:asciiTheme="majorHAnsi" w:hAnsiTheme="majorHAnsi" w:cstheme="majorHAnsi"/>
          <w:b/>
          <w:bCs/>
          <w:noProof/>
          <w:color w:val="FFFFFF" w:themeColor="accent3"/>
          <w:sz w:val="52"/>
          <w:szCs w:val="52"/>
        </w:rPr>
      </w:pPr>
    </w:p>
    <w:p w14:paraId="08F1F127" w14:textId="67725CDA" w:rsidR="007C1D0B" w:rsidRPr="009651C9" w:rsidRDefault="007C1D0B" w:rsidP="009651C9">
      <w:pPr>
        <w:spacing w:after="0" w:line="259" w:lineRule="auto"/>
        <w:ind w:left="1560" w:hanging="426"/>
        <w:rPr>
          <w:rFonts w:asciiTheme="majorHAnsi" w:hAnsiTheme="majorHAnsi" w:cstheme="majorHAnsi"/>
          <w:b/>
          <w:bCs/>
          <w:noProof/>
          <w:color w:val="FFFFFF" w:themeColor="accent3"/>
          <w:sz w:val="52"/>
          <w:szCs w:val="52"/>
        </w:rPr>
      </w:pPr>
      <w:r w:rsidRPr="009651C9">
        <w:rPr>
          <w:rFonts w:asciiTheme="majorHAnsi" w:hAnsiTheme="majorHAnsi" w:cstheme="majorHAnsi"/>
          <w:b/>
          <w:bCs/>
          <w:noProof/>
          <w:color w:val="FFFFFF" w:themeColor="accent3"/>
          <w:sz w:val="52"/>
          <w:szCs w:val="52"/>
        </w:rPr>
        <w:t>Chapter 4</w:t>
      </w:r>
    </w:p>
    <w:p w14:paraId="07D03DCB" w14:textId="1A59FAA9" w:rsidR="007C1D0B" w:rsidRPr="004F3824" w:rsidRDefault="007C1D0B" w:rsidP="009651C9">
      <w:pPr>
        <w:spacing w:after="0" w:line="259" w:lineRule="auto"/>
        <w:ind w:left="1560"/>
        <w:rPr>
          <w:rFonts w:asciiTheme="majorHAnsi" w:hAnsiTheme="majorHAnsi" w:cstheme="majorHAnsi"/>
          <w:noProof/>
          <w:color w:val="FFFFFF" w:themeColor="accent3"/>
          <w:sz w:val="36"/>
          <w:szCs w:val="36"/>
        </w:rPr>
      </w:pPr>
      <w:r w:rsidRPr="004F3824">
        <w:rPr>
          <w:rFonts w:asciiTheme="majorHAnsi" w:hAnsiTheme="majorHAnsi" w:cstheme="majorHAnsi"/>
          <w:noProof/>
          <w:color w:val="FFFFFF" w:themeColor="accent3"/>
          <w:sz w:val="36"/>
          <w:szCs w:val="36"/>
        </w:rPr>
        <w:t>Improving postgraduate initial teacher education for mid-career entrants</w:t>
      </w:r>
    </w:p>
    <w:p w14:paraId="0F3F90C0" w14:textId="2B8C576D" w:rsidR="00822892" w:rsidRPr="00734A50" w:rsidRDefault="00822892" w:rsidP="00937758"/>
    <w:p w14:paraId="01C097F5" w14:textId="77777777" w:rsidR="00936522" w:rsidRPr="00734A50" w:rsidRDefault="00936522">
      <w:pPr>
        <w:spacing w:after="160" w:line="259" w:lineRule="auto"/>
        <w:rPr>
          <w:rFonts w:asciiTheme="majorHAnsi" w:eastAsia="Times New Roman" w:hAnsiTheme="majorHAnsi" w:cs="Calibri"/>
          <w:b/>
          <w:color w:val="002C3E" w:themeColor="background2"/>
          <w:sz w:val="44"/>
          <w:szCs w:val="44"/>
          <w:lang w:eastAsia="en-AU"/>
        </w:rPr>
      </w:pPr>
      <w:r w:rsidRPr="00734A50">
        <w:rPr>
          <w:rFonts w:asciiTheme="majorHAnsi" w:eastAsia="Times New Roman" w:hAnsiTheme="majorHAnsi"/>
          <w:b/>
          <w:color w:val="002C3E" w:themeColor="background2"/>
          <w:sz w:val="44"/>
          <w:szCs w:val="44"/>
        </w:rPr>
        <w:br w:type="page"/>
      </w:r>
    </w:p>
    <w:p w14:paraId="3F0FB2ED" w14:textId="637F2202" w:rsidR="00726306" w:rsidRPr="00357D89" w:rsidRDefault="007D5BF6" w:rsidP="00357D89">
      <w:pPr>
        <w:pStyle w:val="Heading1"/>
      </w:pPr>
      <w:bookmarkStart w:id="95" w:name="_Toc139366658"/>
      <w:r w:rsidRPr="00357D89">
        <w:lastRenderedPageBreak/>
        <w:t>I</w:t>
      </w:r>
      <w:r w:rsidR="002A4BFB">
        <w:t>mproving postgraduate initial teacher education for mid-career entrants</w:t>
      </w:r>
      <w:bookmarkEnd w:id="92"/>
      <w:bookmarkEnd w:id="93"/>
      <w:bookmarkEnd w:id="94"/>
      <w:bookmarkEnd w:id="95"/>
    </w:p>
    <w:p w14:paraId="156929FE" w14:textId="77777777" w:rsidR="00A83317" w:rsidRPr="00A83317" w:rsidRDefault="00A83317" w:rsidP="00A83317">
      <w:pPr>
        <w:pBdr>
          <w:top w:val="single" w:sz="4" w:space="1" w:color="auto"/>
          <w:left w:val="single" w:sz="4" w:space="4" w:color="auto"/>
          <w:bottom w:val="single" w:sz="4" w:space="1" w:color="auto"/>
          <w:right w:val="single" w:sz="4" w:space="4" w:color="auto"/>
        </w:pBdr>
        <w:rPr>
          <w:rFonts w:asciiTheme="majorHAnsi" w:eastAsia="Times New Roman" w:hAnsiTheme="majorHAnsi"/>
          <w:b/>
          <w:bCs/>
          <w:color w:val="002C3E" w:themeColor="background2"/>
        </w:rPr>
      </w:pPr>
      <w:r w:rsidRPr="008935BC">
        <w:rPr>
          <w:rFonts w:ascii="Calibri" w:eastAsia="Calibri" w:hAnsi="Calibri" w:cs="Calibri"/>
          <w:b/>
          <w:bCs/>
          <w:color w:val="002C3E" w:themeColor="background2"/>
        </w:rPr>
        <w:t>Key points</w:t>
      </w:r>
    </w:p>
    <w:p w14:paraId="7E7C9FE7" w14:textId="77777777" w:rsidR="00A83317" w:rsidRPr="008935BC"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8935BC">
        <w:rPr>
          <w:rFonts w:ascii="Calibri" w:eastAsia="Calibri" w:hAnsi="Calibri" w:cs="Calibri"/>
          <w:color w:val="002C3E" w:themeColor="background2"/>
        </w:rPr>
        <w:t xml:space="preserve">Mid-career entrants into initial teacher education can help address teacher shortages and </w:t>
      </w:r>
      <w:r>
        <w:rPr>
          <w:rFonts w:ascii="Calibri" w:eastAsia="Calibri" w:hAnsi="Calibri" w:cs="Calibri"/>
          <w:color w:val="002C3E" w:themeColor="background2"/>
        </w:rPr>
        <w:t xml:space="preserve">contribute to increased </w:t>
      </w:r>
      <w:r w:rsidRPr="008935BC">
        <w:rPr>
          <w:rFonts w:ascii="Calibri" w:eastAsia="Calibri" w:hAnsi="Calibri" w:cs="Calibri"/>
          <w:color w:val="002C3E" w:themeColor="background2"/>
        </w:rPr>
        <w:t>diversity in the teaching profession.</w:t>
      </w:r>
    </w:p>
    <w:p w14:paraId="0E0F6EB0" w14:textId="77777777" w:rsidR="00A83317" w:rsidRPr="00DC5231"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8935BC">
        <w:rPr>
          <w:rFonts w:ascii="Calibri" w:eastAsia="Calibri" w:hAnsi="Calibri" w:cs="Calibri"/>
          <w:color w:val="002C3E" w:themeColor="background2"/>
        </w:rPr>
        <w:t>Mid-career entrants are driven by intrinsic motivations to transition into teaching but face direct and indirect costs, including loss of income (</w:t>
      </w:r>
      <w:r w:rsidRPr="00DC5231">
        <w:rPr>
          <w:rFonts w:ascii="Calibri" w:eastAsia="Calibri" w:hAnsi="Calibri" w:cs="Calibri"/>
          <w:color w:val="002C3E" w:themeColor="background2"/>
        </w:rPr>
        <w:t>direct cost) and difficulty balancing family commitments (indirect cost).</w:t>
      </w:r>
    </w:p>
    <w:p w14:paraId="0115FC88" w14:textId="77777777" w:rsidR="00A83317" w:rsidRPr="00DC5231"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DC5231">
        <w:rPr>
          <w:rFonts w:ascii="Calibri" w:eastAsia="Calibri" w:hAnsi="Calibri" w:cs="Calibri"/>
          <w:color w:val="002C3E" w:themeColor="background2"/>
        </w:rPr>
        <w:t>Mid-career entrants engaging in regional, rural and remote practical experience placements face even greater challenges.</w:t>
      </w:r>
    </w:p>
    <w:p w14:paraId="43858F6C" w14:textId="77777777" w:rsidR="00A83317" w:rsidRPr="00DC5231"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DC5231">
        <w:rPr>
          <w:rFonts w:ascii="Calibri" w:eastAsia="Calibri" w:hAnsi="Calibri" w:cs="Calibri"/>
          <w:color w:val="002C3E" w:themeColor="background2"/>
        </w:rPr>
        <w:t xml:space="preserve">The Panel was asked to provide advice on improving postgraduate ITE </w:t>
      </w:r>
      <w:r>
        <w:rPr>
          <w:rFonts w:ascii="Calibri" w:eastAsia="Calibri" w:hAnsi="Calibri" w:cs="Calibri"/>
          <w:color w:val="002C3E" w:themeColor="background2"/>
        </w:rPr>
        <w:t xml:space="preserve">programs </w:t>
      </w:r>
      <w:r w:rsidRPr="00DC5231">
        <w:rPr>
          <w:rFonts w:ascii="Calibri" w:eastAsia="Calibri" w:hAnsi="Calibri" w:cs="Calibri"/>
          <w:color w:val="002C3E" w:themeColor="background2"/>
        </w:rPr>
        <w:t>to attract mid-career entrants.</w:t>
      </w:r>
    </w:p>
    <w:p w14:paraId="75DC0DE8" w14:textId="77777777" w:rsidR="00A83317" w:rsidRPr="00DC5231"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DC5231">
        <w:rPr>
          <w:rFonts w:ascii="Calibri" w:eastAsia="Calibri" w:hAnsi="Calibri" w:cs="Calibri"/>
          <w:color w:val="002C3E" w:themeColor="background2"/>
        </w:rPr>
        <w:t xml:space="preserve">The Panel found that </w:t>
      </w:r>
      <w:r>
        <w:rPr>
          <w:rFonts w:ascii="Calibri" w:eastAsia="Calibri" w:hAnsi="Calibri" w:cs="Calibri"/>
          <w:color w:val="002C3E" w:themeColor="background2"/>
        </w:rPr>
        <w:t xml:space="preserve">financial incentives (such as </w:t>
      </w:r>
      <w:r w:rsidRPr="00DC5231">
        <w:rPr>
          <w:rFonts w:ascii="Calibri" w:eastAsia="Calibri" w:hAnsi="Calibri" w:cs="Calibri"/>
          <w:color w:val="002C3E" w:themeColor="background2"/>
        </w:rPr>
        <w:t>employment during study</w:t>
      </w:r>
      <w:r>
        <w:rPr>
          <w:rFonts w:ascii="Calibri" w:eastAsia="Calibri" w:hAnsi="Calibri" w:cs="Calibri"/>
          <w:color w:val="002C3E" w:themeColor="background2"/>
        </w:rPr>
        <w:t>)</w:t>
      </w:r>
      <w:r w:rsidRPr="00DC5231">
        <w:rPr>
          <w:rFonts w:ascii="Calibri" w:eastAsia="Calibri" w:hAnsi="Calibri" w:cs="Calibri"/>
          <w:color w:val="002C3E" w:themeColor="background2"/>
        </w:rPr>
        <w:t xml:space="preserve">, guaranteed paid work and flexible study options are </w:t>
      </w:r>
      <w:r>
        <w:rPr>
          <w:rFonts w:ascii="Calibri" w:eastAsia="Calibri" w:hAnsi="Calibri" w:cs="Calibri"/>
          <w:color w:val="002C3E" w:themeColor="background2"/>
        </w:rPr>
        <w:t>valued by mid-career entrants</w:t>
      </w:r>
      <w:r w:rsidRPr="00DC5231">
        <w:rPr>
          <w:rFonts w:ascii="Calibri" w:eastAsia="Calibri" w:hAnsi="Calibri" w:cs="Calibri"/>
          <w:color w:val="002C3E" w:themeColor="background2"/>
        </w:rPr>
        <w:t>, but these are not always available</w:t>
      </w:r>
      <w:r>
        <w:rPr>
          <w:rFonts w:ascii="Calibri" w:eastAsia="Calibri" w:hAnsi="Calibri" w:cs="Calibri"/>
          <w:color w:val="002C3E" w:themeColor="background2"/>
        </w:rPr>
        <w:t xml:space="preserve"> in ITE programs</w:t>
      </w:r>
      <w:r w:rsidRPr="00DC5231">
        <w:rPr>
          <w:rFonts w:ascii="Calibri" w:eastAsia="Calibri" w:hAnsi="Calibri" w:cs="Calibri"/>
          <w:color w:val="002C3E" w:themeColor="background2"/>
        </w:rPr>
        <w:t>.</w:t>
      </w:r>
    </w:p>
    <w:p w14:paraId="160E6343" w14:textId="77777777" w:rsidR="00A83317" w:rsidRPr="00DC5231"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DC5231">
        <w:rPr>
          <w:rFonts w:ascii="Calibri" w:eastAsia="Calibri" w:hAnsi="Calibri" w:cs="Calibri"/>
          <w:color w:val="002C3E" w:themeColor="background2"/>
        </w:rPr>
        <w:t>Consultation highlighted accelerated employment-based pathways as an effective model for mid-career entrants and showed these pathways are possible within existing regulatory arrangements.</w:t>
      </w:r>
    </w:p>
    <w:p w14:paraId="4102BD0F" w14:textId="77777777" w:rsidR="00A83317" w:rsidRPr="00DC5231"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DC5231">
        <w:rPr>
          <w:rFonts w:ascii="Calibri" w:eastAsia="Calibri" w:hAnsi="Calibri" w:cs="Calibri"/>
          <w:color w:val="002C3E" w:themeColor="background2"/>
        </w:rPr>
        <w:t>There is an opportunity to develop new or scale current employment-based programs within existing regulatory arrangements and through system-level agreements to attract more mid-career entrants.</w:t>
      </w:r>
    </w:p>
    <w:p w14:paraId="211BB960" w14:textId="77777777" w:rsidR="00A83317" w:rsidRPr="008935BC"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DC5231">
        <w:rPr>
          <w:rFonts w:ascii="Calibri" w:eastAsia="Calibri" w:hAnsi="Calibri" w:cs="Calibri"/>
          <w:color w:val="002C3E" w:themeColor="background2"/>
        </w:rPr>
        <w:t>Higher education providers can do more to promote employment-based</w:t>
      </w:r>
      <w:r w:rsidRPr="008935BC">
        <w:rPr>
          <w:rFonts w:ascii="Calibri" w:eastAsia="Calibri" w:hAnsi="Calibri" w:cs="Calibri"/>
          <w:color w:val="002C3E" w:themeColor="background2"/>
        </w:rPr>
        <w:t xml:space="preserve"> pathways and </w:t>
      </w:r>
      <w:r>
        <w:rPr>
          <w:rFonts w:ascii="Calibri" w:eastAsia="Calibri" w:hAnsi="Calibri" w:cs="Calibri"/>
          <w:color w:val="002C3E" w:themeColor="background2"/>
        </w:rPr>
        <w:t xml:space="preserve">offer </w:t>
      </w:r>
      <w:r w:rsidRPr="008935BC">
        <w:rPr>
          <w:rFonts w:ascii="Calibri" w:eastAsia="Calibri" w:hAnsi="Calibri" w:cs="Calibri"/>
          <w:color w:val="002C3E" w:themeColor="background2"/>
        </w:rPr>
        <w:t>broader support to attract mid-career entrants into teaching.</w:t>
      </w:r>
    </w:p>
    <w:p w14:paraId="3FA351F2" w14:textId="77777777" w:rsidR="00A83317" w:rsidRPr="008935BC" w:rsidRDefault="00A83317" w:rsidP="00A83317">
      <w:pPr>
        <w:numPr>
          <w:ilvl w:val="0"/>
          <w:numId w:val="71"/>
        </w:numPr>
        <w:pBdr>
          <w:top w:val="single" w:sz="4" w:space="1" w:color="auto"/>
          <w:left w:val="single" w:sz="4" w:space="4" w:color="auto"/>
          <w:bottom w:val="single" w:sz="4" w:space="1" w:color="auto"/>
          <w:right w:val="single" w:sz="4" w:space="4" w:color="auto"/>
        </w:pBdr>
        <w:rPr>
          <w:rFonts w:ascii="Calibri" w:eastAsia="Calibri" w:hAnsi="Calibri" w:cs="Calibri"/>
          <w:color w:val="002C3E" w:themeColor="background2"/>
        </w:rPr>
      </w:pPr>
      <w:r w:rsidRPr="008935BC">
        <w:rPr>
          <w:rFonts w:ascii="Calibri" w:eastAsia="Calibri" w:hAnsi="Calibri" w:cs="Calibri"/>
          <w:color w:val="002C3E" w:themeColor="background2"/>
        </w:rPr>
        <w:t>Key evidence gaps identified through consultation can be filled by leveraging and linking existing data, such as the Australian Teacher Workforce Data collection, and commissioning new research, program evaluations and modelling.</w:t>
      </w:r>
    </w:p>
    <w:p w14:paraId="00235BA9" w14:textId="1A5F1CDB" w:rsidR="003C0A60" w:rsidRPr="00734A50" w:rsidRDefault="003C0A60" w:rsidP="3BEA4CD0">
      <w:pPr>
        <w:shd w:val="clear" w:color="auto" w:fill="FFFFFF" w:themeFill="accent6"/>
      </w:pPr>
    </w:p>
    <w:p w14:paraId="65C32E89" w14:textId="4E463721" w:rsidR="00726306" w:rsidRPr="00734A50" w:rsidRDefault="00E72048" w:rsidP="000C715B">
      <w:pPr>
        <w:pStyle w:val="Heading2"/>
      </w:pPr>
      <w:bookmarkStart w:id="96" w:name="_Toc139366659"/>
      <w:r w:rsidRPr="00734A50">
        <w:t>C</w:t>
      </w:r>
      <w:r w:rsidR="002A4BFB">
        <w:t>ontext</w:t>
      </w:r>
      <w:bookmarkEnd w:id="96"/>
    </w:p>
    <w:p w14:paraId="22D534FF" w14:textId="663BB0DC" w:rsidR="00235687" w:rsidRPr="00734A50" w:rsidRDefault="00235687" w:rsidP="00963445">
      <w:pPr>
        <w:rPr>
          <w:lang w:eastAsia="en-AU"/>
        </w:rPr>
      </w:pPr>
      <w:r w:rsidRPr="00734A50">
        <w:rPr>
          <w:lang w:eastAsia="en-AU"/>
        </w:rPr>
        <w:t xml:space="preserve">Increasing the number of mid-career ITE entrants can help to address teacher shortages and </w:t>
      </w:r>
      <w:r w:rsidR="008B6C93" w:rsidRPr="00734A50">
        <w:rPr>
          <w:lang w:eastAsia="en-AU"/>
        </w:rPr>
        <w:t>contribute increased</w:t>
      </w:r>
      <w:r w:rsidRPr="00734A50">
        <w:rPr>
          <w:lang w:eastAsia="en-AU"/>
        </w:rPr>
        <w:t xml:space="preserve"> diversity in the teaching profession. However, mid-career cohorts face different barriers </w:t>
      </w:r>
      <w:r w:rsidR="00164BA0" w:rsidRPr="00734A50">
        <w:rPr>
          <w:lang w:eastAsia="en-AU"/>
        </w:rPr>
        <w:t xml:space="preserve">from </w:t>
      </w:r>
      <w:r w:rsidRPr="00734A50">
        <w:rPr>
          <w:lang w:eastAsia="en-AU"/>
        </w:rPr>
        <w:t>their school leaver counterparts when it comes to entering ITE programs, transitioning to classroom teaching and remaining in the teaching profession.</w:t>
      </w:r>
    </w:p>
    <w:p w14:paraId="685ECDA9" w14:textId="23605C20" w:rsidR="00235687" w:rsidRPr="00734A50" w:rsidRDefault="00235687" w:rsidP="00963445">
      <w:pPr>
        <w:rPr>
          <w:lang w:eastAsia="en-AU"/>
        </w:rPr>
      </w:pPr>
      <w:r w:rsidRPr="00734A50">
        <w:rPr>
          <w:lang w:eastAsia="en-AU"/>
        </w:rPr>
        <w:lastRenderedPageBreak/>
        <w:t xml:space="preserve">The QITE </w:t>
      </w:r>
      <w:r w:rsidR="004B1C1E" w:rsidRPr="00734A50">
        <w:rPr>
          <w:lang w:eastAsia="en-AU"/>
        </w:rPr>
        <w:t>R</w:t>
      </w:r>
      <w:r w:rsidRPr="00734A50">
        <w:rPr>
          <w:lang w:eastAsia="en-AU"/>
        </w:rPr>
        <w:t xml:space="preserve">eview made several recommendations regarding attracting mid-career cohorts into teaching, including the provision of evidence-based incentives and alternative pathways into teaching. Bespoke programs targeted at mid-career cohorts now exist in </w:t>
      </w:r>
      <w:r w:rsidR="0033258D" w:rsidRPr="00734A50">
        <w:rPr>
          <w:lang w:eastAsia="en-AU"/>
        </w:rPr>
        <w:t>many</w:t>
      </w:r>
      <w:r w:rsidRPr="00734A50">
        <w:rPr>
          <w:lang w:eastAsia="en-AU"/>
        </w:rPr>
        <w:t xml:space="preserve"> jurisdictions but most of these programs are still in their infancy</w:t>
      </w:r>
      <w:r w:rsidR="00963445" w:rsidRPr="00734A50">
        <w:rPr>
          <w:lang w:eastAsia="en-AU"/>
        </w:rPr>
        <w:t>,</w:t>
      </w:r>
      <w:r w:rsidRPr="00734A50">
        <w:rPr>
          <w:lang w:eastAsia="en-AU"/>
        </w:rPr>
        <w:t xml:space="preserve"> </w:t>
      </w:r>
      <w:r w:rsidR="00164BA0" w:rsidRPr="00734A50">
        <w:rPr>
          <w:lang w:eastAsia="en-AU"/>
        </w:rPr>
        <w:t xml:space="preserve">so </w:t>
      </w:r>
      <w:r w:rsidRPr="00734A50">
        <w:rPr>
          <w:lang w:eastAsia="en-AU"/>
        </w:rPr>
        <w:t>evidence about their effectiveness</w:t>
      </w:r>
      <w:r w:rsidR="00164BA0" w:rsidRPr="00734A50">
        <w:rPr>
          <w:lang w:eastAsia="en-AU"/>
        </w:rPr>
        <w:t xml:space="preserve"> is</w:t>
      </w:r>
      <w:r w:rsidRPr="00734A50">
        <w:rPr>
          <w:lang w:eastAsia="en-AU"/>
        </w:rPr>
        <w:t xml:space="preserve"> </w:t>
      </w:r>
      <w:r w:rsidR="00164BA0" w:rsidRPr="00734A50">
        <w:rPr>
          <w:lang w:eastAsia="en-AU"/>
        </w:rPr>
        <w:t xml:space="preserve">just </w:t>
      </w:r>
      <w:r w:rsidRPr="00734A50">
        <w:rPr>
          <w:lang w:eastAsia="en-AU"/>
        </w:rPr>
        <w:t>emerging. </w:t>
      </w:r>
    </w:p>
    <w:p w14:paraId="2BD2B1EB" w14:textId="472A1F41" w:rsidR="00E22F1A" w:rsidRPr="00734A50" w:rsidRDefault="006D3DBD" w:rsidP="102CE0DA">
      <w:pPr>
        <w:rPr>
          <w:lang w:eastAsia="en-AU"/>
        </w:rPr>
      </w:pPr>
      <w:r w:rsidRPr="00734A50">
        <w:rPr>
          <w:lang w:eastAsia="en-AU"/>
        </w:rPr>
        <w:t xml:space="preserve">The </w:t>
      </w:r>
      <w:r w:rsidR="000D7B20" w:rsidRPr="00734A50">
        <w:rPr>
          <w:lang w:eastAsia="en-AU"/>
        </w:rPr>
        <w:t>NTWAP</w:t>
      </w:r>
      <w:r w:rsidRPr="00734A50">
        <w:rPr>
          <w:lang w:eastAsia="en-AU"/>
        </w:rPr>
        <w:t xml:space="preserve"> </w:t>
      </w:r>
      <w:r w:rsidR="006E7ADB" w:rsidRPr="00734A50">
        <w:rPr>
          <w:lang w:eastAsia="en-AU"/>
        </w:rPr>
        <w:t xml:space="preserve">includes actions to </w:t>
      </w:r>
      <w:r w:rsidR="007A6DBA" w:rsidRPr="00734A50">
        <w:rPr>
          <w:lang w:eastAsia="en-AU"/>
        </w:rPr>
        <w:t xml:space="preserve">attract mid-career entrants into the </w:t>
      </w:r>
      <w:r w:rsidR="00815181" w:rsidRPr="00734A50">
        <w:rPr>
          <w:lang w:eastAsia="en-AU"/>
        </w:rPr>
        <w:t xml:space="preserve">teaching </w:t>
      </w:r>
      <w:r w:rsidR="007A6DBA" w:rsidRPr="00734A50">
        <w:rPr>
          <w:lang w:eastAsia="en-AU"/>
        </w:rPr>
        <w:t>profession</w:t>
      </w:r>
      <w:r w:rsidR="00EB0070" w:rsidRPr="00734A50">
        <w:rPr>
          <w:lang w:eastAsia="en-AU"/>
        </w:rPr>
        <w:t>. This includes</w:t>
      </w:r>
      <w:r w:rsidR="00755FB7" w:rsidRPr="00734A50">
        <w:rPr>
          <w:lang w:eastAsia="en-AU"/>
        </w:rPr>
        <w:t xml:space="preserve"> </w:t>
      </w:r>
      <w:r w:rsidR="00FD548F" w:rsidRPr="00734A50">
        <w:rPr>
          <w:lang w:eastAsia="en-AU"/>
        </w:rPr>
        <w:t>offering bursaries to high</w:t>
      </w:r>
      <w:r w:rsidR="007E0022" w:rsidRPr="00734A50">
        <w:rPr>
          <w:lang w:eastAsia="en-AU"/>
        </w:rPr>
        <w:t>-</w:t>
      </w:r>
      <w:r w:rsidR="00FD548F" w:rsidRPr="00734A50">
        <w:rPr>
          <w:lang w:eastAsia="en-AU"/>
        </w:rPr>
        <w:t>quality candidates</w:t>
      </w:r>
      <w:r w:rsidR="00815181" w:rsidRPr="00734A50">
        <w:rPr>
          <w:lang w:eastAsia="en-AU"/>
        </w:rPr>
        <w:t>;</w:t>
      </w:r>
      <w:r w:rsidR="00FD548F" w:rsidRPr="00734A50">
        <w:rPr>
          <w:lang w:eastAsia="en-AU"/>
        </w:rPr>
        <w:t xml:space="preserve"> expan</w:t>
      </w:r>
      <w:r w:rsidR="00164BA0" w:rsidRPr="00734A50">
        <w:rPr>
          <w:lang w:eastAsia="en-AU"/>
        </w:rPr>
        <w:t>ding</w:t>
      </w:r>
      <w:r w:rsidR="00FD548F" w:rsidRPr="00734A50">
        <w:rPr>
          <w:lang w:eastAsia="en-AU"/>
        </w:rPr>
        <w:t xml:space="preserve"> the High</w:t>
      </w:r>
      <w:r w:rsidR="008E0082" w:rsidRPr="00734A50">
        <w:rPr>
          <w:lang w:eastAsia="en-AU"/>
        </w:rPr>
        <w:t>-</w:t>
      </w:r>
      <w:r w:rsidR="00FD548F" w:rsidRPr="00734A50">
        <w:rPr>
          <w:lang w:eastAsia="en-AU"/>
        </w:rPr>
        <w:t>Achieving Teachers Program</w:t>
      </w:r>
      <w:r w:rsidR="00815181" w:rsidRPr="00734A50">
        <w:rPr>
          <w:lang w:eastAsia="en-AU"/>
        </w:rPr>
        <w:t>;</w:t>
      </w:r>
      <w:r w:rsidR="00FD548F" w:rsidRPr="00734A50">
        <w:rPr>
          <w:lang w:eastAsia="en-AU"/>
        </w:rPr>
        <w:t xml:space="preserve"> </w:t>
      </w:r>
      <w:r w:rsidR="00975E2B" w:rsidRPr="00734A50">
        <w:rPr>
          <w:lang w:eastAsia="en-AU"/>
        </w:rPr>
        <w:t>recogni</w:t>
      </w:r>
      <w:r w:rsidR="00164BA0" w:rsidRPr="00734A50">
        <w:rPr>
          <w:lang w:eastAsia="en-AU"/>
        </w:rPr>
        <w:t>sing</w:t>
      </w:r>
      <w:r w:rsidR="00975E2B" w:rsidRPr="00734A50">
        <w:rPr>
          <w:lang w:eastAsia="en-AU"/>
        </w:rPr>
        <w:t xml:space="preserve"> previous study, work experience and skills</w:t>
      </w:r>
      <w:r w:rsidR="00815181" w:rsidRPr="00734A50">
        <w:rPr>
          <w:lang w:eastAsia="en-AU"/>
        </w:rPr>
        <w:t>;</w:t>
      </w:r>
      <w:r w:rsidR="00910C62" w:rsidRPr="00734A50">
        <w:rPr>
          <w:lang w:eastAsia="en-AU"/>
        </w:rPr>
        <w:t xml:space="preserve"> boosting the number of permanent teachers</w:t>
      </w:r>
      <w:r w:rsidR="00815181" w:rsidRPr="00734A50">
        <w:rPr>
          <w:lang w:eastAsia="en-AU"/>
        </w:rPr>
        <w:t>;</w:t>
      </w:r>
      <w:r w:rsidR="00D83C05" w:rsidRPr="00734A50">
        <w:rPr>
          <w:lang w:eastAsia="en-AU"/>
        </w:rPr>
        <w:t xml:space="preserve"> and developing a plan to attract existing teachers back into the profession.</w:t>
      </w:r>
    </w:p>
    <w:p w14:paraId="33A3A43E" w14:textId="2BF3E86F" w:rsidR="00383BD2" w:rsidRPr="00734A50" w:rsidRDefault="003A41A2" w:rsidP="00383BD2">
      <w:r w:rsidRPr="00734A50">
        <w:t>Building on these initiatives, t</w:t>
      </w:r>
      <w:r w:rsidR="00383BD2" w:rsidRPr="00734A50">
        <w:t xml:space="preserve">he Panel has been asked to provide advice on how to improve </w:t>
      </w:r>
      <w:r w:rsidR="005078C9" w:rsidRPr="00734A50">
        <w:t>postgraduate ITE to attract more mid-career entrants</w:t>
      </w:r>
      <w:r w:rsidR="00383BD2" w:rsidRPr="00734A50">
        <w:t>. The findings and recommendations</w:t>
      </w:r>
      <w:r w:rsidR="00164BA0" w:rsidRPr="00734A50">
        <w:t xml:space="preserve"> in this report</w:t>
      </w:r>
      <w:r w:rsidR="00383BD2" w:rsidRPr="00734A50">
        <w:t xml:space="preserve"> have been informed by a review of the existing literature, a survey of ITE students</w:t>
      </w:r>
      <w:r w:rsidR="00ED7D98" w:rsidRPr="00734A50">
        <w:t>,</w:t>
      </w:r>
      <w:r w:rsidR="00383BD2" w:rsidRPr="00734A50">
        <w:t xml:space="preserve"> and stakeholder consultation with higher education providers, education departments, TRAs, peak sector organisations, and operational staff responsible for </w:t>
      </w:r>
      <w:r w:rsidR="00EB0070" w:rsidRPr="00734A50">
        <w:t>mid-career programs</w:t>
      </w:r>
      <w:r w:rsidR="00383BD2" w:rsidRPr="00734A50">
        <w:t>.</w:t>
      </w:r>
    </w:p>
    <w:p w14:paraId="3BF68C4F" w14:textId="0A2BF61B" w:rsidR="00726306" w:rsidRPr="00734A50" w:rsidRDefault="00AE0D4C" w:rsidP="0012041E">
      <w:pPr>
        <w:pStyle w:val="Heading2"/>
      </w:pPr>
      <w:bookmarkStart w:id="97" w:name="_Toc139366660"/>
      <w:r w:rsidRPr="00734A50">
        <w:t>K</w:t>
      </w:r>
      <w:r w:rsidR="002A4BFB">
        <w:t>ey findings</w:t>
      </w:r>
      <w:bookmarkEnd w:id="97"/>
    </w:p>
    <w:p w14:paraId="7C71917B" w14:textId="3305FA59" w:rsidR="00726306" w:rsidRPr="00734A50" w:rsidRDefault="003E3931" w:rsidP="00E73BBF">
      <w:pPr>
        <w:pStyle w:val="Heading3"/>
      </w:pPr>
      <w:bookmarkStart w:id="98" w:name="_Toc139366661"/>
      <w:r w:rsidRPr="00734A50">
        <w:t xml:space="preserve">4.1 </w:t>
      </w:r>
      <w:r w:rsidR="007B0AE7" w:rsidRPr="00734A50">
        <w:t>Characteristics of mid-caree</w:t>
      </w:r>
      <w:r w:rsidR="002A1734" w:rsidRPr="00734A50">
        <w:t>r entrants</w:t>
      </w:r>
      <w:bookmarkEnd w:id="98"/>
    </w:p>
    <w:p w14:paraId="198A4340" w14:textId="4351FB53" w:rsidR="21B80E23" w:rsidRPr="00734A50" w:rsidRDefault="21B80E23" w:rsidP="53B011C3">
      <w:r w:rsidRPr="00734A50">
        <w:rPr>
          <w:rFonts w:ascii="Calibri" w:eastAsia="Calibri" w:hAnsi="Calibri" w:cs="Calibri"/>
        </w:rPr>
        <w:t xml:space="preserve">Many mid-career individuals </w:t>
      </w:r>
      <w:r w:rsidR="008640E3" w:rsidRPr="00734A50">
        <w:t>have a lot to offer schools</w:t>
      </w:r>
      <w:r w:rsidR="00ED7D98" w:rsidRPr="00734A50">
        <w:t>. They</w:t>
      </w:r>
      <w:r w:rsidR="008640E3" w:rsidRPr="00734A50">
        <w:t xml:space="preserve"> </w:t>
      </w:r>
      <w:r w:rsidRPr="00734A50">
        <w:rPr>
          <w:rFonts w:ascii="Calibri" w:eastAsia="Calibri" w:hAnsi="Calibri" w:cs="Calibri"/>
        </w:rPr>
        <w:t>bring considerable professional and life experience to teaching</w:t>
      </w:r>
      <w:r w:rsidR="00ED7D98" w:rsidRPr="00734A50">
        <w:rPr>
          <w:rFonts w:ascii="Calibri" w:eastAsia="Calibri" w:hAnsi="Calibri" w:cs="Calibri"/>
        </w:rPr>
        <w:t xml:space="preserve"> and</w:t>
      </w:r>
      <w:r w:rsidRPr="00734A50">
        <w:rPr>
          <w:rFonts w:ascii="Calibri" w:eastAsia="Calibri" w:hAnsi="Calibri" w:cs="Calibri"/>
        </w:rPr>
        <w:t xml:space="preserve"> contribut</w:t>
      </w:r>
      <w:r w:rsidR="00ED7D98" w:rsidRPr="00734A50">
        <w:rPr>
          <w:rFonts w:ascii="Calibri" w:eastAsia="Calibri" w:hAnsi="Calibri" w:cs="Calibri"/>
        </w:rPr>
        <w:t>e</w:t>
      </w:r>
      <w:r w:rsidRPr="00734A50">
        <w:rPr>
          <w:rFonts w:ascii="Calibri" w:eastAsia="Calibri" w:hAnsi="Calibri" w:cs="Calibri"/>
        </w:rPr>
        <w:t xml:space="preserve"> to the quality of the workforce. They may have had successful careers in other fields, including in leadership roles. Many </w:t>
      </w:r>
      <w:r w:rsidR="00ED7D98" w:rsidRPr="00734A50">
        <w:rPr>
          <w:rFonts w:ascii="Calibri" w:eastAsia="Calibri" w:hAnsi="Calibri" w:cs="Calibri"/>
        </w:rPr>
        <w:t xml:space="preserve">have </w:t>
      </w:r>
      <w:r w:rsidRPr="00734A50">
        <w:rPr>
          <w:rFonts w:ascii="Calibri" w:eastAsia="Calibri" w:hAnsi="Calibri" w:cs="Calibri"/>
        </w:rPr>
        <w:t xml:space="preserve">strong skills </w:t>
      </w:r>
      <w:r w:rsidR="00ED7D98" w:rsidRPr="00734A50">
        <w:rPr>
          <w:rFonts w:ascii="Calibri" w:eastAsia="Calibri" w:hAnsi="Calibri" w:cs="Calibri"/>
        </w:rPr>
        <w:t xml:space="preserve">in </w:t>
      </w:r>
      <w:r w:rsidRPr="00734A50">
        <w:rPr>
          <w:rFonts w:ascii="Calibri" w:eastAsia="Calibri" w:hAnsi="Calibri" w:cs="Calibri"/>
        </w:rPr>
        <w:t xml:space="preserve">working with children. </w:t>
      </w:r>
    </w:p>
    <w:p w14:paraId="47B62C13" w14:textId="4D7A6FF6" w:rsidR="21B80E23" w:rsidRPr="00734A50" w:rsidRDefault="21B80E23" w:rsidP="007E4E66">
      <w:pPr>
        <w:spacing w:after="0"/>
      </w:pPr>
      <w:r w:rsidRPr="00734A50">
        <w:rPr>
          <w:rFonts w:ascii="Calibri" w:eastAsia="Calibri" w:hAnsi="Calibri" w:cs="Calibri"/>
        </w:rPr>
        <w:t xml:space="preserve">The </w:t>
      </w:r>
      <w:r w:rsidRPr="00734A50">
        <w:rPr>
          <w:rFonts w:ascii="Calibri" w:eastAsia="Calibri" w:hAnsi="Calibri" w:cs="Calibri"/>
          <w:color w:val="000000" w:themeColor="text1"/>
        </w:rPr>
        <w:t xml:space="preserve">Panel’s </w:t>
      </w:r>
      <w:r w:rsidR="00332E79" w:rsidRPr="00734A50">
        <w:rPr>
          <w:rFonts w:ascii="Calibri" w:eastAsia="Calibri" w:hAnsi="Calibri" w:cs="Calibri"/>
          <w:color w:val="000000" w:themeColor="text1"/>
        </w:rPr>
        <w:t>survey of ITE students</w:t>
      </w:r>
      <w:r w:rsidRPr="00734A50">
        <w:rPr>
          <w:rFonts w:ascii="Calibri" w:eastAsia="Calibri" w:hAnsi="Calibri" w:cs="Calibri"/>
          <w:color w:val="000000" w:themeColor="text1"/>
        </w:rPr>
        <w:t xml:space="preserve"> </w:t>
      </w:r>
      <w:r w:rsidRPr="00734A50">
        <w:rPr>
          <w:rFonts w:ascii="Calibri" w:eastAsia="Calibri" w:hAnsi="Calibri" w:cs="Calibri"/>
        </w:rPr>
        <w:t>showed that mid-career entrants</w:t>
      </w:r>
      <w:r w:rsidR="00E90E48" w:rsidRPr="00734A50">
        <w:rPr>
          <w:rStyle w:val="FootnoteReference"/>
          <w:rFonts w:ascii="Calibri" w:eastAsia="Calibri" w:hAnsi="Calibri" w:cs="Calibri"/>
        </w:rPr>
        <w:footnoteReference w:id="12"/>
      </w:r>
      <w:r w:rsidR="00ED7D98" w:rsidRPr="00734A50">
        <w:rPr>
          <w:rFonts w:ascii="Calibri" w:eastAsia="Calibri" w:hAnsi="Calibri" w:cs="Calibri"/>
        </w:rPr>
        <w:t xml:space="preserve"> who responded</w:t>
      </w:r>
      <w:r w:rsidRPr="00734A50">
        <w:rPr>
          <w:rFonts w:ascii="Calibri" w:eastAsia="Calibri" w:hAnsi="Calibri" w:cs="Calibri"/>
        </w:rPr>
        <w:t xml:space="preserve"> ha</w:t>
      </w:r>
      <w:r w:rsidR="00ED7D98" w:rsidRPr="00734A50">
        <w:rPr>
          <w:rFonts w:ascii="Calibri" w:eastAsia="Calibri" w:hAnsi="Calibri" w:cs="Calibri"/>
        </w:rPr>
        <w:t>d</w:t>
      </w:r>
      <w:r w:rsidRPr="00734A50">
        <w:rPr>
          <w:rFonts w:ascii="Calibri" w:eastAsia="Calibri" w:hAnsi="Calibri" w:cs="Calibri"/>
        </w:rPr>
        <w:t xml:space="preserve"> the following characteristics: </w:t>
      </w:r>
    </w:p>
    <w:p w14:paraId="5B7D6D88" w14:textId="65702A68" w:rsidR="00236B2B" w:rsidRPr="00734A50" w:rsidRDefault="68CDADD3" w:rsidP="00553516">
      <w:pPr>
        <w:pStyle w:val="ListBullet"/>
        <w:numPr>
          <w:ilvl w:val="0"/>
          <w:numId w:val="216"/>
        </w:numPr>
        <w:spacing w:after="200"/>
        <w:ind w:left="357" w:hanging="357"/>
      </w:pPr>
      <w:r w:rsidRPr="00734A50">
        <w:t xml:space="preserve">49 per cent </w:t>
      </w:r>
      <w:r w:rsidR="3EEDB359" w:rsidRPr="00734A50">
        <w:t xml:space="preserve">were </w:t>
      </w:r>
      <w:r w:rsidRPr="00734A50">
        <w:t>studying teaching through a postgraduate qualification</w:t>
      </w:r>
    </w:p>
    <w:p w14:paraId="078CE75B" w14:textId="04B34816" w:rsidR="21B80E23" w:rsidRPr="00734A50" w:rsidRDefault="61224125" w:rsidP="00553516">
      <w:pPr>
        <w:pStyle w:val="ListBullet"/>
        <w:numPr>
          <w:ilvl w:val="0"/>
          <w:numId w:val="216"/>
        </w:numPr>
        <w:spacing w:after="200"/>
        <w:ind w:left="357" w:hanging="357"/>
      </w:pPr>
      <w:r w:rsidRPr="00734A50">
        <w:t>30</w:t>
      </w:r>
      <w:r w:rsidR="062ABE65" w:rsidRPr="00734A50">
        <w:t xml:space="preserve"> per cent </w:t>
      </w:r>
      <w:r w:rsidRPr="00734A50">
        <w:t>were previously in roles adjacent to education (</w:t>
      </w:r>
      <w:r w:rsidR="3FB8A7E9" w:rsidRPr="00734A50">
        <w:t>e.g.</w:t>
      </w:r>
      <w:r w:rsidRPr="00734A50">
        <w:t xml:space="preserve"> education support, </w:t>
      </w:r>
      <w:r w:rsidR="3EEDB359" w:rsidRPr="00734A50">
        <w:t xml:space="preserve">academia, other </w:t>
      </w:r>
      <w:r w:rsidRPr="00734A50">
        <w:t>university work), 12</w:t>
      </w:r>
      <w:r w:rsidR="0E1790FB" w:rsidRPr="00734A50">
        <w:t xml:space="preserve"> per cent </w:t>
      </w:r>
      <w:r w:rsidRPr="00734A50">
        <w:t>had a background in professional services, and 10</w:t>
      </w:r>
      <w:r w:rsidR="062ABE65" w:rsidRPr="00734A50">
        <w:t xml:space="preserve"> per cent </w:t>
      </w:r>
      <w:r w:rsidRPr="00734A50">
        <w:t>were STEM professionals</w:t>
      </w:r>
    </w:p>
    <w:p w14:paraId="0413B065" w14:textId="1E1336F3" w:rsidR="21B80E23" w:rsidRPr="00734A50" w:rsidRDefault="61224125" w:rsidP="00553516">
      <w:pPr>
        <w:pStyle w:val="ListBullet"/>
        <w:numPr>
          <w:ilvl w:val="0"/>
          <w:numId w:val="216"/>
        </w:numPr>
        <w:spacing w:after="200"/>
        <w:ind w:left="357" w:hanging="357"/>
      </w:pPr>
      <w:r w:rsidRPr="00734A50">
        <w:t>3</w:t>
      </w:r>
      <w:r w:rsidR="00E90E48" w:rsidRPr="00734A50">
        <w:t>3</w:t>
      </w:r>
      <w:r w:rsidR="062ABE65" w:rsidRPr="00734A50">
        <w:t xml:space="preserve"> per cent </w:t>
      </w:r>
      <w:r w:rsidR="3EEDB359" w:rsidRPr="00734A50">
        <w:t xml:space="preserve">were </w:t>
      </w:r>
      <w:r w:rsidRPr="00734A50">
        <w:t>study</w:t>
      </w:r>
      <w:r w:rsidR="3EEDB359" w:rsidRPr="00734A50">
        <w:t>ing</w:t>
      </w:r>
      <w:r w:rsidRPr="00734A50">
        <w:t xml:space="preserve"> to become primary school teachers, while 3</w:t>
      </w:r>
      <w:r w:rsidR="00D3757B">
        <w:t>1</w:t>
      </w:r>
      <w:r w:rsidR="0B6B53C5" w:rsidRPr="00734A50">
        <w:t xml:space="preserve"> per cent </w:t>
      </w:r>
      <w:r w:rsidR="3EEDB359" w:rsidRPr="00734A50">
        <w:t xml:space="preserve">were </w:t>
      </w:r>
      <w:r w:rsidRPr="00734A50">
        <w:t xml:space="preserve">studying </w:t>
      </w:r>
      <w:r w:rsidR="000E42E4">
        <w:t>to become secondary school teachers and 12 per cent were studying to become early childhood teachers</w:t>
      </w:r>
      <w:r w:rsidR="006344AB">
        <w:rPr>
          <w:rStyle w:val="FootnoteReference"/>
        </w:rPr>
        <w:footnoteReference w:id="13"/>
      </w:r>
    </w:p>
    <w:p w14:paraId="5A513B9F" w14:textId="21474A13" w:rsidR="21B80E23" w:rsidRPr="00734A50" w:rsidRDefault="3EEDB359" w:rsidP="00553516">
      <w:pPr>
        <w:pStyle w:val="ListBullet"/>
        <w:numPr>
          <w:ilvl w:val="0"/>
          <w:numId w:val="216"/>
        </w:numPr>
        <w:spacing w:after="200"/>
        <w:ind w:left="357" w:hanging="357"/>
      </w:pPr>
      <w:r w:rsidRPr="00734A50">
        <w:t>t</w:t>
      </w:r>
      <w:r w:rsidR="61224125" w:rsidRPr="00734A50">
        <w:t>he average age range</w:t>
      </w:r>
      <w:r w:rsidRPr="00734A50">
        <w:t xml:space="preserve"> was</w:t>
      </w:r>
      <w:r w:rsidR="61224125" w:rsidRPr="00734A50">
        <w:t xml:space="preserve"> 35</w:t>
      </w:r>
      <w:r w:rsidR="68610247" w:rsidRPr="00734A50">
        <w:t>–</w:t>
      </w:r>
      <w:r w:rsidR="61224125" w:rsidRPr="00734A50">
        <w:t xml:space="preserve">44. </w:t>
      </w:r>
    </w:p>
    <w:p w14:paraId="26CFB43A" w14:textId="30D6DBB0" w:rsidR="009D2B6B" w:rsidRPr="00734A50" w:rsidRDefault="0068022C" w:rsidP="00E73BBF">
      <w:pPr>
        <w:pStyle w:val="Heading3"/>
      </w:pPr>
      <w:bookmarkStart w:id="99" w:name="_Toc139366662"/>
      <w:r w:rsidRPr="00734A50">
        <w:t xml:space="preserve">4.2 </w:t>
      </w:r>
      <w:r w:rsidR="00BC0C7D" w:rsidRPr="00734A50">
        <w:t xml:space="preserve">Motivations </w:t>
      </w:r>
      <w:r w:rsidR="007C4F4A" w:rsidRPr="00734A50">
        <w:t xml:space="preserve">for </w:t>
      </w:r>
      <w:r w:rsidR="00BC0C7D" w:rsidRPr="00734A50">
        <w:t xml:space="preserve">and barriers to </w:t>
      </w:r>
      <w:r w:rsidR="002D6508" w:rsidRPr="00734A50">
        <w:t>entering the teaching profession</w:t>
      </w:r>
      <w:bookmarkEnd w:id="99"/>
      <w:r w:rsidR="009D2B6B" w:rsidRPr="00734A50">
        <w:t> </w:t>
      </w:r>
    </w:p>
    <w:p w14:paraId="5A6C480B" w14:textId="27D81C5F" w:rsidR="00B03167" w:rsidRPr="00734A50" w:rsidRDefault="00B03167" w:rsidP="102CE0DA">
      <w:pPr>
        <w:pStyle w:val="NormalTextBulleted"/>
        <w:numPr>
          <w:ilvl w:val="0"/>
          <w:numId w:val="0"/>
        </w:numPr>
        <w:spacing w:after="200"/>
        <w:rPr>
          <w:rFonts w:asciiTheme="minorHAnsi" w:hAnsiTheme="minorHAnsi" w:cstheme="minorBidi"/>
          <w:sz w:val="22"/>
        </w:rPr>
      </w:pPr>
      <w:r w:rsidRPr="00734A50">
        <w:rPr>
          <w:rFonts w:asciiTheme="minorHAnsi" w:hAnsiTheme="minorHAnsi" w:cstheme="minorBidi"/>
          <w:sz w:val="22"/>
          <w:lang w:eastAsia="en-AU"/>
        </w:rPr>
        <w:t>Mid-career cohorts may choose to transition into teaching due to intrinsic or extrinsic motivations</w:t>
      </w:r>
      <w:r w:rsidR="00270A1D" w:rsidRPr="00734A50">
        <w:rPr>
          <w:rFonts w:asciiTheme="minorHAnsi" w:hAnsiTheme="minorHAnsi" w:cstheme="minorBidi"/>
          <w:sz w:val="22"/>
          <w:lang w:eastAsia="en-AU"/>
        </w:rPr>
        <w:t xml:space="preserve">. Intrinsic motivations are altruistic in nature and can include a desire to serve </w:t>
      </w:r>
      <w:r w:rsidR="009D03D8" w:rsidRPr="00734A50">
        <w:rPr>
          <w:rFonts w:asciiTheme="minorHAnsi" w:hAnsiTheme="minorHAnsi" w:cstheme="minorBidi"/>
          <w:sz w:val="22"/>
          <w:lang w:eastAsia="en-AU"/>
        </w:rPr>
        <w:t>society,</w:t>
      </w:r>
      <w:r w:rsidR="00270A1D" w:rsidRPr="00734A50">
        <w:rPr>
          <w:rFonts w:asciiTheme="minorHAnsi" w:hAnsiTheme="minorHAnsi" w:cstheme="minorBidi"/>
          <w:sz w:val="22"/>
          <w:lang w:eastAsia="en-AU"/>
        </w:rPr>
        <w:t xml:space="preserve"> and a sense of care and commitment. </w:t>
      </w:r>
      <w:r w:rsidR="003210BB" w:rsidRPr="00734A50">
        <w:rPr>
          <w:rFonts w:asciiTheme="minorHAnsi" w:hAnsiTheme="minorHAnsi" w:cstheme="minorBidi"/>
          <w:sz w:val="22"/>
          <w:lang w:eastAsia="en-AU"/>
        </w:rPr>
        <w:t>E</w:t>
      </w:r>
      <w:r w:rsidR="00270A1D" w:rsidRPr="00734A50">
        <w:rPr>
          <w:rFonts w:asciiTheme="minorHAnsi" w:hAnsiTheme="minorHAnsi" w:cstheme="minorBidi"/>
          <w:sz w:val="22"/>
          <w:lang w:eastAsia="en-AU"/>
        </w:rPr>
        <w:t xml:space="preserve">xtrinsic motivations may include perceptions about teaching as a secure </w:t>
      </w:r>
      <w:r w:rsidR="00850BEE" w:rsidRPr="00734A50">
        <w:rPr>
          <w:rFonts w:asciiTheme="minorHAnsi" w:hAnsiTheme="minorHAnsi" w:cstheme="minorBidi"/>
          <w:sz w:val="22"/>
          <w:lang w:eastAsia="en-AU"/>
        </w:rPr>
        <w:t>career and</w:t>
      </w:r>
      <w:r w:rsidR="00F30A12" w:rsidRPr="00734A50">
        <w:rPr>
          <w:rFonts w:asciiTheme="minorHAnsi" w:hAnsiTheme="minorHAnsi" w:cstheme="minorBidi"/>
          <w:sz w:val="22"/>
          <w:lang w:eastAsia="en-AU"/>
        </w:rPr>
        <w:t xml:space="preserve"> seeking a better</w:t>
      </w:r>
      <w:r w:rsidR="00270A1D" w:rsidRPr="00734A50">
        <w:rPr>
          <w:rFonts w:asciiTheme="minorHAnsi" w:hAnsiTheme="minorHAnsi" w:cstheme="minorBidi"/>
          <w:sz w:val="22"/>
          <w:lang w:eastAsia="en-AU"/>
        </w:rPr>
        <w:t xml:space="preserve"> family-work balance</w:t>
      </w:r>
      <w:r w:rsidR="001B4BAC" w:rsidRPr="00734A50">
        <w:rPr>
          <w:rFonts w:asciiTheme="minorHAnsi" w:hAnsiTheme="minorHAnsi" w:cstheme="minorBidi"/>
          <w:sz w:val="22"/>
          <w:lang w:eastAsia="en-AU"/>
        </w:rPr>
        <w:t xml:space="preserve"> (</w:t>
      </w:r>
      <w:r w:rsidR="00F27FDF" w:rsidRPr="00734A50">
        <w:rPr>
          <w:rFonts w:asciiTheme="minorHAnsi" w:hAnsiTheme="minorHAnsi" w:cstheme="minorBidi"/>
          <w:sz w:val="22"/>
          <w:lang w:eastAsia="en-AU"/>
        </w:rPr>
        <w:t>Da</w:t>
      </w:r>
      <w:r w:rsidR="00FC4F52" w:rsidRPr="00734A50">
        <w:rPr>
          <w:rFonts w:asciiTheme="minorHAnsi" w:hAnsiTheme="minorHAnsi" w:cstheme="minorBidi"/>
          <w:sz w:val="22"/>
          <w:lang w:eastAsia="en-AU"/>
        </w:rPr>
        <w:t>dv</w:t>
      </w:r>
      <w:r w:rsidR="00F27FDF" w:rsidRPr="00734A50">
        <w:rPr>
          <w:rFonts w:asciiTheme="minorHAnsi" w:hAnsiTheme="minorHAnsi" w:cstheme="minorBidi"/>
          <w:sz w:val="22"/>
          <w:lang w:eastAsia="en-AU"/>
        </w:rPr>
        <w:t>an</w:t>
      </w:r>
      <w:r w:rsidR="00A5385D" w:rsidRPr="00734A50">
        <w:rPr>
          <w:rFonts w:asciiTheme="minorHAnsi" w:hAnsiTheme="minorHAnsi" w:cstheme="minorBidi"/>
          <w:sz w:val="22"/>
          <w:lang w:eastAsia="en-AU"/>
        </w:rPr>
        <w:t>d</w:t>
      </w:r>
      <w:r w:rsidR="00F27FDF" w:rsidRPr="00734A50">
        <w:rPr>
          <w:rFonts w:asciiTheme="minorHAnsi" w:hAnsiTheme="minorHAnsi" w:cstheme="minorBidi"/>
          <w:sz w:val="22"/>
          <w:lang w:eastAsia="en-AU"/>
        </w:rPr>
        <w:t xml:space="preserve"> et al.</w:t>
      </w:r>
      <w:r w:rsidR="007D561F" w:rsidRPr="00734A50">
        <w:rPr>
          <w:rFonts w:asciiTheme="minorHAnsi" w:hAnsiTheme="minorHAnsi" w:cstheme="minorBidi"/>
          <w:sz w:val="22"/>
          <w:lang w:eastAsia="en-AU"/>
        </w:rPr>
        <w:t xml:space="preserve"> 2021)</w:t>
      </w:r>
      <w:r w:rsidR="007D561F" w:rsidRPr="00734A50">
        <w:rPr>
          <w:rFonts w:asciiTheme="minorHAnsi" w:hAnsiTheme="minorHAnsi" w:cstheme="minorBidi"/>
          <w:sz w:val="22"/>
        </w:rPr>
        <w:t xml:space="preserve">. </w:t>
      </w:r>
    </w:p>
    <w:p w14:paraId="5E14AB0B" w14:textId="41C92606" w:rsidR="56D15EA9" w:rsidRPr="00734A50" w:rsidRDefault="56D15EA9" w:rsidP="00684BA1">
      <w:pPr>
        <w:spacing w:after="0"/>
      </w:pPr>
      <w:r w:rsidRPr="00734A50">
        <w:t xml:space="preserve">The Panel’s student survey indicated that intrinsic motivations were the main </w:t>
      </w:r>
      <w:r w:rsidR="00F30A12" w:rsidRPr="00734A50">
        <w:t xml:space="preserve">drivers </w:t>
      </w:r>
      <w:r w:rsidRPr="00734A50">
        <w:t xml:space="preserve">for mid-career entrants to transition into teaching: </w:t>
      </w:r>
    </w:p>
    <w:p w14:paraId="1534328B" w14:textId="5A857B8D" w:rsidR="006D6FDF" w:rsidRPr="00734A50" w:rsidRDefault="006D6FDF" w:rsidP="006D6FDF">
      <w:pPr>
        <w:pStyle w:val="ListBullet"/>
        <w:numPr>
          <w:ilvl w:val="0"/>
          <w:numId w:val="216"/>
        </w:numPr>
        <w:spacing w:after="200"/>
        <w:ind w:left="357" w:hanging="357"/>
      </w:pPr>
      <w:r w:rsidRPr="00734A50">
        <w:lastRenderedPageBreak/>
        <w:t>87 per cent said they were interested in the subject matter</w:t>
      </w:r>
    </w:p>
    <w:p w14:paraId="2ACD2BBB" w14:textId="6C045D37" w:rsidR="56D15EA9" w:rsidRPr="00734A50" w:rsidRDefault="38A69572" w:rsidP="00553516">
      <w:pPr>
        <w:pStyle w:val="ListBullet"/>
        <w:numPr>
          <w:ilvl w:val="0"/>
          <w:numId w:val="216"/>
        </w:numPr>
        <w:spacing w:after="200"/>
        <w:ind w:left="357" w:hanging="357"/>
      </w:pPr>
      <w:r w:rsidRPr="00734A50">
        <w:t>84</w:t>
      </w:r>
      <w:r w:rsidR="3ED64391" w:rsidRPr="00734A50">
        <w:t xml:space="preserve"> per cent </w:t>
      </w:r>
      <w:r w:rsidRPr="00734A50">
        <w:t xml:space="preserve">said they were interested in working with young people/children </w:t>
      </w:r>
    </w:p>
    <w:p w14:paraId="32C446B5" w14:textId="69B6D069" w:rsidR="56D15EA9" w:rsidRPr="00734A50" w:rsidRDefault="38A69572" w:rsidP="00553516">
      <w:pPr>
        <w:pStyle w:val="ListBullet"/>
        <w:numPr>
          <w:ilvl w:val="0"/>
          <w:numId w:val="216"/>
        </w:numPr>
        <w:spacing w:after="200"/>
        <w:ind w:left="357" w:hanging="357"/>
      </w:pPr>
      <w:r w:rsidRPr="00734A50">
        <w:t>78</w:t>
      </w:r>
      <w:r w:rsidR="3ED64391" w:rsidRPr="00734A50">
        <w:t xml:space="preserve"> per cent </w:t>
      </w:r>
      <w:r w:rsidRPr="00734A50">
        <w:t>said they wanted to make a difference</w:t>
      </w:r>
      <w:r w:rsidR="002B496F">
        <w:t>.</w:t>
      </w:r>
    </w:p>
    <w:p w14:paraId="539574D9" w14:textId="4DE1C855" w:rsidR="00B217F1" w:rsidRPr="00734A50" w:rsidRDefault="00B217F1" w:rsidP="000C715B">
      <w:pPr>
        <w:rPr>
          <w:rFonts w:ascii="Calibri" w:eastAsia="Times New Roman" w:hAnsi="Calibri" w:cs="Calibri"/>
          <w:color w:val="000000"/>
          <w:lang w:eastAsia="en-AU"/>
        </w:rPr>
      </w:pPr>
      <w:r w:rsidRPr="00734A50">
        <w:rPr>
          <w:rFonts w:ascii="Calibri" w:eastAsia="Times New Roman" w:hAnsi="Calibri" w:cs="Calibri"/>
          <w:color w:val="000000" w:themeColor="text1"/>
          <w:lang w:eastAsia="en-AU"/>
        </w:rPr>
        <w:t xml:space="preserve">A significant proportion of mid-career </w:t>
      </w:r>
      <w:r w:rsidRPr="00734A50">
        <w:t>professionals</w:t>
      </w:r>
      <w:r w:rsidRPr="00734A50">
        <w:rPr>
          <w:rFonts w:ascii="Calibri" w:eastAsia="Times New Roman" w:hAnsi="Calibri" w:cs="Calibri"/>
          <w:color w:val="000000" w:themeColor="text1"/>
          <w:lang w:eastAsia="en-AU"/>
        </w:rPr>
        <w:t xml:space="preserve"> are considering the switch to teaching or are open to the idea. A survey of mid-career individuals by the Behavioural Economics Team of the Australian Government (BETA) found that one in </w:t>
      </w:r>
      <w:r w:rsidR="00F30A12" w:rsidRPr="00734A50">
        <w:rPr>
          <w:rFonts w:ascii="Calibri" w:eastAsia="Times New Roman" w:hAnsi="Calibri" w:cs="Calibri"/>
          <w:color w:val="000000" w:themeColor="text1"/>
          <w:lang w:eastAsia="en-AU"/>
        </w:rPr>
        <w:t xml:space="preserve">10 </w:t>
      </w:r>
      <w:r w:rsidR="003D6A3C" w:rsidRPr="00734A50">
        <w:rPr>
          <w:rFonts w:ascii="Calibri" w:eastAsia="Times New Roman" w:hAnsi="Calibri" w:cs="Calibri"/>
          <w:color w:val="000000" w:themeColor="text1"/>
          <w:lang w:eastAsia="en-AU"/>
        </w:rPr>
        <w:t>were</w:t>
      </w:r>
      <w:r w:rsidR="00F30A12" w:rsidRPr="00734A50">
        <w:rPr>
          <w:rFonts w:ascii="Calibri" w:eastAsia="Times New Roman" w:hAnsi="Calibri" w:cs="Calibri"/>
          <w:color w:val="000000" w:themeColor="text1"/>
          <w:lang w:eastAsia="en-AU"/>
        </w:rPr>
        <w:t xml:space="preserve"> </w:t>
      </w:r>
      <w:r w:rsidRPr="00734A50">
        <w:rPr>
          <w:rFonts w:ascii="Calibri" w:eastAsia="Times New Roman" w:hAnsi="Calibri" w:cs="Calibri"/>
          <w:color w:val="000000" w:themeColor="text1"/>
          <w:lang w:eastAsia="en-AU"/>
        </w:rPr>
        <w:t xml:space="preserve">planning a career transition to teaching, and that one in three </w:t>
      </w:r>
      <w:r w:rsidR="003D6A3C" w:rsidRPr="00734A50">
        <w:rPr>
          <w:rFonts w:ascii="Calibri" w:eastAsia="Times New Roman" w:hAnsi="Calibri" w:cs="Calibri"/>
          <w:color w:val="000000" w:themeColor="text1"/>
          <w:lang w:eastAsia="en-AU"/>
        </w:rPr>
        <w:t>were</w:t>
      </w:r>
      <w:r w:rsidR="00F30A12" w:rsidRPr="00734A50">
        <w:rPr>
          <w:rFonts w:ascii="Calibri" w:eastAsia="Times New Roman" w:hAnsi="Calibri" w:cs="Calibri"/>
          <w:color w:val="000000" w:themeColor="text1"/>
          <w:lang w:eastAsia="en-AU"/>
        </w:rPr>
        <w:t xml:space="preserve"> </w:t>
      </w:r>
      <w:r w:rsidRPr="00734A50">
        <w:rPr>
          <w:rFonts w:ascii="Calibri" w:eastAsia="Times New Roman" w:hAnsi="Calibri" w:cs="Calibri"/>
          <w:color w:val="000000" w:themeColor="text1"/>
          <w:lang w:eastAsia="en-AU"/>
        </w:rPr>
        <w:t xml:space="preserve">open to the idea </w:t>
      </w:r>
      <w:r w:rsidRPr="00734A50">
        <w:rPr>
          <w:rFonts w:ascii="Calibri" w:eastAsia="Calibri" w:hAnsi="Calibri" w:cs="Calibri"/>
          <w:color w:val="000000" w:themeColor="text1"/>
        </w:rPr>
        <w:t>(BETA 2022)</w:t>
      </w:r>
      <w:r w:rsidRPr="00734A50">
        <w:rPr>
          <w:rFonts w:ascii="Calibri" w:eastAsia="Times New Roman" w:hAnsi="Calibri" w:cs="Calibri"/>
          <w:color w:val="000000" w:themeColor="text1"/>
          <w:lang w:eastAsia="en-AU"/>
        </w:rPr>
        <w:t xml:space="preserve">. Similarly, research commissioned by the Victorian Government </w:t>
      </w:r>
      <w:r w:rsidRPr="00734A50">
        <w:t xml:space="preserve">found </w:t>
      </w:r>
      <w:r w:rsidR="00F30A12" w:rsidRPr="00734A50">
        <w:t xml:space="preserve">that </w:t>
      </w:r>
      <w:r w:rsidR="00E22001">
        <w:t>8</w:t>
      </w:r>
      <w:r w:rsidR="00E22001" w:rsidRPr="00734A50">
        <w:t xml:space="preserve"> </w:t>
      </w:r>
      <w:r w:rsidRPr="00734A50">
        <w:t>per cent of the Victorian population was considering switching careers to teaching, with 43 per cent of this cohort interested in secondary school teaching (Victorian Department of Education submission).</w:t>
      </w:r>
    </w:p>
    <w:p w14:paraId="34395CB2" w14:textId="3D87807C" w:rsidR="002E36C7" w:rsidRPr="00734A50" w:rsidRDefault="27A1A2C3" w:rsidP="53B011C3">
      <w:pPr>
        <w:rPr>
          <w:rFonts w:ascii="Calibri" w:eastAsia="Calibri" w:hAnsi="Calibri" w:cs="Calibri"/>
          <w:color w:val="000000" w:themeColor="text1"/>
        </w:rPr>
      </w:pPr>
      <w:r w:rsidRPr="00734A50">
        <w:rPr>
          <w:rFonts w:ascii="Calibri" w:eastAsia="Calibri" w:hAnsi="Calibri" w:cs="Calibri"/>
          <w:color w:val="000000" w:themeColor="text1"/>
        </w:rPr>
        <w:t>There are several key barriers to attracting mid-career entrants into teaching. Stakeholders have pointed out that the perceived length of time and cost involved in retraining as a teacher, the status of teachers, and opportunities for career progression influence the desirability of transitioning into teaching</w:t>
      </w:r>
      <w:r w:rsidR="00942913" w:rsidRPr="00734A50">
        <w:rPr>
          <w:rFonts w:ascii="Calibri" w:eastAsia="Calibri" w:hAnsi="Calibri" w:cs="Calibri"/>
          <w:color w:val="000000" w:themeColor="text1"/>
        </w:rPr>
        <w:t xml:space="preserve"> </w:t>
      </w:r>
      <w:r w:rsidR="32E31822" w:rsidRPr="00734A50">
        <w:rPr>
          <w:rFonts w:ascii="Calibri" w:eastAsia="Calibri" w:hAnsi="Calibri" w:cs="Calibri"/>
          <w:color w:val="000000" w:themeColor="text1"/>
        </w:rPr>
        <w:t>(</w:t>
      </w:r>
      <w:r w:rsidR="1E41A79F" w:rsidRPr="00734A50">
        <w:rPr>
          <w:rFonts w:ascii="Calibri" w:eastAsia="Calibri" w:hAnsi="Calibri" w:cs="Calibri"/>
          <w:color w:val="000000" w:themeColor="text1"/>
        </w:rPr>
        <w:t>Australian Council for Educational Research</w:t>
      </w:r>
      <w:r w:rsidR="00BA431F" w:rsidRPr="00734A50">
        <w:rPr>
          <w:rFonts w:ascii="Calibri" w:eastAsia="Calibri" w:hAnsi="Calibri" w:cs="Calibri"/>
          <w:color w:val="000000" w:themeColor="text1"/>
        </w:rPr>
        <w:t xml:space="preserve"> submission;</w:t>
      </w:r>
      <w:r w:rsidR="1E41A79F" w:rsidRPr="00734A50">
        <w:rPr>
          <w:rFonts w:ascii="Calibri" w:eastAsia="Calibri" w:hAnsi="Calibri" w:cs="Calibri"/>
          <w:color w:val="000000" w:themeColor="text1"/>
        </w:rPr>
        <w:t xml:space="preserve"> </w:t>
      </w:r>
      <w:r w:rsidR="00F30A12" w:rsidRPr="00734A50">
        <w:rPr>
          <w:rFonts w:ascii="Calibri" w:eastAsia="Calibri" w:hAnsi="Calibri" w:cs="Calibri"/>
          <w:color w:val="000000" w:themeColor="text1"/>
        </w:rPr>
        <w:t xml:space="preserve">Victorian Council of </w:t>
      </w:r>
      <w:r w:rsidR="1E41A79F" w:rsidRPr="00734A50">
        <w:rPr>
          <w:rFonts w:ascii="Calibri" w:eastAsia="Calibri" w:hAnsi="Calibri" w:cs="Calibri"/>
          <w:color w:val="000000" w:themeColor="text1"/>
        </w:rPr>
        <w:t>Dean</w:t>
      </w:r>
      <w:r w:rsidR="00F30A12" w:rsidRPr="00734A50">
        <w:rPr>
          <w:rFonts w:ascii="Calibri" w:eastAsia="Calibri" w:hAnsi="Calibri" w:cs="Calibri"/>
          <w:color w:val="000000" w:themeColor="text1"/>
        </w:rPr>
        <w:t>s</w:t>
      </w:r>
      <w:r w:rsidR="1E41A79F" w:rsidRPr="00734A50">
        <w:rPr>
          <w:rFonts w:ascii="Calibri" w:eastAsia="Calibri" w:hAnsi="Calibri" w:cs="Calibri"/>
          <w:color w:val="000000" w:themeColor="text1"/>
        </w:rPr>
        <w:t xml:space="preserve"> of Education</w:t>
      </w:r>
      <w:r w:rsidR="00BA431F" w:rsidRPr="00734A50">
        <w:rPr>
          <w:rFonts w:ascii="Calibri" w:eastAsia="Calibri" w:hAnsi="Calibri" w:cs="Calibri"/>
          <w:color w:val="000000" w:themeColor="text1"/>
        </w:rPr>
        <w:t xml:space="preserve"> submission;</w:t>
      </w:r>
      <w:r w:rsidR="1E41A79F" w:rsidRPr="00734A50">
        <w:rPr>
          <w:rFonts w:ascii="Calibri" w:eastAsia="Calibri" w:hAnsi="Calibri" w:cs="Calibri"/>
          <w:color w:val="000000" w:themeColor="text1"/>
        </w:rPr>
        <w:t xml:space="preserve"> Victorian Department of Education submission)</w:t>
      </w:r>
      <w:r w:rsidR="2F962A43"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w:t>
      </w:r>
    </w:p>
    <w:p w14:paraId="2AFB1479" w14:textId="580C6D10" w:rsidR="27A1A2C3" w:rsidRPr="00734A50" w:rsidRDefault="27A1A2C3" w:rsidP="53B011C3">
      <w:pPr>
        <w:rPr>
          <w:rFonts w:ascii="Calibri" w:eastAsia="Calibri" w:hAnsi="Calibri" w:cs="Calibri"/>
          <w:color w:val="000000" w:themeColor="text1"/>
        </w:rPr>
      </w:pPr>
      <w:r w:rsidRPr="00734A50">
        <w:rPr>
          <w:rFonts w:ascii="Calibri" w:eastAsia="Calibri" w:hAnsi="Calibri" w:cs="Calibri"/>
          <w:color w:val="000000" w:themeColor="text1"/>
        </w:rPr>
        <w:t>There are also significant financial barriers. Mid-career entrants generally have greater personal and financial responsibilities</w:t>
      </w:r>
      <w:r w:rsidR="00F30A12"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w:t>
      </w:r>
      <w:r w:rsidR="00F30A12" w:rsidRPr="00734A50">
        <w:rPr>
          <w:rFonts w:ascii="Calibri" w:eastAsia="Calibri" w:hAnsi="Calibri" w:cs="Calibri"/>
          <w:color w:val="000000" w:themeColor="text1"/>
        </w:rPr>
        <w:t>therefore</w:t>
      </w:r>
      <w:r w:rsidRPr="00734A50">
        <w:rPr>
          <w:rFonts w:ascii="Calibri" w:eastAsia="Calibri" w:hAnsi="Calibri" w:cs="Calibri"/>
          <w:color w:val="000000" w:themeColor="text1"/>
        </w:rPr>
        <w:t>, the loss of income during study, the length of an ITE program</w:t>
      </w:r>
      <w:r w:rsidR="00F30A12"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and competing commitments such as family and work can be significant barriers to switch</w:t>
      </w:r>
      <w:r w:rsidR="00F30A12" w:rsidRPr="00734A50">
        <w:rPr>
          <w:rFonts w:ascii="Calibri" w:eastAsia="Calibri" w:hAnsi="Calibri" w:cs="Calibri"/>
          <w:color w:val="000000" w:themeColor="text1"/>
        </w:rPr>
        <w:t>ing</w:t>
      </w:r>
      <w:r w:rsidRPr="00734A50">
        <w:rPr>
          <w:rFonts w:ascii="Calibri" w:eastAsia="Calibri" w:hAnsi="Calibri" w:cs="Calibri"/>
          <w:color w:val="000000" w:themeColor="text1"/>
        </w:rPr>
        <w:t xml:space="preserve"> to teaching. The </w:t>
      </w:r>
      <w:r w:rsidR="00F30A12" w:rsidRPr="00734A50">
        <w:rPr>
          <w:rFonts w:ascii="Calibri" w:eastAsia="Calibri" w:hAnsi="Calibri" w:cs="Calibri"/>
          <w:color w:val="000000" w:themeColor="text1"/>
        </w:rPr>
        <w:t>P</w:t>
      </w:r>
      <w:r w:rsidRPr="00734A50">
        <w:rPr>
          <w:rFonts w:ascii="Calibri" w:eastAsia="Calibri" w:hAnsi="Calibri" w:cs="Calibri"/>
          <w:color w:val="000000" w:themeColor="text1"/>
        </w:rPr>
        <w:t xml:space="preserve">anel’s focus groups also found that this made regional, remote </w:t>
      </w:r>
      <w:r w:rsidR="00F30A12" w:rsidRPr="00734A50">
        <w:rPr>
          <w:rFonts w:ascii="Calibri" w:eastAsia="Calibri" w:hAnsi="Calibri" w:cs="Calibri"/>
          <w:color w:val="000000" w:themeColor="text1"/>
        </w:rPr>
        <w:t>and</w:t>
      </w:r>
      <w:r w:rsidRPr="00734A50">
        <w:rPr>
          <w:rFonts w:ascii="Calibri" w:eastAsia="Calibri" w:hAnsi="Calibri" w:cs="Calibri"/>
          <w:color w:val="000000" w:themeColor="text1"/>
        </w:rPr>
        <w:t xml:space="preserve"> rural practical experience placements especially difficult for mid-career entrants</w:t>
      </w:r>
      <w:r w:rsidR="007B3D98"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as they </w:t>
      </w:r>
      <w:r w:rsidR="00F30A12" w:rsidRPr="00734A50">
        <w:rPr>
          <w:rFonts w:ascii="Calibri" w:eastAsia="Calibri" w:hAnsi="Calibri" w:cs="Calibri"/>
          <w:color w:val="000000" w:themeColor="text1"/>
        </w:rPr>
        <w:t xml:space="preserve">may be </w:t>
      </w:r>
      <w:r w:rsidRPr="00734A50">
        <w:rPr>
          <w:rFonts w:ascii="Calibri" w:eastAsia="Calibri" w:hAnsi="Calibri" w:cs="Calibri"/>
          <w:color w:val="000000" w:themeColor="text1"/>
        </w:rPr>
        <w:t>unable to support their families or may have to leave part-time employment.</w:t>
      </w:r>
      <w:r w:rsidR="004F5BD3" w:rsidRPr="00734A50">
        <w:rPr>
          <w:rFonts w:ascii="Calibri" w:eastAsia="Calibri" w:hAnsi="Calibri" w:cs="Calibri"/>
          <w:color w:val="000000" w:themeColor="text1"/>
        </w:rPr>
        <w:t xml:space="preserve"> </w:t>
      </w:r>
    </w:p>
    <w:p w14:paraId="1742BE44" w14:textId="64D4911F" w:rsidR="00401FE9" w:rsidRPr="00734A50" w:rsidRDefault="00401FE9" w:rsidP="000C715B">
      <w:pPr>
        <w:pStyle w:val="Heading3"/>
      </w:pPr>
      <w:bookmarkStart w:id="100" w:name="_Toc139366663"/>
      <w:r w:rsidRPr="00734A50">
        <w:t xml:space="preserve">4.3 Transitioning into </w:t>
      </w:r>
      <w:r w:rsidR="007C4F4A" w:rsidRPr="00734A50">
        <w:t>i</w:t>
      </w:r>
      <w:r w:rsidRPr="00734A50">
        <w:t xml:space="preserve">nitial </w:t>
      </w:r>
      <w:r w:rsidR="007C4F4A" w:rsidRPr="00734A50">
        <w:t>t</w:t>
      </w:r>
      <w:r w:rsidRPr="00734A50">
        <w:t xml:space="preserve">eacher </w:t>
      </w:r>
      <w:r w:rsidR="007C4F4A" w:rsidRPr="00734A50">
        <w:t>e</w:t>
      </w:r>
      <w:r w:rsidRPr="00734A50">
        <w:t>ducation</w:t>
      </w:r>
      <w:bookmarkEnd w:id="100"/>
      <w:r w:rsidRPr="00734A50">
        <w:t> </w:t>
      </w:r>
    </w:p>
    <w:p w14:paraId="0A8A5C9A" w14:textId="4E509831" w:rsidR="0060546A" w:rsidRPr="00734A50" w:rsidRDefault="0094285F" w:rsidP="0060546A">
      <w:pPr>
        <w:rPr>
          <w:rFonts w:cstheme="minorHAnsi"/>
          <w:lang w:eastAsia="en-AU"/>
        </w:rPr>
      </w:pPr>
      <w:r w:rsidRPr="00734A50">
        <w:rPr>
          <w:rFonts w:cstheme="minorHAnsi"/>
          <w:lang w:eastAsia="en-AU"/>
        </w:rPr>
        <w:t xml:space="preserve">Attracting mid-career entrants into teaching requires </w:t>
      </w:r>
      <w:r w:rsidR="00AF49D4" w:rsidRPr="00734A50">
        <w:rPr>
          <w:rFonts w:cstheme="minorHAnsi"/>
          <w:lang w:eastAsia="en-AU"/>
        </w:rPr>
        <w:t>targeted support that mitigate</w:t>
      </w:r>
      <w:r w:rsidR="00F85C37" w:rsidRPr="00734A50">
        <w:rPr>
          <w:rFonts w:cstheme="minorHAnsi"/>
          <w:lang w:eastAsia="en-AU"/>
        </w:rPr>
        <w:t>s</w:t>
      </w:r>
      <w:r w:rsidR="00AF49D4" w:rsidRPr="00734A50">
        <w:rPr>
          <w:rFonts w:cstheme="minorHAnsi"/>
          <w:lang w:eastAsia="en-AU"/>
        </w:rPr>
        <w:t xml:space="preserve"> the barriers to </w:t>
      </w:r>
      <w:r w:rsidR="0060546A" w:rsidRPr="00734A50">
        <w:rPr>
          <w:rFonts w:cstheme="minorHAnsi"/>
          <w:lang w:eastAsia="en-AU"/>
        </w:rPr>
        <w:t xml:space="preserve">transitioning </w:t>
      </w:r>
      <w:r w:rsidR="00230E55">
        <w:rPr>
          <w:rFonts w:cstheme="minorHAnsi"/>
          <w:lang w:eastAsia="en-AU"/>
        </w:rPr>
        <w:t xml:space="preserve">into </w:t>
      </w:r>
      <w:r w:rsidR="0060546A" w:rsidRPr="00734A50">
        <w:rPr>
          <w:rFonts w:cstheme="minorHAnsi"/>
          <w:lang w:eastAsia="en-AU"/>
        </w:rPr>
        <w:t xml:space="preserve">and successfully completing ITE. </w:t>
      </w:r>
    </w:p>
    <w:p w14:paraId="71BF9D9F" w14:textId="43235F5F" w:rsidR="00AF49D4" w:rsidRPr="00D11ACA" w:rsidRDefault="00814FA6" w:rsidP="000C715B">
      <w:pPr>
        <w:pStyle w:val="Heading4"/>
      </w:pPr>
      <w:r w:rsidRPr="00D11ACA">
        <w:t xml:space="preserve">4.3.1 </w:t>
      </w:r>
      <w:r w:rsidR="00AF49D4" w:rsidRPr="00D11ACA">
        <w:t xml:space="preserve">Features of </w:t>
      </w:r>
      <w:r w:rsidR="00B7080A" w:rsidRPr="00D11ACA">
        <w:t xml:space="preserve">ITE </w:t>
      </w:r>
      <w:r w:rsidR="00AF49D4" w:rsidRPr="00D11ACA">
        <w:t>programs to attract mid-career entrants</w:t>
      </w:r>
    </w:p>
    <w:p w14:paraId="66F77E35" w14:textId="270C0727" w:rsidR="007F34DD" w:rsidRDefault="000B7E2E" w:rsidP="000B7E2E">
      <w:pPr>
        <w:pStyle w:val="ListBullet"/>
        <w:tabs>
          <w:tab w:val="clear" w:pos="360"/>
        </w:tabs>
        <w:spacing w:after="200"/>
        <w:ind w:left="0" w:firstLine="0"/>
        <w:rPr>
          <w:lang w:eastAsia="en-AU"/>
        </w:rPr>
      </w:pPr>
      <w:r w:rsidRPr="00734A50">
        <w:rPr>
          <w:lang w:eastAsia="en-AU"/>
        </w:rPr>
        <w:t>There are a range of programs already operating across Australia targeting specific mid-career cohorts with tailored design and delivery. These programs have key features to attract and support mid-career entrants (Table 4.</w:t>
      </w:r>
      <w:r w:rsidR="00112E0E" w:rsidRPr="00734A50">
        <w:rPr>
          <w:lang w:eastAsia="en-AU"/>
        </w:rPr>
        <w:t>1</w:t>
      </w:r>
      <w:r w:rsidRPr="00734A50">
        <w:rPr>
          <w:lang w:eastAsia="en-AU"/>
        </w:rPr>
        <w:t xml:space="preserve">). </w:t>
      </w:r>
    </w:p>
    <w:p w14:paraId="137B336B" w14:textId="77777777" w:rsidR="007F34DD" w:rsidRDefault="007F34DD">
      <w:pPr>
        <w:spacing w:after="160" w:line="259" w:lineRule="auto"/>
        <w:rPr>
          <w:rFonts w:ascii="Calibri" w:eastAsia="Calibri" w:hAnsi="Calibri" w:cs="Calibri"/>
          <w:lang w:eastAsia="en-AU"/>
        </w:rPr>
      </w:pPr>
      <w:r>
        <w:rPr>
          <w:lang w:eastAsia="en-AU"/>
        </w:rPr>
        <w:br w:type="page"/>
      </w:r>
    </w:p>
    <w:p w14:paraId="3FB19CC8" w14:textId="1720782E" w:rsidR="000B7E2E" w:rsidRPr="00734A50" w:rsidRDefault="000B7E2E" w:rsidP="000B7E2E">
      <w:pPr>
        <w:pStyle w:val="HeadingTable"/>
        <w:numPr>
          <w:ilvl w:val="0"/>
          <w:numId w:val="0"/>
        </w:numPr>
        <w:ind w:left="360" w:hanging="360"/>
        <w:rPr>
          <w:sz w:val="22"/>
          <w:szCs w:val="28"/>
        </w:rPr>
      </w:pPr>
      <w:r w:rsidRPr="00734A50">
        <w:rPr>
          <w:sz w:val="22"/>
          <w:szCs w:val="28"/>
        </w:rPr>
        <w:lastRenderedPageBreak/>
        <w:t>Table 4.</w:t>
      </w:r>
      <w:r w:rsidR="00112E0E" w:rsidRPr="00734A50">
        <w:rPr>
          <w:sz w:val="22"/>
          <w:szCs w:val="28"/>
        </w:rPr>
        <w:t>1</w:t>
      </w:r>
      <w:r w:rsidR="00C57462" w:rsidRPr="00734A50">
        <w:rPr>
          <w:sz w:val="22"/>
          <w:szCs w:val="28"/>
        </w:rPr>
        <w:t>:</w:t>
      </w:r>
      <w:r w:rsidRPr="00734A50">
        <w:rPr>
          <w:rFonts w:cstheme="minorBidi"/>
          <w:sz w:val="22"/>
          <w:szCs w:val="28"/>
        </w:rPr>
        <w:t xml:space="preserve"> Features of </w:t>
      </w:r>
      <w:r w:rsidRPr="00734A50">
        <w:rPr>
          <w:sz w:val="22"/>
          <w:szCs w:val="28"/>
        </w:rPr>
        <w:t>existing programs targeting mid-career cohorts</w:t>
      </w:r>
    </w:p>
    <w:tbl>
      <w:tblPr>
        <w:tblStyle w:val="GridTable4-Accent2"/>
        <w:tblW w:w="9204" w:type="dxa"/>
        <w:tblLayout w:type="fixed"/>
        <w:tblLook w:val="04A0" w:firstRow="1" w:lastRow="0" w:firstColumn="1" w:lastColumn="0" w:noHBand="0" w:noVBand="1"/>
      </w:tblPr>
      <w:tblGrid>
        <w:gridCol w:w="2970"/>
        <w:gridCol w:w="6234"/>
      </w:tblGrid>
      <w:tr w:rsidR="000B7E2E" w:rsidRPr="00734A50" w14:paraId="0748B0B4" w14:textId="77777777" w:rsidTr="00CB121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CF52" w:themeColor="accent2"/>
              <w:left w:val="single" w:sz="8" w:space="0" w:color="FECF52" w:themeColor="accent2"/>
              <w:bottom w:val="single" w:sz="8" w:space="0" w:color="FECF52" w:themeColor="accent2"/>
            </w:tcBorders>
            <w:tcMar>
              <w:left w:w="108" w:type="dxa"/>
              <w:right w:w="108" w:type="dxa"/>
            </w:tcMar>
            <w:vAlign w:val="center"/>
          </w:tcPr>
          <w:p w14:paraId="1BD88338" w14:textId="77777777" w:rsidR="000B7E2E" w:rsidRPr="00734A50" w:rsidRDefault="000B7E2E" w:rsidP="00CB1212">
            <w:pPr>
              <w:rPr>
                <w:color w:val="auto"/>
              </w:rPr>
            </w:pPr>
            <w:r w:rsidRPr="00734A50">
              <w:rPr>
                <w:color w:val="auto"/>
                <w:lang w:eastAsia="en-AU"/>
              </w:rPr>
              <w:t xml:space="preserve">Key features </w:t>
            </w:r>
          </w:p>
        </w:tc>
        <w:tc>
          <w:tcPr>
            <w:tcW w:w="6234" w:type="dxa"/>
            <w:tcBorders>
              <w:top w:val="single" w:sz="8" w:space="0" w:color="FECF52" w:themeColor="accent2"/>
              <w:bottom w:val="single" w:sz="8" w:space="0" w:color="FECF52" w:themeColor="accent2"/>
              <w:right w:val="single" w:sz="8" w:space="0" w:color="FECF52" w:themeColor="accent2"/>
            </w:tcBorders>
            <w:tcMar>
              <w:left w:w="108" w:type="dxa"/>
              <w:right w:w="108" w:type="dxa"/>
            </w:tcMar>
            <w:vAlign w:val="center"/>
          </w:tcPr>
          <w:p w14:paraId="5C2EB7A9" w14:textId="77777777" w:rsidR="000B7E2E" w:rsidRPr="00734A50" w:rsidRDefault="000B7E2E" w:rsidP="00CB1212">
            <w:pPr>
              <w:cnfStyle w:val="100000000000" w:firstRow="1" w:lastRow="0" w:firstColumn="0" w:lastColumn="0" w:oddVBand="0" w:evenVBand="0" w:oddHBand="0" w:evenHBand="0" w:firstRowFirstColumn="0" w:firstRowLastColumn="0" w:lastRowFirstColumn="0" w:lastRowLastColumn="0"/>
              <w:rPr>
                <w:color w:val="auto"/>
              </w:rPr>
            </w:pPr>
            <w:r w:rsidRPr="00734A50">
              <w:rPr>
                <w:color w:val="auto"/>
                <w:lang w:eastAsia="en-AU"/>
              </w:rPr>
              <w:t xml:space="preserve">Description </w:t>
            </w:r>
          </w:p>
        </w:tc>
      </w:tr>
      <w:tr w:rsidR="000B7E2E" w:rsidRPr="00734A50" w14:paraId="2C2ACBB0" w14:textId="77777777" w:rsidTr="00CB1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CF52" w:themeColor="accent2"/>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vAlign w:val="center"/>
          </w:tcPr>
          <w:p w14:paraId="0AAFA8DC" w14:textId="5C86C0FC" w:rsidR="000B7E2E" w:rsidRPr="00734A50" w:rsidRDefault="000B7E2E" w:rsidP="00CB1212">
            <w:r w:rsidRPr="00734A50">
              <w:rPr>
                <w:lang w:eastAsia="en-AU"/>
              </w:rPr>
              <w:t xml:space="preserve">Opportunities for paid employment during the </w:t>
            </w:r>
            <w:r w:rsidR="009F2C90" w:rsidRPr="00734A50">
              <w:rPr>
                <w:lang w:eastAsia="en-AU"/>
              </w:rPr>
              <w:t>program</w:t>
            </w:r>
          </w:p>
        </w:tc>
        <w:tc>
          <w:tcPr>
            <w:tcW w:w="6234" w:type="dxa"/>
            <w:tcBorders>
              <w:top w:val="single" w:sz="8" w:space="0" w:color="FECF52" w:themeColor="accent2"/>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vAlign w:val="center"/>
          </w:tcPr>
          <w:p w14:paraId="0FEDADA2" w14:textId="4B9014C3" w:rsidR="000B7E2E" w:rsidRPr="00734A50" w:rsidRDefault="000B7E2E" w:rsidP="00CB1212">
            <w:pPr>
              <w:pStyle w:val="NormalTextBulleted"/>
              <w:numPr>
                <w:ilvl w:val="0"/>
                <w:numId w:val="0"/>
              </w:numPr>
              <w:spacing w:after="0"/>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Bidi"/>
                <w:sz w:val="22"/>
                <w:lang w:eastAsia="en-AU"/>
              </w:rPr>
            </w:pPr>
            <w:r w:rsidRPr="00734A50">
              <w:rPr>
                <w:rFonts w:asciiTheme="minorHAnsi" w:eastAsia="Calibri" w:hAnsiTheme="minorHAnsi" w:cstheme="minorBidi"/>
                <w:sz w:val="22"/>
                <w:lang w:eastAsia="en-AU"/>
              </w:rPr>
              <w:t xml:space="preserve">There are many examples in Australia of mid-career pathways offering students the opportunity to undertake relevant paid employment while completing their ITE </w:t>
            </w:r>
            <w:r w:rsidR="009F2C90" w:rsidRPr="00734A50">
              <w:rPr>
                <w:rFonts w:asciiTheme="minorHAnsi" w:eastAsia="Calibri" w:hAnsiTheme="minorHAnsi" w:cstheme="minorBidi"/>
                <w:sz w:val="22"/>
                <w:lang w:eastAsia="en-AU"/>
              </w:rPr>
              <w:t>program</w:t>
            </w:r>
            <w:r w:rsidRPr="00734A50">
              <w:rPr>
                <w:rFonts w:asciiTheme="minorHAnsi" w:eastAsia="Calibri" w:hAnsiTheme="minorHAnsi" w:cstheme="minorBidi"/>
                <w:sz w:val="22"/>
                <w:lang w:eastAsia="en-AU"/>
              </w:rPr>
              <w:t xml:space="preserve">. Such approaches can involve either working as a part-time paraprofessional throughout the ITE </w:t>
            </w:r>
            <w:r w:rsidR="009F2C90" w:rsidRPr="00734A50">
              <w:rPr>
                <w:rFonts w:asciiTheme="minorHAnsi" w:eastAsia="Calibri" w:hAnsiTheme="minorHAnsi" w:cstheme="minorBidi"/>
                <w:sz w:val="22"/>
                <w:lang w:eastAsia="en-AU"/>
              </w:rPr>
              <w:t xml:space="preserve">program </w:t>
            </w:r>
            <w:r w:rsidRPr="00734A50">
              <w:rPr>
                <w:rFonts w:asciiTheme="minorHAnsi" w:eastAsia="Calibri" w:hAnsiTheme="minorHAnsi" w:cstheme="minorBidi"/>
                <w:sz w:val="22"/>
                <w:lang w:eastAsia="en-AU"/>
              </w:rPr>
              <w:t xml:space="preserve">(e.g. La Trobe University’s Nexus program), working as a teacher throughout the ITE </w:t>
            </w:r>
            <w:r w:rsidR="009F2C90" w:rsidRPr="00734A50">
              <w:rPr>
                <w:rFonts w:asciiTheme="minorHAnsi" w:eastAsia="Calibri" w:hAnsiTheme="minorHAnsi" w:cstheme="minorBidi"/>
                <w:sz w:val="22"/>
                <w:lang w:eastAsia="en-AU"/>
              </w:rPr>
              <w:t xml:space="preserve">program </w:t>
            </w:r>
            <w:r w:rsidRPr="00734A50">
              <w:rPr>
                <w:rFonts w:asciiTheme="minorHAnsi" w:eastAsia="Calibri" w:hAnsiTheme="minorHAnsi" w:cstheme="minorBidi"/>
                <w:sz w:val="22"/>
                <w:lang w:eastAsia="en-AU"/>
              </w:rPr>
              <w:t xml:space="preserve">(e.g. </w:t>
            </w:r>
            <w:r w:rsidR="00201984" w:rsidRPr="00734A50">
              <w:rPr>
                <w:rFonts w:asciiTheme="minorHAnsi" w:eastAsia="Calibri" w:hAnsiTheme="minorHAnsi" w:cstheme="minorBidi"/>
                <w:sz w:val="22"/>
                <w:lang w:eastAsia="en-AU"/>
              </w:rPr>
              <w:t xml:space="preserve">Teach </w:t>
            </w:r>
            <w:r w:rsidR="00895E10" w:rsidRPr="00734A50">
              <w:rPr>
                <w:rFonts w:asciiTheme="minorHAnsi" w:eastAsia="Calibri" w:hAnsiTheme="minorHAnsi" w:cstheme="minorBidi"/>
                <w:sz w:val="22"/>
                <w:lang w:eastAsia="en-AU"/>
              </w:rPr>
              <w:t>For Australia</w:t>
            </w:r>
            <w:r w:rsidRPr="00734A50">
              <w:rPr>
                <w:rFonts w:asciiTheme="minorHAnsi" w:eastAsia="Calibri" w:hAnsiTheme="minorHAnsi" w:cstheme="minorBidi"/>
                <w:sz w:val="22"/>
                <w:lang w:eastAsia="en-AU"/>
              </w:rPr>
              <w:t xml:space="preserve">), or working as a teacher in a paid capacity towards the end of the ITE </w:t>
            </w:r>
            <w:r w:rsidR="009F2C90" w:rsidRPr="00734A50">
              <w:rPr>
                <w:rFonts w:asciiTheme="minorHAnsi" w:eastAsia="Calibri" w:hAnsiTheme="minorHAnsi" w:cstheme="minorBidi"/>
                <w:sz w:val="22"/>
                <w:lang w:eastAsia="en-AU"/>
              </w:rPr>
              <w:t>program</w:t>
            </w:r>
            <w:r w:rsidRPr="00734A50">
              <w:rPr>
                <w:rFonts w:eastAsia="Arial" w:cs="Arial"/>
              </w:rPr>
              <w:t>.</w:t>
            </w:r>
            <w:r w:rsidRPr="00734A50">
              <w:rPr>
                <w:rFonts w:asciiTheme="minorHAnsi" w:eastAsia="Arial" w:hAnsiTheme="minorHAnsi" w:cstheme="minorBidi"/>
                <w:sz w:val="22"/>
                <w:lang w:eastAsia="en-AU"/>
              </w:rPr>
              <w:t xml:space="preserve"> </w:t>
            </w:r>
          </w:p>
        </w:tc>
      </w:tr>
      <w:tr w:rsidR="000B7E2E" w:rsidRPr="00734A50" w14:paraId="75F1078F" w14:textId="77777777" w:rsidTr="00CB1212">
        <w:trPr>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vAlign w:val="center"/>
          </w:tcPr>
          <w:p w14:paraId="00D4DC62" w14:textId="77777777" w:rsidR="000B7E2E" w:rsidRPr="00734A50" w:rsidRDefault="000B7E2E" w:rsidP="00CB1212">
            <w:r w:rsidRPr="00734A50">
              <w:rPr>
                <w:lang w:eastAsia="en-AU"/>
              </w:rPr>
              <w:t>Guarantees of employment</w:t>
            </w:r>
          </w:p>
        </w:tc>
        <w:tc>
          <w:tcPr>
            <w:tcW w:w="6234"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vAlign w:val="center"/>
          </w:tcPr>
          <w:p w14:paraId="01174CFC" w14:textId="77777777" w:rsidR="000B7E2E" w:rsidRPr="00734A50" w:rsidRDefault="000B7E2E" w:rsidP="00CB1212">
            <w:pPr>
              <w:pStyle w:val="NormalTextBulleted"/>
              <w:numPr>
                <w:ilvl w:val="0"/>
                <w:numId w:val="0"/>
              </w:numPr>
              <w:spacing w:after="0"/>
              <w:cnfStyle w:val="000000000000" w:firstRow="0" w:lastRow="0" w:firstColumn="0" w:lastColumn="0" w:oddVBand="0" w:evenVBand="0" w:oddHBand="0" w:evenHBand="0" w:firstRowFirstColumn="0" w:firstRowLastColumn="0" w:lastRowFirstColumn="0" w:lastRowLastColumn="0"/>
            </w:pPr>
            <w:r w:rsidRPr="00734A50">
              <w:rPr>
                <w:rFonts w:asciiTheme="minorHAnsi" w:eastAsia="Calibri" w:hAnsiTheme="minorHAnsi" w:cstheme="minorBidi"/>
                <w:sz w:val="22"/>
                <w:lang w:eastAsia="en-AU"/>
              </w:rPr>
              <w:t xml:space="preserve">Some state governments offer employment in government schools following completion of the program. Most often, this is a general offer of employment somewhere in the state; in other programs, a particular region might be specified. Offers of employment can lower the risk associated with a career transition for mid-career entrants. </w:t>
            </w:r>
          </w:p>
        </w:tc>
      </w:tr>
      <w:tr w:rsidR="000B7E2E" w:rsidRPr="00734A50" w14:paraId="26B95A8D" w14:textId="77777777" w:rsidTr="00CB1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vAlign w:val="center"/>
          </w:tcPr>
          <w:p w14:paraId="3ABBDE23" w14:textId="77777777" w:rsidR="000B7E2E" w:rsidRPr="00734A50" w:rsidRDefault="000B7E2E" w:rsidP="00CB1212">
            <w:r w:rsidRPr="00734A50">
              <w:rPr>
                <w:lang w:eastAsia="en-AU"/>
              </w:rPr>
              <w:t>Provision of financial incentives</w:t>
            </w:r>
          </w:p>
        </w:tc>
        <w:tc>
          <w:tcPr>
            <w:tcW w:w="6234" w:type="dxa"/>
            <w:tcBorders>
              <w:top w:val="single" w:sz="8" w:space="0" w:color="FEE296" w:themeColor="accent2" w:themeTint="99"/>
              <w:left w:val="single" w:sz="8" w:space="0" w:color="FEE296" w:themeColor="accent2" w:themeTint="99"/>
              <w:bottom w:val="single" w:sz="8" w:space="0" w:color="FEE296" w:themeColor="accent2" w:themeTint="99"/>
              <w:right w:val="single" w:sz="8" w:space="0" w:color="FEE296" w:themeColor="accent2" w:themeTint="99"/>
            </w:tcBorders>
            <w:tcMar>
              <w:left w:w="108" w:type="dxa"/>
              <w:right w:w="108" w:type="dxa"/>
            </w:tcMar>
            <w:vAlign w:val="center"/>
          </w:tcPr>
          <w:p w14:paraId="5445C67F" w14:textId="77777777" w:rsidR="000B7E2E" w:rsidRPr="00734A50" w:rsidRDefault="000B7E2E" w:rsidP="00CB1212">
            <w:pPr>
              <w:spacing w:after="0"/>
              <w:cnfStyle w:val="000000100000" w:firstRow="0" w:lastRow="0" w:firstColumn="0" w:lastColumn="0" w:oddVBand="0" w:evenVBand="0" w:oddHBand="1" w:evenHBand="0" w:firstRowFirstColumn="0" w:firstRowLastColumn="0" w:lastRowFirstColumn="0" w:lastRowLastColumn="0"/>
              <w:rPr>
                <w:rFonts w:eastAsia="Calibri"/>
                <w:lang w:eastAsia="en-AU"/>
              </w:rPr>
            </w:pPr>
            <w:r w:rsidRPr="00734A50">
              <w:rPr>
                <w:rFonts w:ascii="Calibri" w:eastAsia="Calibri" w:hAnsi="Calibri" w:cs="Calibri"/>
              </w:rPr>
              <w:t>State government supported pathways often include incentives such as:</w:t>
            </w:r>
          </w:p>
          <w:p w14:paraId="13DCD18D" w14:textId="3F59B1B4" w:rsidR="000B7E2E" w:rsidRDefault="000B7E2E" w:rsidP="00572A40">
            <w:pPr>
              <w:pStyle w:val="ListBullet"/>
              <w:numPr>
                <w:ilvl w:val="0"/>
                <w:numId w:val="216"/>
              </w:numPr>
              <w:cnfStyle w:val="000000100000" w:firstRow="0" w:lastRow="0" w:firstColumn="0" w:lastColumn="0" w:oddVBand="0" w:evenVBand="0" w:oddHBand="1" w:evenHBand="0" w:firstRowFirstColumn="0" w:firstRowLastColumn="0" w:lastRowFirstColumn="0" w:lastRowLastColumn="0"/>
            </w:pPr>
            <w:r w:rsidRPr="00734A50">
              <w:t>scholarships and bursaries</w:t>
            </w:r>
          </w:p>
          <w:p w14:paraId="195FD8C7" w14:textId="77777777" w:rsidR="000B7E2E" w:rsidRDefault="000B7E2E" w:rsidP="00572A40">
            <w:pPr>
              <w:pStyle w:val="ListBullet"/>
              <w:numPr>
                <w:ilvl w:val="0"/>
                <w:numId w:val="216"/>
              </w:numPr>
              <w:cnfStyle w:val="000000100000" w:firstRow="0" w:lastRow="0" w:firstColumn="0" w:lastColumn="0" w:oddVBand="0" w:evenVBand="0" w:oddHBand="1" w:evenHBand="0" w:firstRowFirstColumn="0" w:firstRowLastColumn="0" w:lastRowFirstColumn="0" w:lastRowLastColumn="0"/>
            </w:pPr>
            <w:r w:rsidRPr="00734A50">
              <w:t>training allowances and stipends</w:t>
            </w:r>
          </w:p>
          <w:p w14:paraId="0D0C19DF" w14:textId="77777777" w:rsidR="000B7E2E" w:rsidRDefault="000B7E2E" w:rsidP="00572A40">
            <w:pPr>
              <w:pStyle w:val="ListBullet"/>
              <w:numPr>
                <w:ilvl w:val="0"/>
                <w:numId w:val="216"/>
              </w:numPr>
              <w:cnfStyle w:val="000000100000" w:firstRow="0" w:lastRow="0" w:firstColumn="0" w:lastColumn="0" w:oddVBand="0" w:evenVBand="0" w:oddHBand="1" w:evenHBand="0" w:firstRowFirstColumn="0" w:firstRowLastColumn="0" w:lastRowFirstColumn="0" w:lastRowLastColumn="0"/>
            </w:pPr>
            <w:r w:rsidRPr="00734A50">
              <w:t>course contribution fees or subsidised course fees</w:t>
            </w:r>
          </w:p>
          <w:p w14:paraId="24492FBE" w14:textId="77777777" w:rsidR="000B7E2E" w:rsidRPr="00734A50" w:rsidRDefault="000B7E2E" w:rsidP="00DF6955">
            <w:pPr>
              <w:pStyle w:val="ListBullet"/>
              <w:numPr>
                <w:ilvl w:val="0"/>
                <w:numId w:val="216"/>
              </w:numPr>
              <w:cnfStyle w:val="000000100000" w:firstRow="0" w:lastRow="0" w:firstColumn="0" w:lastColumn="0" w:oddVBand="0" w:evenVBand="0" w:oddHBand="1" w:evenHBand="0" w:firstRowFirstColumn="0" w:firstRowLastColumn="0" w:lastRowFirstColumn="0" w:lastRowLastColumn="0"/>
            </w:pPr>
            <w:r w:rsidRPr="00734A50">
              <w:t>completion bonuses.</w:t>
            </w:r>
          </w:p>
        </w:tc>
      </w:tr>
    </w:tbl>
    <w:p w14:paraId="7544769C" w14:textId="5E3607D4" w:rsidR="00D13C16" w:rsidRPr="00734A50" w:rsidRDefault="00D13C16" w:rsidP="00A269DD">
      <w:pPr>
        <w:spacing w:before="200"/>
      </w:pPr>
      <w:r w:rsidRPr="00734A50">
        <w:t>Mid-career entrants value features that address their key barriers to enrolling in ITE, including paid employment in a school during study, guaranteed employment upon graduation, flexible study options (such as online and part-time study) and accelerated study (Table 4.</w:t>
      </w:r>
      <w:r w:rsidR="00C57462" w:rsidRPr="00734A50">
        <w:t>2</w:t>
      </w:r>
      <w:r w:rsidRPr="00734A50">
        <w:t>). But these features are not always present in ITE programs.</w:t>
      </w:r>
    </w:p>
    <w:p w14:paraId="0205F145" w14:textId="05064912" w:rsidR="00D13C16" w:rsidRPr="00734A50" w:rsidRDefault="00D13C16" w:rsidP="00D13C16">
      <w:r w:rsidRPr="00734A50">
        <w:t>The Panel’s survey result</w:t>
      </w:r>
      <w:r w:rsidR="0086291D">
        <w:t>s</w:t>
      </w:r>
      <w:r w:rsidRPr="00734A50">
        <w:t xml:space="preserve"> show</w:t>
      </w:r>
      <w:r w:rsidR="00F30A12" w:rsidRPr="00734A50">
        <w:t xml:space="preserve"> that</w:t>
      </w:r>
      <w:r w:rsidRPr="00734A50">
        <w:t xml:space="preserve"> the most common feature of ITE programs available to mid-career entrants </w:t>
      </w:r>
      <w:r w:rsidR="00F30A12" w:rsidRPr="00734A50">
        <w:t xml:space="preserve">is </w:t>
      </w:r>
      <w:r w:rsidRPr="00734A50">
        <w:t xml:space="preserve">flexible study options, </w:t>
      </w:r>
      <w:r w:rsidR="00F30A12" w:rsidRPr="00734A50">
        <w:t xml:space="preserve">which </w:t>
      </w:r>
      <w:r w:rsidRPr="00734A50">
        <w:t xml:space="preserve">most mid-career entrants report as beneficial. For example, </w:t>
      </w:r>
      <w:r w:rsidR="0055541E" w:rsidRPr="00734A50">
        <w:t>70</w:t>
      </w:r>
      <w:r w:rsidRPr="00734A50">
        <w:t xml:space="preserve"> per cent of mid-career entrants were undertaking online study and 86</w:t>
      </w:r>
      <w:r w:rsidR="00F30A12" w:rsidRPr="00734A50">
        <w:t> </w:t>
      </w:r>
      <w:r w:rsidRPr="00734A50">
        <w:t>per cent who undertook online study reported</w:t>
      </w:r>
      <w:r w:rsidR="00F30A12" w:rsidRPr="00734A50">
        <w:t xml:space="preserve"> that</w:t>
      </w:r>
      <w:r w:rsidRPr="00734A50">
        <w:t xml:space="preserve"> this was a beneficial feature of their ITE program.</w:t>
      </w:r>
    </w:p>
    <w:p w14:paraId="569D44F1" w14:textId="69CF453C" w:rsidR="00D13C16" w:rsidRPr="00734A50" w:rsidRDefault="00D13C16" w:rsidP="00D13C16">
      <w:r w:rsidRPr="00734A50">
        <w:t xml:space="preserve">Most mid-career entrants who were employed in a school during study (as a teacher or as an education paraprofessional) said that this was a beneficial feature of their ITE program. Most mid-career entrants who did not have the option of employment in a school also said that they would benefit from this option. Despite this, </w:t>
      </w:r>
      <w:r w:rsidR="008E011F" w:rsidRPr="00734A50">
        <w:t xml:space="preserve">only </w:t>
      </w:r>
      <w:r w:rsidRPr="00734A50">
        <w:t>1</w:t>
      </w:r>
      <w:r w:rsidR="001642E4" w:rsidRPr="00734A50">
        <w:t>2</w:t>
      </w:r>
      <w:r w:rsidRPr="00734A50">
        <w:t xml:space="preserve"> per cent of mid-career entrants undertook paid work as a teacher or an education paraprofessional</w:t>
      </w:r>
      <w:r w:rsidR="00454574" w:rsidRPr="00734A50">
        <w:t xml:space="preserve"> during study</w:t>
      </w:r>
      <w:r w:rsidRPr="00734A50">
        <w:t>.</w:t>
      </w:r>
    </w:p>
    <w:p w14:paraId="21BCEEC5" w14:textId="7E6E981A" w:rsidR="00D13C16" w:rsidRPr="00734A50" w:rsidRDefault="00D13C16" w:rsidP="00D13C16">
      <w:r w:rsidRPr="00734A50">
        <w:t xml:space="preserve">The majority of mid-career entrants also </w:t>
      </w:r>
      <w:r w:rsidR="00F30A12" w:rsidRPr="00734A50">
        <w:t xml:space="preserve">regarded </w:t>
      </w:r>
      <w:r w:rsidR="00F2174A" w:rsidRPr="00734A50">
        <w:t xml:space="preserve">financial payments, </w:t>
      </w:r>
      <w:r w:rsidR="00C62C4B" w:rsidRPr="00734A50">
        <w:t xml:space="preserve">accelerated study and </w:t>
      </w:r>
      <w:r w:rsidRPr="00734A50">
        <w:t xml:space="preserve">guaranteed employment as beneficial, but only </w:t>
      </w:r>
      <w:r w:rsidR="00F30A12" w:rsidRPr="00734A50">
        <w:t xml:space="preserve">a </w:t>
      </w:r>
      <w:r w:rsidRPr="00734A50">
        <w:t>minority had access to these in their ITE program.</w:t>
      </w:r>
    </w:p>
    <w:p w14:paraId="69FB46ED" w14:textId="315EA659" w:rsidR="00D13C16" w:rsidRPr="00734A50" w:rsidRDefault="00D13C16" w:rsidP="00D13C16">
      <w:pPr>
        <w:pStyle w:val="HeadingTable"/>
        <w:numPr>
          <w:ilvl w:val="0"/>
          <w:numId w:val="0"/>
        </w:numPr>
        <w:ind w:left="360" w:hanging="360"/>
        <w:rPr>
          <w:sz w:val="22"/>
          <w:szCs w:val="22"/>
        </w:rPr>
      </w:pPr>
      <w:r w:rsidRPr="00734A50">
        <w:rPr>
          <w:sz w:val="22"/>
          <w:szCs w:val="22"/>
        </w:rPr>
        <w:lastRenderedPageBreak/>
        <w:t>Table 4.</w:t>
      </w:r>
      <w:r w:rsidR="00C57462" w:rsidRPr="00734A50">
        <w:rPr>
          <w:sz w:val="22"/>
          <w:szCs w:val="22"/>
        </w:rPr>
        <w:t>2</w:t>
      </w:r>
      <w:r w:rsidRPr="00734A50">
        <w:rPr>
          <w:sz w:val="22"/>
          <w:szCs w:val="22"/>
        </w:rPr>
        <w:t>: Mid-career entrants</w:t>
      </w:r>
      <w:r w:rsidR="00F30A12" w:rsidRPr="00734A50">
        <w:rPr>
          <w:sz w:val="22"/>
          <w:szCs w:val="22"/>
        </w:rPr>
        <w:t>’</w:t>
      </w:r>
      <w:r w:rsidRPr="00734A50">
        <w:rPr>
          <w:sz w:val="22"/>
          <w:szCs w:val="22"/>
        </w:rPr>
        <w:t xml:space="preserve"> access to features of ITE programs</w:t>
      </w:r>
    </w:p>
    <w:tbl>
      <w:tblPr>
        <w:tblStyle w:val="ListTable4-Accent1"/>
        <w:tblpPr w:leftFromText="181" w:rightFromText="181" w:vertAnchor="text" w:tblpXSpec="center" w:tblpY="1"/>
        <w:tblOverlap w:val="never"/>
        <w:tblW w:w="0" w:type="auto"/>
        <w:tblLook w:val="04A0" w:firstRow="1" w:lastRow="0" w:firstColumn="1" w:lastColumn="0" w:noHBand="0" w:noVBand="1"/>
      </w:tblPr>
      <w:tblGrid>
        <w:gridCol w:w="2654"/>
        <w:gridCol w:w="1694"/>
        <w:gridCol w:w="2243"/>
        <w:gridCol w:w="2419"/>
      </w:tblGrid>
      <w:tr w:rsidR="00BB591B" w:rsidRPr="00734A50" w14:paraId="783A15CB" w14:textId="77777777" w:rsidTr="00293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6C35FC" w14:textId="77777777" w:rsidR="00293389" w:rsidRDefault="00293389" w:rsidP="00293389">
            <w:pPr>
              <w:rPr>
                <w:b w:val="0"/>
                <w:bCs w:val="0"/>
                <w:color w:val="000000" w:themeColor="text1"/>
              </w:rPr>
            </w:pPr>
          </w:p>
          <w:p w14:paraId="299A1B6D" w14:textId="48B7134C" w:rsidR="00D13C16" w:rsidRPr="00157871" w:rsidRDefault="00D13C16" w:rsidP="00293389">
            <w:pPr>
              <w:rPr>
                <w:color w:val="000000" w:themeColor="text1"/>
              </w:rPr>
            </w:pPr>
            <w:r w:rsidRPr="00157871">
              <w:rPr>
                <w:color w:val="000000" w:themeColor="text1"/>
              </w:rPr>
              <w:t>Features of ITE programs</w:t>
            </w:r>
          </w:p>
        </w:tc>
        <w:tc>
          <w:tcPr>
            <w:tcW w:w="0" w:type="auto"/>
          </w:tcPr>
          <w:p w14:paraId="181AF945" w14:textId="06B44A4A" w:rsidR="00D13C16" w:rsidRPr="00157871" w:rsidRDefault="00D13C16" w:rsidP="00293389">
            <w:pPr>
              <w:cnfStyle w:val="100000000000" w:firstRow="1" w:lastRow="0" w:firstColumn="0" w:lastColumn="0" w:oddVBand="0" w:evenVBand="0" w:oddHBand="0" w:evenHBand="0" w:firstRowFirstColumn="0" w:firstRowLastColumn="0" w:lastRowFirstColumn="0" w:lastRowLastColumn="0"/>
              <w:rPr>
                <w:color w:val="000000" w:themeColor="text1"/>
              </w:rPr>
            </w:pPr>
            <w:r w:rsidRPr="00157871">
              <w:rPr>
                <w:color w:val="000000" w:themeColor="text1"/>
              </w:rPr>
              <w:t xml:space="preserve">Mid-career entrants </w:t>
            </w:r>
            <w:r w:rsidR="00754949" w:rsidRPr="00157871">
              <w:rPr>
                <w:color w:val="000000" w:themeColor="text1"/>
              </w:rPr>
              <w:t>with</w:t>
            </w:r>
            <w:r w:rsidRPr="00157871">
              <w:rPr>
                <w:color w:val="000000" w:themeColor="text1"/>
              </w:rPr>
              <w:t xml:space="preserve"> access to this feature</w:t>
            </w:r>
          </w:p>
        </w:tc>
        <w:tc>
          <w:tcPr>
            <w:tcW w:w="0" w:type="auto"/>
          </w:tcPr>
          <w:p w14:paraId="5DD98948" w14:textId="7A64DBE7" w:rsidR="00D13C16" w:rsidRPr="00157871" w:rsidRDefault="00D13C16" w:rsidP="00293389">
            <w:pPr>
              <w:cnfStyle w:val="100000000000" w:firstRow="1" w:lastRow="0" w:firstColumn="0" w:lastColumn="0" w:oddVBand="0" w:evenVBand="0" w:oddHBand="0" w:evenHBand="0" w:firstRowFirstColumn="0" w:firstRowLastColumn="0" w:lastRowFirstColumn="0" w:lastRowLastColumn="0"/>
              <w:rPr>
                <w:color w:val="000000" w:themeColor="text1"/>
              </w:rPr>
            </w:pPr>
            <w:r w:rsidRPr="00157871">
              <w:rPr>
                <w:color w:val="000000" w:themeColor="text1"/>
              </w:rPr>
              <w:t>Mid-career entrants with access to this feature reporting it as beneficial</w:t>
            </w:r>
          </w:p>
        </w:tc>
        <w:tc>
          <w:tcPr>
            <w:tcW w:w="0" w:type="auto"/>
          </w:tcPr>
          <w:p w14:paraId="7D74785A" w14:textId="60263834" w:rsidR="00D13C16" w:rsidRPr="00157871" w:rsidRDefault="00D13C16" w:rsidP="00293389">
            <w:pPr>
              <w:cnfStyle w:val="100000000000" w:firstRow="1" w:lastRow="0" w:firstColumn="0" w:lastColumn="0" w:oddVBand="0" w:evenVBand="0" w:oddHBand="0" w:evenHBand="0" w:firstRowFirstColumn="0" w:firstRowLastColumn="0" w:lastRowFirstColumn="0" w:lastRowLastColumn="0"/>
              <w:rPr>
                <w:color w:val="000000" w:themeColor="text1"/>
              </w:rPr>
            </w:pPr>
            <w:r w:rsidRPr="00157871">
              <w:rPr>
                <w:color w:val="000000" w:themeColor="text1"/>
              </w:rPr>
              <w:t>Mid-career entrants reporting this feature would be beneficial if it were available</w:t>
            </w:r>
          </w:p>
        </w:tc>
      </w:tr>
      <w:tr w:rsidR="00956AA9" w:rsidRPr="00734A50" w14:paraId="5B868062" w14:textId="77777777" w:rsidTr="00293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630BBF" w14:textId="38BFC2E4" w:rsidR="00956AA9" w:rsidRPr="007119A2" w:rsidRDefault="00956AA9" w:rsidP="00293389">
            <w:pPr>
              <w:rPr>
                <w:b w:val="0"/>
                <w:bCs w:val="0"/>
              </w:rPr>
            </w:pPr>
            <w:r w:rsidRPr="007119A2">
              <w:rPr>
                <w:b w:val="0"/>
                <w:bCs w:val="0"/>
              </w:rPr>
              <w:t>Online study</w:t>
            </w:r>
          </w:p>
        </w:tc>
        <w:tc>
          <w:tcPr>
            <w:tcW w:w="0" w:type="auto"/>
            <w:vAlign w:val="center"/>
          </w:tcPr>
          <w:p w14:paraId="5DC69A18" w14:textId="47F79EDF"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70%</w:t>
            </w:r>
          </w:p>
        </w:tc>
        <w:tc>
          <w:tcPr>
            <w:tcW w:w="0" w:type="auto"/>
            <w:vAlign w:val="center"/>
          </w:tcPr>
          <w:p w14:paraId="2712604A" w14:textId="0ED16017"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86%</w:t>
            </w:r>
          </w:p>
        </w:tc>
        <w:tc>
          <w:tcPr>
            <w:tcW w:w="0" w:type="auto"/>
            <w:vAlign w:val="center"/>
          </w:tcPr>
          <w:p w14:paraId="0704BAFF" w14:textId="2E397D9F"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54%</w:t>
            </w:r>
          </w:p>
        </w:tc>
      </w:tr>
      <w:tr w:rsidR="00956AA9" w:rsidRPr="00734A50" w14:paraId="337D0D85" w14:textId="77777777" w:rsidTr="00293389">
        <w:tc>
          <w:tcPr>
            <w:cnfStyle w:val="001000000000" w:firstRow="0" w:lastRow="0" w:firstColumn="1" w:lastColumn="0" w:oddVBand="0" w:evenVBand="0" w:oddHBand="0" w:evenHBand="0" w:firstRowFirstColumn="0" w:firstRowLastColumn="0" w:lastRowFirstColumn="0" w:lastRowLastColumn="0"/>
            <w:tcW w:w="0" w:type="auto"/>
          </w:tcPr>
          <w:p w14:paraId="51F80ED6" w14:textId="4E51DA94" w:rsidR="00956AA9" w:rsidRPr="007119A2" w:rsidRDefault="00956AA9" w:rsidP="00293389">
            <w:pPr>
              <w:rPr>
                <w:b w:val="0"/>
                <w:bCs w:val="0"/>
              </w:rPr>
            </w:pPr>
            <w:r w:rsidRPr="007119A2">
              <w:rPr>
                <w:b w:val="0"/>
                <w:bCs w:val="0"/>
              </w:rPr>
              <w:t>Part-time study</w:t>
            </w:r>
          </w:p>
        </w:tc>
        <w:tc>
          <w:tcPr>
            <w:tcW w:w="0" w:type="auto"/>
            <w:vAlign w:val="center"/>
          </w:tcPr>
          <w:p w14:paraId="345DFC6A" w14:textId="63C6EAC6" w:rsidR="00956AA9" w:rsidRPr="00734A50" w:rsidRDefault="00956AA9" w:rsidP="00293389">
            <w:pPr>
              <w:cnfStyle w:val="000000000000" w:firstRow="0" w:lastRow="0" w:firstColumn="0" w:lastColumn="0" w:oddVBand="0" w:evenVBand="0" w:oddHBand="0" w:evenHBand="0" w:firstRowFirstColumn="0" w:firstRowLastColumn="0" w:lastRowFirstColumn="0" w:lastRowLastColumn="0"/>
            </w:pPr>
            <w:r w:rsidRPr="00734A50">
              <w:rPr>
                <w:color w:val="000000"/>
              </w:rPr>
              <w:t>49%</w:t>
            </w:r>
          </w:p>
        </w:tc>
        <w:tc>
          <w:tcPr>
            <w:tcW w:w="0" w:type="auto"/>
            <w:vAlign w:val="center"/>
          </w:tcPr>
          <w:p w14:paraId="14A92BBA" w14:textId="130ACE11" w:rsidR="00956AA9" w:rsidRPr="00734A50" w:rsidRDefault="00956AA9" w:rsidP="00293389">
            <w:pPr>
              <w:cnfStyle w:val="000000000000" w:firstRow="0" w:lastRow="0" w:firstColumn="0" w:lastColumn="0" w:oddVBand="0" w:evenVBand="0" w:oddHBand="0" w:evenHBand="0" w:firstRowFirstColumn="0" w:firstRowLastColumn="0" w:lastRowFirstColumn="0" w:lastRowLastColumn="0"/>
            </w:pPr>
            <w:r w:rsidRPr="00734A50">
              <w:rPr>
                <w:color w:val="000000"/>
              </w:rPr>
              <w:t>84%</w:t>
            </w:r>
          </w:p>
        </w:tc>
        <w:tc>
          <w:tcPr>
            <w:tcW w:w="0" w:type="auto"/>
            <w:vAlign w:val="center"/>
          </w:tcPr>
          <w:p w14:paraId="38FF4168" w14:textId="53EEAA14" w:rsidR="00956AA9" w:rsidRPr="00734A50" w:rsidRDefault="00956AA9" w:rsidP="00293389">
            <w:pPr>
              <w:cnfStyle w:val="000000000000" w:firstRow="0" w:lastRow="0" w:firstColumn="0" w:lastColumn="0" w:oddVBand="0" w:evenVBand="0" w:oddHBand="0" w:evenHBand="0" w:firstRowFirstColumn="0" w:firstRowLastColumn="0" w:lastRowFirstColumn="0" w:lastRowLastColumn="0"/>
            </w:pPr>
            <w:r w:rsidRPr="00734A50">
              <w:rPr>
                <w:color w:val="000000"/>
              </w:rPr>
              <w:t>47%</w:t>
            </w:r>
          </w:p>
        </w:tc>
      </w:tr>
      <w:tr w:rsidR="00956AA9" w:rsidRPr="00734A50" w14:paraId="35428B15" w14:textId="77777777" w:rsidTr="00293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7C7FE1" w14:textId="7BCD174A" w:rsidR="00956AA9" w:rsidRPr="007119A2" w:rsidRDefault="00956AA9" w:rsidP="00293389">
            <w:pPr>
              <w:rPr>
                <w:b w:val="0"/>
                <w:bCs w:val="0"/>
              </w:rPr>
            </w:pPr>
            <w:r w:rsidRPr="007119A2">
              <w:rPr>
                <w:b w:val="0"/>
                <w:bCs w:val="0"/>
              </w:rPr>
              <w:t>Study outside work hours</w:t>
            </w:r>
          </w:p>
        </w:tc>
        <w:tc>
          <w:tcPr>
            <w:tcW w:w="0" w:type="auto"/>
            <w:vAlign w:val="center"/>
          </w:tcPr>
          <w:p w14:paraId="4642CF67" w14:textId="3BBA17CA"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42%</w:t>
            </w:r>
          </w:p>
        </w:tc>
        <w:tc>
          <w:tcPr>
            <w:tcW w:w="0" w:type="auto"/>
            <w:vAlign w:val="center"/>
          </w:tcPr>
          <w:p w14:paraId="0C1B7524" w14:textId="504B7B92"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90%</w:t>
            </w:r>
          </w:p>
        </w:tc>
        <w:tc>
          <w:tcPr>
            <w:tcW w:w="0" w:type="auto"/>
            <w:vAlign w:val="center"/>
          </w:tcPr>
          <w:p w14:paraId="1469ADF0" w14:textId="282A3208"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62%</w:t>
            </w:r>
          </w:p>
        </w:tc>
      </w:tr>
      <w:tr w:rsidR="008924F7" w:rsidRPr="00734A50" w14:paraId="773B040D" w14:textId="77777777" w:rsidTr="00293389">
        <w:tc>
          <w:tcPr>
            <w:cnfStyle w:val="001000000000" w:firstRow="0" w:lastRow="0" w:firstColumn="1" w:lastColumn="0" w:oddVBand="0" w:evenVBand="0" w:oddHBand="0" w:evenHBand="0" w:firstRowFirstColumn="0" w:firstRowLastColumn="0" w:lastRowFirstColumn="0" w:lastRowLastColumn="0"/>
            <w:tcW w:w="0" w:type="auto"/>
          </w:tcPr>
          <w:p w14:paraId="3863EE98" w14:textId="6ACC1248" w:rsidR="008924F7" w:rsidRPr="007119A2" w:rsidRDefault="008924F7" w:rsidP="00293389">
            <w:pPr>
              <w:rPr>
                <w:b w:val="0"/>
                <w:bCs w:val="0"/>
              </w:rPr>
            </w:pPr>
            <w:r w:rsidRPr="007119A2">
              <w:rPr>
                <w:b w:val="0"/>
                <w:bCs w:val="0"/>
              </w:rPr>
              <w:t>Financial payments (e.g. scholarships)</w:t>
            </w:r>
          </w:p>
        </w:tc>
        <w:tc>
          <w:tcPr>
            <w:tcW w:w="0" w:type="auto"/>
            <w:vAlign w:val="center"/>
          </w:tcPr>
          <w:p w14:paraId="6CC51602" w14:textId="31E652C9" w:rsidR="008924F7" w:rsidRPr="00734A50" w:rsidRDefault="008924F7" w:rsidP="00293389">
            <w:pPr>
              <w:cnfStyle w:val="000000000000" w:firstRow="0" w:lastRow="0" w:firstColumn="0" w:lastColumn="0" w:oddVBand="0" w:evenVBand="0" w:oddHBand="0" w:evenHBand="0" w:firstRowFirstColumn="0" w:firstRowLastColumn="0" w:lastRowFirstColumn="0" w:lastRowLastColumn="0"/>
              <w:rPr>
                <w:color w:val="000000"/>
              </w:rPr>
            </w:pPr>
            <w:r w:rsidRPr="00734A50">
              <w:rPr>
                <w:color w:val="000000"/>
              </w:rPr>
              <w:t>20%</w:t>
            </w:r>
          </w:p>
        </w:tc>
        <w:tc>
          <w:tcPr>
            <w:tcW w:w="0" w:type="auto"/>
            <w:vAlign w:val="center"/>
          </w:tcPr>
          <w:p w14:paraId="5FEA2DEE" w14:textId="6C02C1F5" w:rsidR="008924F7" w:rsidRPr="00734A50" w:rsidRDefault="008924F7" w:rsidP="00293389">
            <w:pPr>
              <w:cnfStyle w:val="000000000000" w:firstRow="0" w:lastRow="0" w:firstColumn="0" w:lastColumn="0" w:oddVBand="0" w:evenVBand="0" w:oddHBand="0" w:evenHBand="0" w:firstRowFirstColumn="0" w:firstRowLastColumn="0" w:lastRowFirstColumn="0" w:lastRowLastColumn="0"/>
              <w:rPr>
                <w:color w:val="000000"/>
              </w:rPr>
            </w:pPr>
            <w:r w:rsidRPr="00734A50">
              <w:rPr>
                <w:color w:val="000000"/>
              </w:rPr>
              <w:t>63%</w:t>
            </w:r>
          </w:p>
        </w:tc>
        <w:tc>
          <w:tcPr>
            <w:tcW w:w="0" w:type="auto"/>
            <w:vAlign w:val="center"/>
          </w:tcPr>
          <w:p w14:paraId="35F0F02F" w14:textId="40D7C525" w:rsidR="008924F7" w:rsidRPr="00734A50" w:rsidRDefault="008924F7" w:rsidP="00293389">
            <w:pPr>
              <w:cnfStyle w:val="000000000000" w:firstRow="0" w:lastRow="0" w:firstColumn="0" w:lastColumn="0" w:oddVBand="0" w:evenVBand="0" w:oddHBand="0" w:evenHBand="0" w:firstRowFirstColumn="0" w:firstRowLastColumn="0" w:lastRowFirstColumn="0" w:lastRowLastColumn="0"/>
              <w:rPr>
                <w:color w:val="000000"/>
              </w:rPr>
            </w:pPr>
            <w:r w:rsidRPr="00734A50">
              <w:rPr>
                <w:color w:val="000000"/>
              </w:rPr>
              <w:t>82%</w:t>
            </w:r>
          </w:p>
        </w:tc>
      </w:tr>
      <w:tr w:rsidR="00956AA9" w:rsidRPr="00734A50" w14:paraId="2BBB70FF" w14:textId="77777777" w:rsidTr="00293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DE75A0" w14:textId="73CE11A8" w:rsidR="00956AA9" w:rsidRPr="007119A2" w:rsidRDefault="00C27110" w:rsidP="00293389">
            <w:pPr>
              <w:rPr>
                <w:b w:val="0"/>
                <w:bCs w:val="0"/>
              </w:rPr>
            </w:pPr>
            <w:r w:rsidRPr="007119A2">
              <w:rPr>
                <w:b w:val="0"/>
                <w:bCs w:val="0"/>
              </w:rPr>
              <w:t>Employment during study (teacher or education paraprofessional)</w:t>
            </w:r>
          </w:p>
        </w:tc>
        <w:tc>
          <w:tcPr>
            <w:tcW w:w="0" w:type="auto"/>
            <w:vAlign w:val="center"/>
          </w:tcPr>
          <w:p w14:paraId="75536286" w14:textId="43884FBE"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1</w:t>
            </w:r>
            <w:r w:rsidR="00A519D7" w:rsidRPr="00734A50">
              <w:rPr>
                <w:color w:val="000000"/>
              </w:rPr>
              <w:t>2</w:t>
            </w:r>
            <w:r w:rsidRPr="00734A50">
              <w:rPr>
                <w:color w:val="000000"/>
              </w:rPr>
              <w:t>%</w:t>
            </w:r>
          </w:p>
        </w:tc>
        <w:tc>
          <w:tcPr>
            <w:tcW w:w="0" w:type="auto"/>
            <w:vAlign w:val="center"/>
          </w:tcPr>
          <w:p w14:paraId="1AF7A1FF" w14:textId="5F6813A6" w:rsidR="00956AA9" w:rsidRPr="00734A50" w:rsidRDefault="00A519D7"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89</w:t>
            </w:r>
            <w:r w:rsidR="00956AA9" w:rsidRPr="00734A50">
              <w:rPr>
                <w:color w:val="000000"/>
              </w:rPr>
              <w:t>%</w:t>
            </w:r>
          </w:p>
        </w:tc>
        <w:tc>
          <w:tcPr>
            <w:tcW w:w="0" w:type="auto"/>
            <w:vAlign w:val="center"/>
          </w:tcPr>
          <w:p w14:paraId="290E7C18" w14:textId="36C6A929" w:rsidR="00956AA9" w:rsidRPr="00734A50" w:rsidRDefault="00A519D7"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77</w:t>
            </w:r>
            <w:r w:rsidR="00956AA9" w:rsidRPr="00734A50">
              <w:rPr>
                <w:color w:val="000000"/>
              </w:rPr>
              <w:t>%</w:t>
            </w:r>
          </w:p>
        </w:tc>
      </w:tr>
      <w:tr w:rsidR="00956AA9" w:rsidRPr="00734A50" w14:paraId="2EC5D554" w14:textId="77777777" w:rsidTr="00293389">
        <w:tc>
          <w:tcPr>
            <w:cnfStyle w:val="001000000000" w:firstRow="0" w:lastRow="0" w:firstColumn="1" w:lastColumn="0" w:oddVBand="0" w:evenVBand="0" w:oddHBand="0" w:evenHBand="0" w:firstRowFirstColumn="0" w:firstRowLastColumn="0" w:lastRowFirstColumn="0" w:lastRowLastColumn="0"/>
            <w:tcW w:w="0" w:type="auto"/>
          </w:tcPr>
          <w:p w14:paraId="50EABD07" w14:textId="7E546C46" w:rsidR="00956AA9" w:rsidRPr="007119A2" w:rsidRDefault="00E045CD" w:rsidP="00293389">
            <w:pPr>
              <w:rPr>
                <w:b w:val="0"/>
                <w:bCs w:val="0"/>
              </w:rPr>
            </w:pPr>
            <w:r w:rsidRPr="007119A2">
              <w:rPr>
                <w:b w:val="0"/>
                <w:bCs w:val="0"/>
              </w:rPr>
              <w:t>Accelerated study</w:t>
            </w:r>
          </w:p>
        </w:tc>
        <w:tc>
          <w:tcPr>
            <w:tcW w:w="0" w:type="auto"/>
            <w:vAlign w:val="center"/>
          </w:tcPr>
          <w:p w14:paraId="58629FF1" w14:textId="07CAA63B" w:rsidR="00956AA9" w:rsidRPr="00734A50" w:rsidRDefault="00E045CD" w:rsidP="00293389">
            <w:pPr>
              <w:cnfStyle w:val="000000000000" w:firstRow="0" w:lastRow="0" w:firstColumn="0" w:lastColumn="0" w:oddVBand="0" w:evenVBand="0" w:oddHBand="0" w:evenHBand="0" w:firstRowFirstColumn="0" w:firstRowLastColumn="0" w:lastRowFirstColumn="0" w:lastRowLastColumn="0"/>
            </w:pPr>
            <w:r w:rsidRPr="00734A50">
              <w:rPr>
                <w:color w:val="000000"/>
              </w:rPr>
              <w:t>10%</w:t>
            </w:r>
          </w:p>
        </w:tc>
        <w:tc>
          <w:tcPr>
            <w:tcW w:w="0" w:type="auto"/>
            <w:vAlign w:val="center"/>
          </w:tcPr>
          <w:p w14:paraId="5A9EB7B1" w14:textId="0457CF06" w:rsidR="00956AA9" w:rsidRPr="00734A50" w:rsidRDefault="00E045CD" w:rsidP="00293389">
            <w:pPr>
              <w:cnfStyle w:val="000000000000" w:firstRow="0" w:lastRow="0" w:firstColumn="0" w:lastColumn="0" w:oddVBand="0" w:evenVBand="0" w:oddHBand="0" w:evenHBand="0" w:firstRowFirstColumn="0" w:firstRowLastColumn="0" w:lastRowFirstColumn="0" w:lastRowLastColumn="0"/>
            </w:pPr>
            <w:r w:rsidRPr="00734A50">
              <w:rPr>
                <w:color w:val="000000"/>
              </w:rPr>
              <w:t>64%</w:t>
            </w:r>
          </w:p>
        </w:tc>
        <w:tc>
          <w:tcPr>
            <w:tcW w:w="0" w:type="auto"/>
            <w:vAlign w:val="center"/>
          </w:tcPr>
          <w:p w14:paraId="15F9E4A9" w14:textId="37ADC563" w:rsidR="00956AA9" w:rsidRPr="00734A50" w:rsidRDefault="00E045CD" w:rsidP="00293389">
            <w:pPr>
              <w:cnfStyle w:val="000000000000" w:firstRow="0" w:lastRow="0" w:firstColumn="0" w:lastColumn="0" w:oddVBand="0" w:evenVBand="0" w:oddHBand="0" w:evenHBand="0" w:firstRowFirstColumn="0" w:firstRowLastColumn="0" w:lastRowFirstColumn="0" w:lastRowLastColumn="0"/>
            </w:pPr>
            <w:r w:rsidRPr="00734A50">
              <w:rPr>
                <w:color w:val="000000"/>
              </w:rPr>
              <w:t>53%</w:t>
            </w:r>
          </w:p>
        </w:tc>
      </w:tr>
      <w:tr w:rsidR="00956AA9" w:rsidRPr="00734A50" w14:paraId="2E2BAFC5" w14:textId="77777777" w:rsidTr="00293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225CCB" w14:textId="07EC5FDE" w:rsidR="00956AA9" w:rsidRPr="007119A2" w:rsidRDefault="00956AA9" w:rsidP="00293389">
            <w:pPr>
              <w:rPr>
                <w:b w:val="0"/>
                <w:bCs w:val="0"/>
              </w:rPr>
            </w:pPr>
            <w:r w:rsidRPr="007119A2">
              <w:rPr>
                <w:b w:val="0"/>
                <w:bCs w:val="0"/>
              </w:rPr>
              <w:t>Guaranteed employment post-graduation</w:t>
            </w:r>
          </w:p>
        </w:tc>
        <w:tc>
          <w:tcPr>
            <w:tcW w:w="0" w:type="auto"/>
            <w:vAlign w:val="center"/>
          </w:tcPr>
          <w:p w14:paraId="394ECDC2" w14:textId="09E2360C"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4%</w:t>
            </w:r>
          </w:p>
        </w:tc>
        <w:tc>
          <w:tcPr>
            <w:tcW w:w="0" w:type="auto"/>
            <w:vAlign w:val="center"/>
          </w:tcPr>
          <w:p w14:paraId="1F38688A" w14:textId="22BA43F4"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85%</w:t>
            </w:r>
          </w:p>
        </w:tc>
        <w:tc>
          <w:tcPr>
            <w:tcW w:w="0" w:type="auto"/>
            <w:vAlign w:val="center"/>
          </w:tcPr>
          <w:p w14:paraId="520F4089" w14:textId="13DDFBE1" w:rsidR="00956AA9" w:rsidRPr="00734A50" w:rsidRDefault="00956AA9" w:rsidP="00293389">
            <w:pPr>
              <w:cnfStyle w:val="000000100000" w:firstRow="0" w:lastRow="0" w:firstColumn="0" w:lastColumn="0" w:oddVBand="0" w:evenVBand="0" w:oddHBand="1" w:evenHBand="0" w:firstRowFirstColumn="0" w:firstRowLastColumn="0" w:lastRowFirstColumn="0" w:lastRowLastColumn="0"/>
            </w:pPr>
            <w:r w:rsidRPr="00734A50">
              <w:rPr>
                <w:color w:val="000000"/>
              </w:rPr>
              <w:t>78%</w:t>
            </w:r>
          </w:p>
        </w:tc>
      </w:tr>
    </w:tbl>
    <w:p w14:paraId="54FC6DA7" w14:textId="2ACB82ED" w:rsidR="00257F22" w:rsidRPr="00734A50" w:rsidRDefault="00257F22" w:rsidP="00257F22">
      <w:pPr>
        <w:spacing w:before="240"/>
      </w:pPr>
      <w:r w:rsidRPr="00734A50">
        <w:t>Stakeholder submissions support financial incentives to lessen the opportunity cost of entering teaching</w:t>
      </w:r>
      <w:r w:rsidR="00754949" w:rsidRPr="00734A50">
        <w:t xml:space="preserve"> as a way of</w:t>
      </w:r>
      <w:r w:rsidRPr="00734A50">
        <w:t xml:space="preserve"> attracting mid-career entrants (University of Queensland</w:t>
      </w:r>
      <w:r w:rsidR="00754949" w:rsidRPr="00734A50">
        <w:t xml:space="preserve"> submission;</w:t>
      </w:r>
      <w:r w:rsidRPr="00734A50">
        <w:t xml:space="preserve"> University of New South Wales</w:t>
      </w:r>
      <w:r w:rsidR="00754949" w:rsidRPr="00734A50">
        <w:t xml:space="preserve"> submission;</w:t>
      </w:r>
      <w:r w:rsidRPr="00734A50">
        <w:t xml:space="preserve"> Monash University</w:t>
      </w:r>
      <w:r w:rsidR="00754949" w:rsidRPr="00734A50">
        <w:t xml:space="preserve"> submission;</w:t>
      </w:r>
      <w:r w:rsidRPr="00734A50">
        <w:t xml:space="preserve"> University of Western Australia submission). A financial incentive could include reducing the length of time or cost of study</w:t>
      </w:r>
      <w:r w:rsidR="00E07A0A" w:rsidRPr="00734A50">
        <w:t xml:space="preserve"> – </w:t>
      </w:r>
      <w:r w:rsidRPr="00734A50">
        <w:t>which has been found to be one of the greatest barriers to potential career changers entering the teaching profession (Victorian Department of Education submission).</w:t>
      </w:r>
    </w:p>
    <w:p w14:paraId="03E3BE56" w14:textId="76D9E43D" w:rsidR="00257F22" w:rsidRPr="00734A50" w:rsidRDefault="00257F22" w:rsidP="00CC6C70">
      <w:pPr>
        <w:spacing w:after="0"/>
      </w:pPr>
      <w:r w:rsidRPr="00734A50">
        <w:t xml:space="preserve">The </w:t>
      </w:r>
      <w:r w:rsidR="008D391C" w:rsidRPr="00734A50">
        <w:t>NCEC</w:t>
      </w:r>
      <w:r w:rsidRPr="00734A50">
        <w:t xml:space="preserve"> submission suggested the following important features for mid-career entrants:</w:t>
      </w:r>
    </w:p>
    <w:p w14:paraId="5309ADF3" w14:textId="7F15D382" w:rsidR="00CC6C70" w:rsidRPr="00734A50" w:rsidRDefault="39F86292" w:rsidP="00553516">
      <w:pPr>
        <w:pStyle w:val="ListBullet"/>
        <w:numPr>
          <w:ilvl w:val="0"/>
          <w:numId w:val="216"/>
        </w:numPr>
        <w:spacing w:after="200"/>
        <w:ind w:left="357" w:hanging="357"/>
      </w:pPr>
      <w:r w:rsidRPr="00734A50">
        <w:t>Developing social and professional support networks between colleague</w:t>
      </w:r>
      <w:r w:rsidR="00CC6C70" w:rsidRPr="00734A50">
        <w:t>s</w:t>
      </w:r>
    </w:p>
    <w:p w14:paraId="4F9AC6C1" w14:textId="345072D9" w:rsidR="00CC6C70" w:rsidRPr="00734A50" w:rsidRDefault="39F86292" w:rsidP="00553516">
      <w:pPr>
        <w:pStyle w:val="ListBullet"/>
        <w:numPr>
          <w:ilvl w:val="0"/>
          <w:numId w:val="216"/>
        </w:numPr>
        <w:spacing w:after="200"/>
        <w:ind w:left="357" w:hanging="357"/>
      </w:pPr>
      <w:r w:rsidRPr="00734A50">
        <w:t xml:space="preserve">Tailoring mentoring support to mid-career entrants on commonly faced issues such as the mismatch between the expectation of teaching and </w:t>
      </w:r>
      <w:r w:rsidR="1427C09E" w:rsidRPr="00734A50">
        <w:t xml:space="preserve">the </w:t>
      </w:r>
      <w:r w:rsidRPr="00734A50">
        <w:t>reality</w:t>
      </w:r>
      <w:r w:rsidR="1427C09E" w:rsidRPr="00734A50">
        <w:t>;</w:t>
      </w:r>
      <w:r w:rsidRPr="00734A50">
        <w:t xml:space="preserve"> feeling a lack of autonomy and </w:t>
      </w:r>
      <w:r w:rsidR="1427C09E" w:rsidRPr="00734A50">
        <w:t xml:space="preserve">a lack of </w:t>
      </w:r>
      <w:r w:rsidRPr="00734A50">
        <w:t>appreciation of their professional knowledge</w:t>
      </w:r>
      <w:r w:rsidR="1427C09E" w:rsidRPr="00734A50">
        <w:t>;</w:t>
      </w:r>
      <w:r w:rsidRPr="00734A50">
        <w:t xml:space="preserve"> and building confidence to increase their professional knowledge and autonomy</w:t>
      </w:r>
      <w:r w:rsidR="00CC6C70" w:rsidRPr="00734A50">
        <w:t>.</w:t>
      </w:r>
    </w:p>
    <w:p w14:paraId="5CB44271" w14:textId="11452BF4" w:rsidR="0060546A" w:rsidRPr="00734A50" w:rsidRDefault="00A63FB3" w:rsidP="00830D54">
      <w:pPr>
        <w:pStyle w:val="Heading4"/>
      </w:pPr>
      <w:r w:rsidRPr="00734A50">
        <w:t xml:space="preserve">4.3.2 </w:t>
      </w:r>
      <w:r w:rsidR="006F46A8" w:rsidRPr="00734A50">
        <w:t>E</w:t>
      </w:r>
      <w:r w:rsidR="008712DD" w:rsidRPr="00734A50">
        <w:t>mployment</w:t>
      </w:r>
      <w:r w:rsidR="002E378A" w:rsidRPr="00734A50">
        <w:t>-based</w:t>
      </w:r>
      <w:r w:rsidR="0060546A" w:rsidRPr="00734A50">
        <w:t xml:space="preserve"> pathway</w:t>
      </w:r>
      <w:r w:rsidR="00A12585" w:rsidRPr="00734A50">
        <w:t>s</w:t>
      </w:r>
    </w:p>
    <w:p w14:paraId="66429891" w14:textId="4F9FFF43" w:rsidR="00DC6759" w:rsidRPr="00734A50" w:rsidRDefault="0021100A" w:rsidP="00DC6759">
      <w:pPr>
        <w:rPr>
          <w:color w:val="000000"/>
        </w:rPr>
      </w:pPr>
      <w:r w:rsidRPr="00734A50">
        <w:t>Higher education providers already offer different types of postgraduate employment</w:t>
      </w:r>
      <w:r w:rsidR="000A2407">
        <w:t>-</w:t>
      </w:r>
      <w:r w:rsidRPr="00734A50">
        <w:t>based</w:t>
      </w:r>
      <w:r w:rsidR="20485DA1">
        <w:t xml:space="preserve"> </w:t>
      </w:r>
      <w:r w:rsidRPr="00734A50">
        <w:t>pathway programs, but they are not widespread. Under such models, ITE students undertake paid employment during their study either throughout their degree or towards the end of their degree. This can include paid employment supervised by a teacher or unsupervised employment under an alternative authorisation to teach arrangement</w:t>
      </w:r>
      <w:r w:rsidR="0033718E" w:rsidRPr="00734A50">
        <w:t xml:space="preserve"> (</w:t>
      </w:r>
      <w:r w:rsidR="00FE2788" w:rsidRPr="00734A50">
        <w:t>AAT)</w:t>
      </w:r>
      <w:r w:rsidR="0033718E" w:rsidRPr="00734A50">
        <w:t xml:space="preserve"> (e.g. permission to teach or conditional accreditation)</w:t>
      </w:r>
      <w:r w:rsidRPr="00734A50">
        <w:t xml:space="preserve">. </w:t>
      </w:r>
      <w:r w:rsidR="00687A6C" w:rsidRPr="00734A50">
        <w:rPr>
          <w:rFonts w:ascii="Calibri" w:eastAsia="Calibri" w:hAnsi="Calibri" w:cs="Calibri"/>
          <w:color w:val="000000" w:themeColor="text1"/>
        </w:rPr>
        <w:t xml:space="preserve">These arrangements allow </w:t>
      </w:r>
      <w:r w:rsidR="00A55A31" w:rsidRPr="00734A50">
        <w:rPr>
          <w:rFonts w:ascii="Calibri" w:eastAsia="Calibri" w:hAnsi="Calibri" w:cs="Calibri"/>
          <w:color w:val="000000" w:themeColor="text1"/>
        </w:rPr>
        <w:t>ITE students</w:t>
      </w:r>
      <w:r w:rsidR="00687A6C" w:rsidRPr="00734A50">
        <w:rPr>
          <w:rFonts w:ascii="Calibri" w:eastAsia="Calibri" w:hAnsi="Calibri" w:cs="Calibri"/>
          <w:color w:val="000000" w:themeColor="text1"/>
        </w:rPr>
        <w:t xml:space="preserve"> to begin their teaching career before graduating.</w:t>
      </w:r>
      <w:r w:rsidR="00DC6759" w:rsidRPr="00734A50">
        <w:rPr>
          <w:rFonts w:ascii="Calibri" w:eastAsia="Calibri" w:hAnsi="Calibri" w:cs="Calibri"/>
          <w:color w:val="000000" w:themeColor="text1"/>
        </w:rPr>
        <w:t xml:space="preserve"> </w:t>
      </w:r>
    </w:p>
    <w:p w14:paraId="79FD688E" w14:textId="2E8580B7" w:rsidR="0021100A" w:rsidRPr="00734A50" w:rsidRDefault="0021100A" w:rsidP="0021100A">
      <w:pPr>
        <w:rPr>
          <w:rStyle w:val="ui-provider"/>
        </w:rPr>
      </w:pPr>
      <w:r w:rsidRPr="00734A50">
        <w:rPr>
          <w:rStyle w:val="ui-provider"/>
        </w:rPr>
        <w:lastRenderedPageBreak/>
        <w:t xml:space="preserve">Employing ITE students while they are undertaking their program can help to attract more teachers to the profession. This is particularly important for attracting beginning teachers into government school systems, </w:t>
      </w:r>
      <w:r w:rsidR="00633075" w:rsidRPr="00734A50">
        <w:rPr>
          <w:rStyle w:val="ui-provider"/>
        </w:rPr>
        <w:t>which</w:t>
      </w:r>
      <w:r w:rsidRPr="00734A50">
        <w:rPr>
          <w:rStyle w:val="ui-provider"/>
        </w:rPr>
        <w:t xml:space="preserve"> can be more likely to educate students in harder to staff schools.</w:t>
      </w:r>
    </w:p>
    <w:p w14:paraId="01E1F5D4" w14:textId="77E3B02F" w:rsidR="0021100A" w:rsidRPr="00734A50" w:rsidRDefault="0021100A" w:rsidP="0021100A">
      <w:r w:rsidRPr="00734A50">
        <w:t>These employment-based pathways can also be part of an accelerated program, enabling ITE students to graduate before two equivalent full-time student load (EFTSL) years. In an accelerated program, the content of the course itself is not cut down or altered but is condensed into a shorter</w:t>
      </w:r>
      <w:r w:rsidR="00527F7C">
        <w:t xml:space="preserve"> </w:t>
      </w:r>
      <w:r w:rsidRPr="00734A50">
        <w:t>time frame</w:t>
      </w:r>
      <w:r w:rsidR="000A2407">
        <w:t xml:space="preserve"> – </w:t>
      </w:r>
      <w:r w:rsidRPr="00734A50">
        <w:t xml:space="preserve">often requiring students to undertake study intensives (e.g. summer trimester). </w:t>
      </w:r>
    </w:p>
    <w:p w14:paraId="2A05D819" w14:textId="77777777" w:rsidR="0021100A" w:rsidRPr="00734A50" w:rsidRDefault="0021100A" w:rsidP="00CC6C70">
      <w:pPr>
        <w:spacing w:after="0"/>
      </w:pPr>
      <w:r w:rsidRPr="00734A50">
        <w:t>These programs must still meet regulatory requirements:</w:t>
      </w:r>
    </w:p>
    <w:p w14:paraId="3D400109" w14:textId="77777777" w:rsidR="0021100A" w:rsidRPr="00734A50" w:rsidRDefault="0021100A" w:rsidP="00553516">
      <w:pPr>
        <w:pStyle w:val="ListBullet"/>
        <w:numPr>
          <w:ilvl w:val="0"/>
          <w:numId w:val="216"/>
        </w:numPr>
        <w:spacing w:after="200"/>
        <w:ind w:left="357" w:hanging="357"/>
      </w:pPr>
      <w:r w:rsidRPr="00734A50">
        <w:t>Meet course requirements under the Australian Qualifications Framework: a Master of Teaching degree must be two years EFTSL.</w:t>
      </w:r>
    </w:p>
    <w:p w14:paraId="5B749AD2" w14:textId="77777777" w:rsidR="0021100A" w:rsidRPr="00734A50" w:rsidRDefault="0021100A" w:rsidP="00553516">
      <w:pPr>
        <w:pStyle w:val="ListBullet"/>
        <w:numPr>
          <w:ilvl w:val="0"/>
          <w:numId w:val="216"/>
        </w:numPr>
        <w:spacing w:after="200"/>
        <w:ind w:left="357" w:hanging="357"/>
      </w:pPr>
      <w:r w:rsidRPr="00734A50">
        <w:t>Maintain quality standards: the program must still be delivered in line with the Accreditation Standards and Procedures.</w:t>
      </w:r>
    </w:p>
    <w:p w14:paraId="2364615A" w14:textId="77777777" w:rsidR="0021100A" w:rsidRPr="00734A50" w:rsidRDefault="0021100A" w:rsidP="00553516">
      <w:pPr>
        <w:pStyle w:val="ListBullet"/>
        <w:numPr>
          <w:ilvl w:val="0"/>
          <w:numId w:val="216"/>
        </w:numPr>
        <w:spacing w:after="200"/>
        <w:ind w:left="357" w:hanging="357"/>
      </w:pPr>
      <w:r w:rsidRPr="00734A50">
        <w:t xml:space="preserve">Meet teacher registration requirements: the student must meet relevant teacher registration requirements to teach unsupervised. </w:t>
      </w:r>
    </w:p>
    <w:p w14:paraId="5CF78539" w14:textId="1248AA50" w:rsidR="0021100A" w:rsidRPr="00734A50" w:rsidRDefault="0021100A" w:rsidP="0021100A">
      <w:r w:rsidRPr="00734A50">
        <w:rPr>
          <w:color w:val="000000"/>
          <w:lang w:eastAsia="en-AU"/>
        </w:rPr>
        <w:t xml:space="preserve">There are many examples in Australia of mid-career pathways that offer students the opportunity to undertake relevant paid employment while completing their ITE </w:t>
      </w:r>
      <w:r w:rsidRPr="00734A50">
        <w:t>program</w:t>
      </w:r>
      <w:r w:rsidRPr="00734A50">
        <w:rPr>
          <w:color w:val="000000"/>
          <w:lang w:eastAsia="en-AU"/>
        </w:rPr>
        <w:t xml:space="preserve">, primarily funded by Commonwealth and state and territory governments. The list of examples at </w:t>
      </w:r>
      <w:r w:rsidRPr="00734A50">
        <w:t>Table 4.</w:t>
      </w:r>
      <w:r w:rsidR="00661F1D" w:rsidRPr="00734A50">
        <w:t>3</w:t>
      </w:r>
      <w:r w:rsidRPr="00734A50">
        <w:t xml:space="preserve">, which is by no means exhaustive, demonstrates what can be achieved with employment-based pathways to attract and retain mid-career entrants, depending on the target cohort and context. </w:t>
      </w:r>
    </w:p>
    <w:p w14:paraId="15D18754" w14:textId="73A0638B" w:rsidR="00D650CE" w:rsidRDefault="0021100A" w:rsidP="0021100A">
      <w:r w:rsidRPr="00734A50">
        <w:t>Some jurisdictions cite conservative regulatory environments as a major barrier to accessing ITE models conducive to mid-career entrants, as regulation can be inflexible to alternative ITE pathway modes. However, Table 4.</w:t>
      </w:r>
      <w:r w:rsidR="00C57462" w:rsidRPr="00734A50">
        <w:t>3</w:t>
      </w:r>
      <w:r w:rsidRPr="00734A50">
        <w:t xml:space="preserve"> shows it is possible to develop a range of employment-based pathways within the current regulatory arrangements, placing ITE students in the classroom earlier and enabling them to graduate sooner.</w:t>
      </w:r>
    </w:p>
    <w:p w14:paraId="6B17B01F" w14:textId="77777777" w:rsidR="00D650CE" w:rsidRDefault="00D650CE">
      <w:pPr>
        <w:spacing w:after="160" w:line="259" w:lineRule="auto"/>
      </w:pPr>
      <w:r>
        <w:br w:type="page"/>
      </w:r>
    </w:p>
    <w:p w14:paraId="4B5E94AD" w14:textId="0451022C" w:rsidR="000F4A31" w:rsidRPr="00734A50" w:rsidRDefault="071A992D" w:rsidP="1B227D36">
      <w:pPr>
        <w:pStyle w:val="HeadingTable"/>
        <w:numPr>
          <w:ilvl w:val="0"/>
          <w:numId w:val="0"/>
        </w:numPr>
        <w:ind w:left="360" w:hanging="360"/>
        <w:rPr>
          <w:sz w:val="22"/>
          <w:szCs w:val="28"/>
        </w:rPr>
      </w:pPr>
      <w:r w:rsidRPr="00734A50">
        <w:rPr>
          <w:sz w:val="22"/>
          <w:szCs w:val="28"/>
        </w:rPr>
        <w:lastRenderedPageBreak/>
        <w:t xml:space="preserve">Table </w:t>
      </w:r>
      <w:r w:rsidR="78530096" w:rsidRPr="00734A50">
        <w:rPr>
          <w:sz w:val="22"/>
          <w:szCs w:val="28"/>
        </w:rPr>
        <w:t>4.</w:t>
      </w:r>
      <w:r w:rsidR="00C57462" w:rsidRPr="00734A50">
        <w:rPr>
          <w:sz w:val="22"/>
          <w:szCs w:val="28"/>
        </w:rPr>
        <w:t>3</w:t>
      </w:r>
      <w:r w:rsidR="45C1F62F" w:rsidRPr="00734A50">
        <w:rPr>
          <w:sz w:val="22"/>
          <w:szCs w:val="28"/>
        </w:rPr>
        <w:t xml:space="preserve">: </w:t>
      </w:r>
      <w:r w:rsidRPr="00734A50">
        <w:rPr>
          <w:sz w:val="22"/>
          <w:szCs w:val="28"/>
        </w:rPr>
        <w:t>Example</w:t>
      </w:r>
      <w:r w:rsidR="2C8549E3" w:rsidRPr="00734A50">
        <w:rPr>
          <w:sz w:val="22"/>
          <w:szCs w:val="28"/>
        </w:rPr>
        <w:t>s</w:t>
      </w:r>
      <w:r w:rsidRPr="00734A50">
        <w:rPr>
          <w:sz w:val="22"/>
          <w:szCs w:val="28"/>
        </w:rPr>
        <w:t xml:space="preserve"> </w:t>
      </w:r>
      <w:r w:rsidR="1B0C17D0" w:rsidRPr="00734A50">
        <w:rPr>
          <w:sz w:val="22"/>
          <w:szCs w:val="28"/>
        </w:rPr>
        <w:t xml:space="preserve">of employment </w:t>
      </w:r>
      <w:r w:rsidRPr="00734A50">
        <w:rPr>
          <w:sz w:val="22"/>
          <w:szCs w:val="28"/>
        </w:rPr>
        <w:t>pathways</w:t>
      </w:r>
    </w:p>
    <w:tbl>
      <w:tblPr>
        <w:tblStyle w:val="GridTable4-Accent2"/>
        <w:tblW w:w="9209" w:type="dxa"/>
        <w:tblLook w:val="04A0" w:firstRow="1" w:lastRow="0" w:firstColumn="1" w:lastColumn="0" w:noHBand="0" w:noVBand="1"/>
      </w:tblPr>
      <w:tblGrid>
        <w:gridCol w:w="1810"/>
        <w:gridCol w:w="883"/>
        <w:gridCol w:w="2124"/>
        <w:gridCol w:w="1843"/>
        <w:gridCol w:w="2549"/>
      </w:tblGrid>
      <w:tr w:rsidR="00655954" w:rsidRPr="00734A50" w14:paraId="6492FCCA" w14:textId="77777777" w:rsidTr="007717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5289932B" w14:textId="77777777" w:rsidR="00655954" w:rsidRPr="000E5FB9" w:rsidRDefault="00655954" w:rsidP="1B227D36">
            <w:pPr>
              <w:pStyle w:val="NormalTextBulleted"/>
              <w:numPr>
                <w:ilvl w:val="0"/>
                <w:numId w:val="0"/>
              </w:numPr>
              <w:rPr>
                <w:rFonts w:asciiTheme="minorHAnsi" w:hAnsiTheme="minorHAnsi" w:cstheme="minorHAnsi"/>
                <w:color w:val="auto"/>
                <w:sz w:val="22"/>
                <w:lang w:eastAsia="en-AU"/>
              </w:rPr>
            </w:pPr>
            <w:r w:rsidRPr="000E5FB9">
              <w:rPr>
                <w:rFonts w:asciiTheme="minorHAnsi" w:hAnsiTheme="minorHAnsi" w:cstheme="minorBidi"/>
                <w:color w:val="auto"/>
                <w:sz w:val="22"/>
                <w:lang w:eastAsia="en-AU"/>
              </w:rPr>
              <w:t>Example pathway</w:t>
            </w:r>
          </w:p>
        </w:tc>
        <w:tc>
          <w:tcPr>
            <w:tcW w:w="879" w:type="dxa"/>
          </w:tcPr>
          <w:p w14:paraId="02DFCBF1" w14:textId="77777777" w:rsidR="00655954" w:rsidRPr="000E5FB9" w:rsidRDefault="00655954" w:rsidP="009227C2">
            <w:pPr>
              <w:pStyle w:val="NormalTextBulleted"/>
              <w:numPr>
                <w:ilvl w:val="0"/>
                <w:numId w:val="0"/>
              </w:numPr>
              <w:cnfStyle w:val="100000000000" w:firstRow="1" w:lastRow="0" w:firstColumn="0" w:lastColumn="0" w:oddVBand="0" w:evenVBand="0" w:oddHBand="0" w:evenHBand="0" w:firstRowFirstColumn="0" w:firstRowLastColumn="0" w:lastRowFirstColumn="0" w:lastRowLastColumn="0"/>
              <w:rPr>
                <w:color w:val="auto"/>
                <w:lang w:eastAsia="en-AU"/>
              </w:rPr>
            </w:pPr>
            <w:r w:rsidRPr="000E5FB9">
              <w:rPr>
                <w:color w:val="auto"/>
                <w:lang w:eastAsia="en-AU"/>
              </w:rPr>
              <w:t>Length</w:t>
            </w:r>
          </w:p>
        </w:tc>
        <w:tc>
          <w:tcPr>
            <w:tcW w:w="2126" w:type="dxa"/>
          </w:tcPr>
          <w:p w14:paraId="5E9F7E91" w14:textId="0AFBEFDF" w:rsidR="00655954" w:rsidRPr="000E5FB9" w:rsidRDefault="003C6582" w:rsidP="009227C2">
            <w:pPr>
              <w:pStyle w:val="NormalTextBulleted"/>
              <w:numPr>
                <w:ilvl w:val="0"/>
                <w:numId w:val="0"/>
              </w:numPr>
              <w:cnfStyle w:val="100000000000" w:firstRow="1" w:lastRow="0" w:firstColumn="0" w:lastColumn="0" w:oddVBand="0" w:evenVBand="0" w:oddHBand="0" w:evenHBand="0" w:firstRowFirstColumn="0" w:firstRowLastColumn="0" w:lastRowFirstColumn="0" w:lastRowLastColumn="0"/>
              <w:rPr>
                <w:color w:val="auto"/>
                <w:lang w:eastAsia="en-AU"/>
              </w:rPr>
            </w:pPr>
            <w:r w:rsidRPr="000E5FB9">
              <w:rPr>
                <w:color w:val="auto"/>
                <w:lang w:eastAsia="en-AU"/>
              </w:rPr>
              <w:t xml:space="preserve">Program </w:t>
            </w:r>
            <w:r w:rsidR="00655954" w:rsidRPr="000E5FB9">
              <w:rPr>
                <w:color w:val="auto"/>
                <w:lang w:eastAsia="en-AU"/>
              </w:rPr>
              <w:t>structure</w:t>
            </w:r>
          </w:p>
        </w:tc>
        <w:tc>
          <w:tcPr>
            <w:tcW w:w="1843" w:type="dxa"/>
          </w:tcPr>
          <w:p w14:paraId="27C76C5A" w14:textId="77777777" w:rsidR="00655954" w:rsidRPr="000E5FB9" w:rsidRDefault="00655954" w:rsidP="009227C2">
            <w:pPr>
              <w:pStyle w:val="NormalTextBulleted"/>
              <w:numPr>
                <w:ilvl w:val="0"/>
                <w:numId w:val="0"/>
              </w:numPr>
              <w:cnfStyle w:val="100000000000" w:firstRow="1" w:lastRow="0" w:firstColumn="0" w:lastColumn="0" w:oddVBand="0" w:evenVBand="0" w:oddHBand="0" w:evenHBand="0" w:firstRowFirstColumn="0" w:firstRowLastColumn="0" w:lastRowFirstColumn="0" w:lastRowLastColumn="0"/>
              <w:rPr>
                <w:color w:val="auto"/>
                <w:lang w:eastAsia="en-AU"/>
              </w:rPr>
            </w:pPr>
            <w:r w:rsidRPr="000E5FB9">
              <w:rPr>
                <w:color w:val="auto"/>
                <w:lang w:eastAsia="en-AU"/>
              </w:rPr>
              <w:t>Employment commencement</w:t>
            </w:r>
          </w:p>
        </w:tc>
        <w:tc>
          <w:tcPr>
            <w:tcW w:w="2551" w:type="dxa"/>
          </w:tcPr>
          <w:p w14:paraId="289483DA" w14:textId="77777777" w:rsidR="00655954" w:rsidRPr="000E5FB9" w:rsidRDefault="00655954" w:rsidP="009227C2">
            <w:pPr>
              <w:pStyle w:val="NormalTextBulleted"/>
              <w:numPr>
                <w:ilvl w:val="0"/>
                <w:numId w:val="0"/>
              </w:numPr>
              <w:cnfStyle w:val="100000000000" w:firstRow="1" w:lastRow="0" w:firstColumn="0" w:lastColumn="0" w:oddVBand="0" w:evenVBand="0" w:oddHBand="0" w:evenHBand="0" w:firstRowFirstColumn="0" w:firstRowLastColumn="0" w:lastRowFirstColumn="0" w:lastRowLastColumn="0"/>
              <w:rPr>
                <w:color w:val="auto"/>
                <w:lang w:eastAsia="en-AU"/>
              </w:rPr>
            </w:pPr>
            <w:r w:rsidRPr="000E5FB9">
              <w:rPr>
                <w:color w:val="auto"/>
                <w:lang w:eastAsia="en-AU"/>
              </w:rPr>
              <w:t>Employment type</w:t>
            </w:r>
          </w:p>
        </w:tc>
      </w:tr>
      <w:tr w:rsidR="00655954" w:rsidRPr="00734A50" w14:paraId="30A27415" w14:textId="77777777" w:rsidTr="00771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600CB888" w14:textId="5381E9F5" w:rsidR="00655954" w:rsidRPr="007771DC" w:rsidRDefault="00655954" w:rsidP="1B227D36">
            <w:pPr>
              <w:pStyle w:val="NormalTextBulleted"/>
              <w:numPr>
                <w:ilvl w:val="0"/>
                <w:numId w:val="0"/>
              </w:numPr>
              <w:rPr>
                <w:rFonts w:asciiTheme="minorHAnsi" w:hAnsiTheme="minorHAnsi" w:cstheme="minorHAnsi"/>
                <w:b w:val="0"/>
                <w:bCs w:val="0"/>
                <w:sz w:val="22"/>
                <w:lang w:eastAsia="en-AU"/>
              </w:rPr>
            </w:pPr>
            <w:r w:rsidRPr="007771DC">
              <w:rPr>
                <w:rFonts w:asciiTheme="minorHAnsi" w:hAnsiTheme="minorHAnsi" w:cstheme="minorHAnsi"/>
                <w:b w:val="0"/>
                <w:bCs w:val="0"/>
                <w:sz w:val="22"/>
                <w:lang w:eastAsia="en-AU"/>
              </w:rPr>
              <w:t>University of Melbourne</w:t>
            </w:r>
            <w:r w:rsidR="00CD73B1" w:rsidRPr="007771DC">
              <w:rPr>
                <w:rFonts w:asciiTheme="minorHAnsi" w:hAnsiTheme="minorHAnsi" w:cstheme="minorBidi"/>
                <w:b w:val="0"/>
                <w:bCs w:val="0"/>
                <w:sz w:val="22"/>
                <w:lang w:eastAsia="en-AU"/>
              </w:rPr>
              <w:t>,</w:t>
            </w:r>
            <w:r w:rsidRPr="007771DC">
              <w:rPr>
                <w:rFonts w:asciiTheme="minorHAnsi" w:hAnsiTheme="minorHAnsi" w:cstheme="minorBidi"/>
                <w:b w:val="0"/>
                <w:bCs w:val="0"/>
                <w:sz w:val="22"/>
                <w:lang w:eastAsia="en-AU"/>
              </w:rPr>
              <w:t xml:space="preserve"> Master</w:t>
            </w:r>
            <w:r w:rsidRPr="007771DC">
              <w:rPr>
                <w:rFonts w:asciiTheme="minorHAnsi" w:hAnsiTheme="minorHAnsi" w:cstheme="minorHAnsi"/>
                <w:b w:val="0"/>
                <w:bCs w:val="0"/>
                <w:sz w:val="22"/>
                <w:lang w:eastAsia="en-AU"/>
              </w:rPr>
              <w:t xml:space="preserve"> of Teaching (Secondary) Internship</w:t>
            </w:r>
          </w:p>
        </w:tc>
        <w:tc>
          <w:tcPr>
            <w:tcW w:w="879" w:type="dxa"/>
          </w:tcPr>
          <w:p w14:paraId="63102B38" w14:textId="0AE19E4B" w:rsidR="00655954" w:rsidRPr="00734A50" w:rsidRDefault="003C65BC">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 xml:space="preserve">1.5 or </w:t>
            </w:r>
            <w:r w:rsidR="00655954" w:rsidRPr="00734A50">
              <w:rPr>
                <w:rFonts w:asciiTheme="minorHAnsi" w:hAnsiTheme="minorHAnsi" w:cstheme="minorHAnsi"/>
                <w:sz w:val="22"/>
                <w:lang w:eastAsia="en-AU"/>
              </w:rPr>
              <w:t>2 years</w:t>
            </w:r>
          </w:p>
        </w:tc>
        <w:tc>
          <w:tcPr>
            <w:tcW w:w="2126" w:type="dxa"/>
          </w:tcPr>
          <w:p w14:paraId="7E57002C" w14:textId="4D587A27" w:rsidR="00655954" w:rsidRPr="00734A50" w:rsidRDefault="00CD73B1" w:rsidP="1B227D36">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 xml:space="preserve">Four </w:t>
            </w:r>
            <w:r w:rsidR="00655954" w:rsidRPr="00734A50">
              <w:rPr>
                <w:rFonts w:asciiTheme="minorHAnsi" w:hAnsiTheme="minorHAnsi" w:cstheme="minorHAnsi"/>
                <w:sz w:val="22"/>
                <w:lang w:eastAsia="en-AU"/>
              </w:rPr>
              <w:t>study intensives over 2 years with online study throughout both years</w:t>
            </w:r>
          </w:p>
        </w:tc>
        <w:tc>
          <w:tcPr>
            <w:tcW w:w="1843" w:type="dxa"/>
          </w:tcPr>
          <w:p w14:paraId="6AAE8959" w14:textId="77777777" w:rsidR="00655954" w:rsidRPr="00734A50" w:rsidRDefault="00655954">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Employed after 4 months</w:t>
            </w:r>
          </w:p>
        </w:tc>
        <w:tc>
          <w:tcPr>
            <w:tcW w:w="2551" w:type="dxa"/>
          </w:tcPr>
          <w:p w14:paraId="44D814CA" w14:textId="46534042" w:rsidR="00655954" w:rsidRPr="00734A50" w:rsidRDefault="00655954" w:rsidP="1B227D36">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 xml:space="preserve">Teaching unsupervised with </w:t>
            </w:r>
            <w:r w:rsidR="009227C2" w:rsidRPr="00734A50">
              <w:rPr>
                <w:rFonts w:asciiTheme="minorHAnsi" w:hAnsiTheme="minorHAnsi" w:cstheme="minorBidi"/>
                <w:sz w:val="22"/>
                <w:lang w:eastAsia="en-AU"/>
              </w:rPr>
              <w:t>p</w:t>
            </w:r>
            <w:r w:rsidRPr="00734A50">
              <w:rPr>
                <w:rFonts w:asciiTheme="minorHAnsi" w:hAnsiTheme="minorHAnsi" w:cstheme="minorBidi"/>
                <w:sz w:val="22"/>
                <w:lang w:eastAsia="en-AU"/>
              </w:rPr>
              <w:t>ermission</w:t>
            </w:r>
            <w:r w:rsidRPr="00734A50">
              <w:rPr>
                <w:rFonts w:asciiTheme="minorHAnsi" w:hAnsiTheme="minorHAnsi" w:cstheme="minorHAnsi"/>
                <w:sz w:val="22"/>
                <w:lang w:eastAsia="en-AU"/>
              </w:rPr>
              <w:t xml:space="preserve"> to </w:t>
            </w:r>
            <w:r w:rsidR="009227C2" w:rsidRPr="00734A50">
              <w:rPr>
                <w:rFonts w:asciiTheme="minorHAnsi" w:hAnsiTheme="minorHAnsi" w:cstheme="minorBidi"/>
                <w:sz w:val="22"/>
                <w:lang w:eastAsia="en-AU"/>
              </w:rPr>
              <w:t>t</w:t>
            </w:r>
            <w:r w:rsidRPr="00734A50">
              <w:rPr>
                <w:rFonts w:asciiTheme="minorHAnsi" w:hAnsiTheme="minorHAnsi" w:cstheme="minorBidi"/>
                <w:sz w:val="22"/>
                <w:lang w:eastAsia="en-AU"/>
              </w:rPr>
              <w:t>each</w:t>
            </w:r>
            <w:r w:rsidRPr="00734A50">
              <w:rPr>
                <w:rFonts w:asciiTheme="minorHAnsi" w:hAnsiTheme="minorHAnsi" w:cstheme="minorHAnsi"/>
                <w:sz w:val="22"/>
                <w:lang w:eastAsia="en-AU"/>
              </w:rPr>
              <w:t>, paid as a paraprofessional</w:t>
            </w:r>
          </w:p>
        </w:tc>
      </w:tr>
      <w:tr w:rsidR="00655954" w:rsidRPr="00734A50" w14:paraId="2F2C0032" w14:textId="77777777" w:rsidTr="00771790">
        <w:tc>
          <w:tcPr>
            <w:cnfStyle w:val="001000000000" w:firstRow="0" w:lastRow="0" w:firstColumn="1" w:lastColumn="0" w:oddVBand="0" w:evenVBand="0" w:oddHBand="0" w:evenHBand="0" w:firstRowFirstColumn="0" w:firstRowLastColumn="0" w:lastRowFirstColumn="0" w:lastRowLastColumn="0"/>
            <w:tcW w:w="1810" w:type="dxa"/>
          </w:tcPr>
          <w:p w14:paraId="78FF9B06" w14:textId="16FB36FA" w:rsidR="00655954" w:rsidRPr="007771DC" w:rsidRDefault="00655954" w:rsidP="1B227D36">
            <w:pPr>
              <w:pStyle w:val="NormalTextBulleted"/>
              <w:numPr>
                <w:ilvl w:val="0"/>
                <w:numId w:val="0"/>
              </w:numPr>
              <w:rPr>
                <w:rFonts w:asciiTheme="minorHAnsi" w:hAnsiTheme="minorHAnsi" w:cstheme="minorHAnsi"/>
                <w:b w:val="0"/>
                <w:bCs w:val="0"/>
                <w:sz w:val="22"/>
                <w:lang w:eastAsia="en-AU"/>
              </w:rPr>
            </w:pPr>
            <w:r w:rsidRPr="007771DC">
              <w:rPr>
                <w:rFonts w:asciiTheme="minorHAnsi" w:hAnsiTheme="minorHAnsi" w:cstheme="minorHAnsi"/>
                <w:b w:val="0"/>
                <w:bCs w:val="0"/>
                <w:sz w:val="22"/>
                <w:lang w:eastAsia="en-AU"/>
              </w:rPr>
              <w:t xml:space="preserve">Teach </w:t>
            </w:r>
            <w:r w:rsidR="002817A6" w:rsidRPr="007771DC">
              <w:rPr>
                <w:rFonts w:asciiTheme="minorHAnsi" w:hAnsiTheme="minorHAnsi" w:cstheme="minorBidi"/>
                <w:b w:val="0"/>
                <w:bCs w:val="0"/>
                <w:sz w:val="22"/>
                <w:lang w:eastAsia="en-AU"/>
              </w:rPr>
              <w:t>F</w:t>
            </w:r>
            <w:r w:rsidRPr="007771DC">
              <w:rPr>
                <w:rFonts w:asciiTheme="minorHAnsi" w:hAnsiTheme="minorHAnsi" w:cstheme="minorBidi"/>
                <w:b w:val="0"/>
                <w:bCs w:val="0"/>
                <w:sz w:val="22"/>
                <w:lang w:eastAsia="en-AU"/>
              </w:rPr>
              <w:t>or Australia</w:t>
            </w:r>
            <w:r w:rsidR="00F73F5E" w:rsidRPr="007771DC">
              <w:rPr>
                <w:rFonts w:asciiTheme="minorHAnsi" w:hAnsiTheme="minorHAnsi" w:cstheme="minorHAnsi"/>
                <w:b w:val="0"/>
                <w:bCs w:val="0"/>
                <w:sz w:val="22"/>
                <w:lang w:eastAsia="en-AU"/>
              </w:rPr>
              <w:t xml:space="preserve"> (TFA)</w:t>
            </w:r>
            <w:r w:rsidR="00CD73B1" w:rsidRPr="007771DC">
              <w:rPr>
                <w:rFonts w:asciiTheme="minorHAnsi" w:hAnsiTheme="minorHAnsi" w:cstheme="minorHAnsi"/>
                <w:b w:val="0"/>
                <w:bCs w:val="0"/>
                <w:sz w:val="22"/>
                <w:lang w:eastAsia="en-AU"/>
              </w:rPr>
              <w:t>,</w:t>
            </w:r>
            <w:r w:rsidRPr="007771DC">
              <w:rPr>
                <w:rFonts w:asciiTheme="minorHAnsi" w:hAnsiTheme="minorHAnsi" w:cstheme="minorHAnsi"/>
                <w:b w:val="0"/>
                <w:bCs w:val="0"/>
                <w:sz w:val="22"/>
                <w:lang w:eastAsia="en-AU"/>
              </w:rPr>
              <w:t xml:space="preserve"> Leadership Development Program</w:t>
            </w:r>
          </w:p>
        </w:tc>
        <w:tc>
          <w:tcPr>
            <w:tcW w:w="879" w:type="dxa"/>
          </w:tcPr>
          <w:p w14:paraId="00EB3157" w14:textId="77777777" w:rsidR="00655954" w:rsidRPr="00734A50" w:rsidRDefault="00655954">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2 years</w:t>
            </w:r>
          </w:p>
        </w:tc>
        <w:tc>
          <w:tcPr>
            <w:tcW w:w="2126" w:type="dxa"/>
          </w:tcPr>
          <w:p w14:paraId="59D08955" w14:textId="24203673" w:rsidR="00655954" w:rsidRPr="00734A50" w:rsidRDefault="00655954" w:rsidP="1B227D36">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Mix of intensives and on-campus learning</w:t>
            </w:r>
          </w:p>
        </w:tc>
        <w:tc>
          <w:tcPr>
            <w:tcW w:w="1843" w:type="dxa"/>
          </w:tcPr>
          <w:p w14:paraId="30315A99" w14:textId="77777777" w:rsidR="00655954" w:rsidRPr="00734A50" w:rsidRDefault="00655954">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Employed after 4 months</w:t>
            </w:r>
          </w:p>
        </w:tc>
        <w:tc>
          <w:tcPr>
            <w:tcW w:w="2551" w:type="dxa"/>
          </w:tcPr>
          <w:p w14:paraId="706D60EB" w14:textId="1D6BAE7F" w:rsidR="00655954" w:rsidRPr="00734A50" w:rsidRDefault="00655954" w:rsidP="7EAB442F">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 xml:space="preserve">Employed </w:t>
            </w:r>
            <w:r w:rsidR="00382058" w:rsidRPr="00734A50">
              <w:rPr>
                <w:rFonts w:asciiTheme="minorHAnsi" w:hAnsiTheme="minorHAnsi" w:cstheme="minorHAnsi"/>
                <w:sz w:val="22"/>
                <w:lang w:eastAsia="en-AU"/>
              </w:rPr>
              <w:t xml:space="preserve">as </w:t>
            </w:r>
            <w:r w:rsidRPr="00734A50">
              <w:rPr>
                <w:rFonts w:asciiTheme="minorHAnsi" w:hAnsiTheme="minorHAnsi" w:cstheme="minorHAnsi"/>
                <w:sz w:val="22"/>
                <w:lang w:eastAsia="en-AU"/>
              </w:rPr>
              <w:t xml:space="preserve">a teacher at 0.8 FTE with permission to teach </w:t>
            </w:r>
          </w:p>
        </w:tc>
      </w:tr>
      <w:tr w:rsidR="00655954" w:rsidRPr="00734A50" w14:paraId="19E133B5" w14:textId="77777777" w:rsidTr="00771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7CB96846" w14:textId="77777777" w:rsidR="00655954" w:rsidRPr="007771DC" w:rsidRDefault="00655954">
            <w:pPr>
              <w:pStyle w:val="NormalTextBulleted"/>
              <w:numPr>
                <w:ilvl w:val="0"/>
                <w:numId w:val="0"/>
              </w:numPr>
              <w:rPr>
                <w:rFonts w:asciiTheme="minorHAnsi" w:hAnsiTheme="minorHAnsi" w:cstheme="minorHAnsi"/>
                <w:b w:val="0"/>
                <w:bCs w:val="0"/>
                <w:sz w:val="22"/>
                <w:lang w:eastAsia="en-AU"/>
              </w:rPr>
            </w:pPr>
            <w:r w:rsidRPr="007771DC">
              <w:rPr>
                <w:rFonts w:asciiTheme="minorHAnsi" w:hAnsiTheme="minorHAnsi" w:cstheme="minorHAnsi"/>
                <w:b w:val="0"/>
                <w:bCs w:val="0"/>
                <w:sz w:val="22"/>
                <w:lang w:eastAsia="en-AU"/>
              </w:rPr>
              <w:t>University of New South Wales, Master of Teaching (Secondary)</w:t>
            </w:r>
          </w:p>
        </w:tc>
        <w:tc>
          <w:tcPr>
            <w:tcW w:w="879" w:type="dxa"/>
          </w:tcPr>
          <w:p w14:paraId="6FE23419" w14:textId="77777777" w:rsidR="00655954" w:rsidRPr="00734A50" w:rsidRDefault="00655954">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1.3 years</w:t>
            </w:r>
          </w:p>
        </w:tc>
        <w:tc>
          <w:tcPr>
            <w:tcW w:w="2126" w:type="dxa"/>
          </w:tcPr>
          <w:p w14:paraId="53F587DC" w14:textId="65C52C22" w:rsidR="00655954" w:rsidRPr="00734A50" w:rsidRDefault="00CD73B1" w:rsidP="64A481D3">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lang w:eastAsia="en-AU"/>
              </w:rPr>
            </w:pPr>
            <w:r w:rsidRPr="00734A50">
              <w:rPr>
                <w:rFonts w:asciiTheme="minorHAnsi" w:hAnsiTheme="minorHAnsi" w:cstheme="minorBidi"/>
                <w:sz w:val="22"/>
                <w:lang w:eastAsia="en-AU"/>
              </w:rPr>
              <w:t xml:space="preserve">Four </w:t>
            </w:r>
            <w:r w:rsidR="00655954" w:rsidRPr="00734A50">
              <w:rPr>
                <w:rFonts w:asciiTheme="minorHAnsi" w:hAnsiTheme="minorHAnsi" w:cstheme="minorBidi"/>
                <w:sz w:val="22"/>
                <w:lang w:eastAsia="en-AU"/>
              </w:rPr>
              <w:t>terms of study with breaks for a</w:t>
            </w:r>
            <w:r w:rsidR="00D9535A">
              <w:rPr>
                <w:rFonts w:asciiTheme="minorHAnsi" w:hAnsiTheme="minorHAnsi" w:cstheme="minorBidi"/>
                <w:sz w:val="22"/>
                <w:lang w:eastAsia="en-AU"/>
              </w:rPr>
              <w:br/>
            </w:r>
            <w:r w:rsidR="0082535D" w:rsidRPr="00734A50">
              <w:rPr>
                <w:rFonts w:asciiTheme="minorHAnsi" w:hAnsiTheme="minorHAnsi" w:cstheme="minorBidi"/>
                <w:sz w:val="22"/>
                <w:lang w:eastAsia="en-AU"/>
              </w:rPr>
              <w:t>4-week</w:t>
            </w:r>
            <w:r w:rsidR="00655954" w:rsidRPr="00734A50">
              <w:rPr>
                <w:rFonts w:asciiTheme="minorHAnsi" w:hAnsiTheme="minorHAnsi" w:cstheme="minorBidi"/>
                <w:sz w:val="22"/>
                <w:lang w:eastAsia="en-AU"/>
              </w:rPr>
              <w:t xml:space="preserve"> professional placement in Term 2</w:t>
            </w:r>
          </w:p>
        </w:tc>
        <w:tc>
          <w:tcPr>
            <w:tcW w:w="1843" w:type="dxa"/>
          </w:tcPr>
          <w:p w14:paraId="0D69E89A" w14:textId="07158559" w:rsidR="00655954" w:rsidRPr="00734A50" w:rsidRDefault="00655954" w:rsidP="64A481D3">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lang w:eastAsia="en-AU"/>
              </w:rPr>
            </w:pPr>
            <w:r w:rsidRPr="00734A50">
              <w:rPr>
                <w:rFonts w:asciiTheme="minorHAnsi" w:hAnsiTheme="minorHAnsi" w:cstheme="minorBidi"/>
                <w:sz w:val="22"/>
                <w:lang w:eastAsia="en-AU"/>
              </w:rPr>
              <w:t xml:space="preserve">Employed after 7 months for a </w:t>
            </w:r>
            <w:r w:rsidR="00724DA5">
              <w:rPr>
                <w:rFonts w:asciiTheme="minorHAnsi" w:hAnsiTheme="minorHAnsi" w:cstheme="minorBidi"/>
                <w:sz w:val="22"/>
                <w:lang w:eastAsia="en-AU"/>
              </w:rPr>
              <w:br/>
            </w:r>
            <w:r w:rsidR="0082535D" w:rsidRPr="00734A50">
              <w:rPr>
                <w:rFonts w:asciiTheme="minorHAnsi" w:hAnsiTheme="minorHAnsi" w:cstheme="minorBidi"/>
                <w:sz w:val="22"/>
                <w:lang w:eastAsia="en-AU"/>
              </w:rPr>
              <w:t>9-week</w:t>
            </w:r>
            <w:r w:rsidRPr="00734A50">
              <w:rPr>
                <w:rFonts w:asciiTheme="minorHAnsi" w:hAnsiTheme="minorHAnsi" w:cstheme="minorBidi"/>
                <w:sz w:val="22"/>
                <w:lang w:eastAsia="en-AU"/>
              </w:rPr>
              <w:t xml:space="preserve"> internship</w:t>
            </w:r>
          </w:p>
        </w:tc>
        <w:tc>
          <w:tcPr>
            <w:tcW w:w="2551" w:type="dxa"/>
          </w:tcPr>
          <w:p w14:paraId="330D2214" w14:textId="77777777" w:rsidR="00655954" w:rsidRPr="00734A50" w:rsidRDefault="00655954">
            <w:pPr>
              <w:pStyle w:val="NormalTextBulleted"/>
              <w:numPr>
                <w:ilvl w:val="0"/>
                <w:numId w:val="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N/A</w:t>
            </w:r>
          </w:p>
        </w:tc>
      </w:tr>
      <w:tr w:rsidR="00655954" w:rsidRPr="00734A50" w14:paraId="37CCF286" w14:textId="77777777" w:rsidTr="00771790">
        <w:tc>
          <w:tcPr>
            <w:cnfStyle w:val="001000000000" w:firstRow="0" w:lastRow="0" w:firstColumn="1" w:lastColumn="0" w:oddVBand="0" w:evenVBand="0" w:oddHBand="0" w:evenHBand="0" w:firstRowFirstColumn="0" w:firstRowLastColumn="0" w:lastRowFirstColumn="0" w:lastRowLastColumn="0"/>
            <w:tcW w:w="1810" w:type="dxa"/>
          </w:tcPr>
          <w:p w14:paraId="04B8EB34" w14:textId="77777777" w:rsidR="00655954" w:rsidRPr="007771DC" w:rsidRDefault="00655954">
            <w:pPr>
              <w:pStyle w:val="NormalTextBulleted"/>
              <w:numPr>
                <w:ilvl w:val="0"/>
                <w:numId w:val="0"/>
              </w:numPr>
              <w:rPr>
                <w:rFonts w:asciiTheme="minorHAnsi" w:hAnsiTheme="minorHAnsi" w:cstheme="minorHAnsi"/>
                <w:b w:val="0"/>
                <w:bCs w:val="0"/>
                <w:sz w:val="22"/>
                <w:lang w:eastAsia="en-AU"/>
              </w:rPr>
            </w:pPr>
            <w:r w:rsidRPr="007771DC">
              <w:rPr>
                <w:rFonts w:asciiTheme="minorHAnsi" w:hAnsiTheme="minorHAnsi" w:cstheme="minorHAnsi"/>
                <w:b w:val="0"/>
                <w:bCs w:val="0"/>
                <w:sz w:val="22"/>
                <w:lang w:eastAsia="en-AU"/>
              </w:rPr>
              <w:t>La Trobe University, Nexus program</w:t>
            </w:r>
          </w:p>
        </w:tc>
        <w:tc>
          <w:tcPr>
            <w:tcW w:w="879" w:type="dxa"/>
          </w:tcPr>
          <w:p w14:paraId="4523D4D3" w14:textId="23051EE1" w:rsidR="00655954" w:rsidRPr="00734A50" w:rsidRDefault="000D0F34">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eastAsia="en-AU"/>
              </w:rPr>
            </w:pPr>
            <w:r w:rsidRPr="00734A50">
              <w:rPr>
                <w:rFonts w:asciiTheme="minorHAnsi" w:hAnsiTheme="minorHAnsi" w:cstheme="minorHAnsi"/>
                <w:sz w:val="22"/>
                <w:lang w:eastAsia="en-AU"/>
              </w:rPr>
              <w:t xml:space="preserve">1.5 </w:t>
            </w:r>
            <w:r w:rsidR="008711EA" w:rsidRPr="00734A50">
              <w:rPr>
                <w:rFonts w:asciiTheme="minorHAnsi" w:hAnsiTheme="minorHAnsi" w:cstheme="minorHAnsi"/>
                <w:sz w:val="22"/>
                <w:lang w:eastAsia="en-AU"/>
              </w:rPr>
              <w:t xml:space="preserve">or </w:t>
            </w:r>
            <w:r w:rsidR="00655954" w:rsidRPr="00734A50">
              <w:rPr>
                <w:rFonts w:asciiTheme="minorHAnsi" w:hAnsiTheme="minorHAnsi" w:cstheme="minorHAnsi"/>
                <w:sz w:val="22"/>
                <w:lang w:eastAsia="en-AU"/>
              </w:rPr>
              <w:t>2 years</w:t>
            </w:r>
          </w:p>
        </w:tc>
        <w:tc>
          <w:tcPr>
            <w:tcW w:w="2126" w:type="dxa"/>
          </w:tcPr>
          <w:p w14:paraId="0AA87F91" w14:textId="4B06594C" w:rsidR="00655954" w:rsidRPr="00734A50" w:rsidRDefault="00655954" w:rsidP="64A481D3">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lang w:eastAsia="en-AU"/>
              </w:rPr>
            </w:pPr>
            <w:r w:rsidRPr="00734A50">
              <w:rPr>
                <w:rFonts w:asciiTheme="minorHAnsi" w:hAnsiTheme="minorHAnsi" w:cstheme="minorBidi"/>
                <w:sz w:val="22"/>
                <w:lang w:eastAsia="en-AU"/>
              </w:rPr>
              <w:t xml:space="preserve">Three </w:t>
            </w:r>
            <w:r w:rsidR="0082535D" w:rsidRPr="00734A50">
              <w:rPr>
                <w:rFonts w:asciiTheme="minorHAnsi" w:hAnsiTheme="minorHAnsi" w:cstheme="minorBidi"/>
                <w:sz w:val="22"/>
                <w:lang w:eastAsia="en-AU"/>
              </w:rPr>
              <w:t>1-week</w:t>
            </w:r>
            <w:r w:rsidRPr="00734A50">
              <w:rPr>
                <w:rFonts w:asciiTheme="minorHAnsi" w:hAnsiTheme="minorHAnsi" w:cstheme="minorBidi"/>
                <w:sz w:val="22"/>
                <w:lang w:eastAsia="en-AU"/>
              </w:rPr>
              <w:t xml:space="preserve"> intensives throughout 2 years</w:t>
            </w:r>
          </w:p>
        </w:tc>
        <w:tc>
          <w:tcPr>
            <w:tcW w:w="1843" w:type="dxa"/>
          </w:tcPr>
          <w:p w14:paraId="7D329A24" w14:textId="683F82AD" w:rsidR="00655954" w:rsidRPr="00734A50" w:rsidRDefault="00655954" w:rsidP="64A481D3">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lang w:eastAsia="en-AU"/>
              </w:rPr>
            </w:pPr>
            <w:r w:rsidRPr="00734A50">
              <w:rPr>
                <w:rFonts w:asciiTheme="minorHAnsi" w:hAnsiTheme="minorHAnsi" w:cstheme="minorBidi"/>
                <w:sz w:val="22"/>
                <w:lang w:eastAsia="en-AU"/>
              </w:rPr>
              <w:t>Employed after 10 weeks</w:t>
            </w:r>
          </w:p>
        </w:tc>
        <w:tc>
          <w:tcPr>
            <w:tcW w:w="2551" w:type="dxa"/>
          </w:tcPr>
          <w:p w14:paraId="19504753" w14:textId="6CBFF011" w:rsidR="00655954" w:rsidRPr="00734A50" w:rsidRDefault="0082535D" w:rsidP="64A481D3">
            <w:pPr>
              <w:pStyle w:val="NormalTextBulleted"/>
              <w:numPr>
                <w:ilvl w:val="0"/>
                <w:numId w:val="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lang w:eastAsia="en-AU"/>
              </w:rPr>
            </w:pPr>
            <w:r w:rsidRPr="00734A50">
              <w:rPr>
                <w:rFonts w:asciiTheme="minorHAnsi" w:hAnsiTheme="minorHAnsi" w:cstheme="minorBidi"/>
                <w:sz w:val="22"/>
                <w:lang w:eastAsia="en-AU"/>
              </w:rPr>
              <w:t>Scaffolded employment</w:t>
            </w:r>
            <w:r w:rsidR="00655954" w:rsidRPr="00734A50">
              <w:rPr>
                <w:rFonts w:asciiTheme="minorHAnsi" w:hAnsiTheme="minorHAnsi" w:cstheme="minorBidi"/>
                <w:sz w:val="22"/>
                <w:lang w:eastAsia="en-AU"/>
              </w:rPr>
              <w:t xml:space="preserve"> begins in a teacher support role for </w:t>
            </w:r>
            <w:r w:rsidR="00CD73B1" w:rsidRPr="00734A50">
              <w:rPr>
                <w:rFonts w:asciiTheme="minorHAnsi" w:hAnsiTheme="minorHAnsi" w:cstheme="minorBidi"/>
                <w:sz w:val="22"/>
                <w:lang w:eastAsia="en-AU"/>
              </w:rPr>
              <w:t xml:space="preserve">2 </w:t>
            </w:r>
            <w:r w:rsidR="00655954" w:rsidRPr="00734A50">
              <w:rPr>
                <w:rFonts w:asciiTheme="minorHAnsi" w:hAnsiTheme="minorHAnsi" w:cstheme="minorBidi"/>
                <w:sz w:val="22"/>
                <w:lang w:eastAsia="en-AU"/>
              </w:rPr>
              <w:t xml:space="preserve">terms (0.2 FTE), then 0.4 FTE in the same role for a term. Complete the second year as a </w:t>
            </w:r>
            <w:r w:rsidRPr="00734A50">
              <w:rPr>
                <w:rFonts w:asciiTheme="minorHAnsi" w:hAnsiTheme="minorHAnsi" w:cstheme="minorBidi"/>
                <w:sz w:val="22"/>
                <w:lang w:eastAsia="en-AU"/>
              </w:rPr>
              <w:t>full-time</w:t>
            </w:r>
            <w:r w:rsidR="00655954" w:rsidRPr="00734A50">
              <w:rPr>
                <w:rFonts w:asciiTheme="minorHAnsi" w:hAnsiTheme="minorHAnsi" w:cstheme="minorBidi"/>
                <w:sz w:val="22"/>
                <w:lang w:eastAsia="en-AU"/>
              </w:rPr>
              <w:t xml:space="preserve"> paraprofessional teacher with 0.8 FTE load.</w:t>
            </w:r>
          </w:p>
        </w:tc>
      </w:tr>
    </w:tbl>
    <w:p w14:paraId="2BB9E6F5" w14:textId="0D8311D1" w:rsidR="00E90B06" w:rsidRPr="00734A50" w:rsidRDefault="00E90B06" w:rsidP="00517BD0">
      <w:pPr>
        <w:spacing w:before="200"/>
        <w:rPr>
          <w:rFonts w:ascii="Calibri" w:eastAsia="Calibri" w:hAnsi="Calibri" w:cs="Calibri"/>
          <w:color w:val="000000" w:themeColor="text1"/>
        </w:rPr>
      </w:pPr>
      <w:r w:rsidRPr="00734A50">
        <w:rPr>
          <w:rFonts w:ascii="Calibri" w:eastAsia="Calibri" w:hAnsi="Calibri" w:cs="Calibri"/>
          <w:color w:val="000000" w:themeColor="text1"/>
        </w:rPr>
        <w:t>Some jurisdictions have ‘market-driven’ approaches to supporting ITE programs (including mid-career programs) to operate at scale and with appropriate support. Jurisdictions procure these programs to address teacher shortages in specific geographic locations or subject areas. For example, Victoria uses a procurement process for ITE providers to respond to forecast increases in demand for school and early childhood teachers. Scalability was prioritised at the outset, with the main objective of proposals to be overall increases in student numbers, including in hard-to</w:t>
      </w:r>
      <w:r w:rsidR="00E523D8" w:rsidRPr="00734A50">
        <w:rPr>
          <w:rFonts w:ascii="Calibri" w:eastAsia="Calibri" w:hAnsi="Calibri" w:cs="Calibri"/>
          <w:color w:val="000000" w:themeColor="text1"/>
        </w:rPr>
        <w:t>-</w:t>
      </w:r>
      <w:r w:rsidRPr="00734A50">
        <w:rPr>
          <w:rFonts w:ascii="Calibri" w:eastAsia="Calibri" w:hAnsi="Calibri" w:cs="Calibri"/>
          <w:color w:val="000000" w:themeColor="text1"/>
        </w:rPr>
        <w:t>staff and priority areas (AITSL submission).</w:t>
      </w:r>
    </w:p>
    <w:p w14:paraId="78A77BF3" w14:textId="092E75C5" w:rsidR="000A71D4" w:rsidRPr="00734A50" w:rsidRDefault="009227C2" w:rsidP="009227C2">
      <w:pPr>
        <w:pStyle w:val="Heading3"/>
      </w:pPr>
      <w:bookmarkStart w:id="101" w:name="_Toc139366664"/>
      <w:r w:rsidRPr="00734A50">
        <w:t xml:space="preserve">4.4 </w:t>
      </w:r>
      <w:r w:rsidR="000A71D4" w:rsidRPr="00734A50">
        <w:t>Attracting and supporting more mid-career entrants</w:t>
      </w:r>
      <w:bookmarkEnd w:id="101"/>
    </w:p>
    <w:p w14:paraId="614F17EB" w14:textId="00725FDA" w:rsidR="00316A7C" w:rsidRPr="00734A50" w:rsidRDefault="00115A2C" w:rsidP="006A127F">
      <w:pPr>
        <w:rPr>
          <w:rFonts w:eastAsia="Times New Roman"/>
          <w:color w:val="000000"/>
        </w:rPr>
      </w:pPr>
      <w:r w:rsidRPr="00734A50">
        <w:t>There are already many different types of programs targeted at mid-career entrants but</w:t>
      </w:r>
      <w:r w:rsidR="006C05C9" w:rsidRPr="00734A50">
        <w:t>,</w:t>
      </w:r>
      <w:r w:rsidRPr="00734A50">
        <w:t xml:space="preserve"> while ITE students report these as highly beneficial, many do not receive them as part of their program or </w:t>
      </w:r>
      <w:r w:rsidR="006C05C9" w:rsidRPr="00734A50">
        <w:t xml:space="preserve">are </w:t>
      </w:r>
      <w:r w:rsidRPr="00734A50">
        <w:t xml:space="preserve">unaware they </w:t>
      </w:r>
      <w:r w:rsidR="006C05C9" w:rsidRPr="00734A50">
        <w:t xml:space="preserve">are </w:t>
      </w:r>
      <w:r w:rsidRPr="00734A50">
        <w:t>available to them.</w:t>
      </w:r>
    </w:p>
    <w:p w14:paraId="111E4AB1" w14:textId="611C068E" w:rsidR="004A5F10" w:rsidRPr="002A4BFB" w:rsidRDefault="00F1362F" w:rsidP="000C2F25">
      <w:pPr>
        <w:pStyle w:val="Heading4"/>
      </w:pPr>
      <w:r w:rsidRPr="002A4BFB">
        <w:lastRenderedPageBreak/>
        <w:t>4.</w:t>
      </w:r>
      <w:r w:rsidR="00A63115" w:rsidRPr="002A4BFB">
        <w:t>4.1</w:t>
      </w:r>
      <w:r w:rsidRPr="002A4BFB">
        <w:t xml:space="preserve"> </w:t>
      </w:r>
      <w:r w:rsidR="00652542" w:rsidRPr="002A4BFB">
        <w:t xml:space="preserve">Develop and </w:t>
      </w:r>
      <w:r w:rsidR="00771790" w:rsidRPr="002A4BFB">
        <w:t>expand</w:t>
      </w:r>
      <w:r w:rsidR="00115A2C" w:rsidRPr="002A4BFB">
        <w:t xml:space="preserve"> mid-career</w:t>
      </w:r>
      <w:r w:rsidR="00DB150C" w:rsidRPr="002A4BFB">
        <w:t xml:space="preserve"> pathway</w:t>
      </w:r>
      <w:r w:rsidR="00115A2C" w:rsidRPr="002A4BFB">
        <w:t xml:space="preserve"> programs</w:t>
      </w:r>
    </w:p>
    <w:p w14:paraId="797A9024" w14:textId="304E543E" w:rsidR="00115A2C" w:rsidRPr="00734A50" w:rsidRDefault="00115A2C" w:rsidP="00115A2C">
      <w:r w:rsidRPr="00734A50">
        <w:t xml:space="preserve">The Panel views a </w:t>
      </w:r>
      <w:r w:rsidR="006C05C9" w:rsidRPr="00734A50">
        <w:t>m</w:t>
      </w:r>
      <w:r w:rsidRPr="00734A50">
        <w:t>aster degree as the appropriate qualification level to provide postgraduate ITE students with the appropriate level of pedagogical, disciplinary, content and practical knowledge required to be successful in the classroom. The Panel does not see a case for returning to a one-year Graduate Diploma of Education as a way of shortening the time spent out of the workforce, as it is not academically and professionally proportionate with the complexity and status of teaching.</w:t>
      </w:r>
    </w:p>
    <w:p w14:paraId="3DD32C28" w14:textId="7818E235" w:rsidR="00115A2C" w:rsidRPr="00734A50" w:rsidRDefault="00115A2C" w:rsidP="00115A2C">
      <w:r w:rsidRPr="00734A50">
        <w:t>Developing and expanding employment-based mid-career programs would help ensure that ITE remains a realistic option for all potential candidates (QITE Review 2022). The limited number of mid-career entrants undertaking paid employment in a school</w:t>
      </w:r>
      <w:r w:rsidR="007D5DF3" w:rsidRPr="00734A50">
        <w:t xml:space="preserve"> during study</w:t>
      </w:r>
      <w:r w:rsidRPr="00734A50">
        <w:t xml:space="preserve">, despite most reporting </w:t>
      </w:r>
      <w:r w:rsidR="00391EE0" w:rsidRPr="00734A50">
        <w:t>this</w:t>
      </w:r>
      <w:r w:rsidRPr="00734A50">
        <w:t xml:space="preserve"> as beneficial, shows there is scope to </w:t>
      </w:r>
      <w:r w:rsidR="00B21AF0" w:rsidRPr="00734A50">
        <w:t xml:space="preserve">develop and </w:t>
      </w:r>
      <w:r w:rsidRPr="00734A50">
        <w:t xml:space="preserve">expand employment-based </w:t>
      </w:r>
      <w:r w:rsidR="00B21AF0" w:rsidRPr="00734A50">
        <w:t>mid-career</w:t>
      </w:r>
      <w:r w:rsidR="00B21AF0" w:rsidRPr="00734A50" w:rsidDel="002501C0">
        <w:t xml:space="preserve"> </w:t>
      </w:r>
      <w:r w:rsidRPr="00734A50">
        <w:t xml:space="preserve">programs </w:t>
      </w:r>
      <w:r w:rsidR="00E72DD0" w:rsidRPr="00734A50">
        <w:t xml:space="preserve">within existing regulatory arrangements </w:t>
      </w:r>
      <w:r w:rsidRPr="00734A50">
        <w:t>to attract mid-career entrants.</w:t>
      </w:r>
    </w:p>
    <w:p w14:paraId="7A9D3C46" w14:textId="0CC637BF" w:rsidR="00115A2C" w:rsidRPr="00734A50" w:rsidRDefault="00115A2C" w:rsidP="004445E4">
      <w:pPr>
        <w:spacing w:after="0"/>
      </w:pPr>
      <w:r w:rsidRPr="00734A50">
        <w:t xml:space="preserve">Stakeholders highlighted two major challenges </w:t>
      </w:r>
      <w:r w:rsidR="00391EE0" w:rsidRPr="00734A50">
        <w:t xml:space="preserve">in </w:t>
      </w:r>
      <w:r w:rsidRPr="00734A50">
        <w:t>expanding employment-based pathways:</w:t>
      </w:r>
    </w:p>
    <w:p w14:paraId="7D1E5145" w14:textId="299B6A6B" w:rsidR="00115A2C" w:rsidRPr="00734A50" w:rsidRDefault="35FF9BA4" w:rsidP="00553516">
      <w:pPr>
        <w:pStyle w:val="ListBullet"/>
        <w:numPr>
          <w:ilvl w:val="0"/>
          <w:numId w:val="216"/>
        </w:numPr>
        <w:spacing w:after="200"/>
        <w:ind w:left="357" w:hanging="357"/>
      </w:pPr>
      <w:r w:rsidRPr="00734A50">
        <w:t>T</w:t>
      </w:r>
      <w:r w:rsidR="670E7EC2" w:rsidRPr="00734A50">
        <w:t>eacher employers must be willing and able to provide financial incentives</w:t>
      </w:r>
      <w:r w:rsidRPr="00734A50">
        <w:t xml:space="preserve"> and to</w:t>
      </w:r>
      <w:r w:rsidR="670E7EC2" w:rsidRPr="00734A50">
        <w:t xml:space="preserve"> employ and support ITE students during their program, which incurs additional cost and presents coordination issues</w:t>
      </w:r>
      <w:r w:rsidRPr="00734A50">
        <w:t>.</w:t>
      </w:r>
    </w:p>
    <w:p w14:paraId="0F20D069" w14:textId="1E1B68A3" w:rsidR="00115A2C" w:rsidRPr="00734A50" w:rsidRDefault="35FF9BA4" w:rsidP="00553516">
      <w:pPr>
        <w:pStyle w:val="ListBullet"/>
        <w:numPr>
          <w:ilvl w:val="0"/>
          <w:numId w:val="216"/>
        </w:numPr>
        <w:spacing w:after="200"/>
        <w:ind w:left="357" w:hanging="357"/>
      </w:pPr>
      <w:r w:rsidRPr="00734A50">
        <w:t>B</w:t>
      </w:r>
      <w:r w:rsidR="670E7EC2" w:rsidRPr="00734A50">
        <w:t>oth</w:t>
      </w:r>
      <w:r w:rsidR="004F75F9" w:rsidRPr="00734A50">
        <w:t xml:space="preserve"> higher education</w:t>
      </w:r>
      <w:r w:rsidR="670E7EC2" w:rsidRPr="00734A50">
        <w:t xml:space="preserve"> providers and teacher employers must be able to maintain a high-quality experience for students that produces teachers </w:t>
      </w:r>
      <w:r w:rsidRPr="00734A50">
        <w:t xml:space="preserve">who are </w:t>
      </w:r>
      <w:r w:rsidR="670E7EC2" w:rsidRPr="00734A50">
        <w:t>well</w:t>
      </w:r>
      <w:r w:rsidRPr="00734A50">
        <w:t xml:space="preserve"> </w:t>
      </w:r>
      <w:r w:rsidR="670E7EC2" w:rsidRPr="00734A50">
        <w:t>prepared to begin their careers.</w:t>
      </w:r>
    </w:p>
    <w:p w14:paraId="78E807DC" w14:textId="6DFE1558" w:rsidR="00115A2C" w:rsidRPr="00734A50" w:rsidRDefault="00115A2C" w:rsidP="00115A2C">
      <w:r w:rsidRPr="00734A50">
        <w:t xml:space="preserve">Developing and scaling these pathways would require government support as they are expensive to implement and operate: </w:t>
      </w:r>
      <w:r w:rsidR="00391EE0" w:rsidRPr="00734A50">
        <w:t>‘</w:t>
      </w:r>
      <w:r w:rsidRPr="00734A50">
        <w:t>The costs associated with innovation and bespoke ITE program design are significant, as is the development and running of internships and employment-based pathways. Funding is required to support the system to cater for the circumstances and needs of mid-career entrants (e.g. time release for mentor teachers, professional learning, recognition of mentor teachers</w:t>
      </w:r>
      <w:r w:rsidR="00391EE0" w:rsidRPr="00734A50">
        <w:t>’</w:t>
      </w:r>
      <w:r w:rsidRPr="00734A50">
        <w:t xml:space="preserve"> (</w:t>
      </w:r>
      <w:r w:rsidR="00391EE0" w:rsidRPr="00734A50">
        <w:t>ATRA</w:t>
      </w:r>
      <w:r w:rsidRPr="00734A50">
        <w:t xml:space="preserve"> submission).</w:t>
      </w:r>
    </w:p>
    <w:p w14:paraId="409723B0" w14:textId="5B57142A" w:rsidR="00115A2C" w:rsidRPr="00734A50" w:rsidRDefault="00115A2C" w:rsidP="00115A2C">
      <w:r w:rsidRPr="00734A50">
        <w:t xml:space="preserve">Developing and expanding employment-based pathways could be supported by a more structured approach to identifying and engaging with schools willing and able to employ ITE students during their program, under </w:t>
      </w:r>
      <w:r w:rsidR="007D5DF3" w:rsidRPr="00734A50">
        <w:t>AAT</w:t>
      </w:r>
      <w:r w:rsidRPr="00734A50">
        <w:t xml:space="preserve"> arrangements. Identifying these schools can be challenging. For example, the Melbourne Graduate School of Education Master of Teaching Internship program relies on schools to register interest in participating in the program and to indicate potential teacher vacancy areas. Monash University’s Innovative Initial Teacher Education program</w:t>
      </w:r>
      <w:r w:rsidR="00A746AA" w:rsidRPr="00734A50">
        <w:t xml:space="preserve"> to</w:t>
      </w:r>
      <w:r w:rsidRPr="00734A50">
        <w:t xml:space="preserve"> employ ITE students in education support role</w:t>
      </w:r>
      <w:r w:rsidR="00A746AA" w:rsidRPr="00734A50">
        <w:t>s</w:t>
      </w:r>
      <w:r w:rsidRPr="00734A50">
        <w:t xml:space="preserve"> has not been able to run in 2023 due to a lack of schools willing to take on students for this intensive program of study (Monash University submission).</w:t>
      </w:r>
    </w:p>
    <w:p w14:paraId="321462F8" w14:textId="25A9DBD5" w:rsidR="00115A2C" w:rsidRPr="00734A50" w:rsidRDefault="00115A2C" w:rsidP="004445E4">
      <w:pPr>
        <w:spacing w:after="0"/>
      </w:pPr>
      <w:r w:rsidRPr="00734A50">
        <w:t xml:space="preserve">The Panel considers </w:t>
      </w:r>
      <w:r w:rsidR="00A746AA" w:rsidRPr="00734A50">
        <w:t xml:space="preserve">that </w:t>
      </w:r>
      <w:r w:rsidRPr="00734A50">
        <w:t>employment pathway programs could be supported through system-level agreements between school systems and higher education providers (discussed in Chapter 3). These agreements could articulate a framework for delivering the</w:t>
      </w:r>
      <w:r w:rsidR="0089159F">
        <w:t>se</w:t>
      </w:r>
      <w:r w:rsidRPr="00734A50">
        <w:t xml:space="preserve"> programs, including</w:t>
      </w:r>
      <w:r w:rsidR="00A746AA" w:rsidRPr="00734A50">
        <w:t>,</w:t>
      </w:r>
      <w:r w:rsidRPr="00734A50">
        <w:t xml:space="preserve"> where relevant:</w:t>
      </w:r>
    </w:p>
    <w:p w14:paraId="532588CE" w14:textId="2C26A0B6" w:rsidR="00115A2C" w:rsidRPr="00734A50" w:rsidRDefault="670E7EC2" w:rsidP="00553516">
      <w:pPr>
        <w:pStyle w:val="ListBullet"/>
        <w:numPr>
          <w:ilvl w:val="0"/>
          <w:numId w:val="216"/>
        </w:numPr>
        <w:spacing w:after="200"/>
        <w:ind w:left="357" w:hanging="357"/>
      </w:pPr>
      <w:r w:rsidRPr="00734A50">
        <w:t>the higher education providers to deliver these programs</w:t>
      </w:r>
    </w:p>
    <w:p w14:paraId="61FE1B77" w14:textId="7A5CBC7C" w:rsidR="00115A2C" w:rsidRPr="00734A50" w:rsidRDefault="670E7EC2" w:rsidP="00553516">
      <w:pPr>
        <w:pStyle w:val="ListBullet"/>
        <w:numPr>
          <w:ilvl w:val="0"/>
          <w:numId w:val="216"/>
        </w:numPr>
        <w:spacing w:after="200"/>
        <w:ind w:left="357" w:hanging="357"/>
      </w:pPr>
      <w:r w:rsidRPr="00734A50">
        <w:t>processes for identifying and engaging with schools to employ ITE students</w:t>
      </w:r>
    </w:p>
    <w:p w14:paraId="6C709778" w14:textId="01A99A9F" w:rsidR="00115A2C" w:rsidRPr="00734A50" w:rsidRDefault="670E7EC2" w:rsidP="00553516">
      <w:pPr>
        <w:pStyle w:val="ListBullet"/>
        <w:numPr>
          <w:ilvl w:val="0"/>
          <w:numId w:val="216"/>
        </w:numPr>
        <w:spacing w:after="200"/>
        <w:ind w:left="357" w:hanging="357"/>
      </w:pPr>
      <w:r w:rsidRPr="00734A50">
        <w:t>employment arrangements for ITE students, including the regulatory arrangements used to offer employment and in-school mentoring and support arrangements</w:t>
      </w:r>
    </w:p>
    <w:p w14:paraId="366FBE5F" w14:textId="5051D309" w:rsidR="00115A2C" w:rsidRPr="00734A50" w:rsidRDefault="670E7EC2" w:rsidP="00553516">
      <w:pPr>
        <w:pStyle w:val="ListBullet"/>
        <w:numPr>
          <w:ilvl w:val="0"/>
          <w:numId w:val="216"/>
        </w:numPr>
        <w:spacing w:after="200"/>
        <w:ind w:left="357" w:hanging="357"/>
      </w:pPr>
      <w:r w:rsidRPr="00734A50">
        <w:t>supplementary funding arrangements to support delivery, such as wraparound support and financial incentives</w:t>
      </w:r>
    </w:p>
    <w:p w14:paraId="3C9E0E86" w14:textId="5FE9BE66" w:rsidR="00115A2C" w:rsidRPr="00734A50" w:rsidRDefault="670E7EC2" w:rsidP="00553516">
      <w:pPr>
        <w:pStyle w:val="ListBullet"/>
        <w:numPr>
          <w:ilvl w:val="0"/>
          <w:numId w:val="216"/>
        </w:numPr>
        <w:spacing w:after="200"/>
        <w:ind w:left="357" w:hanging="357"/>
      </w:pPr>
      <w:r w:rsidRPr="00734A50">
        <w:lastRenderedPageBreak/>
        <w:t>processes for data collection and use, including develop</w:t>
      </w:r>
      <w:r w:rsidR="1C76D027" w:rsidRPr="00734A50">
        <w:t>ment of</w:t>
      </w:r>
      <w:r w:rsidRPr="00734A50">
        <w:t xml:space="preserve"> a stronger evidence base for mid-career programs (see section </w:t>
      </w:r>
      <w:r w:rsidR="003E61A0" w:rsidRPr="00734A50">
        <w:t>4.5</w:t>
      </w:r>
      <w:r w:rsidRPr="00734A50">
        <w:t>).</w:t>
      </w:r>
    </w:p>
    <w:p w14:paraId="25B9326F" w14:textId="56F97F86" w:rsidR="001A07E8" w:rsidRPr="00734A50" w:rsidRDefault="001A07E8" w:rsidP="00115A2C">
      <w:pPr>
        <w:pStyle w:val="Heading5"/>
        <w:rPr>
          <w:szCs w:val="20"/>
        </w:rPr>
      </w:pPr>
      <w:r w:rsidRPr="00734A50">
        <w:t>Supporting mid-career entrants into undergraduate ITE programs</w:t>
      </w:r>
    </w:p>
    <w:p w14:paraId="4CD09B86" w14:textId="6B0253F7" w:rsidR="001A07E8" w:rsidRPr="00734A50" w:rsidRDefault="001A07E8" w:rsidP="001A07E8">
      <w:pPr>
        <w:rPr>
          <w:rFonts w:ascii="Calibri" w:eastAsia="Calibri" w:hAnsi="Calibri" w:cs="Calibri"/>
          <w:color w:val="000000" w:themeColor="text1"/>
        </w:rPr>
      </w:pPr>
      <w:r w:rsidRPr="00734A50">
        <w:rPr>
          <w:rFonts w:ascii="Calibri" w:eastAsia="Calibri" w:hAnsi="Calibri" w:cs="Calibri"/>
          <w:color w:val="000000" w:themeColor="text1"/>
        </w:rPr>
        <w:t xml:space="preserve">Many potential mid-career teachers do not meet the qualification requirements for enrolling in postgraduate ITE programs. </w:t>
      </w:r>
      <w:r w:rsidRPr="00734A50">
        <w:rPr>
          <w:rFonts w:ascii="Calibri" w:eastAsia="Calibri" w:hAnsi="Calibri" w:cs="Calibri"/>
        </w:rPr>
        <w:t xml:space="preserve">The </w:t>
      </w:r>
      <w:r w:rsidRPr="00734A50">
        <w:rPr>
          <w:rFonts w:ascii="Calibri" w:eastAsia="Calibri" w:hAnsi="Calibri" w:cs="Calibri"/>
          <w:color w:val="000000" w:themeColor="text1"/>
        </w:rPr>
        <w:t xml:space="preserve">Panel’s survey of ITE students shows </w:t>
      </w:r>
      <w:r w:rsidR="004A71CF" w:rsidRPr="00734A50">
        <w:rPr>
          <w:rFonts w:ascii="Calibri" w:eastAsia="Calibri" w:hAnsi="Calibri" w:cs="Calibri"/>
          <w:color w:val="000000" w:themeColor="text1"/>
        </w:rPr>
        <w:t xml:space="preserve">that </w:t>
      </w:r>
      <w:r w:rsidRPr="00734A50">
        <w:rPr>
          <w:rFonts w:ascii="Calibri" w:eastAsia="Calibri" w:hAnsi="Calibri" w:cs="Calibri"/>
          <w:color w:val="000000" w:themeColor="text1"/>
        </w:rPr>
        <w:t xml:space="preserve">around half of mid-career entrants enrol in undergraduate teaching degrees. Despite this, most mid-career programs focus on attracting mid-career professionals through a postgraduate pathway. </w:t>
      </w:r>
    </w:p>
    <w:p w14:paraId="79EB3D4A" w14:textId="7A006E0D" w:rsidR="001A07E8" w:rsidRPr="00734A50" w:rsidRDefault="001A07E8" w:rsidP="001A07E8">
      <w:pPr>
        <w:rPr>
          <w:rFonts w:ascii="Calibri" w:eastAsia="Calibri" w:hAnsi="Calibri" w:cs="Calibri"/>
          <w:color w:val="000000" w:themeColor="text1"/>
        </w:rPr>
      </w:pPr>
      <w:r w:rsidRPr="00734A50">
        <w:rPr>
          <w:rFonts w:ascii="Calibri" w:eastAsia="Calibri" w:hAnsi="Calibri" w:cs="Calibri"/>
          <w:color w:val="000000" w:themeColor="text1"/>
        </w:rPr>
        <w:t>Stakeholders highlight</w:t>
      </w:r>
      <w:r w:rsidR="004A71CF" w:rsidRPr="00734A50">
        <w:rPr>
          <w:rFonts w:ascii="Calibri" w:eastAsia="Calibri" w:hAnsi="Calibri" w:cs="Calibri"/>
          <w:color w:val="000000" w:themeColor="text1"/>
        </w:rPr>
        <w:t xml:space="preserve"> that</w:t>
      </w:r>
      <w:r w:rsidRPr="00734A50">
        <w:rPr>
          <w:rFonts w:ascii="Calibri" w:eastAsia="Calibri" w:hAnsi="Calibri" w:cs="Calibri"/>
          <w:color w:val="000000" w:themeColor="text1"/>
        </w:rPr>
        <w:t xml:space="preserve"> attracting mid-career </w:t>
      </w:r>
      <w:r w:rsidR="009227C2" w:rsidRPr="00734A50">
        <w:rPr>
          <w:rFonts w:ascii="Calibri" w:eastAsia="Calibri" w:hAnsi="Calibri" w:cs="Calibri"/>
          <w:color w:val="000000" w:themeColor="text1"/>
        </w:rPr>
        <w:t xml:space="preserve">entrants </w:t>
      </w:r>
      <w:r w:rsidRPr="00734A50">
        <w:rPr>
          <w:rFonts w:ascii="Calibri" w:eastAsia="Calibri" w:hAnsi="Calibri" w:cs="Calibri"/>
          <w:color w:val="000000" w:themeColor="text1"/>
        </w:rPr>
        <w:t>into undergraduate ITE programs is a gap in the mid-career landscape (Australian Catholic University submission</w:t>
      </w:r>
      <w:r w:rsidR="004A71CF"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Flinders University submission; La Trobe University submission). Many programs targeting mid-career entrants through undergraduate ITE programs offer employment-based pathways (NSW Grow Your Own Teacher Training Program</w:t>
      </w:r>
      <w:r w:rsidR="004A71CF" w:rsidRPr="00734A50">
        <w:rPr>
          <w:rFonts w:ascii="Calibri" w:eastAsia="Calibri" w:hAnsi="Calibri" w:cs="Calibri"/>
          <w:color w:val="000000" w:themeColor="text1"/>
        </w:rPr>
        <w:t>;</w:t>
      </w:r>
      <w:r w:rsidRPr="00734A50">
        <w:rPr>
          <w:rFonts w:ascii="Calibri" w:eastAsia="Calibri" w:hAnsi="Calibri" w:cs="Calibri"/>
          <w:color w:val="000000" w:themeColor="text1"/>
        </w:rPr>
        <w:t xml:space="preserve"> NSW Riverina Teaching Hub program), mixed-mode study at school and online (NSW Riverina Teaching Hub program) and recognition of prior learning (Charles Sturt University</w:t>
      </w:r>
      <w:r w:rsidRPr="00734A50">
        <w:t xml:space="preserve"> Bachelor of Education (Secondary)</w:t>
      </w:r>
      <w:r w:rsidR="004668EF" w:rsidRPr="00734A50">
        <w:t xml:space="preserve"> – </w:t>
      </w:r>
      <w:r w:rsidRPr="00734A50">
        <w:t>Industry Entry).</w:t>
      </w:r>
      <w:r w:rsidR="004A71CF" w:rsidRPr="00734A50">
        <w:t xml:space="preserve"> </w:t>
      </w:r>
      <w:r w:rsidRPr="00734A50">
        <w:rPr>
          <w:rFonts w:ascii="Calibri" w:eastAsia="Calibri" w:hAnsi="Calibri" w:cs="Calibri"/>
          <w:color w:val="000000" w:themeColor="text1"/>
        </w:rPr>
        <w:t xml:space="preserve">There is further scope to develop and expand alternative pathways into teaching for mid-career entrants without a bachelor’s degree if </w:t>
      </w:r>
      <w:r w:rsidR="004A71CF" w:rsidRPr="00734A50">
        <w:rPr>
          <w:rFonts w:ascii="Calibri" w:eastAsia="Calibri" w:hAnsi="Calibri" w:cs="Calibri"/>
          <w:color w:val="000000" w:themeColor="text1"/>
        </w:rPr>
        <w:t xml:space="preserve">these pathways are </w:t>
      </w:r>
      <w:r w:rsidRPr="00734A50">
        <w:rPr>
          <w:rFonts w:ascii="Calibri" w:eastAsia="Calibri" w:hAnsi="Calibri" w:cs="Calibri"/>
          <w:color w:val="000000" w:themeColor="text1"/>
        </w:rPr>
        <w:t xml:space="preserve">supported by teacher employers. This </w:t>
      </w:r>
      <w:r w:rsidR="001F7FED" w:rsidRPr="00734A50">
        <w:rPr>
          <w:rFonts w:ascii="Calibri" w:eastAsia="Calibri" w:hAnsi="Calibri" w:cs="Calibri"/>
          <w:color w:val="000000" w:themeColor="text1"/>
        </w:rPr>
        <w:t>would</w:t>
      </w:r>
      <w:r w:rsidRPr="00734A50">
        <w:rPr>
          <w:rFonts w:ascii="Calibri" w:eastAsia="Calibri" w:hAnsi="Calibri" w:cs="Calibri"/>
          <w:color w:val="000000" w:themeColor="text1"/>
        </w:rPr>
        <w:t xml:space="preserve"> increase the potential for mid-career entrants to contribute to the supply of teachers required to meet workforce demands. </w:t>
      </w:r>
    </w:p>
    <w:p w14:paraId="509B4960" w14:textId="77777777" w:rsidR="001A07E8" w:rsidRPr="00734A50" w:rsidRDefault="001A07E8" w:rsidP="003E61A0">
      <w:pPr>
        <w:spacing w:after="0"/>
        <w:rPr>
          <w:rFonts w:eastAsia="Times New Roman"/>
        </w:rPr>
      </w:pPr>
      <w:r w:rsidRPr="00734A50">
        <w:rPr>
          <w:rFonts w:ascii="Calibri" w:eastAsia="Calibri" w:hAnsi="Calibri" w:cs="Calibri"/>
          <w:color w:val="000000" w:themeColor="text1"/>
        </w:rPr>
        <w:t xml:space="preserve">Key </w:t>
      </w:r>
      <w:r w:rsidRPr="00734A50">
        <w:rPr>
          <w:rFonts w:eastAsia="Times New Roman"/>
        </w:rPr>
        <w:t xml:space="preserve">cohorts that could be attracted into teaching through an </w:t>
      </w:r>
      <w:r w:rsidRPr="00734A50">
        <w:t>undergraduate</w:t>
      </w:r>
      <w:r w:rsidRPr="00734A50">
        <w:rPr>
          <w:rFonts w:eastAsia="Times New Roman"/>
        </w:rPr>
        <w:t xml:space="preserve"> mid-career pathway to improve the quality, diversity and workforce needs of the teaching profession include:</w:t>
      </w:r>
    </w:p>
    <w:p w14:paraId="705ACDB3" w14:textId="3ADA1B75" w:rsidR="001A07E8" w:rsidRPr="00734A50" w:rsidRDefault="629E8276" w:rsidP="00553516">
      <w:pPr>
        <w:pStyle w:val="ListBullet"/>
        <w:numPr>
          <w:ilvl w:val="0"/>
          <w:numId w:val="216"/>
        </w:numPr>
        <w:spacing w:after="200"/>
        <w:ind w:left="357" w:hanging="357"/>
      </w:pPr>
      <w:r w:rsidRPr="00734A50">
        <w:t>teacher aides who only have a certificate or diploma level qualification</w:t>
      </w:r>
    </w:p>
    <w:p w14:paraId="66924675" w14:textId="2EC50E26" w:rsidR="001A07E8" w:rsidRPr="00734A50" w:rsidRDefault="629E8276" w:rsidP="00553516">
      <w:pPr>
        <w:pStyle w:val="ListBullet"/>
        <w:numPr>
          <w:ilvl w:val="0"/>
          <w:numId w:val="216"/>
        </w:numPr>
        <w:spacing w:after="200"/>
        <w:ind w:left="357" w:hanging="357"/>
      </w:pPr>
      <w:r w:rsidRPr="00734A50">
        <w:t xml:space="preserve">diverse cohorts who may be less likely to have a bachelor qualification (e.g. </w:t>
      </w:r>
      <w:r w:rsidR="3E3162B6" w:rsidRPr="00734A50">
        <w:t xml:space="preserve">First Nations </w:t>
      </w:r>
      <w:r w:rsidRPr="00734A50">
        <w:t>people</w:t>
      </w:r>
      <w:r w:rsidR="7CB7ABB2" w:rsidRPr="00734A50">
        <w:t>;</w:t>
      </w:r>
      <w:r w:rsidRPr="00734A50">
        <w:t xml:space="preserve"> people living in regional and remote communities)</w:t>
      </w:r>
    </w:p>
    <w:p w14:paraId="14A5EF37" w14:textId="396C909F" w:rsidR="001A07E8" w:rsidRPr="00734A50" w:rsidRDefault="629E8276" w:rsidP="00553516">
      <w:pPr>
        <w:pStyle w:val="ListBullet"/>
        <w:numPr>
          <w:ilvl w:val="0"/>
          <w:numId w:val="216"/>
        </w:numPr>
        <w:spacing w:after="200"/>
        <w:ind w:left="357" w:hanging="357"/>
      </w:pPr>
      <w:r w:rsidRPr="00734A50">
        <w:t xml:space="preserve">people with relevant professional experience who could fill specific teacher shortages but only have a certificate or diploma level qualification (e.g. design and technology teachers). </w:t>
      </w:r>
    </w:p>
    <w:p w14:paraId="10EE66D0" w14:textId="77777777" w:rsidR="00AE25A2" w:rsidRPr="00734A50" w:rsidRDefault="00AE25A2" w:rsidP="08522676">
      <w:pPr>
        <w:pStyle w:val="Heading5"/>
      </w:pPr>
      <w:r w:rsidRPr="00734A50">
        <w:t>Streamlining employment-based pathway arrangements</w:t>
      </w:r>
    </w:p>
    <w:p w14:paraId="5FE0107C" w14:textId="174A7388" w:rsidR="00395043" w:rsidRPr="00734A50" w:rsidRDefault="00021253" w:rsidP="00BD78E1">
      <w:pPr>
        <w:rPr>
          <w:rFonts w:ascii="Calibri" w:eastAsia="Calibri" w:hAnsi="Calibri" w:cs="Calibri"/>
          <w:color w:val="000000" w:themeColor="text1"/>
        </w:rPr>
      </w:pPr>
      <w:r w:rsidRPr="00734A50">
        <w:rPr>
          <w:rFonts w:ascii="Calibri" w:eastAsia="Calibri" w:hAnsi="Calibri" w:cs="Calibri"/>
          <w:color w:val="000000" w:themeColor="text1"/>
        </w:rPr>
        <w:t>The Panel heard some stakeholder concern about the use of AAT to support employment-based pathways</w:t>
      </w:r>
      <w:r w:rsidR="00245305" w:rsidRPr="00734A50">
        <w:rPr>
          <w:rFonts w:ascii="Calibri" w:eastAsia="Calibri" w:hAnsi="Calibri" w:cs="Calibri"/>
          <w:color w:val="000000" w:themeColor="text1"/>
        </w:rPr>
        <w:t xml:space="preserve">, </w:t>
      </w:r>
      <w:r w:rsidR="003C7A04" w:rsidRPr="00734A50">
        <w:rPr>
          <w:rFonts w:ascii="Calibri" w:eastAsia="Calibri" w:hAnsi="Calibri" w:cs="Calibri"/>
          <w:color w:val="000000" w:themeColor="text1"/>
        </w:rPr>
        <w:t>because quality is not regulated as closely as other forms of teacher registration</w:t>
      </w:r>
      <w:r w:rsidRPr="00734A50">
        <w:rPr>
          <w:rFonts w:ascii="Calibri" w:eastAsia="Calibri" w:hAnsi="Calibri" w:cs="Calibri"/>
          <w:color w:val="000000" w:themeColor="text1"/>
        </w:rPr>
        <w:t xml:space="preserve">. </w:t>
      </w:r>
      <w:r w:rsidR="00395043" w:rsidRPr="00734A50">
        <w:rPr>
          <w:rFonts w:ascii="Calibri" w:eastAsia="Calibri" w:hAnsi="Calibri" w:cs="Calibri"/>
          <w:color w:val="000000" w:themeColor="text1"/>
        </w:rPr>
        <w:t>Some stakeholders point to the need to either strengthen the AAT mechanism or adopt a registration category like conditional accreditation in NSW (NSW Council of Deans of Education, Australian Council of Deans of Education submissions). The Panel notes that ATRA and AITSL are examining AAT and teacher registration requirements as part of the National Teacher Workforce Action Plan.</w:t>
      </w:r>
    </w:p>
    <w:p w14:paraId="4D8A11C5" w14:textId="6626E9BE" w:rsidR="00BD78E1" w:rsidRPr="00734A50" w:rsidRDefault="00993766" w:rsidP="00BD78E1">
      <w:pPr>
        <w:rPr>
          <w:rStyle w:val="ui-provider"/>
        </w:rPr>
      </w:pPr>
      <w:r w:rsidRPr="00734A50">
        <w:rPr>
          <w:rStyle w:val="ui-provider"/>
        </w:rPr>
        <w:t>In particular, e</w:t>
      </w:r>
      <w:r w:rsidR="00BD78E1" w:rsidRPr="00734A50">
        <w:rPr>
          <w:rStyle w:val="ui-provider"/>
        </w:rPr>
        <w:t xml:space="preserve">mploying ITE students under </w:t>
      </w:r>
      <w:r w:rsidR="006B7178" w:rsidRPr="00734A50">
        <w:rPr>
          <w:rStyle w:val="ui-provider"/>
        </w:rPr>
        <w:t>AAT</w:t>
      </w:r>
      <w:r w:rsidR="00BD78E1" w:rsidRPr="00734A50">
        <w:rPr>
          <w:rStyle w:val="ui-provider"/>
        </w:rPr>
        <w:t xml:space="preserve"> arrangements can be challenging in ensuring they are meeting the requirement for having a diversity of placements during their practical experience under Program Standard 5. Minimal guidance is provided to higher education providers, which can result in providers requiring </w:t>
      </w:r>
      <w:r w:rsidR="00AB1718" w:rsidRPr="00734A50">
        <w:rPr>
          <w:rStyle w:val="ui-provider"/>
        </w:rPr>
        <w:t xml:space="preserve">ITE </w:t>
      </w:r>
      <w:r w:rsidR="00BD78E1" w:rsidRPr="00734A50">
        <w:rPr>
          <w:rStyle w:val="ui-provider"/>
        </w:rPr>
        <w:t>students to undertake placements in different school settings that can conflict with their employment arrangements. ITE students can be reluctant or unable to take leave, most likely unpaid, from their employment to complete their required placements in another school setting to ensure a diversity of placements and experiences (AITSL submission). AITSL could consider addressing this issue as part of opportunities to streamline the Accreditation Standards and Procedures as outlined in Recommendation 5</w:t>
      </w:r>
      <w:r w:rsidR="006133C2" w:rsidRPr="00734A50">
        <w:rPr>
          <w:rStyle w:val="ui-provider"/>
        </w:rPr>
        <w:t xml:space="preserve"> (Chapter 2)</w:t>
      </w:r>
      <w:r w:rsidR="00D23B5E" w:rsidRPr="00734A50">
        <w:rPr>
          <w:rStyle w:val="ui-provider"/>
        </w:rPr>
        <w:t xml:space="preserve">, </w:t>
      </w:r>
      <w:r w:rsidR="006133C2" w:rsidRPr="00734A50">
        <w:rPr>
          <w:rStyle w:val="ui-provider"/>
        </w:rPr>
        <w:t>whilst ensuring ITE students maintain a diversity of placements</w:t>
      </w:r>
      <w:r w:rsidR="00BD78E1" w:rsidRPr="00734A50">
        <w:rPr>
          <w:rStyle w:val="ui-provider"/>
        </w:rPr>
        <w:t>.</w:t>
      </w:r>
    </w:p>
    <w:p w14:paraId="70B2D9E7" w14:textId="34D395F7" w:rsidR="00153EB9" w:rsidRPr="002A4BFB" w:rsidRDefault="00153EB9" w:rsidP="000C2F25">
      <w:pPr>
        <w:pStyle w:val="Heading4"/>
      </w:pPr>
      <w:r w:rsidRPr="002A4BFB">
        <w:lastRenderedPageBreak/>
        <w:t>4.</w:t>
      </w:r>
      <w:r w:rsidR="009976B3" w:rsidRPr="002A4BFB">
        <w:t>4.2</w:t>
      </w:r>
      <w:r w:rsidRPr="002A4BFB">
        <w:t xml:space="preserve"> Better promot</w:t>
      </w:r>
      <w:r w:rsidR="007C4F4A" w:rsidRPr="002A4BFB">
        <w:t>e</w:t>
      </w:r>
      <w:r w:rsidRPr="002A4BFB">
        <w:t xml:space="preserve"> ITE programs to mid-career entrants</w:t>
      </w:r>
    </w:p>
    <w:p w14:paraId="78EF2F64" w14:textId="74B2436F" w:rsidR="00153EB9" w:rsidRPr="00734A50" w:rsidRDefault="6B87E2D7" w:rsidP="00153EB9">
      <w:pPr>
        <w:rPr>
          <w:lang w:eastAsia="en-AU"/>
        </w:rPr>
      </w:pPr>
      <w:r w:rsidRPr="00734A50">
        <w:rPr>
          <w:lang w:eastAsia="en-AU"/>
        </w:rPr>
        <w:t>T</w:t>
      </w:r>
      <w:r w:rsidRPr="00734A50">
        <w:t xml:space="preserve">hrough its survey of ITE students, the </w:t>
      </w:r>
      <w:r w:rsidR="00153EB9" w:rsidRPr="00734A50">
        <w:t>Panel found</w:t>
      </w:r>
      <w:r w:rsidR="00153EB9" w:rsidRPr="00734A50">
        <w:rPr>
          <w:lang w:eastAsia="en-AU"/>
        </w:rPr>
        <w:t xml:space="preserve"> </w:t>
      </w:r>
      <w:r w:rsidR="009F1D37" w:rsidRPr="00734A50">
        <w:rPr>
          <w:lang w:eastAsia="en-AU"/>
        </w:rPr>
        <w:t xml:space="preserve">that </w:t>
      </w:r>
      <w:r w:rsidR="00153EB9" w:rsidRPr="00734A50">
        <w:rPr>
          <w:lang w:eastAsia="en-AU"/>
        </w:rPr>
        <w:t>mid-career entrants receive several supports while they study ITE. Many mid-career entrants also report</w:t>
      </w:r>
      <w:r w:rsidR="00BB591B" w:rsidRPr="00734A50">
        <w:rPr>
          <w:lang w:eastAsia="en-AU"/>
        </w:rPr>
        <w:t xml:space="preserve"> that</w:t>
      </w:r>
      <w:r w:rsidR="00153EB9" w:rsidRPr="00734A50">
        <w:rPr>
          <w:lang w:eastAsia="en-AU"/>
        </w:rPr>
        <w:t xml:space="preserve"> these features would help their transition into ITE if they were available. Despite this, </w:t>
      </w:r>
      <w:r w:rsidR="00DB04CF" w:rsidRPr="00734A50">
        <w:rPr>
          <w:lang w:eastAsia="en-AU"/>
        </w:rPr>
        <w:t>the Panel’s survey results show</w:t>
      </w:r>
      <w:r w:rsidR="00153EB9" w:rsidRPr="00734A50">
        <w:rPr>
          <w:lang w:eastAsia="en-AU"/>
        </w:rPr>
        <w:t xml:space="preserve"> </w:t>
      </w:r>
      <w:r w:rsidR="00B95060" w:rsidRPr="00734A50">
        <w:rPr>
          <w:lang w:eastAsia="en-AU"/>
        </w:rPr>
        <w:t>82</w:t>
      </w:r>
      <w:r w:rsidR="00427220">
        <w:rPr>
          <w:lang w:eastAsia="en-AU"/>
        </w:rPr>
        <w:t> </w:t>
      </w:r>
      <w:r w:rsidR="00153EB9" w:rsidRPr="00734A50">
        <w:rPr>
          <w:lang w:eastAsia="en-AU"/>
        </w:rPr>
        <w:t>per</w:t>
      </w:r>
      <w:r w:rsidR="00427220">
        <w:rPr>
          <w:lang w:eastAsia="en-AU"/>
        </w:rPr>
        <w:t> </w:t>
      </w:r>
      <w:r w:rsidR="00153EB9" w:rsidRPr="00734A50">
        <w:rPr>
          <w:lang w:eastAsia="en-AU"/>
        </w:rPr>
        <w:t>cent did not know if mid-career pathway</w:t>
      </w:r>
      <w:r w:rsidR="00EF7753" w:rsidRPr="00734A50">
        <w:rPr>
          <w:lang w:eastAsia="en-AU"/>
        </w:rPr>
        <w:t xml:space="preserve"> programs</w:t>
      </w:r>
      <w:r w:rsidR="00153EB9" w:rsidRPr="00734A50">
        <w:rPr>
          <w:lang w:eastAsia="en-AU"/>
        </w:rPr>
        <w:t xml:space="preserve"> were available before they commenced their </w:t>
      </w:r>
      <w:r w:rsidR="003C6582" w:rsidRPr="00734A50">
        <w:rPr>
          <w:lang w:eastAsia="en-AU"/>
        </w:rPr>
        <w:t>program</w:t>
      </w:r>
      <w:r w:rsidR="00153EB9" w:rsidRPr="00734A50">
        <w:rPr>
          <w:lang w:eastAsia="en-AU"/>
        </w:rPr>
        <w:t xml:space="preserve">. </w:t>
      </w:r>
    </w:p>
    <w:p w14:paraId="0AF9FBFA" w14:textId="37877E3E" w:rsidR="00153EB9" w:rsidRPr="00734A50" w:rsidRDefault="00153EB9" w:rsidP="00153EB9">
      <w:pPr>
        <w:rPr>
          <w:lang w:eastAsia="en-AU"/>
        </w:rPr>
      </w:pPr>
      <w:r w:rsidRPr="00734A50">
        <w:rPr>
          <w:lang w:eastAsia="en-AU"/>
        </w:rPr>
        <w:t xml:space="preserve">Higher education providers can do a better job of promoting </w:t>
      </w:r>
      <w:r w:rsidR="000B0E96" w:rsidRPr="00734A50">
        <w:rPr>
          <w:lang w:eastAsia="en-AU"/>
        </w:rPr>
        <w:t xml:space="preserve">mid-career </w:t>
      </w:r>
      <w:r w:rsidRPr="00734A50">
        <w:rPr>
          <w:lang w:eastAsia="en-AU"/>
        </w:rPr>
        <w:t xml:space="preserve">pathways to prospective students, to attract more </w:t>
      </w:r>
      <w:r w:rsidR="0054407C" w:rsidRPr="00734A50">
        <w:rPr>
          <w:lang w:eastAsia="en-AU"/>
        </w:rPr>
        <w:t xml:space="preserve">candidates to </w:t>
      </w:r>
      <w:r w:rsidRPr="00734A50">
        <w:rPr>
          <w:lang w:eastAsia="en-AU"/>
        </w:rPr>
        <w:t xml:space="preserve">mid-career </w:t>
      </w:r>
      <w:r w:rsidR="0054407C" w:rsidRPr="00734A50">
        <w:rPr>
          <w:lang w:eastAsia="en-AU"/>
        </w:rPr>
        <w:t>programs</w:t>
      </w:r>
      <w:r w:rsidRPr="00734A50">
        <w:rPr>
          <w:lang w:eastAsia="en-AU"/>
        </w:rPr>
        <w:t>. Most universities do not seem to detail available incentives on their websites, and flexible study options are often unadvertised despite being the most commonly available feature to support mid-career entrants.</w:t>
      </w:r>
    </w:p>
    <w:p w14:paraId="334467FC" w14:textId="27858CBC" w:rsidR="00153EB9" w:rsidRPr="00734A50" w:rsidRDefault="00153EB9" w:rsidP="00153EB9">
      <w:pPr>
        <w:rPr>
          <w:lang w:eastAsia="en-AU"/>
        </w:rPr>
      </w:pPr>
      <w:r w:rsidRPr="00734A50">
        <w:rPr>
          <w:lang w:eastAsia="en-AU"/>
        </w:rPr>
        <w:t xml:space="preserve">The NSW, </w:t>
      </w:r>
      <w:r w:rsidR="000B0E96" w:rsidRPr="00734A50">
        <w:rPr>
          <w:lang w:eastAsia="en-AU"/>
        </w:rPr>
        <w:t>Victorian</w:t>
      </w:r>
      <w:r w:rsidRPr="00734A50">
        <w:rPr>
          <w:lang w:eastAsia="en-AU"/>
        </w:rPr>
        <w:t xml:space="preserve"> and </w:t>
      </w:r>
      <w:r w:rsidR="000B0E96" w:rsidRPr="00734A50">
        <w:rPr>
          <w:lang w:eastAsia="en-AU"/>
        </w:rPr>
        <w:t>Queensland</w:t>
      </w:r>
      <w:r w:rsidRPr="00734A50">
        <w:rPr>
          <w:lang w:eastAsia="en-AU"/>
        </w:rPr>
        <w:t xml:space="preserve"> </w:t>
      </w:r>
      <w:r w:rsidR="000B0E96" w:rsidRPr="00734A50">
        <w:rPr>
          <w:lang w:eastAsia="en-AU"/>
        </w:rPr>
        <w:t>g</w:t>
      </w:r>
      <w:r w:rsidRPr="00734A50">
        <w:rPr>
          <w:lang w:eastAsia="en-AU"/>
        </w:rPr>
        <w:t>overnments have funded programs that include paid work and scholarships for postgraduate ITE students. Although these are explained clearly on government websites, they often receive little promotion on participating universities’ websites. Just under half</w:t>
      </w:r>
      <w:r w:rsidR="000B0E96" w:rsidRPr="00734A50">
        <w:rPr>
          <w:lang w:eastAsia="en-AU"/>
        </w:rPr>
        <w:t xml:space="preserve"> of the relevant university websites</w:t>
      </w:r>
      <w:r w:rsidRPr="00734A50">
        <w:rPr>
          <w:lang w:eastAsia="en-AU"/>
        </w:rPr>
        <w:t xml:space="preserve"> do not mention these programs or the associated financial incentives.</w:t>
      </w:r>
    </w:p>
    <w:p w14:paraId="6255F0EE" w14:textId="143AB31D" w:rsidR="00153EB9" w:rsidRDefault="000B0E96" w:rsidP="00153EB9">
      <w:pPr>
        <w:rPr>
          <w:lang w:eastAsia="en-AU"/>
        </w:rPr>
      </w:pPr>
      <w:r w:rsidRPr="00734A50">
        <w:rPr>
          <w:lang w:eastAsia="en-AU"/>
        </w:rPr>
        <w:t>Although</w:t>
      </w:r>
      <w:r w:rsidR="0054407C" w:rsidRPr="00734A50">
        <w:rPr>
          <w:lang w:eastAsia="en-AU"/>
        </w:rPr>
        <w:t xml:space="preserve"> funding for mid-career programs may be capped, h</w:t>
      </w:r>
      <w:r w:rsidR="00153EB9" w:rsidRPr="00734A50">
        <w:rPr>
          <w:lang w:eastAsia="en-AU"/>
        </w:rPr>
        <w:t>igher education providers should better communicate their postgraduate ITE programs to mid-career entrants. This could include promoting the availability of supports such as flexible study options and government</w:t>
      </w:r>
      <w:r w:rsidRPr="00734A50">
        <w:rPr>
          <w:lang w:eastAsia="en-AU"/>
        </w:rPr>
        <w:t>-</w:t>
      </w:r>
      <w:r w:rsidR="00153EB9" w:rsidRPr="00734A50">
        <w:rPr>
          <w:lang w:eastAsia="en-AU"/>
        </w:rPr>
        <w:t xml:space="preserve">funded mid-career pathway programs. </w:t>
      </w:r>
    </w:p>
    <w:p w14:paraId="2A844112" w14:textId="77777777" w:rsidR="00A83317" w:rsidRDefault="00A83317" w:rsidP="00A83317">
      <w:pPr>
        <w:pBdr>
          <w:top w:val="single" w:sz="4" w:space="1" w:color="auto"/>
          <w:left w:val="single" w:sz="4" w:space="4" w:color="auto"/>
          <w:bottom w:val="single" w:sz="4" w:space="1" w:color="auto"/>
          <w:right w:val="single" w:sz="4" w:space="4" w:color="auto"/>
        </w:pBdr>
        <w:shd w:val="clear" w:color="auto" w:fill="FECF52" w:themeFill="accent2"/>
        <w:spacing w:after="0"/>
        <w:rPr>
          <w:b/>
          <w:bCs/>
        </w:rPr>
      </w:pPr>
      <w:r>
        <w:rPr>
          <w:b/>
          <w:bCs/>
        </w:rPr>
        <w:t>Higher education providers’ promotion of mid-career pathways varies</w:t>
      </w:r>
    </w:p>
    <w:p w14:paraId="2EC128EE" w14:textId="77777777" w:rsidR="00A83317" w:rsidRDefault="00A83317" w:rsidP="002A4BFB">
      <w:pPr>
        <w:pBdr>
          <w:top w:val="single" w:sz="4" w:space="1" w:color="auto"/>
          <w:left w:val="single" w:sz="4" w:space="4" w:color="auto"/>
          <w:bottom w:val="single" w:sz="4" w:space="1" w:color="auto"/>
          <w:right w:val="single" w:sz="4" w:space="4" w:color="auto"/>
        </w:pBdr>
        <w:shd w:val="clear" w:color="auto" w:fill="FECF52" w:themeFill="accent2"/>
        <w:spacing w:after="60"/>
      </w:pPr>
      <w:r>
        <w:t xml:space="preserve">The Behavioural Economics Team of the Australian Government (BETA) undertook a rapid review of websites for 12 higher education providers delivering postgraduate ITE programs. BETA found that only five describe incentives on their course landing page. Of these, only two mention flexible study options. </w:t>
      </w:r>
    </w:p>
    <w:p w14:paraId="434C00B0" w14:textId="77777777" w:rsidR="00A83317" w:rsidRDefault="00A83317" w:rsidP="002A4BFB">
      <w:pPr>
        <w:pBdr>
          <w:top w:val="single" w:sz="4" w:space="1" w:color="auto"/>
          <w:left w:val="single" w:sz="4" w:space="4" w:color="auto"/>
          <w:bottom w:val="single" w:sz="4" w:space="1" w:color="auto"/>
          <w:right w:val="single" w:sz="4" w:space="4" w:color="auto"/>
        </w:pBdr>
        <w:shd w:val="clear" w:color="auto" w:fill="FECF52" w:themeFill="accent2"/>
        <w:spacing w:after="60"/>
      </w:pPr>
      <w:r>
        <w:t>These landing pages primarily cater to prospective students who have decided to study ITE. They mostly prioritise communicating why prospective students should choose their ITE program, not why they should consider a teaching career. Only two higher education providers promoted a career change into teaching.</w:t>
      </w:r>
    </w:p>
    <w:p w14:paraId="55C32BB0" w14:textId="77777777" w:rsidR="00A83317" w:rsidRDefault="00A83317" w:rsidP="002A4BFB">
      <w:pPr>
        <w:pBdr>
          <w:top w:val="single" w:sz="4" w:space="1" w:color="auto"/>
          <w:left w:val="single" w:sz="4" w:space="4" w:color="auto"/>
          <w:bottom w:val="single" w:sz="4" w:space="1" w:color="auto"/>
          <w:right w:val="single" w:sz="4" w:space="4" w:color="auto"/>
        </w:pBdr>
        <w:shd w:val="clear" w:color="auto" w:fill="FECF52" w:themeFill="accent2"/>
        <w:spacing w:after="60"/>
        <w:rPr>
          <w:rFonts w:ascii="Calibri" w:eastAsia="Calibri" w:hAnsi="Calibri" w:cs="Arial"/>
        </w:rPr>
      </w:pPr>
      <w:r>
        <w:rPr>
          <w:rFonts w:ascii="Calibri" w:eastAsia="Calibri" w:hAnsi="Calibri" w:cs="Arial"/>
        </w:rPr>
        <w:t xml:space="preserve">There is also limited promotion of government-funded mid-career programs on higher education provider websites. </w:t>
      </w:r>
    </w:p>
    <w:p w14:paraId="3B6FF147" w14:textId="77777777" w:rsidR="00A83317" w:rsidRPr="00553516" w:rsidRDefault="00A83317" w:rsidP="002A4BFB">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spacing w:after="60"/>
        <w:ind w:left="357" w:hanging="357"/>
        <w:contextualSpacing w:val="0"/>
      </w:pPr>
      <w:r w:rsidRPr="00553516">
        <w:t>Four universities participate in the NSW Mid-Career Transition to Teaching (MCT) Program. Only one university hosts a dedicated MCT Program webpage. The other three only mention the program in online news articles.</w:t>
      </w:r>
    </w:p>
    <w:p w14:paraId="508811AD" w14:textId="77777777" w:rsidR="00A83317" w:rsidRPr="00553516" w:rsidRDefault="00A83317" w:rsidP="002A4BFB">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spacing w:after="60"/>
        <w:ind w:left="357" w:hanging="357"/>
        <w:contextualSpacing w:val="0"/>
      </w:pPr>
      <w:r w:rsidRPr="00553516">
        <w:t xml:space="preserve">Eight universities participate in Victoria’s Teach Today and Teach Tomorrow programs. Information about these programs varies on university websites. Some universities provide comprehensive information about the programs, while others make no mention of their benefits. </w:t>
      </w:r>
    </w:p>
    <w:p w14:paraId="1608D81E" w14:textId="27584C0A" w:rsidR="00153EB9" w:rsidRPr="00A83317" w:rsidRDefault="00A83317" w:rsidP="002A4BFB">
      <w:pPr>
        <w:pStyle w:val="ListBullet"/>
        <w:numPr>
          <w:ilvl w:val="0"/>
          <w:numId w:val="216"/>
        </w:numPr>
        <w:pBdr>
          <w:top w:val="single" w:sz="4" w:space="1" w:color="auto"/>
          <w:left w:val="single" w:sz="4" w:space="4" w:color="auto"/>
          <w:bottom w:val="single" w:sz="4" w:space="1" w:color="auto"/>
          <w:right w:val="single" w:sz="4" w:space="4" w:color="auto"/>
        </w:pBdr>
        <w:shd w:val="clear" w:color="auto" w:fill="FECF52" w:themeFill="accent2"/>
        <w:spacing w:after="60"/>
        <w:ind w:left="357" w:hanging="357"/>
        <w:contextualSpacing w:val="0"/>
      </w:pPr>
      <w:r w:rsidRPr="00553516">
        <w:t>Three universities participate in Queensland’s Turn to Teaching Internship Program. The university websites differ widely in how strongly they highlight Turn to Teach</w:t>
      </w:r>
      <w:r>
        <w:t>ing</w:t>
      </w:r>
      <w:r w:rsidRPr="00553516">
        <w:t xml:space="preserve">. One university course page does not provide information about the scholarships and paid work available through the program. </w:t>
      </w:r>
    </w:p>
    <w:p w14:paraId="1D42B5D0" w14:textId="02C5378E" w:rsidR="00802112" w:rsidRPr="00734A50" w:rsidRDefault="003C4573" w:rsidP="00E73BBF">
      <w:pPr>
        <w:pStyle w:val="Heading3"/>
      </w:pPr>
      <w:bookmarkStart w:id="102" w:name="_Toc139366665"/>
      <w:r w:rsidRPr="00734A50">
        <w:lastRenderedPageBreak/>
        <w:t>4.</w:t>
      </w:r>
      <w:r w:rsidR="00B569DE" w:rsidRPr="00734A50">
        <w:t>5</w:t>
      </w:r>
      <w:r w:rsidRPr="00734A50">
        <w:t xml:space="preserve"> </w:t>
      </w:r>
      <w:r w:rsidR="00163962" w:rsidRPr="00734A50">
        <w:t>Building the evidence base</w:t>
      </w:r>
      <w:r w:rsidR="00EB3C9C" w:rsidRPr="00734A50">
        <w:t xml:space="preserve"> for mid-career programs</w:t>
      </w:r>
      <w:bookmarkEnd w:id="102"/>
    </w:p>
    <w:p w14:paraId="7B614779" w14:textId="40B8ACBC" w:rsidR="005B0832" w:rsidRPr="00734A50" w:rsidRDefault="00C61817" w:rsidP="00210B56">
      <w:pPr>
        <w:rPr>
          <w:rFonts w:eastAsia="Calibri"/>
          <w:b/>
          <w:bCs/>
          <w:lang w:eastAsia="en-AU"/>
        </w:rPr>
      </w:pPr>
      <w:r w:rsidRPr="00734A50">
        <w:rPr>
          <w:rFonts w:eastAsia="Calibri"/>
          <w:lang w:eastAsia="en-AU"/>
        </w:rPr>
        <w:t>M</w:t>
      </w:r>
      <w:r w:rsidR="00A4354A" w:rsidRPr="00734A50">
        <w:rPr>
          <w:rFonts w:ascii="Calibri" w:eastAsia="Times New Roman" w:hAnsi="Calibri" w:cs="Calibri"/>
          <w:lang w:eastAsia="en-AU"/>
        </w:rPr>
        <w:t xml:space="preserve">id-career programs are in their infancy and evidence on their effectiveness is </w:t>
      </w:r>
      <w:r w:rsidR="00335B0F" w:rsidRPr="00734A50">
        <w:rPr>
          <w:rFonts w:ascii="Calibri" w:eastAsia="Times New Roman" w:hAnsi="Calibri" w:cs="Calibri"/>
          <w:lang w:eastAsia="en-AU"/>
        </w:rPr>
        <w:t xml:space="preserve">just </w:t>
      </w:r>
      <w:r w:rsidR="00A4354A" w:rsidRPr="00734A50">
        <w:rPr>
          <w:rFonts w:ascii="Calibri" w:eastAsia="Times New Roman" w:hAnsi="Calibri" w:cs="Calibri"/>
          <w:lang w:eastAsia="en-AU"/>
        </w:rPr>
        <w:t>emerging. Building the evidence</w:t>
      </w:r>
      <w:r w:rsidR="00335B0F" w:rsidRPr="00734A50">
        <w:rPr>
          <w:rFonts w:ascii="Calibri" w:eastAsia="Times New Roman" w:hAnsi="Calibri" w:cs="Calibri"/>
          <w:lang w:eastAsia="en-AU"/>
        </w:rPr>
        <w:t xml:space="preserve"> </w:t>
      </w:r>
      <w:r w:rsidR="00A4354A" w:rsidRPr="00734A50">
        <w:rPr>
          <w:rFonts w:ascii="Calibri" w:eastAsia="Times New Roman" w:hAnsi="Calibri" w:cs="Calibri"/>
          <w:lang w:eastAsia="en-AU"/>
        </w:rPr>
        <w:t xml:space="preserve">base </w:t>
      </w:r>
      <w:r w:rsidR="00335B0F" w:rsidRPr="00734A50">
        <w:rPr>
          <w:rFonts w:ascii="Calibri" w:eastAsia="Times New Roman" w:hAnsi="Calibri" w:cs="Calibri"/>
          <w:lang w:eastAsia="en-AU"/>
        </w:rPr>
        <w:t xml:space="preserve">for </w:t>
      </w:r>
      <w:r w:rsidR="00A4354A" w:rsidRPr="00734A50">
        <w:rPr>
          <w:rFonts w:ascii="Calibri" w:eastAsia="Times New Roman" w:hAnsi="Calibri" w:cs="Calibri"/>
          <w:lang w:eastAsia="en-AU"/>
        </w:rPr>
        <w:t>mid-career programs is needed to info</w:t>
      </w:r>
      <w:r w:rsidR="00335B0F" w:rsidRPr="00734A50">
        <w:rPr>
          <w:rFonts w:ascii="Calibri" w:eastAsia="Times New Roman" w:hAnsi="Calibri" w:cs="Calibri"/>
          <w:lang w:eastAsia="en-AU"/>
        </w:rPr>
        <w:t>rm</w:t>
      </w:r>
      <w:r w:rsidR="00A4354A" w:rsidRPr="00734A50">
        <w:rPr>
          <w:rFonts w:ascii="Calibri" w:eastAsia="Times New Roman" w:hAnsi="Calibri" w:cs="Calibri"/>
          <w:lang w:eastAsia="en-AU"/>
        </w:rPr>
        <w:t xml:space="preserve"> their future development.</w:t>
      </w:r>
    </w:p>
    <w:p w14:paraId="64E631A9" w14:textId="2D066E11" w:rsidR="00DA5861" w:rsidRPr="002A4BFB" w:rsidRDefault="00B33844" w:rsidP="00D56F8C">
      <w:pPr>
        <w:pStyle w:val="Heading4"/>
        <w:spacing w:before="0"/>
      </w:pPr>
      <w:r w:rsidRPr="002A4BFB">
        <w:t>4.</w:t>
      </w:r>
      <w:r w:rsidR="00B569DE" w:rsidRPr="002A4BFB">
        <w:t>5</w:t>
      </w:r>
      <w:r w:rsidRPr="002A4BFB">
        <w:t xml:space="preserve">.1 </w:t>
      </w:r>
      <w:r w:rsidR="00DA5861" w:rsidRPr="002A4BFB">
        <w:t xml:space="preserve">Key evidence gaps </w:t>
      </w:r>
      <w:r w:rsidR="00454A26" w:rsidRPr="002A4BFB">
        <w:t xml:space="preserve">regarding </w:t>
      </w:r>
      <w:r w:rsidR="003C662E" w:rsidRPr="002A4BFB">
        <w:t>mid-career</w:t>
      </w:r>
      <w:r w:rsidR="00DA5861" w:rsidRPr="002A4BFB">
        <w:t xml:space="preserve"> programs </w:t>
      </w:r>
    </w:p>
    <w:p w14:paraId="046655F6" w14:textId="2C4759FA" w:rsidR="00B1359E" w:rsidRPr="00734A50" w:rsidRDefault="00B1359E" w:rsidP="00E02683">
      <w:pPr>
        <w:rPr>
          <w:rFonts w:eastAsia="Times New Roman"/>
        </w:rPr>
      </w:pPr>
      <w:r w:rsidRPr="00734A50">
        <w:rPr>
          <w:rFonts w:eastAsia="Times New Roman"/>
        </w:rPr>
        <w:t xml:space="preserve">Given the </w:t>
      </w:r>
      <w:r w:rsidR="003C662E" w:rsidRPr="00734A50">
        <w:rPr>
          <w:rFonts w:eastAsia="Times New Roman"/>
        </w:rPr>
        <w:t>costs of delivering</w:t>
      </w:r>
      <w:r w:rsidRPr="00734A50">
        <w:rPr>
          <w:rFonts w:eastAsia="Times New Roman"/>
        </w:rPr>
        <w:t xml:space="preserve"> bespoke programs, it is important to </w:t>
      </w:r>
      <w:r w:rsidR="005552CF" w:rsidRPr="00734A50">
        <w:rPr>
          <w:rFonts w:eastAsia="Times New Roman"/>
        </w:rPr>
        <w:t>add</w:t>
      </w:r>
      <w:r w:rsidR="00010C91" w:rsidRPr="00734A50">
        <w:rPr>
          <w:rFonts w:eastAsia="Times New Roman"/>
        </w:rPr>
        <w:t>r</w:t>
      </w:r>
      <w:r w:rsidR="005552CF" w:rsidRPr="00734A50">
        <w:rPr>
          <w:rFonts w:eastAsia="Times New Roman"/>
        </w:rPr>
        <w:t>ess</w:t>
      </w:r>
      <w:r w:rsidRPr="00734A50">
        <w:rPr>
          <w:rFonts w:eastAsia="Times New Roman"/>
        </w:rPr>
        <w:t xml:space="preserve"> key evidence gaps </w:t>
      </w:r>
      <w:r w:rsidR="00010C91" w:rsidRPr="00734A50">
        <w:rPr>
          <w:rFonts w:eastAsia="Times New Roman"/>
        </w:rPr>
        <w:t xml:space="preserve">to better </w:t>
      </w:r>
      <w:r w:rsidRPr="00734A50">
        <w:rPr>
          <w:rFonts w:eastAsia="Times New Roman"/>
        </w:rPr>
        <w:t xml:space="preserve">inform </w:t>
      </w:r>
      <w:r w:rsidR="00010C91" w:rsidRPr="00734A50">
        <w:rPr>
          <w:rFonts w:eastAsia="Times New Roman"/>
        </w:rPr>
        <w:t>the</w:t>
      </w:r>
      <w:r w:rsidRPr="00734A50">
        <w:rPr>
          <w:rFonts w:eastAsia="Times New Roman"/>
        </w:rPr>
        <w:t xml:space="preserve"> design and delivery of bespoke mid-career </w:t>
      </w:r>
      <w:r w:rsidR="00826BCD" w:rsidRPr="00734A50">
        <w:rPr>
          <w:rFonts w:eastAsia="Times New Roman"/>
        </w:rPr>
        <w:t xml:space="preserve">ITE </w:t>
      </w:r>
      <w:r w:rsidRPr="00734A50">
        <w:rPr>
          <w:rFonts w:eastAsia="Times New Roman"/>
        </w:rPr>
        <w:t xml:space="preserve">programs. </w:t>
      </w:r>
      <w:r w:rsidR="6A8DFBA7" w:rsidRPr="00734A50">
        <w:rPr>
          <w:rFonts w:eastAsia="Times New Roman"/>
        </w:rPr>
        <w:t xml:space="preserve">Stakeholders agree that more research is needed to fill these gaps </w:t>
      </w:r>
      <w:r w:rsidR="005300F3" w:rsidRPr="00734A50">
        <w:rPr>
          <w:rFonts w:eastAsia="Times New Roman"/>
        </w:rPr>
        <w:t>to</w:t>
      </w:r>
      <w:r w:rsidR="6A8DFBA7" w:rsidRPr="00734A50">
        <w:rPr>
          <w:rFonts w:eastAsia="Times New Roman"/>
        </w:rPr>
        <w:t xml:space="preserve"> develop an evidence</w:t>
      </w:r>
      <w:r w:rsidR="005300F3" w:rsidRPr="00734A50">
        <w:rPr>
          <w:rFonts w:eastAsia="Times New Roman"/>
        </w:rPr>
        <w:t xml:space="preserve"> base</w:t>
      </w:r>
      <w:r w:rsidR="6A8DFBA7" w:rsidRPr="00734A50">
        <w:rPr>
          <w:rFonts w:eastAsia="Times New Roman"/>
        </w:rPr>
        <w:t xml:space="preserve"> that can be used to scale up existing and new programs</w:t>
      </w:r>
      <w:r w:rsidR="009B30EF" w:rsidRPr="00734A50">
        <w:rPr>
          <w:rFonts w:eastAsia="Times New Roman"/>
        </w:rPr>
        <w:t xml:space="preserve"> </w:t>
      </w:r>
      <w:r w:rsidR="009B30EF" w:rsidRPr="00734A50">
        <w:rPr>
          <w:rFonts w:ascii="Calibri" w:eastAsia="Calibri" w:hAnsi="Calibri" w:cs="Calibri"/>
        </w:rPr>
        <w:t>(</w:t>
      </w:r>
      <w:r w:rsidR="20F9B63C" w:rsidRPr="00734A50">
        <w:rPr>
          <w:rFonts w:ascii="Calibri" w:eastAsia="Calibri" w:hAnsi="Calibri" w:cs="Calibri"/>
        </w:rPr>
        <w:t>Australian Catholic University</w:t>
      </w:r>
      <w:r w:rsidR="00826BCD" w:rsidRPr="00734A50">
        <w:rPr>
          <w:rFonts w:ascii="Calibri" w:eastAsia="Calibri" w:hAnsi="Calibri" w:cs="Calibri"/>
        </w:rPr>
        <w:t xml:space="preserve"> submission;</w:t>
      </w:r>
      <w:r w:rsidR="20F9B63C" w:rsidRPr="00734A50">
        <w:rPr>
          <w:rFonts w:ascii="Calibri" w:eastAsia="Calibri" w:hAnsi="Calibri" w:cs="Calibri"/>
        </w:rPr>
        <w:t xml:space="preserve"> Queensland Deans of Education</w:t>
      </w:r>
      <w:r w:rsidR="00826BCD" w:rsidRPr="00734A50">
        <w:rPr>
          <w:rFonts w:ascii="Calibri" w:eastAsia="Calibri" w:hAnsi="Calibri" w:cs="Calibri"/>
        </w:rPr>
        <w:t xml:space="preserve"> submission;</w:t>
      </w:r>
      <w:r w:rsidR="20F9B63C" w:rsidRPr="00734A50">
        <w:rPr>
          <w:rFonts w:ascii="Calibri" w:eastAsia="Calibri" w:hAnsi="Calibri" w:cs="Calibri"/>
        </w:rPr>
        <w:t xml:space="preserve"> National Council of Catholic Education submission)</w:t>
      </w:r>
      <w:r w:rsidR="0846B6AA" w:rsidRPr="00734A50">
        <w:rPr>
          <w:rFonts w:eastAsia="Times New Roman"/>
        </w:rPr>
        <w:t>.</w:t>
      </w:r>
      <w:r w:rsidR="6A8DFBA7" w:rsidRPr="00734A50">
        <w:rPr>
          <w:rFonts w:eastAsia="Times New Roman"/>
        </w:rPr>
        <w:t xml:space="preserve"> </w:t>
      </w:r>
      <w:r w:rsidR="00DC7844" w:rsidRPr="00734A50">
        <w:rPr>
          <w:rFonts w:eastAsia="Times New Roman"/>
        </w:rPr>
        <w:t>For example,</w:t>
      </w:r>
      <w:r w:rsidR="6A8DFBA7" w:rsidRPr="00734A50">
        <w:rPr>
          <w:rFonts w:eastAsia="Times New Roman"/>
        </w:rPr>
        <w:t xml:space="preserve"> </w:t>
      </w:r>
      <w:r w:rsidR="00C50397">
        <w:rPr>
          <w:rFonts w:eastAsia="Times New Roman"/>
        </w:rPr>
        <w:t xml:space="preserve">the </w:t>
      </w:r>
      <w:r w:rsidR="6A8DFBA7" w:rsidRPr="00734A50">
        <w:rPr>
          <w:rFonts w:eastAsia="Times New Roman"/>
        </w:rPr>
        <w:t xml:space="preserve">ACDE </w:t>
      </w:r>
      <w:r w:rsidR="00FF21F5" w:rsidRPr="00734A50">
        <w:rPr>
          <w:rFonts w:eastAsia="Times New Roman"/>
        </w:rPr>
        <w:t xml:space="preserve">supports </w:t>
      </w:r>
      <w:r w:rsidR="00826BCD" w:rsidRPr="00734A50">
        <w:rPr>
          <w:rFonts w:eastAsia="Times New Roman"/>
        </w:rPr>
        <w:t>‘</w:t>
      </w:r>
      <w:r w:rsidR="6A8DFBA7" w:rsidRPr="00734A50">
        <w:rPr>
          <w:rFonts w:eastAsia="Times New Roman"/>
        </w:rPr>
        <w:t>filling the evidence gaps that currently limit an assessment of the efficacy of [existing mid-career] pathways and the contribution they make to the overall teaching workforce</w:t>
      </w:r>
      <w:r w:rsidR="00826BCD" w:rsidRPr="00734A50">
        <w:rPr>
          <w:rFonts w:eastAsia="Times New Roman"/>
        </w:rPr>
        <w:t>’</w:t>
      </w:r>
      <w:r w:rsidR="00FF21F5" w:rsidRPr="00734A50">
        <w:rPr>
          <w:rFonts w:eastAsia="Times New Roman"/>
        </w:rPr>
        <w:t xml:space="preserve"> (ACDE submission)</w:t>
      </w:r>
      <w:r w:rsidR="6A8DFBA7" w:rsidRPr="00734A50">
        <w:rPr>
          <w:rFonts w:eastAsia="Times New Roman"/>
        </w:rPr>
        <w:t>.</w:t>
      </w:r>
    </w:p>
    <w:p w14:paraId="14C8336E" w14:textId="582463D0" w:rsidR="6A8DFBA7" w:rsidRPr="00734A50" w:rsidRDefault="6A8DFBA7" w:rsidP="001964E4">
      <w:pPr>
        <w:spacing w:after="0"/>
      </w:pPr>
      <w:r w:rsidRPr="00734A50">
        <w:t>Stakeholders</w:t>
      </w:r>
      <w:r w:rsidRPr="00734A50">
        <w:rPr>
          <w:rFonts w:eastAsia="Times New Roman"/>
        </w:rPr>
        <w:t xml:space="preserve"> have called for a better system-level approach that focuses on </w:t>
      </w:r>
      <w:r w:rsidR="00CA13CC" w:rsidRPr="00734A50">
        <w:rPr>
          <w:rFonts w:eastAsia="Times New Roman"/>
        </w:rPr>
        <w:t>building</w:t>
      </w:r>
      <w:r w:rsidRPr="00734A50">
        <w:rPr>
          <w:rFonts w:eastAsia="Times New Roman"/>
        </w:rPr>
        <w:t xml:space="preserve"> and sharing learn</w:t>
      </w:r>
      <w:r w:rsidR="00437095" w:rsidRPr="00734A50">
        <w:rPr>
          <w:rFonts w:eastAsia="Times New Roman"/>
        </w:rPr>
        <w:t>ings</w:t>
      </w:r>
      <w:r w:rsidRPr="00734A50">
        <w:rPr>
          <w:rFonts w:eastAsia="Times New Roman"/>
        </w:rPr>
        <w:t xml:space="preserve"> about mid-career programs.</w:t>
      </w:r>
      <w:r w:rsidR="00BC5258" w:rsidRPr="00734A50">
        <w:t xml:space="preserve"> </w:t>
      </w:r>
      <w:r w:rsidRPr="00734A50">
        <w:rPr>
          <w:rFonts w:ascii="Calibri" w:eastAsia="Calibri" w:hAnsi="Calibri" w:cs="Calibri"/>
        </w:rPr>
        <w:t>Consultation has identified several key evidence gaps that are critical to improving mid-career programs:</w:t>
      </w:r>
    </w:p>
    <w:p w14:paraId="2F11183E" w14:textId="77777777" w:rsidR="0069432A" w:rsidRPr="00734A50" w:rsidRDefault="777CEC02" w:rsidP="00553516">
      <w:pPr>
        <w:pStyle w:val="ListBullet"/>
        <w:numPr>
          <w:ilvl w:val="0"/>
          <w:numId w:val="216"/>
        </w:numPr>
        <w:spacing w:after="200"/>
        <w:ind w:left="357" w:hanging="357"/>
      </w:pPr>
      <w:r w:rsidRPr="00734A50">
        <w:t>impact of types of programs, including employment-based and accelerated programs</w:t>
      </w:r>
    </w:p>
    <w:p w14:paraId="3DDBC7FC" w14:textId="77777777" w:rsidR="0069432A" w:rsidRPr="00734A50" w:rsidRDefault="777CEC02" w:rsidP="00553516">
      <w:pPr>
        <w:pStyle w:val="ListBullet"/>
        <w:numPr>
          <w:ilvl w:val="0"/>
          <w:numId w:val="216"/>
        </w:numPr>
        <w:spacing w:after="200"/>
        <w:ind w:left="357" w:hanging="357"/>
      </w:pPr>
      <w:r w:rsidRPr="00734A50">
        <w:t>size and characteristics of mid-career cohorts that can be targeted through these programs</w:t>
      </w:r>
    </w:p>
    <w:p w14:paraId="3393D0A2" w14:textId="1D307F3E" w:rsidR="0069432A" w:rsidRPr="00734A50" w:rsidRDefault="777CEC02" w:rsidP="00553516">
      <w:pPr>
        <w:pStyle w:val="ListBullet"/>
        <w:numPr>
          <w:ilvl w:val="0"/>
          <w:numId w:val="216"/>
        </w:numPr>
        <w:spacing w:after="200"/>
        <w:ind w:left="357" w:hanging="357"/>
      </w:pPr>
      <w:r w:rsidRPr="00734A50">
        <w:t xml:space="preserve">optimal distribution of course content across academic and work-integrated parts of </w:t>
      </w:r>
      <w:r w:rsidR="7DBD81D9" w:rsidRPr="00734A50">
        <w:t xml:space="preserve">the </w:t>
      </w:r>
      <w:r w:rsidRPr="00734A50">
        <w:t>course</w:t>
      </w:r>
    </w:p>
    <w:p w14:paraId="48B7B8A2" w14:textId="324B8948" w:rsidR="0069432A" w:rsidRPr="00734A50" w:rsidRDefault="777CEC02" w:rsidP="00553516">
      <w:pPr>
        <w:pStyle w:val="ListBullet"/>
        <w:numPr>
          <w:ilvl w:val="0"/>
          <w:numId w:val="216"/>
        </w:numPr>
        <w:spacing w:after="200"/>
        <w:ind w:left="357" w:hanging="357"/>
      </w:pPr>
      <w:r w:rsidRPr="00734A50">
        <w:t>marketing and promotion strategies</w:t>
      </w:r>
      <w:r w:rsidR="7DBD81D9" w:rsidRPr="00734A50">
        <w:t xml:space="preserve"> that</w:t>
      </w:r>
      <w:r w:rsidRPr="00734A50">
        <w:t xml:space="preserve"> are most effective in attracting specific cohorts of mid-career entrants</w:t>
      </w:r>
    </w:p>
    <w:p w14:paraId="4B32FA44" w14:textId="09495C4D" w:rsidR="0069432A" w:rsidRPr="00734A50" w:rsidRDefault="777CEC02" w:rsidP="00553516">
      <w:pPr>
        <w:pStyle w:val="ListBullet"/>
        <w:numPr>
          <w:ilvl w:val="0"/>
          <w:numId w:val="216"/>
        </w:numPr>
        <w:spacing w:after="200"/>
        <w:ind w:left="357" w:hanging="357"/>
      </w:pPr>
      <w:r w:rsidRPr="00734A50">
        <w:t xml:space="preserve">supports </w:t>
      </w:r>
      <w:r w:rsidR="7DBD81D9" w:rsidRPr="00734A50">
        <w:t xml:space="preserve">that </w:t>
      </w:r>
      <w:r w:rsidRPr="00734A50">
        <w:t>are most effective in retaining specific cohorts, including wraparound support and types of flexible delivery</w:t>
      </w:r>
    </w:p>
    <w:p w14:paraId="7DB7CD41" w14:textId="0BCC37AB" w:rsidR="0069432A" w:rsidRPr="00734A50" w:rsidRDefault="777CEC02" w:rsidP="00553516">
      <w:pPr>
        <w:pStyle w:val="ListBullet"/>
        <w:numPr>
          <w:ilvl w:val="0"/>
          <w:numId w:val="216"/>
        </w:numPr>
        <w:spacing w:after="200"/>
        <w:ind w:left="357" w:hanging="357"/>
      </w:pPr>
      <w:r w:rsidRPr="00734A50">
        <w:t>financial ‘tipping point’ when different mid-career cohorts decide to enter or not enter ITE (in weighing up costs and benefits)</w:t>
      </w:r>
    </w:p>
    <w:p w14:paraId="0F4A2C8E" w14:textId="60A0572D" w:rsidR="0069432A" w:rsidRPr="00734A50" w:rsidRDefault="777CEC02" w:rsidP="00553516">
      <w:pPr>
        <w:pStyle w:val="ListBullet"/>
        <w:numPr>
          <w:ilvl w:val="0"/>
          <w:numId w:val="216"/>
        </w:numPr>
        <w:spacing w:after="200"/>
        <w:ind w:left="357" w:hanging="357"/>
      </w:pPr>
      <w:r w:rsidRPr="00734A50">
        <w:t>level of guaranteed ongoing employment mid-career entrants need to have sufficient confidence in long-term job security.</w:t>
      </w:r>
    </w:p>
    <w:p w14:paraId="3FCEE7CB" w14:textId="1B1921FA" w:rsidR="001F7845" w:rsidRPr="002A4BFB" w:rsidRDefault="00B33844" w:rsidP="000C2F25">
      <w:pPr>
        <w:pStyle w:val="Heading4"/>
      </w:pPr>
      <w:r w:rsidRPr="002A4BFB">
        <w:t>4.</w:t>
      </w:r>
      <w:r w:rsidR="00B569DE" w:rsidRPr="002A4BFB">
        <w:t>5</w:t>
      </w:r>
      <w:r w:rsidRPr="002A4BFB">
        <w:t xml:space="preserve">.2 </w:t>
      </w:r>
      <w:r w:rsidR="001F7845" w:rsidRPr="002A4BFB">
        <w:t xml:space="preserve">Actions to fill evidence gaps </w:t>
      </w:r>
    </w:p>
    <w:p w14:paraId="066DC41D" w14:textId="77777777" w:rsidR="009B3B06" w:rsidRPr="00734A50" w:rsidRDefault="009B3B06" w:rsidP="008E0082">
      <w:pPr>
        <w:spacing w:after="0"/>
        <w:rPr>
          <w:rFonts w:ascii="Calibri" w:eastAsia="Calibri" w:hAnsi="Calibri" w:cs="Calibri"/>
        </w:rPr>
      </w:pPr>
      <w:r w:rsidRPr="00734A50">
        <w:rPr>
          <w:rFonts w:eastAsia="Times New Roman"/>
        </w:rPr>
        <w:t xml:space="preserve">Improved data and </w:t>
      </w:r>
      <w:r w:rsidRPr="00734A50">
        <w:t>modelling</w:t>
      </w:r>
      <w:r w:rsidRPr="00734A50">
        <w:rPr>
          <w:rFonts w:eastAsia="Times New Roman"/>
        </w:rPr>
        <w:t xml:space="preserve"> on mid-career programs are required to address the evidence gaps and improve the design and delivery of programs. </w:t>
      </w:r>
      <w:r w:rsidRPr="00734A50">
        <w:rPr>
          <w:rFonts w:ascii="Calibri" w:eastAsia="Calibri" w:hAnsi="Calibri" w:cs="Calibri"/>
        </w:rPr>
        <w:t>Stakeholders considered that data should be better collected in several ways, including through:</w:t>
      </w:r>
    </w:p>
    <w:p w14:paraId="3C09501F" w14:textId="37C00E59" w:rsidR="009B3B06" w:rsidRPr="00734A50" w:rsidRDefault="7DF139DC" w:rsidP="00553516">
      <w:pPr>
        <w:pStyle w:val="ListBullet"/>
        <w:numPr>
          <w:ilvl w:val="0"/>
          <w:numId w:val="216"/>
        </w:numPr>
        <w:spacing w:after="200"/>
        <w:ind w:left="357" w:hanging="357"/>
      </w:pPr>
      <w:r w:rsidRPr="00734A50">
        <w:t>commissioning research into better understanding the characteristics of mid-career cohort</w:t>
      </w:r>
      <w:r w:rsidR="7DBD81D9" w:rsidRPr="00734A50">
        <w:t>s</w:t>
      </w:r>
    </w:p>
    <w:p w14:paraId="4C5388F5" w14:textId="5049FB8F" w:rsidR="009B3B06" w:rsidRPr="00734A50" w:rsidRDefault="7DF139DC" w:rsidP="00553516">
      <w:pPr>
        <w:pStyle w:val="ListBullet"/>
        <w:numPr>
          <w:ilvl w:val="0"/>
          <w:numId w:val="216"/>
        </w:numPr>
        <w:spacing w:after="200"/>
        <w:ind w:left="357" w:hanging="357"/>
      </w:pPr>
      <w:r w:rsidRPr="00734A50">
        <w:t>leveraging data from national and state</w:t>
      </w:r>
      <w:r w:rsidR="7DBD81D9" w:rsidRPr="00734A50">
        <w:t xml:space="preserve"> </w:t>
      </w:r>
      <w:r w:rsidRPr="00734A50">
        <w:t xml:space="preserve">government funded mid-career programs, such as those in NSW, Victoria and Queensland, and those funded through the High-Achieving Teachers </w:t>
      </w:r>
      <w:r w:rsidR="7DBD81D9" w:rsidRPr="00734A50">
        <w:t>P</w:t>
      </w:r>
      <w:r w:rsidRPr="00734A50">
        <w:t xml:space="preserve">rogram </w:t>
      </w:r>
    </w:p>
    <w:p w14:paraId="3BB9F4B9" w14:textId="77777777" w:rsidR="009B3B06" w:rsidRPr="00734A50" w:rsidRDefault="7DF139DC" w:rsidP="00553516">
      <w:pPr>
        <w:pStyle w:val="ListBullet"/>
        <w:numPr>
          <w:ilvl w:val="0"/>
          <w:numId w:val="216"/>
        </w:numPr>
        <w:spacing w:after="200"/>
        <w:ind w:left="357" w:hanging="357"/>
      </w:pPr>
      <w:r w:rsidRPr="00734A50">
        <w:t>commissioning evaluations of existing mid-career programs, and establishing evaluation frameworks for any new programs</w:t>
      </w:r>
    </w:p>
    <w:p w14:paraId="67EE2F40" w14:textId="0EFF5F01" w:rsidR="009B3B06" w:rsidRPr="00734A50" w:rsidRDefault="7DF139DC" w:rsidP="00553516">
      <w:pPr>
        <w:pStyle w:val="ListBullet"/>
        <w:numPr>
          <w:ilvl w:val="0"/>
          <w:numId w:val="216"/>
        </w:numPr>
        <w:spacing w:after="200"/>
        <w:ind w:left="357" w:hanging="357"/>
      </w:pPr>
      <w:r w:rsidRPr="00734A50">
        <w:t>commissioning relevant modelling, such as modelling to identify the financial tipping points for mid-career entrants.</w:t>
      </w:r>
    </w:p>
    <w:p w14:paraId="3797A67B" w14:textId="569C8F53" w:rsidR="009B3B06" w:rsidRPr="00734A50" w:rsidRDefault="009B3B06" w:rsidP="00FE732E">
      <w:pPr>
        <w:spacing w:after="0"/>
        <w:rPr>
          <w:rFonts w:eastAsia="Times New Roman"/>
        </w:rPr>
      </w:pPr>
      <w:r w:rsidRPr="00734A50">
        <w:rPr>
          <w:rFonts w:eastAsia="Times New Roman"/>
        </w:rPr>
        <w:t xml:space="preserve">In addition, governments </w:t>
      </w:r>
      <w:r w:rsidRPr="00734A50">
        <w:t>should</w:t>
      </w:r>
      <w:r w:rsidRPr="00734A50">
        <w:rPr>
          <w:rFonts w:eastAsia="Times New Roman"/>
        </w:rPr>
        <w:t xml:space="preserve"> consider leveraging the ATWD collection, </w:t>
      </w:r>
      <w:r w:rsidR="00B81933" w:rsidRPr="00734A50">
        <w:rPr>
          <w:rFonts w:eastAsia="Times New Roman"/>
        </w:rPr>
        <w:t xml:space="preserve">which </w:t>
      </w:r>
      <w:r w:rsidRPr="00734A50">
        <w:rPr>
          <w:rFonts w:eastAsia="Times New Roman"/>
        </w:rPr>
        <w:t xml:space="preserve">collects data on ITE and the teacher workforce, by linking it to data on mid-career programs. This could be used to assess </w:t>
      </w:r>
      <w:r w:rsidRPr="00734A50">
        <w:rPr>
          <w:rFonts w:eastAsia="Times New Roman"/>
        </w:rPr>
        <w:lastRenderedPageBreak/>
        <w:t xml:space="preserve">the impact of different programs and identify the most effective features to attract mid-career entrants to ITE. This </w:t>
      </w:r>
      <w:r w:rsidR="001F7FED" w:rsidRPr="00734A50">
        <w:rPr>
          <w:rFonts w:eastAsia="Times New Roman"/>
        </w:rPr>
        <w:t>would</w:t>
      </w:r>
      <w:r w:rsidRPr="00734A50">
        <w:rPr>
          <w:rFonts w:eastAsia="Times New Roman"/>
        </w:rPr>
        <w:t xml:space="preserve"> provide insight into:</w:t>
      </w:r>
    </w:p>
    <w:p w14:paraId="4FDA9CAB" w14:textId="77777777" w:rsidR="009B3B06" w:rsidRPr="00734A50" w:rsidRDefault="7DF139DC" w:rsidP="00553516">
      <w:pPr>
        <w:pStyle w:val="ListBullet"/>
        <w:numPr>
          <w:ilvl w:val="0"/>
          <w:numId w:val="216"/>
        </w:numPr>
        <w:spacing w:after="200"/>
        <w:ind w:left="357" w:hanging="357"/>
      </w:pPr>
      <w:r w:rsidRPr="00734A50">
        <w:t>the extent to which these programs improve the attraction and retention of different groups of mid-career entrants during their ITE program and into the workforce</w:t>
      </w:r>
    </w:p>
    <w:p w14:paraId="10B919C0" w14:textId="15B3F379" w:rsidR="009B3B06" w:rsidRPr="00734A50" w:rsidRDefault="7DF139DC" w:rsidP="00553516">
      <w:pPr>
        <w:pStyle w:val="ListBullet"/>
        <w:numPr>
          <w:ilvl w:val="0"/>
          <w:numId w:val="216"/>
        </w:numPr>
        <w:spacing w:after="200"/>
        <w:ind w:left="357" w:hanging="357"/>
      </w:pPr>
      <w:r w:rsidRPr="00734A50">
        <w:t>which different program features and combination</w:t>
      </w:r>
      <w:r w:rsidR="7DBD81D9" w:rsidRPr="00734A50">
        <w:t>s of features</w:t>
      </w:r>
      <w:r w:rsidRPr="00734A50">
        <w:t xml:space="preserve"> make the biggest difference to attracting and retaining mid-career entrants.</w:t>
      </w:r>
    </w:p>
    <w:p w14:paraId="7B7C6A97" w14:textId="2ADF37D3" w:rsidR="00402F7E" w:rsidRPr="00734A50" w:rsidRDefault="3E313D6B" w:rsidP="009227C2">
      <w:pPr>
        <w:rPr>
          <w:rFonts w:eastAsia="Calibri"/>
          <w:lang w:eastAsia="en-AU"/>
        </w:rPr>
      </w:pPr>
      <w:r w:rsidRPr="00734A50">
        <w:rPr>
          <w:rFonts w:eastAsia="Calibri"/>
          <w:lang w:eastAsia="en-AU"/>
        </w:rPr>
        <w:t>Collectively t</w:t>
      </w:r>
      <w:r w:rsidR="00402F7E" w:rsidRPr="00734A50">
        <w:rPr>
          <w:rFonts w:eastAsia="Calibri"/>
          <w:lang w:eastAsia="en-AU"/>
        </w:rPr>
        <w:t xml:space="preserve">his information can then be used to build and disseminate a stronger evidence base about bespoke mid-career </w:t>
      </w:r>
      <w:r w:rsidR="00402F7E" w:rsidRPr="00734A50">
        <w:t>pathways</w:t>
      </w:r>
      <w:r w:rsidR="00402F7E" w:rsidRPr="00734A50">
        <w:rPr>
          <w:rFonts w:eastAsia="Calibri"/>
          <w:lang w:eastAsia="en-AU"/>
        </w:rPr>
        <w:t xml:space="preserve">. This </w:t>
      </w:r>
      <w:r w:rsidR="001F7FED" w:rsidRPr="00734A50">
        <w:rPr>
          <w:rFonts w:eastAsia="Calibri"/>
          <w:lang w:eastAsia="en-AU"/>
        </w:rPr>
        <w:t>would</w:t>
      </w:r>
      <w:r w:rsidR="00402F7E" w:rsidRPr="00734A50">
        <w:rPr>
          <w:rFonts w:eastAsia="Calibri"/>
          <w:lang w:eastAsia="en-AU"/>
        </w:rPr>
        <w:t xml:space="preserve"> support government</w:t>
      </w:r>
      <w:r w:rsidR="001B4822" w:rsidRPr="00734A50">
        <w:rPr>
          <w:rFonts w:eastAsia="Calibri"/>
          <w:lang w:eastAsia="en-AU"/>
        </w:rPr>
        <w:t>s</w:t>
      </w:r>
      <w:r w:rsidR="00402F7E" w:rsidRPr="00734A50">
        <w:rPr>
          <w:rFonts w:eastAsia="Calibri"/>
          <w:lang w:eastAsia="en-AU"/>
        </w:rPr>
        <w:t xml:space="preserve">, school sectors and </w:t>
      </w:r>
      <w:r w:rsidR="00FC767A" w:rsidRPr="00734A50">
        <w:rPr>
          <w:rFonts w:eastAsia="Calibri"/>
          <w:lang w:eastAsia="en-AU"/>
        </w:rPr>
        <w:t xml:space="preserve">higher education </w:t>
      </w:r>
      <w:r w:rsidR="00402F7E" w:rsidRPr="00734A50">
        <w:rPr>
          <w:rFonts w:eastAsia="Calibri"/>
          <w:lang w:eastAsia="en-AU"/>
        </w:rPr>
        <w:t xml:space="preserve">providers to design and deliver </w:t>
      </w:r>
      <w:r w:rsidR="007E5245" w:rsidRPr="00734A50">
        <w:rPr>
          <w:rFonts w:eastAsia="Calibri"/>
          <w:lang w:eastAsia="en-AU"/>
        </w:rPr>
        <w:t>effecti</w:t>
      </w:r>
      <w:r w:rsidR="00BA133C" w:rsidRPr="00734A50">
        <w:rPr>
          <w:rFonts w:eastAsia="Calibri"/>
          <w:lang w:eastAsia="en-AU"/>
        </w:rPr>
        <w:t>v</w:t>
      </w:r>
      <w:r w:rsidR="007E5245" w:rsidRPr="00734A50">
        <w:rPr>
          <w:rFonts w:eastAsia="Calibri"/>
          <w:lang w:eastAsia="en-AU"/>
        </w:rPr>
        <w:t>e</w:t>
      </w:r>
      <w:r w:rsidR="00402F7E" w:rsidRPr="00734A50">
        <w:rPr>
          <w:rFonts w:eastAsia="Calibri"/>
          <w:lang w:eastAsia="en-AU"/>
        </w:rPr>
        <w:t xml:space="preserve"> programs that make a meaningful contribution to the overall mid-career pipeline</w:t>
      </w:r>
      <w:r w:rsidR="008D391C" w:rsidRPr="00734A50">
        <w:rPr>
          <w:rFonts w:eastAsia="Calibri"/>
          <w:lang w:eastAsia="en-AU"/>
        </w:rPr>
        <w:t xml:space="preserve"> of new teachers into the workforce</w:t>
      </w:r>
      <w:r w:rsidR="00402F7E" w:rsidRPr="00734A50">
        <w:rPr>
          <w:rFonts w:eastAsia="Calibri"/>
          <w:lang w:eastAsia="en-AU"/>
        </w:rPr>
        <w:t>.</w:t>
      </w:r>
    </w:p>
    <w:p w14:paraId="65388D02" w14:textId="2CD74EBE" w:rsidR="002C349C" w:rsidRPr="00734A50" w:rsidRDefault="002A4BFB" w:rsidP="0012041E">
      <w:pPr>
        <w:pStyle w:val="Heading2"/>
      </w:pPr>
      <w:bookmarkStart w:id="103" w:name="_Toc139366666"/>
      <w:r>
        <w:t>Conclusions and recommendations</w:t>
      </w:r>
      <w:bookmarkEnd w:id="103"/>
    </w:p>
    <w:p w14:paraId="2F166548" w14:textId="373FA133" w:rsidR="00550159" w:rsidRPr="00734A50" w:rsidRDefault="00550159" w:rsidP="53B011C3">
      <w:pPr>
        <w:rPr>
          <w:rFonts w:ascii="Calibri" w:eastAsia="Calibri" w:hAnsi="Calibri" w:cs="Calibri"/>
        </w:rPr>
      </w:pPr>
      <w:r w:rsidRPr="00734A50">
        <w:rPr>
          <w:rFonts w:ascii="Calibri" w:eastAsia="Calibri" w:hAnsi="Calibri" w:cs="Calibri"/>
        </w:rPr>
        <w:t>Mid-career entrants into initial teacher education come with a broad set of skills and experience</w:t>
      </w:r>
      <w:r w:rsidR="002C4BA3" w:rsidRPr="00734A50">
        <w:rPr>
          <w:rFonts w:ascii="Calibri" w:eastAsia="Calibri" w:hAnsi="Calibri" w:cs="Calibri"/>
        </w:rPr>
        <w:t>, are driven by intrinsic motivations</w:t>
      </w:r>
      <w:r w:rsidR="00185838" w:rsidRPr="00734A50">
        <w:rPr>
          <w:rFonts w:ascii="Calibri" w:eastAsia="Calibri" w:hAnsi="Calibri" w:cs="Calibri"/>
        </w:rPr>
        <w:t xml:space="preserve"> to join the profession</w:t>
      </w:r>
      <w:r w:rsidRPr="00734A50">
        <w:rPr>
          <w:rFonts w:ascii="Calibri" w:eastAsia="Calibri" w:hAnsi="Calibri" w:cs="Calibri"/>
        </w:rPr>
        <w:t xml:space="preserve"> and </w:t>
      </w:r>
      <w:r w:rsidR="00185838" w:rsidRPr="00734A50">
        <w:rPr>
          <w:rFonts w:ascii="Calibri" w:eastAsia="Calibri" w:hAnsi="Calibri" w:cs="Calibri"/>
        </w:rPr>
        <w:t>can help</w:t>
      </w:r>
      <w:r w:rsidRPr="00734A50">
        <w:rPr>
          <w:rFonts w:ascii="Calibri" w:eastAsia="Calibri" w:hAnsi="Calibri" w:cs="Calibri"/>
        </w:rPr>
        <w:t xml:space="preserve"> to address teacher shortages and </w:t>
      </w:r>
      <w:r w:rsidR="00F0007B" w:rsidRPr="00734A50">
        <w:rPr>
          <w:rFonts w:ascii="Calibri" w:eastAsia="Calibri" w:hAnsi="Calibri" w:cs="Calibri"/>
        </w:rPr>
        <w:t xml:space="preserve">increase </w:t>
      </w:r>
      <w:r w:rsidRPr="00734A50">
        <w:rPr>
          <w:rFonts w:ascii="Calibri" w:eastAsia="Calibri" w:hAnsi="Calibri" w:cs="Calibri"/>
        </w:rPr>
        <w:t>diversity in the teaching profession. However,</w:t>
      </w:r>
      <w:r w:rsidR="005505B6" w:rsidRPr="00734A50">
        <w:rPr>
          <w:rFonts w:ascii="Calibri" w:eastAsia="Calibri" w:hAnsi="Calibri" w:cs="Calibri"/>
        </w:rPr>
        <w:t xml:space="preserve"> </w:t>
      </w:r>
      <w:r w:rsidR="00185838" w:rsidRPr="00734A50">
        <w:rPr>
          <w:rFonts w:ascii="Calibri" w:eastAsia="Calibri" w:hAnsi="Calibri" w:cs="Calibri"/>
        </w:rPr>
        <w:t>this cohort</w:t>
      </w:r>
      <w:r w:rsidR="005505B6" w:rsidRPr="00734A50">
        <w:rPr>
          <w:rFonts w:ascii="Calibri" w:eastAsia="Calibri" w:hAnsi="Calibri" w:cs="Calibri"/>
        </w:rPr>
        <w:t xml:space="preserve"> face significant direct and indirect costs </w:t>
      </w:r>
      <w:r w:rsidR="00583BAD" w:rsidRPr="00734A50">
        <w:rPr>
          <w:rFonts w:ascii="Calibri" w:eastAsia="Calibri" w:hAnsi="Calibri" w:cs="Calibri"/>
        </w:rPr>
        <w:t>to enter teaching</w:t>
      </w:r>
      <w:r w:rsidR="00F0007B" w:rsidRPr="00734A50">
        <w:rPr>
          <w:rFonts w:ascii="Calibri" w:eastAsia="Calibri" w:hAnsi="Calibri" w:cs="Calibri"/>
        </w:rPr>
        <w:t>,</w:t>
      </w:r>
      <w:r w:rsidR="00583BAD" w:rsidRPr="00734A50">
        <w:rPr>
          <w:rFonts w:ascii="Calibri" w:eastAsia="Calibri" w:hAnsi="Calibri" w:cs="Calibri"/>
        </w:rPr>
        <w:t xml:space="preserve"> including loss of income and</w:t>
      </w:r>
      <w:r w:rsidR="00F0007B" w:rsidRPr="00734A50">
        <w:rPr>
          <w:rFonts w:ascii="Calibri" w:eastAsia="Calibri" w:hAnsi="Calibri" w:cs="Calibri"/>
        </w:rPr>
        <w:t xml:space="preserve"> difficulty</w:t>
      </w:r>
      <w:r w:rsidR="00583BAD" w:rsidRPr="00734A50">
        <w:rPr>
          <w:rFonts w:ascii="Calibri" w:eastAsia="Calibri" w:hAnsi="Calibri" w:cs="Calibri"/>
        </w:rPr>
        <w:t xml:space="preserve"> balancing paid</w:t>
      </w:r>
      <w:r w:rsidR="00F0007B" w:rsidRPr="00734A50">
        <w:rPr>
          <w:rFonts w:ascii="Calibri" w:eastAsia="Calibri" w:hAnsi="Calibri" w:cs="Calibri"/>
        </w:rPr>
        <w:t xml:space="preserve"> </w:t>
      </w:r>
      <w:r w:rsidR="00583BAD" w:rsidRPr="00734A50">
        <w:rPr>
          <w:rFonts w:ascii="Calibri" w:eastAsia="Calibri" w:hAnsi="Calibri" w:cs="Calibri"/>
        </w:rPr>
        <w:t xml:space="preserve">work and family commitments. </w:t>
      </w:r>
    </w:p>
    <w:p w14:paraId="4C93D206" w14:textId="03031738" w:rsidR="00A77A34" w:rsidRPr="00734A50" w:rsidRDefault="00327338" w:rsidP="009227C2">
      <w:pPr>
        <w:rPr>
          <w:rFonts w:ascii="Calibri" w:eastAsia="Calibri" w:hAnsi="Calibri" w:cs="Calibri"/>
          <w:color w:val="000000" w:themeColor="text1"/>
        </w:rPr>
      </w:pPr>
      <w:r w:rsidRPr="00734A50">
        <w:rPr>
          <w:rFonts w:ascii="Calibri" w:eastAsia="Calibri" w:hAnsi="Calibri" w:cs="Calibri"/>
          <w:color w:val="000000" w:themeColor="text1"/>
        </w:rPr>
        <w:t xml:space="preserve">While there are some challenges to overcome, </w:t>
      </w:r>
      <w:r w:rsidRPr="00734A50">
        <w:t>t</w:t>
      </w:r>
      <w:r w:rsidR="00A77A34" w:rsidRPr="00734A50">
        <w:t>he</w:t>
      </w:r>
      <w:r w:rsidR="00A77A34" w:rsidRPr="00734A50">
        <w:rPr>
          <w:rFonts w:ascii="Calibri" w:eastAsia="Calibri" w:hAnsi="Calibri" w:cs="Calibri"/>
          <w:color w:val="000000" w:themeColor="text1"/>
        </w:rPr>
        <w:t xml:space="preserve"> Panel </w:t>
      </w:r>
      <w:r w:rsidR="00A7378C" w:rsidRPr="00734A50">
        <w:rPr>
          <w:rFonts w:ascii="Calibri" w:eastAsia="Calibri" w:hAnsi="Calibri" w:cs="Calibri"/>
          <w:color w:val="000000" w:themeColor="text1"/>
        </w:rPr>
        <w:t>believes</w:t>
      </w:r>
      <w:r w:rsidR="00A77A34" w:rsidRPr="00734A50">
        <w:rPr>
          <w:rFonts w:ascii="Calibri" w:eastAsia="Calibri" w:hAnsi="Calibri" w:cs="Calibri"/>
          <w:color w:val="000000" w:themeColor="text1"/>
        </w:rPr>
        <w:t xml:space="preserve"> </w:t>
      </w:r>
      <w:r w:rsidR="00F0007B" w:rsidRPr="00734A50">
        <w:rPr>
          <w:rFonts w:ascii="Calibri" w:eastAsia="Calibri" w:hAnsi="Calibri" w:cs="Calibri"/>
          <w:color w:val="000000" w:themeColor="text1"/>
        </w:rPr>
        <w:t xml:space="preserve">that </w:t>
      </w:r>
      <w:r w:rsidR="00A77A34" w:rsidRPr="00734A50">
        <w:rPr>
          <w:rFonts w:ascii="Calibri" w:eastAsia="Calibri" w:hAnsi="Calibri" w:cs="Calibri"/>
          <w:color w:val="000000" w:themeColor="text1"/>
        </w:rPr>
        <w:t xml:space="preserve">developing </w:t>
      </w:r>
      <w:r w:rsidR="008B11C4" w:rsidRPr="00734A50">
        <w:rPr>
          <w:rFonts w:ascii="Calibri" w:eastAsia="Calibri" w:hAnsi="Calibri" w:cs="Calibri"/>
          <w:color w:val="000000" w:themeColor="text1"/>
        </w:rPr>
        <w:t>and expanding</w:t>
      </w:r>
      <w:r w:rsidR="00A77A34" w:rsidRPr="00734A50">
        <w:rPr>
          <w:rFonts w:ascii="Calibri" w:eastAsia="Calibri" w:hAnsi="Calibri" w:cs="Calibri"/>
          <w:color w:val="000000" w:themeColor="text1"/>
        </w:rPr>
        <w:t xml:space="preserve"> </w:t>
      </w:r>
      <w:r w:rsidR="00457FDE" w:rsidRPr="00734A50">
        <w:rPr>
          <w:rFonts w:ascii="Calibri" w:eastAsia="Calibri" w:hAnsi="Calibri" w:cs="Calibri"/>
          <w:color w:val="000000" w:themeColor="text1"/>
        </w:rPr>
        <w:t>mid-career programs</w:t>
      </w:r>
      <w:r w:rsidR="00FC65B3" w:rsidRPr="00734A50">
        <w:rPr>
          <w:rFonts w:ascii="Calibri" w:eastAsia="Calibri" w:hAnsi="Calibri" w:cs="Calibri"/>
          <w:color w:val="000000" w:themeColor="text1"/>
        </w:rPr>
        <w:t>, such as</w:t>
      </w:r>
      <w:r w:rsidR="00457FDE" w:rsidRPr="00734A50">
        <w:rPr>
          <w:rFonts w:ascii="Calibri" w:eastAsia="Calibri" w:hAnsi="Calibri" w:cs="Calibri"/>
          <w:color w:val="000000" w:themeColor="text1"/>
        </w:rPr>
        <w:t xml:space="preserve"> </w:t>
      </w:r>
      <w:r w:rsidR="00A77A34" w:rsidRPr="00734A50">
        <w:rPr>
          <w:rFonts w:ascii="Calibri" w:eastAsia="Calibri" w:hAnsi="Calibri" w:cs="Calibri"/>
          <w:color w:val="000000" w:themeColor="text1"/>
        </w:rPr>
        <w:t xml:space="preserve">employment-based </w:t>
      </w:r>
      <w:r w:rsidR="00FC65B3" w:rsidRPr="00734A50">
        <w:rPr>
          <w:rFonts w:ascii="Calibri" w:eastAsia="Calibri" w:hAnsi="Calibri" w:cs="Calibri"/>
          <w:color w:val="000000" w:themeColor="text1"/>
        </w:rPr>
        <w:t>pathways,</w:t>
      </w:r>
      <w:r w:rsidR="00A77A34" w:rsidRPr="00734A50">
        <w:rPr>
          <w:rFonts w:ascii="Calibri" w:eastAsia="Calibri" w:hAnsi="Calibri" w:cs="Calibri"/>
          <w:color w:val="000000" w:themeColor="text1"/>
        </w:rPr>
        <w:t xml:space="preserve"> </w:t>
      </w:r>
      <w:r w:rsidR="009B0C58" w:rsidRPr="00734A50">
        <w:rPr>
          <w:rFonts w:ascii="Calibri" w:eastAsia="Calibri" w:hAnsi="Calibri" w:cs="Calibri"/>
          <w:color w:val="000000" w:themeColor="text1"/>
        </w:rPr>
        <w:t>would</w:t>
      </w:r>
      <w:r w:rsidR="00A77A34" w:rsidRPr="00734A50">
        <w:rPr>
          <w:rFonts w:ascii="Calibri" w:eastAsia="Calibri" w:hAnsi="Calibri" w:cs="Calibri"/>
          <w:color w:val="000000" w:themeColor="text1"/>
        </w:rPr>
        <w:t xml:space="preserve"> assist in attracting new mid-career entrants into the teaching profession</w:t>
      </w:r>
      <w:r w:rsidRPr="00734A50">
        <w:rPr>
          <w:rFonts w:ascii="Calibri" w:eastAsia="Calibri" w:hAnsi="Calibri" w:cs="Calibri"/>
          <w:color w:val="000000" w:themeColor="text1"/>
        </w:rPr>
        <w:t xml:space="preserve">. </w:t>
      </w:r>
    </w:p>
    <w:p w14:paraId="7B1B01CE" w14:textId="77777777" w:rsidR="007C7EE3" w:rsidRPr="00734A50" w:rsidRDefault="007C7EE3" w:rsidP="2E45A220">
      <w:pPr>
        <w:pStyle w:val="Recommendation2"/>
        <w:spacing w:after="0"/>
        <w:rPr>
          <w:rFonts w:ascii="Calibri" w:hAnsi="Calibri" w:cs="Calibri"/>
          <w:b/>
          <w:bCs/>
          <w:szCs w:val="22"/>
        </w:rPr>
      </w:pPr>
      <w:r w:rsidRPr="00734A50">
        <w:rPr>
          <w:b/>
          <w:bCs/>
        </w:rPr>
        <w:t xml:space="preserve">Recommendation 12: Develop and expand mid-career pathway programs </w:t>
      </w:r>
    </w:p>
    <w:p w14:paraId="562146AD" w14:textId="77777777" w:rsidR="007C7EE3" w:rsidRPr="00734A50" w:rsidRDefault="007C7EE3" w:rsidP="007C7EE3">
      <w:pPr>
        <w:pStyle w:val="Recommendation2"/>
        <w:spacing w:after="0"/>
      </w:pPr>
      <w:r w:rsidRPr="00734A50">
        <w:t>Education Ministers to work with higher education providers to develop and scale high-quality mid-career programs, such as employment-based and accelerated pathways, using the flexibility within existing regulatory arrangements. This includes using:</w:t>
      </w:r>
    </w:p>
    <w:p w14:paraId="58CE6EA2" w14:textId="4905DEF9" w:rsidR="009F0457" w:rsidRPr="00734A50" w:rsidRDefault="002074D2" w:rsidP="007C7EE3">
      <w:pPr>
        <w:pStyle w:val="Recommendation2"/>
        <w:numPr>
          <w:ilvl w:val="0"/>
          <w:numId w:val="67"/>
        </w:numPr>
        <w:spacing w:after="0"/>
      </w:pPr>
      <w:r w:rsidRPr="00734A50">
        <w:t>alternative authorisation to teach mechanisms</w:t>
      </w:r>
      <w:r w:rsidR="009F0457" w:rsidRPr="00734A50">
        <w:t xml:space="preserve"> </w:t>
      </w:r>
      <w:r w:rsidR="00AC566C" w:rsidRPr="00734A50">
        <w:t xml:space="preserve">(e.g. permission to teach and conditional accreditation) </w:t>
      </w:r>
      <w:r w:rsidR="009F0457" w:rsidRPr="00734A50">
        <w:t>to support paid employment</w:t>
      </w:r>
    </w:p>
    <w:p w14:paraId="098AC8CA" w14:textId="00A392F1" w:rsidR="00FC65B3" w:rsidRPr="00734A50" w:rsidRDefault="00FC65B3" w:rsidP="007C7EE3">
      <w:pPr>
        <w:pStyle w:val="Recommendation2"/>
        <w:numPr>
          <w:ilvl w:val="0"/>
          <w:numId w:val="67"/>
        </w:numPr>
        <w:spacing w:after="0"/>
      </w:pPr>
      <w:r w:rsidRPr="00734A50">
        <w:t xml:space="preserve">system-level agreements between jurisdictions and higher education providers (Recommendation 10) to provide a framework for delivering employment pathways and identifying schools willing to employ </w:t>
      </w:r>
      <w:r w:rsidRPr="00734A50">
        <w:rPr>
          <w:lang w:eastAsia="en-AU"/>
        </w:rPr>
        <w:t>initial teacher education</w:t>
      </w:r>
      <w:r w:rsidRPr="00734A50">
        <w:t xml:space="preserve"> students.</w:t>
      </w:r>
    </w:p>
    <w:p w14:paraId="5190AB15" w14:textId="5BDBC1F1" w:rsidR="00954246" w:rsidRPr="00734A50" w:rsidRDefault="00FA3884" w:rsidP="007B033B">
      <w:pPr>
        <w:spacing w:before="200"/>
        <w:rPr>
          <w:lang w:eastAsia="en-AU"/>
        </w:rPr>
      </w:pPr>
      <w:r w:rsidRPr="00734A50">
        <w:rPr>
          <w:lang w:eastAsia="en-AU"/>
        </w:rPr>
        <w:t>M</w:t>
      </w:r>
      <w:r w:rsidR="00954246" w:rsidRPr="00734A50">
        <w:rPr>
          <w:lang w:eastAsia="en-AU"/>
        </w:rPr>
        <w:t xml:space="preserve">id-career entrants </w:t>
      </w:r>
      <w:r w:rsidRPr="00734A50">
        <w:rPr>
          <w:lang w:eastAsia="en-AU"/>
        </w:rPr>
        <w:t xml:space="preserve">who </w:t>
      </w:r>
      <w:r w:rsidR="00954246" w:rsidRPr="00734A50">
        <w:rPr>
          <w:lang w:eastAsia="en-AU"/>
        </w:rPr>
        <w:t>receive supports while they stud</w:t>
      </w:r>
      <w:r w:rsidRPr="00734A50">
        <w:rPr>
          <w:lang w:eastAsia="en-AU"/>
        </w:rPr>
        <w:t xml:space="preserve">y, such as flexible study options, financial payments, peer support networks and paid employment, find these </w:t>
      </w:r>
      <w:r w:rsidR="000D4C84" w:rsidRPr="00734A50">
        <w:rPr>
          <w:lang w:eastAsia="en-AU"/>
        </w:rPr>
        <w:t>beneficial in supporting their transition into ITE</w:t>
      </w:r>
      <w:r w:rsidR="00954246" w:rsidRPr="00734A50">
        <w:rPr>
          <w:lang w:eastAsia="en-AU"/>
        </w:rPr>
        <w:t xml:space="preserve">. </w:t>
      </w:r>
      <w:r w:rsidR="000D4C84" w:rsidRPr="00734A50">
        <w:rPr>
          <w:lang w:eastAsia="en-AU"/>
        </w:rPr>
        <w:t xml:space="preserve">However, </w:t>
      </w:r>
      <w:r w:rsidR="00EC2FC5" w:rsidRPr="00734A50">
        <w:rPr>
          <w:lang w:eastAsia="en-AU"/>
        </w:rPr>
        <w:t>82</w:t>
      </w:r>
      <w:r w:rsidR="000D4C84" w:rsidRPr="00734A50">
        <w:rPr>
          <w:lang w:eastAsia="en-AU"/>
        </w:rPr>
        <w:t xml:space="preserve"> per cent did not know if mid-career pathways were available before they commenced their </w:t>
      </w:r>
      <w:r w:rsidR="001703F7" w:rsidRPr="00734A50">
        <w:rPr>
          <w:lang w:eastAsia="en-AU"/>
        </w:rPr>
        <w:t>program</w:t>
      </w:r>
      <w:r w:rsidR="000D4C84" w:rsidRPr="00734A50">
        <w:rPr>
          <w:lang w:eastAsia="en-AU"/>
        </w:rPr>
        <w:t>.</w:t>
      </w:r>
    </w:p>
    <w:p w14:paraId="0D7F9C62" w14:textId="36B0AB09" w:rsidR="00A83317" w:rsidRDefault="000D4C84" w:rsidP="006D60BF">
      <w:pPr>
        <w:rPr>
          <w:lang w:eastAsia="en-AU"/>
        </w:rPr>
      </w:pPr>
      <w:r w:rsidRPr="00734A50">
        <w:rPr>
          <w:lang w:eastAsia="en-AU"/>
        </w:rPr>
        <w:t xml:space="preserve">Higher education providers can </w:t>
      </w:r>
      <w:r w:rsidR="00954246" w:rsidRPr="00734A50">
        <w:rPr>
          <w:lang w:eastAsia="en-AU"/>
        </w:rPr>
        <w:t xml:space="preserve">do a better job of promoting these pathways to prospective </w:t>
      </w:r>
      <w:r w:rsidR="008D358E" w:rsidRPr="00734A50">
        <w:rPr>
          <w:lang w:eastAsia="en-AU"/>
        </w:rPr>
        <w:t xml:space="preserve">ITE </w:t>
      </w:r>
      <w:r w:rsidR="00954246" w:rsidRPr="00734A50">
        <w:rPr>
          <w:lang w:eastAsia="en-AU"/>
        </w:rPr>
        <w:t>students, to attract more mid-career entrants</w:t>
      </w:r>
      <w:r w:rsidRPr="00734A50">
        <w:rPr>
          <w:lang w:eastAsia="en-AU"/>
        </w:rPr>
        <w:t xml:space="preserve"> by providing more detail on incentives on their websites</w:t>
      </w:r>
      <w:r w:rsidR="00F0007B" w:rsidRPr="00734A50">
        <w:rPr>
          <w:lang w:eastAsia="en-AU"/>
        </w:rPr>
        <w:t>,</w:t>
      </w:r>
      <w:r w:rsidRPr="00734A50">
        <w:rPr>
          <w:lang w:eastAsia="en-AU"/>
        </w:rPr>
        <w:t xml:space="preserve"> targeted to</w:t>
      </w:r>
      <w:r w:rsidR="00954246" w:rsidRPr="00734A50">
        <w:rPr>
          <w:lang w:eastAsia="en-AU"/>
        </w:rPr>
        <w:t xml:space="preserve"> mid-career entrants.</w:t>
      </w:r>
    </w:p>
    <w:p w14:paraId="329E4260" w14:textId="77777777" w:rsidR="00A83317" w:rsidRDefault="00A83317">
      <w:pPr>
        <w:spacing w:after="160" w:line="259" w:lineRule="auto"/>
        <w:rPr>
          <w:lang w:eastAsia="en-AU"/>
        </w:rPr>
      </w:pPr>
      <w:r>
        <w:rPr>
          <w:lang w:eastAsia="en-AU"/>
        </w:rPr>
        <w:br w:type="page"/>
      </w:r>
    </w:p>
    <w:p w14:paraId="12C55092" w14:textId="77777777" w:rsidR="005906FC" w:rsidRPr="00734A50" w:rsidRDefault="005906FC" w:rsidP="006D60BF">
      <w:pPr>
        <w:rPr>
          <w:lang w:eastAsia="en-AU"/>
        </w:rPr>
      </w:pPr>
    </w:p>
    <w:p w14:paraId="0828F720" w14:textId="77777777" w:rsidR="007C7EE3" w:rsidRPr="00734A50" w:rsidRDefault="007C7EE3" w:rsidP="007C7EE3">
      <w:pPr>
        <w:pStyle w:val="Recommendation2"/>
        <w:spacing w:after="0"/>
        <w:rPr>
          <w:b/>
          <w:bCs/>
        </w:rPr>
      </w:pPr>
      <w:r w:rsidRPr="00734A50">
        <w:rPr>
          <w:b/>
          <w:bCs/>
        </w:rPr>
        <w:t>Recommendation 13: Promote mid-career pathways</w:t>
      </w:r>
    </w:p>
    <w:p w14:paraId="269D39CE" w14:textId="6DAAF5A6" w:rsidR="007C7EE3" w:rsidRPr="00734A50" w:rsidRDefault="00CA328C" w:rsidP="007C7EE3">
      <w:pPr>
        <w:pStyle w:val="Recommendation2"/>
        <w:spacing w:after="0"/>
      </w:pPr>
      <w:r w:rsidRPr="00734A50">
        <w:rPr>
          <w:szCs w:val="22"/>
        </w:rPr>
        <w:t xml:space="preserve">Higher education providers to better promote mid-career pathways and available supports to prospective </w:t>
      </w:r>
      <w:r w:rsidR="004E7DF0" w:rsidRPr="00734A50">
        <w:rPr>
          <w:szCs w:val="22"/>
        </w:rPr>
        <w:t xml:space="preserve">initial teacher education </w:t>
      </w:r>
      <w:r w:rsidRPr="00734A50">
        <w:rPr>
          <w:szCs w:val="22"/>
        </w:rPr>
        <w:t xml:space="preserve">students, including promotion of flexible study </w:t>
      </w:r>
      <w:r w:rsidR="002074D2" w:rsidRPr="00734A50">
        <w:rPr>
          <w:szCs w:val="22"/>
        </w:rPr>
        <w:t xml:space="preserve">options and </w:t>
      </w:r>
      <w:r w:rsidR="003B4C84" w:rsidRPr="00734A50">
        <w:rPr>
          <w:szCs w:val="22"/>
        </w:rPr>
        <w:t>employment</w:t>
      </w:r>
      <w:r w:rsidR="002074D2" w:rsidRPr="00734A50">
        <w:rPr>
          <w:szCs w:val="22"/>
        </w:rPr>
        <w:t xml:space="preserve"> and</w:t>
      </w:r>
      <w:r w:rsidR="003B4C84" w:rsidRPr="00734A50">
        <w:rPr>
          <w:szCs w:val="22"/>
        </w:rPr>
        <w:t xml:space="preserve"> accelerated pathways</w:t>
      </w:r>
      <w:r w:rsidRPr="00734A50">
        <w:rPr>
          <w:szCs w:val="22"/>
        </w:rPr>
        <w:t>.</w:t>
      </w:r>
    </w:p>
    <w:p w14:paraId="31125DA2" w14:textId="50A69E5A" w:rsidR="00731881" w:rsidRPr="00734A50" w:rsidRDefault="00731881" w:rsidP="00FE732E">
      <w:pPr>
        <w:spacing w:before="200"/>
        <w:rPr>
          <w:rFonts w:ascii="Calibri" w:eastAsia="Calibri" w:hAnsi="Calibri" w:cs="Calibri"/>
        </w:rPr>
      </w:pPr>
      <w:r w:rsidRPr="00734A50">
        <w:rPr>
          <w:rFonts w:ascii="Calibri" w:eastAsia="Calibri" w:hAnsi="Calibri" w:cs="Calibri"/>
        </w:rPr>
        <w:t xml:space="preserve">Noting the cost of delivering bespoke </w:t>
      </w:r>
      <w:r w:rsidR="00ED2799" w:rsidRPr="00734A50">
        <w:rPr>
          <w:rFonts w:ascii="Calibri" w:eastAsia="Calibri" w:hAnsi="Calibri" w:cs="Calibri"/>
        </w:rPr>
        <w:t xml:space="preserve">mid-career </w:t>
      </w:r>
      <w:r w:rsidRPr="00734A50">
        <w:rPr>
          <w:rFonts w:ascii="Calibri" w:eastAsia="Calibri" w:hAnsi="Calibri" w:cs="Calibri"/>
        </w:rPr>
        <w:t xml:space="preserve">programs, jurisdictions and higher educational providers have raised the need to build the evidence base on the impact and effectiveness of mid-career programs. There is broad support for more research to fill this evidence gap that can be used to </w:t>
      </w:r>
      <w:r w:rsidR="00A75562" w:rsidRPr="00734A50">
        <w:rPr>
          <w:rFonts w:ascii="Calibri" w:eastAsia="Calibri" w:hAnsi="Calibri" w:cs="Calibri"/>
        </w:rPr>
        <w:t xml:space="preserve">develop and </w:t>
      </w:r>
      <w:r w:rsidRPr="00734A50">
        <w:rPr>
          <w:rFonts w:ascii="Calibri" w:eastAsia="Calibri" w:hAnsi="Calibri" w:cs="Calibri"/>
        </w:rPr>
        <w:t>scale up programs.</w:t>
      </w:r>
    </w:p>
    <w:p w14:paraId="289ED456" w14:textId="1EF2B6D8" w:rsidR="00731881" w:rsidRPr="00734A50" w:rsidRDefault="00731881" w:rsidP="00731881">
      <w:pPr>
        <w:rPr>
          <w:rFonts w:ascii="Calibri" w:eastAsia="Calibri" w:hAnsi="Calibri" w:cs="Calibri"/>
        </w:rPr>
      </w:pPr>
      <w:r w:rsidRPr="00734A50">
        <w:rPr>
          <w:rFonts w:ascii="Calibri" w:eastAsia="Calibri" w:hAnsi="Calibri" w:cs="Calibri"/>
        </w:rPr>
        <w:t xml:space="preserve">The Panel supports </w:t>
      </w:r>
      <w:r w:rsidR="00366FB2" w:rsidRPr="00734A50">
        <w:rPr>
          <w:rFonts w:ascii="Calibri" w:eastAsia="Calibri" w:hAnsi="Calibri" w:cs="Calibri"/>
        </w:rPr>
        <w:t>consistently</w:t>
      </w:r>
      <w:r w:rsidRPr="00734A50">
        <w:rPr>
          <w:rFonts w:ascii="Calibri" w:eastAsia="Calibri" w:hAnsi="Calibri" w:cs="Calibri"/>
        </w:rPr>
        <w:t xml:space="preserve"> collect</w:t>
      </w:r>
      <w:r w:rsidR="007865DB" w:rsidRPr="00734A50">
        <w:rPr>
          <w:rFonts w:ascii="Calibri" w:eastAsia="Calibri" w:hAnsi="Calibri" w:cs="Calibri"/>
        </w:rPr>
        <w:t>ing, evaluating and sharing</w:t>
      </w:r>
      <w:r w:rsidRPr="00734A50">
        <w:rPr>
          <w:rFonts w:ascii="Calibri" w:eastAsia="Calibri" w:hAnsi="Calibri" w:cs="Calibri"/>
        </w:rPr>
        <w:t xml:space="preserve"> data about how different program features attract and retain mid-career cohorts. This </w:t>
      </w:r>
      <w:r w:rsidR="009B0C58" w:rsidRPr="00734A50">
        <w:rPr>
          <w:rFonts w:ascii="Calibri" w:eastAsia="Calibri" w:hAnsi="Calibri" w:cs="Calibri"/>
        </w:rPr>
        <w:t>would</w:t>
      </w:r>
      <w:r w:rsidRPr="00734A50">
        <w:rPr>
          <w:rFonts w:ascii="Calibri" w:eastAsia="Calibri" w:hAnsi="Calibri" w:cs="Calibri"/>
        </w:rPr>
        <w:t xml:space="preserve"> inform future development and design of these programs and contribute to </w:t>
      </w:r>
      <w:r w:rsidR="008D391C" w:rsidRPr="00734A50">
        <w:rPr>
          <w:rFonts w:ascii="Calibri" w:eastAsia="Calibri" w:hAnsi="Calibri" w:cs="Calibri"/>
        </w:rPr>
        <w:t xml:space="preserve">increasing </w:t>
      </w:r>
      <w:r w:rsidRPr="00734A50">
        <w:rPr>
          <w:rFonts w:ascii="Calibri" w:eastAsia="Calibri" w:hAnsi="Calibri" w:cs="Calibri"/>
        </w:rPr>
        <w:t>the</w:t>
      </w:r>
      <w:r w:rsidR="008D391C" w:rsidRPr="00734A50">
        <w:rPr>
          <w:rFonts w:ascii="Calibri" w:eastAsia="Calibri" w:hAnsi="Calibri" w:cs="Calibri"/>
        </w:rPr>
        <w:t xml:space="preserve"> supply of</w:t>
      </w:r>
      <w:r w:rsidRPr="00734A50">
        <w:rPr>
          <w:rFonts w:ascii="Calibri" w:eastAsia="Calibri" w:hAnsi="Calibri" w:cs="Calibri"/>
        </w:rPr>
        <w:t xml:space="preserve"> mid-career </w:t>
      </w:r>
      <w:r w:rsidR="008D391C" w:rsidRPr="00734A50">
        <w:rPr>
          <w:rFonts w:ascii="Calibri" w:eastAsia="Calibri" w:hAnsi="Calibri" w:cs="Calibri"/>
        </w:rPr>
        <w:t>entrants into the teaching workforce</w:t>
      </w:r>
      <w:r w:rsidRPr="00734A50">
        <w:rPr>
          <w:rFonts w:ascii="Calibri" w:eastAsia="Calibri" w:hAnsi="Calibri" w:cs="Calibri"/>
        </w:rPr>
        <w:t>.</w:t>
      </w:r>
    </w:p>
    <w:p w14:paraId="2FE4EE7C" w14:textId="77777777" w:rsidR="00F5234C" w:rsidRPr="00734A50" w:rsidRDefault="00F5234C" w:rsidP="00F5234C">
      <w:pPr>
        <w:pStyle w:val="Recommendation2"/>
        <w:spacing w:after="0"/>
        <w:rPr>
          <w:b/>
          <w:bCs/>
        </w:rPr>
      </w:pPr>
      <w:bookmarkStart w:id="104" w:name="_Toc127978400"/>
      <w:bookmarkStart w:id="105" w:name="_Toc130217465"/>
      <w:bookmarkStart w:id="106" w:name="_Toc128649109"/>
      <w:r w:rsidRPr="00734A50">
        <w:rPr>
          <w:b/>
          <w:bCs/>
        </w:rPr>
        <w:t>Recommendation 14: Build the evidence base for mid-career programs</w:t>
      </w:r>
    </w:p>
    <w:p w14:paraId="7C9DCE08" w14:textId="1153D9DD" w:rsidR="00F5234C" w:rsidRPr="00734A50" w:rsidRDefault="00F5234C" w:rsidP="00F5234C">
      <w:pPr>
        <w:pStyle w:val="Recommendation2"/>
        <w:spacing w:after="0"/>
        <w:rPr>
          <w:rFonts w:ascii="Calibri" w:eastAsia="Calibri" w:hAnsi="Calibri" w:cs="Calibri"/>
        </w:rPr>
      </w:pPr>
      <w:r w:rsidRPr="00734A50">
        <w:t xml:space="preserve">Education Ministers to agree to </w:t>
      </w:r>
      <w:r w:rsidR="003B4C84" w:rsidRPr="00734A50">
        <w:t>build</w:t>
      </w:r>
      <w:r w:rsidRPr="00734A50">
        <w:t xml:space="preserve"> the evidence base to support design and delivery of effective mid-career programs. This would be achieved by </w:t>
      </w:r>
      <w:r w:rsidR="00E67E9A" w:rsidRPr="00734A50">
        <w:t xml:space="preserve">consistently </w:t>
      </w:r>
      <w:r w:rsidRPr="00734A50">
        <w:t>collecting</w:t>
      </w:r>
      <w:r w:rsidR="003B4C84" w:rsidRPr="00734A50">
        <w:t>, evaluating and sharing data on mid-career programs</w:t>
      </w:r>
      <w:r w:rsidRPr="00734A50">
        <w:rPr>
          <w:rFonts w:ascii="Calibri" w:eastAsia="Calibri" w:hAnsi="Calibri" w:cs="Calibri"/>
        </w:rPr>
        <w:t xml:space="preserve">. </w:t>
      </w:r>
    </w:p>
    <w:p w14:paraId="4451997A" w14:textId="77777777" w:rsidR="00CC5931" w:rsidRPr="00734A50" w:rsidRDefault="00CC5931" w:rsidP="51984F9F">
      <w:pPr>
        <w:spacing w:after="0" w:line="259" w:lineRule="auto"/>
        <w:rPr>
          <w:rFonts w:asciiTheme="majorHAnsi" w:eastAsiaTheme="majorEastAsia" w:hAnsiTheme="majorHAnsi" w:cstheme="majorBidi"/>
          <w:b/>
          <w:color w:val="002C3E" w:themeColor="background2"/>
          <w:sz w:val="44"/>
          <w:szCs w:val="32"/>
          <w:lang w:eastAsia="en-AU"/>
        </w:rPr>
      </w:pPr>
      <w:r w:rsidRPr="00734A50">
        <w:rPr>
          <w:lang w:eastAsia="en-AU"/>
        </w:rPr>
        <w:br w:type="page"/>
      </w:r>
    </w:p>
    <w:p w14:paraId="57771444" w14:textId="3D1B68D5" w:rsidR="006C6706" w:rsidRPr="00734A50" w:rsidRDefault="006C6706" w:rsidP="0012041E">
      <w:pPr>
        <w:pStyle w:val="Heading1"/>
      </w:pPr>
      <w:bookmarkStart w:id="107" w:name="_Toc139366667"/>
      <w:r w:rsidRPr="00734A50">
        <w:lastRenderedPageBreak/>
        <w:t>A</w:t>
      </w:r>
      <w:r w:rsidR="002A4BFB">
        <w:t>ppendices</w:t>
      </w:r>
      <w:bookmarkEnd w:id="107"/>
    </w:p>
    <w:p w14:paraId="16B2F0B4" w14:textId="77777777" w:rsidR="00E90E48" w:rsidRPr="00734A50" w:rsidRDefault="69885D22" w:rsidP="00E90E48">
      <w:pPr>
        <w:pStyle w:val="Heading2"/>
        <w:rPr>
          <w:lang w:eastAsia="en-AU"/>
        </w:rPr>
      </w:pPr>
      <w:bookmarkStart w:id="108" w:name="_Toc139366668"/>
      <w:r w:rsidRPr="00734A50">
        <w:rPr>
          <w:lang w:eastAsia="en-AU"/>
        </w:rPr>
        <w:t>APPENDIX A: Terms of Reference</w:t>
      </w:r>
      <w:bookmarkEnd w:id="108"/>
      <w:r w:rsidRPr="00734A50">
        <w:rPr>
          <w:lang w:eastAsia="en-AU"/>
        </w:rPr>
        <w:t xml:space="preserve"> </w:t>
      </w:r>
    </w:p>
    <w:p w14:paraId="69C8F97D" w14:textId="77777777" w:rsidR="00E90E48" w:rsidRPr="00734A50" w:rsidRDefault="00E90E48" w:rsidP="00E90E48">
      <w:pPr>
        <w:pStyle w:val="ListParagraph"/>
        <w:numPr>
          <w:ilvl w:val="0"/>
          <w:numId w:val="223"/>
        </w:numPr>
        <w:spacing w:after="200" w:line="276" w:lineRule="auto"/>
        <w:contextualSpacing w:val="0"/>
        <w:rPr>
          <w:rFonts w:cstheme="minorHAnsi"/>
          <w:b/>
          <w:bCs/>
        </w:rPr>
      </w:pPr>
      <w:r w:rsidRPr="00734A50">
        <w:rPr>
          <w:rFonts w:cstheme="minorHAnsi"/>
          <w:b/>
          <w:bCs/>
        </w:rPr>
        <w:t>Context</w:t>
      </w:r>
    </w:p>
    <w:p w14:paraId="5C4DDF69" w14:textId="76B27ABA" w:rsidR="00E90E48" w:rsidRPr="00734A50" w:rsidRDefault="00E90E48" w:rsidP="00E90E48">
      <w:pPr>
        <w:rPr>
          <w:rFonts w:cstheme="minorHAnsi"/>
        </w:rPr>
      </w:pPr>
      <w:r w:rsidRPr="00734A50">
        <w:rPr>
          <w:rFonts w:cstheme="minorHAnsi"/>
        </w:rPr>
        <w:t xml:space="preserve">On 12 August 2022, Australia’s Education Ministers met with teachers, principals and other education experts to discuss the teacher shortage in Australia. Ministers committed to developing the National Teacher Workforce Action Plan to increase the number of people entering and remaining in the profession. One of the key issues raised at the Teacher Workforce Shortage Roundtable was the need to </w:t>
      </w:r>
      <w:r w:rsidRPr="00734A50">
        <w:rPr>
          <w:rFonts w:cstheme="minorHAnsi"/>
          <w:b/>
          <w:bCs/>
        </w:rPr>
        <w:t>improve Initial Teacher Education</w:t>
      </w:r>
      <w:r w:rsidRPr="00734A50">
        <w:rPr>
          <w:rFonts w:cstheme="minorHAnsi"/>
        </w:rPr>
        <w:t xml:space="preserve"> to boost graduation rates and ensure graduating teachers are </w:t>
      </w:r>
      <w:r w:rsidRPr="00734A50">
        <w:rPr>
          <w:rFonts w:cstheme="minorHAnsi"/>
          <w:b/>
          <w:bCs/>
        </w:rPr>
        <w:t>better prepared for the classroom</w:t>
      </w:r>
      <w:r w:rsidRPr="00734A50">
        <w:rPr>
          <w:rFonts w:cstheme="minorHAnsi"/>
        </w:rPr>
        <w:t>.</w:t>
      </w:r>
    </w:p>
    <w:p w14:paraId="3280A965" w14:textId="77777777" w:rsidR="00E90E48" w:rsidRPr="00734A50" w:rsidRDefault="00E90E48" w:rsidP="00E90E48">
      <w:pPr>
        <w:rPr>
          <w:rFonts w:cstheme="minorHAnsi"/>
        </w:rPr>
      </w:pPr>
      <w:r w:rsidRPr="00734A50">
        <w:rPr>
          <w:rFonts w:cstheme="minorHAnsi"/>
        </w:rPr>
        <w:t xml:space="preserve">Recommendation 15 of the Report of the Quality Initial Teacher Education Review recommended strengthening the link between performance and funding of Initial Teacher Education (ITE). It recommended the establishment of a national body or expert group to support the development of a quality measure for ITE courses and to advise on how funding of higher education providers should be based on quality and other relevant factors. </w:t>
      </w:r>
    </w:p>
    <w:p w14:paraId="0CEF50E6" w14:textId="77777777" w:rsidR="00E90E48" w:rsidRPr="00734A50" w:rsidRDefault="00E90E48" w:rsidP="00E90E48">
      <w:pPr>
        <w:rPr>
          <w:rFonts w:cstheme="minorHAnsi"/>
        </w:rPr>
      </w:pPr>
      <w:r w:rsidRPr="00734A50">
        <w:rPr>
          <w:rFonts w:cstheme="minorHAnsi"/>
        </w:rPr>
        <w:t xml:space="preserve">The establishment of the Teacher Education Expert Panel implements this recommendation and broadens its scope to provide advice on key issues raised at the Teacher Workforce Shortage Roundtable and in the Report of the Quality Initial Teacher Education Review. </w:t>
      </w:r>
    </w:p>
    <w:p w14:paraId="53FF4CCA" w14:textId="77777777" w:rsidR="00E90E48" w:rsidRPr="00734A50" w:rsidRDefault="00E90E48" w:rsidP="00E90E48">
      <w:pPr>
        <w:pStyle w:val="ListParagraph"/>
        <w:numPr>
          <w:ilvl w:val="0"/>
          <w:numId w:val="223"/>
        </w:numPr>
        <w:spacing w:after="200" w:line="276" w:lineRule="auto"/>
        <w:contextualSpacing w:val="0"/>
        <w:rPr>
          <w:rFonts w:cstheme="minorHAnsi"/>
          <w:b/>
          <w:bCs/>
        </w:rPr>
      </w:pPr>
      <w:r w:rsidRPr="00734A50">
        <w:rPr>
          <w:rFonts w:cstheme="minorHAnsi"/>
          <w:b/>
          <w:bCs/>
        </w:rPr>
        <w:t>Purpose:</w:t>
      </w:r>
    </w:p>
    <w:p w14:paraId="0431B4EF" w14:textId="77777777" w:rsidR="00E90E48" w:rsidRPr="00734A50" w:rsidRDefault="00E90E48" w:rsidP="00E90E48">
      <w:pPr>
        <w:rPr>
          <w:rFonts w:cstheme="minorHAnsi"/>
        </w:rPr>
      </w:pPr>
      <w:r w:rsidRPr="00734A50">
        <w:rPr>
          <w:rFonts w:cstheme="minorHAnsi"/>
        </w:rPr>
        <w:t>The Teacher Education Expert Panel will provide advice to the Education Ministers Meeting through the Australian Government Minister for Education by June 2023 on reforms to:</w:t>
      </w:r>
    </w:p>
    <w:p w14:paraId="01F6D63F" w14:textId="77777777" w:rsidR="00E90E48" w:rsidRPr="00734A50" w:rsidRDefault="00E90E48" w:rsidP="00E90E48">
      <w:pPr>
        <w:pStyle w:val="ListParagraph"/>
        <w:numPr>
          <w:ilvl w:val="0"/>
          <w:numId w:val="224"/>
        </w:numPr>
        <w:spacing w:after="200" w:line="276" w:lineRule="auto"/>
        <w:contextualSpacing w:val="0"/>
        <w:rPr>
          <w:rFonts w:cstheme="minorHAnsi"/>
        </w:rPr>
      </w:pPr>
      <w:r w:rsidRPr="00734A50">
        <w:rPr>
          <w:rFonts w:cstheme="minorHAnsi"/>
          <w:b/>
          <w:bCs/>
          <w:color w:val="1D2228"/>
          <w:u w:val="single"/>
        </w:rPr>
        <w:t>Strengthen the link between performance and funding of ITE</w:t>
      </w:r>
      <w:r w:rsidRPr="00734A50">
        <w:rPr>
          <w:rFonts w:cstheme="minorHAnsi"/>
          <w:color w:val="1D2228"/>
          <w:u w:val="single"/>
        </w:rPr>
        <w:t xml:space="preserve"> [</w:t>
      </w:r>
      <w:r w:rsidRPr="00734A50">
        <w:rPr>
          <w:rFonts w:cstheme="minorHAnsi"/>
          <w:color w:val="1D2228"/>
        </w:rPr>
        <w:t xml:space="preserve">Recommendation 15, </w:t>
      </w:r>
      <w:r w:rsidRPr="00734A50">
        <w:rPr>
          <w:rFonts w:cstheme="minorHAnsi"/>
        </w:rPr>
        <w:t>Report of the Quality Initial Teacher Education Review</w:t>
      </w:r>
      <w:r w:rsidRPr="00734A50">
        <w:rPr>
          <w:rFonts w:cstheme="minorHAnsi"/>
          <w:color w:val="1D2228"/>
        </w:rPr>
        <w:t xml:space="preserve">], by </w:t>
      </w:r>
      <w:r w:rsidRPr="00734A50">
        <w:rPr>
          <w:rFonts w:cstheme="minorHAnsi"/>
        </w:rPr>
        <w:t>developing a quality measure for ITE courses and advising whether and how funding of higher education providers should be based on quality and other factors. The quality measure for ITE should reflect the need to increase the current average completion rate of 50 per cent in bachelor’s degrees, the importance of regionally based courses and the need to increase those underrepresented in teaching degrees including First Nations people</w:t>
      </w:r>
    </w:p>
    <w:p w14:paraId="7585E2CF" w14:textId="77777777" w:rsidR="00E90E48" w:rsidRPr="00734A50" w:rsidRDefault="00E90E48" w:rsidP="00E90E48">
      <w:pPr>
        <w:pStyle w:val="ListParagraph"/>
        <w:numPr>
          <w:ilvl w:val="0"/>
          <w:numId w:val="224"/>
        </w:numPr>
        <w:spacing w:after="200" w:line="276" w:lineRule="auto"/>
        <w:contextualSpacing w:val="0"/>
        <w:rPr>
          <w:rFonts w:cstheme="minorHAnsi"/>
        </w:rPr>
      </w:pPr>
      <w:r w:rsidRPr="00734A50">
        <w:rPr>
          <w:rFonts w:cstheme="minorHAnsi"/>
          <w:b/>
          <w:bCs/>
          <w:color w:val="1D2228"/>
          <w:u w:val="single"/>
        </w:rPr>
        <w:t>Strengthen initial teacher education (ITE) programs to deliver confident effective, classroom ready graduates</w:t>
      </w:r>
      <w:r w:rsidRPr="00734A50">
        <w:rPr>
          <w:rFonts w:cstheme="minorHAnsi"/>
          <w:color w:val="1D2228"/>
        </w:rPr>
        <w:t xml:space="preserve"> [Recommendation 7, </w:t>
      </w:r>
      <w:r w:rsidRPr="00734A50">
        <w:rPr>
          <w:rFonts w:cstheme="minorHAnsi"/>
        </w:rPr>
        <w:t>Report of the Quality Initial Teacher Education Review</w:t>
      </w:r>
      <w:r w:rsidRPr="00734A50">
        <w:rPr>
          <w:rFonts w:cstheme="minorHAnsi"/>
          <w:color w:val="1D2228"/>
        </w:rPr>
        <w:t xml:space="preserve">]. </w:t>
      </w:r>
      <w:r w:rsidRPr="00734A50">
        <w:rPr>
          <w:rFonts w:cstheme="minorHAnsi"/>
          <w:color w:val="1D2228"/>
          <w:shd w:val="clear" w:color="auto" w:fill="FFFFFF"/>
        </w:rPr>
        <w:t>Amend the</w:t>
      </w:r>
      <w:r w:rsidRPr="00734A50">
        <w:rPr>
          <w:rFonts w:cstheme="minorHAnsi"/>
          <w:i/>
          <w:iCs/>
          <w:color w:val="1D2228"/>
          <w:shd w:val="clear" w:color="auto" w:fill="FFFFFF"/>
        </w:rPr>
        <w:t xml:space="preserve"> Accreditation of Initial Teacher Education Programs in Australia: Standards and Procedures</w:t>
      </w:r>
      <w:r w:rsidRPr="00975D6A">
        <w:rPr>
          <w:rFonts w:cstheme="minorHAnsi"/>
          <w:color w:val="1D2228"/>
          <w:shd w:val="clear" w:color="auto" w:fill="FFFFFF"/>
        </w:rPr>
        <w:t>,</w:t>
      </w:r>
      <w:r w:rsidRPr="00734A50">
        <w:rPr>
          <w:rFonts w:cstheme="minorHAnsi"/>
          <w:color w:val="1D2228"/>
          <w:shd w:val="clear" w:color="auto" w:fill="FFFFFF"/>
        </w:rPr>
        <w:t xml:space="preserve"> to ensure ITE graduates are taught sufficient</w:t>
      </w:r>
      <w:r w:rsidRPr="00734A50">
        <w:rPr>
          <w:rStyle w:val="apple-converted-space"/>
          <w:rFonts w:cstheme="minorHAnsi"/>
          <w:color w:val="1D2228"/>
          <w:shd w:val="clear" w:color="auto" w:fill="FFFFFF"/>
        </w:rPr>
        <w:t> </w:t>
      </w:r>
      <w:r w:rsidRPr="00734A50">
        <w:rPr>
          <w:rFonts w:cstheme="minorHAnsi"/>
          <w:color w:val="1D2228"/>
        </w:rPr>
        <w:t>evidence-based</w:t>
      </w:r>
      <w:r w:rsidRPr="00734A50">
        <w:rPr>
          <w:rStyle w:val="apple-converted-space"/>
          <w:rFonts w:cstheme="minorHAnsi"/>
          <w:color w:val="1D2228"/>
          <w:shd w:val="clear" w:color="auto" w:fill="FFFFFF"/>
        </w:rPr>
        <w:t> </w:t>
      </w:r>
      <w:r w:rsidRPr="00734A50">
        <w:rPr>
          <w:rFonts w:cstheme="minorHAnsi"/>
          <w:color w:val="1D2228"/>
          <w:shd w:val="clear" w:color="auto" w:fill="FFFFFF"/>
        </w:rPr>
        <w:t>practices to meet the A</w:t>
      </w:r>
      <w:r w:rsidRPr="00734A50">
        <w:rPr>
          <w:rFonts w:cstheme="minorHAnsi"/>
          <w:i/>
          <w:iCs/>
          <w:color w:val="1D2228"/>
          <w:shd w:val="clear" w:color="auto" w:fill="FFFFFF"/>
        </w:rPr>
        <w:t>ustralian Professional Standards for Teachers</w:t>
      </w:r>
      <w:r w:rsidRPr="00734A50">
        <w:rPr>
          <w:rFonts w:cstheme="minorHAnsi"/>
          <w:color w:val="1D2228"/>
          <w:shd w:val="clear" w:color="auto" w:fill="FFFFFF"/>
        </w:rPr>
        <w:t xml:space="preserve"> and</w:t>
      </w:r>
      <w:r w:rsidRPr="00734A50">
        <w:rPr>
          <w:rStyle w:val="apple-converted-space"/>
          <w:rFonts w:cstheme="minorHAnsi"/>
          <w:color w:val="1D2228"/>
          <w:shd w:val="clear" w:color="auto" w:fill="FFFFFF"/>
        </w:rPr>
        <w:t> </w:t>
      </w:r>
      <w:r w:rsidRPr="00734A50">
        <w:rPr>
          <w:rFonts w:cstheme="minorHAnsi"/>
          <w:color w:val="1D2228"/>
        </w:rPr>
        <w:t>empower them to lead a classroom</w:t>
      </w:r>
      <w:r w:rsidRPr="00734A50">
        <w:rPr>
          <w:rFonts w:cstheme="minorHAnsi"/>
          <w:color w:val="1D2228"/>
          <w:shd w:val="clear" w:color="auto" w:fill="FFFFFF"/>
        </w:rPr>
        <w:t xml:space="preserve">, with particular attention to teaching reading, </w:t>
      </w:r>
      <w:r w:rsidRPr="00734A50">
        <w:rPr>
          <w:rFonts w:cstheme="minorHAnsi"/>
        </w:rPr>
        <w:t>literacy and numeracy, classroom management, cultural responsiveness, teaching students with diverse needs</w:t>
      </w:r>
      <w:r w:rsidRPr="00734A50">
        <w:rPr>
          <w:rFonts w:cstheme="minorHAnsi"/>
          <w:color w:val="1D2228"/>
          <w:shd w:val="clear" w:color="auto" w:fill="FFFFFF"/>
        </w:rPr>
        <w:t xml:space="preserve"> and working with families/carers.</w:t>
      </w:r>
    </w:p>
    <w:p w14:paraId="2C5B1AAF" w14:textId="77777777" w:rsidR="00E90E48" w:rsidRPr="00734A50" w:rsidRDefault="00E90E48" w:rsidP="00E90E48">
      <w:pPr>
        <w:pStyle w:val="ListParagraph"/>
        <w:spacing w:after="200" w:line="276" w:lineRule="auto"/>
        <w:contextualSpacing w:val="0"/>
        <w:rPr>
          <w:rFonts w:cstheme="minorHAnsi"/>
        </w:rPr>
      </w:pPr>
    </w:p>
    <w:p w14:paraId="3E1B8351" w14:textId="77777777" w:rsidR="00E90E48" w:rsidRPr="00734A50" w:rsidRDefault="00E90E48" w:rsidP="00E90E48">
      <w:pPr>
        <w:pStyle w:val="ListParagraph"/>
        <w:numPr>
          <w:ilvl w:val="0"/>
          <w:numId w:val="224"/>
        </w:numPr>
        <w:spacing w:after="200" w:line="276" w:lineRule="auto"/>
        <w:contextualSpacing w:val="0"/>
        <w:rPr>
          <w:rFonts w:cstheme="minorHAnsi"/>
        </w:rPr>
      </w:pPr>
      <w:r w:rsidRPr="00734A50">
        <w:rPr>
          <w:rFonts w:cstheme="minorHAnsi"/>
          <w:b/>
          <w:bCs/>
          <w:u w:val="single"/>
        </w:rPr>
        <w:lastRenderedPageBreak/>
        <w:t>Improve the quality of practical experience in teaching</w:t>
      </w:r>
      <w:r w:rsidRPr="00734A50">
        <w:rPr>
          <w:rFonts w:cstheme="minorHAnsi"/>
        </w:rPr>
        <w:t xml:space="preserve"> with regard to best practice models used in education, medicine and other disciplines </w:t>
      </w:r>
    </w:p>
    <w:p w14:paraId="408988CD" w14:textId="77777777" w:rsidR="00E90E48" w:rsidRPr="00734A50" w:rsidRDefault="00E90E48" w:rsidP="00E90E48">
      <w:pPr>
        <w:pStyle w:val="xmsolistparagraph"/>
        <w:numPr>
          <w:ilvl w:val="0"/>
          <w:numId w:val="224"/>
        </w:numPr>
        <w:spacing w:after="200" w:line="276" w:lineRule="auto"/>
        <w:rPr>
          <w:rFonts w:asciiTheme="minorHAnsi" w:hAnsiTheme="minorHAnsi" w:cstheme="minorHAnsi"/>
        </w:rPr>
      </w:pPr>
      <w:r w:rsidRPr="00734A50">
        <w:rPr>
          <w:rFonts w:asciiTheme="minorHAnsi" w:hAnsiTheme="minorHAnsi" w:cstheme="minorHAnsi"/>
          <w:b/>
          <w:bCs/>
          <w:u w:val="single"/>
        </w:rPr>
        <w:t>Improve postgraduate initial teacher education for mid-career entrants</w:t>
      </w:r>
      <w:r w:rsidRPr="00734A50">
        <w:rPr>
          <w:rFonts w:asciiTheme="minorHAnsi" w:hAnsiTheme="minorHAnsi" w:cstheme="minorHAnsi"/>
        </w:rPr>
        <w:t xml:space="preserve">, to encourage more people to become teachers, while maintaining high standards. </w:t>
      </w:r>
    </w:p>
    <w:p w14:paraId="7751FA29" w14:textId="77777777" w:rsidR="00E90E48" w:rsidRPr="00734A50" w:rsidRDefault="00E90E48" w:rsidP="00E90E48">
      <w:pPr>
        <w:pStyle w:val="ListParagraph"/>
        <w:numPr>
          <w:ilvl w:val="0"/>
          <w:numId w:val="223"/>
        </w:numPr>
        <w:spacing w:after="200" w:line="276" w:lineRule="auto"/>
        <w:ind w:left="357" w:hanging="357"/>
        <w:contextualSpacing w:val="0"/>
        <w:rPr>
          <w:rFonts w:cstheme="minorHAnsi"/>
          <w:b/>
          <w:bCs/>
        </w:rPr>
      </w:pPr>
      <w:r w:rsidRPr="00734A50">
        <w:rPr>
          <w:rFonts w:cstheme="minorHAnsi"/>
          <w:b/>
          <w:bCs/>
        </w:rPr>
        <w:t xml:space="preserve">Approach: </w:t>
      </w:r>
    </w:p>
    <w:p w14:paraId="1EF6E0FF" w14:textId="77777777" w:rsidR="00E90E48" w:rsidRPr="00734A50" w:rsidRDefault="00E90E48" w:rsidP="00E90E48">
      <w:pPr>
        <w:rPr>
          <w:rFonts w:cstheme="minorHAnsi"/>
        </w:rPr>
      </w:pPr>
      <w:r w:rsidRPr="00734A50">
        <w:rPr>
          <w:rFonts w:cstheme="minorHAnsi"/>
        </w:rPr>
        <w:t>In undertaking its work, the Panel will consider the findings of the Quality Initial Teacher Education Review and consult with school and higher education sector stakeholders and other experts including through the newly established Teacher Workforce Action Plan Working Group.</w:t>
      </w:r>
    </w:p>
    <w:p w14:paraId="002251E9" w14:textId="77777777" w:rsidR="00E90E48" w:rsidRPr="00734A50" w:rsidRDefault="00E90E48" w:rsidP="00E90E48">
      <w:pPr>
        <w:rPr>
          <w:rFonts w:cstheme="minorHAnsi"/>
        </w:rPr>
      </w:pPr>
      <w:r w:rsidRPr="00734A50">
        <w:rPr>
          <w:rFonts w:cstheme="minorHAnsi"/>
        </w:rPr>
        <w:t>The Panel will take account of the need to increase the number of people starting and finishing initial teacher education including those currently under-represented such as First Nations people. The needs of regional and remote and other hard to staff schools and subject specialisations must also be considered.</w:t>
      </w:r>
    </w:p>
    <w:p w14:paraId="3FACFEC2" w14:textId="77777777" w:rsidR="00E90E48" w:rsidRPr="00734A50" w:rsidRDefault="00E90E48" w:rsidP="00E90E48">
      <w:pPr>
        <w:rPr>
          <w:rFonts w:cstheme="minorHAnsi"/>
        </w:rPr>
      </w:pPr>
      <w:r w:rsidRPr="00734A50">
        <w:rPr>
          <w:rFonts w:cstheme="minorHAnsi"/>
        </w:rPr>
        <w:t>The Panel will also consider interactions with other policy processes and government commitments including the Australian Universities Accord.</w:t>
      </w:r>
    </w:p>
    <w:p w14:paraId="6AB62B46" w14:textId="77777777" w:rsidR="00E90E48" w:rsidRPr="00734A50" w:rsidRDefault="00E90E48" w:rsidP="00E90E48">
      <w:pPr>
        <w:pStyle w:val="ListParagraph"/>
        <w:numPr>
          <w:ilvl w:val="0"/>
          <w:numId w:val="223"/>
        </w:numPr>
        <w:spacing w:after="200" w:line="276" w:lineRule="auto"/>
        <w:contextualSpacing w:val="0"/>
        <w:rPr>
          <w:rFonts w:cstheme="minorHAnsi"/>
          <w:b/>
          <w:bCs/>
        </w:rPr>
      </w:pPr>
      <w:r w:rsidRPr="00734A50">
        <w:rPr>
          <w:rFonts w:cstheme="minorHAnsi"/>
          <w:b/>
          <w:bCs/>
        </w:rPr>
        <w:t>Members:</w:t>
      </w:r>
    </w:p>
    <w:p w14:paraId="69A6F9A3" w14:textId="77777777" w:rsidR="00E90E48" w:rsidRPr="00734A50" w:rsidRDefault="00E90E48" w:rsidP="00E90E48">
      <w:pPr>
        <w:spacing w:after="0"/>
        <w:rPr>
          <w:rFonts w:cstheme="minorHAnsi"/>
        </w:rPr>
      </w:pPr>
      <w:r w:rsidRPr="00734A50">
        <w:rPr>
          <w:rFonts w:cstheme="minorHAnsi"/>
        </w:rPr>
        <w:t>Professor Mark Scott (Chair)</w:t>
      </w:r>
    </w:p>
    <w:p w14:paraId="45C3E0EB" w14:textId="77777777" w:rsidR="00E90E48" w:rsidRPr="00734A50" w:rsidRDefault="00E90E48" w:rsidP="00E90E48">
      <w:pPr>
        <w:spacing w:after="0"/>
        <w:rPr>
          <w:rFonts w:cstheme="minorHAnsi"/>
        </w:rPr>
      </w:pPr>
      <w:r w:rsidRPr="00734A50">
        <w:rPr>
          <w:rFonts w:cstheme="minorHAnsi"/>
        </w:rPr>
        <w:t>Professor Bill Louden</w:t>
      </w:r>
    </w:p>
    <w:p w14:paraId="06987722" w14:textId="77777777" w:rsidR="00E90E48" w:rsidRPr="00734A50" w:rsidRDefault="00E90E48" w:rsidP="00E90E48">
      <w:pPr>
        <w:spacing w:after="0"/>
        <w:rPr>
          <w:rFonts w:cstheme="minorHAnsi"/>
        </w:rPr>
      </w:pPr>
      <w:r w:rsidRPr="00734A50">
        <w:rPr>
          <w:rFonts w:cstheme="minorHAnsi"/>
        </w:rPr>
        <w:t>Professor Michele Simons</w:t>
      </w:r>
    </w:p>
    <w:p w14:paraId="221F0C13" w14:textId="77777777" w:rsidR="00E90E48" w:rsidRPr="00734A50" w:rsidRDefault="00E90E48" w:rsidP="00E90E48">
      <w:pPr>
        <w:spacing w:after="0"/>
        <w:rPr>
          <w:rFonts w:cstheme="minorHAnsi"/>
        </w:rPr>
      </w:pPr>
      <w:r w:rsidRPr="00734A50">
        <w:rPr>
          <w:rFonts w:cstheme="minorHAnsi"/>
        </w:rPr>
        <w:t xml:space="preserve">Dr Jenny Donovan </w:t>
      </w:r>
    </w:p>
    <w:p w14:paraId="1C1EFBA3" w14:textId="77777777" w:rsidR="00E90E48" w:rsidRPr="00734A50" w:rsidRDefault="00E90E48" w:rsidP="00E90E48">
      <w:pPr>
        <w:spacing w:after="0"/>
        <w:rPr>
          <w:rFonts w:cstheme="minorHAnsi"/>
        </w:rPr>
      </w:pPr>
      <w:r w:rsidRPr="00734A50">
        <w:rPr>
          <w:rFonts w:cstheme="minorHAnsi"/>
        </w:rPr>
        <w:t>Mr Andrew Peach</w:t>
      </w:r>
    </w:p>
    <w:p w14:paraId="6BA861AC" w14:textId="77777777" w:rsidR="00E90E48" w:rsidRPr="00734A50" w:rsidRDefault="00E90E48" w:rsidP="00E90E48">
      <w:pPr>
        <w:spacing w:after="0"/>
        <w:rPr>
          <w:rFonts w:cstheme="minorHAnsi"/>
        </w:rPr>
      </w:pPr>
      <w:r w:rsidRPr="00734A50">
        <w:rPr>
          <w:rFonts w:cstheme="minorHAnsi"/>
        </w:rPr>
        <w:t>Ms Rebecca West</w:t>
      </w:r>
    </w:p>
    <w:p w14:paraId="36EF9695" w14:textId="77777777" w:rsidR="0026673A" w:rsidRPr="00734A50" w:rsidRDefault="0026673A">
      <w:pPr>
        <w:spacing w:after="160" w:line="259" w:lineRule="auto"/>
        <w:rPr>
          <w:rFonts w:asciiTheme="majorHAnsi" w:eastAsiaTheme="majorEastAsia" w:hAnsiTheme="majorHAnsi" w:cstheme="majorBidi"/>
          <w:b/>
          <w:color w:val="002C3E" w:themeColor="background2"/>
          <w:sz w:val="36"/>
          <w:szCs w:val="26"/>
          <w:lang w:eastAsia="en-AU"/>
        </w:rPr>
      </w:pPr>
      <w:r w:rsidRPr="00734A50">
        <w:rPr>
          <w:lang w:eastAsia="en-AU"/>
        </w:rPr>
        <w:br w:type="page"/>
      </w:r>
    </w:p>
    <w:p w14:paraId="4C5AC6BB" w14:textId="7D943D70" w:rsidR="00FF0FB5" w:rsidRPr="00734A50" w:rsidRDefault="00FF0FB5" w:rsidP="0012041E">
      <w:pPr>
        <w:pStyle w:val="Heading2"/>
        <w:rPr>
          <w:lang w:eastAsia="en-AU"/>
        </w:rPr>
      </w:pPr>
      <w:bookmarkStart w:id="109" w:name="_Toc139366669"/>
      <w:r w:rsidRPr="00734A50">
        <w:rPr>
          <w:lang w:eastAsia="en-AU"/>
        </w:rPr>
        <w:lastRenderedPageBreak/>
        <w:t xml:space="preserve">APPENDIX B: </w:t>
      </w:r>
      <w:r w:rsidR="00753794" w:rsidRPr="00734A50">
        <w:rPr>
          <w:lang w:eastAsia="en-AU"/>
        </w:rPr>
        <w:t xml:space="preserve">Submission </w:t>
      </w:r>
      <w:r w:rsidR="009720BC" w:rsidRPr="00734A50">
        <w:rPr>
          <w:lang w:eastAsia="en-AU"/>
        </w:rPr>
        <w:t>l</w:t>
      </w:r>
      <w:r w:rsidR="00753794" w:rsidRPr="00734A50">
        <w:rPr>
          <w:lang w:eastAsia="en-AU"/>
        </w:rPr>
        <w:t>ist</w:t>
      </w:r>
      <w:r w:rsidR="00414020" w:rsidRPr="00734A50">
        <w:rPr>
          <w:lang w:eastAsia="en-AU"/>
        </w:rPr>
        <w:t xml:space="preserve"> and stakeholder meetings</w:t>
      </w:r>
      <w:bookmarkEnd w:id="109"/>
    </w:p>
    <w:p w14:paraId="08E3C0A1" w14:textId="7D5BD4BD" w:rsidR="007C39BC" w:rsidRPr="00734A50" w:rsidRDefault="007C39BC" w:rsidP="007C39BC">
      <w:pPr>
        <w:pStyle w:val="Heading3"/>
      </w:pPr>
      <w:bookmarkStart w:id="110" w:name="_Toc139366670"/>
      <w:r w:rsidRPr="00734A50">
        <w:t>Submission list</w:t>
      </w:r>
      <w:bookmarkEnd w:id="110"/>
    </w:p>
    <w:p w14:paraId="43473B66" w14:textId="78BC4E6A" w:rsidR="007C39BC" w:rsidRPr="00734A50" w:rsidRDefault="007C39BC" w:rsidP="007C39BC">
      <w:pPr>
        <w:spacing w:after="0" w:line="240" w:lineRule="auto"/>
        <w:rPr>
          <w:rFonts w:ascii="Calibri" w:eastAsia="Times New Roman" w:hAnsi="Calibri" w:cs="Times New Roman"/>
          <w:color w:val="000000"/>
          <w:sz w:val="20"/>
          <w:szCs w:val="20"/>
          <w:lang w:eastAsia="en-AU"/>
        </w:rPr>
      </w:pPr>
      <w:r w:rsidRPr="00734A50">
        <w:rPr>
          <w:rFonts w:ascii="Calibri" w:eastAsia="Times New Roman" w:hAnsi="Calibri" w:cs="Times New Roman"/>
          <w:color w:val="000000"/>
          <w:sz w:val="20"/>
          <w:szCs w:val="20"/>
          <w:lang w:eastAsia="en-AU"/>
        </w:rPr>
        <w:t>The Teacher Education Expert Panel discussion paper received a total of 115 submissions. In addition to 20 anonymous submissions, those who gave permission for their submission to be published are listed below.</w:t>
      </w:r>
    </w:p>
    <w:p w14:paraId="3F2E8FAE" w14:textId="77777777" w:rsidR="008164DA" w:rsidRPr="00734A50" w:rsidRDefault="008164DA" w:rsidP="0068719A">
      <w:pPr>
        <w:spacing w:after="0" w:line="240" w:lineRule="auto"/>
        <w:rPr>
          <w:rFonts w:ascii="Calibri" w:eastAsia="Times New Roman" w:hAnsi="Calibri" w:cs="Times New Roman"/>
          <w:color w:val="000000"/>
          <w:sz w:val="20"/>
          <w:szCs w:val="20"/>
          <w:lang w:eastAsia="en-AU"/>
        </w:rPr>
      </w:pPr>
    </w:p>
    <w:p w14:paraId="53EB9D3D" w14:textId="77777777" w:rsidR="008164DA" w:rsidRPr="00734A50" w:rsidRDefault="008164DA" w:rsidP="0068719A">
      <w:pPr>
        <w:spacing w:after="0" w:line="240" w:lineRule="auto"/>
        <w:rPr>
          <w:rFonts w:ascii="Calibri" w:eastAsia="Times New Roman" w:hAnsi="Calibri" w:cs="Times New Roman"/>
          <w:color w:val="000000"/>
          <w:sz w:val="20"/>
          <w:szCs w:val="20"/>
          <w:lang w:eastAsia="en-AU"/>
        </w:rPr>
      </w:pPr>
    </w:p>
    <w:p w14:paraId="3B852DA4" w14:textId="77777777" w:rsidR="00FB1CCB" w:rsidRPr="00734A50" w:rsidRDefault="00FB1CCB" w:rsidP="008164DA">
      <w:pPr>
        <w:spacing w:after="0" w:line="240" w:lineRule="auto"/>
        <w:ind w:left="360"/>
        <w:rPr>
          <w:rFonts w:ascii="Calibri" w:eastAsia="Times New Roman" w:hAnsi="Calibri" w:cs="Calibri"/>
          <w:color w:val="000000"/>
          <w:lang w:eastAsia="en-AU"/>
        </w:rPr>
        <w:sectPr w:rsidR="00FB1CCB" w:rsidRPr="00734A50" w:rsidSect="00AF1232">
          <w:pgSz w:w="11900" w:h="16840"/>
          <w:pgMar w:top="1440" w:right="1440" w:bottom="1440" w:left="1440" w:header="708" w:footer="708" w:gutter="0"/>
          <w:cols w:space="708"/>
          <w:docGrid w:linePitch="360"/>
        </w:sectPr>
      </w:pPr>
    </w:p>
    <w:p w14:paraId="710F83D9"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Alphacrucis University College</w:t>
      </w:r>
      <w:r>
        <w:rPr>
          <w:rStyle w:val="eop"/>
          <w:rFonts w:ascii="Calibri" w:hAnsi="Calibri" w:cs="Calibri"/>
          <w:color w:val="000000"/>
          <w:sz w:val="22"/>
          <w:szCs w:val="22"/>
        </w:rPr>
        <w:t> </w:t>
      </w:r>
    </w:p>
    <w:p w14:paraId="7B421344"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sidRPr="00DC720C">
        <w:rPr>
          <w:rStyle w:val="normaltextrun"/>
          <w:rFonts w:ascii="Calibri" w:hAnsi="Calibri" w:cs="Calibri"/>
          <w:color w:val="000000"/>
          <w:sz w:val="22"/>
          <w:szCs w:val="22"/>
        </w:rPr>
        <w:t>Asia Education Foundation</w:t>
      </w:r>
      <w:r>
        <w:rPr>
          <w:rStyle w:val="eop"/>
          <w:rFonts w:ascii="Calibri" w:hAnsi="Calibri" w:cs="Calibri"/>
          <w:color w:val="000000"/>
          <w:sz w:val="22"/>
          <w:szCs w:val="22"/>
        </w:rPr>
        <w:t> </w:t>
      </w:r>
    </w:p>
    <w:p w14:paraId="30EA0639"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Assessment for Graduate Teaching Consortium</w:t>
      </w:r>
      <w:r>
        <w:rPr>
          <w:rStyle w:val="eop"/>
          <w:rFonts w:ascii="Calibri" w:hAnsi="Calibri" w:cs="Calibri"/>
          <w:color w:val="000000"/>
          <w:sz w:val="22"/>
          <w:szCs w:val="22"/>
        </w:rPr>
        <w:t> </w:t>
      </w:r>
    </w:p>
    <w:p w14:paraId="1CFD8F8D"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Association of Heads of Independent Schools of Australia </w:t>
      </w:r>
      <w:r>
        <w:rPr>
          <w:rStyle w:val="eop"/>
          <w:rFonts w:ascii="Calibri" w:hAnsi="Calibri" w:cs="Calibri"/>
          <w:color w:val="000000"/>
          <w:sz w:val="22"/>
          <w:szCs w:val="22"/>
        </w:rPr>
        <w:t> </w:t>
      </w:r>
    </w:p>
    <w:p w14:paraId="4678DBB4"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Australasian Teacher Regulatory Authorities </w:t>
      </w:r>
      <w:r>
        <w:rPr>
          <w:rStyle w:val="eop"/>
          <w:rFonts w:ascii="Calibri" w:hAnsi="Calibri" w:cs="Calibri"/>
          <w:color w:val="000000"/>
          <w:sz w:val="22"/>
          <w:szCs w:val="22"/>
        </w:rPr>
        <w:t> </w:t>
      </w:r>
    </w:p>
    <w:p w14:paraId="25916D2C"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Academy of Technological Sciences &amp; Engineering</w:t>
      </w:r>
      <w:r>
        <w:rPr>
          <w:rStyle w:val="eop"/>
          <w:rFonts w:ascii="Calibri" w:hAnsi="Calibri" w:cs="Calibri"/>
          <w:color w:val="000000"/>
          <w:sz w:val="22"/>
          <w:szCs w:val="22"/>
        </w:rPr>
        <w:t> </w:t>
      </w:r>
    </w:p>
    <w:p w14:paraId="5715F039"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Association for the Education of the Gifted and Talented</w:t>
      </w:r>
      <w:r>
        <w:rPr>
          <w:rStyle w:val="eop"/>
          <w:rFonts w:ascii="Calibri" w:hAnsi="Calibri" w:cs="Calibri"/>
          <w:color w:val="000000"/>
          <w:sz w:val="22"/>
          <w:szCs w:val="22"/>
        </w:rPr>
        <w:t> </w:t>
      </w:r>
    </w:p>
    <w:p w14:paraId="7FADA03B"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Australian Association of Special Education</w:t>
      </w:r>
      <w:r>
        <w:rPr>
          <w:rStyle w:val="eop"/>
          <w:rFonts w:ascii="Calibri" w:hAnsi="Calibri" w:cs="Calibri"/>
          <w:color w:val="000000"/>
          <w:sz w:val="22"/>
          <w:szCs w:val="22"/>
        </w:rPr>
        <w:t> </w:t>
      </w:r>
    </w:p>
    <w:p w14:paraId="42E8FC5B"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Australian Catholic University (National School of Education)</w:t>
      </w:r>
      <w:r>
        <w:rPr>
          <w:rStyle w:val="eop"/>
          <w:rFonts w:ascii="Calibri" w:hAnsi="Calibri" w:cs="Calibri"/>
          <w:color w:val="000000"/>
          <w:sz w:val="22"/>
          <w:szCs w:val="22"/>
        </w:rPr>
        <w:t> </w:t>
      </w:r>
    </w:p>
    <w:p w14:paraId="7F2611E3"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Australian Catholic University</w:t>
      </w:r>
      <w:r>
        <w:rPr>
          <w:rStyle w:val="eop"/>
          <w:rFonts w:ascii="Calibri" w:hAnsi="Calibri" w:cs="Calibri"/>
          <w:color w:val="000000"/>
          <w:sz w:val="22"/>
          <w:szCs w:val="22"/>
        </w:rPr>
        <w:t> </w:t>
      </w:r>
    </w:p>
    <w:p w14:paraId="728921B4"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Australian Council for Educational Research</w:t>
      </w:r>
      <w:r>
        <w:rPr>
          <w:rStyle w:val="eop"/>
          <w:rFonts w:ascii="Calibri" w:hAnsi="Calibri" w:cs="Calibri"/>
          <w:color w:val="000000"/>
          <w:sz w:val="22"/>
          <w:szCs w:val="22"/>
        </w:rPr>
        <w:t> </w:t>
      </w:r>
    </w:p>
    <w:p w14:paraId="11DEFA7E"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Australian Council of Deans of Education</w:t>
      </w:r>
      <w:r>
        <w:rPr>
          <w:rStyle w:val="eop"/>
          <w:rFonts w:ascii="Calibri" w:hAnsi="Calibri" w:cs="Calibri"/>
          <w:color w:val="000000"/>
          <w:sz w:val="22"/>
          <w:szCs w:val="22"/>
        </w:rPr>
        <w:t> </w:t>
      </w:r>
    </w:p>
    <w:p w14:paraId="323C703E"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Australian Council of State School Organisations</w:t>
      </w:r>
      <w:r>
        <w:rPr>
          <w:rStyle w:val="eop"/>
          <w:rFonts w:ascii="Calibri" w:hAnsi="Calibri" w:cs="Calibri"/>
          <w:color w:val="000000"/>
          <w:sz w:val="22"/>
          <w:szCs w:val="22"/>
        </w:rPr>
        <w:t> </w:t>
      </w:r>
    </w:p>
    <w:p w14:paraId="53AAC467"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Council of TESOL Associations</w:t>
      </w:r>
      <w:r>
        <w:rPr>
          <w:rStyle w:val="eop"/>
          <w:rFonts w:ascii="Calibri" w:hAnsi="Calibri" w:cs="Calibri"/>
          <w:color w:val="000000"/>
          <w:sz w:val="22"/>
          <w:szCs w:val="22"/>
        </w:rPr>
        <w:t> </w:t>
      </w:r>
    </w:p>
    <w:p w14:paraId="593D8101"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Early Childhood Teacher Education Network</w:t>
      </w:r>
      <w:r>
        <w:rPr>
          <w:rStyle w:val="eop"/>
          <w:rFonts w:ascii="Calibri" w:hAnsi="Calibri" w:cs="Calibri"/>
          <w:color w:val="000000"/>
          <w:sz w:val="22"/>
          <w:szCs w:val="22"/>
        </w:rPr>
        <w:t> </w:t>
      </w:r>
    </w:p>
    <w:p w14:paraId="278AD82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Education Research Organisation's Board</w:t>
      </w:r>
      <w:r>
        <w:rPr>
          <w:rStyle w:val="eop"/>
          <w:rFonts w:ascii="Calibri" w:hAnsi="Calibri" w:cs="Calibri"/>
          <w:color w:val="000000"/>
          <w:sz w:val="22"/>
          <w:szCs w:val="22"/>
        </w:rPr>
        <w:t> </w:t>
      </w:r>
    </w:p>
    <w:p w14:paraId="14944E3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Education Union</w:t>
      </w:r>
      <w:r>
        <w:rPr>
          <w:rStyle w:val="eop"/>
          <w:rFonts w:ascii="Calibri" w:hAnsi="Calibri" w:cs="Calibri"/>
          <w:color w:val="000000"/>
          <w:sz w:val="22"/>
          <w:szCs w:val="22"/>
        </w:rPr>
        <w:t> </w:t>
      </w:r>
    </w:p>
    <w:p w14:paraId="1889E808"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Australian Primary Principals Association</w:t>
      </w:r>
      <w:r>
        <w:rPr>
          <w:rStyle w:val="eop"/>
          <w:rFonts w:ascii="Calibri" w:hAnsi="Calibri" w:cs="Calibri"/>
          <w:color w:val="000000"/>
          <w:sz w:val="22"/>
          <w:szCs w:val="22"/>
        </w:rPr>
        <w:t> </w:t>
      </w:r>
    </w:p>
    <w:p w14:paraId="7D973007"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Barnes, Carol</w:t>
      </w:r>
      <w:r>
        <w:rPr>
          <w:rStyle w:val="eop"/>
          <w:rFonts w:ascii="Calibri" w:hAnsi="Calibri" w:cs="Calibri"/>
          <w:color w:val="000000"/>
          <w:sz w:val="22"/>
          <w:szCs w:val="22"/>
        </w:rPr>
        <w:t> </w:t>
      </w:r>
    </w:p>
    <w:p w14:paraId="2C1A746E"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Catholic Education Archdiocese of Canberra &amp; Goulburn</w:t>
      </w:r>
      <w:r>
        <w:rPr>
          <w:rStyle w:val="eop"/>
          <w:rFonts w:ascii="Calibri" w:hAnsi="Calibri" w:cs="Calibri"/>
          <w:color w:val="000000"/>
          <w:sz w:val="22"/>
          <w:szCs w:val="22"/>
        </w:rPr>
        <w:t> </w:t>
      </w:r>
    </w:p>
    <w:p w14:paraId="0DF16B6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Catholic Schools NSW</w:t>
      </w:r>
      <w:r>
        <w:rPr>
          <w:rStyle w:val="eop"/>
          <w:rFonts w:ascii="Calibri" w:hAnsi="Calibri" w:cs="Calibri"/>
          <w:color w:val="000000"/>
          <w:sz w:val="22"/>
          <w:szCs w:val="22"/>
        </w:rPr>
        <w:t> </w:t>
      </w:r>
    </w:p>
    <w:p w14:paraId="01B297FB"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Centre of Educational Measurement and Assessment at University of Sydney</w:t>
      </w:r>
      <w:r>
        <w:rPr>
          <w:rStyle w:val="eop"/>
          <w:rFonts w:ascii="Calibri" w:hAnsi="Calibri" w:cs="Calibri"/>
          <w:color w:val="000000"/>
          <w:sz w:val="22"/>
          <w:szCs w:val="22"/>
        </w:rPr>
        <w:t> </w:t>
      </w:r>
    </w:p>
    <w:p w14:paraId="3B7D1CD3"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Charles Darwin University</w:t>
      </w:r>
      <w:r>
        <w:rPr>
          <w:rStyle w:val="eop"/>
          <w:rFonts w:ascii="Calibri" w:hAnsi="Calibri" w:cs="Calibri"/>
          <w:color w:val="000000"/>
          <w:sz w:val="22"/>
          <w:szCs w:val="22"/>
        </w:rPr>
        <w:t> </w:t>
      </w:r>
    </w:p>
    <w:p w14:paraId="49C79DAD"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Charles Sturt University</w:t>
      </w:r>
      <w:r>
        <w:rPr>
          <w:rStyle w:val="eop"/>
          <w:rFonts w:ascii="Calibri" w:hAnsi="Calibri" w:cs="Calibri"/>
          <w:color w:val="000000"/>
          <w:sz w:val="22"/>
          <w:szCs w:val="22"/>
        </w:rPr>
        <w:t> </w:t>
      </w:r>
    </w:p>
    <w:p w14:paraId="09F8CA38"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Code Read Dyslexia Network Australia</w:t>
      </w:r>
      <w:r>
        <w:rPr>
          <w:rStyle w:val="eop"/>
          <w:rFonts w:ascii="Calibri" w:hAnsi="Calibri" w:cs="Calibri"/>
          <w:color w:val="000000"/>
          <w:sz w:val="22"/>
          <w:szCs w:val="22"/>
        </w:rPr>
        <w:t> </w:t>
      </w:r>
    </w:p>
    <w:p w14:paraId="28728E0D"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CQ University Australia</w:t>
      </w:r>
      <w:r>
        <w:rPr>
          <w:rStyle w:val="eop"/>
          <w:rFonts w:ascii="Calibri" w:hAnsi="Calibri" w:cs="Calibri"/>
          <w:color w:val="000000"/>
          <w:sz w:val="22"/>
          <w:szCs w:val="22"/>
        </w:rPr>
        <w:t> </w:t>
      </w:r>
    </w:p>
    <w:p w14:paraId="4DC05C0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CSIRO</w:t>
      </w:r>
      <w:r>
        <w:rPr>
          <w:rStyle w:val="eop"/>
          <w:rFonts w:ascii="Calibri" w:hAnsi="Calibri" w:cs="Calibri"/>
          <w:color w:val="000000"/>
          <w:sz w:val="22"/>
          <w:szCs w:val="22"/>
        </w:rPr>
        <w:t> </w:t>
      </w:r>
    </w:p>
    <w:p w14:paraId="6797EB3C"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Dyslexia Victoria Support</w:t>
      </w:r>
      <w:r>
        <w:rPr>
          <w:rStyle w:val="eop"/>
          <w:rFonts w:ascii="Calibri" w:hAnsi="Calibri" w:cs="Calibri"/>
          <w:color w:val="000000"/>
          <w:sz w:val="22"/>
          <w:szCs w:val="22"/>
        </w:rPr>
        <w:t> </w:t>
      </w:r>
    </w:p>
    <w:p w14:paraId="4A284373"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Edith Cowan University</w:t>
      </w:r>
      <w:r>
        <w:rPr>
          <w:rStyle w:val="eop"/>
          <w:rFonts w:ascii="Calibri" w:hAnsi="Calibri" w:cs="Calibri"/>
          <w:color w:val="000000"/>
          <w:sz w:val="22"/>
          <w:szCs w:val="22"/>
        </w:rPr>
        <w:t> </w:t>
      </w:r>
    </w:p>
    <w:p w14:paraId="05B066C7"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Edmunds, David</w:t>
      </w:r>
      <w:r>
        <w:rPr>
          <w:rStyle w:val="eop"/>
          <w:rFonts w:ascii="Calibri" w:hAnsi="Calibri" w:cs="Calibri"/>
          <w:color w:val="000000"/>
          <w:sz w:val="22"/>
          <w:szCs w:val="22"/>
        </w:rPr>
        <w:t> </w:t>
      </w:r>
    </w:p>
    <w:p w14:paraId="5B638528"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Education Research Solutions</w:t>
      </w:r>
      <w:r>
        <w:rPr>
          <w:rStyle w:val="eop"/>
          <w:rFonts w:ascii="Calibri" w:hAnsi="Calibri" w:cs="Calibri"/>
          <w:color w:val="000000"/>
          <w:sz w:val="22"/>
          <w:szCs w:val="22"/>
        </w:rPr>
        <w:t> </w:t>
      </w:r>
    </w:p>
    <w:p w14:paraId="40B5A19D" w14:textId="75D01E15" w:rsidR="008640B2" w:rsidRDefault="008640B2" w:rsidP="00726093">
      <w:pPr>
        <w:pStyle w:val="paragraph"/>
        <w:spacing w:before="0" w:beforeAutospacing="0" w:after="0" w:afterAutospacing="0"/>
        <w:ind w:left="36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Emeritus </w:t>
      </w:r>
      <w:r w:rsidR="00DA09EF">
        <w:rPr>
          <w:rStyle w:val="normaltextrun"/>
          <w:rFonts w:ascii="Calibri" w:hAnsi="Calibri" w:cs="Calibri"/>
          <w:color w:val="000000"/>
          <w:sz w:val="22"/>
          <w:szCs w:val="22"/>
        </w:rPr>
        <w:t>Professor Terry Lovat</w:t>
      </w:r>
    </w:p>
    <w:p w14:paraId="13F83776" w14:textId="2D6CC45B"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Emeritus Professor Wayne Sawyer and Emeritus Professor Rob Hattam</w:t>
      </w:r>
      <w:r>
        <w:rPr>
          <w:rStyle w:val="eop"/>
          <w:rFonts w:ascii="Calibri" w:hAnsi="Calibri" w:cs="Calibri"/>
          <w:color w:val="000000"/>
          <w:sz w:val="22"/>
          <w:szCs w:val="22"/>
        </w:rPr>
        <w:t> </w:t>
      </w:r>
    </w:p>
    <w:p w14:paraId="34745AD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Expect to Win Pty Ltd</w:t>
      </w:r>
      <w:r>
        <w:rPr>
          <w:rStyle w:val="eop"/>
          <w:rFonts w:ascii="Calibri" w:hAnsi="Calibri" w:cs="Calibri"/>
          <w:color w:val="000000"/>
          <w:sz w:val="22"/>
          <w:szCs w:val="22"/>
        </w:rPr>
        <w:t> </w:t>
      </w:r>
    </w:p>
    <w:p w14:paraId="6ECEEEE8"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Ferman, Terrie</w:t>
      </w:r>
      <w:r>
        <w:rPr>
          <w:rStyle w:val="eop"/>
          <w:rFonts w:ascii="Calibri" w:hAnsi="Calibri" w:cs="Calibri"/>
          <w:color w:val="000000"/>
          <w:sz w:val="22"/>
          <w:szCs w:val="22"/>
        </w:rPr>
        <w:t> </w:t>
      </w:r>
    </w:p>
    <w:p w14:paraId="13B02894"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Flinders University</w:t>
      </w:r>
      <w:r>
        <w:rPr>
          <w:rStyle w:val="eop"/>
          <w:rFonts w:ascii="Calibri" w:hAnsi="Calibri" w:cs="Calibri"/>
          <w:color w:val="000000"/>
          <w:sz w:val="22"/>
          <w:szCs w:val="22"/>
        </w:rPr>
        <w:t> </w:t>
      </w:r>
    </w:p>
    <w:p w14:paraId="681177A0"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Gardiner, John</w:t>
      </w:r>
      <w:r>
        <w:rPr>
          <w:rStyle w:val="eop"/>
          <w:rFonts w:ascii="Calibri" w:hAnsi="Calibri" w:cs="Calibri"/>
          <w:color w:val="000000"/>
          <w:sz w:val="22"/>
          <w:szCs w:val="22"/>
        </w:rPr>
        <w:t> </w:t>
      </w:r>
    </w:p>
    <w:p w14:paraId="0127285E"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Graduate School of Education, The University of Western Australia</w:t>
      </w:r>
      <w:r>
        <w:rPr>
          <w:rStyle w:val="eop"/>
          <w:rFonts w:ascii="Calibri" w:hAnsi="Calibri" w:cs="Calibri"/>
          <w:color w:val="000000"/>
          <w:sz w:val="22"/>
          <w:szCs w:val="22"/>
        </w:rPr>
        <w:t> </w:t>
      </w:r>
    </w:p>
    <w:p w14:paraId="56445F8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Halsey, John</w:t>
      </w:r>
      <w:r>
        <w:rPr>
          <w:rStyle w:val="eop"/>
          <w:rFonts w:ascii="Calibri" w:hAnsi="Calibri" w:cs="Calibri"/>
          <w:color w:val="000000"/>
          <w:sz w:val="22"/>
          <w:szCs w:val="22"/>
        </w:rPr>
        <w:t> </w:t>
      </w:r>
    </w:p>
    <w:p w14:paraId="1812E0BF"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HALT Association NSW</w:t>
      </w:r>
      <w:r>
        <w:rPr>
          <w:rStyle w:val="eop"/>
          <w:rFonts w:ascii="Calibri" w:hAnsi="Calibri" w:cs="Calibri"/>
          <w:color w:val="000000"/>
          <w:sz w:val="22"/>
          <w:szCs w:val="22"/>
        </w:rPr>
        <w:t> </w:t>
      </w:r>
    </w:p>
    <w:p w14:paraId="2744BEA1"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Harpur, Paul</w:t>
      </w:r>
      <w:r>
        <w:rPr>
          <w:rStyle w:val="eop"/>
          <w:rFonts w:ascii="Calibri" w:hAnsi="Calibri" w:cs="Calibri"/>
          <w:color w:val="000000"/>
          <w:sz w:val="22"/>
          <w:szCs w:val="22"/>
        </w:rPr>
        <w:t> </w:t>
      </w:r>
    </w:p>
    <w:p w14:paraId="1351E5A8"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Independent Education Union of Australia</w:t>
      </w:r>
      <w:r>
        <w:rPr>
          <w:rStyle w:val="eop"/>
          <w:rFonts w:ascii="Calibri" w:hAnsi="Calibri" w:cs="Calibri"/>
          <w:color w:val="000000"/>
          <w:sz w:val="22"/>
          <w:szCs w:val="22"/>
        </w:rPr>
        <w:t> </w:t>
      </w:r>
    </w:p>
    <w:p w14:paraId="47E4163A"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Institute of Special Educators</w:t>
      </w:r>
      <w:r>
        <w:rPr>
          <w:rStyle w:val="eop"/>
          <w:rFonts w:ascii="Calibri" w:hAnsi="Calibri" w:cs="Calibri"/>
          <w:color w:val="000000"/>
          <w:sz w:val="22"/>
          <w:szCs w:val="22"/>
        </w:rPr>
        <w:t> </w:t>
      </w:r>
    </w:p>
    <w:p w14:paraId="143591C1"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Isolated Children’s Parents’ Association of Australia Inc. (ICPA Aust)</w:t>
      </w:r>
      <w:r>
        <w:rPr>
          <w:rStyle w:val="eop"/>
          <w:rFonts w:ascii="Calibri" w:hAnsi="Calibri" w:cs="Calibri"/>
          <w:color w:val="000000"/>
          <w:sz w:val="22"/>
          <w:szCs w:val="22"/>
        </w:rPr>
        <w:t> </w:t>
      </w:r>
    </w:p>
    <w:p w14:paraId="366ED2C2" w14:textId="3815A4A5" w:rsidR="001C4440" w:rsidRDefault="001C4440" w:rsidP="00726093">
      <w:pPr>
        <w:pStyle w:val="paragraph"/>
        <w:spacing w:before="0" w:beforeAutospacing="0" w:after="0" w:afterAutospacing="0"/>
        <w:ind w:left="36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Jakupovic, Wardah</w:t>
      </w:r>
    </w:p>
    <w:p w14:paraId="6625550E" w14:textId="08260A89"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La Trobe University</w:t>
      </w:r>
      <w:r>
        <w:rPr>
          <w:rStyle w:val="eop"/>
          <w:rFonts w:ascii="Calibri" w:hAnsi="Calibri" w:cs="Calibri"/>
          <w:color w:val="000000"/>
          <w:sz w:val="22"/>
          <w:szCs w:val="22"/>
        </w:rPr>
        <w:t> </w:t>
      </w:r>
    </w:p>
    <w:p w14:paraId="5766E814"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Lovell, Oliver</w:t>
      </w:r>
      <w:r>
        <w:rPr>
          <w:rStyle w:val="eop"/>
          <w:rFonts w:ascii="Calibri" w:hAnsi="Calibri" w:cs="Calibri"/>
          <w:color w:val="000000"/>
          <w:sz w:val="22"/>
          <w:szCs w:val="22"/>
        </w:rPr>
        <w:t> </w:t>
      </w:r>
    </w:p>
    <w:p w14:paraId="21E21977"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Mangubhai, Dr Francis</w:t>
      </w:r>
      <w:r>
        <w:rPr>
          <w:rStyle w:val="eop"/>
          <w:rFonts w:ascii="Calibri" w:hAnsi="Calibri" w:cs="Calibri"/>
          <w:color w:val="000000"/>
          <w:sz w:val="22"/>
          <w:szCs w:val="22"/>
        </w:rPr>
        <w:t> </w:t>
      </w:r>
    </w:p>
    <w:p w14:paraId="79F7A7A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Mathematics Education Research Group of Australasia</w:t>
      </w:r>
      <w:r>
        <w:rPr>
          <w:rStyle w:val="eop"/>
          <w:rFonts w:ascii="Calibri" w:hAnsi="Calibri" w:cs="Calibri"/>
          <w:color w:val="000000"/>
          <w:sz w:val="22"/>
          <w:szCs w:val="22"/>
        </w:rPr>
        <w:t> </w:t>
      </w:r>
    </w:p>
    <w:p w14:paraId="2CE8493A"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Melbourne Graduate School of Education, University of Melbourne</w:t>
      </w:r>
      <w:r>
        <w:rPr>
          <w:rStyle w:val="eop"/>
          <w:rFonts w:ascii="Calibri" w:hAnsi="Calibri" w:cs="Calibri"/>
          <w:color w:val="000000"/>
          <w:sz w:val="22"/>
          <w:szCs w:val="22"/>
        </w:rPr>
        <w:t> </w:t>
      </w:r>
    </w:p>
    <w:p w14:paraId="664E0485"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Millican, Kevan</w:t>
      </w:r>
      <w:r>
        <w:rPr>
          <w:rStyle w:val="eop"/>
          <w:rFonts w:ascii="Calibri" w:hAnsi="Calibri" w:cs="Calibri"/>
          <w:color w:val="000000"/>
          <w:sz w:val="22"/>
          <w:szCs w:val="22"/>
        </w:rPr>
        <w:t> </w:t>
      </w:r>
    </w:p>
    <w:p w14:paraId="5A1042F9"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Monash University</w:t>
      </w:r>
      <w:r>
        <w:rPr>
          <w:rStyle w:val="eop"/>
          <w:rFonts w:ascii="Calibri" w:hAnsi="Calibri" w:cs="Calibri"/>
          <w:color w:val="000000"/>
          <w:sz w:val="22"/>
          <w:szCs w:val="22"/>
        </w:rPr>
        <w:t> </w:t>
      </w:r>
    </w:p>
    <w:p w14:paraId="3CE6306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Mundy, Mick</w:t>
      </w:r>
      <w:r>
        <w:rPr>
          <w:rStyle w:val="eop"/>
          <w:rFonts w:ascii="Calibri" w:hAnsi="Calibri" w:cs="Calibri"/>
          <w:color w:val="000000"/>
          <w:sz w:val="22"/>
          <w:szCs w:val="22"/>
        </w:rPr>
        <w:t> </w:t>
      </w:r>
    </w:p>
    <w:p w14:paraId="65DCF454"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Murdoch University</w:t>
      </w:r>
      <w:r>
        <w:rPr>
          <w:rStyle w:val="eop"/>
          <w:rFonts w:ascii="Calibri" w:hAnsi="Calibri" w:cs="Calibri"/>
          <w:color w:val="000000"/>
          <w:sz w:val="22"/>
          <w:szCs w:val="22"/>
        </w:rPr>
        <w:t> </w:t>
      </w:r>
    </w:p>
    <w:p w14:paraId="68962AD5"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National Advocates for Arts Education</w:t>
      </w:r>
      <w:r>
        <w:rPr>
          <w:rStyle w:val="eop"/>
          <w:rFonts w:ascii="Calibri" w:hAnsi="Calibri" w:cs="Calibri"/>
          <w:color w:val="000000"/>
          <w:sz w:val="22"/>
          <w:szCs w:val="22"/>
        </w:rPr>
        <w:t> </w:t>
      </w:r>
    </w:p>
    <w:p w14:paraId="63F611EE"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National Catholic Education Commission</w:t>
      </w:r>
      <w:r>
        <w:rPr>
          <w:rStyle w:val="eop"/>
          <w:rFonts w:ascii="Calibri" w:hAnsi="Calibri" w:cs="Calibri"/>
          <w:color w:val="000000"/>
          <w:sz w:val="22"/>
          <w:szCs w:val="22"/>
        </w:rPr>
        <w:t> </w:t>
      </w:r>
    </w:p>
    <w:p w14:paraId="721ACE85"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Network of Associate Deans of Learning and Teaching in the Discipline of Education</w:t>
      </w:r>
      <w:r>
        <w:rPr>
          <w:rStyle w:val="eop"/>
          <w:rFonts w:ascii="Calibri" w:hAnsi="Calibri" w:cs="Calibri"/>
          <w:color w:val="000000"/>
          <w:sz w:val="22"/>
          <w:szCs w:val="22"/>
        </w:rPr>
        <w:t> </w:t>
      </w:r>
    </w:p>
    <w:p w14:paraId="0971B636"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Network of Associate Deans of Professional Experience Steering Committee for Australian Council of Deans of Education</w:t>
      </w:r>
      <w:r>
        <w:rPr>
          <w:rStyle w:val="eop"/>
          <w:rFonts w:ascii="Calibri" w:hAnsi="Calibri" w:cs="Calibri"/>
          <w:color w:val="000000"/>
          <w:sz w:val="22"/>
          <w:szCs w:val="22"/>
        </w:rPr>
        <w:t> </w:t>
      </w:r>
    </w:p>
    <w:p w14:paraId="6A67ECB0"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Norman, Karen</w:t>
      </w:r>
      <w:r>
        <w:rPr>
          <w:rStyle w:val="eop"/>
          <w:rFonts w:ascii="Calibri" w:hAnsi="Calibri" w:cs="Calibri"/>
          <w:color w:val="000000"/>
          <w:sz w:val="22"/>
          <w:szCs w:val="22"/>
        </w:rPr>
        <w:t> </w:t>
      </w:r>
    </w:p>
    <w:p w14:paraId="2FF0092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North-Eastern Montessori School &amp; Sydney Montessori Training Centre</w:t>
      </w:r>
      <w:r>
        <w:rPr>
          <w:rStyle w:val="eop"/>
          <w:rFonts w:ascii="Calibri" w:hAnsi="Calibri" w:cs="Calibri"/>
          <w:color w:val="000000"/>
          <w:sz w:val="22"/>
          <w:szCs w:val="22"/>
        </w:rPr>
        <w:t> </w:t>
      </w:r>
    </w:p>
    <w:p w14:paraId="269D2379"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lastRenderedPageBreak/>
        <w:t>Northern Territory Department of Education</w:t>
      </w:r>
      <w:r>
        <w:rPr>
          <w:rStyle w:val="eop"/>
          <w:rFonts w:ascii="Calibri" w:hAnsi="Calibri" w:cs="Calibri"/>
          <w:color w:val="000000"/>
          <w:sz w:val="22"/>
          <w:szCs w:val="22"/>
        </w:rPr>
        <w:t> </w:t>
      </w:r>
    </w:p>
    <w:p w14:paraId="756692CC"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NSW Council of Deans of Education</w:t>
      </w:r>
      <w:r>
        <w:rPr>
          <w:rStyle w:val="eop"/>
          <w:rFonts w:ascii="Calibri" w:hAnsi="Calibri" w:cs="Calibri"/>
          <w:color w:val="000000"/>
          <w:sz w:val="22"/>
          <w:szCs w:val="22"/>
        </w:rPr>
        <w:t> </w:t>
      </w:r>
    </w:p>
    <w:p w14:paraId="7B1AA500" w14:textId="04E6B170"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NSW Department of Education</w:t>
      </w:r>
    </w:p>
    <w:p w14:paraId="4838EBCF"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Primary English Teaching Association Australia</w:t>
      </w:r>
      <w:r>
        <w:rPr>
          <w:rStyle w:val="eop"/>
          <w:rFonts w:ascii="Calibri" w:hAnsi="Calibri" w:cs="Calibri"/>
          <w:color w:val="000000"/>
          <w:sz w:val="22"/>
          <w:szCs w:val="22"/>
        </w:rPr>
        <w:t> </w:t>
      </w:r>
    </w:p>
    <w:p w14:paraId="4ABB32F3"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Queensland Council of Deans of Education</w:t>
      </w:r>
      <w:r>
        <w:rPr>
          <w:rStyle w:val="eop"/>
          <w:rFonts w:ascii="Calibri" w:hAnsi="Calibri" w:cs="Calibri"/>
          <w:color w:val="000000"/>
          <w:sz w:val="22"/>
          <w:szCs w:val="22"/>
        </w:rPr>
        <w:t> </w:t>
      </w:r>
    </w:p>
    <w:p w14:paraId="0A9E6A73"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Queensland University of Technology</w:t>
      </w:r>
      <w:r>
        <w:rPr>
          <w:rStyle w:val="eop"/>
          <w:rFonts w:ascii="Calibri" w:hAnsi="Calibri" w:cs="Calibri"/>
          <w:color w:val="000000"/>
          <w:sz w:val="22"/>
          <w:szCs w:val="22"/>
        </w:rPr>
        <w:t> </w:t>
      </w:r>
    </w:p>
    <w:p w14:paraId="7A666CE7"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Regional Education Commissioner </w:t>
      </w:r>
      <w:r>
        <w:rPr>
          <w:rStyle w:val="eop"/>
          <w:rFonts w:ascii="Calibri" w:hAnsi="Calibri" w:cs="Calibri"/>
          <w:color w:val="000000"/>
          <w:sz w:val="22"/>
          <w:szCs w:val="22"/>
        </w:rPr>
        <w:t> </w:t>
      </w:r>
    </w:p>
    <w:p w14:paraId="466CE3C9"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Rogers, Jo</w:t>
      </w:r>
      <w:r>
        <w:rPr>
          <w:rStyle w:val="eop"/>
          <w:rFonts w:ascii="Calibri" w:hAnsi="Calibri" w:cs="Calibri"/>
          <w:color w:val="000000"/>
          <w:sz w:val="22"/>
          <w:szCs w:val="22"/>
        </w:rPr>
        <w:t> </w:t>
      </w:r>
    </w:p>
    <w:p w14:paraId="5A6B7840"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Sankey, Derek</w:t>
      </w:r>
      <w:r>
        <w:rPr>
          <w:rStyle w:val="eop"/>
          <w:rFonts w:ascii="Calibri" w:hAnsi="Calibri" w:cs="Calibri"/>
          <w:color w:val="000000"/>
          <w:sz w:val="22"/>
          <w:szCs w:val="22"/>
        </w:rPr>
        <w:t> </w:t>
      </w:r>
    </w:p>
    <w:p w14:paraId="67F10E1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School of Education and Professional Studies, Griffith University</w:t>
      </w:r>
      <w:r>
        <w:rPr>
          <w:rStyle w:val="eop"/>
          <w:rFonts w:ascii="Calibri" w:hAnsi="Calibri" w:cs="Calibri"/>
          <w:color w:val="000000"/>
          <w:sz w:val="22"/>
          <w:szCs w:val="22"/>
        </w:rPr>
        <w:t> </w:t>
      </w:r>
    </w:p>
    <w:p w14:paraId="25B7205D"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Selkrig, Mark</w:t>
      </w:r>
      <w:r>
        <w:rPr>
          <w:rStyle w:val="eop"/>
          <w:rFonts w:ascii="Calibri" w:hAnsi="Calibri" w:cs="Calibri"/>
          <w:color w:val="000000"/>
          <w:sz w:val="22"/>
          <w:szCs w:val="22"/>
        </w:rPr>
        <w:t> </w:t>
      </w:r>
    </w:p>
    <w:p w14:paraId="7D61619A" w14:textId="5D663345"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Southern Cross University</w:t>
      </w:r>
      <w:r>
        <w:rPr>
          <w:rStyle w:val="eop"/>
          <w:rFonts w:ascii="Calibri" w:hAnsi="Calibri" w:cs="Calibri"/>
          <w:color w:val="000000"/>
          <w:sz w:val="22"/>
          <w:szCs w:val="22"/>
        </w:rPr>
        <w:t> </w:t>
      </w:r>
    </w:p>
    <w:p w14:paraId="719D8BA4" w14:textId="77777777" w:rsidR="00CB74F9" w:rsidRDefault="00CB74F9" w:rsidP="00CB74F9">
      <w:pPr>
        <w:pStyle w:val="paragraph"/>
        <w:spacing w:before="0" w:beforeAutospacing="0" w:after="0" w:afterAutospacing="0"/>
        <w:ind w:left="36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Steiner Education </w:t>
      </w:r>
      <w:r w:rsidRPr="001C6BC6">
        <w:rPr>
          <w:rStyle w:val="normaltextrun"/>
          <w:rFonts w:ascii="Calibri" w:hAnsi="Calibri" w:cs="Calibri"/>
          <w:color w:val="000000"/>
          <w:sz w:val="22"/>
          <w:szCs w:val="22"/>
        </w:rPr>
        <w:t>Australia</w:t>
      </w:r>
    </w:p>
    <w:p w14:paraId="1BEA5EA3"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Swinburne University of Technology</w:t>
      </w:r>
      <w:r>
        <w:rPr>
          <w:rStyle w:val="eop"/>
          <w:rFonts w:ascii="Calibri" w:hAnsi="Calibri" w:cs="Calibri"/>
          <w:color w:val="000000"/>
          <w:sz w:val="22"/>
          <w:szCs w:val="22"/>
        </w:rPr>
        <w:t> </w:t>
      </w:r>
    </w:p>
    <w:p w14:paraId="093D5947"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Sydney University</w:t>
      </w:r>
      <w:r>
        <w:rPr>
          <w:rStyle w:val="eop"/>
          <w:rFonts w:ascii="Calibri" w:hAnsi="Calibri" w:cs="Calibri"/>
          <w:color w:val="000000"/>
          <w:sz w:val="22"/>
          <w:szCs w:val="22"/>
        </w:rPr>
        <w:t> </w:t>
      </w:r>
    </w:p>
    <w:p w14:paraId="1196A5E7"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Teach For Australia</w:t>
      </w:r>
      <w:r>
        <w:rPr>
          <w:rStyle w:val="eop"/>
          <w:rFonts w:ascii="Calibri" w:hAnsi="Calibri" w:cs="Calibri"/>
          <w:color w:val="000000"/>
          <w:sz w:val="22"/>
          <w:szCs w:val="22"/>
        </w:rPr>
        <w:t> </w:t>
      </w:r>
    </w:p>
    <w:p w14:paraId="5B674FB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Teacher Education academics at the University of Technology Sydney</w:t>
      </w:r>
      <w:r>
        <w:rPr>
          <w:rStyle w:val="eop"/>
          <w:rFonts w:ascii="Calibri" w:hAnsi="Calibri" w:cs="Calibri"/>
          <w:color w:val="000000"/>
          <w:sz w:val="22"/>
          <w:szCs w:val="22"/>
        </w:rPr>
        <w:t> </w:t>
      </w:r>
    </w:p>
    <w:p w14:paraId="256A9758" w14:textId="529EDECF"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 xml:space="preserve">Teachers and Teaching Research Centre </w:t>
      </w:r>
      <w:r w:rsidR="001C6BC6">
        <w:rPr>
          <w:rStyle w:val="normaltextrun"/>
          <w:rFonts w:ascii="Calibri" w:hAnsi="Calibri" w:cs="Calibri"/>
          <w:color w:val="000000"/>
          <w:sz w:val="22"/>
          <w:szCs w:val="22"/>
        </w:rPr>
        <w:t>–</w:t>
      </w:r>
      <w:r>
        <w:rPr>
          <w:rStyle w:val="normaltextrun"/>
          <w:rFonts w:ascii="Calibri" w:hAnsi="Calibri" w:cs="Calibri"/>
          <w:color w:val="000000"/>
          <w:sz w:val="22"/>
          <w:szCs w:val="22"/>
        </w:rPr>
        <w:t xml:space="preserve"> University of Newcastle</w:t>
      </w:r>
      <w:r>
        <w:rPr>
          <w:rStyle w:val="eop"/>
          <w:rFonts w:ascii="Calibri" w:hAnsi="Calibri" w:cs="Calibri"/>
          <w:color w:val="000000"/>
          <w:sz w:val="22"/>
          <w:szCs w:val="22"/>
        </w:rPr>
        <w:t> </w:t>
      </w:r>
    </w:p>
    <w:p w14:paraId="053CDFB7"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Teachers TV Foundation</w:t>
      </w:r>
      <w:r>
        <w:rPr>
          <w:rStyle w:val="eop"/>
          <w:rFonts w:ascii="Calibri" w:hAnsi="Calibri" w:cs="Calibri"/>
          <w:color w:val="000000"/>
          <w:sz w:val="22"/>
          <w:szCs w:val="22"/>
        </w:rPr>
        <w:t> </w:t>
      </w:r>
    </w:p>
    <w:p w14:paraId="0B5F33A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The Australian Institute for Teaching and School Leadership</w:t>
      </w:r>
      <w:r>
        <w:rPr>
          <w:rStyle w:val="eop"/>
          <w:rFonts w:ascii="Calibri" w:hAnsi="Calibri" w:cs="Calibri"/>
          <w:color w:val="000000"/>
          <w:sz w:val="22"/>
          <w:szCs w:val="22"/>
        </w:rPr>
        <w:t> </w:t>
      </w:r>
    </w:p>
    <w:p w14:paraId="5E4DE5D6" w14:textId="77777777" w:rsidR="00726093" w:rsidRDefault="00726093" w:rsidP="00726093">
      <w:pPr>
        <w:pStyle w:val="paragraph"/>
        <w:spacing w:before="0" w:beforeAutospacing="0" w:after="0" w:afterAutospacing="0"/>
        <w:ind w:left="36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The Australian Special Education Principals Association</w:t>
      </w:r>
      <w:r>
        <w:rPr>
          <w:rStyle w:val="eop"/>
          <w:rFonts w:ascii="Calibri" w:hAnsi="Calibri" w:cs="Calibri"/>
          <w:color w:val="000000"/>
          <w:sz w:val="22"/>
          <w:szCs w:val="22"/>
        </w:rPr>
        <w:t> </w:t>
      </w:r>
    </w:p>
    <w:p w14:paraId="6D771DDA" w14:textId="77777777" w:rsidR="00726093" w:rsidRDefault="00726093" w:rsidP="00726093">
      <w:pPr>
        <w:pStyle w:val="paragraph"/>
        <w:spacing w:before="0" w:beforeAutospacing="0" w:after="0" w:afterAutospacing="0"/>
        <w:ind w:left="36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University of Canberra</w:t>
      </w:r>
    </w:p>
    <w:p w14:paraId="0DC12F9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The University of Queensland</w:t>
      </w:r>
      <w:r>
        <w:rPr>
          <w:rStyle w:val="eop"/>
          <w:rFonts w:ascii="Calibri" w:hAnsi="Calibri" w:cs="Calibri"/>
          <w:color w:val="000000"/>
          <w:sz w:val="22"/>
          <w:szCs w:val="22"/>
        </w:rPr>
        <w:t> </w:t>
      </w:r>
    </w:p>
    <w:p w14:paraId="474C0714"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The University of South Australia</w:t>
      </w:r>
      <w:r>
        <w:rPr>
          <w:rStyle w:val="eop"/>
          <w:rFonts w:ascii="Calibri" w:hAnsi="Calibri" w:cs="Calibri"/>
          <w:color w:val="000000"/>
          <w:sz w:val="22"/>
          <w:szCs w:val="22"/>
        </w:rPr>
        <w:t> </w:t>
      </w:r>
    </w:p>
    <w:p w14:paraId="4AB865D4"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The University of Sydney School of Education and Social Work</w:t>
      </w:r>
      <w:r>
        <w:rPr>
          <w:rStyle w:val="eop"/>
          <w:rFonts w:ascii="Calibri" w:hAnsi="Calibri" w:cs="Calibri"/>
          <w:color w:val="000000"/>
          <w:sz w:val="22"/>
          <w:szCs w:val="22"/>
        </w:rPr>
        <w:t> </w:t>
      </w:r>
    </w:p>
    <w:p w14:paraId="1F274E82"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Thravea, Genevieve</w:t>
      </w:r>
      <w:r>
        <w:rPr>
          <w:rStyle w:val="eop"/>
          <w:rFonts w:ascii="Calibri" w:hAnsi="Calibri" w:cs="Calibri"/>
          <w:color w:val="000000"/>
          <w:sz w:val="22"/>
          <w:szCs w:val="22"/>
        </w:rPr>
        <w:t> </w:t>
      </w:r>
    </w:p>
    <w:p w14:paraId="41FB988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Transforming Education Australasia</w:t>
      </w:r>
      <w:r>
        <w:rPr>
          <w:rStyle w:val="eop"/>
          <w:rFonts w:ascii="Calibri" w:hAnsi="Calibri" w:cs="Calibri"/>
          <w:color w:val="000000"/>
          <w:sz w:val="22"/>
          <w:szCs w:val="22"/>
        </w:rPr>
        <w:t> </w:t>
      </w:r>
    </w:p>
    <w:p w14:paraId="6C187CCA"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University of Newcastle, School of Education</w:t>
      </w:r>
      <w:r>
        <w:rPr>
          <w:rStyle w:val="eop"/>
          <w:rFonts w:ascii="Calibri" w:hAnsi="Calibri" w:cs="Calibri"/>
          <w:color w:val="000000"/>
          <w:sz w:val="22"/>
          <w:szCs w:val="22"/>
        </w:rPr>
        <w:t> </w:t>
      </w:r>
    </w:p>
    <w:p w14:paraId="02783F3B"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University of NSW, Centre for Social Impact</w:t>
      </w:r>
      <w:r>
        <w:rPr>
          <w:rStyle w:val="eop"/>
          <w:rFonts w:ascii="Calibri" w:hAnsi="Calibri" w:cs="Calibri"/>
          <w:color w:val="000000"/>
          <w:sz w:val="22"/>
          <w:szCs w:val="22"/>
        </w:rPr>
        <w:t> </w:t>
      </w:r>
    </w:p>
    <w:p w14:paraId="5A1E78FF"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University of Southern Queensland</w:t>
      </w:r>
      <w:r>
        <w:rPr>
          <w:rStyle w:val="eop"/>
          <w:rFonts w:ascii="Calibri" w:hAnsi="Calibri" w:cs="Calibri"/>
          <w:color w:val="000000"/>
          <w:sz w:val="22"/>
          <w:szCs w:val="22"/>
        </w:rPr>
        <w:t> </w:t>
      </w:r>
    </w:p>
    <w:p w14:paraId="5E14C22D"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University of the Sunshine Coast</w:t>
      </w:r>
      <w:r>
        <w:rPr>
          <w:rStyle w:val="eop"/>
          <w:rFonts w:ascii="Calibri" w:hAnsi="Calibri" w:cs="Calibri"/>
          <w:color w:val="000000"/>
          <w:sz w:val="22"/>
          <w:szCs w:val="22"/>
        </w:rPr>
        <w:t> </w:t>
      </w:r>
    </w:p>
    <w:p w14:paraId="5D6A2CA3"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University Of Wollongong</w:t>
      </w:r>
      <w:r>
        <w:rPr>
          <w:rStyle w:val="eop"/>
          <w:rFonts w:ascii="Calibri" w:hAnsi="Calibri" w:cs="Calibri"/>
          <w:color w:val="000000"/>
          <w:sz w:val="22"/>
          <w:szCs w:val="22"/>
        </w:rPr>
        <w:t> </w:t>
      </w:r>
    </w:p>
    <w:p w14:paraId="4D3F3F75"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Victorian Council of Deans of Education</w:t>
      </w:r>
      <w:r>
        <w:rPr>
          <w:rStyle w:val="eop"/>
          <w:rFonts w:ascii="Calibri" w:hAnsi="Calibri" w:cs="Calibri"/>
          <w:color w:val="000000"/>
          <w:sz w:val="22"/>
          <w:szCs w:val="22"/>
        </w:rPr>
        <w:t> </w:t>
      </w:r>
    </w:p>
    <w:p w14:paraId="0E7247F8" w14:textId="77777777" w:rsidR="00726093" w:rsidRDefault="00726093" w:rsidP="00726093">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color w:val="000000"/>
          <w:sz w:val="22"/>
          <w:szCs w:val="22"/>
        </w:rPr>
        <w:t>Victorian Government Department of Education</w:t>
      </w:r>
      <w:r>
        <w:rPr>
          <w:rStyle w:val="eop"/>
          <w:rFonts w:ascii="Calibri" w:hAnsi="Calibri" w:cs="Calibri"/>
          <w:color w:val="000000"/>
          <w:sz w:val="22"/>
          <w:szCs w:val="22"/>
        </w:rPr>
        <w:t> </w:t>
      </w:r>
    </w:p>
    <w:p w14:paraId="7F34C85D" w14:textId="77777777" w:rsidR="00FB1CCB" w:rsidRPr="00734A50" w:rsidRDefault="00FB1CCB" w:rsidP="0068719A">
      <w:pPr>
        <w:spacing w:after="0" w:line="240" w:lineRule="auto"/>
        <w:rPr>
          <w:rFonts w:ascii="Calibri" w:eastAsia="Times New Roman" w:hAnsi="Calibri" w:cs="Times New Roman"/>
          <w:color w:val="000000"/>
          <w:sz w:val="20"/>
          <w:szCs w:val="20"/>
          <w:lang w:eastAsia="en-AU"/>
        </w:rPr>
        <w:sectPr w:rsidR="00FB1CCB" w:rsidRPr="00734A50" w:rsidSect="00647F4A">
          <w:type w:val="continuous"/>
          <w:pgSz w:w="11900" w:h="16840"/>
          <w:pgMar w:top="1440" w:right="1440" w:bottom="1440" w:left="1440" w:header="708" w:footer="708" w:gutter="0"/>
          <w:cols w:num="2" w:space="708"/>
          <w:docGrid w:linePitch="360"/>
        </w:sectPr>
      </w:pPr>
    </w:p>
    <w:p w14:paraId="75881ABA" w14:textId="19E6100D" w:rsidR="005A768D" w:rsidRPr="00734A50" w:rsidRDefault="005A768D" w:rsidP="00A36740">
      <w:pPr>
        <w:pStyle w:val="Heading3"/>
      </w:pPr>
      <w:bookmarkStart w:id="111" w:name="_Toc139366671"/>
      <w:r w:rsidRPr="00734A50">
        <w:lastRenderedPageBreak/>
        <w:t xml:space="preserve">Stakeholder </w:t>
      </w:r>
      <w:r w:rsidR="009720BC" w:rsidRPr="00734A50">
        <w:t>m</w:t>
      </w:r>
      <w:r w:rsidRPr="00734A50">
        <w:t>eetings</w:t>
      </w:r>
      <w:bookmarkEnd w:id="111"/>
    </w:p>
    <w:p w14:paraId="6672DAF8" w14:textId="726BDB50" w:rsidR="006D0AD8" w:rsidRPr="00734A50" w:rsidRDefault="006D0AD8" w:rsidP="00D13C16">
      <w:pPr>
        <w:rPr>
          <w:rFonts w:ascii="Calibri" w:eastAsia="Times New Roman" w:hAnsi="Calibri" w:cs="Calibri"/>
          <w:color w:val="000000"/>
          <w:lang w:eastAsia="en-AU"/>
        </w:rPr>
      </w:pPr>
      <w:r w:rsidRPr="00734A50">
        <w:rPr>
          <w:rFonts w:ascii="Calibri" w:eastAsia="Times New Roman" w:hAnsi="Calibri" w:cs="Calibri"/>
          <w:color w:val="000000"/>
          <w:lang w:eastAsia="en-AU"/>
        </w:rPr>
        <w:t xml:space="preserve">The Expert Panel held meetings with </w:t>
      </w:r>
      <w:r w:rsidR="00C343D5" w:rsidRPr="00734A50">
        <w:rPr>
          <w:rFonts w:ascii="Calibri" w:eastAsia="Times New Roman" w:hAnsi="Calibri" w:cs="Calibri"/>
          <w:color w:val="000000"/>
          <w:lang w:eastAsia="en-AU"/>
        </w:rPr>
        <w:t>five</w:t>
      </w:r>
      <w:r w:rsidRPr="00734A50">
        <w:rPr>
          <w:rFonts w:ascii="Calibri" w:eastAsia="Times New Roman" w:hAnsi="Calibri" w:cs="Calibri"/>
          <w:color w:val="000000"/>
          <w:lang w:eastAsia="en-AU"/>
        </w:rPr>
        <w:t xml:space="preserve"> stakeholders</w:t>
      </w:r>
      <w:r w:rsidR="009720BC" w:rsidRPr="00734A50">
        <w:rPr>
          <w:rFonts w:ascii="Calibri" w:eastAsia="Times New Roman" w:hAnsi="Calibri" w:cs="Calibri"/>
          <w:color w:val="000000"/>
          <w:lang w:eastAsia="en-AU"/>
        </w:rPr>
        <w:t>:</w:t>
      </w:r>
    </w:p>
    <w:p w14:paraId="32D71BD1" w14:textId="44988818" w:rsidR="005E3E78" w:rsidRPr="00734A50" w:rsidRDefault="001D67A1" w:rsidP="00A36740">
      <w:pPr>
        <w:spacing w:before="240" w:after="0" w:line="240" w:lineRule="auto"/>
        <w:rPr>
          <w:rFonts w:ascii="Calibri" w:eastAsia="Times New Roman" w:hAnsi="Calibri" w:cs="Calibri"/>
          <w:color w:val="000000"/>
          <w:lang w:eastAsia="en-AU"/>
        </w:rPr>
      </w:pPr>
      <w:r w:rsidRPr="00734A50">
        <w:rPr>
          <w:rFonts w:ascii="Calibri" w:eastAsia="Times New Roman" w:hAnsi="Calibri" w:cs="Calibri"/>
          <w:color w:val="000000"/>
          <w:lang w:eastAsia="en-AU"/>
        </w:rPr>
        <w:t>ACT Education Directorate</w:t>
      </w:r>
    </w:p>
    <w:p w14:paraId="1DFE668B" w14:textId="2EC98034" w:rsidR="002977B3" w:rsidRPr="00734A50" w:rsidRDefault="00E50FE6" w:rsidP="005A768D">
      <w:pPr>
        <w:spacing w:after="0" w:line="240" w:lineRule="auto"/>
        <w:rPr>
          <w:rFonts w:ascii="Calibri" w:eastAsia="Times New Roman" w:hAnsi="Calibri" w:cs="Calibri"/>
          <w:color w:val="000000"/>
          <w:lang w:eastAsia="en-AU"/>
        </w:rPr>
      </w:pPr>
      <w:r w:rsidRPr="00734A50">
        <w:rPr>
          <w:rFonts w:ascii="Calibri" w:eastAsia="Times New Roman" w:hAnsi="Calibri" w:cs="Times New Roman"/>
          <w:color w:val="000000"/>
          <w:lang w:eastAsia="en-AU"/>
        </w:rPr>
        <w:t>Australian Institute for Teaching and School Leadership</w:t>
      </w:r>
      <w:r w:rsidR="00015367" w:rsidRPr="00734A50">
        <w:rPr>
          <w:rFonts w:ascii="Calibri" w:eastAsia="Times New Roman" w:hAnsi="Calibri" w:cs="Calibri"/>
          <w:color w:val="000000"/>
          <w:lang w:eastAsia="en-AU"/>
        </w:rPr>
        <w:t xml:space="preserve"> Board</w:t>
      </w:r>
    </w:p>
    <w:p w14:paraId="7AD793BB" w14:textId="3B9C7384" w:rsidR="00015367" w:rsidRPr="00734A50" w:rsidRDefault="00586763" w:rsidP="005A768D">
      <w:pPr>
        <w:spacing w:after="0" w:line="240" w:lineRule="auto"/>
        <w:rPr>
          <w:rFonts w:ascii="Calibri" w:eastAsia="Times New Roman" w:hAnsi="Calibri" w:cs="Calibri"/>
          <w:color w:val="000000"/>
          <w:lang w:eastAsia="en-AU"/>
        </w:rPr>
      </w:pPr>
      <w:r w:rsidRPr="00734A50">
        <w:rPr>
          <w:rFonts w:ascii="Calibri" w:eastAsia="Times New Roman" w:hAnsi="Calibri" w:cs="Calibri"/>
          <w:color w:val="000000"/>
          <w:lang w:eastAsia="en-AU"/>
        </w:rPr>
        <w:t>Australasian Teacher Regulatory Authorities</w:t>
      </w:r>
    </w:p>
    <w:p w14:paraId="2FC4F1CA" w14:textId="605F6986" w:rsidR="005A768D" w:rsidRPr="00734A50" w:rsidRDefault="00EB2BC5" w:rsidP="005A768D">
      <w:pPr>
        <w:spacing w:after="0" w:line="240" w:lineRule="auto"/>
        <w:rPr>
          <w:rFonts w:ascii="Calibri" w:eastAsia="Times New Roman" w:hAnsi="Calibri" w:cs="Calibri"/>
          <w:color w:val="000000"/>
          <w:lang w:eastAsia="en-AU"/>
        </w:rPr>
      </w:pPr>
      <w:r w:rsidRPr="00734A50">
        <w:rPr>
          <w:rFonts w:ascii="Calibri" w:eastAsia="Times New Roman" w:hAnsi="Calibri" w:cs="Calibri"/>
          <w:color w:val="000000"/>
          <w:lang w:eastAsia="en-AU"/>
        </w:rPr>
        <w:t>Department of Education, Western Australia</w:t>
      </w:r>
    </w:p>
    <w:p w14:paraId="143EA289" w14:textId="11B18793" w:rsidR="005A768D" w:rsidRPr="00734A50" w:rsidRDefault="00A33AEC" w:rsidP="005A768D">
      <w:pPr>
        <w:spacing w:after="0" w:line="240" w:lineRule="auto"/>
        <w:rPr>
          <w:rFonts w:ascii="Calibri" w:eastAsia="Times New Roman" w:hAnsi="Calibri" w:cs="Calibri"/>
          <w:color w:val="000000"/>
          <w:lang w:eastAsia="en-AU"/>
        </w:rPr>
      </w:pPr>
      <w:r w:rsidRPr="00734A50">
        <w:rPr>
          <w:rFonts w:ascii="Calibri" w:eastAsia="Times New Roman" w:hAnsi="Calibri" w:cs="Calibri"/>
          <w:color w:val="000000"/>
          <w:lang w:eastAsia="en-AU"/>
        </w:rPr>
        <w:t xml:space="preserve">Queensland </w:t>
      </w:r>
      <w:r w:rsidR="00717BB3" w:rsidRPr="00734A50">
        <w:rPr>
          <w:rFonts w:ascii="Calibri" w:eastAsia="Times New Roman" w:hAnsi="Calibri" w:cs="Calibri"/>
          <w:color w:val="000000"/>
          <w:lang w:eastAsia="en-AU"/>
        </w:rPr>
        <w:t>Department of Education</w:t>
      </w:r>
    </w:p>
    <w:p w14:paraId="1BB90F55" w14:textId="77777777" w:rsidR="0026673A" w:rsidRPr="00734A50" w:rsidRDefault="0026673A">
      <w:pPr>
        <w:spacing w:after="160" w:line="259" w:lineRule="auto"/>
        <w:rPr>
          <w:rFonts w:asciiTheme="majorHAnsi" w:eastAsiaTheme="majorEastAsia" w:hAnsiTheme="majorHAnsi" w:cstheme="majorBidi"/>
          <w:b/>
          <w:color w:val="002C3E" w:themeColor="background2"/>
          <w:sz w:val="36"/>
          <w:szCs w:val="26"/>
          <w:lang w:eastAsia="en-AU"/>
        </w:rPr>
      </w:pPr>
      <w:r w:rsidRPr="00734A50">
        <w:rPr>
          <w:lang w:eastAsia="en-AU"/>
        </w:rPr>
        <w:br w:type="page"/>
      </w:r>
    </w:p>
    <w:p w14:paraId="4DB9FF8C" w14:textId="7F1B099B" w:rsidR="00753794" w:rsidRPr="00734A50" w:rsidRDefault="00753794" w:rsidP="0012041E">
      <w:pPr>
        <w:pStyle w:val="Heading2"/>
        <w:rPr>
          <w:lang w:eastAsia="en-AU"/>
        </w:rPr>
      </w:pPr>
      <w:bookmarkStart w:id="112" w:name="_Toc139366672"/>
      <w:r w:rsidRPr="00734A50">
        <w:rPr>
          <w:lang w:eastAsia="en-AU"/>
        </w:rPr>
        <w:lastRenderedPageBreak/>
        <w:t xml:space="preserve">APPENDIX C: </w:t>
      </w:r>
      <w:r w:rsidR="00412D83" w:rsidRPr="00734A50">
        <w:rPr>
          <w:lang w:eastAsia="en-AU"/>
        </w:rPr>
        <w:t xml:space="preserve">Consultation and </w:t>
      </w:r>
      <w:r w:rsidR="000F1E92" w:rsidRPr="00734A50">
        <w:rPr>
          <w:lang w:eastAsia="en-AU"/>
        </w:rPr>
        <w:t>e</w:t>
      </w:r>
      <w:r w:rsidR="00412D83" w:rsidRPr="00734A50">
        <w:rPr>
          <w:lang w:eastAsia="en-AU"/>
        </w:rPr>
        <w:t xml:space="preserve">ngagement </w:t>
      </w:r>
      <w:r w:rsidR="000F1E92" w:rsidRPr="00734A50">
        <w:rPr>
          <w:lang w:eastAsia="en-AU"/>
        </w:rPr>
        <w:t>s</w:t>
      </w:r>
      <w:r w:rsidR="00412D83" w:rsidRPr="00734A50">
        <w:rPr>
          <w:lang w:eastAsia="en-AU"/>
        </w:rPr>
        <w:t>ummary</w:t>
      </w:r>
      <w:bookmarkEnd w:id="112"/>
    </w:p>
    <w:p w14:paraId="5E11EDDE" w14:textId="4A5225AD" w:rsidR="009F07F0" w:rsidRPr="00734A50" w:rsidRDefault="009F07F0" w:rsidP="009F07F0">
      <w:pPr>
        <w:rPr>
          <w:lang w:eastAsia="en-AU"/>
        </w:rPr>
      </w:pPr>
      <w:r w:rsidRPr="00734A50">
        <w:rPr>
          <w:lang w:eastAsia="en-AU"/>
        </w:rPr>
        <w:t>The Panel</w:t>
      </w:r>
      <w:r w:rsidR="001933DD" w:rsidRPr="00734A50">
        <w:rPr>
          <w:lang w:eastAsia="en-AU"/>
        </w:rPr>
        <w:t>’s findings w</w:t>
      </w:r>
      <w:r w:rsidR="005013DB" w:rsidRPr="00734A50">
        <w:rPr>
          <w:lang w:eastAsia="en-AU"/>
        </w:rPr>
        <w:t>ere</w:t>
      </w:r>
      <w:r w:rsidR="001933DD" w:rsidRPr="00734A50">
        <w:rPr>
          <w:lang w:eastAsia="en-AU"/>
        </w:rPr>
        <w:t xml:space="preserve"> informed by </w:t>
      </w:r>
      <w:r w:rsidRPr="00734A50">
        <w:rPr>
          <w:lang w:eastAsia="en-AU"/>
        </w:rPr>
        <w:t xml:space="preserve">public </w:t>
      </w:r>
      <w:r w:rsidR="003703DE" w:rsidRPr="00734A50">
        <w:rPr>
          <w:lang w:eastAsia="en-AU"/>
        </w:rPr>
        <w:t xml:space="preserve">submissions, focus groups, surveys and </w:t>
      </w:r>
      <w:r w:rsidR="00925EFE" w:rsidRPr="00734A50">
        <w:rPr>
          <w:lang w:eastAsia="en-AU"/>
        </w:rPr>
        <w:t>research.</w:t>
      </w:r>
    </w:p>
    <w:p w14:paraId="3FD7ED93" w14:textId="4B4C7C11" w:rsidR="00412D83" w:rsidRPr="00734A50" w:rsidRDefault="001C21EE" w:rsidP="00E73BBF">
      <w:pPr>
        <w:pStyle w:val="Heading3"/>
      </w:pPr>
      <w:bookmarkStart w:id="113" w:name="_Toc139366673"/>
      <w:r w:rsidRPr="00734A50">
        <w:t xml:space="preserve">Submission </w:t>
      </w:r>
      <w:r w:rsidR="000F1E92" w:rsidRPr="00734A50">
        <w:t>p</w:t>
      </w:r>
      <w:r w:rsidRPr="00734A50">
        <w:t>rocess</w:t>
      </w:r>
      <w:bookmarkEnd w:id="113"/>
    </w:p>
    <w:p w14:paraId="5B0BCF5E" w14:textId="012655BC" w:rsidR="00C47935" w:rsidRPr="00734A50" w:rsidRDefault="00C47935" w:rsidP="00C47935">
      <w:pPr>
        <w:rPr>
          <w:lang w:eastAsia="en-AU"/>
        </w:rPr>
      </w:pPr>
      <w:r w:rsidRPr="00734A50">
        <w:rPr>
          <w:lang w:eastAsia="en-AU"/>
        </w:rPr>
        <w:t>Following the release of the Discussion Paper, the submission process ran from 23 March to 21</w:t>
      </w:r>
      <w:r w:rsidR="00E50FE6" w:rsidRPr="00734A50">
        <w:rPr>
          <w:lang w:eastAsia="en-AU"/>
        </w:rPr>
        <w:t> </w:t>
      </w:r>
      <w:r w:rsidRPr="00734A50">
        <w:rPr>
          <w:lang w:eastAsia="en-AU"/>
        </w:rPr>
        <w:t xml:space="preserve">April 2023. </w:t>
      </w:r>
      <w:r w:rsidR="00990BAC" w:rsidRPr="00734A50">
        <w:rPr>
          <w:lang w:eastAsia="en-AU"/>
        </w:rPr>
        <w:t xml:space="preserve">A total of </w:t>
      </w:r>
      <w:r w:rsidR="6FB2EB3D" w:rsidRPr="00734A50">
        <w:rPr>
          <w:lang w:eastAsia="en-AU"/>
        </w:rPr>
        <w:t>11</w:t>
      </w:r>
      <w:r w:rsidR="00830FE4" w:rsidRPr="00734A50">
        <w:rPr>
          <w:lang w:eastAsia="en-AU"/>
        </w:rPr>
        <w:t>5</w:t>
      </w:r>
      <w:r w:rsidRPr="00734A50">
        <w:rPr>
          <w:lang w:eastAsia="en-AU"/>
        </w:rPr>
        <w:t xml:space="preserve"> submissions were received from organisations and individuals. The submission process sought to explore and understand the experiences and perspectives of a wide range of stakeholders in response to questions identified in the Discussion Paper. </w:t>
      </w:r>
    </w:p>
    <w:p w14:paraId="32059C7A" w14:textId="1EA746E9" w:rsidR="00FA4EF4" w:rsidRPr="00734A50" w:rsidRDefault="00FA4EF4" w:rsidP="00FE732E">
      <w:pPr>
        <w:pStyle w:val="Heading3"/>
      </w:pPr>
      <w:bookmarkStart w:id="114" w:name="_Toc139366674"/>
      <w:r w:rsidRPr="00734A50">
        <w:t>Consultation outcomes</w:t>
      </w:r>
      <w:bookmarkEnd w:id="114"/>
    </w:p>
    <w:p w14:paraId="1C50B86F" w14:textId="5390D30E" w:rsidR="00FA4EF4" w:rsidRPr="00734A50" w:rsidRDefault="00FA4EF4" w:rsidP="00FA4EF4">
      <w:pPr>
        <w:rPr>
          <w:lang w:eastAsia="en-AU"/>
        </w:rPr>
      </w:pPr>
      <w:r w:rsidRPr="00734A50">
        <w:rPr>
          <w:lang w:eastAsia="en-AU"/>
        </w:rPr>
        <w:t xml:space="preserve">The submission process was promoted through a variety of channels including social media, the Department of Education website, </w:t>
      </w:r>
      <w:r w:rsidR="009E7B84" w:rsidRPr="00734A50">
        <w:rPr>
          <w:lang w:eastAsia="en-AU"/>
        </w:rPr>
        <w:t xml:space="preserve">a </w:t>
      </w:r>
      <w:r w:rsidRPr="00734A50">
        <w:rPr>
          <w:lang w:eastAsia="en-AU"/>
        </w:rPr>
        <w:t xml:space="preserve">media release and direct emails to key stakeholders. </w:t>
      </w:r>
    </w:p>
    <w:p w14:paraId="5CFD4A11" w14:textId="77777777" w:rsidR="00836C62" w:rsidRPr="00734A50" w:rsidRDefault="00836C62" w:rsidP="00E73BBF">
      <w:pPr>
        <w:pStyle w:val="Heading3"/>
      </w:pPr>
      <w:bookmarkStart w:id="115" w:name="_Toc139366675"/>
      <w:r w:rsidRPr="00734A50">
        <w:t>Stakeholder meetings</w:t>
      </w:r>
      <w:bookmarkEnd w:id="115"/>
    </w:p>
    <w:p w14:paraId="7C0F68AE" w14:textId="531DD00D" w:rsidR="00836C62" w:rsidRPr="00734A50" w:rsidRDefault="00836C62" w:rsidP="00836C62">
      <w:r w:rsidRPr="00734A50">
        <w:t xml:space="preserve">The Expert Panel met virtually with </w:t>
      </w:r>
      <w:r w:rsidR="006D318B" w:rsidRPr="00734A50">
        <w:t xml:space="preserve">five </w:t>
      </w:r>
      <w:r w:rsidRPr="00734A50">
        <w:t xml:space="preserve">education stakeholders and organisations during this phase of the Review, who are listed at </w:t>
      </w:r>
      <w:r w:rsidR="009E7B84" w:rsidRPr="00734A50">
        <w:t>Appendix B</w:t>
      </w:r>
      <w:r w:rsidRPr="00734A50">
        <w:t>. These meetings helped the Expert Panel to understand the key issues in ITE and propose effective solutions.</w:t>
      </w:r>
    </w:p>
    <w:p w14:paraId="77AB3A01" w14:textId="3EFA49AE" w:rsidR="0006416F" w:rsidRPr="00734A50" w:rsidRDefault="00D97618" w:rsidP="00E73BBF">
      <w:pPr>
        <w:pStyle w:val="Heading3"/>
      </w:pPr>
      <w:bookmarkStart w:id="116" w:name="_Toc139366676"/>
      <w:r w:rsidRPr="00734A50">
        <w:t>Additional</w:t>
      </w:r>
      <w:r w:rsidR="0006416F" w:rsidRPr="00734A50">
        <w:t xml:space="preserve"> activities</w:t>
      </w:r>
      <w:bookmarkEnd w:id="116"/>
    </w:p>
    <w:p w14:paraId="6570A96A" w14:textId="52660425" w:rsidR="00C47935" w:rsidRPr="00734A50" w:rsidRDefault="00C47935" w:rsidP="00C47935">
      <w:pPr>
        <w:rPr>
          <w:lang w:eastAsia="en-AU"/>
        </w:rPr>
      </w:pPr>
      <w:r w:rsidRPr="00734A50">
        <w:rPr>
          <w:lang w:eastAsia="en-AU"/>
        </w:rPr>
        <w:t>In addition to the submission process, the Panel engaged in a number of activities</w:t>
      </w:r>
      <w:r w:rsidR="006B4982" w:rsidRPr="00734A50">
        <w:rPr>
          <w:lang w:eastAsia="en-AU"/>
        </w:rPr>
        <w:t xml:space="preserve"> to inform the report.</w:t>
      </w:r>
    </w:p>
    <w:p w14:paraId="7EDD33B1" w14:textId="77777777" w:rsidR="0006416F" w:rsidRPr="00734A50" w:rsidRDefault="00036F9E" w:rsidP="000C2F25">
      <w:pPr>
        <w:pStyle w:val="Heading4"/>
      </w:pPr>
      <w:r w:rsidRPr="00734A50">
        <w:t>Surveys</w:t>
      </w:r>
    </w:p>
    <w:p w14:paraId="05A52F8F" w14:textId="1F3D696F" w:rsidR="00A8357F" w:rsidRPr="00734A50" w:rsidRDefault="00E8577E" w:rsidP="00D67890">
      <w:pPr>
        <w:rPr>
          <w:lang w:eastAsia="en-AU"/>
        </w:rPr>
      </w:pPr>
      <w:r w:rsidRPr="00734A50">
        <w:rPr>
          <w:lang w:eastAsia="en-AU"/>
        </w:rPr>
        <w:t xml:space="preserve">As part of the submission process, </w:t>
      </w:r>
      <w:r w:rsidR="009D0311" w:rsidRPr="00734A50">
        <w:rPr>
          <w:lang w:eastAsia="en-AU"/>
        </w:rPr>
        <w:t xml:space="preserve">the public was invited to </w:t>
      </w:r>
      <w:r w:rsidR="00F81E57" w:rsidRPr="00734A50">
        <w:rPr>
          <w:lang w:eastAsia="en-AU"/>
        </w:rPr>
        <w:t xml:space="preserve">respond to a survey on the extent to which the </w:t>
      </w:r>
      <w:r w:rsidR="00E5023B" w:rsidRPr="00734A50">
        <w:rPr>
          <w:lang w:eastAsia="en-AU"/>
        </w:rPr>
        <w:t xml:space="preserve">proposed </w:t>
      </w:r>
      <w:r w:rsidR="00F81E57" w:rsidRPr="00734A50">
        <w:rPr>
          <w:lang w:eastAsia="en-AU"/>
        </w:rPr>
        <w:t xml:space="preserve">opportunities </w:t>
      </w:r>
      <w:r w:rsidR="00E5023B" w:rsidRPr="00734A50">
        <w:rPr>
          <w:lang w:eastAsia="en-AU"/>
        </w:rPr>
        <w:t xml:space="preserve">in </w:t>
      </w:r>
      <w:r w:rsidR="00F81E57" w:rsidRPr="00734A50">
        <w:rPr>
          <w:lang w:eastAsia="en-AU"/>
        </w:rPr>
        <w:t xml:space="preserve">the Discussion Paper would improve </w:t>
      </w:r>
      <w:r w:rsidR="00767331" w:rsidRPr="00734A50">
        <w:rPr>
          <w:lang w:eastAsia="en-AU"/>
        </w:rPr>
        <w:t>ITE</w:t>
      </w:r>
      <w:r w:rsidR="004C344F" w:rsidRPr="00734A50">
        <w:rPr>
          <w:lang w:eastAsia="en-AU"/>
        </w:rPr>
        <w:t xml:space="preserve">. The Panel </w:t>
      </w:r>
      <w:r w:rsidR="00FB38ED" w:rsidRPr="00734A50">
        <w:rPr>
          <w:lang w:eastAsia="en-AU"/>
        </w:rPr>
        <w:t xml:space="preserve">received </w:t>
      </w:r>
      <w:r w:rsidR="00A434F8" w:rsidRPr="00734A50">
        <w:rPr>
          <w:lang w:eastAsia="en-AU"/>
        </w:rPr>
        <w:t>34</w:t>
      </w:r>
      <w:r w:rsidR="00A17F65" w:rsidRPr="00734A50">
        <w:rPr>
          <w:lang w:eastAsia="en-AU"/>
        </w:rPr>
        <w:t xml:space="preserve"> responses. </w:t>
      </w:r>
    </w:p>
    <w:p w14:paraId="41D1741E" w14:textId="05DCA137" w:rsidR="00D67890" w:rsidRPr="00734A50" w:rsidRDefault="00C2233A" w:rsidP="00D67890">
      <w:pPr>
        <w:rPr>
          <w:lang w:eastAsia="en-AU"/>
        </w:rPr>
      </w:pPr>
      <w:r w:rsidRPr="00734A50">
        <w:rPr>
          <w:lang w:eastAsia="en-AU"/>
        </w:rPr>
        <w:t>To capture insights from ITE students, a</w:t>
      </w:r>
      <w:r w:rsidR="00A8357F" w:rsidRPr="00734A50">
        <w:rPr>
          <w:lang w:eastAsia="en-AU"/>
        </w:rPr>
        <w:t>n o</w:t>
      </w:r>
      <w:r w:rsidR="00DF21E5" w:rsidRPr="00734A50">
        <w:rPr>
          <w:lang w:eastAsia="en-AU"/>
        </w:rPr>
        <w:t>nl</w:t>
      </w:r>
      <w:r w:rsidR="00A17F65" w:rsidRPr="00734A50">
        <w:rPr>
          <w:lang w:eastAsia="en-AU"/>
        </w:rPr>
        <w:t xml:space="preserve">ine survey </w:t>
      </w:r>
      <w:r w:rsidR="00713D14" w:rsidRPr="00734A50">
        <w:rPr>
          <w:lang w:eastAsia="en-AU"/>
        </w:rPr>
        <w:t xml:space="preserve">was </w:t>
      </w:r>
      <w:r w:rsidR="00DF21E5" w:rsidRPr="00734A50">
        <w:rPr>
          <w:lang w:eastAsia="en-AU"/>
        </w:rPr>
        <w:t>conducted</w:t>
      </w:r>
      <w:r w:rsidRPr="00734A50">
        <w:rPr>
          <w:lang w:eastAsia="en-AU"/>
        </w:rPr>
        <w:t xml:space="preserve"> </w:t>
      </w:r>
      <w:r w:rsidR="00FA2C0B" w:rsidRPr="00734A50">
        <w:rPr>
          <w:lang w:eastAsia="en-AU"/>
        </w:rPr>
        <w:t>with</w:t>
      </w:r>
      <w:r w:rsidR="004E3919" w:rsidRPr="00734A50">
        <w:rPr>
          <w:lang w:eastAsia="en-AU"/>
        </w:rPr>
        <w:t xml:space="preserve"> ITE students who consented to undertaking further research</w:t>
      </w:r>
      <w:r w:rsidR="00FA2C0B" w:rsidRPr="00734A50">
        <w:rPr>
          <w:lang w:eastAsia="en-AU"/>
        </w:rPr>
        <w:t>,</w:t>
      </w:r>
      <w:r w:rsidR="004E3919" w:rsidRPr="00734A50">
        <w:rPr>
          <w:lang w:eastAsia="en-AU"/>
        </w:rPr>
        <w:t xml:space="preserve"> as part of the </w:t>
      </w:r>
      <w:r w:rsidR="0017218B" w:rsidRPr="00734A50">
        <w:rPr>
          <w:lang w:eastAsia="en-AU"/>
        </w:rPr>
        <w:t>Australian Government’s higher education Student Experience Survey</w:t>
      </w:r>
      <w:r w:rsidR="00D8538F" w:rsidRPr="00734A50">
        <w:rPr>
          <w:lang w:eastAsia="en-AU"/>
        </w:rPr>
        <w:t>.</w:t>
      </w:r>
      <w:r w:rsidR="00716DEF" w:rsidRPr="00734A50">
        <w:rPr>
          <w:lang w:eastAsia="en-AU"/>
        </w:rPr>
        <w:t xml:space="preserve"> The survey </w:t>
      </w:r>
      <w:r w:rsidR="00FA2C0B" w:rsidRPr="00734A50">
        <w:rPr>
          <w:lang w:eastAsia="en-AU"/>
        </w:rPr>
        <w:t>was administered by dandolopartners</w:t>
      </w:r>
      <w:r w:rsidR="009E7B84" w:rsidRPr="00734A50">
        <w:rPr>
          <w:lang w:eastAsia="en-AU"/>
        </w:rPr>
        <w:t>,</w:t>
      </w:r>
      <w:r w:rsidR="00FA2C0B" w:rsidRPr="00734A50">
        <w:rPr>
          <w:lang w:eastAsia="en-AU"/>
        </w:rPr>
        <w:t xml:space="preserve"> </w:t>
      </w:r>
      <w:r w:rsidR="00716DEF" w:rsidRPr="00734A50">
        <w:rPr>
          <w:lang w:eastAsia="en-AU"/>
        </w:rPr>
        <w:t>cover</w:t>
      </w:r>
      <w:r w:rsidR="009E7B84" w:rsidRPr="00734A50">
        <w:rPr>
          <w:lang w:eastAsia="en-AU"/>
        </w:rPr>
        <w:t>ed</w:t>
      </w:r>
      <w:r w:rsidR="00716DEF" w:rsidRPr="00734A50">
        <w:rPr>
          <w:lang w:eastAsia="en-AU"/>
        </w:rPr>
        <w:t xml:space="preserve"> the four reform areas and received </w:t>
      </w:r>
      <w:r w:rsidR="14D7AC18" w:rsidRPr="00734A50">
        <w:rPr>
          <w:lang w:eastAsia="en-AU"/>
        </w:rPr>
        <w:t>1,063</w:t>
      </w:r>
      <w:r w:rsidR="00716DEF" w:rsidRPr="00734A50">
        <w:rPr>
          <w:lang w:eastAsia="en-AU"/>
        </w:rPr>
        <w:t xml:space="preserve"> responses. </w:t>
      </w:r>
    </w:p>
    <w:p w14:paraId="07150CE8" w14:textId="29639281" w:rsidR="00036F9E" w:rsidRPr="00734A50" w:rsidRDefault="00036F9E" w:rsidP="000C2F25">
      <w:pPr>
        <w:pStyle w:val="Heading4"/>
      </w:pPr>
      <w:r w:rsidRPr="00734A50">
        <w:t xml:space="preserve">Focus </w:t>
      </w:r>
      <w:r w:rsidR="000F1E92" w:rsidRPr="00734A50">
        <w:t>g</w:t>
      </w:r>
      <w:r w:rsidRPr="00734A50">
        <w:t>roups</w:t>
      </w:r>
    </w:p>
    <w:p w14:paraId="6D2233D5" w14:textId="36B3BEC0" w:rsidR="0001438B" w:rsidRPr="00734A50" w:rsidRDefault="00D67890" w:rsidP="00D67890">
      <w:pPr>
        <w:rPr>
          <w:lang w:eastAsia="en-AU"/>
        </w:rPr>
      </w:pPr>
      <w:r w:rsidRPr="00734A50">
        <w:rPr>
          <w:lang w:eastAsia="en-AU"/>
        </w:rPr>
        <w:t xml:space="preserve">Focus groups were conducted to facilitate targeted discussion with key audiences. These groups explored issues </w:t>
      </w:r>
      <w:r w:rsidR="00400D94">
        <w:rPr>
          <w:lang w:eastAsia="en-AU"/>
        </w:rPr>
        <w:t>around</w:t>
      </w:r>
      <w:r w:rsidR="00400D94" w:rsidRPr="00734A50">
        <w:rPr>
          <w:lang w:eastAsia="en-AU"/>
        </w:rPr>
        <w:t xml:space="preserve"> </w:t>
      </w:r>
      <w:r w:rsidR="00A328C2" w:rsidRPr="00734A50">
        <w:rPr>
          <w:lang w:eastAsia="en-AU"/>
        </w:rPr>
        <w:t>improving the quality of practical experience and postgraduate ITE programs for mid-career entrants</w:t>
      </w:r>
      <w:r w:rsidR="006E5E18" w:rsidRPr="00734A50">
        <w:rPr>
          <w:lang w:eastAsia="en-AU"/>
        </w:rPr>
        <w:t>,</w:t>
      </w:r>
      <w:r w:rsidR="00A328C2" w:rsidRPr="00734A50">
        <w:rPr>
          <w:lang w:eastAsia="en-AU"/>
        </w:rPr>
        <w:t xml:space="preserve"> and the performance measures</w:t>
      </w:r>
      <w:r w:rsidR="00980F3A" w:rsidRPr="00734A50">
        <w:rPr>
          <w:lang w:eastAsia="en-AU"/>
        </w:rPr>
        <w:t xml:space="preserve"> and accreditation requirements</w:t>
      </w:r>
      <w:r w:rsidR="00A328C2" w:rsidRPr="00734A50">
        <w:rPr>
          <w:lang w:eastAsia="en-AU"/>
        </w:rPr>
        <w:t xml:space="preserve"> for ITE programs</w:t>
      </w:r>
      <w:r w:rsidRPr="00734A50">
        <w:rPr>
          <w:lang w:eastAsia="en-AU"/>
        </w:rPr>
        <w:t xml:space="preserve">. </w:t>
      </w:r>
      <w:r w:rsidR="004240D0" w:rsidRPr="00734A50">
        <w:rPr>
          <w:lang w:eastAsia="en-AU"/>
        </w:rPr>
        <w:t xml:space="preserve">The Panel engaged dandolopartners and the Australian Catholic University to facilitate these </w:t>
      </w:r>
      <w:r w:rsidR="00653041" w:rsidRPr="00734A50">
        <w:rPr>
          <w:lang w:eastAsia="en-AU"/>
        </w:rPr>
        <w:t>discussions</w:t>
      </w:r>
      <w:r w:rsidR="004240D0" w:rsidRPr="00734A50">
        <w:rPr>
          <w:lang w:eastAsia="en-AU"/>
        </w:rPr>
        <w:t>.</w:t>
      </w:r>
    </w:p>
    <w:p w14:paraId="0BB7EE53" w14:textId="72E2E79A" w:rsidR="00C007BC" w:rsidRPr="00734A50" w:rsidRDefault="00C007BC" w:rsidP="00A36740">
      <w:pPr>
        <w:pStyle w:val="Heading4"/>
      </w:pPr>
      <w:r w:rsidRPr="00734A50">
        <w:lastRenderedPageBreak/>
        <w:t>Research</w:t>
      </w:r>
    </w:p>
    <w:p w14:paraId="73474C45" w14:textId="2C31283D" w:rsidR="00606500" w:rsidRPr="00734A50" w:rsidRDefault="00606500" w:rsidP="000A0DC5">
      <w:pPr>
        <w:keepNext/>
        <w:rPr>
          <w:lang w:eastAsia="en-AU"/>
        </w:rPr>
      </w:pPr>
      <w:r w:rsidRPr="00734A50">
        <w:rPr>
          <w:lang w:eastAsia="en-AU"/>
        </w:rPr>
        <w:t xml:space="preserve">In addition to research undertaken by the Secretariat, the Panel commissioned </w:t>
      </w:r>
      <w:r w:rsidR="000A0DC5" w:rsidRPr="00734A50">
        <w:rPr>
          <w:lang w:eastAsia="en-AU"/>
        </w:rPr>
        <w:t xml:space="preserve">several </w:t>
      </w:r>
      <w:r w:rsidR="003C6943" w:rsidRPr="00734A50">
        <w:rPr>
          <w:lang w:eastAsia="en-AU"/>
        </w:rPr>
        <w:t xml:space="preserve">specific </w:t>
      </w:r>
      <w:r w:rsidRPr="00734A50">
        <w:rPr>
          <w:lang w:eastAsia="en-AU"/>
        </w:rPr>
        <w:t>research projects</w:t>
      </w:r>
      <w:r w:rsidR="00142E3E" w:rsidRPr="00734A50">
        <w:rPr>
          <w:lang w:eastAsia="en-AU"/>
        </w:rPr>
        <w:t xml:space="preserve"> </w:t>
      </w:r>
      <w:r w:rsidR="00F714D4" w:rsidRPr="00734A50">
        <w:rPr>
          <w:lang w:eastAsia="en-AU"/>
        </w:rPr>
        <w:t xml:space="preserve">to </w:t>
      </w:r>
      <w:r w:rsidR="003C6943" w:rsidRPr="00734A50">
        <w:rPr>
          <w:lang w:eastAsia="en-AU"/>
        </w:rPr>
        <w:t xml:space="preserve">inform </w:t>
      </w:r>
      <w:r w:rsidR="009E7B84" w:rsidRPr="00734A50">
        <w:rPr>
          <w:lang w:eastAsia="en-AU"/>
        </w:rPr>
        <w:t xml:space="preserve">its </w:t>
      </w:r>
      <w:r w:rsidR="003C6943" w:rsidRPr="00734A50">
        <w:rPr>
          <w:lang w:eastAsia="en-AU"/>
        </w:rPr>
        <w:t>advice</w:t>
      </w:r>
      <w:r w:rsidR="00020D82" w:rsidRPr="00734A50">
        <w:rPr>
          <w:lang w:eastAsia="en-AU"/>
        </w:rPr>
        <w:t xml:space="preserve"> (Table C1).</w:t>
      </w:r>
    </w:p>
    <w:p w14:paraId="3A3C2796" w14:textId="75F68F89" w:rsidR="00020D82" w:rsidRPr="00734A50" w:rsidRDefault="00020D82" w:rsidP="00A36740">
      <w:pPr>
        <w:pStyle w:val="HeadingTable"/>
        <w:numPr>
          <w:ilvl w:val="0"/>
          <w:numId w:val="0"/>
        </w:numPr>
        <w:ind w:left="360" w:hanging="360"/>
        <w:rPr>
          <w:szCs w:val="28"/>
        </w:rPr>
      </w:pPr>
      <w:r w:rsidRPr="00734A50">
        <w:rPr>
          <w:sz w:val="22"/>
          <w:szCs w:val="28"/>
        </w:rPr>
        <w:t>Table C1: Research projects commissioned by the Panel</w:t>
      </w:r>
    </w:p>
    <w:tbl>
      <w:tblPr>
        <w:tblStyle w:val="GridTable4-Accent2"/>
        <w:tblW w:w="9209" w:type="dxa"/>
        <w:tblLook w:val="04A0" w:firstRow="1" w:lastRow="0" w:firstColumn="1" w:lastColumn="0" w:noHBand="0" w:noVBand="1"/>
      </w:tblPr>
      <w:tblGrid>
        <w:gridCol w:w="2547"/>
        <w:gridCol w:w="6662"/>
      </w:tblGrid>
      <w:tr w:rsidR="00F25CD9" w:rsidRPr="00734A50" w14:paraId="513FC42E" w14:textId="77777777" w:rsidTr="00CD2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DF7CC08" w14:textId="5CB07BA6" w:rsidR="00F25CD9" w:rsidRPr="00734A50" w:rsidRDefault="00262038" w:rsidP="00606500">
            <w:pPr>
              <w:rPr>
                <w:color w:val="auto"/>
                <w:lang w:eastAsia="en-AU"/>
              </w:rPr>
            </w:pPr>
            <w:r w:rsidRPr="00734A50">
              <w:rPr>
                <w:color w:val="auto"/>
                <w:lang w:eastAsia="en-AU"/>
              </w:rPr>
              <w:t>Research undertaken by</w:t>
            </w:r>
          </w:p>
        </w:tc>
        <w:tc>
          <w:tcPr>
            <w:tcW w:w="6662" w:type="dxa"/>
          </w:tcPr>
          <w:p w14:paraId="665B224D" w14:textId="74E16AB9" w:rsidR="00F25CD9" w:rsidRPr="00734A50" w:rsidRDefault="00262038" w:rsidP="00606500">
            <w:pPr>
              <w:cnfStyle w:val="100000000000" w:firstRow="1" w:lastRow="0" w:firstColumn="0" w:lastColumn="0" w:oddVBand="0" w:evenVBand="0" w:oddHBand="0" w:evenHBand="0" w:firstRowFirstColumn="0" w:firstRowLastColumn="0" w:lastRowFirstColumn="0" w:lastRowLastColumn="0"/>
              <w:rPr>
                <w:color w:val="auto"/>
                <w:lang w:eastAsia="en-AU"/>
              </w:rPr>
            </w:pPr>
            <w:r w:rsidRPr="00734A50">
              <w:rPr>
                <w:color w:val="auto"/>
                <w:lang w:eastAsia="en-AU"/>
              </w:rPr>
              <w:t>Summary of project</w:t>
            </w:r>
            <w:r w:rsidR="009E7B84" w:rsidRPr="00734A50">
              <w:rPr>
                <w:color w:val="auto"/>
                <w:lang w:eastAsia="en-AU"/>
              </w:rPr>
              <w:t>s</w:t>
            </w:r>
          </w:p>
        </w:tc>
      </w:tr>
      <w:tr w:rsidR="00F25CD9" w:rsidRPr="00734A50" w14:paraId="037D11E7" w14:textId="77777777" w:rsidTr="00CD2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655FB3F" w14:textId="479FC8CD" w:rsidR="00F25CD9" w:rsidRPr="00734A50" w:rsidRDefault="00262038" w:rsidP="00606500">
            <w:pPr>
              <w:rPr>
                <w:lang w:eastAsia="en-AU"/>
              </w:rPr>
            </w:pPr>
            <w:r w:rsidRPr="00734A50">
              <w:rPr>
                <w:lang w:eastAsia="en-AU"/>
              </w:rPr>
              <w:t>Australian Education Research Organisation (</w:t>
            </w:r>
            <w:r w:rsidR="00F25CD9" w:rsidRPr="00734A50">
              <w:rPr>
                <w:lang w:eastAsia="en-AU"/>
              </w:rPr>
              <w:t>AERO</w:t>
            </w:r>
            <w:r w:rsidRPr="00734A50">
              <w:rPr>
                <w:lang w:eastAsia="en-AU"/>
              </w:rPr>
              <w:t>)</w:t>
            </w:r>
          </w:p>
        </w:tc>
        <w:tc>
          <w:tcPr>
            <w:tcW w:w="6662" w:type="dxa"/>
          </w:tcPr>
          <w:p w14:paraId="7B944DE4" w14:textId="48B632D2" w:rsidR="00F25CD9" w:rsidRPr="00734A50" w:rsidRDefault="00315801" w:rsidP="001A0E40">
            <w:pPr>
              <w:spacing w:after="0"/>
              <w:cnfStyle w:val="000000100000" w:firstRow="0" w:lastRow="0" w:firstColumn="0" w:lastColumn="0" w:oddVBand="0" w:evenVBand="0" w:oddHBand="1" w:evenHBand="0" w:firstRowFirstColumn="0" w:firstRowLastColumn="0" w:lastRowFirstColumn="0" w:lastRowLastColumn="0"/>
            </w:pPr>
            <w:r w:rsidRPr="00734A50">
              <w:rPr>
                <w:rFonts w:ascii="Calibri" w:eastAsia="Times New Roman" w:hAnsi="Calibri" w:cs="Calibri"/>
                <w:lang w:eastAsia="en-AU"/>
              </w:rPr>
              <w:t>AERO was engaged to identify the evidence-based practices which have the greatest impact on student learning that ITE students should learn and be able to demonstrate, to inform amendments to the Accreditation Standards and Procedures (Reform Area 1). In doing so, AERO reviewed and synthesised the most rigorous and relevant evidence-based practices in education from meta-analyses, systematic reviews, and literature reviews.</w:t>
            </w:r>
          </w:p>
        </w:tc>
      </w:tr>
      <w:tr w:rsidR="00F25CD9" w:rsidRPr="00734A50" w14:paraId="0E7FC895" w14:textId="77777777" w:rsidTr="00CD24EB">
        <w:tc>
          <w:tcPr>
            <w:cnfStyle w:val="001000000000" w:firstRow="0" w:lastRow="0" w:firstColumn="1" w:lastColumn="0" w:oddVBand="0" w:evenVBand="0" w:oddHBand="0" w:evenHBand="0" w:firstRowFirstColumn="0" w:firstRowLastColumn="0" w:lastRowFirstColumn="0" w:lastRowLastColumn="0"/>
            <w:tcW w:w="2547" w:type="dxa"/>
          </w:tcPr>
          <w:p w14:paraId="702477F2" w14:textId="6F56E4F1" w:rsidR="00F25CD9" w:rsidRPr="00734A50" w:rsidRDefault="00262038" w:rsidP="00031C83">
            <w:pPr>
              <w:spacing w:after="0"/>
              <w:rPr>
                <w:lang w:eastAsia="en-AU"/>
              </w:rPr>
            </w:pPr>
            <w:r w:rsidRPr="00734A50">
              <w:rPr>
                <w:lang w:eastAsia="en-AU"/>
              </w:rPr>
              <w:t>Behavioural Economics Team of the Australian Government (</w:t>
            </w:r>
            <w:r w:rsidR="00F25CD9" w:rsidRPr="00734A50">
              <w:rPr>
                <w:lang w:eastAsia="en-AU"/>
              </w:rPr>
              <w:t>BETA</w:t>
            </w:r>
            <w:r w:rsidRPr="00734A50">
              <w:rPr>
                <w:lang w:eastAsia="en-AU"/>
              </w:rPr>
              <w:t>)</w:t>
            </w:r>
          </w:p>
        </w:tc>
        <w:tc>
          <w:tcPr>
            <w:tcW w:w="6662" w:type="dxa"/>
          </w:tcPr>
          <w:p w14:paraId="421A857C" w14:textId="3884DC6F" w:rsidR="00F25CD9" w:rsidRPr="00734A50" w:rsidRDefault="00315801" w:rsidP="001A0E40">
            <w:pPr>
              <w:spacing w:after="0"/>
              <w:cnfStyle w:val="000000000000" w:firstRow="0" w:lastRow="0" w:firstColumn="0" w:lastColumn="0" w:oddVBand="0" w:evenVBand="0" w:oddHBand="0" w:evenHBand="0" w:firstRowFirstColumn="0" w:firstRowLastColumn="0" w:lastRowFirstColumn="0" w:lastRowLastColumn="0"/>
            </w:pPr>
            <w:r w:rsidRPr="00734A50">
              <w:t xml:space="preserve">BETA </w:t>
            </w:r>
            <w:r w:rsidR="4CB80115" w:rsidRPr="00734A50">
              <w:t>contributed</w:t>
            </w:r>
            <w:r w:rsidRPr="00734A50">
              <w:t xml:space="preserve"> to </w:t>
            </w:r>
            <w:r w:rsidR="1FAF3DD7" w:rsidRPr="00734A50">
              <w:t>t</w:t>
            </w:r>
            <w:r w:rsidR="17E68DE6" w:rsidRPr="00734A50">
              <w:t>he</w:t>
            </w:r>
            <w:r w:rsidR="1FAF3DD7" w:rsidRPr="00734A50">
              <w:t xml:space="preserve"> </w:t>
            </w:r>
            <w:r w:rsidR="00DB560D" w:rsidRPr="00734A50">
              <w:t>design</w:t>
            </w:r>
            <w:r w:rsidR="16BF6BB8" w:rsidRPr="00734A50">
              <w:t xml:space="preserve"> </w:t>
            </w:r>
            <w:r w:rsidR="5D814670" w:rsidRPr="00734A50">
              <w:t>of</w:t>
            </w:r>
            <w:r w:rsidR="00DB560D" w:rsidRPr="00734A50">
              <w:t xml:space="preserve"> a survey of ITE students </w:t>
            </w:r>
            <w:r w:rsidR="0042355F" w:rsidRPr="00734A50">
              <w:t xml:space="preserve">on the potential influence of the </w:t>
            </w:r>
            <w:r w:rsidR="06E164A5" w:rsidRPr="00734A50">
              <w:t>nationally consistent, transparent indicators</w:t>
            </w:r>
            <w:r w:rsidR="0042355F" w:rsidRPr="00734A50">
              <w:t xml:space="preserve"> </w:t>
            </w:r>
            <w:r w:rsidR="000128B2" w:rsidRPr="00734A50">
              <w:t>on</w:t>
            </w:r>
            <w:r w:rsidR="0042355F" w:rsidRPr="00734A50">
              <w:t xml:space="preserve"> </w:t>
            </w:r>
            <w:r w:rsidR="000128B2" w:rsidRPr="00734A50">
              <w:t>prospective ITE students’</w:t>
            </w:r>
            <w:r w:rsidR="0042355F" w:rsidRPr="00734A50">
              <w:t xml:space="preserve"> choice of higher education provider.</w:t>
            </w:r>
            <w:r w:rsidRPr="00734A50">
              <w:t xml:space="preserve"> </w:t>
            </w:r>
            <w:r w:rsidR="191C5485" w:rsidRPr="00734A50">
              <w:t xml:space="preserve">BETA also provided advice on how </w:t>
            </w:r>
            <w:r w:rsidR="0081273A" w:rsidRPr="00734A50">
              <w:t>the indicators</w:t>
            </w:r>
            <w:r w:rsidR="191C5485" w:rsidRPr="00734A50">
              <w:t xml:space="preserve"> could be displayed</w:t>
            </w:r>
            <w:r w:rsidR="0081273A" w:rsidRPr="00734A50">
              <w:t xml:space="preserve"> for public reporting</w:t>
            </w:r>
            <w:r w:rsidR="007F434C" w:rsidRPr="00734A50">
              <w:t xml:space="preserve"> and undertook a rapid review of websites for 12 higher education providers delivering postgraduate ITE programs.</w:t>
            </w:r>
            <w:r w:rsidR="191C5485" w:rsidRPr="00734A50">
              <w:t xml:space="preserve"> </w:t>
            </w:r>
          </w:p>
        </w:tc>
      </w:tr>
      <w:tr w:rsidR="00F25CD9" w:rsidRPr="00734A50" w14:paraId="3742AA8E" w14:textId="77777777" w:rsidTr="00CD2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73EAA22" w14:textId="5886D5D0" w:rsidR="00F25CD9" w:rsidRPr="00734A50" w:rsidRDefault="00302D9F" w:rsidP="00746D5A">
            <w:pPr>
              <w:rPr>
                <w:lang w:eastAsia="en-AU"/>
              </w:rPr>
            </w:pPr>
            <w:r w:rsidRPr="00734A50">
              <w:rPr>
                <w:rFonts w:ascii="Calibri" w:eastAsia="Times New Roman" w:hAnsi="Calibri" w:cs="Calibri"/>
                <w:lang w:eastAsia="en-AU"/>
              </w:rPr>
              <w:t>Australian Catholic University</w:t>
            </w:r>
            <w:r w:rsidR="00AE56B2" w:rsidRPr="00734A50">
              <w:rPr>
                <w:rFonts w:ascii="Calibri" w:eastAsia="Times New Roman" w:hAnsi="Calibri" w:cs="Calibri"/>
                <w:lang w:eastAsia="en-AU"/>
              </w:rPr>
              <w:t xml:space="preserve"> Institute of Learning Sciences and Teacher Education</w:t>
            </w:r>
          </w:p>
        </w:tc>
        <w:tc>
          <w:tcPr>
            <w:tcW w:w="6662" w:type="dxa"/>
          </w:tcPr>
          <w:p w14:paraId="1A11C86D" w14:textId="77EACB38" w:rsidR="00F25CD9" w:rsidRPr="00734A50" w:rsidRDefault="0042355F" w:rsidP="001A0E40">
            <w:pPr>
              <w:spacing w:after="0"/>
              <w:cnfStyle w:val="000000100000" w:firstRow="0" w:lastRow="0" w:firstColumn="0" w:lastColumn="0" w:oddVBand="0" w:evenVBand="0" w:oddHBand="1" w:evenHBand="0" w:firstRowFirstColumn="0" w:firstRowLastColumn="0" w:lastRowFirstColumn="0" w:lastRowLastColumn="0"/>
            </w:pPr>
            <w:r w:rsidRPr="00734A50">
              <w:rPr>
                <w:rFonts w:ascii="Calibri" w:eastAsia="Times New Roman" w:hAnsi="Calibri" w:cs="Calibri"/>
                <w:lang w:eastAsia="en-AU"/>
              </w:rPr>
              <w:t>The Australian Catholic University</w:t>
            </w:r>
            <w:r w:rsidR="005C34CD" w:rsidRPr="00734A50">
              <w:rPr>
                <w:rFonts w:ascii="Calibri" w:eastAsia="Times New Roman" w:hAnsi="Calibri" w:cs="Calibri"/>
                <w:lang w:eastAsia="en-AU"/>
              </w:rPr>
              <w:t>’s</w:t>
            </w:r>
            <w:r w:rsidRPr="00734A50">
              <w:rPr>
                <w:rFonts w:ascii="Calibri" w:eastAsia="Times New Roman" w:hAnsi="Calibri" w:cs="Calibri"/>
                <w:lang w:eastAsia="en-AU"/>
              </w:rPr>
              <w:t xml:space="preserve"> Institute of Learning Sciences and Teacher Education was engaged to assess how the performance of ITE programs could be consistently measured across higher education providers.</w:t>
            </w:r>
          </w:p>
        </w:tc>
      </w:tr>
      <w:tr w:rsidR="00F25CD9" w:rsidRPr="00734A50" w14:paraId="3C8B4755" w14:textId="77777777" w:rsidTr="00CD24EB">
        <w:tc>
          <w:tcPr>
            <w:cnfStyle w:val="001000000000" w:firstRow="0" w:lastRow="0" w:firstColumn="1" w:lastColumn="0" w:oddVBand="0" w:evenVBand="0" w:oddHBand="0" w:evenHBand="0" w:firstRowFirstColumn="0" w:firstRowLastColumn="0" w:lastRowFirstColumn="0" w:lastRowLastColumn="0"/>
            <w:tcW w:w="2547" w:type="dxa"/>
          </w:tcPr>
          <w:p w14:paraId="1395E2D4" w14:textId="5E01C054" w:rsidR="00F25CD9" w:rsidRPr="00734A50" w:rsidRDefault="0042355F" w:rsidP="00606500">
            <w:pPr>
              <w:rPr>
                <w:lang w:eastAsia="en-AU"/>
              </w:rPr>
            </w:pPr>
            <w:r w:rsidRPr="00734A50">
              <w:rPr>
                <w:lang w:eastAsia="en-AU"/>
              </w:rPr>
              <w:t>dandolopartners</w:t>
            </w:r>
          </w:p>
        </w:tc>
        <w:tc>
          <w:tcPr>
            <w:tcW w:w="6662" w:type="dxa"/>
          </w:tcPr>
          <w:p w14:paraId="782B9F4D" w14:textId="28A9A119" w:rsidR="00993D43" w:rsidRPr="00734A50" w:rsidRDefault="0042355F" w:rsidP="001A0E40">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734A50">
              <w:t xml:space="preserve">dandolopartners was engaged to help understand the challenges and opportunities </w:t>
            </w:r>
            <w:r w:rsidR="00066EF8">
              <w:t>in</w:t>
            </w:r>
            <w:r w:rsidR="00066EF8" w:rsidRPr="00734A50">
              <w:t xml:space="preserve"> </w:t>
            </w:r>
            <w:r w:rsidRPr="00734A50">
              <w:t>delivering consistent, high-quality practical experience across ITE programs and to assess how programs could be improved to attract mid-career entrants into ITE. This work was informed by a review of existing literature and stakeholder consultation.</w:t>
            </w:r>
          </w:p>
        </w:tc>
      </w:tr>
      <w:tr w:rsidR="001A0E40" w:rsidRPr="00734A50" w14:paraId="1950BA2E" w14:textId="77777777" w:rsidTr="00CD2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61442E" w14:textId="1F9BAB4E" w:rsidR="001A0E40" w:rsidRPr="00734A50" w:rsidRDefault="00937F00" w:rsidP="00606500">
            <w:pPr>
              <w:rPr>
                <w:lang w:eastAsia="en-AU"/>
              </w:rPr>
            </w:pPr>
            <w:r w:rsidRPr="00734A50">
              <w:rPr>
                <w:lang w:eastAsia="en-AU"/>
              </w:rPr>
              <w:t xml:space="preserve">Social Research </w:t>
            </w:r>
            <w:r w:rsidR="004F5C05" w:rsidRPr="00734A50">
              <w:rPr>
                <w:lang w:eastAsia="en-AU"/>
              </w:rPr>
              <w:t>C</w:t>
            </w:r>
            <w:r w:rsidRPr="00734A50">
              <w:rPr>
                <w:lang w:eastAsia="en-AU"/>
              </w:rPr>
              <w:t>entre</w:t>
            </w:r>
            <w:r w:rsidR="00754949" w:rsidRPr="00734A50">
              <w:rPr>
                <w:lang w:eastAsia="en-AU"/>
              </w:rPr>
              <w:t xml:space="preserve"> (SRC)</w:t>
            </w:r>
          </w:p>
        </w:tc>
        <w:tc>
          <w:tcPr>
            <w:tcW w:w="6662" w:type="dxa"/>
          </w:tcPr>
          <w:p w14:paraId="7881741F" w14:textId="2A280635" w:rsidR="001A0E40" w:rsidRPr="00734A50" w:rsidRDefault="00E806CF" w:rsidP="005D769E">
            <w:pPr>
              <w:spacing w:after="0"/>
              <w:cnfStyle w:val="000000100000" w:firstRow="0" w:lastRow="0" w:firstColumn="0" w:lastColumn="0" w:oddVBand="0" w:evenVBand="0" w:oddHBand="1" w:evenHBand="0" w:firstRowFirstColumn="0" w:firstRowLastColumn="0" w:lastRowFirstColumn="0" w:lastRowLastColumn="0"/>
            </w:pPr>
            <w:r w:rsidRPr="00734A50">
              <w:t xml:space="preserve">SRC </w:t>
            </w:r>
            <w:r w:rsidR="00D0748B" w:rsidRPr="00734A50">
              <w:t xml:space="preserve">was engaged to </w:t>
            </w:r>
            <w:r w:rsidR="00BF643A" w:rsidRPr="00734A50">
              <w:rPr>
                <w:lang w:val="en-US"/>
              </w:rPr>
              <w:t xml:space="preserve">understand what beginning teachers report as key gaps in ITE programs to effectively prepare </w:t>
            </w:r>
            <w:r w:rsidR="0054156B" w:rsidRPr="00734A50">
              <w:rPr>
                <w:lang w:val="en-US"/>
              </w:rPr>
              <w:t xml:space="preserve">ITE </w:t>
            </w:r>
            <w:r w:rsidR="00BF643A" w:rsidRPr="00734A50">
              <w:rPr>
                <w:lang w:val="en-US"/>
              </w:rPr>
              <w:t>students to work as teachers.</w:t>
            </w:r>
            <w:r w:rsidRPr="00734A50">
              <w:rPr>
                <w:lang w:val="en-US"/>
              </w:rPr>
              <w:t xml:space="preserve"> In doing so, SRC undertook a thematic analysis of </w:t>
            </w:r>
            <w:r w:rsidR="004A3B89" w:rsidRPr="00734A50">
              <w:rPr>
                <w:lang w:val="en-US"/>
              </w:rPr>
              <w:t>approximately 10,00</w:t>
            </w:r>
            <w:r w:rsidR="00066EF8">
              <w:rPr>
                <w:lang w:val="en-US"/>
              </w:rPr>
              <w:t>0</w:t>
            </w:r>
            <w:r w:rsidR="004A3B89" w:rsidRPr="00734A50">
              <w:rPr>
                <w:lang w:val="en-US"/>
              </w:rPr>
              <w:t xml:space="preserve"> </w:t>
            </w:r>
            <w:r w:rsidR="001A65FB" w:rsidRPr="00734A50">
              <w:rPr>
                <w:lang w:val="en-US"/>
              </w:rPr>
              <w:t>open text responses collected from</w:t>
            </w:r>
            <w:r w:rsidR="00017753" w:rsidRPr="00734A50">
              <w:rPr>
                <w:lang w:val="en-US"/>
              </w:rPr>
              <w:t xml:space="preserve"> beginning</w:t>
            </w:r>
            <w:r w:rsidR="001A65FB" w:rsidRPr="00734A50">
              <w:rPr>
                <w:lang w:val="en-US"/>
              </w:rPr>
              <w:t xml:space="preserve"> teachers in the 2022 </w:t>
            </w:r>
            <w:r w:rsidR="000128B2" w:rsidRPr="00734A50">
              <w:rPr>
                <w:lang w:val="en-US"/>
              </w:rPr>
              <w:t>Graduate Outcomes Survey</w:t>
            </w:r>
            <w:r w:rsidR="001A65FB" w:rsidRPr="00734A50">
              <w:rPr>
                <w:lang w:val="en-US"/>
              </w:rPr>
              <w:t xml:space="preserve"> and 2022 </w:t>
            </w:r>
            <w:r w:rsidR="00654F0E" w:rsidRPr="00734A50">
              <w:rPr>
                <w:lang w:val="en-US"/>
              </w:rPr>
              <w:t>G</w:t>
            </w:r>
            <w:r w:rsidR="000128B2" w:rsidRPr="00734A50">
              <w:rPr>
                <w:lang w:val="en-US"/>
              </w:rPr>
              <w:t xml:space="preserve">raduate Outcomes Survey </w:t>
            </w:r>
            <w:r w:rsidR="00066EF8">
              <w:rPr>
                <w:lang w:val="en-US"/>
              </w:rPr>
              <w:t>–</w:t>
            </w:r>
            <w:r w:rsidR="000128B2" w:rsidRPr="00734A50">
              <w:rPr>
                <w:lang w:val="en-US"/>
              </w:rPr>
              <w:t xml:space="preserve"> Longitudinal</w:t>
            </w:r>
            <w:r w:rsidR="00124744" w:rsidRPr="00734A50">
              <w:rPr>
                <w:lang w:val="en-US"/>
              </w:rPr>
              <w:t xml:space="preserve"> on </w:t>
            </w:r>
            <w:r w:rsidR="00415E8E" w:rsidRPr="00734A50">
              <w:rPr>
                <w:lang w:val="en-US"/>
              </w:rPr>
              <w:t xml:space="preserve">aspects of their </w:t>
            </w:r>
            <w:r w:rsidR="008D1739" w:rsidRPr="00734A50">
              <w:rPr>
                <w:lang w:val="en-US"/>
              </w:rPr>
              <w:t xml:space="preserve">program </w:t>
            </w:r>
            <w:r w:rsidR="00415E8E" w:rsidRPr="00734A50">
              <w:rPr>
                <w:lang w:val="en-US"/>
              </w:rPr>
              <w:t xml:space="preserve">that needed improvement and </w:t>
            </w:r>
            <w:r w:rsidR="00124744" w:rsidRPr="00734A50">
              <w:rPr>
                <w:lang w:val="en-US"/>
              </w:rPr>
              <w:t>the main ways higher education providers could have better prepared graduate</w:t>
            </w:r>
            <w:r w:rsidR="00F25F18" w:rsidRPr="00734A50">
              <w:rPr>
                <w:lang w:val="en-US"/>
              </w:rPr>
              <w:t>s</w:t>
            </w:r>
            <w:r w:rsidR="00124744" w:rsidRPr="00734A50">
              <w:rPr>
                <w:lang w:val="en-US"/>
              </w:rPr>
              <w:t xml:space="preserve"> for employment</w:t>
            </w:r>
            <w:r w:rsidR="00415E8E" w:rsidRPr="00734A50">
              <w:rPr>
                <w:lang w:val="en-US"/>
              </w:rPr>
              <w:t>.</w:t>
            </w:r>
          </w:p>
        </w:tc>
      </w:tr>
    </w:tbl>
    <w:p w14:paraId="26BE56CA" w14:textId="1E9CEDCF" w:rsidR="000F1E92" w:rsidRPr="00734A50" w:rsidRDefault="000F1E92" w:rsidP="000F1E92">
      <w:pPr>
        <w:rPr>
          <w:lang w:eastAsia="en-AU"/>
        </w:rPr>
      </w:pPr>
    </w:p>
    <w:p w14:paraId="055BEA7B" w14:textId="77777777" w:rsidR="000F1E92" w:rsidRPr="00734A50" w:rsidRDefault="000F1E92">
      <w:pPr>
        <w:spacing w:after="160" w:line="259" w:lineRule="auto"/>
        <w:rPr>
          <w:lang w:eastAsia="en-AU"/>
        </w:rPr>
      </w:pPr>
      <w:r w:rsidRPr="00734A50">
        <w:rPr>
          <w:lang w:eastAsia="en-AU"/>
        </w:rPr>
        <w:br w:type="page"/>
      </w:r>
    </w:p>
    <w:p w14:paraId="4ED2B0E0" w14:textId="2517F265" w:rsidR="00F93788" w:rsidRPr="00734A50" w:rsidRDefault="007C08BA" w:rsidP="0012041E">
      <w:pPr>
        <w:pStyle w:val="Heading2"/>
        <w:rPr>
          <w:lang w:eastAsia="en-AU"/>
        </w:rPr>
      </w:pPr>
      <w:bookmarkStart w:id="117" w:name="_Toc139366677"/>
      <w:bookmarkStart w:id="118" w:name="_Hlk134625188"/>
      <w:r w:rsidRPr="00734A50">
        <w:rPr>
          <w:lang w:eastAsia="en-AU"/>
        </w:rPr>
        <w:lastRenderedPageBreak/>
        <w:t xml:space="preserve">APPENDIX D: </w:t>
      </w:r>
      <w:r w:rsidR="00B11BAA" w:rsidRPr="00734A50">
        <w:rPr>
          <w:lang w:eastAsia="en-AU"/>
        </w:rPr>
        <w:t>Core</w:t>
      </w:r>
      <w:r w:rsidRPr="00734A50">
        <w:rPr>
          <w:lang w:eastAsia="en-AU"/>
        </w:rPr>
        <w:t xml:space="preserve"> content for ITE programs</w:t>
      </w:r>
      <w:bookmarkEnd w:id="117"/>
    </w:p>
    <w:p w14:paraId="22BAD7B2" w14:textId="5F885B38" w:rsidR="00340321" w:rsidRPr="00734A50" w:rsidRDefault="00340321" w:rsidP="00A36740">
      <w:pPr>
        <w:pStyle w:val="HeadingTable"/>
        <w:numPr>
          <w:ilvl w:val="0"/>
          <w:numId w:val="0"/>
        </w:numPr>
        <w:ind w:left="360" w:hanging="360"/>
        <w:rPr>
          <w:sz w:val="22"/>
          <w:szCs w:val="28"/>
        </w:rPr>
      </w:pPr>
      <w:r w:rsidRPr="00734A50">
        <w:rPr>
          <w:sz w:val="22"/>
          <w:szCs w:val="28"/>
        </w:rPr>
        <w:t>Table D1: Core Content 1</w:t>
      </w:r>
    </w:p>
    <w:tbl>
      <w:tblPr>
        <w:tblStyle w:val="GridTable5Dark-Accent2"/>
        <w:tblW w:w="5122" w:type="pct"/>
        <w:tblBorders>
          <w:top w:val="single" w:sz="4" w:space="0" w:color="EBAB12" w:themeColor="accent1"/>
          <w:left w:val="single" w:sz="4" w:space="0" w:color="EBAB12" w:themeColor="accent1"/>
          <w:bottom w:val="single" w:sz="4" w:space="0" w:color="EBAB12" w:themeColor="accent1"/>
          <w:right w:val="single" w:sz="4" w:space="0" w:color="EBAB12" w:themeColor="accent1"/>
          <w:insideH w:val="single" w:sz="4" w:space="0" w:color="EBAB12" w:themeColor="accent1"/>
          <w:insideV w:val="single" w:sz="4" w:space="0" w:color="EBAB12" w:themeColor="accent1"/>
        </w:tblBorders>
        <w:tblLook w:val="04A0" w:firstRow="1" w:lastRow="0" w:firstColumn="1" w:lastColumn="0" w:noHBand="0" w:noVBand="1"/>
      </w:tblPr>
      <w:tblGrid>
        <w:gridCol w:w="2105"/>
        <w:gridCol w:w="7108"/>
        <w:gridCol w:w="28"/>
      </w:tblGrid>
      <w:tr w:rsidR="008C3425" w:rsidRPr="00734A50" w14:paraId="1B3DA2BE" w14:textId="77777777">
        <w:trPr>
          <w:gridAfter w:val="1"/>
          <w:cnfStyle w:val="100000000000" w:firstRow="1" w:lastRow="0" w:firstColumn="0" w:lastColumn="0" w:oddVBand="0" w:evenVBand="0" w:oddHBand="0" w:evenHBand="0" w:firstRowFirstColumn="0" w:firstRowLastColumn="0" w:lastRowFirstColumn="0" w:lastRowLastColumn="0"/>
          <w:wAfter w:w="15" w:type="pct"/>
          <w:trHeight w:val="425"/>
        </w:trPr>
        <w:tc>
          <w:tcPr>
            <w:cnfStyle w:val="001000000000" w:firstRow="0" w:lastRow="0" w:firstColumn="1" w:lastColumn="0" w:oddVBand="0" w:evenVBand="0" w:oddHBand="0" w:evenHBand="0" w:firstRowFirstColumn="0" w:firstRowLastColumn="0" w:lastRowFirstColumn="0" w:lastRowLastColumn="0"/>
            <w:tcW w:w="4985" w:type="pct"/>
            <w:gridSpan w:val="2"/>
            <w:tcBorders>
              <w:left w:val="nil"/>
            </w:tcBorders>
          </w:tcPr>
          <w:p w14:paraId="3ED20CB0" w14:textId="77777777" w:rsidR="008C3425" w:rsidRPr="00734A50" w:rsidRDefault="008C3425">
            <w:pPr>
              <w:rPr>
                <w:rFonts w:cstheme="minorHAnsi"/>
                <w:color w:val="auto"/>
                <w:sz w:val="16"/>
                <w:szCs w:val="16"/>
                <w:lang w:eastAsia="en-AU"/>
              </w:rPr>
            </w:pPr>
            <w:r w:rsidRPr="00734A50">
              <w:rPr>
                <w:rFonts w:cstheme="minorHAnsi"/>
                <w:color w:val="auto"/>
                <w:sz w:val="32"/>
                <w:szCs w:val="32"/>
                <w:lang w:eastAsia="en-AU"/>
              </w:rPr>
              <w:t>Core Content 1: The Brain and Learning</w:t>
            </w:r>
          </w:p>
        </w:tc>
      </w:tr>
      <w:tr w:rsidR="008C3425" w:rsidRPr="00734A50" w14:paraId="58D1A034"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196"/>
        </w:trPr>
        <w:tc>
          <w:tcPr>
            <w:cnfStyle w:val="001000000000" w:firstRow="0" w:lastRow="0" w:firstColumn="1" w:lastColumn="0" w:oddVBand="0" w:evenVBand="0" w:oddHBand="0" w:evenHBand="0" w:firstRowFirstColumn="0" w:firstRowLastColumn="0" w:lastRowFirstColumn="0" w:lastRowLastColumn="0"/>
            <w:tcW w:w="4985" w:type="pct"/>
            <w:gridSpan w:val="2"/>
            <w:tcBorders>
              <w:left w:val="nil"/>
            </w:tcBorders>
            <w:shd w:val="clear" w:color="auto" w:fill="FFFFFF" w:themeFill="background1"/>
          </w:tcPr>
          <w:p w14:paraId="26990E98" w14:textId="77777777" w:rsidR="008C3425" w:rsidRPr="00734A50" w:rsidRDefault="008C3425">
            <w:pPr>
              <w:pStyle w:val="NoSpacing"/>
              <w:rPr>
                <w:rFonts w:cstheme="minorHAnsi"/>
                <w:i/>
                <w:color w:val="auto"/>
                <w:sz w:val="20"/>
                <w:szCs w:val="18"/>
              </w:rPr>
            </w:pPr>
            <w:r w:rsidRPr="00734A50">
              <w:rPr>
                <w:rFonts w:cstheme="minorHAnsi"/>
                <w:b w:val="0"/>
                <w:i/>
                <w:color w:val="auto"/>
                <w:sz w:val="20"/>
                <w:szCs w:val="18"/>
              </w:rPr>
              <w:t xml:space="preserve">Supports Graduate Teacher Standards: </w:t>
            </w:r>
            <w:r w:rsidRPr="00734A50">
              <w:rPr>
                <w:rFonts w:cstheme="minorHAnsi"/>
                <w:b w:val="0"/>
                <w:color w:val="auto"/>
                <w:sz w:val="20"/>
                <w:szCs w:val="18"/>
                <w:lang w:eastAsia="en-AU"/>
              </w:rPr>
              <w:t>1.1, 1.2</w:t>
            </w:r>
          </w:p>
        </w:tc>
      </w:tr>
      <w:tr w:rsidR="008C3425" w:rsidRPr="00734A50" w14:paraId="10BAF90D" w14:textId="77777777">
        <w:trPr>
          <w:gridAfter w:val="1"/>
          <w:wAfter w:w="15" w:type="pct"/>
          <w:trHeight w:val="196"/>
        </w:trPr>
        <w:tc>
          <w:tcPr>
            <w:cnfStyle w:val="001000000000" w:firstRow="0" w:lastRow="0" w:firstColumn="1" w:lastColumn="0" w:oddVBand="0" w:evenVBand="0" w:oddHBand="0" w:evenHBand="0" w:firstRowFirstColumn="0" w:firstRowLastColumn="0" w:lastRowFirstColumn="0" w:lastRowLastColumn="0"/>
            <w:tcW w:w="1139" w:type="pct"/>
            <w:tcBorders>
              <w:left w:val="nil"/>
            </w:tcBorders>
          </w:tcPr>
          <w:p w14:paraId="7CFBD390" w14:textId="77777777" w:rsidR="008C3425" w:rsidRPr="00734A50" w:rsidRDefault="008C3425">
            <w:pPr>
              <w:pStyle w:val="NoSpacing"/>
              <w:rPr>
                <w:rFonts w:cstheme="minorHAnsi"/>
                <w:color w:val="auto"/>
                <w:sz w:val="24"/>
                <w:szCs w:val="22"/>
              </w:rPr>
            </w:pPr>
            <w:r w:rsidRPr="00734A50">
              <w:rPr>
                <w:rFonts w:cstheme="minorHAnsi"/>
                <w:color w:val="auto"/>
                <w:sz w:val="24"/>
                <w:szCs w:val="22"/>
              </w:rPr>
              <w:t>Learning Outcome</w:t>
            </w:r>
          </w:p>
        </w:tc>
        <w:tc>
          <w:tcPr>
            <w:tcW w:w="3846" w:type="pct"/>
            <w:shd w:val="clear" w:color="auto" w:fill="FECF52" w:themeFill="accent2"/>
          </w:tcPr>
          <w:p w14:paraId="63F031FF" w14:textId="77777777" w:rsidR="008C3425" w:rsidRPr="00734A50" w:rsidRDefault="008C3425">
            <w:pPr>
              <w:pStyle w:val="NoSpacing"/>
              <w:cnfStyle w:val="000000000000" w:firstRow="0" w:lastRow="0" w:firstColumn="0" w:lastColumn="0" w:oddVBand="0" w:evenVBand="0" w:oddHBand="0" w:evenHBand="0" w:firstRowFirstColumn="0" w:firstRowLastColumn="0" w:lastRowFirstColumn="0" w:lastRowLastColumn="0"/>
              <w:rPr>
                <w:rFonts w:cstheme="minorHAnsi"/>
                <w:b/>
                <w:color w:val="auto"/>
                <w:sz w:val="24"/>
                <w:szCs w:val="22"/>
              </w:rPr>
            </w:pPr>
            <w:r w:rsidRPr="00734A50">
              <w:rPr>
                <w:rFonts w:cstheme="minorHAnsi"/>
                <w:b/>
                <w:color w:val="auto"/>
                <w:sz w:val="24"/>
                <w:szCs w:val="22"/>
              </w:rPr>
              <w:t>Core content ITE programs should teach</w:t>
            </w:r>
          </w:p>
        </w:tc>
      </w:tr>
      <w:tr w:rsidR="00450B0E" w:rsidRPr="00734A50" w14:paraId="5B77ACF6"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208"/>
        </w:trPr>
        <w:tc>
          <w:tcPr>
            <w:cnfStyle w:val="001000000000" w:firstRow="0" w:lastRow="0" w:firstColumn="1" w:lastColumn="0" w:oddVBand="0" w:evenVBand="0" w:oddHBand="0" w:evenHBand="0" w:firstRowFirstColumn="0" w:firstRowLastColumn="0" w:lastRowFirstColumn="0" w:lastRowLastColumn="0"/>
            <w:tcW w:w="1139" w:type="pct"/>
            <w:vMerge w:val="restart"/>
            <w:tcBorders>
              <w:left w:val="nil"/>
            </w:tcBorders>
            <w:shd w:val="clear" w:color="auto" w:fill="FEEBB9" w:themeFill="accent2" w:themeFillTint="66"/>
          </w:tcPr>
          <w:p w14:paraId="6FF13366" w14:textId="77777777" w:rsidR="008C3425" w:rsidRPr="00734A50" w:rsidRDefault="008C3425">
            <w:pPr>
              <w:ind w:left="79"/>
              <w:rPr>
                <w:rFonts w:cstheme="minorHAnsi"/>
                <w:b w:val="0"/>
                <w:color w:val="auto"/>
                <w:sz w:val="16"/>
                <w:szCs w:val="16"/>
                <w:lang w:eastAsia="en-AU"/>
              </w:rPr>
            </w:pPr>
            <w:r w:rsidRPr="00734A50">
              <w:rPr>
                <w:rFonts w:cstheme="minorHAnsi"/>
                <w:color w:val="auto"/>
                <w:sz w:val="16"/>
                <w:szCs w:val="16"/>
                <w:lang w:eastAsia="en-AU"/>
              </w:rPr>
              <w:t>Knowledge of what it means to be a ‘novice’ learner in comparison to an ‘expert’. Knowledge of and skill in the related implications for practice.</w:t>
            </w:r>
          </w:p>
          <w:p w14:paraId="134DBB6E" w14:textId="77777777" w:rsidR="008C3425" w:rsidRPr="00734A50" w:rsidRDefault="008C3425">
            <w:pPr>
              <w:ind w:left="79"/>
              <w:rPr>
                <w:rFonts w:eastAsia="Calibri" w:cstheme="minorHAnsi"/>
                <w:color w:val="auto"/>
                <w:sz w:val="16"/>
                <w:szCs w:val="16"/>
                <w:vertAlign w:val="subscript"/>
              </w:rPr>
            </w:pPr>
          </w:p>
        </w:tc>
        <w:tc>
          <w:tcPr>
            <w:tcW w:w="3846" w:type="pct"/>
          </w:tcPr>
          <w:p w14:paraId="281C29AD"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b/>
                <w:u w:val="single"/>
              </w:rPr>
            </w:pPr>
            <w:r w:rsidRPr="00734A50">
              <w:rPr>
                <w:b/>
                <w:sz w:val="20"/>
                <w:szCs w:val="20"/>
                <w:u w:val="single"/>
              </w:rPr>
              <w:t>Novice vs expert learners</w:t>
            </w:r>
          </w:p>
        </w:tc>
      </w:tr>
      <w:tr w:rsidR="00450B0E" w:rsidRPr="00734A50" w14:paraId="17C6697D" w14:textId="77777777">
        <w:trPr>
          <w:gridAfter w:val="1"/>
          <w:wAfter w:w="15" w:type="pct"/>
          <w:trHeight w:val="46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19332E6A"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5B885234"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difference in the process of </w:t>
            </w:r>
            <w:r w:rsidRPr="00734A50">
              <w:rPr>
                <w:rFonts w:eastAsia="Calibri" w:cstheme="minorHAnsi"/>
                <w:b/>
                <w:bCs/>
                <w:sz w:val="16"/>
                <w:szCs w:val="14"/>
              </w:rPr>
              <w:t>knowledge acquisition</w:t>
            </w:r>
            <w:r w:rsidRPr="00734A50">
              <w:rPr>
                <w:rFonts w:eastAsia="Calibri" w:cstheme="minorHAnsi"/>
                <w:sz w:val="16"/>
                <w:szCs w:val="14"/>
              </w:rPr>
              <w:t xml:space="preserve"> in the </w:t>
            </w:r>
            <w:r w:rsidRPr="00734A50">
              <w:rPr>
                <w:rFonts w:eastAsia="Calibri" w:cstheme="minorHAnsi"/>
                <w:b/>
                <w:bCs/>
                <w:sz w:val="16"/>
                <w:szCs w:val="14"/>
              </w:rPr>
              <w:t xml:space="preserve">brain of a novice vs the brain of an expert. </w:t>
            </w:r>
            <w:r w:rsidRPr="00734A50">
              <w:rPr>
                <w:rFonts w:eastAsia="Calibri" w:cstheme="minorHAnsi"/>
                <w:sz w:val="16"/>
                <w:szCs w:val="14"/>
              </w:rPr>
              <w:t>This should be taught</w:t>
            </w:r>
            <w:r w:rsidRPr="00734A50">
              <w:rPr>
                <w:rFonts w:eastAsia="Calibri" w:cstheme="minorHAnsi"/>
                <w:b/>
                <w:bCs/>
                <w:sz w:val="16"/>
                <w:szCs w:val="14"/>
              </w:rPr>
              <w:t xml:space="preserve"> </w:t>
            </w:r>
            <w:r w:rsidRPr="00734A50">
              <w:rPr>
                <w:rFonts w:eastAsia="Calibri" w:cstheme="minorHAnsi"/>
                <w:sz w:val="16"/>
                <w:szCs w:val="14"/>
              </w:rPr>
              <w:t>with reference to the development of mental models and schemas.</w:t>
            </w:r>
          </w:p>
        </w:tc>
      </w:tr>
      <w:tr w:rsidR="00450B0E" w:rsidRPr="00734A50" w14:paraId="74D28F0E"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46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31C996A9"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1DA5985B"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features of </w:t>
            </w:r>
            <w:r w:rsidRPr="00734A50">
              <w:rPr>
                <w:rFonts w:eastAsia="Calibri" w:cstheme="minorHAnsi"/>
                <w:b/>
                <w:bCs/>
                <w:sz w:val="16"/>
                <w:szCs w:val="14"/>
              </w:rPr>
              <w:t>biologically primary vs biologically secondary knowledge acquisition</w:t>
            </w:r>
            <w:r w:rsidRPr="00734A50">
              <w:rPr>
                <w:rFonts w:eastAsia="Calibri" w:cstheme="minorHAnsi"/>
                <w:sz w:val="16"/>
                <w:szCs w:val="14"/>
              </w:rPr>
              <w:t xml:space="preserve"> and the importance of </w:t>
            </w:r>
            <w:r w:rsidRPr="00734A50">
              <w:rPr>
                <w:rFonts w:eastAsia="Calibri" w:cstheme="minorHAnsi"/>
                <w:b/>
                <w:bCs/>
                <w:sz w:val="16"/>
                <w:szCs w:val="14"/>
              </w:rPr>
              <w:t>teacher-led instruction</w:t>
            </w:r>
            <w:r w:rsidRPr="00734A50">
              <w:rPr>
                <w:rFonts w:eastAsia="Calibri" w:cstheme="minorHAnsi"/>
                <w:sz w:val="16"/>
                <w:szCs w:val="14"/>
              </w:rPr>
              <w:t xml:space="preserve"> for biologically secondary knowledge acquisition.</w:t>
            </w:r>
          </w:p>
        </w:tc>
      </w:tr>
      <w:tr w:rsidR="00450B0E" w:rsidRPr="00734A50" w14:paraId="1BA91D92" w14:textId="77777777">
        <w:trPr>
          <w:gridAfter w:val="1"/>
          <w:wAfter w:w="15" w:type="pct"/>
          <w:trHeight w:val="443"/>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4CC70E89"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0B8580C1"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foundations of </w:t>
            </w:r>
            <w:r w:rsidRPr="00734A50">
              <w:rPr>
                <w:rFonts w:eastAsia="Calibri" w:cstheme="minorHAnsi"/>
                <w:b/>
                <w:bCs/>
                <w:sz w:val="16"/>
                <w:szCs w:val="14"/>
              </w:rPr>
              <w:t>how a student’s brain develops from early childhood through to young adult</w:t>
            </w:r>
            <w:r w:rsidRPr="00734A50">
              <w:rPr>
                <w:rFonts w:eastAsia="Calibri" w:cstheme="minorHAnsi"/>
                <w:sz w:val="16"/>
                <w:szCs w:val="14"/>
              </w:rPr>
              <w:t>,</w:t>
            </w:r>
            <w:r w:rsidRPr="00734A50">
              <w:rPr>
                <w:rFonts w:eastAsia="Calibri" w:cstheme="minorHAnsi"/>
                <w:b/>
                <w:bCs/>
                <w:sz w:val="16"/>
                <w:szCs w:val="14"/>
              </w:rPr>
              <w:t xml:space="preserve"> </w:t>
            </w:r>
            <w:r w:rsidRPr="00734A50">
              <w:rPr>
                <w:rFonts w:eastAsia="Calibri" w:cstheme="minorHAnsi"/>
                <w:sz w:val="16"/>
                <w:szCs w:val="14"/>
              </w:rPr>
              <w:t>including the development of executive functions and the implications for teaching.</w:t>
            </w:r>
          </w:p>
        </w:tc>
      </w:tr>
      <w:tr w:rsidR="00450B0E" w:rsidRPr="00734A50" w14:paraId="45915C13"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46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41E01905"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4D2CAA62"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research evidence that shows why the use of </w:t>
            </w:r>
            <w:r w:rsidRPr="00734A50">
              <w:rPr>
                <w:rFonts w:eastAsia="Calibri" w:cstheme="minorHAnsi"/>
                <w:b/>
                <w:bCs/>
                <w:sz w:val="16"/>
                <w:szCs w:val="14"/>
              </w:rPr>
              <w:t>self-directed approaches as a starting point</w:t>
            </w:r>
            <w:r w:rsidRPr="00734A50">
              <w:rPr>
                <w:rFonts w:eastAsia="Calibri" w:cstheme="minorHAnsi"/>
                <w:sz w:val="16"/>
                <w:szCs w:val="14"/>
              </w:rPr>
              <w:t xml:space="preserve"> </w:t>
            </w:r>
            <w:r w:rsidRPr="00734A50">
              <w:rPr>
                <w:rFonts w:eastAsia="Calibri" w:cstheme="minorHAnsi"/>
                <w:b/>
                <w:bCs/>
                <w:sz w:val="16"/>
                <w:szCs w:val="14"/>
              </w:rPr>
              <w:t>for</w:t>
            </w:r>
            <w:r w:rsidRPr="00734A50">
              <w:rPr>
                <w:rFonts w:eastAsia="Calibri" w:cstheme="minorHAnsi"/>
                <w:sz w:val="16"/>
                <w:szCs w:val="14"/>
              </w:rPr>
              <w:t xml:space="preserve"> </w:t>
            </w:r>
            <w:r w:rsidRPr="00734A50">
              <w:rPr>
                <w:rFonts w:eastAsia="Calibri" w:cstheme="minorHAnsi"/>
                <w:b/>
                <w:bCs/>
                <w:sz w:val="16"/>
                <w:szCs w:val="14"/>
              </w:rPr>
              <w:t>novices is ineffective</w:t>
            </w:r>
            <w:r w:rsidRPr="00734A50">
              <w:rPr>
                <w:rFonts w:eastAsia="Calibri" w:cstheme="minorHAnsi"/>
                <w:sz w:val="16"/>
                <w:szCs w:val="14"/>
              </w:rPr>
              <w:t xml:space="preserve"> and should be avoided.</w:t>
            </w:r>
          </w:p>
        </w:tc>
      </w:tr>
      <w:tr w:rsidR="00450B0E" w:rsidRPr="00734A50" w14:paraId="5F6B00BD" w14:textId="77777777">
        <w:trPr>
          <w:gridAfter w:val="1"/>
          <w:wAfter w:w="15" w:type="pct"/>
          <w:trHeight w:val="196"/>
        </w:trPr>
        <w:tc>
          <w:tcPr>
            <w:cnfStyle w:val="001000000000" w:firstRow="0" w:lastRow="0" w:firstColumn="1" w:lastColumn="0" w:oddVBand="0" w:evenVBand="0" w:oddHBand="0" w:evenHBand="0" w:firstRowFirstColumn="0" w:firstRowLastColumn="0" w:lastRowFirstColumn="0" w:lastRowLastColumn="0"/>
            <w:tcW w:w="1139" w:type="pct"/>
            <w:vMerge w:val="restart"/>
            <w:tcBorders>
              <w:left w:val="nil"/>
            </w:tcBorders>
            <w:shd w:val="clear" w:color="auto" w:fill="FEEBB9" w:themeFill="accent2" w:themeFillTint="66"/>
          </w:tcPr>
          <w:p w14:paraId="74862302" w14:textId="77777777" w:rsidR="008C3425" w:rsidRPr="00734A50" w:rsidRDefault="008C3425">
            <w:pPr>
              <w:spacing w:after="0"/>
              <w:ind w:left="79"/>
              <w:rPr>
                <w:rFonts w:cstheme="minorHAnsi"/>
                <w:color w:val="auto"/>
                <w:sz w:val="16"/>
                <w:szCs w:val="16"/>
              </w:rPr>
            </w:pPr>
            <w:r w:rsidRPr="00734A50">
              <w:rPr>
                <w:rFonts w:cstheme="minorHAnsi"/>
                <w:color w:val="auto"/>
                <w:sz w:val="16"/>
                <w:szCs w:val="16"/>
              </w:rPr>
              <w:t>Knowledge of the most efficient and effective process of knowledge acquisition in the brain, including the function of memory and the concept of cognitive overload.</w:t>
            </w:r>
          </w:p>
          <w:p w14:paraId="58FA0953"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FEEBB9" w:themeFill="accent2" w:themeFillTint="66"/>
          </w:tcPr>
          <w:p w14:paraId="0B4489E6"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pPr>
            <w:r w:rsidRPr="00734A50">
              <w:rPr>
                <w:b/>
                <w:sz w:val="20"/>
                <w:szCs w:val="20"/>
                <w:u w:val="single"/>
              </w:rPr>
              <w:t>How the brain learns and retains information</w:t>
            </w:r>
          </w:p>
        </w:tc>
      </w:tr>
      <w:tr w:rsidR="00450B0E" w:rsidRPr="00734A50" w14:paraId="54DC08F9"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510"/>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270837BE"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014F28C7"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cognitive process of learning, including how the brain </w:t>
            </w:r>
            <w:r w:rsidRPr="00734A50">
              <w:rPr>
                <w:rFonts w:eastAsia="Calibri" w:cstheme="minorHAnsi"/>
                <w:b/>
                <w:bCs/>
                <w:sz w:val="16"/>
                <w:szCs w:val="14"/>
              </w:rPr>
              <w:t>moves information through working memory into long-term memory</w:t>
            </w:r>
            <w:r w:rsidRPr="00734A50">
              <w:rPr>
                <w:rFonts w:eastAsia="Calibri" w:cstheme="minorHAnsi"/>
                <w:sz w:val="16"/>
                <w:szCs w:val="14"/>
              </w:rPr>
              <w:t>, how to optimise this process and the potential barriers to this process.</w:t>
            </w:r>
          </w:p>
        </w:tc>
      </w:tr>
      <w:tr w:rsidR="00450B0E" w:rsidRPr="00734A50" w14:paraId="2D3E27AF" w14:textId="77777777">
        <w:trPr>
          <w:gridAfter w:val="1"/>
          <w:wAfter w:w="15" w:type="pct"/>
          <w:trHeight w:val="46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18511885"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7A266002"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w:t>
            </w:r>
            <w:r w:rsidRPr="00734A50">
              <w:rPr>
                <w:rFonts w:eastAsia="Calibri" w:cstheme="minorHAnsi"/>
                <w:b/>
                <w:bCs/>
                <w:sz w:val="16"/>
                <w:szCs w:val="14"/>
              </w:rPr>
              <w:t>limits of working memory</w:t>
            </w:r>
            <w:r w:rsidRPr="00734A50">
              <w:rPr>
                <w:rFonts w:eastAsia="Calibri" w:cstheme="minorHAnsi"/>
                <w:sz w:val="16"/>
                <w:szCs w:val="14"/>
              </w:rPr>
              <w:t xml:space="preserve"> including </w:t>
            </w:r>
            <w:r w:rsidRPr="00734A50">
              <w:rPr>
                <w:rFonts w:eastAsia="Calibri" w:cstheme="minorHAnsi"/>
                <w:b/>
                <w:bCs/>
                <w:sz w:val="16"/>
                <w:szCs w:val="14"/>
              </w:rPr>
              <w:t>how cognitive overload occurs</w:t>
            </w:r>
            <w:r w:rsidRPr="00734A50">
              <w:rPr>
                <w:rFonts w:eastAsia="Calibri" w:cstheme="minorHAnsi"/>
                <w:sz w:val="16"/>
                <w:szCs w:val="14"/>
              </w:rPr>
              <w:t>, and the common causes of cognitive overload.</w:t>
            </w:r>
          </w:p>
        </w:tc>
      </w:tr>
      <w:tr w:rsidR="00450B0E" w:rsidRPr="00734A50" w14:paraId="031087F3"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46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44854143"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47257544"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w:t>
            </w:r>
            <w:r w:rsidRPr="00734A50">
              <w:rPr>
                <w:rFonts w:eastAsia="Calibri" w:cstheme="minorHAnsi"/>
                <w:b/>
                <w:bCs/>
                <w:sz w:val="16"/>
                <w:szCs w:val="14"/>
              </w:rPr>
              <w:t>most effective teaching practices to reduce cognitive overload</w:t>
            </w:r>
            <w:r w:rsidRPr="00734A50">
              <w:rPr>
                <w:rFonts w:eastAsia="Calibri" w:cstheme="minorHAnsi"/>
                <w:sz w:val="16"/>
                <w:szCs w:val="14"/>
              </w:rPr>
              <w:t xml:space="preserve">, including </w:t>
            </w:r>
            <w:r w:rsidRPr="00734A50">
              <w:rPr>
                <w:rFonts w:eastAsia="Calibri" w:cstheme="minorHAnsi"/>
                <w:b/>
                <w:bCs/>
                <w:sz w:val="16"/>
                <w:szCs w:val="14"/>
              </w:rPr>
              <w:t>explicit instruction</w:t>
            </w:r>
            <w:r w:rsidRPr="00734A50">
              <w:rPr>
                <w:rFonts w:eastAsia="Calibri" w:cstheme="minorHAnsi"/>
                <w:sz w:val="16"/>
                <w:szCs w:val="14"/>
              </w:rPr>
              <w:t xml:space="preserve">, </w:t>
            </w:r>
            <w:r w:rsidRPr="00734A50">
              <w:rPr>
                <w:rFonts w:eastAsia="Calibri" w:cstheme="minorHAnsi"/>
                <w:b/>
                <w:bCs/>
                <w:sz w:val="16"/>
                <w:szCs w:val="14"/>
              </w:rPr>
              <w:t>scaffolding</w:t>
            </w:r>
            <w:r w:rsidRPr="00734A50">
              <w:rPr>
                <w:rFonts w:eastAsia="Calibri" w:cstheme="minorHAnsi"/>
                <w:sz w:val="16"/>
                <w:szCs w:val="14"/>
              </w:rPr>
              <w:t xml:space="preserve">, and </w:t>
            </w:r>
            <w:r w:rsidRPr="00734A50">
              <w:rPr>
                <w:rFonts w:eastAsia="Calibri" w:cstheme="minorHAnsi"/>
                <w:b/>
                <w:bCs/>
                <w:sz w:val="16"/>
                <w:szCs w:val="14"/>
              </w:rPr>
              <w:t>clearly structured content</w:t>
            </w:r>
            <w:r w:rsidRPr="00734A50">
              <w:rPr>
                <w:rFonts w:eastAsia="Calibri" w:cstheme="minorHAnsi"/>
                <w:sz w:val="16"/>
                <w:szCs w:val="14"/>
              </w:rPr>
              <w:t xml:space="preserve"> that connects new information to prior learning.</w:t>
            </w:r>
          </w:p>
        </w:tc>
      </w:tr>
      <w:tr w:rsidR="00450B0E" w:rsidRPr="00734A50" w14:paraId="4D253EC3" w14:textId="77777777">
        <w:trPr>
          <w:gridAfter w:val="1"/>
          <w:wAfter w:w="15" w:type="pct"/>
          <w:trHeight w:val="208"/>
        </w:trPr>
        <w:tc>
          <w:tcPr>
            <w:cnfStyle w:val="001000000000" w:firstRow="0" w:lastRow="0" w:firstColumn="1" w:lastColumn="0" w:oddVBand="0" w:evenVBand="0" w:oddHBand="0" w:evenHBand="0" w:firstRowFirstColumn="0" w:firstRowLastColumn="0" w:lastRowFirstColumn="0" w:lastRowLastColumn="0"/>
            <w:tcW w:w="1139" w:type="pct"/>
            <w:vMerge w:val="restart"/>
            <w:tcBorders>
              <w:left w:val="nil"/>
            </w:tcBorders>
            <w:shd w:val="clear" w:color="auto" w:fill="FEEBB9" w:themeFill="accent2" w:themeFillTint="66"/>
          </w:tcPr>
          <w:p w14:paraId="2C3C2B61" w14:textId="77777777" w:rsidR="008C3425" w:rsidRPr="00734A50" w:rsidRDefault="008C3425">
            <w:pPr>
              <w:spacing w:after="0"/>
              <w:ind w:left="79"/>
              <w:rPr>
                <w:rFonts w:cstheme="minorHAnsi"/>
                <w:b w:val="0"/>
                <w:color w:val="auto"/>
                <w:sz w:val="16"/>
                <w:szCs w:val="16"/>
              </w:rPr>
            </w:pPr>
            <w:r w:rsidRPr="00734A50">
              <w:rPr>
                <w:rFonts w:cstheme="minorHAnsi"/>
                <w:color w:val="auto"/>
                <w:sz w:val="16"/>
                <w:szCs w:val="16"/>
              </w:rPr>
              <w:t>Knowledge of the process that occurs in a novice brain during progression towards mastery. Knowledge of and skill in the need to adjust practice in response.</w:t>
            </w:r>
          </w:p>
          <w:p w14:paraId="1B58E143"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FEEBB9" w:themeFill="accent2" w:themeFillTint="66"/>
          </w:tcPr>
          <w:p w14:paraId="3BC69A96"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sz w:val="24"/>
                <w:szCs w:val="24"/>
              </w:rPr>
            </w:pPr>
            <w:r w:rsidRPr="00734A50">
              <w:rPr>
                <w:b/>
                <w:sz w:val="20"/>
                <w:szCs w:val="20"/>
                <w:u w:val="single"/>
              </w:rPr>
              <w:t>How the brain masters knowledge</w:t>
            </w:r>
          </w:p>
        </w:tc>
      </w:tr>
      <w:tr w:rsidR="00450B0E" w:rsidRPr="00734A50" w14:paraId="1DCD5EC9"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51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28E5A99D" w14:textId="77777777" w:rsidR="008C3425" w:rsidRPr="00734A50" w:rsidRDefault="008C3425">
            <w:pPr>
              <w:spacing w:after="0"/>
              <w:ind w:left="79"/>
              <w:rPr>
                <w:rFonts w:eastAsia="Calibri" w:cstheme="minorHAnsi"/>
                <w:b w:val="0"/>
                <w:color w:val="auto"/>
                <w:sz w:val="16"/>
                <w:szCs w:val="16"/>
              </w:rPr>
            </w:pPr>
          </w:p>
        </w:tc>
        <w:tc>
          <w:tcPr>
            <w:tcW w:w="3846" w:type="pct"/>
            <w:shd w:val="clear" w:color="auto" w:fill="auto"/>
          </w:tcPr>
          <w:p w14:paraId="0DA8BFA9"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34A50">
              <w:rPr>
                <w:rFonts w:cstheme="minorHAnsi"/>
                <w:sz w:val="16"/>
                <w:szCs w:val="16"/>
              </w:rPr>
              <w:t xml:space="preserve">How the </w:t>
            </w:r>
            <w:r w:rsidRPr="00734A50">
              <w:rPr>
                <w:rFonts w:cstheme="minorHAnsi"/>
                <w:b/>
                <w:bCs/>
                <w:sz w:val="16"/>
                <w:szCs w:val="16"/>
              </w:rPr>
              <w:t>brain applies attained knowledge</w:t>
            </w:r>
            <w:r w:rsidRPr="00734A50">
              <w:rPr>
                <w:rFonts w:cstheme="minorHAnsi"/>
                <w:sz w:val="16"/>
                <w:szCs w:val="16"/>
              </w:rPr>
              <w:t xml:space="preserve"> to solve problems by accessing memory or </w:t>
            </w:r>
            <w:r w:rsidRPr="00734A50">
              <w:rPr>
                <w:rFonts w:cstheme="minorHAnsi"/>
                <w:b/>
                <w:bCs/>
                <w:sz w:val="16"/>
                <w:szCs w:val="16"/>
              </w:rPr>
              <w:t>combining and re-combining memory</w:t>
            </w:r>
            <w:r w:rsidRPr="00734A50">
              <w:rPr>
                <w:rFonts w:cstheme="minorHAnsi"/>
                <w:sz w:val="16"/>
                <w:szCs w:val="16"/>
              </w:rPr>
              <w:t xml:space="preserve"> to generate possible solutions.</w:t>
            </w:r>
          </w:p>
        </w:tc>
      </w:tr>
      <w:tr w:rsidR="00450B0E" w:rsidRPr="00734A50" w14:paraId="349526F2" w14:textId="77777777">
        <w:trPr>
          <w:gridAfter w:val="1"/>
          <w:wAfter w:w="15" w:type="pct"/>
          <w:trHeight w:val="625"/>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6AB9F4D2" w14:textId="77777777" w:rsidR="008C3425" w:rsidRPr="00734A50" w:rsidRDefault="008C3425">
            <w:pPr>
              <w:spacing w:after="0"/>
              <w:ind w:left="79"/>
              <w:rPr>
                <w:rFonts w:eastAsia="Calibri" w:cstheme="minorHAnsi"/>
                <w:color w:val="auto"/>
                <w:sz w:val="16"/>
                <w:szCs w:val="16"/>
              </w:rPr>
            </w:pPr>
          </w:p>
        </w:tc>
        <w:tc>
          <w:tcPr>
            <w:tcW w:w="3846" w:type="pct"/>
            <w:shd w:val="clear" w:color="auto" w:fill="auto"/>
          </w:tcPr>
          <w:p w14:paraId="7AF21824"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4A50">
              <w:rPr>
                <w:rFonts w:cstheme="minorHAnsi"/>
                <w:sz w:val="16"/>
                <w:szCs w:val="16"/>
              </w:rPr>
              <w:t xml:space="preserve">Why </w:t>
            </w:r>
            <w:r w:rsidRPr="00734A50">
              <w:rPr>
                <w:rFonts w:cstheme="minorHAnsi"/>
                <w:b/>
                <w:bCs/>
                <w:sz w:val="16"/>
                <w:szCs w:val="16"/>
              </w:rPr>
              <w:t>teaching practices must adapt</w:t>
            </w:r>
            <w:r w:rsidRPr="00734A50">
              <w:rPr>
                <w:rFonts w:cstheme="minorHAnsi"/>
                <w:sz w:val="16"/>
                <w:szCs w:val="16"/>
              </w:rPr>
              <w:t xml:space="preserve"> as a student’s familiarity with the </w:t>
            </w:r>
            <w:r w:rsidRPr="00734A50">
              <w:rPr>
                <w:rFonts w:cstheme="minorHAnsi"/>
                <w:b/>
                <w:bCs/>
                <w:sz w:val="16"/>
                <w:szCs w:val="16"/>
              </w:rPr>
              <w:t>knowledge of a subject increases</w:t>
            </w:r>
            <w:r w:rsidRPr="00734A50">
              <w:rPr>
                <w:rFonts w:cstheme="minorHAnsi"/>
                <w:sz w:val="16"/>
                <w:szCs w:val="16"/>
              </w:rPr>
              <w:t xml:space="preserve">, </w:t>
            </w:r>
            <w:r w:rsidRPr="009C0469">
              <w:rPr>
                <w:rFonts w:cstheme="minorHAnsi"/>
                <w:b/>
                <w:bCs/>
                <w:sz w:val="16"/>
                <w:szCs w:val="16"/>
              </w:rPr>
              <w:t xml:space="preserve">including when to move from </w:t>
            </w:r>
            <w:r w:rsidRPr="00734A50">
              <w:rPr>
                <w:rFonts w:cstheme="minorHAnsi"/>
                <w:b/>
                <w:bCs/>
                <w:sz w:val="16"/>
                <w:szCs w:val="16"/>
              </w:rPr>
              <w:t>scaffolded practice to independent practice</w:t>
            </w:r>
            <w:r w:rsidRPr="00734A50">
              <w:rPr>
                <w:rFonts w:cstheme="minorHAnsi"/>
                <w:sz w:val="16"/>
                <w:szCs w:val="16"/>
              </w:rPr>
              <w:t>, and why this is important.</w:t>
            </w:r>
          </w:p>
        </w:tc>
      </w:tr>
      <w:tr w:rsidR="00450B0E" w:rsidRPr="00734A50" w14:paraId="07C3782B"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606"/>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5903F425" w14:textId="77777777" w:rsidR="008C3425" w:rsidRPr="00734A50" w:rsidRDefault="008C3425">
            <w:pPr>
              <w:spacing w:after="0"/>
              <w:ind w:left="79"/>
              <w:rPr>
                <w:rFonts w:eastAsia="Calibri" w:cstheme="minorHAnsi"/>
                <w:color w:val="auto"/>
                <w:sz w:val="16"/>
                <w:szCs w:val="16"/>
              </w:rPr>
            </w:pPr>
          </w:p>
        </w:tc>
        <w:tc>
          <w:tcPr>
            <w:tcW w:w="3846" w:type="pct"/>
            <w:shd w:val="clear" w:color="auto" w:fill="auto"/>
          </w:tcPr>
          <w:p w14:paraId="07BA0E4E"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734A50">
              <w:rPr>
                <w:rFonts w:cstheme="minorHAnsi"/>
                <w:sz w:val="16"/>
                <w:szCs w:val="16"/>
              </w:rPr>
              <w:t xml:space="preserve">How to </w:t>
            </w:r>
            <w:r w:rsidRPr="00734A50">
              <w:rPr>
                <w:rFonts w:cstheme="minorHAnsi"/>
                <w:b/>
                <w:bCs/>
                <w:sz w:val="16"/>
                <w:szCs w:val="16"/>
              </w:rPr>
              <w:t>develop and use worked examples</w:t>
            </w:r>
            <w:r w:rsidRPr="00734A50">
              <w:rPr>
                <w:rFonts w:cstheme="minorHAnsi"/>
                <w:sz w:val="16"/>
                <w:szCs w:val="16"/>
              </w:rPr>
              <w:t xml:space="preserve"> </w:t>
            </w:r>
            <w:r w:rsidRPr="00734A50">
              <w:rPr>
                <w:rFonts w:cstheme="minorHAnsi"/>
                <w:b/>
                <w:bCs/>
                <w:sz w:val="16"/>
                <w:szCs w:val="16"/>
              </w:rPr>
              <w:t>for students who are unfamiliar with a subject</w:t>
            </w:r>
            <w:r w:rsidRPr="00734A50">
              <w:rPr>
                <w:rFonts w:cstheme="minorHAnsi"/>
                <w:sz w:val="16"/>
                <w:szCs w:val="16"/>
              </w:rPr>
              <w:t>, followed by more challenging problem-solving activities as students become more familiar with the knowledge of a subject.</w:t>
            </w:r>
          </w:p>
        </w:tc>
      </w:tr>
      <w:tr w:rsidR="00450B0E" w:rsidRPr="00734A50" w14:paraId="2D1DCF44" w14:textId="77777777">
        <w:trPr>
          <w:gridAfter w:val="1"/>
          <w:wAfter w:w="15" w:type="pct"/>
          <w:trHeight w:val="208"/>
        </w:trPr>
        <w:tc>
          <w:tcPr>
            <w:cnfStyle w:val="001000000000" w:firstRow="0" w:lastRow="0" w:firstColumn="1" w:lastColumn="0" w:oddVBand="0" w:evenVBand="0" w:oddHBand="0" w:evenHBand="0" w:firstRowFirstColumn="0" w:firstRowLastColumn="0" w:lastRowFirstColumn="0" w:lastRowLastColumn="0"/>
            <w:tcW w:w="1139" w:type="pct"/>
            <w:vMerge w:val="restart"/>
            <w:tcBorders>
              <w:left w:val="nil"/>
            </w:tcBorders>
            <w:shd w:val="clear" w:color="auto" w:fill="FEEBB9" w:themeFill="accent2" w:themeFillTint="66"/>
          </w:tcPr>
          <w:p w14:paraId="70E5B514" w14:textId="77777777" w:rsidR="008C3425" w:rsidRPr="00734A50" w:rsidRDefault="008C3425">
            <w:pPr>
              <w:spacing w:after="0"/>
              <w:ind w:left="79"/>
              <w:rPr>
                <w:rFonts w:cstheme="minorHAnsi"/>
                <w:b w:val="0"/>
                <w:color w:val="auto"/>
                <w:sz w:val="16"/>
                <w:szCs w:val="16"/>
              </w:rPr>
            </w:pPr>
            <w:r w:rsidRPr="00734A50">
              <w:rPr>
                <w:rFonts w:cstheme="minorHAnsi"/>
                <w:color w:val="auto"/>
                <w:sz w:val="16"/>
                <w:szCs w:val="16"/>
              </w:rPr>
              <w:t>Knowledge and understanding of common neuromyths and the impact of their perpetuation.</w:t>
            </w:r>
          </w:p>
          <w:p w14:paraId="3760A798" w14:textId="77777777" w:rsidR="008C3425" w:rsidRPr="00734A50" w:rsidRDefault="008C3425">
            <w:pPr>
              <w:spacing w:after="0"/>
              <w:ind w:left="79"/>
              <w:rPr>
                <w:rFonts w:eastAsia="Calibri" w:cstheme="minorHAnsi"/>
                <w:color w:val="auto"/>
                <w:sz w:val="16"/>
                <w:szCs w:val="16"/>
              </w:rPr>
            </w:pPr>
          </w:p>
        </w:tc>
        <w:tc>
          <w:tcPr>
            <w:tcW w:w="3846" w:type="pct"/>
            <w:shd w:val="clear" w:color="auto" w:fill="FEEBB9" w:themeFill="accent2" w:themeFillTint="66"/>
          </w:tcPr>
          <w:p w14:paraId="120A3848"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pPr>
            <w:r w:rsidRPr="00734A50">
              <w:rPr>
                <w:b/>
                <w:sz w:val="20"/>
                <w:szCs w:val="20"/>
                <w:u w:val="single"/>
              </w:rPr>
              <w:t>Neuromyths</w:t>
            </w:r>
          </w:p>
        </w:tc>
      </w:tr>
      <w:tr w:rsidR="00450B0E" w:rsidRPr="00734A50" w14:paraId="1AD85688"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567"/>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6BA52484" w14:textId="77777777" w:rsidR="008C3425" w:rsidRPr="00734A50" w:rsidRDefault="008C3425">
            <w:pPr>
              <w:spacing w:after="0"/>
              <w:ind w:left="336"/>
              <w:rPr>
                <w:rFonts w:eastAsia="Calibri" w:cstheme="minorHAnsi"/>
                <w:b w:val="0"/>
                <w:color w:val="auto"/>
                <w:sz w:val="16"/>
                <w:szCs w:val="14"/>
              </w:rPr>
            </w:pPr>
          </w:p>
        </w:tc>
        <w:tc>
          <w:tcPr>
            <w:tcW w:w="3846" w:type="pct"/>
            <w:shd w:val="clear" w:color="auto" w:fill="auto"/>
          </w:tcPr>
          <w:p w14:paraId="3976BA5D"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How to identify </w:t>
            </w:r>
            <w:r w:rsidRPr="00734A50">
              <w:rPr>
                <w:rFonts w:eastAsia="Calibri" w:cstheme="minorHAnsi"/>
                <w:b/>
                <w:bCs/>
                <w:sz w:val="16"/>
                <w:szCs w:val="14"/>
              </w:rPr>
              <w:t>common neuromyths</w:t>
            </w:r>
            <w:r w:rsidRPr="00734A50">
              <w:rPr>
                <w:rFonts w:eastAsia="Calibri" w:cstheme="minorHAnsi"/>
                <w:sz w:val="16"/>
                <w:szCs w:val="14"/>
              </w:rPr>
              <w:t xml:space="preserve"> that are related to education (e.g. multiple intelligences, left vs right brain, learning styles, 10% of the use of our brain) and describe the evidence that disproves them.</w:t>
            </w:r>
          </w:p>
        </w:tc>
      </w:tr>
      <w:tr w:rsidR="00450B0E" w:rsidRPr="00734A50" w14:paraId="0896B804" w14:textId="77777777">
        <w:trPr>
          <w:gridAfter w:val="1"/>
          <w:wAfter w:w="15" w:type="pct"/>
          <w:trHeight w:val="451"/>
        </w:trPr>
        <w:tc>
          <w:tcPr>
            <w:cnfStyle w:val="001000000000" w:firstRow="0" w:lastRow="0" w:firstColumn="1" w:lastColumn="0" w:oddVBand="0" w:evenVBand="0" w:oddHBand="0" w:evenHBand="0" w:firstRowFirstColumn="0" w:firstRowLastColumn="0" w:lastRowFirstColumn="0" w:lastRowLastColumn="0"/>
            <w:tcW w:w="1139" w:type="pct"/>
            <w:vMerge/>
            <w:tcBorders>
              <w:left w:val="nil"/>
            </w:tcBorders>
            <w:shd w:val="clear" w:color="auto" w:fill="FEEBB9" w:themeFill="accent2" w:themeFillTint="66"/>
          </w:tcPr>
          <w:p w14:paraId="787C6396" w14:textId="77777777" w:rsidR="008C3425" w:rsidRPr="00734A50" w:rsidRDefault="008C3425">
            <w:pPr>
              <w:spacing w:after="0"/>
              <w:ind w:left="336"/>
              <w:rPr>
                <w:rFonts w:eastAsia="Calibri" w:cstheme="minorHAnsi"/>
                <w:color w:val="auto"/>
                <w:sz w:val="16"/>
                <w:szCs w:val="14"/>
              </w:rPr>
            </w:pPr>
          </w:p>
        </w:tc>
        <w:tc>
          <w:tcPr>
            <w:tcW w:w="3846" w:type="pct"/>
            <w:shd w:val="clear" w:color="auto" w:fill="auto"/>
          </w:tcPr>
          <w:p w14:paraId="57057CEF"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w:t>
            </w:r>
            <w:r w:rsidRPr="00734A50">
              <w:rPr>
                <w:rFonts w:eastAsia="Calibri" w:cstheme="minorHAnsi"/>
                <w:b/>
                <w:bCs/>
                <w:sz w:val="16"/>
                <w:szCs w:val="14"/>
              </w:rPr>
              <w:t>negative impacts</w:t>
            </w:r>
            <w:r w:rsidRPr="00734A50">
              <w:rPr>
                <w:rFonts w:eastAsia="Calibri" w:cstheme="minorHAnsi"/>
                <w:sz w:val="16"/>
                <w:szCs w:val="14"/>
              </w:rPr>
              <w:t xml:space="preserve"> of making instructional choices based on neuromyths, including how neuromyths conflict with current understandings of how the brain learns.</w:t>
            </w:r>
          </w:p>
        </w:tc>
      </w:tr>
      <w:tr w:rsidR="008C3425" w:rsidRPr="00734A50" w14:paraId="34CEEC62" w14:textId="77777777">
        <w:trPr>
          <w:gridAfter w:val="1"/>
          <w:cnfStyle w:val="000000100000" w:firstRow="0" w:lastRow="0" w:firstColumn="0" w:lastColumn="0" w:oddVBand="0" w:evenVBand="0" w:oddHBand="1" w:evenHBand="0" w:firstRowFirstColumn="0" w:firstRowLastColumn="0" w:lastRowFirstColumn="0" w:lastRowLastColumn="0"/>
          <w:wAfter w:w="15" w:type="pct"/>
          <w:trHeight w:val="451"/>
        </w:trPr>
        <w:tc>
          <w:tcPr>
            <w:cnfStyle w:val="001000000000" w:firstRow="0" w:lastRow="0" w:firstColumn="1" w:lastColumn="0" w:oddVBand="0" w:evenVBand="0" w:oddHBand="0" w:evenHBand="0" w:firstRowFirstColumn="0" w:firstRowLastColumn="0" w:lastRowFirstColumn="0" w:lastRowLastColumn="0"/>
            <w:tcW w:w="4985" w:type="pct"/>
            <w:gridSpan w:val="2"/>
            <w:tcBorders>
              <w:left w:val="nil"/>
            </w:tcBorders>
          </w:tcPr>
          <w:p w14:paraId="191E271B" w14:textId="77777777" w:rsidR="008C3425" w:rsidRPr="00734A50" w:rsidRDefault="008C3425">
            <w:pPr>
              <w:spacing w:after="0"/>
              <w:rPr>
                <w:rFonts w:eastAsia="Calibri" w:cstheme="minorHAnsi"/>
                <w:color w:val="auto"/>
                <w:sz w:val="16"/>
                <w:szCs w:val="14"/>
              </w:rPr>
            </w:pPr>
            <w:r w:rsidRPr="00734A50">
              <w:rPr>
                <w:rFonts w:eastAsia="Calibri" w:cstheme="minorHAnsi"/>
                <w:color w:val="auto"/>
                <w:sz w:val="24"/>
              </w:rPr>
              <w:t>Key references</w:t>
            </w:r>
          </w:p>
        </w:tc>
      </w:tr>
      <w:tr w:rsidR="008C3425" w:rsidRPr="00734A50" w14:paraId="216217D7" w14:textId="77777777">
        <w:trPr>
          <w:trHeight w:val="451"/>
        </w:trPr>
        <w:tc>
          <w:tcPr>
            <w:cnfStyle w:val="001000000000" w:firstRow="0" w:lastRow="0" w:firstColumn="1" w:lastColumn="0" w:oddVBand="0" w:evenVBand="0" w:oddHBand="0" w:evenHBand="0" w:firstRowFirstColumn="0" w:firstRowLastColumn="0" w:lastRowFirstColumn="0" w:lastRowLastColumn="0"/>
            <w:tcW w:w="0" w:type="pct"/>
            <w:gridSpan w:val="3"/>
            <w:tcBorders>
              <w:left w:val="single" w:sz="4" w:space="0" w:color="EBAB12" w:themeColor="accent1"/>
              <w:bottom w:val="single" w:sz="4" w:space="0" w:color="EBAB12"/>
            </w:tcBorders>
            <w:shd w:val="clear" w:color="auto" w:fill="auto"/>
          </w:tcPr>
          <w:p w14:paraId="586CFA21"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Chen O, Castro-Alonso JC, Paas F and Sweller J (2018) Extending Cognitive Load Theory to Incorporate Working Memory Resource Depletion: Evidence from the Spacing Effect, Educational Psychology Review, 30(2):483–501.</w:t>
            </w:r>
          </w:p>
          <w:p w14:paraId="67C49CB4" w14:textId="57C13CE2"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Deans for Impact (2015) The Science of Learning, Deans for Impact, Austin, Texas</w:t>
            </w:r>
            <w:r w:rsidR="0027694D">
              <w:rPr>
                <w:rFonts w:cstheme="minorHAnsi"/>
                <w:b w:val="0"/>
                <w:color w:val="auto"/>
                <w:sz w:val="16"/>
                <w:szCs w:val="14"/>
              </w:rPr>
              <w:t>.</w:t>
            </w:r>
          </w:p>
          <w:p w14:paraId="7CBC8D17" w14:textId="2B07BA54"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Dekker S, Lee N, Howard-Jones P and Jolles J (2012) Neuromyths in Education: Prevalence and Predictors of Misconceptions among Teachers, Frontiers in Psychology, 3.</w:t>
            </w:r>
          </w:p>
          <w:p w14:paraId="687D942E"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Geake J (2008) Neuromythologies in education, Educational Research, 50(2):123–133, doi:10.1080/00131880802082518.</w:t>
            </w:r>
          </w:p>
          <w:p w14:paraId="34AA870C"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Geake J (2009) The Brain At School: Educational Neuroscience In The Classroom, McGraw-Hill Education (UK).</w:t>
            </w:r>
          </w:p>
          <w:p w14:paraId="0D0BA523"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Kirschner P and Hendrick C (2020) How Learning Happens: Seminal Works in Educational Psychology and What They Mean in Practice, Routledge, London.</w:t>
            </w:r>
          </w:p>
          <w:p w14:paraId="12CAF806"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Kirschner PA, Sweller J and Clark RE (2006) Why minimal guidance during instruction does not work: an analysis of the failure of constructivist, discovery, problem-based, experiential, and inquiry-based teaching, Educational Psychologist, 41(2):75–86.</w:t>
            </w:r>
          </w:p>
          <w:p w14:paraId="0F99BC86"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Martin AJ and Evans P (2018) Load reduction instruction: Exploring a framework that assesses explicit instruction through to independent learning, Teaching and Teacher Education, 73:203–214.</w:t>
            </w:r>
          </w:p>
          <w:p w14:paraId="17E218F4"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OECD (2002) Understanding the Brain: Towards a New Learning Science, OECD.</w:t>
            </w:r>
          </w:p>
          <w:p w14:paraId="57E40BED"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Pasquinelli E (2012) Neuromyths: Why Do They Exist and Persist?, Mind, Brain, and Education, 6(2):89–96.</w:t>
            </w:r>
          </w:p>
          <w:p w14:paraId="62AA6148"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lastRenderedPageBreak/>
              <w:t>Perry T, Lea R, Jørgensen CR, Cordingley P, Shapiro K, Youdell D, Harrington J, Fancourt A, Crisp P, Gamble N and Pomareda C (2021) Cognitive Science in the Classroom: Evidence and Practice Review, Education Endowment Foundation, London.</w:t>
            </w:r>
          </w:p>
          <w:p w14:paraId="3D62ED5C"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Roediger HL and Butler AC (2011) The critical role of retrieval practice in long-term retention, Trends in Cognitive Sciences, 15:20–27.</w:t>
            </w:r>
          </w:p>
          <w:p w14:paraId="1738B2F9"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Rosenshine B (2012) Principles of Instruction: Research-Based Strategies That All Teachers Should Know</w:t>
            </w:r>
            <w:r w:rsidRPr="00B723C9">
              <w:rPr>
                <w:rFonts w:cstheme="minorHAnsi"/>
                <w:b w:val="0"/>
                <w:color w:val="auto"/>
                <w:sz w:val="16"/>
                <w:szCs w:val="14"/>
              </w:rPr>
              <w:t xml:space="preserve">, </w:t>
            </w:r>
            <w:r w:rsidRPr="00B723C9">
              <w:rPr>
                <w:rFonts w:cstheme="minorHAnsi"/>
                <w:b w:val="0"/>
                <w:iCs/>
                <w:color w:val="auto"/>
                <w:sz w:val="16"/>
                <w:szCs w:val="14"/>
              </w:rPr>
              <w:t>American Educator,</w:t>
            </w:r>
            <w:r w:rsidRPr="00B723C9">
              <w:rPr>
                <w:rFonts w:cstheme="minorHAnsi"/>
                <w:b w:val="0"/>
                <w:color w:val="auto"/>
                <w:sz w:val="16"/>
                <w:szCs w:val="14"/>
              </w:rPr>
              <w:t xml:space="preserve"> </w:t>
            </w:r>
            <w:r w:rsidRPr="00734A50">
              <w:rPr>
                <w:rFonts w:cstheme="minorHAnsi"/>
                <w:b w:val="0"/>
                <w:color w:val="auto"/>
                <w:sz w:val="16"/>
                <w:szCs w:val="14"/>
              </w:rPr>
              <w:t>36(1):12.</w:t>
            </w:r>
          </w:p>
          <w:p w14:paraId="7536B80C"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Sousa DA (2011) Commentary: Mind, Brain, and Education: The Impact of Educational Neuroscience on the Science of Teaching, LEARNing Landscapes, 5(1):37–4.</w:t>
            </w:r>
          </w:p>
          <w:p w14:paraId="4F3F8A09"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Sweller J (2016) Working memory, long-term memory, and instructional design, Journal of Applied Research in Memory and Cognition, 5:360–367.</w:t>
            </w:r>
          </w:p>
          <w:p w14:paraId="539F67D7" w14:textId="2ED65B06"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Sweller J (2021) Why Inquiry-based Approaches Harm Students’ Learning, Centre for Independent Studies, Sydney</w:t>
            </w:r>
            <w:r w:rsidR="008174A5">
              <w:rPr>
                <w:rFonts w:cstheme="minorHAnsi"/>
                <w:b w:val="0"/>
                <w:color w:val="auto"/>
                <w:sz w:val="16"/>
                <w:szCs w:val="14"/>
              </w:rPr>
              <w:t>.</w:t>
            </w:r>
          </w:p>
          <w:p w14:paraId="255F8484"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Sweller J, Van Merriënboer JJG and Paas F (1998) Cognitive Architecture and Instructional Design, Educational Psychology Review, 10:251.</w:t>
            </w:r>
          </w:p>
          <w:p w14:paraId="5C6B7486"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Sweller J, van Merriënboer J and Paas F (2019) Cognitive Architecture and Instructional Design: 20 Years Later, Educational Psychology Review, 31:261–292.</w:t>
            </w:r>
          </w:p>
        </w:tc>
      </w:tr>
    </w:tbl>
    <w:p w14:paraId="4B3960CE" w14:textId="77777777" w:rsidR="008C3425" w:rsidRPr="00734A50" w:rsidRDefault="008C3425" w:rsidP="008C3425"/>
    <w:p w14:paraId="7343A689" w14:textId="77777777" w:rsidR="008C3425" w:rsidRPr="00734A50" w:rsidRDefault="008C3425" w:rsidP="008C3425">
      <w:pPr>
        <w:spacing w:after="160" w:line="259" w:lineRule="auto"/>
        <w:rPr>
          <w:sz w:val="32"/>
          <w:szCs w:val="32"/>
          <w:lang w:eastAsia="en-AU"/>
        </w:rPr>
      </w:pPr>
      <w:r w:rsidRPr="00734A50">
        <w:rPr>
          <w:sz w:val="32"/>
          <w:szCs w:val="32"/>
          <w:lang w:eastAsia="en-AU"/>
        </w:rPr>
        <w:br w:type="page"/>
      </w:r>
    </w:p>
    <w:p w14:paraId="0558BE99" w14:textId="77777777" w:rsidR="008C3425" w:rsidRPr="00734A50" w:rsidRDefault="008C3425" w:rsidP="008C3425">
      <w:pPr>
        <w:pStyle w:val="HeadingTable"/>
        <w:numPr>
          <w:ilvl w:val="0"/>
          <w:numId w:val="0"/>
        </w:numPr>
        <w:ind w:left="360" w:hanging="360"/>
        <w:rPr>
          <w:sz w:val="22"/>
          <w:szCs w:val="28"/>
        </w:rPr>
      </w:pPr>
      <w:r w:rsidRPr="00734A50">
        <w:rPr>
          <w:sz w:val="22"/>
          <w:szCs w:val="28"/>
        </w:rPr>
        <w:lastRenderedPageBreak/>
        <w:t>Table D2: Core Content 2</w:t>
      </w:r>
    </w:p>
    <w:tbl>
      <w:tblPr>
        <w:tblStyle w:val="GridTable5Dark-Accent2"/>
        <w:tblW w:w="9209" w:type="dxa"/>
        <w:tblBorders>
          <w:top w:val="single" w:sz="4" w:space="0" w:color="EBAB12" w:themeColor="accent1"/>
          <w:left w:val="single" w:sz="4" w:space="0" w:color="EBAB12" w:themeColor="accent1"/>
          <w:bottom w:val="single" w:sz="4" w:space="0" w:color="EBAB12" w:themeColor="accent1"/>
          <w:right w:val="single" w:sz="4" w:space="0" w:color="EBAB12" w:themeColor="accent1"/>
          <w:insideH w:val="single" w:sz="4" w:space="0" w:color="EBAB12" w:themeColor="accent1"/>
          <w:insideV w:val="single" w:sz="4" w:space="0" w:color="EBAB12" w:themeColor="accent1"/>
        </w:tblBorders>
        <w:tblLook w:val="04A0" w:firstRow="1" w:lastRow="0" w:firstColumn="1" w:lastColumn="0" w:noHBand="0" w:noVBand="1"/>
      </w:tblPr>
      <w:tblGrid>
        <w:gridCol w:w="2263"/>
        <w:gridCol w:w="6946"/>
      </w:tblGrid>
      <w:tr w:rsidR="008C3425" w:rsidRPr="00734A50" w14:paraId="3A86345D" w14:textId="77777777">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EBAB12" w:themeColor="accent1"/>
              <w:left w:val="single" w:sz="4" w:space="0" w:color="EBAB12" w:themeColor="accent1"/>
              <w:right w:val="single" w:sz="4" w:space="0" w:color="EBAB12" w:themeColor="accent1"/>
            </w:tcBorders>
          </w:tcPr>
          <w:p w14:paraId="3894AB8E" w14:textId="77777777" w:rsidR="008C3425" w:rsidRPr="00734A50" w:rsidRDefault="008C3425">
            <w:pPr>
              <w:rPr>
                <w:rFonts w:cstheme="minorHAnsi"/>
                <w:color w:val="auto"/>
                <w:sz w:val="32"/>
                <w:szCs w:val="32"/>
              </w:rPr>
            </w:pPr>
            <w:r w:rsidRPr="00734A50">
              <w:rPr>
                <w:rFonts w:cstheme="minorHAnsi"/>
                <w:color w:val="auto"/>
                <w:sz w:val="32"/>
                <w:szCs w:val="32"/>
                <w:lang w:eastAsia="en-AU"/>
              </w:rPr>
              <w:t>Core Content 2: Effective Pedagogical Practices</w:t>
            </w:r>
          </w:p>
        </w:tc>
      </w:tr>
      <w:tr w:rsidR="008C3425" w:rsidRPr="00734A50" w14:paraId="3ED8030F" w14:textId="7777777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209" w:type="dxa"/>
            <w:gridSpan w:val="2"/>
            <w:tcBorders>
              <w:left w:val="single" w:sz="4" w:space="0" w:color="EBAB12" w:themeColor="accent1"/>
            </w:tcBorders>
            <w:shd w:val="clear" w:color="auto" w:fill="auto"/>
          </w:tcPr>
          <w:p w14:paraId="49939C17" w14:textId="0ACFDBEB" w:rsidR="008C3425" w:rsidRPr="00734A50" w:rsidRDefault="008C3425">
            <w:pPr>
              <w:spacing w:after="0"/>
              <w:rPr>
                <w:rFonts w:cstheme="minorHAnsi"/>
                <w:b w:val="0"/>
                <w:color w:val="auto"/>
                <w:sz w:val="19"/>
                <w:szCs w:val="19"/>
              </w:rPr>
            </w:pPr>
            <w:r w:rsidRPr="00734A50">
              <w:rPr>
                <w:rFonts w:cstheme="minorHAnsi"/>
                <w:b w:val="0"/>
                <w:i/>
                <w:color w:val="auto"/>
                <w:sz w:val="20"/>
                <w:szCs w:val="18"/>
              </w:rPr>
              <w:t>Supports Graduate</w:t>
            </w:r>
            <w:r w:rsidRPr="00734A50">
              <w:rPr>
                <w:rFonts w:cstheme="minorHAnsi"/>
                <w:i/>
                <w:color w:val="auto"/>
                <w:sz w:val="19"/>
                <w:szCs w:val="19"/>
              </w:rPr>
              <w:t xml:space="preserve"> </w:t>
            </w:r>
            <w:r w:rsidRPr="00734A50">
              <w:rPr>
                <w:rFonts w:cstheme="minorHAnsi"/>
                <w:b w:val="0"/>
                <w:i/>
                <w:color w:val="auto"/>
                <w:sz w:val="20"/>
                <w:szCs w:val="18"/>
              </w:rPr>
              <w:t xml:space="preserve">Teacher Standards: </w:t>
            </w:r>
            <w:r w:rsidRPr="00734A50">
              <w:rPr>
                <w:rFonts w:eastAsia="Calibri" w:cstheme="minorHAnsi"/>
                <w:b w:val="0"/>
                <w:color w:val="auto"/>
                <w:sz w:val="19"/>
                <w:szCs w:val="19"/>
              </w:rPr>
              <w:t>1.3, 1.5, 1.6; 2.1, 2.2, 2.3, 2.4, 2.5; 3.1, 3.2, 3.3</w:t>
            </w:r>
            <w:r w:rsidR="00FA1606">
              <w:rPr>
                <w:rFonts w:eastAsia="Calibri" w:cstheme="minorHAnsi"/>
                <w:b w:val="0"/>
                <w:color w:val="auto"/>
                <w:sz w:val="19"/>
                <w:szCs w:val="19"/>
              </w:rPr>
              <w:t>,</w:t>
            </w:r>
            <w:r w:rsidRPr="00734A50">
              <w:rPr>
                <w:rFonts w:eastAsia="Calibri" w:cstheme="minorHAnsi"/>
                <w:b w:val="0"/>
                <w:color w:val="auto"/>
                <w:sz w:val="19"/>
                <w:szCs w:val="19"/>
              </w:rPr>
              <w:t xml:space="preserve"> 3.4, 3.5, 3.6; 4.1, 4.2; </w:t>
            </w:r>
            <w:r w:rsidR="00207B80" w:rsidRPr="00734A50">
              <w:rPr>
                <w:rFonts w:eastAsia="Calibri" w:cstheme="minorHAnsi"/>
                <w:b w:val="0"/>
                <w:color w:val="auto"/>
                <w:sz w:val="19"/>
                <w:szCs w:val="19"/>
              </w:rPr>
              <w:t xml:space="preserve">5.1, 5.2, </w:t>
            </w:r>
            <w:r w:rsidRPr="00734A50">
              <w:rPr>
                <w:rFonts w:eastAsia="Calibri" w:cstheme="minorHAnsi"/>
                <w:b w:val="0"/>
                <w:color w:val="auto"/>
                <w:sz w:val="19"/>
                <w:szCs w:val="19"/>
              </w:rPr>
              <w:t xml:space="preserve">5.4 </w:t>
            </w:r>
          </w:p>
        </w:tc>
      </w:tr>
      <w:tr w:rsidR="008C3425" w:rsidRPr="00734A50" w14:paraId="11BB9221" w14:textId="77777777">
        <w:trPr>
          <w:trHeight w:val="225"/>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EBAB12" w:themeColor="accent1"/>
            </w:tcBorders>
          </w:tcPr>
          <w:p w14:paraId="7FFA3514" w14:textId="77777777" w:rsidR="008C3425" w:rsidRPr="00734A50" w:rsidRDefault="008C3425">
            <w:pPr>
              <w:rPr>
                <w:rFonts w:eastAsia="Calibri" w:cstheme="minorHAnsi"/>
                <w:color w:val="auto"/>
                <w:sz w:val="24"/>
                <w:szCs w:val="24"/>
              </w:rPr>
            </w:pPr>
            <w:r w:rsidRPr="00734A50">
              <w:rPr>
                <w:rFonts w:cstheme="minorHAnsi"/>
                <w:color w:val="auto"/>
                <w:sz w:val="24"/>
                <w:szCs w:val="24"/>
              </w:rPr>
              <w:t>Learning Outcome</w:t>
            </w:r>
          </w:p>
        </w:tc>
        <w:tc>
          <w:tcPr>
            <w:tcW w:w="6946" w:type="dxa"/>
            <w:shd w:val="clear" w:color="auto" w:fill="FECF52" w:themeFill="accent2"/>
          </w:tcPr>
          <w:p w14:paraId="3CD35047" w14:textId="77777777" w:rsidR="008C3425" w:rsidRPr="00734A50" w:rsidRDefault="008C3425">
            <w:pPr>
              <w:cnfStyle w:val="000000000000" w:firstRow="0" w:lastRow="0" w:firstColumn="0" w:lastColumn="0" w:oddVBand="0" w:evenVBand="0" w:oddHBand="0" w:evenHBand="0" w:firstRowFirstColumn="0" w:firstRowLastColumn="0" w:lastRowFirstColumn="0" w:lastRowLastColumn="0"/>
              <w:rPr>
                <w:rFonts w:eastAsia="Calibri" w:cstheme="minorHAnsi"/>
                <w:b/>
                <w:sz w:val="24"/>
                <w:szCs w:val="24"/>
              </w:rPr>
            </w:pPr>
            <w:r w:rsidRPr="00734A50">
              <w:rPr>
                <w:rFonts w:cstheme="minorHAnsi"/>
                <w:b/>
                <w:sz w:val="24"/>
                <w:szCs w:val="24"/>
              </w:rPr>
              <w:t>Core content ITE programs should teach</w:t>
            </w:r>
          </w:p>
        </w:tc>
      </w:tr>
      <w:tr w:rsidR="008C3425" w:rsidRPr="00734A50" w14:paraId="4FE65BEE" w14:textId="7777777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single" w:sz="4" w:space="0" w:color="EBAB12" w:themeColor="accent1"/>
            </w:tcBorders>
            <w:shd w:val="clear" w:color="auto" w:fill="FEEBB9" w:themeFill="accent2" w:themeFillTint="66"/>
          </w:tcPr>
          <w:p w14:paraId="63E1C9C3" w14:textId="77777777" w:rsidR="008C3425" w:rsidRPr="00734A50" w:rsidRDefault="008C3425">
            <w:pPr>
              <w:tabs>
                <w:tab w:val="right" w:pos="9026"/>
              </w:tabs>
              <w:suppressAutoHyphens/>
              <w:spacing w:before="160" w:after="0"/>
              <w:rPr>
                <w:rFonts w:cstheme="minorHAnsi"/>
                <w:color w:val="auto"/>
                <w:sz w:val="16"/>
                <w:szCs w:val="16"/>
                <w:lang w:val="en-US"/>
              </w:rPr>
            </w:pPr>
            <w:r w:rsidRPr="00734A50">
              <w:rPr>
                <w:rFonts w:cstheme="minorHAnsi"/>
                <w:color w:val="auto"/>
                <w:sz w:val="16"/>
                <w:szCs w:val="16"/>
                <w:lang w:val="en-US"/>
              </w:rPr>
              <w:t>Knowledge of and skill in planning and sequencing content and tasks so that they become increasingly challenging and incorporate spacing and retrieval practice.</w:t>
            </w:r>
          </w:p>
        </w:tc>
        <w:tc>
          <w:tcPr>
            <w:tcW w:w="6946" w:type="dxa"/>
          </w:tcPr>
          <w:p w14:paraId="68062C82"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b/>
                <w:u w:val="single"/>
              </w:rPr>
            </w:pPr>
            <w:r w:rsidRPr="00734A50">
              <w:rPr>
                <w:b/>
                <w:sz w:val="20"/>
                <w:szCs w:val="20"/>
                <w:u w:val="single"/>
              </w:rPr>
              <w:t>Planning and sequencing</w:t>
            </w:r>
          </w:p>
        </w:tc>
      </w:tr>
      <w:tr w:rsidR="008C3425" w:rsidRPr="00734A50" w14:paraId="503E8655"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53619818"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6214BA5E"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sz w:val="16"/>
                <w:szCs w:val="16"/>
              </w:rPr>
              <w:t xml:space="preserve">The </w:t>
            </w:r>
            <w:r w:rsidRPr="00734A50">
              <w:rPr>
                <w:rFonts w:eastAsia="Calibri" w:cstheme="minorHAnsi"/>
                <w:b/>
                <w:bCs/>
                <w:sz w:val="16"/>
                <w:szCs w:val="16"/>
              </w:rPr>
              <w:t xml:space="preserve">key features of coherent and deliberate planning and sequencing of tasks and lessons </w:t>
            </w:r>
            <w:r w:rsidRPr="00734A50">
              <w:rPr>
                <w:rFonts w:eastAsia="Calibri" w:cstheme="minorHAnsi"/>
                <w:sz w:val="16"/>
                <w:szCs w:val="16"/>
              </w:rPr>
              <w:t xml:space="preserve">including curriculum-aligned learning objectives, clear descriptions of how students will show evidence of mastery, the </w:t>
            </w:r>
            <w:r w:rsidRPr="00734A50">
              <w:rPr>
                <w:rFonts w:eastAsia="Calibri" w:cstheme="minorHAnsi"/>
                <w:sz w:val="16"/>
                <w:szCs w:val="16"/>
                <w:lang w:eastAsia="en-AU"/>
              </w:rPr>
              <w:t>common progression of learning in a subject area and the critical curriculum knowledge needed for students to progress.</w:t>
            </w:r>
          </w:p>
        </w:tc>
      </w:tr>
      <w:tr w:rsidR="008C3425" w:rsidRPr="00734A50" w14:paraId="7BC4994C"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9B45116"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6597632D"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heme="minorHAnsi"/>
                <w:b/>
                <w:bCs/>
                <w:sz w:val="16"/>
                <w:szCs w:val="16"/>
              </w:rPr>
              <w:t>How to plan</w:t>
            </w:r>
            <w:r w:rsidRPr="00734A50">
              <w:rPr>
                <w:rFonts w:eastAsia="Calibri" w:cstheme="minorHAnsi"/>
                <w:sz w:val="16"/>
                <w:szCs w:val="16"/>
              </w:rPr>
              <w:t xml:space="preserve"> </w:t>
            </w:r>
            <w:r w:rsidRPr="00734A50">
              <w:rPr>
                <w:rFonts w:eastAsia="Calibri" w:cstheme="minorHAnsi"/>
                <w:b/>
                <w:bCs/>
                <w:sz w:val="16"/>
                <w:szCs w:val="16"/>
              </w:rPr>
              <w:t>a sequence of lessons</w:t>
            </w:r>
            <w:r w:rsidRPr="00734A50">
              <w:rPr>
                <w:rFonts w:eastAsia="Calibri" w:cstheme="minorHAnsi"/>
                <w:sz w:val="16"/>
                <w:szCs w:val="16"/>
              </w:rPr>
              <w:t xml:space="preserve"> that incorporate spacing and retrieval practice, build upon each other, meet students where they are in their learning and help students retrieve past learning and consolidate it in long-term memory.</w:t>
            </w:r>
          </w:p>
        </w:tc>
      </w:tr>
      <w:tr w:rsidR="008C3425" w:rsidRPr="00734A50" w14:paraId="52B2B2C8"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403A04A7"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0CD140E1"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b/>
                <w:bCs/>
                <w:sz w:val="16"/>
                <w:szCs w:val="16"/>
              </w:rPr>
              <w:t>How to</w:t>
            </w:r>
            <w:r w:rsidRPr="00734A50">
              <w:rPr>
                <w:rFonts w:eastAsia="Calibri" w:cstheme="minorHAnsi"/>
                <w:sz w:val="16"/>
                <w:szCs w:val="16"/>
              </w:rPr>
              <w:t xml:space="preserve"> </w:t>
            </w:r>
            <w:r w:rsidRPr="00734A50">
              <w:rPr>
                <w:rFonts w:eastAsia="Calibri" w:cstheme="minorHAnsi"/>
                <w:b/>
                <w:bCs/>
                <w:sz w:val="16"/>
                <w:szCs w:val="16"/>
              </w:rPr>
              <w:t>sequence tasks within a lesson</w:t>
            </w:r>
            <w:r w:rsidRPr="00734A50">
              <w:rPr>
                <w:rFonts w:eastAsia="Calibri" w:cstheme="minorHAnsi"/>
                <w:sz w:val="16"/>
                <w:szCs w:val="16"/>
              </w:rPr>
              <w:t xml:space="preserve"> that build upon each other, meet students where they are in their learning and help them understand the progression of skills needed to attain mastery.</w:t>
            </w:r>
          </w:p>
        </w:tc>
      </w:tr>
      <w:tr w:rsidR="008C3425" w:rsidRPr="00734A50" w14:paraId="4EEA2FF1" w14:textId="7777777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single" w:sz="4" w:space="0" w:color="EBAB12" w:themeColor="accent1"/>
            </w:tcBorders>
            <w:shd w:val="clear" w:color="auto" w:fill="FEEBB9" w:themeFill="accent2" w:themeFillTint="66"/>
          </w:tcPr>
          <w:p w14:paraId="2C818198" w14:textId="77777777" w:rsidR="008C3425" w:rsidRPr="00734A50" w:rsidRDefault="008C3425">
            <w:pPr>
              <w:tabs>
                <w:tab w:val="right" w:pos="9026"/>
              </w:tabs>
              <w:suppressAutoHyphens/>
              <w:spacing w:before="160" w:after="0"/>
              <w:rPr>
                <w:rFonts w:cstheme="minorHAnsi"/>
                <w:color w:val="auto"/>
                <w:sz w:val="16"/>
                <w:szCs w:val="16"/>
                <w:lang w:val="en-US"/>
              </w:rPr>
            </w:pPr>
            <w:r w:rsidRPr="00734A50">
              <w:rPr>
                <w:rFonts w:cstheme="minorHAnsi"/>
                <w:color w:val="auto"/>
                <w:sz w:val="16"/>
                <w:szCs w:val="16"/>
                <w:lang w:val="en-US"/>
              </w:rPr>
              <w:t>Knowledge of and skill in explicit teaching, modelling and scaffolding practices that support how a student’s brain learns.</w:t>
            </w:r>
          </w:p>
          <w:p w14:paraId="7F555D03" w14:textId="77777777" w:rsidR="008C3425" w:rsidRPr="00734A50" w:rsidRDefault="008C3425">
            <w:pPr>
              <w:spacing w:after="0"/>
              <w:rPr>
                <w:rFonts w:cstheme="minorHAnsi"/>
                <w:color w:val="auto"/>
                <w:sz w:val="16"/>
                <w:szCs w:val="16"/>
                <w:lang w:val="en-US"/>
              </w:rPr>
            </w:pPr>
          </w:p>
        </w:tc>
        <w:tc>
          <w:tcPr>
            <w:tcW w:w="6946" w:type="dxa"/>
          </w:tcPr>
          <w:p w14:paraId="08DE3028"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b/>
              </w:rPr>
            </w:pPr>
            <w:r w:rsidRPr="00734A50">
              <w:rPr>
                <w:b/>
                <w:sz w:val="20"/>
                <w:szCs w:val="20"/>
                <w:u w:val="single"/>
              </w:rPr>
              <w:t>Explicit modelling and scaffolding</w:t>
            </w:r>
          </w:p>
        </w:tc>
      </w:tr>
      <w:tr w:rsidR="008C3425" w:rsidRPr="00734A50" w14:paraId="5069BB5A"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93E2059"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2F6BAA1C"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The research base that shows </w:t>
            </w:r>
            <w:r w:rsidRPr="00734A50">
              <w:rPr>
                <w:rFonts w:eastAsia="Calibri" w:cs="Times New Roman"/>
                <w:b/>
                <w:bCs/>
                <w:sz w:val="16"/>
                <w:szCs w:val="16"/>
              </w:rPr>
              <w:t>explicit teaching, modelling and</w:t>
            </w:r>
            <w:r w:rsidRPr="00734A50">
              <w:rPr>
                <w:rFonts w:eastAsia="Calibri" w:cs="Times New Roman"/>
                <w:sz w:val="16"/>
                <w:szCs w:val="16"/>
              </w:rPr>
              <w:t xml:space="preserve"> </w:t>
            </w:r>
            <w:r w:rsidRPr="00734A50">
              <w:rPr>
                <w:rFonts w:eastAsia="Calibri" w:cs="Times New Roman"/>
                <w:b/>
                <w:bCs/>
                <w:sz w:val="16"/>
                <w:szCs w:val="16"/>
              </w:rPr>
              <w:t>scaffolding practices</w:t>
            </w:r>
            <w:r w:rsidRPr="00734A50">
              <w:rPr>
                <w:rFonts w:eastAsia="Calibri" w:cs="Times New Roman"/>
                <w:sz w:val="16"/>
                <w:szCs w:val="16"/>
              </w:rPr>
              <w:t xml:space="preserve"> are highly effective and attend best to </w:t>
            </w:r>
            <w:r w:rsidRPr="00734A50">
              <w:rPr>
                <w:rFonts w:eastAsia="Calibri" w:cs="Times New Roman"/>
                <w:b/>
                <w:bCs/>
                <w:sz w:val="16"/>
                <w:szCs w:val="16"/>
              </w:rPr>
              <w:t>how a student’s brain learns</w:t>
            </w:r>
            <w:r w:rsidRPr="00734A50">
              <w:rPr>
                <w:rFonts w:eastAsia="Calibri" w:cs="Times New Roman"/>
                <w:sz w:val="16"/>
                <w:szCs w:val="16"/>
              </w:rPr>
              <w:t>.</w:t>
            </w:r>
          </w:p>
        </w:tc>
      </w:tr>
      <w:tr w:rsidR="008C3425" w:rsidRPr="00734A50" w14:paraId="4C6F972C"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3455AF8"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16BF8575"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b/>
                <w:bCs/>
                <w:sz w:val="16"/>
                <w:szCs w:val="16"/>
              </w:rPr>
              <w:t>How to effectively begin instruction of a task</w:t>
            </w:r>
            <w:r w:rsidRPr="00734A50">
              <w:rPr>
                <w:rFonts w:eastAsia="Calibri" w:cs="Times New Roman"/>
                <w:sz w:val="16"/>
                <w:szCs w:val="16"/>
              </w:rPr>
              <w:t xml:space="preserve"> through using a clear explanation of what students are expected to learn, chunked into small, manageable tasks with well-defined goals.</w:t>
            </w:r>
          </w:p>
        </w:tc>
      </w:tr>
      <w:tr w:rsidR="008C3425" w:rsidRPr="00734A50" w14:paraId="705BAC82"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70075044"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639F4660"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b/>
                <w:bCs/>
                <w:sz w:val="16"/>
                <w:szCs w:val="16"/>
              </w:rPr>
              <w:t>The importance of presenting all information</w:t>
            </w:r>
            <w:r w:rsidRPr="00734A50">
              <w:rPr>
                <w:rFonts w:eastAsia="Calibri" w:cs="Times New Roman"/>
                <w:sz w:val="16"/>
                <w:szCs w:val="16"/>
              </w:rPr>
              <w:t xml:space="preserve"> required to complete these chunked tasks in </w:t>
            </w:r>
            <w:r w:rsidRPr="00734A50">
              <w:rPr>
                <w:rFonts w:eastAsia="Calibri" w:cs="Times New Roman"/>
                <w:b/>
                <w:bCs/>
                <w:sz w:val="16"/>
                <w:szCs w:val="16"/>
              </w:rPr>
              <w:t>one place and at one time</w:t>
            </w:r>
            <w:r w:rsidRPr="00734A50">
              <w:rPr>
                <w:rFonts w:eastAsia="Calibri" w:cs="Times New Roman"/>
                <w:sz w:val="16"/>
                <w:szCs w:val="16"/>
              </w:rPr>
              <w:t>, excluding information not directly related to the task, to reduce cognitive overload.</w:t>
            </w:r>
          </w:p>
        </w:tc>
      </w:tr>
      <w:tr w:rsidR="008C3425" w:rsidRPr="00734A50" w14:paraId="3D58CDC8"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7F5FD0D"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02F99F16"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explicitly model new skills and content</w:t>
            </w:r>
            <w:r w:rsidRPr="00734A50">
              <w:rPr>
                <w:rFonts w:eastAsia="Calibri" w:cs="Times New Roman"/>
                <w:sz w:val="16"/>
                <w:szCs w:val="16"/>
              </w:rPr>
              <w:t xml:space="preserve"> through </w:t>
            </w:r>
            <w:r w:rsidRPr="00734A50">
              <w:rPr>
                <w:rFonts w:eastAsia="Calibri" w:cs="Times New Roman"/>
                <w:b/>
                <w:bCs/>
                <w:sz w:val="16"/>
                <w:szCs w:val="16"/>
              </w:rPr>
              <w:t>‘worked examples’</w:t>
            </w:r>
            <w:r w:rsidRPr="00734A50">
              <w:rPr>
                <w:rFonts w:eastAsia="Calibri" w:cs="Times New Roman"/>
                <w:sz w:val="16"/>
                <w:szCs w:val="16"/>
              </w:rPr>
              <w:t xml:space="preserve"> that clearly demonstrate how to complete the task, followed by a </w:t>
            </w:r>
            <w:r w:rsidRPr="00734A50">
              <w:rPr>
                <w:rFonts w:eastAsia="Calibri" w:cs="Times New Roman"/>
                <w:b/>
                <w:bCs/>
                <w:sz w:val="16"/>
                <w:szCs w:val="16"/>
              </w:rPr>
              <w:t>progressive removal of scaffolding</w:t>
            </w:r>
            <w:r w:rsidRPr="00734A50">
              <w:rPr>
                <w:rFonts w:eastAsia="Calibri" w:cs="Times New Roman"/>
                <w:sz w:val="16"/>
                <w:szCs w:val="16"/>
              </w:rPr>
              <w:t xml:space="preserve"> as students become more proficient.</w:t>
            </w:r>
          </w:p>
        </w:tc>
      </w:tr>
      <w:tr w:rsidR="008C3425" w:rsidRPr="00734A50" w14:paraId="3F348EDC"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12DB53BE"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03286197"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develop and deliver appropriately challenging recall practice to promote retention</w:t>
            </w:r>
            <w:r w:rsidRPr="00734A50">
              <w:rPr>
                <w:rFonts w:eastAsia="Calibri" w:cs="Times New Roman"/>
                <w:sz w:val="16"/>
                <w:szCs w:val="16"/>
              </w:rPr>
              <w:t xml:space="preserve"> and plan to include ample opportunities to practise in a lesson or sequence of lessons</w:t>
            </w:r>
            <w:r w:rsidRPr="00734A50">
              <w:rPr>
                <w:rFonts w:eastAsia="Calibri" w:cstheme="minorHAnsi"/>
                <w:sz w:val="16"/>
                <w:szCs w:val="16"/>
              </w:rPr>
              <w:t>.</w:t>
            </w:r>
          </w:p>
        </w:tc>
      </w:tr>
      <w:tr w:rsidR="008C3425" w:rsidRPr="00734A50" w14:paraId="7F699BDD"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5E595FD2"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25BDDA3A"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Why </w:t>
            </w:r>
            <w:r w:rsidRPr="00734A50">
              <w:rPr>
                <w:rFonts w:eastAsia="Calibri" w:cs="Times New Roman"/>
                <w:b/>
                <w:bCs/>
                <w:sz w:val="16"/>
                <w:szCs w:val="16"/>
              </w:rPr>
              <w:t>independent problem-solving is only effective once a student approaches proficiency</w:t>
            </w:r>
            <w:r w:rsidRPr="00734A50">
              <w:rPr>
                <w:rFonts w:eastAsia="Calibri" w:cs="Times New Roman"/>
                <w:sz w:val="16"/>
                <w:szCs w:val="16"/>
              </w:rPr>
              <w:t xml:space="preserve"> (i.e. after ample opportunities to practise progressively challenging tasks) and why independent problem-solving should not represent a large proportion of teaching and learning time</w:t>
            </w:r>
            <w:r w:rsidRPr="00734A50">
              <w:rPr>
                <w:rFonts w:eastAsia="Calibri" w:cstheme="minorHAnsi"/>
                <w:sz w:val="16"/>
                <w:szCs w:val="16"/>
              </w:rPr>
              <w:t>.</w:t>
            </w:r>
          </w:p>
        </w:tc>
      </w:tr>
      <w:tr w:rsidR="008C3425" w:rsidRPr="00734A50" w14:paraId="1D7CB016" w14:textId="77777777">
        <w:trPr>
          <w:trHeight w:val="246"/>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single" w:sz="4" w:space="0" w:color="EBAB12" w:themeColor="accent1"/>
            </w:tcBorders>
            <w:shd w:val="clear" w:color="auto" w:fill="FEEBB9" w:themeFill="accent2" w:themeFillTint="66"/>
          </w:tcPr>
          <w:p w14:paraId="118D615A" w14:textId="77777777" w:rsidR="008C3425" w:rsidRPr="00734A50" w:rsidRDefault="008C3425">
            <w:pPr>
              <w:tabs>
                <w:tab w:val="right" w:pos="9026"/>
              </w:tabs>
              <w:suppressAutoHyphens/>
              <w:spacing w:before="160" w:after="0"/>
              <w:rPr>
                <w:rFonts w:cstheme="minorHAnsi"/>
                <w:color w:val="auto"/>
                <w:sz w:val="16"/>
                <w:szCs w:val="16"/>
                <w:lang w:val="en-US" w:eastAsia="en-AU"/>
              </w:rPr>
            </w:pPr>
            <w:r w:rsidRPr="00734A50">
              <w:rPr>
                <w:rFonts w:cstheme="minorHAnsi"/>
                <w:color w:val="auto"/>
                <w:sz w:val="16"/>
                <w:szCs w:val="16"/>
                <w:lang w:val="en-US"/>
              </w:rPr>
              <w:t xml:space="preserve">An ability to effectively </w:t>
            </w:r>
            <w:r w:rsidRPr="00734A50">
              <w:rPr>
                <w:rFonts w:cstheme="minorHAnsi"/>
                <w:color w:val="auto"/>
                <w:sz w:val="16"/>
                <w:szCs w:val="16"/>
                <w:lang w:val="en-US" w:eastAsia="en-AU"/>
              </w:rPr>
              <w:t>select a range of evidence-based assessment practices to evaluate progress, adjust instruction, provide targeted feedback, and support learning.</w:t>
            </w:r>
          </w:p>
          <w:p w14:paraId="77DC7B1B" w14:textId="77777777" w:rsidR="008C3425" w:rsidRPr="00734A50" w:rsidRDefault="008C3425">
            <w:pPr>
              <w:spacing w:after="0"/>
              <w:rPr>
                <w:rFonts w:eastAsia="Calibri" w:cstheme="minorHAnsi"/>
                <w:color w:val="auto"/>
                <w:sz w:val="16"/>
                <w:szCs w:val="16"/>
              </w:rPr>
            </w:pPr>
          </w:p>
        </w:tc>
        <w:tc>
          <w:tcPr>
            <w:tcW w:w="6946" w:type="dxa"/>
            <w:shd w:val="clear" w:color="auto" w:fill="FEEBB9" w:themeFill="accent2" w:themeFillTint="66"/>
          </w:tcPr>
          <w:p w14:paraId="606BAA9A"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b/>
              </w:rPr>
            </w:pPr>
            <w:r w:rsidRPr="00734A50">
              <w:rPr>
                <w:b/>
                <w:sz w:val="20"/>
                <w:szCs w:val="20"/>
                <w:u w:val="single"/>
              </w:rPr>
              <w:t>Assessment and feedback</w:t>
            </w:r>
          </w:p>
        </w:tc>
      </w:tr>
      <w:tr w:rsidR="00450B0E" w:rsidRPr="00734A50" w14:paraId="2ECDF357"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vMerge/>
            <w:tcBorders>
              <w:left w:val="single" w:sz="4" w:space="0" w:color="EBAB12" w:themeColor="accent1"/>
            </w:tcBorders>
            <w:shd w:val="clear" w:color="auto" w:fill="FEEBB9" w:themeFill="accent2" w:themeFillTint="66"/>
          </w:tcPr>
          <w:p w14:paraId="537C032C" w14:textId="77777777" w:rsidR="008C3425" w:rsidRPr="00734A50" w:rsidRDefault="008C3425">
            <w:pPr>
              <w:spacing w:after="0"/>
              <w:rPr>
                <w:rFonts w:eastAsia="Calibri" w:cstheme="minorHAnsi"/>
                <w:color w:val="auto"/>
                <w:sz w:val="16"/>
                <w:szCs w:val="16"/>
              </w:rPr>
            </w:pPr>
          </w:p>
        </w:tc>
        <w:tc>
          <w:tcPr>
            <w:tcW w:w="0" w:type="dxa"/>
            <w:shd w:val="clear" w:color="auto" w:fill="auto"/>
          </w:tcPr>
          <w:p w14:paraId="57929E40"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pitch an introductory lesson</w:t>
            </w:r>
            <w:r w:rsidRPr="00734A50">
              <w:rPr>
                <w:rFonts w:eastAsia="Calibri" w:cs="Times New Roman"/>
                <w:sz w:val="16"/>
                <w:szCs w:val="16"/>
              </w:rPr>
              <w:t xml:space="preserve"> </w:t>
            </w:r>
            <w:r w:rsidRPr="00734A50">
              <w:rPr>
                <w:rFonts w:eastAsia="Calibri" w:cs="Times New Roman"/>
                <w:b/>
                <w:bCs/>
                <w:sz w:val="16"/>
                <w:szCs w:val="16"/>
              </w:rPr>
              <w:t>at an appropriate level</w:t>
            </w:r>
            <w:r w:rsidRPr="00734A50">
              <w:rPr>
                <w:rFonts w:eastAsia="Calibri" w:cs="Times New Roman"/>
                <w:sz w:val="16"/>
                <w:szCs w:val="16"/>
              </w:rPr>
              <w:t>,</w:t>
            </w:r>
            <w:r w:rsidRPr="00734A50">
              <w:rPr>
                <w:rFonts w:eastAsia="Calibri" w:cs="Times New Roman"/>
                <w:b/>
                <w:bCs/>
                <w:sz w:val="16"/>
                <w:szCs w:val="16"/>
              </w:rPr>
              <w:t xml:space="preserve"> </w:t>
            </w:r>
            <w:r w:rsidRPr="00734A50">
              <w:rPr>
                <w:rFonts w:eastAsia="Calibri" w:cs="Times New Roman"/>
                <w:sz w:val="16"/>
                <w:szCs w:val="16"/>
              </w:rPr>
              <w:t>before starting a new unit of work, by identifying where a student is in their learning through assessing what they know, or think they know.</w:t>
            </w:r>
          </w:p>
        </w:tc>
      </w:tr>
      <w:tr w:rsidR="008C3425" w:rsidRPr="00734A50" w14:paraId="4793837E"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2DFD0E46"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601959B6"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use</w:t>
            </w:r>
            <w:r w:rsidRPr="00734A50">
              <w:rPr>
                <w:rFonts w:eastAsia="Calibri" w:cs="Times New Roman"/>
                <w:sz w:val="16"/>
                <w:szCs w:val="16"/>
              </w:rPr>
              <w:t xml:space="preserve"> </w:t>
            </w:r>
            <w:r w:rsidRPr="00734A50">
              <w:rPr>
                <w:rFonts w:eastAsia="Calibri" w:cs="Times New Roman"/>
                <w:b/>
                <w:bCs/>
                <w:sz w:val="16"/>
                <w:szCs w:val="16"/>
              </w:rPr>
              <w:t>formative assessment practices</w:t>
            </w:r>
            <w:r w:rsidRPr="00734A50">
              <w:rPr>
                <w:rFonts w:eastAsia="Calibri" w:cs="Times New Roman"/>
                <w:sz w:val="16"/>
                <w:szCs w:val="16"/>
              </w:rPr>
              <w:t xml:space="preserve"> </w:t>
            </w:r>
            <w:r w:rsidRPr="00734A50">
              <w:rPr>
                <w:rFonts w:eastAsia="Calibri" w:cs="Times New Roman"/>
                <w:b/>
                <w:bCs/>
                <w:sz w:val="16"/>
                <w:szCs w:val="16"/>
              </w:rPr>
              <w:t>to gather and interpret information about student</w:t>
            </w:r>
            <w:r w:rsidRPr="00734A50">
              <w:rPr>
                <w:rFonts w:eastAsia="Calibri" w:cs="Times New Roman"/>
                <w:sz w:val="16"/>
                <w:szCs w:val="16"/>
              </w:rPr>
              <w:t xml:space="preserve"> </w:t>
            </w:r>
            <w:r w:rsidRPr="00734A50">
              <w:rPr>
                <w:rFonts w:eastAsia="Calibri" w:cs="Times New Roman"/>
                <w:b/>
                <w:bCs/>
                <w:sz w:val="16"/>
                <w:szCs w:val="16"/>
              </w:rPr>
              <w:t>learning as learning is taking place</w:t>
            </w:r>
            <w:r w:rsidRPr="00734A50">
              <w:rPr>
                <w:rFonts w:eastAsia="Calibri" w:cs="Times New Roman"/>
                <w:sz w:val="16"/>
                <w:szCs w:val="16"/>
              </w:rPr>
              <w:t xml:space="preserve"> – for example, </w:t>
            </w:r>
            <w:r w:rsidRPr="00734A50">
              <w:rPr>
                <w:rFonts w:eastAsia="Calibri" w:cs="Times New Roman"/>
                <w:b/>
                <w:bCs/>
                <w:sz w:val="16"/>
                <w:szCs w:val="16"/>
              </w:rPr>
              <w:t>use of simple, low-key assessments</w:t>
            </w:r>
            <w:r w:rsidRPr="00734A50">
              <w:rPr>
                <w:rFonts w:eastAsia="Calibri" w:cs="Times New Roman"/>
                <w:sz w:val="16"/>
                <w:szCs w:val="16"/>
              </w:rPr>
              <w:t xml:space="preserve"> such as exit slips, quick quizzes or targeted oral questioning to prompt students to articulate their reasoning and identify common student misconceptions</w:t>
            </w:r>
            <w:r w:rsidRPr="00734A50">
              <w:rPr>
                <w:rFonts w:eastAsia="Calibri" w:cstheme="minorHAnsi"/>
                <w:sz w:val="16"/>
                <w:szCs w:val="16"/>
              </w:rPr>
              <w:t>.</w:t>
            </w:r>
          </w:p>
        </w:tc>
      </w:tr>
      <w:tr w:rsidR="008C3425" w:rsidRPr="00734A50" w14:paraId="5131B3B9"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1285397"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031B8108"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design summative assessment</w:t>
            </w:r>
            <w:r w:rsidRPr="00734A50">
              <w:rPr>
                <w:rFonts w:eastAsia="Calibri" w:cs="Times New Roman"/>
                <w:sz w:val="16"/>
                <w:szCs w:val="16"/>
              </w:rPr>
              <w:t xml:space="preserve"> to assess students against a standard or benchmark to gain an understanding of the level of mastery attained</w:t>
            </w:r>
            <w:r w:rsidRPr="00734A50">
              <w:rPr>
                <w:rFonts w:eastAsia="Calibri" w:cstheme="minorHAnsi"/>
                <w:sz w:val="16"/>
                <w:szCs w:val="16"/>
              </w:rPr>
              <w:t>.</w:t>
            </w:r>
          </w:p>
        </w:tc>
      </w:tr>
      <w:tr w:rsidR="008C3425" w:rsidRPr="00734A50" w14:paraId="590A9811"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7AC89ECC"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7D8100DA"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produce and use developmental rubrics</w:t>
            </w:r>
            <w:r w:rsidRPr="00734A50">
              <w:rPr>
                <w:rFonts w:eastAsia="Calibri" w:cs="Times New Roman"/>
                <w:sz w:val="16"/>
                <w:szCs w:val="16"/>
              </w:rPr>
              <w:t xml:space="preserve"> with criteria tailored to the specific task and/or work samples so that students understand what is expected</w:t>
            </w:r>
            <w:r w:rsidRPr="00734A50">
              <w:rPr>
                <w:rFonts w:eastAsia="Calibri" w:cstheme="minorHAnsi"/>
                <w:sz w:val="16"/>
                <w:szCs w:val="16"/>
              </w:rPr>
              <w:t>.</w:t>
            </w:r>
          </w:p>
        </w:tc>
      </w:tr>
      <w:tr w:rsidR="008C3425" w:rsidRPr="00734A50" w14:paraId="11B9DA2C"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6789B2C"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5BE5960A"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provide feedback as learning is taking</w:t>
            </w:r>
            <w:r w:rsidRPr="00734A50">
              <w:rPr>
                <w:rFonts w:eastAsia="Calibri" w:cs="Times New Roman"/>
                <w:sz w:val="16"/>
                <w:szCs w:val="16"/>
              </w:rPr>
              <w:t xml:space="preserve"> </w:t>
            </w:r>
            <w:r w:rsidRPr="00734A50">
              <w:rPr>
                <w:rFonts w:eastAsia="Calibri" w:cs="Times New Roman"/>
                <w:b/>
                <w:bCs/>
                <w:sz w:val="16"/>
                <w:szCs w:val="16"/>
              </w:rPr>
              <w:t>place</w:t>
            </w:r>
            <w:r w:rsidRPr="00734A50">
              <w:rPr>
                <w:rFonts w:eastAsia="Calibri" w:cs="Times New Roman"/>
                <w:sz w:val="16"/>
                <w:szCs w:val="16"/>
              </w:rPr>
              <w:t xml:space="preserve"> that is specific, honest, constructive, and clear, and uses </w:t>
            </w:r>
            <w:r w:rsidRPr="00734A50">
              <w:rPr>
                <w:rFonts w:eastAsia="Calibri" w:cs="Times New Roman"/>
                <w:b/>
                <w:bCs/>
                <w:sz w:val="16"/>
                <w:szCs w:val="16"/>
              </w:rPr>
              <w:t>explicit teaching strategies to re-teach concepts, scaffold, or correct misconceptions</w:t>
            </w:r>
            <w:r w:rsidRPr="00734A50">
              <w:rPr>
                <w:rFonts w:eastAsia="Calibri" w:cs="Times New Roman"/>
                <w:sz w:val="16"/>
                <w:szCs w:val="16"/>
              </w:rPr>
              <w:t xml:space="preserve"> as necessary</w:t>
            </w:r>
            <w:r w:rsidRPr="00734A50">
              <w:rPr>
                <w:rFonts w:eastAsia="Calibri" w:cstheme="minorHAnsi"/>
                <w:sz w:val="16"/>
                <w:szCs w:val="16"/>
              </w:rPr>
              <w:t xml:space="preserve">. </w:t>
            </w:r>
          </w:p>
        </w:tc>
      </w:tr>
      <w:tr w:rsidR="00216438" w:rsidRPr="00734A50" w14:paraId="1A9B4044" w14:textId="77777777">
        <w:trPr>
          <w:trHeight w:val="113"/>
        </w:trPr>
        <w:tc>
          <w:tcPr>
            <w:cnfStyle w:val="001000000000" w:firstRow="0" w:lastRow="0" w:firstColumn="1" w:lastColumn="0" w:oddVBand="0" w:evenVBand="0" w:oddHBand="0" w:evenHBand="0" w:firstRowFirstColumn="0" w:firstRowLastColumn="0" w:lastRowFirstColumn="0" w:lastRowLastColumn="0"/>
            <w:tcW w:w="0" w:type="dxa"/>
            <w:vMerge w:val="restart"/>
            <w:tcBorders>
              <w:left w:val="single" w:sz="4" w:space="0" w:color="EBAB12" w:themeColor="accent1"/>
            </w:tcBorders>
            <w:shd w:val="clear" w:color="auto" w:fill="FEEBB9" w:themeFill="accent2" w:themeFillTint="66"/>
          </w:tcPr>
          <w:p w14:paraId="21F389FA" w14:textId="77777777" w:rsidR="008C3425" w:rsidRPr="00734A50" w:rsidRDefault="008C3425">
            <w:pPr>
              <w:tabs>
                <w:tab w:val="right" w:pos="9026"/>
              </w:tabs>
              <w:suppressAutoHyphens/>
              <w:spacing w:before="160" w:after="0"/>
              <w:rPr>
                <w:rFonts w:cstheme="minorHAnsi"/>
                <w:color w:val="auto"/>
                <w:sz w:val="16"/>
                <w:szCs w:val="16"/>
                <w:lang w:val="en-US" w:eastAsia="en-AU"/>
              </w:rPr>
            </w:pPr>
            <w:r w:rsidRPr="00734A50">
              <w:rPr>
                <w:rFonts w:cstheme="minorHAnsi"/>
                <w:color w:val="auto"/>
                <w:sz w:val="16"/>
                <w:szCs w:val="16"/>
                <w:lang w:val="en-US" w:eastAsia="en-AU"/>
              </w:rPr>
              <w:t xml:space="preserve">Appropriate subject matter expertise in the effective teaching of literacy, including the explicit teaching of phonics in early reading and the explicit teaching of reading and writing in subjects other than English. </w:t>
            </w:r>
          </w:p>
        </w:tc>
        <w:tc>
          <w:tcPr>
            <w:tcW w:w="0" w:type="dxa"/>
            <w:shd w:val="clear" w:color="auto" w:fill="FEEBB9" w:themeFill="accent2" w:themeFillTint="66"/>
          </w:tcPr>
          <w:p w14:paraId="1700F3F2"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b/>
              </w:rPr>
            </w:pPr>
            <w:r w:rsidRPr="00734A50">
              <w:rPr>
                <w:b/>
                <w:sz w:val="20"/>
                <w:szCs w:val="20"/>
                <w:u w:val="single"/>
              </w:rPr>
              <w:t xml:space="preserve">Literacy </w:t>
            </w:r>
          </w:p>
        </w:tc>
      </w:tr>
      <w:tr w:rsidR="008C3425" w:rsidRPr="00734A50" w14:paraId="12D368A0"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50FD30C4"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1C44B4A9"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b/>
                <w:bCs/>
                <w:sz w:val="16"/>
                <w:szCs w:val="16"/>
              </w:rPr>
            </w:pPr>
            <w:r w:rsidRPr="00734A50">
              <w:rPr>
                <w:rFonts w:eastAsia="Calibri" w:cs="Times New Roman"/>
                <w:sz w:val="16"/>
                <w:szCs w:val="16"/>
              </w:rPr>
              <w:t xml:space="preserve">How to </w:t>
            </w:r>
            <w:r w:rsidRPr="00734A50">
              <w:rPr>
                <w:rFonts w:eastAsia="Calibri" w:cs="Times New Roman"/>
                <w:b/>
                <w:bCs/>
                <w:sz w:val="16"/>
                <w:szCs w:val="16"/>
              </w:rPr>
              <w:t>deliver effective reading instruction</w:t>
            </w:r>
            <w:r w:rsidRPr="00734A50">
              <w:rPr>
                <w:rFonts w:eastAsia="Calibri" w:cs="Times New Roman"/>
                <w:sz w:val="16"/>
                <w:szCs w:val="16"/>
              </w:rPr>
              <w:t xml:space="preserve"> that attends to how the brain learns to read through </w:t>
            </w:r>
            <w:r w:rsidRPr="00734A50">
              <w:rPr>
                <w:rFonts w:eastAsia="Calibri" w:cs="Times New Roman"/>
                <w:b/>
                <w:bCs/>
                <w:sz w:val="16"/>
                <w:szCs w:val="16"/>
              </w:rPr>
              <w:t>systematic and explicit teaching practices</w:t>
            </w:r>
            <w:r w:rsidRPr="00734A50">
              <w:rPr>
                <w:rFonts w:eastAsia="Calibri" w:cs="Times New Roman"/>
                <w:sz w:val="16"/>
                <w:szCs w:val="16"/>
              </w:rPr>
              <w:t xml:space="preserve"> for the following elements: phonemic awareness, phonics, fluency, vocabulary, comprehension and oral language</w:t>
            </w:r>
            <w:r w:rsidRPr="00734A50">
              <w:rPr>
                <w:rFonts w:eastAsia="Calibri" w:cstheme="minorHAnsi"/>
                <w:sz w:val="16"/>
                <w:szCs w:val="16"/>
              </w:rPr>
              <w:t>.</w:t>
            </w:r>
          </w:p>
        </w:tc>
      </w:tr>
      <w:tr w:rsidR="008C3425" w:rsidRPr="00734A50" w14:paraId="06A823E0"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53618290"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5EDAB03E"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The research that shows </w:t>
            </w:r>
            <w:r w:rsidRPr="00734A50">
              <w:rPr>
                <w:rFonts w:eastAsia="Calibri" w:cs="Times New Roman"/>
                <w:b/>
                <w:bCs/>
                <w:sz w:val="16"/>
                <w:szCs w:val="16"/>
              </w:rPr>
              <w:t xml:space="preserve">explicit reading, and writing comprehension instruction tailored to discipline-specific content </w:t>
            </w:r>
            <w:r w:rsidRPr="00734A50">
              <w:rPr>
                <w:rFonts w:eastAsia="Calibri" w:cs="Times New Roman"/>
                <w:sz w:val="16"/>
                <w:szCs w:val="16"/>
              </w:rPr>
              <w:t>improves students’ understanding and engagement with material, as well as their overall academic performance</w:t>
            </w:r>
            <w:r w:rsidRPr="00734A50">
              <w:rPr>
                <w:rFonts w:eastAsia="Calibri" w:cstheme="minorHAnsi"/>
                <w:sz w:val="16"/>
                <w:szCs w:val="16"/>
              </w:rPr>
              <w:t xml:space="preserve">. </w:t>
            </w:r>
          </w:p>
        </w:tc>
      </w:tr>
      <w:tr w:rsidR="00450B0E" w:rsidRPr="00734A50" w14:paraId="16BA236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vMerge/>
            <w:tcBorders>
              <w:left w:val="single" w:sz="4" w:space="0" w:color="EBAB12" w:themeColor="accent1"/>
            </w:tcBorders>
            <w:shd w:val="clear" w:color="auto" w:fill="FEEBB9" w:themeFill="accent2" w:themeFillTint="66"/>
          </w:tcPr>
          <w:p w14:paraId="7B750AAF" w14:textId="77777777" w:rsidR="008C3425" w:rsidRPr="00734A50" w:rsidRDefault="008C3425">
            <w:pPr>
              <w:spacing w:after="0"/>
              <w:rPr>
                <w:rFonts w:eastAsia="Calibri" w:cstheme="minorHAnsi"/>
                <w:color w:val="auto"/>
                <w:sz w:val="16"/>
                <w:szCs w:val="16"/>
              </w:rPr>
            </w:pPr>
          </w:p>
        </w:tc>
        <w:tc>
          <w:tcPr>
            <w:tcW w:w="0" w:type="dxa"/>
            <w:shd w:val="clear" w:color="auto" w:fill="auto"/>
          </w:tcPr>
          <w:p w14:paraId="5427D242"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sidRPr="00734A50">
              <w:rPr>
                <w:rFonts w:eastAsia="Calibri" w:cs="Times New Roman"/>
                <w:sz w:val="16"/>
                <w:szCs w:val="16"/>
              </w:rPr>
              <w:t xml:space="preserve">How to explicitly deliver reading and writing instruction through </w:t>
            </w:r>
            <w:r w:rsidRPr="00734A50">
              <w:rPr>
                <w:rFonts w:eastAsia="Calibri" w:cs="Times New Roman"/>
                <w:b/>
                <w:bCs/>
                <w:sz w:val="16"/>
                <w:szCs w:val="16"/>
              </w:rPr>
              <w:t>discipline and discipline-specific curriculum and pedagogical studies</w:t>
            </w:r>
            <w:r w:rsidRPr="00734A50">
              <w:rPr>
                <w:rFonts w:eastAsia="Calibri" w:cs="Times New Roman"/>
                <w:sz w:val="16"/>
                <w:szCs w:val="16"/>
              </w:rPr>
              <w:t xml:space="preserve"> as outlined in standard 4.2.</w:t>
            </w:r>
          </w:p>
        </w:tc>
      </w:tr>
      <w:tr w:rsidR="008C3425" w:rsidRPr="00734A50" w14:paraId="18E0F561" w14:textId="77777777">
        <w:trPr>
          <w:trHeight w:val="257"/>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single" w:sz="4" w:space="0" w:color="EBAB12" w:themeColor="accent1"/>
            </w:tcBorders>
            <w:shd w:val="clear" w:color="auto" w:fill="FEEBB9" w:themeFill="accent2" w:themeFillTint="66"/>
          </w:tcPr>
          <w:p w14:paraId="7DEC7F01" w14:textId="77777777" w:rsidR="008C3425" w:rsidRPr="00734A50" w:rsidRDefault="008C3425">
            <w:pPr>
              <w:keepNext/>
              <w:tabs>
                <w:tab w:val="right" w:pos="9026"/>
              </w:tabs>
              <w:suppressAutoHyphens/>
              <w:spacing w:before="160" w:after="0"/>
              <w:rPr>
                <w:rFonts w:cstheme="minorHAnsi"/>
                <w:color w:val="auto"/>
                <w:sz w:val="16"/>
                <w:szCs w:val="16"/>
                <w:lang w:val="en-US" w:eastAsia="en-AU"/>
              </w:rPr>
            </w:pPr>
            <w:r w:rsidRPr="00734A50">
              <w:rPr>
                <w:rFonts w:cstheme="minorHAnsi"/>
                <w:color w:val="auto"/>
                <w:sz w:val="16"/>
                <w:szCs w:val="16"/>
                <w:lang w:val="en-US"/>
              </w:rPr>
              <w:lastRenderedPageBreak/>
              <w:t>Appropriate subject matter expertise in the effective teaching of numeracy including the explicit teaching of mathematics and building of fluency, understanding, problem solving and reasoning.</w:t>
            </w:r>
          </w:p>
        </w:tc>
        <w:tc>
          <w:tcPr>
            <w:tcW w:w="6946" w:type="dxa"/>
            <w:shd w:val="clear" w:color="auto" w:fill="FEEBB9" w:themeFill="accent2" w:themeFillTint="66"/>
          </w:tcPr>
          <w:p w14:paraId="74D134BC"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b/>
                <w:u w:val="single"/>
              </w:rPr>
            </w:pPr>
            <w:r w:rsidRPr="00734A50">
              <w:rPr>
                <w:b/>
                <w:sz w:val="20"/>
                <w:szCs w:val="20"/>
                <w:u w:val="single"/>
              </w:rPr>
              <w:t xml:space="preserve">Numeracy </w:t>
            </w:r>
          </w:p>
        </w:tc>
      </w:tr>
      <w:tr w:rsidR="008C3425" w:rsidRPr="00734A50" w14:paraId="05538E98"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9323F11"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67AA24D3"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A </w:t>
            </w:r>
            <w:r w:rsidRPr="00734A50">
              <w:rPr>
                <w:rFonts w:eastAsia="Calibri" w:cs="Times New Roman"/>
                <w:b/>
                <w:bCs/>
                <w:sz w:val="16"/>
                <w:szCs w:val="16"/>
              </w:rPr>
              <w:t>conceptual understanding</w:t>
            </w:r>
            <w:r w:rsidRPr="00734A50">
              <w:rPr>
                <w:rFonts w:eastAsia="Calibri" w:cs="Times New Roman"/>
                <w:sz w:val="16"/>
                <w:szCs w:val="16"/>
              </w:rPr>
              <w:t xml:space="preserve"> </w:t>
            </w:r>
            <w:r w:rsidRPr="00734A50">
              <w:rPr>
                <w:rFonts w:eastAsia="Calibri" w:cs="Times New Roman"/>
                <w:b/>
                <w:bCs/>
                <w:sz w:val="16"/>
                <w:szCs w:val="16"/>
              </w:rPr>
              <w:t>of the</w:t>
            </w:r>
            <w:r w:rsidRPr="00734A50">
              <w:rPr>
                <w:rFonts w:eastAsia="Calibri" w:cs="Times New Roman"/>
                <w:sz w:val="16"/>
                <w:szCs w:val="16"/>
              </w:rPr>
              <w:t xml:space="preserve"> </w:t>
            </w:r>
            <w:r w:rsidRPr="00734A50">
              <w:rPr>
                <w:rFonts w:eastAsia="Calibri" w:cs="Times New Roman"/>
                <w:b/>
                <w:bCs/>
                <w:sz w:val="16"/>
                <w:szCs w:val="16"/>
              </w:rPr>
              <w:t>six strands of mathematics</w:t>
            </w:r>
            <w:r w:rsidRPr="00734A50">
              <w:rPr>
                <w:rFonts w:eastAsia="Calibri" w:cs="Times New Roman"/>
                <w:sz w:val="16"/>
                <w:szCs w:val="16"/>
              </w:rPr>
              <w:t xml:space="preserve">: number, algebra, geometry, measurement, statistics and probability; and the </w:t>
            </w:r>
            <w:r w:rsidRPr="00734A50">
              <w:rPr>
                <w:rFonts w:eastAsia="Calibri" w:cs="Times New Roman"/>
                <w:b/>
                <w:bCs/>
                <w:sz w:val="16"/>
                <w:szCs w:val="16"/>
              </w:rPr>
              <w:t>four proficiencies</w:t>
            </w:r>
            <w:r w:rsidRPr="00734A50">
              <w:rPr>
                <w:rFonts w:eastAsia="Calibri" w:cs="Times New Roman"/>
                <w:sz w:val="16"/>
                <w:szCs w:val="16"/>
              </w:rPr>
              <w:t>: understanding, fluency, problem solving and reasoning.</w:t>
            </w:r>
          </w:p>
        </w:tc>
      </w:tr>
      <w:tr w:rsidR="008C3425" w:rsidRPr="00734A50" w14:paraId="46C42FD0"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71920BD2"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0ADC76BF"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lang w:eastAsia="en-AU"/>
              </w:rPr>
            </w:pPr>
            <w:r w:rsidRPr="00734A50">
              <w:rPr>
                <w:rFonts w:eastAsia="Calibri" w:cs="Times New Roman"/>
                <w:sz w:val="16"/>
                <w:szCs w:val="16"/>
              </w:rPr>
              <w:t>The research that shows numeracy is</w:t>
            </w:r>
            <w:r w:rsidRPr="00734A50">
              <w:rPr>
                <w:rFonts w:eastAsia="Calibri" w:cs="Times New Roman"/>
                <w:sz w:val="16"/>
                <w:szCs w:val="16"/>
                <w:lang w:eastAsia="en-AU"/>
              </w:rPr>
              <w:t xml:space="preserve"> a </w:t>
            </w:r>
            <w:r w:rsidRPr="00734A50">
              <w:rPr>
                <w:rFonts w:eastAsia="Calibri" w:cs="Times New Roman"/>
                <w:b/>
                <w:bCs/>
                <w:sz w:val="16"/>
                <w:szCs w:val="16"/>
                <w:lang w:eastAsia="en-AU"/>
              </w:rPr>
              <w:t>fundamental component of learning, discourse, and critique</w:t>
            </w:r>
            <w:r w:rsidRPr="00734A50">
              <w:rPr>
                <w:rFonts w:eastAsia="Calibri" w:cs="Times New Roman"/>
                <w:sz w:val="16"/>
                <w:szCs w:val="16"/>
                <w:lang w:eastAsia="en-AU"/>
              </w:rPr>
              <w:t xml:space="preserve"> </w:t>
            </w:r>
            <w:r w:rsidRPr="00734A50">
              <w:rPr>
                <w:rFonts w:eastAsia="Calibri" w:cs="Times New Roman"/>
                <w:b/>
                <w:bCs/>
                <w:sz w:val="16"/>
                <w:szCs w:val="16"/>
                <w:lang w:eastAsia="en-AU"/>
              </w:rPr>
              <w:t>across all areas of the curriculum</w:t>
            </w:r>
            <w:r w:rsidRPr="00734A50">
              <w:rPr>
                <w:rFonts w:eastAsia="Calibri" w:cs="Times New Roman"/>
                <w:sz w:val="16"/>
                <w:szCs w:val="16"/>
                <w:lang w:eastAsia="en-AU"/>
              </w:rPr>
              <w:t xml:space="preserve"> and improves students’ understanding of and engagement with material within and beyond the mathematics curriculum</w:t>
            </w:r>
            <w:r w:rsidRPr="00734A50">
              <w:rPr>
                <w:rFonts w:eastAsia="Calibri" w:cstheme="minorHAnsi"/>
                <w:sz w:val="16"/>
                <w:szCs w:val="16"/>
                <w:lang w:eastAsia="en-AU"/>
              </w:rPr>
              <w:t xml:space="preserve">. </w:t>
            </w:r>
          </w:p>
        </w:tc>
      </w:tr>
      <w:tr w:rsidR="008C3425" w:rsidRPr="00734A50" w14:paraId="72297526"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6F6B21C4"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7BFB48EC"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pPr>
            <w:r w:rsidRPr="00734A50">
              <w:rPr>
                <w:rFonts w:eastAsia="Calibri" w:cs="Times New Roman"/>
                <w:sz w:val="16"/>
                <w:szCs w:val="16"/>
              </w:rPr>
              <w:t>How to</w:t>
            </w:r>
            <w:r w:rsidRPr="00734A50">
              <w:rPr>
                <w:rFonts w:eastAsia="Calibri" w:cs="Times New Roman"/>
                <w:b/>
                <w:bCs/>
                <w:sz w:val="16"/>
                <w:szCs w:val="16"/>
              </w:rPr>
              <w:t xml:space="preserve"> deliver explicit numeracy instruction</w:t>
            </w:r>
            <w:r w:rsidRPr="00734A50">
              <w:rPr>
                <w:rFonts w:eastAsia="Calibri" w:cs="Times New Roman"/>
                <w:sz w:val="16"/>
                <w:szCs w:val="16"/>
              </w:rPr>
              <w:t xml:space="preserve"> followed by a </w:t>
            </w:r>
            <w:r w:rsidRPr="00734A50">
              <w:rPr>
                <w:rFonts w:eastAsia="Calibri" w:cs="Times New Roman"/>
                <w:b/>
                <w:bCs/>
                <w:sz w:val="16"/>
                <w:szCs w:val="16"/>
              </w:rPr>
              <w:t>progressive removal of scaffolding</w:t>
            </w:r>
            <w:r w:rsidRPr="00734A50">
              <w:rPr>
                <w:rFonts w:eastAsia="Calibri" w:cs="Times New Roman"/>
                <w:sz w:val="16"/>
                <w:szCs w:val="16"/>
              </w:rPr>
              <w:t xml:space="preserve"> as students become more proficient </w:t>
            </w:r>
            <w:r w:rsidRPr="00734A50">
              <w:rPr>
                <w:rFonts w:eastAsia="Calibri" w:cs="Times New Roman"/>
                <w:b/>
                <w:bCs/>
                <w:sz w:val="16"/>
                <w:szCs w:val="16"/>
              </w:rPr>
              <w:t>through a combination of underpinning mathematical concepts and skills</w:t>
            </w:r>
            <w:r w:rsidRPr="00734A50">
              <w:rPr>
                <w:rFonts w:eastAsia="Calibri" w:cs="Times New Roman"/>
                <w:sz w:val="16"/>
                <w:szCs w:val="16"/>
              </w:rPr>
              <w:t xml:space="preserve"> (numerical, spatial, graphical, statistical, and algebraic); </w:t>
            </w:r>
            <w:r w:rsidRPr="00734A50">
              <w:rPr>
                <w:rFonts w:eastAsia="Calibri" w:cs="Times New Roman"/>
                <w:b/>
                <w:bCs/>
                <w:sz w:val="16"/>
                <w:szCs w:val="16"/>
              </w:rPr>
              <w:t>mathematical thinking and strategies</w:t>
            </w:r>
            <w:r w:rsidRPr="00734A50">
              <w:rPr>
                <w:rFonts w:eastAsia="Calibri" w:cs="Times New Roman"/>
                <w:sz w:val="16"/>
                <w:szCs w:val="16"/>
              </w:rPr>
              <w:t xml:space="preserve">; and </w:t>
            </w:r>
            <w:r w:rsidRPr="00734A50">
              <w:rPr>
                <w:rFonts w:eastAsia="Calibri" w:cs="Times New Roman"/>
                <w:b/>
                <w:bCs/>
                <w:sz w:val="16"/>
                <w:szCs w:val="16"/>
              </w:rPr>
              <w:t>general thinking skills</w:t>
            </w:r>
            <w:r w:rsidRPr="00734A50">
              <w:rPr>
                <w:rFonts w:eastAsia="Calibri" w:cs="Times New Roman"/>
                <w:sz w:val="16"/>
                <w:szCs w:val="16"/>
              </w:rPr>
              <w:t xml:space="preserve"> as appropriate to discipline and discipline-specific curriculum and pedagogical studies as outlined in standard 4.2.</w:t>
            </w:r>
            <w:r w:rsidRPr="00734A50">
              <w:t xml:space="preserve"> </w:t>
            </w:r>
          </w:p>
        </w:tc>
      </w:tr>
      <w:tr w:rsidR="008C3425" w:rsidRPr="00734A50" w14:paraId="31F375A1"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3B8036E7"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40C71EC0" w14:textId="77777777" w:rsidR="008C3425" w:rsidRPr="00734A50" w:rsidRDefault="008C3425">
            <w:pPr>
              <w:spacing w:before="100" w:beforeAutospacing="1" w:after="0" w:line="259" w:lineRule="auto"/>
              <w:cnfStyle w:val="000000000000" w:firstRow="0" w:lastRow="0" w:firstColumn="0" w:lastColumn="0" w:oddVBand="0" w:evenVBand="0" w:oddHBand="0" w:evenHBand="0" w:firstRowFirstColumn="0" w:firstRowLastColumn="0" w:lastRowFirstColumn="0" w:lastRowLastColumn="0"/>
            </w:pPr>
            <w:r w:rsidRPr="00734A50">
              <w:rPr>
                <w:rFonts w:eastAsia="Calibri" w:cs="Times New Roman"/>
                <w:sz w:val="16"/>
                <w:szCs w:val="16"/>
              </w:rPr>
              <w:t xml:space="preserve">The importance of </w:t>
            </w:r>
            <w:r w:rsidRPr="00734A50">
              <w:rPr>
                <w:rFonts w:eastAsia="Calibri" w:cs="Times New Roman"/>
                <w:b/>
                <w:bCs/>
                <w:sz w:val="16"/>
                <w:szCs w:val="16"/>
              </w:rPr>
              <w:t>independent problem-solving</w:t>
            </w:r>
            <w:r w:rsidRPr="00734A50">
              <w:rPr>
                <w:rFonts w:eastAsia="Calibri" w:cs="Times New Roman"/>
                <w:sz w:val="16"/>
                <w:szCs w:val="16"/>
              </w:rPr>
              <w:t xml:space="preserve"> once a student approaches proficiency in underpinning mathematical concepts.</w:t>
            </w:r>
            <w:r w:rsidRPr="00734A50">
              <w:t xml:space="preserve"> </w:t>
            </w:r>
          </w:p>
        </w:tc>
      </w:tr>
      <w:tr w:rsidR="008C3425" w:rsidRPr="00734A50" w14:paraId="0143145D"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val="restart"/>
            <w:tcBorders>
              <w:left w:val="single" w:sz="4" w:space="0" w:color="EBAB12" w:themeColor="accent1"/>
            </w:tcBorders>
            <w:shd w:val="clear" w:color="auto" w:fill="FEEBB9" w:themeFill="accent2" w:themeFillTint="66"/>
          </w:tcPr>
          <w:p w14:paraId="63F47F12" w14:textId="77777777" w:rsidR="008C3425" w:rsidRPr="00734A50" w:rsidRDefault="008C3425">
            <w:pPr>
              <w:tabs>
                <w:tab w:val="right" w:pos="9026"/>
              </w:tabs>
              <w:suppressAutoHyphens/>
              <w:spacing w:before="160" w:after="0"/>
              <w:rPr>
                <w:rFonts w:cstheme="minorHAnsi"/>
                <w:color w:val="auto"/>
                <w:sz w:val="16"/>
                <w:szCs w:val="16"/>
                <w:lang w:val="en-US" w:eastAsia="en-AU"/>
              </w:rPr>
            </w:pPr>
            <w:r w:rsidRPr="00734A50">
              <w:rPr>
                <w:rFonts w:cstheme="minorHAnsi"/>
                <w:color w:val="auto"/>
                <w:sz w:val="16"/>
                <w:szCs w:val="16"/>
                <w:lang w:val="en-US" w:eastAsia="en-AU"/>
              </w:rPr>
              <w:t>Knowledge of theory of an MTSS framework, the direct relationship to evidence-based teaching practices and skill in how to practically implement tier 1 in the classroom.</w:t>
            </w:r>
          </w:p>
        </w:tc>
        <w:tc>
          <w:tcPr>
            <w:tcW w:w="6946" w:type="dxa"/>
          </w:tcPr>
          <w:p w14:paraId="35BBD0B9"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pPr>
            <w:r w:rsidRPr="00734A50">
              <w:rPr>
                <w:b/>
                <w:sz w:val="20"/>
                <w:szCs w:val="20"/>
                <w:u w:val="single"/>
              </w:rPr>
              <w:t>Multi-tiered systems of support (MTSS)</w:t>
            </w:r>
          </w:p>
        </w:tc>
      </w:tr>
      <w:tr w:rsidR="008C3425" w:rsidRPr="00734A50" w14:paraId="3C54EE97" w14:textId="77777777">
        <w:trPr>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0570EE62"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5875DABA"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734A50">
              <w:rPr>
                <w:rFonts w:eastAsia="Calibri" w:cs="Times New Roman"/>
                <w:sz w:val="16"/>
                <w:szCs w:val="16"/>
              </w:rPr>
              <w:t xml:space="preserve">The </w:t>
            </w:r>
            <w:r w:rsidRPr="00734A50">
              <w:rPr>
                <w:rFonts w:eastAsia="Calibri" w:cs="Times New Roman"/>
                <w:b/>
                <w:bCs/>
                <w:sz w:val="16"/>
                <w:szCs w:val="16"/>
              </w:rPr>
              <w:t>fundamental elements and underpinning theory of a multi-tiered system of support</w:t>
            </w:r>
            <w:r w:rsidRPr="00734A50">
              <w:rPr>
                <w:rFonts w:eastAsia="Calibri" w:cs="Times New Roman"/>
                <w:sz w:val="16"/>
                <w:szCs w:val="16"/>
              </w:rPr>
              <w:t xml:space="preserve"> and why it is effective.</w:t>
            </w:r>
          </w:p>
        </w:tc>
      </w:tr>
      <w:tr w:rsidR="008C3425" w:rsidRPr="00734A50" w14:paraId="78514B34" w14:textId="7777777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263" w:type="dxa"/>
            <w:vMerge/>
            <w:tcBorders>
              <w:left w:val="single" w:sz="4" w:space="0" w:color="EBAB12" w:themeColor="accent1"/>
            </w:tcBorders>
            <w:shd w:val="clear" w:color="auto" w:fill="FEEBB9" w:themeFill="accent2" w:themeFillTint="66"/>
          </w:tcPr>
          <w:p w14:paraId="2151E95B" w14:textId="77777777" w:rsidR="008C3425" w:rsidRPr="00734A50" w:rsidRDefault="008C3425">
            <w:pPr>
              <w:spacing w:after="0"/>
              <w:rPr>
                <w:rFonts w:eastAsia="Calibri" w:cstheme="minorHAnsi"/>
                <w:color w:val="auto"/>
                <w:sz w:val="16"/>
                <w:szCs w:val="16"/>
              </w:rPr>
            </w:pPr>
          </w:p>
        </w:tc>
        <w:tc>
          <w:tcPr>
            <w:tcW w:w="6946" w:type="dxa"/>
            <w:shd w:val="clear" w:color="auto" w:fill="auto"/>
          </w:tcPr>
          <w:p w14:paraId="5E71FB02" w14:textId="77777777" w:rsidR="008C3425" w:rsidRPr="00734A50" w:rsidRDefault="008C3425" w:rsidP="002601D9">
            <w:pPr>
              <w:pBdr>
                <w:bottom w:val="single" w:sz="4" w:space="1" w:color="EBAB12" w:themeColor="accent1"/>
              </w:pBdr>
              <w:spacing w:after="0"/>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r w:rsidRPr="00734A50">
              <w:rPr>
                <w:rFonts w:eastAsia="Calibri"/>
                <w:sz w:val="16"/>
                <w:szCs w:val="16"/>
              </w:rPr>
              <w:t xml:space="preserve">How a </w:t>
            </w:r>
            <w:r w:rsidRPr="00734A50">
              <w:rPr>
                <w:rFonts w:eastAsia="Calibri"/>
                <w:b/>
                <w:bCs/>
                <w:sz w:val="16"/>
                <w:szCs w:val="16"/>
              </w:rPr>
              <w:t>multi-tiered framework works in a classroom setting</w:t>
            </w:r>
            <w:r w:rsidRPr="00734A50">
              <w:rPr>
                <w:rFonts w:eastAsia="Calibri"/>
                <w:sz w:val="16"/>
                <w:szCs w:val="16"/>
              </w:rPr>
              <w:t>, with the opportunity to observe implementation of a multi-tiered framework.</w:t>
            </w:r>
            <w:r w:rsidRPr="00734A50">
              <w:rPr>
                <w:rFonts w:eastAsia="Calibri" w:cs="Times New Roman"/>
                <w:sz w:val="16"/>
                <w:szCs w:val="16"/>
              </w:rPr>
              <w:t xml:space="preserve"> </w:t>
            </w:r>
          </w:p>
          <w:p w14:paraId="55B76958"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734A50">
              <w:rPr>
                <w:rFonts w:eastAsia="Calibri" w:cs="Times New Roman"/>
                <w:sz w:val="16"/>
                <w:szCs w:val="16"/>
              </w:rPr>
              <w:t xml:space="preserve">The research evidence showing the </w:t>
            </w:r>
            <w:r w:rsidRPr="00734A50">
              <w:rPr>
                <w:rFonts w:eastAsia="Calibri" w:cs="Times New Roman"/>
                <w:b/>
                <w:bCs/>
                <w:sz w:val="16"/>
                <w:szCs w:val="16"/>
              </w:rPr>
              <w:t>positive impact of high-quality instruction delivered by the classroom teacher</w:t>
            </w:r>
            <w:r w:rsidRPr="00734A50">
              <w:rPr>
                <w:rFonts w:eastAsia="Calibri" w:cs="Times New Roman"/>
                <w:sz w:val="16"/>
                <w:szCs w:val="16"/>
              </w:rPr>
              <w:t xml:space="preserve"> as</w:t>
            </w:r>
            <w:r w:rsidRPr="00734A50">
              <w:rPr>
                <w:rFonts w:eastAsia="Calibri" w:cs="Times New Roman"/>
                <w:b/>
                <w:bCs/>
                <w:sz w:val="16"/>
                <w:szCs w:val="16"/>
              </w:rPr>
              <w:t xml:space="preserve"> </w:t>
            </w:r>
            <w:r w:rsidRPr="00734A50">
              <w:rPr>
                <w:rFonts w:eastAsia="Calibri" w:cs="Times New Roman"/>
                <w:sz w:val="16"/>
                <w:szCs w:val="16"/>
              </w:rPr>
              <w:t>a protective measure in reducing the need for further intervention.</w:t>
            </w:r>
          </w:p>
        </w:tc>
      </w:tr>
      <w:tr w:rsidR="008C3425" w:rsidRPr="00734A50" w14:paraId="76D0E509" w14:textId="77777777">
        <w:trPr>
          <w:trHeight w:val="451"/>
        </w:trPr>
        <w:tc>
          <w:tcPr>
            <w:cnfStyle w:val="001000000000" w:firstRow="0" w:lastRow="0" w:firstColumn="1" w:lastColumn="0" w:oddVBand="0" w:evenVBand="0" w:oddHBand="0" w:evenHBand="0" w:firstRowFirstColumn="0" w:firstRowLastColumn="0" w:lastRowFirstColumn="0" w:lastRowLastColumn="0"/>
            <w:tcW w:w="9209" w:type="dxa"/>
            <w:gridSpan w:val="2"/>
            <w:tcBorders>
              <w:left w:val="single" w:sz="4" w:space="0" w:color="EBAB12" w:themeColor="accent1"/>
            </w:tcBorders>
          </w:tcPr>
          <w:p w14:paraId="61BEFBDB" w14:textId="77777777" w:rsidR="008C3425" w:rsidRPr="00734A50" w:rsidRDefault="008C3425">
            <w:pPr>
              <w:spacing w:after="0"/>
              <w:rPr>
                <w:rFonts w:eastAsia="Calibri" w:cstheme="minorHAnsi"/>
                <w:color w:val="auto"/>
                <w:sz w:val="24"/>
                <w:szCs w:val="24"/>
              </w:rPr>
            </w:pPr>
            <w:r w:rsidRPr="00734A50">
              <w:rPr>
                <w:rFonts w:eastAsia="Calibri" w:cstheme="minorHAnsi"/>
                <w:color w:val="auto"/>
                <w:sz w:val="24"/>
                <w:szCs w:val="24"/>
              </w:rPr>
              <w:t>Key references</w:t>
            </w:r>
          </w:p>
        </w:tc>
      </w:tr>
      <w:tr w:rsidR="008C3425" w:rsidRPr="00734A50" w14:paraId="54386676" w14:textId="77777777">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9209" w:type="dxa"/>
            <w:gridSpan w:val="2"/>
            <w:tcBorders>
              <w:left w:val="single" w:sz="4" w:space="0" w:color="EBAB12" w:themeColor="accent1"/>
              <w:bottom w:val="single" w:sz="4" w:space="0" w:color="EBAB12" w:themeColor="accent1"/>
            </w:tcBorders>
            <w:shd w:val="clear" w:color="auto" w:fill="auto"/>
          </w:tcPr>
          <w:p w14:paraId="46EF7A5D"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Adesope OO, Trevisan DA and Sundararajan N (2017) Rethinking the use of tests: A meta-analysis of practice testing, Review of Educational Research, 87(3):659–701.</w:t>
            </w:r>
          </w:p>
          <w:p w14:paraId="6C36116E" w14:textId="7777777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t xml:space="preserve">Archer AL and Hughes CA (2011) </w:t>
            </w:r>
            <w:r w:rsidRPr="00F8276F">
              <w:rPr>
                <w:rFonts w:cstheme="minorHAnsi"/>
                <w:b w:val="0"/>
                <w:iCs/>
                <w:color w:val="auto"/>
                <w:sz w:val="16"/>
                <w:szCs w:val="14"/>
              </w:rPr>
              <w:t>Explicit Instruction: Effective and Efficient Teaching</w:t>
            </w:r>
            <w:r w:rsidRPr="00734A50">
              <w:rPr>
                <w:rFonts w:cstheme="minorHAnsi"/>
                <w:b w:val="0"/>
                <w:iCs/>
                <w:color w:val="auto"/>
                <w:sz w:val="16"/>
                <w:szCs w:val="14"/>
              </w:rPr>
              <w:t>.</w:t>
            </w:r>
          </w:p>
          <w:p w14:paraId="7147AC62"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Ashman G, Kalyuga S and Sweller J (2020) Problem-solving or explicit instruction: Which should go first when element interactivity is high?, </w:t>
            </w:r>
            <w:r w:rsidRPr="00734A50">
              <w:rPr>
                <w:rFonts w:cstheme="minorHAnsi"/>
                <w:b w:val="0"/>
                <w:iCs/>
                <w:color w:val="auto"/>
                <w:sz w:val="16"/>
                <w:szCs w:val="14"/>
              </w:rPr>
              <w:t>Educational Psychology Review</w:t>
            </w:r>
            <w:r w:rsidRPr="00734A50">
              <w:rPr>
                <w:rFonts w:cstheme="minorHAnsi"/>
                <w:b w:val="0"/>
                <w:color w:val="auto"/>
                <w:sz w:val="16"/>
                <w:szCs w:val="14"/>
              </w:rPr>
              <w:t>, 32:229–247.</w:t>
            </w:r>
          </w:p>
          <w:p w14:paraId="65AD1C84" w14:textId="5C82ECA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t xml:space="preserve">Berkeley S, Bender WN, Gregg Peaster L and Saunders L (2009) Implementation of Response to Intervention: A Snapshot of Progress, </w:t>
            </w:r>
            <w:r w:rsidRPr="00734A50">
              <w:rPr>
                <w:rFonts w:cstheme="minorHAnsi"/>
                <w:b w:val="0"/>
                <w:iCs/>
                <w:color w:val="auto"/>
                <w:sz w:val="16"/>
                <w:szCs w:val="14"/>
              </w:rPr>
              <w:t>Journal of Learning Disabilities</w:t>
            </w:r>
            <w:r w:rsidR="00070316" w:rsidRPr="00FB5C2E">
              <w:rPr>
                <w:rFonts w:cstheme="minorHAnsi"/>
                <w:b w:val="0"/>
                <w:iCs/>
                <w:color w:val="auto"/>
                <w:sz w:val="16"/>
                <w:szCs w:val="14"/>
              </w:rPr>
              <w:t>, 42(1):</w:t>
            </w:r>
            <w:r w:rsidR="002D0965" w:rsidRPr="00FB5C2E">
              <w:rPr>
                <w:rFonts w:cstheme="minorHAnsi"/>
                <w:b w:val="0"/>
                <w:iCs/>
                <w:color w:val="auto"/>
                <w:sz w:val="16"/>
                <w:szCs w:val="14"/>
              </w:rPr>
              <w:t>85–89</w:t>
            </w:r>
          </w:p>
          <w:p w14:paraId="3D2BE9F7"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Berkeley S, Scanlon D, Bailey TR, Sutton JC and Sacco DM (2020) A Snapshot of RTI Implementation a Decade Later: New Picture, Same Story, Journal of Learning Disabilities, 53(5):332–342.</w:t>
            </w:r>
          </w:p>
          <w:p w14:paraId="58BB85CA" w14:textId="42A2D769"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Black P and Wiliam D (1998a) Assessment and classroom learning, Assessment in Education: </w:t>
            </w:r>
            <w:r w:rsidR="002D0965">
              <w:rPr>
                <w:rFonts w:cstheme="minorHAnsi"/>
                <w:b w:val="0"/>
                <w:color w:val="auto"/>
                <w:sz w:val="16"/>
                <w:szCs w:val="14"/>
              </w:rPr>
              <w:t>P</w:t>
            </w:r>
            <w:r w:rsidRPr="00734A50">
              <w:rPr>
                <w:rFonts w:cstheme="minorHAnsi"/>
                <w:b w:val="0"/>
                <w:color w:val="auto"/>
                <w:sz w:val="16"/>
                <w:szCs w:val="14"/>
              </w:rPr>
              <w:t xml:space="preserve">rinciples, </w:t>
            </w:r>
            <w:r w:rsidR="002D0965">
              <w:rPr>
                <w:rFonts w:cstheme="minorHAnsi"/>
                <w:b w:val="0"/>
                <w:color w:val="auto"/>
                <w:sz w:val="16"/>
                <w:szCs w:val="14"/>
              </w:rPr>
              <w:t>P</w:t>
            </w:r>
            <w:r w:rsidRPr="00734A50">
              <w:rPr>
                <w:rFonts w:cstheme="minorHAnsi"/>
                <w:b w:val="0"/>
                <w:color w:val="auto"/>
                <w:sz w:val="16"/>
                <w:szCs w:val="14"/>
              </w:rPr>
              <w:t xml:space="preserve">olicy &amp; </w:t>
            </w:r>
            <w:r w:rsidR="002D0965">
              <w:rPr>
                <w:rFonts w:cstheme="minorHAnsi"/>
                <w:b w:val="0"/>
                <w:color w:val="auto"/>
                <w:sz w:val="16"/>
                <w:szCs w:val="14"/>
              </w:rPr>
              <w:t>P</w:t>
            </w:r>
            <w:r w:rsidRPr="00734A50">
              <w:rPr>
                <w:rFonts w:cstheme="minorHAnsi"/>
                <w:b w:val="0"/>
                <w:color w:val="auto"/>
                <w:sz w:val="16"/>
                <w:szCs w:val="14"/>
              </w:rPr>
              <w:t>ractice, 5(1):7–74.</w:t>
            </w:r>
          </w:p>
          <w:p w14:paraId="2D088727"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Black P and Wiliam D (1998b) Inside the Black Box: Raising Standards Through Classroom Assessment, </w:t>
            </w:r>
            <w:r w:rsidRPr="00734A50">
              <w:rPr>
                <w:rFonts w:cstheme="minorHAnsi"/>
                <w:b w:val="0"/>
                <w:iCs/>
                <w:color w:val="auto"/>
                <w:sz w:val="16"/>
                <w:szCs w:val="14"/>
              </w:rPr>
              <w:t>Phi Delta Kappan</w:t>
            </w:r>
            <w:r w:rsidRPr="00734A50">
              <w:rPr>
                <w:rFonts w:cstheme="minorHAnsi"/>
                <w:b w:val="0"/>
                <w:color w:val="auto"/>
                <w:sz w:val="16"/>
                <w:szCs w:val="14"/>
              </w:rPr>
              <w:t>, 80(2):139–144.</w:t>
            </w:r>
          </w:p>
          <w:p w14:paraId="3B35A4CE"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Bloom BS (1968) Learning for Mastery. Instruction and Curriculum, </w:t>
            </w:r>
            <w:r w:rsidRPr="00734A50">
              <w:rPr>
                <w:rFonts w:cstheme="minorHAnsi"/>
                <w:b w:val="0"/>
                <w:iCs/>
                <w:color w:val="auto"/>
                <w:sz w:val="16"/>
                <w:szCs w:val="14"/>
              </w:rPr>
              <w:t>Evaluation Comment</w:t>
            </w:r>
            <w:r w:rsidRPr="00734A50">
              <w:rPr>
                <w:rFonts w:cstheme="minorHAnsi"/>
                <w:b w:val="0"/>
                <w:color w:val="auto"/>
                <w:sz w:val="16"/>
                <w:szCs w:val="14"/>
              </w:rPr>
              <w:t>, 1(2).</w:t>
            </w:r>
          </w:p>
          <w:p w14:paraId="1400512C"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Burns MK, Appleton JJ and Stehouwer JD (2005) Meta-Analytic Review of Responsiveness-to-Intervention Research: Examining Field-Based and Research-Implemented Models, </w:t>
            </w:r>
            <w:r w:rsidRPr="00734A50">
              <w:rPr>
                <w:rFonts w:cstheme="minorHAnsi"/>
                <w:b w:val="0"/>
                <w:iCs/>
                <w:color w:val="auto"/>
                <w:sz w:val="16"/>
                <w:szCs w:val="14"/>
              </w:rPr>
              <w:t>Journal of Psychoeducational Assessment</w:t>
            </w:r>
            <w:r w:rsidRPr="00734A50">
              <w:rPr>
                <w:rFonts w:cstheme="minorHAnsi"/>
                <w:b w:val="0"/>
                <w:color w:val="auto"/>
                <w:sz w:val="16"/>
                <w:szCs w:val="14"/>
              </w:rPr>
              <w:t>, 23(4):381–394.</w:t>
            </w:r>
          </w:p>
          <w:p w14:paraId="6B36D2C2"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Burns MK and Symington T (2002) A Meta-analysis of Prereferral Intervention Teams: Student and Systemic Outcomes, </w:t>
            </w:r>
            <w:r w:rsidRPr="00734A50">
              <w:rPr>
                <w:rFonts w:cstheme="minorHAnsi"/>
                <w:b w:val="0"/>
                <w:iCs/>
                <w:color w:val="auto"/>
                <w:sz w:val="16"/>
                <w:szCs w:val="14"/>
              </w:rPr>
              <w:t xml:space="preserve">Journal of School Psychology, </w:t>
            </w:r>
            <w:r w:rsidRPr="00734A50">
              <w:rPr>
                <w:rFonts w:cstheme="minorHAnsi"/>
                <w:b w:val="0"/>
                <w:color w:val="auto"/>
                <w:sz w:val="16"/>
                <w:szCs w:val="14"/>
              </w:rPr>
              <w:t>40(5):437–447.</w:t>
            </w:r>
          </w:p>
          <w:p w14:paraId="31404B26"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Carpenter SK, Cepeda NJ, Rohrer D, Kang SHK and Pashler H (2012) Using spacing to enhance diverse forms of learning: Review of recent research and implications for instruction, </w:t>
            </w:r>
            <w:r w:rsidRPr="00734A50">
              <w:rPr>
                <w:rFonts w:cstheme="minorHAnsi"/>
                <w:b w:val="0"/>
                <w:iCs/>
                <w:color w:val="auto"/>
                <w:sz w:val="16"/>
                <w:szCs w:val="14"/>
              </w:rPr>
              <w:t>Educational Psychology Review</w:t>
            </w:r>
            <w:r w:rsidRPr="00734A50">
              <w:rPr>
                <w:rFonts w:cstheme="minorHAnsi"/>
                <w:b w:val="0"/>
                <w:color w:val="auto"/>
                <w:sz w:val="16"/>
                <w:szCs w:val="14"/>
              </w:rPr>
              <w:t>, 24:369–378.</w:t>
            </w:r>
          </w:p>
          <w:p w14:paraId="0A8FAF39"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Cepeda NJ, Pashler H, Vul E, Wixted JT and Rohrer D (2006) Distributed practice in verbal recall tasks: A review and quantitative synthesis, </w:t>
            </w:r>
            <w:r w:rsidRPr="00734A50">
              <w:rPr>
                <w:rFonts w:cstheme="minorHAnsi"/>
                <w:b w:val="0"/>
                <w:iCs/>
                <w:color w:val="auto"/>
                <w:sz w:val="16"/>
                <w:szCs w:val="14"/>
              </w:rPr>
              <w:t>Psychological Bulletin</w:t>
            </w:r>
            <w:r w:rsidRPr="00734A50">
              <w:rPr>
                <w:rFonts w:cstheme="minorHAnsi"/>
                <w:b w:val="0"/>
                <w:color w:val="auto"/>
                <w:sz w:val="16"/>
                <w:szCs w:val="14"/>
              </w:rPr>
              <w:t>, 132(3):354–380.</w:t>
            </w:r>
          </w:p>
          <w:p w14:paraId="4541DCF2"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Ellis ES and Worthington LA (1994) </w:t>
            </w:r>
            <w:r w:rsidRPr="00734A50">
              <w:rPr>
                <w:rFonts w:cstheme="minorHAnsi"/>
                <w:b w:val="0"/>
                <w:iCs/>
                <w:color w:val="auto"/>
                <w:sz w:val="16"/>
                <w:szCs w:val="14"/>
              </w:rPr>
              <w:t>Research synthesis on effective teaching principles and the design of quality tools for educators</w:t>
            </w:r>
            <w:r w:rsidRPr="00734A50">
              <w:rPr>
                <w:rFonts w:cstheme="minorHAnsi"/>
                <w:b w:val="0"/>
                <w:color w:val="auto"/>
                <w:sz w:val="16"/>
                <w:szCs w:val="14"/>
              </w:rPr>
              <w:t>, National Center to Improve the Tools of Educators, University of Oregon.</w:t>
            </w:r>
          </w:p>
          <w:p w14:paraId="0AC61572"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Graham S and Hebert M (2011) Writing to Read: A Meta-Analysis of the Impact of Writing and Writing Instruction on Reading, </w:t>
            </w:r>
            <w:r w:rsidRPr="00734A50">
              <w:rPr>
                <w:rFonts w:cstheme="minorHAnsi"/>
                <w:b w:val="0"/>
                <w:iCs/>
                <w:color w:val="auto"/>
                <w:sz w:val="16"/>
                <w:szCs w:val="14"/>
              </w:rPr>
              <w:t>Harvard Educational Review</w:t>
            </w:r>
            <w:r w:rsidRPr="00734A50">
              <w:rPr>
                <w:rFonts w:cstheme="minorHAnsi"/>
                <w:b w:val="0"/>
                <w:color w:val="auto"/>
                <w:sz w:val="16"/>
                <w:szCs w:val="14"/>
              </w:rPr>
              <w:t>, 81(4):710–744.</w:t>
            </w:r>
          </w:p>
          <w:p w14:paraId="6C316E9C"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Graham S, Kiuhara SA and MacKay M (2020) The Effects of Writing on Learning in Science, Social Studies, and Mathematics: A Meta-Analysis, </w:t>
            </w:r>
            <w:r w:rsidRPr="00734A50">
              <w:rPr>
                <w:rFonts w:cstheme="minorHAnsi"/>
                <w:b w:val="0"/>
                <w:iCs/>
                <w:color w:val="auto"/>
                <w:sz w:val="16"/>
                <w:szCs w:val="14"/>
              </w:rPr>
              <w:t>Review of Educational Research</w:t>
            </w:r>
            <w:r w:rsidRPr="00734A50">
              <w:rPr>
                <w:rFonts w:cstheme="minorHAnsi"/>
                <w:b w:val="0"/>
                <w:color w:val="auto"/>
                <w:sz w:val="16"/>
                <w:szCs w:val="14"/>
              </w:rPr>
              <w:t>, 90(2):179–226.</w:t>
            </w:r>
          </w:p>
          <w:p w14:paraId="3F6D395A"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Guskey T and Pigott T (1988) Research on Group-Based Mastery Learning Programs: A Meta-Analysis, The Journal of Educational Research, 81(4):197</w:t>
            </w:r>
            <w:r w:rsidRPr="00734A50">
              <w:rPr>
                <w:rFonts w:cstheme="minorHAnsi"/>
                <w:b w:val="0"/>
                <w:color w:val="auto"/>
                <w:sz w:val="16"/>
                <w:szCs w:val="14"/>
              </w:rPr>
              <w:softHyphen/>
              <w:t>–216.</w:t>
            </w:r>
          </w:p>
          <w:p w14:paraId="5C3E1413"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Guskey T (2010) Lessons of Mastery Learning, </w:t>
            </w:r>
            <w:r w:rsidRPr="00734A50">
              <w:rPr>
                <w:rFonts w:cstheme="minorHAnsi"/>
                <w:b w:val="0"/>
                <w:iCs/>
                <w:color w:val="auto"/>
                <w:sz w:val="16"/>
                <w:szCs w:val="14"/>
              </w:rPr>
              <w:t>Educational Leadership</w:t>
            </w:r>
            <w:r w:rsidRPr="00734A50">
              <w:rPr>
                <w:rFonts w:cstheme="minorHAnsi"/>
                <w:b w:val="0"/>
                <w:color w:val="auto"/>
                <w:sz w:val="16"/>
                <w:szCs w:val="14"/>
              </w:rPr>
              <w:t>, 68(2):52–57.</w:t>
            </w:r>
          </w:p>
          <w:p w14:paraId="549509B3"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Heitink MC, van der Kleij F, Veldkamp BP, Schildkamp K and Kippers WB (2016) A systematic review of prerequisites for implementing assessment for learning in classroom practice, </w:t>
            </w:r>
            <w:r w:rsidRPr="00734A50">
              <w:rPr>
                <w:rFonts w:cstheme="minorHAnsi"/>
                <w:b w:val="0"/>
                <w:iCs/>
                <w:color w:val="auto"/>
                <w:sz w:val="16"/>
                <w:szCs w:val="14"/>
              </w:rPr>
              <w:t>Educational research review</w:t>
            </w:r>
            <w:r w:rsidRPr="00734A50">
              <w:rPr>
                <w:rFonts w:cstheme="minorHAnsi"/>
                <w:b w:val="0"/>
                <w:color w:val="auto"/>
                <w:sz w:val="16"/>
                <w:szCs w:val="14"/>
              </w:rPr>
              <w:t>, 17:50–62.</w:t>
            </w:r>
          </w:p>
          <w:p w14:paraId="74A1E7F9" w14:textId="7777777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t xml:space="preserve">Hughes CA, Morris JR, Therrien WJ and Benson SK (2017) Explicit instruction: Historical and contemporary contexts, </w:t>
            </w:r>
            <w:r w:rsidRPr="00734A50">
              <w:rPr>
                <w:rFonts w:cstheme="minorHAnsi"/>
                <w:b w:val="0"/>
                <w:iCs/>
                <w:color w:val="auto"/>
                <w:sz w:val="16"/>
                <w:szCs w:val="14"/>
              </w:rPr>
              <w:t>Learning Disabilities Research &amp; Practice, 32(3):140–148.</w:t>
            </w:r>
          </w:p>
          <w:p w14:paraId="024D3465" w14:textId="7777777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t xml:space="preserve">Kang S (2016) Spaced Repetition Promotes Efficient and Effective Learning: Policy Implications for Instruction, </w:t>
            </w:r>
            <w:r w:rsidRPr="00734A50">
              <w:rPr>
                <w:rFonts w:cstheme="minorHAnsi"/>
                <w:b w:val="0"/>
                <w:iCs/>
                <w:color w:val="auto"/>
                <w:sz w:val="16"/>
                <w:szCs w:val="14"/>
              </w:rPr>
              <w:t>Policy Insights from the Behavioral and Brain Sciences, 3.</w:t>
            </w:r>
          </w:p>
          <w:p w14:paraId="66DFC0C2"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Kulik C, Kulik J and Bangert-Drowns R (1990) Effectiveness of Mastery Learning Programs: A Meta-Analysis, Review of Educational Research, 60(2):265–299.</w:t>
            </w:r>
          </w:p>
          <w:p w14:paraId="30F2C9EA"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Lane R, Parrila R, Bower M, Bull R, Cavanagh M, Forbes A, Jones T, Pellicano L, Powell S, Ryan M and Khosronejad M (2019) </w:t>
            </w:r>
            <w:r w:rsidRPr="00734A50">
              <w:rPr>
                <w:rFonts w:cstheme="minorHAnsi"/>
                <w:b w:val="0"/>
                <w:iCs/>
                <w:color w:val="auto"/>
                <w:sz w:val="16"/>
                <w:szCs w:val="14"/>
              </w:rPr>
              <w:t>Formative Assessment Evidence and Practice Literature Review. AITSL: Melbourne.</w:t>
            </w:r>
          </w:p>
          <w:p w14:paraId="6D38F504" w14:textId="7777777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t xml:space="preserve">Panadero E and Jonsson A (2013) The use of scoring rubrics for formative assessment purposes revisited: A review, </w:t>
            </w:r>
            <w:r w:rsidRPr="00734A50">
              <w:rPr>
                <w:rFonts w:cstheme="minorHAnsi"/>
                <w:b w:val="0"/>
                <w:iCs/>
                <w:color w:val="auto"/>
                <w:sz w:val="16"/>
                <w:szCs w:val="14"/>
              </w:rPr>
              <w:t>Educational Research Review, 9:129–144.</w:t>
            </w:r>
          </w:p>
          <w:p w14:paraId="3D1C8095"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Rosenshine B (2012) Principles of Instruction: Research-Based Strategies that All Teachers Should Know, </w:t>
            </w:r>
            <w:r w:rsidRPr="00734A50">
              <w:rPr>
                <w:rFonts w:cstheme="minorHAnsi"/>
                <w:b w:val="0"/>
                <w:iCs/>
                <w:color w:val="auto"/>
                <w:sz w:val="16"/>
                <w:szCs w:val="14"/>
              </w:rPr>
              <w:t>American Educator,</w:t>
            </w:r>
            <w:r w:rsidRPr="00734A50">
              <w:rPr>
                <w:rFonts w:cstheme="minorHAnsi"/>
                <w:b w:val="0"/>
                <w:color w:val="auto"/>
                <w:sz w:val="16"/>
                <w:szCs w:val="14"/>
              </w:rPr>
              <w:t xml:space="preserve"> 36(1):12.</w:t>
            </w:r>
          </w:p>
          <w:p w14:paraId="097D9DC9"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lastRenderedPageBreak/>
              <w:t xml:space="preserve">Schildkamp K, van der Kleij FM, Heitink MC, Kippers WB and Veldkamp BP (2020) Formative assessment: A systematic review of critical teacher prerequisites for classroom practice, </w:t>
            </w:r>
            <w:r w:rsidRPr="00734A50">
              <w:rPr>
                <w:rFonts w:cstheme="minorHAnsi"/>
                <w:b w:val="0"/>
                <w:iCs/>
                <w:color w:val="auto"/>
                <w:sz w:val="16"/>
                <w:szCs w:val="14"/>
              </w:rPr>
              <w:t>International Journal of Educational Research,</w:t>
            </w:r>
            <w:r w:rsidRPr="00734A50">
              <w:rPr>
                <w:rFonts w:cstheme="minorHAnsi"/>
                <w:b w:val="0"/>
                <w:color w:val="auto"/>
                <w:sz w:val="16"/>
                <w:szCs w:val="14"/>
              </w:rPr>
              <w:t xml:space="preserve"> 103:101602.</w:t>
            </w:r>
          </w:p>
          <w:p w14:paraId="331AF0B3"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Sweller J, Clark R and Kirschner PA (2010) Teaching general problem-solving skills is not a substitute for, or a viable addition to, teaching mathematics, Notices of the American Mathematical Society, 57:1303</w:t>
            </w:r>
            <w:r w:rsidRPr="00734A50">
              <w:rPr>
                <w:rFonts w:cstheme="minorHAnsi"/>
                <w:b w:val="0"/>
                <w:color w:val="auto"/>
                <w:sz w:val="16"/>
                <w:szCs w:val="14"/>
              </w:rPr>
              <w:softHyphen/>
              <w:t>–1304.</w:t>
            </w:r>
          </w:p>
          <w:p w14:paraId="2B90E436"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Wisniewski B, Zierer K and Hattie J (2020) The Power of Feedback Revisited: A Meta-Analysis of Educational Feedback Research, </w:t>
            </w:r>
            <w:r w:rsidRPr="00734A50">
              <w:rPr>
                <w:rFonts w:cstheme="minorHAnsi"/>
                <w:b w:val="0"/>
                <w:iCs/>
                <w:color w:val="auto"/>
                <w:sz w:val="16"/>
                <w:szCs w:val="14"/>
              </w:rPr>
              <w:t>Frontiers in Psychology</w:t>
            </w:r>
            <w:r w:rsidRPr="00734A50">
              <w:rPr>
                <w:rFonts w:cstheme="minorHAnsi"/>
                <w:b w:val="0"/>
                <w:color w:val="auto"/>
                <w:sz w:val="16"/>
                <w:szCs w:val="14"/>
              </w:rPr>
              <w:t>, 10.</w:t>
            </w:r>
          </w:p>
          <w:p w14:paraId="708FB5A5"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Zohar A and Aharon-Kravetsky S (2005) Exploring the effects of cognitive conflict and direct teaching for students of different academic levels, Journal of Research in Science Teaching, 42(7): 829</w:t>
            </w:r>
            <w:r w:rsidRPr="00734A50">
              <w:rPr>
                <w:rFonts w:cstheme="minorHAnsi"/>
                <w:b w:val="0"/>
                <w:color w:val="auto"/>
                <w:sz w:val="16"/>
                <w:szCs w:val="14"/>
              </w:rPr>
              <w:softHyphen/>
              <w:t>–855.</w:t>
            </w:r>
          </w:p>
        </w:tc>
      </w:tr>
    </w:tbl>
    <w:p w14:paraId="12BFAFE3" w14:textId="77777777" w:rsidR="008C3425" w:rsidRPr="00734A50" w:rsidRDefault="008C3425" w:rsidP="008C3425">
      <w:pPr>
        <w:spacing w:after="160" w:line="259" w:lineRule="auto"/>
        <w:rPr>
          <w:sz w:val="32"/>
          <w:szCs w:val="24"/>
          <w:lang w:eastAsia="en-AU"/>
        </w:rPr>
      </w:pPr>
      <w:r w:rsidRPr="00734A50">
        <w:rPr>
          <w:sz w:val="32"/>
          <w:szCs w:val="24"/>
          <w:lang w:eastAsia="en-AU"/>
        </w:rPr>
        <w:lastRenderedPageBreak/>
        <w:br w:type="page"/>
      </w:r>
    </w:p>
    <w:p w14:paraId="5ECB43F8" w14:textId="77777777" w:rsidR="008C3425" w:rsidRPr="00734A50" w:rsidRDefault="008C3425" w:rsidP="008C3425">
      <w:pPr>
        <w:pStyle w:val="HeadingTable"/>
        <w:numPr>
          <w:ilvl w:val="0"/>
          <w:numId w:val="0"/>
        </w:numPr>
        <w:ind w:left="360" w:hanging="360"/>
        <w:rPr>
          <w:sz w:val="22"/>
          <w:szCs w:val="28"/>
        </w:rPr>
      </w:pPr>
      <w:r w:rsidRPr="00734A50">
        <w:rPr>
          <w:sz w:val="22"/>
          <w:szCs w:val="28"/>
        </w:rPr>
        <w:lastRenderedPageBreak/>
        <w:t>Table D3: Core Content 3</w:t>
      </w:r>
    </w:p>
    <w:tbl>
      <w:tblPr>
        <w:tblStyle w:val="GridTable5Dark-Accent2"/>
        <w:tblW w:w="9209" w:type="dxa"/>
        <w:tblBorders>
          <w:top w:val="single" w:sz="4" w:space="0" w:color="EBAB12" w:themeColor="accent1"/>
          <w:left w:val="single" w:sz="4" w:space="0" w:color="EBAB12" w:themeColor="accent1"/>
          <w:bottom w:val="single" w:sz="4" w:space="0" w:color="EBAB12" w:themeColor="accent1"/>
          <w:right w:val="single" w:sz="4" w:space="0" w:color="EBAB12" w:themeColor="accent1"/>
          <w:insideH w:val="single" w:sz="4" w:space="0" w:color="EBAB12" w:themeColor="accent1"/>
          <w:insideV w:val="single" w:sz="4" w:space="0" w:color="EBAB12" w:themeColor="accent1"/>
        </w:tblBorders>
        <w:tblLook w:val="04A0" w:firstRow="1" w:lastRow="0" w:firstColumn="1" w:lastColumn="0" w:noHBand="0" w:noVBand="1"/>
      </w:tblPr>
      <w:tblGrid>
        <w:gridCol w:w="2686"/>
        <w:gridCol w:w="6523"/>
      </w:tblGrid>
      <w:tr w:rsidR="008C3425" w:rsidRPr="00734A50" w14:paraId="6900D9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EBAB12" w:themeColor="accent1"/>
              <w:left w:val="single" w:sz="4" w:space="0" w:color="EBAB12" w:themeColor="accent1"/>
              <w:right w:val="single" w:sz="4" w:space="0" w:color="EBAB12" w:themeColor="accent1"/>
            </w:tcBorders>
          </w:tcPr>
          <w:p w14:paraId="36FB7D40" w14:textId="77777777" w:rsidR="008C3425" w:rsidRPr="00734A50" w:rsidRDefault="008C3425">
            <w:pPr>
              <w:rPr>
                <w:rFonts w:cstheme="minorHAnsi"/>
                <w:color w:val="auto"/>
                <w:szCs w:val="14"/>
              </w:rPr>
            </w:pPr>
            <w:r w:rsidRPr="00734A50">
              <w:rPr>
                <w:rFonts w:cstheme="minorHAnsi"/>
                <w:color w:val="auto"/>
                <w:sz w:val="32"/>
                <w:szCs w:val="32"/>
                <w:lang w:eastAsia="en-AU"/>
              </w:rPr>
              <w:t>Core</w:t>
            </w:r>
            <w:r w:rsidRPr="00734A50">
              <w:rPr>
                <w:rFonts w:cstheme="minorHAnsi"/>
                <w:color w:val="auto"/>
                <w:sz w:val="24"/>
                <w:szCs w:val="24"/>
                <w:lang w:eastAsia="en-AU"/>
              </w:rPr>
              <w:t xml:space="preserve"> </w:t>
            </w:r>
            <w:r w:rsidRPr="00734A50">
              <w:rPr>
                <w:rFonts w:cstheme="minorHAnsi"/>
                <w:color w:val="auto"/>
                <w:sz w:val="32"/>
                <w:szCs w:val="32"/>
                <w:lang w:eastAsia="en-AU"/>
              </w:rPr>
              <w:t>Content 3: Classroom Management</w:t>
            </w:r>
          </w:p>
        </w:tc>
      </w:tr>
      <w:tr w:rsidR="008C3425" w:rsidRPr="00734A50" w14:paraId="55A537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tcBorders>
              <w:left w:val="single" w:sz="4" w:space="0" w:color="EBAB12" w:themeColor="accent1"/>
            </w:tcBorders>
            <w:shd w:val="clear" w:color="auto" w:fill="auto"/>
          </w:tcPr>
          <w:p w14:paraId="609BD773" w14:textId="77777777" w:rsidR="008C3425" w:rsidRPr="00734A50" w:rsidRDefault="008C3425">
            <w:pPr>
              <w:rPr>
                <w:rFonts w:eastAsia="Calibri" w:cstheme="minorHAnsi"/>
                <w:color w:val="auto"/>
                <w:sz w:val="20"/>
                <w:szCs w:val="20"/>
              </w:rPr>
            </w:pPr>
            <w:r w:rsidRPr="00734A50">
              <w:rPr>
                <w:rFonts w:cstheme="minorHAnsi"/>
                <w:b w:val="0"/>
                <w:i/>
                <w:color w:val="auto"/>
                <w:sz w:val="20"/>
                <w:szCs w:val="20"/>
              </w:rPr>
              <w:t xml:space="preserve">Supports Graduate Teacher Standards: </w:t>
            </w:r>
            <w:r w:rsidRPr="00734A50">
              <w:rPr>
                <w:rFonts w:eastAsia="Calibri" w:cstheme="minorHAnsi"/>
                <w:b w:val="0"/>
                <w:color w:val="auto"/>
                <w:sz w:val="20"/>
                <w:szCs w:val="20"/>
              </w:rPr>
              <w:t>1.2; 3.1, 3.3, 3.4, 3.5; 4.1, 4.2, 4.3, 4.4; 7.2</w:t>
            </w:r>
          </w:p>
        </w:tc>
      </w:tr>
      <w:tr w:rsidR="008C3425" w:rsidRPr="00734A50" w14:paraId="298BE054" w14:textId="77777777">
        <w:tc>
          <w:tcPr>
            <w:cnfStyle w:val="001000000000" w:firstRow="0" w:lastRow="0" w:firstColumn="1" w:lastColumn="0" w:oddVBand="0" w:evenVBand="0" w:oddHBand="0" w:evenHBand="0" w:firstRowFirstColumn="0" w:firstRowLastColumn="0" w:lastRowFirstColumn="0" w:lastRowLastColumn="0"/>
            <w:tcW w:w="2686" w:type="dxa"/>
            <w:tcBorders>
              <w:left w:val="single" w:sz="4" w:space="0" w:color="EBAB12" w:themeColor="accent1"/>
            </w:tcBorders>
          </w:tcPr>
          <w:p w14:paraId="3E4103D2" w14:textId="77777777" w:rsidR="008C3425" w:rsidRPr="00734A50" w:rsidRDefault="008C3425">
            <w:pPr>
              <w:pStyle w:val="Heading2"/>
              <w:rPr>
                <w:rFonts w:asciiTheme="minorHAnsi" w:hAnsiTheme="minorHAnsi" w:cstheme="minorHAnsi"/>
                <w:b/>
                <w:sz w:val="24"/>
                <w:szCs w:val="24"/>
              </w:rPr>
            </w:pPr>
            <w:bookmarkStart w:id="119" w:name="_Toc139366678"/>
            <w:r w:rsidRPr="00734A50">
              <w:rPr>
                <w:rFonts w:asciiTheme="minorHAnsi" w:hAnsiTheme="minorHAnsi" w:cstheme="minorHAnsi"/>
                <w:sz w:val="24"/>
                <w:szCs w:val="24"/>
              </w:rPr>
              <w:t>Learning Outcome</w:t>
            </w:r>
            <w:bookmarkEnd w:id="119"/>
          </w:p>
        </w:tc>
        <w:tc>
          <w:tcPr>
            <w:tcW w:w="6523" w:type="dxa"/>
            <w:shd w:val="clear" w:color="auto" w:fill="FECF52" w:themeFill="accent2"/>
          </w:tcPr>
          <w:p w14:paraId="5F3C5B6A" w14:textId="77777777" w:rsidR="008C3425" w:rsidRPr="00734A50" w:rsidRDefault="008C3425">
            <w:pPr>
              <w:pStyle w:val="Heading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bookmarkStart w:id="120" w:name="_Toc139366679"/>
            <w:r w:rsidRPr="00734A50">
              <w:rPr>
                <w:rFonts w:asciiTheme="minorHAnsi" w:hAnsiTheme="minorHAnsi" w:cstheme="minorHAnsi"/>
                <w:sz w:val="24"/>
                <w:szCs w:val="24"/>
              </w:rPr>
              <w:t>Core content ITE programs should teach</w:t>
            </w:r>
            <w:bookmarkEnd w:id="120"/>
          </w:p>
        </w:tc>
      </w:tr>
      <w:tr w:rsidR="008C3425" w:rsidRPr="00734A50" w14:paraId="3E9875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val="restart"/>
            <w:tcBorders>
              <w:left w:val="single" w:sz="4" w:space="0" w:color="EBAB12" w:themeColor="accent1"/>
            </w:tcBorders>
            <w:shd w:val="clear" w:color="auto" w:fill="FEEBB9" w:themeFill="accent2" w:themeFillTint="66"/>
          </w:tcPr>
          <w:p w14:paraId="7629C2CA" w14:textId="77777777" w:rsidR="008C3425" w:rsidRPr="00734A50" w:rsidRDefault="008C3425">
            <w:pPr>
              <w:suppressAutoHyphens/>
              <w:spacing w:before="160" w:after="0"/>
              <w:rPr>
                <w:rFonts w:cstheme="minorHAnsi"/>
                <w:color w:val="auto"/>
                <w:sz w:val="16"/>
                <w:szCs w:val="16"/>
                <w:lang w:val="en-US"/>
              </w:rPr>
            </w:pPr>
            <w:r w:rsidRPr="00734A50">
              <w:rPr>
                <w:rFonts w:cstheme="minorHAnsi"/>
                <w:color w:val="auto"/>
                <w:sz w:val="16"/>
                <w:szCs w:val="16"/>
                <w:lang w:val="en-US"/>
              </w:rPr>
              <w:t>A strong understanding of the role of rules and routines in establishing a structured, safe, and positive classroom environment (i.e., entry and exit routines, explicit teaching and reinforcement of rules, protocols for common activities).</w:t>
            </w:r>
          </w:p>
        </w:tc>
        <w:tc>
          <w:tcPr>
            <w:tcW w:w="6523" w:type="dxa"/>
          </w:tcPr>
          <w:p w14:paraId="3B22BC24"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b/>
                <w:sz w:val="20"/>
                <w:szCs w:val="20"/>
                <w:u w:val="single"/>
              </w:rPr>
            </w:pPr>
            <w:r w:rsidRPr="00734A50">
              <w:rPr>
                <w:b/>
                <w:sz w:val="20"/>
                <w:szCs w:val="20"/>
                <w:u w:val="single"/>
              </w:rPr>
              <w:t>Rules and routines</w:t>
            </w:r>
          </w:p>
        </w:tc>
      </w:tr>
      <w:tr w:rsidR="008C3425" w:rsidRPr="00734A50" w14:paraId="73712C6A" w14:textId="77777777">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79D4908B" w14:textId="77777777" w:rsidR="008C3425" w:rsidRPr="00734A50" w:rsidRDefault="008C3425">
            <w:pPr>
              <w:spacing w:after="0"/>
              <w:rPr>
                <w:rFonts w:eastAsia="Calibri" w:cstheme="minorHAnsi"/>
                <w:color w:val="auto"/>
                <w:sz w:val="16"/>
                <w:szCs w:val="16"/>
              </w:rPr>
            </w:pPr>
          </w:p>
        </w:tc>
        <w:tc>
          <w:tcPr>
            <w:tcW w:w="6523" w:type="dxa"/>
            <w:shd w:val="clear" w:color="auto" w:fill="auto"/>
          </w:tcPr>
          <w:p w14:paraId="6ABA2A17" w14:textId="77777777" w:rsidR="008C3425" w:rsidRPr="00734A50" w:rsidRDefault="008C3425" w:rsidP="007725DA">
            <w:pPr>
              <w:pBdr>
                <w:bottom w:val="single" w:sz="4" w:space="1" w:color="EBAB12" w:themeColor="accent1"/>
              </w:pBd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sz w:val="16"/>
                <w:szCs w:val="14"/>
              </w:rPr>
              <w:t xml:space="preserve">How to develop and use </w:t>
            </w:r>
            <w:r w:rsidRPr="00734A50">
              <w:rPr>
                <w:rFonts w:eastAsia="Calibri" w:cstheme="minorHAnsi"/>
                <w:b/>
                <w:bCs/>
                <w:sz w:val="16"/>
                <w:szCs w:val="14"/>
              </w:rPr>
              <w:t>effective rules and routines</w:t>
            </w:r>
            <w:r w:rsidRPr="00734A50">
              <w:rPr>
                <w:rFonts w:eastAsia="Calibri" w:cstheme="minorHAnsi"/>
                <w:sz w:val="16"/>
                <w:szCs w:val="14"/>
              </w:rPr>
              <w:t xml:space="preserve">, or cues that are focused on </w:t>
            </w:r>
            <w:r w:rsidRPr="00734A50">
              <w:rPr>
                <w:rFonts w:eastAsia="Calibri" w:cstheme="minorHAnsi"/>
                <w:sz w:val="16"/>
                <w:szCs w:val="16"/>
              </w:rPr>
              <w:t>creating learning habits that encourage students to respond quickly to instructions to reduce wasted learning time.</w:t>
            </w:r>
          </w:p>
          <w:p w14:paraId="02EDAF77"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b/>
                <w:bCs/>
                <w:sz w:val="16"/>
                <w:szCs w:val="16"/>
              </w:rPr>
              <w:t>When and how pre-service teachers can practise using rules and routines in a professional experience setting</w:t>
            </w:r>
            <w:r w:rsidRPr="00734A50">
              <w:rPr>
                <w:rFonts w:eastAsia="Calibri" w:cstheme="minorHAnsi"/>
                <w:sz w:val="16"/>
                <w:szCs w:val="16"/>
              </w:rPr>
              <w:t xml:space="preserve"> so that they are best supported to transition to the classroom</w:t>
            </w:r>
            <w:r w:rsidRPr="00734A50">
              <w:rPr>
                <w:rFonts w:eastAsia="Calibri" w:cstheme="minorHAnsi"/>
                <w:sz w:val="14"/>
                <w:szCs w:val="14"/>
              </w:rPr>
              <w:t>.</w:t>
            </w:r>
          </w:p>
        </w:tc>
      </w:tr>
      <w:tr w:rsidR="008C3425" w:rsidRPr="00734A50" w14:paraId="2A2383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57C1C396" w14:textId="77777777" w:rsidR="008C3425" w:rsidRPr="00734A50" w:rsidRDefault="008C3425">
            <w:pPr>
              <w:spacing w:after="0"/>
              <w:rPr>
                <w:rFonts w:eastAsia="Calibri" w:cstheme="minorHAnsi"/>
                <w:color w:val="auto"/>
                <w:sz w:val="16"/>
                <w:szCs w:val="16"/>
              </w:rPr>
            </w:pPr>
          </w:p>
        </w:tc>
        <w:tc>
          <w:tcPr>
            <w:tcW w:w="6523" w:type="dxa"/>
            <w:shd w:val="clear" w:color="auto" w:fill="auto"/>
          </w:tcPr>
          <w:p w14:paraId="3F79439C"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6"/>
              </w:rPr>
              <w:t xml:space="preserve">The research evidence that shows the </w:t>
            </w:r>
            <w:r w:rsidRPr="00734A50">
              <w:rPr>
                <w:rFonts w:eastAsia="Calibri" w:cstheme="minorHAnsi"/>
                <w:b/>
                <w:bCs/>
                <w:sz w:val="16"/>
                <w:szCs w:val="16"/>
              </w:rPr>
              <w:t>impact of developing and reinforcing clear and well-defined rules and routines</w:t>
            </w:r>
            <w:r w:rsidRPr="00734A50">
              <w:rPr>
                <w:rFonts w:eastAsia="Calibri" w:cstheme="minorHAnsi"/>
                <w:sz w:val="16"/>
                <w:szCs w:val="16"/>
              </w:rPr>
              <w:t xml:space="preserve"> and why rules and routines need to be </w:t>
            </w:r>
            <w:r w:rsidRPr="00734A50">
              <w:rPr>
                <w:rFonts w:eastAsia="Calibri" w:cstheme="minorHAnsi"/>
                <w:b/>
                <w:bCs/>
                <w:sz w:val="16"/>
                <w:szCs w:val="16"/>
              </w:rPr>
              <w:t>explicitly taught and reinforced</w:t>
            </w:r>
            <w:r w:rsidRPr="00734A50">
              <w:rPr>
                <w:rFonts w:eastAsia="Calibri" w:cstheme="minorHAnsi"/>
                <w:sz w:val="16"/>
                <w:szCs w:val="16"/>
              </w:rPr>
              <w:t xml:space="preserve"> to students to be effective.</w:t>
            </w:r>
          </w:p>
        </w:tc>
      </w:tr>
      <w:tr w:rsidR="008C3425" w:rsidRPr="00734A50" w14:paraId="236075A6" w14:textId="77777777">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2F7E5830" w14:textId="77777777" w:rsidR="008C3425" w:rsidRPr="00734A50" w:rsidRDefault="008C3425">
            <w:pPr>
              <w:spacing w:after="0"/>
              <w:rPr>
                <w:rFonts w:eastAsia="Calibri" w:cstheme="minorHAnsi"/>
                <w:color w:val="auto"/>
                <w:sz w:val="16"/>
                <w:szCs w:val="16"/>
              </w:rPr>
            </w:pPr>
          </w:p>
        </w:tc>
        <w:tc>
          <w:tcPr>
            <w:tcW w:w="6523" w:type="dxa"/>
            <w:shd w:val="clear" w:color="auto" w:fill="auto"/>
          </w:tcPr>
          <w:p w14:paraId="1D09FDF6" w14:textId="7AC3627D"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b/>
                <w:bCs/>
                <w:sz w:val="16"/>
                <w:szCs w:val="16"/>
              </w:rPr>
              <w:t>Specific examples</w:t>
            </w:r>
            <w:r w:rsidRPr="00734A50">
              <w:rPr>
                <w:rFonts w:eastAsia="Calibri" w:cstheme="minorHAnsi"/>
                <w:sz w:val="16"/>
                <w:szCs w:val="16"/>
              </w:rPr>
              <w:t xml:space="preserve"> of rules and routines that are shown by the </w:t>
            </w:r>
            <w:r w:rsidRPr="00734A50">
              <w:rPr>
                <w:rFonts w:eastAsia="Calibri" w:cstheme="minorHAnsi"/>
                <w:b/>
                <w:bCs/>
                <w:sz w:val="16"/>
                <w:szCs w:val="16"/>
              </w:rPr>
              <w:t>research to be effective</w:t>
            </w:r>
            <w:r w:rsidRPr="00734A50">
              <w:rPr>
                <w:rFonts w:eastAsia="Calibri" w:cstheme="minorHAnsi"/>
                <w:sz w:val="16"/>
                <w:szCs w:val="16"/>
              </w:rPr>
              <w:t xml:space="preserve"> and how to use them in a lesson. This could include what can be used at the </w:t>
            </w:r>
            <w:r w:rsidRPr="00734A50">
              <w:rPr>
                <w:rFonts w:eastAsia="Calibri" w:cstheme="minorHAnsi"/>
                <w:b/>
                <w:bCs/>
                <w:sz w:val="16"/>
                <w:szCs w:val="16"/>
              </w:rPr>
              <w:t>beginning and end of lessons</w:t>
            </w:r>
            <w:r w:rsidRPr="00734A50">
              <w:rPr>
                <w:rFonts w:eastAsia="Calibri" w:cstheme="minorHAnsi"/>
                <w:sz w:val="16"/>
                <w:szCs w:val="16"/>
              </w:rPr>
              <w:t xml:space="preserve"> (e.g. ‘do-nows’, lesson reflections), for </w:t>
            </w:r>
            <w:r w:rsidRPr="00734A50">
              <w:rPr>
                <w:rFonts w:eastAsia="Calibri" w:cstheme="minorHAnsi"/>
                <w:b/>
                <w:bCs/>
                <w:sz w:val="16"/>
                <w:szCs w:val="16"/>
              </w:rPr>
              <w:t>different types of learning activities</w:t>
            </w:r>
            <w:r w:rsidRPr="00734A50">
              <w:rPr>
                <w:rFonts w:eastAsia="Calibri" w:cstheme="minorHAnsi"/>
                <w:sz w:val="16"/>
                <w:szCs w:val="16"/>
              </w:rPr>
              <w:t xml:space="preserve"> (e.g. protocols for small group or class discussions such as ‘pair shares’, ‘jigsaws’ or ‘I do, we do, you do’) and </w:t>
            </w:r>
            <w:r w:rsidRPr="00734A50">
              <w:rPr>
                <w:rFonts w:eastAsia="Calibri" w:cstheme="minorHAnsi"/>
                <w:b/>
                <w:bCs/>
                <w:sz w:val="16"/>
                <w:szCs w:val="16"/>
              </w:rPr>
              <w:t>for transitions</w:t>
            </w:r>
            <w:r w:rsidRPr="00734A50">
              <w:rPr>
                <w:rFonts w:eastAsia="Calibri" w:cstheme="minorHAnsi"/>
                <w:sz w:val="16"/>
                <w:szCs w:val="16"/>
              </w:rPr>
              <w:t xml:space="preserve"> (e.g., protocols for moving quickly from one activity to the next).</w:t>
            </w:r>
          </w:p>
        </w:tc>
      </w:tr>
      <w:tr w:rsidR="008C3425" w:rsidRPr="00734A50" w14:paraId="3A96D1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val="restart"/>
            <w:tcBorders>
              <w:left w:val="single" w:sz="4" w:space="0" w:color="EBAB12" w:themeColor="accent1"/>
            </w:tcBorders>
            <w:shd w:val="clear" w:color="auto" w:fill="FEEBB9" w:themeFill="accent2" w:themeFillTint="66"/>
          </w:tcPr>
          <w:p w14:paraId="468E2C62" w14:textId="77777777" w:rsidR="008C3425" w:rsidRPr="00734A50" w:rsidRDefault="008C3425">
            <w:pPr>
              <w:suppressAutoHyphens/>
              <w:spacing w:before="160" w:after="0"/>
              <w:rPr>
                <w:rFonts w:cstheme="minorHAnsi"/>
                <w:color w:val="auto"/>
                <w:sz w:val="16"/>
                <w:szCs w:val="16"/>
                <w:lang w:val="en-US"/>
              </w:rPr>
            </w:pPr>
            <w:r w:rsidRPr="00734A50">
              <w:rPr>
                <w:rFonts w:cstheme="minorHAnsi"/>
                <w:color w:val="auto"/>
                <w:sz w:val="16"/>
                <w:szCs w:val="16"/>
                <w:lang w:val="en-US"/>
              </w:rPr>
              <w:t xml:space="preserve">A clear understanding of the efficacy of proactive practices in preventing misbehaviour and/or disengagement, including the role of high-quality instruction as a proactive practice. </w:t>
            </w:r>
          </w:p>
        </w:tc>
        <w:tc>
          <w:tcPr>
            <w:tcW w:w="6523" w:type="dxa"/>
          </w:tcPr>
          <w:p w14:paraId="57498597"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pPr>
            <w:r w:rsidRPr="00734A50">
              <w:rPr>
                <w:b/>
                <w:sz w:val="20"/>
                <w:szCs w:val="20"/>
                <w:u w:val="single"/>
              </w:rPr>
              <w:t>Proactive practices</w:t>
            </w:r>
          </w:p>
        </w:tc>
      </w:tr>
      <w:tr w:rsidR="008C3425" w:rsidRPr="00734A50" w14:paraId="03EC65B2" w14:textId="77777777" w:rsidTr="00A2096D">
        <w:trPr>
          <w:trHeight w:val="753"/>
        </w:trPr>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46EE9361" w14:textId="77777777" w:rsidR="008C3425" w:rsidRPr="00734A50" w:rsidRDefault="008C3425">
            <w:pPr>
              <w:spacing w:after="0"/>
              <w:rPr>
                <w:rFonts w:eastAsia="Calibri" w:cstheme="minorHAnsi"/>
                <w:color w:val="auto"/>
                <w:sz w:val="16"/>
                <w:szCs w:val="16"/>
              </w:rPr>
            </w:pPr>
          </w:p>
        </w:tc>
        <w:tc>
          <w:tcPr>
            <w:tcW w:w="6523" w:type="dxa"/>
            <w:tcBorders>
              <w:bottom w:val="single" w:sz="4" w:space="0" w:color="EBAB12" w:themeColor="accent1"/>
            </w:tcBorders>
            <w:shd w:val="clear" w:color="auto" w:fill="auto"/>
          </w:tcPr>
          <w:p w14:paraId="4998BF36"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sz w:val="16"/>
                <w:szCs w:val="16"/>
              </w:rPr>
              <w:t xml:space="preserve">The research evidence that shows the </w:t>
            </w:r>
            <w:r w:rsidRPr="00734A50">
              <w:rPr>
                <w:rFonts w:eastAsia="Calibri" w:cstheme="minorHAnsi"/>
                <w:b/>
                <w:bCs/>
                <w:sz w:val="16"/>
                <w:szCs w:val="16"/>
              </w:rPr>
              <w:t>positive impacts clear and high expectations has on student behaviour and achievement</w:t>
            </w:r>
            <w:r w:rsidRPr="00734A50">
              <w:rPr>
                <w:rFonts w:eastAsia="Calibri" w:cstheme="minorHAnsi"/>
                <w:sz w:val="16"/>
                <w:szCs w:val="16"/>
              </w:rPr>
              <w:t xml:space="preserve"> and why it results </w:t>
            </w:r>
            <w:r w:rsidRPr="00734A50">
              <w:rPr>
                <w:rFonts w:eastAsia="Calibri" w:cstheme="minorHAnsi"/>
                <w:b/>
                <w:bCs/>
                <w:sz w:val="16"/>
                <w:szCs w:val="16"/>
              </w:rPr>
              <w:t>in improved motivation</w:t>
            </w:r>
            <w:r w:rsidRPr="00734A50">
              <w:rPr>
                <w:rFonts w:eastAsia="Calibri" w:cstheme="minorHAnsi"/>
                <w:sz w:val="16"/>
                <w:szCs w:val="16"/>
              </w:rPr>
              <w:t xml:space="preserve">, </w:t>
            </w:r>
            <w:r w:rsidRPr="00734A50">
              <w:rPr>
                <w:rFonts w:eastAsia="Calibri" w:cstheme="minorHAnsi"/>
                <w:b/>
                <w:bCs/>
                <w:sz w:val="16"/>
                <w:szCs w:val="16"/>
              </w:rPr>
              <w:t>better self-accountability</w:t>
            </w:r>
            <w:r w:rsidRPr="00734A50">
              <w:rPr>
                <w:rFonts w:eastAsia="Calibri" w:cstheme="minorHAnsi"/>
                <w:sz w:val="16"/>
                <w:szCs w:val="16"/>
              </w:rPr>
              <w:t xml:space="preserve"> and </w:t>
            </w:r>
            <w:r w:rsidRPr="00734A50">
              <w:rPr>
                <w:rFonts w:eastAsia="Calibri" w:cstheme="minorHAnsi"/>
                <w:b/>
                <w:bCs/>
                <w:sz w:val="16"/>
                <w:szCs w:val="16"/>
              </w:rPr>
              <w:t>understanding of consequences</w:t>
            </w:r>
            <w:r w:rsidRPr="00734A50">
              <w:rPr>
                <w:rFonts w:eastAsia="Calibri" w:cstheme="minorHAnsi"/>
                <w:sz w:val="16"/>
                <w:szCs w:val="16"/>
              </w:rPr>
              <w:t>.</w:t>
            </w:r>
          </w:p>
        </w:tc>
      </w:tr>
      <w:tr w:rsidR="008C3425" w:rsidRPr="00734A50" w14:paraId="1FE1D4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1F06006F" w14:textId="77777777" w:rsidR="008C3425" w:rsidRPr="00734A50" w:rsidRDefault="008C3425">
            <w:pPr>
              <w:spacing w:after="0"/>
              <w:rPr>
                <w:rFonts w:eastAsia="Calibri" w:cstheme="minorHAnsi"/>
                <w:color w:val="auto"/>
                <w:sz w:val="16"/>
                <w:szCs w:val="16"/>
              </w:rPr>
            </w:pPr>
          </w:p>
        </w:tc>
        <w:tc>
          <w:tcPr>
            <w:tcW w:w="6523" w:type="dxa"/>
            <w:shd w:val="clear" w:color="auto" w:fill="auto"/>
          </w:tcPr>
          <w:p w14:paraId="444B6097" w14:textId="77777777" w:rsidR="008C3425" w:rsidRPr="00734A50" w:rsidRDefault="008C3425" w:rsidP="00320248">
            <w:pPr>
              <w:pBdr>
                <w:bottom w:val="single" w:sz="4" w:space="1" w:color="EBAB12" w:themeColor="accent1"/>
                <w:between w:val="single" w:sz="4" w:space="1" w:color="EBAB12" w:themeColor="accent1"/>
              </w:pBd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4"/>
              </w:rPr>
              <w:t xml:space="preserve">The research evidence that shows the </w:t>
            </w:r>
            <w:r w:rsidRPr="00734A50">
              <w:rPr>
                <w:rFonts w:eastAsia="Calibri" w:cstheme="minorHAnsi"/>
                <w:b/>
                <w:bCs/>
                <w:sz w:val="16"/>
                <w:szCs w:val="14"/>
              </w:rPr>
              <w:t>relationship between effective pedagogical practices and increased positive behaviour</w:t>
            </w:r>
            <w:r w:rsidRPr="00734A50">
              <w:rPr>
                <w:rFonts w:eastAsia="Calibri" w:cstheme="minorHAnsi"/>
                <w:sz w:val="16"/>
                <w:szCs w:val="14"/>
              </w:rPr>
              <w:t xml:space="preserve"> including why specific practices are particularly effective in </w:t>
            </w:r>
            <w:r w:rsidRPr="00734A50">
              <w:rPr>
                <w:rFonts w:eastAsia="Calibri" w:cstheme="minorHAnsi"/>
                <w:b/>
                <w:bCs/>
                <w:sz w:val="16"/>
                <w:szCs w:val="14"/>
              </w:rPr>
              <w:t>preventing undesired behaviour</w:t>
            </w:r>
            <w:r w:rsidRPr="00734A50">
              <w:rPr>
                <w:rFonts w:eastAsia="Calibri" w:cstheme="minorHAnsi"/>
                <w:sz w:val="16"/>
                <w:szCs w:val="14"/>
              </w:rPr>
              <w:t xml:space="preserve">. </w:t>
            </w:r>
          </w:p>
          <w:p w14:paraId="1AC55886"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heme="minorHAnsi"/>
                <w:sz w:val="16"/>
                <w:szCs w:val="14"/>
              </w:rPr>
              <w:t xml:space="preserve">Practices should include the use of </w:t>
            </w:r>
            <w:r w:rsidRPr="00734A50">
              <w:rPr>
                <w:rFonts w:eastAsia="Calibri" w:cstheme="minorHAnsi"/>
                <w:b/>
                <w:bCs/>
                <w:sz w:val="16"/>
                <w:szCs w:val="14"/>
              </w:rPr>
              <w:t xml:space="preserve">structured lessons, clear and explicit instruction, effective questioning </w:t>
            </w:r>
            <w:r w:rsidRPr="00734A50">
              <w:rPr>
                <w:rFonts w:eastAsia="Calibri" w:cstheme="minorHAnsi"/>
                <w:sz w:val="16"/>
                <w:szCs w:val="14"/>
              </w:rPr>
              <w:t>that encourages participation,</w:t>
            </w:r>
            <w:r w:rsidRPr="00734A50">
              <w:rPr>
                <w:rFonts w:eastAsia="Calibri" w:cstheme="minorHAnsi"/>
                <w:b/>
                <w:bCs/>
                <w:sz w:val="16"/>
                <w:szCs w:val="14"/>
              </w:rPr>
              <w:t xml:space="preserve"> reducing cognitive load</w:t>
            </w:r>
            <w:r w:rsidRPr="00734A50">
              <w:rPr>
                <w:rFonts w:eastAsia="Calibri" w:cstheme="minorHAnsi"/>
                <w:sz w:val="16"/>
                <w:szCs w:val="14"/>
              </w:rPr>
              <w:t xml:space="preserve"> and </w:t>
            </w:r>
            <w:r w:rsidRPr="00734A50">
              <w:rPr>
                <w:rFonts w:eastAsia="Calibri" w:cstheme="minorHAnsi"/>
                <w:b/>
                <w:bCs/>
                <w:sz w:val="16"/>
                <w:szCs w:val="14"/>
              </w:rPr>
              <w:t>use of specific and positive feedback</w:t>
            </w:r>
            <w:r w:rsidRPr="00734A50">
              <w:rPr>
                <w:rFonts w:eastAsia="Calibri" w:cstheme="minorHAnsi"/>
                <w:sz w:val="16"/>
                <w:szCs w:val="14"/>
              </w:rPr>
              <w:t xml:space="preserve"> that acknowledges </w:t>
            </w:r>
            <w:r w:rsidRPr="00734A50">
              <w:rPr>
                <w:rFonts w:eastAsia="Calibri" w:cstheme="minorHAnsi"/>
                <w:b/>
                <w:bCs/>
                <w:sz w:val="16"/>
                <w:szCs w:val="14"/>
              </w:rPr>
              <w:t>student effort</w:t>
            </w:r>
            <w:r w:rsidRPr="00734A50">
              <w:rPr>
                <w:rFonts w:eastAsia="Calibri" w:cstheme="minorHAnsi"/>
                <w:sz w:val="16"/>
                <w:szCs w:val="14"/>
              </w:rPr>
              <w:t xml:space="preserve">. </w:t>
            </w:r>
          </w:p>
        </w:tc>
      </w:tr>
      <w:tr w:rsidR="008C3425" w:rsidRPr="00734A50" w14:paraId="01F89252" w14:textId="77777777">
        <w:tc>
          <w:tcPr>
            <w:cnfStyle w:val="001000000000" w:firstRow="0" w:lastRow="0" w:firstColumn="1" w:lastColumn="0" w:oddVBand="0" w:evenVBand="0" w:oddHBand="0" w:evenHBand="0" w:firstRowFirstColumn="0" w:firstRowLastColumn="0" w:lastRowFirstColumn="0" w:lastRowLastColumn="0"/>
            <w:tcW w:w="2686" w:type="dxa"/>
            <w:vMerge w:val="restart"/>
            <w:tcBorders>
              <w:left w:val="single" w:sz="4" w:space="0" w:color="EBAB12" w:themeColor="accent1"/>
            </w:tcBorders>
            <w:shd w:val="clear" w:color="auto" w:fill="FEEBB9" w:themeFill="accent2" w:themeFillTint="66"/>
          </w:tcPr>
          <w:p w14:paraId="35922DCE" w14:textId="77777777" w:rsidR="008C3425" w:rsidRPr="00734A50" w:rsidRDefault="008C3425">
            <w:pPr>
              <w:suppressAutoHyphens/>
              <w:spacing w:after="0"/>
              <w:rPr>
                <w:rFonts w:eastAsia="Calibri" w:cstheme="minorHAnsi"/>
                <w:color w:val="auto"/>
                <w:sz w:val="16"/>
                <w:szCs w:val="16"/>
                <w:lang w:val="en-US"/>
              </w:rPr>
            </w:pPr>
            <w:r w:rsidRPr="00734A50">
              <w:rPr>
                <w:rFonts w:cstheme="minorHAnsi"/>
                <w:color w:val="auto"/>
                <w:sz w:val="16"/>
                <w:szCs w:val="16"/>
                <w:lang w:val="en-US"/>
              </w:rPr>
              <w:t>An ability to practise and apply proactive practices, including setting high expectations, building positive relationships, providing structure, and setting ambitious, achievable and personalised goals.</w:t>
            </w:r>
          </w:p>
        </w:tc>
        <w:tc>
          <w:tcPr>
            <w:tcW w:w="6523" w:type="dxa"/>
            <w:shd w:val="clear" w:color="auto" w:fill="auto"/>
          </w:tcPr>
          <w:p w14:paraId="43F3FB32"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sz w:val="16"/>
                <w:szCs w:val="16"/>
              </w:rPr>
              <w:t xml:space="preserve">How to </w:t>
            </w:r>
            <w:r w:rsidRPr="00734A50">
              <w:rPr>
                <w:rFonts w:eastAsia="Calibri" w:cstheme="minorHAnsi"/>
                <w:b/>
                <w:bCs/>
                <w:sz w:val="16"/>
                <w:szCs w:val="16"/>
              </w:rPr>
              <w:t>effectively set ambitious and achievable student goals</w:t>
            </w:r>
            <w:r w:rsidRPr="00734A50">
              <w:rPr>
                <w:rFonts w:eastAsia="Calibri" w:cstheme="minorHAnsi"/>
                <w:sz w:val="16"/>
                <w:szCs w:val="16"/>
              </w:rPr>
              <w:t xml:space="preserve"> including how to </w:t>
            </w:r>
            <w:r w:rsidRPr="00734A50">
              <w:rPr>
                <w:rFonts w:eastAsia="Calibri" w:cstheme="minorHAnsi"/>
                <w:b/>
                <w:bCs/>
                <w:sz w:val="16"/>
                <w:szCs w:val="16"/>
              </w:rPr>
              <w:t>collaborate with students</w:t>
            </w:r>
            <w:r w:rsidRPr="00734A50">
              <w:rPr>
                <w:rFonts w:eastAsia="Calibri" w:cstheme="minorHAnsi"/>
                <w:sz w:val="16"/>
                <w:szCs w:val="16"/>
              </w:rPr>
              <w:t xml:space="preserve"> to set goals, and what </w:t>
            </w:r>
            <w:r w:rsidRPr="00734A50">
              <w:rPr>
                <w:rFonts w:eastAsia="Calibri" w:cstheme="minorHAnsi"/>
                <w:b/>
                <w:bCs/>
                <w:sz w:val="16"/>
                <w:szCs w:val="16"/>
              </w:rPr>
              <w:t>consistent and persistent reinforcement</w:t>
            </w:r>
            <w:r w:rsidRPr="00734A50">
              <w:rPr>
                <w:rFonts w:eastAsia="Calibri" w:cstheme="minorHAnsi"/>
                <w:sz w:val="16"/>
                <w:szCs w:val="16"/>
              </w:rPr>
              <w:t xml:space="preserve"> looks like in the classroom so that those goals can be realised.</w:t>
            </w:r>
          </w:p>
        </w:tc>
      </w:tr>
      <w:tr w:rsidR="008C3425" w:rsidRPr="00734A50" w14:paraId="4D570C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38120F82" w14:textId="77777777" w:rsidR="008C3425" w:rsidRPr="00734A50" w:rsidRDefault="008C3425">
            <w:pPr>
              <w:spacing w:before="160" w:after="0"/>
              <w:rPr>
                <w:rFonts w:eastAsia="Calibri" w:cstheme="minorHAnsi"/>
                <w:color w:val="auto"/>
                <w:sz w:val="16"/>
                <w:szCs w:val="16"/>
              </w:rPr>
            </w:pPr>
          </w:p>
        </w:tc>
        <w:tc>
          <w:tcPr>
            <w:tcW w:w="6523" w:type="dxa"/>
            <w:shd w:val="clear" w:color="auto" w:fill="auto"/>
          </w:tcPr>
          <w:p w14:paraId="27E9BF27"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4"/>
              </w:rPr>
            </w:pPr>
            <w:r w:rsidRPr="00734A50">
              <w:rPr>
                <w:rFonts w:eastAsia="Calibri" w:cstheme="minorHAnsi"/>
                <w:sz w:val="16"/>
                <w:szCs w:val="16"/>
              </w:rPr>
              <w:t xml:space="preserve">The </w:t>
            </w:r>
            <w:r w:rsidRPr="00734A50">
              <w:rPr>
                <w:rFonts w:eastAsia="Calibri" w:cstheme="minorHAnsi"/>
                <w:b/>
                <w:bCs/>
                <w:sz w:val="16"/>
                <w:szCs w:val="16"/>
              </w:rPr>
              <w:t>research evidence</w:t>
            </w:r>
            <w:r w:rsidRPr="00734A50">
              <w:rPr>
                <w:rFonts w:eastAsia="Calibri" w:cstheme="minorHAnsi"/>
                <w:sz w:val="16"/>
                <w:szCs w:val="16"/>
              </w:rPr>
              <w:t xml:space="preserve"> that shows the </w:t>
            </w:r>
            <w:r w:rsidRPr="00734A50">
              <w:rPr>
                <w:rFonts w:eastAsia="Calibri" w:cstheme="minorHAnsi"/>
                <w:b/>
                <w:bCs/>
                <w:sz w:val="16"/>
                <w:szCs w:val="16"/>
              </w:rPr>
              <w:t>positive impact of building positive relationships on classroom behaviour</w:t>
            </w:r>
            <w:r w:rsidRPr="00734A50">
              <w:rPr>
                <w:rFonts w:eastAsia="Calibri" w:cstheme="minorHAnsi"/>
                <w:sz w:val="16"/>
                <w:szCs w:val="16"/>
              </w:rPr>
              <w:t xml:space="preserve"> and </w:t>
            </w:r>
            <w:r w:rsidRPr="00734A50">
              <w:rPr>
                <w:rFonts w:eastAsia="Calibri" w:cstheme="minorHAnsi"/>
                <w:b/>
                <w:bCs/>
                <w:sz w:val="16"/>
                <w:szCs w:val="16"/>
              </w:rPr>
              <w:t>student outcomes</w:t>
            </w:r>
            <w:r w:rsidRPr="00734A50">
              <w:rPr>
                <w:rFonts w:eastAsia="Calibri" w:cstheme="minorHAnsi"/>
                <w:sz w:val="16"/>
                <w:szCs w:val="16"/>
              </w:rPr>
              <w:t>.</w:t>
            </w:r>
          </w:p>
        </w:tc>
      </w:tr>
      <w:tr w:rsidR="008C3425" w:rsidRPr="00734A50" w14:paraId="480F8CEA" w14:textId="77777777">
        <w:trPr>
          <w:trHeight w:val="451"/>
        </w:trPr>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1F7D6E88" w14:textId="77777777" w:rsidR="008C3425" w:rsidRPr="00734A50" w:rsidRDefault="008C3425">
            <w:pPr>
              <w:spacing w:after="0" w:line="300" w:lineRule="atLeast"/>
              <w:rPr>
                <w:rFonts w:eastAsia="Calibri" w:cstheme="minorHAnsi"/>
                <w:color w:val="auto"/>
                <w:sz w:val="16"/>
                <w:szCs w:val="16"/>
              </w:rPr>
            </w:pPr>
          </w:p>
        </w:tc>
        <w:tc>
          <w:tcPr>
            <w:tcW w:w="6523" w:type="dxa"/>
            <w:shd w:val="clear" w:color="auto" w:fill="auto"/>
          </w:tcPr>
          <w:p w14:paraId="2A06203D"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sz w:val="16"/>
                <w:szCs w:val="16"/>
              </w:rPr>
              <w:t xml:space="preserve">How to </w:t>
            </w:r>
            <w:r w:rsidRPr="00734A50">
              <w:rPr>
                <w:rFonts w:eastAsia="Calibri" w:cstheme="minorHAnsi"/>
                <w:b/>
                <w:bCs/>
                <w:sz w:val="16"/>
                <w:szCs w:val="16"/>
              </w:rPr>
              <w:t>plan and implement practices that create a predictable and safe environment for students</w:t>
            </w:r>
            <w:r w:rsidRPr="00734A50">
              <w:rPr>
                <w:rFonts w:eastAsia="Calibri" w:cstheme="minorHAnsi"/>
                <w:sz w:val="16"/>
                <w:szCs w:val="16"/>
              </w:rPr>
              <w:t xml:space="preserve"> </w:t>
            </w:r>
            <w:r w:rsidRPr="00734A50">
              <w:rPr>
                <w:rFonts w:eastAsia="Calibri" w:cstheme="minorHAnsi"/>
                <w:b/>
                <w:bCs/>
                <w:sz w:val="16"/>
                <w:szCs w:val="16"/>
              </w:rPr>
              <w:t>by reducing variance</w:t>
            </w:r>
            <w:r w:rsidRPr="00734A50">
              <w:rPr>
                <w:rFonts w:eastAsia="Calibri" w:cstheme="minorHAnsi"/>
                <w:sz w:val="16"/>
                <w:szCs w:val="16"/>
              </w:rPr>
              <w:t xml:space="preserve"> in classroom environment – for example, classroom arrangement, consistent location of prompts, consistent use of space, visible rules, and routines.</w:t>
            </w:r>
          </w:p>
        </w:tc>
      </w:tr>
      <w:tr w:rsidR="008C3425" w:rsidRPr="00734A50" w14:paraId="3BF3E35F" w14:textId="77777777">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686" w:type="dxa"/>
            <w:vMerge w:val="restart"/>
            <w:tcBorders>
              <w:left w:val="single" w:sz="4" w:space="0" w:color="EBAB12" w:themeColor="accent1"/>
            </w:tcBorders>
            <w:shd w:val="clear" w:color="auto" w:fill="FEEBB9" w:themeFill="accent2" w:themeFillTint="66"/>
          </w:tcPr>
          <w:p w14:paraId="179DD529" w14:textId="77777777" w:rsidR="008C3425" w:rsidRPr="00734A50" w:rsidRDefault="008C3425">
            <w:pPr>
              <w:suppressAutoHyphens/>
              <w:spacing w:before="160" w:after="0"/>
              <w:rPr>
                <w:rFonts w:cstheme="minorHAnsi"/>
                <w:color w:val="auto"/>
                <w:sz w:val="16"/>
                <w:szCs w:val="16"/>
                <w:lang w:val="en-US"/>
              </w:rPr>
            </w:pPr>
            <w:r w:rsidRPr="00734A50">
              <w:rPr>
                <w:rFonts w:cstheme="minorHAnsi"/>
                <w:color w:val="auto"/>
                <w:sz w:val="16"/>
                <w:szCs w:val="16"/>
                <w:lang w:val="en-US"/>
              </w:rPr>
              <w:t xml:space="preserve">An ability to practise and apply techniques that positively and effectively manage behaviour in classroom contexts, including the use of calm, consistent and proportional responses, behaviour modelling and feedback that gives attention to the desired behaviour rather than the undesired behaviour. </w:t>
            </w:r>
          </w:p>
        </w:tc>
        <w:tc>
          <w:tcPr>
            <w:tcW w:w="6523" w:type="dxa"/>
          </w:tcPr>
          <w:p w14:paraId="1D074BCE"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b/>
                <w:u w:val="single"/>
              </w:rPr>
            </w:pPr>
            <w:r w:rsidRPr="00734A50">
              <w:rPr>
                <w:b/>
                <w:sz w:val="20"/>
                <w:szCs w:val="20"/>
                <w:u w:val="single"/>
              </w:rPr>
              <w:t>Managing behaviour</w:t>
            </w:r>
          </w:p>
        </w:tc>
      </w:tr>
      <w:tr w:rsidR="008C3425" w:rsidRPr="00734A50" w14:paraId="5D3E5307" w14:textId="77777777">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16667C92" w14:textId="77777777" w:rsidR="008C3425" w:rsidRPr="00734A50" w:rsidRDefault="008C3425">
            <w:pPr>
              <w:spacing w:after="0" w:line="300" w:lineRule="atLeast"/>
              <w:rPr>
                <w:rFonts w:eastAsia="Calibri" w:cstheme="minorHAnsi"/>
                <w:color w:val="auto"/>
                <w:sz w:val="16"/>
                <w:szCs w:val="16"/>
              </w:rPr>
            </w:pPr>
          </w:p>
        </w:tc>
        <w:tc>
          <w:tcPr>
            <w:tcW w:w="6523" w:type="dxa"/>
            <w:shd w:val="clear" w:color="auto" w:fill="auto"/>
          </w:tcPr>
          <w:p w14:paraId="74C5A455"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734A50">
              <w:rPr>
                <w:rFonts w:eastAsia="Calibri"/>
                <w:sz w:val="16"/>
                <w:szCs w:val="16"/>
              </w:rPr>
              <w:t xml:space="preserve">The research evidence that shows why </w:t>
            </w:r>
            <w:r w:rsidRPr="00734A50">
              <w:rPr>
                <w:rFonts w:eastAsia="Calibri"/>
                <w:b/>
                <w:sz w:val="16"/>
                <w:szCs w:val="16"/>
              </w:rPr>
              <w:t>consistent and proportional responses to student behaviour</w:t>
            </w:r>
            <w:r w:rsidRPr="00734A50">
              <w:rPr>
                <w:rFonts w:eastAsia="Calibri"/>
                <w:sz w:val="16"/>
                <w:szCs w:val="16"/>
              </w:rPr>
              <w:t xml:space="preserve"> to reinforce expectations and maintain safety is most effective when paired with </w:t>
            </w:r>
            <w:r w:rsidRPr="00734A50">
              <w:rPr>
                <w:rFonts w:eastAsia="Calibri"/>
                <w:b/>
                <w:bCs/>
                <w:sz w:val="16"/>
                <w:szCs w:val="16"/>
              </w:rPr>
              <w:t xml:space="preserve">verbal and non-verbal </w:t>
            </w:r>
            <w:r w:rsidRPr="00734A50">
              <w:rPr>
                <w:rFonts w:eastAsia="Calibri"/>
                <w:b/>
                <w:sz w:val="16"/>
                <w:szCs w:val="16"/>
              </w:rPr>
              <w:t>calm, expected, and escalating responses</w:t>
            </w:r>
            <w:r w:rsidRPr="00734A50">
              <w:rPr>
                <w:rFonts w:eastAsia="Calibri"/>
                <w:bCs/>
                <w:sz w:val="16"/>
                <w:szCs w:val="16"/>
              </w:rPr>
              <w:t>.</w:t>
            </w:r>
          </w:p>
        </w:tc>
      </w:tr>
      <w:tr w:rsidR="008C3425" w:rsidRPr="00734A50" w14:paraId="6C12C8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3B042104" w14:textId="77777777" w:rsidR="008C3425" w:rsidRPr="00734A50" w:rsidRDefault="008C3425">
            <w:pPr>
              <w:spacing w:after="0" w:line="300" w:lineRule="atLeast"/>
              <w:rPr>
                <w:rFonts w:eastAsia="Calibri" w:cstheme="minorHAnsi"/>
                <w:color w:val="auto"/>
                <w:sz w:val="16"/>
                <w:szCs w:val="16"/>
              </w:rPr>
            </w:pPr>
          </w:p>
        </w:tc>
        <w:tc>
          <w:tcPr>
            <w:tcW w:w="6523" w:type="dxa"/>
            <w:shd w:val="clear" w:color="auto" w:fill="auto"/>
          </w:tcPr>
          <w:p w14:paraId="28735864"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rFonts w:eastAsia="Calibri"/>
                <w:sz w:val="16"/>
                <w:szCs w:val="16"/>
              </w:rPr>
            </w:pPr>
            <w:r w:rsidRPr="00734A50">
              <w:rPr>
                <w:rFonts w:eastAsia="Calibri"/>
                <w:sz w:val="16"/>
                <w:szCs w:val="16"/>
              </w:rPr>
              <w:t xml:space="preserve">How to </w:t>
            </w:r>
            <w:r w:rsidRPr="00734A50">
              <w:rPr>
                <w:rFonts w:eastAsia="Calibri"/>
                <w:b/>
                <w:bCs/>
                <w:sz w:val="16"/>
                <w:szCs w:val="16"/>
              </w:rPr>
              <w:t xml:space="preserve">effectively model desired behaviour </w:t>
            </w:r>
            <w:r w:rsidRPr="00734A50">
              <w:rPr>
                <w:rFonts w:eastAsia="Calibri"/>
                <w:sz w:val="16"/>
                <w:szCs w:val="16"/>
              </w:rPr>
              <w:t>(such as respectful interactions, being organised, and</w:t>
            </w:r>
            <w:r w:rsidRPr="00734A50">
              <w:rPr>
                <w:rFonts w:eastAsia="Calibri"/>
                <w:b/>
                <w:bCs/>
                <w:sz w:val="16"/>
                <w:szCs w:val="16"/>
              </w:rPr>
              <w:t xml:space="preserve"> </w:t>
            </w:r>
            <w:r w:rsidRPr="00734A50">
              <w:rPr>
                <w:rFonts w:eastAsia="Calibri"/>
                <w:sz w:val="16"/>
                <w:szCs w:val="16"/>
              </w:rPr>
              <w:t xml:space="preserve">being on time) and how to explicitly point to this modelling to </w:t>
            </w:r>
            <w:r w:rsidRPr="00734A50">
              <w:rPr>
                <w:rFonts w:eastAsia="Calibri"/>
                <w:b/>
                <w:bCs/>
                <w:sz w:val="16"/>
                <w:szCs w:val="16"/>
              </w:rPr>
              <w:t>prompt positive behaviour by setting and reinforcing expectations</w:t>
            </w:r>
            <w:r w:rsidRPr="00734A50">
              <w:rPr>
                <w:rFonts w:eastAsia="Calibri"/>
                <w:sz w:val="16"/>
                <w:szCs w:val="16"/>
              </w:rPr>
              <w:t>.</w:t>
            </w:r>
          </w:p>
        </w:tc>
      </w:tr>
      <w:tr w:rsidR="008C3425" w:rsidRPr="00734A50" w14:paraId="0D3A89F7" w14:textId="77777777">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279623A4" w14:textId="77777777" w:rsidR="008C3425" w:rsidRPr="00734A50" w:rsidRDefault="008C3425">
            <w:pPr>
              <w:spacing w:after="0"/>
              <w:rPr>
                <w:rFonts w:eastAsia="Calibri" w:cstheme="minorHAnsi"/>
                <w:color w:val="auto"/>
                <w:sz w:val="16"/>
                <w:szCs w:val="16"/>
              </w:rPr>
            </w:pPr>
          </w:p>
        </w:tc>
        <w:tc>
          <w:tcPr>
            <w:tcW w:w="6523" w:type="dxa"/>
            <w:shd w:val="clear" w:color="auto" w:fill="auto"/>
          </w:tcPr>
          <w:p w14:paraId="45E21488"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734A50">
              <w:rPr>
                <w:rFonts w:eastAsia="Calibri"/>
                <w:sz w:val="16"/>
                <w:szCs w:val="16"/>
              </w:rPr>
              <w:t xml:space="preserve">How to </w:t>
            </w:r>
            <w:r w:rsidRPr="00734A50">
              <w:rPr>
                <w:rFonts w:eastAsia="Calibri"/>
                <w:b/>
                <w:sz w:val="16"/>
                <w:szCs w:val="16"/>
              </w:rPr>
              <w:t xml:space="preserve">pre-plan and rehearse responses </w:t>
            </w:r>
            <w:r w:rsidRPr="00734A50">
              <w:rPr>
                <w:rFonts w:eastAsia="Calibri"/>
                <w:sz w:val="16"/>
                <w:szCs w:val="16"/>
              </w:rPr>
              <w:t xml:space="preserve">including the use of early intervention techniques such as </w:t>
            </w:r>
            <w:r w:rsidRPr="00734A50">
              <w:rPr>
                <w:rFonts w:eastAsia="Calibri"/>
                <w:b/>
                <w:bCs/>
                <w:sz w:val="16"/>
                <w:szCs w:val="16"/>
              </w:rPr>
              <w:t>simple prompts, pre-corrections</w:t>
            </w:r>
            <w:r w:rsidRPr="00734A50">
              <w:rPr>
                <w:rFonts w:eastAsia="Calibri"/>
                <w:sz w:val="16"/>
                <w:szCs w:val="16"/>
              </w:rPr>
              <w:t xml:space="preserve"> and </w:t>
            </w:r>
            <w:r w:rsidRPr="00734A50">
              <w:rPr>
                <w:rFonts w:eastAsia="Calibri"/>
                <w:b/>
                <w:bCs/>
                <w:sz w:val="16"/>
                <w:szCs w:val="16"/>
              </w:rPr>
              <w:t xml:space="preserve">verbal feedback, which </w:t>
            </w:r>
            <w:r w:rsidRPr="00734A50">
              <w:rPr>
                <w:rFonts w:eastAsia="Calibri"/>
                <w:b/>
                <w:sz w:val="16"/>
                <w:szCs w:val="16"/>
              </w:rPr>
              <w:t>reinforce high expectations</w:t>
            </w:r>
            <w:r w:rsidRPr="00734A50">
              <w:rPr>
                <w:rFonts w:eastAsia="Calibri"/>
                <w:sz w:val="16"/>
                <w:szCs w:val="16"/>
              </w:rPr>
              <w:t xml:space="preserve"> in the classroom </w:t>
            </w:r>
            <w:r w:rsidRPr="00734A50">
              <w:rPr>
                <w:rFonts w:eastAsia="Calibri"/>
                <w:bCs/>
                <w:sz w:val="16"/>
                <w:szCs w:val="16"/>
              </w:rPr>
              <w:t>and which</w:t>
            </w:r>
            <w:r w:rsidRPr="00734A50" w:rsidDel="726273FF">
              <w:rPr>
                <w:rFonts w:eastAsia="Calibri"/>
                <w:b/>
                <w:sz w:val="16"/>
                <w:szCs w:val="16"/>
              </w:rPr>
              <w:t xml:space="preserve"> </w:t>
            </w:r>
            <w:r w:rsidRPr="00734A50">
              <w:rPr>
                <w:rFonts w:eastAsia="Calibri"/>
                <w:sz w:val="16"/>
                <w:szCs w:val="16"/>
              </w:rPr>
              <w:t>focus on expected behaviour. Opportunities should also be provided to practise in a practicum setting.</w:t>
            </w:r>
          </w:p>
        </w:tc>
      </w:tr>
      <w:tr w:rsidR="008C3425" w:rsidRPr="00734A50" w14:paraId="7848BC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vMerge w:val="restart"/>
            <w:tcBorders>
              <w:left w:val="single" w:sz="4" w:space="0" w:color="EBAB12" w:themeColor="accent1"/>
            </w:tcBorders>
            <w:shd w:val="clear" w:color="auto" w:fill="FEEBB9" w:themeFill="accent2" w:themeFillTint="66"/>
          </w:tcPr>
          <w:p w14:paraId="19CB7311" w14:textId="77777777" w:rsidR="008C3425" w:rsidRPr="00734A50" w:rsidRDefault="008C3425">
            <w:pPr>
              <w:suppressAutoHyphens/>
              <w:spacing w:after="0"/>
              <w:rPr>
                <w:rFonts w:eastAsia="Calibri" w:cstheme="minorHAnsi"/>
                <w:color w:val="auto"/>
                <w:sz w:val="16"/>
                <w:szCs w:val="16"/>
                <w:lang w:val="en-US"/>
              </w:rPr>
            </w:pPr>
            <w:r w:rsidRPr="00734A50">
              <w:rPr>
                <w:rFonts w:eastAsia="Calibri" w:cstheme="minorHAnsi"/>
                <w:color w:val="auto"/>
                <w:sz w:val="16"/>
                <w:szCs w:val="16"/>
                <w:lang w:val="en-US"/>
              </w:rPr>
              <w:t>A foundational understanding of common whole-school behaviour frameworks</w:t>
            </w:r>
          </w:p>
        </w:tc>
        <w:tc>
          <w:tcPr>
            <w:tcW w:w="6523" w:type="dxa"/>
          </w:tcPr>
          <w:p w14:paraId="2D0A1EB4" w14:textId="77777777" w:rsidR="008C3425" w:rsidRPr="00734A50" w:rsidRDefault="008C3425">
            <w:pPr>
              <w:spacing w:after="0"/>
              <w:cnfStyle w:val="000000100000" w:firstRow="0" w:lastRow="0" w:firstColumn="0" w:lastColumn="0" w:oddVBand="0" w:evenVBand="0" w:oddHBand="1" w:evenHBand="0" w:firstRowFirstColumn="0" w:firstRowLastColumn="0" w:lastRowFirstColumn="0" w:lastRowLastColumn="0"/>
              <w:rPr>
                <w:b/>
                <w:u w:val="single"/>
              </w:rPr>
            </w:pPr>
            <w:r w:rsidRPr="00734A50">
              <w:rPr>
                <w:b/>
                <w:sz w:val="20"/>
                <w:szCs w:val="20"/>
                <w:u w:val="single"/>
              </w:rPr>
              <w:t>Whole-school behaviour frameworks</w:t>
            </w:r>
          </w:p>
        </w:tc>
      </w:tr>
      <w:tr w:rsidR="008C3425" w:rsidRPr="00734A50" w14:paraId="0E44BB3B" w14:textId="77777777">
        <w:tc>
          <w:tcPr>
            <w:cnfStyle w:val="001000000000" w:firstRow="0" w:lastRow="0" w:firstColumn="1" w:lastColumn="0" w:oddVBand="0" w:evenVBand="0" w:oddHBand="0" w:evenHBand="0" w:firstRowFirstColumn="0" w:firstRowLastColumn="0" w:lastRowFirstColumn="0" w:lastRowLastColumn="0"/>
            <w:tcW w:w="2686" w:type="dxa"/>
            <w:vMerge/>
            <w:tcBorders>
              <w:left w:val="single" w:sz="4" w:space="0" w:color="EBAB12" w:themeColor="accent1"/>
            </w:tcBorders>
            <w:shd w:val="clear" w:color="auto" w:fill="FEEBB9" w:themeFill="accent2" w:themeFillTint="66"/>
          </w:tcPr>
          <w:p w14:paraId="1980D7E7" w14:textId="77777777" w:rsidR="008C3425" w:rsidRPr="00734A50" w:rsidRDefault="008C3425">
            <w:pPr>
              <w:spacing w:after="0"/>
              <w:rPr>
                <w:rFonts w:eastAsia="Calibri" w:cstheme="minorHAnsi"/>
                <w:color w:val="auto"/>
                <w:sz w:val="16"/>
                <w:szCs w:val="16"/>
              </w:rPr>
            </w:pPr>
          </w:p>
        </w:tc>
        <w:tc>
          <w:tcPr>
            <w:tcW w:w="6523" w:type="dxa"/>
            <w:shd w:val="clear" w:color="auto" w:fill="auto"/>
          </w:tcPr>
          <w:p w14:paraId="7EE76619" w14:textId="77777777" w:rsidR="008C3425" w:rsidRPr="00734A50" w:rsidRDefault="008C3425">
            <w:pPr>
              <w:spacing w:after="0"/>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734A50">
              <w:rPr>
                <w:rFonts w:eastAsia="Calibri"/>
                <w:sz w:val="16"/>
                <w:szCs w:val="16"/>
              </w:rPr>
              <w:t>Examples of common ‘</w:t>
            </w:r>
            <w:r w:rsidRPr="00734A50">
              <w:rPr>
                <w:rFonts w:eastAsia="Calibri"/>
                <w:b/>
                <w:sz w:val="16"/>
                <w:szCs w:val="16"/>
              </w:rPr>
              <w:t>whole school approaches</w:t>
            </w:r>
            <w:r w:rsidRPr="00734A50">
              <w:rPr>
                <w:rFonts w:eastAsia="Calibri"/>
                <w:bCs/>
                <w:sz w:val="16"/>
                <w:szCs w:val="16"/>
              </w:rPr>
              <w:t>’</w:t>
            </w:r>
            <w:r w:rsidRPr="00734A50">
              <w:rPr>
                <w:rFonts w:eastAsia="Calibri"/>
                <w:sz w:val="16"/>
                <w:szCs w:val="16"/>
              </w:rPr>
              <w:t xml:space="preserve">, processes or frameworks for </w:t>
            </w:r>
            <w:r w:rsidRPr="00734A50">
              <w:rPr>
                <w:rFonts w:eastAsia="Calibri"/>
                <w:b/>
                <w:sz w:val="16"/>
                <w:szCs w:val="16"/>
              </w:rPr>
              <w:t>positive behaviour</w:t>
            </w:r>
            <w:r w:rsidRPr="00734A50">
              <w:rPr>
                <w:rFonts w:eastAsia="Calibri"/>
                <w:sz w:val="16"/>
                <w:szCs w:val="16"/>
              </w:rPr>
              <w:t xml:space="preserve"> and how a teacher engages effectively with these frameworks.</w:t>
            </w:r>
          </w:p>
        </w:tc>
      </w:tr>
      <w:tr w:rsidR="008C3425" w:rsidRPr="00734A50" w14:paraId="1B9BB049" w14:textId="77777777">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9209" w:type="dxa"/>
            <w:gridSpan w:val="2"/>
            <w:tcBorders>
              <w:left w:val="single" w:sz="4" w:space="0" w:color="EBAB12" w:themeColor="accent1"/>
            </w:tcBorders>
          </w:tcPr>
          <w:p w14:paraId="7DCF7A81" w14:textId="77777777" w:rsidR="008C3425" w:rsidRPr="00734A50" w:rsidRDefault="008C3425">
            <w:pPr>
              <w:spacing w:after="0"/>
              <w:rPr>
                <w:rFonts w:eastAsia="Calibri" w:cstheme="minorHAnsi"/>
                <w:color w:val="auto"/>
                <w:sz w:val="24"/>
                <w:szCs w:val="24"/>
              </w:rPr>
            </w:pPr>
            <w:r w:rsidRPr="00734A50">
              <w:rPr>
                <w:rFonts w:eastAsia="Calibri" w:cstheme="minorHAnsi"/>
                <w:color w:val="auto"/>
                <w:sz w:val="24"/>
                <w:szCs w:val="24"/>
              </w:rPr>
              <w:t>Key references</w:t>
            </w:r>
          </w:p>
        </w:tc>
      </w:tr>
      <w:tr w:rsidR="008C3425" w:rsidRPr="00734A50" w14:paraId="2D210CB5" w14:textId="77777777">
        <w:trPr>
          <w:trHeight w:val="451"/>
        </w:trPr>
        <w:tc>
          <w:tcPr>
            <w:cnfStyle w:val="001000000000" w:firstRow="0" w:lastRow="0" w:firstColumn="1" w:lastColumn="0" w:oddVBand="0" w:evenVBand="0" w:oddHBand="0" w:evenHBand="0" w:firstRowFirstColumn="0" w:firstRowLastColumn="0" w:lastRowFirstColumn="0" w:lastRowLastColumn="0"/>
            <w:tcW w:w="9209" w:type="dxa"/>
            <w:gridSpan w:val="2"/>
            <w:tcBorders>
              <w:left w:val="single" w:sz="4" w:space="0" w:color="EBAB12" w:themeColor="accent1"/>
              <w:bottom w:val="single" w:sz="4" w:space="0" w:color="EBAB12" w:themeColor="accent1"/>
            </w:tcBorders>
            <w:shd w:val="clear" w:color="auto" w:fill="auto"/>
          </w:tcPr>
          <w:p w14:paraId="3EC69917" w14:textId="7777777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lastRenderedPageBreak/>
              <w:t xml:space="preserve">Alter P and Haydon T (2017) Characteristics of Effective Classroom Rules: A Review of the Literature, </w:t>
            </w:r>
            <w:r w:rsidRPr="00734A50">
              <w:rPr>
                <w:rFonts w:cstheme="minorHAnsi"/>
                <w:b w:val="0"/>
                <w:iCs/>
                <w:color w:val="auto"/>
                <w:sz w:val="16"/>
                <w:szCs w:val="14"/>
              </w:rPr>
              <w:t>Teacher Education and Special Education, 40(2):114–127.</w:t>
            </w:r>
          </w:p>
          <w:p w14:paraId="63EBE683" w14:textId="03BA0015"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CESE (Centre for Education Statistics and Evaluation) (2020) </w:t>
            </w:r>
            <w:r w:rsidRPr="00734A50">
              <w:rPr>
                <w:rFonts w:cstheme="minorHAnsi"/>
                <w:b w:val="0"/>
                <w:iCs/>
                <w:color w:val="auto"/>
                <w:sz w:val="16"/>
                <w:szCs w:val="14"/>
              </w:rPr>
              <w:t>Classroom management: Creating and maintaining positive learning environments</w:t>
            </w:r>
            <w:r w:rsidRPr="00734A50">
              <w:rPr>
                <w:rFonts w:cstheme="minorHAnsi"/>
                <w:b w:val="0"/>
                <w:color w:val="auto"/>
                <w:sz w:val="16"/>
                <w:szCs w:val="14"/>
              </w:rPr>
              <w:t>.</w:t>
            </w:r>
          </w:p>
          <w:p w14:paraId="6BF723A7"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Chaffee RK, Briesch AM, Johnson AH and Volpe RJ (2017) A Meta-Analysis of Class-Wide Interventions for Supporting Student Behavior, </w:t>
            </w:r>
            <w:r w:rsidRPr="00734A50">
              <w:rPr>
                <w:rFonts w:cstheme="minorHAnsi"/>
                <w:b w:val="0"/>
                <w:iCs/>
                <w:color w:val="auto"/>
                <w:sz w:val="16"/>
                <w:szCs w:val="14"/>
              </w:rPr>
              <w:t>School Psychology Review</w:t>
            </w:r>
            <w:r w:rsidRPr="00734A50">
              <w:rPr>
                <w:rFonts w:cstheme="minorHAnsi"/>
                <w:b w:val="0"/>
                <w:color w:val="auto"/>
                <w:sz w:val="16"/>
                <w:szCs w:val="14"/>
              </w:rPr>
              <w:t>, 46(2):149–164.</w:t>
            </w:r>
          </w:p>
          <w:p w14:paraId="031FA55F" w14:textId="241182BF"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Darren Moore, Simon Benham-Clarke, Ralphy Kenchington, Chris Boyle, Tamsin Ford, Rachel Hayes, and Morwenna Rogers (2019) </w:t>
            </w:r>
            <w:r w:rsidRPr="00734A50">
              <w:rPr>
                <w:rFonts w:cstheme="minorHAnsi"/>
                <w:b w:val="0"/>
                <w:iCs/>
                <w:color w:val="auto"/>
                <w:sz w:val="16"/>
                <w:szCs w:val="14"/>
              </w:rPr>
              <w:t>Improving Behaviour in Schools: Evidence Review,</w:t>
            </w:r>
            <w:r w:rsidRPr="00734A50">
              <w:rPr>
                <w:rFonts w:cstheme="minorHAnsi"/>
                <w:b w:val="0"/>
                <w:color w:val="auto"/>
                <w:sz w:val="16"/>
                <w:szCs w:val="14"/>
              </w:rPr>
              <w:t xml:space="preserve"> Graduate School of Education, University of Exeter.</w:t>
            </w:r>
          </w:p>
          <w:p w14:paraId="7017EFF8" w14:textId="77777777" w:rsidR="008C3425" w:rsidRPr="00734A50" w:rsidRDefault="008C3425">
            <w:pPr>
              <w:pStyle w:val="ListBullet"/>
              <w:spacing w:line="240" w:lineRule="auto"/>
              <w:ind w:left="357" w:hanging="357"/>
              <w:rPr>
                <w:rFonts w:cstheme="minorHAnsi"/>
                <w:b w:val="0"/>
                <w:iCs/>
                <w:color w:val="auto"/>
                <w:sz w:val="16"/>
                <w:szCs w:val="14"/>
              </w:rPr>
            </w:pPr>
            <w:r w:rsidRPr="00734A50">
              <w:rPr>
                <w:rFonts w:cstheme="minorHAnsi"/>
                <w:b w:val="0"/>
                <w:color w:val="auto"/>
                <w:sz w:val="16"/>
                <w:szCs w:val="14"/>
              </w:rPr>
              <w:t xml:space="preserve">Ennis R, Royer D, Lane K and Griffith C (2017) A Systematic Review of Precorrection in PK-12 Settings, </w:t>
            </w:r>
            <w:r w:rsidRPr="00734A50">
              <w:rPr>
                <w:rFonts w:cstheme="minorHAnsi"/>
                <w:b w:val="0"/>
                <w:iCs/>
                <w:color w:val="auto"/>
                <w:sz w:val="16"/>
                <w:szCs w:val="14"/>
              </w:rPr>
              <w:t>Education and Treatment of Children, 40:465–495.</w:t>
            </w:r>
          </w:p>
          <w:p w14:paraId="615E01B8"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Pashler H (1994) Dual-task interference in simple tasks: Data and theory, Psychological Bulletin, 116(2):220–244. </w:t>
            </w:r>
          </w:p>
          <w:p w14:paraId="6E74CDBA"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Rubie-Davies CM, Weinstein RS, Huang FL, Gregory A, Cowan PA and Cowan CP (2014) Successive teacher expectation effects across the early school years, Journal of Applied Developmental Psychology, 35(3):181–191. </w:t>
            </w:r>
          </w:p>
          <w:p w14:paraId="12054944"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Simonsen B, Fairbanks S, Briesch A, Myers D and Sugai G (2008) Evidence-based practices in classroom management: Considerations for research to practice, </w:t>
            </w:r>
            <w:r w:rsidRPr="00734A50">
              <w:rPr>
                <w:rFonts w:cstheme="minorHAnsi"/>
                <w:b w:val="0"/>
                <w:iCs/>
                <w:color w:val="auto"/>
                <w:sz w:val="16"/>
                <w:szCs w:val="14"/>
              </w:rPr>
              <w:t>Education &amp; Treatment of Children</w:t>
            </w:r>
            <w:r w:rsidRPr="00734A50">
              <w:rPr>
                <w:rFonts w:cstheme="minorHAnsi"/>
                <w:b w:val="0"/>
                <w:color w:val="auto"/>
                <w:sz w:val="16"/>
                <w:szCs w:val="14"/>
              </w:rPr>
              <w:t>, 31:351–380.</w:t>
            </w:r>
          </w:p>
          <w:p w14:paraId="6FD8705F"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Summerfield C and Egner T (2009) Expectation (and attention) in visual cognition, Trends in Cognitive Science, 13(9):403–9.</w:t>
            </w:r>
          </w:p>
          <w:p w14:paraId="5D5BCEF7" w14:textId="4FB0CAC1"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Valdebenito S, Eisner M, Farrington DP, Ttofi MM and Sutherland A (2018) School-based interventions for reducing disciplinary school exclusion: a systematic review, </w:t>
            </w:r>
            <w:r w:rsidRPr="00734A50">
              <w:rPr>
                <w:rFonts w:cstheme="minorHAnsi"/>
                <w:b w:val="0"/>
                <w:iCs/>
                <w:color w:val="auto"/>
                <w:sz w:val="16"/>
                <w:szCs w:val="14"/>
              </w:rPr>
              <w:t>Campbell Systematic Reviews</w:t>
            </w:r>
            <w:r w:rsidRPr="00734A50">
              <w:rPr>
                <w:rFonts w:cstheme="minorHAnsi"/>
                <w:b w:val="0"/>
                <w:color w:val="auto"/>
                <w:sz w:val="16"/>
                <w:szCs w:val="14"/>
              </w:rPr>
              <w:t>, 14(1</w:t>
            </w:r>
            <w:r w:rsidR="00850BEE" w:rsidRPr="00734A50">
              <w:rPr>
                <w:rFonts w:cstheme="minorHAnsi"/>
                <w:b w:val="0"/>
                <w:color w:val="auto"/>
                <w:sz w:val="16"/>
                <w:szCs w:val="14"/>
              </w:rPr>
              <w:t>): i</w:t>
            </w:r>
            <w:r w:rsidRPr="00734A50">
              <w:rPr>
                <w:rFonts w:cstheme="minorHAnsi"/>
                <w:b w:val="0"/>
                <w:color w:val="auto"/>
                <w:sz w:val="16"/>
                <w:szCs w:val="14"/>
              </w:rPr>
              <w:t>–216.</w:t>
            </w:r>
          </w:p>
          <w:p w14:paraId="261FCDA5" w14:textId="77777777" w:rsidR="008C3425" w:rsidRPr="00734A50" w:rsidRDefault="008C3425">
            <w:pPr>
              <w:pStyle w:val="ListBullet"/>
              <w:spacing w:line="240" w:lineRule="auto"/>
              <w:ind w:left="357" w:hanging="357"/>
              <w:rPr>
                <w:rFonts w:cstheme="minorHAnsi"/>
                <w:b w:val="0"/>
                <w:color w:val="auto"/>
                <w:sz w:val="16"/>
                <w:szCs w:val="14"/>
              </w:rPr>
            </w:pPr>
            <w:r w:rsidRPr="00734A50">
              <w:rPr>
                <w:rFonts w:cstheme="minorHAnsi"/>
                <w:b w:val="0"/>
                <w:color w:val="auto"/>
                <w:sz w:val="16"/>
                <w:szCs w:val="14"/>
              </w:rPr>
              <w:t xml:space="preserve">Wannarak R and Ruhl K (2008) Seating arrangements that promote positive academic and behavioural outcomes: A review of empirical research, </w:t>
            </w:r>
            <w:r w:rsidRPr="00734A50">
              <w:rPr>
                <w:rFonts w:cstheme="minorHAnsi"/>
                <w:b w:val="0"/>
                <w:i/>
                <w:color w:val="auto"/>
                <w:sz w:val="16"/>
                <w:szCs w:val="14"/>
              </w:rPr>
              <w:t>Support for Learning</w:t>
            </w:r>
            <w:r w:rsidRPr="00734A50">
              <w:rPr>
                <w:rFonts w:cstheme="minorHAnsi"/>
                <w:b w:val="0"/>
                <w:color w:val="auto"/>
                <w:sz w:val="16"/>
                <w:szCs w:val="14"/>
              </w:rPr>
              <w:t>, 23:89–93.</w:t>
            </w:r>
          </w:p>
        </w:tc>
      </w:tr>
    </w:tbl>
    <w:p w14:paraId="67F14675" w14:textId="77777777" w:rsidR="008C3425" w:rsidRPr="00734A50" w:rsidRDefault="008C3425" w:rsidP="008C3425">
      <w:pPr>
        <w:spacing w:after="160" w:line="259" w:lineRule="auto"/>
        <w:rPr>
          <w:sz w:val="32"/>
          <w:szCs w:val="24"/>
          <w:lang w:eastAsia="en-AU"/>
        </w:rPr>
      </w:pPr>
      <w:r w:rsidRPr="00734A50">
        <w:rPr>
          <w:sz w:val="32"/>
          <w:szCs w:val="24"/>
          <w:lang w:eastAsia="en-AU"/>
        </w:rPr>
        <w:br w:type="page"/>
      </w:r>
    </w:p>
    <w:p w14:paraId="2E28D404" w14:textId="77777777" w:rsidR="008C3425" w:rsidRPr="00734A50" w:rsidRDefault="008C3425" w:rsidP="008C3425">
      <w:pPr>
        <w:pStyle w:val="HeadingTable"/>
        <w:numPr>
          <w:ilvl w:val="0"/>
          <w:numId w:val="0"/>
        </w:numPr>
        <w:ind w:left="360" w:hanging="360"/>
        <w:rPr>
          <w:sz w:val="22"/>
          <w:szCs w:val="28"/>
        </w:rPr>
      </w:pPr>
      <w:r w:rsidRPr="00734A50">
        <w:rPr>
          <w:sz w:val="22"/>
          <w:szCs w:val="28"/>
        </w:rPr>
        <w:lastRenderedPageBreak/>
        <w:t>Table D4: Core Content 4</w:t>
      </w:r>
    </w:p>
    <w:tbl>
      <w:tblPr>
        <w:tblStyle w:val="GridTable4-Accent2"/>
        <w:tblW w:w="9209" w:type="dxa"/>
        <w:tblBorders>
          <w:top w:val="single" w:sz="4" w:space="0" w:color="EBAB12" w:themeColor="accent1"/>
          <w:left w:val="single" w:sz="4" w:space="0" w:color="EBAB12" w:themeColor="accent1"/>
          <w:bottom w:val="single" w:sz="4" w:space="0" w:color="EBAB12" w:themeColor="accent1"/>
          <w:right w:val="single" w:sz="4" w:space="0" w:color="EBAB12" w:themeColor="accent1"/>
          <w:insideH w:val="single" w:sz="4" w:space="0" w:color="EBAB12" w:themeColor="accent1"/>
          <w:insideV w:val="single" w:sz="4" w:space="0" w:color="EBAB12" w:themeColor="accent1"/>
        </w:tblBorders>
        <w:tblLook w:val="04A0" w:firstRow="1" w:lastRow="0" w:firstColumn="1" w:lastColumn="0" w:noHBand="0" w:noVBand="1"/>
      </w:tblPr>
      <w:tblGrid>
        <w:gridCol w:w="9209"/>
      </w:tblGrid>
      <w:tr w:rsidR="008C3425" w:rsidRPr="00734A50" w14:paraId="7AD35E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6F5A6B4D" w14:textId="77777777" w:rsidR="008C3425" w:rsidRPr="00734A50" w:rsidRDefault="008C3425">
            <w:pPr>
              <w:spacing w:after="0"/>
              <w:rPr>
                <w:b w:val="0"/>
                <w:color w:val="auto"/>
              </w:rPr>
            </w:pPr>
            <w:r w:rsidRPr="00734A50">
              <w:rPr>
                <w:rFonts w:cstheme="minorHAnsi"/>
                <w:color w:val="auto"/>
                <w:sz w:val="32"/>
                <w:szCs w:val="32"/>
                <w:lang w:eastAsia="en-AU"/>
              </w:rPr>
              <w:t>Core Content 4: Responsive Teaching</w:t>
            </w:r>
          </w:p>
        </w:tc>
      </w:tr>
      <w:tr w:rsidR="008C3425" w:rsidRPr="00734A50" w14:paraId="7748C7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19E16768" w14:textId="77777777" w:rsidR="008C3425" w:rsidRPr="00734A50" w:rsidRDefault="008C3425">
            <w:pPr>
              <w:spacing w:after="0"/>
              <w:rPr>
                <w:b w:val="0"/>
                <w:u w:val="single"/>
              </w:rPr>
            </w:pPr>
            <w:r w:rsidRPr="00734A50">
              <w:rPr>
                <w:rFonts w:cstheme="minorHAnsi"/>
                <w:b w:val="0"/>
                <w:bCs w:val="0"/>
                <w:i/>
                <w:sz w:val="20"/>
                <w:szCs w:val="18"/>
              </w:rPr>
              <w:t xml:space="preserve">Supports Graduate Teacher Standards: </w:t>
            </w:r>
            <w:r w:rsidRPr="00734A50">
              <w:rPr>
                <w:rFonts w:cstheme="minorHAnsi"/>
                <w:b w:val="0"/>
                <w:sz w:val="20"/>
                <w:szCs w:val="18"/>
              </w:rPr>
              <w:t>1.1, 1.3, 1.4, 1.5, 1.6; 2.4; 4.1, 4.4; 7.2, 7.3</w:t>
            </w:r>
          </w:p>
        </w:tc>
      </w:tr>
      <w:tr w:rsidR="008C3425" w:rsidRPr="00734A50" w14:paraId="38A6B2DB"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FECF52" w:themeFill="accent2"/>
          </w:tcPr>
          <w:p w14:paraId="3E17F88B" w14:textId="77777777" w:rsidR="008C3425" w:rsidRPr="00734A50" w:rsidRDefault="008C3425">
            <w:pPr>
              <w:pStyle w:val="Heading2"/>
              <w:rPr>
                <w:rFonts w:asciiTheme="minorHAnsi" w:hAnsiTheme="minorHAnsi" w:cstheme="minorHAnsi"/>
                <w:b/>
                <w:sz w:val="24"/>
                <w:szCs w:val="24"/>
                <w:u w:val="single"/>
              </w:rPr>
            </w:pPr>
            <w:bookmarkStart w:id="121" w:name="_Toc139366680"/>
            <w:r w:rsidRPr="00734A50">
              <w:rPr>
                <w:rFonts w:asciiTheme="minorHAnsi" w:hAnsiTheme="minorHAnsi" w:cstheme="minorHAnsi"/>
                <w:sz w:val="24"/>
                <w:szCs w:val="24"/>
              </w:rPr>
              <w:t>Core Content ITE programs should teach</w:t>
            </w:r>
            <w:bookmarkEnd w:id="121"/>
          </w:p>
        </w:tc>
      </w:tr>
      <w:tr w:rsidR="008C3425" w:rsidRPr="00734A50" w14:paraId="19DA38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EEBB9" w:themeFill="accent2" w:themeFillTint="66"/>
          </w:tcPr>
          <w:p w14:paraId="6E284489" w14:textId="77777777" w:rsidR="008C3425" w:rsidRPr="00734A50" w:rsidRDefault="008C3425">
            <w:pPr>
              <w:spacing w:after="0"/>
              <w:rPr>
                <w:b w:val="0"/>
                <w:u w:val="single"/>
              </w:rPr>
            </w:pPr>
            <w:r w:rsidRPr="00734A50">
              <w:rPr>
                <w:sz w:val="20"/>
                <w:szCs w:val="20"/>
                <w:u w:val="single"/>
              </w:rPr>
              <w:t>First Nations</w:t>
            </w:r>
          </w:p>
        </w:tc>
      </w:tr>
      <w:tr w:rsidR="008C3425" w:rsidRPr="00734A50" w14:paraId="44B0F8D7"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63C2D6A2" w14:textId="77777777" w:rsidR="008C3425" w:rsidRPr="00734A50" w:rsidRDefault="008C3425">
            <w:pPr>
              <w:spacing w:after="0"/>
              <w:rPr>
                <w:rFonts w:eastAsia="Calibri" w:cstheme="minorHAnsi"/>
                <w:sz w:val="16"/>
                <w:szCs w:val="16"/>
              </w:rPr>
            </w:pPr>
            <w:r w:rsidRPr="00734A50">
              <w:rPr>
                <w:rFonts w:eastAsia="Calibri" w:cstheme="minorHAnsi"/>
                <w:b w:val="0"/>
                <w:sz w:val="16"/>
                <w:szCs w:val="16"/>
              </w:rPr>
              <w:t>The content covered in the</w:t>
            </w:r>
            <w:r w:rsidRPr="00734A50">
              <w:rPr>
                <w:rFonts w:eastAsia="Calibri" w:cstheme="minorHAnsi"/>
                <w:sz w:val="16"/>
                <w:szCs w:val="16"/>
              </w:rPr>
              <w:t xml:space="preserve"> Australian Curriculum Aboriginal and Torres Strait Islander Histories and Cultures cross-curriculum priority </w:t>
            </w:r>
            <w:r w:rsidRPr="00734A50">
              <w:rPr>
                <w:rFonts w:eastAsia="Calibri" w:cstheme="minorHAnsi"/>
                <w:b w:val="0"/>
                <w:sz w:val="16"/>
                <w:szCs w:val="16"/>
              </w:rPr>
              <w:t>across stages and subjects</w:t>
            </w:r>
            <w:r w:rsidRPr="00734A50">
              <w:rPr>
                <w:rFonts w:eastAsia="Calibri" w:cstheme="minorHAnsi"/>
                <w:b w:val="0"/>
                <w:bCs w:val="0"/>
                <w:sz w:val="16"/>
                <w:szCs w:val="16"/>
              </w:rPr>
              <w:t>.</w:t>
            </w:r>
            <w:r w:rsidRPr="00734A50">
              <w:rPr>
                <w:rFonts w:eastAsia="Calibri" w:cstheme="minorHAnsi"/>
                <w:sz w:val="16"/>
                <w:szCs w:val="16"/>
              </w:rPr>
              <w:t xml:space="preserve"> </w:t>
            </w:r>
          </w:p>
        </w:tc>
      </w:tr>
      <w:tr w:rsidR="008C3425" w:rsidRPr="00734A50" w14:paraId="4A296E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544730D6" w14:textId="5686DD35" w:rsidR="008C3425" w:rsidRPr="00734A50" w:rsidRDefault="008C3425">
            <w:pPr>
              <w:spacing w:after="0"/>
              <w:rPr>
                <w:rFonts w:eastAsia="Calibri" w:cstheme="minorHAnsi"/>
                <w:sz w:val="16"/>
                <w:szCs w:val="16"/>
              </w:rPr>
            </w:pPr>
            <w:r w:rsidRPr="00734A50">
              <w:rPr>
                <w:rFonts w:eastAsia="Calibri" w:cstheme="minorHAnsi"/>
                <w:sz w:val="16"/>
                <w:szCs w:val="16"/>
              </w:rPr>
              <w:t>The diversity within and across First Nations</w:t>
            </w:r>
            <w:r w:rsidRPr="00734A50">
              <w:rPr>
                <w:rFonts w:eastAsia="Calibri" w:cstheme="minorHAnsi"/>
                <w:b w:val="0"/>
                <w:sz w:val="16"/>
                <w:szCs w:val="16"/>
              </w:rPr>
              <w:t xml:space="preserve"> </w:t>
            </w:r>
            <w:r w:rsidR="000C5369" w:rsidRPr="00734A50">
              <w:rPr>
                <w:rFonts w:eastAsia="Calibri" w:cstheme="minorHAnsi"/>
                <w:bCs w:val="0"/>
                <w:sz w:val="16"/>
                <w:szCs w:val="16"/>
              </w:rPr>
              <w:t>people</w:t>
            </w:r>
            <w:r w:rsidR="000C5369" w:rsidRPr="00734A50">
              <w:rPr>
                <w:rFonts w:eastAsia="Calibri" w:cstheme="minorHAnsi"/>
                <w:sz w:val="16"/>
                <w:szCs w:val="16"/>
              </w:rPr>
              <w:t xml:space="preserve"> </w:t>
            </w:r>
            <w:r w:rsidRPr="00734A50">
              <w:rPr>
                <w:rFonts w:eastAsia="Calibri" w:cstheme="minorHAnsi"/>
                <w:b w:val="0"/>
                <w:sz w:val="16"/>
                <w:szCs w:val="16"/>
              </w:rPr>
              <w:t>including culture, perspective, language, history and varied impact of colonisation on different groups.</w:t>
            </w:r>
            <w:r w:rsidRPr="00734A50">
              <w:rPr>
                <w:rFonts w:eastAsia="Calibri" w:cstheme="minorHAnsi"/>
                <w:sz w:val="16"/>
                <w:szCs w:val="16"/>
              </w:rPr>
              <w:t xml:space="preserve"> </w:t>
            </w:r>
          </w:p>
        </w:tc>
      </w:tr>
      <w:tr w:rsidR="008C3425" w:rsidRPr="00734A50" w14:paraId="2E38EFFC"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328833D3"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The research evidence </w:t>
            </w:r>
            <w:r w:rsidRPr="00734A50">
              <w:rPr>
                <w:rFonts w:eastAsia="Calibri" w:cstheme="minorHAnsi"/>
                <w:b w:val="0"/>
                <w:sz w:val="16"/>
                <w:szCs w:val="16"/>
              </w:rPr>
              <w:t>that shows the</w:t>
            </w:r>
            <w:r w:rsidRPr="00734A50">
              <w:rPr>
                <w:rFonts w:eastAsia="Calibri" w:cstheme="minorHAnsi"/>
                <w:sz w:val="16"/>
                <w:szCs w:val="16"/>
              </w:rPr>
              <w:t xml:space="preserve"> positive impact of engaging with communities and families to drive successful outcomes for First Nations students </w:t>
            </w:r>
            <w:r w:rsidRPr="00734A50">
              <w:rPr>
                <w:rFonts w:eastAsia="Calibri" w:cstheme="minorHAnsi"/>
                <w:b w:val="0"/>
                <w:sz w:val="16"/>
                <w:szCs w:val="16"/>
              </w:rPr>
              <w:t>and teach what appropriate engagement with families and communities can look like in practice.</w:t>
            </w:r>
            <w:r w:rsidRPr="00734A50">
              <w:rPr>
                <w:rFonts w:eastAsia="Calibri" w:cstheme="minorHAnsi"/>
                <w:sz w:val="16"/>
                <w:szCs w:val="16"/>
              </w:rPr>
              <w:t xml:space="preserve"> </w:t>
            </w:r>
          </w:p>
        </w:tc>
      </w:tr>
      <w:tr w:rsidR="008C3425" w:rsidRPr="00734A50" w14:paraId="1F478D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595B5137"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Explicitly teach the concept of cultural safety </w:t>
            </w:r>
            <w:r w:rsidRPr="00734A50">
              <w:rPr>
                <w:rFonts w:eastAsia="Calibri" w:cstheme="minorHAnsi"/>
                <w:b w:val="0"/>
                <w:sz w:val="16"/>
                <w:szCs w:val="16"/>
              </w:rPr>
              <w:t>and explore practical examples</w:t>
            </w:r>
            <w:r w:rsidRPr="00734A50">
              <w:rPr>
                <w:rFonts w:eastAsia="Calibri" w:cstheme="minorHAnsi"/>
                <w:sz w:val="16"/>
                <w:szCs w:val="16"/>
              </w:rPr>
              <w:t xml:space="preserve"> </w:t>
            </w:r>
            <w:r w:rsidRPr="00734A50">
              <w:rPr>
                <w:rFonts w:eastAsia="Calibri" w:cstheme="minorHAnsi"/>
                <w:b w:val="0"/>
                <w:sz w:val="16"/>
                <w:szCs w:val="16"/>
              </w:rPr>
              <w:t>of what it can look like in a classroom context.</w:t>
            </w:r>
          </w:p>
        </w:tc>
      </w:tr>
      <w:tr w:rsidR="008C3425" w:rsidRPr="00734A50" w14:paraId="6E5A712E"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1709CF17"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Cover content related to local First Nations context </w:t>
            </w:r>
            <w:r w:rsidRPr="00734A50">
              <w:rPr>
                <w:rFonts w:eastAsia="Calibri" w:cstheme="minorHAnsi"/>
                <w:b w:val="0"/>
                <w:sz w:val="16"/>
                <w:szCs w:val="16"/>
              </w:rPr>
              <w:t>developed in collaboration with local First Nations groups with appropriate and authentic subject matter expertise.</w:t>
            </w:r>
            <w:r w:rsidRPr="00734A50">
              <w:rPr>
                <w:rFonts w:eastAsia="Calibri" w:cstheme="minorHAnsi"/>
                <w:sz w:val="16"/>
                <w:szCs w:val="16"/>
              </w:rPr>
              <w:t xml:space="preserve"> </w:t>
            </w:r>
          </w:p>
        </w:tc>
      </w:tr>
      <w:tr w:rsidR="008C3425" w:rsidRPr="00734A50" w14:paraId="1DA8FB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EEBB9" w:themeFill="accent2" w:themeFillTint="66"/>
          </w:tcPr>
          <w:p w14:paraId="1EB4EB06" w14:textId="77777777" w:rsidR="008C3425" w:rsidRPr="00734A50" w:rsidRDefault="008C3425">
            <w:pPr>
              <w:spacing w:after="0"/>
              <w:rPr>
                <w:b w:val="0"/>
                <w:u w:val="single"/>
              </w:rPr>
            </w:pPr>
            <w:r w:rsidRPr="00734A50">
              <w:rPr>
                <w:sz w:val="20"/>
                <w:szCs w:val="20"/>
                <w:u w:val="single"/>
              </w:rPr>
              <w:t>Cultural responsiveness, including EAL/D students</w:t>
            </w:r>
          </w:p>
        </w:tc>
      </w:tr>
      <w:tr w:rsidR="008C3425" w:rsidRPr="00734A50" w14:paraId="676C5C68"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76CB1187" w14:textId="77777777" w:rsidR="008C3425" w:rsidRPr="00734A50" w:rsidRDefault="008C3425">
            <w:pPr>
              <w:spacing w:after="0"/>
              <w:rPr>
                <w:rFonts w:eastAsia="Calibri" w:cstheme="minorHAnsi"/>
                <w:sz w:val="16"/>
                <w:szCs w:val="16"/>
              </w:rPr>
            </w:pPr>
            <w:r w:rsidRPr="00734A50">
              <w:rPr>
                <w:rFonts w:eastAsia="Calibri" w:cstheme="minorHAnsi"/>
                <w:sz w:val="16"/>
                <w:szCs w:val="16"/>
              </w:rPr>
              <w:t>The concept of positionality</w:t>
            </w:r>
            <w:r w:rsidRPr="00734A50">
              <w:rPr>
                <w:rFonts w:eastAsia="Calibri" w:cstheme="minorHAnsi"/>
                <w:b w:val="0"/>
                <w:sz w:val="16"/>
                <w:szCs w:val="16"/>
              </w:rPr>
              <w:t xml:space="preserve"> through</w:t>
            </w:r>
            <w:r w:rsidRPr="00734A50">
              <w:rPr>
                <w:rFonts w:eastAsia="Calibri" w:cstheme="minorHAnsi"/>
                <w:sz w:val="16"/>
                <w:szCs w:val="16"/>
              </w:rPr>
              <w:t xml:space="preserve"> engagement in critical self-inquiry </w:t>
            </w:r>
            <w:r w:rsidRPr="00734A50">
              <w:rPr>
                <w:rFonts w:eastAsia="Calibri" w:cstheme="minorHAnsi"/>
                <w:b w:val="0"/>
                <w:sz w:val="16"/>
                <w:szCs w:val="16"/>
              </w:rPr>
              <w:t>for both academic writing and as a core mechanism of effective ongoing professional teaching practice.</w:t>
            </w:r>
          </w:p>
        </w:tc>
      </w:tr>
      <w:tr w:rsidR="008C3425" w:rsidRPr="00734A50" w14:paraId="05776E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4321DF11"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The concept of ongoing intercultural development </w:t>
            </w:r>
            <w:r w:rsidRPr="00734A50">
              <w:rPr>
                <w:rFonts w:eastAsia="Calibri" w:cstheme="minorHAnsi"/>
                <w:b w:val="0"/>
                <w:sz w:val="16"/>
                <w:szCs w:val="16"/>
              </w:rPr>
              <w:t>and the importance of</w:t>
            </w:r>
            <w:r w:rsidRPr="00734A50">
              <w:rPr>
                <w:rFonts w:eastAsia="Calibri" w:cstheme="minorHAnsi"/>
                <w:sz w:val="16"/>
                <w:szCs w:val="16"/>
              </w:rPr>
              <w:t xml:space="preserve"> self-reflection</w:t>
            </w:r>
            <w:r w:rsidRPr="00734A50">
              <w:rPr>
                <w:rFonts w:eastAsia="Calibri" w:cstheme="minorHAnsi"/>
                <w:b w:val="0"/>
                <w:sz w:val="16"/>
                <w:szCs w:val="16"/>
              </w:rPr>
              <w:t xml:space="preserve"> and</w:t>
            </w:r>
            <w:r w:rsidRPr="00734A50">
              <w:rPr>
                <w:rFonts w:eastAsia="Calibri" w:cstheme="minorHAnsi"/>
                <w:sz w:val="16"/>
                <w:szCs w:val="16"/>
              </w:rPr>
              <w:t xml:space="preserve"> reflexivity </w:t>
            </w:r>
            <w:r w:rsidRPr="00734A50">
              <w:rPr>
                <w:rFonts w:eastAsia="Calibri" w:cstheme="minorHAnsi"/>
                <w:b w:val="0"/>
                <w:sz w:val="16"/>
                <w:szCs w:val="16"/>
              </w:rPr>
              <w:t>as ever-evolving career practices.</w:t>
            </w:r>
          </w:p>
        </w:tc>
      </w:tr>
      <w:tr w:rsidR="008C3425" w:rsidRPr="00734A50" w14:paraId="292E2709"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51D666AF" w14:textId="77777777" w:rsidR="008C3425" w:rsidRPr="00734A50" w:rsidRDefault="008C3425">
            <w:pPr>
              <w:spacing w:after="0"/>
              <w:rPr>
                <w:rFonts w:eastAsia="Calibri" w:cstheme="minorHAnsi"/>
                <w:sz w:val="16"/>
                <w:szCs w:val="16"/>
              </w:rPr>
            </w:pPr>
            <w:r w:rsidRPr="00734A50">
              <w:rPr>
                <w:rFonts w:eastAsia="Calibri" w:cstheme="minorHAnsi"/>
                <w:sz w:val="16"/>
                <w:szCs w:val="16"/>
              </w:rPr>
              <w:t>About the cultural diversity within classrooms and communities in Australia</w:t>
            </w:r>
            <w:r w:rsidRPr="00734A50">
              <w:rPr>
                <w:rFonts w:eastAsia="Calibri" w:cstheme="minorHAnsi"/>
                <w:b w:val="0"/>
                <w:sz w:val="16"/>
                <w:szCs w:val="16"/>
              </w:rPr>
              <w:t>, and in the local context,</w:t>
            </w:r>
            <w:r w:rsidRPr="00734A50">
              <w:rPr>
                <w:rFonts w:eastAsia="Calibri" w:cstheme="minorHAnsi"/>
                <w:sz w:val="16"/>
                <w:szCs w:val="16"/>
              </w:rPr>
              <w:t xml:space="preserve"> to understand and value the perspectives of diverse groups </w:t>
            </w:r>
            <w:r w:rsidRPr="00734A50">
              <w:rPr>
                <w:rFonts w:eastAsia="Calibri" w:cstheme="minorHAnsi"/>
                <w:b w:val="0"/>
                <w:sz w:val="16"/>
                <w:szCs w:val="16"/>
              </w:rPr>
              <w:t>including EAL/D and First Nations students.</w:t>
            </w:r>
          </w:p>
        </w:tc>
      </w:tr>
      <w:tr w:rsidR="008C3425" w:rsidRPr="00734A50" w14:paraId="086F10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6A9C477A"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How biases and assumptions </w:t>
            </w:r>
            <w:r w:rsidRPr="00734A50">
              <w:rPr>
                <w:rFonts w:eastAsia="Calibri" w:cstheme="minorHAnsi"/>
                <w:b w:val="0"/>
                <w:sz w:val="16"/>
                <w:szCs w:val="16"/>
              </w:rPr>
              <w:t>about diverse groups and worldviews</w:t>
            </w:r>
            <w:r w:rsidRPr="00734A50">
              <w:rPr>
                <w:rFonts w:eastAsia="Calibri" w:cstheme="minorHAnsi"/>
                <w:sz w:val="16"/>
                <w:szCs w:val="16"/>
              </w:rPr>
              <w:t xml:space="preserve"> affect practices, behaviours, and attitudes in the classroom </w:t>
            </w:r>
            <w:r w:rsidRPr="00734A50">
              <w:rPr>
                <w:rFonts w:eastAsia="Calibri" w:cstheme="minorHAnsi"/>
                <w:b w:val="0"/>
                <w:sz w:val="16"/>
                <w:szCs w:val="16"/>
              </w:rPr>
              <w:t>and how these biases adversely impact specific groups.</w:t>
            </w:r>
            <w:r w:rsidRPr="00734A50">
              <w:rPr>
                <w:rFonts w:eastAsia="Calibri" w:cstheme="minorHAnsi"/>
                <w:sz w:val="16"/>
                <w:szCs w:val="16"/>
              </w:rPr>
              <w:t xml:space="preserve"> </w:t>
            </w:r>
          </w:p>
        </w:tc>
      </w:tr>
      <w:tr w:rsidR="008C3425" w:rsidRPr="00734A50" w14:paraId="11CE54EA"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FEEBB9" w:themeFill="accent2" w:themeFillTint="66"/>
          </w:tcPr>
          <w:p w14:paraId="27E831E1" w14:textId="77777777" w:rsidR="008C3425" w:rsidRPr="00734A50" w:rsidRDefault="008C3425">
            <w:pPr>
              <w:spacing w:after="0"/>
              <w:rPr>
                <w:b w:val="0"/>
                <w:u w:val="single"/>
              </w:rPr>
            </w:pPr>
            <w:r w:rsidRPr="00734A50">
              <w:rPr>
                <w:sz w:val="20"/>
                <w:szCs w:val="20"/>
                <w:u w:val="single"/>
              </w:rPr>
              <w:t>Family engagement for learning</w:t>
            </w:r>
          </w:p>
        </w:tc>
      </w:tr>
      <w:tr w:rsidR="008C3425" w:rsidRPr="00734A50" w14:paraId="0FA0B7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339C561F"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The research evidence </w:t>
            </w:r>
            <w:r w:rsidRPr="00734A50">
              <w:rPr>
                <w:rFonts w:eastAsia="Calibri" w:cstheme="minorHAnsi"/>
                <w:b w:val="0"/>
                <w:sz w:val="16"/>
                <w:szCs w:val="16"/>
              </w:rPr>
              <w:t>that outlines the</w:t>
            </w:r>
            <w:r w:rsidRPr="00734A50">
              <w:rPr>
                <w:rFonts w:eastAsia="Calibri" w:cstheme="minorHAnsi"/>
                <w:sz w:val="16"/>
                <w:szCs w:val="16"/>
              </w:rPr>
              <w:t xml:space="preserve"> most effective approaches for engaging with families </w:t>
            </w:r>
            <w:r w:rsidRPr="00734A50">
              <w:rPr>
                <w:rFonts w:eastAsia="Calibri" w:cstheme="minorHAnsi"/>
                <w:b w:val="0"/>
                <w:sz w:val="16"/>
                <w:szCs w:val="16"/>
              </w:rPr>
              <w:t>to promote learning appropriate to student stage of learning.</w:t>
            </w:r>
          </w:p>
        </w:tc>
      </w:tr>
      <w:tr w:rsidR="008C3425" w:rsidRPr="00734A50" w14:paraId="57508AED"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3A04A56"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Practices </w:t>
            </w:r>
            <w:r w:rsidRPr="00734A50">
              <w:rPr>
                <w:rFonts w:eastAsia="Calibri" w:cstheme="minorHAnsi"/>
                <w:b w:val="0"/>
                <w:sz w:val="16"/>
                <w:szCs w:val="16"/>
              </w:rPr>
              <w:t>schools may employ, including two-way positive communication, light-touch learning updates and collaborative planning and problem solving, and</w:t>
            </w:r>
            <w:r w:rsidRPr="00734A50">
              <w:rPr>
                <w:rFonts w:eastAsia="Calibri" w:cstheme="minorHAnsi"/>
                <w:sz w:val="16"/>
                <w:szCs w:val="16"/>
              </w:rPr>
              <w:t xml:space="preserve"> understanding the role and responsibility of an individual teacher </w:t>
            </w:r>
            <w:r w:rsidRPr="00734A50">
              <w:rPr>
                <w:rFonts w:eastAsia="Calibri" w:cstheme="minorHAnsi"/>
                <w:b w:val="0"/>
                <w:sz w:val="16"/>
                <w:szCs w:val="16"/>
              </w:rPr>
              <w:t>in these practices.</w:t>
            </w:r>
          </w:p>
        </w:tc>
      </w:tr>
      <w:tr w:rsidR="008C3425" w:rsidRPr="00734A50" w14:paraId="2341B0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EEBB9" w:themeFill="accent2" w:themeFillTint="66"/>
          </w:tcPr>
          <w:p w14:paraId="47EE7D17" w14:textId="77777777" w:rsidR="008C3425" w:rsidRPr="00734A50" w:rsidRDefault="008C3425">
            <w:pPr>
              <w:spacing w:after="0"/>
              <w:rPr>
                <w:b w:val="0"/>
                <w:u w:val="single"/>
              </w:rPr>
            </w:pPr>
            <w:r w:rsidRPr="00734A50">
              <w:rPr>
                <w:sz w:val="20"/>
                <w:szCs w:val="20"/>
                <w:u w:val="single"/>
              </w:rPr>
              <w:t>Diverse learning needs including students with disability</w:t>
            </w:r>
          </w:p>
        </w:tc>
      </w:tr>
      <w:tr w:rsidR="008C3425" w:rsidRPr="00734A50" w14:paraId="47455395"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2A277878" w14:textId="77777777" w:rsidR="008C3425" w:rsidRPr="00734A50" w:rsidRDefault="008C3425">
            <w:pPr>
              <w:spacing w:after="0"/>
              <w:rPr>
                <w:rFonts w:cstheme="minorHAnsi"/>
                <w:sz w:val="16"/>
                <w:szCs w:val="14"/>
              </w:rPr>
            </w:pPr>
            <w:r w:rsidRPr="00734A50">
              <w:rPr>
                <w:rFonts w:cstheme="minorHAnsi"/>
                <w:b w:val="0"/>
                <w:sz w:val="16"/>
                <w:szCs w:val="14"/>
              </w:rPr>
              <w:t>The research evidence that shows how</w:t>
            </w:r>
            <w:r w:rsidRPr="00734A50">
              <w:rPr>
                <w:rFonts w:cstheme="minorHAnsi"/>
                <w:sz w:val="16"/>
                <w:szCs w:val="14"/>
              </w:rPr>
              <w:t xml:space="preserve"> practices outlined in the core content are highly effective for the vast majority of students, </w:t>
            </w:r>
            <w:r w:rsidRPr="00734A50">
              <w:rPr>
                <w:rFonts w:cstheme="minorHAnsi"/>
                <w:b w:val="0"/>
                <w:sz w:val="16"/>
                <w:szCs w:val="14"/>
              </w:rPr>
              <w:t>particularly those with additional needs or from disadvantaged backgrounds.</w:t>
            </w:r>
          </w:p>
        </w:tc>
      </w:tr>
      <w:tr w:rsidR="008C3425" w:rsidRPr="00734A50" w14:paraId="410EB7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49A4599D" w14:textId="7C2EAC2F" w:rsidR="008C3425" w:rsidRPr="00734A50" w:rsidRDefault="008C3425">
            <w:pPr>
              <w:spacing w:after="0"/>
              <w:rPr>
                <w:rFonts w:eastAsia="Calibri" w:cstheme="minorHAnsi"/>
                <w:sz w:val="16"/>
                <w:szCs w:val="16"/>
              </w:rPr>
            </w:pPr>
            <w:r w:rsidRPr="00734A50">
              <w:rPr>
                <w:rFonts w:eastAsia="Calibri" w:cstheme="minorHAnsi"/>
                <w:b w:val="0"/>
                <w:sz w:val="16"/>
                <w:szCs w:val="16"/>
              </w:rPr>
              <w:t>The</w:t>
            </w:r>
            <w:r w:rsidRPr="00734A50">
              <w:rPr>
                <w:rFonts w:eastAsia="Calibri" w:cstheme="minorHAnsi"/>
                <w:sz w:val="16"/>
                <w:szCs w:val="16"/>
              </w:rPr>
              <w:t xml:space="preserve"> legislation, regulations, policies and obligations related to inclusion and support </w:t>
            </w:r>
            <w:r w:rsidRPr="00734A50">
              <w:rPr>
                <w:rFonts w:eastAsia="Calibri" w:cstheme="minorHAnsi"/>
                <w:b w:val="0"/>
                <w:sz w:val="16"/>
                <w:szCs w:val="16"/>
              </w:rPr>
              <w:t xml:space="preserve">including international agreements (e.g. the UN Convention on Children’s Rights, 1989), and legal entitlements as defined by the </w:t>
            </w:r>
            <w:r w:rsidRPr="00513E0D">
              <w:rPr>
                <w:rFonts w:eastAsia="Calibri" w:cstheme="minorHAnsi"/>
                <w:sz w:val="16"/>
                <w:szCs w:val="16"/>
              </w:rPr>
              <w:t>Commonwealth</w:t>
            </w:r>
            <w:r w:rsidRPr="00734A50">
              <w:rPr>
                <w:rFonts w:eastAsia="Calibri" w:cstheme="minorHAnsi"/>
                <w:i/>
                <w:iCs/>
                <w:sz w:val="16"/>
                <w:szCs w:val="16"/>
              </w:rPr>
              <w:t xml:space="preserve"> Disability Discrimination Act 1992</w:t>
            </w:r>
            <w:r w:rsidRPr="00734A50">
              <w:rPr>
                <w:rFonts w:eastAsia="Calibri" w:cstheme="minorHAnsi"/>
                <w:b w:val="0"/>
                <w:sz w:val="16"/>
                <w:szCs w:val="16"/>
              </w:rPr>
              <w:t xml:space="preserve"> and core educational policy such as the Disability Standards for Education, 2005, which state that students with disability should have the same opportunities and choices in their education as students without disability.</w:t>
            </w:r>
          </w:p>
        </w:tc>
      </w:tr>
      <w:tr w:rsidR="008C3425" w:rsidRPr="00734A50" w14:paraId="1DA81105"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6CAC00D0" w14:textId="77777777" w:rsidR="008C3425" w:rsidRPr="00734A50" w:rsidRDefault="008C3425">
            <w:pPr>
              <w:spacing w:after="0"/>
              <w:rPr>
                <w:rFonts w:eastAsia="Calibri" w:cstheme="minorHAnsi"/>
                <w:sz w:val="16"/>
                <w:szCs w:val="16"/>
              </w:rPr>
            </w:pPr>
            <w:r w:rsidRPr="00734A50">
              <w:rPr>
                <w:rFonts w:eastAsia="Calibri" w:cstheme="minorHAnsi"/>
                <w:sz w:val="16"/>
                <w:szCs w:val="16"/>
              </w:rPr>
              <w:t xml:space="preserve">The evidence-based approaches to cater for specific needs and disabilities </w:t>
            </w:r>
            <w:r w:rsidRPr="00734A50">
              <w:rPr>
                <w:rFonts w:eastAsia="Calibri" w:cstheme="minorHAnsi"/>
                <w:b w:val="0"/>
                <w:sz w:val="16"/>
                <w:szCs w:val="16"/>
              </w:rPr>
              <w:t xml:space="preserve">that a teacher may encounter during their career, with a </w:t>
            </w:r>
            <w:r w:rsidRPr="00734A50">
              <w:rPr>
                <w:rFonts w:eastAsia="Calibri" w:cstheme="minorHAnsi"/>
                <w:sz w:val="16"/>
                <w:szCs w:val="16"/>
              </w:rPr>
              <w:t>focus on needs with high prevalence</w:t>
            </w:r>
            <w:r w:rsidRPr="00734A50">
              <w:rPr>
                <w:rFonts w:eastAsia="Calibri" w:cstheme="minorHAnsi"/>
                <w:b w:val="0"/>
                <w:sz w:val="16"/>
                <w:szCs w:val="16"/>
              </w:rPr>
              <w:t xml:space="preserve"> in Australian classrooms. Content should be developed in collaboration with appropriate subject matter expertise from a range of disciplines – for example, linguistics, psychology, health, and education.</w:t>
            </w:r>
          </w:p>
        </w:tc>
      </w:tr>
      <w:tr w:rsidR="008C3425" w:rsidRPr="00734A50" w14:paraId="7A3EB2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ECF52" w:themeFill="accent2"/>
          </w:tcPr>
          <w:p w14:paraId="53A19E31" w14:textId="77777777" w:rsidR="008C3425" w:rsidRPr="00734A50" w:rsidRDefault="008C3425">
            <w:pPr>
              <w:spacing w:after="0"/>
              <w:rPr>
                <w:rFonts w:eastAsia="Calibri" w:cstheme="minorHAnsi"/>
                <w:b w:val="0"/>
                <w:bCs w:val="0"/>
                <w:sz w:val="16"/>
                <w:szCs w:val="16"/>
              </w:rPr>
            </w:pPr>
            <w:r w:rsidRPr="00734A50">
              <w:rPr>
                <w:rFonts w:eastAsia="Calibri" w:cstheme="minorHAnsi"/>
                <w:sz w:val="24"/>
                <w:szCs w:val="24"/>
              </w:rPr>
              <w:t>Key references and frameworks</w:t>
            </w:r>
          </w:p>
        </w:tc>
      </w:tr>
      <w:tr w:rsidR="008C3425" w:rsidRPr="00734A50" w14:paraId="11B3D878" w14:textId="77777777">
        <w:tc>
          <w:tcPr>
            <w:cnfStyle w:val="001000000000" w:firstRow="0" w:lastRow="0" w:firstColumn="1" w:lastColumn="0" w:oddVBand="0" w:evenVBand="0" w:oddHBand="0" w:evenHBand="0" w:firstRowFirstColumn="0" w:firstRowLastColumn="0" w:lastRowFirstColumn="0" w:lastRowLastColumn="0"/>
            <w:tcW w:w="9209" w:type="dxa"/>
            <w:shd w:val="clear" w:color="auto" w:fill="auto"/>
          </w:tcPr>
          <w:p w14:paraId="7F77195C"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 xml:space="preserve">Anderson PJ and Rhea ZM (2018) Rights-based Indigenous education in Australia: evidence-based policy to pedagogy, Evidence-Based Learning and Teaching: A Look into Australian Classrooms 205–216. </w:t>
            </w:r>
          </w:p>
          <w:p w14:paraId="1714E226"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AITSL (2020) Indigenous cultural competency in the Australian teaching workforce: Discussion paper, AITSL.</w:t>
            </w:r>
          </w:p>
          <w:p w14:paraId="17348BDF"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AITSL (2022) Building a culturally responsive Australian teaching workforce: final report for Indigenous cultural competency project, Australian Institute for Teaching and School Leadership (AITSL).</w:t>
            </w:r>
          </w:p>
          <w:p w14:paraId="55E6A91A" w14:textId="30E07042"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 xml:space="preserve">Bishop, </w:t>
            </w:r>
            <w:r w:rsidR="00513E0D" w:rsidRPr="00513E0D">
              <w:rPr>
                <w:b w:val="0"/>
                <w:bCs w:val="0"/>
                <w:sz w:val="16"/>
                <w:szCs w:val="16"/>
              </w:rPr>
              <w:t>and</w:t>
            </w:r>
            <w:r w:rsidRPr="00513E0D">
              <w:rPr>
                <w:b w:val="0"/>
                <w:bCs w:val="0"/>
                <w:sz w:val="16"/>
                <w:szCs w:val="16"/>
              </w:rPr>
              <w:t xml:space="preserve"> Durksen, T. L. (2020) What are the personal attributes a teacher needs to engage Indigenous students effectively in the learning process? Re-viewing the literature. Educational Research, 62(2), 181–198</w:t>
            </w:r>
          </w:p>
          <w:p w14:paraId="0CF2220A"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Cullen MA, Lindsay G, Hastings R, Denne L, Stanford C, Beqiraq L, Elahi F, Gemegah E, Hayden N, Kander I, Lykomitrou F and Zander J (2020) Special Educational Needs in Mainstream Schools: Evidence Review, London: Education Endowment Foundation</w:t>
            </w:r>
          </w:p>
          <w:p w14:paraId="40109A12" w14:textId="77777777" w:rsidR="00873AB9" w:rsidRPr="00513E0D" w:rsidRDefault="00873AB9" w:rsidP="00975D6A">
            <w:pPr>
              <w:pStyle w:val="ListBullet"/>
              <w:spacing w:line="240" w:lineRule="auto"/>
              <w:ind w:left="357" w:hanging="357"/>
              <w:rPr>
                <w:b w:val="0"/>
                <w:bCs w:val="0"/>
                <w:sz w:val="16"/>
                <w:szCs w:val="16"/>
              </w:rPr>
            </w:pPr>
            <w:r w:rsidRPr="00513E0D">
              <w:rPr>
                <w:b w:val="0"/>
                <w:bCs w:val="0"/>
                <w:sz w:val="16"/>
                <w:szCs w:val="16"/>
              </w:rPr>
              <w:t xml:space="preserve">de Bruin K (2022) Multi-tiered systems of support: A roadmap for achieving an inclusive education system, in J Banks (ed.) The Inclusion Dialogue: Debating issues, challenges and tension with global experts, Routledge, 36–53. </w:t>
            </w:r>
          </w:p>
          <w:p w14:paraId="57F38678"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Department of Education, Employment and Workplace Relations (DEEWR) (2006) Disability Standards for Education 2005 plus guidance notes, DEEWR: Canberra.</w:t>
            </w:r>
          </w:p>
          <w:p w14:paraId="347A92F2"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 xml:space="preserve">Higgins S and Katsipataki M (2015) Evidence from meta-analysis about parental involvement in education which supports their children’s learning. Journal of Children’s Services, 10(3):280–290. </w:t>
            </w:r>
          </w:p>
          <w:p w14:paraId="5D641039" w14:textId="416D21B3"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 xml:space="preserve">Hill, NE </w:t>
            </w:r>
            <w:r w:rsidR="00365A44">
              <w:rPr>
                <w:b w:val="0"/>
                <w:bCs w:val="0"/>
                <w:sz w:val="16"/>
                <w:szCs w:val="16"/>
              </w:rPr>
              <w:t>and</w:t>
            </w:r>
            <w:r w:rsidRPr="00513E0D">
              <w:rPr>
                <w:b w:val="0"/>
                <w:bCs w:val="0"/>
                <w:sz w:val="16"/>
                <w:szCs w:val="16"/>
              </w:rPr>
              <w:t xml:space="preserve"> Tyson, DF (2009) Parental Involvement in Middle School: A Meta-Analytic Assessment of the Strategies That Promote Achievement, Developmental Psychology, 45(3), 740–763. </w:t>
            </w:r>
          </w:p>
          <w:p w14:paraId="62CF5164"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 xml:space="preserve">Lindsay G and Thompson DA (1997) Values Into Practice in Special Education, D Fulton Publishers. </w:t>
            </w:r>
          </w:p>
          <w:p w14:paraId="46725EBE"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Lowe K. (2017) Walanbaa warramildanha: The impact of authentic Aboriginal community and school engagement on teachers’ professional knowledge. Australian Educational Researcher, 44(1), 35–54.</w:t>
            </w:r>
          </w:p>
          <w:p w14:paraId="2CA96AB4"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lastRenderedPageBreak/>
              <w:t xml:space="preserve">Paradies Y, Priest N and Walton J (2013) Identifying and developing effective approaches to foster intercultural understanding in schools, Intercultural Education, 24(3), 181-194. </w:t>
            </w:r>
          </w:p>
          <w:p w14:paraId="7A6F4065" w14:textId="3C912F9D"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Poed S &amp; de Bruin, K (2022) Tier 2: Targeted approaches, interventions, and supports. In K Barker, S Poed &amp; P Whitefield (Eds) School-Wide Positive Behaviour Support Routledge (64-85).</w:t>
            </w:r>
          </w:p>
          <w:p w14:paraId="19066E10"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 xml:space="preserve">Smith TE, Sheridan SM, Kim EM, Park S and Beretvas SN (2020) The Effects of Family-School Partnership Interventions on Academic and Social-Emotional Functioning: A Meta-Analysis Exploring What Works for Whom, Educational Psychology Review, 32(2):511–544. </w:t>
            </w:r>
          </w:p>
          <w:p w14:paraId="26B90998"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Subban P, Woodcock S, Sharma U, and May F (2022) Student experiences of inclusive education in secondary schools: A systematic review of the literature. Teaching and Teacher Education, 119, 103853.</w:t>
            </w:r>
          </w:p>
          <w:p w14:paraId="23B1E563" w14:textId="77777777" w:rsidR="00873AB9" w:rsidRPr="00513E0D" w:rsidRDefault="00873AB9" w:rsidP="00975D6A">
            <w:pPr>
              <w:pStyle w:val="ListBullet"/>
              <w:spacing w:line="240" w:lineRule="auto"/>
              <w:ind w:left="357" w:hanging="357"/>
              <w:rPr>
                <w:rFonts w:cstheme="minorHAnsi"/>
                <w:b w:val="0"/>
                <w:bCs w:val="0"/>
                <w:sz w:val="16"/>
                <w:szCs w:val="16"/>
              </w:rPr>
            </w:pPr>
            <w:r w:rsidRPr="00513E0D">
              <w:rPr>
                <w:b w:val="0"/>
                <w:bCs w:val="0"/>
                <w:sz w:val="16"/>
                <w:szCs w:val="16"/>
              </w:rPr>
              <w:t>UN General Assembly, Convention on the Rights of Persons with Disabilities: Resolution adopted by the General Assembly, 24 January 2007, A/RES/61/106.</w:t>
            </w:r>
          </w:p>
          <w:p w14:paraId="1385DE75" w14:textId="769B7909" w:rsidR="00900948" w:rsidRPr="00975D6A" w:rsidRDefault="00900948" w:rsidP="00513E0D">
            <w:pPr>
              <w:pStyle w:val="ListBullet"/>
              <w:spacing w:line="240" w:lineRule="auto"/>
              <w:rPr>
                <w:rFonts w:asciiTheme="minorHAnsi" w:hAnsiTheme="minorHAnsi" w:cstheme="minorHAnsi"/>
                <w:b w:val="0"/>
                <w:bCs w:val="0"/>
                <w:sz w:val="16"/>
                <w:szCs w:val="16"/>
              </w:rPr>
            </w:pPr>
          </w:p>
        </w:tc>
      </w:tr>
    </w:tbl>
    <w:p w14:paraId="261DB31E" w14:textId="77777777" w:rsidR="009720BC" w:rsidRPr="00734A50" w:rsidRDefault="009720BC">
      <w:pPr>
        <w:spacing w:after="160" w:line="259" w:lineRule="auto"/>
        <w:rPr>
          <w:lang w:eastAsia="en-AU"/>
        </w:rPr>
      </w:pPr>
      <w:r w:rsidRPr="00734A50">
        <w:rPr>
          <w:lang w:eastAsia="en-AU"/>
        </w:rPr>
        <w:lastRenderedPageBreak/>
        <w:br w:type="page"/>
      </w:r>
    </w:p>
    <w:p w14:paraId="54B4F243" w14:textId="48A6E57D" w:rsidR="00EC073E" w:rsidRDefault="00EC073E" w:rsidP="0012041E">
      <w:pPr>
        <w:pStyle w:val="Heading2"/>
        <w:rPr>
          <w:lang w:eastAsia="en-AU"/>
        </w:rPr>
      </w:pPr>
      <w:bookmarkStart w:id="122" w:name="_Toc139366681"/>
      <w:r>
        <w:rPr>
          <w:lang w:eastAsia="en-AU"/>
        </w:rPr>
        <w:lastRenderedPageBreak/>
        <w:t>APPENDIX E: Mapping the core content to Graduate Teacher Standards</w:t>
      </w:r>
      <w:bookmarkEnd w:id="122"/>
    </w:p>
    <w:tbl>
      <w:tblPr>
        <w:tblStyle w:val="TableGrid"/>
        <w:tblW w:w="0" w:type="auto"/>
        <w:tblLook w:val="04A0" w:firstRow="1" w:lastRow="0" w:firstColumn="1" w:lastColumn="0" w:noHBand="0" w:noVBand="1"/>
      </w:tblPr>
      <w:tblGrid>
        <w:gridCol w:w="4508"/>
        <w:gridCol w:w="4508"/>
      </w:tblGrid>
      <w:tr w:rsidR="006A75CE" w14:paraId="1EF3FA60" w14:textId="77777777" w:rsidTr="00E171ED">
        <w:tc>
          <w:tcPr>
            <w:tcW w:w="9016" w:type="dxa"/>
            <w:gridSpan w:val="2"/>
            <w:shd w:val="clear" w:color="auto" w:fill="00274F" w:themeFill="text2" w:themeFillShade="80"/>
          </w:tcPr>
          <w:p w14:paraId="45851E9B" w14:textId="77777777" w:rsidR="006A75CE" w:rsidRPr="000B7241" w:rsidRDefault="006A75CE" w:rsidP="00FD4EA7">
            <w:pPr>
              <w:jc w:val="center"/>
              <w:rPr>
                <w:b/>
                <w:bCs/>
                <w:color w:val="FFFFFF" w:themeColor="background1"/>
              </w:rPr>
            </w:pPr>
            <w:r w:rsidRPr="000B7241">
              <w:rPr>
                <w:b/>
                <w:bCs/>
                <w:color w:val="FFFFFF" w:themeColor="background1"/>
              </w:rPr>
              <w:t>PROFESSIONAL KNOWLEDGE</w:t>
            </w:r>
          </w:p>
        </w:tc>
      </w:tr>
      <w:tr w:rsidR="00251801" w:rsidRPr="00251801" w14:paraId="0B95BEF4" w14:textId="77777777" w:rsidTr="00251801">
        <w:tc>
          <w:tcPr>
            <w:tcW w:w="4508" w:type="dxa"/>
            <w:shd w:val="clear" w:color="auto" w:fill="8CAADA"/>
          </w:tcPr>
          <w:p w14:paraId="10D8F517" w14:textId="77777777" w:rsidR="006A75CE" w:rsidRPr="00251801" w:rsidRDefault="006A75CE" w:rsidP="006A75CE">
            <w:pPr>
              <w:pStyle w:val="ListParagraph"/>
              <w:numPr>
                <w:ilvl w:val="0"/>
                <w:numId w:val="232"/>
              </w:numPr>
              <w:spacing w:line="360" w:lineRule="auto"/>
              <w:rPr>
                <w:b/>
                <w:bCs/>
              </w:rPr>
            </w:pPr>
            <w:r w:rsidRPr="00251801">
              <w:rPr>
                <w:b/>
                <w:bCs/>
              </w:rPr>
              <w:t>Know students and how they learn</w:t>
            </w:r>
          </w:p>
        </w:tc>
        <w:tc>
          <w:tcPr>
            <w:tcW w:w="4508" w:type="dxa"/>
            <w:shd w:val="clear" w:color="auto" w:fill="8CAADA"/>
          </w:tcPr>
          <w:p w14:paraId="6E3F4061" w14:textId="77777777" w:rsidR="006A75CE" w:rsidRPr="00251801" w:rsidRDefault="006A75CE" w:rsidP="006A75CE">
            <w:pPr>
              <w:pStyle w:val="ListParagraph"/>
              <w:numPr>
                <w:ilvl w:val="0"/>
                <w:numId w:val="232"/>
              </w:numPr>
              <w:spacing w:line="360" w:lineRule="auto"/>
              <w:ind w:left="357" w:hanging="357"/>
              <w:rPr>
                <w:b/>
                <w:bCs/>
              </w:rPr>
            </w:pPr>
            <w:r w:rsidRPr="00251801">
              <w:rPr>
                <w:b/>
                <w:bCs/>
              </w:rPr>
              <w:t>Know the content and how to teach it</w:t>
            </w:r>
          </w:p>
        </w:tc>
      </w:tr>
      <w:tr w:rsidR="006A75CE" w14:paraId="4665C198" w14:textId="77777777" w:rsidTr="00FD4EA7">
        <w:tc>
          <w:tcPr>
            <w:tcW w:w="4508" w:type="dxa"/>
          </w:tcPr>
          <w:p w14:paraId="0ACB57E8" w14:textId="77777777" w:rsidR="006A75CE" w:rsidRPr="003C3320" w:rsidRDefault="006A75CE" w:rsidP="00FD4EA7">
            <w:pPr>
              <w:rPr>
                <w:b/>
                <w:bCs/>
              </w:rPr>
            </w:pPr>
            <w:r>
              <w:rPr>
                <w:b/>
                <w:bCs/>
              </w:rPr>
              <w:t xml:space="preserve">1.1 </w:t>
            </w:r>
            <w:r w:rsidRPr="003C3320">
              <w:rPr>
                <w:b/>
                <w:bCs/>
              </w:rPr>
              <w:t>Physical, social, and intellectual development, and characteristics of students</w:t>
            </w:r>
          </w:p>
          <w:p w14:paraId="35F81AC6" w14:textId="77777777" w:rsidR="006A75CE" w:rsidRDefault="006A75CE" w:rsidP="008B7486">
            <w:pPr>
              <w:spacing w:after="0"/>
            </w:pPr>
            <w:r>
              <w:t>BL: novice vs expert learners</w:t>
            </w:r>
          </w:p>
          <w:p w14:paraId="0A280050" w14:textId="77777777" w:rsidR="006A75CE" w:rsidRDefault="006A75CE" w:rsidP="008B7486">
            <w:pPr>
              <w:spacing w:after="0"/>
            </w:pPr>
            <w:r>
              <w:t>RT: First Nations</w:t>
            </w:r>
          </w:p>
          <w:p w14:paraId="3BA0C37F" w14:textId="77777777" w:rsidR="006A75CE" w:rsidRDefault="006A75CE" w:rsidP="008B7486">
            <w:pPr>
              <w:spacing w:after="0"/>
            </w:pPr>
            <w:r>
              <w:t>RT: cultural responsiveness</w:t>
            </w:r>
          </w:p>
        </w:tc>
        <w:tc>
          <w:tcPr>
            <w:tcW w:w="4508" w:type="dxa"/>
          </w:tcPr>
          <w:p w14:paraId="2178AF16" w14:textId="77777777" w:rsidR="006A75CE" w:rsidRPr="00D2752D" w:rsidRDefault="006A75CE" w:rsidP="00FD4EA7">
            <w:pPr>
              <w:rPr>
                <w:b/>
                <w:bCs/>
              </w:rPr>
            </w:pPr>
            <w:r>
              <w:rPr>
                <w:b/>
                <w:bCs/>
              </w:rPr>
              <w:t xml:space="preserve">2.1 </w:t>
            </w:r>
            <w:r w:rsidRPr="00D2752D">
              <w:rPr>
                <w:b/>
                <w:bCs/>
              </w:rPr>
              <w:t>Content and teaching strategies of the teaching area</w:t>
            </w:r>
          </w:p>
          <w:p w14:paraId="2DE1B191" w14:textId="77777777" w:rsidR="006A75CE" w:rsidRPr="001D1AE2" w:rsidRDefault="006A75CE" w:rsidP="008B7486">
            <w:pPr>
              <w:spacing w:after="0"/>
            </w:pPr>
            <w:r w:rsidRPr="001D1AE2">
              <w:t>EPP: all</w:t>
            </w:r>
          </w:p>
        </w:tc>
      </w:tr>
      <w:tr w:rsidR="006A75CE" w14:paraId="786AF95C" w14:textId="77777777" w:rsidTr="00FD4EA7">
        <w:tc>
          <w:tcPr>
            <w:tcW w:w="4508" w:type="dxa"/>
            <w:shd w:val="clear" w:color="auto" w:fill="auto"/>
          </w:tcPr>
          <w:p w14:paraId="48C0CDB8" w14:textId="77777777" w:rsidR="006A75CE" w:rsidRPr="00D2752D" w:rsidRDefault="006A75CE" w:rsidP="00FD4EA7">
            <w:pPr>
              <w:ind w:left="454" w:hanging="425"/>
              <w:rPr>
                <w:b/>
                <w:bCs/>
              </w:rPr>
            </w:pPr>
            <w:r>
              <w:rPr>
                <w:b/>
                <w:bCs/>
              </w:rPr>
              <w:t xml:space="preserve">1.2 </w:t>
            </w:r>
            <w:r w:rsidRPr="00D2752D">
              <w:rPr>
                <w:b/>
                <w:bCs/>
              </w:rPr>
              <w:t>Understand how students lear</w:t>
            </w:r>
            <w:r>
              <w:rPr>
                <w:b/>
                <w:bCs/>
              </w:rPr>
              <w:t>n</w:t>
            </w:r>
          </w:p>
          <w:p w14:paraId="27A0DC18" w14:textId="77777777" w:rsidR="006A75CE" w:rsidRPr="001D1AE2" w:rsidRDefault="006A75CE" w:rsidP="00FD4EA7">
            <w:pPr>
              <w:pStyle w:val="ListParagraph"/>
              <w:ind w:left="22"/>
            </w:pPr>
            <w:r w:rsidRPr="001D1AE2">
              <w:t>BL: novice v expert learns</w:t>
            </w:r>
          </w:p>
          <w:p w14:paraId="61284CCC" w14:textId="77777777" w:rsidR="006A75CE" w:rsidRPr="001D1AE2" w:rsidRDefault="006A75CE" w:rsidP="00FD4EA7">
            <w:pPr>
              <w:pStyle w:val="ListParagraph"/>
              <w:ind w:left="22"/>
            </w:pPr>
            <w:r w:rsidRPr="001D1AE2">
              <w:t>BL: how the brain learns and retains information</w:t>
            </w:r>
          </w:p>
          <w:p w14:paraId="62172445" w14:textId="77777777" w:rsidR="006A75CE" w:rsidRPr="001D1AE2" w:rsidRDefault="006A75CE" w:rsidP="00FD4EA7">
            <w:pPr>
              <w:pStyle w:val="ListParagraph"/>
              <w:ind w:left="22"/>
            </w:pPr>
            <w:r w:rsidRPr="001D1AE2">
              <w:t>BL: how the brain masters knowledge</w:t>
            </w:r>
          </w:p>
          <w:p w14:paraId="2CD75611" w14:textId="77777777" w:rsidR="006A75CE" w:rsidRPr="001D1AE2" w:rsidRDefault="006A75CE" w:rsidP="00FD4EA7">
            <w:pPr>
              <w:pStyle w:val="ListParagraph"/>
              <w:ind w:left="22"/>
            </w:pPr>
            <w:r w:rsidRPr="001D1AE2">
              <w:t>BL: neuromyths</w:t>
            </w:r>
          </w:p>
          <w:p w14:paraId="5C0D8C56" w14:textId="77777777" w:rsidR="006A75CE" w:rsidRDefault="006A75CE" w:rsidP="00FD4EA7">
            <w:pPr>
              <w:pStyle w:val="ListParagraph"/>
              <w:ind w:left="22"/>
            </w:pPr>
            <w:r w:rsidRPr="001D1AE2">
              <w:t>CM: proactive practices</w:t>
            </w:r>
          </w:p>
        </w:tc>
        <w:tc>
          <w:tcPr>
            <w:tcW w:w="4508" w:type="dxa"/>
            <w:shd w:val="clear" w:color="auto" w:fill="auto"/>
          </w:tcPr>
          <w:p w14:paraId="0ECDA7FF" w14:textId="09F42EF7" w:rsidR="006A75CE" w:rsidRPr="000B7241" w:rsidRDefault="006A75CE" w:rsidP="00FD4EA7">
            <w:pPr>
              <w:ind w:left="454" w:hanging="425"/>
              <w:rPr>
                <w:b/>
                <w:bCs/>
              </w:rPr>
            </w:pPr>
            <w:r>
              <w:rPr>
                <w:b/>
                <w:bCs/>
              </w:rPr>
              <w:t xml:space="preserve">2.2 </w:t>
            </w:r>
            <w:r w:rsidRPr="000B7241">
              <w:rPr>
                <w:b/>
                <w:bCs/>
              </w:rPr>
              <w:t xml:space="preserve">Content selection and </w:t>
            </w:r>
            <w:r w:rsidR="00907728" w:rsidRPr="000B7241">
              <w:rPr>
                <w:b/>
                <w:bCs/>
              </w:rPr>
              <w:t>organisation</w:t>
            </w:r>
          </w:p>
          <w:p w14:paraId="17AD8F9B" w14:textId="226F2323" w:rsidR="006A75CE" w:rsidRDefault="006A75CE" w:rsidP="008B7486">
            <w:pPr>
              <w:spacing w:after="0"/>
            </w:pPr>
            <w:r w:rsidRPr="000B7241">
              <w:t>EPP: planning and sequencing</w:t>
            </w:r>
          </w:p>
        </w:tc>
      </w:tr>
      <w:tr w:rsidR="006A75CE" w14:paraId="643DAB9C" w14:textId="77777777" w:rsidTr="00FD4EA7">
        <w:tc>
          <w:tcPr>
            <w:tcW w:w="4508" w:type="dxa"/>
          </w:tcPr>
          <w:p w14:paraId="3AED3D47" w14:textId="77777777" w:rsidR="006A75CE" w:rsidRPr="00D2752D" w:rsidRDefault="006A75CE" w:rsidP="00FD4EA7">
            <w:pPr>
              <w:rPr>
                <w:b/>
                <w:bCs/>
              </w:rPr>
            </w:pPr>
            <w:r w:rsidRPr="00D2752D">
              <w:rPr>
                <w:b/>
                <w:bCs/>
              </w:rPr>
              <w:t>1.3 Students with diverse linguistic, cultural, religious, and socioeconomic backgrounds</w:t>
            </w:r>
          </w:p>
          <w:p w14:paraId="3A549433" w14:textId="77777777" w:rsidR="006A75CE" w:rsidRPr="003C3320" w:rsidRDefault="006A75CE" w:rsidP="008B7486">
            <w:pPr>
              <w:spacing w:after="0"/>
            </w:pPr>
            <w:r w:rsidRPr="003C3320">
              <w:t>RT: First Nations</w:t>
            </w:r>
          </w:p>
          <w:p w14:paraId="59C64656" w14:textId="77777777" w:rsidR="006A75CE" w:rsidRDefault="006A75CE" w:rsidP="008B7486">
            <w:pPr>
              <w:spacing w:after="0"/>
            </w:pPr>
            <w:r>
              <w:t>RT: cultural responsiveness</w:t>
            </w:r>
          </w:p>
          <w:p w14:paraId="26853AF8" w14:textId="77777777" w:rsidR="006A75CE" w:rsidRDefault="006A75CE" w:rsidP="008B7486">
            <w:pPr>
              <w:spacing w:after="0"/>
            </w:pPr>
            <w:r>
              <w:t>EPP: all</w:t>
            </w:r>
          </w:p>
        </w:tc>
        <w:tc>
          <w:tcPr>
            <w:tcW w:w="4508" w:type="dxa"/>
          </w:tcPr>
          <w:p w14:paraId="6033FAE2" w14:textId="77777777" w:rsidR="006A75CE" w:rsidRPr="000B7241" w:rsidRDefault="006A75CE" w:rsidP="00FD4EA7">
            <w:pPr>
              <w:rPr>
                <w:b/>
                <w:bCs/>
              </w:rPr>
            </w:pPr>
            <w:r>
              <w:rPr>
                <w:b/>
                <w:bCs/>
              </w:rPr>
              <w:t xml:space="preserve">2.3 </w:t>
            </w:r>
            <w:r w:rsidRPr="000B7241">
              <w:rPr>
                <w:b/>
                <w:bCs/>
              </w:rPr>
              <w:t>Curriculum assessment, and reporting</w:t>
            </w:r>
          </w:p>
          <w:p w14:paraId="452C922F" w14:textId="77777777" w:rsidR="006A75CE" w:rsidRDefault="006A75CE" w:rsidP="008B7486">
            <w:pPr>
              <w:spacing w:after="0"/>
            </w:pPr>
            <w:r>
              <w:t>EPP: planning and sequencing</w:t>
            </w:r>
          </w:p>
          <w:p w14:paraId="59F0E5FF" w14:textId="77777777" w:rsidR="006A75CE" w:rsidRDefault="006A75CE" w:rsidP="008B7486">
            <w:pPr>
              <w:spacing w:after="0"/>
            </w:pPr>
            <w:r>
              <w:t>EPP: explicit modelling and scaffolding</w:t>
            </w:r>
          </w:p>
          <w:p w14:paraId="09B44813" w14:textId="77777777" w:rsidR="006A75CE" w:rsidRDefault="006A75CE" w:rsidP="008B7486">
            <w:pPr>
              <w:spacing w:after="0"/>
            </w:pPr>
            <w:r>
              <w:t>EPP: assessment and feedback</w:t>
            </w:r>
          </w:p>
        </w:tc>
      </w:tr>
      <w:tr w:rsidR="006A75CE" w14:paraId="1F249AC1" w14:textId="77777777" w:rsidTr="00FD4EA7">
        <w:tc>
          <w:tcPr>
            <w:tcW w:w="4508" w:type="dxa"/>
          </w:tcPr>
          <w:p w14:paraId="2CED6E0B" w14:textId="77777777" w:rsidR="006A75CE" w:rsidRPr="008B7486" w:rsidRDefault="006A75CE" w:rsidP="008B7486">
            <w:pPr>
              <w:spacing w:after="0"/>
            </w:pPr>
            <w:r w:rsidRPr="00E542DD">
              <w:rPr>
                <w:b/>
                <w:bCs/>
              </w:rPr>
              <w:t xml:space="preserve">1.4 Strategies for teaching Aboriginal and </w:t>
            </w:r>
            <w:r w:rsidRPr="008B7486">
              <w:rPr>
                <w:b/>
                <w:bCs/>
              </w:rPr>
              <w:t>Torres Strait Islander students</w:t>
            </w:r>
          </w:p>
          <w:p w14:paraId="2BA364D4" w14:textId="77777777" w:rsidR="006A75CE" w:rsidRDefault="006A75CE" w:rsidP="008B7486">
            <w:pPr>
              <w:spacing w:after="0"/>
            </w:pPr>
            <w:r>
              <w:t>RT: First Nations</w:t>
            </w:r>
          </w:p>
        </w:tc>
        <w:tc>
          <w:tcPr>
            <w:tcW w:w="4508" w:type="dxa"/>
          </w:tcPr>
          <w:p w14:paraId="365FE1C6" w14:textId="77777777" w:rsidR="006A75CE" w:rsidRPr="00E542DD" w:rsidRDefault="006A75CE" w:rsidP="00FD4EA7">
            <w:pPr>
              <w:rPr>
                <w:b/>
                <w:bCs/>
              </w:rPr>
            </w:pPr>
            <w:r>
              <w:rPr>
                <w:b/>
                <w:bCs/>
              </w:rPr>
              <w:t xml:space="preserve">2.4 </w:t>
            </w:r>
            <w:r w:rsidRPr="00E542DD">
              <w:rPr>
                <w:b/>
                <w:bCs/>
              </w:rPr>
              <w:t>Understand and respect Aboriginal and Torres Strait Islander people to promote reconciliation between Indigenous and non-Indigenous Australians</w:t>
            </w:r>
          </w:p>
          <w:p w14:paraId="17652AB8" w14:textId="77777777" w:rsidR="006A75CE" w:rsidRDefault="006A75CE" w:rsidP="008B7486">
            <w:pPr>
              <w:spacing w:after="0"/>
            </w:pPr>
            <w:r w:rsidRPr="00D2752D">
              <w:t>RT: First Nations</w:t>
            </w:r>
          </w:p>
        </w:tc>
      </w:tr>
      <w:tr w:rsidR="006A75CE" w14:paraId="1642FA8F" w14:textId="77777777" w:rsidTr="00FD4EA7">
        <w:tc>
          <w:tcPr>
            <w:tcW w:w="4508" w:type="dxa"/>
          </w:tcPr>
          <w:p w14:paraId="5A51A3A5" w14:textId="77777777" w:rsidR="006A75CE" w:rsidRPr="00D2752D" w:rsidRDefault="006A75CE" w:rsidP="00FD4EA7">
            <w:pPr>
              <w:rPr>
                <w:b/>
                <w:bCs/>
              </w:rPr>
            </w:pPr>
            <w:r w:rsidRPr="00D2752D">
              <w:rPr>
                <w:b/>
                <w:bCs/>
              </w:rPr>
              <w:t>1.5 Differentiate teaching to meet the specific learning needs of students across the full range of abilities</w:t>
            </w:r>
          </w:p>
          <w:p w14:paraId="08FFE05D" w14:textId="77777777" w:rsidR="006A75CE" w:rsidRDefault="006A75CE" w:rsidP="008B7486">
            <w:pPr>
              <w:spacing w:after="0"/>
            </w:pPr>
            <w:r>
              <w:t>EPP: all</w:t>
            </w:r>
          </w:p>
          <w:p w14:paraId="5B4F0715" w14:textId="77777777" w:rsidR="006A75CE" w:rsidRDefault="006A75CE" w:rsidP="008B7486">
            <w:pPr>
              <w:spacing w:after="0"/>
            </w:pPr>
            <w:r>
              <w:t>RT: cultural responsiveness</w:t>
            </w:r>
          </w:p>
          <w:p w14:paraId="01CF8C6C" w14:textId="77777777" w:rsidR="006A75CE" w:rsidRDefault="006A75CE" w:rsidP="008B7486">
            <w:pPr>
              <w:spacing w:after="0"/>
            </w:pPr>
            <w:r>
              <w:t>RT: diverse learning needs</w:t>
            </w:r>
          </w:p>
        </w:tc>
        <w:tc>
          <w:tcPr>
            <w:tcW w:w="4508" w:type="dxa"/>
          </w:tcPr>
          <w:p w14:paraId="124AABE8" w14:textId="77777777" w:rsidR="006A75CE" w:rsidRPr="00E542DD" w:rsidRDefault="006A75CE" w:rsidP="00FD4EA7">
            <w:pPr>
              <w:rPr>
                <w:b/>
                <w:bCs/>
              </w:rPr>
            </w:pPr>
            <w:r>
              <w:rPr>
                <w:b/>
                <w:bCs/>
              </w:rPr>
              <w:t>2.5 L</w:t>
            </w:r>
            <w:r w:rsidRPr="00E542DD">
              <w:rPr>
                <w:b/>
                <w:bCs/>
              </w:rPr>
              <w:t>iteracy and numeracy strategies</w:t>
            </w:r>
          </w:p>
          <w:p w14:paraId="55B19E40" w14:textId="77777777" w:rsidR="006A75CE" w:rsidRPr="00DF27C6" w:rsidRDefault="006A75CE" w:rsidP="008B7486">
            <w:pPr>
              <w:spacing w:after="0"/>
            </w:pPr>
            <w:r w:rsidRPr="00DF27C6">
              <w:t>EPP: literacy</w:t>
            </w:r>
          </w:p>
          <w:p w14:paraId="1A10EC39" w14:textId="77777777" w:rsidR="006A75CE" w:rsidRPr="00DF27C6" w:rsidRDefault="006A75CE" w:rsidP="008B7486">
            <w:pPr>
              <w:spacing w:after="0"/>
              <w:rPr>
                <w:b/>
                <w:bCs/>
              </w:rPr>
            </w:pPr>
            <w:r w:rsidRPr="00DF27C6">
              <w:t>EPP: numeracy</w:t>
            </w:r>
          </w:p>
        </w:tc>
      </w:tr>
      <w:tr w:rsidR="006A75CE" w14:paraId="07BCD181" w14:textId="77777777" w:rsidTr="006A75CE">
        <w:tc>
          <w:tcPr>
            <w:tcW w:w="4508" w:type="dxa"/>
          </w:tcPr>
          <w:p w14:paraId="22930E1A" w14:textId="77777777" w:rsidR="006A75CE" w:rsidRPr="00E542DD" w:rsidRDefault="006A75CE" w:rsidP="00FD4EA7">
            <w:pPr>
              <w:rPr>
                <w:b/>
                <w:bCs/>
              </w:rPr>
            </w:pPr>
            <w:r w:rsidRPr="00E542DD">
              <w:rPr>
                <w:b/>
                <w:bCs/>
              </w:rPr>
              <w:t>1.6 Strategies to support full participation of students with disability</w:t>
            </w:r>
          </w:p>
          <w:p w14:paraId="7E90C03A" w14:textId="77777777" w:rsidR="006A75CE" w:rsidRDefault="006A75CE" w:rsidP="008B7486">
            <w:pPr>
              <w:spacing w:after="0"/>
            </w:pPr>
            <w:r>
              <w:t>RT: diverse learning needs</w:t>
            </w:r>
          </w:p>
          <w:p w14:paraId="122B6789" w14:textId="77777777" w:rsidR="006A75CE" w:rsidRDefault="006A75CE" w:rsidP="008B7486">
            <w:pPr>
              <w:spacing w:after="0"/>
            </w:pPr>
            <w:r>
              <w:t>EPP: multi-tiered systems of support</w:t>
            </w:r>
          </w:p>
          <w:p w14:paraId="262FACFE" w14:textId="77777777" w:rsidR="006A75CE" w:rsidRDefault="006A75CE" w:rsidP="008B7486">
            <w:pPr>
              <w:spacing w:after="0"/>
            </w:pPr>
            <w:r>
              <w:t>EPP: all</w:t>
            </w:r>
          </w:p>
        </w:tc>
        <w:tc>
          <w:tcPr>
            <w:tcW w:w="4508" w:type="dxa"/>
            <w:shd w:val="clear" w:color="auto" w:fill="BFBFBF" w:themeFill="accent4" w:themeFillShade="BF"/>
          </w:tcPr>
          <w:p w14:paraId="0E0C44EC" w14:textId="77777777" w:rsidR="006A75CE" w:rsidRPr="00E542DD" w:rsidRDefault="006A75CE" w:rsidP="00FD4EA7">
            <w:pPr>
              <w:rPr>
                <w:b/>
                <w:bCs/>
              </w:rPr>
            </w:pPr>
            <w:r w:rsidRPr="00E542DD">
              <w:rPr>
                <w:b/>
                <w:bCs/>
              </w:rPr>
              <w:t>2.6 Information and communication technology (ICT)</w:t>
            </w:r>
          </w:p>
        </w:tc>
      </w:tr>
    </w:tbl>
    <w:p w14:paraId="4BDAFBBE" w14:textId="1A7D7DA9" w:rsidR="006A75CE" w:rsidRDefault="006A75CE">
      <w:pPr>
        <w:spacing w:after="160" w:line="259" w:lineRule="auto"/>
        <w:rPr>
          <w:rFonts w:cstheme="minorHAnsi"/>
          <w:sz w:val="18"/>
          <w:szCs w:val="16"/>
        </w:rPr>
      </w:pPr>
    </w:p>
    <w:tbl>
      <w:tblPr>
        <w:tblStyle w:val="TableGrid"/>
        <w:tblW w:w="0" w:type="auto"/>
        <w:tblLook w:val="04A0" w:firstRow="1" w:lastRow="0" w:firstColumn="1" w:lastColumn="0" w:noHBand="0" w:noVBand="1"/>
      </w:tblPr>
      <w:tblGrid>
        <w:gridCol w:w="2818"/>
        <w:gridCol w:w="2886"/>
        <w:gridCol w:w="3312"/>
      </w:tblGrid>
      <w:tr w:rsidR="006A75CE" w14:paraId="52201857" w14:textId="77777777" w:rsidTr="00251801">
        <w:tc>
          <w:tcPr>
            <w:tcW w:w="9016" w:type="dxa"/>
            <w:gridSpan w:val="3"/>
            <w:shd w:val="clear" w:color="auto" w:fill="00274F" w:themeFill="text2" w:themeFillShade="80"/>
          </w:tcPr>
          <w:p w14:paraId="0AFE200C" w14:textId="77777777" w:rsidR="006A75CE" w:rsidRDefault="006A75CE" w:rsidP="00FD4EA7">
            <w:pPr>
              <w:jc w:val="center"/>
              <w:rPr>
                <w:b/>
                <w:bCs/>
                <w:color w:val="FFFFFF" w:themeColor="background1"/>
              </w:rPr>
            </w:pPr>
            <w:r>
              <w:rPr>
                <w:b/>
                <w:bCs/>
                <w:color w:val="FFFFFF" w:themeColor="background1"/>
              </w:rPr>
              <w:lastRenderedPageBreak/>
              <w:t>PROFESSIONAL PRACTICE</w:t>
            </w:r>
          </w:p>
        </w:tc>
      </w:tr>
      <w:tr w:rsidR="00251801" w:rsidRPr="00251801" w14:paraId="78494582" w14:textId="77777777" w:rsidTr="00251801">
        <w:tc>
          <w:tcPr>
            <w:tcW w:w="2818" w:type="dxa"/>
            <w:shd w:val="clear" w:color="auto" w:fill="8CAADA"/>
          </w:tcPr>
          <w:p w14:paraId="3452B359" w14:textId="77777777" w:rsidR="006A75CE" w:rsidRPr="00251801" w:rsidRDefault="006A75CE" w:rsidP="006A75CE">
            <w:pPr>
              <w:pStyle w:val="ListParagraph"/>
              <w:numPr>
                <w:ilvl w:val="0"/>
                <w:numId w:val="232"/>
              </w:numPr>
              <w:rPr>
                <w:b/>
                <w:bCs/>
              </w:rPr>
            </w:pPr>
            <w:r w:rsidRPr="00251801">
              <w:rPr>
                <w:b/>
                <w:bCs/>
              </w:rPr>
              <w:t>Plan for and implement effective teaching and learning</w:t>
            </w:r>
          </w:p>
        </w:tc>
        <w:tc>
          <w:tcPr>
            <w:tcW w:w="2886" w:type="dxa"/>
            <w:shd w:val="clear" w:color="auto" w:fill="8CAADA"/>
          </w:tcPr>
          <w:p w14:paraId="63B72CD4" w14:textId="77777777" w:rsidR="006A75CE" w:rsidRPr="00251801" w:rsidRDefault="006A75CE" w:rsidP="006A75CE">
            <w:pPr>
              <w:pStyle w:val="ListParagraph"/>
              <w:numPr>
                <w:ilvl w:val="0"/>
                <w:numId w:val="232"/>
              </w:numPr>
              <w:ind w:left="357" w:hanging="357"/>
              <w:rPr>
                <w:b/>
                <w:bCs/>
              </w:rPr>
            </w:pPr>
            <w:r w:rsidRPr="00251801">
              <w:rPr>
                <w:b/>
                <w:bCs/>
              </w:rPr>
              <w:t>Create and maintain supportive and safe learning environments</w:t>
            </w:r>
          </w:p>
        </w:tc>
        <w:tc>
          <w:tcPr>
            <w:tcW w:w="3312" w:type="dxa"/>
            <w:shd w:val="clear" w:color="auto" w:fill="8CAADA"/>
          </w:tcPr>
          <w:p w14:paraId="053FB682" w14:textId="77777777" w:rsidR="006A75CE" w:rsidRPr="00251801" w:rsidRDefault="006A75CE" w:rsidP="006A75CE">
            <w:pPr>
              <w:pStyle w:val="ListParagraph"/>
              <w:numPr>
                <w:ilvl w:val="0"/>
                <w:numId w:val="232"/>
              </w:numPr>
              <w:rPr>
                <w:b/>
                <w:bCs/>
              </w:rPr>
            </w:pPr>
            <w:r w:rsidRPr="00251801">
              <w:rPr>
                <w:b/>
                <w:bCs/>
              </w:rPr>
              <w:t xml:space="preserve">Assess, provide feedback and report on student learning </w:t>
            </w:r>
          </w:p>
        </w:tc>
      </w:tr>
      <w:tr w:rsidR="006A75CE" w14:paraId="6F5F35EB" w14:textId="77777777" w:rsidTr="00FD4EA7">
        <w:tc>
          <w:tcPr>
            <w:tcW w:w="2818" w:type="dxa"/>
          </w:tcPr>
          <w:p w14:paraId="2DFC737B" w14:textId="77777777" w:rsidR="006A75CE" w:rsidRPr="003C3320" w:rsidRDefault="006A75CE" w:rsidP="00FD4EA7">
            <w:pPr>
              <w:rPr>
                <w:b/>
                <w:bCs/>
              </w:rPr>
            </w:pPr>
            <w:r>
              <w:rPr>
                <w:b/>
                <w:bCs/>
              </w:rPr>
              <w:t xml:space="preserve">3.1 </w:t>
            </w:r>
            <w:r w:rsidRPr="003C3320">
              <w:rPr>
                <w:b/>
                <w:bCs/>
              </w:rPr>
              <w:t xml:space="preserve">Establish challenging learning goals </w:t>
            </w:r>
          </w:p>
          <w:p w14:paraId="48E6F4D9" w14:textId="77777777" w:rsidR="006A75CE" w:rsidRDefault="006A75CE" w:rsidP="006A75CE">
            <w:pPr>
              <w:spacing w:after="0"/>
            </w:pPr>
            <w:r>
              <w:t>EPP: explicit modelling and scaffolding</w:t>
            </w:r>
          </w:p>
          <w:p w14:paraId="5F4C0764" w14:textId="77777777" w:rsidR="006A75CE" w:rsidRDefault="006A75CE" w:rsidP="006A75CE">
            <w:pPr>
              <w:spacing w:after="0"/>
            </w:pPr>
            <w:r>
              <w:t>CM: proactive practices</w:t>
            </w:r>
          </w:p>
        </w:tc>
        <w:tc>
          <w:tcPr>
            <w:tcW w:w="2886" w:type="dxa"/>
          </w:tcPr>
          <w:p w14:paraId="02C46A03" w14:textId="77777777" w:rsidR="006A75CE" w:rsidRPr="00D2752D" w:rsidRDefault="006A75CE" w:rsidP="00FD4EA7">
            <w:pPr>
              <w:rPr>
                <w:b/>
                <w:bCs/>
              </w:rPr>
            </w:pPr>
            <w:r>
              <w:rPr>
                <w:b/>
                <w:bCs/>
              </w:rPr>
              <w:t xml:space="preserve">4.1 </w:t>
            </w:r>
            <w:r w:rsidRPr="00C67796">
              <w:rPr>
                <w:b/>
                <w:bCs/>
              </w:rPr>
              <w:t>Support student participation</w:t>
            </w:r>
          </w:p>
          <w:p w14:paraId="4423B108" w14:textId="77777777" w:rsidR="006A75CE" w:rsidRDefault="006A75CE" w:rsidP="006A75CE">
            <w:pPr>
              <w:spacing w:after="0"/>
            </w:pPr>
            <w:r w:rsidRPr="001D1AE2">
              <w:t>EPP: all</w:t>
            </w:r>
          </w:p>
          <w:p w14:paraId="284B65BD" w14:textId="77777777" w:rsidR="006A75CE" w:rsidRDefault="006A75CE" w:rsidP="006A75CE">
            <w:pPr>
              <w:spacing w:after="0"/>
            </w:pPr>
            <w:r>
              <w:t>CM: all</w:t>
            </w:r>
          </w:p>
          <w:p w14:paraId="6F8AC85E" w14:textId="77777777" w:rsidR="006A75CE" w:rsidRPr="001D1AE2" w:rsidRDefault="006A75CE" w:rsidP="006A75CE">
            <w:pPr>
              <w:spacing w:after="0"/>
            </w:pPr>
            <w:r>
              <w:t>RT: all</w:t>
            </w:r>
          </w:p>
        </w:tc>
        <w:tc>
          <w:tcPr>
            <w:tcW w:w="3312" w:type="dxa"/>
          </w:tcPr>
          <w:p w14:paraId="3A35ADA4" w14:textId="77777777" w:rsidR="006A75CE" w:rsidRPr="00C67796" w:rsidRDefault="006A75CE" w:rsidP="00FD4EA7">
            <w:pPr>
              <w:rPr>
                <w:b/>
                <w:bCs/>
              </w:rPr>
            </w:pPr>
            <w:r>
              <w:rPr>
                <w:b/>
                <w:bCs/>
              </w:rPr>
              <w:t xml:space="preserve">5.1 </w:t>
            </w:r>
            <w:r w:rsidRPr="00C67796">
              <w:rPr>
                <w:b/>
                <w:bCs/>
              </w:rPr>
              <w:t>Assess student learning</w:t>
            </w:r>
          </w:p>
          <w:p w14:paraId="38535135" w14:textId="77777777" w:rsidR="006A75CE" w:rsidRPr="00DF27C6" w:rsidRDefault="006A75CE" w:rsidP="00FD4EA7">
            <w:r w:rsidRPr="00DF27C6">
              <w:t>EPP: assessment and feedback</w:t>
            </w:r>
          </w:p>
        </w:tc>
      </w:tr>
      <w:tr w:rsidR="006A75CE" w14:paraId="47D65B5A" w14:textId="77777777" w:rsidTr="00FD4EA7">
        <w:tc>
          <w:tcPr>
            <w:tcW w:w="2818" w:type="dxa"/>
            <w:shd w:val="clear" w:color="auto" w:fill="auto"/>
          </w:tcPr>
          <w:p w14:paraId="32A46624" w14:textId="77777777" w:rsidR="006A75CE" w:rsidRPr="00D2752D" w:rsidRDefault="006A75CE" w:rsidP="00FD4EA7">
            <w:pPr>
              <w:rPr>
                <w:b/>
                <w:bCs/>
              </w:rPr>
            </w:pPr>
            <w:r>
              <w:rPr>
                <w:b/>
                <w:bCs/>
              </w:rPr>
              <w:t xml:space="preserve">3.2 </w:t>
            </w:r>
            <w:r w:rsidRPr="00C67796">
              <w:rPr>
                <w:b/>
                <w:bCs/>
              </w:rPr>
              <w:t>Plan, structure, and sequence learning programs</w:t>
            </w:r>
          </w:p>
          <w:p w14:paraId="67EF50F6" w14:textId="77777777" w:rsidR="006A75CE" w:rsidRDefault="006A75CE" w:rsidP="006A75CE">
            <w:pPr>
              <w:spacing w:after="0"/>
            </w:pPr>
            <w:r w:rsidRPr="00C67796">
              <w:t>EPP: planning and sequencing</w:t>
            </w:r>
          </w:p>
        </w:tc>
        <w:tc>
          <w:tcPr>
            <w:tcW w:w="2886" w:type="dxa"/>
            <w:shd w:val="clear" w:color="auto" w:fill="auto"/>
          </w:tcPr>
          <w:p w14:paraId="6301DE0F" w14:textId="77777777" w:rsidR="006A75CE" w:rsidRPr="000B7241" w:rsidRDefault="006A75CE" w:rsidP="00FD4EA7">
            <w:pPr>
              <w:rPr>
                <w:b/>
                <w:bCs/>
              </w:rPr>
            </w:pPr>
            <w:r>
              <w:rPr>
                <w:b/>
                <w:bCs/>
              </w:rPr>
              <w:t xml:space="preserve">4.2 </w:t>
            </w:r>
            <w:r w:rsidRPr="00C67796">
              <w:rPr>
                <w:b/>
                <w:bCs/>
              </w:rPr>
              <w:t>Manage classroom activities</w:t>
            </w:r>
          </w:p>
          <w:p w14:paraId="59B0C67B" w14:textId="77777777" w:rsidR="006A75CE" w:rsidRDefault="006A75CE" w:rsidP="006A75CE">
            <w:pPr>
              <w:spacing w:after="0"/>
            </w:pPr>
            <w:r>
              <w:t>EPP: planning and sequencing</w:t>
            </w:r>
          </w:p>
          <w:p w14:paraId="6DBB3F23" w14:textId="77777777" w:rsidR="006A75CE" w:rsidRDefault="006A75CE" w:rsidP="006A75CE">
            <w:pPr>
              <w:spacing w:after="0"/>
            </w:pPr>
            <w:r>
              <w:t>EPP: explicit modelling and scaffolding</w:t>
            </w:r>
          </w:p>
          <w:p w14:paraId="4372157B" w14:textId="77777777" w:rsidR="006A75CE" w:rsidRDefault="006A75CE" w:rsidP="006A75CE">
            <w:pPr>
              <w:spacing w:after="0"/>
            </w:pPr>
            <w:r>
              <w:t>EPP: assessment and feedback</w:t>
            </w:r>
          </w:p>
          <w:p w14:paraId="0AAEDB97" w14:textId="77777777" w:rsidR="006A75CE" w:rsidRDefault="006A75CE" w:rsidP="006A75CE">
            <w:pPr>
              <w:spacing w:after="0"/>
            </w:pPr>
            <w:r>
              <w:t>CM: proactive practices</w:t>
            </w:r>
          </w:p>
          <w:p w14:paraId="712AE367" w14:textId="77777777" w:rsidR="006A75CE" w:rsidRDefault="006A75CE" w:rsidP="006A75CE">
            <w:pPr>
              <w:spacing w:after="0"/>
            </w:pPr>
            <w:r>
              <w:t>CM: rules and routines</w:t>
            </w:r>
          </w:p>
          <w:p w14:paraId="1562E56D" w14:textId="77777777" w:rsidR="006A75CE" w:rsidRDefault="006A75CE" w:rsidP="006A75CE">
            <w:pPr>
              <w:spacing w:after="0"/>
            </w:pPr>
            <w:r>
              <w:t>CM: managing behaviour</w:t>
            </w:r>
          </w:p>
        </w:tc>
        <w:tc>
          <w:tcPr>
            <w:tcW w:w="3312" w:type="dxa"/>
          </w:tcPr>
          <w:p w14:paraId="0E083595" w14:textId="77777777" w:rsidR="006A75CE" w:rsidRPr="00C67796" w:rsidRDefault="006A75CE" w:rsidP="00FD4EA7">
            <w:pPr>
              <w:rPr>
                <w:b/>
                <w:bCs/>
              </w:rPr>
            </w:pPr>
            <w:r>
              <w:rPr>
                <w:b/>
                <w:bCs/>
              </w:rPr>
              <w:t xml:space="preserve">5.2 </w:t>
            </w:r>
            <w:r w:rsidRPr="00C67796">
              <w:rPr>
                <w:b/>
                <w:bCs/>
              </w:rPr>
              <w:t>Provide feedback to students on their learning</w:t>
            </w:r>
          </w:p>
          <w:p w14:paraId="6BFC4455" w14:textId="77777777" w:rsidR="006A75CE" w:rsidRPr="00DF27C6" w:rsidRDefault="006A75CE" w:rsidP="006A75CE">
            <w:pPr>
              <w:spacing w:after="0"/>
            </w:pPr>
            <w:r w:rsidRPr="00DF27C6">
              <w:t>EPP: assessment and feedback</w:t>
            </w:r>
          </w:p>
        </w:tc>
      </w:tr>
      <w:tr w:rsidR="006A75CE" w14:paraId="66FE47DB" w14:textId="77777777" w:rsidTr="006A75CE">
        <w:tc>
          <w:tcPr>
            <w:tcW w:w="2818" w:type="dxa"/>
          </w:tcPr>
          <w:p w14:paraId="057B69E2" w14:textId="77777777" w:rsidR="006A75CE" w:rsidRPr="00D2752D" w:rsidRDefault="006A75CE" w:rsidP="00FD4EA7">
            <w:pPr>
              <w:rPr>
                <w:b/>
                <w:bCs/>
              </w:rPr>
            </w:pPr>
            <w:r>
              <w:rPr>
                <w:b/>
                <w:bCs/>
              </w:rPr>
              <w:t>3</w:t>
            </w:r>
            <w:r w:rsidRPr="00D2752D">
              <w:rPr>
                <w:b/>
                <w:bCs/>
              </w:rPr>
              <w:t xml:space="preserve">.3 </w:t>
            </w:r>
            <w:r w:rsidRPr="00C67796">
              <w:rPr>
                <w:b/>
                <w:bCs/>
              </w:rPr>
              <w:t>Use teaching strategies</w:t>
            </w:r>
          </w:p>
          <w:p w14:paraId="6A99C2F0" w14:textId="77777777" w:rsidR="006A75CE" w:rsidRPr="00C67796" w:rsidRDefault="006A75CE" w:rsidP="006A75CE">
            <w:pPr>
              <w:spacing w:after="0"/>
            </w:pPr>
            <w:r w:rsidRPr="00C67796">
              <w:t>EPP: all</w:t>
            </w:r>
          </w:p>
          <w:p w14:paraId="27D8681A" w14:textId="77777777" w:rsidR="006A75CE" w:rsidRPr="00C67796" w:rsidRDefault="006A75CE" w:rsidP="006A75CE">
            <w:pPr>
              <w:spacing w:after="0"/>
            </w:pPr>
            <w:r w:rsidRPr="00C67796">
              <w:t>CM: proactive practices</w:t>
            </w:r>
          </w:p>
          <w:p w14:paraId="341E6B0A" w14:textId="77777777" w:rsidR="006A75CE" w:rsidRDefault="006A75CE" w:rsidP="006A75CE">
            <w:pPr>
              <w:spacing w:after="0"/>
            </w:pPr>
            <w:r w:rsidRPr="00C67796">
              <w:t>CM: rules and routines</w:t>
            </w:r>
          </w:p>
        </w:tc>
        <w:tc>
          <w:tcPr>
            <w:tcW w:w="2886" w:type="dxa"/>
          </w:tcPr>
          <w:p w14:paraId="0DFD1DF3" w14:textId="77777777" w:rsidR="006A75CE" w:rsidRDefault="006A75CE" w:rsidP="00FD4EA7">
            <w:pPr>
              <w:rPr>
                <w:b/>
                <w:bCs/>
              </w:rPr>
            </w:pPr>
            <w:r>
              <w:rPr>
                <w:b/>
                <w:bCs/>
              </w:rPr>
              <w:t xml:space="preserve">4.3 </w:t>
            </w:r>
            <w:r w:rsidRPr="00C67796">
              <w:rPr>
                <w:b/>
                <w:bCs/>
              </w:rPr>
              <w:t>Manage challenging behaviour</w:t>
            </w:r>
          </w:p>
          <w:p w14:paraId="4272B969" w14:textId="77777777" w:rsidR="006A75CE" w:rsidRDefault="006A75CE" w:rsidP="006A75CE">
            <w:pPr>
              <w:spacing w:after="0"/>
            </w:pPr>
            <w:r w:rsidRPr="00C67796">
              <w:t>CM: all</w:t>
            </w:r>
          </w:p>
        </w:tc>
        <w:tc>
          <w:tcPr>
            <w:tcW w:w="3312" w:type="dxa"/>
            <w:shd w:val="clear" w:color="auto" w:fill="BFBFBF" w:themeFill="accent4" w:themeFillShade="BF"/>
          </w:tcPr>
          <w:p w14:paraId="463FCB95" w14:textId="77777777" w:rsidR="006A75CE" w:rsidRPr="00C63C32" w:rsidRDefault="006A75CE" w:rsidP="00FD4EA7">
            <w:pPr>
              <w:spacing w:after="0" w:line="240" w:lineRule="auto"/>
            </w:pPr>
            <w:r w:rsidRPr="00C63C32">
              <w:rPr>
                <w:b/>
                <w:bCs/>
              </w:rPr>
              <w:t>5.3 Make consistent and comparable judgements</w:t>
            </w:r>
          </w:p>
          <w:p w14:paraId="1871F630" w14:textId="77777777" w:rsidR="006A75CE" w:rsidRPr="00C67796" w:rsidRDefault="006A75CE" w:rsidP="00FD4EA7"/>
        </w:tc>
      </w:tr>
      <w:tr w:rsidR="006A75CE" w14:paraId="5AF28E8A" w14:textId="77777777" w:rsidTr="00FD4EA7">
        <w:tc>
          <w:tcPr>
            <w:tcW w:w="2818" w:type="dxa"/>
          </w:tcPr>
          <w:p w14:paraId="44179425" w14:textId="77777777" w:rsidR="006A75CE" w:rsidRPr="00E542DD" w:rsidRDefault="006A75CE" w:rsidP="00FD4EA7">
            <w:pPr>
              <w:rPr>
                <w:b/>
                <w:bCs/>
              </w:rPr>
            </w:pPr>
            <w:r>
              <w:rPr>
                <w:b/>
                <w:bCs/>
              </w:rPr>
              <w:t>3</w:t>
            </w:r>
            <w:r w:rsidRPr="00E542DD">
              <w:rPr>
                <w:b/>
                <w:bCs/>
              </w:rPr>
              <w:t xml:space="preserve">.4 </w:t>
            </w:r>
            <w:r w:rsidRPr="00C67796">
              <w:rPr>
                <w:b/>
                <w:bCs/>
              </w:rPr>
              <w:t>Select and use resources</w:t>
            </w:r>
          </w:p>
          <w:p w14:paraId="579B2562" w14:textId="77777777" w:rsidR="006A75CE" w:rsidRDefault="006A75CE" w:rsidP="006A75CE">
            <w:pPr>
              <w:spacing w:after="0"/>
            </w:pPr>
            <w:r>
              <w:t>EPP: all</w:t>
            </w:r>
          </w:p>
          <w:p w14:paraId="75F6078D" w14:textId="77777777" w:rsidR="006A75CE" w:rsidRDefault="006A75CE" w:rsidP="006A75CE">
            <w:pPr>
              <w:spacing w:after="0"/>
            </w:pPr>
            <w:r>
              <w:t>CM: proactive practices</w:t>
            </w:r>
          </w:p>
          <w:p w14:paraId="7A8C9C16" w14:textId="77777777" w:rsidR="006A75CE" w:rsidRDefault="006A75CE" w:rsidP="006A75CE">
            <w:pPr>
              <w:spacing w:after="0"/>
            </w:pPr>
            <w:r>
              <w:t>CM: rules and routines</w:t>
            </w:r>
          </w:p>
        </w:tc>
        <w:tc>
          <w:tcPr>
            <w:tcW w:w="2886" w:type="dxa"/>
          </w:tcPr>
          <w:p w14:paraId="7F4CFF89" w14:textId="77777777" w:rsidR="006A75CE" w:rsidRPr="00C67796" w:rsidRDefault="006A75CE" w:rsidP="00FD4EA7">
            <w:pPr>
              <w:rPr>
                <w:b/>
                <w:bCs/>
              </w:rPr>
            </w:pPr>
            <w:r w:rsidRPr="00C67796">
              <w:rPr>
                <w:b/>
                <w:bCs/>
              </w:rPr>
              <w:t>4.4 Maintain student safety</w:t>
            </w:r>
          </w:p>
          <w:p w14:paraId="47F41B3D" w14:textId="77777777" w:rsidR="006A75CE" w:rsidRDefault="006A75CE" w:rsidP="006A75CE">
            <w:pPr>
              <w:spacing w:after="0"/>
            </w:pPr>
            <w:r>
              <w:t>CM: all</w:t>
            </w:r>
          </w:p>
          <w:p w14:paraId="7AC5BF5C" w14:textId="77777777" w:rsidR="006A75CE" w:rsidRDefault="006A75CE" w:rsidP="006A75CE">
            <w:pPr>
              <w:spacing w:after="0"/>
            </w:pPr>
            <w:r>
              <w:t>RT: all</w:t>
            </w:r>
          </w:p>
        </w:tc>
        <w:tc>
          <w:tcPr>
            <w:tcW w:w="3312" w:type="dxa"/>
          </w:tcPr>
          <w:p w14:paraId="0F4B2236" w14:textId="77777777" w:rsidR="006A75CE" w:rsidRPr="003C3320" w:rsidRDefault="006A75CE" w:rsidP="00FD4EA7">
            <w:pPr>
              <w:rPr>
                <w:b/>
                <w:bCs/>
              </w:rPr>
            </w:pPr>
            <w:r>
              <w:rPr>
                <w:b/>
                <w:bCs/>
              </w:rPr>
              <w:t xml:space="preserve">4.4 </w:t>
            </w:r>
            <w:r w:rsidRPr="003C3320">
              <w:rPr>
                <w:b/>
                <w:bCs/>
              </w:rPr>
              <w:t>Interpret student data</w:t>
            </w:r>
          </w:p>
          <w:p w14:paraId="506C39C6" w14:textId="77777777" w:rsidR="006A75CE" w:rsidRPr="00C67796" w:rsidRDefault="006A75CE" w:rsidP="006A75CE">
            <w:pPr>
              <w:spacing w:after="0"/>
            </w:pPr>
            <w:r w:rsidRPr="00C67796">
              <w:t>EPP: assessment and feedback</w:t>
            </w:r>
          </w:p>
          <w:p w14:paraId="62F137B2" w14:textId="77777777" w:rsidR="006A75CE" w:rsidRPr="00C67796" w:rsidRDefault="006A75CE" w:rsidP="006A75CE">
            <w:pPr>
              <w:spacing w:after="0"/>
              <w:rPr>
                <w:b/>
                <w:bCs/>
              </w:rPr>
            </w:pPr>
            <w:r w:rsidRPr="00C67796">
              <w:t>EPP: multi-tiered systems of support</w:t>
            </w:r>
          </w:p>
        </w:tc>
      </w:tr>
      <w:tr w:rsidR="006A75CE" w14:paraId="13F3249C" w14:textId="77777777" w:rsidTr="006A75CE">
        <w:tc>
          <w:tcPr>
            <w:tcW w:w="2818" w:type="dxa"/>
          </w:tcPr>
          <w:p w14:paraId="26532D09" w14:textId="77777777" w:rsidR="006A75CE" w:rsidRPr="00D2752D" w:rsidRDefault="006A75CE" w:rsidP="00FD4EA7">
            <w:pPr>
              <w:rPr>
                <w:b/>
                <w:bCs/>
              </w:rPr>
            </w:pPr>
            <w:r>
              <w:rPr>
                <w:b/>
                <w:bCs/>
              </w:rPr>
              <w:t xml:space="preserve">3.5 </w:t>
            </w:r>
            <w:r w:rsidRPr="00C67796">
              <w:rPr>
                <w:b/>
                <w:bCs/>
              </w:rPr>
              <w:t>Use effective classroom communication</w:t>
            </w:r>
          </w:p>
          <w:p w14:paraId="5FF37122" w14:textId="77777777" w:rsidR="006A75CE" w:rsidRDefault="006A75CE" w:rsidP="006A75CE">
            <w:pPr>
              <w:spacing w:after="0"/>
            </w:pPr>
            <w:r>
              <w:t>EPP: all</w:t>
            </w:r>
          </w:p>
          <w:p w14:paraId="19480E67" w14:textId="77777777" w:rsidR="006A75CE" w:rsidRDefault="006A75CE" w:rsidP="006A75CE">
            <w:pPr>
              <w:spacing w:after="0"/>
            </w:pPr>
            <w:r>
              <w:t>CM: managing behaviour</w:t>
            </w:r>
          </w:p>
        </w:tc>
        <w:tc>
          <w:tcPr>
            <w:tcW w:w="2886" w:type="dxa"/>
            <w:shd w:val="clear" w:color="auto" w:fill="BFBFBF" w:themeFill="accent4" w:themeFillShade="BF"/>
          </w:tcPr>
          <w:p w14:paraId="23280F27" w14:textId="151D2AA7" w:rsidR="006A75CE" w:rsidRPr="006A75CE" w:rsidRDefault="006A75CE" w:rsidP="006A75CE">
            <w:pPr>
              <w:rPr>
                <w:b/>
                <w:bCs/>
              </w:rPr>
            </w:pPr>
            <w:r w:rsidRPr="00C67796">
              <w:rPr>
                <w:b/>
                <w:bCs/>
              </w:rPr>
              <w:t>4.5 Use ICT safely, responsibly, and ethically</w:t>
            </w:r>
          </w:p>
        </w:tc>
        <w:tc>
          <w:tcPr>
            <w:tcW w:w="3312" w:type="dxa"/>
            <w:shd w:val="clear" w:color="auto" w:fill="BFBFBF" w:themeFill="accent4" w:themeFillShade="BF"/>
          </w:tcPr>
          <w:p w14:paraId="52DA18B8" w14:textId="77777777" w:rsidR="006A75CE" w:rsidRPr="00C67796" w:rsidRDefault="006A75CE" w:rsidP="00FD4EA7">
            <w:pPr>
              <w:rPr>
                <w:b/>
                <w:bCs/>
              </w:rPr>
            </w:pPr>
            <w:r>
              <w:rPr>
                <w:b/>
                <w:bCs/>
              </w:rPr>
              <w:t>5.5 Report on student achievement</w:t>
            </w:r>
          </w:p>
        </w:tc>
      </w:tr>
      <w:tr w:rsidR="006A75CE" w14:paraId="79F12C1B" w14:textId="77777777" w:rsidTr="00FD4EA7">
        <w:tc>
          <w:tcPr>
            <w:tcW w:w="2818" w:type="dxa"/>
          </w:tcPr>
          <w:p w14:paraId="71D03F5F" w14:textId="77777777" w:rsidR="006A75CE" w:rsidRPr="00E542DD" w:rsidRDefault="006A75CE" w:rsidP="00FD4EA7">
            <w:pPr>
              <w:rPr>
                <w:b/>
                <w:bCs/>
              </w:rPr>
            </w:pPr>
            <w:r>
              <w:rPr>
                <w:b/>
                <w:bCs/>
              </w:rPr>
              <w:t>3</w:t>
            </w:r>
            <w:r w:rsidRPr="00E542DD">
              <w:rPr>
                <w:b/>
                <w:bCs/>
              </w:rPr>
              <w:t xml:space="preserve">.6 </w:t>
            </w:r>
            <w:r>
              <w:rPr>
                <w:b/>
                <w:bCs/>
              </w:rPr>
              <w:t>Evaluate and improve teaching programs</w:t>
            </w:r>
          </w:p>
          <w:p w14:paraId="5D1C2362" w14:textId="77777777" w:rsidR="006A75CE" w:rsidRDefault="006A75CE" w:rsidP="006A75CE">
            <w:pPr>
              <w:spacing w:after="0"/>
            </w:pPr>
            <w:r w:rsidRPr="001A0598">
              <w:t>EPP: all</w:t>
            </w:r>
          </w:p>
        </w:tc>
        <w:tc>
          <w:tcPr>
            <w:tcW w:w="2886" w:type="dxa"/>
            <w:shd w:val="clear" w:color="auto" w:fill="auto"/>
          </w:tcPr>
          <w:p w14:paraId="1B865AD1" w14:textId="77777777" w:rsidR="006A75CE" w:rsidRPr="001A0598" w:rsidRDefault="006A75CE" w:rsidP="00FD4EA7">
            <w:pPr>
              <w:rPr>
                <w:b/>
                <w:bCs/>
              </w:rPr>
            </w:pPr>
          </w:p>
        </w:tc>
        <w:tc>
          <w:tcPr>
            <w:tcW w:w="3312" w:type="dxa"/>
            <w:shd w:val="clear" w:color="auto" w:fill="auto"/>
          </w:tcPr>
          <w:p w14:paraId="0C56D334" w14:textId="77777777" w:rsidR="006A75CE" w:rsidRPr="001A0598" w:rsidRDefault="006A75CE" w:rsidP="00FD4EA7">
            <w:pPr>
              <w:rPr>
                <w:b/>
                <w:bCs/>
              </w:rPr>
            </w:pPr>
          </w:p>
        </w:tc>
      </w:tr>
      <w:tr w:rsidR="006A75CE" w14:paraId="10E41AB0" w14:textId="77777777" w:rsidTr="00FD4EA7">
        <w:tc>
          <w:tcPr>
            <w:tcW w:w="2818" w:type="dxa"/>
          </w:tcPr>
          <w:p w14:paraId="34360D2F" w14:textId="77777777" w:rsidR="006A75CE" w:rsidRDefault="006A75CE" w:rsidP="00FD4EA7">
            <w:pPr>
              <w:rPr>
                <w:b/>
                <w:bCs/>
              </w:rPr>
            </w:pPr>
            <w:r>
              <w:rPr>
                <w:b/>
                <w:bCs/>
              </w:rPr>
              <w:t>3.7 Engage parents/career in the educative process</w:t>
            </w:r>
          </w:p>
          <w:p w14:paraId="18A483D7" w14:textId="77777777" w:rsidR="006A75CE" w:rsidRPr="001A0598" w:rsidRDefault="006A75CE" w:rsidP="006A75CE">
            <w:pPr>
              <w:spacing w:after="0"/>
            </w:pPr>
            <w:r w:rsidRPr="001A0598">
              <w:t>RT: family engagement for learning</w:t>
            </w:r>
          </w:p>
        </w:tc>
        <w:tc>
          <w:tcPr>
            <w:tcW w:w="2886" w:type="dxa"/>
            <w:shd w:val="clear" w:color="auto" w:fill="auto"/>
          </w:tcPr>
          <w:p w14:paraId="7A6298AF" w14:textId="77777777" w:rsidR="006A75CE" w:rsidRPr="001A0598" w:rsidRDefault="006A75CE" w:rsidP="00FD4EA7">
            <w:pPr>
              <w:rPr>
                <w:b/>
                <w:bCs/>
              </w:rPr>
            </w:pPr>
          </w:p>
        </w:tc>
        <w:tc>
          <w:tcPr>
            <w:tcW w:w="3312" w:type="dxa"/>
            <w:shd w:val="clear" w:color="auto" w:fill="auto"/>
          </w:tcPr>
          <w:p w14:paraId="338859A7" w14:textId="77777777" w:rsidR="006A75CE" w:rsidRPr="001A0598" w:rsidRDefault="006A75CE" w:rsidP="00FD4EA7">
            <w:pPr>
              <w:rPr>
                <w:b/>
                <w:bCs/>
              </w:rPr>
            </w:pPr>
          </w:p>
        </w:tc>
      </w:tr>
    </w:tbl>
    <w:p w14:paraId="19E07C33" w14:textId="77777777" w:rsidR="006A75CE" w:rsidRDefault="006A75CE" w:rsidP="006A75CE">
      <w:pPr>
        <w:rPr>
          <w:rFonts w:cstheme="minorHAnsi"/>
        </w:rPr>
      </w:pPr>
    </w:p>
    <w:tbl>
      <w:tblPr>
        <w:tblStyle w:val="TableGrid"/>
        <w:tblW w:w="0" w:type="auto"/>
        <w:tblLook w:val="04A0" w:firstRow="1" w:lastRow="0" w:firstColumn="1" w:lastColumn="0" w:noHBand="0" w:noVBand="1"/>
      </w:tblPr>
      <w:tblGrid>
        <w:gridCol w:w="4508"/>
        <w:gridCol w:w="4508"/>
      </w:tblGrid>
      <w:tr w:rsidR="006A75CE" w14:paraId="3097EFA6" w14:textId="77777777" w:rsidTr="00251801">
        <w:tc>
          <w:tcPr>
            <w:tcW w:w="9016" w:type="dxa"/>
            <w:gridSpan w:val="2"/>
            <w:shd w:val="clear" w:color="auto" w:fill="00274F" w:themeFill="text2" w:themeFillShade="80"/>
          </w:tcPr>
          <w:p w14:paraId="563E56E2" w14:textId="77777777" w:rsidR="006A75CE" w:rsidRPr="00404DC6" w:rsidRDefault="006A75CE" w:rsidP="00FD4EA7">
            <w:pPr>
              <w:widowControl w:val="0"/>
              <w:autoSpaceDE w:val="0"/>
              <w:autoSpaceDN w:val="0"/>
              <w:ind w:left="302"/>
              <w:jc w:val="center"/>
              <w:rPr>
                <w:rFonts w:eastAsia="Swiss721BT-Roman" w:cs="Arial"/>
                <w:b/>
                <w:color w:val="FFFFFF"/>
                <w:sz w:val="12"/>
                <w:szCs w:val="18"/>
              </w:rPr>
            </w:pPr>
            <w:r w:rsidRPr="00404DC6">
              <w:rPr>
                <w:rFonts w:eastAsia="Swiss721BT-Roman" w:cs="Arial"/>
                <w:b/>
                <w:color w:val="FFFFFF"/>
                <w:szCs w:val="32"/>
              </w:rPr>
              <w:lastRenderedPageBreak/>
              <w:t>PROFESSIONAL ENGAGEMENT</w:t>
            </w:r>
          </w:p>
        </w:tc>
      </w:tr>
      <w:tr w:rsidR="00251801" w:rsidRPr="00251801" w14:paraId="6DE20046" w14:textId="77777777" w:rsidTr="00251801">
        <w:tc>
          <w:tcPr>
            <w:tcW w:w="4508" w:type="dxa"/>
            <w:shd w:val="clear" w:color="auto" w:fill="8CAADA"/>
          </w:tcPr>
          <w:p w14:paraId="4FD17B16" w14:textId="77777777" w:rsidR="006A75CE" w:rsidRPr="00251801" w:rsidRDefault="006A75CE" w:rsidP="006A75CE">
            <w:pPr>
              <w:widowControl w:val="0"/>
              <w:numPr>
                <w:ilvl w:val="0"/>
                <w:numId w:val="232"/>
              </w:numPr>
              <w:autoSpaceDE w:val="0"/>
              <w:autoSpaceDN w:val="0"/>
              <w:spacing w:after="0" w:line="240" w:lineRule="auto"/>
              <w:ind w:left="79" w:firstLine="0"/>
              <w:rPr>
                <w:b/>
                <w:bCs/>
              </w:rPr>
            </w:pPr>
            <w:r w:rsidRPr="00251801">
              <w:rPr>
                <w:b/>
                <w:bCs/>
              </w:rPr>
              <w:t>Engage in professional learning</w:t>
            </w:r>
          </w:p>
        </w:tc>
        <w:tc>
          <w:tcPr>
            <w:tcW w:w="4508" w:type="dxa"/>
            <w:shd w:val="clear" w:color="auto" w:fill="8CAADA"/>
          </w:tcPr>
          <w:p w14:paraId="326BD548" w14:textId="77777777" w:rsidR="006A75CE" w:rsidRPr="00251801" w:rsidRDefault="006A75CE" w:rsidP="006A75CE">
            <w:pPr>
              <w:pStyle w:val="ListParagraph"/>
              <w:numPr>
                <w:ilvl w:val="0"/>
                <w:numId w:val="232"/>
              </w:numPr>
              <w:ind w:left="357" w:hanging="357"/>
              <w:rPr>
                <w:b/>
                <w:bCs/>
              </w:rPr>
            </w:pPr>
            <w:r w:rsidRPr="00251801">
              <w:rPr>
                <w:b/>
                <w:bCs/>
              </w:rPr>
              <w:t>Engage professionally with the colleagues, parents/carers and the community</w:t>
            </w:r>
          </w:p>
        </w:tc>
      </w:tr>
      <w:tr w:rsidR="006A75CE" w14:paraId="19EE6587" w14:textId="77777777" w:rsidTr="006A75CE">
        <w:tc>
          <w:tcPr>
            <w:tcW w:w="4508" w:type="dxa"/>
            <w:shd w:val="clear" w:color="auto" w:fill="BFBFBF" w:themeFill="accent4" w:themeFillShade="BF"/>
          </w:tcPr>
          <w:p w14:paraId="12316476" w14:textId="77777777" w:rsidR="006A75CE" w:rsidRDefault="006A75CE" w:rsidP="00FD4EA7">
            <w:r>
              <w:rPr>
                <w:b/>
                <w:bCs/>
              </w:rPr>
              <w:t xml:space="preserve">6.1 </w:t>
            </w:r>
            <w:r w:rsidRPr="00404DC6">
              <w:rPr>
                <w:b/>
                <w:bCs/>
              </w:rPr>
              <w:t xml:space="preserve">Identify and plan professional learning needs </w:t>
            </w:r>
          </w:p>
        </w:tc>
        <w:tc>
          <w:tcPr>
            <w:tcW w:w="4508" w:type="dxa"/>
            <w:shd w:val="clear" w:color="auto" w:fill="BFBFBF" w:themeFill="accent4" w:themeFillShade="BF"/>
          </w:tcPr>
          <w:p w14:paraId="0BE7AD0E" w14:textId="77777777" w:rsidR="006A75CE" w:rsidRPr="00162D80" w:rsidRDefault="006A75CE" w:rsidP="00FD4EA7">
            <w:pPr>
              <w:rPr>
                <w:b/>
                <w:bCs/>
              </w:rPr>
            </w:pPr>
            <w:r>
              <w:rPr>
                <w:b/>
                <w:bCs/>
              </w:rPr>
              <w:t xml:space="preserve">7.1 </w:t>
            </w:r>
            <w:r w:rsidRPr="00162D80">
              <w:rPr>
                <w:b/>
                <w:bCs/>
              </w:rPr>
              <w:t>Meet professional ethics and responsibilities</w:t>
            </w:r>
          </w:p>
          <w:p w14:paraId="51E6AFAD" w14:textId="77777777" w:rsidR="006A75CE" w:rsidRPr="00404DC6" w:rsidRDefault="006A75CE" w:rsidP="00FD4EA7">
            <w:pPr>
              <w:pStyle w:val="ListParagraph"/>
              <w:ind w:left="360"/>
              <w:rPr>
                <w:b/>
                <w:bCs/>
              </w:rPr>
            </w:pPr>
          </w:p>
        </w:tc>
      </w:tr>
      <w:tr w:rsidR="006A75CE" w14:paraId="63D792B1" w14:textId="77777777" w:rsidTr="006A75CE">
        <w:tc>
          <w:tcPr>
            <w:tcW w:w="4508" w:type="dxa"/>
            <w:shd w:val="clear" w:color="auto" w:fill="BFBFBF" w:themeFill="accent4" w:themeFillShade="BF"/>
          </w:tcPr>
          <w:p w14:paraId="69B9B22C" w14:textId="77777777" w:rsidR="006A75CE" w:rsidRPr="00D2752D" w:rsidRDefault="006A75CE" w:rsidP="00FD4EA7">
            <w:pPr>
              <w:rPr>
                <w:b/>
                <w:bCs/>
              </w:rPr>
            </w:pPr>
            <w:r>
              <w:rPr>
                <w:b/>
                <w:bCs/>
              </w:rPr>
              <w:t xml:space="preserve">6.2 </w:t>
            </w:r>
            <w:r w:rsidRPr="00404DC6">
              <w:rPr>
                <w:b/>
                <w:bCs/>
              </w:rPr>
              <w:t>Engage in professional learning and improve practice</w:t>
            </w:r>
          </w:p>
          <w:p w14:paraId="13F542CA" w14:textId="77777777" w:rsidR="006A75CE" w:rsidRDefault="006A75CE" w:rsidP="00FD4EA7">
            <w:pPr>
              <w:pStyle w:val="ListParagraph"/>
              <w:ind w:left="22"/>
            </w:pPr>
          </w:p>
        </w:tc>
        <w:tc>
          <w:tcPr>
            <w:tcW w:w="4508" w:type="dxa"/>
            <w:shd w:val="clear" w:color="auto" w:fill="auto"/>
          </w:tcPr>
          <w:p w14:paraId="430FFC13" w14:textId="77777777" w:rsidR="006A75CE" w:rsidRPr="000B7241" w:rsidRDefault="006A75CE" w:rsidP="00FD4EA7">
            <w:pPr>
              <w:rPr>
                <w:b/>
                <w:bCs/>
              </w:rPr>
            </w:pPr>
            <w:r>
              <w:rPr>
                <w:b/>
                <w:bCs/>
              </w:rPr>
              <w:t xml:space="preserve">7.2 </w:t>
            </w:r>
            <w:r w:rsidRPr="003C3320">
              <w:rPr>
                <w:b/>
                <w:bCs/>
              </w:rPr>
              <w:t>Comply with legislative, administrative, and organisational requirements</w:t>
            </w:r>
          </w:p>
          <w:p w14:paraId="574643AF" w14:textId="77777777" w:rsidR="006A75CE" w:rsidRDefault="006A75CE" w:rsidP="00FD4EA7">
            <w:r w:rsidRPr="000B7241">
              <w:t>EPP:</w:t>
            </w:r>
            <w:r>
              <w:t xml:space="preserve"> multi-tiered systems of support</w:t>
            </w:r>
          </w:p>
          <w:p w14:paraId="3D9F8829" w14:textId="77777777" w:rsidR="006A75CE" w:rsidRDefault="006A75CE" w:rsidP="00FD4EA7">
            <w:r>
              <w:t>RT: diverse learning needs</w:t>
            </w:r>
          </w:p>
          <w:p w14:paraId="2C3762D7" w14:textId="77777777" w:rsidR="006A75CE" w:rsidRDefault="006A75CE" w:rsidP="00FD4EA7">
            <w:r>
              <w:t>CM: whole school behaviour frameworks</w:t>
            </w:r>
          </w:p>
        </w:tc>
      </w:tr>
      <w:tr w:rsidR="006A75CE" w14:paraId="3029C893" w14:textId="77777777" w:rsidTr="006A75CE">
        <w:tc>
          <w:tcPr>
            <w:tcW w:w="4508" w:type="dxa"/>
            <w:shd w:val="clear" w:color="auto" w:fill="BFBFBF" w:themeFill="accent4" w:themeFillShade="BF"/>
          </w:tcPr>
          <w:p w14:paraId="6023802B" w14:textId="77777777" w:rsidR="006A75CE" w:rsidRPr="003C3320" w:rsidRDefault="006A75CE" w:rsidP="00FD4EA7">
            <w:pPr>
              <w:rPr>
                <w:b/>
                <w:bCs/>
              </w:rPr>
            </w:pPr>
            <w:r>
              <w:rPr>
                <w:b/>
                <w:bCs/>
              </w:rPr>
              <w:t xml:space="preserve">6.3 </w:t>
            </w:r>
            <w:r w:rsidRPr="003C3320">
              <w:rPr>
                <w:b/>
                <w:bCs/>
              </w:rPr>
              <w:t>Engage with colleagues and improve practice</w:t>
            </w:r>
          </w:p>
        </w:tc>
        <w:tc>
          <w:tcPr>
            <w:tcW w:w="4508" w:type="dxa"/>
          </w:tcPr>
          <w:p w14:paraId="4CF8D2BA" w14:textId="77777777" w:rsidR="006A75CE" w:rsidRPr="000B7241" w:rsidRDefault="006A75CE" w:rsidP="00FD4EA7">
            <w:pPr>
              <w:rPr>
                <w:b/>
                <w:bCs/>
              </w:rPr>
            </w:pPr>
            <w:r>
              <w:rPr>
                <w:b/>
                <w:bCs/>
              </w:rPr>
              <w:t xml:space="preserve">7.3 </w:t>
            </w:r>
            <w:r w:rsidRPr="003C3320">
              <w:rPr>
                <w:b/>
                <w:bCs/>
              </w:rPr>
              <w:t>Engage with the parents/carers</w:t>
            </w:r>
          </w:p>
          <w:p w14:paraId="571A89EA" w14:textId="2E039C5A" w:rsidR="006A75CE" w:rsidRDefault="006A75CE" w:rsidP="00FD4EA7">
            <w:r w:rsidRPr="003C3320">
              <w:t>RT: family engagement for learning</w:t>
            </w:r>
          </w:p>
        </w:tc>
      </w:tr>
      <w:tr w:rsidR="006A75CE" w14:paraId="7988137A" w14:textId="77777777" w:rsidTr="006A75CE">
        <w:tc>
          <w:tcPr>
            <w:tcW w:w="4508" w:type="dxa"/>
            <w:shd w:val="clear" w:color="auto" w:fill="BFBFBF" w:themeFill="accent4" w:themeFillShade="BF"/>
          </w:tcPr>
          <w:p w14:paraId="05C61F63" w14:textId="05C2ED7E" w:rsidR="006A75CE" w:rsidRPr="006A75CE" w:rsidRDefault="006A75CE" w:rsidP="00FD4EA7">
            <w:pPr>
              <w:rPr>
                <w:b/>
                <w:bCs/>
              </w:rPr>
            </w:pPr>
            <w:r>
              <w:rPr>
                <w:b/>
                <w:bCs/>
              </w:rPr>
              <w:t>6</w:t>
            </w:r>
            <w:r w:rsidRPr="00E542DD">
              <w:rPr>
                <w:b/>
                <w:bCs/>
              </w:rPr>
              <w:t xml:space="preserve">.4 </w:t>
            </w:r>
            <w:r w:rsidRPr="003C3320">
              <w:rPr>
                <w:b/>
                <w:bCs/>
              </w:rPr>
              <w:t>Apply professional learning and improve student learning</w:t>
            </w:r>
          </w:p>
        </w:tc>
        <w:tc>
          <w:tcPr>
            <w:tcW w:w="4508" w:type="dxa"/>
            <w:shd w:val="clear" w:color="auto" w:fill="BFBFBF" w:themeFill="accent4" w:themeFillShade="BF"/>
          </w:tcPr>
          <w:p w14:paraId="7BAEBCA6" w14:textId="580AB661" w:rsidR="006A75CE" w:rsidRPr="006A75CE" w:rsidRDefault="006A75CE" w:rsidP="006A75CE">
            <w:pPr>
              <w:rPr>
                <w:b/>
                <w:bCs/>
              </w:rPr>
            </w:pPr>
            <w:r>
              <w:rPr>
                <w:b/>
                <w:bCs/>
              </w:rPr>
              <w:t xml:space="preserve">7.4 </w:t>
            </w:r>
            <w:r w:rsidRPr="00162D80">
              <w:rPr>
                <w:b/>
                <w:bCs/>
              </w:rPr>
              <w:t xml:space="preserve">Engage with professional teaching networks and broader communities </w:t>
            </w:r>
          </w:p>
        </w:tc>
      </w:tr>
    </w:tbl>
    <w:p w14:paraId="4DC9AC88" w14:textId="77777777" w:rsidR="008B7486" w:rsidRDefault="008B7486" w:rsidP="006A75CE">
      <w:pPr>
        <w:rPr>
          <w:rFonts w:cstheme="minorHAnsi"/>
          <w:b/>
          <w:bCs/>
          <w:sz w:val="18"/>
          <w:szCs w:val="16"/>
        </w:rPr>
      </w:pPr>
    </w:p>
    <w:p w14:paraId="54097516" w14:textId="1CA3AA51" w:rsidR="006A75CE" w:rsidRPr="00143C1F" w:rsidRDefault="006A75CE" w:rsidP="006A75CE">
      <w:pPr>
        <w:rPr>
          <w:rFonts w:cstheme="minorHAnsi"/>
          <w:b/>
          <w:bCs/>
          <w:sz w:val="18"/>
          <w:szCs w:val="16"/>
        </w:rPr>
      </w:pPr>
      <w:r>
        <w:rPr>
          <w:rFonts w:cstheme="minorHAnsi"/>
          <w:b/>
          <w:bCs/>
          <w:sz w:val="18"/>
          <w:szCs w:val="16"/>
        </w:rPr>
        <w:t>Core</w:t>
      </w:r>
      <w:r w:rsidRPr="00143C1F">
        <w:rPr>
          <w:rFonts w:cstheme="minorHAnsi"/>
          <w:b/>
          <w:bCs/>
          <w:sz w:val="18"/>
          <w:szCs w:val="16"/>
        </w:rPr>
        <w:t xml:space="preserve"> Content Codes</w:t>
      </w:r>
    </w:p>
    <w:p w14:paraId="09DDAE8D" w14:textId="77777777" w:rsidR="006A75CE" w:rsidRDefault="006A75CE" w:rsidP="006A75CE">
      <w:pPr>
        <w:rPr>
          <w:rFonts w:cstheme="minorHAnsi"/>
          <w:sz w:val="18"/>
          <w:szCs w:val="16"/>
        </w:rPr>
      </w:pPr>
      <w:r w:rsidRPr="00143C1F">
        <w:rPr>
          <w:rFonts w:cstheme="minorHAnsi"/>
          <w:b/>
          <w:bCs/>
          <w:sz w:val="18"/>
          <w:szCs w:val="16"/>
        </w:rPr>
        <w:t>BL</w:t>
      </w:r>
      <w:r w:rsidRPr="00143C1F">
        <w:rPr>
          <w:rFonts w:cstheme="minorHAnsi"/>
          <w:sz w:val="18"/>
          <w:szCs w:val="16"/>
        </w:rPr>
        <w:t xml:space="preserve"> = the brain and learning, </w:t>
      </w:r>
      <w:r w:rsidRPr="00143C1F">
        <w:rPr>
          <w:rFonts w:cstheme="minorHAnsi"/>
          <w:b/>
          <w:bCs/>
          <w:sz w:val="18"/>
          <w:szCs w:val="16"/>
        </w:rPr>
        <w:t>EPP</w:t>
      </w:r>
      <w:r>
        <w:rPr>
          <w:rFonts w:cstheme="minorHAnsi"/>
          <w:b/>
          <w:bCs/>
          <w:sz w:val="18"/>
          <w:szCs w:val="16"/>
        </w:rPr>
        <w:t xml:space="preserve"> </w:t>
      </w:r>
      <w:r w:rsidRPr="00143C1F">
        <w:rPr>
          <w:rFonts w:cstheme="minorHAnsi"/>
          <w:sz w:val="18"/>
          <w:szCs w:val="16"/>
        </w:rPr>
        <w:t xml:space="preserve">= effective pedagogical practice, </w:t>
      </w:r>
      <w:r w:rsidRPr="00143C1F">
        <w:rPr>
          <w:rFonts w:cstheme="minorHAnsi"/>
          <w:b/>
          <w:bCs/>
          <w:sz w:val="18"/>
          <w:szCs w:val="16"/>
        </w:rPr>
        <w:t>CM</w:t>
      </w:r>
      <w:r w:rsidRPr="00143C1F">
        <w:rPr>
          <w:rFonts w:cstheme="minorHAnsi"/>
          <w:sz w:val="18"/>
          <w:szCs w:val="16"/>
        </w:rPr>
        <w:t xml:space="preserve"> = classroom management, </w:t>
      </w:r>
      <w:r>
        <w:rPr>
          <w:rFonts w:cstheme="minorHAnsi"/>
          <w:b/>
          <w:bCs/>
          <w:sz w:val="18"/>
          <w:szCs w:val="16"/>
        </w:rPr>
        <w:t>RT</w:t>
      </w:r>
      <w:r w:rsidRPr="00143C1F">
        <w:rPr>
          <w:rFonts w:cstheme="minorHAnsi"/>
          <w:sz w:val="18"/>
          <w:szCs w:val="16"/>
        </w:rPr>
        <w:t xml:space="preserve"> = </w:t>
      </w:r>
      <w:r>
        <w:rPr>
          <w:rFonts w:cstheme="minorHAnsi"/>
          <w:sz w:val="18"/>
          <w:szCs w:val="16"/>
        </w:rPr>
        <w:t>responsive teaching</w:t>
      </w:r>
    </w:p>
    <w:p w14:paraId="187E1DBC" w14:textId="77777777" w:rsidR="006A75CE" w:rsidRPr="00143C1F" w:rsidRDefault="006A75CE" w:rsidP="006A75CE">
      <w:pPr>
        <w:rPr>
          <w:rFonts w:cstheme="minorHAnsi"/>
          <w:sz w:val="18"/>
          <w:szCs w:val="16"/>
        </w:rPr>
      </w:pPr>
      <w:r w:rsidRPr="00F607B8">
        <w:rPr>
          <w:rFonts w:cstheme="minorHAnsi"/>
          <w:sz w:val="18"/>
          <w:szCs w:val="16"/>
        </w:rPr>
        <w:t>White boxes represent where the sub-standards are fully or partially covered by the core content.</w:t>
      </w:r>
    </w:p>
    <w:p w14:paraId="394765DA" w14:textId="77777777" w:rsidR="006A75CE" w:rsidRDefault="006A75CE" w:rsidP="006A75CE">
      <w:pPr>
        <w:rPr>
          <w:rFonts w:cstheme="minorHAnsi"/>
          <w:sz w:val="18"/>
          <w:szCs w:val="16"/>
        </w:rPr>
      </w:pPr>
      <w:r w:rsidRPr="00143C1F">
        <w:rPr>
          <w:rFonts w:cstheme="minorHAnsi"/>
          <w:sz w:val="18"/>
          <w:szCs w:val="16"/>
          <w:highlight w:val="darkGray"/>
        </w:rPr>
        <w:t xml:space="preserve">Greyed </w:t>
      </w:r>
      <w:r>
        <w:rPr>
          <w:rFonts w:cstheme="minorHAnsi"/>
          <w:sz w:val="18"/>
          <w:szCs w:val="16"/>
          <w:highlight w:val="darkGray"/>
        </w:rPr>
        <w:t>b</w:t>
      </w:r>
      <w:r w:rsidRPr="00143C1F">
        <w:rPr>
          <w:rFonts w:cstheme="minorHAnsi"/>
          <w:sz w:val="18"/>
          <w:szCs w:val="16"/>
          <w:highlight w:val="darkGray"/>
        </w:rPr>
        <w:t>oxes</w:t>
      </w:r>
      <w:r w:rsidRPr="00143C1F">
        <w:rPr>
          <w:rFonts w:cstheme="minorHAnsi"/>
          <w:sz w:val="18"/>
          <w:szCs w:val="16"/>
        </w:rPr>
        <w:t xml:space="preserve"> represent sub-standards not covered by the core content.</w:t>
      </w:r>
    </w:p>
    <w:p w14:paraId="1757DA0B" w14:textId="3D215715" w:rsidR="00EC073E" w:rsidRDefault="00EC073E">
      <w:pPr>
        <w:spacing w:after="160" w:line="259" w:lineRule="auto"/>
        <w:rPr>
          <w:lang w:eastAsia="en-AU"/>
        </w:rPr>
      </w:pPr>
      <w:r>
        <w:rPr>
          <w:lang w:eastAsia="en-AU"/>
        </w:rPr>
        <w:br w:type="page"/>
      </w:r>
    </w:p>
    <w:p w14:paraId="656B751A" w14:textId="5C199CAF" w:rsidR="00C74174" w:rsidRPr="00734A50" w:rsidRDefault="00150136" w:rsidP="0012041E">
      <w:pPr>
        <w:pStyle w:val="Heading2"/>
        <w:rPr>
          <w:lang w:eastAsia="en-AU"/>
        </w:rPr>
      </w:pPr>
      <w:bookmarkStart w:id="123" w:name="_Toc139366682"/>
      <w:r>
        <w:rPr>
          <w:lang w:eastAsia="en-AU"/>
        </w:rPr>
        <w:lastRenderedPageBreak/>
        <w:t>APPENDIX</w:t>
      </w:r>
      <w:r w:rsidR="00C74174" w:rsidRPr="00734A50">
        <w:rPr>
          <w:lang w:eastAsia="en-AU"/>
        </w:rPr>
        <w:t xml:space="preserve"> F: Amendments to the Accreditation Standards and Procedures to embed core content in ITE programs</w:t>
      </w:r>
      <w:bookmarkEnd w:id="123"/>
    </w:p>
    <w:p w14:paraId="0D1019AD" w14:textId="6F43A1D6" w:rsidR="009F06A0" w:rsidRPr="00734A50" w:rsidRDefault="00C74174" w:rsidP="00A36740">
      <w:pPr>
        <w:pStyle w:val="Heading3"/>
        <w:rPr>
          <w:rFonts w:eastAsia="Calibri" w:cs="Arial"/>
        </w:rPr>
      </w:pPr>
      <w:bookmarkStart w:id="124" w:name="_Toc139366683"/>
      <w:r w:rsidRPr="00734A50">
        <w:rPr>
          <w:rFonts w:eastAsia="Calibri"/>
        </w:rPr>
        <w:t>Amending the Accreditation Standards</w:t>
      </w:r>
      <w:bookmarkEnd w:id="124"/>
    </w:p>
    <w:p w14:paraId="6678588F" w14:textId="2AD6CA00" w:rsidR="00C74174" w:rsidRPr="00734A50" w:rsidRDefault="00C74174" w:rsidP="00C74174">
      <w:pPr>
        <w:rPr>
          <w:rFonts w:ascii="Calibri" w:eastAsia="Calibri" w:hAnsi="Calibri" w:cs="Arial"/>
        </w:rPr>
      </w:pPr>
      <w:r w:rsidRPr="00734A50">
        <w:rPr>
          <w:rFonts w:ascii="Calibri" w:eastAsia="Calibri" w:hAnsi="Calibri" w:cs="Arial"/>
        </w:rPr>
        <w:t xml:space="preserve">There are currently six National Program Standards for ITE accreditation. The Panel proposes primarily reflecting the core content in Standard 1.1, as the core content identifies the knowledge and evidence-based practices which support ITE students to meet the Graduate Teacher Standards. This would ensure that knowledge and application of the core content is a requirement for all graduates of ITE programs and would make the core content central to ITE program accreditation. </w:t>
      </w:r>
    </w:p>
    <w:p w14:paraId="31EA63C1" w14:textId="457F45B5" w:rsidR="00C74174" w:rsidRPr="00734A50" w:rsidRDefault="00C74174" w:rsidP="00C74174">
      <w:pPr>
        <w:rPr>
          <w:rFonts w:ascii="Calibri" w:eastAsia="Calibri" w:hAnsi="Calibri" w:cs="Calibri"/>
        </w:rPr>
      </w:pPr>
      <w:r w:rsidRPr="00734A50">
        <w:rPr>
          <w:rFonts w:ascii="Calibri" w:eastAsia="Calibri" w:hAnsi="Calibri" w:cs="Arial"/>
        </w:rPr>
        <w:t>The Panel proposes making amendments to two further sub-standards: Standard 2.1 to ensure the core content is coherently embedded through program development, design and delivery; and Standard 4.2 to ensure the core content is reflected in discipline</w:t>
      </w:r>
      <w:r w:rsidR="006F3DF1">
        <w:rPr>
          <w:rFonts w:ascii="Calibri" w:eastAsia="Calibri" w:hAnsi="Calibri" w:cs="Arial"/>
        </w:rPr>
        <w:t>-</w:t>
      </w:r>
      <w:r w:rsidRPr="00734A50">
        <w:rPr>
          <w:rFonts w:ascii="Calibri" w:eastAsia="Calibri" w:hAnsi="Calibri" w:cs="Arial"/>
        </w:rPr>
        <w:t>specific courses</w:t>
      </w:r>
      <w:r w:rsidRPr="00734A50">
        <w:rPr>
          <w:rFonts w:ascii="Calibri" w:eastAsia="Calibri" w:hAnsi="Calibri" w:cs="Calibri"/>
        </w:rPr>
        <w:t xml:space="preserve">. </w:t>
      </w:r>
    </w:p>
    <w:p w14:paraId="0801BBFB" w14:textId="3EA1F8E9" w:rsidR="00C74174" w:rsidRPr="00713302" w:rsidRDefault="00C74174" w:rsidP="00C74174">
      <w:pPr>
        <w:rPr>
          <w:rFonts w:ascii="Calibri" w:eastAsia="Calibri" w:hAnsi="Calibri" w:cs="Calibri"/>
        </w:rPr>
      </w:pPr>
      <w:r w:rsidRPr="00713302">
        <w:rPr>
          <w:rFonts w:ascii="Calibri Light" w:eastAsia="Calibri Light" w:hAnsi="Calibri Light" w:cs="Calibri Light"/>
          <w:b/>
          <w:bCs/>
          <w:sz w:val="24"/>
          <w:szCs w:val="24"/>
        </w:rPr>
        <w:t>Recommended changes to Program Standard 1.1, 2.1 and 4.2</w:t>
      </w:r>
      <w:r w:rsidRPr="00713302">
        <w:rPr>
          <w:rFonts w:ascii="Calibri" w:eastAsia="Calibri" w:hAnsi="Calibri" w:cs="Calibri"/>
        </w:rPr>
        <w:t xml:space="preserve"> </w:t>
      </w:r>
    </w:p>
    <w:p w14:paraId="0090DA02" w14:textId="27CAFAAE" w:rsidR="004E4873" w:rsidRPr="00EE4DBF" w:rsidRDefault="004E4873" w:rsidP="00C74174">
      <w:r w:rsidRPr="00EE4DBF">
        <w:rPr>
          <w:rFonts w:ascii="Calibri" w:eastAsia="Calibri" w:hAnsi="Calibri" w:cs="Calibri"/>
        </w:rPr>
        <w:t xml:space="preserve">Note: recommended changes are in </w:t>
      </w:r>
      <w:r w:rsidR="00EE4DBF" w:rsidRPr="00EE4DBF">
        <w:rPr>
          <w:rFonts w:ascii="Calibri" w:eastAsia="Calibri" w:hAnsi="Calibri" w:cs="Calibri"/>
        </w:rPr>
        <w:t>bold text</w:t>
      </w:r>
    </w:p>
    <w:p w14:paraId="45954FFE" w14:textId="77777777" w:rsidR="00C74174" w:rsidRPr="00713302" w:rsidRDefault="00C74174" w:rsidP="00C74174">
      <w:pPr>
        <w:spacing w:line="252" w:lineRule="auto"/>
        <w:rPr>
          <w:rFonts w:ascii="Calibri" w:eastAsia="Calibri" w:hAnsi="Calibri" w:cs="Calibri"/>
        </w:rPr>
      </w:pPr>
      <w:r w:rsidRPr="00713302">
        <w:rPr>
          <w:rFonts w:ascii="Calibri" w:eastAsia="Calibri" w:hAnsi="Calibri" w:cs="Calibri"/>
          <w:b/>
          <w:bCs/>
        </w:rPr>
        <w:t>Standard 1: Program outcomes</w:t>
      </w:r>
    </w:p>
    <w:p w14:paraId="0C2AABE0" w14:textId="2F7B3759" w:rsidR="00C74174" w:rsidRPr="00734A50" w:rsidRDefault="00C74174" w:rsidP="00C74174">
      <w:pPr>
        <w:spacing w:line="252" w:lineRule="auto"/>
        <w:ind w:left="360" w:hanging="360"/>
        <w:rPr>
          <w:rFonts w:ascii="Calibri" w:eastAsia="Calibri" w:hAnsi="Calibri" w:cs="Calibri"/>
        </w:rPr>
      </w:pPr>
      <w:r w:rsidRPr="00734A50">
        <w:rPr>
          <w:rFonts w:ascii="Calibri" w:eastAsia="Calibri" w:hAnsi="Calibri" w:cs="Calibri"/>
        </w:rPr>
        <w:t xml:space="preserve">1.1 Program design and assessment processes identify where each Graduate Teacher Standard is taught, practised </w:t>
      </w:r>
      <w:r w:rsidRPr="00734A50">
        <w:rPr>
          <w:rFonts w:ascii="Calibri" w:eastAsia="Calibri" w:hAnsi="Calibri" w:cs="Calibri"/>
          <w:color w:val="000000" w:themeColor="text1"/>
        </w:rPr>
        <w:t xml:space="preserve">and assessed. </w:t>
      </w:r>
      <w:r w:rsidRPr="00713302">
        <w:rPr>
          <w:rFonts w:ascii="Calibri" w:eastAsia="Calibri" w:hAnsi="Calibri" w:cs="Calibri"/>
          <w:b/>
          <w:bCs/>
        </w:rPr>
        <w:t xml:space="preserve">The core content at Schedule X </w:t>
      </w:r>
      <w:r w:rsidR="009D4E0C" w:rsidRPr="00713302">
        <w:rPr>
          <w:rFonts w:ascii="Calibri" w:eastAsia="Calibri" w:hAnsi="Calibri" w:cs="Calibri"/>
          <w:b/>
          <w:bCs/>
        </w:rPr>
        <w:t xml:space="preserve">(as Appendix D) </w:t>
      </w:r>
      <w:r w:rsidRPr="00713302">
        <w:rPr>
          <w:rFonts w:ascii="Calibri" w:eastAsia="Calibri" w:hAnsi="Calibri" w:cs="Calibri"/>
          <w:b/>
          <w:bCs/>
        </w:rPr>
        <w:t xml:space="preserve">outlines the knowledge and evidence-based practices which </w:t>
      </w:r>
      <w:r w:rsidRPr="00713302">
        <w:rPr>
          <w:rFonts w:ascii="Calibri" w:eastAsia="Calibri" w:hAnsi="Calibri" w:cs="Arial"/>
          <w:b/>
          <w:bCs/>
        </w:rPr>
        <w:t>support ITE students to meet the Graduate Teacher Standards</w:t>
      </w:r>
      <w:r w:rsidRPr="00713302">
        <w:rPr>
          <w:rFonts w:ascii="Calibri" w:eastAsia="Calibri" w:hAnsi="Calibri" w:cs="Calibri"/>
        </w:rPr>
        <w:t xml:space="preserve">. </w:t>
      </w:r>
      <w:r w:rsidRPr="00734A50">
        <w:rPr>
          <w:rFonts w:ascii="Calibri" w:eastAsia="Calibri" w:hAnsi="Calibri" w:cs="Calibri"/>
        </w:rPr>
        <w:t>Program design and assessment processes must require that pre-service teachers have demonstrated successful performance against all the Graduate Teacher Standards prior to graduation</w:t>
      </w:r>
      <w:r w:rsidRPr="00713302">
        <w:rPr>
          <w:rFonts w:ascii="Calibri" w:eastAsia="Calibri" w:hAnsi="Calibri" w:cs="Calibri"/>
        </w:rPr>
        <w:t>,</w:t>
      </w:r>
      <w:r w:rsidRPr="00713302">
        <w:rPr>
          <w:rFonts w:ascii="Calibri" w:eastAsia="Calibri" w:hAnsi="Calibri" w:cs="Calibri"/>
          <w:b/>
          <w:bCs/>
        </w:rPr>
        <w:t xml:space="preserve"> as well as </w:t>
      </w:r>
      <w:bookmarkStart w:id="125" w:name="_Hlk136350684"/>
      <w:r w:rsidRPr="00713302">
        <w:rPr>
          <w:rFonts w:ascii="Calibri" w:eastAsia="Calibri" w:hAnsi="Calibri" w:cs="Calibri"/>
          <w:b/>
          <w:bCs/>
        </w:rPr>
        <w:t>successfully demonstrated knowledge and met the Learning Outcomes of the core content.</w:t>
      </w:r>
      <w:bookmarkEnd w:id="125"/>
      <w:r w:rsidRPr="00713302">
        <w:rPr>
          <w:rFonts w:ascii="Calibri" w:eastAsia="Calibri" w:hAnsi="Calibri" w:cs="Calibri"/>
        </w:rPr>
        <w:t xml:space="preserve"> </w:t>
      </w:r>
    </w:p>
    <w:p w14:paraId="5C1079BA" w14:textId="77777777" w:rsidR="00C74174" w:rsidRPr="00713302" w:rsidRDefault="00C74174" w:rsidP="00C74174">
      <w:pPr>
        <w:spacing w:line="252" w:lineRule="auto"/>
        <w:rPr>
          <w:rFonts w:ascii="Calibri" w:eastAsia="Calibri" w:hAnsi="Calibri" w:cs="Calibri"/>
          <w:b/>
        </w:rPr>
      </w:pPr>
      <w:r w:rsidRPr="00713302">
        <w:rPr>
          <w:rFonts w:ascii="Calibri" w:eastAsia="Calibri" w:hAnsi="Calibri" w:cs="Calibri"/>
          <w:b/>
        </w:rPr>
        <w:t>Standard 2: Program development, design and delivery</w:t>
      </w:r>
    </w:p>
    <w:p w14:paraId="7F1ACE1A" w14:textId="77777777" w:rsidR="00C74174" w:rsidRPr="00734A50" w:rsidRDefault="00C74174" w:rsidP="00C74174">
      <w:pPr>
        <w:rPr>
          <w:rFonts w:ascii="Calibri" w:eastAsia="Calibri" w:hAnsi="Calibri" w:cs="Calibri"/>
        </w:rPr>
      </w:pPr>
      <w:r w:rsidRPr="00734A50">
        <w:rPr>
          <w:rFonts w:ascii="Calibri" w:eastAsia="Calibri" w:hAnsi="Calibri" w:cs="Calibri"/>
        </w:rPr>
        <w:t>2.1 Program development, design and delivery are based on:</w:t>
      </w:r>
    </w:p>
    <w:p w14:paraId="4261AD1D" w14:textId="77777777" w:rsidR="00C74174" w:rsidRPr="00713302" w:rsidRDefault="00C74174" w:rsidP="00451FEE">
      <w:pPr>
        <w:pStyle w:val="List2"/>
        <w:spacing w:after="0"/>
        <w:rPr>
          <w:b/>
          <w:bCs/>
        </w:rPr>
      </w:pPr>
      <w:r w:rsidRPr="00713302">
        <w:rPr>
          <w:b/>
          <w:bCs/>
        </w:rPr>
        <w:t xml:space="preserve">a documented rationale based on evidence-based understandings of how the program will develop effective teachers who: </w:t>
      </w:r>
    </w:p>
    <w:p w14:paraId="383AFA24" w14:textId="77777777" w:rsidR="00C74174" w:rsidRPr="00713302" w:rsidRDefault="00C74174" w:rsidP="00451FEE">
      <w:pPr>
        <w:pStyle w:val="List3"/>
        <w:rPr>
          <w:b/>
          <w:bCs/>
        </w:rPr>
      </w:pPr>
      <w:r w:rsidRPr="00713302">
        <w:rPr>
          <w:b/>
          <w:bCs/>
        </w:rPr>
        <w:t xml:space="preserve">meet the Graduate Teacher Standards; and </w:t>
      </w:r>
    </w:p>
    <w:p w14:paraId="499B114B" w14:textId="488FB817" w:rsidR="00C74174" w:rsidRPr="00713302" w:rsidRDefault="00C74174" w:rsidP="00451FEE">
      <w:pPr>
        <w:pStyle w:val="List3"/>
        <w:spacing w:after="0"/>
        <w:rPr>
          <w:b/>
          <w:bCs/>
        </w:rPr>
      </w:pPr>
      <w:r w:rsidRPr="00713302">
        <w:rPr>
          <w:b/>
          <w:bCs/>
        </w:rPr>
        <w:t>successfully demonstrate knowledge and meet the Learning Outcomes of the core content at Schedule X</w:t>
      </w:r>
      <w:r w:rsidR="009D4E0C" w:rsidRPr="00713302">
        <w:rPr>
          <w:b/>
          <w:bCs/>
        </w:rPr>
        <w:t xml:space="preserve"> (as Appendix D)</w:t>
      </w:r>
      <w:r w:rsidRPr="00713302">
        <w:rPr>
          <w:b/>
          <w:bCs/>
        </w:rPr>
        <w:t>.</w:t>
      </w:r>
    </w:p>
    <w:p w14:paraId="5CF33865" w14:textId="10A48F8C" w:rsidR="00C74174" w:rsidRPr="00734A50" w:rsidRDefault="00C74174" w:rsidP="00451FEE">
      <w:pPr>
        <w:pStyle w:val="List2"/>
      </w:pPr>
      <w:r w:rsidRPr="00734A50">
        <w:t>a coherent and sequenced delivery of program content including professional experience that facilitates achievement of the Graduate Teacher Standards.</w:t>
      </w:r>
    </w:p>
    <w:p w14:paraId="79C765D6" w14:textId="77777777" w:rsidR="00C74174" w:rsidRPr="002A4BFB" w:rsidRDefault="00C74174" w:rsidP="002E0CF4">
      <w:pPr>
        <w:spacing w:before="240" w:line="252" w:lineRule="auto"/>
        <w:rPr>
          <w:b/>
        </w:rPr>
      </w:pPr>
      <w:r w:rsidRPr="002A4BFB">
        <w:rPr>
          <w:rFonts w:ascii="Calibri" w:eastAsia="Calibri" w:hAnsi="Calibri" w:cs="Calibri"/>
          <w:b/>
        </w:rPr>
        <w:t>Standard 4: Program structure and content</w:t>
      </w:r>
    </w:p>
    <w:p w14:paraId="719AB933" w14:textId="5DFAABB7" w:rsidR="00C74174" w:rsidRPr="00713302" w:rsidRDefault="00C74174" w:rsidP="00C74174">
      <w:pPr>
        <w:spacing w:line="252" w:lineRule="auto"/>
        <w:ind w:left="360" w:hanging="360"/>
        <w:rPr>
          <w:rFonts w:ascii="Calibri" w:eastAsia="Calibri" w:hAnsi="Calibri" w:cs="Calibri"/>
          <w:b/>
          <w:bCs/>
        </w:rPr>
      </w:pPr>
      <w:r w:rsidRPr="00734A50">
        <w:rPr>
          <w:rFonts w:ascii="Calibri" w:eastAsia="Calibri" w:hAnsi="Calibri" w:cs="Calibri"/>
        </w:rPr>
        <w:t>4.2 Initial teacher education programs prepare pre-service teachers for the school curriculum and learning areas of their chosen discipline and/or stage of schooling in accordance with Schedule</w:t>
      </w:r>
      <w:r w:rsidR="00803BF5" w:rsidRPr="00734A50">
        <w:rPr>
          <w:rFonts w:ascii="Calibri" w:eastAsia="Calibri" w:hAnsi="Calibri" w:cs="Calibri"/>
        </w:rPr>
        <w:t> </w:t>
      </w:r>
      <w:r w:rsidRPr="00734A50">
        <w:rPr>
          <w:rFonts w:ascii="Calibri" w:eastAsia="Calibri" w:hAnsi="Calibri" w:cs="Calibri"/>
        </w:rPr>
        <w:t xml:space="preserve">1. </w:t>
      </w:r>
      <w:r w:rsidRPr="00713302">
        <w:rPr>
          <w:rFonts w:ascii="Calibri" w:eastAsia="Calibri" w:hAnsi="Calibri" w:cs="Calibri"/>
          <w:b/>
          <w:bCs/>
        </w:rPr>
        <w:t>Discipline and discipline specific curriculum and pedagogical studies must be consistent with the core content outlined at Schedule X</w:t>
      </w:r>
      <w:r w:rsidR="009D4E0C" w:rsidRPr="00713302">
        <w:rPr>
          <w:rFonts w:ascii="Calibri" w:eastAsia="Calibri" w:hAnsi="Calibri" w:cs="Calibri"/>
          <w:b/>
          <w:bCs/>
        </w:rPr>
        <w:t xml:space="preserve"> (as Appendix D)</w:t>
      </w:r>
      <w:r w:rsidRPr="00713302">
        <w:rPr>
          <w:rFonts w:ascii="Calibri" w:eastAsia="Calibri" w:hAnsi="Calibri" w:cs="Calibri"/>
          <w:b/>
          <w:bCs/>
        </w:rPr>
        <w:t>.</w:t>
      </w:r>
    </w:p>
    <w:p w14:paraId="5DB9364C" w14:textId="13DC874F" w:rsidR="00803BF5" w:rsidRPr="00734A50" w:rsidRDefault="00803BF5" w:rsidP="00A36740">
      <w:pPr>
        <w:pStyle w:val="FigureHeading"/>
        <w:numPr>
          <w:ilvl w:val="0"/>
          <w:numId w:val="0"/>
        </w:numPr>
        <w:ind w:left="357" w:hanging="357"/>
        <w:rPr>
          <w:rFonts w:eastAsia="Calibri"/>
          <w:szCs w:val="28"/>
        </w:rPr>
      </w:pPr>
      <w:r w:rsidRPr="00734A50">
        <w:rPr>
          <w:rFonts w:eastAsia="Calibri"/>
          <w:sz w:val="22"/>
          <w:szCs w:val="28"/>
        </w:rPr>
        <w:lastRenderedPageBreak/>
        <w:t>Figure F1: Schedule 1 for Program Standard 4.2</w:t>
      </w:r>
    </w:p>
    <w:p w14:paraId="57BFE079" w14:textId="77777777" w:rsidR="00C74174" w:rsidRPr="00734A50" w:rsidRDefault="00C74174" w:rsidP="00C74174">
      <w:pPr>
        <w:ind w:left="1008"/>
      </w:pPr>
      <w:r w:rsidRPr="00734A50">
        <w:rPr>
          <w:noProof/>
        </w:rPr>
        <w:drawing>
          <wp:inline distT="0" distB="0" distL="0" distR="0" wp14:anchorId="6DFE75B7" wp14:editId="7EBD279B">
            <wp:extent cx="3152775" cy="3401256"/>
            <wp:effectExtent l="0" t="0" r="0" b="8890"/>
            <wp:docPr id="50" name="Picture 50" descr="A screenshot of Schedule 1 for Program Standar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Schedule 1 for Program Standard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65428" cy="3414906"/>
                    </a:xfrm>
                    <a:prstGeom prst="rect">
                      <a:avLst/>
                    </a:prstGeom>
                    <a:noFill/>
                    <a:ln>
                      <a:noFill/>
                    </a:ln>
                  </pic:spPr>
                </pic:pic>
              </a:graphicData>
            </a:graphic>
          </wp:inline>
        </w:drawing>
      </w:r>
    </w:p>
    <w:p w14:paraId="7713610A" w14:textId="2D9487B5" w:rsidR="00C74174" w:rsidRPr="00734A50" w:rsidRDefault="00C74174" w:rsidP="00A36740">
      <w:pPr>
        <w:pStyle w:val="Heading3"/>
      </w:pPr>
      <w:bookmarkStart w:id="126" w:name="_Toc139366684"/>
      <w:r w:rsidRPr="00734A50">
        <w:rPr>
          <w:rFonts w:eastAsia="Calibri"/>
        </w:rPr>
        <w:t xml:space="preserve">Amending the Accreditation Procedures and supporting </w:t>
      </w:r>
      <w:r w:rsidR="00F320B7" w:rsidRPr="00734A50">
        <w:rPr>
          <w:rFonts w:eastAsia="Calibri"/>
        </w:rPr>
        <w:t>g</w:t>
      </w:r>
      <w:r w:rsidRPr="00734A50">
        <w:rPr>
          <w:rFonts w:eastAsia="Calibri"/>
        </w:rPr>
        <w:t>uidelines</w:t>
      </w:r>
      <w:bookmarkEnd w:id="126"/>
    </w:p>
    <w:p w14:paraId="3D7EA9BB" w14:textId="18043B67" w:rsidR="00C74174" w:rsidRPr="00734A50" w:rsidRDefault="00C74174" w:rsidP="00C74174">
      <w:pPr>
        <w:rPr>
          <w:rFonts w:ascii="Times New Roman" w:hAnsi="Times New Roman" w:cs="Times New Roman"/>
          <w:sz w:val="24"/>
          <w:szCs w:val="24"/>
          <w:lang w:eastAsia="en-AU"/>
        </w:rPr>
      </w:pPr>
      <w:r w:rsidRPr="003610C4">
        <w:rPr>
          <w:rFonts w:ascii="Calibri" w:eastAsia="Calibri" w:hAnsi="Calibri" w:cs="Calibri"/>
        </w:rPr>
        <w:t>The National Accreditation Procedures</w:t>
      </w:r>
      <w:r w:rsidRPr="00734A50">
        <w:rPr>
          <w:rFonts w:ascii="Calibri" w:eastAsia="Calibri" w:hAnsi="Calibri" w:cs="Calibri"/>
        </w:rPr>
        <w:t xml:space="preserve"> set out a nationally consistent process to accredit ITE programs. The Procedures and supporting </w:t>
      </w:r>
      <w:r w:rsidR="00F320B7" w:rsidRPr="00734A50">
        <w:rPr>
          <w:rFonts w:ascii="Calibri" w:eastAsia="Calibri" w:hAnsi="Calibri" w:cs="Calibri"/>
        </w:rPr>
        <w:t>g</w:t>
      </w:r>
      <w:r w:rsidRPr="00734A50">
        <w:rPr>
          <w:rFonts w:ascii="Calibri" w:eastAsia="Calibri" w:hAnsi="Calibri" w:cs="Calibri"/>
        </w:rPr>
        <w:t xml:space="preserve">uidelines outline the evidence which must be provided to show the </w:t>
      </w:r>
      <w:r w:rsidRPr="003610C4">
        <w:rPr>
          <w:rFonts w:ascii="Calibri" w:eastAsia="Calibri" w:hAnsi="Calibri" w:cs="Calibri"/>
        </w:rPr>
        <w:t>Program Standards</w:t>
      </w:r>
      <w:r w:rsidRPr="00734A50">
        <w:rPr>
          <w:rFonts w:ascii="Calibri" w:eastAsia="Calibri" w:hAnsi="Calibri" w:cs="Calibri"/>
        </w:rPr>
        <w:t xml:space="preserve"> have been met and the process accreditation panels (</w:t>
      </w:r>
      <w:r w:rsidR="00C35F5F" w:rsidRPr="00734A50">
        <w:rPr>
          <w:rFonts w:ascii="Calibri" w:eastAsia="Calibri" w:hAnsi="Calibri" w:cs="Calibri"/>
        </w:rPr>
        <w:t>T</w:t>
      </w:r>
      <w:r w:rsidR="0097787D" w:rsidRPr="00734A50">
        <w:rPr>
          <w:rFonts w:ascii="Calibri" w:eastAsia="Calibri" w:hAnsi="Calibri" w:cs="Calibri"/>
        </w:rPr>
        <w:t xml:space="preserve">eacher </w:t>
      </w:r>
      <w:r w:rsidR="00C35F5F" w:rsidRPr="00734A50">
        <w:rPr>
          <w:rFonts w:ascii="Calibri" w:eastAsia="Calibri" w:hAnsi="Calibri" w:cs="Calibri"/>
        </w:rPr>
        <w:t>R</w:t>
      </w:r>
      <w:r w:rsidR="0097787D" w:rsidRPr="00734A50">
        <w:rPr>
          <w:rFonts w:ascii="Calibri" w:eastAsia="Calibri" w:hAnsi="Calibri" w:cs="Calibri"/>
        </w:rPr>
        <w:t xml:space="preserve">egulatory </w:t>
      </w:r>
      <w:r w:rsidR="00C35F5F" w:rsidRPr="00734A50">
        <w:rPr>
          <w:rFonts w:ascii="Calibri" w:eastAsia="Calibri" w:hAnsi="Calibri" w:cs="Calibri"/>
        </w:rPr>
        <w:t>A</w:t>
      </w:r>
      <w:r w:rsidR="0097787D" w:rsidRPr="00734A50">
        <w:rPr>
          <w:rFonts w:ascii="Calibri" w:eastAsia="Calibri" w:hAnsi="Calibri" w:cs="Calibri"/>
        </w:rPr>
        <w:t>uthorities</w:t>
      </w:r>
      <w:r w:rsidRPr="00734A50">
        <w:rPr>
          <w:rFonts w:ascii="Calibri" w:eastAsia="Calibri" w:hAnsi="Calibri" w:cs="Calibri"/>
        </w:rPr>
        <w:t>) should follow to assess the evidence.</w:t>
      </w:r>
    </w:p>
    <w:p w14:paraId="3F423064" w14:textId="77777777" w:rsidR="00C74174" w:rsidRPr="00713302" w:rsidRDefault="00C74174" w:rsidP="00C74174">
      <w:r w:rsidRPr="00713302">
        <w:rPr>
          <w:rFonts w:ascii="Calibri Light" w:eastAsia="Calibri Light" w:hAnsi="Calibri Light" w:cs="Calibri Light"/>
          <w:b/>
          <w:bCs/>
          <w:sz w:val="24"/>
          <w:szCs w:val="24"/>
        </w:rPr>
        <w:t>Recommended changes to the Accreditation Procedures and supporting Guidelines</w:t>
      </w:r>
    </w:p>
    <w:p w14:paraId="694754C7" w14:textId="02FCF1AB" w:rsidR="00C74174" w:rsidRPr="00734A50" w:rsidRDefault="00C74174" w:rsidP="00C74174">
      <w:pPr>
        <w:rPr>
          <w:lang w:val="en-US"/>
        </w:rPr>
      </w:pPr>
      <w:r w:rsidRPr="00734A50">
        <w:rPr>
          <w:rFonts w:ascii="Calibri" w:eastAsia="Calibri" w:hAnsi="Calibri" w:cs="Arial"/>
        </w:rPr>
        <w:t>To avoid confusion with the evidence requirements for the Graduate Teacher Standards and minimise changes to the Accreditation Procedures, the Panel proposes a separate template should be developed to assess the core content in accreditation (called, for example, Template 3.1</w:t>
      </w:r>
      <w:r w:rsidR="007D05A9" w:rsidRPr="00734A50">
        <w:rPr>
          <w:rFonts w:ascii="Calibri" w:eastAsia="Calibri" w:hAnsi="Calibri" w:cs="Arial"/>
        </w:rPr>
        <w:t>)</w:t>
      </w:r>
      <w:r w:rsidR="007D05A9" w:rsidRPr="00734A50" w:rsidDel="00511EB8">
        <w:rPr>
          <w:rFonts w:ascii="Calibri" w:eastAsia="Calibri" w:hAnsi="Calibri" w:cs="Arial"/>
        </w:rPr>
        <w:t>.</w:t>
      </w:r>
      <w:r w:rsidRPr="00734A50">
        <w:rPr>
          <w:rFonts w:ascii="Calibri" w:eastAsia="Calibri" w:hAnsi="Calibri" w:cs="Arial"/>
        </w:rPr>
        <w:t xml:space="preserve"> This is most similar to an approach described by ATRA in its submission to the Discussion Paper </w:t>
      </w:r>
      <w:r w:rsidRPr="00734A50">
        <w:rPr>
          <w:lang w:val="en-US"/>
        </w:rPr>
        <w:t xml:space="preserve">and is aligned with NSW’s approach to </w:t>
      </w:r>
      <w:r w:rsidR="00AB2BA2" w:rsidRPr="00734A50">
        <w:rPr>
          <w:lang w:val="en-US"/>
        </w:rPr>
        <w:t>p</w:t>
      </w:r>
      <w:r w:rsidRPr="00734A50">
        <w:rPr>
          <w:lang w:val="en-US"/>
        </w:rPr>
        <w:t xml:space="preserve">riority </w:t>
      </w:r>
      <w:r w:rsidR="00AB2BA2" w:rsidRPr="00734A50">
        <w:rPr>
          <w:lang w:val="en-US"/>
        </w:rPr>
        <w:t>a</w:t>
      </w:r>
      <w:r w:rsidRPr="00734A50">
        <w:rPr>
          <w:lang w:val="en-US"/>
        </w:rPr>
        <w:t>reas, which the Panel understands has been in use in NSW since 2017. In NSW</w:t>
      </w:r>
      <w:r w:rsidRPr="00734A50">
        <w:rPr>
          <w:rFonts w:ascii="Calibri" w:eastAsia="Calibri" w:hAnsi="Calibri" w:cs="Calibri"/>
          <w:lang w:val="en-US"/>
        </w:rPr>
        <w:t>, ITE providers complete Supplementary Documentation to evidence how they have met the additional accreditation requirements of NSW (called Template 3A)</w:t>
      </w:r>
      <w:r w:rsidRPr="00734A50">
        <w:rPr>
          <w:lang w:val="en-US"/>
        </w:rPr>
        <w:t xml:space="preserve"> and cross-reference evidence across templates to avoid duplication of content. </w:t>
      </w:r>
    </w:p>
    <w:p w14:paraId="708C3812" w14:textId="224D859E" w:rsidR="00C74174" w:rsidRPr="00734A50" w:rsidRDefault="00C74174" w:rsidP="00C74174">
      <w:r w:rsidRPr="00734A50">
        <w:rPr>
          <w:rFonts w:ascii="Calibri" w:eastAsia="Calibri" w:hAnsi="Calibri" w:cs="Arial"/>
          <w:color w:val="000000" w:themeColor="text1"/>
        </w:rPr>
        <w:t>A draft Template 3.1 for assessing delivery of the core content in accreditation is provided below</w:t>
      </w:r>
      <w:r w:rsidR="00814AAF" w:rsidRPr="00734A50">
        <w:rPr>
          <w:rFonts w:ascii="Calibri" w:eastAsia="Calibri" w:hAnsi="Calibri" w:cs="Arial"/>
          <w:color w:val="000000" w:themeColor="text1"/>
        </w:rPr>
        <w:t xml:space="preserve"> (Figure F2)</w:t>
      </w:r>
      <w:r w:rsidRPr="00734A50">
        <w:rPr>
          <w:rFonts w:ascii="Calibri" w:eastAsia="Calibri" w:hAnsi="Calibri" w:cs="Arial"/>
          <w:color w:val="000000" w:themeColor="text1"/>
        </w:rPr>
        <w:t xml:space="preserve">. </w:t>
      </w:r>
    </w:p>
    <w:p w14:paraId="6FF549FA" w14:textId="603B7A50" w:rsidR="00C74174" w:rsidRPr="00734A50" w:rsidRDefault="00C74174" w:rsidP="00466B43"/>
    <w:p w14:paraId="1DE3E67F" w14:textId="77777777" w:rsidR="00713302" w:rsidRDefault="00713302">
      <w:pPr>
        <w:spacing w:after="160" w:line="259" w:lineRule="auto"/>
        <w:rPr>
          <w:rFonts w:asciiTheme="majorHAnsi" w:eastAsia="Calibri" w:hAnsiTheme="majorHAnsi" w:cs="Times New Roman"/>
          <w:b/>
          <w:color w:val="000000"/>
          <w:szCs w:val="28"/>
          <w:lang w:eastAsia="en-AU"/>
        </w:rPr>
      </w:pPr>
      <w:r>
        <w:rPr>
          <w:rFonts w:eastAsia="Calibri"/>
          <w:szCs w:val="28"/>
        </w:rPr>
        <w:br w:type="page"/>
      </w:r>
    </w:p>
    <w:p w14:paraId="7FF48325" w14:textId="5C720984" w:rsidR="00833C8B" w:rsidRDefault="00803BF5" w:rsidP="00743ADA">
      <w:pPr>
        <w:pStyle w:val="FigureHeading"/>
        <w:numPr>
          <w:ilvl w:val="0"/>
          <w:numId w:val="0"/>
        </w:numPr>
        <w:ind w:left="357" w:hanging="357"/>
        <w:rPr>
          <w:rFonts w:eastAsia="Calibri"/>
          <w:sz w:val="22"/>
          <w:szCs w:val="28"/>
        </w:rPr>
      </w:pPr>
      <w:r w:rsidRPr="00734A50">
        <w:rPr>
          <w:rFonts w:eastAsia="Calibri"/>
          <w:sz w:val="22"/>
          <w:szCs w:val="28"/>
        </w:rPr>
        <w:lastRenderedPageBreak/>
        <w:t xml:space="preserve">Figure F2: </w:t>
      </w:r>
      <w:r w:rsidR="00C74174" w:rsidRPr="00734A50">
        <w:rPr>
          <w:rFonts w:eastAsia="Calibri"/>
          <w:sz w:val="22"/>
          <w:szCs w:val="28"/>
        </w:rPr>
        <w:t xml:space="preserve">Draft </w:t>
      </w:r>
      <w:r w:rsidR="00225FC0">
        <w:rPr>
          <w:rFonts w:eastAsia="Calibri"/>
          <w:sz w:val="22"/>
          <w:szCs w:val="28"/>
        </w:rPr>
        <w:t>T</w:t>
      </w:r>
      <w:r w:rsidR="00C74174" w:rsidRPr="00734A50">
        <w:rPr>
          <w:rFonts w:eastAsia="Calibri"/>
          <w:sz w:val="22"/>
          <w:szCs w:val="28"/>
        </w:rPr>
        <w:t>emplate 3.1</w:t>
      </w:r>
    </w:p>
    <w:tbl>
      <w:tblPr>
        <w:tblStyle w:val="GridTable5Dark-Accent2"/>
        <w:tblW w:w="9016" w:type="dxa"/>
        <w:tblBorders>
          <w:top w:val="single" w:sz="4" w:space="0" w:color="EBAB12" w:themeColor="accent1"/>
          <w:left w:val="single" w:sz="4" w:space="0" w:color="EBAB12" w:themeColor="accent1"/>
          <w:bottom w:val="single" w:sz="4" w:space="0" w:color="EBAB12" w:themeColor="accent1"/>
          <w:right w:val="single" w:sz="4" w:space="0" w:color="EBAB12" w:themeColor="accent1"/>
          <w:insideH w:val="single" w:sz="4" w:space="0" w:color="EBAB12" w:themeColor="accent1"/>
          <w:insideV w:val="single" w:sz="4" w:space="0" w:color="EBAB12" w:themeColor="accent1"/>
        </w:tblBorders>
        <w:tblLook w:val="04A0" w:firstRow="1" w:lastRow="0" w:firstColumn="1" w:lastColumn="0" w:noHBand="0" w:noVBand="1"/>
      </w:tblPr>
      <w:tblGrid>
        <w:gridCol w:w="1893"/>
        <w:gridCol w:w="4481"/>
        <w:gridCol w:w="2642"/>
      </w:tblGrid>
      <w:tr w:rsidR="00864624" w:rsidRPr="00734A50" w14:paraId="0947A6A0" w14:textId="25C27BFE" w:rsidTr="00FD4EA7">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016" w:type="dxa"/>
            <w:gridSpan w:val="3"/>
            <w:tcBorders>
              <w:top w:val="single" w:sz="4" w:space="0" w:color="EBAB12" w:themeColor="accent1"/>
              <w:left w:val="single" w:sz="4" w:space="0" w:color="EBAB12" w:themeColor="accent1"/>
              <w:right w:val="single" w:sz="4" w:space="0" w:color="EBAB12" w:themeColor="accent1"/>
            </w:tcBorders>
          </w:tcPr>
          <w:p w14:paraId="0E183D1A" w14:textId="77777777" w:rsidR="00864624" w:rsidRDefault="00864624" w:rsidP="00FD4EA7">
            <w:pPr>
              <w:rPr>
                <w:rFonts w:cstheme="minorHAnsi"/>
                <w:b w:val="0"/>
                <w:bCs w:val="0"/>
                <w:sz w:val="32"/>
                <w:szCs w:val="32"/>
                <w:lang w:eastAsia="en-AU"/>
              </w:rPr>
            </w:pPr>
            <w:r w:rsidRPr="00734A50">
              <w:rPr>
                <w:rFonts w:cstheme="minorHAnsi"/>
                <w:b w:val="0"/>
                <w:i/>
                <w:color w:val="auto"/>
                <w:sz w:val="20"/>
                <w:szCs w:val="18"/>
              </w:rPr>
              <w:t>Graduate</w:t>
            </w:r>
            <w:r w:rsidRPr="00734A50">
              <w:rPr>
                <w:rFonts w:cstheme="minorHAnsi"/>
                <w:i/>
                <w:color w:val="auto"/>
                <w:sz w:val="19"/>
                <w:szCs w:val="19"/>
              </w:rPr>
              <w:t xml:space="preserve"> </w:t>
            </w:r>
            <w:r w:rsidRPr="00734A50">
              <w:rPr>
                <w:rFonts w:cstheme="minorHAnsi"/>
                <w:b w:val="0"/>
                <w:i/>
                <w:color w:val="auto"/>
                <w:sz w:val="20"/>
                <w:szCs w:val="18"/>
              </w:rPr>
              <w:t xml:space="preserve">Teacher Standards: </w:t>
            </w:r>
            <w:r w:rsidRPr="00734A50">
              <w:rPr>
                <w:rFonts w:eastAsia="Calibri" w:cstheme="minorHAnsi"/>
                <w:b w:val="0"/>
                <w:color w:val="auto"/>
                <w:sz w:val="19"/>
                <w:szCs w:val="19"/>
              </w:rPr>
              <w:t>1.3, 1.5, 1.6; 2.1, 2.2, 2.3, 2.4, 2.5; 3.1, 3.2, 3.3</w:t>
            </w:r>
            <w:r>
              <w:rPr>
                <w:rFonts w:eastAsia="Calibri" w:cstheme="minorHAnsi"/>
                <w:b w:val="0"/>
                <w:color w:val="auto"/>
                <w:sz w:val="19"/>
                <w:szCs w:val="19"/>
              </w:rPr>
              <w:t>,</w:t>
            </w:r>
            <w:r w:rsidRPr="00734A50">
              <w:rPr>
                <w:rFonts w:eastAsia="Calibri" w:cstheme="minorHAnsi"/>
                <w:b w:val="0"/>
                <w:color w:val="auto"/>
                <w:sz w:val="19"/>
                <w:szCs w:val="19"/>
              </w:rPr>
              <w:t xml:space="preserve"> 3.4, 3.5, 3.6; 4.1, 4.2; 5.1, 5.2, 5.4 </w:t>
            </w:r>
          </w:p>
          <w:p w14:paraId="311B8EB3" w14:textId="52ECC9A3" w:rsidR="00864624" w:rsidRPr="00734A50" w:rsidRDefault="00864624" w:rsidP="00FD4EA7">
            <w:pPr>
              <w:rPr>
                <w:rFonts w:cstheme="minorHAnsi"/>
                <w:i/>
                <w:sz w:val="20"/>
                <w:szCs w:val="18"/>
              </w:rPr>
            </w:pPr>
            <w:r w:rsidRPr="00026976">
              <w:rPr>
                <w:rFonts w:cstheme="minorHAnsi"/>
                <w:color w:val="auto"/>
              </w:rPr>
              <w:t>Program approach to the core content</w:t>
            </w:r>
          </w:p>
        </w:tc>
      </w:tr>
      <w:tr w:rsidR="00864624" w:rsidRPr="00734A50" w14:paraId="7241B11F" w14:textId="093E3130" w:rsidTr="00FD4EA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16" w:type="dxa"/>
            <w:gridSpan w:val="3"/>
            <w:tcBorders>
              <w:left w:val="single" w:sz="4" w:space="0" w:color="EBAB12" w:themeColor="accent1"/>
            </w:tcBorders>
            <w:shd w:val="clear" w:color="auto" w:fill="auto"/>
          </w:tcPr>
          <w:p w14:paraId="5C81B7DA" w14:textId="77777777" w:rsidR="00864624" w:rsidRDefault="00864624" w:rsidP="00FD4EA7">
            <w:pPr>
              <w:spacing w:after="0"/>
              <w:rPr>
                <w:rFonts w:cstheme="minorHAnsi"/>
                <w:bCs w:val="0"/>
                <w:sz w:val="19"/>
                <w:szCs w:val="19"/>
              </w:rPr>
            </w:pPr>
            <w:r>
              <w:rPr>
                <w:rFonts w:cstheme="minorHAnsi"/>
                <w:b w:val="0"/>
                <w:color w:val="auto"/>
                <w:sz w:val="19"/>
                <w:szCs w:val="19"/>
              </w:rPr>
              <w:t>[Outline Program approach to the core content]</w:t>
            </w:r>
          </w:p>
          <w:p w14:paraId="77770833" w14:textId="77777777" w:rsidR="00864624" w:rsidRDefault="00864624" w:rsidP="00FD4EA7">
            <w:pPr>
              <w:spacing w:after="0"/>
              <w:rPr>
                <w:rFonts w:cstheme="minorHAnsi"/>
                <w:bCs w:val="0"/>
                <w:sz w:val="19"/>
                <w:szCs w:val="19"/>
              </w:rPr>
            </w:pPr>
          </w:p>
          <w:p w14:paraId="2C827CD9" w14:textId="77777777" w:rsidR="00864624" w:rsidRDefault="00864624" w:rsidP="00FD4EA7">
            <w:pPr>
              <w:spacing w:after="0"/>
              <w:rPr>
                <w:rFonts w:cstheme="minorHAnsi"/>
                <w:bCs w:val="0"/>
                <w:sz w:val="19"/>
                <w:szCs w:val="19"/>
              </w:rPr>
            </w:pPr>
          </w:p>
          <w:p w14:paraId="31F1AED8" w14:textId="77777777" w:rsidR="00864624" w:rsidRDefault="00864624" w:rsidP="00FD4EA7">
            <w:pPr>
              <w:spacing w:after="0"/>
              <w:rPr>
                <w:rFonts w:cstheme="minorHAnsi"/>
                <w:b w:val="0"/>
                <w:sz w:val="19"/>
                <w:szCs w:val="19"/>
              </w:rPr>
            </w:pPr>
          </w:p>
        </w:tc>
      </w:tr>
      <w:tr w:rsidR="00CD4AE9" w:rsidRPr="00734A50" w14:paraId="37926463" w14:textId="1FCD54FC" w:rsidTr="00864624">
        <w:trPr>
          <w:trHeight w:val="225"/>
        </w:trPr>
        <w:tc>
          <w:tcPr>
            <w:cnfStyle w:val="001000000000" w:firstRow="0" w:lastRow="0" w:firstColumn="1" w:lastColumn="0" w:oddVBand="0" w:evenVBand="0" w:oddHBand="0" w:evenHBand="0" w:firstRowFirstColumn="0" w:firstRowLastColumn="0" w:lastRowFirstColumn="0" w:lastRowLastColumn="0"/>
            <w:tcW w:w="1893" w:type="dxa"/>
            <w:tcBorders>
              <w:left w:val="single" w:sz="4" w:space="0" w:color="EBAB12" w:themeColor="accent1"/>
            </w:tcBorders>
          </w:tcPr>
          <w:p w14:paraId="5D34F5D6" w14:textId="77777777" w:rsidR="00CD4AE9" w:rsidRPr="00734A50" w:rsidRDefault="00CD4AE9" w:rsidP="00FD4EA7">
            <w:pPr>
              <w:rPr>
                <w:rFonts w:eastAsia="Calibri" w:cstheme="minorHAnsi"/>
                <w:color w:val="auto"/>
                <w:sz w:val="24"/>
                <w:szCs w:val="24"/>
              </w:rPr>
            </w:pPr>
            <w:r w:rsidRPr="00734A50">
              <w:rPr>
                <w:rFonts w:cstheme="minorHAnsi"/>
                <w:color w:val="auto"/>
                <w:sz w:val="24"/>
                <w:szCs w:val="24"/>
              </w:rPr>
              <w:t>Learning Outcome</w:t>
            </w:r>
          </w:p>
        </w:tc>
        <w:tc>
          <w:tcPr>
            <w:tcW w:w="4481" w:type="dxa"/>
            <w:shd w:val="clear" w:color="auto" w:fill="FECF52" w:themeFill="accent2"/>
          </w:tcPr>
          <w:p w14:paraId="53C7EB15" w14:textId="77777777" w:rsidR="00CD4AE9" w:rsidRPr="00734A50" w:rsidRDefault="00CD4AE9" w:rsidP="00FD4EA7">
            <w:pPr>
              <w:cnfStyle w:val="000000000000" w:firstRow="0" w:lastRow="0" w:firstColumn="0" w:lastColumn="0" w:oddVBand="0" w:evenVBand="0" w:oddHBand="0" w:evenHBand="0" w:firstRowFirstColumn="0" w:firstRowLastColumn="0" w:lastRowFirstColumn="0" w:lastRowLastColumn="0"/>
              <w:rPr>
                <w:rFonts w:eastAsia="Calibri" w:cstheme="minorHAnsi"/>
                <w:b/>
                <w:sz w:val="24"/>
                <w:szCs w:val="24"/>
              </w:rPr>
            </w:pPr>
            <w:r w:rsidRPr="00734A50">
              <w:rPr>
                <w:rFonts w:cstheme="minorHAnsi"/>
                <w:b/>
                <w:sz w:val="24"/>
                <w:szCs w:val="24"/>
              </w:rPr>
              <w:t>Core content ITE programs should teach</w:t>
            </w:r>
          </w:p>
        </w:tc>
        <w:tc>
          <w:tcPr>
            <w:tcW w:w="2642" w:type="dxa"/>
            <w:shd w:val="clear" w:color="auto" w:fill="FECF52" w:themeFill="accent2"/>
          </w:tcPr>
          <w:p w14:paraId="23420A16" w14:textId="453FFBFC" w:rsidR="00CD4AE9" w:rsidRPr="00734A50" w:rsidRDefault="00864624" w:rsidP="00FD4EA7">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Pr>
                <w:rFonts w:cstheme="minorHAnsi"/>
                <w:b/>
                <w:sz w:val="24"/>
                <w:szCs w:val="24"/>
              </w:rPr>
              <w:t>Evidence*</w:t>
            </w:r>
          </w:p>
        </w:tc>
      </w:tr>
      <w:tr w:rsidR="00CD4AE9" w:rsidRPr="00734A50" w14:paraId="474B93F6" w14:textId="3789ACDC" w:rsidTr="0086462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893" w:type="dxa"/>
            <w:vMerge w:val="restart"/>
            <w:tcBorders>
              <w:left w:val="single" w:sz="4" w:space="0" w:color="EBAB12" w:themeColor="accent1"/>
            </w:tcBorders>
            <w:shd w:val="clear" w:color="auto" w:fill="FEEBB9" w:themeFill="accent2" w:themeFillTint="66"/>
          </w:tcPr>
          <w:p w14:paraId="0622090D" w14:textId="77777777" w:rsidR="00CD4AE9" w:rsidRPr="00734A50" w:rsidRDefault="00CD4AE9" w:rsidP="00FD4EA7">
            <w:pPr>
              <w:tabs>
                <w:tab w:val="right" w:pos="9026"/>
              </w:tabs>
              <w:suppressAutoHyphens/>
              <w:spacing w:before="160" w:after="0"/>
              <w:rPr>
                <w:rFonts w:cstheme="minorHAnsi"/>
                <w:color w:val="auto"/>
                <w:sz w:val="16"/>
                <w:szCs w:val="16"/>
                <w:lang w:val="en-US"/>
              </w:rPr>
            </w:pPr>
            <w:r w:rsidRPr="00734A50">
              <w:rPr>
                <w:rFonts w:cstheme="minorHAnsi"/>
                <w:color w:val="auto"/>
                <w:sz w:val="16"/>
                <w:szCs w:val="16"/>
                <w:lang w:val="en-US"/>
              </w:rPr>
              <w:t>Knowledge of and skill in planning and sequencing content and tasks so that they become increasingly challenging and incorporate spacing and retrieval practice.</w:t>
            </w:r>
          </w:p>
        </w:tc>
        <w:tc>
          <w:tcPr>
            <w:tcW w:w="4481" w:type="dxa"/>
          </w:tcPr>
          <w:p w14:paraId="62C1FE74"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b/>
                <w:u w:val="single"/>
              </w:rPr>
            </w:pPr>
            <w:r w:rsidRPr="00734A50">
              <w:rPr>
                <w:b/>
                <w:sz w:val="20"/>
                <w:szCs w:val="20"/>
                <w:u w:val="single"/>
              </w:rPr>
              <w:t>Planning and sequencing</w:t>
            </w:r>
          </w:p>
        </w:tc>
        <w:tc>
          <w:tcPr>
            <w:tcW w:w="2642" w:type="dxa"/>
          </w:tcPr>
          <w:p w14:paraId="37B9369C"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b/>
                <w:sz w:val="20"/>
                <w:szCs w:val="20"/>
                <w:u w:val="single"/>
              </w:rPr>
            </w:pPr>
          </w:p>
        </w:tc>
      </w:tr>
      <w:tr w:rsidR="00CD4AE9" w:rsidRPr="00734A50" w14:paraId="359F0E2B" w14:textId="5770CB79" w:rsidTr="00864624">
        <w:trPr>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39782CD1"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525C2FB5"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sz w:val="16"/>
                <w:szCs w:val="16"/>
              </w:rPr>
              <w:t xml:space="preserve">The </w:t>
            </w:r>
            <w:r w:rsidRPr="00734A50">
              <w:rPr>
                <w:rFonts w:eastAsia="Calibri" w:cstheme="minorHAnsi"/>
                <w:b/>
                <w:bCs/>
                <w:sz w:val="16"/>
                <w:szCs w:val="16"/>
              </w:rPr>
              <w:t xml:space="preserve">key features of coherent and deliberate planning and sequencing of tasks and lessons </w:t>
            </w:r>
            <w:r w:rsidRPr="00734A50">
              <w:rPr>
                <w:rFonts w:eastAsia="Calibri" w:cstheme="minorHAnsi"/>
                <w:sz w:val="16"/>
                <w:szCs w:val="16"/>
              </w:rPr>
              <w:t xml:space="preserve">including curriculum-aligned learning objectives, clear descriptions of how students will show evidence of mastery, the </w:t>
            </w:r>
            <w:r w:rsidRPr="00734A50">
              <w:rPr>
                <w:rFonts w:eastAsia="Calibri" w:cstheme="minorHAnsi"/>
                <w:sz w:val="16"/>
                <w:szCs w:val="16"/>
                <w:lang w:eastAsia="en-AU"/>
              </w:rPr>
              <w:t>common progression of learning in a subject area and the critical curriculum knowledge needed for students to progress.</w:t>
            </w:r>
          </w:p>
        </w:tc>
        <w:tc>
          <w:tcPr>
            <w:tcW w:w="2642" w:type="dxa"/>
          </w:tcPr>
          <w:p w14:paraId="1D3AC1C4"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p>
        </w:tc>
      </w:tr>
      <w:tr w:rsidR="00CD4AE9" w:rsidRPr="00734A50" w14:paraId="6AA9CED3" w14:textId="722849C0" w:rsidTr="0086462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31EF522D"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453057EC"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heme="minorHAnsi"/>
                <w:b/>
                <w:bCs/>
                <w:sz w:val="16"/>
                <w:szCs w:val="16"/>
              </w:rPr>
              <w:t>How to plan</w:t>
            </w:r>
            <w:r w:rsidRPr="00734A50">
              <w:rPr>
                <w:rFonts w:eastAsia="Calibri" w:cstheme="minorHAnsi"/>
                <w:sz w:val="16"/>
                <w:szCs w:val="16"/>
              </w:rPr>
              <w:t xml:space="preserve"> </w:t>
            </w:r>
            <w:r w:rsidRPr="00734A50">
              <w:rPr>
                <w:rFonts w:eastAsia="Calibri" w:cstheme="minorHAnsi"/>
                <w:b/>
                <w:bCs/>
                <w:sz w:val="16"/>
                <w:szCs w:val="16"/>
              </w:rPr>
              <w:t>a sequence of lessons</w:t>
            </w:r>
            <w:r w:rsidRPr="00734A50">
              <w:rPr>
                <w:rFonts w:eastAsia="Calibri" w:cstheme="minorHAnsi"/>
                <w:sz w:val="16"/>
                <w:szCs w:val="16"/>
              </w:rPr>
              <w:t xml:space="preserve"> that incorporate spacing and retrieval practice, build upon each other, meet students where they are in their learning and help students retrieve past learning and consolidate it in long-term memory.</w:t>
            </w:r>
          </w:p>
        </w:tc>
        <w:tc>
          <w:tcPr>
            <w:tcW w:w="2642" w:type="dxa"/>
          </w:tcPr>
          <w:p w14:paraId="0EA24AE1"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heme="minorHAnsi"/>
                <w:b/>
                <w:bCs/>
                <w:sz w:val="16"/>
                <w:szCs w:val="16"/>
              </w:rPr>
            </w:pPr>
          </w:p>
        </w:tc>
      </w:tr>
      <w:tr w:rsidR="00CD4AE9" w:rsidRPr="00734A50" w14:paraId="66428655" w14:textId="031F6498" w:rsidTr="00864624">
        <w:trPr>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0F70698B"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668DBAC2"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heme="minorHAnsi"/>
                <w:b/>
                <w:bCs/>
                <w:sz w:val="16"/>
                <w:szCs w:val="16"/>
              </w:rPr>
              <w:t>How to</w:t>
            </w:r>
            <w:r w:rsidRPr="00734A50">
              <w:rPr>
                <w:rFonts w:eastAsia="Calibri" w:cstheme="minorHAnsi"/>
                <w:sz w:val="16"/>
                <w:szCs w:val="16"/>
              </w:rPr>
              <w:t xml:space="preserve"> </w:t>
            </w:r>
            <w:r w:rsidRPr="00734A50">
              <w:rPr>
                <w:rFonts w:eastAsia="Calibri" w:cstheme="minorHAnsi"/>
                <w:b/>
                <w:bCs/>
                <w:sz w:val="16"/>
                <w:szCs w:val="16"/>
              </w:rPr>
              <w:t>sequence tasks within a lesson</w:t>
            </w:r>
            <w:r w:rsidRPr="00734A50">
              <w:rPr>
                <w:rFonts w:eastAsia="Calibri" w:cstheme="minorHAnsi"/>
                <w:sz w:val="16"/>
                <w:szCs w:val="16"/>
              </w:rPr>
              <w:t xml:space="preserve"> that build upon each other, meet students where they are in their learning and help them understand the progression of skills needed to attain mastery.</w:t>
            </w:r>
          </w:p>
        </w:tc>
        <w:tc>
          <w:tcPr>
            <w:tcW w:w="2642" w:type="dxa"/>
          </w:tcPr>
          <w:p w14:paraId="6662E04D"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b/>
                <w:bCs/>
                <w:sz w:val="16"/>
                <w:szCs w:val="16"/>
              </w:rPr>
            </w:pPr>
          </w:p>
        </w:tc>
      </w:tr>
      <w:tr w:rsidR="00CD4AE9" w:rsidRPr="00734A50" w14:paraId="2D4A0A50" w14:textId="7A43D5F2" w:rsidTr="0086462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893" w:type="dxa"/>
            <w:vMerge w:val="restart"/>
            <w:tcBorders>
              <w:left w:val="single" w:sz="4" w:space="0" w:color="EBAB12" w:themeColor="accent1"/>
            </w:tcBorders>
            <w:shd w:val="clear" w:color="auto" w:fill="FEEBB9" w:themeFill="accent2" w:themeFillTint="66"/>
          </w:tcPr>
          <w:p w14:paraId="21284D43" w14:textId="77777777" w:rsidR="00CD4AE9" w:rsidRPr="00734A50" w:rsidRDefault="00CD4AE9" w:rsidP="00FD4EA7">
            <w:pPr>
              <w:tabs>
                <w:tab w:val="right" w:pos="9026"/>
              </w:tabs>
              <w:suppressAutoHyphens/>
              <w:spacing w:before="160" w:after="0"/>
              <w:rPr>
                <w:rFonts w:cstheme="minorHAnsi"/>
                <w:color w:val="auto"/>
                <w:sz w:val="16"/>
                <w:szCs w:val="16"/>
                <w:lang w:val="en-US"/>
              </w:rPr>
            </w:pPr>
            <w:r w:rsidRPr="00734A50">
              <w:rPr>
                <w:rFonts w:cstheme="minorHAnsi"/>
                <w:color w:val="auto"/>
                <w:sz w:val="16"/>
                <w:szCs w:val="16"/>
                <w:lang w:val="en-US"/>
              </w:rPr>
              <w:t>Knowledge of and skill in explicit teaching, modelling and scaffolding practices that support how a student’s brain learns.</w:t>
            </w:r>
          </w:p>
          <w:p w14:paraId="2228C9C6" w14:textId="77777777" w:rsidR="00CD4AE9" w:rsidRPr="00734A50" w:rsidRDefault="00CD4AE9" w:rsidP="00FD4EA7">
            <w:pPr>
              <w:spacing w:after="0"/>
              <w:rPr>
                <w:rFonts w:cstheme="minorHAnsi"/>
                <w:color w:val="auto"/>
                <w:sz w:val="16"/>
                <w:szCs w:val="16"/>
                <w:lang w:val="en-US"/>
              </w:rPr>
            </w:pPr>
          </w:p>
        </w:tc>
        <w:tc>
          <w:tcPr>
            <w:tcW w:w="4481" w:type="dxa"/>
          </w:tcPr>
          <w:p w14:paraId="11D180E2"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b/>
              </w:rPr>
            </w:pPr>
            <w:r w:rsidRPr="00734A50">
              <w:rPr>
                <w:b/>
                <w:sz w:val="20"/>
                <w:szCs w:val="20"/>
                <w:u w:val="single"/>
              </w:rPr>
              <w:t>Explicit modelling and scaffolding</w:t>
            </w:r>
          </w:p>
        </w:tc>
        <w:tc>
          <w:tcPr>
            <w:tcW w:w="2642" w:type="dxa"/>
          </w:tcPr>
          <w:p w14:paraId="17738BF1"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b/>
                <w:sz w:val="20"/>
                <w:szCs w:val="20"/>
                <w:u w:val="single"/>
              </w:rPr>
            </w:pPr>
          </w:p>
        </w:tc>
      </w:tr>
      <w:tr w:rsidR="00CD4AE9" w:rsidRPr="00734A50" w14:paraId="436CCFD3" w14:textId="46CC6D19" w:rsidTr="00864624">
        <w:trPr>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0C7A58FC"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4CB47EAF"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The research base that shows </w:t>
            </w:r>
            <w:r w:rsidRPr="00734A50">
              <w:rPr>
                <w:rFonts w:eastAsia="Calibri" w:cs="Times New Roman"/>
                <w:b/>
                <w:bCs/>
                <w:sz w:val="16"/>
                <w:szCs w:val="16"/>
              </w:rPr>
              <w:t>explicit teaching, modelling and</w:t>
            </w:r>
            <w:r w:rsidRPr="00734A50">
              <w:rPr>
                <w:rFonts w:eastAsia="Calibri" w:cs="Times New Roman"/>
                <w:sz w:val="16"/>
                <w:szCs w:val="16"/>
              </w:rPr>
              <w:t xml:space="preserve"> </w:t>
            </w:r>
            <w:r w:rsidRPr="00734A50">
              <w:rPr>
                <w:rFonts w:eastAsia="Calibri" w:cs="Times New Roman"/>
                <w:b/>
                <w:bCs/>
                <w:sz w:val="16"/>
                <w:szCs w:val="16"/>
              </w:rPr>
              <w:t>scaffolding practices</w:t>
            </w:r>
            <w:r w:rsidRPr="00734A50">
              <w:rPr>
                <w:rFonts w:eastAsia="Calibri" w:cs="Times New Roman"/>
                <w:sz w:val="16"/>
                <w:szCs w:val="16"/>
              </w:rPr>
              <w:t xml:space="preserve"> are highly effective and attend best to </w:t>
            </w:r>
            <w:r w:rsidRPr="00734A50">
              <w:rPr>
                <w:rFonts w:eastAsia="Calibri" w:cs="Times New Roman"/>
                <w:b/>
                <w:bCs/>
                <w:sz w:val="16"/>
                <w:szCs w:val="16"/>
              </w:rPr>
              <w:t>how a student’s brain learns</w:t>
            </w:r>
            <w:r w:rsidRPr="00734A50">
              <w:rPr>
                <w:rFonts w:eastAsia="Calibri" w:cs="Times New Roman"/>
                <w:sz w:val="16"/>
                <w:szCs w:val="16"/>
              </w:rPr>
              <w:t>.</w:t>
            </w:r>
          </w:p>
        </w:tc>
        <w:tc>
          <w:tcPr>
            <w:tcW w:w="2642" w:type="dxa"/>
          </w:tcPr>
          <w:p w14:paraId="2B823C0A"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p>
        </w:tc>
      </w:tr>
      <w:tr w:rsidR="00CD4AE9" w:rsidRPr="00734A50" w14:paraId="355E30B8" w14:textId="3E460AF3" w:rsidTr="0086462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406D99BC"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47AF9118"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b/>
                <w:bCs/>
                <w:sz w:val="16"/>
                <w:szCs w:val="16"/>
              </w:rPr>
              <w:t>How to effectively begin instruction of a task</w:t>
            </w:r>
            <w:r w:rsidRPr="00734A50">
              <w:rPr>
                <w:rFonts w:eastAsia="Calibri" w:cs="Times New Roman"/>
                <w:sz w:val="16"/>
                <w:szCs w:val="16"/>
              </w:rPr>
              <w:t xml:space="preserve"> through using a clear explanation of what students are expected to learn, chunked into small, manageable tasks with well-defined goals.</w:t>
            </w:r>
          </w:p>
        </w:tc>
        <w:tc>
          <w:tcPr>
            <w:tcW w:w="2642" w:type="dxa"/>
          </w:tcPr>
          <w:p w14:paraId="201ED26A"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imes New Roman"/>
                <w:b/>
                <w:bCs/>
                <w:sz w:val="16"/>
                <w:szCs w:val="16"/>
              </w:rPr>
            </w:pPr>
          </w:p>
        </w:tc>
      </w:tr>
      <w:tr w:rsidR="00CD4AE9" w:rsidRPr="00734A50" w14:paraId="13CC4FFB" w14:textId="597AE095" w:rsidTr="00864624">
        <w:trPr>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797FC501"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35B5A01D"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b/>
                <w:bCs/>
                <w:sz w:val="16"/>
                <w:szCs w:val="16"/>
              </w:rPr>
              <w:t>The importance of presenting all information</w:t>
            </w:r>
            <w:r w:rsidRPr="00734A50">
              <w:rPr>
                <w:rFonts w:eastAsia="Calibri" w:cs="Times New Roman"/>
                <w:sz w:val="16"/>
                <w:szCs w:val="16"/>
              </w:rPr>
              <w:t xml:space="preserve"> required to complete these chunked tasks in </w:t>
            </w:r>
            <w:r w:rsidRPr="00734A50">
              <w:rPr>
                <w:rFonts w:eastAsia="Calibri" w:cs="Times New Roman"/>
                <w:b/>
                <w:bCs/>
                <w:sz w:val="16"/>
                <w:szCs w:val="16"/>
              </w:rPr>
              <w:t>one place and at one time</w:t>
            </w:r>
            <w:r w:rsidRPr="00734A50">
              <w:rPr>
                <w:rFonts w:eastAsia="Calibri" w:cs="Times New Roman"/>
                <w:sz w:val="16"/>
                <w:szCs w:val="16"/>
              </w:rPr>
              <w:t>, excluding information not directly related to the task, to reduce cognitive overload.</w:t>
            </w:r>
          </w:p>
        </w:tc>
        <w:tc>
          <w:tcPr>
            <w:tcW w:w="2642" w:type="dxa"/>
          </w:tcPr>
          <w:p w14:paraId="5A06972F"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imes New Roman"/>
                <w:b/>
                <w:bCs/>
                <w:sz w:val="16"/>
                <w:szCs w:val="16"/>
              </w:rPr>
            </w:pPr>
          </w:p>
        </w:tc>
      </w:tr>
      <w:tr w:rsidR="00CD4AE9" w:rsidRPr="00734A50" w14:paraId="551BD0FC" w14:textId="49E2C4DC" w:rsidTr="0086462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202502B0"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46E4DDBF"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explicitly model new skills and content</w:t>
            </w:r>
            <w:r w:rsidRPr="00734A50">
              <w:rPr>
                <w:rFonts w:eastAsia="Calibri" w:cs="Times New Roman"/>
                <w:sz w:val="16"/>
                <w:szCs w:val="16"/>
              </w:rPr>
              <w:t xml:space="preserve"> through </w:t>
            </w:r>
            <w:r w:rsidRPr="00734A50">
              <w:rPr>
                <w:rFonts w:eastAsia="Calibri" w:cs="Times New Roman"/>
                <w:b/>
                <w:bCs/>
                <w:sz w:val="16"/>
                <w:szCs w:val="16"/>
              </w:rPr>
              <w:t>‘worked examples’</w:t>
            </w:r>
            <w:r w:rsidRPr="00734A50">
              <w:rPr>
                <w:rFonts w:eastAsia="Calibri" w:cs="Times New Roman"/>
                <w:sz w:val="16"/>
                <w:szCs w:val="16"/>
              </w:rPr>
              <w:t xml:space="preserve"> that clearly demonstrate how to complete the task, followed by a </w:t>
            </w:r>
            <w:r w:rsidRPr="00734A50">
              <w:rPr>
                <w:rFonts w:eastAsia="Calibri" w:cs="Times New Roman"/>
                <w:b/>
                <w:bCs/>
                <w:sz w:val="16"/>
                <w:szCs w:val="16"/>
              </w:rPr>
              <w:t>progressive removal of scaffolding</w:t>
            </w:r>
            <w:r w:rsidRPr="00734A50">
              <w:rPr>
                <w:rFonts w:eastAsia="Calibri" w:cs="Times New Roman"/>
                <w:sz w:val="16"/>
                <w:szCs w:val="16"/>
              </w:rPr>
              <w:t xml:space="preserve"> as students become more proficient.</w:t>
            </w:r>
          </w:p>
        </w:tc>
        <w:tc>
          <w:tcPr>
            <w:tcW w:w="2642" w:type="dxa"/>
          </w:tcPr>
          <w:p w14:paraId="1BA6FD26"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p>
        </w:tc>
      </w:tr>
      <w:tr w:rsidR="00CD4AE9" w:rsidRPr="00734A50" w14:paraId="06FD0EAF" w14:textId="704A4A62" w:rsidTr="00864624">
        <w:trPr>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272D4344"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0E7A5AE0"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How to </w:t>
            </w:r>
            <w:r w:rsidRPr="00734A50">
              <w:rPr>
                <w:rFonts w:eastAsia="Calibri" w:cs="Times New Roman"/>
                <w:b/>
                <w:bCs/>
                <w:sz w:val="16"/>
                <w:szCs w:val="16"/>
              </w:rPr>
              <w:t>develop and deliver appropriately challenging recall practice to promote retention</w:t>
            </w:r>
            <w:r w:rsidRPr="00734A50">
              <w:rPr>
                <w:rFonts w:eastAsia="Calibri" w:cs="Times New Roman"/>
                <w:sz w:val="16"/>
                <w:szCs w:val="16"/>
              </w:rPr>
              <w:t xml:space="preserve"> and plan to include ample opportunities to practise in a lesson or sequence of lessons</w:t>
            </w:r>
            <w:r w:rsidRPr="00734A50">
              <w:rPr>
                <w:rFonts w:eastAsia="Calibri" w:cstheme="minorHAnsi"/>
                <w:sz w:val="16"/>
                <w:szCs w:val="16"/>
              </w:rPr>
              <w:t>.</w:t>
            </w:r>
          </w:p>
        </w:tc>
        <w:tc>
          <w:tcPr>
            <w:tcW w:w="2642" w:type="dxa"/>
          </w:tcPr>
          <w:p w14:paraId="6D14788D" w14:textId="77777777" w:rsidR="00CD4AE9" w:rsidRPr="00734A50" w:rsidRDefault="00CD4AE9" w:rsidP="00FD4EA7">
            <w:pPr>
              <w:spacing w:after="0"/>
              <w:cnfStyle w:val="000000000000" w:firstRow="0" w:lastRow="0" w:firstColumn="0" w:lastColumn="0" w:oddVBand="0" w:evenVBand="0" w:oddHBand="0" w:evenHBand="0" w:firstRowFirstColumn="0" w:firstRowLastColumn="0" w:lastRowFirstColumn="0" w:lastRowLastColumn="0"/>
              <w:rPr>
                <w:rFonts w:eastAsia="Calibri" w:cs="Times New Roman"/>
                <w:sz w:val="16"/>
                <w:szCs w:val="16"/>
              </w:rPr>
            </w:pPr>
          </w:p>
        </w:tc>
      </w:tr>
      <w:tr w:rsidR="00CD4AE9" w:rsidRPr="00734A50" w14:paraId="6071FE56" w14:textId="4561A93E" w:rsidTr="00864624">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893" w:type="dxa"/>
            <w:vMerge/>
            <w:tcBorders>
              <w:left w:val="single" w:sz="4" w:space="0" w:color="EBAB12" w:themeColor="accent1"/>
            </w:tcBorders>
            <w:shd w:val="clear" w:color="auto" w:fill="FEEBB9" w:themeFill="accent2" w:themeFillTint="66"/>
          </w:tcPr>
          <w:p w14:paraId="3528F1BE" w14:textId="77777777" w:rsidR="00CD4AE9" w:rsidRPr="00734A50" w:rsidRDefault="00CD4AE9" w:rsidP="00FD4EA7">
            <w:pPr>
              <w:spacing w:after="0"/>
              <w:rPr>
                <w:rFonts w:eastAsia="Calibri" w:cstheme="minorHAnsi"/>
                <w:color w:val="auto"/>
                <w:sz w:val="16"/>
                <w:szCs w:val="16"/>
              </w:rPr>
            </w:pPr>
          </w:p>
        </w:tc>
        <w:tc>
          <w:tcPr>
            <w:tcW w:w="4481" w:type="dxa"/>
            <w:shd w:val="clear" w:color="auto" w:fill="auto"/>
          </w:tcPr>
          <w:p w14:paraId="7ECED944"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heme="minorHAnsi"/>
                <w:sz w:val="16"/>
                <w:szCs w:val="16"/>
              </w:rPr>
            </w:pPr>
            <w:r w:rsidRPr="00734A50">
              <w:rPr>
                <w:rFonts w:eastAsia="Calibri" w:cs="Times New Roman"/>
                <w:sz w:val="16"/>
                <w:szCs w:val="16"/>
              </w:rPr>
              <w:t xml:space="preserve">Why </w:t>
            </w:r>
            <w:r w:rsidRPr="00734A50">
              <w:rPr>
                <w:rFonts w:eastAsia="Calibri" w:cs="Times New Roman"/>
                <w:b/>
                <w:bCs/>
                <w:sz w:val="16"/>
                <w:szCs w:val="16"/>
              </w:rPr>
              <w:t>independent problem-solving is only effective once a student approaches proficiency</w:t>
            </w:r>
            <w:r w:rsidRPr="00734A50">
              <w:rPr>
                <w:rFonts w:eastAsia="Calibri" w:cs="Times New Roman"/>
                <w:sz w:val="16"/>
                <w:szCs w:val="16"/>
              </w:rPr>
              <w:t xml:space="preserve"> (i.e. after ample opportunities to practise progressively challenging tasks) and why independent problem-solving should not represent a large proportion of teaching and learning time</w:t>
            </w:r>
            <w:r w:rsidRPr="00734A50">
              <w:rPr>
                <w:rFonts w:eastAsia="Calibri" w:cstheme="minorHAnsi"/>
                <w:sz w:val="16"/>
                <w:szCs w:val="16"/>
              </w:rPr>
              <w:t>.</w:t>
            </w:r>
          </w:p>
        </w:tc>
        <w:tc>
          <w:tcPr>
            <w:tcW w:w="2642" w:type="dxa"/>
          </w:tcPr>
          <w:p w14:paraId="4EA67847" w14:textId="77777777" w:rsidR="00CD4AE9" w:rsidRPr="00734A50" w:rsidRDefault="00CD4AE9" w:rsidP="00FD4EA7">
            <w:pPr>
              <w:spacing w:after="0"/>
              <w:cnfStyle w:val="000000100000" w:firstRow="0" w:lastRow="0" w:firstColumn="0" w:lastColumn="0" w:oddVBand="0" w:evenVBand="0" w:oddHBand="1" w:evenHBand="0" w:firstRowFirstColumn="0" w:firstRowLastColumn="0" w:lastRowFirstColumn="0" w:lastRowLastColumn="0"/>
              <w:rPr>
                <w:rFonts w:eastAsia="Calibri" w:cs="Times New Roman"/>
                <w:sz w:val="16"/>
                <w:szCs w:val="16"/>
              </w:rPr>
            </w:pPr>
          </w:p>
        </w:tc>
      </w:tr>
    </w:tbl>
    <w:bookmarkEnd w:id="118"/>
    <w:p w14:paraId="3C81CB11" w14:textId="60DE12D0" w:rsidR="00E148C2" w:rsidRPr="00E148C2" w:rsidRDefault="00E148C2" w:rsidP="00864624">
      <w:pPr>
        <w:spacing w:before="120"/>
        <w:rPr>
          <w:sz w:val="20"/>
          <w:szCs w:val="20"/>
        </w:rPr>
      </w:pPr>
      <w:r w:rsidRPr="00E148C2">
        <w:rPr>
          <w:sz w:val="20"/>
          <w:szCs w:val="20"/>
        </w:rPr>
        <w:t>Note: This is not the full content for Effective Pedagogical Practices – please see Appendix D for full version.</w:t>
      </w:r>
    </w:p>
    <w:p w14:paraId="06337E56" w14:textId="4B52A49C" w:rsidR="00F422AF" w:rsidRPr="00734A50" w:rsidRDefault="1955A2AC" w:rsidP="05B426EC">
      <w:r w:rsidRPr="00734A50">
        <w:t>*Evidence should be provided of where core content is taught, practiced and assessed. This will ensure that pre-service teachers have successfully demonstrated knowledge and met the Learning Outcomes of the core content prior to graduation.</w:t>
      </w:r>
    </w:p>
    <w:p w14:paraId="7F884B2F" w14:textId="7E702E11" w:rsidR="00864624" w:rsidRDefault="00F422AF" w:rsidP="00083992">
      <w:pPr>
        <w:suppressAutoHyphens/>
        <w:spacing w:before="160" w:line="320" w:lineRule="atLeast"/>
      </w:pPr>
      <w:r w:rsidRPr="00734A50">
        <w:rPr>
          <w:rFonts w:cstheme="minorHAnsi"/>
        </w:rPr>
        <w:lastRenderedPageBreak/>
        <w:t xml:space="preserve">*Template should include </w:t>
      </w:r>
      <w:r w:rsidRPr="00734A50">
        <w:rPr>
          <w:rFonts w:ascii="Calibri" w:eastAsia="Calibri" w:hAnsi="Calibri" w:cs="Arial"/>
          <w:color w:val="000000" w:themeColor="text1"/>
        </w:rPr>
        <w:t>clear guidance</w:t>
      </w:r>
      <w:r w:rsidRPr="00734A50">
        <w:t xml:space="preserve"> on the evidence requirements for the core content, such as unit outlines, reading lists and ‘critical tasks’ (supported by assessment criteria, marking rubrics and worked examples). Longer term, guidance should be developed on the assessment tasks that should be used to assess ITE students' skills/capability against the learning outcomes of the core content.</w:t>
      </w:r>
    </w:p>
    <w:p w14:paraId="30A44BF8" w14:textId="77777777" w:rsidR="00864624" w:rsidRDefault="00864624">
      <w:pPr>
        <w:spacing w:after="160" w:line="259" w:lineRule="auto"/>
      </w:pPr>
      <w:r>
        <w:br w:type="page"/>
      </w:r>
    </w:p>
    <w:p w14:paraId="32CBF04C" w14:textId="3AA2D390" w:rsidR="00FA4EC0" w:rsidRPr="00734A50" w:rsidRDefault="00FA4EC0" w:rsidP="0012041E">
      <w:pPr>
        <w:pStyle w:val="Heading2"/>
        <w:rPr>
          <w:lang w:eastAsia="en-AU"/>
        </w:rPr>
      </w:pPr>
      <w:bookmarkStart w:id="127" w:name="_Toc139366685"/>
      <w:r w:rsidRPr="00734A50">
        <w:rPr>
          <w:lang w:eastAsia="en-AU"/>
        </w:rPr>
        <w:lastRenderedPageBreak/>
        <w:t xml:space="preserve">APPENDIX </w:t>
      </w:r>
      <w:r w:rsidR="008411A5" w:rsidRPr="00734A50">
        <w:rPr>
          <w:lang w:eastAsia="en-AU"/>
        </w:rPr>
        <w:t>G</w:t>
      </w:r>
      <w:r w:rsidRPr="00734A50">
        <w:rPr>
          <w:lang w:eastAsia="en-AU"/>
        </w:rPr>
        <w:t xml:space="preserve">: </w:t>
      </w:r>
      <w:r w:rsidR="00A677B8" w:rsidRPr="00734A50">
        <w:rPr>
          <w:lang w:eastAsia="en-AU"/>
        </w:rPr>
        <w:t>Reporting the</w:t>
      </w:r>
      <w:r w:rsidRPr="00734A50">
        <w:rPr>
          <w:lang w:eastAsia="en-AU"/>
        </w:rPr>
        <w:t xml:space="preserve"> </w:t>
      </w:r>
      <w:r w:rsidR="077FD4BF" w:rsidRPr="00734A50">
        <w:rPr>
          <w:lang w:eastAsia="en-AU"/>
        </w:rPr>
        <w:t>nationally consistent, transparent indicators</w:t>
      </w:r>
      <w:r w:rsidR="00A677B8" w:rsidRPr="00734A50">
        <w:rPr>
          <w:lang w:eastAsia="en-AU"/>
        </w:rPr>
        <w:t xml:space="preserve"> </w:t>
      </w:r>
      <w:r w:rsidRPr="00734A50">
        <w:rPr>
          <w:lang w:eastAsia="en-AU"/>
        </w:rPr>
        <w:t xml:space="preserve">for </w:t>
      </w:r>
      <w:r w:rsidR="12493DE2" w:rsidRPr="00734A50">
        <w:rPr>
          <w:lang w:eastAsia="en-AU"/>
        </w:rPr>
        <w:t>prospective</w:t>
      </w:r>
      <w:r w:rsidR="1E86A3E8" w:rsidRPr="00734A50">
        <w:rPr>
          <w:lang w:eastAsia="en-AU"/>
        </w:rPr>
        <w:t xml:space="preserve"> </w:t>
      </w:r>
      <w:r w:rsidR="00CD1364" w:rsidRPr="00734A50">
        <w:rPr>
          <w:lang w:eastAsia="en-AU"/>
        </w:rPr>
        <w:t xml:space="preserve">ITE </w:t>
      </w:r>
      <w:r w:rsidRPr="00734A50">
        <w:rPr>
          <w:lang w:eastAsia="en-AU"/>
        </w:rPr>
        <w:t>students</w:t>
      </w:r>
      <w:bookmarkEnd w:id="127"/>
    </w:p>
    <w:p w14:paraId="54CE5AA4" w14:textId="79657262" w:rsidR="00FA4EC0" w:rsidRPr="00734A50" w:rsidRDefault="00FA4EC0" w:rsidP="0019158C">
      <w:pPr>
        <w:spacing w:after="0"/>
      </w:pPr>
      <w:r w:rsidRPr="00734A50">
        <w:t xml:space="preserve">This </w:t>
      </w:r>
      <w:r w:rsidR="009F06A0" w:rsidRPr="00734A50">
        <w:t>a</w:t>
      </w:r>
      <w:r w:rsidRPr="00734A50">
        <w:t xml:space="preserve">ppendix provides more information about </w:t>
      </w:r>
      <w:r w:rsidR="0019158C" w:rsidRPr="00734A50">
        <w:t>developing an</w:t>
      </w:r>
      <w:r w:rsidRPr="00734A50">
        <w:t xml:space="preserve"> interactive tool for prospective </w:t>
      </w:r>
      <w:r w:rsidR="00C23023" w:rsidRPr="00734A50">
        <w:t xml:space="preserve">ITE </w:t>
      </w:r>
      <w:r w:rsidRPr="00734A50">
        <w:t xml:space="preserve">students. The tool </w:t>
      </w:r>
      <w:r w:rsidR="00D973B9" w:rsidRPr="00734A50">
        <w:t xml:space="preserve">would </w:t>
      </w:r>
      <w:r w:rsidR="002D01E2" w:rsidRPr="00734A50">
        <w:t>consist</w:t>
      </w:r>
      <w:r w:rsidRPr="00734A50">
        <w:t xml:space="preserve"> of four </w:t>
      </w:r>
      <w:r w:rsidR="00D973B9" w:rsidRPr="00734A50">
        <w:t>elements</w:t>
      </w:r>
      <w:r w:rsidRPr="00734A50">
        <w:t xml:space="preserve">: </w:t>
      </w:r>
    </w:p>
    <w:p w14:paraId="0B7826EA" w14:textId="6B24612D" w:rsidR="00FA4EC0" w:rsidRPr="00734A50" w:rsidRDefault="00C23023" w:rsidP="00F64365">
      <w:pPr>
        <w:pStyle w:val="ListBullet"/>
        <w:numPr>
          <w:ilvl w:val="0"/>
          <w:numId w:val="216"/>
        </w:numPr>
        <w:spacing w:after="200"/>
        <w:ind w:left="357" w:hanging="357"/>
      </w:pPr>
      <w:r w:rsidRPr="00734A50">
        <w:t xml:space="preserve">Prospective </w:t>
      </w:r>
      <w:r w:rsidR="00D973B9" w:rsidRPr="00734A50">
        <w:t>ITE s</w:t>
      </w:r>
      <w:r w:rsidR="00FA4EC0" w:rsidRPr="00734A50">
        <w:t xml:space="preserve">tudents provide information about their needs and preferences in the </w:t>
      </w:r>
      <w:r w:rsidR="00FA4EC0" w:rsidRPr="00734A50">
        <w:rPr>
          <w:b/>
          <w:bCs/>
        </w:rPr>
        <w:t>initial</w:t>
      </w:r>
      <w:r w:rsidR="00FA4EC0" w:rsidRPr="00734A50">
        <w:t xml:space="preserve"> </w:t>
      </w:r>
      <w:r w:rsidR="00FA4EC0" w:rsidRPr="00734A50">
        <w:rPr>
          <w:b/>
          <w:bCs/>
        </w:rPr>
        <w:t>customisation stage</w:t>
      </w:r>
      <w:r w:rsidR="00020D82" w:rsidRPr="00734A50">
        <w:t>.</w:t>
      </w:r>
    </w:p>
    <w:p w14:paraId="1B79909D" w14:textId="5D69330D" w:rsidR="00FA4EC0" w:rsidRPr="00734A50" w:rsidRDefault="00020D82" w:rsidP="00F64365">
      <w:pPr>
        <w:pStyle w:val="ListBullet"/>
        <w:numPr>
          <w:ilvl w:val="0"/>
          <w:numId w:val="216"/>
        </w:numPr>
        <w:spacing w:after="200"/>
        <w:ind w:left="357" w:hanging="357"/>
      </w:pPr>
      <w:r w:rsidRPr="00734A50">
        <w:t xml:space="preserve">They </w:t>
      </w:r>
      <w:r w:rsidRPr="00734A50">
        <w:rPr>
          <w:b/>
          <w:bCs/>
        </w:rPr>
        <w:t>f</w:t>
      </w:r>
      <w:r w:rsidR="00FA4EC0" w:rsidRPr="00734A50">
        <w:rPr>
          <w:b/>
          <w:bCs/>
        </w:rPr>
        <w:t xml:space="preserve">ilter </w:t>
      </w:r>
      <w:r w:rsidR="0A78CDBA" w:rsidRPr="00734A50">
        <w:rPr>
          <w:b/>
          <w:bCs/>
        </w:rPr>
        <w:t>indicators</w:t>
      </w:r>
      <w:r w:rsidR="00FA4EC0" w:rsidRPr="00734A50">
        <w:t xml:space="preserve"> to those that are most important to them</w:t>
      </w:r>
      <w:r w:rsidRPr="00734A50">
        <w:t>.</w:t>
      </w:r>
    </w:p>
    <w:p w14:paraId="21AD93F4" w14:textId="27D86433" w:rsidR="00FA4EC0" w:rsidRPr="00734A50" w:rsidRDefault="00020D82" w:rsidP="00F64365">
      <w:pPr>
        <w:pStyle w:val="ListBullet"/>
        <w:numPr>
          <w:ilvl w:val="0"/>
          <w:numId w:val="216"/>
        </w:numPr>
        <w:spacing w:after="200"/>
        <w:ind w:left="357" w:hanging="357"/>
      </w:pPr>
      <w:r w:rsidRPr="00734A50">
        <w:t xml:space="preserve">They </w:t>
      </w:r>
      <w:r w:rsidRPr="00734A50">
        <w:rPr>
          <w:b/>
          <w:bCs/>
        </w:rPr>
        <w:t>c</w:t>
      </w:r>
      <w:r w:rsidR="00FA4EC0" w:rsidRPr="00734A50">
        <w:rPr>
          <w:b/>
          <w:bCs/>
        </w:rPr>
        <w:t>reate a shortlist</w:t>
      </w:r>
      <w:r w:rsidR="00FA4EC0" w:rsidRPr="00734A50">
        <w:t xml:space="preserve"> of three or fewer </w:t>
      </w:r>
      <w:r w:rsidR="00955114" w:rsidRPr="00734A50">
        <w:t xml:space="preserve">higher education </w:t>
      </w:r>
      <w:r w:rsidR="00FA4EC0" w:rsidRPr="00734A50">
        <w:t>providers</w:t>
      </w:r>
      <w:r w:rsidRPr="00734A50">
        <w:t>.</w:t>
      </w:r>
    </w:p>
    <w:p w14:paraId="1B11C4F8" w14:textId="3388B046" w:rsidR="00FA4EC0" w:rsidRPr="00734A50" w:rsidRDefault="00020D82" w:rsidP="00F64365">
      <w:pPr>
        <w:pStyle w:val="ListBullet"/>
        <w:numPr>
          <w:ilvl w:val="0"/>
          <w:numId w:val="216"/>
        </w:numPr>
        <w:spacing w:after="200"/>
        <w:ind w:left="357" w:hanging="357"/>
      </w:pPr>
      <w:r w:rsidRPr="00734A50">
        <w:t>They r</w:t>
      </w:r>
      <w:r w:rsidR="00FA4EC0" w:rsidRPr="00734A50">
        <w:t xml:space="preserve">eceive a </w:t>
      </w:r>
      <w:r w:rsidR="00FA4EC0" w:rsidRPr="00734A50">
        <w:rPr>
          <w:b/>
          <w:bCs/>
        </w:rPr>
        <w:t>targeted comparison</w:t>
      </w:r>
      <w:r w:rsidR="00FA4EC0" w:rsidRPr="00734A50">
        <w:t xml:space="preserve"> of </w:t>
      </w:r>
      <w:r w:rsidR="00955114" w:rsidRPr="00734A50">
        <w:t>higher education</w:t>
      </w:r>
      <w:r w:rsidR="00FA4EC0" w:rsidRPr="00734A50">
        <w:t xml:space="preserve"> providers.</w:t>
      </w:r>
    </w:p>
    <w:p w14:paraId="13BE22F5" w14:textId="77777777" w:rsidR="00FA4EC0" w:rsidRPr="00734A50" w:rsidRDefault="00FA4EC0" w:rsidP="00E73BBF">
      <w:pPr>
        <w:pStyle w:val="Heading3"/>
      </w:pPr>
      <w:bookmarkStart w:id="128" w:name="_Toc139366686"/>
      <w:r w:rsidRPr="00734A50">
        <w:t>1. Initial customisation</w:t>
      </w:r>
      <w:bookmarkEnd w:id="128"/>
    </w:p>
    <w:p w14:paraId="004FC1B6" w14:textId="1DDF4CAA" w:rsidR="00FA4EC0" w:rsidRPr="00734A50" w:rsidRDefault="00FA4EC0" w:rsidP="00FA4EC0">
      <w:r w:rsidRPr="00734A50">
        <w:t>In the first stage,</w:t>
      </w:r>
      <w:r w:rsidR="004C4DDB" w:rsidRPr="00734A50">
        <w:t xml:space="preserve"> prospective</w:t>
      </w:r>
      <w:r w:rsidRPr="00734A50">
        <w:t xml:space="preserve"> </w:t>
      </w:r>
      <w:r w:rsidR="00955114" w:rsidRPr="00734A50">
        <w:t>ITE</w:t>
      </w:r>
      <w:r w:rsidRPr="00734A50">
        <w:t xml:space="preserve"> students will provide information about their ITE needs and preferences. This ensures th</w:t>
      </w:r>
      <w:r w:rsidR="00955114" w:rsidRPr="00734A50">
        <w:t>ey</w:t>
      </w:r>
      <w:r w:rsidRPr="00734A50">
        <w:t xml:space="preserve"> only see information about appropriate higher education providers (</w:t>
      </w:r>
      <w:r w:rsidR="00DD4284" w:rsidRPr="00734A50">
        <w:t>e.g.</w:t>
      </w:r>
      <w:r w:rsidRPr="00734A50">
        <w:t xml:space="preserve"> a prospective undergraduate student would only see information about providers that offer undergraduate ITE </w:t>
      </w:r>
      <w:r w:rsidR="00593173" w:rsidRPr="00734A50">
        <w:t>programs</w:t>
      </w:r>
      <w:r w:rsidRPr="00734A50">
        <w:t>).</w:t>
      </w:r>
    </w:p>
    <w:p w14:paraId="0EC71925" w14:textId="6DFC7C45" w:rsidR="00FA4EC0" w:rsidRPr="00734A50" w:rsidRDefault="00FA4EC0" w:rsidP="00FA4EC0">
      <w:r w:rsidRPr="00734A50">
        <w:t xml:space="preserve">This is important because the underlying dataset is very large: there are 47 ITE providers, who will each be measured on </w:t>
      </w:r>
      <w:r w:rsidR="1AFABFD2" w:rsidRPr="00734A50">
        <w:t>1</w:t>
      </w:r>
      <w:r w:rsidR="651AEC19" w:rsidRPr="00734A50">
        <w:t>3</w:t>
      </w:r>
      <w:r w:rsidRPr="00734A50">
        <w:t xml:space="preserve"> indicators. </w:t>
      </w:r>
      <w:r w:rsidR="00EB24A6" w:rsidRPr="00734A50">
        <w:t>To</w:t>
      </w:r>
      <w:r w:rsidRPr="00734A50">
        <w:t xml:space="preserve"> reduce information overload, prospective </w:t>
      </w:r>
      <w:r w:rsidR="004C4DDB" w:rsidRPr="00734A50">
        <w:t xml:space="preserve">ITE </w:t>
      </w:r>
      <w:r w:rsidRPr="00734A50">
        <w:t>students should only see data that is relevant to them. This increases the probability that students will act on the information they have been given.</w:t>
      </w:r>
    </w:p>
    <w:p w14:paraId="071C5280" w14:textId="22A56A1A" w:rsidR="00FA4EC0" w:rsidRPr="00734A50" w:rsidRDefault="00FA4EC0" w:rsidP="00FA4EC0">
      <w:r w:rsidRPr="00734A50">
        <w:t xml:space="preserve">This initial customisation stage could also serve a secondary purpose of educating users on what </w:t>
      </w:r>
      <w:r w:rsidR="004C4DDB" w:rsidRPr="00734A50">
        <w:t>higher education</w:t>
      </w:r>
      <w:r w:rsidRPr="00734A50">
        <w:t xml:space="preserve"> providers offer. Users who have not conducted extensive research about their ITE options may benefit from knowing all appropriate higher education providers.</w:t>
      </w:r>
    </w:p>
    <w:p w14:paraId="6495A0DE" w14:textId="428D168C" w:rsidR="00FA4EC0" w:rsidRPr="00734A50" w:rsidRDefault="00414020" w:rsidP="00A36740">
      <w:pPr>
        <w:pStyle w:val="HeadingTable"/>
        <w:numPr>
          <w:ilvl w:val="0"/>
          <w:numId w:val="0"/>
        </w:numPr>
        <w:ind w:left="360" w:hanging="360"/>
        <w:rPr>
          <w:rFonts w:eastAsiaTheme="minorHAnsi"/>
          <w:sz w:val="22"/>
          <w:szCs w:val="28"/>
        </w:rPr>
      </w:pPr>
      <w:r w:rsidRPr="00734A50">
        <w:rPr>
          <w:rFonts w:eastAsiaTheme="minorHAnsi"/>
          <w:sz w:val="22"/>
          <w:szCs w:val="28"/>
        </w:rPr>
        <w:t xml:space="preserve">Table </w:t>
      </w:r>
      <w:r w:rsidR="00020D82" w:rsidRPr="00734A50">
        <w:rPr>
          <w:rFonts w:eastAsiaTheme="minorHAnsi"/>
          <w:sz w:val="22"/>
          <w:szCs w:val="28"/>
        </w:rPr>
        <w:t>G</w:t>
      </w:r>
      <w:r w:rsidRPr="00734A50">
        <w:rPr>
          <w:rFonts w:eastAsiaTheme="minorHAnsi"/>
          <w:sz w:val="22"/>
          <w:szCs w:val="28"/>
        </w:rPr>
        <w:t xml:space="preserve">1: </w:t>
      </w:r>
      <w:r w:rsidR="00FA4EC0" w:rsidRPr="00734A50">
        <w:rPr>
          <w:rFonts w:eastAsiaTheme="minorHAnsi"/>
          <w:sz w:val="22"/>
          <w:szCs w:val="28"/>
        </w:rPr>
        <w:t xml:space="preserve">Questions to be asked in the </w:t>
      </w:r>
      <w:r w:rsidRPr="00734A50">
        <w:rPr>
          <w:sz w:val="22"/>
          <w:szCs w:val="28"/>
        </w:rPr>
        <w:t>i</w:t>
      </w:r>
      <w:r w:rsidR="00FA4EC0" w:rsidRPr="00734A50">
        <w:rPr>
          <w:rFonts w:eastAsiaTheme="minorHAnsi"/>
          <w:sz w:val="22"/>
          <w:szCs w:val="28"/>
        </w:rPr>
        <w:t xml:space="preserve">nitial </w:t>
      </w:r>
      <w:r w:rsidRPr="00734A50">
        <w:rPr>
          <w:sz w:val="22"/>
          <w:szCs w:val="28"/>
        </w:rPr>
        <w:t>c</w:t>
      </w:r>
      <w:r w:rsidR="00FA4EC0" w:rsidRPr="00734A50">
        <w:rPr>
          <w:rFonts w:eastAsiaTheme="minorHAnsi"/>
          <w:sz w:val="22"/>
          <w:szCs w:val="28"/>
        </w:rPr>
        <w:t>ustomisation stage</w:t>
      </w:r>
    </w:p>
    <w:tbl>
      <w:tblPr>
        <w:tblStyle w:val="GridTable4-Accent1"/>
        <w:tblW w:w="9209" w:type="dxa"/>
        <w:tblLook w:val="04A0" w:firstRow="1" w:lastRow="0" w:firstColumn="1" w:lastColumn="0" w:noHBand="0" w:noVBand="1"/>
      </w:tblPr>
      <w:tblGrid>
        <w:gridCol w:w="971"/>
        <w:gridCol w:w="8238"/>
      </w:tblGrid>
      <w:tr w:rsidR="00FA4EC0" w:rsidRPr="00734A50" w14:paraId="29922D64" w14:textId="77777777" w:rsidTr="00FA4E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dxa"/>
          </w:tcPr>
          <w:p w14:paraId="5B4942AA" w14:textId="77777777" w:rsidR="00FA4EC0" w:rsidRPr="00734A50" w:rsidRDefault="00FA4EC0" w:rsidP="005D1EEB">
            <w:pPr>
              <w:pStyle w:val="ListNumber"/>
              <w:numPr>
                <w:ilvl w:val="0"/>
                <w:numId w:val="0"/>
              </w:numPr>
              <w:rPr>
                <w:b w:val="0"/>
                <w:color w:val="auto"/>
                <w:sz w:val="18"/>
              </w:rPr>
            </w:pPr>
            <w:r w:rsidRPr="00734A50">
              <w:rPr>
                <w:color w:val="auto"/>
                <w:sz w:val="18"/>
              </w:rPr>
              <w:t>Questions</w:t>
            </w:r>
          </w:p>
        </w:tc>
        <w:tc>
          <w:tcPr>
            <w:tcW w:w="8238" w:type="dxa"/>
          </w:tcPr>
          <w:p w14:paraId="248F53E5" w14:textId="77777777" w:rsidR="00FA4EC0" w:rsidRPr="00734A50" w:rsidRDefault="00FA4EC0" w:rsidP="005D1EEB">
            <w:pPr>
              <w:pStyle w:val="ListNumber"/>
              <w:numPr>
                <w:ilvl w:val="0"/>
                <w:numId w:val="0"/>
              </w:numPr>
              <w:cnfStyle w:val="100000000000" w:firstRow="1" w:lastRow="0" w:firstColumn="0" w:lastColumn="0" w:oddVBand="0" w:evenVBand="0" w:oddHBand="0" w:evenHBand="0" w:firstRowFirstColumn="0" w:firstRowLastColumn="0" w:lastRowFirstColumn="0" w:lastRowLastColumn="0"/>
              <w:rPr>
                <w:b w:val="0"/>
                <w:color w:val="auto"/>
                <w:sz w:val="18"/>
              </w:rPr>
            </w:pPr>
            <w:r w:rsidRPr="00734A50">
              <w:rPr>
                <w:color w:val="auto"/>
                <w:sz w:val="18"/>
              </w:rPr>
              <w:t>Response options</w:t>
            </w:r>
          </w:p>
        </w:tc>
      </w:tr>
      <w:tr w:rsidR="00FA4EC0" w:rsidRPr="00734A50" w14:paraId="4C29F929" w14:textId="77777777" w:rsidTr="00FA4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dxa"/>
          </w:tcPr>
          <w:p w14:paraId="67E42DD1" w14:textId="77777777" w:rsidR="00FA4EC0" w:rsidRPr="00734A50" w:rsidRDefault="00FA4EC0" w:rsidP="005D1EEB">
            <w:pPr>
              <w:pStyle w:val="ListNumber"/>
              <w:numPr>
                <w:ilvl w:val="0"/>
                <w:numId w:val="0"/>
              </w:numPr>
              <w:rPr>
                <w:sz w:val="18"/>
              </w:rPr>
            </w:pPr>
            <w:r w:rsidRPr="00734A50">
              <w:rPr>
                <w:sz w:val="18"/>
              </w:rPr>
              <w:t>Do you want to study on campus?</w:t>
            </w:r>
          </w:p>
        </w:tc>
        <w:tc>
          <w:tcPr>
            <w:tcW w:w="8238" w:type="dxa"/>
          </w:tcPr>
          <w:p w14:paraId="37BE989F"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Yes, on campus</w:t>
            </w:r>
          </w:p>
          <w:p w14:paraId="25F1E29B"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Yes, mixed-mode</w:t>
            </w:r>
          </w:p>
          <w:p w14:paraId="4B8F1BCA"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No, online only</w:t>
            </w:r>
          </w:p>
        </w:tc>
      </w:tr>
      <w:tr w:rsidR="00FA4EC0" w:rsidRPr="00734A50" w14:paraId="5AE7507A" w14:textId="77777777" w:rsidTr="00FA4EC0">
        <w:tc>
          <w:tcPr>
            <w:cnfStyle w:val="001000000000" w:firstRow="0" w:lastRow="0" w:firstColumn="1" w:lastColumn="0" w:oddVBand="0" w:evenVBand="0" w:oddHBand="0" w:evenHBand="0" w:firstRowFirstColumn="0" w:firstRowLastColumn="0" w:lastRowFirstColumn="0" w:lastRowLastColumn="0"/>
            <w:tcW w:w="971" w:type="dxa"/>
          </w:tcPr>
          <w:p w14:paraId="01487F80" w14:textId="77777777" w:rsidR="00FA4EC0" w:rsidRPr="00734A50" w:rsidRDefault="00FA4EC0" w:rsidP="005D1EEB">
            <w:pPr>
              <w:pStyle w:val="ListNumber"/>
              <w:numPr>
                <w:ilvl w:val="0"/>
                <w:numId w:val="0"/>
              </w:numPr>
              <w:rPr>
                <w:sz w:val="18"/>
              </w:rPr>
            </w:pPr>
            <w:r w:rsidRPr="00734A50">
              <w:rPr>
                <w:sz w:val="18"/>
              </w:rPr>
              <w:t>Where do you want to study?</w:t>
            </w:r>
          </w:p>
        </w:tc>
        <w:tc>
          <w:tcPr>
            <w:tcW w:w="8238" w:type="dxa"/>
          </w:tcPr>
          <w:p w14:paraId="555010AA" w14:textId="77777777" w:rsidR="00FA4EC0" w:rsidRPr="00734A50" w:rsidRDefault="00FA4EC0" w:rsidP="00633B03">
            <w:pPr>
              <w:pStyle w:val="ListNumber"/>
              <w:numPr>
                <w:ilvl w:val="0"/>
                <w:numId w:val="36"/>
              </w:numPr>
              <w:spacing w:after="160" w:line="280" w:lineRule="atLeast"/>
              <w:contextualSpacing w:val="0"/>
              <w:cnfStyle w:val="000000000000" w:firstRow="0" w:lastRow="0" w:firstColumn="0" w:lastColumn="0" w:oddVBand="0" w:evenVBand="0" w:oddHBand="0" w:evenHBand="0" w:firstRowFirstColumn="0" w:firstRowLastColumn="0" w:lastRowFirstColumn="0" w:lastRowLastColumn="0"/>
              <w:rPr>
                <w:sz w:val="18"/>
              </w:rPr>
            </w:pPr>
            <w:r w:rsidRPr="00734A50">
              <w:rPr>
                <w:sz w:val="18"/>
              </w:rPr>
              <w:t>Anywhere in Australia</w:t>
            </w:r>
          </w:p>
          <w:p w14:paraId="7B9C2851" w14:textId="77777777" w:rsidR="00FA4EC0" w:rsidRPr="00734A50" w:rsidRDefault="00FA4EC0" w:rsidP="00633B03">
            <w:pPr>
              <w:pStyle w:val="ListNumber"/>
              <w:numPr>
                <w:ilvl w:val="0"/>
                <w:numId w:val="36"/>
              </w:numPr>
              <w:spacing w:after="160" w:line="280" w:lineRule="atLeast"/>
              <w:contextualSpacing w:val="0"/>
              <w:cnfStyle w:val="000000000000" w:firstRow="0" w:lastRow="0" w:firstColumn="0" w:lastColumn="0" w:oddVBand="0" w:evenVBand="0" w:oddHBand="0" w:evenHBand="0" w:firstRowFirstColumn="0" w:firstRowLastColumn="0" w:lastRowFirstColumn="0" w:lastRowLastColumn="0"/>
              <w:rPr>
                <w:sz w:val="18"/>
              </w:rPr>
            </w:pPr>
            <w:r w:rsidRPr="00734A50">
              <w:rPr>
                <w:sz w:val="18"/>
              </w:rPr>
              <w:t>Anywhere in ACT / New South Wales / Northern Territory / Queensland / South Australia / Tasmania / Victoria / Western Australia</w:t>
            </w:r>
          </w:p>
          <w:p w14:paraId="30C39992" w14:textId="77777777" w:rsidR="00FA4EC0" w:rsidRPr="00734A50" w:rsidRDefault="00FA4EC0" w:rsidP="00633B03">
            <w:pPr>
              <w:pStyle w:val="ListNumber"/>
              <w:numPr>
                <w:ilvl w:val="0"/>
                <w:numId w:val="36"/>
              </w:numPr>
              <w:spacing w:after="160" w:line="280" w:lineRule="atLeast"/>
              <w:contextualSpacing w:val="0"/>
              <w:cnfStyle w:val="000000000000" w:firstRow="0" w:lastRow="0" w:firstColumn="0" w:lastColumn="0" w:oddVBand="0" w:evenVBand="0" w:oddHBand="0" w:evenHBand="0" w:firstRowFirstColumn="0" w:firstRowLastColumn="0" w:lastRowFirstColumn="0" w:lastRowLastColumn="0"/>
              <w:rPr>
                <w:sz w:val="18"/>
              </w:rPr>
            </w:pPr>
            <w:r w:rsidRPr="00734A50">
              <w:rPr>
                <w:sz w:val="18"/>
              </w:rPr>
              <w:t>These specific providers</w:t>
            </w:r>
            <w:r w:rsidRPr="00734A50">
              <w:rPr>
                <w:i/>
                <w:sz w:val="18"/>
              </w:rPr>
              <w:t>: Dropdown box of all ITE providers</w:t>
            </w:r>
            <w:r w:rsidRPr="00734A50">
              <w:rPr>
                <w:sz w:val="18"/>
              </w:rPr>
              <w:t xml:space="preserve"> </w:t>
            </w:r>
          </w:p>
        </w:tc>
      </w:tr>
      <w:tr w:rsidR="00FA4EC0" w:rsidRPr="00734A50" w14:paraId="21F9A74A" w14:textId="77777777" w:rsidTr="00FA4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dxa"/>
          </w:tcPr>
          <w:p w14:paraId="77073B5F" w14:textId="77777777" w:rsidR="00FA4EC0" w:rsidRPr="00734A50" w:rsidRDefault="00FA4EC0" w:rsidP="005D1EEB">
            <w:pPr>
              <w:pStyle w:val="ListNumber"/>
              <w:numPr>
                <w:ilvl w:val="0"/>
                <w:numId w:val="0"/>
              </w:numPr>
              <w:rPr>
                <w:sz w:val="18"/>
              </w:rPr>
            </w:pPr>
            <w:r w:rsidRPr="00734A50">
              <w:rPr>
                <w:sz w:val="18"/>
              </w:rPr>
              <w:t>What degree do you want to study?</w:t>
            </w:r>
          </w:p>
        </w:tc>
        <w:tc>
          <w:tcPr>
            <w:tcW w:w="8238" w:type="dxa"/>
          </w:tcPr>
          <w:p w14:paraId="6B7DB0A8"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Undergraduate (I don’t have a university degree)</w:t>
            </w:r>
          </w:p>
          <w:p w14:paraId="4FEF14B1"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Postgraduate (I already have a university degree)</w:t>
            </w:r>
          </w:p>
        </w:tc>
      </w:tr>
      <w:tr w:rsidR="00FA4EC0" w:rsidRPr="00734A50" w14:paraId="3CFB908D" w14:textId="77777777" w:rsidTr="00FA4EC0">
        <w:tc>
          <w:tcPr>
            <w:cnfStyle w:val="001000000000" w:firstRow="0" w:lastRow="0" w:firstColumn="1" w:lastColumn="0" w:oddVBand="0" w:evenVBand="0" w:oddHBand="0" w:evenHBand="0" w:firstRowFirstColumn="0" w:firstRowLastColumn="0" w:lastRowFirstColumn="0" w:lastRowLastColumn="0"/>
            <w:tcW w:w="971" w:type="dxa"/>
          </w:tcPr>
          <w:p w14:paraId="01938553" w14:textId="77777777" w:rsidR="00FA4EC0" w:rsidRPr="00734A50" w:rsidRDefault="00FA4EC0" w:rsidP="005D1EEB">
            <w:pPr>
              <w:pStyle w:val="ListNumber"/>
              <w:numPr>
                <w:ilvl w:val="0"/>
                <w:numId w:val="0"/>
              </w:numPr>
              <w:rPr>
                <w:sz w:val="18"/>
              </w:rPr>
            </w:pPr>
            <w:r w:rsidRPr="00734A50">
              <w:rPr>
                <w:sz w:val="18"/>
              </w:rPr>
              <w:t xml:space="preserve">What sort of teaching </w:t>
            </w:r>
            <w:r w:rsidRPr="00734A50">
              <w:rPr>
                <w:sz w:val="18"/>
              </w:rPr>
              <w:lastRenderedPageBreak/>
              <w:t>do you want to do?</w:t>
            </w:r>
          </w:p>
        </w:tc>
        <w:tc>
          <w:tcPr>
            <w:tcW w:w="8238" w:type="dxa"/>
          </w:tcPr>
          <w:p w14:paraId="136E608D" w14:textId="77777777" w:rsidR="00FA4EC0" w:rsidRPr="00734A50" w:rsidRDefault="00FA4EC0" w:rsidP="00633B03">
            <w:pPr>
              <w:pStyle w:val="ListNumber"/>
              <w:numPr>
                <w:ilvl w:val="0"/>
                <w:numId w:val="36"/>
              </w:numPr>
              <w:spacing w:after="160" w:line="280" w:lineRule="atLeast"/>
              <w:contextualSpacing w:val="0"/>
              <w:cnfStyle w:val="000000000000" w:firstRow="0" w:lastRow="0" w:firstColumn="0" w:lastColumn="0" w:oddVBand="0" w:evenVBand="0" w:oddHBand="0" w:evenHBand="0" w:firstRowFirstColumn="0" w:firstRowLastColumn="0" w:lastRowFirstColumn="0" w:lastRowLastColumn="0"/>
              <w:rPr>
                <w:sz w:val="18"/>
              </w:rPr>
            </w:pPr>
            <w:r w:rsidRPr="00734A50">
              <w:rPr>
                <w:sz w:val="18"/>
              </w:rPr>
              <w:lastRenderedPageBreak/>
              <w:t>Early childhood teaching</w:t>
            </w:r>
          </w:p>
          <w:p w14:paraId="0C7AB8D3" w14:textId="77777777" w:rsidR="00FA4EC0" w:rsidRPr="00734A50" w:rsidRDefault="00FA4EC0" w:rsidP="00633B03">
            <w:pPr>
              <w:pStyle w:val="ListNumber"/>
              <w:numPr>
                <w:ilvl w:val="0"/>
                <w:numId w:val="36"/>
              </w:numPr>
              <w:spacing w:after="160" w:line="280" w:lineRule="atLeast"/>
              <w:contextualSpacing w:val="0"/>
              <w:cnfStyle w:val="000000000000" w:firstRow="0" w:lastRow="0" w:firstColumn="0" w:lastColumn="0" w:oddVBand="0" w:evenVBand="0" w:oddHBand="0" w:evenHBand="0" w:firstRowFirstColumn="0" w:firstRowLastColumn="0" w:lastRowFirstColumn="0" w:lastRowLastColumn="0"/>
              <w:rPr>
                <w:sz w:val="18"/>
              </w:rPr>
            </w:pPr>
            <w:r w:rsidRPr="00734A50">
              <w:rPr>
                <w:sz w:val="18"/>
              </w:rPr>
              <w:t>Primary teaching</w:t>
            </w:r>
          </w:p>
          <w:p w14:paraId="5B112D16" w14:textId="77777777" w:rsidR="00FA4EC0" w:rsidRPr="00734A50" w:rsidRDefault="00FA4EC0" w:rsidP="00633B03">
            <w:pPr>
              <w:pStyle w:val="ListNumber"/>
              <w:numPr>
                <w:ilvl w:val="0"/>
                <w:numId w:val="36"/>
              </w:numPr>
              <w:spacing w:after="160" w:line="280" w:lineRule="atLeast"/>
              <w:contextualSpacing w:val="0"/>
              <w:cnfStyle w:val="000000000000" w:firstRow="0" w:lastRow="0" w:firstColumn="0" w:lastColumn="0" w:oddVBand="0" w:evenVBand="0" w:oddHBand="0" w:evenHBand="0" w:firstRowFirstColumn="0" w:firstRowLastColumn="0" w:lastRowFirstColumn="0" w:lastRowLastColumn="0"/>
              <w:rPr>
                <w:sz w:val="18"/>
              </w:rPr>
            </w:pPr>
            <w:r w:rsidRPr="00734A50">
              <w:rPr>
                <w:sz w:val="18"/>
              </w:rPr>
              <w:lastRenderedPageBreak/>
              <w:t>Secondary teaching</w:t>
            </w:r>
          </w:p>
        </w:tc>
      </w:tr>
      <w:tr w:rsidR="00FA4EC0" w:rsidRPr="00734A50" w14:paraId="34BF5C42" w14:textId="77777777" w:rsidTr="00FA4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dxa"/>
          </w:tcPr>
          <w:p w14:paraId="19E5546E" w14:textId="77777777" w:rsidR="00FA4EC0" w:rsidRPr="00734A50" w:rsidRDefault="00FA4EC0" w:rsidP="005D1EEB">
            <w:pPr>
              <w:pStyle w:val="ListNumber"/>
              <w:numPr>
                <w:ilvl w:val="0"/>
                <w:numId w:val="0"/>
              </w:numPr>
              <w:rPr>
                <w:sz w:val="18"/>
              </w:rPr>
            </w:pPr>
            <w:r w:rsidRPr="00734A50">
              <w:rPr>
                <w:sz w:val="18"/>
              </w:rPr>
              <w:lastRenderedPageBreak/>
              <w:t>Do you want to study full-time?</w:t>
            </w:r>
          </w:p>
        </w:tc>
        <w:tc>
          <w:tcPr>
            <w:tcW w:w="8238" w:type="dxa"/>
          </w:tcPr>
          <w:p w14:paraId="0DE4C652"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Yes, full-time</w:t>
            </w:r>
          </w:p>
          <w:p w14:paraId="1C9900C6" w14:textId="77777777" w:rsidR="00FA4EC0" w:rsidRPr="00734A50" w:rsidRDefault="00FA4EC0" w:rsidP="00633B03">
            <w:pPr>
              <w:pStyle w:val="ListNumber"/>
              <w:numPr>
                <w:ilvl w:val="0"/>
                <w:numId w:val="36"/>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No, part-time</w:t>
            </w:r>
          </w:p>
        </w:tc>
      </w:tr>
    </w:tbl>
    <w:p w14:paraId="2C432FE3" w14:textId="7A1729FD" w:rsidR="00FA4EC0" w:rsidRPr="00734A50" w:rsidRDefault="00FA4EC0" w:rsidP="00E73BBF">
      <w:pPr>
        <w:pStyle w:val="Heading3"/>
      </w:pPr>
      <w:bookmarkStart w:id="129" w:name="_Toc139366687"/>
      <w:r w:rsidRPr="00734A50">
        <w:t xml:space="preserve">2. Filter </w:t>
      </w:r>
      <w:r w:rsidR="004368DB" w:rsidRPr="00734A50">
        <w:t>indicators</w:t>
      </w:r>
      <w:bookmarkEnd w:id="129"/>
      <w:r w:rsidRPr="00734A50">
        <w:t xml:space="preserve"> </w:t>
      </w:r>
    </w:p>
    <w:p w14:paraId="2890DE20" w14:textId="36E51E9A" w:rsidR="00FA4EC0" w:rsidRPr="00734A50" w:rsidRDefault="00FA4EC0" w:rsidP="00FA4EC0">
      <w:r w:rsidRPr="00734A50">
        <w:t xml:space="preserve">In the second stage, </w:t>
      </w:r>
      <w:r w:rsidR="009F0CA4" w:rsidRPr="00734A50">
        <w:t xml:space="preserve">prospective ITE </w:t>
      </w:r>
      <w:r w:rsidRPr="00734A50">
        <w:t xml:space="preserve">students will have the option to select the </w:t>
      </w:r>
      <w:r w:rsidR="5CFE5903" w:rsidRPr="00734A50">
        <w:t>indicators</w:t>
      </w:r>
      <w:r w:rsidRPr="00734A50">
        <w:t xml:space="preserve"> that are most important to them. Again, this helps with information overload, as it is difficult to compare </w:t>
      </w:r>
      <w:r w:rsidR="54A96B8A" w:rsidRPr="00734A50">
        <w:t>1</w:t>
      </w:r>
      <w:r w:rsidR="46B08443" w:rsidRPr="00734A50">
        <w:t>3</w:t>
      </w:r>
      <w:r w:rsidRPr="00734A50">
        <w:t xml:space="preserve"> attributes simultaneously. In addition, </w:t>
      </w:r>
      <w:r w:rsidR="00FB11A2" w:rsidRPr="00734A50">
        <w:t xml:space="preserve">prospective </w:t>
      </w:r>
      <w:r w:rsidR="009F0CA4" w:rsidRPr="00734A50">
        <w:t xml:space="preserve">ITE </w:t>
      </w:r>
      <w:r w:rsidR="00FB11A2" w:rsidRPr="00734A50">
        <w:t>students</w:t>
      </w:r>
      <w:r w:rsidRPr="00734A50">
        <w:t xml:space="preserve"> may hold different values and priorities – allowing these to be reflected in this tool will increase the relevance of its results and maximise the probability that people will act on the results. </w:t>
      </w:r>
    </w:p>
    <w:p w14:paraId="253B26F4" w14:textId="39550CEF" w:rsidR="00020D82" w:rsidRPr="00734A50" w:rsidRDefault="00020D82" w:rsidP="00A36740">
      <w:pPr>
        <w:pStyle w:val="HeadingTable"/>
        <w:numPr>
          <w:ilvl w:val="0"/>
          <w:numId w:val="0"/>
        </w:numPr>
        <w:ind w:left="360" w:hanging="360"/>
        <w:rPr>
          <w:szCs w:val="28"/>
        </w:rPr>
      </w:pPr>
      <w:r w:rsidRPr="00734A50">
        <w:rPr>
          <w:sz w:val="22"/>
          <w:szCs w:val="28"/>
        </w:rPr>
        <w:t>Table G2: Questions to be asked to filter indicators</w:t>
      </w:r>
    </w:p>
    <w:tbl>
      <w:tblPr>
        <w:tblStyle w:val="GridTable4-Accent1"/>
        <w:tblW w:w="9209" w:type="dxa"/>
        <w:tblLook w:val="04A0" w:firstRow="1" w:lastRow="0" w:firstColumn="1" w:lastColumn="0" w:noHBand="0" w:noVBand="1"/>
      </w:tblPr>
      <w:tblGrid>
        <w:gridCol w:w="975"/>
        <w:gridCol w:w="8234"/>
      </w:tblGrid>
      <w:tr w:rsidR="00FA4EC0" w:rsidRPr="00734A50" w14:paraId="1C80AE38" w14:textId="77777777" w:rsidTr="00FA4E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5" w:type="dxa"/>
          </w:tcPr>
          <w:p w14:paraId="58A6301D" w14:textId="77777777" w:rsidR="00FA4EC0" w:rsidRPr="00734A50" w:rsidRDefault="00FA4EC0" w:rsidP="005D1EEB">
            <w:pPr>
              <w:pStyle w:val="ListNumber"/>
              <w:numPr>
                <w:ilvl w:val="0"/>
                <w:numId w:val="0"/>
              </w:numPr>
              <w:rPr>
                <w:b w:val="0"/>
                <w:color w:val="auto"/>
                <w:sz w:val="18"/>
              </w:rPr>
            </w:pPr>
            <w:r w:rsidRPr="00734A50">
              <w:rPr>
                <w:color w:val="auto"/>
                <w:sz w:val="18"/>
              </w:rPr>
              <w:t>Questions</w:t>
            </w:r>
          </w:p>
        </w:tc>
        <w:tc>
          <w:tcPr>
            <w:tcW w:w="8234" w:type="dxa"/>
          </w:tcPr>
          <w:p w14:paraId="7A90B51A" w14:textId="77777777" w:rsidR="00FA4EC0" w:rsidRPr="00734A50" w:rsidRDefault="00FA4EC0" w:rsidP="005D1EEB">
            <w:pPr>
              <w:pStyle w:val="ListNumber"/>
              <w:numPr>
                <w:ilvl w:val="0"/>
                <w:numId w:val="0"/>
              </w:numPr>
              <w:cnfStyle w:val="100000000000" w:firstRow="1" w:lastRow="0" w:firstColumn="0" w:lastColumn="0" w:oddVBand="0" w:evenVBand="0" w:oddHBand="0" w:evenHBand="0" w:firstRowFirstColumn="0" w:firstRowLastColumn="0" w:lastRowFirstColumn="0" w:lastRowLastColumn="0"/>
              <w:rPr>
                <w:b w:val="0"/>
                <w:color w:val="auto"/>
                <w:sz w:val="18"/>
              </w:rPr>
            </w:pPr>
            <w:r w:rsidRPr="00734A50">
              <w:rPr>
                <w:color w:val="auto"/>
                <w:sz w:val="18"/>
              </w:rPr>
              <w:t>Response options</w:t>
            </w:r>
          </w:p>
        </w:tc>
      </w:tr>
      <w:tr w:rsidR="00FA4EC0" w:rsidRPr="00734A50" w14:paraId="0050C6A5" w14:textId="77777777" w:rsidTr="00FA4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5" w:type="dxa"/>
          </w:tcPr>
          <w:p w14:paraId="0FA852EB" w14:textId="77777777" w:rsidR="00FA4EC0" w:rsidRPr="00734A50" w:rsidRDefault="00FA4EC0" w:rsidP="005D1EEB">
            <w:pPr>
              <w:pStyle w:val="ListNumber"/>
              <w:numPr>
                <w:ilvl w:val="0"/>
                <w:numId w:val="0"/>
              </w:numPr>
              <w:rPr>
                <w:sz w:val="18"/>
              </w:rPr>
            </w:pPr>
            <w:r w:rsidRPr="00734A50">
              <w:rPr>
                <w:sz w:val="18"/>
              </w:rPr>
              <w:t>What aspects of quality are most important to you?</w:t>
            </w:r>
          </w:p>
        </w:tc>
        <w:tc>
          <w:tcPr>
            <w:tcW w:w="8234" w:type="dxa"/>
          </w:tcPr>
          <w:p w14:paraId="4781BA2B" w14:textId="77777777" w:rsidR="00FA4EC0" w:rsidRPr="00734A50" w:rsidRDefault="00FA4EC0" w:rsidP="00633B03">
            <w:pPr>
              <w:numPr>
                <w:ilvl w:val="0"/>
                <w:numId w:val="37"/>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Student Demographics</w:t>
            </w:r>
          </w:p>
          <w:p w14:paraId="56CFD152" w14:textId="77777777" w:rsidR="00FA4EC0" w:rsidRPr="00734A50" w:rsidRDefault="00FA4EC0" w:rsidP="00633B03">
            <w:pPr>
              <w:numPr>
                <w:ilvl w:val="1"/>
                <w:numId w:val="38"/>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First Nations students enrolled in ITE</w:t>
            </w:r>
          </w:p>
          <w:p w14:paraId="7D9E1E7D" w14:textId="77777777" w:rsidR="00FA4EC0" w:rsidRPr="00734A50" w:rsidRDefault="00FA4EC0" w:rsidP="00633B03">
            <w:pPr>
              <w:numPr>
                <w:ilvl w:val="1"/>
                <w:numId w:val="38"/>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regional and remote students enrolled in ITE</w:t>
            </w:r>
          </w:p>
          <w:p w14:paraId="36048A3C" w14:textId="77777777" w:rsidR="00FA4EC0" w:rsidRPr="00734A50" w:rsidRDefault="00FA4EC0" w:rsidP="00633B03">
            <w:pPr>
              <w:numPr>
                <w:ilvl w:val="1"/>
                <w:numId w:val="38"/>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low socio-economic status students enrolled in ITE</w:t>
            </w:r>
          </w:p>
          <w:p w14:paraId="6737FE21" w14:textId="6631B5E0" w:rsidR="00FA4EC0" w:rsidRPr="00734A50" w:rsidRDefault="00FA4EC0" w:rsidP="00633B03">
            <w:pPr>
              <w:numPr>
                <w:ilvl w:val="1"/>
                <w:numId w:val="38"/>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high</w:t>
            </w:r>
            <w:r w:rsidR="00D23651">
              <w:rPr>
                <w:sz w:val="18"/>
              </w:rPr>
              <w:t>-</w:t>
            </w:r>
            <w:r w:rsidRPr="00734A50">
              <w:rPr>
                <w:sz w:val="18"/>
              </w:rPr>
              <w:t>achieving students enrolled in ITE</w:t>
            </w:r>
          </w:p>
          <w:p w14:paraId="6A1D2C20" w14:textId="77777777" w:rsidR="00FA4EC0" w:rsidRDefault="00FA4EC0" w:rsidP="00633B03">
            <w:pPr>
              <w:numPr>
                <w:ilvl w:val="1"/>
                <w:numId w:val="38"/>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STEM students enrolled in ITE</w:t>
            </w:r>
          </w:p>
          <w:p w14:paraId="1AAAD7CB" w14:textId="5BF78E06" w:rsidR="005B3FF0" w:rsidRPr="00734A50" w:rsidRDefault="005B3FF0" w:rsidP="00633B03">
            <w:pPr>
              <w:numPr>
                <w:ilvl w:val="1"/>
                <w:numId w:val="38"/>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Pr>
                <w:sz w:val="18"/>
              </w:rPr>
              <w:t>Proportion of non-English-speaking background students enrolled in ITE</w:t>
            </w:r>
          </w:p>
          <w:p w14:paraId="7C32B64A" w14:textId="77777777" w:rsidR="00FA4EC0" w:rsidRPr="00734A50" w:rsidRDefault="00FA4EC0" w:rsidP="00633B03">
            <w:pPr>
              <w:numPr>
                <w:ilvl w:val="0"/>
                <w:numId w:val="37"/>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Student Retention</w:t>
            </w:r>
          </w:p>
          <w:p w14:paraId="40883FF3" w14:textId="77777777" w:rsidR="00FA4EC0" w:rsidRPr="00734A50" w:rsidRDefault="00FA4EC0" w:rsidP="00633B03">
            <w:pPr>
              <w:numPr>
                <w:ilvl w:val="1"/>
                <w:numId w:val="41"/>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students leaving ITE in their first year</w:t>
            </w:r>
          </w:p>
          <w:p w14:paraId="460A2BE9" w14:textId="77777777" w:rsidR="00FA4EC0" w:rsidRPr="00734A50" w:rsidRDefault="00FA4EC0" w:rsidP="00633B03">
            <w:pPr>
              <w:numPr>
                <w:ilvl w:val="1"/>
                <w:numId w:val="41"/>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students leaving ITE within 6 years</w:t>
            </w:r>
          </w:p>
          <w:p w14:paraId="0F43734C" w14:textId="77777777" w:rsidR="00FA4EC0" w:rsidRPr="00734A50" w:rsidRDefault="00FA4EC0" w:rsidP="00633B03">
            <w:pPr>
              <w:numPr>
                <w:ilvl w:val="0"/>
                <w:numId w:val="37"/>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Graduate Readiness</w:t>
            </w:r>
          </w:p>
          <w:p w14:paraId="29AAE26F" w14:textId="77777777" w:rsidR="00FA4EC0" w:rsidRPr="00734A50" w:rsidRDefault="00FA4EC0" w:rsidP="00633B03">
            <w:pPr>
              <w:numPr>
                <w:ilvl w:val="1"/>
                <w:numId w:val="40"/>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Student satisfaction with course quality</w:t>
            </w:r>
          </w:p>
          <w:p w14:paraId="1BBD7C2A" w14:textId="77777777" w:rsidR="00FA4EC0" w:rsidRPr="00734A50" w:rsidRDefault="00FA4EC0" w:rsidP="00633B03">
            <w:pPr>
              <w:numPr>
                <w:ilvl w:val="1"/>
                <w:numId w:val="40"/>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Graduates’ perceived preparedness for employment</w:t>
            </w:r>
          </w:p>
          <w:p w14:paraId="4F5127CE" w14:textId="77777777" w:rsidR="00FA4EC0" w:rsidRPr="00734A50" w:rsidRDefault="00FA4EC0" w:rsidP="00633B03">
            <w:pPr>
              <w:numPr>
                <w:ilvl w:val="0"/>
                <w:numId w:val="37"/>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Graduate Employment Outcomes</w:t>
            </w:r>
          </w:p>
          <w:p w14:paraId="7770EDCA" w14:textId="77777777" w:rsidR="00FA4EC0" w:rsidRPr="00734A50" w:rsidRDefault="00FA4EC0" w:rsidP="004C5394">
            <w:pPr>
              <w:numPr>
                <w:ilvl w:val="1"/>
                <w:numId w:val="39"/>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graduates employed upon graduation</w:t>
            </w:r>
          </w:p>
          <w:p w14:paraId="425F4410" w14:textId="77777777" w:rsidR="00FA4EC0" w:rsidRPr="00734A50" w:rsidRDefault="00FA4EC0" w:rsidP="004C5394">
            <w:pPr>
              <w:numPr>
                <w:ilvl w:val="1"/>
                <w:numId w:val="39"/>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graduates employed 2 years after graduation</w:t>
            </w:r>
          </w:p>
          <w:p w14:paraId="5BC2E005" w14:textId="00BC3322" w:rsidR="00FA4EC0" w:rsidRPr="00734A50" w:rsidRDefault="00FA4EC0" w:rsidP="004C5394">
            <w:pPr>
              <w:numPr>
                <w:ilvl w:val="1"/>
                <w:numId w:val="39"/>
              </w:numPr>
              <w:spacing w:after="160" w:line="280" w:lineRule="atLeast"/>
              <w:cnfStyle w:val="000000100000" w:firstRow="0" w:lastRow="0" w:firstColumn="0" w:lastColumn="0" w:oddVBand="0" w:evenVBand="0" w:oddHBand="1" w:evenHBand="0" w:firstRowFirstColumn="0" w:firstRowLastColumn="0" w:lastRowFirstColumn="0" w:lastRowLastColumn="0"/>
              <w:rPr>
                <w:sz w:val="18"/>
              </w:rPr>
            </w:pPr>
            <w:r w:rsidRPr="00734A50">
              <w:rPr>
                <w:sz w:val="18"/>
              </w:rPr>
              <w:t>Proportion of graduates employed in high-need locations and subjects (</w:t>
            </w:r>
            <w:r w:rsidR="00DD4284" w:rsidRPr="00734A50">
              <w:rPr>
                <w:sz w:val="18"/>
              </w:rPr>
              <w:t>e.g.,</w:t>
            </w:r>
            <w:r w:rsidRPr="00734A50">
              <w:rPr>
                <w:sz w:val="18"/>
              </w:rPr>
              <w:t xml:space="preserve"> regional and remote schools, STEM subjects)</w:t>
            </w:r>
          </w:p>
          <w:p w14:paraId="5E190139" w14:textId="77777777" w:rsidR="00FA4EC0" w:rsidRPr="00734A50" w:rsidRDefault="00FA4EC0" w:rsidP="00633B03">
            <w:pPr>
              <w:pStyle w:val="ListNumber"/>
              <w:numPr>
                <w:ilvl w:val="0"/>
                <w:numId w:val="37"/>
              </w:numPr>
              <w:spacing w:after="160" w:line="280" w:lineRule="atLeast"/>
              <w:contextualSpacing w:val="0"/>
              <w:cnfStyle w:val="000000100000" w:firstRow="0" w:lastRow="0" w:firstColumn="0" w:lastColumn="0" w:oddVBand="0" w:evenVBand="0" w:oddHBand="1" w:evenHBand="0" w:firstRowFirstColumn="0" w:firstRowLastColumn="0" w:lastRowFirstColumn="0" w:lastRowLastColumn="0"/>
              <w:rPr>
                <w:sz w:val="18"/>
              </w:rPr>
            </w:pPr>
            <w:r w:rsidRPr="00734A50">
              <w:rPr>
                <w:sz w:val="18"/>
              </w:rPr>
              <w:t>All of the above</w:t>
            </w:r>
          </w:p>
        </w:tc>
      </w:tr>
    </w:tbl>
    <w:p w14:paraId="35E160BD" w14:textId="39A6D399" w:rsidR="00FA4EC0" w:rsidRPr="00734A50" w:rsidRDefault="00FA4EC0" w:rsidP="00E73BBF">
      <w:pPr>
        <w:pStyle w:val="Heading3"/>
      </w:pPr>
      <w:bookmarkStart w:id="130" w:name="_Toc139366688"/>
      <w:r w:rsidRPr="00734A50">
        <w:lastRenderedPageBreak/>
        <w:t xml:space="preserve">3. </w:t>
      </w:r>
      <w:r w:rsidR="00414020" w:rsidRPr="00734A50">
        <w:t>S</w:t>
      </w:r>
      <w:r w:rsidRPr="00734A50">
        <w:t>hortlist</w:t>
      </w:r>
      <w:bookmarkEnd w:id="130"/>
    </w:p>
    <w:p w14:paraId="2249005D" w14:textId="37F7C334" w:rsidR="00FA4EC0" w:rsidRPr="00734A50" w:rsidRDefault="00FA4EC0" w:rsidP="00D97693">
      <w:pPr>
        <w:spacing w:after="0"/>
      </w:pPr>
      <w:r w:rsidRPr="00734A50">
        <w:t xml:space="preserve">To minimise information overload, </w:t>
      </w:r>
      <w:r w:rsidR="00590856" w:rsidRPr="00734A50">
        <w:t>prospective students</w:t>
      </w:r>
      <w:r w:rsidRPr="00734A50">
        <w:t xml:space="preserve"> should compare no more than three different providers. There are two ways of deriving this shortlist:</w:t>
      </w:r>
    </w:p>
    <w:p w14:paraId="659FBF82" w14:textId="261FE5D8" w:rsidR="00FA4EC0" w:rsidRPr="00734A50" w:rsidRDefault="00FA4EC0" w:rsidP="00F64365">
      <w:pPr>
        <w:pStyle w:val="ListBullet"/>
        <w:numPr>
          <w:ilvl w:val="0"/>
          <w:numId w:val="216"/>
        </w:numPr>
        <w:spacing w:after="200"/>
        <w:ind w:left="357" w:hanging="357"/>
      </w:pPr>
      <w:r w:rsidRPr="00734A50">
        <w:t xml:space="preserve">The </w:t>
      </w:r>
      <w:r w:rsidR="00A526E2" w:rsidRPr="00734A50">
        <w:t>i</w:t>
      </w:r>
      <w:r w:rsidRPr="00734A50">
        <w:t xml:space="preserve">nitial customisation stage </w:t>
      </w:r>
      <w:r w:rsidR="00A526E2" w:rsidRPr="00734A50">
        <w:t xml:space="preserve">may lead </w:t>
      </w:r>
      <w:r w:rsidRPr="00734A50">
        <w:t>to three or fewer providers</w:t>
      </w:r>
      <w:r w:rsidR="001C7C8E">
        <w:t>.</w:t>
      </w:r>
    </w:p>
    <w:p w14:paraId="3C82C242" w14:textId="1C1B4C83" w:rsidR="00FA4EC0" w:rsidRPr="00734A50" w:rsidRDefault="00FA4EC0" w:rsidP="00F64365">
      <w:pPr>
        <w:pStyle w:val="ListBullet"/>
        <w:numPr>
          <w:ilvl w:val="0"/>
          <w:numId w:val="216"/>
        </w:numPr>
        <w:spacing w:after="200"/>
        <w:ind w:left="357" w:hanging="357"/>
      </w:pPr>
      <w:r w:rsidRPr="00734A50">
        <w:t xml:space="preserve">If the </w:t>
      </w:r>
      <w:r w:rsidR="00A526E2" w:rsidRPr="00734A50">
        <w:t>i</w:t>
      </w:r>
      <w:r w:rsidRPr="00734A50">
        <w:t xml:space="preserve">nitial </w:t>
      </w:r>
      <w:r w:rsidR="715DF18E" w:rsidRPr="00734A50">
        <w:t>c</w:t>
      </w:r>
      <w:r w:rsidR="54A96B8A" w:rsidRPr="00734A50">
        <w:t>ustomisation</w:t>
      </w:r>
      <w:r w:rsidRPr="00734A50">
        <w:t xml:space="preserve"> stage le</w:t>
      </w:r>
      <w:r w:rsidR="00A526E2" w:rsidRPr="00734A50">
        <w:t>ads</w:t>
      </w:r>
      <w:r w:rsidRPr="00734A50">
        <w:t xml:space="preserve"> to more than three providers, users select their top </w:t>
      </w:r>
      <w:r w:rsidR="00A526E2" w:rsidRPr="00734A50">
        <w:t xml:space="preserve">three </w:t>
      </w:r>
      <w:r w:rsidRPr="00734A50">
        <w:t>providers from the shortlist</w:t>
      </w:r>
      <w:r w:rsidR="00462005">
        <w:t>.</w:t>
      </w:r>
    </w:p>
    <w:p w14:paraId="7F632441" w14:textId="76DB325E" w:rsidR="00FA4EC0" w:rsidRPr="00734A50" w:rsidRDefault="00FA4EC0" w:rsidP="00FA4EC0">
      <w:r w:rsidRPr="00734A50">
        <w:t xml:space="preserve">To help </w:t>
      </w:r>
      <w:r w:rsidR="00590856" w:rsidRPr="00734A50">
        <w:t xml:space="preserve">prospective </w:t>
      </w:r>
      <w:r w:rsidR="009F0CA4" w:rsidRPr="00734A50">
        <w:t xml:space="preserve">ITE </w:t>
      </w:r>
      <w:r w:rsidR="00590856" w:rsidRPr="00734A50">
        <w:t xml:space="preserve">students </w:t>
      </w:r>
      <w:r w:rsidRPr="00734A50">
        <w:t xml:space="preserve">decide which providers to shortlist, a simple summary of </w:t>
      </w:r>
      <w:r w:rsidR="00F21146" w:rsidRPr="00734A50">
        <w:t xml:space="preserve">the indicators for each </w:t>
      </w:r>
      <w:r w:rsidRPr="00734A50">
        <w:t>h</w:t>
      </w:r>
      <w:r w:rsidR="00067E1B" w:rsidRPr="00734A50">
        <w:t>igher education</w:t>
      </w:r>
      <w:r w:rsidRPr="00734A50">
        <w:t xml:space="preserve"> provider could be used.</w:t>
      </w:r>
    </w:p>
    <w:p w14:paraId="1972E05B" w14:textId="1488AF4F" w:rsidR="00FA4EC0" w:rsidRPr="00734A50" w:rsidRDefault="00FA4EC0" w:rsidP="00E73BBF">
      <w:pPr>
        <w:pStyle w:val="Heading3"/>
      </w:pPr>
      <w:bookmarkStart w:id="131" w:name="_Toc139366689"/>
      <w:r w:rsidRPr="00734A50">
        <w:t xml:space="preserve">4. Targeted comparison of </w:t>
      </w:r>
      <w:r w:rsidR="004D512E" w:rsidRPr="00734A50">
        <w:t xml:space="preserve">higher education </w:t>
      </w:r>
      <w:r w:rsidRPr="00734A50">
        <w:t>providers</w:t>
      </w:r>
      <w:bookmarkEnd w:id="131"/>
    </w:p>
    <w:p w14:paraId="6715B795" w14:textId="7AE6B5DF" w:rsidR="00FA4EC0" w:rsidRPr="00734A50" w:rsidRDefault="00FA4EC0" w:rsidP="00FA4EC0">
      <w:r w:rsidRPr="00734A50">
        <w:t xml:space="preserve">Finally, </w:t>
      </w:r>
      <w:r w:rsidR="003A07BB" w:rsidRPr="00734A50">
        <w:t xml:space="preserve">prospective ITE students </w:t>
      </w:r>
      <w:r w:rsidR="00247143" w:rsidRPr="00734A50">
        <w:t xml:space="preserve">will be </w:t>
      </w:r>
      <w:r w:rsidRPr="00734A50">
        <w:t>present</w:t>
      </w:r>
      <w:r w:rsidR="00247143" w:rsidRPr="00734A50">
        <w:t>ed with information on</w:t>
      </w:r>
      <w:r w:rsidRPr="00734A50">
        <w:t xml:space="preserve"> how the top three providers compare on the </w:t>
      </w:r>
      <w:r w:rsidR="7C776DD4" w:rsidRPr="00734A50">
        <w:t>ind</w:t>
      </w:r>
      <w:r w:rsidR="2ED907CD" w:rsidRPr="00734A50">
        <w:t>icators</w:t>
      </w:r>
      <w:r w:rsidR="0FCE1FC9" w:rsidRPr="00734A50">
        <w:t>.</w:t>
      </w:r>
    </w:p>
    <w:p w14:paraId="4730B5A1" w14:textId="5E52F3E9" w:rsidR="00FA4EC0" w:rsidRPr="00734A50" w:rsidRDefault="001C7C8E" w:rsidP="00337B3C">
      <w:pPr>
        <w:spacing w:after="0"/>
      </w:pPr>
      <w:r>
        <w:t>O</w:t>
      </w:r>
      <w:r w:rsidR="00FA4EC0" w:rsidRPr="00734A50">
        <w:t>ther features to consider at this final stage include:</w:t>
      </w:r>
    </w:p>
    <w:p w14:paraId="32B4CDE9" w14:textId="7DE5A760" w:rsidR="00FA4EC0" w:rsidRPr="00734A50" w:rsidRDefault="3AD9A418" w:rsidP="00F64365">
      <w:pPr>
        <w:pStyle w:val="ListBullet"/>
        <w:numPr>
          <w:ilvl w:val="0"/>
          <w:numId w:val="216"/>
        </w:numPr>
        <w:spacing w:after="200"/>
        <w:ind w:left="357" w:hanging="357"/>
      </w:pPr>
      <w:r w:rsidRPr="00734A50">
        <w:t xml:space="preserve">Add in-context help and explanations. Providing clear and accurate definitions of each indicator increases comprehension of the </w:t>
      </w:r>
      <w:r w:rsidR="7A221209" w:rsidRPr="00734A50">
        <w:t>data but</w:t>
      </w:r>
      <w:r w:rsidRPr="00734A50">
        <w:t xml:space="preserve"> hiding them away in pop-up boxes ensures the initial display is not overwhelming.</w:t>
      </w:r>
    </w:p>
    <w:p w14:paraId="5D4C371D" w14:textId="2F6425EF" w:rsidR="00FA4EC0" w:rsidRPr="00734A50" w:rsidRDefault="3AD9A418" w:rsidP="00F64365">
      <w:pPr>
        <w:pStyle w:val="ListBullet"/>
        <w:numPr>
          <w:ilvl w:val="0"/>
          <w:numId w:val="216"/>
        </w:numPr>
        <w:spacing w:after="200"/>
        <w:ind w:left="357" w:hanging="357"/>
      </w:pPr>
      <w:r w:rsidRPr="00734A50">
        <w:t>Direct people to university/admissions websites. This would help reduce the intention</w:t>
      </w:r>
      <w:r w:rsidR="001C7C8E">
        <w:t>–</w:t>
      </w:r>
      <w:r w:rsidRPr="00734A50">
        <w:t xml:space="preserve">action gap and help prospective </w:t>
      </w:r>
      <w:r w:rsidR="009F0CA4" w:rsidRPr="00734A50">
        <w:t xml:space="preserve">ITE </w:t>
      </w:r>
      <w:r w:rsidRPr="00734A50">
        <w:t>students to choose a</w:t>
      </w:r>
      <w:r w:rsidR="35907B4B" w:rsidRPr="00734A50">
        <w:t xml:space="preserve"> higher education</w:t>
      </w:r>
      <w:r w:rsidRPr="00734A50">
        <w:t xml:space="preserve"> provider based on quality.</w:t>
      </w:r>
    </w:p>
    <w:p w14:paraId="4FEB3AB6" w14:textId="77777777" w:rsidR="00FA4EC0" w:rsidRPr="00734A50" w:rsidRDefault="3AD9A418" w:rsidP="00F64365">
      <w:pPr>
        <w:pStyle w:val="ListBullet"/>
        <w:numPr>
          <w:ilvl w:val="0"/>
          <w:numId w:val="216"/>
        </w:numPr>
        <w:spacing w:after="200"/>
        <w:ind w:left="357" w:hanging="357"/>
      </w:pPr>
      <w:r w:rsidRPr="00734A50">
        <w:t>Allow people to export their results. Allowing users to print, email, or download their results can increase the probability that information about quality is used in future decision-making.</w:t>
      </w:r>
    </w:p>
    <w:p w14:paraId="0E383688" w14:textId="63985C0E" w:rsidR="00FA4EC0" w:rsidRPr="00734A50" w:rsidRDefault="3AD9A418" w:rsidP="00F64365">
      <w:pPr>
        <w:pStyle w:val="ListBullet"/>
        <w:numPr>
          <w:ilvl w:val="0"/>
          <w:numId w:val="216"/>
        </w:numPr>
        <w:spacing w:after="200"/>
        <w:ind w:left="357" w:hanging="357"/>
      </w:pPr>
      <w:r w:rsidRPr="00734A50">
        <w:t>Incorporate other factors that are important when students are choosing a provider. Including these factors in this comparison tool would increase the relevance and usefulness of the final results.</w:t>
      </w:r>
    </w:p>
    <w:p w14:paraId="2EC92346" w14:textId="06D8A121" w:rsidR="2FD9AE73" w:rsidRPr="00734A50" w:rsidRDefault="185EF833" w:rsidP="0012041E">
      <w:pPr>
        <w:pStyle w:val="Heading2"/>
        <w:rPr>
          <w:lang w:eastAsia="en-AU"/>
        </w:rPr>
      </w:pPr>
      <w:r w:rsidRPr="00734A50">
        <w:br w:type="page"/>
      </w:r>
      <w:bookmarkStart w:id="132" w:name="_Toc139366690"/>
      <w:r w:rsidR="2FD9AE73" w:rsidRPr="00734A50">
        <w:rPr>
          <w:lang w:eastAsia="en-AU"/>
        </w:rPr>
        <w:lastRenderedPageBreak/>
        <w:t xml:space="preserve">APPENDIX </w:t>
      </w:r>
      <w:r w:rsidR="00DD2731" w:rsidRPr="00734A50">
        <w:rPr>
          <w:lang w:eastAsia="en-AU"/>
        </w:rPr>
        <w:t>H</w:t>
      </w:r>
      <w:r w:rsidR="2FD9AE73" w:rsidRPr="00734A50">
        <w:rPr>
          <w:lang w:eastAsia="en-AU"/>
        </w:rPr>
        <w:t>: Components of jurisdiction-lev</w:t>
      </w:r>
      <w:r w:rsidR="4E8911C2" w:rsidRPr="00734A50">
        <w:rPr>
          <w:lang w:eastAsia="en-AU"/>
        </w:rPr>
        <w:t xml:space="preserve">el </w:t>
      </w:r>
      <w:r w:rsidR="00D161A3" w:rsidRPr="00734A50">
        <w:rPr>
          <w:lang w:eastAsia="en-AU"/>
        </w:rPr>
        <w:t>agreements for high</w:t>
      </w:r>
      <w:r w:rsidR="00CF3741" w:rsidRPr="00734A50">
        <w:rPr>
          <w:lang w:eastAsia="en-AU"/>
        </w:rPr>
        <w:t>-</w:t>
      </w:r>
      <w:r w:rsidR="00D161A3" w:rsidRPr="00734A50">
        <w:rPr>
          <w:lang w:eastAsia="en-AU"/>
        </w:rPr>
        <w:t>quality practical experience</w:t>
      </w:r>
      <w:bookmarkEnd w:id="132"/>
    </w:p>
    <w:p w14:paraId="3FAA235D" w14:textId="50106D26" w:rsidR="00071BE7" w:rsidRPr="00734A50" w:rsidRDefault="00071BE7" w:rsidP="00A36740">
      <w:pPr>
        <w:pStyle w:val="HeadingTable"/>
        <w:numPr>
          <w:ilvl w:val="0"/>
          <w:numId w:val="0"/>
        </w:numPr>
        <w:ind w:left="360" w:hanging="360"/>
        <w:rPr>
          <w:sz w:val="22"/>
          <w:szCs w:val="28"/>
        </w:rPr>
      </w:pPr>
      <w:r w:rsidRPr="00734A50">
        <w:rPr>
          <w:sz w:val="22"/>
          <w:szCs w:val="28"/>
        </w:rPr>
        <w:t>Table H1: Components of jurisdiction-level memorand</w:t>
      </w:r>
      <w:r w:rsidR="009D68A5" w:rsidRPr="00734A50">
        <w:rPr>
          <w:sz w:val="22"/>
          <w:szCs w:val="28"/>
        </w:rPr>
        <w:t>ums</w:t>
      </w:r>
      <w:r w:rsidRPr="00734A50">
        <w:rPr>
          <w:sz w:val="22"/>
          <w:szCs w:val="28"/>
        </w:rPr>
        <w:t xml:space="preserve"> of understanding</w:t>
      </w:r>
    </w:p>
    <w:tbl>
      <w:tblPr>
        <w:tblStyle w:val="GridTable4-Accent2"/>
        <w:tblW w:w="9209" w:type="dxa"/>
        <w:tblLook w:val="04A0" w:firstRow="1" w:lastRow="0" w:firstColumn="1" w:lastColumn="0" w:noHBand="0" w:noVBand="1"/>
      </w:tblPr>
      <w:tblGrid>
        <w:gridCol w:w="2122"/>
        <w:gridCol w:w="7087"/>
      </w:tblGrid>
      <w:tr w:rsidR="6911E263" w:rsidRPr="00734A50" w14:paraId="20D85CE1" w14:textId="77777777" w:rsidTr="44B1DF1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18B35D03" w14:textId="288D3245" w:rsidR="6911E263" w:rsidRPr="00734A50" w:rsidRDefault="00B66BC2" w:rsidP="6911E263">
            <w:pPr>
              <w:rPr>
                <w:color w:val="auto"/>
              </w:rPr>
            </w:pPr>
            <w:r w:rsidRPr="00734A50">
              <w:rPr>
                <w:color w:val="auto"/>
              </w:rPr>
              <w:t>Opportunity</w:t>
            </w:r>
          </w:p>
        </w:tc>
        <w:tc>
          <w:tcPr>
            <w:tcW w:w="7087" w:type="dxa"/>
          </w:tcPr>
          <w:p w14:paraId="551E693B" w14:textId="17709A6E" w:rsidR="6911E263" w:rsidRPr="00734A50" w:rsidRDefault="6911E263" w:rsidP="6911E263">
            <w:pPr>
              <w:cnfStyle w:val="100000000000" w:firstRow="1" w:lastRow="0" w:firstColumn="0" w:lastColumn="0" w:oddVBand="0" w:evenVBand="0" w:oddHBand="0" w:evenHBand="0" w:firstRowFirstColumn="0" w:firstRowLastColumn="0" w:lastRowFirstColumn="0" w:lastRowLastColumn="0"/>
              <w:rPr>
                <w:color w:val="auto"/>
              </w:rPr>
            </w:pPr>
            <w:r w:rsidRPr="00734A50">
              <w:rPr>
                <w:color w:val="auto"/>
              </w:rPr>
              <w:t>M</w:t>
            </w:r>
            <w:r w:rsidR="00747247" w:rsidRPr="00734A50">
              <w:rPr>
                <w:color w:val="auto"/>
              </w:rPr>
              <w:t>emorandums of understanding</w:t>
            </w:r>
            <w:r w:rsidRPr="00734A50">
              <w:rPr>
                <w:color w:val="auto"/>
              </w:rPr>
              <w:t xml:space="preserve"> component</w:t>
            </w:r>
            <w:r w:rsidR="003C6236" w:rsidRPr="00734A50">
              <w:rPr>
                <w:color w:val="auto"/>
              </w:rPr>
              <w:t>s</w:t>
            </w:r>
          </w:p>
        </w:tc>
      </w:tr>
      <w:tr w:rsidR="6911E263" w:rsidRPr="00734A50" w14:paraId="3ABA1D2E" w14:textId="77777777" w:rsidTr="44B1D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2107A9DF" w14:textId="2138191B" w:rsidR="6911E263" w:rsidRPr="00734A50" w:rsidRDefault="00027861" w:rsidP="6911E263">
            <w:r w:rsidRPr="00734A50">
              <w:t xml:space="preserve">Defining clear roles, responsibilities and expectations </w:t>
            </w:r>
            <w:r w:rsidR="00885271" w:rsidRPr="00734A50">
              <w:t xml:space="preserve">across </w:t>
            </w:r>
            <w:r w:rsidR="00E75B54" w:rsidRPr="00734A50">
              <w:t>parties</w:t>
            </w:r>
          </w:p>
        </w:tc>
        <w:tc>
          <w:tcPr>
            <w:tcW w:w="7087" w:type="dxa"/>
          </w:tcPr>
          <w:p w14:paraId="3C1FB442" w14:textId="6CD53BF9" w:rsidR="6911E263" w:rsidRPr="00734A50" w:rsidRDefault="00607920" w:rsidP="00454A26">
            <w:pPr>
              <w:spacing w:after="0"/>
              <w:cnfStyle w:val="000000100000" w:firstRow="0" w:lastRow="0" w:firstColumn="0" w:lastColumn="0" w:oddVBand="0" w:evenVBand="0" w:oddHBand="1" w:evenHBand="0" w:firstRowFirstColumn="0" w:firstRowLastColumn="0" w:lastRowFirstColumn="0" w:lastRowLastColumn="0"/>
            </w:pPr>
            <w:r w:rsidRPr="00734A50">
              <w:t>Establish c</w:t>
            </w:r>
            <w:r w:rsidR="007637AF" w:rsidRPr="00734A50">
              <w:t>lear</w:t>
            </w:r>
            <w:r w:rsidR="00E75B54" w:rsidRPr="00734A50">
              <w:t xml:space="preserve"> </w:t>
            </w:r>
            <w:r w:rsidR="00CF3741" w:rsidRPr="00734A50">
              <w:t xml:space="preserve">roles, responsibilities </w:t>
            </w:r>
            <w:r w:rsidR="00E75B54" w:rsidRPr="00734A50">
              <w:t xml:space="preserve">and </w:t>
            </w:r>
            <w:r w:rsidR="007637AF" w:rsidRPr="00734A50">
              <w:t>agreed expectations regarding</w:t>
            </w:r>
            <w:r w:rsidR="004E4E9D" w:rsidRPr="00734A50">
              <w:t xml:space="preserve"> </w:t>
            </w:r>
            <w:r w:rsidR="007637AF" w:rsidRPr="00734A50">
              <w:t>each party involved in delivering practical experience placements, including specific activities they are accountable for delivering (e.g. providing feedback to ITE students)</w:t>
            </w:r>
            <w:r w:rsidR="004E4E9D" w:rsidRPr="00734A50">
              <w:t>.</w:t>
            </w:r>
          </w:p>
        </w:tc>
      </w:tr>
      <w:tr w:rsidR="00577001" w:rsidRPr="00734A50" w14:paraId="0D19A744" w14:textId="77777777" w:rsidTr="44B1DF11">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399A98AC" w14:textId="1F9C219A" w:rsidR="00577001" w:rsidRPr="00734A50" w:rsidRDefault="00027861">
            <w:r w:rsidRPr="00734A50">
              <w:t>Supporting and valuing effective mentor</w:t>
            </w:r>
            <w:r w:rsidR="00621951" w:rsidRPr="00734A50">
              <w:t xml:space="preserve"> teacher</w:t>
            </w:r>
            <w:r w:rsidRPr="00734A50">
              <w:t>s</w:t>
            </w:r>
          </w:p>
        </w:tc>
        <w:tc>
          <w:tcPr>
            <w:tcW w:w="7087" w:type="dxa"/>
          </w:tcPr>
          <w:p w14:paraId="3C023E37" w14:textId="789667E8" w:rsidR="00027861" w:rsidRPr="00734A50" w:rsidRDefault="0077051B" w:rsidP="00027861">
            <w:pPr>
              <w:spacing w:after="0"/>
              <w:cnfStyle w:val="000000000000" w:firstRow="0" w:lastRow="0" w:firstColumn="0" w:lastColumn="0" w:oddVBand="0" w:evenVBand="0" w:oddHBand="0" w:evenHBand="0" w:firstRowFirstColumn="0" w:firstRowLastColumn="0" w:lastRowFirstColumn="0" w:lastRowLastColumn="0"/>
            </w:pPr>
            <w:r w:rsidRPr="00734A50">
              <w:t>Put in place a</w:t>
            </w:r>
            <w:r w:rsidR="00027861" w:rsidRPr="00734A50">
              <w:t>rrangements to better incentivise and support mentor</w:t>
            </w:r>
            <w:r w:rsidR="00621951" w:rsidRPr="00734A50">
              <w:t xml:space="preserve"> teacher</w:t>
            </w:r>
            <w:r w:rsidR="000A625D" w:rsidRPr="00734A50">
              <w:t xml:space="preserve">s </w:t>
            </w:r>
            <w:r w:rsidR="00027861" w:rsidRPr="00734A50">
              <w:t>and their schools, such as:</w:t>
            </w:r>
          </w:p>
          <w:p w14:paraId="3D1992BB" w14:textId="398C5ABC" w:rsidR="00027861" w:rsidRPr="00734A50" w:rsidRDefault="00027861" w:rsidP="00027861">
            <w:pPr>
              <w:pStyle w:val="NormalTextBulleted"/>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outlining effective ways to </w:t>
            </w:r>
            <w:r w:rsidR="00FF7533" w:rsidRPr="00734A50">
              <w:rPr>
                <w:rFonts w:asciiTheme="minorHAnsi" w:hAnsiTheme="minorHAnsi" w:cstheme="minorBidi"/>
                <w:sz w:val="22"/>
              </w:rPr>
              <w:t xml:space="preserve">identify, </w:t>
            </w:r>
            <w:r w:rsidRPr="00734A50">
              <w:rPr>
                <w:rFonts w:asciiTheme="minorHAnsi" w:hAnsiTheme="minorHAnsi" w:cstheme="minorBidi"/>
                <w:sz w:val="22"/>
              </w:rPr>
              <w:t>support and train mentor</w:t>
            </w:r>
            <w:r w:rsidR="004E4E9D" w:rsidRPr="00734A50">
              <w:rPr>
                <w:rFonts w:asciiTheme="minorHAnsi" w:hAnsiTheme="minorHAnsi" w:cstheme="minorBidi"/>
                <w:sz w:val="22"/>
              </w:rPr>
              <w:t>ing</w:t>
            </w:r>
            <w:r w:rsidRPr="00734A50">
              <w:rPr>
                <w:rFonts w:asciiTheme="minorHAnsi" w:hAnsiTheme="minorHAnsi" w:cstheme="minorBidi"/>
                <w:sz w:val="22"/>
              </w:rPr>
              <w:t>/supervising teachers</w:t>
            </w:r>
          </w:p>
          <w:p w14:paraId="1128F002" w14:textId="3443EA1B" w:rsidR="00027861" w:rsidRPr="00734A50" w:rsidRDefault="00027861" w:rsidP="00027861">
            <w:pPr>
              <w:pStyle w:val="NormalTextBulleted"/>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strategies to enhance recognition of mentoring/supervising teachers</w:t>
            </w:r>
            <w:r w:rsidR="00A35D57" w:rsidRPr="00734A50">
              <w:rPr>
                <w:rFonts w:asciiTheme="minorHAnsi" w:hAnsiTheme="minorHAnsi" w:cstheme="minorBidi"/>
                <w:sz w:val="22"/>
              </w:rPr>
              <w:t xml:space="preserve">, </w:t>
            </w:r>
            <w:r w:rsidR="00B96054" w:rsidRPr="00734A50">
              <w:rPr>
                <w:rFonts w:asciiTheme="minorHAnsi" w:hAnsiTheme="minorHAnsi" w:cstheme="minorBidi"/>
                <w:sz w:val="22"/>
              </w:rPr>
              <w:t xml:space="preserve">such as </w:t>
            </w:r>
            <w:r w:rsidR="00BA2A30" w:rsidRPr="00734A50">
              <w:rPr>
                <w:rFonts w:asciiTheme="minorHAnsi" w:hAnsiTheme="minorHAnsi" w:cstheme="minorBidi"/>
                <w:sz w:val="22"/>
              </w:rPr>
              <w:t>crediting mentoring hours toward professional learning requirements for teacher registration</w:t>
            </w:r>
          </w:p>
          <w:p w14:paraId="7A1B8712" w14:textId="4A092FCE" w:rsidR="00BA2A30" w:rsidRPr="00734A50" w:rsidRDefault="00027861">
            <w:pPr>
              <w:pStyle w:val="NormalTextBulleted"/>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high-quality professional learning for mentor</w:t>
            </w:r>
            <w:r w:rsidR="004E4E9D" w:rsidRPr="00734A50">
              <w:rPr>
                <w:rFonts w:asciiTheme="minorHAnsi" w:hAnsiTheme="minorHAnsi" w:cstheme="minorBidi"/>
                <w:sz w:val="22"/>
              </w:rPr>
              <w:t>ing</w:t>
            </w:r>
            <w:r w:rsidRPr="00734A50">
              <w:rPr>
                <w:rFonts w:asciiTheme="minorHAnsi" w:hAnsiTheme="minorHAnsi" w:cstheme="minorBidi"/>
                <w:sz w:val="22"/>
              </w:rPr>
              <w:t>/supervis</w:t>
            </w:r>
            <w:r w:rsidR="004E4E9D" w:rsidRPr="00734A50">
              <w:rPr>
                <w:rFonts w:asciiTheme="minorHAnsi" w:hAnsiTheme="minorHAnsi" w:cstheme="minorBidi"/>
                <w:sz w:val="22"/>
              </w:rPr>
              <w:t>ing teachers.</w:t>
            </w:r>
          </w:p>
        </w:tc>
      </w:tr>
      <w:tr w:rsidR="00F421EF" w:rsidRPr="00734A50" w14:paraId="26E64A0E" w14:textId="77777777" w:rsidTr="44B1D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2B8DF117" w14:textId="393DD013" w:rsidR="00F421EF" w:rsidRPr="00734A50" w:rsidRDefault="0077051B" w:rsidP="00DF5AA3">
            <w:r w:rsidRPr="00734A50">
              <w:t>Encouraging</w:t>
            </w:r>
            <w:r w:rsidR="000C27F9" w:rsidRPr="00734A50">
              <w:t xml:space="preserve"> system-level delivery models</w:t>
            </w:r>
          </w:p>
        </w:tc>
        <w:tc>
          <w:tcPr>
            <w:tcW w:w="7087" w:type="dxa"/>
          </w:tcPr>
          <w:p w14:paraId="7F66D991" w14:textId="43042E7D" w:rsidR="00F421EF" w:rsidRPr="00734A50" w:rsidRDefault="002D58FF" w:rsidP="00DF5AA3">
            <w:p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34A50">
              <w:t>A</w:t>
            </w:r>
            <w:r w:rsidR="00B46956" w:rsidRPr="00734A50">
              <w:t>dopt s</w:t>
            </w:r>
            <w:r w:rsidR="00F421EF" w:rsidRPr="00734A50">
              <w:t>ystem</w:t>
            </w:r>
            <w:r w:rsidR="004E4E9D" w:rsidRPr="00734A50">
              <w:t>-</w:t>
            </w:r>
            <w:r w:rsidR="00F421EF" w:rsidRPr="00734A50">
              <w:t xml:space="preserve">level delivery models across clusters of </w:t>
            </w:r>
            <w:r w:rsidR="00710F70" w:rsidRPr="00734A50">
              <w:t>schools</w:t>
            </w:r>
            <w:r w:rsidR="00F421EF" w:rsidRPr="00734A50">
              <w:t xml:space="preserve"> </w:t>
            </w:r>
            <w:r w:rsidR="00B46956" w:rsidRPr="00734A50">
              <w:t xml:space="preserve">(such as </w:t>
            </w:r>
            <w:r w:rsidR="00454A26" w:rsidRPr="00734A50">
              <w:t>p</w:t>
            </w:r>
            <w:r w:rsidR="00B46956" w:rsidRPr="00734A50">
              <w:t xml:space="preserve">racticum </w:t>
            </w:r>
            <w:r w:rsidR="00454A26" w:rsidRPr="00734A50">
              <w:t>h</w:t>
            </w:r>
            <w:r w:rsidR="00B46956" w:rsidRPr="00734A50">
              <w:t xml:space="preserve">ubs) to </w:t>
            </w:r>
            <w:r w:rsidR="00F421EF" w:rsidRPr="00734A50">
              <w:t xml:space="preserve">support </w:t>
            </w:r>
            <w:r w:rsidR="00F421EF" w:rsidRPr="00734A50">
              <w:rPr>
                <w:rFonts w:eastAsia="Times New Roman"/>
              </w:rPr>
              <w:t>delivery of high-quality practical experience</w:t>
            </w:r>
            <w:r w:rsidR="00995B73" w:rsidRPr="00734A50">
              <w:rPr>
                <w:rFonts w:eastAsia="Times New Roman"/>
              </w:rPr>
              <w:t xml:space="preserve"> </w:t>
            </w:r>
            <w:r w:rsidR="00CC1B05" w:rsidRPr="00734A50">
              <w:rPr>
                <w:rFonts w:eastAsia="Times New Roman"/>
              </w:rPr>
              <w:t>and</w:t>
            </w:r>
            <w:r w:rsidR="005C3023" w:rsidRPr="00734A50">
              <w:rPr>
                <w:rFonts w:eastAsia="Times New Roman"/>
              </w:rPr>
              <w:t xml:space="preserve"> to</w:t>
            </w:r>
            <w:r w:rsidR="00CC1B05" w:rsidRPr="00734A50">
              <w:rPr>
                <w:rFonts w:eastAsia="Times New Roman"/>
              </w:rPr>
              <w:t xml:space="preserve"> reduce administrative burden and costs</w:t>
            </w:r>
            <w:r w:rsidR="004C31B3" w:rsidRPr="00734A50">
              <w:rPr>
                <w:rFonts w:eastAsia="Times New Roman"/>
              </w:rPr>
              <w:t>, such as</w:t>
            </w:r>
            <w:r w:rsidR="00CC1B05" w:rsidRPr="00734A50">
              <w:rPr>
                <w:rFonts w:eastAsia="Times New Roman"/>
              </w:rPr>
              <w:t xml:space="preserve"> </w:t>
            </w:r>
            <w:r w:rsidR="00D16E7A" w:rsidRPr="00734A50">
              <w:rPr>
                <w:rFonts w:eastAsia="Times New Roman"/>
              </w:rPr>
              <w:t>by</w:t>
            </w:r>
            <w:r w:rsidR="00F421EF" w:rsidRPr="00734A50">
              <w:rPr>
                <w:rFonts w:eastAsia="Times New Roman"/>
              </w:rPr>
              <w:t>:</w:t>
            </w:r>
          </w:p>
          <w:p w14:paraId="282B7A6A" w14:textId="0C82CE90" w:rsidR="00C94A59" w:rsidRPr="00734A50" w:rsidRDefault="00BD0408"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standardising </w:t>
            </w:r>
            <w:r w:rsidR="00C94A59" w:rsidRPr="00734A50">
              <w:rPr>
                <w:rFonts w:asciiTheme="minorHAnsi" w:hAnsiTheme="minorHAnsi" w:cstheme="minorBidi"/>
                <w:sz w:val="22"/>
              </w:rPr>
              <w:t>assessment and reporting templates across providers</w:t>
            </w:r>
          </w:p>
          <w:p w14:paraId="799D10A8" w14:textId="08510B4F" w:rsidR="00F421EF" w:rsidRPr="00734A50" w:rsidRDefault="00101066"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providing </w:t>
            </w:r>
            <w:r w:rsidR="00F421EF" w:rsidRPr="00734A50">
              <w:rPr>
                <w:rFonts w:asciiTheme="minorHAnsi" w:hAnsiTheme="minorHAnsi" w:cstheme="minorBidi"/>
                <w:sz w:val="22"/>
              </w:rPr>
              <w:t>strong links between theory, research and practice</w:t>
            </w:r>
          </w:p>
          <w:p w14:paraId="1994FA77" w14:textId="0C82CE90" w:rsidR="00F421EF" w:rsidRPr="00734A50" w:rsidRDefault="00101066"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establishing </w:t>
            </w:r>
            <w:r w:rsidR="00F421EF" w:rsidRPr="00734A50">
              <w:rPr>
                <w:rFonts w:asciiTheme="minorHAnsi" w:hAnsiTheme="minorHAnsi" w:cstheme="minorBidi"/>
                <w:sz w:val="22"/>
              </w:rPr>
              <w:t xml:space="preserve">strong links between schools and providers </w:t>
            </w:r>
          </w:p>
          <w:p w14:paraId="76A7B0F7" w14:textId="0C82CE90" w:rsidR="00C94A59" w:rsidRPr="00734A50" w:rsidRDefault="00C94A59"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creating explicit links to practical experience requirements </w:t>
            </w:r>
          </w:p>
          <w:p w14:paraId="03595D68" w14:textId="3D9E29FE" w:rsidR="00F421EF" w:rsidRPr="00734A50" w:rsidRDefault="00101066"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 xml:space="preserve">providing </w:t>
            </w:r>
            <w:r w:rsidR="00F421EF" w:rsidRPr="00734A50">
              <w:rPr>
                <w:rFonts w:asciiTheme="minorHAnsi" w:hAnsiTheme="minorHAnsi" w:cstheme="minorBidi"/>
                <w:sz w:val="22"/>
              </w:rPr>
              <w:t>financial and administrative support for host schools</w:t>
            </w:r>
          </w:p>
          <w:p w14:paraId="16611EC6" w14:textId="2B7B8CF8" w:rsidR="00F421EF" w:rsidRPr="00734A50" w:rsidRDefault="00C94A59"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sz w:val="22"/>
              </w:rPr>
            </w:pPr>
            <w:r w:rsidRPr="00734A50">
              <w:rPr>
                <w:rFonts w:asciiTheme="minorHAnsi" w:hAnsiTheme="minorHAnsi" w:cstheme="minorBidi"/>
                <w:sz w:val="22"/>
              </w:rPr>
              <w:t>establishing processes to ensure placement conditions are satisfied</w:t>
            </w:r>
            <w:r w:rsidR="004E4E9D" w:rsidRPr="00734A50">
              <w:rPr>
                <w:rFonts w:asciiTheme="minorHAnsi" w:hAnsiTheme="minorHAnsi" w:cstheme="minorBidi"/>
                <w:sz w:val="22"/>
              </w:rPr>
              <w:t xml:space="preserve"> and</w:t>
            </w:r>
            <w:r w:rsidRPr="00734A50">
              <w:rPr>
                <w:rFonts w:asciiTheme="minorHAnsi" w:hAnsiTheme="minorHAnsi" w:cstheme="minorBidi"/>
                <w:sz w:val="22"/>
              </w:rPr>
              <w:t xml:space="preserve"> for handling grievances and processing payment claims.</w:t>
            </w:r>
          </w:p>
        </w:tc>
      </w:tr>
      <w:tr w:rsidR="00E616F1" w:rsidRPr="00734A50" w14:paraId="56BAC092" w14:textId="77777777" w:rsidTr="44B1DF11">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757CBD75" w14:textId="48A7D7A5" w:rsidR="00E616F1" w:rsidRPr="00734A50" w:rsidRDefault="00406011" w:rsidP="00DF5AA3">
            <w:r w:rsidRPr="00734A50">
              <w:t>Clearer</w:t>
            </w:r>
            <w:r w:rsidR="00547D6E" w:rsidRPr="00734A50">
              <w:t xml:space="preserve"> national </w:t>
            </w:r>
            <w:r w:rsidRPr="00734A50">
              <w:t>guidance</w:t>
            </w:r>
            <w:r w:rsidR="00162306" w:rsidRPr="00734A50">
              <w:t xml:space="preserve"> </w:t>
            </w:r>
          </w:p>
        </w:tc>
        <w:tc>
          <w:tcPr>
            <w:tcW w:w="7087" w:type="dxa"/>
          </w:tcPr>
          <w:p w14:paraId="4D7D3082" w14:textId="3DDBC063" w:rsidR="00E616F1" w:rsidRPr="00734A50" w:rsidRDefault="004E4E9D" w:rsidP="00DF5AA3">
            <w:pPr>
              <w:spacing w:after="0"/>
              <w:cnfStyle w:val="000000000000" w:firstRow="0" w:lastRow="0" w:firstColumn="0" w:lastColumn="0" w:oddVBand="0" w:evenVBand="0" w:oddHBand="0" w:evenHBand="0" w:firstRowFirstColumn="0" w:firstRowLastColumn="0" w:lastRowFirstColumn="0" w:lastRowLastColumn="0"/>
            </w:pPr>
            <w:r w:rsidRPr="00734A50">
              <w:t>R</w:t>
            </w:r>
            <w:r w:rsidR="0041425D" w:rsidRPr="00734A50">
              <w:t xml:space="preserve">eflect </w:t>
            </w:r>
            <w:r w:rsidR="00A524B9" w:rsidRPr="00734A50">
              <w:t xml:space="preserve">the proposed </w:t>
            </w:r>
            <w:r w:rsidR="0041425D" w:rsidRPr="00734A50">
              <w:t xml:space="preserve">national </w:t>
            </w:r>
            <w:r w:rsidR="00A524B9" w:rsidRPr="00734A50">
              <w:t>guidelines</w:t>
            </w:r>
            <w:r w:rsidR="0041425D" w:rsidRPr="00734A50">
              <w:t xml:space="preserve"> to support </w:t>
            </w:r>
            <w:r w:rsidR="00A524B9" w:rsidRPr="00734A50">
              <w:t>more consistent, high-quality practical experience</w:t>
            </w:r>
            <w:r w:rsidR="00A03DBB" w:rsidRPr="00734A50">
              <w:t xml:space="preserve"> and reduce administrative burden on jurisdictions, higher education providers, school systems and schools</w:t>
            </w:r>
            <w:r w:rsidR="005C5D8B" w:rsidRPr="00734A50">
              <w:t>.</w:t>
            </w:r>
          </w:p>
        </w:tc>
      </w:tr>
      <w:tr w:rsidR="000C77C0" w:rsidRPr="00734A50" w14:paraId="00C392E5" w14:textId="77777777" w:rsidTr="44B1D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3D7C1D8B" w14:textId="6A576F01" w:rsidR="000C77C0" w:rsidRPr="00734A50" w:rsidRDefault="002D2D34" w:rsidP="00DF5AA3">
            <w:r w:rsidRPr="00734A50">
              <w:t xml:space="preserve">Improving coordination </w:t>
            </w:r>
            <w:r w:rsidR="00D37EB0" w:rsidRPr="00734A50">
              <w:t>in</w:t>
            </w:r>
            <w:r w:rsidRPr="00734A50">
              <w:t xml:space="preserve"> matching</w:t>
            </w:r>
            <w:r w:rsidR="00D866B4" w:rsidRPr="00734A50">
              <w:t xml:space="preserve"> placements to demand</w:t>
            </w:r>
          </w:p>
        </w:tc>
        <w:tc>
          <w:tcPr>
            <w:tcW w:w="7087" w:type="dxa"/>
          </w:tcPr>
          <w:p w14:paraId="20989A08" w14:textId="77777777" w:rsidR="009739C0" w:rsidRPr="00734A50" w:rsidRDefault="00D547AC" w:rsidP="00141259">
            <w:pPr>
              <w:spacing w:after="0"/>
              <w:cnfStyle w:val="000000100000" w:firstRow="0" w:lastRow="0" w:firstColumn="0" w:lastColumn="0" w:oddVBand="0" w:evenVBand="0" w:oddHBand="1" w:evenHBand="0" w:firstRowFirstColumn="0" w:firstRowLastColumn="0" w:lastRowFirstColumn="0" w:lastRowLastColumn="0"/>
            </w:pPr>
            <w:r w:rsidRPr="00734A50">
              <w:t xml:space="preserve">Put in place a system for the matching of </w:t>
            </w:r>
            <w:r w:rsidR="007131E1" w:rsidRPr="00734A50">
              <w:t xml:space="preserve">placements to ensure supply/demand balance across schools and sectors. This should include </w:t>
            </w:r>
            <w:r w:rsidR="007131E1" w:rsidRPr="00734A50">
              <w:rPr>
                <w:rFonts w:eastAsia="Times New Roman"/>
              </w:rPr>
              <w:t>prioritising:</w:t>
            </w:r>
          </w:p>
          <w:p w14:paraId="55328C8A" w14:textId="2BE86DE8" w:rsidR="007131E1" w:rsidRPr="00734A50" w:rsidRDefault="004E4E9D"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s</w:t>
            </w:r>
            <w:r w:rsidR="007131E1" w:rsidRPr="00734A50">
              <w:rPr>
                <w:rFonts w:asciiTheme="minorHAnsi" w:hAnsiTheme="minorHAnsi" w:cstheme="minorBidi"/>
                <w:sz w:val="22"/>
              </w:rPr>
              <w:t xml:space="preserve">ubject and geographic areas (e.g. as </w:t>
            </w:r>
            <w:r w:rsidRPr="00734A50">
              <w:rPr>
                <w:rFonts w:asciiTheme="minorHAnsi" w:hAnsiTheme="minorHAnsi" w:cstheme="minorBidi"/>
                <w:sz w:val="22"/>
              </w:rPr>
              <w:t xml:space="preserve">in </w:t>
            </w:r>
            <w:r w:rsidR="007131E1" w:rsidRPr="00734A50">
              <w:rPr>
                <w:rFonts w:asciiTheme="minorHAnsi" w:hAnsiTheme="minorHAnsi" w:cstheme="minorBidi"/>
                <w:sz w:val="22"/>
              </w:rPr>
              <w:t>current Victorian MOU)</w:t>
            </w:r>
          </w:p>
          <w:p w14:paraId="0F467150" w14:textId="30101811" w:rsidR="007131E1" w:rsidRPr="00734A50" w:rsidRDefault="004E4E9D" w:rsidP="002E0CF4">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p</w:t>
            </w:r>
            <w:r w:rsidR="007131E1" w:rsidRPr="00734A50">
              <w:rPr>
                <w:rFonts w:asciiTheme="minorHAnsi" w:hAnsiTheme="minorHAnsi" w:cstheme="minorBidi"/>
                <w:sz w:val="22"/>
              </w:rPr>
              <w:t>lacement types (e.g. sequencing, core content exposure, learner cohorts, school types, practical experience activity)</w:t>
            </w:r>
          </w:p>
          <w:p w14:paraId="4A57F93B" w14:textId="747820A2" w:rsidR="004E4E9D" w:rsidRPr="00734A50" w:rsidRDefault="004E4E9D" w:rsidP="004E4E9D">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p</w:t>
            </w:r>
            <w:r w:rsidR="007131E1" w:rsidRPr="00734A50">
              <w:rPr>
                <w:rFonts w:asciiTheme="minorHAnsi" w:hAnsiTheme="minorHAnsi" w:cstheme="minorBidi"/>
                <w:sz w:val="22"/>
              </w:rPr>
              <w:t>lacement timing and length (e.g. at different stages of the school calendar, of extended or intensive duration)</w:t>
            </w:r>
            <w:r w:rsidRPr="00734A50">
              <w:rPr>
                <w:rFonts w:asciiTheme="minorHAnsi" w:hAnsiTheme="minorHAnsi" w:cstheme="minorBidi"/>
                <w:sz w:val="22"/>
              </w:rPr>
              <w:t>.</w:t>
            </w:r>
          </w:p>
          <w:p w14:paraId="6CA480EA" w14:textId="634ABD02" w:rsidR="007131E1" w:rsidRPr="00734A50" w:rsidRDefault="007131E1" w:rsidP="00454A26">
            <w:pPr>
              <w:spacing w:after="0"/>
              <w:cnfStyle w:val="000000100000" w:firstRow="0" w:lastRow="0" w:firstColumn="0" w:lastColumn="0" w:oddVBand="0" w:evenVBand="0" w:oddHBand="1" w:evenHBand="0" w:firstRowFirstColumn="0" w:firstRowLastColumn="0" w:lastRowFirstColumn="0" w:lastRowLastColumn="0"/>
            </w:pPr>
            <w:r w:rsidRPr="00734A50">
              <w:t>This would be supported by clear data sharing protocols and arrangements to ensure ongoing visibility of the placement system</w:t>
            </w:r>
            <w:r w:rsidR="004E4E9D" w:rsidRPr="00734A50">
              <w:t>.</w:t>
            </w:r>
          </w:p>
          <w:p w14:paraId="5D86359C" w14:textId="407E503A" w:rsidR="000C77C0" w:rsidRPr="00734A50" w:rsidRDefault="007131E1" w:rsidP="007131E1">
            <w:pPr>
              <w:spacing w:after="0"/>
              <w:cnfStyle w:val="000000100000" w:firstRow="0" w:lastRow="0" w:firstColumn="0" w:lastColumn="0" w:oddVBand="0" w:evenVBand="0" w:oddHBand="1" w:evenHBand="0" w:firstRowFirstColumn="0" w:firstRowLastColumn="0" w:lastRowFirstColumn="0" w:lastRowLastColumn="0"/>
            </w:pPr>
            <w:r w:rsidRPr="00734A50">
              <w:rPr>
                <w:i/>
                <w:iCs/>
                <w:color w:val="000000"/>
              </w:rPr>
              <w:lastRenderedPageBreak/>
              <w:t>Note: this does not necessarily mean that matching of placements is a centralised process</w:t>
            </w:r>
            <w:r w:rsidR="004E4E9D" w:rsidRPr="00734A50">
              <w:rPr>
                <w:i/>
                <w:iCs/>
                <w:color w:val="000000"/>
              </w:rPr>
              <w:t>;</w:t>
            </w:r>
            <w:r w:rsidRPr="00734A50">
              <w:rPr>
                <w:i/>
                <w:iCs/>
                <w:color w:val="000000"/>
              </w:rPr>
              <w:t xml:space="preserve"> rather it is planned and coordinated</w:t>
            </w:r>
            <w:r w:rsidR="004E4E9D" w:rsidRPr="00734A50">
              <w:rPr>
                <w:i/>
                <w:iCs/>
                <w:color w:val="000000"/>
              </w:rPr>
              <w:t>.</w:t>
            </w:r>
          </w:p>
        </w:tc>
      </w:tr>
      <w:tr w:rsidR="00A81DBE" w:rsidRPr="00734A50" w14:paraId="2B2C073B" w14:textId="77777777" w:rsidTr="44B1DF11">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577EA987" w14:textId="4759A862" w:rsidR="00A81DBE" w:rsidRPr="00734A50" w:rsidRDefault="00940F60" w:rsidP="6911E263">
            <w:r w:rsidRPr="00734A50">
              <w:lastRenderedPageBreak/>
              <w:t>Demonstrating an</w:t>
            </w:r>
            <w:r w:rsidR="002E19E4" w:rsidRPr="00734A50">
              <w:t xml:space="preserve"> understanding of core content</w:t>
            </w:r>
          </w:p>
        </w:tc>
        <w:tc>
          <w:tcPr>
            <w:tcW w:w="7087" w:type="dxa"/>
          </w:tcPr>
          <w:p w14:paraId="313A7876" w14:textId="1C86084A" w:rsidR="00A81DBE" w:rsidRPr="00734A50" w:rsidRDefault="004E4E9D" w:rsidP="00EF5DD1">
            <w:pPr>
              <w:spacing w:after="0"/>
              <w:cnfStyle w:val="000000000000" w:firstRow="0" w:lastRow="0" w:firstColumn="0" w:lastColumn="0" w:oddVBand="0" w:evenVBand="0" w:oddHBand="0" w:evenHBand="0" w:firstRowFirstColumn="0" w:firstRowLastColumn="0" w:lastRowFirstColumn="0" w:lastRowLastColumn="0"/>
            </w:pPr>
            <w:r w:rsidRPr="00734A50">
              <w:t>Give b</w:t>
            </w:r>
            <w:r w:rsidR="000C7357" w:rsidRPr="00734A50">
              <w:t xml:space="preserve">eginning teachers </w:t>
            </w:r>
            <w:r w:rsidR="00940F60" w:rsidRPr="00734A50">
              <w:t>an opportunity to apply and practi</w:t>
            </w:r>
            <w:r w:rsidRPr="00734A50">
              <w:t>s</w:t>
            </w:r>
            <w:r w:rsidR="00940F60" w:rsidRPr="00734A50">
              <w:t>e</w:t>
            </w:r>
            <w:r w:rsidR="000C7357" w:rsidRPr="00734A50">
              <w:t xml:space="preserve"> </w:t>
            </w:r>
            <w:r w:rsidR="00322213" w:rsidRPr="00734A50">
              <w:t xml:space="preserve">core content </w:t>
            </w:r>
            <w:r w:rsidR="00940F60" w:rsidRPr="00734A50">
              <w:t>whil</w:t>
            </w:r>
            <w:r w:rsidRPr="00734A50">
              <w:t>e</w:t>
            </w:r>
            <w:r w:rsidR="00940F60" w:rsidRPr="00734A50">
              <w:t xml:space="preserve"> on</w:t>
            </w:r>
            <w:r w:rsidR="00A07834" w:rsidRPr="00734A50">
              <w:t xml:space="preserve"> practical experience placements to ensure </w:t>
            </w:r>
            <w:r w:rsidR="003A1613" w:rsidRPr="00734A50">
              <w:t>teaching practice is evidence</w:t>
            </w:r>
            <w:r w:rsidRPr="00734A50">
              <w:t xml:space="preserve"> </w:t>
            </w:r>
            <w:r w:rsidR="003A1613" w:rsidRPr="00734A50">
              <w:t>based.</w:t>
            </w:r>
          </w:p>
        </w:tc>
      </w:tr>
      <w:tr w:rsidR="00B75CD6" w:rsidRPr="00734A50" w14:paraId="051AF000" w14:textId="77777777" w:rsidTr="44B1D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242E7240" w14:textId="3A747E1C" w:rsidR="00B75CD6" w:rsidRPr="00734A50" w:rsidRDefault="00132B42" w:rsidP="6911E263">
            <w:r w:rsidRPr="00734A50">
              <w:t>Continuous improvement and measuring impact</w:t>
            </w:r>
          </w:p>
        </w:tc>
        <w:tc>
          <w:tcPr>
            <w:tcW w:w="7087" w:type="dxa"/>
          </w:tcPr>
          <w:p w14:paraId="186B920F" w14:textId="5CF8B1C2" w:rsidR="00B75CD6" w:rsidRPr="00734A50" w:rsidRDefault="00132B42" w:rsidP="00EF5DD1">
            <w:pPr>
              <w:spacing w:after="0"/>
              <w:cnfStyle w:val="000000100000" w:firstRow="0" w:lastRow="0" w:firstColumn="0" w:lastColumn="0" w:oddVBand="0" w:evenVBand="0" w:oddHBand="1" w:evenHBand="0" w:firstRowFirstColumn="0" w:firstRowLastColumn="0" w:lastRowFirstColumn="0" w:lastRowLastColumn="0"/>
            </w:pPr>
            <w:r w:rsidRPr="00734A50">
              <w:t>Put in place a mechanism to evaluate:</w:t>
            </w:r>
          </w:p>
          <w:p w14:paraId="00AFEB5C" w14:textId="5D3733FB" w:rsidR="00132B42" w:rsidRPr="00734A50" w:rsidRDefault="567BE292" w:rsidP="00EB5A57">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o</w:t>
            </w:r>
            <w:r w:rsidR="5184B032" w:rsidRPr="00734A50">
              <w:rPr>
                <w:rFonts w:asciiTheme="minorHAnsi" w:hAnsiTheme="minorHAnsi" w:cstheme="minorBidi"/>
                <w:sz w:val="22"/>
              </w:rPr>
              <w:t xml:space="preserve">verall </w:t>
            </w:r>
            <w:r w:rsidR="2F60A460" w:rsidRPr="00734A50">
              <w:rPr>
                <w:rFonts w:asciiTheme="minorHAnsi" w:hAnsiTheme="minorHAnsi" w:cstheme="minorBidi"/>
                <w:sz w:val="22"/>
              </w:rPr>
              <w:t>implementation</w:t>
            </w:r>
            <w:r w:rsidR="5184B032" w:rsidRPr="00734A50">
              <w:rPr>
                <w:rFonts w:asciiTheme="minorHAnsi" w:hAnsiTheme="minorHAnsi" w:cstheme="minorBidi"/>
                <w:sz w:val="22"/>
              </w:rPr>
              <w:t xml:space="preserve"> progress of provider</w:t>
            </w:r>
            <w:r w:rsidRPr="00734A50">
              <w:rPr>
                <w:rFonts w:asciiTheme="minorHAnsi" w:hAnsiTheme="minorHAnsi" w:cstheme="minorBidi"/>
                <w:sz w:val="22"/>
              </w:rPr>
              <w:t>–</w:t>
            </w:r>
            <w:r w:rsidR="2F60A460" w:rsidRPr="00734A50">
              <w:rPr>
                <w:rFonts w:asciiTheme="minorHAnsi" w:hAnsiTheme="minorHAnsi" w:cstheme="minorBidi"/>
                <w:sz w:val="22"/>
              </w:rPr>
              <w:t>school partnerships</w:t>
            </w:r>
          </w:p>
          <w:p w14:paraId="77653D7D" w14:textId="29D215C7" w:rsidR="00EB5A57" w:rsidRPr="00734A50" w:rsidRDefault="567BE292" w:rsidP="00EB5A57">
            <w:pPr>
              <w:pStyle w:val="NormalTextBulleted"/>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rPr>
            </w:pPr>
            <w:r w:rsidRPr="00734A50">
              <w:rPr>
                <w:rFonts w:asciiTheme="minorHAnsi" w:hAnsiTheme="minorHAnsi" w:cstheme="minorBidi"/>
                <w:sz w:val="22"/>
              </w:rPr>
              <w:t>s</w:t>
            </w:r>
            <w:r w:rsidR="2F60A460" w:rsidRPr="00734A50">
              <w:rPr>
                <w:rFonts w:asciiTheme="minorHAnsi" w:hAnsiTheme="minorHAnsi" w:cstheme="minorBidi"/>
                <w:sz w:val="22"/>
              </w:rPr>
              <w:t>ufficiency of existing partnerships</w:t>
            </w:r>
          </w:p>
          <w:p w14:paraId="24E1CA4F" w14:textId="4D7ED629" w:rsidR="00EB5A57" w:rsidRPr="00734A50" w:rsidRDefault="567BE292" w:rsidP="00EB5A57">
            <w:pPr>
              <w:pStyle w:val="NormalTextBulleted"/>
              <w:spacing w:after="0"/>
              <w:cnfStyle w:val="000000100000" w:firstRow="0" w:lastRow="0" w:firstColumn="0" w:lastColumn="0" w:oddVBand="0" w:evenVBand="0" w:oddHBand="1" w:evenHBand="0" w:firstRowFirstColumn="0" w:firstRowLastColumn="0" w:lastRowFirstColumn="0" w:lastRowLastColumn="0"/>
            </w:pPr>
            <w:r w:rsidRPr="00734A50">
              <w:rPr>
                <w:rFonts w:asciiTheme="minorHAnsi" w:hAnsiTheme="minorHAnsi" w:cstheme="minorBidi"/>
                <w:sz w:val="22"/>
              </w:rPr>
              <w:t>e</w:t>
            </w:r>
            <w:r w:rsidR="2F60A460" w:rsidRPr="00734A50">
              <w:rPr>
                <w:rFonts w:asciiTheme="minorHAnsi" w:hAnsiTheme="minorHAnsi" w:cstheme="minorBidi"/>
                <w:sz w:val="22"/>
              </w:rPr>
              <w:t>xtent to which parties are fulfilling responsibilities</w:t>
            </w:r>
            <w:r w:rsidRPr="00734A50">
              <w:rPr>
                <w:rFonts w:asciiTheme="minorHAnsi" w:hAnsiTheme="minorHAnsi" w:cstheme="minorBidi"/>
                <w:sz w:val="22"/>
              </w:rPr>
              <w:t>,</w:t>
            </w:r>
            <w:r w:rsidR="2F60A460" w:rsidRPr="00734A50">
              <w:rPr>
                <w:rFonts w:asciiTheme="minorHAnsi" w:hAnsiTheme="minorHAnsi" w:cstheme="minorBidi"/>
                <w:sz w:val="22"/>
              </w:rPr>
              <w:t xml:space="preserve"> </w:t>
            </w:r>
            <w:r w:rsidR="5AEDF810" w:rsidRPr="00734A50">
              <w:rPr>
                <w:rFonts w:asciiTheme="minorHAnsi" w:hAnsiTheme="minorHAnsi" w:cstheme="minorBidi"/>
                <w:sz w:val="22"/>
              </w:rPr>
              <w:t xml:space="preserve">and impact of initiatives on attracting and retaining </w:t>
            </w:r>
            <w:r w:rsidR="00E16DD8" w:rsidRPr="00734A50">
              <w:rPr>
                <w:rFonts w:asciiTheme="minorHAnsi" w:hAnsiTheme="minorHAnsi" w:cstheme="minorBidi"/>
                <w:sz w:val="22"/>
              </w:rPr>
              <w:t>ITE students</w:t>
            </w:r>
            <w:r w:rsidR="5AEDF810" w:rsidRPr="00734A50">
              <w:rPr>
                <w:rFonts w:asciiTheme="minorHAnsi" w:hAnsiTheme="minorHAnsi" w:cstheme="minorBidi"/>
                <w:sz w:val="22"/>
              </w:rPr>
              <w:t>.</w:t>
            </w:r>
          </w:p>
        </w:tc>
      </w:tr>
      <w:bookmarkEnd w:id="104"/>
      <w:bookmarkEnd w:id="105"/>
      <w:bookmarkEnd w:id="106"/>
    </w:tbl>
    <w:p w14:paraId="6127A168" w14:textId="05E2725C" w:rsidR="003A1613" w:rsidRPr="00734A50" w:rsidRDefault="003A1613">
      <w:pPr>
        <w:spacing w:after="160" w:line="259" w:lineRule="auto"/>
        <w:rPr>
          <w:rFonts w:asciiTheme="majorHAnsi" w:eastAsiaTheme="majorEastAsia" w:hAnsiTheme="majorHAnsi" w:cstheme="majorBidi"/>
          <w:b/>
          <w:color w:val="002C3E" w:themeColor="background2"/>
          <w:sz w:val="36"/>
          <w:szCs w:val="36"/>
          <w:lang w:eastAsia="en-AU"/>
        </w:rPr>
      </w:pPr>
      <w:r w:rsidRPr="00734A50">
        <w:rPr>
          <w:lang w:eastAsia="en-AU"/>
        </w:rPr>
        <w:br w:type="page"/>
      </w:r>
    </w:p>
    <w:p w14:paraId="213DC03E" w14:textId="0045BE84" w:rsidR="00FB13C5" w:rsidRPr="00734A50" w:rsidRDefault="00FB13C5" w:rsidP="0012041E">
      <w:pPr>
        <w:pStyle w:val="Heading2"/>
        <w:rPr>
          <w:lang w:eastAsia="en-AU"/>
        </w:rPr>
      </w:pPr>
      <w:bookmarkStart w:id="133" w:name="_Toc139366691"/>
      <w:r w:rsidRPr="00734A50">
        <w:rPr>
          <w:lang w:eastAsia="en-AU"/>
        </w:rPr>
        <w:lastRenderedPageBreak/>
        <w:t xml:space="preserve">APPENDIX </w:t>
      </w:r>
      <w:r w:rsidR="00DD2731" w:rsidRPr="00734A50">
        <w:rPr>
          <w:lang w:eastAsia="en-AU"/>
        </w:rPr>
        <w:t>I</w:t>
      </w:r>
      <w:r w:rsidRPr="00734A50">
        <w:rPr>
          <w:lang w:eastAsia="en-AU"/>
        </w:rPr>
        <w:t xml:space="preserve">: </w:t>
      </w:r>
      <w:r w:rsidR="00AA338D" w:rsidRPr="00734A50">
        <w:rPr>
          <w:lang w:eastAsia="en-AU"/>
        </w:rPr>
        <w:t>C</w:t>
      </w:r>
      <w:r w:rsidR="002A4BFB">
        <w:rPr>
          <w:lang w:eastAsia="en-AU"/>
        </w:rPr>
        <w:t>omponents of national guidelines to support high-quality practical experience</w:t>
      </w:r>
      <w:bookmarkEnd w:id="133"/>
    </w:p>
    <w:p w14:paraId="0F45B446" w14:textId="7982D01E" w:rsidR="00444835" w:rsidRPr="00734A50" w:rsidRDefault="00E457F0" w:rsidP="00D76F10">
      <w:r w:rsidRPr="00734A50">
        <w:t xml:space="preserve">The Accreditation Standards and Procedures set out a number of requirements </w:t>
      </w:r>
      <w:r w:rsidR="00637391" w:rsidRPr="00734A50">
        <w:t xml:space="preserve">for </w:t>
      </w:r>
      <w:r w:rsidR="00AB3209" w:rsidRPr="00734A50">
        <w:t>delivering practical experience</w:t>
      </w:r>
      <w:r w:rsidR="00D76F10" w:rsidRPr="00734A50">
        <w:t xml:space="preserve">. </w:t>
      </w:r>
      <w:r w:rsidR="00E24614" w:rsidRPr="00734A50">
        <w:t xml:space="preserve">National </w:t>
      </w:r>
      <w:r w:rsidR="00BA4F8A" w:rsidRPr="00734A50">
        <w:t>guid</w:t>
      </w:r>
      <w:r w:rsidR="00E24614" w:rsidRPr="00734A50">
        <w:t xml:space="preserve">elines are needed to </w:t>
      </w:r>
      <w:r w:rsidR="00BA4F8A" w:rsidRPr="00734A50">
        <w:t xml:space="preserve">support </w:t>
      </w:r>
      <w:r w:rsidR="00A25FC9" w:rsidRPr="00734A50">
        <w:t xml:space="preserve">higher education providers and school systems in meeting these requirements. The national guidelines should </w:t>
      </w:r>
      <w:r w:rsidR="00D94000" w:rsidRPr="00734A50">
        <w:t>cover</w:t>
      </w:r>
      <w:r w:rsidR="00A25FC9" w:rsidRPr="00734A50">
        <w:t xml:space="preserve"> the following types of information</w:t>
      </w:r>
      <w:r w:rsidR="00D94000" w:rsidRPr="00734A50">
        <w:t xml:space="preserve">. </w:t>
      </w:r>
    </w:p>
    <w:p w14:paraId="203D4207" w14:textId="0ECA176E" w:rsidR="00FB13C5" w:rsidRPr="00734A50" w:rsidRDefault="002C53FB" w:rsidP="00A36740">
      <w:pPr>
        <w:pStyle w:val="Heading3"/>
      </w:pPr>
      <w:bookmarkStart w:id="134" w:name="_Toc139366692"/>
      <w:r w:rsidRPr="00734A50">
        <w:t>S</w:t>
      </w:r>
      <w:r w:rsidR="002A4BFB">
        <w:t>trengthening provider-school partnerships</w:t>
      </w:r>
      <w:r w:rsidRPr="00734A50">
        <w:t xml:space="preserve"> </w:t>
      </w:r>
      <w:r w:rsidR="00006BFA">
        <w:br/>
      </w:r>
      <w:r w:rsidRPr="00734A50">
        <w:t>(P</w:t>
      </w:r>
      <w:r w:rsidR="005868F5">
        <w:t>rogram Standard 5.1</w:t>
      </w:r>
      <w:r w:rsidRPr="00734A50">
        <w:t>)</w:t>
      </w:r>
      <w:bookmarkEnd w:id="134"/>
    </w:p>
    <w:p w14:paraId="691AC04F" w14:textId="0B58C5E4" w:rsidR="00FB13C5" w:rsidRPr="00734A50" w:rsidRDefault="00481231" w:rsidP="00FB13C5">
      <w:r w:rsidRPr="00734A50">
        <w:t>Quality</w:t>
      </w:r>
      <w:r w:rsidR="5395FAD1" w:rsidRPr="00734A50">
        <w:t xml:space="preserve"> partnerships between </w:t>
      </w:r>
      <w:r w:rsidRPr="00734A50">
        <w:t xml:space="preserve">higher education providers and schools is </w:t>
      </w:r>
      <w:r w:rsidR="5395FAD1" w:rsidRPr="00734A50">
        <w:t>the crucial factor for enabling high-quality practical experience placements (</w:t>
      </w:r>
      <w:r w:rsidRPr="00734A50">
        <w:t>ACDE submission).</w:t>
      </w:r>
      <w:r w:rsidR="5395FAD1" w:rsidRPr="00734A50">
        <w:t xml:space="preserve"> AITSL has developed a partnership agreement template for higher education providers and schools. This covers the purpose, scope, implementation, roles and responsibilities, time</w:t>
      </w:r>
      <w:r w:rsidR="00454A26" w:rsidRPr="00734A50">
        <w:t xml:space="preserve"> </w:t>
      </w:r>
      <w:r w:rsidR="5395FAD1" w:rsidRPr="00734A50">
        <w:t xml:space="preserve">frame and review of the agreement. </w:t>
      </w:r>
    </w:p>
    <w:p w14:paraId="425098A0" w14:textId="73C20D29" w:rsidR="00FB13C5" w:rsidRPr="00734A50" w:rsidRDefault="5395FAD1" w:rsidP="00FB13C5">
      <w:pPr>
        <w:spacing w:after="0"/>
      </w:pPr>
      <w:r w:rsidRPr="00734A50">
        <w:t>However, the template does not provide clear advice about what should be included in these agreements consistent with delivering high-quality practical experience. This can lead to greater variability in quality and additional administrati</w:t>
      </w:r>
      <w:r w:rsidR="00637391" w:rsidRPr="00734A50">
        <w:t>ve</w:t>
      </w:r>
      <w:r w:rsidRPr="00734A50">
        <w:t xml:space="preserve"> complexity. The Panel recommends more comprehensive and specific information is provided on what formal partnerships should include, such as: </w:t>
      </w:r>
    </w:p>
    <w:p w14:paraId="28FC0A9E" w14:textId="29367AB6" w:rsidR="00FB13C5" w:rsidRPr="00734A50" w:rsidRDefault="5395FAD1" w:rsidP="00E314CB">
      <w:pPr>
        <w:pStyle w:val="ListBullet"/>
        <w:numPr>
          <w:ilvl w:val="0"/>
          <w:numId w:val="216"/>
        </w:numPr>
        <w:spacing w:after="200"/>
        <w:ind w:left="357" w:hanging="357"/>
      </w:pPr>
      <w:r w:rsidRPr="00734A50">
        <w:t xml:space="preserve">placement details, including number, objectives, focus descriptors in the Graduate </w:t>
      </w:r>
      <w:r w:rsidR="00637391" w:rsidRPr="00734A50">
        <w:t>Teacher S</w:t>
      </w:r>
      <w:r w:rsidRPr="00734A50">
        <w:t>tandards, timing, length, sequencing/structure, intensity and diversity</w:t>
      </w:r>
    </w:p>
    <w:p w14:paraId="683016BA" w14:textId="28A9938B" w:rsidR="00FB13C5" w:rsidRPr="00734A50" w:rsidRDefault="5395FAD1" w:rsidP="00E314CB">
      <w:pPr>
        <w:pStyle w:val="ListBullet"/>
        <w:numPr>
          <w:ilvl w:val="0"/>
          <w:numId w:val="216"/>
        </w:numPr>
        <w:spacing w:after="200"/>
        <w:ind w:left="357" w:hanging="357"/>
      </w:pPr>
      <w:r w:rsidRPr="00734A50">
        <w:t>duties and responsibilities, beyond broad roles</w:t>
      </w:r>
    </w:p>
    <w:p w14:paraId="17E4DAC7" w14:textId="3612F3D5" w:rsidR="00FB13C5" w:rsidRPr="00734A50" w:rsidRDefault="5395FAD1" w:rsidP="00E314CB">
      <w:pPr>
        <w:pStyle w:val="ListBullet"/>
        <w:numPr>
          <w:ilvl w:val="0"/>
          <w:numId w:val="216"/>
        </w:numPr>
        <w:spacing w:after="200"/>
        <w:ind w:left="357" w:hanging="357"/>
      </w:pPr>
      <w:r w:rsidRPr="00734A50">
        <w:t xml:space="preserve">an explicit approach to integrating theory and practice through the placement and broader collaboration between the </w:t>
      </w:r>
      <w:r w:rsidR="00CD74E2">
        <w:t xml:space="preserve">higher education </w:t>
      </w:r>
      <w:r w:rsidRPr="00734A50">
        <w:t>provider and school</w:t>
      </w:r>
    </w:p>
    <w:p w14:paraId="41A9CBC6" w14:textId="202AF16B" w:rsidR="00FB13C5" w:rsidRPr="00734A50" w:rsidRDefault="5395FAD1" w:rsidP="00E314CB">
      <w:pPr>
        <w:pStyle w:val="ListBullet"/>
        <w:numPr>
          <w:ilvl w:val="0"/>
          <w:numId w:val="216"/>
        </w:numPr>
        <w:spacing w:after="200"/>
        <w:ind w:left="357" w:hanging="357"/>
      </w:pPr>
      <w:r w:rsidRPr="00734A50">
        <w:t>a self-assessment and monitoring tool to ensure that the partnership delivers on its objectives (e.g. Victorian Framework for Excellent Partnerships).</w:t>
      </w:r>
    </w:p>
    <w:p w14:paraId="29FB4FB6" w14:textId="7DBEE7AD" w:rsidR="00FB13C5" w:rsidRPr="00734A50" w:rsidRDefault="00B912F9" w:rsidP="00A36740">
      <w:pPr>
        <w:pStyle w:val="Heading3"/>
      </w:pPr>
      <w:bookmarkStart w:id="135" w:name="_Toc139366693"/>
      <w:r w:rsidRPr="00734A50">
        <w:t>B</w:t>
      </w:r>
      <w:r w:rsidR="005868F5">
        <w:t>est practice placement components (Program Standard 5.2)</w:t>
      </w:r>
      <w:bookmarkEnd w:id="135"/>
      <w:r w:rsidR="005868F5">
        <w:t xml:space="preserve"> </w:t>
      </w:r>
    </w:p>
    <w:p w14:paraId="292DB85C" w14:textId="02F46AE8" w:rsidR="00FB13C5" w:rsidRPr="00734A50" w:rsidRDefault="5395FAD1" w:rsidP="3F63CD19">
      <w:pPr>
        <w:spacing w:after="0"/>
      </w:pPr>
      <w:r w:rsidRPr="00734A50">
        <w:t xml:space="preserve">The only specificity currently provided in Program Standard 5 is the number of practical experience days. The national </w:t>
      </w:r>
      <w:r w:rsidR="00B11B33" w:rsidRPr="00734A50">
        <w:t>guidelines</w:t>
      </w:r>
      <w:r w:rsidRPr="00734A50">
        <w:t xml:space="preserve"> should set out key considerations and the evidence base for different design and delivery features to ensure practical experience is aligned with available evidence and more nationally consistent. Features </w:t>
      </w:r>
      <w:r w:rsidR="000A58C7">
        <w:t>should</w:t>
      </w:r>
      <w:r w:rsidRPr="00734A50">
        <w:t xml:space="preserve"> include:</w:t>
      </w:r>
    </w:p>
    <w:p w14:paraId="5A066096" w14:textId="28A9938B" w:rsidR="00FB13C5" w:rsidRPr="00734A50" w:rsidRDefault="2267F43F" w:rsidP="00E314CB">
      <w:pPr>
        <w:pStyle w:val="ListBullet"/>
        <w:numPr>
          <w:ilvl w:val="0"/>
          <w:numId w:val="216"/>
        </w:numPr>
        <w:spacing w:after="200"/>
        <w:ind w:left="357" w:hanging="357"/>
      </w:pPr>
      <w:r w:rsidRPr="00734A50">
        <w:t>number and length of placements</w:t>
      </w:r>
    </w:p>
    <w:p w14:paraId="41B4390D" w14:textId="28A9938B" w:rsidR="00FB13C5" w:rsidRPr="00734A50" w:rsidRDefault="2267F43F" w:rsidP="00E314CB">
      <w:pPr>
        <w:pStyle w:val="ListBullet"/>
        <w:numPr>
          <w:ilvl w:val="0"/>
          <w:numId w:val="216"/>
        </w:numPr>
        <w:spacing w:after="200"/>
        <w:ind w:left="357" w:hanging="357"/>
      </w:pPr>
      <w:r w:rsidRPr="00734A50">
        <w:t>structure and sequence of placements</w:t>
      </w:r>
    </w:p>
    <w:p w14:paraId="39FD8A67" w14:textId="28A9938B" w:rsidR="00FB13C5" w:rsidRPr="00734A50" w:rsidRDefault="2267F43F" w:rsidP="00E314CB">
      <w:pPr>
        <w:pStyle w:val="ListBullet"/>
        <w:numPr>
          <w:ilvl w:val="0"/>
          <w:numId w:val="216"/>
        </w:numPr>
        <w:spacing w:after="200"/>
        <w:ind w:left="357" w:hanging="357"/>
      </w:pPr>
      <w:r w:rsidRPr="00734A50">
        <w:t>diversity of experience.</w:t>
      </w:r>
    </w:p>
    <w:p w14:paraId="4EB373B9" w14:textId="2A0E5902" w:rsidR="00FB13C5" w:rsidRPr="00734A50" w:rsidRDefault="5395FAD1" w:rsidP="00FB13C5">
      <w:r w:rsidRPr="00734A50">
        <w:t xml:space="preserve">These considerations should build on existing resources, to ensure consistent expectations across the system. For example, AITSL has previously published research on the evidence base for high-quality practical experience. The Network of Associate Deans of Professional Experience (NADPE) Steering Committee for ACDE advocates for a common language or nomenclature to govern best practice, while still allowing for context differentiation  across states and </w:t>
      </w:r>
      <w:r w:rsidR="00B11B33" w:rsidRPr="00734A50">
        <w:t>territories</w:t>
      </w:r>
      <w:r w:rsidRPr="00734A50">
        <w:t xml:space="preserve"> (</w:t>
      </w:r>
      <w:r w:rsidR="00637391" w:rsidRPr="00734A50">
        <w:t>NADPE Steering Committee for ACDE s</w:t>
      </w:r>
      <w:r w:rsidRPr="00734A50">
        <w:t>ubmission).</w:t>
      </w:r>
    </w:p>
    <w:p w14:paraId="556B6609" w14:textId="39D58812" w:rsidR="00FB13C5" w:rsidRPr="00734A50" w:rsidRDefault="00721810" w:rsidP="00A36740">
      <w:pPr>
        <w:pStyle w:val="Heading3"/>
      </w:pPr>
      <w:bookmarkStart w:id="136" w:name="_Toc139366694"/>
      <w:r w:rsidRPr="00734A50">
        <w:lastRenderedPageBreak/>
        <w:t>B</w:t>
      </w:r>
      <w:r w:rsidR="005868F5">
        <w:t>etter communication (Program Standard 5.3)</w:t>
      </w:r>
      <w:bookmarkEnd w:id="136"/>
    </w:p>
    <w:p w14:paraId="14363B58" w14:textId="34301A3F" w:rsidR="00FB13C5" w:rsidRPr="00734A50" w:rsidRDefault="5395FAD1" w:rsidP="3F63CD19">
      <w:pPr>
        <w:spacing w:after="0"/>
      </w:pPr>
      <w:r w:rsidRPr="00734A50">
        <w:t xml:space="preserve">The Panel’s </w:t>
      </w:r>
      <w:r w:rsidR="005D0048">
        <w:t xml:space="preserve">ITE </w:t>
      </w:r>
      <w:r w:rsidRPr="00734A50">
        <w:t xml:space="preserve">student survey showed that </w:t>
      </w:r>
      <w:r w:rsidR="005D0048">
        <w:t xml:space="preserve">higher education </w:t>
      </w:r>
      <w:r w:rsidRPr="00734A50">
        <w:t>providers can better communicate with ITE students. The national guidance should set out mechanisms and clearer guidance for communication between higher education providers, schools and students, including those relating to:</w:t>
      </w:r>
    </w:p>
    <w:p w14:paraId="7F8F4ACC" w14:textId="28A9938B" w:rsidR="00FB13C5" w:rsidRPr="00734A50" w:rsidRDefault="2267F43F" w:rsidP="00E314CB">
      <w:pPr>
        <w:pStyle w:val="ListBullet"/>
        <w:numPr>
          <w:ilvl w:val="0"/>
          <w:numId w:val="216"/>
        </w:numPr>
        <w:spacing w:after="200"/>
        <w:ind w:left="357" w:hanging="357"/>
      </w:pPr>
      <w:r w:rsidRPr="00734A50">
        <w:t>communicating with ITE students before their placement</w:t>
      </w:r>
    </w:p>
    <w:p w14:paraId="37357E47" w14:textId="28A9938B" w:rsidR="00FB13C5" w:rsidRPr="00734A50" w:rsidRDefault="2267F43F" w:rsidP="00E314CB">
      <w:pPr>
        <w:pStyle w:val="ListBullet"/>
        <w:numPr>
          <w:ilvl w:val="0"/>
          <w:numId w:val="216"/>
        </w:numPr>
        <w:spacing w:after="200"/>
        <w:ind w:left="357" w:hanging="357"/>
      </w:pPr>
      <w:r w:rsidRPr="00734A50">
        <w:t>communicating the skill level required for each placement</w:t>
      </w:r>
    </w:p>
    <w:p w14:paraId="1A3A4189" w14:textId="7854DC9B" w:rsidR="00FB13C5" w:rsidRPr="00734A50" w:rsidRDefault="2267F43F" w:rsidP="00E314CB">
      <w:pPr>
        <w:pStyle w:val="ListBullet"/>
        <w:numPr>
          <w:ilvl w:val="0"/>
          <w:numId w:val="216"/>
        </w:numPr>
        <w:spacing w:after="200"/>
        <w:ind w:left="357" w:hanging="357"/>
      </w:pPr>
      <w:r w:rsidRPr="00734A50">
        <w:t>providers maintaining contact with ITE students during placement</w:t>
      </w:r>
    </w:p>
    <w:p w14:paraId="47F0F325" w14:textId="592EF0D9" w:rsidR="00FB13C5" w:rsidRPr="00734A50" w:rsidRDefault="2267F43F" w:rsidP="00E314CB">
      <w:pPr>
        <w:pStyle w:val="ListBullet"/>
        <w:numPr>
          <w:ilvl w:val="0"/>
          <w:numId w:val="216"/>
        </w:numPr>
        <w:spacing w:after="200"/>
        <w:ind w:left="357" w:hanging="357"/>
      </w:pPr>
      <w:r w:rsidRPr="00734A50">
        <w:t xml:space="preserve">schools </w:t>
      </w:r>
      <w:r w:rsidR="00310061" w:rsidRPr="00734A50">
        <w:t>following up</w:t>
      </w:r>
      <w:r w:rsidRPr="00734A50">
        <w:t xml:space="preserve"> with ITE students after placement</w:t>
      </w:r>
      <w:r w:rsidR="359CC8A0" w:rsidRPr="00734A50">
        <w:t>.</w:t>
      </w:r>
    </w:p>
    <w:p w14:paraId="01ACAC22" w14:textId="010A6FC4" w:rsidR="00FB13C5" w:rsidRPr="00734A50" w:rsidRDefault="00721810" w:rsidP="00A36740">
      <w:pPr>
        <w:pStyle w:val="Heading3"/>
      </w:pPr>
      <w:bookmarkStart w:id="137" w:name="_Toc139366695"/>
      <w:r w:rsidRPr="00734A50">
        <w:t>C</w:t>
      </w:r>
      <w:r w:rsidR="005868F5">
        <w:t>onsistent Assessment (Program Standards 5.4)</w:t>
      </w:r>
      <w:bookmarkEnd w:id="137"/>
    </w:p>
    <w:p w14:paraId="58545816" w14:textId="037960BF" w:rsidR="00FB13C5" w:rsidRPr="00734A50" w:rsidRDefault="5395FAD1" w:rsidP="3F63CD19">
      <w:pPr>
        <w:spacing w:after="0"/>
      </w:pPr>
      <w:r w:rsidRPr="00734A50">
        <w:t xml:space="preserve">There is currently no nationally consistent way of assessing </w:t>
      </w:r>
      <w:r w:rsidR="00E74EEB">
        <w:t xml:space="preserve">ITE </w:t>
      </w:r>
      <w:r w:rsidRPr="00734A50">
        <w:t>students against the Graduate Teacher Standards, which leads to variation in student experiences and additional administrati</w:t>
      </w:r>
      <w:r w:rsidR="00637391" w:rsidRPr="00734A50">
        <w:t>ve</w:t>
      </w:r>
      <w:r w:rsidRPr="00734A50">
        <w:t xml:space="preserve"> burden for school</w:t>
      </w:r>
      <w:r w:rsidR="00E74EEB">
        <w:t>s</w:t>
      </w:r>
      <w:r w:rsidRPr="00734A50">
        <w:t>. The national guidance should set out more specific information to support high-quality assessment, including:</w:t>
      </w:r>
    </w:p>
    <w:p w14:paraId="36C425A1" w14:textId="70AA112E" w:rsidR="00FB13C5" w:rsidRPr="00734A50" w:rsidRDefault="2267F43F" w:rsidP="00E314CB">
      <w:pPr>
        <w:pStyle w:val="ListBullet"/>
        <w:numPr>
          <w:ilvl w:val="0"/>
          <w:numId w:val="216"/>
        </w:numPr>
        <w:spacing w:after="200"/>
        <w:ind w:left="357" w:hanging="357"/>
      </w:pPr>
      <w:r w:rsidRPr="00734A50">
        <w:t xml:space="preserve">an assessment template for schools to consistently assess ITE students (such as those currently used in Queensland and by the Victorian Department of Education in </w:t>
      </w:r>
      <w:r w:rsidR="567BE292" w:rsidRPr="00734A50">
        <w:t xml:space="preserve">its </w:t>
      </w:r>
      <w:r w:rsidRPr="00734A50">
        <w:t>MOU)</w:t>
      </w:r>
    </w:p>
    <w:p w14:paraId="1DE44F9B" w14:textId="177019BF" w:rsidR="00FB13C5" w:rsidRPr="00734A50" w:rsidRDefault="2267F43F" w:rsidP="00E314CB">
      <w:pPr>
        <w:pStyle w:val="ListBullet"/>
        <w:numPr>
          <w:ilvl w:val="0"/>
          <w:numId w:val="216"/>
        </w:numPr>
        <w:spacing w:after="200"/>
        <w:ind w:left="357" w:hanging="357"/>
      </w:pPr>
      <w:r w:rsidRPr="00734A50">
        <w:t>an evidence guide that aligns ITE student practices with the achievement of specific descriptors in the Graduate Teacher Standards, similar to what is currently provided in NSW</w:t>
      </w:r>
      <w:r w:rsidR="567BE292" w:rsidRPr="00734A50">
        <w:t xml:space="preserve"> </w:t>
      </w:r>
    </w:p>
    <w:p w14:paraId="5ACEB709" w14:textId="28A9938B" w:rsidR="00FB13C5" w:rsidRPr="00734A50" w:rsidRDefault="2267F43F" w:rsidP="00E314CB">
      <w:pPr>
        <w:pStyle w:val="ListBullet"/>
        <w:numPr>
          <w:ilvl w:val="0"/>
          <w:numId w:val="216"/>
        </w:numPr>
        <w:spacing w:after="200"/>
        <w:ind w:left="357" w:hanging="357"/>
      </w:pPr>
      <w:r w:rsidRPr="00734A50">
        <w:t>the interaction of practical experience assessment with TPA requirements.</w:t>
      </w:r>
    </w:p>
    <w:p w14:paraId="4750CA48" w14:textId="0B3A55E6" w:rsidR="00FB13C5" w:rsidRPr="00734A50" w:rsidRDefault="00721810" w:rsidP="00A36740">
      <w:pPr>
        <w:pStyle w:val="Heading3"/>
      </w:pPr>
      <w:bookmarkStart w:id="138" w:name="_Toc139366696"/>
      <w:r w:rsidRPr="00734A50">
        <w:t>G</w:t>
      </w:r>
      <w:r w:rsidR="005868F5">
        <w:t>reater support for teachers (Program Standards 5.5)</w:t>
      </w:r>
      <w:bookmarkEnd w:id="138"/>
    </w:p>
    <w:p w14:paraId="0D65B2E9" w14:textId="5B37CDC5" w:rsidR="00A56A37" w:rsidRPr="00734A50" w:rsidRDefault="5395FAD1" w:rsidP="00E07570">
      <w:r w:rsidRPr="00734A50">
        <w:t xml:space="preserve">AITSL is currently developing standards for mentoring early career teachers as part of the </w:t>
      </w:r>
      <w:r w:rsidR="004E4E9D" w:rsidRPr="00734A50">
        <w:t>NTWAP</w:t>
      </w:r>
      <w:r w:rsidRPr="00734A50">
        <w:t xml:space="preserve">. The development of the mentoring standards should consider its application for mentoring ITE students and be included in the proposed national </w:t>
      </w:r>
      <w:r w:rsidR="00F46704" w:rsidRPr="00734A50">
        <w:t>guidelines</w:t>
      </w:r>
      <w:r w:rsidRPr="00734A50">
        <w:t xml:space="preserve">. </w:t>
      </w:r>
      <w:r w:rsidR="00A5048D" w:rsidRPr="00734A50">
        <w:t xml:space="preserve">This </w:t>
      </w:r>
      <w:r w:rsidR="005F2348" w:rsidRPr="00734A50">
        <w:t xml:space="preserve">should include </w:t>
      </w:r>
      <w:r w:rsidR="00CF130C" w:rsidRPr="00734A50">
        <w:t xml:space="preserve">consideration of how to coach </w:t>
      </w:r>
      <w:r w:rsidR="00F71F9F" w:rsidRPr="00734A50">
        <w:t xml:space="preserve">ITE students to teach the core content. </w:t>
      </w:r>
      <w:r w:rsidRPr="00734A50">
        <w:t xml:space="preserve">This would help to boost the capability of teachers to support students during their ITE placement. </w:t>
      </w:r>
    </w:p>
    <w:p w14:paraId="58AAB387" w14:textId="27B62EC4" w:rsidR="00BF4715" w:rsidRPr="00734A50" w:rsidRDefault="00BF4715">
      <w:pPr>
        <w:spacing w:after="160" w:line="259" w:lineRule="auto"/>
      </w:pPr>
      <w:r w:rsidRPr="00734A50">
        <w:br w:type="page"/>
      </w:r>
    </w:p>
    <w:p w14:paraId="132CDE30" w14:textId="0C01AA33" w:rsidR="00BF4715" w:rsidRPr="00734A50" w:rsidRDefault="007B61EB" w:rsidP="00A36740">
      <w:pPr>
        <w:pStyle w:val="Heading1"/>
        <w:rPr>
          <w:sz w:val="36"/>
          <w:szCs w:val="26"/>
        </w:rPr>
      </w:pPr>
      <w:bookmarkStart w:id="139" w:name="_Toc139366697"/>
      <w:r w:rsidRPr="00734A50">
        <w:lastRenderedPageBreak/>
        <w:t>A</w:t>
      </w:r>
      <w:r w:rsidR="00DB195F">
        <w:t>cknowledgements</w:t>
      </w:r>
      <w:bookmarkEnd w:id="139"/>
    </w:p>
    <w:p w14:paraId="439F93C2" w14:textId="0F31BA62" w:rsidR="00162D57" w:rsidRPr="00734A50" w:rsidRDefault="00162D57" w:rsidP="00162D57">
      <w:r w:rsidRPr="00734A50">
        <w:t>First, we extend our gratitude to the 115 individuals and organisations who took the time to respond to the Panel’s Discussion Paper, the ITE students who participated in our survey and the many stakeholders who made themselves available through meetings and focus groups to share their insights with us.</w:t>
      </w:r>
    </w:p>
    <w:p w14:paraId="44D45720" w14:textId="42BA5CB8" w:rsidR="00162D57" w:rsidRPr="00734A50" w:rsidRDefault="00162D57" w:rsidP="00162D57">
      <w:r w:rsidRPr="00734A50">
        <w:t>We thank the Secretariat from the Australian Government Department of Education</w:t>
      </w:r>
      <w:r w:rsidR="000A13E1" w:rsidRPr="00734A50">
        <w:t xml:space="preserve">, led by </w:t>
      </w:r>
      <w:r w:rsidR="008400D6" w:rsidRPr="00734A50">
        <w:t>Dr</w:t>
      </w:r>
      <w:r w:rsidR="007B61EB">
        <w:t> </w:t>
      </w:r>
      <w:r w:rsidR="000A13E1" w:rsidRPr="00734A50">
        <w:t>Anthony Flint,</w:t>
      </w:r>
      <w:r w:rsidRPr="00734A50">
        <w:t xml:space="preserve"> for its excellent support. The Secretariat provided high-quality organisation and logistical support to the Panel, coordinated and commissioned essential research</w:t>
      </w:r>
      <w:r w:rsidR="00754949" w:rsidRPr="00734A50">
        <w:t>,</w:t>
      </w:r>
      <w:r w:rsidRPr="00734A50">
        <w:t xml:space="preserve"> and </w:t>
      </w:r>
      <w:r w:rsidR="00754949" w:rsidRPr="00734A50">
        <w:t>was</w:t>
      </w:r>
      <w:r w:rsidRPr="00734A50">
        <w:t xml:space="preserve"> a critical factor in the successful delivery of the Panel’s report.</w:t>
      </w:r>
    </w:p>
    <w:p w14:paraId="7A355A08" w14:textId="57E0C4D7" w:rsidR="000A13E1" w:rsidRPr="00734A50" w:rsidRDefault="003A609C" w:rsidP="00162D57">
      <w:r w:rsidRPr="00734A50">
        <w:t>We extend our gratitude</w:t>
      </w:r>
      <w:r w:rsidR="000A13E1" w:rsidRPr="00734A50">
        <w:t xml:space="preserve"> to </w:t>
      </w:r>
      <w:r w:rsidR="008400D6" w:rsidRPr="00734A50">
        <w:t>Ms</w:t>
      </w:r>
      <w:r w:rsidR="000A13E1" w:rsidRPr="00734A50">
        <w:t xml:space="preserve"> Gabi Carrigan</w:t>
      </w:r>
      <w:r w:rsidR="008B3961">
        <w:t>, who,</w:t>
      </w:r>
      <w:r w:rsidR="00272BAE" w:rsidRPr="00734A50">
        <w:t xml:space="preserve"> </w:t>
      </w:r>
      <w:r w:rsidR="00765928" w:rsidRPr="00734A50">
        <w:t xml:space="preserve">in </w:t>
      </w:r>
      <w:r w:rsidR="00272BAE" w:rsidRPr="00734A50">
        <w:t xml:space="preserve">supporting the Chair </w:t>
      </w:r>
      <w:r w:rsidR="00765928" w:rsidRPr="00734A50">
        <w:t>of the Panel</w:t>
      </w:r>
      <w:r w:rsidR="00754949" w:rsidRPr="00734A50">
        <w:t>,</w:t>
      </w:r>
      <w:r w:rsidR="000A13E1" w:rsidRPr="00734A50">
        <w:t xml:space="preserve"> </w:t>
      </w:r>
      <w:r w:rsidR="008D4720" w:rsidRPr="00734A50">
        <w:t>played a key role in shaping the report</w:t>
      </w:r>
      <w:r w:rsidR="000A13E1" w:rsidRPr="00734A50">
        <w:t xml:space="preserve"> </w:t>
      </w:r>
      <w:r w:rsidR="009027C0">
        <w:t>and</w:t>
      </w:r>
      <w:r w:rsidR="000A13E1" w:rsidRPr="00734A50">
        <w:t xml:space="preserve"> work</w:t>
      </w:r>
      <w:r w:rsidR="008D4720" w:rsidRPr="00734A50">
        <w:t>ing</w:t>
      </w:r>
      <w:r w:rsidR="000A13E1" w:rsidRPr="00734A50">
        <w:t xml:space="preserve"> </w:t>
      </w:r>
      <w:r w:rsidRPr="00734A50">
        <w:t>tirelessly</w:t>
      </w:r>
      <w:r w:rsidR="000A13E1" w:rsidRPr="00734A50">
        <w:t xml:space="preserve"> with the Panel</w:t>
      </w:r>
      <w:r w:rsidRPr="00734A50">
        <w:t xml:space="preserve">, </w:t>
      </w:r>
      <w:r w:rsidR="000A13E1" w:rsidRPr="00734A50">
        <w:t xml:space="preserve">Secretariat </w:t>
      </w:r>
      <w:r w:rsidR="00564FEA" w:rsidRPr="00734A50">
        <w:t>and key stakeholders</w:t>
      </w:r>
      <w:r w:rsidR="008D4720" w:rsidRPr="00734A50">
        <w:t>.</w:t>
      </w:r>
    </w:p>
    <w:p w14:paraId="211F5153" w14:textId="77777777" w:rsidR="00162D57" w:rsidRPr="00734A50" w:rsidRDefault="00162D57" w:rsidP="002A60F9">
      <w:pPr>
        <w:spacing w:after="0"/>
      </w:pPr>
      <w:r w:rsidRPr="00734A50">
        <w:t>We express our appreciation to the consultants and organisations who provided valuable research, data and input for the Panel’s consideration, including:</w:t>
      </w:r>
    </w:p>
    <w:p w14:paraId="497FA9CE" w14:textId="1206C142" w:rsidR="00162D57" w:rsidRPr="00734A50" w:rsidRDefault="710D5FC8" w:rsidP="00E314CB">
      <w:pPr>
        <w:pStyle w:val="ListBullet"/>
        <w:numPr>
          <w:ilvl w:val="0"/>
          <w:numId w:val="216"/>
        </w:numPr>
        <w:spacing w:after="200"/>
        <w:ind w:left="357" w:hanging="357"/>
      </w:pPr>
      <w:r w:rsidRPr="00734A50">
        <w:t>the Australian Education Research Organisation (AERO)</w:t>
      </w:r>
      <w:r w:rsidR="2A10FFC9" w:rsidRPr="00734A50">
        <w:t>,</w:t>
      </w:r>
      <w:r w:rsidRPr="00734A50">
        <w:t xml:space="preserve"> who reviewed and synthesised the most rigorous and relevant evidence-based practices in education from meta-analyses, systematic reviews, and literature reviews</w:t>
      </w:r>
    </w:p>
    <w:p w14:paraId="41A216B5" w14:textId="5B94D118" w:rsidR="00162D57" w:rsidRPr="00734A50" w:rsidRDefault="710D5FC8" w:rsidP="00E314CB">
      <w:pPr>
        <w:pStyle w:val="ListBullet"/>
        <w:numPr>
          <w:ilvl w:val="0"/>
          <w:numId w:val="216"/>
        </w:numPr>
        <w:spacing w:after="200"/>
        <w:ind w:left="357" w:hanging="357"/>
      </w:pPr>
      <w:r w:rsidRPr="00734A50">
        <w:t>the Behavioural Economics Team of the Australian Government (BETA)</w:t>
      </w:r>
      <w:r w:rsidR="2A10FFC9" w:rsidRPr="00734A50">
        <w:t>,</w:t>
      </w:r>
      <w:r w:rsidRPr="00734A50">
        <w:t xml:space="preserve"> who supported the development of nationally consistent, transparent indicators by assisting with the ITE student survey design and review of relevant information</w:t>
      </w:r>
    </w:p>
    <w:p w14:paraId="024DF38D" w14:textId="1EBA3F82" w:rsidR="00162D57" w:rsidRPr="00734A50" w:rsidRDefault="710D5FC8" w:rsidP="00E314CB">
      <w:pPr>
        <w:pStyle w:val="ListBullet"/>
        <w:numPr>
          <w:ilvl w:val="0"/>
          <w:numId w:val="216"/>
        </w:numPr>
        <w:spacing w:after="200"/>
        <w:ind w:left="357" w:hanging="357"/>
      </w:pPr>
      <w:r w:rsidRPr="00734A50">
        <w:t xml:space="preserve">the Australian Catholic </w:t>
      </w:r>
      <w:r w:rsidR="00162D57" w:rsidRPr="00734A50">
        <w:t>University</w:t>
      </w:r>
      <w:r w:rsidR="00345120" w:rsidRPr="00734A50">
        <w:t>’ Institute of Learning Sciences and Teacher Education</w:t>
      </w:r>
      <w:r w:rsidR="7AA623DE" w:rsidRPr="00734A50">
        <w:t>,</w:t>
      </w:r>
      <w:r w:rsidRPr="00734A50">
        <w:t xml:space="preserve"> who explored how the performance of ITE programs could be measured</w:t>
      </w:r>
    </w:p>
    <w:p w14:paraId="20316B5C" w14:textId="738585CE" w:rsidR="00345120" w:rsidRPr="00734A50" w:rsidRDefault="710D5FC8" w:rsidP="00E314CB">
      <w:pPr>
        <w:pStyle w:val="ListBullet"/>
        <w:numPr>
          <w:ilvl w:val="0"/>
          <w:numId w:val="216"/>
        </w:numPr>
        <w:spacing w:after="200"/>
        <w:ind w:left="357" w:hanging="357"/>
      </w:pPr>
      <w:r w:rsidRPr="00734A50">
        <w:t>dandolopartners</w:t>
      </w:r>
      <w:r w:rsidR="2A10FFC9" w:rsidRPr="00734A50">
        <w:t>,</w:t>
      </w:r>
      <w:r w:rsidRPr="00734A50">
        <w:t xml:space="preserve"> who reviewed existing literature and undertook stakeholder consultation to inform the Panel’s thinking about the challenges in delivering high-quality practical experience and mid-career entrant programs</w:t>
      </w:r>
    </w:p>
    <w:p w14:paraId="2464D520" w14:textId="64EC58F9" w:rsidR="00162D57" w:rsidRPr="00734A50" w:rsidRDefault="39F6F8DF" w:rsidP="00162D57">
      <w:pPr>
        <w:pStyle w:val="ListBullet"/>
        <w:numPr>
          <w:ilvl w:val="0"/>
          <w:numId w:val="216"/>
        </w:numPr>
        <w:spacing w:after="200"/>
        <w:ind w:left="357" w:hanging="357"/>
      </w:pPr>
      <w:r w:rsidRPr="00734A50">
        <w:t xml:space="preserve">the Social Research Centre, who </w:t>
      </w:r>
      <w:r w:rsidR="00AF725E" w:rsidRPr="00734A50">
        <w:t>examined what beginning teachers report as key gaps in ITE programs to effectively prepare ITE students to work as teachers.</w:t>
      </w:r>
    </w:p>
    <w:p w14:paraId="58F0B533" w14:textId="1097ECA2" w:rsidR="00E2552E" w:rsidRPr="00734A50" w:rsidRDefault="00E2552E">
      <w:pPr>
        <w:spacing w:after="160" w:line="259" w:lineRule="auto"/>
      </w:pPr>
      <w:r w:rsidRPr="00734A50">
        <w:br w:type="page"/>
      </w:r>
    </w:p>
    <w:p w14:paraId="5C663F3A" w14:textId="77777777" w:rsidR="00952154" w:rsidRPr="00734A50" w:rsidRDefault="00952154" w:rsidP="00A36740">
      <w:pPr>
        <w:pStyle w:val="Heading1"/>
        <w:rPr>
          <w:rFonts w:asciiTheme="majorHAnsi" w:eastAsiaTheme="majorEastAsia" w:hAnsiTheme="majorHAnsi" w:cstheme="majorBidi"/>
        </w:rPr>
      </w:pPr>
      <w:bookmarkStart w:id="140" w:name="_Toc139366698"/>
      <w:r w:rsidRPr="00734A50">
        <w:lastRenderedPageBreak/>
        <w:t>References</w:t>
      </w:r>
      <w:bookmarkEnd w:id="140"/>
    </w:p>
    <w:p w14:paraId="0D8215BD" w14:textId="4E9CD286" w:rsidR="00153A14" w:rsidRPr="00734A50" w:rsidRDefault="00153A14"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Australian Institute for Teaching and School Leadership (2021) ‘Submission to the Quality Initial Teacher Education Review</w:t>
      </w:r>
      <w:r w:rsidR="00C25B94" w:rsidRPr="00734A50">
        <w:rPr>
          <w:rFonts w:asciiTheme="minorHAnsi" w:hAnsiTheme="minorHAnsi" w:cstheme="minorHAnsi"/>
          <w:szCs w:val="22"/>
        </w:rPr>
        <w:t>’</w:t>
      </w:r>
      <w:r w:rsidRPr="00734A50">
        <w:rPr>
          <w:rFonts w:asciiTheme="minorHAnsi" w:hAnsiTheme="minorHAnsi" w:cstheme="minorHAnsi"/>
          <w:szCs w:val="22"/>
        </w:rPr>
        <w:t>.</w:t>
      </w:r>
    </w:p>
    <w:p w14:paraId="30305838" w14:textId="71452CE7" w:rsidR="00647481" w:rsidRPr="00734A50" w:rsidRDefault="00647481" w:rsidP="00647481">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Australian Institute for Teaching and School Leadership (202</w:t>
      </w:r>
      <w:r w:rsidR="009A4BB2" w:rsidRPr="00734A50">
        <w:rPr>
          <w:rFonts w:asciiTheme="minorHAnsi" w:hAnsiTheme="minorHAnsi" w:cstheme="minorHAnsi"/>
          <w:szCs w:val="22"/>
        </w:rPr>
        <w:t>2</w:t>
      </w:r>
      <w:r w:rsidR="00B46609" w:rsidRPr="00734A50">
        <w:rPr>
          <w:rFonts w:asciiTheme="minorHAnsi" w:hAnsiTheme="minorHAnsi" w:cstheme="minorHAnsi"/>
          <w:szCs w:val="22"/>
        </w:rPr>
        <w:t>a</w:t>
      </w:r>
      <w:r w:rsidRPr="00734A50">
        <w:rPr>
          <w:rFonts w:asciiTheme="minorHAnsi" w:hAnsiTheme="minorHAnsi" w:cstheme="minorHAnsi"/>
          <w:szCs w:val="22"/>
        </w:rPr>
        <w:t>) ‘</w:t>
      </w:r>
      <w:r w:rsidR="00F70444" w:rsidRPr="00734A50">
        <w:rPr>
          <w:rFonts w:asciiTheme="minorHAnsi" w:hAnsiTheme="minorHAnsi" w:cstheme="minorHAnsi"/>
          <w:szCs w:val="22"/>
        </w:rPr>
        <w:t xml:space="preserve">Pre-service teacher placements beyond urban settings’, </w:t>
      </w:r>
      <w:r w:rsidR="009A4BB2" w:rsidRPr="00734A50">
        <w:rPr>
          <w:rFonts w:asciiTheme="minorHAnsi" w:hAnsiTheme="minorHAnsi" w:cstheme="minorHAnsi"/>
          <w:szCs w:val="22"/>
        </w:rPr>
        <w:t>Spotlight</w:t>
      </w:r>
      <w:r w:rsidRPr="00734A50">
        <w:rPr>
          <w:rFonts w:asciiTheme="minorHAnsi" w:hAnsiTheme="minorHAnsi" w:cstheme="minorHAnsi"/>
          <w:szCs w:val="22"/>
        </w:rPr>
        <w:t>.</w:t>
      </w:r>
    </w:p>
    <w:p w14:paraId="409F29EF" w14:textId="1FA3FF22" w:rsidR="00B46609" w:rsidRPr="00734A50" w:rsidRDefault="00B46609" w:rsidP="00B46609">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AITSL (2022b) ‘Accreditation of initial teacher education programs in Australia: Standards and Procedures’, Australian Institute for Teaching and School Leadership (AITSL).</w:t>
      </w:r>
    </w:p>
    <w:p w14:paraId="49482303" w14:textId="05D88C0A" w:rsidR="00B932BA" w:rsidRPr="00734A50" w:rsidRDefault="00B932BA"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 xml:space="preserve">Behavioural Economics Team of </w:t>
      </w:r>
      <w:r w:rsidR="00831D68" w:rsidRPr="00734A50">
        <w:rPr>
          <w:rFonts w:asciiTheme="minorHAnsi" w:hAnsiTheme="minorHAnsi" w:cstheme="minorHAnsi"/>
          <w:szCs w:val="22"/>
        </w:rPr>
        <w:t xml:space="preserve">the </w:t>
      </w:r>
      <w:r w:rsidRPr="00734A50">
        <w:rPr>
          <w:rFonts w:asciiTheme="minorHAnsi" w:hAnsiTheme="minorHAnsi" w:cstheme="minorHAnsi"/>
          <w:szCs w:val="22"/>
        </w:rPr>
        <w:t>Australia</w:t>
      </w:r>
      <w:r w:rsidR="00831D68" w:rsidRPr="00734A50">
        <w:rPr>
          <w:rFonts w:asciiTheme="minorHAnsi" w:hAnsiTheme="minorHAnsi" w:cstheme="minorHAnsi"/>
          <w:szCs w:val="22"/>
        </w:rPr>
        <w:t>n Government</w:t>
      </w:r>
      <w:r w:rsidRPr="00734A50">
        <w:rPr>
          <w:rFonts w:asciiTheme="minorHAnsi" w:hAnsiTheme="minorHAnsi" w:cstheme="minorHAnsi"/>
          <w:szCs w:val="22"/>
        </w:rPr>
        <w:t xml:space="preserve"> (2022) ‘Incentivising </w:t>
      </w:r>
      <w:r w:rsidR="00DF31E7" w:rsidRPr="00734A50">
        <w:rPr>
          <w:rFonts w:asciiTheme="minorHAnsi" w:hAnsiTheme="minorHAnsi" w:cstheme="minorHAnsi"/>
          <w:szCs w:val="22"/>
        </w:rPr>
        <w:t>excellence: Attracting high-achieving teaching candidates’.</w:t>
      </w:r>
    </w:p>
    <w:p w14:paraId="1114CBD5" w14:textId="77777777" w:rsidR="008B3961" w:rsidRPr="00734A50" w:rsidRDefault="008B3961" w:rsidP="008B3961">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Dadvand B, Dawborn-Gundlach M, van Driel J and Speldewinde C (2021) ‘Career-changers: Keeping them in the teaching profession’, Melbourne Graduate School of Education, The University of Melbourne.</w:t>
      </w:r>
    </w:p>
    <w:p w14:paraId="0D815DD3" w14:textId="5F810152" w:rsidR="00C00E5C" w:rsidRPr="00734A50" w:rsidRDefault="00C00E5C"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 xml:space="preserve">Darling-Hammond L and Bransford J (eds) (2007) </w:t>
      </w:r>
      <w:r w:rsidR="00126B6E" w:rsidRPr="00734A50">
        <w:rPr>
          <w:rFonts w:asciiTheme="minorHAnsi" w:hAnsiTheme="minorHAnsi" w:cstheme="minorHAnsi"/>
          <w:szCs w:val="22"/>
        </w:rPr>
        <w:t>‘</w:t>
      </w:r>
      <w:r w:rsidRPr="00734A50">
        <w:rPr>
          <w:rFonts w:asciiTheme="minorHAnsi" w:hAnsiTheme="minorHAnsi" w:cstheme="minorHAnsi"/>
          <w:szCs w:val="22"/>
        </w:rPr>
        <w:t>Preparing teachers for a changing world: What teachers should learn and be able to do</w:t>
      </w:r>
      <w:r w:rsidR="00126B6E" w:rsidRPr="00734A50">
        <w:rPr>
          <w:rFonts w:asciiTheme="minorHAnsi" w:hAnsiTheme="minorHAnsi" w:cstheme="minorHAnsi"/>
          <w:szCs w:val="22"/>
        </w:rPr>
        <w:t>’</w:t>
      </w:r>
      <w:r w:rsidRPr="00734A50">
        <w:rPr>
          <w:rFonts w:asciiTheme="minorHAnsi" w:hAnsiTheme="minorHAnsi" w:cstheme="minorHAnsi"/>
          <w:szCs w:val="22"/>
        </w:rPr>
        <w:t>, 1st edition, Jossey-Bass, San Francisco, CA.</w:t>
      </w:r>
    </w:p>
    <w:p w14:paraId="57A0F88D" w14:textId="4F56B83E" w:rsidR="00126B6E" w:rsidRPr="00734A50" w:rsidRDefault="00126B6E"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Darling-Hammond L, Oakes J, Wojcikiewicz SK, Hyler ME, Guha R, Podolsky A, Kini T, Cook-Harvey CM, Jackson Mercer CN and Harrell A (2019), ‘Research brief: Preparing teachers for deeper learning’, Learning Policy Institute, Washington, DC.</w:t>
      </w:r>
    </w:p>
    <w:p w14:paraId="6F9297C5" w14:textId="5D691E06" w:rsidR="000D636A" w:rsidRPr="00734A50" w:rsidRDefault="000D636A" w:rsidP="005C0005">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Hanushek</w:t>
      </w:r>
      <w:r w:rsidR="001C0B08" w:rsidRPr="00734A50">
        <w:rPr>
          <w:rFonts w:asciiTheme="minorHAnsi" w:hAnsiTheme="minorHAnsi" w:cstheme="minorHAnsi"/>
          <w:szCs w:val="22"/>
        </w:rPr>
        <w:t xml:space="preserve"> E A,</w:t>
      </w:r>
      <w:r w:rsidRPr="00734A50">
        <w:rPr>
          <w:rFonts w:asciiTheme="minorHAnsi" w:hAnsiTheme="minorHAnsi" w:cstheme="minorHAnsi"/>
          <w:szCs w:val="22"/>
        </w:rPr>
        <w:t xml:space="preserve"> Piopiunik</w:t>
      </w:r>
      <w:r w:rsidR="001C0B08" w:rsidRPr="00734A50">
        <w:rPr>
          <w:rFonts w:asciiTheme="minorHAnsi" w:hAnsiTheme="minorHAnsi" w:cstheme="minorHAnsi"/>
          <w:szCs w:val="22"/>
        </w:rPr>
        <w:t xml:space="preserve"> M and </w:t>
      </w:r>
      <w:r w:rsidRPr="00734A50">
        <w:rPr>
          <w:rFonts w:asciiTheme="minorHAnsi" w:hAnsiTheme="minorHAnsi" w:cstheme="minorHAnsi"/>
          <w:szCs w:val="22"/>
        </w:rPr>
        <w:t>Wiederhold</w:t>
      </w:r>
      <w:r w:rsidR="001C0B08" w:rsidRPr="00734A50">
        <w:rPr>
          <w:rFonts w:asciiTheme="minorHAnsi" w:hAnsiTheme="minorHAnsi" w:cstheme="minorHAnsi"/>
          <w:szCs w:val="22"/>
        </w:rPr>
        <w:t xml:space="preserve"> S</w:t>
      </w:r>
      <w:r w:rsidRPr="00734A50">
        <w:rPr>
          <w:rFonts w:asciiTheme="minorHAnsi" w:hAnsiTheme="minorHAnsi" w:cstheme="minorHAnsi"/>
          <w:szCs w:val="22"/>
        </w:rPr>
        <w:t xml:space="preserve"> </w:t>
      </w:r>
      <w:r w:rsidR="001C0B08" w:rsidRPr="00734A50">
        <w:rPr>
          <w:rFonts w:asciiTheme="minorHAnsi" w:hAnsiTheme="minorHAnsi" w:cstheme="minorHAnsi"/>
          <w:szCs w:val="22"/>
        </w:rPr>
        <w:t>(</w:t>
      </w:r>
      <w:r w:rsidRPr="00734A50">
        <w:rPr>
          <w:rFonts w:asciiTheme="minorHAnsi" w:hAnsiTheme="minorHAnsi" w:cstheme="minorHAnsi"/>
          <w:szCs w:val="22"/>
        </w:rPr>
        <w:t>2019</w:t>
      </w:r>
      <w:r w:rsidR="001C0B08" w:rsidRPr="00734A50">
        <w:rPr>
          <w:rFonts w:asciiTheme="minorHAnsi" w:hAnsiTheme="minorHAnsi" w:cstheme="minorHAnsi"/>
          <w:szCs w:val="22"/>
        </w:rPr>
        <w:t>)</w:t>
      </w:r>
      <w:r w:rsidRPr="00734A50">
        <w:rPr>
          <w:rFonts w:asciiTheme="minorHAnsi" w:hAnsiTheme="minorHAnsi" w:cstheme="minorHAnsi"/>
          <w:szCs w:val="22"/>
        </w:rPr>
        <w:t xml:space="preserve"> </w:t>
      </w:r>
      <w:r w:rsidR="001C0B08" w:rsidRPr="00734A50">
        <w:rPr>
          <w:rFonts w:asciiTheme="minorHAnsi" w:hAnsiTheme="minorHAnsi" w:cstheme="minorHAnsi"/>
          <w:szCs w:val="22"/>
        </w:rPr>
        <w:t>‘</w:t>
      </w:r>
      <w:hyperlink r:id="rId39" w:history="1">
        <w:r w:rsidRPr="00734A50">
          <w:rPr>
            <w:rFonts w:asciiTheme="minorHAnsi" w:hAnsiTheme="minorHAnsi" w:cstheme="minorHAnsi"/>
            <w:szCs w:val="22"/>
          </w:rPr>
          <w:t>The Value of Smarter Teachers</w:t>
        </w:r>
        <w:r w:rsidR="001C0B08" w:rsidRPr="00734A50">
          <w:rPr>
            <w:rFonts w:asciiTheme="minorHAnsi" w:hAnsiTheme="minorHAnsi" w:cstheme="minorHAnsi"/>
            <w:szCs w:val="22"/>
          </w:rPr>
          <w:t>’</w:t>
        </w:r>
        <w:r w:rsidRPr="00734A50">
          <w:rPr>
            <w:rFonts w:asciiTheme="minorHAnsi" w:hAnsiTheme="minorHAnsi" w:cstheme="minorHAnsi"/>
            <w:szCs w:val="22"/>
          </w:rPr>
          <w:t>,</w:t>
        </w:r>
      </w:hyperlink>
      <w:r w:rsidRPr="00734A50">
        <w:rPr>
          <w:rFonts w:asciiTheme="minorHAnsi" w:hAnsiTheme="minorHAnsi" w:cstheme="minorHAnsi"/>
          <w:szCs w:val="22"/>
        </w:rPr>
        <w:t xml:space="preserve"> Journal of Human Resources, vol 54(4).</w:t>
      </w:r>
    </w:p>
    <w:p w14:paraId="247D0E30" w14:textId="10DC5416" w:rsidR="005C0005" w:rsidRPr="00734A50" w:rsidRDefault="005C0005" w:rsidP="005C0005">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HESP (Higher Education Standards Panel) 2017, Improving Retention, Completion and Success in Higher Education, Final Report.</w:t>
      </w:r>
    </w:p>
    <w:p w14:paraId="433A2B5C" w14:textId="055CE0A6" w:rsidR="002C69B6" w:rsidRPr="00734A50" w:rsidRDefault="002C69B6" w:rsidP="002C69B6">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 xml:space="preserve">Ingersoll RM, Merrill L </w:t>
      </w:r>
      <w:r w:rsidR="00041B4D">
        <w:rPr>
          <w:rFonts w:asciiTheme="minorHAnsi" w:hAnsiTheme="minorHAnsi" w:cstheme="minorHAnsi"/>
          <w:szCs w:val="22"/>
        </w:rPr>
        <w:t>and</w:t>
      </w:r>
      <w:r w:rsidRPr="00734A50">
        <w:rPr>
          <w:rFonts w:asciiTheme="minorHAnsi" w:hAnsiTheme="minorHAnsi" w:cstheme="minorHAnsi"/>
          <w:szCs w:val="22"/>
        </w:rPr>
        <w:t xml:space="preserve"> May H (2014) ‘What are the effects of teacher education and preparation on beginning teacher attrition?’</w:t>
      </w:r>
      <w:r w:rsidR="005773DD">
        <w:rPr>
          <w:rFonts w:asciiTheme="minorHAnsi" w:hAnsiTheme="minorHAnsi" w:cstheme="minorHAnsi"/>
          <w:szCs w:val="22"/>
        </w:rPr>
        <w:t>,</w:t>
      </w:r>
      <w:r w:rsidRPr="00734A50">
        <w:rPr>
          <w:rFonts w:asciiTheme="minorHAnsi" w:hAnsiTheme="minorHAnsi" w:cstheme="minorHAnsi"/>
          <w:szCs w:val="22"/>
        </w:rPr>
        <w:t xml:space="preserve"> Consortium for Policy Research in Education, University of Pennsylvania</w:t>
      </w:r>
      <w:r w:rsidR="005773DD">
        <w:rPr>
          <w:rFonts w:asciiTheme="minorHAnsi" w:hAnsiTheme="minorHAnsi" w:cstheme="minorHAnsi"/>
          <w:szCs w:val="22"/>
        </w:rPr>
        <w:t xml:space="preserve">, </w:t>
      </w:r>
      <w:r w:rsidR="001F1CC0">
        <w:rPr>
          <w:rFonts w:asciiTheme="minorHAnsi" w:hAnsiTheme="minorHAnsi" w:cstheme="minorHAnsi"/>
          <w:szCs w:val="22"/>
        </w:rPr>
        <w:t>Philadelphia</w:t>
      </w:r>
      <w:r w:rsidR="005773DD">
        <w:rPr>
          <w:rFonts w:asciiTheme="minorHAnsi" w:hAnsiTheme="minorHAnsi" w:cstheme="minorHAnsi"/>
          <w:szCs w:val="22"/>
        </w:rPr>
        <w:t>, PA</w:t>
      </w:r>
      <w:r w:rsidRPr="00734A50">
        <w:rPr>
          <w:rFonts w:asciiTheme="minorHAnsi" w:hAnsiTheme="minorHAnsi" w:cstheme="minorHAnsi"/>
          <w:szCs w:val="22"/>
        </w:rPr>
        <w:t>.</w:t>
      </w:r>
    </w:p>
    <w:p w14:paraId="59BB4A9F" w14:textId="3F752ABA" w:rsidR="007F5AD0" w:rsidRPr="00734A50" w:rsidRDefault="007F5AD0"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 xml:space="preserve">Ingvarson L, Kleinhenz E, Khoo ST and Wilkinson J (2007) ‘The VIT Program for supporting provisionally registered </w:t>
      </w:r>
      <w:r w:rsidR="00850BEE" w:rsidRPr="00734A50">
        <w:rPr>
          <w:rFonts w:asciiTheme="minorHAnsi" w:hAnsiTheme="minorHAnsi" w:cstheme="minorHAnsi"/>
          <w:szCs w:val="22"/>
        </w:rPr>
        <w:t>teachers:</w:t>
      </w:r>
      <w:r w:rsidRPr="00734A50">
        <w:rPr>
          <w:rFonts w:asciiTheme="minorHAnsi" w:hAnsiTheme="minorHAnsi" w:cstheme="minorHAnsi"/>
          <w:szCs w:val="22"/>
        </w:rPr>
        <w:t xml:space="preserve"> Evaluation of implementation in 2005’, </w:t>
      </w:r>
      <w:r w:rsidR="00A77845">
        <w:rPr>
          <w:rFonts w:asciiTheme="minorHAnsi" w:hAnsiTheme="minorHAnsi" w:cstheme="minorHAnsi"/>
          <w:szCs w:val="22"/>
        </w:rPr>
        <w:t>Victorian Institute for Teaching</w:t>
      </w:r>
      <w:r w:rsidRPr="00734A50">
        <w:rPr>
          <w:rFonts w:asciiTheme="minorHAnsi" w:hAnsiTheme="minorHAnsi" w:cstheme="minorHAnsi"/>
          <w:szCs w:val="22"/>
        </w:rPr>
        <w:t>.</w:t>
      </w:r>
    </w:p>
    <w:p w14:paraId="5D8B55B7" w14:textId="24B1C51E" w:rsidR="00E07A68" w:rsidRPr="00734A50" w:rsidRDefault="00E07A68"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Ingvarson L, Reid K, Buckley S, Kleinhenz E, Masters G and Rowley G (2014) ‘Best practice teacher education programs and Australia’s own programs’, Department of Education, Canberra.</w:t>
      </w:r>
    </w:p>
    <w:p w14:paraId="4A88DC72" w14:textId="4E71AE5E" w:rsidR="00FB428E" w:rsidRPr="00734A50" w:rsidRDefault="00FB428E" w:rsidP="00465B20">
      <w:pPr>
        <w:pStyle w:val="Bibliography"/>
        <w:spacing w:before="0" w:afterLines="60" w:after="144"/>
        <w:rPr>
          <w:rFonts w:asciiTheme="minorHAnsi" w:hAnsiTheme="minorHAnsi" w:cstheme="minorHAnsi"/>
          <w:szCs w:val="22"/>
        </w:rPr>
      </w:pPr>
      <w:r w:rsidRPr="00734A50">
        <w:rPr>
          <w:rFonts w:asciiTheme="minorHAnsi" w:hAnsiTheme="minorHAnsi" w:cstheme="minorHAnsi"/>
          <w:szCs w:val="22"/>
        </w:rPr>
        <w:t>Mancenido Z (2022) ‘Impact evaluations of teacher preparation practices: Challenges and opportunities for more rigorous research', EdWorkingPaper 22-534.</w:t>
      </w:r>
    </w:p>
    <w:p w14:paraId="4ECAD63D" w14:textId="7A3B266F" w:rsidR="00C9289D" w:rsidRPr="00734A50" w:rsidRDefault="00C9289D" w:rsidP="00E314CB">
      <w:pPr>
        <w:rPr>
          <w:rFonts w:cstheme="minorHAnsi"/>
        </w:rPr>
      </w:pPr>
      <w:r w:rsidRPr="00734A50">
        <w:rPr>
          <w:rFonts w:cstheme="minorHAnsi"/>
        </w:rPr>
        <w:t>Podolsky A, Kini T, Darling-Hammond L.</w:t>
      </w:r>
      <w:r w:rsidR="00100106">
        <w:rPr>
          <w:rFonts w:cstheme="minorHAnsi"/>
        </w:rPr>
        <w:t xml:space="preserve"> and</w:t>
      </w:r>
      <w:r w:rsidRPr="00734A50">
        <w:rPr>
          <w:rFonts w:cstheme="minorHAnsi"/>
        </w:rPr>
        <w:t xml:space="preserve"> Bishop J (2019)</w:t>
      </w:r>
      <w:r w:rsidR="003F137F" w:rsidRPr="00734A50">
        <w:rPr>
          <w:rFonts w:cstheme="minorHAnsi"/>
        </w:rPr>
        <w:t xml:space="preserve"> ‘</w:t>
      </w:r>
      <w:r w:rsidRPr="00734A50">
        <w:rPr>
          <w:rFonts w:cstheme="minorHAnsi"/>
        </w:rPr>
        <w:t>Strategies for attracting and retaining educators: What does the evidence say?</w:t>
      </w:r>
      <w:r w:rsidR="003F137F" w:rsidRPr="00734A50">
        <w:rPr>
          <w:rFonts w:cstheme="minorHAnsi"/>
        </w:rPr>
        <w:t xml:space="preserve">’ </w:t>
      </w:r>
      <w:r w:rsidRPr="00734A50">
        <w:rPr>
          <w:rFonts w:cstheme="minorHAnsi"/>
        </w:rPr>
        <w:t>Education Policy Analysis Archives, 27(38).</w:t>
      </w:r>
    </w:p>
    <w:p w14:paraId="26999FDA" w14:textId="600BB0F7" w:rsidR="00630FD6" w:rsidRPr="00734A50" w:rsidRDefault="00630FD6" w:rsidP="00465B20">
      <w:pPr>
        <w:autoSpaceDE w:val="0"/>
        <w:autoSpaceDN w:val="0"/>
        <w:adjustRightInd w:val="0"/>
        <w:spacing w:afterLines="60" w:after="144"/>
        <w:rPr>
          <w:rFonts w:cstheme="minorHAnsi"/>
        </w:rPr>
      </w:pPr>
      <w:r w:rsidRPr="00734A50">
        <w:rPr>
          <w:rFonts w:eastAsiaTheme="minorEastAsia" w:cstheme="minorHAnsi"/>
        </w:rPr>
        <w:t xml:space="preserve">Productivity Commission (2023) </w:t>
      </w:r>
      <w:r w:rsidR="00150CE4" w:rsidRPr="00734A50">
        <w:rPr>
          <w:rFonts w:eastAsiaTheme="minorEastAsia" w:cstheme="minorHAnsi"/>
        </w:rPr>
        <w:t>'</w:t>
      </w:r>
      <w:r w:rsidR="00150CE4" w:rsidRPr="00734A50">
        <w:rPr>
          <w:rFonts w:cstheme="minorHAnsi"/>
        </w:rPr>
        <w:t>5-year Productivity Inquiry: Advancing Prosperity’, Vol. 1, Inquiry Report no. 100, Canberra</w:t>
      </w:r>
      <w:r w:rsidR="000D3F55" w:rsidRPr="00734A50">
        <w:rPr>
          <w:rFonts w:cstheme="minorHAnsi"/>
        </w:rPr>
        <w:t>.</w:t>
      </w:r>
    </w:p>
    <w:p w14:paraId="70D9481E" w14:textId="4A3E6BCE" w:rsidR="000D3F55" w:rsidRPr="00734A50" w:rsidRDefault="000D3F55" w:rsidP="00465B20">
      <w:pPr>
        <w:autoSpaceDE w:val="0"/>
        <w:autoSpaceDN w:val="0"/>
        <w:adjustRightInd w:val="0"/>
        <w:spacing w:afterLines="60" w:after="144"/>
        <w:rPr>
          <w:rFonts w:eastAsiaTheme="minorEastAsia" w:cstheme="minorHAnsi"/>
        </w:rPr>
      </w:pPr>
      <w:r w:rsidRPr="00734A50">
        <w:lastRenderedPageBreak/>
        <w:t xml:space="preserve">PTR Consulting Pty Ltd (2018) ‘TEMAG Evaluation: </w:t>
      </w:r>
      <w:r w:rsidR="00EF14A5">
        <w:t>S</w:t>
      </w:r>
      <w:r w:rsidRPr="00734A50">
        <w:t>chool-university partnerships’, prepared for the Australian Institute for Teaching and School Leadership, AITSL, Melbourne.</w:t>
      </w:r>
    </w:p>
    <w:p w14:paraId="5B110A0D" w14:textId="57BAA4DC" w:rsidR="000D34CD" w:rsidRPr="00734A50" w:rsidRDefault="00EF14A5" w:rsidP="00465B20">
      <w:pPr>
        <w:spacing w:afterLines="60" w:after="144"/>
        <w:textAlignment w:val="baseline"/>
        <w:rPr>
          <w:rFonts w:eastAsiaTheme="minorEastAsia" w:cstheme="minorHAnsi"/>
          <w:color w:val="000000"/>
          <w:lang w:eastAsia="en-AU"/>
        </w:rPr>
      </w:pPr>
      <w:r>
        <w:rPr>
          <w:rFonts w:eastAsiaTheme="minorEastAsia" w:cstheme="minorHAnsi"/>
          <w:color w:val="000000" w:themeColor="text1"/>
          <w:lang w:eastAsia="en-AU"/>
        </w:rPr>
        <w:t>QITE (2022) Next Steps:Report of the Quality Initial Teacher Education Review.</w:t>
      </w:r>
    </w:p>
    <w:p w14:paraId="5228B752" w14:textId="2E5382C2" w:rsidR="00093AF4" w:rsidRPr="00734A50" w:rsidRDefault="00093AF4" w:rsidP="00465B20">
      <w:pPr>
        <w:spacing w:afterLines="60" w:after="144"/>
        <w:rPr>
          <w:rFonts w:eastAsiaTheme="minorEastAsia" w:cstheme="minorHAnsi"/>
          <w:color w:val="000000"/>
          <w:lang w:eastAsia="en-AU"/>
        </w:rPr>
      </w:pPr>
      <w:r w:rsidRPr="00734A50">
        <w:rPr>
          <w:rFonts w:eastAsiaTheme="minorEastAsia" w:cstheme="minorHAnsi"/>
          <w:color w:val="000000" w:themeColor="text1"/>
          <w:lang w:eastAsia="en-AU"/>
        </w:rPr>
        <w:t>Ronfeldt M (2021) ‘Links Among Teacher Preparation, Retention, and Teaching Effectiveness’, National Academy of Education, Washington</w:t>
      </w:r>
      <w:r w:rsidR="005E31D5">
        <w:rPr>
          <w:rFonts w:eastAsiaTheme="minorEastAsia" w:cstheme="minorHAnsi"/>
          <w:color w:val="000000" w:themeColor="text1"/>
          <w:lang w:eastAsia="en-AU"/>
        </w:rPr>
        <w:t>,</w:t>
      </w:r>
      <w:r w:rsidRPr="00734A50">
        <w:rPr>
          <w:rFonts w:eastAsiaTheme="minorEastAsia" w:cstheme="minorHAnsi"/>
          <w:color w:val="000000" w:themeColor="text1"/>
          <w:lang w:eastAsia="en-AU"/>
        </w:rPr>
        <w:t xml:space="preserve"> DC. </w:t>
      </w:r>
    </w:p>
    <w:p w14:paraId="426BE221" w14:textId="77777777" w:rsidR="00CC5AFF" w:rsidRPr="00734A50" w:rsidRDefault="00CC5AFF" w:rsidP="00465B20">
      <w:pPr>
        <w:autoSpaceDE w:val="0"/>
        <w:autoSpaceDN w:val="0"/>
        <w:adjustRightInd w:val="0"/>
        <w:spacing w:afterLines="60" w:after="144"/>
        <w:rPr>
          <w:rFonts w:eastAsiaTheme="minorEastAsia" w:cstheme="minorHAnsi"/>
        </w:rPr>
      </w:pPr>
      <w:r w:rsidRPr="00734A50">
        <w:rPr>
          <w:rFonts w:eastAsiaTheme="minorEastAsia" w:cstheme="minorHAnsi"/>
        </w:rPr>
        <w:t>TEMAG (2014) ‘Action Now: Classroom Ready Teachers – Report of the Teacher Education Ministerial Advisory Group (TEMAG)’, Australian Government Department of Education.</w:t>
      </w:r>
    </w:p>
    <w:p w14:paraId="3143AA96" w14:textId="77777777" w:rsidR="003D629C" w:rsidRDefault="006D0DF3" w:rsidP="00465B20">
      <w:pPr>
        <w:pStyle w:val="FootnoteText"/>
        <w:spacing w:afterLines="60" w:after="144" w:line="276" w:lineRule="auto"/>
        <w:rPr>
          <w:rFonts w:eastAsiaTheme="minorEastAsia" w:cstheme="minorHAnsi"/>
          <w:sz w:val="22"/>
          <w:szCs w:val="22"/>
        </w:rPr>
      </w:pPr>
      <w:r w:rsidRPr="006D0DF3">
        <w:rPr>
          <w:rFonts w:eastAsiaTheme="minorEastAsia" w:cstheme="minorHAnsi"/>
          <w:sz w:val="22"/>
          <w:szCs w:val="22"/>
        </w:rPr>
        <w:t>Ure C et al (2018) NADPE report: Professional experience in initial teacher education.</w:t>
      </w:r>
    </w:p>
    <w:p w14:paraId="3F4463AC" w14:textId="53925E97" w:rsidR="00D51200" w:rsidRPr="00CF2C25" w:rsidRDefault="00D51200" w:rsidP="00465B20">
      <w:pPr>
        <w:pStyle w:val="FootnoteText"/>
        <w:spacing w:afterLines="60" w:after="144" w:line="276" w:lineRule="auto"/>
        <w:rPr>
          <w:rFonts w:eastAsiaTheme="minorEastAsia" w:cstheme="minorHAnsi"/>
          <w:sz w:val="22"/>
          <w:szCs w:val="22"/>
        </w:rPr>
      </w:pPr>
      <w:r w:rsidRPr="00734A50">
        <w:rPr>
          <w:rFonts w:eastAsiaTheme="minorEastAsia" w:cstheme="minorHAnsi"/>
          <w:sz w:val="22"/>
          <w:szCs w:val="22"/>
        </w:rPr>
        <w:t>Wilson S, Floden R and Ferrini-Mundy J (2002) ‘Teacher preparation research: An insider’s view from the outside’, Journal of Teacher Education 53:190–204.</w:t>
      </w:r>
    </w:p>
    <w:sectPr w:rsidR="00D51200" w:rsidRPr="00CF2C25" w:rsidSect="003A0636">
      <w:headerReference w:type="even" r:id="rId40"/>
      <w:headerReference w:type="default" r:id="rId41"/>
      <w:footerReference w:type="default" r:id="rId42"/>
      <w:headerReference w:type="first" r:id="rId43"/>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ED95" w14:textId="77777777" w:rsidR="00045419" w:rsidRDefault="00045419" w:rsidP="000A6228">
      <w:pPr>
        <w:spacing w:after="0" w:line="240" w:lineRule="auto"/>
      </w:pPr>
      <w:r>
        <w:separator/>
      </w:r>
    </w:p>
  </w:endnote>
  <w:endnote w:type="continuationSeparator" w:id="0">
    <w:p w14:paraId="4689FDFF" w14:textId="77777777" w:rsidR="00045419" w:rsidRDefault="00045419" w:rsidP="000A6228">
      <w:pPr>
        <w:spacing w:after="0" w:line="240" w:lineRule="auto"/>
      </w:pPr>
      <w:r>
        <w:continuationSeparator/>
      </w:r>
    </w:p>
  </w:endnote>
  <w:endnote w:type="continuationNotice" w:id="1">
    <w:p w14:paraId="1765E0E6" w14:textId="77777777" w:rsidR="00045419" w:rsidRDefault="00045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quot;Courier New&quo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Open Sans">
    <w:altName w:val="Segoe UI"/>
    <w:charset w:val="00"/>
    <w:family w:val="swiss"/>
    <w:pitch w:val="variable"/>
    <w:sig w:usb0="E00002EF" w:usb1="4000205B" w:usb2="00000028" w:usb3="00000000" w:csb0="0000019F" w:csb1="00000000"/>
  </w:font>
  <w:font w:name="Montserrat">
    <w:charset w:val="00"/>
    <w:family w:val="auto"/>
    <w:pitch w:val="variable"/>
    <w:sig w:usb0="2000020F" w:usb1="00000003" w:usb2="00000000" w:usb3="00000000" w:csb0="00000197" w:csb1="00000000"/>
  </w:font>
  <w:font w:name="Berlin Sans FB Demi">
    <w:panose1 w:val="020E08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Swiss721BT-Roman">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0A79" w14:textId="77777777" w:rsidR="00B109D1" w:rsidRDefault="00B10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795837"/>
      <w:docPartObj>
        <w:docPartGallery w:val="Page Numbers (Bottom of Page)"/>
        <w:docPartUnique/>
      </w:docPartObj>
    </w:sdtPr>
    <w:sdtEndPr>
      <w:rPr>
        <w:noProof/>
      </w:rPr>
    </w:sdtEndPr>
    <w:sdtContent>
      <w:p w14:paraId="66F7682B" w14:textId="188D59CC" w:rsidR="00AD39D2" w:rsidRDefault="0064270D" w:rsidP="0064270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0A11" w14:textId="77777777" w:rsidR="00B109D1" w:rsidRDefault="00B109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3B2B86CA" w:rsidR="00221D8F" w:rsidRDefault="00221D8F">
    <w:pPr>
      <w:pStyle w:val="Footer"/>
    </w:pPr>
    <w:r>
      <w:t xml:space="preserve">| </w:t>
    </w:r>
    <w:r w:rsidRPr="00AF1F18">
      <w:rPr>
        <w:color w:val="2B579A"/>
        <w:shd w:val="clear" w:color="auto" w:fill="E6E6E6"/>
      </w:rPr>
      <w:fldChar w:fldCharType="begin"/>
    </w:r>
    <w:r w:rsidRPr="00AF1F18">
      <w:instrText xml:space="preserve"> PAGE   \* MERGEFORMAT </w:instrText>
    </w:r>
    <w:r w:rsidRPr="00AF1F18">
      <w:rPr>
        <w:color w:val="2B579A"/>
        <w:shd w:val="clear" w:color="auto" w:fill="E6E6E6"/>
      </w:rPr>
      <w:fldChar w:fldCharType="separate"/>
    </w:r>
    <w:r w:rsidRPr="00AF1F18">
      <w:t>1</w:t>
    </w:r>
    <w:r w:rsidRPr="00AF1F18">
      <w:rPr>
        <w:color w:val="2B579A"/>
        <w:shd w:val="clear" w:color="auto" w:fill="E6E6E6"/>
      </w:rPr>
      <w:fldChar w:fldCharType="end"/>
    </w:r>
    <w:r w:rsidR="00F76C9D">
      <w:rPr>
        <w:noProof/>
        <w:color w:val="2B579A"/>
        <w:shd w:val="clear" w:color="auto" w:fill="E6E6E6"/>
      </w:rPr>
      <w:drawing>
        <wp:anchor distT="0" distB="0" distL="114300" distR="114300" simplePos="0" relativeHeight="251658240" behindDoc="1" locked="1" layoutInCell="1" allowOverlap="1" wp14:anchorId="6A129456" wp14:editId="70D68596">
          <wp:simplePos x="914400" y="10068560"/>
          <wp:positionH relativeFrom="page">
            <wp:align>left</wp:align>
          </wp:positionH>
          <wp:positionV relativeFrom="page">
            <wp:align>bottom</wp:align>
          </wp:positionV>
          <wp:extent cx="7560000" cy="2304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2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A7094" w14:textId="77777777" w:rsidR="00045419" w:rsidRDefault="00045419" w:rsidP="000A6228">
      <w:pPr>
        <w:spacing w:after="0" w:line="240" w:lineRule="auto"/>
      </w:pPr>
      <w:r>
        <w:separator/>
      </w:r>
    </w:p>
  </w:footnote>
  <w:footnote w:type="continuationSeparator" w:id="0">
    <w:p w14:paraId="2EBC24A3" w14:textId="77777777" w:rsidR="00045419" w:rsidRDefault="00045419" w:rsidP="000A6228">
      <w:pPr>
        <w:spacing w:after="0" w:line="240" w:lineRule="auto"/>
      </w:pPr>
      <w:r>
        <w:continuationSeparator/>
      </w:r>
    </w:p>
  </w:footnote>
  <w:footnote w:type="continuationNotice" w:id="1">
    <w:p w14:paraId="73C0A1A5" w14:textId="77777777" w:rsidR="00045419" w:rsidRDefault="00045419">
      <w:pPr>
        <w:spacing w:after="0" w:line="240" w:lineRule="auto"/>
      </w:pPr>
    </w:p>
  </w:footnote>
  <w:footnote w:id="2">
    <w:p w14:paraId="274503FB" w14:textId="1CADC690" w:rsidR="00C45008" w:rsidRDefault="00C45008" w:rsidP="001211F2">
      <w:pPr>
        <w:pStyle w:val="Footnote"/>
      </w:pPr>
      <w:r>
        <w:rPr>
          <w:rStyle w:val="FootnoteReference"/>
        </w:rPr>
        <w:footnoteRef/>
      </w:r>
      <w:r>
        <w:t xml:space="preserve"> Based on Australian Government Department of Education analysis of NAPLAN data</w:t>
      </w:r>
      <w:r w:rsidR="007E0453">
        <w:t xml:space="preserve"> for Year 3 and Year 9 students</w:t>
      </w:r>
    </w:p>
  </w:footnote>
  <w:footnote w:id="3">
    <w:p w14:paraId="1DB68050" w14:textId="2329E907" w:rsidR="00C45008" w:rsidRDefault="00C45008" w:rsidP="00D67B5D">
      <w:pPr>
        <w:pStyle w:val="Footnote"/>
      </w:pPr>
      <w:r>
        <w:rPr>
          <w:rStyle w:val="FootnoteReference"/>
        </w:rPr>
        <w:footnoteRef/>
      </w:r>
      <w:r>
        <w:t xml:space="preserve"> </w:t>
      </w:r>
      <w:r w:rsidRPr="00F3757C">
        <w:t>National Report on Schooling data portal</w:t>
      </w:r>
      <w:r w:rsidR="001D5ACD">
        <w:t>, Australian Curriculum, Assessment and Reporting Authority</w:t>
      </w:r>
    </w:p>
  </w:footnote>
  <w:footnote w:id="4">
    <w:p w14:paraId="0153F40F" w14:textId="5E6D5EEC" w:rsidR="00C65246" w:rsidRDefault="00C65246" w:rsidP="00D67B5D">
      <w:pPr>
        <w:pStyle w:val="Footnote"/>
      </w:pPr>
      <w:r>
        <w:rPr>
          <w:rStyle w:val="FootnoteReference"/>
        </w:rPr>
        <w:footnoteRef/>
      </w:r>
      <w:r>
        <w:t xml:space="preserve"> Based on Australian Government Department of Education analysis of </w:t>
      </w:r>
      <w:r w:rsidR="0044576B">
        <w:t xml:space="preserve">2021 </w:t>
      </w:r>
      <w:r>
        <w:t xml:space="preserve">Selected Higher Education </w:t>
      </w:r>
      <w:r w:rsidR="008E7985">
        <w:t xml:space="preserve">Student </w:t>
      </w:r>
      <w:r>
        <w:t xml:space="preserve">Statistics </w:t>
      </w:r>
      <w:r w:rsidR="00074CA8">
        <w:t>(</w:t>
      </w:r>
      <w:r w:rsidR="009E34F8">
        <w:t>cohort analysis of 2016 ITE commencements)</w:t>
      </w:r>
      <w:r>
        <w:t xml:space="preserve"> </w:t>
      </w:r>
      <w:r w:rsidR="000C112D">
        <w:t xml:space="preserve">and the </w:t>
      </w:r>
      <w:r w:rsidR="0044576B">
        <w:t xml:space="preserve">2022 </w:t>
      </w:r>
      <w:r w:rsidR="000C112D">
        <w:t>Graduate Outcomes Survey</w:t>
      </w:r>
      <w:r w:rsidR="00FA145A">
        <w:t xml:space="preserve"> </w:t>
      </w:r>
      <w:r w:rsidR="009E34F8">
        <w:t>–</w:t>
      </w:r>
      <w:r w:rsidR="0044576B">
        <w:t xml:space="preserve"> Longitudinal</w:t>
      </w:r>
      <w:r w:rsidR="009E34F8">
        <w:t xml:space="preserve"> (estimate</w:t>
      </w:r>
      <w:r w:rsidR="007E5BFA">
        <w:t>d attrition</w:t>
      </w:r>
      <w:r w:rsidR="009E34F8">
        <w:t xml:space="preserve"> of </w:t>
      </w:r>
      <w:r w:rsidR="007E5BFA">
        <w:t>graduates employed as teachers four months after graduation who were no longer working as a teacher three years after graduation)</w:t>
      </w:r>
    </w:p>
  </w:footnote>
  <w:footnote w:id="5">
    <w:p w14:paraId="190BA94B" w14:textId="19DD6DF0" w:rsidR="00CC0ABC" w:rsidRPr="00535398" w:rsidRDefault="00CC0ABC" w:rsidP="00D67B5D">
      <w:pPr>
        <w:pStyle w:val="Footnote"/>
      </w:pPr>
      <w:r w:rsidRPr="00535398">
        <w:rPr>
          <w:rStyle w:val="FootnoteReference"/>
        </w:rPr>
        <w:footnoteRef/>
      </w:r>
      <w:r w:rsidRPr="00535398">
        <w:t xml:space="preserve"> </w:t>
      </w:r>
      <w:r w:rsidRPr="00535398">
        <w:rPr>
          <w:color w:val="000000"/>
          <w:shd w:val="clear" w:color="auto" w:fill="FFFFFF"/>
        </w:rPr>
        <w:t>Ingvarson et al. 2007</w:t>
      </w:r>
      <w:r w:rsidR="00BD7B6B" w:rsidRPr="00535398">
        <w:rPr>
          <w:color w:val="000000"/>
          <w:shd w:val="clear" w:color="auto" w:fill="FFFFFF"/>
        </w:rPr>
        <w:t>;</w:t>
      </w:r>
      <w:r w:rsidRPr="00535398">
        <w:rPr>
          <w:color w:val="000000"/>
          <w:shd w:val="clear" w:color="auto" w:fill="FFFFFF"/>
        </w:rPr>
        <w:t xml:space="preserve"> </w:t>
      </w:r>
      <w:r w:rsidRPr="00535398">
        <w:t>Ingersoll, Merrill &amp; May 2014</w:t>
      </w:r>
      <w:r w:rsidR="00E40B1A">
        <w:t>;</w:t>
      </w:r>
      <w:r w:rsidR="00C3214D">
        <w:t xml:space="preserve"> </w:t>
      </w:r>
      <w:r w:rsidR="00631BB3">
        <w:t>Podolsky et al. 2019</w:t>
      </w:r>
    </w:p>
  </w:footnote>
  <w:footnote w:id="6">
    <w:p w14:paraId="45F2FD15" w14:textId="5ECF5319" w:rsidR="00542C6D" w:rsidRDefault="00542C6D" w:rsidP="00D67B5D">
      <w:pPr>
        <w:pStyle w:val="Footnote"/>
      </w:pPr>
      <w:r w:rsidRPr="00535398">
        <w:rPr>
          <w:rStyle w:val="FootnoteReference"/>
        </w:rPr>
        <w:footnoteRef/>
      </w:r>
      <w:r w:rsidRPr="00535398">
        <w:t xml:space="preserve"> </w:t>
      </w:r>
      <w:r w:rsidRPr="00535398">
        <w:rPr>
          <w:lang w:val="en-US"/>
        </w:rPr>
        <w:t>AITSL 202</w:t>
      </w:r>
      <w:r w:rsidR="00A040F6">
        <w:rPr>
          <w:lang w:val="en-US"/>
        </w:rPr>
        <w:t>2</w:t>
      </w:r>
      <w:r w:rsidR="00E61A42">
        <w:rPr>
          <w:lang w:val="en-US"/>
        </w:rPr>
        <w:t>a</w:t>
      </w:r>
      <w:r w:rsidRPr="00535398">
        <w:rPr>
          <w:lang w:val="en-US"/>
        </w:rPr>
        <w:t>;</w:t>
      </w:r>
      <w:r w:rsidR="00631BB3" w:rsidRPr="00631BB3">
        <w:t xml:space="preserve"> </w:t>
      </w:r>
      <w:r w:rsidR="00631BB3">
        <w:t>Podolsky et al. 2019</w:t>
      </w:r>
      <w:r w:rsidR="000419A5">
        <w:t>;</w:t>
      </w:r>
      <w:r w:rsidR="00631BB3">
        <w:t xml:space="preserve"> </w:t>
      </w:r>
      <w:r w:rsidRPr="00535398">
        <w:rPr>
          <w:lang w:val="en-US"/>
        </w:rPr>
        <w:t>Ronfeldt 2021</w:t>
      </w:r>
    </w:p>
  </w:footnote>
  <w:footnote w:id="7">
    <w:p w14:paraId="1CB366E5" w14:textId="560464D3" w:rsidR="00F36E8D" w:rsidRDefault="00F36E8D" w:rsidP="00D67B5D">
      <w:pPr>
        <w:pStyle w:val="Footnote"/>
      </w:pPr>
      <w:r>
        <w:rPr>
          <w:rStyle w:val="FootnoteReference"/>
        </w:rPr>
        <w:footnoteRef/>
      </w:r>
      <w:r>
        <w:t xml:space="preserve"> Estimates based on </w:t>
      </w:r>
      <w:r w:rsidR="00A424C5">
        <w:t>the impact of reducing six</w:t>
      </w:r>
      <w:r w:rsidR="00401086">
        <w:t>-</w:t>
      </w:r>
      <w:r w:rsidR="00A424C5">
        <w:t xml:space="preserve">year </w:t>
      </w:r>
      <w:r w:rsidR="00850BEE">
        <w:t>dropout</w:t>
      </w:r>
      <w:r w:rsidR="00A424C5">
        <w:t xml:space="preserve"> rates for the 2016 commencing ITE cohort and </w:t>
      </w:r>
      <w:r w:rsidR="00C54EC1">
        <w:t>three</w:t>
      </w:r>
      <w:r w:rsidR="00F35248">
        <w:t>-</w:t>
      </w:r>
      <w:r w:rsidR="00C54EC1">
        <w:t xml:space="preserve">year attrition rates </w:t>
      </w:r>
      <w:r w:rsidR="006A425A">
        <w:t xml:space="preserve">for </w:t>
      </w:r>
      <w:r w:rsidR="00ED2D0D">
        <w:t>beginning teachers</w:t>
      </w:r>
      <w:r w:rsidR="00EC61FF">
        <w:t xml:space="preserve"> (</w:t>
      </w:r>
      <w:r w:rsidR="0027136E">
        <w:t>calculated as</w:t>
      </w:r>
      <w:r w:rsidR="006A425A">
        <w:t xml:space="preserve"> the </w:t>
      </w:r>
      <w:r w:rsidR="00401086">
        <w:t>number of 2019</w:t>
      </w:r>
      <w:r w:rsidR="00E978D3">
        <w:t xml:space="preserve"> </w:t>
      </w:r>
      <w:r w:rsidR="00ED2D0D">
        <w:t xml:space="preserve">ITE </w:t>
      </w:r>
      <w:r w:rsidR="00401086">
        <w:t>completions multiplied by the</w:t>
      </w:r>
      <w:r w:rsidR="00AC1822">
        <w:t xml:space="preserve"> proportion of graduates </w:t>
      </w:r>
      <w:r w:rsidR="00401086">
        <w:t>employed as teachers four months after graduation)</w:t>
      </w:r>
    </w:p>
  </w:footnote>
  <w:footnote w:id="8">
    <w:p w14:paraId="05B4C8D1" w14:textId="16489BCB" w:rsidR="00324A53" w:rsidRDefault="00324A53" w:rsidP="00D67B5D">
      <w:pPr>
        <w:pStyle w:val="Footnote"/>
      </w:pPr>
      <w:r>
        <w:rPr>
          <w:rStyle w:val="FootnoteReference"/>
        </w:rPr>
        <w:footnoteRef/>
      </w:r>
      <w:r>
        <w:t xml:space="preserve"> </w:t>
      </w:r>
      <w:hyperlink r:id="rId1" w:anchor="aero-s-standards-of-evidence" w:history="1">
        <w:r>
          <w:rPr>
            <w:color w:val="0000FF"/>
            <w:u w:val="single"/>
          </w:rPr>
          <w:t>Standards of evidence | Australian Education Research Organisation (edresearch.edu.au)</w:t>
        </w:r>
      </w:hyperlink>
    </w:p>
  </w:footnote>
  <w:footnote w:id="9">
    <w:p w14:paraId="0B076806" w14:textId="7482626E" w:rsidR="007B31A6" w:rsidRDefault="007B31A6" w:rsidP="00D67B5D">
      <w:pPr>
        <w:pStyle w:val="Footnote"/>
      </w:pPr>
      <w:r>
        <w:rPr>
          <w:rStyle w:val="FootnoteReference"/>
        </w:rPr>
        <w:footnoteRef/>
      </w:r>
      <w:r>
        <w:t xml:space="preserve"> </w:t>
      </w:r>
      <w:r w:rsidR="00BD7805">
        <w:t>Example data for illustrative purposes</w:t>
      </w:r>
      <w:r w:rsidR="007A689D">
        <w:t>.</w:t>
      </w:r>
    </w:p>
  </w:footnote>
  <w:footnote w:id="10">
    <w:p w14:paraId="7C573FD5" w14:textId="78869540" w:rsidR="00B90907" w:rsidRDefault="00B90907" w:rsidP="00D67B5D">
      <w:pPr>
        <w:pStyle w:val="Footnote"/>
      </w:pPr>
      <w:r>
        <w:rPr>
          <w:rStyle w:val="FootnoteReference"/>
        </w:rPr>
        <w:footnoteRef/>
      </w:r>
      <w:r>
        <w:t xml:space="preserve"> Example data for illustrative purposes. </w:t>
      </w:r>
    </w:p>
  </w:footnote>
  <w:footnote w:id="11">
    <w:p w14:paraId="3BE981CE" w14:textId="6CEDA4C8" w:rsidR="00610335" w:rsidRDefault="00610335" w:rsidP="00D67B5D">
      <w:pPr>
        <w:pStyle w:val="Footnote"/>
      </w:pPr>
      <w:r>
        <w:rPr>
          <w:rStyle w:val="FootnoteReference"/>
        </w:rPr>
        <w:footnoteRef/>
      </w:r>
      <w:r>
        <w:t xml:space="preserve"> Australian Government analysis of ITE completions</w:t>
      </w:r>
      <w:r w:rsidR="00385F7F">
        <w:t xml:space="preserve"> </w:t>
      </w:r>
      <w:r w:rsidR="00452F8F">
        <w:t xml:space="preserve">between </w:t>
      </w:r>
      <w:r w:rsidR="00385F7F">
        <w:t>2017 to</w:t>
      </w:r>
      <w:r w:rsidR="00C70601">
        <w:t xml:space="preserve"> 2021</w:t>
      </w:r>
      <w:r w:rsidR="00385F7F">
        <w:t>,</w:t>
      </w:r>
      <w:r w:rsidR="00C70601">
        <w:t xml:space="preserve"> Selected Higher Education Student Statistics</w:t>
      </w:r>
    </w:p>
  </w:footnote>
  <w:footnote w:id="12">
    <w:p w14:paraId="6D26131F" w14:textId="335DE0FF" w:rsidR="00E90E48" w:rsidRDefault="00E90E48" w:rsidP="00A83317">
      <w:pPr>
        <w:pStyle w:val="Footnote"/>
      </w:pPr>
      <w:r>
        <w:rPr>
          <w:rStyle w:val="FootnoteReference"/>
        </w:rPr>
        <w:footnoteRef/>
      </w:r>
      <w:r>
        <w:t xml:space="preserve"> Defined as ITE students aged 26 and above, with two years prior work experience and not having previously worked as a teacher.</w:t>
      </w:r>
    </w:p>
  </w:footnote>
  <w:footnote w:id="13">
    <w:p w14:paraId="622FD77A" w14:textId="257D85FF" w:rsidR="006344AB" w:rsidRDefault="006344AB" w:rsidP="00A83317">
      <w:pPr>
        <w:pStyle w:val="Footnote"/>
      </w:pPr>
      <w:r>
        <w:rPr>
          <w:rStyle w:val="FootnoteReference"/>
        </w:rPr>
        <w:footnoteRef/>
      </w:r>
      <w:r>
        <w:t xml:space="preserve"> </w:t>
      </w:r>
      <w:r w:rsidR="000512CD">
        <w:t xml:space="preserve">Remaining 24 per cent were studying another </w:t>
      </w:r>
      <w:r w:rsidR="00A6070B">
        <w:t>teaching degree</w:t>
      </w:r>
      <w:r w:rsidR="000A22EF">
        <w:t xml:space="preserve"> (such as vocational education and training or Teacher </w:t>
      </w:r>
      <w:r w:rsidR="005272BD">
        <w:t xml:space="preserve">Education </w:t>
      </w:r>
      <w:r w:rsidR="00086325">
        <w:t xml:space="preserve">not elsewhere </w:t>
      </w:r>
      <w:r w:rsidR="00EE3229">
        <w:t xml:space="preserve">classified).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5A52" w14:textId="77777777" w:rsidR="00B109D1" w:rsidRDefault="00B10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3F63" w14:textId="77777777" w:rsidR="00B109D1" w:rsidRDefault="00B10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3FF18" w14:textId="77777777" w:rsidR="00B109D1" w:rsidRDefault="00B109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588A" w14:textId="5A76BB23" w:rsidR="00C844B6" w:rsidRDefault="00C844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F349" w14:textId="17F6095B" w:rsidR="00C844B6" w:rsidRDefault="00C844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E34A" w14:textId="046965E5" w:rsidR="00C844B6" w:rsidRDefault="00C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3BE032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8CAE7C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1AD843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6506A"/>
    <w:multiLevelType w:val="hybridMultilevel"/>
    <w:tmpl w:val="7470874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0517004E"/>
    <w:multiLevelType w:val="hybridMultilevel"/>
    <w:tmpl w:val="0E74BFDE"/>
    <w:lvl w:ilvl="0" w:tplc="9E16526C">
      <w:start w:val="1"/>
      <w:numFmt w:val="bullet"/>
      <w:pStyle w:val="NormalTextBulleted"/>
      <w:lvlText w:val=""/>
      <w:lvlJc w:val="left"/>
      <w:pPr>
        <w:ind w:left="360" w:hanging="360"/>
      </w:pPr>
      <w:rPr>
        <w:rFonts w:ascii="Symbol" w:hAnsi="Symbol" w:hint="default"/>
        <w:color w:val="3C1053"/>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D13FA7"/>
    <w:multiLevelType w:val="hybridMultilevel"/>
    <w:tmpl w:val="6D469902"/>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77546AD"/>
    <w:multiLevelType w:val="hybridMultilevel"/>
    <w:tmpl w:val="31722D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4D7500"/>
    <w:multiLevelType w:val="hybridMultilevel"/>
    <w:tmpl w:val="7EE8F09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102BAD"/>
    <w:multiLevelType w:val="hybridMultilevel"/>
    <w:tmpl w:val="E0C2FB4C"/>
    <w:lvl w:ilvl="0" w:tplc="2C9E37EA">
      <w:start w:val="1"/>
      <w:numFmt w:val="decimal"/>
      <w:pStyle w:val="NormalTextNumbered"/>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7C6335"/>
    <w:multiLevelType w:val="hybridMultilevel"/>
    <w:tmpl w:val="49AA6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8750E6"/>
    <w:multiLevelType w:val="hybridMultilevel"/>
    <w:tmpl w:val="A88A29F0"/>
    <w:lvl w:ilvl="0" w:tplc="56AC7E9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lvlText w:val=""/>
      <w:lvlJc w:val="left"/>
      <w:pPr>
        <w:ind w:left="1854" w:hanging="360"/>
      </w:pPr>
      <w:rPr>
        <w:rFonts w:ascii="Wingdings" w:hAnsi="Wingdings"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E1853ED"/>
    <w:multiLevelType w:val="hybridMultilevel"/>
    <w:tmpl w:val="D7547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224675"/>
    <w:multiLevelType w:val="multilevel"/>
    <w:tmpl w:val="4830E0AC"/>
    <w:lvl w:ilvl="0">
      <w:start w:val="1"/>
      <w:numFmt w:val="decimal"/>
      <w:lvlText w:val="%1."/>
      <w:lvlJc w:val="left"/>
      <w:pPr>
        <w:ind w:left="360" w:hanging="360"/>
      </w:pPr>
      <w:rPr>
        <w:rFonts w:asciiTheme="minorHAnsi" w:eastAsiaTheme="minorHAnsi" w:hAnsiTheme="minorHAnsi" w:cstheme="minorBid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0F62597C"/>
    <w:multiLevelType w:val="hybridMultilevel"/>
    <w:tmpl w:val="84620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FEA2BDE"/>
    <w:multiLevelType w:val="hybridMultilevel"/>
    <w:tmpl w:val="210ABE0A"/>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0034570"/>
    <w:multiLevelType w:val="hybridMultilevel"/>
    <w:tmpl w:val="FFFFFFFF"/>
    <w:lvl w:ilvl="0" w:tplc="5414E8E6">
      <w:start w:val="1"/>
      <w:numFmt w:val="bullet"/>
      <w:lvlText w:val=""/>
      <w:lvlJc w:val="left"/>
      <w:pPr>
        <w:ind w:left="360" w:hanging="360"/>
      </w:pPr>
      <w:rPr>
        <w:rFonts w:ascii="Symbol" w:hAnsi="Symbol" w:hint="default"/>
      </w:rPr>
    </w:lvl>
    <w:lvl w:ilvl="1" w:tplc="6EA6675A">
      <w:start w:val="1"/>
      <w:numFmt w:val="bullet"/>
      <w:lvlText w:val="o"/>
      <w:lvlJc w:val="left"/>
      <w:pPr>
        <w:ind w:left="1080" w:hanging="360"/>
      </w:pPr>
      <w:rPr>
        <w:rFonts w:ascii="Courier New" w:hAnsi="Courier New" w:hint="default"/>
      </w:rPr>
    </w:lvl>
    <w:lvl w:ilvl="2" w:tplc="66DEBB32">
      <w:start w:val="1"/>
      <w:numFmt w:val="bullet"/>
      <w:lvlText w:val=""/>
      <w:lvlJc w:val="left"/>
      <w:pPr>
        <w:ind w:left="1800" w:hanging="360"/>
      </w:pPr>
      <w:rPr>
        <w:rFonts w:ascii="Wingdings" w:hAnsi="Wingdings" w:hint="default"/>
      </w:rPr>
    </w:lvl>
    <w:lvl w:ilvl="3" w:tplc="E5EACD64">
      <w:start w:val="1"/>
      <w:numFmt w:val="bullet"/>
      <w:lvlText w:val=""/>
      <w:lvlJc w:val="left"/>
      <w:pPr>
        <w:ind w:left="2520" w:hanging="360"/>
      </w:pPr>
      <w:rPr>
        <w:rFonts w:ascii="Symbol" w:hAnsi="Symbol" w:hint="default"/>
      </w:rPr>
    </w:lvl>
    <w:lvl w:ilvl="4" w:tplc="266E9D50">
      <w:start w:val="1"/>
      <w:numFmt w:val="bullet"/>
      <w:lvlText w:val="o"/>
      <w:lvlJc w:val="left"/>
      <w:pPr>
        <w:ind w:left="3240" w:hanging="360"/>
      </w:pPr>
      <w:rPr>
        <w:rFonts w:ascii="Courier New" w:hAnsi="Courier New" w:hint="default"/>
      </w:rPr>
    </w:lvl>
    <w:lvl w:ilvl="5" w:tplc="8006C924">
      <w:start w:val="1"/>
      <w:numFmt w:val="bullet"/>
      <w:lvlText w:val=""/>
      <w:lvlJc w:val="left"/>
      <w:pPr>
        <w:ind w:left="3960" w:hanging="360"/>
      </w:pPr>
      <w:rPr>
        <w:rFonts w:ascii="Wingdings" w:hAnsi="Wingdings" w:hint="default"/>
      </w:rPr>
    </w:lvl>
    <w:lvl w:ilvl="6" w:tplc="086218C8">
      <w:start w:val="1"/>
      <w:numFmt w:val="bullet"/>
      <w:lvlText w:val=""/>
      <w:lvlJc w:val="left"/>
      <w:pPr>
        <w:ind w:left="4680" w:hanging="360"/>
      </w:pPr>
      <w:rPr>
        <w:rFonts w:ascii="Symbol" w:hAnsi="Symbol" w:hint="default"/>
      </w:rPr>
    </w:lvl>
    <w:lvl w:ilvl="7" w:tplc="EE4C9634">
      <w:start w:val="1"/>
      <w:numFmt w:val="bullet"/>
      <w:lvlText w:val="o"/>
      <w:lvlJc w:val="left"/>
      <w:pPr>
        <w:ind w:left="5400" w:hanging="360"/>
      </w:pPr>
      <w:rPr>
        <w:rFonts w:ascii="Courier New" w:hAnsi="Courier New" w:hint="default"/>
      </w:rPr>
    </w:lvl>
    <w:lvl w:ilvl="8" w:tplc="DF068466">
      <w:start w:val="1"/>
      <w:numFmt w:val="bullet"/>
      <w:lvlText w:val=""/>
      <w:lvlJc w:val="left"/>
      <w:pPr>
        <w:ind w:left="6120" w:hanging="360"/>
      </w:pPr>
      <w:rPr>
        <w:rFonts w:ascii="Wingdings" w:hAnsi="Wingdings" w:hint="default"/>
      </w:rPr>
    </w:lvl>
  </w:abstractNum>
  <w:abstractNum w:abstractNumId="18" w15:restartNumberingAfterBreak="0">
    <w:nsid w:val="108A6F08"/>
    <w:multiLevelType w:val="hybridMultilevel"/>
    <w:tmpl w:val="026647DE"/>
    <w:lvl w:ilvl="0" w:tplc="6D6E8820">
      <w:start w:val="1"/>
      <w:numFmt w:val="bullet"/>
      <w:lvlText w:val="·"/>
      <w:lvlJc w:val="left"/>
      <w:pPr>
        <w:ind w:left="720" w:hanging="360"/>
      </w:pPr>
      <w:rPr>
        <w:rFonts w:ascii="Symbol" w:hAnsi="Symbol" w:hint="default"/>
      </w:rPr>
    </w:lvl>
    <w:lvl w:ilvl="1" w:tplc="C6148A6A">
      <w:start w:val="1"/>
      <w:numFmt w:val="bullet"/>
      <w:lvlText w:val="o"/>
      <w:lvlJc w:val="left"/>
      <w:pPr>
        <w:ind w:left="1440" w:hanging="360"/>
      </w:pPr>
      <w:rPr>
        <w:rFonts w:ascii="Courier New" w:hAnsi="Courier New" w:hint="default"/>
      </w:rPr>
    </w:lvl>
    <w:lvl w:ilvl="2" w:tplc="81E234D0">
      <w:start w:val="1"/>
      <w:numFmt w:val="bullet"/>
      <w:lvlText w:val=""/>
      <w:lvlJc w:val="left"/>
      <w:pPr>
        <w:ind w:left="2160" w:hanging="360"/>
      </w:pPr>
      <w:rPr>
        <w:rFonts w:ascii="Wingdings" w:hAnsi="Wingdings" w:hint="default"/>
      </w:rPr>
    </w:lvl>
    <w:lvl w:ilvl="3" w:tplc="55E6DA26">
      <w:start w:val="1"/>
      <w:numFmt w:val="bullet"/>
      <w:lvlText w:val=""/>
      <w:lvlJc w:val="left"/>
      <w:pPr>
        <w:ind w:left="2880" w:hanging="360"/>
      </w:pPr>
      <w:rPr>
        <w:rFonts w:ascii="Symbol" w:hAnsi="Symbol" w:hint="default"/>
      </w:rPr>
    </w:lvl>
    <w:lvl w:ilvl="4" w:tplc="86F03102">
      <w:start w:val="1"/>
      <w:numFmt w:val="bullet"/>
      <w:lvlText w:val="o"/>
      <w:lvlJc w:val="left"/>
      <w:pPr>
        <w:ind w:left="3600" w:hanging="360"/>
      </w:pPr>
      <w:rPr>
        <w:rFonts w:ascii="Courier New" w:hAnsi="Courier New" w:hint="default"/>
      </w:rPr>
    </w:lvl>
    <w:lvl w:ilvl="5" w:tplc="7B782E36">
      <w:start w:val="1"/>
      <w:numFmt w:val="bullet"/>
      <w:lvlText w:val=""/>
      <w:lvlJc w:val="left"/>
      <w:pPr>
        <w:ind w:left="4320" w:hanging="360"/>
      </w:pPr>
      <w:rPr>
        <w:rFonts w:ascii="Wingdings" w:hAnsi="Wingdings" w:hint="default"/>
      </w:rPr>
    </w:lvl>
    <w:lvl w:ilvl="6" w:tplc="56E4F866">
      <w:start w:val="1"/>
      <w:numFmt w:val="bullet"/>
      <w:lvlText w:val=""/>
      <w:lvlJc w:val="left"/>
      <w:pPr>
        <w:ind w:left="5040" w:hanging="360"/>
      </w:pPr>
      <w:rPr>
        <w:rFonts w:ascii="Symbol" w:hAnsi="Symbol" w:hint="default"/>
      </w:rPr>
    </w:lvl>
    <w:lvl w:ilvl="7" w:tplc="E618BBD8">
      <w:start w:val="1"/>
      <w:numFmt w:val="bullet"/>
      <w:lvlText w:val="o"/>
      <w:lvlJc w:val="left"/>
      <w:pPr>
        <w:ind w:left="5760" w:hanging="360"/>
      </w:pPr>
      <w:rPr>
        <w:rFonts w:ascii="Courier New" w:hAnsi="Courier New" w:hint="default"/>
      </w:rPr>
    </w:lvl>
    <w:lvl w:ilvl="8" w:tplc="DB561080">
      <w:start w:val="1"/>
      <w:numFmt w:val="bullet"/>
      <w:lvlText w:val=""/>
      <w:lvlJc w:val="left"/>
      <w:pPr>
        <w:ind w:left="6480" w:hanging="360"/>
      </w:pPr>
      <w:rPr>
        <w:rFonts w:ascii="Wingdings" w:hAnsi="Wingdings" w:hint="default"/>
      </w:rPr>
    </w:lvl>
  </w:abstractNum>
  <w:abstractNum w:abstractNumId="19" w15:restartNumberingAfterBreak="0">
    <w:nsid w:val="15B27E12"/>
    <w:multiLevelType w:val="hybridMultilevel"/>
    <w:tmpl w:val="568E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7B0010C"/>
    <w:multiLevelType w:val="hybridMultilevel"/>
    <w:tmpl w:val="B51EE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FF1AB7"/>
    <w:multiLevelType w:val="multilevel"/>
    <w:tmpl w:val="49A6BC10"/>
    <w:name w:val="EDU - Bullet List"/>
    <w:lvl w:ilvl="0">
      <w:start w:val="1"/>
      <w:numFmt w:val="bullet"/>
      <w:lvlText w:val=""/>
      <w:lvlJc w:val="left"/>
      <w:pPr>
        <w:ind w:left="360" w:hanging="360"/>
      </w:pPr>
      <w:rPr>
        <w:rFonts w:ascii="Symbol" w:hAnsi="Symbol"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A601A9B"/>
    <w:multiLevelType w:val="hybridMultilevel"/>
    <w:tmpl w:val="C99E60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A8D41D6"/>
    <w:multiLevelType w:val="hybridMultilevel"/>
    <w:tmpl w:val="D76CD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A9157A1"/>
    <w:multiLevelType w:val="hybridMultilevel"/>
    <w:tmpl w:val="58C01BDC"/>
    <w:lvl w:ilvl="0" w:tplc="2BA0EB6A">
      <w:start w:val="1"/>
      <w:numFmt w:val="bullet"/>
      <w:lvlText w:val=""/>
      <w:lvlJc w:val="left"/>
      <w:pPr>
        <w:ind w:left="720" w:hanging="360"/>
      </w:pPr>
      <w:rPr>
        <w:rFonts w:ascii="Symbol" w:hAnsi="Symbol" w:hint="default"/>
      </w:rPr>
    </w:lvl>
    <w:lvl w:ilvl="1" w:tplc="D11A8206">
      <w:start w:val="1"/>
      <w:numFmt w:val="bullet"/>
      <w:lvlText w:val="o"/>
      <w:lvlJc w:val="left"/>
      <w:pPr>
        <w:ind w:left="1440" w:hanging="360"/>
      </w:pPr>
      <w:rPr>
        <w:rFonts w:ascii="Courier New" w:hAnsi="Courier New" w:hint="default"/>
      </w:rPr>
    </w:lvl>
    <w:lvl w:ilvl="2" w:tplc="AAFACB76">
      <w:start w:val="1"/>
      <w:numFmt w:val="bullet"/>
      <w:lvlText w:val=""/>
      <w:lvlJc w:val="left"/>
      <w:pPr>
        <w:ind w:left="2160" w:hanging="360"/>
      </w:pPr>
      <w:rPr>
        <w:rFonts w:ascii="Wingdings" w:hAnsi="Wingdings" w:hint="default"/>
      </w:rPr>
    </w:lvl>
    <w:lvl w:ilvl="3" w:tplc="21D8E73A">
      <w:start w:val="1"/>
      <w:numFmt w:val="bullet"/>
      <w:lvlText w:val=""/>
      <w:lvlJc w:val="left"/>
      <w:pPr>
        <w:ind w:left="2880" w:hanging="360"/>
      </w:pPr>
      <w:rPr>
        <w:rFonts w:ascii="Symbol" w:hAnsi="Symbol" w:hint="default"/>
      </w:rPr>
    </w:lvl>
    <w:lvl w:ilvl="4" w:tplc="5E208016">
      <w:start w:val="1"/>
      <w:numFmt w:val="bullet"/>
      <w:lvlText w:val="o"/>
      <w:lvlJc w:val="left"/>
      <w:pPr>
        <w:ind w:left="3600" w:hanging="360"/>
      </w:pPr>
      <w:rPr>
        <w:rFonts w:ascii="Courier New" w:hAnsi="Courier New" w:hint="default"/>
      </w:rPr>
    </w:lvl>
    <w:lvl w:ilvl="5" w:tplc="63922DD4">
      <w:start w:val="1"/>
      <w:numFmt w:val="bullet"/>
      <w:lvlText w:val=""/>
      <w:lvlJc w:val="left"/>
      <w:pPr>
        <w:ind w:left="4320" w:hanging="360"/>
      </w:pPr>
      <w:rPr>
        <w:rFonts w:ascii="Wingdings" w:hAnsi="Wingdings" w:hint="default"/>
      </w:rPr>
    </w:lvl>
    <w:lvl w:ilvl="6" w:tplc="69B4B3A2">
      <w:start w:val="1"/>
      <w:numFmt w:val="bullet"/>
      <w:lvlText w:val=""/>
      <w:lvlJc w:val="left"/>
      <w:pPr>
        <w:ind w:left="5040" w:hanging="360"/>
      </w:pPr>
      <w:rPr>
        <w:rFonts w:ascii="Symbol" w:hAnsi="Symbol" w:hint="default"/>
      </w:rPr>
    </w:lvl>
    <w:lvl w:ilvl="7" w:tplc="CAB89280">
      <w:start w:val="1"/>
      <w:numFmt w:val="bullet"/>
      <w:lvlText w:val="o"/>
      <w:lvlJc w:val="left"/>
      <w:pPr>
        <w:ind w:left="5760" w:hanging="360"/>
      </w:pPr>
      <w:rPr>
        <w:rFonts w:ascii="Courier New" w:hAnsi="Courier New" w:hint="default"/>
      </w:rPr>
    </w:lvl>
    <w:lvl w:ilvl="8" w:tplc="D59A1C6C">
      <w:start w:val="1"/>
      <w:numFmt w:val="bullet"/>
      <w:lvlText w:val=""/>
      <w:lvlJc w:val="left"/>
      <w:pPr>
        <w:ind w:left="6480" w:hanging="360"/>
      </w:pPr>
      <w:rPr>
        <w:rFonts w:ascii="Wingdings" w:hAnsi="Wingdings" w:hint="default"/>
      </w:rPr>
    </w:lvl>
  </w:abstractNum>
  <w:abstractNum w:abstractNumId="25" w15:restartNumberingAfterBreak="0">
    <w:nsid w:val="1C5C30A3"/>
    <w:multiLevelType w:val="hybridMultilevel"/>
    <w:tmpl w:val="13D09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C97D39"/>
    <w:multiLevelType w:val="hybridMultilevel"/>
    <w:tmpl w:val="A84C07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1E0D300F"/>
    <w:multiLevelType w:val="hybridMultilevel"/>
    <w:tmpl w:val="51300520"/>
    <w:lvl w:ilvl="0" w:tplc="EE969B4A">
      <w:start w:val="1"/>
      <w:numFmt w:val="bullet"/>
      <w:lvlText w:val=""/>
      <w:lvlJc w:val="left"/>
      <w:pPr>
        <w:ind w:left="720" w:hanging="360"/>
      </w:pPr>
      <w:rPr>
        <w:rFonts w:ascii="Symbol" w:hAnsi="Symbol" w:hint="default"/>
      </w:rPr>
    </w:lvl>
    <w:lvl w:ilvl="1" w:tplc="F91090C8">
      <w:start w:val="1"/>
      <w:numFmt w:val="bullet"/>
      <w:lvlText w:val="o"/>
      <w:lvlJc w:val="left"/>
      <w:pPr>
        <w:ind w:left="1440" w:hanging="360"/>
      </w:pPr>
      <w:rPr>
        <w:rFonts w:ascii="Courier New" w:hAnsi="Courier New" w:hint="default"/>
      </w:rPr>
    </w:lvl>
    <w:lvl w:ilvl="2" w:tplc="B69E5726">
      <w:start w:val="1"/>
      <w:numFmt w:val="bullet"/>
      <w:lvlText w:val=""/>
      <w:lvlJc w:val="left"/>
      <w:pPr>
        <w:ind w:left="2160" w:hanging="360"/>
      </w:pPr>
      <w:rPr>
        <w:rFonts w:ascii="Wingdings" w:hAnsi="Wingdings" w:hint="default"/>
      </w:rPr>
    </w:lvl>
    <w:lvl w:ilvl="3" w:tplc="C1C68446">
      <w:start w:val="1"/>
      <w:numFmt w:val="bullet"/>
      <w:lvlText w:val=""/>
      <w:lvlJc w:val="left"/>
      <w:pPr>
        <w:ind w:left="2880" w:hanging="360"/>
      </w:pPr>
      <w:rPr>
        <w:rFonts w:ascii="Symbol" w:hAnsi="Symbol" w:hint="default"/>
      </w:rPr>
    </w:lvl>
    <w:lvl w:ilvl="4" w:tplc="09D0EDC2">
      <w:start w:val="1"/>
      <w:numFmt w:val="bullet"/>
      <w:lvlText w:val="o"/>
      <w:lvlJc w:val="left"/>
      <w:pPr>
        <w:ind w:left="3600" w:hanging="360"/>
      </w:pPr>
      <w:rPr>
        <w:rFonts w:ascii="Courier New" w:hAnsi="Courier New" w:hint="default"/>
      </w:rPr>
    </w:lvl>
    <w:lvl w:ilvl="5" w:tplc="D4101B0C">
      <w:start w:val="1"/>
      <w:numFmt w:val="bullet"/>
      <w:lvlText w:val=""/>
      <w:lvlJc w:val="left"/>
      <w:pPr>
        <w:ind w:left="4320" w:hanging="360"/>
      </w:pPr>
      <w:rPr>
        <w:rFonts w:ascii="Wingdings" w:hAnsi="Wingdings" w:hint="default"/>
      </w:rPr>
    </w:lvl>
    <w:lvl w:ilvl="6" w:tplc="ECE81CAA">
      <w:start w:val="1"/>
      <w:numFmt w:val="bullet"/>
      <w:lvlText w:val=""/>
      <w:lvlJc w:val="left"/>
      <w:pPr>
        <w:ind w:left="5040" w:hanging="360"/>
      </w:pPr>
      <w:rPr>
        <w:rFonts w:ascii="Symbol" w:hAnsi="Symbol" w:hint="default"/>
      </w:rPr>
    </w:lvl>
    <w:lvl w:ilvl="7" w:tplc="F036115E">
      <w:start w:val="1"/>
      <w:numFmt w:val="bullet"/>
      <w:lvlText w:val="o"/>
      <w:lvlJc w:val="left"/>
      <w:pPr>
        <w:ind w:left="5760" w:hanging="360"/>
      </w:pPr>
      <w:rPr>
        <w:rFonts w:ascii="Courier New" w:hAnsi="Courier New" w:hint="default"/>
      </w:rPr>
    </w:lvl>
    <w:lvl w:ilvl="8" w:tplc="7EE69BFE">
      <w:start w:val="1"/>
      <w:numFmt w:val="bullet"/>
      <w:lvlText w:val=""/>
      <w:lvlJc w:val="left"/>
      <w:pPr>
        <w:ind w:left="6480" w:hanging="360"/>
      </w:pPr>
      <w:rPr>
        <w:rFonts w:ascii="Wingdings" w:hAnsi="Wingdings" w:hint="default"/>
      </w:rPr>
    </w:lvl>
  </w:abstractNum>
  <w:abstractNum w:abstractNumId="28" w15:restartNumberingAfterBreak="0">
    <w:nsid w:val="1E4B6C92"/>
    <w:multiLevelType w:val="hybridMultilevel"/>
    <w:tmpl w:val="E7BA7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0B9805E"/>
    <w:multiLevelType w:val="hybridMultilevel"/>
    <w:tmpl w:val="F0D4A322"/>
    <w:lvl w:ilvl="0" w:tplc="0302CD86">
      <w:start w:val="1"/>
      <w:numFmt w:val="bullet"/>
      <w:lvlText w:val="·"/>
      <w:lvlJc w:val="left"/>
      <w:pPr>
        <w:ind w:left="720" w:hanging="360"/>
      </w:pPr>
      <w:rPr>
        <w:rFonts w:ascii="Symbol" w:hAnsi="Symbol" w:hint="default"/>
      </w:rPr>
    </w:lvl>
    <w:lvl w:ilvl="1" w:tplc="3542701A">
      <w:start w:val="1"/>
      <w:numFmt w:val="bullet"/>
      <w:lvlText w:val="o"/>
      <w:lvlJc w:val="left"/>
      <w:pPr>
        <w:ind w:left="1440" w:hanging="360"/>
      </w:pPr>
      <w:rPr>
        <w:rFonts w:ascii="Courier New" w:hAnsi="Courier New" w:hint="default"/>
      </w:rPr>
    </w:lvl>
    <w:lvl w:ilvl="2" w:tplc="335223A8">
      <w:start w:val="1"/>
      <w:numFmt w:val="bullet"/>
      <w:lvlText w:val=""/>
      <w:lvlJc w:val="left"/>
      <w:pPr>
        <w:ind w:left="2160" w:hanging="360"/>
      </w:pPr>
      <w:rPr>
        <w:rFonts w:ascii="Wingdings" w:hAnsi="Wingdings" w:hint="default"/>
      </w:rPr>
    </w:lvl>
    <w:lvl w:ilvl="3" w:tplc="629EE666">
      <w:start w:val="1"/>
      <w:numFmt w:val="bullet"/>
      <w:lvlText w:val=""/>
      <w:lvlJc w:val="left"/>
      <w:pPr>
        <w:ind w:left="2880" w:hanging="360"/>
      </w:pPr>
      <w:rPr>
        <w:rFonts w:ascii="Symbol" w:hAnsi="Symbol" w:hint="default"/>
      </w:rPr>
    </w:lvl>
    <w:lvl w:ilvl="4" w:tplc="8766E432">
      <w:start w:val="1"/>
      <w:numFmt w:val="bullet"/>
      <w:lvlText w:val="o"/>
      <w:lvlJc w:val="left"/>
      <w:pPr>
        <w:ind w:left="3600" w:hanging="360"/>
      </w:pPr>
      <w:rPr>
        <w:rFonts w:ascii="Courier New" w:hAnsi="Courier New" w:hint="default"/>
      </w:rPr>
    </w:lvl>
    <w:lvl w:ilvl="5" w:tplc="136683D6">
      <w:start w:val="1"/>
      <w:numFmt w:val="bullet"/>
      <w:lvlText w:val=""/>
      <w:lvlJc w:val="left"/>
      <w:pPr>
        <w:ind w:left="4320" w:hanging="360"/>
      </w:pPr>
      <w:rPr>
        <w:rFonts w:ascii="Wingdings" w:hAnsi="Wingdings" w:hint="default"/>
      </w:rPr>
    </w:lvl>
    <w:lvl w:ilvl="6" w:tplc="441EA4B6">
      <w:start w:val="1"/>
      <w:numFmt w:val="bullet"/>
      <w:lvlText w:val=""/>
      <w:lvlJc w:val="left"/>
      <w:pPr>
        <w:ind w:left="5040" w:hanging="360"/>
      </w:pPr>
      <w:rPr>
        <w:rFonts w:ascii="Symbol" w:hAnsi="Symbol" w:hint="default"/>
      </w:rPr>
    </w:lvl>
    <w:lvl w:ilvl="7" w:tplc="75467276">
      <w:start w:val="1"/>
      <w:numFmt w:val="bullet"/>
      <w:lvlText w:val="o"/>
      <w:lvlJc w:val="left"/>
      <w:pPr>
        <w:ind w:left="5760" w:hanging="360"/>
      </w:pPr>
      <w:rPr>
        <w:rFonts w:ascii="Courier New" w:hAnsi="Courier New" w:hint="default"/>
      </w:rPr>
    </w:lvl>
    <w:lvl w:ilvl="8" w:tplc="B62A0520">
      <w:start w:val="1"/>
      <w:numFmt w:val="bullet"/>
      <w:lvlText w:val=""/>
      <w:lvlJc w:val="left"/>
      <w:pPr>
        <w:ind w:left="6480" w:hanging="360"/>
      </w:pPr>
      <w:rPr>
        <w:rFonts w:ascii="Wingdings" w:hAnsi="Wingdings" w:hint="default"/>
      </w:rPr>
    </w:lvl>
  </w:abstractNum>
  <w:abstractNum w:abstractNumId="30" w15:restartNumberingAfterBreak="0">
    <w:nsid w:val="21DD46F9"/>
    <w:multiLevelType w:val="hybridMultilevel"/>
    <w:tmpl w:val="DF880B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245019B"/>
    <w:multiLevelType w:val="hybridMultilevel"/>
    <w:tmpl w:val="67C69874"/>
    <w:lvl w:ilvl="0" w:tplc="59881004">
      <w:start w:val="1"/>
      <w:numFmt w:val="bullet"/>
      <w:lvlText w:val="·"/>
      <w:lvlJc w:val="left"/>
      <w:pPr>
        <w:ind w:left="720" w:hanging="360"/>
      </w:pPr>
      <w:rPr>
        <w:rFonts w:ascii="Symbol" w:hAnsi="Symbol" w:hint="default"/>
      </w:rPr>
    </w:lvl>
    <w:lvl w:ilvl="1" w:tplc="80825D1A">
      <w:start w:val="1"/>
      <w:numFmt w:val="bullet"/>
      <w:lvlText w:val="o"/>
      <w:lvlJc w:val="left"/>
      <w:pPr>
        <w:ind w:left="1440" w:hanging="360"/>
      </w:pPr>
      <w:rPr>
        <w:rFonts w:ascii="Courier New" w:hAnsi="Courier New" w:hint="default"/>
      </w:rPr>
    </w:lvl>
    <w:lvl w:ilvl="2" w:tplc="658E6BF8">
      <w:start w:val="1"/>
      <w:numFmt w:val="bullet"/>
      <w:lvlText w:val=""/>
      <w:lvlJc w:val="left"/>
      <w:pPr>
        <w:ind w:left="2160" w:hanging="360"/>
      </w:pPr>
      <w:rPr>
        <w:rFonts w:ascii="Wingdings" w:hAnsi="Wingdings" w:hint="default"/>
      </w:rPr>
    </w:lvl>
    <w:lvl w:ilvl="3" w:tplc="63C878CE">
      <w:start w:val="1"/>
      <w:numFmt w:val="bullet"/>
      <w:lvlText w:val=""/>
      <w:lvlJc w:val="left"/>
      <w:pPr>
        <w:ind w:left="2880" w:hanging="360"/>
      </w:pPr>
      <w:rPr>
        <w:rFonts w:ascii="Symbol" w:hAnsi="Symbol" w:hint="default"/>
      </w:rPr>
    </w:lvl>
    <w:lvl w:ilvl="4" w:tplc="D5DE310C">
      <w:start w:val="1"/>
      <w:numFmt w:val="bullet"/>
      <w:lvlText w:val="o"/>
      <w:lvlJc w:val="left"/>
      <w:pPr>
        <w:ind w:left="3600" w:hanging="360"/>
      </w:pPr>
      <w:rPr>
        <w:rFonts w:ascii="Courier New" w:hAnsi="Courier New" w:hint="default"/>
      </w:rPr>
    </w:lvl>
    <w:lvl w:ilvl="5" w:tplc="FBEAF83A">
      <w:start w:val="1"/>
      <w:numFmt w:val="bullet"/>
      <w:lvlText w:val=""/>
      <w:lvlJc w:val="left"/>
      <w:pPr>
        <w:ind w:left="4320" w:hanging="360"/>
      </w:pPr>
      <w:rPr>
        <w:rFonts w:ascii="Wingdings" w:hAnsi="Wingdings" w:hint="default"/>
      </w:rPr>
    </w:lvl>
    <w:lvl w:ilvl="6" w:tplc="8724DE00">
      <w:start w:val="1"/>
      <w:numFmt w:val="bullet"/>
      <w:lvlText w:val=""/>
      <w:lvlJc w:val="left"/>
      <w:pPr>
        <w:ind w:left="5040" w:hanging="360"/>
      </w:pPr>
      <w:rPr>
        <w:rFonts w:ascii="Symbol" w:hAnsi="Symbol" w:hint="default"/>
      </w:rPr>
    </w:lvl>
    <w:lvl w:ilvl="7" w:tplc="5986CA58">
      <w:start w:val="1"/>
      <w:numFmt w:val="bullet"/>
      <w:lvlText w:val="o"/>
      <w:lvlJc w:val="left"/>
      <w:pPr>
        <w:ind w:left="5760" w:hanging="360"/>
      </w:pPr>
      <w:rPr>
        <w:rFonts w:ascii="Courier New" w:hAnsi="Courier New" w:hint="default"/>
      </w:rPr>
    </w:lvl>
    <w:lvl w:ilvl="8" w:tplc="20747D72">
      <w:start w:val="1"/>
      <w:numFmt w:val="bullet"/>
      <w:lvlText w:val=""/>
      <w:lvlJc w:val="left"/>
      <w:pPr>
        <w:ind w:left="6480" w:hanging="360"/>
      </w:pPr>
      <w:rPr>
        <w:rFonts w:ascii="Wingdings" w:hAnsi="Wingdings" w:hint="default"/>
      </w:rPr>
    </w:lvl>
  </w:abstractNum>
  <w:abstractNum w:abstractNumId="32" w15:restartNumberingAfterBreak="0">
    <w:nsid w:val="232C0898"/>
    <w:multiLevelType w:val="hybridMultilevel"/>
    <w:tmpl w:val="D180D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A53BCE"/>
    <w:multiLevelType w:val="hybridMultilevel"/>
    <w:tmpl w:val="1B0E5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CE6114"/>
    <w:multiLevelType w:val="hybridMultilevel"/>
    <w:tmpl w:val="1116C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43F4372"/>
    <w:multiLevelType w:val="hybridMultilevel"/>
    <w:tmpl w:val="704819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46A3667"/>
    <w:multiLevelType w:val="hybridMultilevel"/>
    <w:tmpl w:val="BB94A7DE"/>
    <w:lvl w:ilvl="0" w:tplc="84F05294">
      <w:start w:val="1"/>
      <w:numFmt w:val="decimal"/>
      <w:pStyle w:val="HeadingTable"/>
      <w:lvlText w:val="Table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4C5464F"/>
    <w:multiLevelType w:val="hybridMultilevel"/>
    <w:tmpl w:val="FFB67654"/>
    <w:lvl w:ilvl="0" w:tplc="81D42CE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4D95EF6"/>
    <w:multiLevelType w:val="hybridMultilevel"/>
    <w:tmpl w:val="BAE6B2C6"/>
    <w:lvl w:ilvl="0" w:tplc="81D42CE0">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4F16F89"/>
    <w:multiLevelType w:val="hybridMultilevel"/>
    <w:tmpl w:val="5BD8FAD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68F78EE"/>
    <w:multiLevelType w:val="hybridMultilevel"/>
    <w:tmpl w:val="403CA386"/>
    <w:lvl w:ilvl="0" w:tplc="81D42CE0">
      <w:start w:val="1"/>
      <w:numFmt w:val="bullet"/>
      <w:lvlText w:val=""/>
      <w:lvlJc w:val="left"/>
      <w:pPr>
        <w:ind w:left="720" w:hanging="360"/>
      </w:pPr>
      <w:rPr>
        <w:rFonts w:ascii="Wingdings" w:hAnsi="Wingdings" w:hint="default"/>
      </w:rPr>
    </w:lvl>
    <w:lvl w:ilvl="1" w:tplc="81D42CE0">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71642A2"/>
    <w:multiLevelType w:val="multilevel"/>
    <w:tmpl w:val="E1D648DA"/>
    <w:lvl w:ilvl="0">
      <w:start w:val="1"/>
      <w:numFmt w:val="decimal"/>
      <w:lvlText w:val="%1"/>
      <w:lvlJc w:val="left"/>
      <w:pPr>
        <w:ind w:left="450" w:hanging="450"/>
      </w:pPr>
      <w:rPr>
        <w:rFonts w:hint="default"/>
        <w:color w:val="002C3E" w:themeColor="background2"/>
      </w:rPr>
    </w:lvl>
    <w:lvl w:ilvl="1">
      <w:start w:val="3"/>
      <w:numFmt w:val="decimal"/>
      <w:lvlText w:val="%1.%2"/>
      <w:lvlJc w:val="left"/>
      <w:pPr>
        <w:ind w:left="720" w:hanging="720"/>
      </w:pPr>
      <w:rPr>
        <w:rFonts w:hint="default"/>
        <w:color w:val="002C3E" w:themeColor="background2"/>
      </w:rPr>
    </w:lvl>
    <w:lvl w:ilvl="2">
      <w:start w:val="1"/>
      <w:numFmt w:val="decimal"/>
      <w:lvlText w:val="%1.%2.%3"/>
      <w:lvlJc w:val="left"/>
      <w:pPr>
        <w:ind w:left="720" w:hanging="720"/>
      </w:pPr>
      <w:rPr>
        <w:rFonts w:hint="default"/>
        <w:color w:val="002C3E" w:themeColor="background2"/>
      </w:rPr>
    </w:lvl>
    <w:lvl w:ilvl="3">
      <w:start w:val="1"/>
      <w:numFmt w:val="decimal"/>
      <w:lvlText w:val="%1.%2.%3.%4"/>
      <w:lvlJc w:val="left"/>
      <w:pPr>
        <w:ind w:left="1080" w:hanging="1080"/>
      </w:pPr>
      <w:rPr>
        <w:rFonts w:hint="default"/>
        <w:color w:val="002C3E" w:themeColor="background2"/>
      </w:rPr>
    </w:lvl>
    <w:lvl w:ilvl="4">
      <w:start w:val="1"/>
      <w:numFmt w:val="decimal"/>
      <w:lvlText w:val="%1.%2.%3.%4.%5"/>
      <w:lvlJc w:val="left"/>
      <w:pPr>
        <w:ind w:left="1440" w:hanging="1440"/>
      </w:pPr>
      <w:rPr>
        <w:rFonts w:hint="default"/>
        <w:color w:val="002C3E" w:themeColor="background2"/>
      </w:rPr>
    </w:lvl>
    <w:lvl w:ilvl="5">
      <w:start w:val="1"/>
      <w:numFmt w:val="decimal"/>
      <w:lvlText w:val="%1.%2.%3.%4.%5.%6"/>
      <w:lvlJc w:val="left"/>
      <w:pPr>
        <w:ind w:left="1440" w:hanging="1440"/>
      </w:pPr>
      <w:rPr>
        <w:rFonts w:hint="default"/>
        <w:color w:val="002C3E" w:themeColor="background2"/>
      </w:rPr>
    </w:lvl>
    <w:lvl w:ilvl="6">
      <w:start w:val="1"/>
      <w:numFmt w:val="decimal"/>
      <w:lvlText w:val="%1.%2.%3.%4.%5.%6.%7"/>
      <w:lvlJc w:val="left"/>
      <w:pPr>
        <w:ind w:left="1800" w:hanging="1800"/>
      </w:pPr>
      <w:rPr>
        <w:rFonts w:hint="default"/>
        <w:color w:val="002C3E" w:themeColor="background2"/>
      </w:rPr>
    </w:lvl>
    <w:lvl w:ilvl="7">
      <w:start w:val="1"/>
      <w:numFmt w:val="decimal"/>
      <w:lvlText w:val="%1.%2.%3.%4.%5.%6.%7.%8"/>
      <w:lvlJc w:val="left"/>
      <w:pPr>
        <w:ind w:left="2160" w:hanging="2160"/>
      </w:pPr>
      <w:rPr>
        <w:rFonts w:hint="default"/>
        <w:color w:val="002C3E" w:themeColor="background2"/>
      </w:rPr>
    </w:lvl>
    <w:lvl w:ilvl="8">
      <w:start w:val="1"/>
      <w:numFmt w:val="decimal"/>
      <w:lvlText w:val="%1.%2.%3.%4.%5.%6.%7.%8.%9"/>
      <w:lvlJc w:val="left"/>
      <w:pPr>
        <w:ind w:left="2160" w:hanging="2160"/>
      </w:pPr>
      <w:rPr>
        <w:rFonts w:hint="default"/>
        <w:color w:val="002C3E" w:themeColor="background2"/>
      </w:rPr>
    </w:lvl>
  </w:abstractNum>
  <w:abstractNum w:abstractNumId="42" w15:restartNumberingAfterBreak="0">
    <w:nsid w:val="27C971D7"/>
    <w:multiLevelType w:val="hybridMultilevel"/>
    <w:tmpl w:val="05FE5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84A6C4A"/>
    <w:multiLevelType w:val="hybridMultilevel"/>
    <w:tmpl w:val="1E3C585C"/>
    <w:lvl w:ilvl="0" w:tplc="56AC7E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8C243E2"/>
    <w:multiLevelType w:val="hybridMultilevel"/>
    <w:tmpl w:val="E40E90F6"/>
    <w:lvl w:ilvl="0" w:tplc="0C090001">
      <w:start w:val="1"/>
      <w:numFmt w:val="bullet"/>
      <w:lvlText w:val=""/>
      <w:lvlJc w:val="left"/>
      <w:pPr>
        <w:ind w:left="365" w:hanging="360"/>
      </w:pPr>
      <w:rPr>
        <w:rFonts w:ascii="Symbol" w:hAnsi="Symbol" w:hint="default"/>
      </w:rPr>
    </w:lvl>
    <w:lvl w:ilvl="1" w:tplc="0C090003" w:tentative="1">
      <w:start w:val="1"/>
      <w:numFmt w:val="bullet"/>
      <w:lvlText w:val="o"/>
      <w:lvlJc w:val="left"/>
      <w:pPr>
        <w:ind w:left="1085" w:hanging="360"/>
      </w:pPr>
      <w:rPr>
        <w:rFonts w:ascii="Courier New" w:hAnsi="Courier New" w:cs="Courier New" w:hint="default"/>
      </w:rPr>
    </w:lvl>
    <w:lvl w:ilvl="2" w:tplc="0C090005" w:tentative="1">
      <w:start w:val="1"/>
      <w:numFmt w:val="bullet"/>
      <w:lvlText w:val=""/>
      <w:lvlJc w:val="left"/>
      <w:pPr>
        <w:ind w:left="1805" w:hanging="360"/>
      </w:pPr>
      <w:rPr>
        <w:rFonts w:ascii="Wingdings" w:hAnsi="Wingdings" w:hint="default"/>
      </w:rPr>
    </w:lvl>
    <w:lvl w:ilvl="3" w:tplc="0C090001" w:tentative="1">
      <w:start w:val="1"/>
      <w:numFmt w:val="bullet"/>
      <w:lvlText w:val=""/>
      <w:lvlJc w:val="left"/>
      <w:pPr>
        <w:ind w:left="2525" w:hanging="360"/>
      </w:pPr>
      <w:rPr>
        <w:rFonts w:ascii="Symbol" w:hAnsi="Symbol" w:hint="default"/>
      </w:rPr>
    </w:lvl>
    <w:lvl w:ilvl="4" w:tplc="0C090003" w:tentative="1">
      <w:start w:val="1"/>
      <w:numFmt w:val="bullet"/>
      <w:lvlText w:val="o"/>
      <w:lvlJc w:val="left"/>
      <w:pPr>
        <w:ind w:left="3245" w:hanging="360"/>
      </w:pPr>
      <w:rPr>
        <w:rFonts w:ascii="Courier New" w:hAnsi="Courier New" w:cs="Courier New" w:hint="default"/>
      </w:rPr>
    </w:lvl>
    <w:lvl w:ilvl="5" w:tplc="0C090005" w:tentative="1">
      <w:start w:val="1"/>
      <w:numFmt w:val="bullet"/>
      <w:lvlText w:val=""/>
      <w:lvlJc w:val="left"/>
      <w:pPr>
        <w:ind w:left="3965" w:hanging="360"/>
      </w:pPr>
      <w:rPr>
        <w:rFonts w:ascii="Wingdings" w:hAnsi="Wingdings" w:hint="default"/>
      </w:rPr>
    </w:lvl>
    <w:lvl w:ilvl="6" w:tplc="0C090001" w:tentative="1">
      <w:start w:val="1"/>
      <w:numFmt w:val="bullet"/>
      <w:lvlText w:val=""/>
      <w:lvlJc w:val="left"/>
      <w:pPr>
        <w:ind w:left="4685" w:hanging="360"/>
      </w:pPr>
      <w:rPr>
        <w:rFonts w:ascii="Symbol" w:hAnsi="Symbol" w:hint="default"/>
      </w:rPr>
    </w:lvl>
    <w:lvl w:ilvl="7" w:tplc="0C090003" w:tentative="1">
      <w:start w:val="1"/>
      <w:numFmt w:val="bullet"/>
      <w:lvlText w:val="o"/>
      <w:lvlJc w:val="left"/>
      <w:pPr>
        <w:ind w:left="5405" w:hanging="360"/>
      </w:pPr>
      <w:rPr>
        <w:rFonts w:ascii="Courier New" w:hAnsi="Courier New" w:cs="Courier New" w:hint="default"/>
      </w:rPr>
    </w:lvl>
    <w:lvl w:ilvl="8" w:tplc="0C090005" w:tentative="1">
      <w:start w:val="1"/>
      <w:numFmt w:val="bullet"/>
      <w:lvlText w:val=""/>
      <w:lvlJc w:val="left"/>
      <w:pPr>
        <w:ind w:left="6125" w:hanging="360"/>
      </w:pPr>
      <w:rPr>
        <w:rFonts w:ascii="Wingdings" w:hAnsi="Wingdings" w:hint="default"/>
      </w:rPr>
    </w:lvl>
  </w:abstractNum>
  <w:abstractNum w:abstractNumId="45" w15:restartNumberingAfterBreak="0">
    <w:nsid w:val="2A1F270A"/>
    <w:multiLevelType w:val="hybridMultilevel"/>
    <w:tmpl w:val="B5727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B081F48"/>
    <w:multiLevelType w:val="hybridMultilevel"/>
    <w:tmpl w:val="BA049B2E"/>
    <w:lvl w:ilvl="0" w:tplc="0C090001">
      <w:start w:val="1"/>
      <w:numFmt w:val="bullet"/>
      <w:lvlText w:val=""/>
      <w:lvlJc w:val="left"/>
      <w:pPr>
        <w:ind w:left="6" w:hanging="360"/>
      </w:pPr>
      <w:rPr>
        <w:rFonts w:ascii="Symbol" w:hAnsi="Symbol" w:hint="default"/>
      </w:rPr>
    </w:lvl>
    <w:lvl w:ilvl="1" w:tplc="FFFFFFFF" w:tentative="1">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47" w15:restartNumberingAfterBreak="0">
    <w:nsid w:val="2D87559D"/>
    <w:multiLevelType w:val="multilevel"/>
    <w:tmpl w:val="DC5A224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2DE83F19"/>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E08E1B4"/>
    <w:multiLevelType w:val="hybridMultilevel"/>
    <w:tmpl w:val="FFFFFFFF"/>
    <w:lvl w:ilvl="0" w:tplc="23EA4950">
      <w:start w:val="1"/>
      <w:numFmt w:val="decimal"/>
      <w:lvlText w:val="%1."/>
      <w:lvlJc w:val="left"/>
      <w:pPr>
        <w:ind w:left="720" w:hanging="360"/>
      </w:pPr>
    </w:lvl>
    <w:lvl w:ilvl="1" w:tplc="00B0D7C0">
      <w:start w:val="1"/>
      <w:numFmt w:val="lowerLetter"/>
      <w:lvlText w:val="%2."/>
      <w:lvlJc w:val="left"/>
      <w:pPr>
        <w:ind w:left="1440" w:hanging="360"/>
      </w:pPr>
    </w:lvl>
    <w:lvl w:ilvl="2" w:tplc="5A166454">
      <w:start w:val="1"/>
      <w:numFmt w:val="lowerRoman"/>
      <w:lvlText w:val="%3."/>
      <w:lvlJc w:val="right"/>
      <w:pPr>
        <w:ind w:left="2160" w:hanging="180"/>
      </w:pPr>
    </w:lvl>
    <w:lvl w:ilvl="3" w:tplc="53E85452">
      <w:start w:val="1"/>
      <w:numFmt w:val="decimal"/>
      <w:lvlText w:val="%4."/>
      <w:lvlJc w:val="left"/>
      <w:pPr>
        <w:ind w:left="2880" w:hanging="360"/>
      </w:pPr>
    </w:lvl>
    <w:lvl w:ilvl="4" w:tplc="2516232A">
      <w:start w:val="1"/>
      <w:numFmt w:val="lowerLetter"/>
      <w:lvlText w:val="%5."/>
      <w:lvlJc w:val="left"/>
      <w:pPr>
        <w:ind w:left="3600" w:hanging="360"/>
      </w:pPr>
    </w:lvl>
    <w:lvl w:ilvl="5" w:tplc="6A686F78">
      <w:start w:val="1"/>
      <w:numFmt w:val="lowerRoman"/>
      <w:lvlText w:val="%6."/>
      <w:lvlJc w:val="right"/>
      <w:pPr>
        <w:ind w:left="4320" w:hanging="180"/>
      </w:pPr>
    </w:lvl>
    <w:lvl w:ilvl="6" w:tplc="BEB6CF3A">
      <w:start w:val="1"/>
      <w:numFmt w:val="decimal"/>
      <w:lvlText w:val="%7."/>
      <w:lvlJc w:val="left"/>
      <w:pPr>
        <w:ind w:left="5040" w:hanging="360"/>
      </w:pPr>
    </w:lvl>
    <w:lvl w:ilvl="7" w:tplc="67FA7606">
      <w:start w:val="1"/>
      <w:numFmt w:val="lowerLetter"/>
      <w:lvlText w:val="%8."/>
      <w:lvlJc w:val="left"/>
      <w:pPr>
        <w:ind w:left="5760" w:hanging="360"/>
      </w:pPr>
    </w:lvl>
    <w:lvl w:ilvl="8" w:tplc="68421D8E">
      <w:start w:val="1"/>
      <w:numFmt w:val="lowerRoman"/>
      <w:lvlText w:val="%9."/>
      <w:lvlJc w:val="right"/>
      <w:pPr>
        <w:ind w:left="6480" w:hanging="180"/>
      </w:pPr>
    </w:lvl>
  </w:abstractNum>
  <w:abstractNum w:abstractNumId="5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2EB10DE1"/>
    <w:multiLevelType w:val="hybridMultilevel"/>
    <w:tmpl w:val="FFFFFFFF"/>
    <w:lvl w:ilvl="0" w:tplc="9982A454">
      <w:start w:val="1"/>
      <w:numFmt w:val="bullet"/>
      <w:lvlText w:val="·"/>
      <w:lvlJc w:val="left"/>
      <w:pPr>
        <w:ind w:left="720" w:hanging="360"/>
      </w:pPr>
      <w:rPr>
        <w:rFonts w:ascii="Symbol" w:hAnsi="Symbol" w:hint="default"/>
      </w:rPr>
    </w:lvl>
    <w:lvl w:ilvl="1" w:tplc="B4607DB4">
      <w:start w:val="1"/>
      <w:numFmt w:val="bullet"/>
      <w:lvlText w:val="o"/>
      <w:lvlJc w:val="left"/>
      <w:pPr>
        <w:ind w:left="1440" w:hanging="360"/>
      </w:pPr>
      <w:rPr>
        <w:rFonts w:ascii="Courier New" w:hAnsi="Courier New" w:hint="default"/>
      </w:rPr>
    </w:lvl>
    <w:lvl w:ilvl="2" w:tplc="C450C924">
      <w:start w:val="1"/>
      <w:numFmt w:val="bullet"/>
      <w:lvlText w:val=""/>
      <w:lvlJc w:val="left"/>
      <w:pPr>
        <w:ind w:left="2160" w:hanging="360"/>
      </w:pPr>
      <w:rPr>
        <w:rFonts w:ascii="Wingdings" w:hAnsi="Wingdings" w:hint="default"/>
      </w:rPr>
    </w:lvl>
    <w:lvl w:ilvl="3" w:tplc="03FE7342">
      <w:start w:val="1"/>
      <w:numFmt w:val="bullet"/>
      <w:lvlText w:val=""/>
      <w:lvlJc w:val="left"/>
      <w:pPr>
        <w:ind w:left="2880" w:hanging="360"/>
      </w:pPr>
      <w:rPr>
        <w:rFonts w:ascii="Symbol" w:hAnsi="Symbol" w:hint="default"/>
      </w:rPr>
    </w:lvl>
    <w:lvl w:ilvl="4" w:tplc="0B9CBD86">
      <w:start w:val="1"/>
      <w:numFmt w:val="bullet"/>
      <w:lvlText w:val="o"/>
      <w:lvlJc w:val="left"/>
      <w:pPr>
        <w:ind w:left="3600" w:hanging="360"/>
      </w:pPr>
      <w:rPr>
        <w:rFonts w:ascii="Courier New" w:hAnsi="Courier New" w:hint="default"/>
      </w:rPr>
    </w:lvl>
    <w:lvl w:ilvl="5" w:tplc="3FBA354C">
      <w:start w:val="1"/>
      <w:numFmt w:val="bullet"/>
      <w:lvlText w:val=""/>
      <w:lvlJc w:val="left"/>
      <w:pPr>
        <w:ind w:left="4320" w:hanging="360"/>
      </w:pPr>
      <w:rPr>
        <w:rFonts w:ascii="Wingdings" w:hAnsi="Wingdings" w:hint="default"/>
      </w:rPr>
    </w:lvl>
    <w:lvl w:ilvl="6" w:tplc="EBDCD9FE">
      <w:start w:val="1"/>
      <w:numFmt w:val="bullet"/>
      <w:lvlText w:val=""/>
      <w:lvlJc w:val="left"/>
      <w:pPr>
        <w:ind w:left="5040" w:hanging="360"/>
      </w:pPr>
      <w:rPr>
        <w:rFonts w:ascii="Symbol" w:hAnsi="Symbol" w:hint="default"/>
      </w:rPr>
    </w:lvl>
    <w:lvl w:ilvl="7" w:tplc="8A5A16D6">
      <w:start w:val="1"/>
      <w:numFmt w:val="bullet"/>
      <w:lvlText w:val="o"/>
      <w:lvlJc w:val="left"/>
      <w:pPr>
        <w:ind w:left="5760" w:hanging="360"/>
      </w:pPr>
      <w:rPr>
        <w:rFonts w:ascii="Courier New" w:hAnsi="Courier New" w:hint="default"/>
      </w:rPr>
    </w:lvl>
    <w:lvl w:ilvl="8" w:tplc="4E9892CE">
      <w:start w:val="1"/>
      <w:numFmt w:val="bullet"/>
      <w:lvlText w:val=""/>
      <w:lvlJc w:val="left"/>
      <w:pPr>
        <w:ind w:left="6480" w:hanging="360"/>
      </w:pPr>
      <w:rPr>
        <w:rFonts w:ascii="Wingdings" w:hAnsi="Wingdings" w:hint="default"/>
      </w:rPr>
    </w:lvl>
  </w:abstractNum>
  <w:abstractNum w:abstractNumId="52" w15:restartNumberingAfterBreak="0">
    <w:nsid w:val="3090C547"/>
    <w:multiLevelType w:val="hybridMultilevel"/>
    <w:tmpl w:val="6E4614A8"/>
    <w:lvl w:ilvl="0" w:tplc="F738C5B6">
      <w:start w:val="1"/>
      <w:numFmt w:val="bullet"/>
      <w:lvlText w:val="·"/>
      <w:lvlJc w:val="left"/>
      <w:pPr>
        <w:ind w:left="720" w:hanging="360"/>
      </w:pPr>
      <w:rPr>
        <w:rFonts w:ascii="Symbol" w:hAnsi="Symbol" w:hint="default"/>
      </w:rPr>
    </w:lvl>
    <w:lvl w:ilvl="1" w:tplc="5C92AB70">
      <w:start w:val="1"/>
      <w:numFmt w:val="bullet"/>
      <w:lvlText w:val="o"/>
      <w:lvlJc w:val="left"/>
      <w:pPr>
        <w:ind w:left="1440" w:hanging="360"/>
      </w:pPr>
      <w:rPr>
        <w:rFonts w:ascii="Courier New" w:hAnsi="Courier New" w:hint="default"/>
      </w:rPr>
    </w:lvl>
    <w:lvl w:ilvl="2" w:tplc="928A2238">
      <w:start w:val="1"/>
      <w:numFmt w:val="bullet"/>
      <w:lvlText w:val=""/>
      <w:lvlJc w:val="left"/>
      <w:pPr>
        <w:ind w:left="2160" w:hanging="360"/>
      </w:pPr>
      <w:rPr>
        <w:rFonts w:ascii="Wingdings" w:hAnsi="Wingdings" w:hint="default"/>
      </w:rPr>
    </w:lvl>
    <w:lvl w:ilvl="3" w:tplc="27CC3156">
      <w:start w:val="1"/>
      <w:numFmt w:val="bullet"/>
      <w:lvlText w:val=""/>
      <w:lvlJc w:val="left"/>
      <w:pPr>
        <w:ind w:left="2880" w:hanging="360"/>
      </w:pPr>
      <w:rPr>
        <w:rFonts w:ascii="Symbol" w:hAnsi="Symbol" w:hint="default"/>
      </w:rPr>
    </w:lvl>
    <w:lvl w:ilvl="4" w:tplc="0C8E0114">
      <w:start w:val="1"/>
      <w:numFmt w:val="bullet"/>
      <w:lvlText w:val="o"/>
      <w:lvlJc w:val="left"/>
      <w:pPr>
        <w:ind w:left="3600" w:hanging="360"/>
      </w:pPr>
      <w:rPr>
        <w:rFonts w:ascii="Courier New" w:hAnsi="Courier New" w:hint="default"/>
      </w:rPr>
    </w:lvl>
    <w:lvl w:ilvl="5" w:tplc="D6260564">
      <w:start w:val="1"/>
      <w:numFmt w:val="bullet"/>
      <w:lvlText w:val=""/>
      <w:lvlJc w:val="left"/>
      <w:pPr>
        <w:ind w:left="4320" w:hanging="360"/>
      </w:pPr>
      <w:rPr>
        <w:rFonts w:ascii="Wingdings" w:hAnsi="Wingdings" w:hint="default"/>
      </w:rPr>
    </w:lvl>
    <w:lvl w:ilvl="6" w:tplc="28362964">
      <w:start w:val="1"/>
      <w:numFmt w:val="bullet"/>
      <w:lvlText w:val=""/>
      <w:lvlJc w:val="left"/>
      <w:pPr>
        <w:ind w:left="5040" w:hanging="360"/>
      </w:pPr>
      <w:rPr>
        <w:rFonts w:ascii="Symbol" w:hAnsi="Symbol" w:hint="default"/>
      </w:rPr>
    </w:lvl>
    <w:lvl w:ilvl="7" w:tplc="63BC7C06">
      <w:start w:val="1"/>
      <w:numFmt w:val="bullet"/>
      <w:lvlText w:val="o"/>
      <w:lvlJc w:val="left"/>
      <w:pPr>
        <w:ind w:left="5760" w:hanging="360"/>
      </w:pPr>
      <w:rPr>
        <w:rFonts w:ascii="Courier New" w:hAnsi="Courier New" w:hint="default"/>
      </w:rPr>
    </w:lvl>
    <w:lvl w:ilvl="8" w:tplc="5B1EF2A2">
      <w:start w:val="1"/>
      <w:numFmt w:val="bullet"/>
      <w:lvlText w:val=""/>
      <w:lvlJc w:val="left"/>
      <w:pPr>
        <w:ind w:left="6480" w:hanging="360"/>
      </w:pPr>
      <w:rPr>
        <w:rFonts w:ascii="Wingdings" w:hAnsi="Wingdings" w:hint="default"/>
      </w:rPr>
    </w:lvl>
  </w:abstractNum>
  <w:abstractNum w:abstractNumId="53" w15:restartNumberingAfterBreak="0">
    <w:nsid w:val="317FF226"/>
    <w:multiLevelType w:val="hybridMultilevel"/>
    <w:tmpl w:val="8ECCC852"/>
    <w:lvl w:ilvl="0" w:tplc="A626AD22">
      <w:start w:val="1"/>
      <w:numFmt w:val="bullet"/>
      <w:lvlText w:val="·"/>
      <w:lvlJc w:val="left"/>
      <w:pPr>
        <w:ind w:left="720" w:hanging="360"/>
      </w:pPr>
      <w:rPr>
        <w:rFonts w:ascii="Symbol" w:hAnsi="Symbol" w:hint="default"/>
      </w:rPr>
    </w:lvl>
    <w:lvl w:ilvl="1" w:tplc="73D29A3E">
      <w:start w:val="1"/>
      <w:numFmt w:val="bullet"/>
      <w:lvlText w:val="o"/>
      <w:lvlJc w:val="left"/>
      <w:pPr>
        <w:ind w:left="1440" w:hanging="360"/>
      </w:pPr>
      <w:rPr>
        <w:rFonts w:ascii="Courier New" w:hAnsi="Courier New" w:hint="default"/>
      </w:rPr>
    </w:lvl>
    <w:lvl w:ilvl="2" w:tplc="B058C5A6">
      <w:start w:val="1"/>
      <w:numFmt w:val="bullet"/>
      <w:lvlText w:val=""/>
      <w:lvlJc w:val="left"/>
      <w:pPr>
        <w:ind w:left="2160" w:hanging="360"/>
      </w:pPr>
      <w:rPr>
        <w:rFonts w:ascii="Wingdings" w:hAnsi="Wingdings" w:hint="default"/>
      </w:rPr>
    </w:lvl>
    <w:lvl w:ilvl="3" w:tplc="FCEC94BE">
      <w:start w:val="1"/>
      <w:numFmt w:val="bullet"/>
      <w:lvlText w:val=""/>
      <w:lvlJc w:val="left"/>
      <w:pPr>
        <w:ind w:left="2880" w:hanging="360"/>
      </w:pPr>
      <w:rPr>
        <w:rFonts w:ascii="Symbol" w:hAnsi="Symbol" w:hint="default"/>
      </w:rPr>
    </w:lvl>
    <w:lvl w:ilvl="4" w:tplc="DBB2F576">
      <w:start w:val="1"/>
      <w:numFmt w:val="bullet"/>
      <w:lvlText w:val="o"/>
      <w:lvlJc w:val="left"/>
      <w:pPr>
        <w:ind w:left="3600" w:hanging="360"/>
      </w:pPr>
      <w:rPr>
        <w:rFonts w:ascii="Courier New" w:hAnsi="Courier New" w:hint="default"/>
      </w:rPr>
    </w:lvl>
    <w:lvl w:ilvl="5" w:tplc="7BCA51F4">
      <w:start w:val="1"/>
      <w:numFmt w:val="bullet"/>
      <w:lvlText w:val=""/>
      <w:lvlJc w:val="left"/>
      <w:pPr>
        <w:ind w:left="4320" w:hanging="360"/>
      </w:pPr>
      <w:rPr>
        <w:rFonts w:ascii="Wingdings" w:hAnsi="Wingdings" w:hint="default"/>
      </w:rPr>
    </w:lvl>
    <w:lvl w:ilvl="6" w:tplc="721E43EC">
      <w:start w:val="1"/>
      <w:numFmt w:val="bullet"/>
      <w:lvlText w:val=""/>
      <w:lvlJc w:val="left"/>
      <w:pPr>
        <w:ind w:left="5040" w:hanging="360"/>
      </w:pPr>
      <w:rPr>
        <w:rFonts w:ascii="Symbol" w:hAnsi="Symbol" w:hint="default"/>
      </w:rPr>
    </w:lvl>
    <w:lvl w:ilvl="7" w:tplc="3C34F1B2">
      <w:start w:val="1"/>
      <w:numFmt w:val="bullet"/>
      <w:lvlText w:val="o"/>
      <w:lvlJc w:val="left"/>
      <w:pPr>
        <w:ind w:left="5760" w:hanging="360"/>
      </w:pPr>
      <w:rPr>
        <w:rFonts w:ascii="Courier New" w:hAnsi="Courier New" w:hint="default"/>
      </w:rPr>
    </w:lvl>
    <w:lvl w:ilvl="8" w:tplc="03226AF4">
      <w:start w:val="1"/>
      <w:numFmt w:val="bullet"/>
      <w:lvlText w:val=""/>
      <w:lvlJc w:val="left"/>
      <w:pPr>
        <w:ind w:left="6480" w:hanging="360"/>
      </w:pPr>
      <w:rPr>
        <w:rFonts w:ascii="Wingdings" w:hAnsi="Wingdings" w:hint="default"/>
      </w:rPr>
    </w:lvl>
  </w:abstractNum>
  <w:abstractNum w:abstractNumId="54" w15:restartNumberingAfterBreak="0">
    <w:nsid w:val="33BC6D18"/>
    <w:multiLevelType w:val="hybridMultilevel"/>
    <w:tmpl w:val="01D48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4A964D0"/>
    <w:multiLevelType w:val="hybridMultilevel"/>
    <w:tmpl w:val="8B688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5F7795A"/>
    <w:multiLevelType w:val="hybridMultilevel"/>
    <w:tmpl w:val="A6A48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62AB1E7"/>
    <w:multiLevelType w:val="hybridMultilevel"/>
    <w:tmpl w:val="5BCACCB6"/>
    <w:lvl w:ilvl="0" w:tplc="0598E2A6">
      <w:start w:val="1"/>
      <w:numFmt w:val="bullet"/>
      <w:lvlText w:val="·"/>
      <w:lvlJc w:val="left"/>
      <w:pPr>
        <w:ind w:left="6" w:hanging="360"/>
      </w:pPr>
      <w:rPr>
        <w:rFonts w:ascii="Symbol" w:hAnsi="Symbol" w:hint="default"/>
      </w:rPr>
    </w:lvl>
    <w:lvl w:ilvl="1" w:tplc="B4709AA0">
      <w:start w:val="1"/>
      <w:numFmt w:val="bullet"/>
      <w:lvlText w:val="o"/>
      <w:lvlJc w:val="left"/>
      <w:pPr>
        <w:ind w:left="726" w:hanging="360"/>
      </w:pPr>
      <w:rPr>
        <w:rFonts w:ascii="Courier New" w:hAnsi="Courier New" w:hint="default"/>
      </w:rPr>
    </w:lvl>
    <w:lvl w:ilvl="2" w:tplc="8BC464DE">
      <w:start w:val="1"/>
      <w:numFmt w:val="bullet"/>
      <w:lvlText w:val=""/>
      <w:lvlJc w:val="left"/>
      <w:pPr>
        <w:ind w:left="1446" w:hanging="360"/>
      </w:pPr>
      <w:rPr>
        <w:rFonts w:ascii="Wingdings" w:hAnsi="Wingdings" w:hint="default"/>
      </w:rPr>
    </w:lvl>
    <w:lvl w:ilvl="3" w:tplc="F1A285CC">
      <w:start w:val="1"/>
      <w:numFmt w:val="bullet"/>
      <w:lvlText w:val=""/>
      <w:lvlJc w:val="left"/>
      <w:pPr>
        <w:ind w:left="2166" w:hanging="360"/>
      </w:pPr>
      <w:rPr>
        <w:rFonts w:ascii="Symbol" w:hAnsi="Symbol" w:hint="default"/>
      </w:rPr>
    </w:lvl>
    <w:lvl w:ilvl="4" w:tplc="701C72D6">
      <w:start w:val="1"/>
      <w:numFmt w:val="bullet"/>
      <w:lvlText w:val="o"/>
      <w:lvlJc w:val="left"/>
      <w:pPr>
        <w:ind w:left="2886" w:hanging="360"/>
      </w:pPr>
      <w:rPr>
        <w:rFonts w:ascii="Courier New" w:hAnsi="Courier New" w:hint="default"/>
      </w:rPr>
    </w:lvl>
    <w:lvl w:ilvl="5" w:tplc="F17CD078">
      <w:start w:val="1"/>
      <w:numFmt w:val="bullet"/>
      <w:lvlText w:val=""/>
      <w:lvlJc w:val="left"/>
      <w:pPr>
        <w:ind w:left="3606" w:hanging="360"/>
      </w:pPr>
      <w:rPr>
        <w:rFonts w:ascii="Wingdings" w:hAnsi="Wingdings" w:hint="default"/>
      </w:rPr>
    </w:lvl>
    <w:lvl w:ilvl="6" w:tplc="1DA0D54C">
      <w:start w:val="1"/>
      <w:numFmt w:val="bullet"/>
      <w:lvlText w:val=""/>
      <w:lvlJc w:val="left"/>
      <w:pPr>
        <w:ind w:left="4326" w:hanging="360"/>
      </w:pPr>
      <w:rPr>
        <w:rFonts w:ascii="Symbol" w:hAnsi="Symbol" w:hint="default"/>
      </w:rPr>
    </w:lvl>
    <w:lvl w:ilvl="7" w:tplc="5658D7E0">
      <w:start w:val="1"/>
      <w:numFmt w:val="bullet"/>
      <w:lvlText w:val="o"/>
      <w:lvlJc w:val="left"/>
      <w:pPr>
        <w:ind w:left="5046" w:hanging="360"/>
      </w:pPr>
      <w:rPr>
        <w:rFonts w:ascii="Courier New" w:hAnsi="Courier New" w:hint="default"/>
      </w:rPr>
    </w:lvl>
    <w:lvl w:ilvl="8" w:tplc="2F120A36">
      <w:start w:val="1"/>
      <w:numFmt w:val="bullet"/>
      <w:lvlText w:val=""/>
      <w:lvlJc w:val="left"/>
      <w:pPr>
        <w:ind w:left="5766" w:hanging="360"/>
      </w:pPr>
      <w:rPr>
        <w:rFonts w:ascii="Wingdings" w:hAnsi="Wingdings" w:hint="default"/>
      </w:rPr>
    </w:lvl>
  </w:abstractNum>
  <w:abstractNum w:abstractNumId="5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88F79EC"/>
    <w:multiLevelType w:val="hybridMultilevel"/>
    <w:tmpl w:val="36EEB4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99012CE"/>
    <w:multiLevelType w:val="hybridMultilevel"/>
    <w:tmpl w:val="2B8615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3A52101C"/>
    <w:multiLevelType w:val="hybridMultilevel"/>
    <w:tmpl w:val="7568B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A9F2FE2"/>
    <w:multiLevelType w:val="hybridMultilevel"/>
    <w:tmpl w:val="458A23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3" w15:restartNumberingAfterBreak="0">
    <w:nsid w:val="3D506B3E"/>
    <w:multiLevelType w:val="hybridMultilevel"/>
    <w:tmpl w:val="E4CAD012"/>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3D8A1A95"/>
    <w:multiLevelType w:val="hybridMultilevel"/>
    <w:tmpl w:val="08A4E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3E470B2D"/>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F444E13"/>
    <w:multiLevelType w:val="hybridMultilevel"/>
    <w:tmpl w:val="083C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01626C9"/>
    <w:multiLevelType w:val="hybridMultilevel"/>
    <w:tmpl w:val="21FC12B0"/>
    <w:lvl w:ilvl="0" w:tplc="3BF236B8">
      <w:start w:val="1"/>
      <w:numFmt w:val="bullet"/>
      <w:lvlText w:val="·"/>
      <w:lvlJc w:val="left"/>
      <w:pPr>
        <w:ind w:left="720" w:hanging="360"/>
      </w:pPr>
      <w:rPr>
        <w:rFonts w:ascii="Symbol" w:hAnsi="Symbol" w:hint="default"/>
      </w:rPr>
    </w:lvl>
    <w:lvl w:ilvl="1" w:tplc="828800E8">
      <w:start w:val="1"/>
      <w:numFmt w:val="bullet"/>
      <w:lvlText w:val="o"/>
      <w:lvlJc w:val="left"/>
      <w:pPr>
        <w:ind w:left="1440" w:hanging="360"/>
      </w:pPr>
      <w:rPr>
        <w:rFonts w:ascii="Courier New" w:hAnsi="Courier New" w:hint="default"/>
      </w:rPr>
    </w:lvl>
    <w:lvl w:ilvl="2" w:tplc="25207F36">
      <w:start w:val="1"/>
      <w:numFmt w:val="bullet"/>
      <w:lvlText w:val=""/>
      <w:lvlJc w:val="left"/>
      <w:pPr>
        <w:ind w:left="2160" w:hanging="360"/>
      </w:pPr>
      <w:rPr>
        <w:rFonts w:ascii="Wingdings" w:hAnsi="Wingdings" w:hint="default"/>
      </w:rPr>
    </w:lvl>
    <w:lvl w:ilvl="3" w:tplc="A378C8A0">
      <w:start w:val="1"/>
      <w:numFmt w:val="bullet"/>
      <w:lvlText w:val=""/>
      <w:lvlJc w:val="left"/>
      <w:pPr>
        <w:ind w:left="2880" w:hanging="360"/>
      </w:pPr>
      <w:rPr>
        <w:rFonts w:ascii="Symbol" w:hAnsi="Symbol" w:hint="default"/>
      </w:rPr>
    </w:lvl>
    <w:lvl w:ilvl="4" w:tplc="5AC844D4">
      <w:start w:val="1"/>
      <w:numFmt w:val="bullet"/>
      <w:lvlText w:val="o"/>
      <w:lvlJc w:val="left"/>
      <w:pPr>
        <w:ind w:left="3600" w:hanging="360"/>
      </w:pPr>
      <w:rPr>
        <w:rFonts w:ascii="Courier New" w:hAnsi="Courier New" w:hint="default"/>
      </w:rPr>
    </w:lvl>
    <w:lvl w:ilvl="5" w:tplc="D5C6AA26">
      <w:start w:val="1"/>
      <w:numFmt w:val="bullet"/>
      <w:lvlText w:val=""/>
      <w:lvlJc w:val="left"/>
      <w:pPr>
        <w:ind w:left="4320" w:hanging="360"/>
      </w:pPr>
      <w:rPr>
        <w:rFonts w:ascii="Wingdings" w:hAnsi="Wingdings" w:hint="default"/>
      </w:rPr>
    </w:lvl>
    <w:lvl w:ilvl="6" w:tplc="FBDAA868">
      <w:start w:val="1"/>
      <w:numFmt w:val="bullet"/>
      <w:lvlText w:val=""/>
      <w:lvlJc w:val="left"/>
      <w:pPr>
        <w:ind w:left="5040" w:hanging="360"/>
      </w:pPr>
      <w:rPr>
        <w:rFonts w:ascii="Symbol" w:hAnsi="Symbol" w:hint="default"/>
      </w:rPr>
    </w:lvl>
    <w:lvl w:ilvl="7" w:tplc="0B9817A8">
      <w:start w:val="1"/>
      <w:numFmt w:val="bullet"/>
      <w:lvlText w:val="o"/>
      <w:lvlJc w:val="left"/>
      <w:pPr>
        <w:ind w:left="5760" w:hanging="360"/>
      </w:pPr>
      <w:rPr>
        <w:rFonts w:ascii="Courier New" w:hAnsi="Courier New" w:hint="default"/>
      </w:rPr>
    </w:lvl>
    <w:lvl w:ilvl="8" w:tplc="051EA368">
      <w:start w:val="1"/>
      <w:numFmt w:val="bullet"/>
      <w:lvlText w:val=""/>
      <w:lvlJc w:val="left"/>
      <w:pPr>
        <w:ind w:left="6480" w:hanging="360"/>
      </w:pPr>
      <w:rPr>
        <w:rFonts w:ascii="Wingdings" w:hAnsi="Wingdings" w:hint="default"/>
      </w:rPr>
    </w:lvl>
  </w:abstractNum>
  <w:abstractNum w:abstractNumId="68" w15:restartNumberingAfterBreak="0">
    <w:nsid w:val="40B233DA"/>
    <w:multiLevelType w:val="hybridMultilevel"/>
    <w:tmpl w:val="FE54A9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410808DD"/>
    <w:multiLevelType w:val="hybridMultilevel"/>
    <w:tmpl w:val="AA04DA84"/>
    <w:lvl w:ilvl="0" w:tplc="137AB1DA">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41F93C09"/>
    <w:multiLevelType w:val="hybridMultilevel"/>
    <w:tmpl w:val="441A1076"/>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436A7891"/>
    <w:multiLevelType w:val="multilevel"/>
    <w:tmpl w:val="C6729128"/>
    <w:lvl w:ilvl="0">
      <w:start w:val="1"/>
      <w:numFmt w:val="decimal"/>
      <w:pStyle w:val="FigureHeading"/>
      <w:lvlText w:val="Figur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44A77713"/>
    <w:multiLevelType w:val="hybridMultilevel"/>
    <w:tmpl w:val="C2D89076"/>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73" w15:restartNumberingAfterBreak="0">
    <w:nsid w:val="4615514F"/>
    <w:multiLevelType w:val="multilevel"/>
    <w:tmpl w:val="B7D4BE12"/>
    <w:lvl w:ilvl="0">
      <w:start w:val="1"/>
      <w:numFmt w:val="decimal"/>
      <w:lvlText w:val="%1"/>
      <w:lvlJc w:val="left"/>
      <w:pPr>
        <w:ind w:left="480" w:hanging="480"/>
      </w:pPr>
      <w:rPr>
        <w:rFonts w:hint="default"/>
      </w:rPr>
    </w:lvl>
    <w:lvl w:ilvl="1">
      <w:start w:val="1"/>
      <w:numFmt w:val="decimal"/>
      <w:lvlText w:val="%1.%2"/>
      <w:lvlJc w:val="left"/>
      <w:pPr>
        <w:ind w:left="480" w:hanging="48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46EF0F0F"/>
    <w:multiLevelType w:val="hybridMultilevel"/>
    <w:tmpl w:val="BC6869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4762344E"/>
    <w:multiLevelType w:val="multilevel"/>
    <w:tmpl w:val="B474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B814FA"/>
    <w:multiLevelType w:val="hybridMultilevel"/>
    <w:tmpl w:val="F1E8DC1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BCD359E"/>
    <w:multiLevelType w:val="multilevel"/>
    <w:tmpl w:val="B7D4BE12"/>
    <w:styleLink w:val="CurrentList1"/>
    <w:lvl w:ilvl="0">
      <w:start w:val="1"/>
      <w:numFmt w:val="decimal"/>
      <w:lvlText w:val="%1"/>
      <w:lvlJc w:val="left"/>
      <w:pPr>
        <w:ind w:left="480" w:hanging="480"/>
      </w:pPr>
      <w:rPr>
        <w:rFonts w:hint="default"/>
      </w:rPr>
    </w:lvl>
    <w:lvl w:ilvl="1">
      <w:start w:val="1"/>
      <w:numFmt w:val="decimal"/>
      <w:lvlText w:val="%1.%2"/>
      <w:lvlJc w:val="left"/>
      <w:pPr>
        <w:ind w:left="480" w:hanging="48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4E9316AA"/>
    <w:multiLevelType w:val="hybridMultilevel"/>
    <w:tmpl w:val="56707F4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089702E"/>
    <w:multiLevelType w:val="hybridMultilevel"/>
    <w:tmpl w:val="511625A8"/>
    <w:lvl w:ilvl="0" w:tplc="0C090001">
      <w:start w:val="1"/>
      <w:numFmt w:val="bullet"/>
      <w:lvlText w:val=""/>
      <w:lvlJc w:val="left"/>
      <w:pPr>
        <w:ind w:left="360" w:hanging="360"/>
      </w:pPr>
      <w:rPr>
        <w:rFonts w:ascii="Symbol" w:hAnsi="Symbol" w:hint="default"/>
      </w:rPr>
    </w:lvl>
    <w:lvl w:ilvl="1" w:tplc="FC96A446">
      <w:numFmt w:val="bullet"/>
      <w:lvlText w:val=""/>
      <w:lvlJc w:val="left"/>
      <w:pPr>
        <w:ind w:left="1080" w:hanging="360"/>
      </w:pPr>
      <w:rPr>
        <w:rFonts w:ascii="Wingdings" w:eastAsia="Calibri" w:hAnsi="Wingdings" w:cstheme="minorHAns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50928560"/>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1B55A79"/>
    <w:multiLevelType w:val="hybridMultilevel"/>
    <w:tmpl w:val="FFFFFFFF"/>
    <w:lvl w:ilvl="0" w:tplc="64188A8E">
      <w:start w:val="1"/>
      <w:numFmt w:val="bullet"/>
      <w:lvlText w:val="o"/>
      <w:lvlJc w:val="left"/>
      <w:pPr>
        <w:ind w:left="720" w:hanging="360"/>
      </w:pPr>
      <w:rPr>
        <w:rFonts w:ascii="Courier New" w:hAnsi="Courier New" w:hint="default"/>
      </w:rPr>
    </w:lvl>
    <w:lvl w:ilvl="1" w:tplc="D184491C">
      <w:start w:val="1"/>
      <w:numFmt w:val="bullet"/>
      <w:lvlText w:val="o"/>
      <w:lvlJc w:val="left"/>
      <w:pPr>
        <w:ind w:left="1440" w:hanging="360"/>
      </w:pPr>
      <w:rPr>
        <w:rFonts w:ascii="Courier New" w:hAnsi="Courier New" w:hint="default"/>
      </w:rPr>
    </w:lvl>
    <w:lvl w:ilvl="2" w:tplc="4B2AE62E">
      <w:start w:val="1"/>
      <w:numFmt w:val="bullet"/>
      <w:lvlText w:val=""/>
      <w:lvlJc w:val="left"/>
      <w:pPr>
        <w:ind w:left="2160" w:hanging="360"/>
      </w:pPr>
      <w:rPr>
        <w:rFonts w:ascii="Wingdings" w:hAnsi="Wingdings" w:hint="default"/>
      </w:rPr>
    </w:lvl>
    <w:lvl w:ilvl="3" w:tplc="2580E9E4">
      <w:start w:val="1"/>
      <w:numFmt w:val="bullet"/>
      <w:lvlText w:val=""/>
      <w:lvlJc w:val="left"/>
      <w:pPr>
        <w:ind w:left="2880" w:hanging="360"/>
      </w:pPr>
      <w:rPr>
        <w:rFonts w:ascii="Symbol" w:hAnsi="Symbol" w:hint="default"/>
      </w:rPr>
    </w:lvl>
    <w:lvl w:ilvl="4" w:tplc="976EFAC0">
      <w:start w:val="1"/>
      <w:numFmt w:val="bullet"/>
      <w:lvlText w:val="o"/>
      <w:lvlJc w:val="left"/>
      <w:pPr>
        <w:ind w:left="3600" w:hanging="360"/>
      </w:pPr>
      <w:rPr>
        <w:rFonts w:ascii="Courier New" w:hAnsi="Courier New" w:hint="default"/>
      </w:rPr>
    </w:lvl>
    <w:lvl w:ilvl="5" w:tplc="3434FEC6">
      <w:start w:val="1"/>
      <w:numFmt w:val="bullet"/>
      <w:lvlText w:val=""/>
      <w:lvlJc w:val="left"/>
      <w:pPr>
        <w:ind w:left="4320" w:hanging="360"/>
      </w:pPr>
      <w:rPr>
        <w:rFonts w:ascii="Wingdings" w:hAnsi="Wingdings" w:hint="default"/>
      </w:rPr>
    </w:lvl>
    <w:lvl w:ilvl="6" w:tplc="92F4178E">
      <w:start w:val="1"/>
      <w:numFmt w:val="bullet"/>
      <w:lvlText w:val=""/>
      <w:lvlJc w:val="left"/>
      <w:pPr>
        <w:ind w:left="5040" w:hanging="360"/>
      </w:pPr>
      <w:rPr>
        <w:rFonts w:ascii="Symbol" w:hAnsi="Symbol" w:hint="default"/>
      </w:rPr>
    </w:lvl>
    <w:lvl w:ilvl="7" w:tplc="E5FE0884">
      <w:start w:val="1"/>
      <w:numFmt w:val="bullet"/>
      <w:lvlText w:val="o"/>
      <w:lvlJc w:val="left"/>
      <w:pPr>
        <w:ind w:left="5760" w:hanging="360"/>
      </w:pPr>
      <w:rPr>
        <w:rFonts w:ascii="Courier New" w:hAnsi="Courier New" w:hint="default"/>
      </w:rPr>
    </w:lvl>
    <w:lvl w:ilvl="8" w:tplc="144C19B2">
      <w:start w:val="1"/>
      <w:numFmt w:val="bullet"/>
      <w:lvlText w:val=""/>
      <w:lvlJc w:val="left"/>
      <w:pPr>
        <w:ind w:left="6480" w:hanging="360"/>
      </w:pPr>
      <w:rPr>
        <w:rFonts w:ascii="Wingdings" w:hAnsi="Wingdings" w:hint="default"/>
      </w:rPr>
    </w:lvl>
  </w:abstractNum>
  <w:abstractNum w:abstractNumId="82" w15:restartNumberingAfterBreak="0">
    <w:nsid w:val="52461E40"/>
    <w:multiLevelType w:val="hybridMultilevel"/>
    <w:tmpl w:val="61D0F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530A7218"/>
    <w:multiLevelType w:val="hybridMultilevel"/>
    <w:tmpl w:val="FFFFFFFF"/>
    <w:lvl w:ilvl="0" w:tplc="CDA60C10">
      <w:start w:val="1"/>
      <w:numFmt w:val="bullet"/>
      <w:lvlText w:val=""/>
      <w:lvlJc w:val="left"/>
      <w:pPr>
        <w:ind w:left="720" w:hanging="360"/>
      </w:pPr>
      <w:rPr>
        <w:rFonts w:ascii="Symbol" w:hAnsi="Symbol" w:hint="default"/>
      </w:rPr>
    </w:lvl>
    <w:lvl w:ilvl="1" w:tplc="165AD9F8">
      <w:start w:val="1"/>
      <w:numFmt w:val="bullet"/>
      <w:lvlText w:val="o"/>
      <w:lvlJc w:val="left"/>
      <w:pPr>
        <w:ind w:left="1440" w:hanging="360"/>
      </w:pPr>
      <w:rPr>
        <w:rFonts w:ascii="Courier New" w:hAnsi="Courier New" w:hint="default"/>
      </w:rPr>
    </w:lvl>
    <w:lvl w:ilvl="2" w:tplc="7EC0287C">
      <w:start w:val="1"/>
      <w:numFmt w:val="bullet"/>
      <w:lvlText w:val=""/>
      <w:lvlJc w:val="left"/>
      <w:pPr>
        <w:ind w:left="2160" w:hanging="360"/>
      </w:pPr>
      <w:rPr>
        <w:rFonts w:ascii="Wingdings" w:hAnsi="Wingdings" w:hint="default"/>
      </w:rPr>
    </w:lvl>
    <w:lvl w:ilvl="3" w:tplc="7DFCC270">
      <w:start w:val="1"/>
      <w:numFmt w:val="bullet"/>
      <w:lvlText w:val=""/>
      <w:lvlJc w:val="left"/>
      <w:pPr>
        <w:ind w:left="2880" w:hanging="360"/>
      </w:pPr>
      <w:rPr>
        <w:rFonts w:ascii="Symbol" w:hAnsi="Symbol" w:hint="default"/>
      </w:rPr>
    </w:lvl>
    <w:lvl w:ilvl="4" w:tplc="E8129E68">
      <w:start w:val="1"/>
      <w:numFmt w:val="bullet"/>
      <w:lvlText w:val="o"/>
      <w:lvlJc w:val="left"/>
      <w:pPr>
        <w:ind w:left="3600" w:hanging="360"/>
      </w:pPr>
      <w:rPr>
        <w:rFonts w:ascii="Courier New" w:hAnsi="Courier New" w:hint="default"/>
      </w:rPr>
    </w:lvl>
    <w:lvl w:ilvl="5" w:tplc="A072D648">
      <w:start w:val="1"/>
      <w:numFmt w:val="bullet"/>
      <w:lvlText w:val=""/>
      <w:lvlJc w:val="left"/>
      <w:pPr>
        <w:ind w:left="4320" w:hanging="360"/>
      </w:pPr>
      <w:rPr>
        <w:rFonts w:ascii="Wingdings" w:hAnsi="Wingdings" w:hint="default"/>
      </w:rPr>
    </w:lvl>
    <w:lvl w:ilvl="6" w:tplc="0540ACD6">
      <w:start w:val="1"/>
      <w:numFmt w:val="bullet"/>
      <w:lvlText w:val=""/>
      <w:lvlJc w:val="left"/>
      <w:pPr>
        <w:ind w:left="5040" w:hanging="360"/>
      </w:pPr>
      <w:rPr>
        <w:rFonts w:ascii="Symbol" w:hAnsi="Symbol" w:hint="default"/>
      </w:rPr>
    </w:lvl>
    <w:lvl w:ilvl="7" w:tplc="0A42D1D2">
      <w:start w:val="1"/>
      <w:numFmt w:val="bullet"/>
      <w:lvlText w:val="o"/>
      <w:lvlJc w:val="left"/>
      <w:pPr>
        <w:ind w:left="5760" w:hanging="360"/>
      </w:pPr>
      <w:rPr>
        <w:rFonts w:ascii="Courier New" w:hAnsi="Courier New" w:hint="default"/>
      </w:rPr>
    </w:lvl>
    <w:lvl w:ilvl="8" w:tplc="1D409936">
      <w:start w:val="1"/>
      <w:numFmt w:val="bullet"/>
      <w:lvlText w:val=""/>
      <w:lvlJc w:val="left"/>
      <w:pPr>
        <w:ind w:left="6480" w:hanging="360"/>
      </w:pPr>
      <w:rPr>
        <w:rFonts w:ascii="Wingdings" w:hAnsi="Wingdings" w:hint="default"/>
      </w:rPr>
    </w:lvl>
  </w:abstractNum>
  <w:abstractNum w:abstractNumId="84" w15:restartNumberingAfterBreak="0">
    <w:nsid w:val="53582E22"/>
    <w:multiLevelType w:val="hybridMultilevel"/>
    <w:tmpl w:val="16B0B054"/>
    <w:lvl w:ilvl="0" w:tplc="81D42CE0">
      <w:start w:val="1"/>
      <w:numFmt w:val="bullet"/>
      <w:lvlText w:val=""/>
      <w:lvlJc w:val="left"/>
      <w:pPr>
        <w:ind w:left="720" w:hanging="360"/>
      </w:pPr>
      <w:rPr>
        <w:rFonts w:ascii="Wingdings" w:hAnsi="Wingdings" w:hint="default"/>
      </w:rPr>
    </w:lvl>
    <w:lvl w:ilvl="1" w:tplc="81D42CE0">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3A22EC1"/>
    <w:multiLevelType w:val="hybridMultilevel"/>
    <w:tmpl w:val="9D78A8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54A63D94"/>
    <w:multiLevelType w:val="multilevel"/>
    <w:tmpl w:val="4F68E302"/>
    <w:styleLink w:val="CurrentList2"/>
    <w:lvl w:ilvl="0">
      <w:start w:val="1"/>
      <w:numFmt w:val="bullet"/>
      <w:lvlText w:val=""/>
      <w:lvlJc w:val="left"/>
      <w:pPr>
        <w:ind w:left="360" w:hanging="360"/>
      </w:pPr>
      <w:rPr>
        <w:rFonts w:ascii="Symbol" w:hAnsi="Symbol"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552C4A61"/>
    <w:multiLevelType w:val="hybridMultilevel"/>
    <w:tmpl w:val="4A46E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6392269"/>
    <w:multiLevelType w:val="hybridMultilevel"/>
    <w:tmpl w:val="D11E15F6"/>
    <w:lvl w:ilvl="0" w:tplc="56AC7E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7702C4F"/>
    <w:multiLevelType w:val="hybridMultilevel"/>
    <w:tmpl w:val="F732032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0" w15:restartNumberingAfterBreak="0">
    <w:nsid w:val="59CD66C6"/>
    <w:multiLevelType w:val="hybridMultilevel"/>
    <w:tmpl w:val="F2A8AE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15:restartNumberingAfterBreak="0">
    <w:nsid w:val="5A7039FC"/>
    <w:multiLevelType w:val="hybridMultilevel"/>
    <w:tmpl w:val="89422D6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92" w15:restartNumberingAfterBreak="0">
    <w:nsid w:val="5A9C6C6B"/>
    <w:multiLevelType w:val="multilevel"/>
    <w:tmpl w:val="3258E068"/>
    <w:lvl w:ilvl="0">
      <w:start w:val="1"/>
      <w:numFmt w:val="decimal"/>
      <w:lvlText w:val="%1"/>
      <w:lvlJc w:val="left"/>
      <w:pPr>
        <w:ind w:left="717" w:hanging="360"/>
      </w:pPr>
      <w:rPr>
        <w:rFonts w:hint="default"/>
      </w:rPr>
    </w:lvl>
    <w:lvl w:ilvl="1">
      <w:start w:val="1"/>
      <w:numFmt w:val="upperLetter"/>
      <w:lvlText w:val="%2"/>
      <w:lvlJc w:val="left"/>
      <w:pPr>
        <w:ind w:left="1077" w:hanging="360"/>
      </w:pPr>
      <w:rPr>
        <w:rFonts w:hint="default"/>
      </w:rPr>
    </w:lvl>
    <w:lvl w:ilvl="2">
      <w:start w:val="1"/>
      <w:numFmt w:val="lowerRoman"/>
      <w:lvlText w:val="%3"/>
      <w:lvlJc w:val="left"/>
      <w:pPr>
        <w:ind w:left="1437" w:hanging="360"/>
      </w:pPr>
      <w:rPr>
        <w:rFonts w:hint="default"/>
      </w:rPr>
    </w:lvl>
    <w:lvl w:ilvl="3">
      <w:start w:val="1"/>
      <w:numFmt w:val="lowerLetter"/>
      <w:lvlText w:val="%4"/>
      <w:lvlJc w:val="left"/>
      <w:pPr>
        <w:ind w:left="1797" w:hanging="360"/>
      </w:pPr>
      <w:rPr>
        <w:rFonts w:hint="default"/>
      </w:rPr>
    </w:lvl>
    <w:lvl w:ilvl="4">
      <w:start w:val="1"/>
      <w:numFmt w:val="bullet"/>
      <w:lvlText w:val="•"/>
      <w:lvlJc w:val="left"/>
      <w:pPr>
        <w:ind w:left="2157" w:hanging="360"/>
      </w:pPr>
      <w:rPr>
        <w:rFonts w:ascii="Helvetica" w:hAnsi="Helvetica" w:hint="default"/>
      </w:rPr>
    </w:lvl>
    <w:lvl w:ilvl="5">
      <w:start w:val="1"/>
      <w:numFmt w:val="bullet"/>
      <w:lvlText w:val="–"/>
      <w:lvlJc w:val="left"/>
      <w:pPr>
        <w:ind w:left="2517" w:hanging="360"/>
      </w:pPr>
      <w:rPr>
        <w:rFonts w:ascii="Helvetica" w:hAnsi="Helvetica" w:hint="default"/>
      </w:rPr>
    </w:lvl>
    <w:lvl w:ilvl="6">
      <w:start w:val="1"/>
      <w:numFmt w:val="bullet"/>
      <w:lvlText w:val="•"/>
      <w:lvlJc w:val="left"/>
      <w:pPr>
        <w:ind w:left="2877" w:hanging="360"/>
      </w:pPr>
      <w:rPr>
        <w:rFonts w:ascii="Helvetica" w:hAnsi="Helvetica" w:hint="default"/>
      </w:rPr>
    </w:lvl>
    <w:lvl w:ilvl="7">
      <w:start w:val="1"/>
      <w:numFmt w:val="bullet"/>
      <w:lvlText w:val="–"/>
      <w:lvlJc w:val="left"/>
      <w:pPr>
        <w:ind w:left="3237" w:hanging="360"/>
      </w:pPr>
      <w:rPr>
        <w:rFonts w:ascii="Helvetica" w:hAnsi="Helvetica" w:hint="default"/>
      </w:rPr>
    </w:lvl>
    <w:lvl w:ilvl="8">
      <w:start w:val="1"/>
      <w:numFmt w:val="bullet"/>
      <w:lvlText w:val="•"/>
      <w:lvlJc w:val="left"/>
      <w:pPr>
        <w:ind w:left="3597" w:hanging="360"/>
      </w:pPr>
      <w:rPr>
        <w:rFonts w:ascii="Helvetica" w:hAnsi="Helvetica" w:hint="default"/>
      </w:rPr>
    </w:lvl>
  </w:abstractNum>
  <w:abstractNum w:abstractNumId="93" w15:restartNumberingAfterBreak="0">
    <w:nsid w:val="5AD3BE23"/>
    <w:multiLevelType w:val="hybridMultilevel"/>
    <w:tmpl w:val="B6CC24CA"/>
    <w:lvl w:ilvl="0" w:tplc="C41052E8">
      <w:start w:val="1"/>
      <w:numFmt w:val="bullet"/>
      <w:lvlText w:val="·"/>
      <w:lvlJc w:val="left"/>
      <w:pPr>
        <w:ind w:left="720" w:hanging="360"/>
      </w:pPr>
      <w:rPr>
        <w:rFonts w:ascii="Symbol" w:hAnsi="Symbol" w:hint="default"/>
      </w:rPr>
    </w:lvl>
    <w:lvl w:ilvl="1" w:tplc="05061EC8">
      <w:start w:val="1"/>
      <w:numFmt w:val="bullet"/>
      <w:lvlText w:val="o"/>
      <w:lvlJc w:val="left"/>
      <w:pPr>
        <w:ind w:left="1440" w:hanging="360"/>
      </w:pPr>
      <w:rPr>
        <w:rFonts w:ascii="Courier New" w:hAnsi="Courier New" w:hint="default"/>
      </w:rPr>
    </w:lvl>
    <w:lvl w:ilvl="2" w:tplc="3A4607B4">
      <w:start w:val="1"/>
      <w:numFmt w:val="bullet"/>
      <w:lvlText w:val=""/>
      <w:lvlJc w:val="left"/>
      <w:pPr>
        <w:ind w:left="2160" w:hanging="360"/>
      </w:pPr>
      <w:rPr>
        <w:rFonts w:ascii="Wingdings" w:hAnsi="Wingdings" w:hint="default"/>
      </w:rPr>
    </w:lvl>
    <w:lvl w:ilvl="3" w:tplc="E940F908">
      <w:start w:val="1"/>
      <w:numFmt w:val="bullet"/>
      <w:lvlText w:val=""/>
      <w:lvlJc w:val="left"/>
      <w:pPr>
        <w:ind w:left="2880" w:hanging="360"/>
      </w:pPr>
      <w:rPr>
        <w:rFonts w:ascii="Symbol" w:hAnsi="Symbol" w:hint="default"/>
      </w:rPr>
    </w:lvl>
    <w:lvl w:ilvl="4" w:tplc="2AD0CFF4">
      <w:start w:val="1"/>
      <w:numFmt w:val="bullet"/>
      <w:lvlText w:val="o"/>
      <w:lvlJc w:val="left"/>
      <w:pPr>
        <w:ind w:left="3600" w:hanging="360"/>
      </w:pPr>
      <w:rPr>
        <w:rFonts w:ascii="Courier New" w:hAnsi="Courier New" w:hint="default"/>
      </w:rPr>
    </w:lvl>
    <w:lvl w:ilvl="5" w:tplc="61D48CCC">
      <w:start w:val="1"/>
      <w:numFmt w:val="bullet"/>
      <w:lvlText w:val=""/>
      <w:lvlJc w:val="left"/>
      <w:pPr>
        <w:ind w:left="4320" w:hanging="360"/>
      </w:pPr>
      <w:rPr>
        <w:rFonts w:ascii="Wingdings" w:hAnsi="Wingdings" w:hint="default"/>
      </w:rPr>
    </w:lvl>
    <w:lvl w:ilvl="6" w:tplc="0F685CAA">
      <w:start w:val="1"/>
      <w:numFmt w:val="bullet"/>
      <w:lvlText w:val=""/>
      <w:lvlJc w:val="left"/>
      <w:pPr>
        <w:ind w:left="5040" w:hanging="360"/>
      </w:pPr>
      <w:rPr>
        <w:rFonts w:ascii="Symbol" w:hAnsi="Symbol" w:hint="default"/>
      </w:rPr>
    </w:lvl>
    <w:lvl w:ilvl="7" w:tplc="3D52C4F6">
      <w:start w:val="1"/>
      <w:numFmt w:val="bullet"/>
      <w:lvlText w:val="o"/>
      <w:lvlJc w:val="left"/>
      <w:pPr>
        <w:ind w:left="5760" w:hanging="360"/>
      </w:pPr>
      <w:rPr>
        <w:rFonts w:ascii="Courier New" w:hAnsi="Courier New" w:hint="default"/>
      </w:rPr>
    </w:lvl>
    <w:lvl w:ilvl="8" w:tplc="A11AD964">
      <w:start w:val="1"/>
      <w:numFmt w:val="bullet"/>
      <w:lvlText w:val=""/>
      <w:lvlJc w:val="left"/>
      <w:pPr>
        <w:ind w:left="6480" w:hanging="360"/>
      </w:pPr>
      <w:rPr>
        <w:rFonts w:ascii="Wingdings" w:hAnsi="Wingdings" w:hint="default"/>
      </w:rPr>
    </w:lvl>
  </w:abstractNum>
  <w:abstractNum w:abstractNumId="94" w15:restartNumberingAfterBreak="0">
    <w:nsid w:val="5B371FF6"/>
    <w:multiLevelType w:val="multilevel"/>
    <w:tmpl w:val="A7AE26B4"/>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5BDF3397"/>
    <w:multiLevelType w:val="hybridMultilevel"/>
    <w:tmpl w:val="B69AB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C56210D"/>
    <w:multiLevelType w:val="hybridMultilevel"/>
    <w:tmpl w:val="DF266D72"/>
    <w:lvl w:ilvl="0" w:tplc="D140277A">
      <w:start w:val="1"/>
      <w:numFmt w:val="decimal"/>
      <w:lvlText w:val="%1."/>
      <w:lvlJc w:val="left"/>
      <w:pPr>
        <w:ind w:left="360" w:hanging="360"/>
      </w:pPr>
      <w:rPr>
        <w:rFonts w:hint="default"/>
        <w:b w:val="0"/>
        <w:color w:val="361461"/>
      </w:rPr>
    </w:lvl>
    <w:lvl w:ilvl="1" w:tplc="133C437C">
      <w:start w:val="1"/>
      <w:numFmt w:val="lowerLetter"/>
      <w:lvlText w:val="%2."/>
      <w:lvlJc w:val="left"/>
      <w:pPr>
        <w:ind w:left="1440" w:hanging="360"/>
      </w:pPr>
      <w:rPr>
        <w:color w:val="AF7F0D" w:themeColor="accent1" w:themeShade="BF"/>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5D0B3BB0"/>
    <w:multiLevelType w:val="hybridMultilevel"/>
    <w:tmpl w:val="0472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ED6713F"/>
    <w:multiLevelType w:val="hybridMultilevel"/>
    <w:tmpl w:val="75CE0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5F99322C"/>
    <w:multiLevelType w:val="hybridMultilevel"/>
    <w:tmpl w:val="23967682"/>
    <w:lvl w:ilvl="0" w:tplc="56AC7E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60027D2F"/>
    <w:multiLevelType w:val="hybridMultilevel"/>
    <w:tmpl w:val="960E1C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1" w15:restartNumberingAfterBreak="0">
    <w:nsid w:val="62C14E0F"/>
    <w:multiLevelType w:val="hybridMultilevel"/>
    <w:tmpl w:val="0C4AD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65CE4ED8"/>
    <w:multiLevelType w:val="hybridMultilevel"/>
    <w:tmpl w:val="17E89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67C35FDA"/>
    <w:multiLevelType w:val="multilevel"/>
    <w:tmpl w:val="3AE4C0B4"/>
    <w:lvl w:ilvl="0">
      <w:start w:val="1"/>
      <w:numFmt w:val="decimal"/>
      <w:lvlText w:val="%1."/>
      <w:lvlJc w:val="left"/>
      <w:pPr>
        <w:ind w:left="360" w:hanging="360"/>
      </w:pPr>
    </w:lvl>
    <w:lvl w:ilvl="1">
      <w:start w:val="4"/>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4" w15:restartNumberingAfterBreak="0">
    <w:nsid w:val="688D33C2"/>
    <w:multiLevelType w:val="hybridMultilevel"/>
    <w:tmpl w:val="9CCE20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5" w15:restartNumberingAfterBreak="0">
    <w:nsid w:val="6A95202E"/>
    <w:multiLevelType w:val="hybridMultilevel"/>
    <w:tmpl w:val="F276407C"/>
    <w:lvl w:ilvl="0" w:tplc="323C7C5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C79AB19"/>
    <w:multiLevelType w:val="hybridMultilevel"/>
    <w:tmpl w:val="CF069442"/>
    <w:lvl w:ilvl="0" w:tplc="15C0BD48">
      <w:start w:val="1"/>
      <w:numFmt w:val="bullet"/>
      <w:lvlText w:val=""/>
      <w:lvlJc w:val="left"/>
      <w:pPr>
        <w:ind w:left="720" w:hanging="360"/>
      </w:pPr>
      <w:rPr>
        <w:rFonts w:ascii="Symbol" w:hAnsi="Symbol" w:hint="default"/>
      </w:rPr>
    </w:lvl>
    <w:lvl w:ilvl="1" w:tplc="17C894E0">
      <w:start w:val="1"/>
      <w:numFmt w:val="bullet"/>
      <w:lvlText w:val="o"/>
      <w:lvlJc w:val="left"/>
      <w:pPr>
        <w:ind w:left="1440" w:hanging="360"/>
      </w:pPr>
      <w:rPr>
        <w:rFonts w:ascii="Courier New" w:hAnsi="Courier New" w:hint="default"/>
      </w:rPr>
    </w:lvl>
    <w:lvl w:ilvl="2" w:tplc="FB3E19AA">
      <w:start w:val="1"/>
      <w:numFmt w:val="bullet"/>
      <w:lvlText w:val=""/>
      <w:lvlJc w:val="left"/>
      <w:pPr>
        <w:ind w:left="2160" w:hanging="360"/>
      </w:pPr>
      <w:rPr>
        <w:rFonts w:ascii="Wingdings" w:hAnsi="Wingdings" w:hint="default"/>
      </w:rPr>
    </w:lvl>
    <w:lvl w:ilvl="3" w:tplc="F5D47EB6">
      <w:start w:val="1"/>
      <w:numFmt w:val="bullet"/>
      <w:lvlText w:val=""/>
      <w:lvlJc w:val="left"/>
      <w:pPr>
        <w:ind w:left="2880" w:hanging="360"/>
      </w:pPr>
      <w:rPr>
        <w:rFonts w:ascii="Symbol" w:hAnsi="Symbol" w:hint="default"/>
      </w:rPr>
    </w:lvl>
    <w:lvl w:ilvl="4" w:tplc="99643D8C">
      <w:start w:val="1"/>
      <w:numFmt w:val="bullet"/>
      <w:lvlText w:val="o"/>
      <w:lvlJc w:val="left"/>
      <w:pPr>
        <w:ind w:left="3600" w:hanging="360"/>
      </w:pPr>
      <w:rPr>
        <w:rFonts w:ascii="Courier New" w:hAnsi="Courier New" w:hint="default"/>
      </w:rPr>
    </w:lvl>
    <w:lvl w:ilvl="5" w:tplc="9754F6F2">
      <w:start w:val="1"/>
      <w:numFmt w:val="bullet"/>
      <w:lvlText w:val=""/>
      <w:lvlJc w:val="left"/>
      <w:pPr>
        <w:ind w:left="4320" w:hanging="360"/>
      </w:pPr>
      <w:rPr>
        <w:rFonts w:ascii="Wingdings" w:hAnsi="Wingdings" w:hint="default"/>
      </w:rPr>
    </w:lvl>
    <w:lvl w:ilvl="6" w:tplc="4246C7B0">
      <w:start w:val="1"/>
      <w:numFmt w:val="bullet"/>
      <w:lvlText w:val=""/>
      <w:lvlJc w:val="left"/>
      <w:pPr>
        <w:ind w:left="5040" w:hanging="360"/>
      </w:pPr>
      <w:rPr>
        <w:rFonts w:ascii="Symbol" w:hAnsi="Symbol" w:hint="default"/>
      </w:rPr>
    </w:lvl>
    <w:lvl w:ilvl="7" w:tplc="683E6A4E">
      <w:start w:val="1"/>
      <w:numFmt w:val="bullet"/>
      <w:lvlText w:val="o"/>
      <w:lvlJc w:val="left"/>
      <w:pPr>
        <w:ind w:left="5760" w:hanging="360"/>
      </w:pPr>
      <w:rPr>
        <w:rFonts w:ascii="Courier New" w:hAnsi="Courier New" w:hint="default"/>
      </w:rPr>
    </w:lvl>
    <w:lvl w:ilvl="8" w:tplc="ADE0163C">
      <w:start w:val="1"/>
      <w:numFmt w:val="bullet"/>
      <w:lvlText w:val=""/>
      <w:lvlJc w:val="left"/>
      <w:pPr>
        <w:ind w:left="6480" w:hanging="360"/>
      </w:pPr>
      <w:rPr>
        <w:rFonts w:ascii="Wingdings" w:hAnsi="Wingdings" w:hint="default"/>
      </w:rPr>
    </w:lvl>
  </w:abstractNum>
  <w:abstractNum w:abstractNumId="107" w15:restartNumberingAfterBreak="0">
    <w:nsid w:val="6C8E4F65"/>
    <w:multiLevelType w:val="hybridMultilevel"/>
    <w:tmpl w:val="4BDCADF8"/>
    <w:lvl w:ilvl="0" w:tplc="81D42CE0">
      <w:start w:val="1"/>
      <w:numFmt w:val="bullet"/>
      <w:lvlText w:val=""/>
      <w:lvlJc w:val="left"/>
      <w:pPr>
        <w:ind w:left="720" w:hanging="360"/>
      </w:pPr>
      <w:rPr>
        <w:rFonts w:ascii="Wingdings" w:hAnsi="Wingdings" w:hint="default"/>
      </w:rPr>
    </w:lvl>
    <w:lvl w:ilvl="1" w:tplc="81D42CE0">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E4C34C1"/>
    <w:multiLevelType w:val="hybridMultilevel"/>
    <w:tmpl w:val="77684DB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72F74EA5"/>
    <w:multiLevelType w:val="hybridMultilevel"/>
    <w:tmpl w:val="79C284C4"/>
    <w:styleLink w:val="AlphaList"/>
    <w:lvl w:ilvl="0" w:tplc="0C090001">
      <w:start w:val="1"/>
      <w:numFmt w:val="bullet"/>
      <w:lvlText w:val=""/>
      <w:lvlJc w:val="left"/>
      <w:pPr>
        <w:ind w:left="720" w:hanging="360"/>
      </w:pPr>
      <w:rPr>
        <w:rFonts w:ascii="Symbol" w:hAnsi="Symbol" w:hint="default"/>
      </w:rPr>
    </w:lvl>
    <w:lvl w:ilvl="1" w:tplc="C8B6A35A">
      <w:start w:val="1"/>
      <w:numFmt w:val="lowerLetter"/>
      <w:lvlText w:val="%2."/>
      <w:lvlJc w:val="left"/>
      <w:pPr>
        <w:ind w:left="1440" w:hanging="360"/>
      </w:pPr>
    </w:lvl>
    <w:lvl w:ilvl="2" w:tplc="37121D64">
      <w:start w:val="1"/>
      <w:numFmt w:val="lowerRoman"/>
      <w:lvlText w:val="%3."/>
      <w:lvlJc w:val="right"/>
      <w:pPr>
        <w:ind w:left="2160" w:hanging="180"/>
      </w:pPr>
    </w:lvl>
    <w:lvl w:ilvl="3" w:tplc="C48E2C72">
      <w:start w:val="1"/>
      <w:numFmt w:val="decimal"/>
      <w:lvlText w:val="%4."/>
      <w:lvlJc w:val="left"/>
      <w:pPr>
        <w:ind w:left="2880" w:hanging="360"/>
      </w:pPr>
    </w:lvl>
    <w:lvl w:ilvl="4" w:tplc="5BC05EB8">
      <w:start w:val="1"/>
      <w:numFmt w:val="lowerLetter"/>
      <w:lvlText w:val="%5."/>
      <w:lvlJc w:val="left"/>
      <w:pPr>
        <w:ind w:left="3600" w:hanging="360"/>
      </w:pPr>
    </w:lvl>
    <w:lvl w:ilvl="5" w:tplc="17184880">
      <w:start w:val="1"/>
      <w:numFmt w:val="lowerRoman"/>
      <w:lvlText w:val="%6."/>
      <w:lvlJc w:val="right"/>
      <w:pPr>
        <w:ind w:left="4320" w:hanging="180"/>
      </w:pPr>
    </w:lvl>
    <w:lvl w:ilvl="6" w:tplc="D23CCF6C">
      <w:start w:val="1"/>
      <w:numFmt w:val="decimal"/>
      <w:lvlText w:val="%7."/>
      <w:lvlJc w:val="left"/>
      <w:pPr>
        <w:ind w:left="5040" w:hanging="360"/>
      </w:pPr>
    </w:lvl>
    <w:lvl w:ilvl="7" w:tplc="13AAD654">
      <w:start w:val="1"/>
      <w:numFmt w:val="lowerLetter"/>
      <w:lvlText w:val="%8."/>
      <w:lvlJc w:val="left"/>
      <w:pPr>
        <w:ind w:left="5760" w:hanging="360"/>
      </w:pPr>
    </w:lvl>
    <w:lvl w:ilvl="8" w:tplc="D72C54D8">
      <w:start w:val="1"/>
      <w:numFmt w:val="lowerRoman"/>
      <w:lvlText w:val="%9."/>
      <w:lvlJc w:val="right"/>
      <w:pPr>
        <w:ind w:left="6480" w:hanging="180"/>
      </w:pPr>
    </w:lvl>
  </w:abstractNum>
  <w:abstractNum w:abstractNumId="110" w15:restartNumberingAfterBreak="0">
    <w:nsid w:val="72FD11B0"/>
    <w:multiLevelType w:val="hybridMultilevel"/>
    <w:tmpl w:val="913E7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3195180"/>
    <w:multiLevelType w:val="hybridMultilevel"/>
    <w:tmpl w:val="B8AADF40"/>
    <w:lvl w:ilvl="0" w:tplc="56AC7E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73A3173E"/>
    <w:multiLevelType w:val="hybridMultilevel"/>
    <w:tmpl w:val="A5E4CC6E"/>
    <w:name w:val="EDU - Bullet List22"/>
    <w:lvl w:ilvl="0" w:tplc="F260E872">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3" w15:restartNumberingAfterBreak="0">
    <w:nsid w:val="73E155C5"/>
    <w:multiLevelType w:val="multilevel"/>
    <w:tmpl w:val="46FE0F20"/>
    <w:lvl w:ilvl="0">
      <w:start w:val="1"/>
      <w:numFmt w:val="decimal"/>
      <w:lvlText w:val="%1."/>
      <w:lvlJc w:val="left"/>
      <w:pPr>
        <w:ind w:left="360" w:hanging="360"/>
      </w:pPr>
      <w:rPr>
        <w:rFonts w:ascii="Calibri" w:hAnsi="Calibri"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4" w15:restartNumberingAfterBreak="0">
    <w:nsid w:val="741C9EB9"/>
    <w:multiLevelType w:val="hybridMultilevel"/>
    <w:tmpl w:val="80C2F42A"/>
    <w:lvl w:ilvl="0" w:tplc="A60461E4">
      <w:start w:val="1"/>
      <w:numFmt w:val="bullet"/>
      <w:lvlText w:val=""/>
      <w:lvlJc w:val="left"/>
      <w:pPr>
        <w:ind w:left="720" w:hanging="360"/>
      </w:pPr>
      <w:rPr>
        <w:rFonts w:ascii="Symbol" w:hAnsi="Symbol" w:hint="default"/>
      </w:rPr>
    </w:lvl>
    <w:lvl w:ilvl="1" w:tplc="C512E8F8">
      <w:start w:val="1"/>
      <w:numFmt w:val="bullet"/>
      <w:lvlText w:val="o"/>
      <w:lvlJc w:val="left"/>
      <w:pPr>
        <w:ind w:left="1440" w:hanging="360"/>
      </w:pPr>
      <w:rPr>
        <w:rFonts w:ascii="&quot;Courier New&quot;" w:hAnsi="&quot;Courier New&quot;" w:hint="default"/>
      </w:rPr>
    </w:lvl>
    <w:lvl w:ilvl="2" w:tplc="1B085292">
      <w:start w:val="1"/>
      <w:numFmt w:val="bullet"/>
      <w:lvlText w:val=""/>
      <w:lvlJc w:val="left"/>
      <w:pPr>
        <w:ind w:left="2160" w:hanging="360"/>
      </w:pPr>
      <w:rPr>
        <w:rFonts w:ascii="Wingdings" w:hAnsi="Wingdings" w:hint="default"/>
      </w:rPr>
    </w:lvl>
    <w:lvl w:ilvl="3" w:tplc="2CB6C722">
      <w:start w:val="1"/>
      <w:numFmt w:val="bullet"/>
      <w:lvlText w:val=""/>
      <w:lvlJc w:val="left"/>
      <w:pPr>
        <w:ind w:left="2880" w:hanging="360"/>
      </w:pPr>
      <w:rPr>
        <w:rFonts w:ascii="Symbol" w:hAnsi="Symbol" w:hint="default"/>
      </w:rPr>
    </w:lvl>
    <w:lvl w:ilvl="4" w:tplc="059EC014">
      <w:start w:val="1"/>
      <w:numFmt w:val="bullet"/>
      <w:lvlText w:val="o"/>
      <w:lvlJc w:val="left"/>
      <w:pPr>
        <w:ind w:left="3600" w:hanging="360"/>
      </w:pPr>
      <w:rPr>
        <w:rFonts w:ascii="Courier New" w:hAnsi="Courier New" w:hint="default"/>
      </w:rPr>
    </w:lvl>
    <w:lvl w:ilvl="5" w:tplc="34724422">
      <w:start w:val="1"/>
      <w:numFmt w:val="bullet"/>
      <w:lvlText w:val=""/>
      <w:lvlJc w:val="left"/>
      <w:pPr>
        <w:ind w:left="4320" w:hanging="360"/>
      </w:pPr>
      <w:rPr>
        <w:rFonts w:ascii="Wingdings" w:hAnsi="Wingdings" w:hint="default"/>
      </w:rPr>
    </w:lvl>
    <w:lvl w:ilvl="6" w:tplc="5CCC850E">
      <w:start w:val="1"/>
      <w:numFmt w:val="bullet"/>
      <w:lvlText w:val=""/>
      <w:lvlJc w:val="left"/>
      <w:pPr>
        <w:ind w:left="5040" w:hanging="360"/>
      </w:pPr>
      <w:rPr>
        <w:rFonts w:ascii="Symbol" w:hAnsi="Symbol" w:hint="default"/>
      </w:rPr>
    </w:lvl>
    <w:lvl w:ilvl="7" w:tplc="E4066BF6">
      <w:start w:val="1"/>
      <w:numFmt w:val="bullet"/>
      <w:lvlText w:val="o"/>
      <w:lvlJc w:val="left"/>
      <w:pPr>
        <w:ind w:left="5760" w:hanging="360"/>
      </w:pPr>
      <w:rPr>
        <w:rFonts w:ascii="Courier New" w:hAnsi="Courier New" w:hint="default"/>
      </w:rPr>
    </w:lvl>
    <w:lvl w:ilvl="8" w:tplc="53601286">
      <w:start w:val="1"/>
      <w:numFmt w:val="bullet"/>
      <w:lvlText w:val=""/>
      <w:lvlJc w:val="left"/>
      <w:pPr>
        <w:ind w:left="6480" w:hanging="360"/>
      </w:pPr>
      <w:rPr>
        <w:rFonts w:ascii="Wingdings" w:hAnsi="Wingdings" w:hint="default"/>
      </w:rPr>
    </w:lvl>
  </w:abstractNum>
  <w:abstractNum w:abstractNumId="115" w15:restartNumberingAfterBreak="0">
    <w:nsid w:val="77512D0D"/>
    <w:multiLevelType w:val="hybridMultilevel"/>
    <w:tmpl w:val="4782DB9A"/>
    <w:lvl w:ilvl="0" w:tplc="0C090001">
      <w:start w:val="1"/>
      <w:numFmt w:val="bullet"/>
      <w:lvlText w:val=""/>
      <w:lvlJc w:val="left"/>
      <w:pPr>
        <w:ind w:left="360" w:hanging="360"/>
      </w:pPr>
      <w:rPr>
        <w:rFonts w:ascii="Symbol" w:hAnsi="Symbol" w:hint="default"/>
      </w:rPr>
    </w:lvl>
    <w:lvl w:ilvl="1" w:tplc="66EE5100">
      <w:numFmt w:val="bullet"/>
      <w:lvlText w:val=""/>
      <w:lvlJc w:val="left"/>
      <w:pPr>
        <w:ind w:left="1080" w:hanging="360"/>
      </w:pPr>
      <w:rPr>
        <w:rFonts w:ascii="Wingdings" w:eastAsia="Calibri" w:hAnsi="Wingdings" w:cstheme="minorHAns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780F267E"/>
    <w:multiLevelType w:val="hybridMultilevel"/>
    <w:tmpl w:val="84788592"/>
    <w:lvl w:ilvl="0" w:tplc="0C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17" w15:restartNumberingAfterBreak="0">
    <w:nsid w:val="789B1382"/>
    <w:multiLevelType w:val="hybridMultilevel"/>
    <w:tmpl w:val="1B666F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794B79DB"/>
    <w:multiLevelType w:val="hybridMultilevel"/>
    <w:tmpl w:val="403CA386"/>
    <w:styleLink w:val="Bulleted"/>
    <w:lvl w:ilvl="0" w:tplc="81D42CE0">
      <w:start w:val="1"/>
      <w:numFmt w:val="bullet"/>
      <w:lvlText w:val=""/>
      <w:lvlJc w:val="left"/>
      <w:pPr>
        <w:ind w:left="720" w:hanging="360"/>
      </w:pPr>
      <w:rPr>
        <w:rFonts w:ascii="Wingdings" w:hAnsi="Wingdings" w:hint="default"/>
      </w:rPr>
    </w:lvl>
    <w:lvl w:ilvl="1" w:tplc="81D42CE0">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796907BF"/>
    <w:multiLevelType w:val="hybridMultilevel"/>
    <w:tmpl w:val="CABE67A4"/>
    <w:lvl w:ilvl="0" w:tplc="56AC7E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798F3C35"/>
    <w:multiLevelType w:val="hybridMultilevel"/>
    <w:tmpl w:val="194258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7A586221"/>
    <w:multiLevelType w:val="hybridMultilevel"/>
    <w:tmpl w:val="86781A10"/>
    <w:lvl w:ilvl="0" w:tplc="0C090001">
      <w:start w:val="1"/>
      <w:numFmt w:val="bullet"/>
      <w:lvlText w:val=""/>
      <w:lvlJc w:val="left"/>
      <w:pPr>
        <w:ind w:left="362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B4A0E19"/>
    <w:multiLevelType w:val="multilevel"/>
    <w:tmpl w:val="46FE0F20"/>
    <w:lvl w:ilvl="0">
      <w:start w:val="1"/>
      <w:numFmt w:val="decimal"/>
      <w:lvlText w:val="%1."/>
      <w:lvlJc w:val="left"/>
      <w:pPr>
        <w:ind w:left="360" w:hanging="360"/>
      </w:pPr>
      <w:rPr>
        <w:rFonts w:ascii="Calibri" w:hAnsi="Calibri"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3" w15:restartNumberingAfterBreak="0">
    <w:nsid w:val="7BA37513"/>
    <w:multiLevelType w:val="hybridMultilevel"/>
    <w:tmpl w:val="48182C3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24" w15:restartNumberingAfterBreak="0">
    <w:nsid w:val="7D167EE8"/>
    <w:multiLevelType w:val="hybridMultilevel"/>
    <w:tmpl w:val="C7BAA660"/>
    <w:lvl w:ilvl="0" w:tplc="0C090001">
      <w:start w:val="1"/>
      <w:numFmt w:val="bullet"/>
      <w:lvlText w:val=""/>
      <w:lvlJc w:val="left"/>
      <w:pPr>
        <w:ind w:left="8" w:hanging="360"/>
      </w:pPr>
      <w:rPr>
        <w:rFonts w:ascii="Symbol" w:hAnsi="Symbol" w:hint="default"/>
      </w:rPr>
    </w:lvl>
    <w:lvl w:ilvl="1" w:tplc="08090003" w:tentative="1">
      <w:start w:val="1"/>
      <w:numFmt w:val="bullet"/>
      <w:lvlText w:val="o"/>
      <w:lvlJc w:val="left"/>
      <w:pPr>
        <w:ind w:left="1088" w:hanging="360"/>
      </w:pPr>
      <w:rPr>
        <w:rFonts w:ascii="Courier New" w:hAnsi="Courier New" w:cs="Courier New" w:hint="default"/>
      </w:rPr>
    </w:lvl>
    <w:lvl w:ilvl="2" w:tplc="08090005" w:tentative="1">
      <w:start w:val="1"/>
      <w:numFmt w:val="bullet"/>
      <w:lvlText w:val=""/>
      <w:lvlJc w:val="left"/>
      <w:pPr>
        <w:ind w:left="1808" w:hanging="360"/>
      </w:pPr>
      <w:rPr>
        <w:rFonts w:ascii="Wingdings" w:hAnsi="Wingdings" w:hint="default"/>
      </w:rPr>
    </w:lvl>
    <w:lvl w:ilvl="3" w:tplc="08090001" w:tentative="1">
      <w:start w:val="1"/>
      <w:numFmt w:val="bullet"/>
      <w:lvlText w:val=""/>
      <w:lvlJc w:val="left"/>
      <w:pPr>
        <w:ind w:left="2528" w:hanging="360"/>
      </w:pPr>
      <w:rPr>
        <w:rFonts w:ascii="Symbol" w:hAnsi="Symbol" w:hint="default"/>
      </w:rPr>
    </w:lvl>
    <w:lvl w:ilvl="4" w:tplc="08090003" w:tentative="1">
      <w:start w:val="1"/>
      <w:numFmt w:val="bullet"/>
      <w:lvlText w:val="o"/>
      <w:lvlJc w:val="left"/>
      <w:pPr>
        <w:ind w:left="3248" w:hanging="360"/>
      </w:pPr>
      <w:rPr>
        <w:rFonts w:ascii="Courier New" w:hAnsi="Courier New" w:cs="Courier New" w:hint="default"/>
      </w:rPr>
    </w:lvl>
    <w:lvl w:ilvl="5" w:tplc="08090005" w:tentative="1">
      <w:start w:val="1"/>
      <w:numFmt w:val="bullet"/>
      <w:lvlText w:val=""/>
      <w:lvlJc w:val="left"/>
      <w:pPr>
        <w:ind w:left="3968" w:hanging="360"/>
      </w:pPr>
      <w:rPr>
        <w:rFonts w:ascii="Wingdings" w:hAnsi="Wingdings" w:hint="default"/>
      </w:rPr>
    </w:lvl>
    <w:lvl w:ilvl="6" w:tplc="08090001" w:tentative="1">
      <w:start w:val="1"/>
      <w:numFmt w:val="bullet"/>
      <w:lvlText w:val=""/>
      <w:lvlJc w:val="left"/>
      <w:pPr>
        <w:ind w:left="4688" w:hanging="360"/>
      </w:pPr>
      <w:rPr>
        <w:rFonts w:ascii="Symbol" w:hAnsi="Symbol" w:hint="default"/>
      </w:rPr>
    </w:lvl>
    <w:lvl w:ilvl="7" w:tplc="08090003" w:tentative="1">
      <w:start w:val="1"/>
      <w:numFmt w:val="bullet"/>
      <w:lvlText w:val="o"/>
      <w:lvlJc w:val="left"/>
      <w:pPr>
        <w:ind w:left="5408" w:hanging="360"/>
      </w:pPr>
      <w:rPr>
        <w:rFonts w:ascii="Courier New" w:hAnsi="Courier New" w:cs="Courier New" w:hint="default"/>
      </w:rPr>
    </w:lvl>
    <w:lvl w:ilvl="8" w:tplc="08090005" w:tentative="1">
      <w:start w:val="1"/>
      <w:numFmt w:val="bullet"/>
      <w:lvlText w:val=""/>
      <w:lvlJc w:val="left"/>
      <w:pPr>
        <w:ind w:left="6128" w:hanging="360"/>
      </w:pPr>
      <w:rPr>
        <w:rFonts w:ascii="Wingdings" w:hAnsi="Wingdings" w:hint="default"/>
      </w:rPr>
    </w:lvl>
  </w:abstractNum>
  <w:abstractNum w:abstractNumId="125" w15:restartNumberingAfterBreak="0">
    <w:nsid w:val="7DFB5B81"/>
    <w:multiLevelType w:val="hybridMultilevel"/>
    <w:tmpl w:val="E57080C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6" w15:restartNumberingAfterBreak="0">
    <w:nsid w:val="7F3E38E0"/>
    <w:multiLevelType w:val="multilevel"/>
    <w:tmpl w:val="D94CE7B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7FAE09E8"/>
    <w:multiLevelType w:val="hybridMultilevel"/>
    <w:tmpl w:val="18F0F534"/>
    <w:name w:val="EDU - Bullet List3"/>
    <w:lvl w:ilvl="0" w:tplc="8510219C">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8" w15:restartNumberingAfterBreak="0">
    <w:nsid w:val="7FE96459"/>
    <w:multiLevelType w:val="hybridMultilevel"/>
    <w:tmpl w:val="CBA65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7FF82EE2"/>
    <w:multiLevelType w:val="hybridMultilevel"/>
    <w:tmpl w:val="7EE8F09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1892600">
    <w:abstractNumId w:val="81"/>
  </w:num>
  <w:num w:numId="2" w16cid:durableId="1169756101">
    <w:abstractNumId w:val="65"/>
  </w:num>
  <w:num w:numId="3" w16cid:durableId="361134538">
    <w:abstractNumId w:val="80"/>
  </w:num>
  <w:num w:numId="4" w16cid:durableId="909580771">
    <w:abstractNumId w:val="48"/>
  </w:num>
  <w:num w:numId="5" w16cid:durableId="1889225663">
    <w:abstractNumId w:val="27"/>
  </w:num>
  <w:num w:numId="6" w16cid:durableId="201358200">
    <w:abstractNumId w:val="52"/>
  </w:num>
  <w:num w:numId="7" w16cid:durableId="1855264652">
    <w:abstractNumId w:val="57"/>
  </w:num>
  <w:num w:numId="8" w16cid:durableId="1726837239">
    <w:abstractNumId w:val="93"/>
  </w:num>
  <w:num w:numId="9" w16cid:durableId="606894094">
    <w:abstractNumId w:val="18"/>
  </w:num>
  <w:num w:numId="10" w16cid:durableId="1688212704">
    <w:abstractNumId w:val="53"/>
  </w:num>
  <w:num w:numId="11" w16cid:durableId="1149907208">
    <w:abstractNumId w:val="114"/>
  </w:num>
  <w:num w:numId="12" w16cid:durableId="54085527">
    <w:abstractNumId w:val="24"/>
  </w:num>
  <w:num w:numId="13" w16cid:durableId="1504467436">
    <w:abstractNumId w:val="106"/>
  </w:num>
  <w:num w:numId="14" w16cid:durableId="1470050534">
    <w:abstractNumId w:val="31"/>
  </w:num>
  <w:num w:numId="15" w16cid:durableId="278688385">
    <w:abstractNumId w:val="29"/>
  </w:num>
  <w:num w:numId="16" w16cid:durableId="1248151128">
    <w:abstractNumId w:val="21"/>
  </w:num>
  <w:num w:numId="17" w16cid:durableId="2057771858">
    <w:abstractNumId w:val="50"/>
  </w:num>
  <w:num w:numId="18" w16cid:durableId="1119756971">
    <w:abstractNumId w:val="12"/>
  </w:num>
  <w:num w:numId="19" w16cid:durableId="504325846">
    <w:abstractNumId w:val="112"/>
  </w:num>
  <w:num w:numId="20" w16cid:durableId="59794699">
    <w:abstractNumId w:val="94"/>
  </w:num>
  <w:num w:numId="21" w16cid:durableId="1381395742">
    <w:abstractNumId w:val="4"/>
  </w:num>
  <w:num w:numId="22" w16cid:durableId="1281492548">
    <w:abstractNumId w:val="96"/>
  </w:num>
  <w:num w:numId="23" w16cid:durableId="1278372778">
    <w:abstractNumId w:val="126"/>
  </w:num>
  <w:num w:numId="24" w16cid:durableId="1583756539">
    <w:abstractNumId w:val="121"/>
  </w:num>
  <w:num w:numId="25" w16cid:durableId="763916568">
    <w:abstractNumId w:val="56"/>
  </w:num>
  <w:num w:numId="26" w16cid:durableId="253125082">
    <w:abstractNumId w:val="73"/>
  </w:num>
  <w:num w:numId="27" w16cid:durableId="1655139614">
    <w:abstractNumId w:val="3"/>
  </w:num>
  <w:num w:numId="28" w16cid:durableId="1237521090">
    <w:abstractNumId w:val="9"/>
  </w:num>
  <w:num w:numId="29" w16cid:durableId="1104888629">
    <w:abstractNumId w:val="62"/>
  </w:num>
  <w:num w:numId="30" w16cid:durableId="1450276366">
    <w:abstractNumId w:val="100"/>
  </w:num>
  <w:num w:numId="31" w16cid:durableId="1623270981">
    <w:abstractNumId w:val="34"/>
  </w:num>
  <w:num w:numId="32" w16cid:durableId="2092462472">
    <w:abstractNumId w:val="47"/>
  </w:num>
  <w:num w:numId="33" w16cid:durableId="618074866">
    <w:abstractNumId w:val="71"/>
  </w:num>
  <w:num w:numId="34" w16cid:durableId="2002269776">
    <w:abstractNumId w:val="92"/>
  </w:num>
  <w:num w:numId="35" w16cid:durableId="1176460911">
    <w:abstractNumId w:val="36"/>
  </w:num>
  <w:num w:numId="36" w16cid:durableId="1743673351">
    <w:abstractNumId w:val="37"/>
  </w:num>
  <w:num w:numId="37" w16cid:durableId="820191629">
    <w:abstractNumId w:val="38"/>
  </w:num>
  <w:num w:numId="38" w16cid:durableId="1755589353">
    <w:abstractNumId w:val="84"/>
  </w:num>
  <w:num w:numId="39" w16cid:durableId="1564028738">
    <w:abstractNumId w:val="40"/>
  </w:num>
  <w:num w:numId="40" w16cid:durableId="864176587">
    <w:abstractNumId w:val="107"/>
  </w:num>
  <w:num w:numId="41" w16cid:durableId="1085611772">
    <w:abstractNumId w:val="118"/>
  </w:num>
  <w:num w:numId="42" w16cid:durableId="164674039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0963340">
    <w:abstractNumId w:val="33"/>
  </w:num>
  <w:num w:numId="44" w16cid:durableId="1720548627">
    <w:abstractNumId w:val="124"/>
  </w:num>
  <w:num w:numId="45" w16cid:durableId="790436445">
    <w:abstractNumId w:val="78"/>
  </w:num>
  <w:num w:numId="46" w16cid:durableId="1268852060">
    <w:abstractNumId w:val="129"/>
  </w:num>
  <w:num w:numId="47" w16cid:durableId="798182604">
    <w:abstractNumId w:val="104"/>
  </w:num>
  <w:num w:numId="48" w16cid:durableId="868303148">
    <w:abstractNumId w:val="41"/>
  </w:num>
  <w:num w:numId="49" w16cid:durableId="359010696">
    <w:abstractNumId w:val="8"/>
  </w:num>
  <w:num w:numId="50" w16cid:durableId="1508748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7182372">
    <w:abstractNumId w:val="115"/>
  </w:num>
  <w:num w:numId="52" w16cid:durableId="1736661048">
    <w:abstractNumId w:val="42"/>
  </w:num>
  <w:num w:numId="53" w16cid:durableId="1395738070">
    <w:abstractNumId w:val="66"/>
  </w:num>
  <w:num w:numId="54" w16cid:durableId="1556813946">
    <w:abstractNumId w:val="109"/>
  </w:num>
  <w:num w:numId="55" w16cid:durableId="123429024">
    <w:abstractNumId w:val="102"/>
  </w:num>
  <w:num w:numId="56" w16cid:durableId="506477842">
    <w:abstractNumId w:val="10"/>
  </w:num>
  <w:num w:numId="57" w16cid:durableId="187646092">
    <w:abstractNumId w:val="67"/>
  </w:num>
  <w:num w:numId="58" w16cid:durableId="1657764100">
    <w:abstractNumId w:val="113"/>
  </w:num>
  <w:num w:numId="59" w16cid:durableId="1148472811">
    <w:abstractNumId w:val="17"/>
  </w:num>
  <w:num w:numId="60" w16cid:durableId="1597325580">
    <w:abstractNumId w:val="79"/>
  </w:num>
  <w:num w:numId="61" w16cid:durableId="1012685902">
    <w:abstractNumId w:val="85"/>
  </w:num>
  <w:num w:numId="62" w16cid:durableId="1072653300">
    <w:abstractNumId w:val="74"/>
  </w:num>
  <w:num w:numId="63" w16cid:durableId="2058970966">
    <w:abstractNumId w:val="83"/>
  </w:num>
  <w:num w:numId="64" w16cid:durableId="2050713976">
    <w:abstractNumId w:val="63"/>
  </w:num>
  <w:num w:numId="65" w16cid:durableId="1554735369">
    <w:abstractNumId w:val="90"/>
  </w:num>
  <w:num w:numId="66" w16cid:durableId="1240211859">
    <w:abstractNumId w:val="76"/>
  </w:num>
  <w:num w:numId="67" w16cid:durableId="1862935104">
    <w:abstractNumId w:val="39"/>
  </w:num>
  <w:num w:numId="68" w16cid:durableId="586694285">
    <w:abstractNumId w:val="125"/>
  </w:num>
  <w:num w:numId="69" w16cid:durableId="109709920">
    <w:abstractNumId w:val="108"/>
  </w:num>
  <w:num w:numId="70" w16cid:durableId="853763751">
    <w:abstractNumId w:val="46"/>
  </w:num>
  <w:num w:numId="71" w16cid:durableId="419832543">
    <w:abstractNumId w:val="89"/>
  </w:num>
  <w:num w:numId="72" w16cid:durableId="560530061">
    <w:abstractNumId w:val="51"/>
  </w:num>
  <w:num w:numId="73" w16cid:durableId="2076971970">
    <w:abstractNumId w:val="30"/>
  </w:num>
  <w:num w:numId="74" w16cid:durableId="348337222">
    <w:abstractNumId w:val="97"/>
  </w:num>
  <w:num w:numId="75" w16cid:durableId="1815365594">
    <w:abstractNumId w:val="116"/>
  </w:num>
  <w:num w:numId="76" w16cid:durableId="1295677117">
    <w:abstractNumId w:val="15"/>
  </w:num>
  <w:num w:numId="77" w16cid:durableId="1111439181">
    <w:abstractNumId w:val="69"/>
  </w:num>
  <w:num w:numId="78" w16cid:durableId="1745370569">
    <w:abstractNumId w:val="117"/>
  </w:num>
  <w:num w:numId="79" w16cid:durableId="677120858">
    <w:abstractNumId w:val="70"/>
  </w:num>
  <w:num w:numId="80" w16cid:durableId="317612165">
    <w:abstractNumId w:val="54"/>
  </w:num>
  <w:num w:numId="81" w16cid:durableId="1455178529">
    <w:abstractNumId w:val="5"/>
  </w:num>
  <w:num w:numId="82" w16cid:durableId="7683039">
    <w:abstractNumId w:val="16"/>
  </w:num>
  <w:num w:numId="83" w16cid:durableId="97681041">
    <w:abstractNumId w:val="103"/>
  </w:num>
  <w:num w:numId="84" w16cid:durableId="1582061601">
    <w:abstractNumId w:val="25"/>
  </w:num>
  <w:num w:numId="85" w16cid:durableId="862404357">
    <w:abstractNumId w:val="123"/>
  </w:num>
  <w:num w:numId="86" w16cid:durableId="538707165">
    <w:abstractNumId w:val="59"/>
  </w:num>
  <w:num w:numId="87" w16cid:durableId="1728992829">
    <w:abstractNumId w:val="101"/>
  </w:num>
  <w:num w:numId="88" w16cid:durableId="1702508058">
    <w:abstractNumId w:val="128"/>
  </w:num>
  <w:num w:numId="89" w16cid:durableId="1590232625">
    <w:abstractNumId w:val="45"/>
  </w:num>
  <w:num w:numId="90" w16cid:durableId="1038749156">
    <w:abstractNumId w:val="35"/>
  </w:num>
  <w:num w:numId="91" w16cid:durableId="1946769885">
    <w:abstractNumId w:val="61"/>
  </w:num>
  <w:num w:numId="92" w16cid:durableId="880049271">
    <w:abstractNumId w:val="77"/>
  </w:num>
  <w:num w:numId="93" w16cid:durableId="569191725">
    <w:abstractNumId w:val="86"/>
  </w:num>
  <w:num w:numId="94" w16cid:durableId="1717004441">
    <w:abstractNumId w:val="127"/>
  </w:num>
  <w:num w:numId="95" w16cid:durableId="1406562145">
    <w:abstractNumId w:val="4"/>
  </w:num>
  <w:num w:numId="96" w16cid:durableId="471405377">
    <w:abstractNumId w:val="4"/>
  </w:num>
  <w:num w:numId="97" w16cid:durableId="1330669447">
    <w:abstractNumId w:val="31"/>
  </w:num>
  <w:num w:numId="98" w16cid:durableId="415446991">
    <w:abstractNumId w:val="31"/>
  </w:num>
  <w:num w:numId="99" w16cid:durableId="127403633">
    <w:abstractNumId w:val="31"/>
  </w:num>
  <w:num w:numId="100" w16cid:durableId="945116798">
    <w:abstractNumId w:val="31"/>
  </w:num>
  <w:num w:numId="101" w16cid:durableId="784807255">
    <w:abstractNumId w:val="31"/>
  </w:num>
  <w:num w:numId="102" w16cid:durableId="512184773">
    <w:abstractNumId w:val="31"/>
  </w:num>
  <w:num w:numId="103" w16cid:durableId="1406997689">
    <w:abstractNumId w:val="31"/>
  </w:num>
  <w:num w:numId="104" w16cid:durableId="1001273957">
    <w:abstractNumId w:val="31"/>
  </w:num>
  <w:num w:numId="105" w16cid:durableId="700596997">
    <w:abstractNumId w:val="31"/>
  </w:num>
  <w:num w:numId="106" w16cid:durableId="1877308220">
    <w:abstractNumId w:val="31"/>
  </w:num>
  <w:num w:numId="107" w16cid:durableId="107286617">
    <w:abstractNumId w:val="31"/>
  </w:num>
  <w:num w:numId="108" w16cid:durableId="1951934254">
    <w:abstractNumId w:val="31"/>
  </w:num>
  <w:num w:numId="109" w16cid:durableId="1093473714">
    <w:abstractNumId w:val="31"/>
  </w:num>
  <w:num w:numId="110" w16cid:durableId="515458005">
    <w:abstractNumId w:val="31"/>
  </w:num>
  <w:num w:numId="111" w16cid:durableId="324014097">
    <w:abstractNumId w:val="31"/>
  </w:num>
  <w:num w:numId="112" w16cid:durableId="81461512">
    <w:abstractNumId w:val="31"/>
  </w:num>
  <w:num w:numId="113" w16cid:durableId="488182117">
    <w:abstractNumId w:val="31"/>
  </w:num>
  <w:num w:numId="114" w16cid:durableId="999230725">
    <w:abstractNumId w:val="31"/>
  </w:num>
  <w:num w:numId="115" w16cid:durableId="1269195083">
    <w:abstractNumId w:val="31"/>
  </w:num>
  <w:num w:numId="116" w16cid:durableId="1038973018">
    <w:abstractNumId w:val="31"/>
  </w:num>
  <w:num w:numId="117" w16cid:durableId="1594431125">
    <w:abstractNumId w:val="31"/>
  </w:num>
  <w:num w:numId="118" w16cid:durableId="1172986957">
    <w:abstractNumId w:val="31"/>
  </w:num>
  <w:num w:numId="119" w16cid:durableId="648553450">
    <w:abstractNumId w:val="31"/>
  </w:num>
  <w:num w:numId="120" w16cid:durableId="1754551574">
    <w:abstractNumId w:val="31"/>
  </w:num>
  <w:num w:numId="121" w16cid:durableId="474492507">
    <w:abstractNumId w:val="31"/>
  </w:num>
  <w:num w:numId="122" w16cid:durableId="1361970764">
    <w:abstractNumId w:val="31"/>
  </w:num>
  <w:num w:numId="123" w16cid:durableId="1381630634">
    <w:abstractNumId w:val="31"/>
  </w:num>
  <w:num w:numId="124" w16cid:durableId="570241385">
    <w:abstractNumId w:val="31"/>
  </w:num>
  <w:num w:numId="125" w16cid:durableId="289634405">
    <w:abstractNumId w:val="31"/>
  </w:num>
  <w:num w:numId="126" w16cid:durableId="403140658">
    <w:abstractNumId w:val="31"/>
  </w:num>
  <w:num w:numId="127" w16cid:durableId="1020425865">
    <w:abstractNumId w:val="31"/>
  </w:num>
  <w:num w:numId="128" w16cid:durableId="253704943">
    <w:abstractNumId w:val="31"/>
  </w:num>
  <w:num w:numId="129" w16cid:durableId="1959989025">
    <w:abstractNumId w:val="31"/>
  </w:num>
  <w:num w:numId="130" w16cid:durableId="1424570337">
    <w:abstractNumId w:val="31"/>
  </w:num>
  <w:num w:numId="131" w16cid:durableId="208154548">
    <w:abstractNumId w:val="31"/>
  </w:num>
  <w:num w:numId="132" w16cid:durableId="1294284635">
    <w:abstractNumId w:val="31"/>
  </w:num>
  <w:num w:numId="133" w16cid:durableId="29648410">
    <w:abstractNumId w:val="31"/>
  </w:num>
  <w:num w:numId="134" w16cid:durableId="127169684">
    <w:abstractNumId w:val="31"/>
  </w:num>
  <w:num w:numId="135" w16cid:durableId="1986809155">
    <w:abstractNumId w:val="31"/>
  </w:num>
  <w:num w:numId="136" w16cid:durableId="1945260398">
    <w:abstractNumId w:val="31"/>
  </w:num>
  <w:num w:numId="137" w16cid:durableId="462315223">
    <w:abstractNumId w:val="31"/>
  </w:num>
  <w:num w:numId="138" w16cid:durableId="1221673431">
    <w:abstractNumId w:val="31"/>
  </w:num>
  <w:num w:numId="139" w16cid:durableId="2025399900">
    <w:abstractNumId w:val="31"/>
  </w:num>
  <w:num w:numId="140" w16cid:durableId="1501654405">
    <w:abstractNumId w:val="31"/>
  </w:num>
  <w:num w:numId="141" w16cid:durableId="98764713">
    <w:abstractNumId w:val="31"/>
  </w:num>
  <w:num w:numId="142" w16cid:durableId="535313199">
    <w:abstractNumId w:val="31"/>
  </w:num>
  <w:num w:numId="143" w16cid:durableId="653141453">
    <w:abstractNumId w:val="31"/>
  </w:num>
  <w:num w:numId="144" w16cid:durableId="983319168">
    <w:abstractNumId w:val="31"/>
  </w:num>
  <w:num w:numId="145" w16cid:durableId="74519048">
    <w:abstractNumId w:val="31"/>
  </w:num>
  <w:num w:numId="146" w16cid:durableId="1908756530">
    <w:abstractNumId w:val="31"/>
  </w:num>
  <w:num w:numId="147" w16cid:durableId="1640988155">
    <w:abstractNumId w:val="31"/>
  </w:num>
  <w:num w:numId="148" w16cid:durableId="607394149">
    <w:abstractNumId w:val="31"/>
  </w:num>
  <w:num w:numId="149" w16cid:durableId="16203305">
    <w:abstractNumId w:val="31"/>
  </w:num>
  <w:num w:numId="150" w16cid:durableId="1484934118">
    <w:abstractNumId w:val="31"/>
  </w:num>
  <w:num w:numId="151" w16cid:durableId="1266768627">
    <w:abstractNumId w:val="31"/>
  </w:num>
  <w:num w:numId="152" w16cid:durableId="1339044113">
    <w:abstractNumId w:val="31"/>
  </w:num>
  <w:num w:numId="153" w16cid:durableId="326909553">
    <w:abstractNumId w:val="2"/>
  </w:num>
  <w:num w:numId="154" w16cid:durableId="1183200238">
    <w:abstractNumId w:val="1"/>
  </w:num>
  <w:num w:numId="155" w16cid:durableId="747118291">
    <w:abstractNumId w:val="0"/>
  </w:num>
  <w:num w:numId="156" w16cid:durableId="883638684">
    <w:abstractNumId w:val="4"/>
  </w:num>
  <w:num w:numId="157" w16cid:durableId="394743263">
    <w:abstractNumId w:val="4"/>
  </w:num>
  <w:num w:numId="158" w16cid:durableId="477110540">
    <w:abstractNumId w:val="4"/>
  </w:num>
  <w:num w:numId="159" w16cid:durableId="1387218294">
    <w:abstractNumId w:val="4"/>
  </w:num>
  <w:num w:numId="160" w16cid:durableId="275991124">
    <w:abstractNumId w:val="4"/>
  </w:num>
  <w:num w:numId="161" w16cid:durableId="183837790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11493372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5585893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171794561">
    <w:abstractNumId w:val="94"/>
  </w:num>
  <w:num w:numId="165" w16cid:durableId="201722330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85264436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53349650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08415582">
    <w:abstractNumId w:val="122"/>
  </w:num>
  <w:num w:numId="169" w16cid:durableId="1485245127">
    <w:abstractNumId w:val="93"/>
  </w:num>
  <w:num w:numId="170" w16cid:durableId="1049573112">
    <w:abstractNumId w:val="105"/>
  </w:num>
  <w:num w:numId="171" w16cid:durableId="160002029">
    <w:abstractNumId w:val="22"/>
  </w:num>
  <w:num w:numId="172" w16cid:durableId="1797866010">
    <w:abstractNumId w:val="19"/>
  </w:num>
  <w:num w:numId="173" w16cid:durableId="1507862017">
    <w:abstractNumId w:val="2"/>
  </w:num>
  <w:num w:numId="174" w16cid:durableId="1404259306">
    <w:abstractNumId w:val="2"/>
  </w:num>
  <w:num w:numId="175" w16cid:durableId="1695376070">
    <w:abstractNumId w:val="28"/>
  </w:num>
  <w:num w:numId="176" w16cid:durableId="1844781905">
    <w:abstractNumId w:val="32"/>
  </w:num>
  <w:num w:numId="177" w16cid:durableId="979579012">
    <w:abstractNumId w:val="110"/>
  </w:num>
  <w:num w:numId="178" w16cid:durableId="77556846">
    <w:abstractNumId w:val="20"/>
  </w:num>
  <w:num w:numId="179" w16cid:durableId="2064139166">
    <w:abstractNumId w:val="87"/>
  </w:num>
  <w:num w:numId="180" w16cid:durableId="906038172">
    <w:abstractNumId w:val="6"/>
  </w:num>
  <w:num w:numId="181" w16cid:durableId="633218681">
    <w:abstractNumId w:val="55"/>
  </w:num>
  <w:num w:numId="182" w16cid:durableId="1911455399">
    <w:abstractNumId w:val="13"/>
  </w:num>
  <w:num w:numId="183" w16cid:durableId="989868592">
    <w:abstractNumId w:val="44"/>
  </w:num>
  <w:num w:numId="184" w16cid:durableId="1806192683">
    <w:abstractNumId w:val="2"/>
  </w:num>
  <w:num w:numId="185" w16cid:durableId="654916243">
    <w:abstractNumId w:val="2"/>
  </w:num>
  <w:num w:numId="186" w16cid:durableId="1786920222">
    <w:abstractNumId w:val="2"/>
  </w:num>
  <w:num w:numId="187" w16cid:durableId="180248297">
    <w:abstractNumId w:val="2"/>
  </w:num>
  <w:num w:numId="188" w16cid:durableId="770248103">
    <w:abstractNumId w:val="2"/>
  </w:num>
  <w:num w:numId="189" w16cid:durableId="1208026467">
    <w:abstractNumId w:val="2"/>
  </w:num>
  <w:num w:numId="190" w16cid:durableId="1289895990">
    <w:abstractNumId w:val="2"/>
  </w:num>
  <w:num w:numId="191" w16cid:durableId="1436168470">
    <w:abstractNumId w:val="2"/>
  </w:num>
  <w:num w:numId="192" w16cid:durableId="841043045">
    <w:abstractNumId w:val="2"/>
  </w:num>
  <w:num w:numId="193" w16cid:durableId="1902859739">
    <w:abstractNumId w:val="2"/>
  </w:num>
  <w:num w:numId="194" w16cid:durableId="1762797509">
    <w:abstractNumId w:val="2"/>
  </w:num>
  <w:num w:numId="195" w16cid:durableId="988561991">
    <w:abstractNumId w:val="2"/>
  </w:num>
  <w:num w:numId="196" w16cid:durableId="1602645401">
    <w:abstractNumId w:val="2"/>
  </w:num>
  <w:num w:numId="197" w16cid:durableId="1068311056">
    <w:abstractNumId w:val="2"/>
  </w:num>
  <w:num w:numId="198" w16cid:durableId="632100466">
    <w:abstractNumId w:val="2"/>
  </w:num>
  <w:num w:numId="199" w16cid:durableId="1891651866">
    <w:abstractNumId w:val="2"/>
  </w:num>
  <w:num w:numId="200" w16cid:durableId="1377120032">
    <w:abstractNumId w:val="2"/>
  </w:num>
  <w:num w:numId="201" w16cid:durableId="1717192364">
    <w:abstractNumId w:val="2"/>
  </w:num>
  <w:num w:numId="202" w16cid:durableId="1729960566">
    <w:abstractNumId w:val="2"/>
  </w:num>
  <w:num w:numId="203" w16cid:durableId="2147158321">
    <w:abstractNumId w:val="2"/>
  </w:num>
  <w:num w:numId="204" w16cid:durableId="910575781">
    <w:abstractNumId w:val="2"/>
  </w:num>
  <w:num w:numId="205" w16cid:durableId="1695959999">
    <w:abstractNumId w:val="2"/>
  </w:num>
  <w:num w:numId="206" w16cid:durableId="1013843666">
    <w:abstractNumId w:val="2"/>
  </w:num>
  <w:num w:numId="207" w16cid:durableId="1822654276">
    <w:abstractNumId w:val="2"/>
  </w:num>
  <w:num w:numId="208" w16cid:durableId="507982954">
    <w:abstractNumId w:val="2"/>
  </w:num>
  <w:num w:numId="209" w16cid:durableId="916750240">
    <w:abstractNumId w:val="2"/>
  </w:num>
  <w:num w:numId="210" w16cid:durableId="942104724">
    <w:abstractNumId w:val="2"/>
  </w:num>
  <w:num w:numId="211" w16cid:durableId="2081511903">
    <w:abstractNumId w:val="2"/>
  </w:num>
  <w:num w:numId="212" w16cid:durableId="2012683758">
    <w:abstractNumId w:val="99"/>
  </w:num>
  <w:num w:numId="213" w16cid:durableId="1187908684">
    <w:abstractNumId w:val="111"/>
  </w:num>
  <w:num w:numId="214" w16cid:durableId="519592354">
    <w:abstractNumId w:val="88"/>
  </w:num>
  <w:num w:numId="215" w16cid:durableId="11499488">
    <w:abstractNumId w:val="43"/>
  </w:num>
  <w:num w:numId="216" w16cid:durableId="997726542">
    <w:abstractNumId w:val="119"/>
  </w:num>
  <w:num w:numId="217" w16cid:durableId="1100876940">
    <w:abstractNumId w:val="11"/>
  </w:num>
  <w:num w:numId="218" w16cid:durableId="205066377">
    <w:abstractNumId w:val="23"/>
  </w:num>
  <w:num w:numId="219" w16cid:durableId="601883283">
    <w:abstractNumId w:val="98"/>
  </w:num>
  <w:num w:numId="220" w16cid:durableId="1057968591">
    <w:abstractNumId w:val="64"/>
  </w:num>
  <w:num w:numId="221" w16cid:durableId="1642418007">
    <w:abstractNumId w:val="91"/>
  </w:num>
  <w:num w:numId="222" w16cid:durableId="2146119511">
    <w:abstractNumId w:val="75"/>
  </w:num>
  <w:num w:numId="223" w16cid:durableId="243105473">
    <w:abstractNumId w:val="26"/>
  </w:num>
  <w:num w:numId="224" w16cid:durableId="1725712193">
    <w:abstractNumId w:val="120"/>
  </w:num>
  <w:num w:numId="225" w16cid:durableId="1709332120">
    <w:abstractNumId w:val="2"/>
  </w:num>
  <w:num w:numId="226" w16cid:durableId="897979407">
    <w:abstractNumId w:val="72"/>
  </w:num>
  <w:num w:numId="227" w16cid:durableId="367072235">
    <w:abstractNumId w:val="82"/>
  </w:num>
  <w:num w:numId="228" w16cid:durableId="40133247">
    <w:abstractNumId w:val="95"/>
  </w:num>
  <w:num w:numId="229" w16cid:durableId="1854953649">
    <w:abstractNumId w:val="60"/>
  </w:num>
  <w:num w:numId="230" w16cid:durableId="1064377195">
    <w:abstractNumId w:val="2"/>
  </w:num>
  <w:num w:numId="231" w16cid:durableId="156313864">
    <w:abstractNumId w:val="68"/>
  </w:num>
  <w:num w:numId="232" w16cid:durableId="1865434269">
    <w:abstractNumId w:val="1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90"/>
    <w:rsid w:val="0000012F"/>
    <w:rsid w:val="00000141"/>
    <w:rsid w:val="000002BE"/>
    <w:rsid w:val="000002FA"/>
    <w:rsid w:val="0000036D"/>
    <w:rsid w:val="000003B1"/>
    <w:rsid w:val="00000719"/>
    <w:rsid w:val="00000860"/>
    <w:rsid w:val="00000890"/>
    <w:rsid w:val="000009A1"/>
    <w:rsid w:val="00000B18"/>
    <w:rsid w:val="00000B5A"/>
    <w:rsid w:val="00000C14"/>
    <w:rsid w:val="00000D96"/>
    <w:rsid w:val="00000E06"/>
    <w:rsid w:val="00000F1E"/>
    <w:rsid w:val="00000FFD"/>
    <w:rsid w:val="00001259"/>
    <w:rsid w:val="000012D7"/>
    <w:rsid w:val="000013BE"/>
    <w:rsid w:val="00001530"/>
    <w:rsid w:val="00001592"/>
    <w:rsid w:val="000016AF"/>
    <w:rsid w:val="0000174F"/>
    <w:rsid w:val="000018F5"/>
    <w:rsid w:val="00001939"/>
    <w:rsid w:val="00001B01"/>
    <w:rsid w:val="00001CBE"/>
    <w:rsid w:val="00001D29"/>
    <w:rsid w:val="00001E24"/>
    <w:rsid w:val="00001F14"/>
    <w:rsid w:val="00001F48"/>
    <w:rsid w:val="00002050"/>
    <w:rsid w:val="0000208A"/>
    <w:rsid w:val="00002294"/>
    <w:rsid w:val="00002342"/>
    <w:rsid w:val="000023D1"/>
    <w:rsid w:val="0000249E"/>
    <w:rsid w:val="00002534"/>
    <w:rsid w:val="000026EB"/>
    <w:rsid w:val="0000276D"/>
    <w:rsid w:val="0000277C"/>
    <w:rsid w:val="00002974"/>
    <w:rsid w:val="0000298B"/>
    <w:rsid w:val="000029E7"/>
    <w:rsid w:val="00002A30"/>
    <w:rsid w:val="00002A9A"/>
    <w:rsid w:val="00002BA8"/>
    <w:rsid w:val="00002C04"/>
    <w:rsid w:val="00002C82"/>
    <w:rsid w:val="00002E96"/>
    <w:rsid w:val="00002EB7"/>
    <w:rsid w:val="00002F35"/>
    <w:rsid w:val="0000320B"/>
    <w:rsid w:val="000033C6"/>
    <w:rsid w:val="00003554"/>
    <w:rsid w:val="000035E8"/>
    <w:rsid w:val="0000363F"/>
    <w:rsid w:val="000036FC"/>
    <w:rsid w:val="00003989"/>
    <w:rsid w:val="00003BB8"/>
    <w:rsid w:val="00003C32"/>
    <w:rsid w:val="00003D72"/>
    <w:rsid w:val="00003E3C"/>
    <w:rsid w:val="00003E60"/>
    <w:rsid w:val="00003EA7"/>
    <w:rsid w:val="00003F1C"/>
    <w:rsid w:val="0000409A"/>
    <w:rsid w:val="000040C3"/>
    <w:rsid w:val="00004193"/>
    <w:rsid w:val="00004197"/>
    <w:rsid w:val="000041B7"/>
    <w:rsid w:val="0000436E"/>
    <w:rsid w:val="000044B5"/>
    <w:rsid w:val="0000451E"/>
    <w:rsid w:val="000045A7"/>
    <w:rsid w:val="00004603"/>
    <w:rsid w:val="000046CB"/>
    <w:rsid w:val="000046F1"/>
    <w:rsid w:val="000046F8"/>
    <w:rsid w:val="0000475E"/>
    <w:rsid w:val="00004917"/>
    <w:rsid w:val="00004926"/>
    <w:rsid w:val="00004AB2"/>
    <w:rsid w:val="00004D0A"/>
    <w:rsid w:val="00004D78"/>
    <w:rsid w:val="00004DF3"/>
    <w:rsid w:val="00004FB7"/>
    <w:rsid w:val="00004FD2"/>
    <w:rsid w:val="0000507C"/>
    <w:rsid w:val="0000509A"/>
    <w:rsid w:val="00005483"/>
    <w:rsid w:val="00005495"/>
    <w:rsid w:val="00005667"/>
    <w:rsid w:val="000056DB"/>
    <w:rsid w:val="000058B4"/>
    <w:rsid w:val="0000593A"/>
    <w:rsid w:val="00005B38"/>
    <w:rsid w:val="00005CCF"/>
    <w:rsid w:val="00005D05"/>
    <w:rsid w:val="00005D3E"/>
    <w:rsid w:val="00005FE0"/>
    <w:rsid w:val="00005FE6"/>
    <w:rsid w:val="00005FF3"/>
    <w:rsid w:val="0000607A"/>
    <w:rsid w:val="00006115"/>
    <w:rsid w:val="00006238"/>
    <w:rsid w:val="000063F8"/>
    <w:rsid w:val="00006486"/>
    <w:rsid w:val="000064A3"/>
    <w:rsid w:val="000064F6"/>
    <w:rsid w:val="000066CF"/>
    <w:rsid w:val="0000671C"/>
    <w:rsid w:val="00006777"/>
    <w:rsid w:val="00006911"/>
    <w:rsid w:val="0000698A"/>
    <w:rsid w:val="00006B05"/>
    <w:rsid w:val="00006BFA"/>
    <w:rsid w:val="00006C92"/>
    <w:rsid w:val="000070CF"/>
    <w:rsid w:val="00007158"/>
    <w:rsid w:val="000071CE"/>
    <w:rsid w:val="0000720A"/>
    <w:rsid w:val="00007235"/>
    <w:rsid w:val="0000748D"/>
    <w:rsid w:val="000075DA"/>
    <w:rsid w:val="00007619"/>
    <w:rsid w:val="00007632"/>
    <w:rsid w:val="00007655"/>
    <w:rsid w:val="00007657"/>
    <w:rsid w:val="000079C8"/>
    <w:rsid w:val="000079FC"/>
    <w:rsid w:val="00007DA6"/>
    <w:rsid w:val="00007DAB"/>
    <w:rsid w:val="00007DE0"/>
    <w:rsid w:val="00007EED"/>
    <w:rsid w:val="00007FD2"/>
    <w:rsid w:val="00010158"/>
    <w:rsid w:val="0001025B"/>
    <w:rsid w:val="00010301"/>
    <w:rsid w:val="0001055C"/>
    <w:rsid w:val="000105BD"/>
    <w:rsid w:val="000105F0"/>
    <w:rsid w:val="00010679"/>
    <w:rsid w:val="00010681"/>
    <w:rsid w:val="000108D5"/>
    <w:rsid w:val="0001092E"/>
    <w:rsid w:val="000109D5"/>
    <w:rsid w:val="00010AD0"/>
    <w:rsid w:val="00010B64"/>
    <w:rsid w:val="00010C52"/>
    <w:rsid w:val="00010C91"/>
    <w:rsid w:val="00010DD6"/>
    <w:rsid w:val="00010F0C"/>
    <w:rsid w:val="00010F7F"/>
    <w:rsid w:val="0001113E"/>
    <w:rsid w:val="0001116F"/>
    <w:rsid w:val="0001120C"/>
    <w:rsid w:val="00011211"/>
    <w:rsid w:val="00011328"/>
    <w:rsid w:val="000114C3"/>
    <w:rsid w:val="00011544"/>
    <w:rsid w:val="0001157F"/>
    <w:rsid w:val="00011587"/>
    <w:rsid w:val="00011595"/>
    <w:rsid w:val="000115F1"/>
    <w:rsid w:val="00011679"/>
    <w:rsid w:val="0001176D"/>
    <w:rsid w:val="000117F4"/>
    <w:rsid w:val="000118F7"/>
    <w:rsid w:val="0001193D"/>
    <w:rsid w:val="00011950"/>
    <w:rsid w:val="00011A2A"/>
    <w:rsid w:val="00011ACB"/>
    <w:rsid w:val="00011DBF"/>
    <w:rsid w:val="00011F52"/>
    <w:rsid w:val="00012366"/>
    <w:rsid w:val="0001241A"/>
    <w:rsid w:val="00012528"/>
    <w:rsid w:val="00012569"/>
    <w:rsid w:val="000125A0"/>
    <w:rsid w:val="000128B2"/>
    <w:rsid w:val="00012A8A"/>
    <w:rsid w:val="00012B27"/>
    <w:rsid w:val="00012BFE"/>
    <w:rsid w:val="00012DF3"/>
    <w:rsid w:val="00012F6D"/>
    <w:rsid w:val="00012F8C"/>
    <w:rsid w:val="00012FD4"/>
    <w:rsid w:val="00012FDF"/>
    <w:rsid w:val="0001312D"/>
    <w:rsid w:val="0001313D"/>
    <w:rsid w:val="00013538"/>
    <w:rsid w:val="00013559"/>
    <w:rsid w:val="00013597"/>
    <w:rsid w:val="00013624"/>
    <w:rsid w:val="000136AC"/>
    <w:rsid w:val="0001379A"/>
    <w:rsid w:val="000137E7"/>
    <w:rsid w:val="000137FF"/>
    <w:rsid w:val="00013998"/>
    <w:rsid w:val="00013AFC"/>
    <w:rsid w:val="00013B70"/>
    <w:rsid w:val="00013D85"/>
    <w:rsid w:val="00013DF5"/>
    <w:rsid w:val="00013E67"/>
    <w:rsid w:val="00013EC0"/>
    <w:rsid w:val="00014008"/>
    <w:rsid w:val="00014045"/>
    <w:rsid w:val="0001409C"/>
    <w:rsid w:val="0001412C"/>
    <w:rsid w:val="0001438B"/>
    <w:rsid w:val="00014539"/>
    <w:rsid w:val="00014625"/>
    <w:rsid w:val="00014781"/>
    <w:rsid w:val="0001478D"/>
    <w:rsid w:val="000147AB"/>
    <w:rsid w:val="00014871"/>
    <w:rsid w:val="000149B3"/>
    <w:rsid w:val="00014BC8"/>
    <w:rsid w:val="00014D4F"/>
    <w:rsid w:val="00014DBC"/>
    <w:rsid w:val="0001518F"/>
    <w:rsid w:val="00015367"/>
    <w:rsid w:val="000154EF"/>
    <w:rsid w:val="0001552A"/>
    <w:rsid w:val="0001557A"/>
    <w:rsid w:val="000156CF"/>
    <w:rsid w:val="00015AA8"/>
    <w:rsid w:val="00015C91"/>
    <w:rsid w:val="00015CCA"/>
    <w:rsid w:val="00015DD3"/>
    <w:rsid w:val="00015E1A"/>
    <w:rsid w:val="00015EC2"/>
    <w:rsid w:val="00016272"/>
    <w:rsid w:val="000162A0"/>
    <w:rsid w:val="000163D3"/>
    <w:rsid w:val="0001671B"/>
    <w:rsid w:val="0001673D"/>
    <w:rsid w:val="00016778"/>
    <w:rsid w:val="00016A08"/>
    <w:rsid w:val="00016B6D"/>
    <w:rsid w:val="00016BD2"/>
    <w:rsid w:val="00016C51"/>
    <w:rsid w:val="00016C98"/>
    <w:rsid w:val="00016D51"/>
    <w:rsid w:val="00016E8D"/>
    <w:rsid w:val="00017051"/>
    <w:rsid w:val="00017096"/>
    <w:rsid w:val="000170F8"/>
    <w:rsid w:val="00017156"/>
    <w:rsid w:val="00017166"/>
    <w:rsid w:val="00017562"/>
    <w:rsid w:val="000175EA"/>
    <w:rsid w:val="00017660"/>
    <w:rsid w:val="000176BA"/>
    <w:rsid w:val="00017705"/>
    <w:rsid w:val="00017753"/>
    <w:rsid w:val="00017C3C"/>
    <w:rsid w:val="00017C81"/>
    <w:rsid w:val="00017DDC"/>
    <w:rsid w:val="00017E4D"/>
    <w:rsid w:val="000201D3"/>
    <w:rsid w:val="0002022B"/>
    <w:rsid w:val="00020266"/>
    <w:rsid w:val="00020369"/>
    <w:rsid w:val="000203B0"/>
    <w:rsid w:val="000204B4"/>
    <w:rsid w:val="00020543"/>
    <w:rsid w:val="000205F9"/>
    <w:rsid w:val="00020613"/>
    <w:rsid w:val="00020678"/>
    <w:rsid w:val="0002068B"/>
    <w:rsid w:val="0002073F"/>
    <w:rsid w:val="00020826"/>
    <w:rsid w:val="00020920"/>
    <w:rsid w:val="0002098A"/>
    <w:rsid w:val="0002098E"/>
    <w:rsid w:val="000209B5"/>
    <w:rsid w:val="00020A98"/>
    <w:rsid w:val="00020D08"/>
    <w:rsid w:val="00020D23"/>
    <w:rsid w:val="00020D82"/>
    <w:rsid w:val="0002105C"/>
    <w:rsid w:val="00021150"/>
    <w:rsid w:val="00021186"/>
    <w:rsid w:val="00021253"/>
    <w:rsid w:val="0002127B"/>
    <w:rsid w:val="000212DA"/>
    <w:rsid w:val="000213BD"/>
    <w:rsid w:val="000214CE"/>
    <w:rsid w:val="00021550"/>
    <w:rsid w:val="00021735"/>
    <w:rsid w:val="00021807"/>
    <w:rsid w:val="0002186C"/>
    <w:rsid w:val="00021A34"/>
    <w:rsid w:val="00021AC2"/>
    <w:rsid w:val="00021B30"/>
    <w:rsid w:val="00021FBE"/>
    <w:rsid w:val="00021FFC"/>
    <w:rsid w:val="0002222A"/>
    <w:rsid w:val="0002226E"/>
    <w:rsid w:val="00022328"/>
    <w:rsid w:val="000223A1"/>
    <w:rsid w:val="000224F1"/>
    <w:rsid w:val="000226E9"/>
    <w:rsid w:val="00022760"/>
    <w:rsid w:val="000229E0"/>
    <w:rsid w:val="000229E1"/>
    <w:rsid w:val="00022CE3"/>
    <w:rsid w:val="00022D48"/>
    <w:rsid w:val="00022E3C"/>
    <w:rsid w:val="00022E93"/>
    <w:rsid w:val="0002323A"/>
    <w:rsid w:val="00023339"/>
    <w:rsid w:val="0002357F"/>
    <w:rsid w:val="0002361E"/>
    <w:rsid w:val="000238AE"/>
    <w:rsid w:val="00023921"/>
    <w:rsid w:val="00023BEC"/>
    <w:rsid w:val="00023EFD"/>
    <w:rsid w:val="00023F6F"/>
    <w:rsid w:val="00024036"/>
    <w:rsid w:val="000240A9"/>
    <w:rsid w:val="00024126"/>
    <w:rsid w:val="0002413F"/>
    <w:rsid w:val="0002419A"/>
    <w:rsid w:val="000241AF"/>
    <w:rsid w:val="000241D6"/>
    <w:rsid w:val="00024209"/>
    <w:rsid w:val="000242DB"/>
    <w:rsid w:val="00024500"/>
    <w:rsid w:val="00024633"/>
    <w:rsid w:val="0002463B"/>
    <w:rsid w:val="00024766"/>
    <w:rsid w:val="000247F6"/>
    <w:rsid w:val="000248DD"/>
    <w:rsid w:val="000248E7"/>
    <w:rsid w:val="000248EC"/>
    <w:rsid w:val="00024979"/>
    <w:rsid w:val="00024995"/>
    <w:rsid w:val="000249A1"/>
    <w:rsid w:val="00024A90"/>
    <w:rsid w:val="00024B04"/>
    <w:rsid w:val="00024C26"/>
    <w:rsid w:val="000250C7"/>
    <w:rsid w:val="00025358"/>
    <w:rsid w:val="000253B1"/>
    <w:rsid w:val="000253D8"/>
    <w:rsid w:val="000255A7"/>
    <w:rsid w:val="000256D7"/>
    <w:rsid w:val="0002573A"/>
    <w:rsid w:val="000258AF"/>
    <w:rsid w:val="000258BC"/>
    <w:rsid w:val="000259C6"/>
    <w:rsid w:val="00025B7E"/>
    <w:rsid w:val="00025CB2"/>
    <w:rsid w:val="00025E00"/>
    <w:rsid w:val="00025E4C"/>
    <w:rsid w:val="00025EBB"/>
    <w:rsid w:val="00025F4E"/>
    <w:rsid w:val="00025F68"/>
    <w:rsid w:val="0002600B"/>
    <w:rsid w:val="00026062"/>
    <w:rsid w:val="000260C8"/>
    <w:rsid w:val="0002650D"/>
    <w:rsid w:val="00026538"/>
    <w:rsid w:val="0002656F"/>
    <w:rsid w:val="00026752"/>
    <w:rsid w:val="00026787"/>
    <w:rsid w:val="000267CE"/>
    <w:rsid w:val="00026898"/>
    <w:rsid w:val="000268E5"/>
    <w:rsid w:val="00026976"/>
    <w:rsid w:val="000269FE"/>
    <w:rsid w:val="00026A6E"/>
    <w:rsid w:val="00026A94"/>
    <w:rsid w:val="00026AD7"/>
    <w:rsid w:val="00026AFA"/>
    <w:rsid w:val="00026B1F"/>
    <w:rsid w:val="00026C2E"/>
    <w:rsid w:val="00026DDA"/>
    <w:rsid w:val="00026E5B"/>
    <w:rsid w:val="00026EA8"/>
    <w:rsid w:val="00026F7A"/>
    <w:rsid w:val="00026F7C"/>
    <w:rsid w:val="00027117"/>
    <w:rsid w:val="0002720F"/>
    <w:rsid w:val="00027223"/>
    <w:rsid w:val="00027371"/>
    <w:rsid w:val="00027447"/>
    <w:rsid w:val="00027585"/>
    <w:rsid w:val="00027861"/>
    <w:rsid w:val="00027930"/>
    <w:rsid w:val="000279C3"/>
    <w:rsid w:val="000279C5"/>
    <w:rsid w:val="00027BA5"/>
    <w:rsid w:val="00027C09"/>
    <w:rsid w:val="00027CC8"/>
    <w:rsid w:val="00027D87"/>
    <w:rsid w:val="00027FEE"/>
    <w:rsid w:val="00030138"/>
    <w:rsid w:val="000302A1"/>
    <w:rsid w:val="0003047A"/>
    <w:rsid w:val="00030489"/>
    <w:rsid w:val="000304B5"/>
    <w:rsid w:val="00030554"/>
    <w:rsid w:val="0003057A"/>
    <w:rsid w:val="00030663"/>
    <w:rsid w:val="000309E5"/>
    <w:rsid w:val="00030AAD"/>
    <w:rsid w:val="00030B07"/>
    <w:rsid w:val="00030D98"/>
    <w:rsid w:val="00031238"/>
    <w:rsid w:val="0003137E"/>
    <w:rsid w:val="00031383"/>
    <w:rsid w:val="000313F1"/>
    <w:rsid w:val="0003140E"/>
    <w:rsid w:val="00031533"/>
    <w:rsid w:val="00031585"/>
    <w:rsid w:val="000315C5"/>
    <w:rsid w:val="0003161E"/>
    <w:rsid w:val="00031641"/>
    <w:rsid w:val="000316C3"/>
    <w:rsid w:val="00031706"/>
    <w:rsid w:val="00031741"/>
    <w:rsid w:val="000317E5"/>
    <w:rsid w:val="00031871"/>
    <w:rsid w:val="000318A1"/>
    <w:rsid w:val="000318E9"/>
    <w:rsid w:val="00031AF1"/>
    <w:rsid w:val="00031B6E"/>
    <w:rsid w:val="00031C56"/>
    <w:rsid w:val="00031C83"/>
    <w:rsid w:val="00031D02"/>
    <w:rsid w:val="00031D70"/>
    <w:rsid w:val="00032146"/>
    <w:rsid w:val="000321A1"/>
    <w:rsid w:val="000321DE"/>
    <w:rsid w:val="000321E1"/>
    <w:rsid w:val="00032258"/>
    <w:rsid w:val="00032281"/>
    <w:rsid w:val="000325BC"/>
    <w:rsid w:val="00032634"/>
    <w:rsid w:val="0003268D"/>
    <w:rsid w:val="000329AD"/>
    <w:rsid w:val="00032A3E"/>
    <w:rsid w:val="00032B9E"/>
    <w:rsid w:val="00032BE2"/>
    <w:rsid w:val="00032C37"/>
    <w:rsid w:val="00032C7B"/>
    <w:rsid w:val="00032DDA"/>
    <w:rsid w:val="00032FD7"/>
    <w:rsid w:val="000331E4"/>
    <w:rsid w:val="000331F3"/>
    <w:rsid w:val="000331F7"/>
    <w:rsid w:val="00033293"/>
    <w:rsid w:val="000332DE"/>
    <w:rsid w:val="000332EC"/>
    <w:rsid w:val="000333C9"/>
    <w:rsid w:val="0003340D"/>
    <w:rsid w:val="0003345D"/>
    <w:rsid w:val="0003348E"/>
    <w:rsid w:val="00033496"/>
    <w:rsid w:val="000334DF"/>
    <w:rsid w:val="000335BE"/>
    <w:rsid w:val="0003382A"/>
    <w:rsid w:val="000338A2"/>
    <w:rsid w:val="00033921"/>
    <w:rsid w:val="00033C1D"/>
    <w:rsid w:val="00033D6B"/>
    <w:rsid w:val="00033DF6"/>
    <w:rsid w:val="00033E3C"/>
    <w:rsid w:val="00033E9E"/>
    <w:rsid w:val="00033FAC"/>
    <w:rsid w:val="00034124"/>
    <w:rsid w:val="0003426C"/>
    <w:rsid w:val="000342A7"/>
    <w:rsid w:val="000342EF"/>
    <w:rsid w:val="000343C9"/>
    <w:rsid w:val="0003453D"/>
    <w:rsid w:val="000345A6"/>
    <w:rsid w:val="00034607"/>
    <w:rsid w:val="0003469F"/>
    <w:rsid w:val="000348F9"/>
    <w:rsid w:val="00034ABE"/>
    <w:rsid w:val="00034BEE"/>
    <w:rsid w:val="00034BFB"/>
    <w:rsid w:val="00034C88"/>
    <w:rsid w:val="00034CA3"/>
    <w:rsid w:val="00034E0A"/>
    <w:rsid w:val="00034E5F"/>
    <w:rsid w:val="00034F3B"/>
    <w:rsid w:val="00034FD0"/>
    <w:rsid w:val="00035090"/>
    <w:rsid w:val="00035415"/>
    <w:rsid w:val="000354F8"/>
    <w:rsid w:val="00035754"/>
    <w:rsid w:val="00035763"/>
    <w:rsid w:val="00035802"/>
    <w:rsid w:val="0003587B"/>
    <w:rsid w:val="0003593C"/>
    <w:rsid w:val="00035A70"/>
    <w:rsid w:val="00035B37"/>
    <w:rsid w:val="00035B67"/>
    <w:rsid w:val="00035D4C"/>
    <w:rsid w:val="000360BD"/>
    <w:rsid w:val="000361CD"/>
    <w:rsid w:val="00036238"/>
    <w:rsid w:val="00036486"/>
    <w:rsid w:val="0003654A"/>
    <w:rsid w:val="00036633"/>
    <w:rsid w:val="000366DA"/>
    <w:rsid w:val="000366FB"/>
    <w:rsid w:val="000368AB"/>
    <w:rsid w:val="00036937"/>
    <w:rsid w:val="00036939"/>
    <w:rsid w:val="00036B77"/>
    <w:rsid w:val="00036BF9"/>
    <w:rsid w:val="00036D71"/>
    <w:rsid w:val="00036E7D"/>
    <w:rsid w:val="00036EC6"/>
    <w:rsid w:val="00036F9E"/>
    <w:rsid w:val="00037170"/>
    <w:rsid w:val="00037389"/>
    <w:rsid w:val="0003738C"/>
    <w:rsid w:val="0003746E"/>
    <w:rsid w:val="000375A2"/>
    <w:rsid w:val="000375C7"/>
    <w:rsid w:val="000377AD"/>
    <w:rsid w:val="00037831"/>
    <w:rsid w:val="00037ABD"/>
    <w:rsid w:val="00037B23"/>
    <w:rsid w:val="00037E23"/>
    <w:rsid w:val="00037E68"/>
    <w:rsid w:val="00037F08"/>
    <w:rsid w:val="000400E5"/>
    <w:rsid w:val="000401CA"/>
    <w:rsid w:val="00040337"/>
    <w:rsid w:val="0004045F"/>
    <w:rsid w:val="00040481"/>
    <w:rsid w:val="000405C7"/>
    <w:rsid w:val="0004060A"/>
    <w:rsid w:val="00040695"/>
    <w:rsid w:val="000406BA"/>
    <w:rsid w:val="000406FB"/>
    <w:rsid w:val="000407B8"/>
    <w:rsid w:val="000408AB"/>
    <w:rsid w:val="00040AE5"/>
    <w:rsid w:val="00040C60"/>
    <w:rsid w:val="00040D7B"/>
    <w:rsid w:val="00040D80"/>
    <w:rsid w:val="00040E5A"/>
    <w:rsid w:val="00040FE7"/>
    <w:rsid w:val="000410F3"/>
    <w:rsid w:val="00041203"/>
    <w:rsid w:val="00041244"/>
    <w:rsid w:val="0004124B"/>
    <w:rsid w:val="000412BC"/>
    <w:rsid w:val="000412F3"/>
    <w:rsid w:val="000413CD"/>
    <w:rsid w:val="00041411"/>
    <w:rsid w:val="0004141B"/>
    <w:rsid w:val="000415B5"/>
    <w:rsid w:val="0004191D"/>
    <w:rsid w:val="0004193A"/>
    <w:rsid w:val="000419A5"/>
    <w:rsid w:val="00041B4D"/>
    <w:rsid w:val="00041B96"/>
    <w:rsid w:val="00041ECD"/>
    <w:rsid w:val="00041F3F"/>
    <w:rsid w:val="00041F87"/>
    <w:rsid w:val="00042030"/>
    <w:rsid w:val="00042177"/>
    <w:rsid w:val="000423E3"/>
    <w:rsid w:val="0004248B"/>
    <w:rsid w:val="000424FC"/>
    <w:rsid w:val="0004253D"/>
    <w:rsid w:val="000425C1"/>
    <w:rsid w:val="00042618"/>
    <w:rsid w:val="000426B8"/>
    <w:rsid w:val="00042773"/>
    <w:rsid w:val="000427B4"/>
    <w:rsid w:val="000428C8"/>
    <w:rsid w:val="00042909"/>
    <w:rsid w:val="000429BE"/>
    <w:rsid w:val="00042A84"/>
    <w:rsid w:val="00042AB5"/>
    <w:rsid w:val="00042B48"/>
    <w:rsid w:val="00042CA6"/>
    <w:rsid w:val="00042EFC"/>
    <w:rsid w:val="000430D0"/>
    <w:rsid w:val="00043284"/>
    <w:rsid w:val="0004329F"/>
    <w:rsid w:val="000432BF"/>
    <w:rsid w:val="0004344B"/>
    <w:rsid w:val="00043482"/>
    <w:rsid w:val="00043494"/>
    <w:rsid w:val="000434FC"/>
    <w:rsid w:val="00043666"/>
    <w:rsid w:val="00043683"/>
    <w:rsid w:val="000436A7"/>
    <w:rsid w:val="000436C8"/>
    <w:rsid w:val="00043774"/>
    <w:rsid w:val="00043920"/>
    <w:rsid w:val="00043993"/>
    <w:rsid w:val="00043A1E"/>
    <w:rsid w:val="00043A65"/>
    <w:rsid w:val="00043ACF"/>
    <w:rsid w:val="00043AE0"/>
    <w:rsid w:val="00043D26"/>
    <w:rsid w:val="00043D8F"/>
    <w:rsid w:val="00043E30"/>
    <w:rsid w:val="00043E3A"/>
    <w:rsid w:val="00043FA4"/>
    <w:rsid w:val="00043FDB"/>
    <w:rsid w:val="000440BF"/>
    <w:rsid w:val="000441E5"/>
    <w:rsid w:val="000442CB"/>
    <w:rsid w:val="00044308"/>
    <w:rsid w:val="0004431B"/>
    <w:rsid w:val="00044327"/>
    <w:rsid w:val="00044403"/>
    <w:rsid w:val="000444E9"/>
    <w:rsid w:val="00044617"/>
    <w:rsid w:val="0004470A"/>
    <w:rsid w:val="00044755"/>
    <w:rsid w:val="000447A4"/>
    <w:rsid w:val="00044848"/>
    <w:rsid w:val="0004484B"/>
    <w:rsid w:val="0004492B"/>
    <w:rsid w:val="000449EE"/>
    <w:rsid w:val="00044AB1"/>
    <w:rsid w:val="00044CED"/>
    <w:rsid w:val="00044D13"/>
    <w:rsid w:val="00044D7C"/>
    <w:rsid w:val="00044D90"/>
    <w:rsid w:val="00044DE9"/>
    <w:rsid w:val="00044E53"/>
    <w:rsid w:val="00045030"/>
    <w:rsid w:val="000450BD"/>
    <w:rsid w:val="00045388"/>
    <w:rsid w:val="00045419"/>
    <w:rsid w:val="0004550E"/>
    <w:rsid w:val="000455CA"/>
    <w:rsid w:val="000456AB"/>
    <w:rsid w:val="00045777"/>
    <w:rsid w:val="00045827"/>
    <w:rsid w:val="0004592A"/>
    <w:rsid w:val="00045A10"/>
    <w:rsid w:val="00045B19"/>
    <w:rsid w:val="00045C6B"/>
    <w:rsid w:val="00046369"/>
    <w:rsid w:val="00046465"/>
    <w:rsid w:val="0004652C"/>
    <w:rsid w:val="0004672B"/>
    <w:rsid w:val="0004674F"/>
    <w:rsid w:val="00046799"/>
    <w:rsid w:val="000467B9"/>
    <w:rsid w:val="000469CF"/>
    <w:rsid w:val="00046A1B"/>
    <w:rsid w:val="00046BD7"/>
    <w:rsid w:val="00046C11"/>
    <w:rsid w:val="00046F55"/>
    <w:rsid w:val="000470C2"/>
    <w:rsid w:val="00047217"/>
    <w:rsid w:val="0004742D"/>
    <w:rsid w:val="00047433"/>
    <w:rsid w:val="000474EA"/>
    <w:rsid w:val="00047575"/>
    <w:rsid w:val="000475F7"/>
    <w:rsid w:val="00047715"/>
    <w:rsid w:val="000477D2"/>
    <w:rsid w:val="00047904"/>
    <w:rsid w:val="00047AE8"/>
    <w:rsid w:val="00047B14"/>
    <w:rsid w:val="00047BFA"/>
    <w:rsid w:val="00047C17"/>
    <w:rsid w:val="00047C47"/>
    <w:rsid w:val="00047DD0"/>
    <w:rsid w:val="00047DDF"/>
    <w:rsid w:val="00047EC1"/>
    <w:rsid w:val="00047F77"/>
    <w:rsid w:val="00050026"/>
    <w:rsid w:val="000500AB"/>
    <w:rsid w:val="000500C9"/>
    <w:rsid w:val="000501AC"/>
    <w:rsid w:val="00050350"/>
    <w:rsid w:val="0005035A"/>
    <w:rsid w:val="00050367"/>
    <w:rsid w:val="0005037E"/>
    <w:rsid w:val="0005044C"/>
    <w:rsid w:val="00050518"/>
    <w:rsid w:val="0005068B"/>
    <w:rsid w:val="00050774"/>
    <w:rsid w:val="00050782"/>
    <w:rsid w:val="00050AD8"/>
    <w:rsid w:val="00050B27"/>
    <w:rsid w:val="00050B7C"/>
    <w:rsid w:val="00050D4B"/>
    <w:rsid w:val="00050D66"/>
    <w:rsid w:val="00050D71"/>
    <w:rsid w:val="00050EFB"/>
    <w:rsid w:val="00050F10"/>
    <w:rsid w:val="00050F4F"/>
    <w:rsid w:val="00050F7F"/>
    <w:rsid w:val="00051179"/>
    <w:rsid w:val="000511A2"/>
    <w:rsid w:val="00051214"/>
    <w:rsid w:val="00051263"/>
    <w:rsid w:val="000512CD"/>
    <w:rsid w:val="000512F2"/>
    <w:rsid w:val="000513E6"/>
    <w:rsid w:val="000514CB"/>
    <w:rsid w:val="000514FF"/>
    <w:rsid w:val="000515AA"/>
    <w:rsid w:val="000516BF"/>
    <w:rsid w:val="000517A2"/>
    <w:rsid w:val="00051896"/>
    <w:rsid w:val="00051A7C"/>
    <w:rsid w:val="00051ABB"/>
    <w:rsid w:val="00051B13"/>
    <w:rsid w:val="00051C5E"/>
    <w:rsid w:val="00051D29"/>
    <w:rsid w:val="00051D5A"/>
    <w:rsid w:val="00052012"/>
    <w:rsid w:val="00052097"/>
    <w:rsid w:val="000521D7"/>
    <w:rsid w:val="00052213"/>
    <w:rsid w:val="00052459"/>
    <w:rsid w:val="0005245C"/>
    <w:rsid w:val="0005245F"/>
    <w:rsid w:val="00052469"/>
    <w:rsid w:val="00052AE0"/>
    <w:rsid w:val="00052CAE"/>
    <w:rsid w:val="00052DF8"/>
    <w:rsid w:val="00052EBF"/>
    <w:rsid w:val="0005313B"/>
    <w:rsid w:val="000531B0"/>
    <w:rsid w:val="00053557"/>
    <w:rsid w:val="00053580"/>
    <w:rsid w:val="000536FF"/>
    <w:rsid w:val="0005371A"/>
    <w:rsid w:val="000538C1"/>
    <w:rsid w:val="00053A02"/>
    <w:rsid w:val="00053B70"/>
    <w:rsid w:val="00053C0A"/>
    <w:rsid w:val="00053C49"/>
    <w:rsid w:val="00053CB2"/>
    <w:rsid w:val="00053DF8"/>
    <w:rsid w:val="00053DF9"/>
    <w:rsid w:val="00053E77"/>
    <w:rsid w:val="00053EBA"/>
    <w:rsid w:val="0005401F"/>
    <w:rsid w:val="000540E4"/>
    <w:rsid w:val="0005411B"/>
    <w:rsid w:val="00054172"/>
    <w:rsid w:val="00054177"/>
    <w:rsid w:val="000542EF"/>
    <w:rsid w:val="000542FF"/>
    <w:rsid w:val="00054570"/>
    <w:rsid w:val="00054836"/>
    <w:rsid w:val="00054848"/>
    <w:rsid w:val="00054850"/>
    <w:rsid w:val="00054A59"/>
    <w:rsid w:val="00054C79"/>
    <w:rsid w:val="00054CC2"/>
    <w:rsid w:val="00054CCB"/>
    <w:rsid w:val="00054E96"/>
    <w:rsid w:val="00054EF9"/>
    <w:rsid w:val="00055060"/>
    <w:rsid w:val="00055092"/>
    <w:rsid w:val="00055185"/>
    <w:rsid w:val="0005528C"/>
    <w:rsid w:val="00055351"/>
    <w:rsid w:val="000555B1"/>
    <w:rsid w:val="000555E8"/>
    <w:rsid w:val="0005561C"/>
    <w:rsid w:val="0005575C"/>
    <w:rsid w:val="000557D6"/>
    <w:rsid w:val="00055A33"/>
    <w:rsid w:val="00055A51"/>
    <w:rsid w:val="00055B9D"/>
    <w:rsid w:val="00055C8A"/>
    <w:rsid w:val="00055D76"/>
    <w:rsid w:val="00055E2A"/>
    <w:rsid w:val="00055E69"/>
    <w:rsid w:val="00055F55"/>
    <w:rsid w:val="00056177"/>
    <w:rsid w:val="0005636B"/>
    <w:rsid w:val="00056489"/>
    <w:rsid w:val="00056496"/>
    <w:rsid w:val="00056674"/>
    <w:rsid w:val="000566B8"/>
    <w:rsid w:val="00056750"/>
    <w:rsid w:val="000568C9"/>
    <w:rsid w:val="00056924"/>
    <w:rsid w:val="00056D5D"/>
    <w:rsid w:val="00056E6A"/>
    <w:rsid w:val="00056F06"/>
    <w:rsid w:val="00056F9F"/>
    <w:rsid w:val="00056FBA"/>
    <w:rsid w:val="00057034"/>
    <w:rsid w:val="00057036"/>
    <w:rsid w:val="0005704B"/>
    <w:rsid w:val="00057201"/>
    <w:rsid w:val="0005724F"/>
    <w:rsid w:val="0005726B"/>
    <w:rsid w:val="0005729D"/>
    <w:rsid w:val="000572A7"/>
    <w:rsid w:val="000573D6"/>
    <w:rsid w:val="000573F5"/>
    <w:rsid w:val="00057405"/>
    <w:rsid w:val="000574C4"/>
    <w:rsid w:val="00057533"/>
    <w:rsid w:val="00057577"/>
    <w:rsid w:val="000575BB"/>
    <w:rsid w:val="00057641"/>
    <w:rsid w:val="000576A6"/>
    <w:rsid w:val="000577BA"/>
    <w:rsid w:val="000579C4"/>
    <w:rsid w:val="00057AAC"/>
    <w:rsid w:val="00057B38"/>
    <w:rsid w:val="00057BD1"/>
    <w:rsid w:val="00057DF2"/>
    <w:rsid w:val="00057F68"/>
    <w:rsid w:val="00057FF4"/>
    <w:rsid w:val="00060029"/>
    <w:rsid w:val="000600CA"/>
    <w:rsid w:val="00060103"/>
    <w:rsid w:val="00060153"/>
    <w:rsid w:val="00060169"/>
    <w:rsid w:val="0006017B"/>
    <w:rsid w:val="00060189"/>
    <w:rsid w:val="000602D6"/>
    <w:rsid w:val="0006034B"/>
    <w:rsid w:val="0006043B"/>
    <w:rsid w:val="000604C2"/>
    <w:rsid w:val="00060524"/>
    <w:rsid w:val="0006068E"/>
    <w:rsid w:val="000606D6"/>
    <w:rsid w:val="00060719"/>
    <w:rsid w:val="000607F2"/>
    <w:rsid w:val="00060A8F"/>
    <w:rsid w:val="00060AD1"/>
    <w:rsid w:val="00060B18"/>
    <w:rsid w:val="00060CAB"/>
    <w:rsid w:val="00060FA5"/>
    <w:rsid w:val="000610B0"/>
    <w:rsid w:val="000610FE"/>
    <w:rsid w:val="000611FB"/>
    <w:rsid w:val="0006120C"/>
    <w:rsid w:val="0006129D"/>
    <w:rsid w:val="0006143B"/>
    <w:rsid w:val="00061717"/>
    <w:rsid w:val="00061779"/>
    <w:rsid w:val="000617E1"/>
    <w:rsid w:val="000619CC"/>
    <w:rsid w:val="000619D0"/>
    <w:rsid w:val="00061D2C"/>
    <w:rsid w:val="00061D82"/>
    <w:rsid w:val="00061DBB"/>
    <w:rsid w:val="00061E03"/>
    <w:rsid w:val="00061E28"/>
    <w:rsid w:val="00061F18"/>
    <w:rsid w:val="000620E8"/>
    <w:rsid w:val="00062203"/>
    <w:rsid w:val="00062293"/>
    <w:rsid w:val="0006268A"/>
    <w:rsid w:val="00062775"/>
    <w:rsid w:val="00062988"/>
    <w:rsid w:val="00062A61"/>
    <w:rsid w:val="00062CAE"/>
    <w:rsid w:val="00062D0A"/>
    <w:rsid w:val="00062EDF"/>
    <w:rsid w:val="00062EE6"/>
    <w:rsid w:val="00063012"/>
    <w:rsid w:val="0006301F"/>
    <w:rsid w:val="000630F6"/>
    <w:rsid w:val="000631AD"/>
    <w:rsid w:val="00063234"/>
    <w:rsid w:val="000632B6"/>
    <w:rsid w:val="0006344E"/>
    <w:rsid w:val="00063542"/>
    <w:rsid w:val="00063567"/>
    <w:rsid w:val="0006358F"/>
    <w:rsid w:val="00063713"/>
    <w:rsid w:val="000639A1"/>
    <w:rsid w:val="00063BAD"/>
    <w:rsid w:val="00063BF5"/>
    <w:rsid w:val="00063CEA"/>
    <w:rsid w:val="00063E6F"/>
    <w:rsid w:val="0006416F"/>
    <w:rsid w:val="000641AF"/>
    <w:rsid w:val="000641F8"/>
    <w:rsid w:val="0006423E"/>
    <w:rsid w:val="00064330"/>
    <w:rsid w:val="0006438A"/>
    <w:rsid w:val="000644EB"/>
    <w:rsid w:val="0006451C"/>
    <w:rsid w:val="00064569"/>
    <w:rsid w:val="00064659"/>
    <w:rsid w:val="0006465C"/>
    <w:rsid w:val="000646FC"/>
    <w:rsid w:val="00064B9E"/>
    <w:rsid w:val="00064BD6"/>
    <w:rsid w:val="00064D5C"/>
    <w:rsid w:val="00064D86"/>
    <w:rsid w:val="00064E06"/>
    <w:rsid w:val="0006517B"/>
    <w:rsid w:val="0006524B"/>
    <w:rsid w:val="0006529C"/>
    <w:rsid w:val="00065388"/>
    <w:rsid w:val="000653F3"/>
    <w:rsid w:val="00065462"/>
    <w:rsid w:val="00065574"/>
    <w:rsid w:val="00065591"/>
    <w:rsid w:val="00065646"/>
    <w:rsid w:val="000656E1"/>
    <w:rsid w:val="000657B9"/>
    <w:rsid w:val="0006585D"/>
    <w:rsid w:val="0006588A"/>
    <w:rsid w:val="00065893"/>
    <w:rsid w:val="000658BA"/>
    <w:rsid w:val="000658CC"/>
    <w:rsid w:val="00065A8E"/>
    <w:rsid w:val="00065BF5"/>
    <w:rsid w:val="00065CAA"/>
    <w:rsid w:val="00065CDD"/>
    <w:rsid w:val="00065D65"/>
    <w:rsid w:val="00065E5B"/>
    <w:rsid w:val="00065F5C"/>
    <w:rsid w:val="0006610E"/>
    <w:rsid w:val="00066118"/>
    <w:rsid w:val="000661AD"/>
    <w:rsid w:val="000665F0"/>
    <w:rsid w:val="0006670A"/>
    <w:rsid w:val="0006683A"/>
    <w:rsid w:val="000668BB"/>
    <w:rsid w:val="000668BD"/>
    <w:rsid w:val="00066957"/>
    <w:rsid w:val="000669F1"/>
    <w:rsid w:val="00066A1E"/>
    <w:rsid w:val="00066A37"/>
    <w:rsid w:val="00066ABC"/>
    <w:rsid w:val="00066AF3"/>
    <w:rsid w:val="00066BA1"/>
    <w:rsid w:val="00066CEF"/>
    <w:rsid w:val="00066EA3"/>
    <w:rsid w:val="00066EBA"/>
    <w:rsid w:val="00066EF8"/>
    <w:rsid w:val="00067041"/>
    <w:rsid w:val="0006706D"/>
    <w:rsid w:val="0006707B"/>
    <w:rsid w:val="0006709F"/>
    <w:rsid w:val="000670A9"/>
    <w:rsid w:val="000671C6"/>
    <w:rsid w:val="0006735E"/>
    <w:rsid w:val="000674A5"/>
    <w:rsid w:val="000674EC"/>
    <w:rsid w:val="0006754E"/>
    <w:rsid w:val="000678CD"/>
    <w:rsid w:val="000678ED"/>
    <w:rsid w:val="000679C9"/>
    <w:rsid w:val="000679DD"/>
    <w:rsid w:val="00067A06"/>
    <w:rsid w:val="00067A79"/>
    <w:rsid w:val="00067A8F"/>
    <w:rsid w:val="00067AF5"/>
    <w:rsid w:val="00067BB3"/>
    <w:rsid w:val="00067BC8"/>
    <w:rsid w:val="00067DC2"/>
    <w:rsid w:val="00067E1B"/>
    <w:rsid w:val="00067ECF"/>
    <w:rsid w:val="00067EE1"/>
    <w:rsid w:val="000700F1"/>
    <w:rsid w:val="0007012B"/>
    <w:rsid w:val="000702CA"/>
    <w:rsid w:val="0007030A"/>
    <w:rsid w:val="00070316"/>
    <w:rsid w:val="00070374"/>
    <w:rsid w:val="00070471"/>
    <w:rsid w:val="00070477"/>
    <w:rsid w:val="00070482"/>
    <w:rsid w:val="000704C4"/>
    <w:rsid w:val="0007052C"/>
    <w:rsid w:val="00070541"/>
    <w:rsid w:val="000705DB"/>
    <w:rsid w:val="00070649"/>
    <w:rsid w:val="000707B1"/>
    <w:rsid w:val="00070979"/>
    <w:rsid w:val="00070B8F"/>
    <w:rsid w:val="00070BD4"/>
    <w:rsid w:val="00070C0B"/>
    <w:rsid w:val="00070C65"/>
    <w:rsid w:val="00070C9B"/>
    <w:rsid w:val="00070D36"/>
    <w:rsid w:val="00070F1A"/>
    <w:rsid w:val="000711CF"/>
    <w:rsid w:val="000711F6"/>
    <w:rsid w:val="000712F3"/>
    <w:rsid w:val="00071328"/>
    <w:rsid w:val="00071382"/>
    <w:rsid w:val="00071391"/>
    <w:rsid w:val="000713A2"/>
    <w:rsid w:val="000713C4"/>
    <w:rsid w:val="0007140E"/>
    <w:rsid w:val="0007157F"/>
    <w:rsid w:val="000715E0"/>
    <w:rsid w:val="000715F6"/>
    <w:rsid w:val="00071612"/>
    <w:rsid w:val="00071690"/>
    <w:rsid w:val="00071947"/>
    <w:rsid w:val="000719B9"/>
    <w:rsid w:val="00071A33"/>
    <w:rsid w:val="00071A5D"/>
    <w:rsid w:val="00071B73"/>
    <w:rsid w:val="00071B97"/>
    <w:rsid w:val="00071BD3"/>
    <w:rsid w:val="00071BE7"/>
    <w:rsid w:val="00071BEB"/>
    <w:rsid w:val="00071BF4"/>
    <w:rsid w:val="00071C5A"/>
    <w:rsid w:val="00071C8A"/>
    <w:rsid w:val="00071F6D"/>
    <w:rsid w:val="00072034"/>
    <w:rsid w:val="000724C3"/>
    <w:rsid w:val="000724C6"/>
    <w:rsid w:val="000725EB"/>
    <w:rsid w:val="00072758"/>
    <w:rsid w:val="000728E8"/>
    <w:rsid w:val="000729C2"/>
    <w:rsid w:val="00072A6D"/>
    <w:rsid w:val="00072A99"/>
    <w:rsid w:val="00072C2D"/>
    <w:rsid w:val="00072CA7"/>
    <w:rsid w:val="00072EA3"/>
    <w:rsid w:val="00073030"/>
    <w:rsid w:val="000730EE"/>
    <w:rsid w:val="0007322B"/>
    <w:rsid w:val="00073379"/>
    <w:rsid w:val="000733FD"/>
    <w:rsid w:val="000735DF"/>
    <w:rsid w:val="00073777"/>
    <w:rsid w:val="000737BC"/>
    <w:rsid w:val="0007382E"/>
    <w:rsid w:val="00073AAF"/>
    <w:rsid w:val="00073BA5"/>
    <w:rsid w:val="00073C19"/>
    <w:rsid w:val="00073D51"/>
    <w:rsid w:val="00073F91"/>
    <w:rsid w:val="0007406B"/>
    <w:rsid w:val="000740F1"/>
    <w:rsid w:val="00074145"/>
    <w:rsid w:val="00074320"/>
    <w:rsid w:val="00074438"/>
    <w:rsid w:val="00074645"/>
    <w:rsid w:val="00074687"/>
    <w:rsid w:val="000746CA"/>
    <w:rsid w:val="00074814"/>
    <w:rsid w:val="00074870"/>
    <w:rsid w:val="000748B0"/>
    <w:rsid w:val="000749F5"/>
    <w:rsid w:val="00074A6E"/>
    <w:rsid w:val="00074A7B"/>
    <w:rsid w:val="00074AE2"/>
    <w:rsid w:val="00074B45"/>
    <w:rsid w:val="00074B6A"/>
    <w:rsid w:val="00074CA8"/>
    <w:rsid w:val="00074CDC"/>
    <w:rsid w:val="00074D79"/>
    <w:rsid w:val="00074DC5"/>
    <w:rsid w:val="00074E35"/>
    <w:rsid w:val="00074FDA"/>
    <w:rsid w:val="0007512A"/>
    <w:rsid w:val="00075458"/>
    <w:rsid w:val="00075499"/>
    <w:rsid w:val="000754BD"/>
    <w:rsid w:val="0007588C"/>
    <w:rsid w:val="00075BF3"/>
    <w:rsid w:val="00075F31"/>
    <w:rsid w:val="00075F8E"/>
    <w:rsid w:val="00075FFF"/>
    <w:rsid w:val="0007604B"/>
    <w:rsid w:val="00076051"/>
    <w:rsid w:val="00076061"/>
    <w:rsid w:val="00076072"/>
    <w:rsid w:val="000760E7"/>
    <w:rsid w:val="00076192"/>
    <w:rsid w:val="0007619B"/>
    <w:rsid w:val="00076214"/>
    <w:rsid w:val="0007621B"/>
    <w:rsid w:val="00076401"/>
    <w:rsid w:val="00076438"/>
    <w:rsid w:val="000765B3"/>
    <w:rsid w:val="000767F9"/>
    <w:rsid w:val="000769B0"/>
    <w:rsid w:val="00076A81"/>
    <w:rsid w:val="00076ADF"/>
    <w:rsid w:val="00076B76"/>
    <w:rsid w:val="00076BD9"/>
    <w:rsid w:val="00076C79"/>
    <w:rsid w:val="00076CE2"/>
    <w:rsid w:val="00076FBD"/>
    <w:rsid w:val="00076FC5"/>
    <w:rsid w:val="00076FC8"/>
    <w:rsid w:val="00076FDB"/>
    <w:rsid w:val="000771B4"/>
    <w:rsid w:val="000771FE"/>
    <w:rsid w:val="0007721B"/>
    <w:rsid w:val="00077241"/>
    <w:rsid w:val="000775A9"/>
    <w:rsid w:val="000775D2"/>
    <w:rsid w:val="000776D3"/>
    <w:rsid w:val="00077A4E"/>
    <w:rsid w:val="00077C80"/>
    <w:rsid w:val="00077D3D"/>
    <w:rsid w:val="00077ED0"/>
    <w:rsid w:val="00077EFF"/>
    <w:rsid w:val="00077F08"/>
    <w:rsid w:val="0007B3C3"/>
    <w:rsid w:val="00080438"/>
    <w:rsid w:val="000804FD"/>
    <w:rsid w:val="00080658"/>
    <w:rsid w:val="000806AC"/>
    <w:rsid w:val="000807E5"/>
    <w:rsid w:val="000807F6"/>
    <w:rsid w:val="000808E8"/>
    <w:rsid w:val="000809E6"/>
    <w:rsid w:val="00080AA9"/>
    <w:rsid w:val="00080D52"/>
    <w:rsid w:val="00080EFF"/>
    <w:rsid w:val="00080F9D"/>
    <w:rsid w:val="00080FCF"/>
    <w:rsid w:val="0008106A"/>
    <w:rsid w:val="000810D1"/>
    <w:rsid w:val="00081130"/>
    <w:rsid w:val="00081167"/>
    <w:rsid w:val="00081170"/>
    <w:rsid w:val="000813D5"/>
    <w:rsid w:val="000813E5"/>
    <w:rsid w:val="00081450"/>
    <w:rsid w:val="00081559"/>
    <w:rsid w:val="0008155D"/>
    <w:rsid w:val="00081746"/>
    <w:rsid w:val="0008188D"/>
    <w:rsid w:val="000818BD"/>
    <w:rsid w:val="0008193B"/>
    <w:rsid w:val="0008197E"/>
    <w:rsid w:val="00081A19"/>
    <w:rsid w:val="00081A98"/>
    <w:rsid w:val="00081B1D"/>
    <w:rsid w:val="00081CA2"/>
    <w:rsid w:val="00081DDD"/>
    <w:rsid w:val="00081DF4"/>
    <w:rsid w:val="00081E13"/>
    <w:rsid w:val="000821A6"/>
    <w:rsid w:val="000821E9"/>
    <w:rsid w:val="000822AA"/>
    <w:rsid w:val="000822F2"/>
    <w:rsid w:val="00082334"/>
    <w:rsid w:val="0008238E"/>
    <w:rsid w:val="000823FD"/>
    <w:rsid w:val="00082474"/>
    <w:rsid w:val="00082499"/>
    <w:rsid w:val="0008283F"/>
    <w:rsid w:val="00082845"/>
    <w:rsid w:val="00082ADA"/>
    <w:rsid w:val="00082AEF"/>
    <w:rsid w:val="00082C7F"/>
    <w:rsid w:val="00082E5C"/>
    <w:rsid w:val="00082E76"/>
    <w:rsid w:val="00083029"/>
    <w:rsid w:val="0008321B"/>
    <w:rsid w:val="00083237"/>
    <w:rsid w:val="000833B1"/>
    <w:rsid w:val="000833E1"/>
    <w:rsid w:val="00083447"/>
    <w:rsid w:val="00083577"/>
    <w:rsid w:val="000835C4"/>
    <w:rsid w:val="00083654"/>
    <w:rsid w:val="00083748"/>
    <w:rsid w:val="000838CB"/>
    <w:rsid w:val="0008391F"/>
    <w:rsid w:val="00083992"/>
    <w:rsid w:val="00083AD5"/>
    <w:rsid w:val="00083BE0"/>
    <w:rsid w:val="00083CA2"/>
    <w:rsid w:val="00083E1B"/>
    <w:rsid w:val="0008400B"/>
    <w:rsid w:val="000840E5"/>
    <w:rsid w:val="000840FE"/>
    <w:rsid w:val="00084108"/>
    <w:rsid w:val="0008415C"/>
    <w:rsid w:val="0008433F"/>
    <w:rsid w:val="0008434D"/>
    <w:rsid w:val="000843A6"/>
    <w:rsid w:val="000843E9"/>
    <w:rsid w:val="0008443F"/>
    <w:rsid w:val="000845B3"/>
    <w:rsid w:val="000846E3"/>
    <w:rsid w:val="0008477E"/>
    <w:rsid w:val="000848E9"/>
    <w:rsid w:val="0008494C"/>
    <w:rsid w:val="00084A3B"/>
    <w:rsid w:val="00084AC0"/>
    <w:rsid w:val="00084AF0"/>
    <w:rsid w:val="00084BAD"/>
    <w:rsid w:val="00084BB1"/>
    <w:rsid w:val="00084BBF"/>
    <w:rsid w:val="00084C45"/>
    <w:rsid w:val="00084CBC"/>
    <w:rsid w:val="00084DC8"/>
    <w:rsid w:val="0008500C"/>
    <w:rsid w:val="000850A3"/>
    <w:rsid w:val="00085164"/>
    <w:rsid w:val="0008529A"/>
    <w:rsid w:val="00085443"/>
    <w:rsid w:val="00085571"/>
    <w:rsid w:val="000856F6"/>
    <w:rsid w:val="00085748"/>
    <w:rsid w:val="000857AC"/>
    <w:rsid w:val="000857CD"/>
    <w:rsid w:val="00085965"/>
    <w:rsid w:val="00085996"/>
    <w:rsid w:val="0008599B"/>
    <w:rsid w:val="000859B0"/>
    <w:rsid w:val="00085CCB"/>
    <w:rsid w:val="00085D30"/>
    <w:rsid w:val="00085D71"/>
    <w:rsid w:val="00085DB5"/>
    <w:rsid w:val="00085EAF"/>
    <w:rsid w:val="0008600F"/>
    <w:rsid w:val="000862E9"/>
    <w:rsid w:val="00086325"/>
    <w:rsid w:val="000864F0"/>
    <w:rsid w:val="0008652F"/>
    <w:rsid w:val="00086677"/>
    <w:rsid w:val="000866D1"/>
    <w:rsid w:val="000866ED"/>
    <w:rsid w:val="000867C4"/>
    <w:rsid w:val="00086904"/>
    <w:rsid w:val="00086933"/>
    <w:rsid w:val="0008695B"/>
    <w:rsid w:val="00086996"/>
    <w:rsid w:val="000869D8"/>
    <w:rsid w:val="00086B7A"/>
    <w:rsid w:val="00086C7D"/>
    <w:rsid w:val="00086C85"/>
    <w:rsid w:val="00086CB3"/>
    <w:rsid w:val="00086CBD"/>
    <w:rsid w:val="00086EDB"/>
    <w:rsid w:val="00086F70"/>
    <w:rsid w:val="00086F83"/>
    <w:rsid w:val="00086FD9"/>
    <w:rsid w:val="00087043"/>
    <w:rsid w:val="000871A4"/>
    <w:rsid w:val="00087373"/>
    <w:rsid w:val="000873C5"/>
    <w:rsid w:val="00087502"/>
    <w:rsid w:val="000876A5"/>
    <w:rsid w:val="00087932"/>
    <w:rsid w:val="000879AC"/>
    <w:rsid w:val="00087A3A"/>
    <w:rsid w:val="00087A7C"/>
    <w:rsid w:val="00087AD7"/>
    <w:rsid w:val="00087B17"/>
    <w:rsid w:val="00087B1B"/>
    <w:rsid w:val="00087C8D"/>
    <w:rsid w:val="00087EDC"/>
    <w:rsid w:val="00087EEE"/>
    <w:rsid w:val="00087F12"/>
    <w:rsid w:val="00087F57"/>
    <w:rsid w:val="00090058"/>
    <w:rsid w:val="000903D5"/>
    <w:rsid w:val="00090503"/>
    <w:rsid w:val="000905DA"/>
    <w:rsid w:val="000906B0"/>
    <w:rsid w:val="00090781"/>
    <w:rsid w:val="00090798"/>
    <w:rsid w:val="00090A76"/>
    <w:rsid w:val="00090AA1"/>
    <w:rsid w:val="00090CF1"/>
    <w:rsid w:val="00090E31"/>
    <w:rsid w:val="00090E50"/>
    <w:rsid w:val="00091180"/>
    <w:rsid w:val="000911ED"/>
    <w:rsid w:val="00091493"/>
    <w:rsid w:val="00091634"/>
    <w:rsid w:val="00091861"/>
    <w:rsid w:val="00091922"/>
    <w:rsid w:val="00091A5D"/>
    <w:rsid w:val="00091B93"/>
    <w:rsid w:val="00091BBF"/>
    <w:rsid w:val="00091BC5"/>
    <w:rsid w:val="00091C5E"/>
    <w:rsid w:val="00091C7B"/>
    <w:rsid w:val="00091D05"/>
    <w:rsid w:val="00091DA4"/>
    <w:rsid w:val="00091E88"/>
    <w:rsid w:val="00091FE9"/>
    <w:rsid w:val="00091FFB"/>
    <w:rsid w:val="00092142"/>
    <w:rsid w:val="000921D1"/>
    <w:rsid w:val="000921F6"/>
    <w:rsid w:val="0009224D"/>
    <w:rsid w:val="0009230C"/>
    <w:rsid w:val="00092515"/>
    <w:rsid w:val="000925F2"/>
    <w:rsid w:val="00092639"/>
    <w:rsid w:val="000929FB"/>
    <w:rsid w:val="00092A06"/>
    <w:rsid w:val="00092A5A"/>
    <w:rsid w:val="00092AC9"/>
    <w:rsid w:val="00092C05"/>
    <w:rsid w:val="00092D0F"/>
    <w:rsid w:val="00092DF6"/>
    <w:rsid w:val="00092EDD"/>
    <w:rsid w:val="00092F3C"/>
    <w:rsid w:val="000932C5"/>
    <w:rsid w:val="00093316"/>
    <w:rsid w:val="0009331F"/>
    <w:rsid w:val="00093408"/>
    <w:rsid w:val="000935C2"/>
    <w:rsid w:val="0009361D"/>
    <w:rsid w:val="0009366C"/>
    <w:rsid w:val="00093685"/>
    <w:rsid w:val="0009380B"/>
    <w:rsid w:val="00093837"/>
    <w:rsid w:val="0009388C"/>
    <w:rsid w:val="00093942"/>
    <w:rsid w:val="00093A54"/>
    <w:rsid w:val="00093AF4"/>
    <w:rsid w:val="00093C0C"/>
    <w:rsid w:val="00093D50"/>
    <w:rsid w:val="00093DBB"/>
    <w:rsid w:val="0009405B"/>
    <w:rsid w:val="0009423A"/>
    <w:rsid w:val="0009424B"/>
    <w:rsid w:val="000943C7"/>
    <w:rsid w:val="0009453D"/>
    <w:rsid w:val="000945EA"/>
    <w:rsid w:val="000946B5"/>
    <w:rsid w:val="00094ABA"/>
    <w:rsid w:val="00094CE7"/>
    <w:rsid w:val="00094D59"/>
    <w:rsid w:val="00094D5B"/>
    <w:rsid w:val="00094D74"/>
    <w:rsid w:val="00094E4D"/>
    <w:rsid w:val="00094EF3"/>
    <w:rsid w:val="00094EF4"/>
    <w:rsid w:val="00094F72"/>
    <w:rsid w:val="00095157"/>
    <w:rsid w:val="000951A9"/>
    <w:rsid w:val="0009536E"/>
    <w:rsid w:val="000953AA"/>
    <w:rsid w:val="00095416"/>
    <w:rsid w:val="00095499"/>
    <w:rsid w:val="000954D0"/>
    <w:rsid w:val="00095572"/>
    <w:rsid w:val="000955CC"/>
    <w:rsid w:val="0009571A"/>
    <w:rsid w:val="00095762"/>
    <w:rsid w:val="00095787"/>
    <w:rsid w:val="000957D1"/>
    <w:rsid w:val="000958CB"/>
    <w:rsid w:val="000959D4"/>
    <w:rsid w:val="00095B1B"/>
    <w:rsid w:val="00095B62"/>
    <w:rsid w:val="00095D4E"/>
    <w:rsid w:val="00095FDF"/>
    <w:rsid w:val="00096138"/>
    <w:rsid w:val="00096176"/>
    <w:rsid w:val="00096230"/>
    <w:rsid w:val="000962D2"/>
    <w:rsid w:val="00096310"/>
    <w:rsid w:val="00096395"/>
    <w:rsid w:val="00096572"/>
    <w:rsid w:val="000967CC"/>
    <w:rsid w:val="00096A8A"/>
    <w:rsid w:val="00096AB8"/>
    <w:rsid w:val="00096D59"/>
    <w:rsid w:val="00096D87"/>
    <w:rsid w:val="00096E58"/>
    <w:rsid w:val="00096EE6"/>
    <w:rsid w:val="00096F79"/>
    <w:rsid w:val="00096FB8"/>
    <w:rsid w:val="0009705A"/>
    <w:rsid w:val="000970B8"/>
    <w:rsid w:val="00097175"/>
    <w:rsid w:val="00097256"/>
    <w:rsid w:val="000972AB"/>
    <w:rsid w:val="000972D8"/>
    <w:rsid w:val="000972F5"/>
    <w:rsid w:val="0009754B"/>
    <w:rsid w:val="000975A6"/>
    <w:rsid w:val="00097672"/>
    <w:rsid w:val="000976B9"/>
    <w:rsid w:val="000976D9"/>
    <w:rsid w:val="00097782"/>
    <w:rsid w:val="00097ADF"/>
    <w:rsid w:val="00097AE4"/>
    <w:rsid w:val="00097BF5"/>
    <w:rsid w:val="00097C99"/>
    <w:rsid w:val="00097CCF"/>
    <w:rsid w:val="00097DD2"/>
    <w:rsid w:val="00097E4E"/>
    <w:rsid w:val="00097E96"/>
    <w:rsid w:val="00097F36"/>
    <w:rsid w:val="00097FDD"/>
    <w:rsid w:val="000A03B5"/>
    <w:rsid w:val="000A056A"/>
    <w:rsid w:val="000A05C3"/>
    <w:rsid w:val="000A076C"/>
    <w:rsid w:val="000A0867"/>
    <w:rsid w:val="000A0901"/>
    <w:rsid w:val="000A0B58"/>
    <w:rsid w:val="000A0DC5"/>
    <w:rsid w:val="000A0E95"/>
    <w:rsid w:val="000A0EA2"/>
    <w:rsid w:val="000A1108"/>
    <w:rsid w:val="000A115B"/>
    <w:rsid w:val="000A115C"/>
    <w:rsid w:val="000A1306"/>
    <w:rsid w:val="000A1331"/>
    <w:rsid w:val="000A134D"/>
    <w:rsid w:val="000A13DD"/>
    <w:rsid w:val="000A13E1"/>
    <w:rsid w:val="000A1455"/>
    <w:rsid w:val="000A1477"/>
    <w:rsid w:val="000A14BE"/>
    <w:rsid w:val="000A14F8"/>
    <w:rsid w:val="000A1787"/>
    <w:rsid w:val="000A1874"/>
    <w:rsid w:val="000A1987"/>
    <w:rsid w:val="000A1A9E"/>
    <w:rsid w:val="000A1D2C"/>
    <w:rsid w:val="000A1DDA"/>
    <w:rsid w:val="000A1E2F"/>
    <w:rsid w:val="000A1E81"/>
    <w:rsid w:val="000A1E8F"/>
    <w:rsid w:val="000A20E4"/>
    <w:rsid w:val="000A212D"/>
    <w:rsid w:val="000A2288"/>
    <w:rsid w:val="000A22BA"/>
    <w:rsid w:val="000A22EF"/>
    <w:rsid w:val="000A2407"/>
    <w:rsid w:val="000A2433"/>
    <w:rsid w:val="000A24E5"/>
    <w:rsid w:val="000A25B7"/>
    <w:rsid w:val="000A2742"/>
    <w:rsid w:val="000A27E7"/>
    <w:rsid w:val="000A28E5"/>
    <w:rsid w:val="000A2A55"/>
    <w:rsid w:val="000A2AD1"/>
    <w:rsid w:val="000A2AEC"/>
    <w:rsid w:val="000A2C5D"/>
    <w:rsid w:val="000A2EF8"/>
    <w:rsid w:val="000A2F36"/>
    <w:rsid w:val="000A3199"/>
    <w:rsid w:val="000A31B6"/>
    <w:rsid w:val="000A31C6"/>
    <w:rsid w:val="000A31F2"/>
    <w:rsid w:val="000A344B"/>
    <w:rsid w:val="000A3558"/>
    <w:rsid w:val="000A360C"/>
    <w:rsid w:val="000A3701"/>
    <w:rsid w:val="000A383A"/>
    <w:rsid w:val="000A3852"/>
    <w:rsid w:val="000A3923"/>
    <w:rsid w:val="000A3972"/>
    <w:rsid w:val="000A399E"/>
    <w:rsid w:val="000A3A16"/>
    <w:rsid w:val="000A3A18"/>
    <w:rsid w:val="000A3A7C"/>
    <w:rsid w:val="000A3B07"/>
    <w:rsid w:val="000A3B1D"/>
    <w:rsid w:val="000A3B64"/>
    <w:rsid w:val="000A3C92"/>
    <w:rsid w:val="000A3EC1"/>
    <w:rsid w:val="000A3F2F"/>
    <w:rsid w:val="000A4031"/>
    <w:rsid w:val="000A403E"/>
    <w:rsid w:val="000A4246"/>
    <w:rsid w:val="000A42D5"/>
    <w:rsid w:val="000A44A0"/>
    <w:rsid w:val="000A4688"/>
    <w:rsid w:val="000A486B"/>
    <w:rsid w:val="000A4A8D"/>
    <w:rsid w:val="000A4F0F"/>
    <w:rsid w:val="000A4F30"/>
    <w:rsid w:val="000A51A4"/>
    <w:rsid w:val="000A521B"/>
    <w:rsid w:val="000A5230"/>
    <w:rsid w:val="000A5372"/>
    <w:rsid w:val="000A53AB"/>
    <w:rsid w:val="000A54C8"/>
    <w:rsid w:val="000A5661"/>
    <w:rsid w:val="000A5718"/>
    <w:rsid w:val="000A5833"/>
    <w:rsid w:val="000A58C4"/>
    <w:rsid w:val="000A58C7"/>
    <w:rsid w:val="000A59CC"/>
    <w:rsid w:val="000A5A5C"/>
    <w:rsid w:val="000A5D82"/>
    <w:rsid w:val="000A5F0C"/>
    <w:rsid w:val="000A5F5E"/>
    <w:rsid w:val="000A5FFF"/>
    <w:rsid w:val="000A60AE"/>
    <w:rsid w:val="000A617D"/>
    <w:rsid w:val="000A6228"/>
    <w:rsid w:val="000A625D"/>
    <w:rsid w:val="000A62E7"/>
    <w:rsid w:val="000A6430"/>
    <w:rsid w:val="000A667E"/>
    <w:rsid w:val="000A668A"/>
    <w:rsid w:val="000A68AE"/>
    <w:rsid w:val="000A6962"/>
    <w:rsid w:val="000A6B59"/>
    <w:rsid w:val="000A6C63"/>
    <w:rsid w:val="000A6DE1"/>
    <w:rsid w:val="000A6F4F"/>
    <w:rsid w:val="000A6F95"/>
    <w:rsid w:val="000A7082"/>
    <w:rsid w:val="000A70EF"/>
    <w:rsid w:val="000A711A"/>
    <w:rsid w:val="000A71B0"/>
    <w:rsid w:val="000A71B2"/>
    <w:rsid w:val="000A71D4"/>
    <w:rsid w:val="000A721D"/>
    <w:rsid w:val="000A7241"/>
    <w:rsid w:val="000A7309"/>
    <w:rsid w:val="000A738F"/>
    <w:rsid w:val="000A73A7"/>
    <w:rsid w:val="000A73D0"/>
    <w:rsid w:val="000A7551"/>
    <w:rsid w:val="000A75A9"/>
    <w:rsid w:val="000A7726"/>
    <w:rsid w:val="000A774E"/>
    <w:rsid w:val="000A77BD"/>
    <w:rsid w:val="000A7803"/>
    <w:rsid w:val="000A7902"/>
    <w:rsid w:val="000A7962"/>
    <w:rsid w:val="000A796D"/>
    <w:rsid w:val="000A7A67"/>
    <w:rsid w:val="000A7E04"/>
    <w:rsid w:val="000A7EED"/>
    <w:rsid w:val="000A7FA6"/>
    <w:rsid w:val="000A7FDB"/>
    <w:rsid w:val="000B000D"/>
    <w:rsid w:val="000B003F"/>
    <w:rsid w:val="000B007F"/>
    <w:rsid w:val="000B0161"/>
    <w:rsid w:val="000B0215"/>
    <w:rsid w:val="000B0309"/>
    <w:rsid w:val="000B030D"/>
    <w:rsid w:val="000B037A"/>
    <w:rsid w:val="000B04FA"/>
    <w:rsid w:val="000B0544"/>
    <w:rsid w:val="000B0691"/>
    <w:rsid w:val="000B06A9"/>
    <w:rsid w:val="000B0758"/>
    <w:rsid w:val="000B093A"/>
    <w:rsid w:val="000B09CC"/>
    <w:rsid w:val="000B0A45"/>
    <w:rsid w:val="000B0A98"/>
    <w:rsid w:val="000B0B3C"/>
    <w:rsid w:val="000B0BCE"/>
    <w:rsid w:val="000B0C2C"/>
    <w:rsid w:val="000B0E33"/>
    <w:rsid w:val="000B0E96"/>
    <w:rsid w:val="000B0F14"/>
    <w:rsid w:val="000B1080"/>
    <w:rsid w:val="000B119F"/>
    <w:rsid w:val="000B11FC"/>
    <w:rsid w:val="000B12D5"/>
    <w:rsid w:val="000B12D9"/>
    <w:rsid w:val="000B1387"/>
    <w:rsid w:val="000B1459"/>
    <w:rsid w:val="000B1496"/>
    <w:rsid w:val="000B14AD"/>
    <w:rsid w:val="000B1594"/>
    <w:rsid w:val="000B15B2"/>
    <w:rsid w:val="000B15F1"/>
    <w:rsid w:val="000B169F"/>
    <w:rsid w:val="000B180F"/>
    <w:rsid w:val="000B198C"/>
    <w:rsid w:val="000B1AD9"/>
    <w:rsid w:val="000B1B2C"/>
    <w:rsid w:val="000B1BD1"/>
    <w:rsid w:val="000B1CDF"/>
    <w:rsid w:val="000B1D61"/>
    <w:rsid w:val="000B1E25"/>
    <w:rsid w:val="000B1E32"/>
    <w:rsid w:val="000B1E96"/>
    <w:rsid w:val="000B1EAC"/>
    <w:rsid w:val="000B1ECB"/>
    <w:rsid w:val="000B1F7A"/>
    <w:rsid w:val="000B2175"/>
    <w:rsid w:val="000B21D8"/>
    <w:rsid w:val="000B22FC"/>
    <w:rsid w:val="000B2346"/>
    <w:rsid w:val="000B2428"/>
    <w:rsid w:val="000B24B3"/>
    <w:rsid w:val="000B2504"/>
    <w:rsid w:val="000B2506"/>
    <w:rsid w:val="000B25C6"/>
    <w:rsid w:val="000B262F"/>
    <w:rsid w:val="000B265A"/>
    <w:rsid w:val="000B2668"/>
    <w:rsid w:val="000B26F5"/>
    <w:rsid w:val="000B27CD"/>
    <w:rsid w:val="000B27F0"/>
    <w:rsid w:val="000B2810"/>
    <w:rsid w:val="000B2894"/>
    <w:rsid w:val="000B29C4"/>
    <w:rsid w:val="000B2A06"/>
    <w:rsid w:val="000B2ACE"/>
    <w:rsid w:val="000B2B03"/>
    <w:rsid w:val="000B2C4F"/>
    <w:rsid w:val="000B2C95"/>
    <w:rsid w:val="000B2FF6"/>
    <w:rsid w:val="000B302B"/>
    <w:rsid w:val="000B3076"/>
    <w:rsid w:val="000B30AB"/>
    <w:rsid w:val="000B30B8"/>
    <w:rsid w:val="000B30BB"/>
    <w:rsid w:val="000B3150"/>
    <w:rsid w:val="000B31BF"/>
    <w:rsid w:val="000B340F"/>
    <w:rsid w:val="000B34A8"/>
    <w:rsid w:val="000B3840"/>
    <w:rsid w:val="000B397A"/>
    <w:rsid w:val="000B3ABC"/>
    <w:rsid w:val="000B3B76"/>
    <w:rsid w:val="000B3BBC"/>
    <w:rsid w:val="000B3C24"/>
    <w:rsid w:val="000B3CC2"/>
    <w:rsid w:val="000B3D4A"/>
    <w:rsid w:val="000B3E05"/>
    <w:rsid w:val="000B3EAA"/>
    <w:rsid w:val="000B3F90"/>
    <w:rsid w:val="000B4085"/>
    <w:rsid w:val="000B411E"/>
    <w:rsid w:val="000B422C"/>
    <w:rsid w:val="000B447F"/>
    <w:rsid w:val="000B448C"/>
    <w:rsid w:val="000B44EE"/>
    <w:rsid w:val="000B4551"/>
    <w:rsid w:val="000B4558"/>
    <w:rsid w:val="000B458D"/>
    <w:rsid w:val="000B4668"/>
    <w:rsid w:val="000B480D"/>
    <w:rsid w:val="000B48CD"/>
    <w:rsid w:val="000B4AE2"/>
    <w:rsid w:val="000B4C9E"/>
    <w:rsid w:val="000B4ED1"/>
    <w:rsid w:val="000B4EDC"/>
    <w:rsid w:val="000B5074"/>
    <w:rsid w:val="000B5386"/>
    <w:rsid w:val="000B53C1"/>
    <w:rsid w:val="000B54BD"/>
    <w:rsid w:val="000B5500"/>
    <w:rsid w:val="000B577D"/>
    <w:rsid w:val="000B57E8"/>
    <w:rsid w:val="000B59A3"/>
    <w:rsid w:val="000B5AE9"/>
    <w:rsid w:val="000B5C7B"/>
    <w:rsid w:val="000B5D07"/>
    <w:rsid w:val="000B5D40"/>
    <w:rsid w:val="000B5D6B"/>
    <w:rsid w:val="000B5DD1"/>
    <w:rsid w:val="000B5E2A"/>
    <w:rsid w:val="000B5EF4"/>
    <w:rsid w:val="000B5EF9"/>
    <w:rsid w:val="000B600D"/>
    <w:rsid w:val="000B6026"/>
    <w:rsid w:val="000B61DC"/>
    <w:rsid w:val="000B6206"/>
    <w:rsid w:val="000B62DD"/>
    <w:rsid w:val="000B63F9"/>
    <w:rsid w:val="000B646E"/>
    <w:rsid w:val="000B6584"/>
    <w:rsid w:val="000B6639"/>
    <w:rsid w:val="000B66AD"/>
    <w:rsid w:val="000B6716"/>
    <w:rsid w:val="000B673F"/>
    <w:rsid w:val="000B68FE"/>
    <w:rsid w:val="000B6A5B"/>
    <w:rsid w:val="000B6BBD"/>
    <w:rsid w:val="000B6C4E"/>
    <w:rsid w:val="000B6CCA"/>
    <w:rsid w:val="000B6CE2"/>
    <w:rsid w:val="000B6CFB"/>
    <w:rsid w:val="000B6E26"/>
    <w:rsid w:val="000B706E"/>
    <w:rsid w:val="000B71D3"/>
    <w:rsid w:val="000B728A"/>
    <w:rsid w:val="000B746A"/>
    <w:rsid w:val="000B755B"/>
    <w:rsid w:val="000B789F"/>
    <w:rsid w:val="000B78F1"/>
    <w:rsid w:val="000B797E"/>
    <w:rsid w:val="000B7B56"/>
    <w:rsid w:val="000B7C97"/>
    <w:rsid w:val="000B7CBC"/>
    <w:rsid w:val="000B7D30"/>
    <w:rsid w:val="000B7D42"/>
    <w:rsid w:val="000B7E2E"/>
    <w:rsid w:val="000B7EC6"/>
    <w:rsid w:val="000B7ECB"/>
    <w:rsid w:val="000B7FBE"/>
    <w:rsid w:val="000C0047"/>
    <w:rsid w:val="000C00FD"/>
    <w:rsid w:val="000C021A"/>
    <w:rsid w:val="000C0265"/>
    <w:rsid w:val="000C03C8"/>
    <w:rsid w:val="000C048B"/>
    <w:rsid w:val="000C0686"/>
    <w:rsid w:val="000C0689"/>
    <w:rsid w:val="000C0779"/>
    <w:rsid w:val="000C0813"/>
    <w:rsid w:val="000C0837"/>
    <w:rsid w:val="000C08B0"/>
    <w:rsid w:val="000C0B1B"/>
    <w:rsid w:val="000C0BA2"/>
    <w:rsid w:val="000C0CBE"/>
    <w:rsid w:val="000C0D14"/>
    <w:rsid w:val="000C112D"/>
    <w:rsid w:val="000C1164"/>
    <w:rsid w:val="000C1167"/>
    <w:rsid w:val="000C1273"/>
    <w:rsid w:val="000C12DC"/>
    <w:rsid w:val="000C1457"/>
    <w:rsid w:val="000C17E4"/>
    <w:rsid w:val="000C195E"/>
    <w:rsid w:val="000C1987"/>
    <w:rsid w:val="000C1AEE"/>
    <w:rsid w:val="000C1AF1"/>
    <w:rsid w:val="000C1B83"/>
    <w:rsid w:val="000C1C84"/>
    <w:rsid w:val="000C1D37"/>
    <w:rsid w:val="000C1E67"/>
    <w:rsid w:val="000C2024"/>
    <w:rsid w:val="000C20AB"/>
    <w:rsid w:val="000C2136"/>
    <w:rsid w:val="000C2155"/>
    <w:rsid w:val="000C21AF"/>
    <w:rsid w:val="000C21E1"/>
    <w:rsid w:val="000C2217"/>
    <w:rsid w:val="000C2225"/>
    <w:rsid w:val="000C2335"/>
    <w:rsid w:val="000C2377"/>
    <w:rsid w:val="000C24AC"/>
    <w:rsid w:val="000C24E6"/>
    <w:rsid w:val="000C25C7"/>
    <w:rsid w:val="000C25E5"/>
    <w:rsid w:val="000C2671"/>
    <w:rsid w:val="000C27E7"/>
    <w:rsid w:val="000C27F9"/>
    <w:rsid w:val="000C280D"/>
    <w:rsid w:val="000C28A9"/>
    <w:rsid w:val="000C2AB2"/>
    <w:rsid w:val="000C2BD9"/>
    <w:rsid w:val="000C2C50"/>
    <w:rsid w:val="000C2C5E"/>
    <w:rsid w:val="000C2C5F"/>
    <w:rsid w:val="000C2F25"/>
    <w:rsid w:val="000C302A"/>
    <w:rsid w:val="000C3140"/>
    <w:rsid w:val="000C316D"/>
    <w:rsid w:val="000C355C"/>
    <w:rsid w:val="000C35DF"/>
    <w:rsid w:val="000C377A"/>
    <w:rsid w:val="000C38ED"/>
    <w:rsid w:val="000C3A19"/>
    <w:rsid w:val="000C3AB2"/>
    <w:rsid w:val="000C3ADE"/>
    <w:rsid w:val="000C3B48"/>
    <w:rsid w:val="000C3B6A"/>
    <w:rsid w:val="000C3CAA"/>
    <w:rsid w:val="000C3E40"/>
    <w:rsid w:val="000C3F5A"/>
    <w:rsid w:val="000C405F"/>
    <w:rsid w:val="000C4227"/>
    <w:rsid w:val="000C4338"/>
    <w:rsid w:val="000C43A0"/>
    <w:rsid w:val="000C4442"/>
    <w:rsid w:val="000C44AF"/>
    <w:rsid w:val="000C45A6"/>
    <w:rsid w:val="000C4868"/>
    <w:rsid w:val="000C4A53"/>
    <w:rsid w:val="000C4AB9"/>
    <w:rsid w:val="000C4B5C"/>
    <w:rsid w:val="000C4C7F"/>
    <w:rsid w:val="000C4EF5"/>
    <w:rsid w:val="000C4FFB"/>
    <w:rsid w:val="000C5072"/>
    <w:rsid w:val="000C50F7"/>
    <w:rsid w:val="000C5226"/>
    <w:rsid w:val="000C5331"/>
    <w:rsid w:val="000C5365"/>
    <w:rsid w:val="000C5369"/>
    <w:rsid w:val="000C55D4"/>
    <w:rsid w:val="000C578E"/>
    <w:rsid w:val="000C587F"/>
    <w:rsid w:val="000C58A9"/>
    <w:rsid w:val="000C5975"/>
    <w:rsid w:val="000C5997"/>
    <w:rsid w:val="000C5A2D"/>
    <w:rsid w:val="000C5B1F"/>
    <w:rsid w:val="000C5CF8"/>
    <w:rsid w:val="000C5D72"/>
    <w:rsid w:val="000C5D76"/>
    <w:rsid w:val="000C5D89"/>
    <w:rsid w:val="000C5DA7"/>
    <w:rsid w:val="000C5E05"/>
    <w:rsid w:val="000C5E48"/>
    <w:rsid w:val="000C5F27"/>
    <w:rsid w:val="000C5F8D"/>
    <w:rsid w:val="000C5FC0"/>
    <w:rsid w:val="000C607B"/>
    <w:rsid w:val="000C6082"/>
    <w:rsid w:val="000C6199"/>
    <w:rsid w:val="000C622D"/>
    <w:rsid w:val="000C63A2"/>
    <w:rsid w:val="000C641B"/>
    <w:rsid w:val="000C6439"/>
    <w:rsid w:val="000C65B8"/>
    <w:rsid w:val="000C6648"/>
    <w:rsid w:val="000C6652"/>
    <w:rsid w:val="000C66AE"/>
    <w:rsid w:val="000C675E"/>
    <w:rsid w:val="000C67CC"/>
    <w:rsid w:val="000C6871"/>
    <w:rsid w:val="000C68EA"/>
    <w:rsid w:val="000C68FF"/>
    <w:rsid w:val="000C6B2E"/>
    <w:rsid w:val="000C6B3C"/>
    <w:rsid w:val="000C6C36"/>
    <w:rsid w:val="000C6C40"/>
    <w:rsid w:val="000C6CCC"/>
    <w:rsid w:val="000C715B"/>
    <w:rsid w:val="000C716F"/>
    <w:rsid w:val="000C7189"/>
    <w:rsid w:val="000C7206"/>
    <w:rsid w:val="000C7357"/>
    <w:rsid w:val="000C7396"/>
    <w:rsid w:val="000C739C"/>
    <w:rsid w:val="000C741F"/>
    <w:rsid w:val="000C7458"/>
    <w:rsid w:val="000C747E"/>
    <w:rsid w:val="000C76F5"/>
    <w:rsid w:val="000C771B"/>
    <w:rsid w:val="000C77C0"/>
    <w:rsid w:val="000C787A"/>
    <w:rsid w:val="000C78D2"/>
    <w:rsid w:val="000C7958"/>
    <w:rsid w:val="000C795E"/>
    <w:rsid w:val="000C7CDC"/>
    <w:rsid w:val="000C7D57"/>
    <w:rsid w:val="000C7D5E"/>
    <w:rsid w:val="000C7D87"/>
    <w:rsid w:val="000C7E3F"/>
    <w:rsid w:val="000C7EEE"/>
    <w:rsid w:val="000C7F84"/>
    <w:rsid w:val="000C7FD2"/>
    <w:rsid w:val="000D00A4"/>
    <w:rsid w:val="000D02CD"/>
    <w:rsid w:val="000D0345"/>
    <w:rsid w:val="000D03C1"/>
    <w:rsid w:val="000D0510"/>
    <w:rsid w:val="000D05A0"/>
    <w:rsid w:val="000D062D"/>
    <w:rsid w:val="000D0634"/>
    <w:rsid w:val="000D0686"/>
    <w:rsid w:val="000D081F"/>
    <w:rsid w:val="000D0980"/>
    <w:rsid w:val="000D09EE"/>
    <w:rsid w:val="000D0A8F"/>
    <w:rsid w:val="000D0B7A"/>
    <w:rsid w:val="000D0B9E"/>
    <w:rsid w:val="000D0C9A"/>
    <w:rsid w:val="000D0D61"/>
    <w:rsid w:val="000D0DC1"/>
    <w:rsid w:val="000D0E2B"/>
    <w:rsid w:val="000D0F34"/>
    <w:rsid w:val="000D0F4E"/>
    <w:rsid w:val="000D0FC5"/>
    <w:rsid w:val="000D102D"/>
    <w:rsid w:val="000D10CB"/>
    <w:rsid w:val="000D11C2"/>
    <w:rsid w:val="000D12CC"/>
    <w:rsid w:val="000D1393"/>
    <w:rsid w:val="000D13A3"/>
    <w:rsid w:val="000D13DE"/>
    <w:rsid w:val="000D17A3"/>
    <w:rsid w:val="000D1936"/>
    <w:rsid w:val="000D193A"/>
    <w:rsid w:val="000D19CB"/>
    <w:rsid w:val="000D1A8A"/>
    <w:rsid w:val="000D1B0A"/>
    <w:rsid w:val="000D1C8E"/>
    <w:rsid w:val="000D1DEC"/>
    <w:rsid w:val="000D1E8E"/>
    <w:rsid w:val="000D1EE1"/>
    <w:rsid w:val="000D1FEB"/>
    <w:rsid w:val="000D226F"/>
    <w:rsid w:val="000D22D4"/>
    <w:rsid w:val="000D2309"/>
    <w:rsid w:val="000D239A"/>
    <w:rsid w:val="000D2425"/>
    <w:rsid w:val="000D2697"/>
    <w:rsid w:val="000D276C"/>
    <w:rsid w:val="000D286F"/>
    <w:rsid w:val="000D28CE"/>
    <w:rsid w:val="000D29FD"/>
    <w:rsid w:val="000D2A54"/>
    <w:rsid w:val="000D2C05"/>
    <w:rsid w:val="000D2CAA"/>
    <w:rsid w:val="000D2DFE"/>
    <w:rsid w:val="000D2E07"/>
    <w:rsid w:val="000D2F01"/>
    <w:rsid w:val="000D2F25"/>
    <w:rsid w:val="000D2F82"/>
    <w:rsid w:val="000D31CF"/>
    <w:rsid w:val="000D34CD"/>
    <w:rsid w:val="000D35A3"/>
    <w:rsid w:val="000D3647"/>
    <w:rsid w:val="000D377E"/>
    <w:rsid w:val="000D380C"/>
    <w:rsid w:val="000D39F2"/>
    <w:rsid w:val="000D3A0B"/>
    <w:rsid w:val="000D3B4C"/>
    <w:rsid w:val="000D3B95"/>
    <w:rsid w:val="000D3C45"/>
    <w:rsid w:val="000D3D01"/>
    <w:rsid w:val="000D3EDD"/>
    <w:rsid w:val="000D3F55"/>
    <w:rsid w:val="000D3FB9"/>
    <w:rsid w:val="000D407F"/>
    <w:rsid w:val="000D41B0"/>
    <w:rsid w:val="000D4322"/>
    <w:rsid w:val="000D432A"/>
    <w:rsid w:val="000D4345"/>
    <w:rsid w:val="000D43EA"/>
    <w:rsid w:val="000D44D8"/>
    <w:rsid w:val="000D45F7"/>
    <w:rsid w:val="000D46F9"/>
    <w:rsid w:val="000D47EF"/>
    <w:rsid w:val="000D485C"/>
    <w:rsid w:val="000D485F"/>
    <w:rsid w:val="000D4889"/>
    <w:rsid w:val="000D4A71"/>
    <w:rsid w:val="000D4C84"/>
    <w:rsid w:val="000D4DBD"/>
    <w:rsid w:val="000D4FB1"/>
    <w:rsid w:val="000D5019"/>
    <w:rsid w:val="000D50AF"/>
    <w:rsid w:val="000D51A5"/>
    <w:rsid w:val="000D51FA"/>
    <w:rsid w:val="000D525F"/>
    <w:rsid w:val="000D529B"/>
    <w:rsid w:val="000D53B2"/>
    <w:rsid w:val="000D56CE"/>
    <w:rsid w:val="000D583E"/>
    <w:rsid w:val="000D5878"/>
    <w:rsid w:val="000D5909"/>
    <w:rsid w:val="000D5A5E"/>
    <w:rsid w:val="000D5ABE"/>
    <w:rsid w:val="000D5AC8"/>
    <w:rsid w:val="000D5AFD"/>
    <w:rsid w:val="000D5B6C"/>
    <w:rsid w:val="000D5C24"/>
    <w:rsid w:val="000D5C9C"/>
    <w:rsid w:val="000D5CEE"/>
    <w:rsid w:val="000D5CF6"/>
    <w:rsid w:val="000D5DFE"/>
    <w:rsid w:val="000D5E78"/>
    <w:rsid w:val="000D6330"/>
    <w:rsid w:val="000D6335"/>
    <w:rsid w:val="000D6345"/>
    <w:rsid w:val="000D636A"/>
    <w:rsid w:val="000D6398"/>
    <w:rsid w:val="000D63FE"/>
    <w:rsid w:val="000D66F0"/>
    <w:rsid w:val="000D675B"/>
    <w:rsid w:val="000D6916"/>
    <w:rsid w:val="000D697B"/>
    <w:rsid w:val="000D6C21"/>
    <w:rsid w:val="000D6C54"/>
    <w:rsid w:val="000D6D8E"/>
    <w:rsid w:val="000D6D97"/>
    <w:rsid w:val="000D6E0D"/>
    <w:rsid w:val="000D6EA2"/>
    <w:rsid w:val="000D6EE3"/>
    <w:rsid w:val="000D6EF6"/>
    <w:rsid w:val="000D6F42"/>
    <w:rsid w:val="000D6FAD"/>
    <w:rsid w:val="000D70AE"/>
    <w:rsid w:val="000D70BD"/>
    <w:rsid w:val="000D70CF"/>
    <w:rsid w:val="000D7157"/>
    <w:rsid w:val="000D72A7"/>
    <w:rsid w:val="000D733B"/>
    <w:rsid w:val="000D746F"/>
    <w:rsid w:val="000D74F8"/>
    <w:rsid w:val="000D7548"/>
    <w:rsid w:val="000D764C"/>
    <w:rsid w:val="000D77A8"/>
    <w:rsid w:val="000D781D"/>
    <w:rsid w:val="000D7841"/>
    <w:rsid w:val="000D7875"/>
    <w:rsid w:val="000D78BA"/>
    <w:rsid w:val="000D7965"/>
    <w:rsid w:val="000D79C6"/>
    <w:rsid w:val="000D7B20"/>
    <w:rsid w:val="000D7B78"/>
    <w:rsid w:val="000D7C95"/>
    <w:rsid w:val="000D7DEC"/>
    <w:rsid w:val="000E0006"/>
    <w:rsid w:val="000E00C1"/>
    <w:rsid w:val="000E015C"/>
    <w:rsid w:val="000E0179"/>
    <w:rsid w:val="000E01C7"/>
    <w:rsid w:val="000E01D9"/>
    <w:rsid w:val="000E0231"/>
    <w:rsid w:val="000E024B"/>
    <w:rsid w:val="000E02CE"/>
    <w:rsid w:val="000E02E8"/>
    <w:rsid w:val="000E033A"/>
    <w:rsid w:val="000E03FC"/>
    <w:rsid w:val="000E05D5"/>
    <w:rsid w:val="000E064F"/>
    <w:rsid w:val="000E06D9"/>
    <w:rsid w:val="000E0811"/>
    <w:rsid w:val="000E0882"/>
    <w:rsid w:val="000E0896"/>
    <w:rsid w:val="000E089B"/>
    <w:rsid w:val="000E0A3C"/>
    <w:rsid w:val="000E0A7E"/>
    <w:rsid w:val="000E0DDA"/>
    <w:rsid w:val="000E0F35"/>
    <w:rsid w:val="000E0FAC"/>
    <w:rsid w:val="000E0FCD"/>
    <w:rsid w:val="000E0FDF"/>
    <w:rsid w:val="000E103C"/>
    <w:rsid w:val="000E1189"/>
    <w:rsid w:val="000E122A"/>
    <w:rsid w:val="000E12AF"/>
    <w:rsid w:val="000E13D4"/>
    <w:rsid w:val="000E13FA"/>
    <w:rsid w:val="000E14D9"/>
    <w:rsid w:val="000E15D0"/>
    <w:rsid w:val="000E15DC"/>
    <w:rsid w:val="000E161C"/>
    <w:rsid w:val="000E17DC"/>
    <w:rsid w:val="000E1819"/>
    <w:rsid w:val="000E1871"/>
    <w:rsid w:val="000E18F3"/>
    <w:rsid w:val="000E1969"/>
    <w:rsid w:val="000E1B55"/>
    <w:rsid w:val="000E1D73"/>
    <w:rsid w:val="000E1E85"/>
    <w:rsid w:val="000E2235"/>
    <w:rsid w:val="000E22BA"/>
    <w:rsid w:val="000E2378"/>
    <w:rsid w:val="000E25B6"/>
    <w:rsid w:val="000E25F0"/>
    <w:rsid w:val="000E266E"/>
    <w:rsid w:val="000E2721"/>
    <w:rsid w:val="000E2745"/>
    <w:rsid w:val="000E2787"/>
    <w:rsid w:val="000E27A2"/>
    <w:rsid w:val="000E27CD"/>
    <w:rsid w:val="000E27DD"/>
    <w:rsid w:val="000E27F7"/>
    <w:rsid w:val="000E2A58"/>
    <w:rsid w:val="000E2B3D"/>
    <w:rsid w:val="000E2B9F"/>
    <w:rsid w:val="000E2E73"/>
    <w:rsid w:val="000E2FC5"/>
    <w:rsid w:val="000E310A"/>
    <w:rsid w:val="000E32A0"/>
    <w:rsid w:val="000E32EA"/>
    <w:rsid w:val="000E32FD"/>
    <w:rsid w:val="000E3390"/>
    <w:rsid w:val="000E33D5"/>
    <w:rsid w:val="000E33E4"/>
    <w:rsid w:val="000E3594"/>
    <w:rsid w:val="000E376D"/>
    <w:rsid w:val="000E37A9"/>
    <w:rsid w:val="000E38D5"/>
    <w:rsid w:val="000E38EE"/>
    <w:rsid w:val="000E39A0"/>
    <w:rsid w:val="000E3CFC"/>
    <w:rsid w:val="000E3D63"/>
    <w:rsid w:val="000E3FB2"/>
    <w:rsid w:val="000E4045"/>
    <w:rsid w:val="000E4060"/>
    <w:rsid w:val="000E4072"/>
    <w:rsid w:val="000E4189"/>
    <w:rsid w:val="000E4247"/>
    <w:rsid w:val="000E42E0"/>
    <w:rsid w:val="000E42E4"/>
    <w:rsid w:val="000E4500"/>
    <w:rsid w:val="000E45B3"/>
    <w:rsid w:val="000E469B"/>
    <w:rsid w:val="000E47E5"/>
    <w:rsid w:val="000E4826"/>
    <w:rsid w:val="000E4866"/>
    <w:rsid w:val="000E4997"/>
    <w:rsid w:val="000E4B7A"/>
    <w:rsid w:val="000E4DC3"/>
    <w:rsid w:val="000E4FE5"/>
    <w:rsid w:val="000E5182"/>
    <w:rsid w:val="000E5296"/>
    <w:rsid w:val="000E529B"/>
    <w:rsid w:val="000E52F2"/>
    <w:rsid w:val="000E547C"/>
    <w:rsid w:val="000E54A4"/>
    <w:rsid w:val="000E55B5"/>
    <w:rsid w:val="000E584E"/>
    <w:rsid w:val="000E5920"/>
    <w:rsid w:val="000E5966"/>
    <w:rsid w:val="000E5A7C"/>
    <w:rsid w:val="000E5AF6"/>
    <w:rsid w:val="000E5B39"/>
    <w:rsid w:val="000E5B5A"/>
    <w:rsid w:val="000E5B93"/>
    <w:rsid w:val="000E5CC3"/>
    <w:rsid w:val="000E5D10"/>
    <w:rsid w:val="000E5EE4"/>
    <w:rsid w:val="000E5F30"/>
    <w:rsid w:val="000E5F6D"/>
    <w:rsid w:val="000E5FB9"/>
    <w:rsid w:val="000E61A4"/>
    <w:rsid w:val="000E6416"/>
    <w:rsid w:val="000E6528"/>
    <w:rsid w:val="000E6547"/>
    <w:rsid w:val="000E6570"/>
    <w:rsid w:val="000E659C"/>
    <w:rsid w:val="000E6800"/>
    <w:rsid w:val="000E6821"/>
    <w:rsid w:val="000E6975"/>
    <w:rsid w:val="000E6982"/>
    <w:rsid w:val="000E6A08"/>
    <w:rsid w:val="000E6A3B"/>
    <w:rsid w:val="000E6AFC"/>
    <w:rsid w:val="000E6B30"/>
    <w:rsid w:val="000E6D3A"/>
    <w:rsid w:val="000E6D3E"/>
    <w:rsid w:val="000E6D73"/>
    <w:rsid w:val="000E704F"/>
    <w:rsid w:val="000E70A7"/>
    <w:rsid w:val="000E71D6"/>
    <w:rsid w:val="000E724B"/>
    <w:rsid w:val="000E7301"/>
    <w:rsid w:val="000E737A"/>
    <w:rsid w:val="000E73C7"/>
    <w:rsid w:val="000E742A"/>
    <w:rsid w:val="000E7455"/>
    <w:rsid w:val="000E75AB"/>
    <w:rsid w:val="000E770D"/>
    <w:rsid w:val="000E77CE"/>
    <w:rsid w:val="000E788F"/>
    <w:rsid w:val="000E7901"/>
    <w:rsid w:val="000E79C3"/>
    <w:rsid w:val="000E7B38"/>
    <w:rsid w:val="000E7CC2"/>
    <w:rsid w:val="000E7E7E"/>
    <w:rsid w:val="000E7E8F"/>
    <w:rsid w:val="000E7E91"/>
    <w:rsid w:val="000E7EB7"/>
    <w:rsid w:val="000F003E"/>
    <w:rsid w:val="000F0113"/>
    <w:rsid w:val="000F0455"/>
    <w:rsid w:val="000F04AC"/>
    <w:rsid w:val="000F05C5"/>
    <w:rsid w:val="000F05CB"/>
    <w:rsid w:val="000F06BF"/>
    <w:rsid w:val="000F06D6"/>
    <w:rsid w:val="000F08CC"/>
    <w:rsid w:val="000F08FC"/>
    <w:rsid w:val="000F0934"/>
    <w:rsid w:val="000F09E0"/>
    <w:rsid w:val="000F0C8A"/>
    <w:rsid w:val="000F0D54"/>
    <w:rsid w:val="000F0FD2"/>
    <w:rsid w:val="000F104A"/>
    <w:rsid w:val="000F106B"/>
    <w:rsid w:val="000F1145"/>
    <w:rsid w:val="000F1151"/>
    <w:rsid w:val="000F12FC"/>
    <w:rsid w:val="000F13F6"/>
    <w:rsid w:val="000F146A"/>
    <w:rsid w:val="000F1505"/>
    <w:rsid w:val="000F151E"/>
    <w:rsid w:val="000F15B9"/>
    <w:rsid w:val="000F16EA"/>
    <w:rsid w:val="000F177F"/>
    <w:rsid w:val="000F189E"/>
    <w:rsid w:val="000F18A6"/>
    <w:rsid w:val="000F190B"/>
    <w:rsid w:val="000F1AD3"/>
    <w:rsid w:val="000F1B46"/>
    <w:rsid w:val="000F1C97"/>
    <w:rsid w:val="000F1CE8"/>
    <w:rsid w:val="000F1CF4"/>
    <w:rsid w:val="000F1D7D"/>
    <w:rsid w:val="000F1E91"/>
    <w:rsid w:val="000F1E92"/>
    <w:rsid w:val="000F1F7F"/>
    <w:rsid w:val="000F21A5"/>
    <w:rsid w:val="000F2322"/>
    <w:rsid w:val="000F234B"/>
    <w:rsid w:val="000F25E1"/>
    <w:rsid w:val="000F2A7D"/>
    <w:rsid w:val="000F2ACE"/>
    <w:rsid w:val="000F2B01"/>
    <w:rsid w:val="000F2BB8"/>
    <w:rsid w:val="000F2C8D"/>
    <w:rsid w:val="000F2CAB"/>
    <w:rsid w:val="000F2FE5"/>
    <w:rsid w:val="000F3052"/>
    <w:rsid w:val="000F313B"/>
    <w:rsid w:val="000F314B"/>
    <w:rsid w:val="000F3441"/>
    <w:rsid w:val="000F3725"/>
    <w:rsid w:val="000F39BF"/>
    <w:rsid w:val="000F39DC"/>
    <w:rsid w:val="000F3A01"/>
    <w:rsid w:val="000F3A3D"/>
    <w:rsid w:val="000F3B1A"/>
    <w:rsid w:val="000F3B98"/>
    <w:rsid w:val="000F3C12"/>
    <w:rsid w:val="000F3CA7"/>
    <w:rsid w:val="000F3EB0"/>
    <w:rsid w:val="000F3F6C"/>
    <w:rsid w:val="000F40B5"/>
    <w:rsid w:val="000F40F0"/>
    <w:rsid w:val="000F41D0"/>
    <w:rsid w:val="000F424F"/>
    <w:rsid w:val="000F429D"/>
    <w:rsid w:val="000F44D3"/>
    <w:rsid w:val="000F4566"/>
    <w:rsid w:val="000F4583"/>
    <w:rsid w:val="000F45E7"/>
    <w:rsid w:val="000F461A"/>
    <w:rsid w:val="000F47F4"/>
    <w:rsid w:val="000F488D"/>
    <w:rsid w:val="000F49B0"/>
    <w:rsid w:val="000F49C7"/>
    <w:rsid w:val="000F4A31"/>
    <w:rsid w:val="000F4B18"/>
    <w:rsid w:val="000F4BD0"/>
    <w:rsid w:val="000F4C4C"/>
    <w:rsid w:val="000F4CC2"/>
    <w:rsid w:val="000F4DE9"/>
    <w:rsid w:val="000F4FC9"/>
    <w:rsid w:val="000F5016"/>
    <w:rsid w:val="000F5054"/>
    <w:rsid w:val="000F5167"/>
    <w:rsid w:val="000F51DA"/>
    <w:rsid w:val="000F5238"/>
    <w:rsid w:val="000F53FB"/>
    <w:rsid w:val="000F54E1"/>
    <w:rsid w:val="000F5532"/>
    <w:rsid w:val="000F55B1"/>
    <w:rsid w:val="000F57C0"/>
    <w:rsid w:val="000F5838"/>
    <w:rsid w:val="000F58BB"/>
    <w:rsid w:val="000F5B26"/>
    <w:rsid w:val="000F5B67"/>
    <w:rsid w:val="000F5BA8"/>
    <w:rsid w:val="000F5BD2"/>
    <w:rsid w:val="000F5CF9"/>
    <w:rsid w:val="000F5D42"/>
    <w:rsid w:val="000F5D9F"/>
    <w:rsid w:val="000F5E4C"/>
    <w:rsid w:val="000F5EC7"/>
    <w:rsid w:val="000F5FDE"/>
    <w:rsid w:val="000F6036"/>
    <w:rsid w:val="000F6173"/>
    <w:rsid w:val="000F61B2"/>
    <w:rsid w:val="000F61B5"/>
    <w:rsid w:val="000F65C5"/>
    <w:rsid w:val="000F67E3"/>
    <w:rsid w:val="000F68AD"/>
    <w:rsid w:val="000F6909"/>
    <w:rsid w:val="000F698D"/>
    <w:rsid w:val="000F6990"/>
    <w:rsid w:val="000F69E8"/>
    <w:rsid w:val="000F6AD6"/>
    <w:rsid w:val="000F6B1C"/>
    <w:rsid w:val="000F6B38"/>
    <w:rsid w:val="000F6BA0"/>
    <w:rsid w:val="000F6C32"/>
    <w:rsid w:val="000F6E03"/>
    <w:rsid w:val="000F6E12"/>
    <w:rsid w:val="000F6FB2"/>
    <w:rsid w:val="000F7122"/>
    <w:rsid w:val="000F713C"/>
    <w:rsid w:val="000F71EA"/>
    <w:rsid w:val="000F7347"/>
    <w:rsid w:val="000F73E7"/>
    <w:rsid w:val="000F73F1"/>
    <w:rsid w:val="000F7426"/>
    <w:rsid w:val="000F743B"/>
    <w:rsid w:val="000F74E7"/>
    <w:rsid w:val="000F75C0"/>
    <w:rsid w:val="000F766A"/>
    <w:rsid w:val="000F7989"/>
    <w:rsid w:val="000F7A70"/>
    <w:rsid w:val="000F7B97"/>
    <w:rsid w:val="000F7C06"/>
    <w:rsid w:val="000F7CB7"/>
    <w:rsid w:val="000F7D51"/>
    <w:rsid w:val="000F7E85"/>
    <w:rsid w:val="000F7E9E"/>
    <w:rsid w:val="000FC93A"/>
    <w:rsid w:val="00100106"/>
    <w:rsid w:val="001002BF"/>
    <w:rsid w:val="001003F0"/>
    <w:rsid w:val="0010055B"/>
    <w:rsid w:val="001006B9"/>
    <w:rsid w:val="001006FF"/>
    <w:rsid w:val="00100718"/>
    <w:rsid w:val="00100729"/>
    <w:rsid w:val="00100759"/>
    <w:rsid w:val="001007DB"/>
    <w:rsid w:val="001008B9"/>
    <w:rsid w:val="00100904"/>
    <w:rsid w:val="00100911"/>
    <w:rsid w:val="00100926"/>
    <w:rsid w:val="00100A42"/>
    <w:rsid w:val="00100A70"/>
    <w:rsid w:val="00100A78"/>
    <w:rsid w:val="00100B23"/>
    <w:rsid w:val="00100B57"/>
    <w:rsid w:val="00100BB2"/>
    <w:rsid w:val="00101066"/>
    <w:rsid w:val="0010115F"/>
    <w:rsid w:val="00101250"/>
    <w:rsid w:val="001014BF"/>
    <w:rsid w:val="00101596"/>
    <w:rsid w:val="00101723"/>
    <w:rsid w:val="00101880"/>
    <w:rsid w:val="00101976"/>
    <w:rsid w:val="00101AD3"/>
    <w:rsid w:val="00101CF7"/>
    <w:rsid w:val="00101D8A"/>
    <w:rsid w:val="00101E29"/>
    <w:rsid w:val="00101EE1"/>
    <w:rsid w:val="001020B5"/>
    <w:rsid w:val="0010221C"/>
    <w:rsid w:val="00102241"/>
    <w:rsid w:val="0010234B"/>
    <w:rsid w:val="00102418"/>
    <w:rsid w:val="001024B4"/>
    <w:rsid w:val="0010251B"/>
    <w:rsid w:val="001025BD"/>
    <w:rsid w:val="00102686"/>
    <w:rsid w:val="00102687"/>
    <w:rsid w:val="0010296E"/>
    <w:rsid w:val="001029A3"/>
    <w:rsid w:val="00102AF1"/>
    <w:rsid w:val="00102B4E"/>
    <w:rsid w:val="00102B7E"/>
    <w:rsid w:val="00102BA3"/>
    <w:rsid w:val="00102CA2"/>
    <w:rsid w:val="00102CE2"/>
    <w:rsid w:val="00102E68"/>
    <w:rsid w:val="00102F27"/>
    <w:rsid w:val="00102F89"/>
    <w:rsid w:val="00102FA5"/>
    <w:rsid w:val="0010304F"/>
    <w:rsid w:val="001030CE"/>
    <w:rsid w:val="001031A7"/>
    <w:rsid w:val="0010322D"/>
    <w:rsid w:val="00103395"/>
    <w:rsid w:val="001034B7"/>
    <w:rsid w:val="001036A5"/>
    <w:rsid w:val="001036D5"/>
    <w:rsid w:val="00103730"/>
    <w:rsid w:val="00103926"/>
    <w:rsid w:val="00103988"/>
    <w:rsid w:val="001039FB"/>
    <w:rsid w:val="00103BCD"/>
    <w:rsid w:val="00103D8F"/>
    <w:rsid w:val="00103DCF"/>
    <w:rsid w:val="00103E0D"/>
    <w:rsid w:val="00103EDD"/>
    <w:rsid w:val="00103F7F"/>
    <w:rsid w:val="00104052"/>
    <w:rsid w:val="00104113"/>
    <w:rsid w:val="001041F1"/>
    <w:rsid w:val="00104214"/>
    <w:rsid w:val="0010438E"/>
    <w:rsid w:val="00104437"/>
    <w:rsid w:val="00104454"/>
    <w:rsid w:val="0010445F"/>
    <w:rsid w:val="00104562"/>
    <w:rsid w:val="00104611"/>
    <w:rsid w:val="001046BA"/>
    <w:rsid w:val="001046EB"/>
    <w:rsid w:val="0010477D"/>
    <w:rsid w:val="0010494D"/>
    <w:rsid w:val="00104952"/>
    <w:rsid w:val="00104969"/>
    <w:rsid w:val="00104A5D"/>
    <w:rsid w:val="00104AA9"/>
    <w:rsid w:val="00104B85"/>
    <w:rsid w:val="00104BD9"/>
    <w:rsid w:val="00104C55"/>
    <w:rsid w:val="00104C5C"/>
    <w:rsid w:val="00104CFD"/>
    <w:rsid w:val="00104E0F"/>
    <w:rsid w:val="00104E66"/>
    <w:rsid w:val="00104FFF"/>
    <w:rsid w:val="0010513A"/>
    <w:rsid w:val="00105215"/>
    <w:rsid w:val="001052E8"/>
    <w:rsid w:val="00105327"/>
    <w:rsid w:val="00105367"/>
    <w:rsid w:val="0010540D"/>
    <w:rsid w:val="00105469"/>
    <w:rsid w:val="001054A1"/>
    <w:rsid w:val="001054F2"/>
    <w:rsid w:val="00105536"/>
    <w:rsid w:val="001057F6"/>
    <w:rsid w:val="001058DB"/>
    <w:rsid w:val="00105974"/>
    <w:rsid w:val="001059DA"/>
    <w:rsid w:val="001059F8"/>
    <w:rsid w:val="00105AF1"/>
    <w:rsid w:val="00105AF7"/>
    <w:rsid w:val="00105CE5"/>
    <w:rsid w:val="00105E06"/>
    <w:rsid w:val="00106161"/>
    <w:rsid w:val="001062EA"/>
    <w:rsid w:val="00106338"/>
    <w:rsid w:val="00106357"/>
    <w:rsid w:val="00106454"/>
    <w:rsid w:val="00106629"/>
    <w:rsid w:val="00106860"/>
    <w:rsid w:val="001068EE"/>
    <w:rsid w:val="00106A1E"/>
    <w:rsid w:val="00106B89"/>
    <w:rsid w:val="00106D31"/>
    <w:rsid w:val="00106DA1"/>
    <w:rsid w:val="00106F27"/>
    <w:rsid w:val="00106F4F"/>
    <w:rsid w:val="00107078"/>
    <w:rsid w:val="001070CA"/>
    <w:rsid w:val="0010714F"/>
    <w:rsid w:val="001072CC"/>
    <w:rsid w:val="00107411"/>
    <w:rsid w:val="00107439"/>
    <w:rsid w:val="00107467"/>
    <w:rsid w:val="001075A6"/>
    <w:rsid w:val="00107608"/>
    <w:rsid w:val="00107807"/>
    <w:rsid w:val="00107831"/>
    <w:rsid w:val="00107862"/>
    <w:rsid w:val="00107897"/>
    <w:rsid w:val="001079ED"/>
    <w:rsid w:val="00107A95"/>
    <w:rsid w:val="00107AFF"/>
    <w:rsid w:val="00107B72"/>
    <w:rsid w:val="00107C02"/>
    <w:rsid w:val="00107C75"/>
    <w:rsid w:val="00107CCA"/>
    <w:rsid w:val="00107D87"/>
    <w:rsid w:val="00107DA6"/>
    <w:rsid w:val="00107DD5"/>
    <w:rsid w:val="00107E97"/>
    <w:rsid w:val="00107EA8"/>
    <w:rsid w:val="00107F27"/>
    <w:rsid w:val="00107FC1"/>
    <w:rsid w:val="00110091"/>
    <w:rsid w:val="00110110"/>
    <w:rsid w:val="00110185"/>
    <w:rsid w:val="001101AA"/>
    <w:rsid w:val="00110224"/>
    <w:rsid w:val="0011037F"/>
    <w:rsid w:val="00110393"/>
    <w:rsid w:val="001104A5"/>
    <w:rsid w:val="00110633"/>
    <w:rsid w:val="0011073C"/>
    <w:rsid w:val="001107E6"/>
    <w:rsid w:val="00110853"/>
    <w:rsid w:val="00110A35"/>
    <w:rsid w:val="00110A77"/>
    <w:rsid w:val="00110A7F"/>
    <w:rsid w:val="00110B26"/>
    <w:rsid w:val="00110CF3"/>
    <w:rsid w:val="0011105E"/>
    <w:rsid w:val="0011108F"/>
    <w:rsid w:val="00111183"/>
    <w:rsid w:val="00111196"/>
    <w:rsid w:val="001111F8"/>
    <w:rsid w:val="001111FF"/>
    <w:rsid w:val="001112D8"/>
    <w:rsid w:val="0011137A"/>
    <w:rsid w:val="001113F1"/>
    <w:rsid w:val="00111462"/>
    <w:rsid w:val="00111704"/>
    <w:rsid w:val="00111726"/>
    <w:rsid w:val="00111995"/>
    <w:rsid w:val="001119FC"/>
    <w:rsid w:val="00111A4A"/>
    <w:rsid w:val="00111B58"/>
    <w:rsid w:val="00111BC8"/>
    <w:rsid w:val="00111D99"/>
    <w:rsid w:val="00111F04"/>
    <w:rsid w:val="00111FB1"/>
    <w:rsid w:val="0011205E"/>
    <w:rsid w:val="00112170"/>
    <w:rsid w:val="001121C2"/>
    <w:rsid w:val="0011222C"/>
    <w:rsid w:val="00112287"/>
    <w:rsid w:val="001122C5"/>
    <w:rsid w:val="001123D6"/>
    <w:rsid w:val="001123E8"/>
    <w:rsid w:val="001123EC"/>
    <w:rsid w:val="00112437"/>
    <w:rsid w:val="00112469"/>
    <w:rsid w:val="0011247E"/>
    <w:rsid w:val="00112500"/>
    <w:rsid w:val="00112725"/>
    <w:rsid w:val="0011281B"/>
    <w:rsid w:val="001129B1"/>
    <w:rsid w:val="00112B6F"/>
    <w:rsid w:val="00112BB8"/>
    <w:rsid w:val="00112D24"/>
    <w:rsid w:val="00112DDE"/>
    <w:rsid w:val="00112E0E"/>
    <w:rsid w:val="00113188"/>
    <w:rsid w:val="001131D7"/>
    <w:rsid w:val="00113242"/>
    <w:rsid w:val="001132BE"/>
    <w:rsid w:val="001132E3"/>
    <w:rsid w:val="00113331"/>
    <w:rsid w:val="0011334C"/>
    <w:rsid w:val="00113475"/>
    <w:rsid w:val="00113540"/>
    <w:rsid w:val="00113600"/>
    <w:rsid w:val="00113664"/>
    <w:rsid w:val="0011368F"/>
    <w:rsid w:val="001136A4"/>
    <w:rsid w:val="001136DA"/>
    <w:rsid w:val="001139D9"/>
    <w:rsid w:val="00113A2A"/>
    <w:rsid w:val="00113A53"/>
    <w:rsid w:val="00113A59"/>
    <w:rsid w:val="00113A5D"/>
    <w:rsid w:val="00113B79"/>
    <w:rsid w:val="00113C42"/>
    <w:rsid w:val="00113CDC"/>
    <w:rsid w:val="00113D8F"/>
    <w:rsid w:val="00113FF7"/>
    <w:rsid w:val="00114104"/>
    <w:rsid w:val="0011421C"/>
    <w:rsid w:val="00114372"/>
    <w:rsid w:val="00114706"/>
    <w:rsid w:val="00114826"/>
    <w:rsid w:val="001148EF"/>
    <w:rsid w:val="00114ABA"/>
    <w:rsid w:val="00114AC6"/>
    <w:rsid w:val="00114AE5"/>
    <w:rsid w:val="00114BE2"/>
    <w:rsid w:val="00114CE4"/>
    <w:rsid w:val="00114EDE"/>
    <w:rsid w:val="00114F0E"/>
    <w:rsid w:val="0011506B"/>
    <w:rsid w:val="00115073"/>
    <w:rsid w:val="00115092"/>
    <w:rsid w:val="001152DC"/>
    <w:rsid w:val="001152DD"/>
    <w:rsid w:val="00115365"/>
    <w:rsid w:val="001155B0"/>
    <w:rsid w:val="001156FE"/>
    <w:rsid w:val="00115742"/>
    <w:rsid w:val="00115A2C"/>
    <w:rsid w:val="00115A7F"/>
    <w:rsid w:val="00115CEB"/>
    <w:rsid w:val="00115D77"/>
    <w:rsid w:val="00115DCE"/>
    <w:rsid w:val="0011606D"/>
    <w:rsid w:val="00116100"/>
    <w:rsid w:val="00116134"/>
    <w:rsid w:val="00116142"/>
    <w:rsid w:val="001161FA"/>
    <w:rsid w:val="00116511"/>
    <w:rsid w:val="001165B4"/>
    <w:rsid w:val="00116660"/>
    <w:rsid w:val="00116682"/>
    <w:rsid w:val="0011681E"/>
    <w:rsid w:val="001168D0"/>
    <w:rsid w:val="00116925"/>
    <w:rsid w:val="00116A23"/>
    <w:rsid w:val="00116B97"/>
    <w:rsid w:val="00116D1E"/>
    <w:rsid w:val="00117074"/>
    <w:rsid w:val="001170EF"/>
    <w:rsid w:val="001171E9"/>
    <w:rsid w:val="00117294"/>
    <w:rsid w:val="001173A9"/>
    <w:rsid w:val="001175B8"/>
    <w:rsid w:val="0011774E"/>
    <w:rsid w:val="00117843"/>
    <w:rsid w:val="001178E7"/>
    <w:rsid w:val="001179D7"/>
    <w:rsid w:val="00117A2D"/>
    <w:rsid w:val="00117B78"/>
    <w:rsid w:val="00117B7A"/>
    <w:rsid w:val="00117C64"/>
    <w:rsid w:val="00117D6D"/>
    <w:rsid w:val="00117E87"/>
    <w:rsid w:val="00117E8F"/>
    <w:rsid w:val="00117F77"/>
    <w:rsid w:val="00117F81"/>
    <w:rsid w:val="00117F97"/>
    <w:rsid w:val="00117FF5"/>
    <w:rsid w:val="00120069"/>
    <w:rsid w:val="0012009A"/>
    <w:rsid w:val="0012010B"/>
    <w:rsid w:val="001201CC"/>
    <w:rsid w:val="00120236"/>
    <w:rsid w:val="00120312"/>
    <w:rsid w:val="0012041E"/>
    <w:rsid w:val="00120523"/>
    <w:rsid w:val="00120783"/>
    <w:rsid w:val="00120ACA"/>
    <w:rsid w:val="00120F41"/>
    <w:rsid w:val="00120F54"/>
    <w:rsid w:val="00120FAC"/>
    <w:rsid w:val="00121119"/>
    <w:rsid w:val="001211B4"/>
    <w:rsid w:val="001211DA"/>
    <w:rsid w:val="001211F2"/>
    <w:rsid w:val="00121239"/>
    <w:rsid w:val="001212BD"/>
    <w:rsid w:val="00121379"/>
    <w:rsid w:val="001214E6"/>
    <w:rsid w:val="00121546"/>
    <w:rsid w:val="00121599"/>
    <w:rsid w:val="001215E4"/>
    <w:rsid w:val="00121675"/>
    <w:rsid w:val="001217B6"/>
    <w:rsid w:val="001218A7"/>
    <w:rsid w:val="00121AA6"/>
    <w:rsid w:val="00121B0F"/>
    <w:rsid w:val="00121BEC"/>
    <w:rsid w:val="00121C63"/>
    <w:rsid w:val="00121C81"/>
    <w:rsid w:val="00121E84"/>
    <w:rsid w:val="00121FBA"/>
    <w:rsid w:val="00121FD5"/>
    <w:rsid w:val="0012208E"/>
    <w:rsid w:val="00122183"/>
    <w:rsid w:val="001221C1"/>
    <w:rsid w:val="001222B3"/>
    <w:rsid w:val="001222BE"/>
    <w:rsid w:val="001222C3"/>
    <w:rsid w:val="0012233D"/>
    <w:rsid w:val="001224B1"/>
    <w:rsid w:val="00122548"/>
    <w:rsid w:val="00122695"/>
    <w:rsid w:val="00122761"/>
    <w:rsid w:val="001228AF"/>
    <w:rsid w:val="00122A04"/>
    <w:rsid w:val="00122B11"/>
    <w:rsid w:val="00122C0B"/>
    <w:rsid w:val="00122D1F"/>
    <w:rsid w:val="00122DA3"/>
    <w:rsid w:val="00122DEF"/>
    <w:rsid w:val="00122E13"/>
    <w:rsid w:val="00122E57"/>
    <w:rsid w:val="00122F32"/>
    <w:rsid w:val="00122F58"/>
    <w:rsid w:val="00123349"/>
    <w:rsid w:val="001233B9"/>
    <w:rsid w:val="001233F2"/>
    <w:rsid w:val="0012343A"/>
    <w:rsid w:val="00123573"/>
    <w:rsid w:val="00123586"/>
    <w:rsid w:val="001235FD"/>
    <w:rsid w:val="00123635"/>
    <w:rsid w:val="00123673"/>
    <w:rsid w:val="001236F0"/>
    <w:rsid w:val="00123744"/>
    <w:rsid w:val="00123745"/>
    <w:rsid w:val="0012374C"/>
    <w:rsid w:val="001237A6"/>
    <w:rsid w:val="001237C4"/>
    <w:rsid w:val="00123817"/>
    <w:rsid w:val="001238BC"/>
    <w:rsid w:val="001238F6"/>
    <w:rsid w:val="0012391C"/>
    <w:rsid w:val="001239B3"/>
    <w:rsid w:val="00123ABC"/>
    <w:rsid w:val="00123B02"/>
    <w:rsid w:val="00123B88"/>
    <w:rsid w:val="00123C6C"/>
    <w:rsid w:val="00123DDC"/>
    <w:rsid w:val="00123EAF"/>
    <w:rsid w:val="00123FF0"/>
    <w:rsid w:val="00124183"/>
    <w:rsid w:val="0012423F"/>
    <w:rsid w:val="00124318"/>
    <w:rsid w:val="001243AF"/>
    <w:rsid w:val="001243B6"/>
    <w:rsid w:val="001243BD"/>
    <w:rsid w:val="0012448D"/>
    <w:rsid w:val="001245AB"/>
    <w:rsid w:val="001245B5"/>
    <w:rsid w:val="00124744"/>
    <w:rsid w:val="00124A3E"/>
    <w:rsid w:val="00124A58"/>
    <w:rsid w:val="00124A7D"/>
    <w:rsid w:val="00124BF8"/>
    <w:rsid w:val="00124D35"/>
    <w:rsid w:val="00124D42"/>
    <w:rsid w:val="00124FC7"/>
    <w:rsid w:val="00125027"/>
    <w:rsid w:val="001250B0"/>
    <w:rsid w:val="001250C1"/>
    <w:rsid w:val="0012511E"/>
    <w:rsid w:val="001252D4"/>
    <w:rsid w:val="0012541B"/>
    <w:rsid w:val="00125490"/>
    <w:rsid w:val="0012568F"/>
    <w:rsid w:val="00125781"/>
    <w:rsid w:val="0012579E"/>
    <w:rsid w:val="00125A02"/>
    <w:rsid w:val="00125A6E"/>
    <w:rsid w:val="00125A7B"/>
    <w:rsid w:val="00125B81"/>
    <w:rsid w:val="00125C99"/>
    <w:rsid w:val="00125EAC"/>
    <w:rsid w:val="00125EC8"/>
    <w:rsid w:val="00125EF6"/>
    <w:rsid w:val="00125FC0"/>
    <w:rsid w:val="001260C9"/>
    <w:rsid w:val="00126195"/>
    <w:rsid w:val="0012636A"/>
    <w:rsid w:val="00126401"/>
    <w:rsid w:val="00126827"/>
    <w:rsid w:val="0012685E"/>
    <w:rsid w:val="001268A8"/>
    <w:rsid w:val="00126952"/>
    <w:rsid w:val="00126A7A"/>
    <w:rsid w:val="00126A91"/>
    <w:rsid w:val="00126B6E"/>
    <w:rsid w:val="00126C2B"/>
    <w:rsid w:val="00126C3E"/>
    <w:rsid w:val="00126C61"/>
    <w:rsid w:val="00126D2C"/>
    <w:rsid w:val="00126D6B"/>
    <w:rsid w:val="00126F49"/>
    <w:rsid w:val="00126F7B"/>
    <w:rsid w:val="0012707E"/>
    <w:rsid w:val="001270DA"/>
    <w:rsid w:val="001271E6"/>
    <w:rsid w:val="00127277"/>
    <w:rsid w:val="001272A9"/>
    <w:rsid w:val="0012744F"/>
    <w:rsid w:val="001274F5"/>
    <w:rsid w:val="001275C1"/>
    <w:rsid w:val="00127607"/>
    <w:rsid w:val="0012760E"/>
    <w:rsid w:val="00127751"/>
    <w:rsid w:val="001277CA"/>
    <w:rsid w:val="0012784D"/>
    <w:rsid w:val="00127874"/>
    <w:rsid w:val="00127B90"/>
    <w:rsid w:val="00127C9B"/>
    <w:rsid w:val="00127CAB"/>
    <w:rsid w:val="00127D3F"/>
    <w:rsid w:val="00127D40"/>
    <w:rsid w:val="00127DC1"/>
    <w:rsid w:val="00127DD5"/>
    <w:rsid w:val="00127F3D"/>
    <w:rsid w:val="00130165"/>
    <w:rsid w:val="001301C5"/>
    <w:rsid w:val="0013047F"/>
    <w:rsid w:val="001304A7"/>
    <w:rsid w:val="001304C1"/>
    <w:rsid w:val="00130724"/>
    <w:rsid w:val="001307DD"/>
    <w:rsid w:val="001308BB"/>
    <w:rsid w:val="00130980"/>
    <w:rsid w:val="001309B7"/>
    <w:rsid w:val="00130A76"/>
    <w:rsid w:val="00130B55"/>
    <w:rsid w:val="00130C73"/>
    <w:rsid w:val="00130C89"/>
    <w:rsid w:val="00130EFC"/>
    <w:rsid w:val="00130F22"/>
    <w:rsid w:val="001310AF"/>
    <w:rsid w:val="001310E2"/>
    <w:rsid w:val="001311E5"/>
    <w:rsid w:val="00131265"/>
    <w:rsid w:val="0013126A"/>
    <w:rsid w:val="00131277"/>
    <w:rsid w:val="00131303"/>
    <w:rsid w:val="00131313"/>
    <w:rsid w:val="00131416"/>
    <w:rsid w:val="00131442"/>
    <w:rsid w:val="00131570"/>
    <w:rsid w:val="00131830"/>
    <w:rsid w:val="00131891"/>
    <w:rsid w:val="0013199C"/>
    <w:rsid w:val="001319BB"/>
    <w:rsid w:val="00131C24"/>
    <w:rsid w:val="00131F8C"/>
    <w:rsid w:val="001322B2"/>
    <w:rsid w:val="00132318"/>
    <w:rsid w:val="00132360"/>
    <w:rsid w:val="00132427"/>
    <w:rsid w:val="001324E6"/>
    <w:rsid w:val="0013252C"/>
    <w:rsid w:val="001327E2"/>
    <w:rsid w:val="00132826"/>
    <w:rsid w:val="00132A5B"/>
    <w:rsid w:val="00132B42"/>
    <w:rsid w:val="00132BBE"/>
    <w:rsid w:val="00132BF0"/>
    <w:rsid w:val="00132D13"/>
    <w:rsid w:val="00132D6F"/>
    <w:rsid w:val="00132EE9"/>
    <w:rsid w:val="00132F59"/>
    <w:rsid w:val="00132F69"/>
    <w:rsid w:val="001331DA"/>
    <w:rsid w:val="0013329F"/>
    <w:rsid w:val="001332DA"/>
    <w:rsid w:val="001334E6"/>
    <w:rsid w:val="00133633"/>
    <w:rsid w:val="00133634"/>
    <w:rsid w:val="0013369F"/>
    <w:rsid w:val="001337CE"/>
    <w:rsid w:val="0013384E"/>
    <w:rsid w:val="001339D5"/>
    <w:rsid w:val="00133A5B"/>
    <w:rsid w:val="00133B8D"/>
    <w:rsid w:val="00133D20"/>
    <w:rsid w:val="00133DD3"/>
    <w:rsid w:val="00133E4B"/>
    <w:rsid w:val="00133E68"/>
    <w:rsid w:val="00133EE4"/>
    <w:rsid w:val="00133EFE"/>
    <w:rsid w:val="00133F55"/>
    <w:rsid w:val="00133F61"/>
    <w:rsid w:val="00133F92"/>
    <w:rsid w:val="00133FDA"/>
    <w:rsid w:val="001340E0"/>
    <w:rsid w:val="00134209"/>
    <w:rsid w:val="001342D1"/>
    <w:rsid w:val="001343B4"/>
    <w:rsid w:val="0013447A"/>
    <w:rsid w:val="0013457A"/>
    <w:rsid w:val="001345DF"/>
    <w:rsid w:val="001345E7"/>
    <w:rsid w:val="00134756"/>
    <w:rsid w:val="001347F3"/>
    <w:rsid w:val="0013489B"/>
    <w:rsid w:val="00134915"/>
    <w:rsid w:val="00134A2C"/>
    <w:rsid w:val="00134A4C"/>
    <w:rsid w:val="00134AC5"/>
    <w:rsid w:val="00134C9C"/>
    <w:rsid w:val="00134D05"/>
    <w:rsid w:val="00134E8C"/>
    <w:rsid w:val="00134E90"/>
    <w:rsid w:val="00135120"/>
    <w:rsid w:val="0013517A"/>
    <w:rsid w:val="00135310"/>
    <w:rsid w:val="00135622"/>
    <w:rsid w:val="00135694"/>
    <w:rsid w:val="00135C6A"/>
    <w:rsid w:val="00135CDA"/>
    <w:rsid w:val="00135DBB"/>
    <w:rsid w:val="0013601B"/>
    <w:rsid w:val="00136114"/>
    <w:rsid w:val="0013611E"/>
    <w:rsid w:val="00136353"/>
    <w:rsid w:val="00136436"/>
    <w:rsid w:val="00136872"/>
    <w:rsid w:val="001368BC"/>
    <w:rsid w:val="00136ACB"/>
    <w:rsid w:val="00136B79"/>
    <w:rsid w:val="00136DB9"/>
    <w:rsid w:val="00136DF5"/>
    <w:rsid w:val="00136E80"/>
    <w:rsid w:val="00137162"/>
    <w:rsid w:val="001372FF"/>
    <w:rsid w:val="00137339"/>
    <w:rsid w:val="00137385"/>
    <w:rsid w:val="001373B6"/>
    <w:rsid w:val="00137463"/>
    <w:rsid w:val="0013758A"/>
    <w:rsid w:val="00137592"/>
    <w:rsid w:val="001375FA"/>
    <w:rsid w:val="001378D1"/>
    <w:rsid w:val="00137925"/>
    <w:rsid w:val="00137A7E"/>
    <w:rsid w:val="00137B8F"/>
    <w:rsid w:val="00137D66"/>
    <w:rsid w:val="00137D6B"/>
    <w:rsid w:val="00137DBC"/>
    <w:rsid w:val="00137FB9"/>
    <w:rsid w:val="0014055C"/>
    <w:rsid w:val="0014057E"/>
    <w:rsid w:val="001407FE"/>
    <w:rsid w:val="0014082D"/>
    <w:rsid w:val="001409DC"/>
    <w:rsid w:val="00140B07"/>
    <w:rsid w:val="00140BCC"/>
    <w:rsid w:val="00140BDE"/>
    <w:rsid w:val="00140C8B"/>
    <w:rsid w:val="00140CB2"/>
    <w:rsid w:val="00140E38"/>
    <w:rsid w:val="001410D7"/>
    <w:rsid w:val="00141168"/>
    <w:rsid w:val="00141259"/>
    <w:rsid w:val="001412DA"/>
    <w:rsid w:val="00141401"/>
    <w:rsid w:val="00141443"/>
    <w:rsid w:val="0014146F"/>
    <w:rsid w:val="00141592"/>
    <w:rsid w:val="001415AC"/>
    <w:rsid w:val="001416A7"/>
    <w:rsid w:val="001417A4"/>
    <w:rsid w:val="00141913"/>
    <w:rsid w:val="001419BA"/>
    <w:rsid w:val="00141A41"/>
    <w:rsid w:val="00141ABC"/>
    <w:rsid w:val="00141ACC"/>
    <w:rsid w:val="00141DA3"/>
    <w:rsid w:val="00141DCD"/>
    <w:rsid w:val="00141DEC"/>
    <w:rsid w:val="00141E4B"/>
    <w:rsid w:val="00141F24"/>
    <w:rsid w:val="00141F56"/>
    <w:rsid w:val="00141FD2"/>
    <w:rsid w:val="00142073"/>
    <w:rsid w:val="0014218F"/>
    <w:rsid w:val="001421EA"/>
    <w:rsid w:val="00142268"/>
    <w:rsid w:val="00142296"/>
    <w:rsid w:val="001423B6"/>
    <w:rsid w:val="001423C6"/>
    <w:rsid w:val="00142462"/>
    <w:rsid w:val="0014251E"/>
    <w:rsid w:val="00142568"/>
    <w:rsid w:val="001425E4"/>
    <w:rsid w:val="00142643"/>
    <w:rsid w:val="001427C5"/>
    <w:rsid w:val="00142884"/>
    <w:rsid w:val="001428BC"/>
    <w:rsid w:val="00142A80"/>
    <w:rsid w:val="00142A91"/>
    <w:rsid w:val="00142BE7"/>
    <w:rsid w:val="00142C10"/>
    <w:rsid w:val="00142CCB"/>
    <w:rsid w:val="00142CFB"/>
    <w:rsid w:val="00142DC1"/>
    <w:rsid w:val="00142E3E"/>
    <w:rsid w:val="00142E7D"/>
    <w:rsid w:val="00142FA2"/>
    <w:rsid w:val="00143106"/>
    <w:rsid w:val="001431B6"/>
    <w:rsid w:val="001431F2"/>
    <w:rsid w:val="0014326C"/>
    <w:rsid w:val="00143336"/>
    <w:rsid w:val="00143398"/>
    <w:rsid w:val="00143685"/>
    <w:rsid w:val="0014374A"/>
    <w:rsid w:val="00143750"/>
    <w:rsid w:val="00143771"/>
    <w:rsid w:val="001437A0"/>
    <w:rsid w:val="001437B4"/>
    <w:rsid w:val="0014398B"/>
    <w:rsid w:val="00143ABA"/>
    <w:rsid w:val="00143AC2"/>
    <w:rsid w:val="00143BA2"/>
    <w:rsid w:val="00143C56"/>
    <w:rsid w:val="00143D93"/>
    <w:rsid w:val="00143ECF"/>
    <w:rsid w:val="00143ED7"/>
    <w:rsid w:val="00143F58"/>
    <w:rsid w:val="00143FB4"/>
    <w:rsid w:val="00143FC2"/>
    <w:rsid w:val="00144065"/>
    <w:rsid w:val="001440A8"/>
    <w:rsid w:val="001440CD"/>
    <w:rsid w:val="00144220"/>
    <w:rsid w:val="00144631"/>
    <w:rsid w:val="00144788"/>
    <w:rsid w:val="00144987"/>
    <w:rsid w:val="00144E7F"/>
    <w:rsid w:val="00144F2C"/>
    <w:rsid w:val="00144F61"/>
    <w:rsid w:val="00144F8A"/>
    <w:rsid w:val="00144FD7"/>
    <w:rsid w:val="00145037"/>
    <w:rsid w:val="0014507F"/>
    <w:rsid w:val="001450F9"/>
    <w:rsid w:val="00145449"/>
    <w:rsid w:val="00145519"/>
    <w:rsid w:val="00145530"/>
    <w:rsid w:val="001455CD"/>
    <w:rsid w:val="001455E9"/>
    <w:rsid w:val="001459FA"/>
    <w:rsid w:val="00145A74"/>
    <w:rsid w:val="00145B41"/>
    <w:rsid w:val="00145B74"/>
    <w:rsid w:val="00145B88"/>
    <w:rsid w:val="00145BDF"/>
    <w:rsid w:val="00145C74"/>
    <w:rsid w:val="00145CBB"/>
    <w:rsid w:val="00145DE1"/>
    <w:rsid w:val="00145E5E"/>
    <w:rsid w:val="00146144"/>
    <w:rsid w:val="001461A7"/>
    <w:rsid w:val="00146330"/>
    <w:rsid w:val="00146399"/>
    <w:rsid w:val="001464CD"/>
    <w:rsid w:val="0014663E"/>
    <w:rsid w:val="00146702"/>
    <w:rsid w:val="001467B6"/>
    <w:rsid w:val="00146A39"/>
    <w:rsid w:val="00146B91"/>
    <w:rsid w:val="00146C0F"/>
    <w:rsid w:val="00146C19"/>
    <w:rsid w:val="00146C4D"/>
    <w:rsid w:val="00146CDB"/>
    <w:rsid w:val="00146DFD"/>
    <w:rsid w:val="00146E28"/>
    <w:rsid w:val="00146E95"/>
    <w:rsid w:val="0014710D"/>
    <w:rsid w:val="0014715C"/>
    <w:rsid w:val="00147166"/>
    <w:rsid w:val="001472C4"/>
    <w:rsid w:val="001474C3"/>
    <w:rsid w:val="00147600"/>
    <w:rsid w:val="001477EC"/>
    <w:rsid w:val="0014797E"/>
    <w:rsid w:val="001479F4"/>
    <w:rsid w:val="00147B1D"/>
    <w:rsid w:val="00147BF4"/>
    <w:rsid w:val="00147E9A"/>
    <w:rsid w:val="00147ECD"/>
    <w:rsid w:val="00150000"/>
    <w:rsid w:val="00150136"/>
    <w:rsid w:val="00150196"/>
    <w:rsid w:val="001501BA"/>
    <w:rsid w:val="00150254"/>
    <w:rsid w:val="00150320"/>
    <w:rsid w:val="001503B3"/>
    <w:rsid w:val="001503F5"/>
    <w:rsid w:val="001505FC"/>
    <w:rsid w:val="0015081A"/>
    <w:rsid w:val="00150911"/>
    <w:rsid w:val="00150A5C"/>
    <w:rsid w:val="00150A96"/>
    <w:rsid w:val="00150B30"/>
    <w:rsid w:val="00150B75"/>
    <w:rsid w:val="00150B91"/>
    <w:rsid w:val="00150C0D"/>
    <w:rsid w:val="00150C4C"/>
    <w:rsid w:val="00150CE4"/>
    <w:rsid w:val="00150CF9"/>
    <w:rsid w:val="00150DCD"/>
    <w:rsid w:val="00150E24"/>
    <w:rsid w:val="00150E26"/>
    <w:rsid w:val="001510DA"/>
    <w:rsid w:val="001511B8"/>
    <w:rsid w:val="00151319"/>
    <w:rsid w:val="0015134C"/>
    <w:rsid w:val="00151580"/>
    <w:rsid w:val="001515BF"/>
    <w:rsid w:val="001515C2"/>
    <w:rsid w:val="00151638"/>
    <w:rsid w:val="0015169C"/>
    <w:rsid w:val="00151BF7"/>
    <w:rsid w:val="00151C65"/>
    <w:rsid w:val="00151D66"/>
    <w:rsid w:val="00152204"/>
    <w:rsid w:val="0015243B"/>
    <w:rsid w:val="00152649"/>
    <w:rsid w:val="00152751"/>
    <w:rsid w:val="001527AC"/>
    <w:rsid w:val="001527DF"/>
    <w:rsid w:val="001528AF"/>
    <w:rsid w:val="001528C3"/>
    <w:rsid w:val="0015294B"/>
    <w:rsid w:val="00152A10"/>
    <w:rsid w:val="00152A7B"/>
    <w:rsid w:val="00152AA5"/>
    <w:rsid w:val="00152BEB"/>
    <w:rsid w:val="00152C17"/>
    <w:rsid w:val="00152D68"/>
    <w:rsid w:val="00152DB2"/>
    <w:rsid w:val="00152DDA"/>
    <w:rsid w:val="00152F38"/>
    <w:rsid w:val="00152FF7"/>
    <w:rsid w:val="00153046"/>
    <w:rsid w:val="0015310C"/>
    <w:rsid w:val="001531A0"/>
    <w:rsid w:val="001531E2"/>
    <w:rsid w:val="0015370C"/>
    <w:rsid w:val="001537C3"/>
    <w:rsid w:val="001537E4"/>
    <w:rsid w:val="00153840"/>
    <w:rsid w:val="0015384B"/>
    <w:rsid w:val="001538E8"/>
    <w:rsid w:val="00153999"/>
    <w:rsid w:val="00153A14"/>
    <w:rsid w:val="00153A87"/>
    <w:rsid w:val="00153ABD"/>
    <w:rsid w:val="00153ADD"/>
    <w:rsid w:val="00153B6A"/>
    <w:rsid w:val="00153BCC"/>
    <w:rsid w:val="00153D0C"/>
    <w:rsid w:val="00153EB9"/>
    <w:rsid w:val="00154016"/>
    <w:rsid w:val="001540EB"/>
    <w:rsid w:val="0015411A"/>
    <w:rsid w:val="0015415C"/>
    <w:rsid w:val="0015423B"/>
    <w:rsid w:val="001542E2"/>
    <w:rsid w:val="0015436A"/>
    <w:rsid w:val="00154382"/>
    <w:rsid w:val="001543AB"/>
    <w:rsid w:val="00154487"/>
    <w:rsid w:val="00154581"/>
    <w:rsid w:val="00154702"/>
    <w:rsid w:val="001547FB"/>
    <w:rsid w:val="00154927"/>
    <w:rsid w:val="0015493E"/>
    <w:rsid w:val="00154BD0"/>
    <w:rsid w:val="00154D63"/>
    <w:rsid w:val="00154F5C"/>
    <w:rsid w:val="001550B8"/>
    <w:rsid w:val="001550C8"/>
    <w:rsid w:val="001550CA"/>
    <w:rsid w:val="0015514F"/>
    <w:rsid w:val="001551EF"/>
    <w:rsid w:val="001551FE"/>
    <w:rsid w:val="00155352"/>
    <w:rsid w:val="00155468"/>
    <w:rsid w:val="001555E9"/>
    <w:rsid w:val="0015569D"/>
    <w:rsid w:val="001558F5"/>
    <w:rsid w:val="00155998"/>
    <w:rsid w:val="00155A32"/>
    <w:rsid w:val="00155B02"/>
    <w:rsid w:val="00155B51"/>
    <w:rsid w:val="00155B97"/>
    <w:rsid w:val="00155C0E"/>
    <w:rsid w:val="00155C3F"/>
    <w:rsid w:val="00155CA6"/>
    <w:rsid w:val="00155DD5"/>
    <w:rsid w:val="001561DA"/>
    <w:rsid w:val="00156329"/>
    <w:rsid w:val="00156402"/>
    <w:rsid w:val="0015649F"/>
    <w:rsid w:val="0015653E"/>
    <w:rsid w:val="00156579"/>
    <w:rsid w:val="001565F8"/>
    <w:rsid w:val="00156784"/>
    <w:rsid w:val="001568EC"/>
    <w:rsid w:val="0015691E"/>
    <w:rsid w:val="00156965"/>
    <w:rsid w:val="00156A04"/>
    <w:rsid w:val="00156C0B"/>
    <w:rsid w:val="00156C1D"/>
    <w:rsid w:val="00156E82"/>
    <w:rsid w:val="00156EEF"/>
    <w:rsid w:val="00156F4D"/>
    <w:rsid w:val="001571AF"/>
    <w:rsid w:val="00157274"/>
    <w:rsid w:val="001572E4"/>
    <w:rsid w:val="001573A9"/>
    <w:rsid w:val="001573E4"/>
    <w:rsid w:val="00157547"/>
    <w:rsid w:val="001576F2"/>
    <w:rsid w:val="00157753"/>
    <w:rsid w:val="0015783A"/>
    <w:rsid w:val="00157871"/>
    <w:rsid w:val="001578D9"/>
    <w:rsid w:val="00157968"/>
    <w:rsid w:val="00157BB8"/>
    <w:rsid w:val="00157D0A"/>
    <w:rsid w:val="00157D8C"/>
    <w:rsid w:val="00157E97"/>
    <w:rsid w:val="00157FFC"/>
    <w:rsid w:val="001600C1"/>
    <w:rsid w:val="001600DC"/>
    <w:rsid w:val="00160237"/>
    <w:rsid w:val="001603F5"/>
    <w:rsid w:val="00160756"/>
    <w:rsid w:val="001608A0"/>
    <w:rsid w:val="00160958"/>
    <w:rsid w:val="001609E0"/>
    <w:rsid w:val="00160A0F"/>
    <w:rsid w:val="00160AE7"/>
    <w:rsid w:val="00160BC9"/>
    <w:rsid w:val="00160D9C"/>
    <w:rsid w:val="00161159"/>
    <w:rsid w:val="001611CC"/>
    <w:rsid w:val="001611FF"/>
    <w:rsid w:val="00161244"/>
    <w:rsid w:val="00161296"/>
    <w:rsid w:val="001612BA"/>
    <w:rsid w:val="001613ED"/>
    <w:rsid w:val="00161415"/>
    <w:rsid w:val="0016146A"/>
    <w:rsid w:val="00161682"/>
    <w:rsid w:val="00161744"/>
    <w:rsid w:val="00161858"/>
    <w:rsid w:val="0016186C"/>
    <w:rsid w:val="001618CC"/>
    <w:rsid w:val="001619B9"/>
    <w:rsid w:val="00161A0E"/>
    <w:rsid w:val="00161CAB"/>
    <w:rsid w:val="00161D02"/>
    <w:rsid w:val="00161D66"/>
    <w:rsid w:val="00161E18"/>
    <w:rsid w:val="00161E73"/>
    <w:rsid w:val="00161E77"/>
    <w:rsid w:val="00162011"/>
    <w:rsid w:val="001622B5"/>
    <w:rsid w:val="00162306"/>
    <w:rsid w:val="001623D9"/>
    <w:rsid w:val="001625D6"/>
    <w:rsid w:val="0016263E"/>
    <w:rsid w:val="001626BC"/>
    <w:rsid w:val="001627D7"/>
    <w:rsid w:val="00162807"/>
    <w:rsid w:val="00162960"/>
    <w:rsid w:val="00162989"/>
    <w:rsid w:val="00162A18"/>
    <w:rsid w:val="00162A4C"/>
    <w:rsid w:val="00162B1B"/>
    <w:rsid w:val="00162C28"/>
    <w:rsid w:val="00162C83"/>
    <w:rsid w:val="00162D08"/>
    <w:rsid w:val="00162D57"/>
    <w:rsid w:val="00162D7D"/>
    <w:rsid w:val="00162E4C"/>
    <w:rsid w:val="00162EE7"/>
    <w:rsid w:val="00162FB3"/>
    <w:rsid w:val="0016316A"/>
    <w:rsid w:val="0016330F"/>
    <w:rsid w:val="001634BD"/>
    <w:rsid w:val="00163672"/>
    <w:rsid w:val="00163695"/>
    <w:rsid w:val="00163710"/>
    <w:rsid w:val="00163754"/>
    <w:rsid w:val="001638E8"/>
    <w:rsid w:val="00163919"/>
    <w:rsid w:val="00163962"/>
    <w:rsid w:val="00163992"/>
    <w:rsid w:val="001639ED"/>
    <w:rsid w:val="00163D85"/>
    <w:rsid w:val="00164014"/>
    <w:rsid w:val="0016408B"/>
    <w:rsid w:val="00164106"/>
    <w:rsid w:val="00164127"/>
    <w:rsid w:val="0016415E"/>
    <w:rsid w:val="001641DE"/>
    <w:rsid w:val="0016428A"/>
    <w:rsid w:val="001642E4"/>
    <w:rsid w:val="001642EC"/>
    <w:rsid w:val="00164406"/>
    <w:rsid w:val="00164501"/>
    <w:rsid w:val="0016450A"/>
    <w:rsid w:val="00164636"/>
    <w:rsid w:val="0016468F"/>
    <w:rsid w:val="001646E7"/>
    <w:rsid w:val="00164867"/>
    <w:rsid w:val="00164949"/>
    <w:rsid w:val="00164B20"/>
    <w:rsid w:val="00164B72"/>
    <w:rsid w:val="00164BA0"/>
    <w:rsid w:val="00164C79"/>
    <w:rsid w:val="00164C9A"/>
    <w:rsid w:val="00164E18"/>
    <w:rsid w:val="00164E27"/>
    <w:rsid w:val="00164ED3"/>
    <w:rsid w:val="00164F38"/>
    <w:rsid w:val="00164F5D"/>
    <w:rsid w:val="0016515A"/>
    <w:rsid w:val="00165202"/>
    <w:rsid w:val="00165364"/>
    <w:rsid w:val="001653A0"/>
    <w:rsid w:val="001653B1"/>
    <w:rsid w:val="001653BA"/>
    <w:rsid w:val="0016558A"/>
    <w:rsid w:val="0016558D"/>
    <w:rsid w:val="00165599"/>
    <w:rsid w:val="00165630"/>
    <w:rsid w:val="00165634"/>
    <w:rsid w:val="00165669"/>
    <w:rsid w:val="001656D6"/>
    <w:rsid w:val="00165941"/>
    <w:rsid w:val="00165A2C"/>
    <w:rsid w:val="00165A40"/>
    <w:rsid w:val="00165B25"/>
    <w:rsid w:val="00165B39"/>
    <w:rsid w:val="00165C64"/>
    <w:rsid w:val="00165D83"/>
    <w:rsid w:val="00165DE5"/>
    <w:rsid w:val="00165E4E"/>
    <w:rsid w:val="0016610B"/>
    <w:rsid w:val="0016615F"/>
    <w:rsid w:val="00166183"/>
    <w:rsid w:val="001661D7"/>
    <w:rsid w:val="00166379"/>
    <w:rsid w:val="0016654A"/>
    <w:rsid w:val="00166740"/>
    <w:rsid w:val="00166880"/>
    <w:rsid w:val="001668C4"/>
    <w:rsid w:val="00166B08"/>
    <w:rsid w:val="00166C53"/>
    <w:rsid w:val="00166D0E"/>
    <w:rsid w:val="00166E1C"/>
    <w:rsid w:val="00166E5F"/>
    <w:rsid w:val="00166EAA"/>
    <w:rsid w:val="00166EDD"/>
    <w:rsid w:val="00166F42"/>
    <w:rsid w:val="00166F4E"/>
    <w:rsid w:val="00166F9F"/>
    <w:rsid w:val="00166FD2"/>
    <w:rsid w:val="00167324"/>
    <w:rsid w:val="001673A1"/>
    <w:rsid w:val="001674B3"/>
    <w:rsid w:val="001674D8"/>
    <w:rsid w:val="001675E3"/>
    <w:rsid w:val="001676BE"/>
    <w:rsid w:val="00167750"/>
    <w:rsid w:val="00167833"/>
    <w:rsid w:val="00167970"/>
    <w:rsid w:val="00167ABF"/>
    <w:rsid w:val="00167D3C"/>
    <w:rsid w:val="00167DB7"/>
    <w:rsid w:val="00167EF1"/>
    <w:rsid w:val="00167EF9"/>
    <w:rsid w:val="00167F31"/>
    <w:rsid w:val="001700AB"/>
    <w:rsid w:val="00170164"/>
    <w:rsid w:val="00170223"/>
    <w:rsid w:val="00170373"/>
    <w:rsid w:val="001703F7"/>
    <w:rsid w:val="0017051D"/>
    <w:rsid w:val="0017054E"/>
    <w:rsid w:val="001705E1"/>
    <w:rsid w:val="0017068F"/>
    <w:rsid w:val="001706E4"/>
    <w:rsid w:val="001707BE"/>
    <w:rsid w:val="00170866"/>
    <w:rsid w:val="00170987"/>
    <w:rsid w:val="001709C5"/>
    <w:rsid w:val="00170B4F"/>
    <w:rsid w:val="00170DCD"/>
    <w:rsid w:val="00170E13"/>
    <w:rsid w:val="0017103C"/>
    <w:rsid w:val="00171068"/>
    <w:rsid w:val="00171138"/>
    <w:rsid w:val="001711CD"/>
    <w:rsid w:val="0017134D"/>
    <w:rsid w:val="0017135F"/>
    <w:rsid w:val="001713F5"/>
    <w:rsid w:val="001714A6"/>
    <w:rsid w:val="0017154C"/>
    <w:rsid w:val="00171591"/>
    <w:rsid w:val="001715D1"/>
    <w:rsid w:val="00171613"/>
    <w:rsid w:val="00171722"/>
    <w:rsid w:val="0017176B"/>
    <w:rsid w:val="001717E3"/>
    <w:rsid w:val="0017181C"/>
    <w:rsid w:val="00171954"/>
    <w:rsid w:val="0017198C"/>
    <w:rsid w:val="00171B29"/>
    <w:rsid w:val="00171B34"/>
    <w:rsid w:val="00171B4A"/>
    <w:rsid w:val="00171C79"/>
    <w:rsid w:val="00171D11"/>
    <w:rsid w:val="00171D87"/>
    <w:rsid w:val="00171F42"/>
    <w:rsid w:val="001720C9"/>
    <w:rsid w:val="001720FF"/>
    <w:rsid w:val="00172182"/>
    <w:rsid w:val="0017218B"/>
    <w:rsid w:val="0017231B"/>
    <w:rsid w:val="00172598"/>
    <w:rsid w:val="00172631"/>
    <w:rsid w:val="001726C2"/>
    <w:rsid w:val="00172807"/>
    <w:rsid w:val="00172834"/>
    <w:rsid w:val="00172919"/>
    <w:rsid w:val="00172942"/>
    <w:rsid w:val="001729B8"/>
    <w:rsid w:val="001729C6"/>
    <w:rsid w:val="00172B65"/>
    <w:rsid w:val="00172B86"/>
    <w:rsid w:val="00172BFA"/>
    <w:rsid w:val="00172C4E"/>
    <w:rsid w:val="00172E67"/>
    <w:rsid w:val="00172E6F"/>
    <w:rsid w:val="00172E87"/>
    <w:rsid w:val="00172ED2"/>
    <w:rsid w:val="00173242"/>
    <w:rsid w:val="001732ED"/>
    <w:rsid w:val="0017331B"/>
    <w:rsid w:val="001734A6"/>
    <w:rsid w:val="001734B7"/>
    <w:rsid w:val="0017356E"/>
    <w:rsid w:val="00173732"/>
    <w:rsid w:val="001737AA"/>
    <w:rsid w:val="001739B9"/>
    <w:rsid w:val="00173A97"/>
    <w:rsid w:val="00173AA6"/>
    <w:rsid w:val="00173B53"/>
    <w:rsid w:val="00173C19"/>
    <w:rsid w:val="00174069"/>
    <w:rsid w:val="001740D5"/>
    <w:rsid w:val="001740E6"/>
    <w:rsid w:val="0017413E"/>
    <w:rsid w:val="00174478"/>
    <w:rsid w:val="00174486"/>
    <w:rsid w:val="00174748"/>
    <w:rsid w:val="001748A5"/>
    <w:rsid w:val="00174A35"/>
    <w:rsid w:val="00174B5C"/>
    <w:rsid w:val="00174CF8"/>
    <w:rsid w:val="00174CFE"/>
    <w:rsid w:val="00174D10"/>
    <w:rsid w:val="00174DA7"/>
    <w:rsid w:val="00174DD8"/>
    <w:rsid w:val="00174E93"/>
    <w:rsid w:val="00174FFB"/>
    <w:rsid w:val="00175005"/>
    <w:rsid w:val="00175103"/>
    <w:rsid w:val="0017513D"/>
    <w:rsid w:val="001751A5"/>
    <w:rsid w:val="001751E0"/>
    <w:rsid w:val="00175215"/>
    <w:rsid w:val="00175256"/>
    <w:rsid w:val="0017536C"/>
    <w:rsid w:val="001754CF"/>
    <w:rsid w:val="0017557B"/>
    <w:rsid w:val="0017572C"/>
    <w:rsid w:val="00175740"/>
    <w:rsid w:val="00175792"/>
    <w:rsid w:val="001758BC"/>
    <w:rsid w:val="001758DA"/>
    <w:rsid w:val="00175A69"/>
    <w:rsid w:val="00175B9E"/>
    <w:rsid w:val="00175C26"/>
    <w:rsid w:val="00175C49"/>
    <w:rsid w:val="00175EF3"/>
    <w:rsid w:val="00175EF8"/>
    <w:rsid w:val="00176056"/>
    <w:rsid w:val="001761A0"/>
    <w:rsid w:val="001761C5"/>
    <w:rsid w:val="0017620D"/>
    <w:rsid w:val="0017623D"/>
    <w:rsid w:val="00176249"/>
    <w:rsid w:val="001762B4"/>
    <w:rsid w:val="00176306"/>
    <w:rsid w:val="00176558"/>
    <w:rsid w:val="0017677B"/>
    <w:rsid w:val="0017688C"/>
    <w:rsid w:val="00176A21"/>
    <w:rsid w:val="00176A88"/>
    <w:rsid w:val="00176B67"/>
    <w:rsid w:val="00176BBC"/>
    <w:rsid w:val="00176C1A"/>
    <w:rsid w:val="00176D02"/>
    <w:rsid w:val="00176D2A"/>
    <w:rsid w:val="00176E2F"/>
    <w:rsid w:val="00176FE7"/>
    <w:rsid w:val="00177253"/>
    <w:rsid w:val="001774A3"/>
    <w:rsid w:val="001774BB"/>
    <w:rsid w:val="001775B9"/>
    <w:rsid w:val="0017761E"/>
    <w:rsid w:val="00177704"/>
    <w:rsid w:val="00177741"/>
    <w:rsid w:val="0017786A"/>
    <w:rsid w:val="001778BE"/>
    <w:rsid w:val="00177993"/>
    <w:rsid w:val="00177B10"/>
    <w:rsid w:val="00177B48"/>
    <w:rsid w:val="00177CCA"/>
    <w:rsid w:val="0018006A"/>
    <w:rsid w:val="00180246"/>
    <w:rsid w:val="001802BC"/>
    <w:rsid w:val="001802C8"/>
    <w:rsid w:val="001803E0"/>
    <w:rsid w:val="0018042A"/>
    <w:rsid w:val="001804F9"/>
    <w:rsid w:val="00180578"/>
    <w:rsid w:val="00180936"/>
    <w:rsid w:val="00180A03"/>
    <w:rsid w:val="00180A50"/>
    <w:rsid w:val="00180B79"/>
    <w:rsid w:val="00180BDE"/>
    <w:rsid w:val="00180C34"/>
    <w:rsid w:val="00180C7A"/>
    <w:rsid w:val="00180C88"/>
    <w:rsid w:val="00180D38"/>
    <w:rsid w:val="00180D79"/>
    <w:rsid w:val="00180E40"/>
    <w:rsid w:val="00180E7A"/>
    <w:rsid w:val="00180EDB"/>
    <w:rsid w:val="00181086"/>
    <w:rsid w:val="001811AD"/>
    <w:rsid w:val="001811D5"/>
    <w:rsid w:val="0018127A"/>
    <w:rsid w:val="00181552"/>
    <w:rsid w:val="001818B4"/>
    <w:rsid w:val="001818D3"/>
    <w:rsid w:val="00181969"/>
    <w:rsid w:val="001819E6"/>
    <w:rsid w:val="001819E7"/>
    <w:rsid w:val="001819EB"/>
    <w:rsid w:val="00181A16"/>
    <w:rsid w:val="00181A41"/>
    <w:rsid w:val="00181AB5"/>
    <w:rsid w:val="00181CC2"/>
    <w:rsid w:val="00181CE6"/>
    <w:rsid w:val="00181CEC"/>
    <w:rsid w:val="00181D17"/>
    <w:rsid w:val="00181DC8"/>
    <w:rsid w:val="00181E52"/>
    <w:rsid w:val="00181E53"/>
    <w:rsid w:val="00181E98"/>
    <w:rsid w:val="00181F50"/>
    <w:rsid w:val="001820F0"/>
    <w:rsid w:val="001821DF"/>
    <w:rsid w:val="001821E1"/>
    <w:rsid w:val="00182290"/>
    <w:rsid w:val="0018243F"/>
    <w:rsid w:val="001827AB"/>
    <w:rsid w:val="00182805"/>
    <w:rsid w:val="00182846"/>
    <w:rsid w:val="001828D0"/>
    <w:rsid w:val="001828FA"/>
    <w:rsid w:val="00182919"/>
    <w:rsid w:val="00182A6D"/>
    <w:rsid w:val="00182A9D"/>
    <w:rsid w:val="00182D75"/>
    <w:rsid w:val="00182ED3"/>
    <w:rsid w:val="00183135"/>
    <w:rsid w:val="00183319"/>
    <w:rsid w:val="00183487"/>
    <w:rsid w:val="001834D1"/>
    <w:rsid w:val="00183666"/>
    <w:rsid w:val="001836A3"/>
    <w:rsid w:val="001836B7"/>
    <w:rsid w:val="001836FD"/>
    <w:rsid w:val="00183913"/>
    <w:rsid w:val="00183A37"/>
    <w:rsid w:val="00183B77"/>
    <w:rsid w:val="00183CA3"/>
    <w:rsid w:val="00183D75"/>
    <w:rsid w:val="00183E16"/>
    <w:rsid w:val="00183E51"/>
    <w:rsid w:val="00183E78"/>
    <w:rsid w:val="0018414E"/>
    <w:rsid w:val="0018419F"/>
    <w:rsid w:val="001841D5"/>
    <w:rsid w:val="0018429F"/>
    <w:rsid w:val="001845B4"/>
    <w:rsid w:val="00184605"/>
    <w:rsid w:val="001846FD"/>
    <w:rsid w:val="00184778"/>
    <w:rsid w:val="00184791"/>
    <w:rsid w:val="00184B9A"/>
    <w:rsid w:val="00184C45"/>
    <w:rsid w:val="00184D40"/>
    <w:rsid w:val="00184F0D"/>
    <w:rsid w:val="0018503F"/>
    <w:rsid w:val="00185189"/>
    <w:rsid w:val="0018533E"/>
    <w:rsid w:val="001853D9"/>
    <w:rsid w:val="0018566B"/>
    <w:rsid w:val="00185838"/>
    <w:rsid w:val="001858C6"/>
    <w:rsid w:val="00185B23"/>
    <w:rsid w:val="00185BC8"/>
    <w:rsid w:val="00185C6D"/>
    <w:rsid w:val="00185C88"/>
    <w:rsid w:val="00185DBA"/>
    <w:rsid w:val="00185F34"/>
    <w:rsid w:val="00185FDF"/>
    <w:rsid w:val="001860BB"/>
    <w:rsid w:val="001862DD"/>
    <w:rsid w:val="00186341"/>
    <w:rsid w:val="001863A8"/>
    <w:rsid w:val="00186476"/>
    <w:rsid w:val="00186508"/>
    <w:rsid w:val="0018659C"/>
    <w:rsid w:val="001865F2"/>
    <w:rsid w:val="001866D1"/>
    <w:rsid w:val="001866F6"/>
    <w:rsid w:val="00186735"/>
    <w:rsid w:val="00186767"/>
    <w:rsid w:val="001869B5"/>
    <w:rsid w:val="00186A2B"/>
    <w:rsid w:val="00186B77"/>
    <w:rsid w:val="00186D3D"/>
    <w:rsid w:val="00186D65"/>
    <w:rsid w:val="00186D6C"/>
    <w:rsid w:val="00186E39"/>
    <w:rsid w:val="00186E77"/>
    <w:rsid w:val="00186F47"/>
    <w:rsid w:val="00186FBC"/>
    <w:rsid w:val="00186FE1"/>
    <w:rsid w:val="0018720F"/>
    <w:rsid w:val="00187304"/>
    <w:rsid w:val="001873C3"/>
    <w:rsid w:val="00187420"/>
    <w:rsid w:val="0018755B"/>
    <w:rsid w:val="001875EE"/>
    <w:rsid w:val="001876A8"/>
    <w:rsid w:val="001876BE"/>
    <w:rsid w:val="00187849"/>
    <w:rsid w:val="00187990"/>
    <w:rsid w:val="00187A3C"/>
    <w:rsid w:val="00187A4A"/>
    <w:rsid w:val="00187B90"/>
    <w:rsid w:val="00187C57"/>
    <w:rsid w:val="00187D88"/>
    <w:rsid w:val="0019009E"/>
    <w:rsid w:val="0019015C"/>
    <w:rsid w:val="0019021E"/>
    <w:rsid w:val="001902FD"/>
    <w:rsid w:val="001903D0"/>
    <w:rsid w:val="00190469"/>
    <w:rsid w:val="001904A8"/>
    <w:rsid w:val="001904D8"/>
    <w:rsid w:val="00190792"/>
    <w:rsid w:val="001907F9"/>
    <w:rsid w:val="001908EE"/>
    <w:rsid w:val="001909AA"/>
    <w:rsid w:val="00190A4D"/>
    <w:rsid w:val="00190A79"/>
    <w:rsid w:val="00190A98"/>
    <w:rsid w:val="00190B7C"/>
    <w:rsid w:val="00190BD7"/>
    <w:rsid w:val="00190CEE"/>
    <w:rsid w:val="00190D72"/>
    <w:rsid w:val="00190F3A"/>
    <w:rsid w:val="00191075"/>
    <w:rsid w:val="001910B7"/>
    <w:rsid w:val="001910EA"/>
    <w:rsid w:val="00191112"/>
    <w:rsid w:val="00191147"/>
    <w:rsid w:val="0019116E"/>
    <w:rsid w:val="001911E4"/>
    <w:rsid w:val="001911ED"/>
    <w:rsid w:val="00191250"/>
    <w:rsid w:val="001912F7"/>
    <w:rsid w:val="001912FA"/>
    <w:rsid w:val="001912FE"/>
    <w:rsid w:val="001913BD"/>
    <w:rsid w:val="00191414"/>
    <w:rsid w:val="0019158C"/>
    <w:rsid w:val="00191659"/>
    <w:rsid w:val="001917A0"/>
    <w:rsid w:val="00191889"/>
    <w:rsid w:val="001919CE"/>
    <w:rsid w:val="00191B3C"/>
    <w:rsid w:val="00191BAC"/>
    <w:rsid w:val="00191C21"/>
    <w:rsid w:val="00191C2A"/>
    <w:rsid w:val="0019247C"/>
    <w:rsid w:val="00192560"/>
    <w:rsid w:val="0019272F"/>
    <w:rsid w:val="00192744"/>
    <w:rsid w:val="00192796"/>
    <w:rsid w:val="001927B4"/>
    <w:rsid w:val="001928CA"/>
    <w:rsid w:val="001928E8"/>
    <w:rsid w:val="00192F4D"/>
    <w:rsid w:val="00193004"/>
    <w:rsid w:val="00193178"/>
    <w:rsid w:val="001931A3"/>
    <w:rsid w:val="001932A4"/>
    <w:rsid w:val="001933DD"/>
    <w:rsid w:val="001933E6"/>
    <w:rsid w:val="001934C1"/>
    <w:rsid w:val="0019357A"/>
    <w:rsid w:val="001935A8"/>
    <w:rsid w:val="001935AB"/>
    <w:rsid w:val="001936C3"/>
    <w:rsid w:val="0019382B"/>
    <w:rsid w:val="00193869"/>
    <w:rsid w:val="00193969"/>
    <w:rsid w:val="00193B54"/>
    <w:rsid w:val="00193BDE"/>
    <w:rsid w:val="00193D04"/>
    <w:rsid w:val="00193FC7"/>
    <w:rsid w:val="00194079"/>
    <w:rsid w:val="001940B1"/>
    <w:rsid w:val="0019411B"/>
    <w:rsid w:val="0019415B"/>
    <w:rsid w:val="0019417C"/>
    <w:rsid w:val="00194280"/>
    <w:rsid w:val="0019447C"/>
    <w:rsid w:val="001944D6"/>
    <w:rsid w:val="001945D4"/>
    <w:rsid w:val="001945E6"/>
    <w:rsid w:val="0019465D"/>
    <w:rsid w:val="00194751"/>
    <w:rsid w:val="001947F5"/>
    <w:rsid w:val="00194809"/>
    <w:rsid w:val="001948C5"/>
    <w:rsid w:val="001948D4"/>
    <w:rsid w:val="00194B41"/>
    <w:rsid w:val="00194B9B"/>
    <w:rsid w:val="00194BC7"/>
    <w:rsid w:val="00194C9C"/>
    <w:rsid w:val="00194CD1"/>
    <w:rsid w:val="00194D5D"/>
    <w:rsid w:val="00194D86"/>
    <w:rsid w:val="00194DFB"/>
    <w:rsid w:val="00194E87"/>
    <w:rsid w:val="00194F03"/>
    <w:rsid w:val="00194FC5"/>
    <w:rsid w:val="00194FF2"/>
    <w:rsid w:val="0019526A"/>
    <w:rsid w:val="00195401"/>
    <w:rsid w:val="00195418"/>
    <w:rsid w:val="00195533"/>
    <w:rsid w:val="0019553B"/>
    <w:rsid w:val="0019573A"/>
    <w:rsid w:val="001957C0"/>
    <w:rsid w:val="001958AB"/>
    <w:rsid w:val="00195B34"/>
    <w:rsid w:val="00195CBB"/>
    <w:rsid w:val="00195D6C"/>
    <w:rsid w:val="00195D94"/>
    <w:rsid w:val="00196026"/>
    <w:rsid w:val="00196173"/>
    <w:rsid w:val="001962C8"/>
    <w:rsid w:val="0019631B"/>
    <w:rsid w:val="001964E4"/>
    <w:rsid w:val="001964F7"/>
    <w:rsid w:val="0019655C"/>
    <w:rsid w:val="0019658C"/>
    <w:rsid w:val="001965BE"/>
    <w:rsid w:val="001965F1"/>
    <w:rsid w:val="00196620"/>
    <w:rsid w:val="001966E0"/>
    <w:rsid w:val="00196834"/>
    <w:rsid w:val="00196901"/>
    <w:rsid w:val="001969AD"/>
    <w:rsid w:val="00196A94"/>
    <w:rsid w:val="00196B89"/>
    <w:rsid w:val="00196BB7"/>
    <w:rsid w:val="00196D7D"/>
    <w:rsid w:val="00196DF3"/>
    <w:rsid w:val="00196E66"/>
    <w:rsid w:val="0019713D"/>
    <w:rsid w:val="001971D0"/>
    <w:rsid w:val="001972EC"/>
    <w:rsid w:val="0019751B"/>
    <w:rsid w:val="00197543"/>
    <w:rsid w:val="001975FB"/>
    <w:rsid w:val="001976A8"/>
    <w:rsid w:val="0019771F"/>
    <w:rsid w:val="00197731"/>
    <w:rsid w:val="00197759"/>
    <w:rsid w:val="00197810"/>
    <w:rsid w:val="0019784A"/>
    <w:rsid w:val="0019784D"/>
    <w:rsid w:val="00197BEB"/>
    <w:rsid w:val="00197C71"/>
    <w:rsid w:val="00197CB5"/>
    <w:rsid w:val="00197D09"/>
    <w:rsid w:val="00197D36"/>
    <w:rsid w:val="00197E52"/>
    <w:rsid w:val="00197F52"/>
    <w:rsid w:val="00197FB6"/>
    <w:rsid w:val="001A005D"/>
    <w:rsid w:val="001A006A"/>
    <w:rsid w:val="001A0211"/>
    <w:rsid w:val="001A0212"/>
    <w:rsid w:val="001A02C3"/>
    <w:rsid w:val="001A031D"/>
    <w:rsid w:val="001A0333"/>
    <w:rsid w:val="001A04F4"/>
    <w:rsid w:val="001A0567"/>
    <w:rsid w:val="001A0627"/>
    <w:rsid w:val="001A07E8"/>
    <w:rsid w:val="001A083A"/>
    <w:rsid w:val="001A0852"/>
    <w:rsid w:val="001A088B"/>
    <w:rsid w:val="001A08E3"/>
    <w:rsid w:val="001A0A7C"/>
    <w:rsid w:val="001A0A96"/>
    <w:rsid w:val="001A0B96"/>
    <w:rsid w:val="001A0E38"/>
    <w:rsid w:val="001A0E40"/>
    <w:rsid w:val="001A0F7C"/>
    <w:rsid w:val="001A0FBF"/>
    <w:rsid w:val="001A1004"/>
    <w:rsid w:val="001A1055"/>
    <w:rsid w:val="001A10F7"/>
    <w:rsid w:val="001A13D0"/>
    <w:rsid w:val="001A150C"/>
    <w:rsid w:val="001A158F"/>
    <w:rsid w:val="001A1918"/>
    <w:rsid w:val="001A194D"/>
    <w:rsid w:val="001A1A11"/>
    <w:rsid w:val="001A1B27"/>
    <w:rsid w:val="001A1B42"/>
    <w:rsid w:val="001A1B7E"/>
    <w:rsid w:val="001A1BA4"/>
    <w:rsid w:val="001A1BBD"/>
    <w:rsid w:val="001A1C28"/>
    <w:rsid w:val="001A1E5D"/>
    <w:rsid w:val="001A1ECE"/>
    <w:rsid w:val="001A1F15"/>
    <w:rsid w:val="001A1F4E"/>
    <w:rsid w:val="001A2001"/>
    <w:rsid w:val="001A2073"/>
    <w:rsid w:val="001A221C"/>
    <w:rsid w:val="001A2323"/>
    <w:rsid w:val="001A23BF"/>
    <w:rsid w:val="001A23EE"/>
    <w:rsid w:val="001A245E"/>
    <w:rsid w:val="001A25B2"/>
    <w:rsid w:val="001A2606"/>
    <w:rsid w:val="001A27F5"/>
    <w:rsid w:val="001A29E0"/>
    <w:rsid w:val="001A2A74"/>
    <w:rsid w:val="001A2AF8"/>
    <w:rsid w:val="001A2B23"/>
    <w:rsid w:val="001A2BFC"/>
    <w:rsid w:val="001A2C51"/>
    <w:rsid w:val="001A2D50"/>
    <w:rsid w:val="001A2D9E"/>
    <w:rsid w:val="001A2E88"/>
    <w:rsid w:val="001A2FEE"/>
    <w:rsid w:val="001A306C"/>
    <w:rsid w:val="001A3081"/>
    <w:rsid w:val="001A30D3"/>
    <w:rsid w:val="001A31D6"/>
    <w:rsid w:val="001A31D7"/>
    <w:rsid w:val="001A3398"/>
    <w:rsid w:val="001A345D"/>
    <w:rsid w:val="001A354F"/>
    <w:rsid w:val="001A35DD"/>
    <w:rsid w:val="001A3612"/>
    <w:rsid w:val="001A36B9"/>
    <w:rsid w:val="001A36F7"/>
    <w:rsid w:val="001A38AC"/>
    <w:rsid w:val="001A39A9"/>
    <w:rsid w:val="001A3AAB"/>
    <w:rsid w:val="001A3B26"/>
    <w:rsid w:val="001A3C71"/>
    <w:rsid w:val="001A3F1C"/>
    <w:rsid w:val="001A3F78"/>
    <w:rsid w:val="001A407A"/>
    <w:rsid w:val="001A410A"/>
    <w:rsid w:val="001A4141"/>
    <w:rsid w:val="001A4305"/>
    <w:rsid w:val="001A4306"/>
    <w:rsid w:val="001A43FF"/>
    <w:rsid w:val="001A45DD"/>
    <w:rsid w:val="001A4730"/>
    <w:rsid w:val="001A475C"/>
    <w:rsid w:val="001A49EB"/>
    <w:rsid w:val="001A49F5"/>
    <w:rsid w:val="001A4B7F"/>
    <w:rsid w:val="001A4C5E"/>
    <w:rsid w:val="001A4DAA"/>
    <w:rsid w:val="001A4DB8"/>
    <w:rsid w:val="001A4F1E"/>
    <w:rsid w:val="001A4F1F"/>
    <w:rsid w:val="001A4F2A"/>
    <w:rsid w:val="001A4F6C"/>
    <w:rsid w:val="001A4FB4"/>
    <w:rsid w:val="001A51E7"/>
    <w:rsid w:val="001A5258"/>
    <w:rsid w:val="001A5355"/>
    <w:rsid w:val="001A562F"/>
    <w:rsid w:val="001A5646"/>
    <w:rsid w:val="001A579F"/>
    <w:rsid w:val="001A57E9"/>
    <w:rsid w:val="001A5800"/>
    <w:rsid w:val="001A58EE"/>
    <w:rsid w:val="001A5927"/>
    <w:rsid w:val="001A5B8D"/>
    <w:rsid w:val="001A5C36"/>
    <w:rsid w:val="001A5F1C"/>
    <w:rsid w:val="001A60B9"/>
    <w:rsid w:val="001A620E"/>
    <w:rsid w:val="001A626F"/>
    <w:rsid w:val="001A636B"/>
    <w:rsid w:val="001A65E8"/>
    <w:rsid w:val="001A65FB"/>
    <w:rsid w:val="001A6601"/>
    <w:rsid w:val="001A66F2"/>
    <w:rsid w:val="001A6703"/>
    <w:rsid w:val="001A6B39"/>
    <w:rsid w:val="001A6BFD"/>
    <w:rsid w:val="001A6D8C"/>
    <w:rsid w:val="001A6DB1"/>
    <w:rsid w:val="001A6DB3"/>
    <w:rsid w:val="001A6F45"/>
    <w:rsid w:val="001A6F51"/>
    <w:rsid w:val="001A72CB"/>
    <w:rsid w:val="001A72CC"/>
    <w:rsid w:val="001A74A6"/>
    <w:rsid w:val="001A758E"/>
    <w:rsid w:val="001A770C"/>
    <w:rsid w:val="001A782E"/>
    <w:rsid w:val="001A78DF"/>
    <w:rsid w:val="001A7AF5"/>
    <w:rsid w:val="001A7B1A"/>
    <w:rsid w:val="001A7B54"/>
    <w:rsid w:val="001A7BDD"/>
    <w:rsid w:val="001A7BE6"/>
    <w:rsid w:val="001A7C83"/>
    <w:rsid w:val="001A7C93"/>
    <w:rsid w:val="001A7D3E"/>
    <w:rsid w:val="001A7F30"/>
    <w:rsid w:val="001A7FD6"/>
    <w:rsid w:val="001B00D3"/>
    <w:rsid w:val="001B0283"/>
    <w:rsid w:val="001B03C2"/>
    <w:rsid w:val="001B045D"/>
    <w:rsid w:val="001B04A9"/>
    <w:rsid w:val="001B0514"/>
    <w:rsid w:val="001B0638"/>
    <w:rsid w:val="001B06CC"/>
    <w:rsid w:val="001B0721"/>
    <w:rsid w:val="001B0731"/>
    <w:rsid w:val="001B09D3"/>
    <w:rsid w:val="001B0A2F"/>
    <w:rsid w:val="001B0A33"/>
    <w:rsid w:val="001B0C86"/>
    <w:rsid w:val="001B0DEF"/>
    <w:rsid w:val="001B0EE9"/>
    <w:rsid w:val="001B0FCF"/>
    <w:rsid w:val="001B0FF0"/>
    <w:rsid w:val="001B13B8"/>
    <w:rsid w:val="001B13D8"/>
    <w:rsid w:val="001B1465"/>
    <w:rsid w:val="001B1510"/>
    <w:rsid w:val="001B16C8"/>
    <w:rsid w:val="001B17E8"/>
    <w:rsid w:val="001B17F0"/>
    <w:rsid w:val="001B19EB"/>
    <w:rsid w:val="001B1AAB"/>
    <w:rsid w:val="001B1BA8"/>
    <w:rsid w:val="001B1BDC"/>
    <w:rsid w:val="001B1CCC"/>
    <w:rsid w:val="001B1D10"/>
    <w:rsid w:val="001B1D1B"/>
    <w:rsid w:val="001B1DB8"/>
    <w:rsid w:val="001B1DDF"/>
    <w:rsid w:val="001B1E83"/>
    <w:rsid w:val="001B2097"/>
    <w:rsid w:val="001B2250"/>
    <w:rsid w:val="001B2262"/>
    <w:rsid w:val="001B2360"/>
    <w:rsid w:val="001B2489"/>
    <w:rsid w:val="001B27B0"/>
    <w:rsid w:val="001B2819"/>
    <w:rsid w:val="001B2887"/>
    <w:rsid w:val="001B2942"/>
    <w:rsid w:val="001B2959"/>
    <w:rsid w:val="001B2981"/>
    <w:rsid w:val="001B2A18"/>
    <w:rsid w:val="001B2A22"/>
    <w:rsid w:val="001B2AA7"/>
    <w:rsid w:val="001B2BC7"/>
    <w:rsid w:val="001B2CD2"/>
    <w:rsid w:val="001B2D08"/>
    <w:rsid w:val="001B2D67"/>
    <w:rsid w:val="001B2DB9"/>
    <w:rsid w:val="001B2E65"/>
    <w:rsid w:val="001B2E69"/>
    <w:rsid w:val="001B31C0"/>
    <w:rsid w:val="001B3298"/>
    <w:rsid w:val="001B34AF"/>
    <w:rsid w:val="001B3511"/>
    <w:rsid w:val="001B3568"/>
    <w:rsid w:val="001B36AB"/>
    <w:rsid w:val="001B3719"/>
    <w:rsid w:val="001B3747"/>
    <w:rsid w:val="001B3845"/>
    <w:rsid w:val="001B39CC"/>
    <w:rsid w:val="001B39E5"/>
    <w:rsid w:val="001B3AF0"/>
    <w:rsid w:val="001B3B77"/>
    <w:rsid w:val="001B3BAC"/>
    <w:rsid w:val="001B3BD5"/>
    <w:rsid w:val="001B3C49"/>
    <w:rsid w:val="001B3CEE"/>
    <w:rsid w:val="001B3E52"/>
    <w:rsid w:val="001B402B"/>
    <w:rsid w:val="001B403C"/>
    <w:rsid w:val="001B407F"/>
    <w:rsid w:val="001B4302"/>
    <w:rsid w:val="001B44D8"/>
    <w:rsid w:val="001B4585"/>
    <w:rsid w:val="001B4594"/>
    <w:rsid w:val="001B4709"/>
    <w:rsid w:val="001B4822"/>
    <w:rsid w:val="001B48B3"/>
    <w:rsid w:val="001B48C1"/>
    <w:rsid w:val="001B4910"/>
    <w:rsid w:val="001B49AB"/>
    <w:rsid w:val="001B4A77"/>
    <w:rsid w:val="001B4BAC"/>
    <w:rsid w:val="001B4BAE"/>
    <w:rsid w:val="001B4C51"/>
    <w:rsid w:val="001B4C85"/>
    <w:rsid w:val="001B4C93"/>
    <w:rsid w:val="001B4F20"/>
    <w:rsid w:val="001B501C"/>
    <w:rsid w:val="001B52D4"/>
    <w:rsid w:val="001B53E1"/>
    <w:rsid w:val="001B5428"/>
    <w:rsid w:val="001B5441"/>
    <w:rsid w:val="001B55B2"/>
    <w:rsid w:val="001B5833"/>
    <w:rsid w:val="001B5A3A"/>
    <w:rsid w:val="001B5A41"/>
    <w:rsid w:val="001B5AE4"/>
    <w:rsid w:val="001B5BA7"/>
    <w:rsid w:val="001B5C8C"/>
    <w:rsid w:val="001B5D82"/>
    <w:rsid w:val="001B60EF"/>
    <w:rsid w:val="001B6184"/>
    <w:rsid w:val="001B6229"/>
    <w:rsid w:val="001B6362"/>
    <w:rsid w:val="001B6368"/>
    <w:rsid w:val="001B638E"/>
    <w:rsid w:val="001B6432"/>
    <w:rsid w:val="001B64AF"/>
    <w:rsid w:val="001B6601"/>
    <w:rsid w:val="001B6645"/>
    <w:rsid w:val="001B6664"/>
    <w:rsid w:val="001B66BF"/>
    <w:rsid w:val="001B6740"/>
    <w:rsid w:val="001B69F2"/>
    <w:rsid w:val="001B6A14"/>
    <w:rsid w:val="001B6AFA"/>
    <w:rsid w:val="001B6B10"/>
    <w:rsid w:val="001B6B76"/>
    <w:rsid w:val="001B6C02"/>
    <w:rsid w:val="001B6C29"/>
    <w:rsid w:val="001B6CAE"/>
    <w:rsid w:val="001B6E4F"/>
    <w:rsid w:val="001B6E7E"/>
    <w:rsid w:val="001B7072"/>
    <w:rsid w:val="001B70B5"/>
    <w:rsid w:val="001B70D2"/>
    <w:rsid w:val="001B72BE"/>
    <w:rsid w:val="001B73C1"/>
    <w:rsid w:val="001B73C5"/>
    <w:rsid w:val="001B74D5"/>
    <w:rsid w:val="001B7591"/>
    <w:rsid w:val="001B75F8"/>
    <w:rsid w:val="001B76E2"/>
    <w:rsid w:val="001B783B"/>
    <w:rsid w:val="001B787B"/>
    <w:rsid w:val="001B78D6"/>
    <w:rsid w:val="001B78DC"/>
    <w:rsid w:val="001B79B3"/>
    <w:rsid w:val="001B79C8"/>
    <w:rsid w:val="001B7B38"/>
    <w:rsid w:val="001B7BF1"/>
    <w:rsid w:val="001B7C40"/>
    <w:rsid w:val="001B7EEB"/>
    <w:rsid w:val="001B7F89"/>
    <w:rsid w:val="001C00D7"/>
    <w:rsid w:val="001C015F"/>
    <w:rsid w:val="001C01F4"/>
    <w:rsid w:val="001C0239"/>
    <w:rsid w:val="001C028A"/>
    <w:rsid w:val="001C02AC"/>
    <w:rsid w:val="001C04D5"/>
    <w:rsid w:val="001C04E7"/>
    <w:rsid w:val="001C081D"/>
    <w:rsid w:val="001C0983"/>
    <w:rsid w:val="001C09C1"/>
    <w:rsid w:val="001C0A6B"/>
    <w:rsid w:val="001C0B08"/>
    <w:rsid w:val="001C0B0A"/>
    <w:rsid w:val="001C0C12"/>
    <w:rsid w:val="001C0C9A"/>
    <w:rsid w:val="001C0EA5"/>
    <w:rsid w:val="001C0F86"/>
    <w:rsid w:val="001C0FDC"/>
    <w:rsid w:val="001C0FE8"/>
    <w:rsid w:val="001C1066"/>
    <w:rsid w:val="001C1092"/>
    <w:rsid w:val="001C1224"/>
    <w:rsid w:val="001C12DE"/>
    <w:rsid w:val="001C12FA"/>
    <w:rsid w:val="001C130A"/>
    <w:rsid w:val="001C1523"/>
    <w:rsid w:val="001C180E"/>
    <w:rsid w:val="001C1888"/>
    <w:rsid w:val="001C1A5E"/>
    <w:rsid w:val="001C1AEC"/>
    <w:rsid w:val="001C1BFF"/>
    <w:rsid w:val="001C1C68"/>
    <w:rsid w:val="001C1C8A"/>
    <w:rsid w:val="001C1CB8"/>
    <w:rsid w:val="001C1CC6"/>
    <w:rsid w:val="001C1DD5"/>
    <w:rsid w:val="001C1F76"/>
    <w:rsid w:val="001C20F6"/>
    <w:rsid w:val="001C21EE"/>
    <w:rsid w:val="001C22C7"/>
    <w:rsid w:val="001C24A2"/>
    <w:rsid w:val="001C2654"/>
    <w:rsid w:val="001C268B"/>
    <w:rsid w:val="001C2747"/>
    <w:rsid w:val="001C27DB"/>
    <w:rsid w:val="001C2BB0"/>
    <w:rsid w:val="001C2FB1"/>
    <w:rsid w:val="001C2FD3"/>
    <w:rsid w:val="001C314E"/>
    <w:rsid w:val="001C31E5"/>
    <w:rsid w:val="001C32B2"/>
    <w:rsid w:val="001C32F0"/>
    <w:rsid w:val="001C3412"/>
    <w:rsid w:val="001C3416"/>
    <w:rsid w:val="001C347E"/>
    <w:rsid w:val="001C357F"/>
    <w:rsid w:val="001C35D7"/>
    <w:rsid w:val="001C37B2"/>
    <w:rsid w:val="001C387C"/>
    <w:rsid w:val="001C38A7"/>
    <w:rsid w:val="001C3A8C"/>
    <w:rsid w:val="001C3A94"/>
    <w:rsid w:val="001C3AD8"/>
    <w:rsid w:val="001C3B4A"/>
    <w:rsid w:val="001C3B7E"/>
    <w:rsid w:val="001C3C70"/>
    <w:rsid w:val="001C3D23"/>
    <w:rsid w:val="001C3D46"/>
    <w:rsid w:val="001C3DA4"/>
    <w:rsid w:val="001C3E4C"/>
    <w:rsid w:val="001C3EE6"/>
    <w:rsid w:val="001C41FA"/>
    <w:rsid w:val="001C424D"/>
    <w:rsid w:val="001C42DB"/>
    <w:rsid w:val="001C43CE"/>
    <w:rsid w:val="001C43F1"/>
    <w:rsid w:val="001C4440"/>
    <w:rsid w:val="001C44F2"/>
    <w:rsid w:val="001C46C9"/>
    <w:rsid w:val="001C476A"/>
    <w:rsid w:val="001C4817"/>
    <w:rsid w:val="001C48EE"/>
    <w:rsid w:val="001C4929"/>
    <w:rsid w:val="001C49DF"/>
    <w:rsid w:val="001C4A2F"/>
    <w:rsid w:val="001C4A4C"/>
    <w:rsid w:val="001C4BB1"/>
    <w:rsid w:val="001C4C46"/>
    <w:rsid w:val="001C4D7C"/>
    <w:rsid w:val="001C4E25"/>
    <w:rsid w:val="001C4ECA"/>
    <w:rsid w:val="001C4F14"/>
    <w:rsid w:val="001C4FBB"/>
    <w:rsid w:val="001C5052"/>
    <w:rsid w:val="001C50FF"/>
    <w:rsid w:val="001C51C2"/>
    <w:rsid w:val="001C52A1"/>
    <w:rsid w:val="001C5387"/>
    <w:rsid w:val="001C548F"/>
    <w:rsid w:val="001C54C7"/>
    <w:rsid w:val="001C5582"/>
    <w:rsid w:val="001C573F"/>
    <w:rsid w:val="001C57C3"/>
    <w:rsid w:val="001C5936"/>
    <w:rsid w:val="001C5991"/>
    <w:rsid w:val="001C59B3"/>
    <w:rsid w:val="001C5C39"/>
    <w:rsid w:val="001C5C95"/>
    <w:rsid w:val="001C5CD2"/>
    <w:rsid w:val="001C5E96"/>
    <w:rsid w:val="001C5EF2"/>
    <w:rsid w:val="001C5F1D"/>
    <w:rsid w:val="001C5F8C"/>
    <w:rsid w:val="001C5FF6"/>
    <w:rsid w:val="001C604A"/>
    <w:rsid w:val="001C60AD"/>
    <w:rsid w:val="001C61DB"/>
    <w:rsid w:val="001C6210"/>
    <w:rsid w:val="001C6399"/>
    <w:rsid w:val="001C63D9"/>
    <w:rsid w:val="001C661A"/>
    <w:rsid w:val="001C668C"/>
    <w:rsid w:val="001C66AC"/>
    <w:rsid w:val="001C66DE"/>
    <w:rsid w:val="001C67AD"/>
    <w:rsid w:val="001C6A4A"/>
    <w:rsid w:val="001C6B31"/>
    <w:rsid w:val="001C6BC6"/>
    <w:rsid w:val="001C6D91"/>
    <w:rsid w:val="001C6E25"/>
    <w:rsid w:val="001C6EB2"/>
    <w:rsid w:val="001C6F2D"/>
    <w:rsid w:val="001C709B"/>
    <w:rsid w:val="001C7367"/>
    <w:rsid w:val="001C75C2"/>
    <w:rsid w:val="001C75C9"/>
    <w:rsid w:val="001C7742"/>
    <w:rsid w:val="001C77FA"/>
    <w:rsid w:val="001C79E9"/>
    <w:rsid w:val="001C7A5A"/>
    <w:rsid w:val="001C7AE6"/>
    <w:rsid w:val="001C7BA6"/>
    <w:rsid w:val="001C7BC9"/>
    <w:rsid w:val="001C7C8E"/>
    <w:rsid w:val="001C7CB9"/>
    <w:rsid w:val="001C7CF4"/>
    <w:rsid w:val="001C7FC6"/>
    <w:rsid w:val="001D0056"/>
    <w:rsid w:val="001D0196"/>
    <w:rsid w:val="001D0207"/>
    <w:rsid w:val="001D0281"/>
    <w:rsid w:val="001D04CC"/>
    <w:rsid w:val="001D05B4"/>
    <w:rsid w:val="001D0737"/>
    <w:rsid w:val="001D097E"/>
    <w:rsid w:val="001D0A77"/>
    <w:rsid w:val="001D0B18"/>
    <w:rsid w:val="001D0BE6"/>
    <w:rsid w:val="001D0CEB"/>
    <w:rsid w:val="001D0D84"/>
    <w:rsid w:val="001D0E15"/>
    <w:rsid w:val="001D0E41"/>
    <w:rsid w:val="001D0FB8"/>
    <w:rsid w:val="001D1131"/>
    <w:rsid w:val="001D1141"/>
    <w:rsid w:val="001D117F"/>
    <w:rsid w:val="001D123A"/>
    <w:rsid w:val="001D1361"/>
    <w:rsid w:val="001D13ED"/>
    <w:rsid w:val="001D13FF"/>
    <w:rsid w:val="001D156D"/>
    <w:rsid w:val="001D15FF"/>
    <w:rsid w:val="001D1649"/>
    <w:rsid w:val="001D167C"/>
    <w:rsid w:val="001D1862"/>
    <w:rsid w:val="001D18FD"/>
    <w:rsid w:val="001D191B"/>
    <w:rsid w:val="001D197F"/>
    <w:rsid w:val="001D1A0A"/>
    <w:rsid w:val="001D1ABB"/>
    <w:rsid w:val="001D1B1A"/>
    <w:rsid w:val="001D1CBD"/>
    <w:rsid w:val="001D1D44"/>
    <w:rsid w:val="001D1D7E"/>
    <w:rsid w:val="001D1E42"/>
    <w:rsid w:val="001D1F33"/>
    <w:rsid w:val="001D2021"/>
    <w:rsid w:val="001D20C5"/>
    <w:rsid w:val="001D20F7"/>
    <w:rsid w:val="001D21C5"/>
    <w:rsid w:val="001D22FB"/>
    <w:rsid w:val="001D23C2"/>
    <w:rsid w:val="001D2423"/>
    <w:rsid w:val="001D24F3"/>
    <w:rsid w:val="001D26D2"/>
    <w:rsid w:val="001D277A"/>
    <w:rsid w:val="001D284B"/>
    <w:rsid w:val="001D285F"/>
    <w:rsid w:val="001D28CE"/>
    <w:rsid w:val="001D2922"/>
    <w:rsid w:val="001D2A69"/>
    <w:rsid w:val="001D2AED"/>
    <w:rsid w:val="001D307B"/>
    <w:rsid w:val="001D30A7"/>
    <w:rsid w:val="001D318C"/>
    <w:rsid w:val="001D32D1"/>
    <w:rsid w:val="001D3323"/>
    <w:rsid w:val="001D33B2"/>
    <w:rsid w:val="001D3539"/>
    <w:rsid w:val="001D35BA"/>
    <w:rsid w:val="001D36C4"/>
    <w:rsid w:val="001D370D"/>
    <w:rsid w:val="001D38A7"/>
    <w:rsid w:val="001D3913"/>
    <w:rsid w:val="001D395E"/>
    <w:rsid w:val="001D3982"/>
    <w:rsid w:val="001D3DF9"/>
    <w:rsid w:val="001D3EC7"/>
    <w:rsid w:val="001D3EEC"/>
    <w:rsid w:val="001D3FDF"/>
    <w:rsid w:val="001D410C"/>
    <w:rsid w:val="001D44F3"/>
    <w:rsid w:val="001D4788"/>
    <w:rsid w:val="001D47D9"/>
    <w:rsid w:val="001D496B"/>
    <w:rsid w:val="001D4B1B"/>
    <w:rsid w:val="001D4BD5"/>
    <w:rsid w:val="001D4E43"/>
    <w:rsid w:val="001D4FC4"/>
    <w:rsid w:val="001D5078"/>
    <w:rsid w:val="001D50C5"/>
    <w:rsid w:val="001D5183"/>
    <w:rsid w:val="001D5253"/>
    <w:rsid w:val="001D529E"/>
    <w:rsid w:val="001D537D"/>
    <w:rsid w:val="001D53A6"/>
    <w:rsid w:val="001D5928"/>
    <w:rsid w:val="001D597E"/>
    <w:rsid w:val="001D59C9"/>
    <w:rsid w:val="001D5A24"/>
    <w:rsid w:val="001D5ACD"/>
    <w:rsid w:val="001D5C16"/>
    <w:rsid w:val="001D5C6B"/>
    <w:rsid w:val="001D5E64"/>
    <w:rsid w:val="001D6082"/>
    <w:rsid w:val="001D61F3"/>
    <w:rsid w:val="001D63AE"/>
    <w:rsid w:val="001D63C8"/>
    <w:rsid w:val="001D643F"/>
    <w:rsid w:val="001D659C"/>
    <w:rsid w:val="001D6604"/>
    <w:rsid w:val="001D6746"/>
    <w:rsid w:val="001D6747"/>
    <w:rsid w:val="001D67A1"/>
    <w:rsid w:val="001D67CE"/>
    <w:rsid w:val="001D6AE6"/>
    <w:rsid w:val="001D6B30"/>
    <w:rsid w:val="001D6CFE"/>
    <w:rsid w:val="001D6CFF"/>
    <w:rsid w:val="001D6D80"/>
    <w:rsid w:val="001D6F13"/>
    <w:rsid w:val="001D6F46"/>
    <w:rsid w:val="001D6FE4"/>
    <w:rsid w:val="001D7089"/>
    <w:rsid w:val="001D72F8"/>
    <w:rsid w:val="001D74C6"/>
    <w:rsid w:val="001D74CE"/>
    <w:rsid w:val="001D7508"/>
    <w:rsid w:val="001D7551"/>
    <w:rsid w:val="001D7568"/>
    <w:rsid w:val="001D7577"/>
    <w:rsid w:val="001D77A1"/>
    <w:rsid w:val="001D7886"/>
    <w:rsid w:val="001D7CDC"/>
    <w:rsid w:val="001D7DD3"/>
    <w:rsid w:val="001D7E1A"/>
    <w:rsid w:val="001D7E57"/>
    <w:rsid w:val="001D7E82"/>
    <w:rsid w:val="001D7FDC"/>
    <w:rsid w:val="001E0019"/>
    <w:rsid w:val="001E0085"/>
    <w:rsid w:val="001E0097"/>
    <w:rsid w:val="001E00A9"/>
    <w:rsid w:val="001E0398"/>
    <w:rsid w:val="001E050A"/>
    <w:rsid w:val="001E05DB"/>
    <w:rsid w:val="001E0620"/>
    <w:rsid w:val="001E0653"/>
    <w:rsid w:val="001E0738"/>
    <w:rsid w:val="001E0796"/>
    <w:rsid w:val="001E08DD"/>
    <w:rsid w:val="001E09F0"/>
    <w:rsid w:val="001E0B5D"/>
    <w:rsid w:val="001E0BD5"/>
    <w:rsid w:val="001E0E15"/>
    <w:rsid w:val="001E0ED3"/>
    <w:rsid w:val="001E0F43"/>
    <w:rsid w:val="001E10EC"/>
    <w:rsid w:val="001E111A"/>
    <w:rsid w:val="001E129D"/>
    <w:rsid w:val="001E195F"/>
    <w:rsid w:val="001E1A14"/>
    <w:rsid w:val="001E1A66"/>
    <w:rsid w:val="001E1C02"/>
    <w:rsid w:val="001E1C30"/>
    <w:rsid w:val="001E1D04"/>
    <w:rsid w:val="001E1D49"/>
    <w:rsid w:val="001E1D9D"/>
    <w:rsid w:val="001E1E6C"/>
    <w:rsid w:val="001E1EAD"/>
    <w:rsid w:val="001E1EEA"/>
    <w:rsid w:val="001E2003"/>
    <w:rsid w:val="001E20F2"/>
    <w:rsid w:val="001E25EF"/>
    <w:rsid w:val="001E2669"/>
    <w:rsid w:val="001E26C1"/>
    <w:rsid w:val="001E2787"/>
    <w:rsid w:val="001E292B"/>
    <w:rsid w:val="001E2A11"/>
    <w:rsid w:val="001E2A98"/>
    <w:rsid w:val="001E2CA1"/>
    <w:rsid w:val="001E2EC5"/>
    <w:rsid w:val="001E32C2"/>
    <w:rsid w:val="001E33A3"/>
    <w:rsid w:val="001E33B2"/>
    <w:rsid w:val="001E3528"/>
    <w:rsid w:val="001E352B"/>
    <w:rsid w:val="001E3592"/>
    <w:rsid w:val="001E36BC"/>
    <w:rsid w:val="001E36E2"/>
    <w:rsid w:val="001E38AC"/>
    <w:rsid w:val="001E395D"/>
    <w:rsid w:val="001E3966"/>
    <w:rsid w:val="001E3A09"/>
    <w:rsid w:val="001E3A89"/>
    <w:rsid w:val="001E3C31"/>
    <w:rsid w:val="001E3C40"/>
    <w:rsid w:val="001E3C61"/>
    <w:rsid w:val="001E3DBA"/>
    <w:rsid w:val="001E3DFC"/>
    <w:rsid w:val="001E3EC3"/>
    <w:rsid w:val="001E3FC5"/>
    <w:rsid w:val="001E3FD7"/>
    <w:rsid w:val="001E3FE9"/>
    <w:rsid w:val="001E3FEB"/>
    <w:rsid w:val="001E4063"/>
    <w:rsid w:val="001E40FA"/>
    <w:rsid w:val="001E4139"/>
    <w:rsid w:val="001E41AE"/>
    <w:rsid w:val="001E41D7"/>
    <w:rsid w:val="001E466E"/>
    <w:rsid w:val="001E46C9"/>
    <w:rsid w:val="001E46FA"/>
    <w:rsid w:val="001E49BC"/>
    <w:rsid w:val="001E49E7"/>
    <w:rsid w:val="001E4CD4"/>
    <w:rsid w:val="001E4EF5"/>
    <w:rsid w:val="001E4F93"/>
    <w:rsid w:val="001E4FCE"/>
    <w:rsid w:val="001E5164"/>
    <w:rsid w:val="001E571B"/>
    <w:rsid w:val="001E5730"/>
    <w:rsid w:val="001E5765"/>
    <w:rsid w:val="001E5910"/>
    <w:rsid w:val="001E5B08"/>
    <w:rsid w:val="001E5C6D"/>
    <w:rsid w:val="001E5E9B"/>
    <w:rsid w:val="001E5EBA"/>
    <w:rsid w:val="001E5FAC"/>
    <w:rsid w:val="001E60E1"/>
    <w:rsid w:val="001E6283"/>
    <w:rsid w:val="001E62DF"/>
    <w:rsid w:val="001E64B5"/>
    <w:rsid w:val="001E65C6"/>
    <w:rsid w:val="001E6788"/>
    <w:rsid w:val="001E67F0"/>
    <w:rsid w:val="001E6AF4"/>
    <w:rsid w:val="001E6C22"/>
    <w:rsid w:val="001E6C41"/>
    <w:rsid w:val="001E6C6D"/>
    <w:rsid w:val="001E6E79"/>
    <w:rsid w:val="001E6E99"/>
    <w:rsid w:val="001E6ECF"/>
    <w:rsid w:val="001E6FD3"/>
    <w:rsid w:val="001E7069"/>
    <w:rsid w:val="001E70D0"/>
    <w:rsid w:val="001E70F2"/>
    <w:rsid w:val="001E71B9"/>
    <w:rsid w:val="001E71C1"/>
    <w:rsid w:val="001E7271"/>
    <w:rsid w:val="001E7273"/>
    <w:rsid w:val="001E729A"/>
    <w:rsid w:val="001E7320"/>
    <w:rsid w:val="001E735A"/>
    <w:rsid w:val="001E739F"/>
    <w:rsid w:val="001E7429"/>
    <w:rsid w:val="001E7483"/>
    <w:rsid w:val="001E7543"/>
    <w:rsid w:val="001E7571"/>
    <w:rsid w:val="001E7798"/>
    <w:rsid w:val="001E77ED"/>
    <w:rsid w:val="001E77EF"/>
    <w:rsid w:val="001E789E"/>
    <w:rsid w:val="001E78A1"/>
    <w:rsid w:val="001E7913"/>
    <w:rsid w:val="001E7B00"/>
    <w:rsid w:val="001E7B87"/>
    <w:rsid w:val="001E7BFB"/>
    <w:rsid w:val="001E7C6C"/>
    <w:rsid w:val="001E7CBA"/>
    <w:rsid w:val="001E7DB8"/>
    <w:rsid w:val="001E7DE7"/>
    <w:rsid w:val="001E7E75"/>
    <w:rsid w:val="001F0026"/>
    <w:rsid w:val="001F00BC"/>
    <w:rsid w:val="001F00DD"/>
    <w:rsid w:val="001F0109"/>
    <w:rsid w:val="001F03D3"/>
    <w:rsid w:val="001F0416"/>
    <w:rsid w:val="001F0449"/>
    <w:rsid w:val="001F0614"/>
    <w:rsid w:val="001F0836"/>
    <w:rsid w:val="001F0868"/>
    <w:rsid w:val="001F097C"/>
    <w:rsid w:val="001F09A2"/>
    <w:rsid w:val="001F0A75"/>
    <w:rsid w:val="001F0C16"/>
    <w:rsid w:val="001F0DF1"/>
    <w:rsid w:val="001F0E1A"/>
    <w:rsid w:val="001F103C"/>
    <w:rsid w:val="001F1073"/>
    <w:rsid w:val="001F1084"/>
    <w:rsid w:val="001F10BF"/>
    <w:rsid w:val="001F1335"/>
    <w:rsid w:val="001F1438"/>
    <w:rsid w:val="001F15D3"/>
    <w:rsid w:val="001F1721"/>
    <w:rsid w:val="001F17BB"/>
    <w:rsid w:val="001F1896"/>
    <w:rsid w:val="001F1937"/>
    <w:rsid w:val="001F1AA5"/>
    <w:rsid w:val="001F1AD4"/>
    <w:rsid w:val="001F1AFF"/>
    <w:rsid w:val="001F1B2C"/>
    <w:rsid w:val="001F1C4A"/>
    <w:rsid w:val="001F1C66"/>
    <w:rsid w:val="001F1C7D"/>
    <w:rsid w:val="001F1CC0"/>
    <w:rsid w:val="001F1CD1"/>
    <w:rsid w:val="001F1DC2"/>
    <w:rsid w:val="001F1E2B"/>
    <w:rsid w:val="001F1EAB"/>
    <w:rsid w:val="001F1F83"/>
    <w:rsid w:val="001F1FD9"/>
    <w:rsid w:val="001F20C4"/>
    <w:rsid w:val="001F2145"/>
    <w:rsid w:val="001F21D2"/>
    <w:rsid w:val="001F23B5"/>
    <w:rsid w:val="001F264F"/>
    <w:rsid w:val="001F2689"/>
    <w:rsid w:val="001F2749"/>
    <w:rsid w:val="001F28D4"/>
    <w:rsid w:val="001F2A36"/>
    <w:rsid w:val="001F2AAC"/>
    <w:rsid w:val="001F2AD0"/>
    <w:rsid w:val="001F2C07"/>
    <w:rsid w:val="001F2EED"/>
    <w:rsid w:val="001F2F1D"/>
    <w:rsid w:val="001F2F4B"/>
    <w:rsid w:val="001F2FF1"/>
    <w:rsid w:val="001F30F4"/>
    <w:rsid w:val="001F313C"/>
    <w:rsid w:val="001F3202"/>
    <w:rsid w:val="001F3231"/>
    <w:rsid w:val="001F329B"/>
    <w:rsid w:val="001F32EC"/>
    <w:rsid w:val="001F33DA"/>
    <w:rsid w:val="001F35A2"/>
    <w:rsid w:val="001F35F4"/>
    <w:rsid w:val="001F3623"/>
    <w:rsid w:val="001F37A4"/>
    <w:rsid w:val="001F37C8"/>
    <w:rsid w:val="001F383D"/>
    <w:rsid w:val="001F385F"/>
    <w:rsid w:val="001F395F"/>
    <w:rsid w:val="001F3BB6"/>
    <w:rsid w:val="001F3BEC"/>
    <w:rsid w:val="001F3C36"/>
    <w:rsid w:val="001F3C5B"/>
    <w:rsid w:val="001F3D5F"/>
    <w:rsid w:val="001F3E29"/>
    <w:rsid w:val="001F3E9F"/>
    <w:rsid w:val="001F3FC6"/>
    <w:rsid w:val="001F3FF0"/>
    <w:rsid w:val="001F42DD"/>
    <w:rsid w:val="001F44EE"/>
    <w:rsid w:val="001F4520"/>
    <w:rsid w:val="001F4524"/>
    <w:rsid w:val="001F457A"/>
    <w:rsid w:val="001F458B"/>
    <w:rsid w:val="001F46DC"/>
    <w:rsid w:val="001F4774"/>
    <w:rsid w:val="001F4931"/>
    <w:rsid w:val="001F4BC8"/>
    <w:rsid w:val="001F4CD5"/>
    <w:rsid w:val="001F4D8B"/>
    <w:rsid w:val="001F4E8B"/>
    <w:rsid w:val="001F50AB"/>
    <w:rsid w:val="001F5135"/>
    <w:rsid w:val="001F5168"/>
    <w:rsid w:val="001F5597"/>
    <w:rsid w:val="001F578E"/>
    <w:rsid w:val="001F5829"/>
    <w:rsid w:val="001F59D4"/>
    <w:rsid w:val="001F5B33"/>
    <w:rsid w:val="001F5B59"/>
    <w:rsid w:val="001F5C3A"/>
    <w:rsid w:val="001F5C57"/>
    <w:rsid w:val="001F5CFB"/>
    <w:rsid w:val="001F5D95"/>
    <w:rsid w:val="001F5E6D"/>
    <w:rsid w:val="001F5E78"/>
    <w:rsid w:val="001F5F83"/>
    <w:rsid w:val="001F5FA5"/>
    <w:rsid w:val="001F5FB3"/>
    <w:rsid w:val="001F5FFC"/>
    <w:rsid w:val="001F6024"/>
    <w:rsid w:val="001F616B"/>
    <w:rsid w:val="001F627A"/>
    <w:rsid w:val="001F6281"/>
    <w:rsid w:val="001F658A"/>
    <w:rsid w:val="001F65FE"/>
    <w:rsid w:val="001F664C"/>
    <w:rsid w:val="001F66A6"/>
    <w:rsid w:val="001F675D"/>
    <w:rsid w:val="001F68A5"/>
    <w:rsid w:val="001F6956"/>
    <w:rsid w:val="001F696C"/>
    <w:rsid w:val="001F6C81"/>
    <w:rsid w:val="001F6E21"/>
    <w:rsid w:val="001F6F4E"/>
    <w:rsid w:val="001F70AE"/>
    <w:rsid w:val="001F718C"/>
    <w:rsid w:val="001F73D1"/>
    <w:rsid w:val="001F75A7"/>
    <w:rsid w:val="001F7615"/>
    <w:rsid w:val="001F769F"/>
    <w:rsid w:val="001F779E"/>
    <w:rsid w:val="001F7845"/>
    <w:rsid w:val="001F791F"/>
    <w:rsid w:val="001F7968"/>
    <w:rsid w:val="001F798A"/>
    <w:rsid w:val="001F7A0F"/>
    <w:rsid w:val="001F7CAD"/>
    <w:rsid w:val="001F7CF1"/>
    <w:rsid w:val="001F7DE1"/>
    <w:rsid w:val="001F7EE3"/>
    <w:rsid w:val="001F7EE5"/>
    <w:rsid w:val="001F7EEC"/>
    <w:rsid w:val="001F7FED"/>
    <w:rsid w:val="001F7FF8"/>
    <w:rsid w:val="002002B9"/>
    <w:rsid w:val="00200385"/>
    <w:rsid w:val="002003FE"/>
    <w:rsid w:val="002004E8"/>
    <w:rsid w:val="0020052D"/>
    <w:rsid w:val="0020062C"/>
    <w:rsid w:val="002007DB"/>
    <w:rsid w:val="002009B1"/>
    <w:rsid w:val="00200A5C"/>
    <w:rsid w:val="00200B50"/>
    <w:rsid w:val="00200BE3"/>
    <w:rsid w:val="00200C4C"/>
    <w:rsid w:val="00200C94"/>
    <w:rsid w:val="00200CAC"/>
    <w:rsid w:val="00200CBA"/>
    <w:rsid w:val="00200CCB"/>
    <w:rsid w:val="00200D09"/>
    <w:rsid w:val="00201168"/>
    <w:rsid w:val="002011C4"/>
    <w:rsid w:val="002011CC"/>
    <w:rsid w:val="00201456"/>
    <w:rsid w:val="002017D5"/>
    <w:rsid w:val="0020186C"/>
    <w:rsid w:val="002018B0"/>
    <w:rsid w:val="00201959"/>
    <w:rsid w:val="00201984"/>
    <w:rsid w:val="002019FE"/>
    <w:rsid w:val="00201A97"/>
    <w:rsid w:val="00201AA4"/>
    <w:rsid w:val="00201B7B"/>
    <w:rsid w:val="00201B85"/>
    <w:rsid w:val="00201F5E"/>
    <w:rsid w:val="00202031"/>
    <w:rsid w:val="00202067"/>
    <w:rsid w:val="002020F7"/>
    <w:rsid w:val="00202254"/>
    <w:rsid w:val="002022CF"/>
    <w:rsid w:val="002022FA"/>
    <w:rsid w:val="002023BC"/>
    <w:rsid w:val="0020241A"/>
    <w:rsid w:val="002024A6"/>
    <w:rsid w:val="002025CB"/>
    <w:rsid w:val="00202640"/>
    <w:rsid w:val="00202662"/>
    <w:rsid w:val="002026C4"/>
    <w:rsid w:val="00202852"/>
    <w:rsid w:val="002029AA"/>
    <w:rsid w:val="00202A59"/>
    <w:rsid w:val="00202D05"/>
    <w:rsid w:val="00202DE8"/>
    <w:rsid w:val="002031BC"/>
    <w:rsid w:val="002031C1"/>
    <w:rsid w:val="00203242"/>
    <w:rsid w:val="002032A5"/>
    <w:rsid w:val="002034FC"/>
    <w:rsid w:val="0020355F"/>
    <w:rsid w:val="0020359A"/>
    <w:rsid w:val="00203640"/>
    <w:rsid w:val="00203647"/>
    <w:rsid w:val="002036D1"/>
    <w:rsid w:val="0020370E"/>
    <w:rsid w:val="00203918"/>
    <w:rsid w:val="002039E5"/>
    <w:rsid w:val="00203A29"/>
    <w:rsid w:val="00203B14"/>
    <w:rsid w:val="00203B85"/>
    <w:rsid w:val="00203BAD"/>
    <w:rsid w:val="00203C55"/>
    <w:rsid w:val="002041DE"/>
    <w:rsid w:val="00204252"/>
    <w:rsid w:val="00204302"/>
    <w:rsid w:val="00204333"/>
    <w:rsid w:val="00204382"/>
    <w:rsid w:val="00204508"/>
    <w:rsid w:val="00204572"/>
    <w:rsid w:val="00204735"/>
    <w:rsid w:val="00204739"/>
    <w:rsid w:val="00204841"/>
    <w:rsid w:val="00204944"/>
    <w:rsid w:val="00204AFC"/>
    <w:rsid w:val="00204B2F"/>
    <w:rsid w:val="00204BD7"/>
    <w:rsid w:val="00204CD7"/>
    <w:rsid w:val="00204D8A"/>
    <w:rsid w:val="00204F7F"/>
    <w:rsid w:val="0020502E"/>
    <w:rsid w:val="002050A7"/>
    <w:rsid w:val="00205143"/>
    <w:rsid w:val="00205183"/>
    <w:rsid w:val="0020537A"/>
    <w:rsid w:val="002054C6"/>
    <w:rsid w:val="00205567"/>
    <w:rsid w:val="00205676"/>
    <w:rsid w:val="0020568F"/>
    <w:rsid w:val="0020574C"/>
    <w:rsid w:val="00205780"/>
    <w:rsid w:val="00205937"/>
    <w:rsid w:val="00205999"/>
    <w:rsid w:val="00205A06"/>
    <w:rsid w:val="00205ADB"/>
    <w:rsid w:val="00205B36"/>
    <w:rsid w:val="00205C55"/>
    <w:rsid w:val="00205C61"/>
    <w:rsid w:val="00205C78"/>
    <w:rsid w:val="00205D29"/>
    <w:rsid w:val="00205D82"/>
    <w:rsid w:val="00205E00"/>
    <w:rsid w:val="00205E7E"/>
    <w:rsid w:val="00205F40"/>
    <w:rsid w:val="00205F99"/>
    <w:rsid w:val="002060F5"/>
    <w:rsid w:val="00206288"/>
    <w:rsid w:val="00206319"/>
    <w:rsid w:val="00206402"/>
    <w:rsid w:val="002064F8"/>
    <w:rsid w:val="0020651C"/>
    <w:rsid w:val="0020656E"/>
    <w:rsid w:val="002065B0"/>
    <w:rsid w:val="0020661A"/>
    <w:rsid w:val="00206A4B"/>
    <w:rsid w:val="00206A5E"/>
    <w:rsid w:val="00206AAC"/>
    <w:rsid w:val="00206B0D"/>
    <w:rsid w:val="00206B19"/>
    <w:rsid w:val="00206EBE"/>
    <w:rsid w:val="00206ED7"/>
    <w:rsid w:val="00206EEA"/>
    <w:rsid w:val="00206F10"/>
    <w:rsid w:val="00207002"/>
    <w:rsid w:val="00207134"/>
    <w:rsid w:val="0020717F"/>
    <w:rsid w:val="002072CD"/>
    <w:rsid w:val="00207425"/>
    <w:rsid w:val="002074D2"/>
    <w:rsid w:val="002075B8"/>
    <w:rsid w:val="0020767D"/>
    <w:rsid w:val="002076FD"/>
    <w:rsid w:val="0020770B"/>
    <w:rsid w:val="0020770F"/>
    <w:rsid w:val="00207740"/>
    <w:rsid w:val="0020789E"/>
    <w:rsid w:val="002078E5"/>
    <w:rsid w:val="00207B09"/>
    <w:rsid w:val="00207B80"/>
    <w:rsid w:val="00207C2E"/>
    <w:rsid w:val="00207C63"/>
    <w:rsid w:val="00207C88"/>
    <w:rsid w:val="00207D0D"/>
    <w:rsid w:val="00207DBF"/>
    <w:rsid w:val="00207F45"/>
    <w:rsid w:val="00207F51"/>
    <w:rsid w:val="002100B9"/>
    <w:rsid w:val="0021015D"/>
    <w:rsid w:val="002101EC"/>
    <w:rsid w:val="00210212"/>
    <w:rsid w:val="00210268"/>
    <w:rsid w:val="0021026A"/>
    <w:rsid w:val="0021033D"/>
    <w:rsid w:val="00210393"/>
    <w:rsid w:val="00210496"/>
    <w:rsid w:val="002104C3"/>
    <w:rsid w:val="002105F7"/>
    <w:rsid w:val="00210642"/>
    <w:rsid w:val="00210761"/>
    <w:rsid w:val="002107F6"/>
    <w:rsid w:val="00210940"/>
    <w:rsid w:val="00210947"/>
    <w:rsid w:val="00210978"/>
    <w:rsid w:val="00210980"/>
    <w:rsid w:val="002109BC"/>
    <w:rsid w:val="00210A3D"/>
    <w:rsid w:val="00210AF5"/>
    <w:rsid w:val="00210B1C"/>
    <w:rsid w:val="00210B56"/>
    <w:rsid w:val="00210C1B"/>
    <w:rsid w:val="00210D87"/>
    <w:rsid w:val="00210DDA"/>
    <w:rsid w:val="0021100A"/>
    <w:rsid w:val="00211050"/>
    <w:rsid w:val="00211119"/>
    <w:rsid w:val="00211131"/>
    <w:rsid w:val="0021123A"/>
    <w:rsid w:val="002112BF"/>
    <w:rsid w:val="0021149A"/>
    <w:rsid w:val="002115B5"/>
    <w:rsid w:val="00211641"/>
    <w:rsid w:val="0021183B"/>
    <w:rsid w:val="002118C0"/>
    <w:rsid w:val="00211936"/>
    <w:rsid w:val="00211941"/>
    <w:rsid w:val="00211A5B"/>
    <w:rsid w:val="00211AC8"/>
    <w:rsid w:val="00211B53"/>
    <w:rsid w:val="00211E85"/>
    <w:rsid w:val="00211F5A"/>
    <w:rsid w:val="00211F63"/>
    <w:rsid w:val="00211FBD"/>
    <w:rsid w:val="002120CD"/>
    <w:rsid w:val="002120F2"/>
    <w:rsid w:val="002123A6"/>
    <w:rsid w:val="002123AC"/>
    <w:rsid w:val="0021250D"/>
    <w:rsid w:val="00212694"/>
    <w:rsid w:val="002127AB"/>
    <w:rsid w:val="00212968"/>
    <w:rsid w:val="00212A82"/>
    <w:rsid w:val="00212CB9"/>
    <w:rsid w:val="00212F6E"/>
    <w:rsid w:val="0021329C"/>
    <w:rsid w:val="0021345B"/>
    <w:rsid w:val="00213493"/>
    <w:rsid w:val="00213877"/>
    <w:rsid w:val="00213920"/>
    <w:rsid w:val="0021393D"/>
    <w:rsid w:val="002139FA"/>
    <w:rsid w:val="00213A18"/>
    <w:rsid w:val="00213A78"/>
    <w:rsid w:val="00213A9E"/>
    <w:rsid w:val="00213AE7"/>
    <w:rsid w:val="00213C25"/>
    <w:rsid w:val="00213D7A"/>
    <w:rsid w:val="00213DDF"/>
    <w:rsid w:val="00213F9F"/>
    <w:rsid w:val="00213FE1"/>
    <w:rsid w:val="00214046"/>
    <w:rsid w:val="002141A6"/>
    <w:rsid w:val="002141F0"/>
    <w:rsid w:val="002144A2"/>
    <w:rsid w:val="002144E7"/>
    <w:rsid w:val="002144F9"/>
    <w:rsid w:val="00214632"/>
    <w:rsid w:val="00214773"/>
    <w:rsid w:val="00214807"/>
    <w:rsid w:val="00214828"/>
    <w:rsid w:val="00214892"/>
    <w:rsid w:val="00214A6E"/>
    <w:rsid w:val="00214A91"/>
    <w:rsid w:val="00214C96"/>
    <w:rsid w:val="00214D33"/>
    <w:rsid w:val="00214E9D"/>
    <w:rsid w:val="00214EF3"/>
    <w:rsid w:val="00215265"/>
    <w:rsid w:val="00215433"/>
    <w:rsid w:val="002155B6"/>
    <w:rsid w:val="002156EA"/>
    <w:rsid w:val="002157EE"/>
    <w:rsid w:val="002157F8"/>
    <w:rsid w:val="0021583C"/>
    <w:rsid w:val="00215951"/>
    <w:rsid w:val="002159E5"/>
    <w:rsid w:val="00215A9B"/>
    <w:rsid w:val="00215B01"/>
    <w:rsid w:val="00215B80"/>
    <w:rsid w:val="00215C35"/>
    <w:rsid w:val="00215E71"/>
    <w:rsid w:val="00215F0A"/>
    <w:rsid w:val="00215F0B"/>
    <w:rsid w:val="00215F81"/>
    <w:rsid w:val="0021613D"/>
    <w:rsid w:val="0021618F"/>
    <w:rsid w:val="002163DD"/>
    <w:rsid w:val="002163E5"/>
    <w:rsid w:val="00216411"/>
    <w:rsid w:val="00216438"/>
    <w:rsid w:val="002164E4"/>
    <w:rsid w:val="002165C0"/>
    <w:rsid w:val="002165D9"/>
    <w:rsid w:val="002165F0"/>
    <w:rsid w:val="0021663E"/>
    <w:rsid w:val="00216727"/>
    <w:rsid w:val="00216799"/>
    <w:rsid w:val="00216824"/>
    <w:rsid w:val="00216917"/>
    <w:rsid w:val="00216AB1"/>
    <w:rsid w:val="00216CBA"/>
    <w:rsid w:val="00216CE4"/>
    <w:rsid w:val="00216D98"/>
    <w:rsid w:val="00216DFF"/>
    <w:rsid w:val="00216EC7"/>
    <w:rsid w:val="00216F5C"/>
    <w:rsid w:val="00216FBA"/>
    <w:rsid w:val="00216FCC"/>
    <w:rsid w:val="002170B9"/>
    <w:rsid w:val="002173BA"/>
    <w:rsid w:val="00217415"/>
    <w:rsid w:val="00217448"/>
    <w:rsid w:val="00217453"/>
    <w:rsid w:val="0021748E"/>
    <w:rsid w:val="00217536"/>
    <w:rsid w:val="0021759C"/>
    <w:rsid w:val="00217623"/>
    <w:rsid w:val="002176F6"/>
    <w:rsid w:val="00217901"/>
    <w:rsid w:val="00217997"/>
    <w:rsid w:val="00217A0F"/>
    <w:rsid w:val="00217ACA"/>
    <w:rsid w:val="00217C00"/>
    <w:rsid w:val="00217C86"/>
    <w:rsid w:val="00217CD0"/>
    <w:rsid w:val="00217D6C"/>
    <w:rsid w:val="00217EF0"/>
    <w:rsid w:val="00217FDA"/>
    <w:rsid w:val="0021BF0F"/>
    <w:rsid w:val="00220014"/>
    <w:rsid w:val="0022001D"/>
    <w:rsid w:val="00220032"/>
    <w:rsid w:val="002200E6"/>
    <w:rsid w:val="00220128"/>
    <w:rsid w:val="00220379"/>
    <w:rsid w:val="0022037D"/>
    <w:rsid w:val="002206A1"/>
    <w:rsid w:val="0022071C"/>
    <w:rsid w:val="002207A1"/>
    <w:rsid w:val="002208AB"/>
    <w:rsid w:val="00220B59"/>
    <w:rsid w:val="00220BA3"/>
    <w:rsid w:val="00220CB1"/>
    <w:rsid w:val="00220D30"/>
    <w:rsid w:val="00220D7F"/>
    <w:rsid w:val="00221035"/>
    <w:rsid w:val="0022109C"/>
    <w:rsid w:val="002210FB"/>
    <w:rsid w:val="002211C1"/>
    <w:rsid w:val="00221248"/>
    <w:rsid w:val="0022136C"/>
    <w:rsid w:val="00221393"/>
    <w:rsid w:val="00221400"/>
    <w:rsid w:val="00221441"/>
    <w:rsid w:val="0022153D"/>
    <w:rsid w:val="00221621"/>
    <w:rsid w:val="0022176A"/>
    <w:rsid w:val="00221B35"/>
    <w:rsid w:val="00221C15"/>
    <w:rsid w:val="00221C53"/>
    <w:rsid w:val="00221C56"/>
    <w:rsid w:val="00221D8F"/>
    <w:rsid w:val="00221F90"/>
    <w:rsid w:val="0022202E"/>
    <w:rsid w:val="00222064"/>
    <w:rsid w:val="00222090"/>
    <w:rsid w:val="002220A3"/>
    <w:rsid w:val="0022210B"/>
    <w:rsid w:val="00222294"/>
    <w:rsid w:val="002224A7"/>
    <w:rsid w:val="002225F7"/>
    <w:rsid w:val="00222A3D"/>
    <w:rsid w:val="00222B48"/>
    <w:rsid w:val="00222CAF"/>
    <w:rsid w:val="00222D21"/>
    <w:rsid w:val="00222EFC"/>
    <w:rsid w:val="0022309C"/>
    <w:rsid w:val="002230DA"/>
    <w:rsid w:val="00223382"/>
    <w:rsid w:val="00223442"/>
    <w:rsid w:val="002234F7"/>
    <w:rsid w:val="00223953"/>
    <w:rsid w:val="002239E1"/>
    <w:rsid w:val="002239FC"/>
    <w:rsid w:val="00223AD4"/>
    <w:rsid w:val="00223AE2"/>
    <w:rsid w:val="00223B35"/>
    <w:rsid w:val="00223B36"/>
    <w:rsid w:val="00223B89"/>
    <w:rsid w:val="00223C5F"/>
    <w:rsid w:val="00223D61"/>
    <w:rsid w:val="00223F05"/>
    <w:rsid w:val="00223F85"/>
    <w:rsid w:val="0022401B"/>
    <w:rsid w:val="00224080"/>
    <w:rsid w:val="00224174"/>
    <w:rsid w:val="00224312"/>
    <w:rsid w:val="002243BE"/>
    <w:rsid w:val="002243C6"/>
    <w:rsid w:val="002243CD"/>
    <w:rsid w:val="00224485"/>
    <w:rsid w:val="00224508"/>
    <w:rsid w:val="0022461F"/>
    <w:rsid w:val="00224642"/>
    <w:rsid w:val="002247B0"/>
    <w:rsid w:val="00224A4E"/>
    <w:rsid w:val="00224E9A"/>
    <w:rsid w:val="00225092"/>
    <w:rsid w:val="0022512F"/>
    <w:rsid w:val="002252BB"/>
    <w:rsid w:val="00225374"/>
    <w:rsid w:val="00225468"/>
    <w:rsid w:val="0022551B"/>
    <w:rsid w:val="0022555B"/>
    <w:rsid w:val="00225563"/>
    <w:rsid w:val="00225587"/>
    <w:rsid w:val="002255A9"/>
    <w:rsid w:val="00225692"/>
    <w:rsid w:val="002256B4"/>
    <w:rsid w:val="0022589C"/>
    <w:rsid w:val="00225A01"/>
    <w:rsid w:val="00225A40"/>
    <w:rsid w:val="00225A6C"/>
    <w:rsid w:val="00225AD5"/>
    <w:rsid w:val="00225D2B"/>
    <w:rsid w:val="00225E03"/>
    <w:rsid w:val="00225FC0"/>
    <w:rsid w:val="00226026"/>
    <w:rsid w:val="00226078"/>
    <w:rsid w:val="002260C9"/>
    <w:rsid w:val="002261BE"/>
    <w:rsid w:val="00226282"/>
    <w:rsid w:val="0022638E"/>
    <w:rsid w:val="0022641B"/>
    <w:rsid w:val="00226451"/>
    <w:rsid w:val="0022668B"/>
    <w:rsid w:val="002266C7"/>
    <w:rsid w:val="00226725"/>
    <w:rsid w:val="002267A0"/>
    <w:rsid w:val="00226909"/>
    <w:rsid w:val="002269C9"/>
    <w:rsid w:val="00226AC5"/>
    <w:rsid w:val="00226B5C"/>
    <w:rsid w:val="00226E7D"/>
    <w:rsid w:val="00226F6F"/>
    <w:rsid w:val="002270C4"/>
    <w:rsid w:val="002272DB"/>
    <w:rsid w:val="002273B3"/>
    <w:rsid w:val="00227484"/>
    <w:rsid w:val="002274BC"/>
    <w:rsid w:val="00227597"/>
    <w:rsid w:val="002275DE"/>
    <w:rsid w:val="00227723"/>
    <w:rsid w:val="0022789D"/>
    <w:rsid w:val="002278EE"/>
    <w:rsid w:val="002279FD"/>
    <w:rsid w:val="00227A50"/>
    <w:rsid w:val="00227ACB"/>
    <w:rsid w:val="00227B4A"/>
    <w:rsid w:val="00227B7C"/>
    <w:rsid w:val="00227D75"/>
    <w:rsid w:val="00227DB2"/>
    <w:rsid w:val="00227F16"/>
    <w:rsid w:val="002301F5"/>
    <w:rsid w:val="0023021E"/>
    <w:rsid w:val="0023032A"/>
    <w:rsid w:val="00230407"/>
    <w:rsid w:val="0023048D"/>
    <w:rsid w:val="002305F2"/>
    <w:rsid w:val="00230627"/>
    <w:rsid w:val="0023069A"/>
    <w:rsid w:val="002306BF"/>
    <w:rsid w:val="002308C6"/>
    <w:rsid w:val="00230A8A"/>
    <w:rsid w:val="00230A95"/>
    <w:rsid w:val="00230D19"/>
    <w:rsid w:val="00230E55"/>
    <w:rsid w:val="00230ED1"/>
    <w:rsid w:val="00230FEB"/>
    <w:rsid w:val="00230FF1"/>
    <w:rsid w:val="0023108B"/>
    <w:rsid w:val="002310F2"/>
    <w:rsid w:val="00231275"/>
    <w:rsid w:val="0023145D"/>
    <w:rsid w:val="0023149A"/>
    <w:rsid w:val="0023164D"/>
    <w:rsid w:val="0023175D"/>
    <w:rsid w:val="002318DC"/>
    <w:rsid w:val="002319D2"/>
    <w:rsid w:val="002319D8"/>
    <w:rsid w:val="002319EE"/>
    <w:rsid w:val="00231B99"/>
    <w:rsid w:val="00231BE6"/>
    <w:rsid w:val="00231C60"/>
    <w:rsid w:val="00231FB9"/>
    <w:rsid w:val="0023203D"/>
    <w:rsid w:val="00232196"/>
    <w:rsid w:val="0023230A"/>
    <w:rsid w:val="00232386"/>
    <w:rsid w:val="002325F9"/>
    <w:rsid w:val="002326C9"/>
    <w:rsid w:val="00232788"/>
    <w:rsid w:val="0023286D"/>
    <w:rsid w:val="00232BDE"/>
    <w:rsid w:val="00232E22"/>
    <w:rsid w:val="00232EAB"/>
    <w:rsid w:val="00232F36"/>
    <w:rsid w:val="0023301A"/>
    <w:rsid w:val="00233298"/>
    <w:rsid w:val="002332E8"/>
    <w:rsid w:val="002332FD"/>
    <w:rsid w:val="00233374"/>
    <w:rsid w:val="002334A5"/>
    <w:rsid w:val="0023366D"/>
    <w:rsid w:val="00233678"/>
    <w:rsid w:val="0023392C"/>
    <w:rsid w:val="00233953"/>
    <w:rsid w:val="00233A99"/>
    <w:rsid w:val="00233AC1"/>
    <w:rsid w:val="00233B57"/>
    <w:rsid w:val="00233BDF"/>
    <w:rsid w:val="00233C66"/>
    <w:rsid w:val="00233D11"/>
    <w:rsid w:val="00233F30"/>
    <w:rsid w:val="00234239"/>
    <w:rsid w:val="0023439B"/>
    <w:rsid w:val="002343DC"/>
    <w:rsid w:val="002344AB"/>
    <w:rsid w:val="002345CC"/>
    <w:rsid w:val="0023467D"/>
    <w:rsid w:val="00234695"/>
    <w:rsid w:val="002346AA"/>
    <w:rsid w:val="002346CD"/>
    <w:rsid w:val="002347D1"/>
    <w:rsid w:val="00234838"/>
    <w:rsid w:val="002349D2"/>
    <w:rsid w:val="00234BE3"/>
    <w:rsid w:val="00234E03"/>
    <w:rsid w:val="00234E3D"/>
    <w:rsid w:val="00234F45"/>
    <w:rsid w:val="00234FC9"/>
    <w:rsid w:val="002351AF"/>
    <w:rsid w:val="002351BA"/>
    <w:rsid w:val="002351E3"/>
    <w:rsid w:val="00235236"/>
    <w:rsid w:val="00235409"/>
    <w:rsid w:val="0023546A"/>
    <w:rsid w:val="0023565C"/>
    <w:rsid w:val="00235687"/>
    <w:rsid w:val="002356D6"/>
    <w:rsid w:val="0023584B"/>
    <w:rsid w:val="00235B61"/>
    <w:rsid w:val="00235B65"/>
    <w:rsid w:val="00235C56"/>
    <w:rsid w:val="00235DAB"/>
    <w:rsid w:val="00235DDF"/>
    <w:rsid w:val="00236036"/>
    <w:rsid w:val="00236097"/>
    <w:rsid w:val="0023613D"/>
    <w:rsid w:val="00236153"/>
    <w:rsid w:val="002362C9"/>
    <w:rsid w:val="002362FF"/>
    <w:rsid w:val="002365A2"/>
    <w:rsid w:val="00236704"/>
    <w:rsid w:val="00236778"/>
    <w:rsid w:val="00236836"/>
    <w:rsid w:val="00236962"/>
    <w:rsid w:val="0023696D"/>
    <w:rsid w:val="00236B01"/>
    <w:rsid w:val="00236B2B"/>
    <w:rsid w:val="00236BF4"/>
    <w:rsid w:val="00236C81"/>
    <w:rsid w:val="00236CBE"/>
    <w:rsid w:val="00236D0B"/>
    <w:rsid w:val="00236D14"/>
    <w:rsid w:val="00236DB8"/>
    <w:rsid w:val="00236DC1"/>
    <w:rsid w:val="00236E84"/>
    <w:rsid w:val="00236FD4"/>
    <w:rsid w:val="0023726C"/>
    <w:rsid w:val="00237735"/>
    <w:rsid w:val="00237759"/>
    <w:rsid w:val="0023777A"/>
    <w:rsid w:val="00237787"/>
    <w:rsid w:val="002377DB"/>
    <w:rsid w:val="002377DF"/>
    <w:rsid w:val="00237CCA"/>
    <w:rsid w:val="00237D5C"/>
    <w:rsid w:val="00237D94"/>
    <w:rsid w:val="00237D96"/>
    <w:rsid w:val="00237E04"/>
    <w:rsid w:val="00237E69"/>
    <w:rsid w:val="00237F3B"/>
    <w:rsid w:val="00237F7F"/>
    <w:rsid w:val="00240004"/>
    <w:rsid w:val="00240123"/>
    <w:rsid w:val="00240268"/>
    <w:rsid w:val="0024031A"/>
    <w:rsid w:val="00240383"/>
    <w:rsid w:val="002403C3"/>
    <w:rsid w:val="002404A9"/>
    <w:rsid w:val="0024053F"/>
    <w:rsid w:val="002405C2"/>
    <w:rsid w:val="002406A7"/>
    <w:rsid w:val="00240940"/>
    <w:rsid w:val="00240992"/>
    <w:rsid w:val="00240A03"/>
    <w:rsid w:val="00240A2C"/>
    <w:rsid w:val="00240B7C"/>
    <w:rsid w:val="00240B87"/>
    <w:rsid w:val="00240B90"/>
    <w:rsid w:val="00240C07"/>
    <w:rsid w:val="00240C97"/>
    <w:rsid w:val="00240D0D"/>
    <w:rsid w:val="00240DC4"/>
    <w:rsid w:val="00240F12"/>
    <w:rsid w:val="0024107C"/>
    <w:rsid w:val="002410CC"/>
    <w:rsid w:val="00241212"/>
    <w:rsid w:val="00241238"/>
    <w:rsid w:val="0024127B"/>
    <w:rsid w:val="0024133E"/>
    <w:rsid w:val="00241383"/>
    <w:rsid w:val="0024157B"/>
    <w:rsid w:val="0024157D"/>
    <w:rsid w:val="002418BD"/>
    <w:rsid w:val="00241B36"/>
    <w:rsid w:val="00241C27"/>
    <w:rsid w:val="00241CC4"/>
    <w:rsid w:val="00242111"/>
    <w:rsid w:val="0024214F"/>
    <w:rsid w:val="00242256"/>
    <w:rsid w:val="0024233D"/>
    <w:rsid w:val="002423CB"/>
    <w:rsid w:val="00242413"/>
    <w:rsid w:val="00242525"/>
    <w:rsid w:val="0024268A"/>
    <w:rsid w:val="002426CC"/>
    <w:rsid w:val="002428AB"/>
    <w:rsid w:val="00242C1C"/>
    <w:rsid w:val="00242C23"/>
    <w:rsid w:val="00242C2A"/>
    <w:rsid w:val="00242D2A"/>
    <w:rsid w:val="00242D56"/>
    <w:rsid w:val="00242E44"/>
    <w:rsid w:val="00242E7E"/>
    <w:rsid w:val="00242EC5"/>
    <w:rsid w:val="00242ECF"/>
    <w:rsid w:val="00242F2F"/>
    <w:rsid w:val="002431E4"/>
    <w:rsid w:val="00243234"/>
    <w:rsid w:val="0024332C"/>
    <w:rsid w:val="002433A2"/>
    <w:rsid w:val="00243453"/>
    <w:rsid w:val="0024345D"/>
    <w:rsid w:val="002435C2"/>
    <w:rsid w:val="002436B0"/>
    <w:rsid w:val="00243732"/>
    <w:rsid w:val="002438D9"/>
    <w:rsid w:val="002438DB"/>
    <w:rsid w:val="002439E7"/>
    <w:rsid w:val="002439F6"/>
    <w:rsid w:val="00243AE0"/>
    <w:rsid w:val="00243B3B"/>
    <w:rsid w:val="00243B53"/>
    <w:rsid w:val="00243BBD"/>
    <w:rsid w:val="00243C26"/>
    <w:rsid w:val="00243C4D"/>
    <w:rsid w:val="00243D4E"/>
    <w:rsid w:val="00243E19"/>
    <w:rsid w:val="0024404E"/>
    <w:rsid w:val="002442DE"/>
    <w:rsid w:val="00244316"/>
    <w:rsid w:val="00244385"/>
    <w:rsid w:val="002443F0"/>
    <w:rsid w:val="0024444E"/>
    <w:rsid w:val="00244456"/>
    <w:rsid w:val="002445FB"/>
    <w:rsid w:val="00244704"/>
    <w:rsid w:val="00244732"/>
    <w:rsid w:val="00244741"/>
    <w:rsid w:val="002449F2"/>
    <w:rsid w:val="00244A14"/>
    <w:rsid w:val="00244A52"/>
    <w:rsid w:val="00244A58"/>
    <w:rsid w:val="00244BC3"/>
    <w:rsid w:val="00244C3D"/>
    <w:rsid w:val="00244CA8"/>
    <w:rsid w:val="00244D7F"/>
    <w:rsid w:val="00244DAD"/>
    <w:rsid w:val="00244E28"/>
    <w:rsid w:val="00244E57"/>
    <w:rsid w:val="00244ECE"/>
    <w:rsid w:val="00244F30"/>
    <w:rsid w:val="00244FF1"/>
    <w:rsid w:val="002450DC"/>
    <w:rsid w:val="00245103"/>
    <w:rsid w:val="00245109"/>
    <w:rsid w:val="00245176"/>
    <w:rsid w:val="0024522A"/>
    <w:rsid w:val="00245303"/>
    <w:rsid w:val="00245305"/>
    <w:rsid w:val="00245328"/>
    <w:rsid w:val="00245429"/>
    <w:rsid w:val="002454AB"/>
    <w:rsid w:val="002454AE"/>
    <w:rsid w:val="0024558E"/>
    <w:rsid w:val="002455B1"/>
    <w:rsid w:val="0024576A"/>
    <w:rsid w:val="0024592F"/>
    <w:rsid w:val="002459BC"/>
    <w:rsid w:val="00245A4C"/>
    <w:rsid w:val="00245AF3"/>
    <w:rsid w:val="00245AFD"/>
    <w:rsid w:val="00245B33"/>
    <w:rsid w:val="00245BFB"/>
    <w:rsid w:val="00245C6A"/>
    <w:rsid w:val="00245C74"/>
    <w:rsid w:val="00245D04"/>
    <w:rsid w:val="00245DBD"/>
    <w:rsid w:val="00245DCC"/>
    <w:rsid w:val="00245E5A"/>
    <w:rsid w:val="00245EB2"/>
    <w:rsid w:val="00245ED4"/>
    <w:rsid w:val="00245F45"/>
    <w:rsid w:val="00245FB5"/>
    <w:rsid w:val="0024605F"/>
    <w:rsid w:val="00246100"/>
    <w:rsid w:val="002461A8"/>
    <w:rsid w:val="002461C7"/>
    <w:rsid w:val="002462D9"/>
    <w:rsid w:val="0024634E"/>
    <w:rsid w:val="00246499"/>
    <w:rsid w:val="00246677"/>
    <w:rsid w:val="00246ABE"/>
    <w:rsid w:val="00246BD3"/>
    <w:rsid w:val="00246C06"/>
    <w:rsid w:val="00246D50"/>
    <w:rsid w:val="00246DB4"/>
    <w:rsid w:val="00246DBF"/>
    <w:rsid w:val="00246E2F"/>
    <w:rsid w:val="00246E96"/>
    <w:rsid w:val="00246F1C"/>
    <w:rsid w:val="00246F2B"/>
    <w:rsid w:val="00247143"/>
    <w:rsid w:val="00247157"/>
    <w:rsid w:val="00247238"/>
    <w:rsid w:val="00247388"/>
    <w:rsid w:val="00247393"/>
    <w:rsid w:val="002474BC"/>
    <w:rsid w:val="002474DE"/>
    <w:rsid w:val="00247519"/>
    <w:rsid w:val="002476B5"/>
    <w:rsid w:val="0024775E"/>
    <w:rsid w:val="00247760"/>
    <w:rsid w:val="00247904"/>
    <w:rsid w:val="00247B06"/>
    <w:rsid w:val="00247B74"/>
    <w:rsid w:val="00247BA5"/>
    <w:rsid w:val="00250024"/>
    <w:rsid w:val="0025008F"/>
    <w:rsid w:val="00250148"/>
    <w:rsid w:val="002501C0"/>
    <w:rsid w:val="0025042B"/>
    <w:rsid w:val="00250493"/>
    <w:rsid w:val="0025059D"/>
    <w:rsid w:val="002505B8"/>
    <w:rsid w:val="00250640"/>
    <w:rsid w:val="0025064F"/>
    <w:rsid w:val="0025068D"/>
    <w:rsid w:val="00250932"/>
    <w:rsid w:val="00250964"/>
    <w:rsid w:val="00250ADC"/>
    <w:rsid w:val="00250CBB"/>
    <w:rsid w:val="00250E7B"/>
    <w:rsid w:val="00250FBA"/>
    <w:rsid w:val="0025109D"/>
    <w:rsid w:val="00251217"/>
    <w:rsid w:val="0025133D"/>
    <w:rsid w:val="002513C8"/>
    <w:rsid w:val="002513DB"/>
    <w:rsid w:val="00251520"/>
    <w:rsid w:val="00251523"/>
    <w:rsid w:val="002515FB"/>
    <w:rsid w:val="00251613"/>
    <w:rsid w:val="0025163D"/>
    <w:rsid w:val="00251792"/>
    <w:rsid w:val="002517BE"/>
    <w:rsid w:val="00251801"/>
    <w:rsid w:val="0025196D"/>
    <w:rsid w:val="00251A1E"/>
    <w:rsid w:val="00251A2F"/>
    <w:rsid w:val="00251A32"/>
    <w:rsid w:val="00251D2B"/>
    <w:rsid w:val="00251DE5"/>
    <w:rsid w:val="00251E3E"/>
    <w:rsid w:val="00251E46"/>
    <w:rsid w:val="002521A5"/>
    <w:rsid w:val="002522D1"/>
    <w:rsid w:val="00252373"/>
    <w:rsid w:val="002523AC"/>
    <w:rsid w:val="002523ED"/>
    <w:rsid w:val="0025241B"/>
    <w:rsid w:val="002525C4"/>
    <w:rsid w:val="0025270B"/>
    <w:rsid w:val="002527AE"/>
    <w:rsid w:val="0025281F"/>
    <w:rsid w:val="00252889"/>
    <w:rsid w:val="002528DE"/>
    <w:rsid w:val="002528EF"/>
    <w:rsid w:val="00252A77"/>
    <w:rsid w:val="00252AA4"/>
    <w:rsid w:val="00252BC0"/>
    <w:rsid w:val="00252BD9"/>
    <w:rsid w:val="00252C9A"/>
    <w:rsid w:val="00252D7E"/>
    <w:rsid w:val="00252E8D"/>
    <w:rsid w:val="00252EB7"/>
    <w:rsid w:val="00252FA8"/>
    <w:rsid w:val="00252FD9"/>
    <w:rsid w:val="0025306E"/>
    <w:rsid w:val="00253326"/>
    <w:rsid w:val="00253350"/>
    <w:rsid w:val="002533DB"/>
    <w:rsid w:val="00253427"/>
    <w:rsid w:val="002535EA"/>
    <w:rsid w:val="002535FD"/>
    <w:rsid w:val="0025370B"/>
    <w:rsid w:val="002538E8"/>
    <w:rsid w:val="002539EA"/>
    <w:rsid w:val="00253AA7"/>
    <w:rsid w:val="00253BB1"/>
    <w:rsid w:val="00253BE9"/>
    <w:rsid w:val="00253FD4"/>
    <w:rsid w:val="00253FE5"/>
    <w:rsid w:val="00253FFD"/>
    <w:rsid w:val="00254000"/>
    <w:rsid w:val="0025405A"/>
    <w:rsid w:val="002540F7"/>
    <w:rsid w:val="0025416B"/>
    <w:rsid w:val="002542F0"/>
    <w:rsid w:val="002542F5"/>
    <w:rsid w:val="0025441C"/>
    <w:rsid w:val="00254549"/>
    <w:rsid w:val="00254983"/>
    <w:rsid w:val="00254A86"/>
    <w:rsid w:val="00254AA6"/>
    <w:rsid w:val="00254AE9"/>
    <w:rsid w:val="00254BE6"/>
    <w:rsid w:val="00254C0E"/>
    <w:rsid w:val="00254EA0"/>
    <w:rsid w:val="00254F74"/>
    <w:rsid w:val="0025521E"/>
    <w:rsid w:val="00255246"/>
    <w:rsid w:val="00255278"/>
    <w:rsid w:val="002553E3"/>
    <w:rsid w:val="00255618"/>
    <w:rsid w:val="002556B3"/>
    <w:rsid w:val="0025571E"/>
    <w:rsid w:val="00255998"/>
    <w:rsid w:val="00255B50"/>
    <w:rsid w:val="00255D2F"/>
    <w:rsid w:val="00255D5D"/>
    <w:rsid w:val="00255E99"/>
    <w:rsid w:val="00255FEF"/>
    <w:rsid w:val="00256000"/>
    <w:rsid w:val="002560C4"/>
    <w:rsid w:val="00256412"/>
    <w:rsid w:val="00256472"/>
    <w:rsid w:val="0025673F"/>
    <w:rsid w:val="0025680E"/>
    <w:rsid w:val="00256861"/>
    <w:rsid w:val="00256941"/>
    <w:rsid w:val="00256978"/>
    <w:rsid w:val="002569D8"/>
    <w:rsid w:val="00256B71"/>
    <w:rsid w:val="00256D9F"/>
    <w:rsid w:val="00256DA1"/>
    <w:rsid w:val="00256EB9"/>
    <w:rsid w:val="00256F12"/>
    <w:rsid w:val="00257049"/>
    <w:rsid w:val="002570F3"/>
    <w:rsid w:val="00257198"/>
    <w:rsid w:val="0025722E"/>
    <w:rsid w:val="00257269"/>
    <w:rsid w:val="00257368"/>
    <w:rsid w:val="0025756D"/>
    <w:rsid w:val="002575AE"/>
    <w:rsid w:val="00257600"/>
    <w:rsid w:val="00257690"/>
    <w:rsid w:val="00257694"/>
    <w:rsid w:val="002576AD"/>
    <w:rsid w:val="00257872"/>
    <w:rsid w:val="0025799D"/>
    <w:rsid w:val="00257A8D"/>
    <w:rsid w:val="00257A93"/>
    <w:rsid w:val="00257B46"/>
    <w:rsid w:val="00257B48"/>
    <w:rsid w:val="00257C2E"/>
    <w:rsid w:val="00257CF2"/>
    <w:rsid w:val="00257D5C"/>
    <w:rsid w:val="00257E8A"/>
    <w:rsid w:val="00257ECF"/>
    <w:rsid w:val="00257F22"/>
    <w:rsid w:val="00257FA6"/>
    <w:rsid w:val="00257FB2"/>
    <w:rsid w:val="002600E7"/>
    <w:rsid w:val="002601D9"/>
    <w:rsid w:val="002602A9"/>
    <w:rsid w:val="002602CD"/>
    <w:rsid w:val="00260376"/>
    <w:rsid w:val="00260680"/>
    <w:rsid w:val="00260899"/>
    <w:rsid w:val="002608C3"/>
    <w:rsid w:val="00260990"/>
    <w:rsid w:val="00260A13"/>
    <w:rsid w:val="00260CEC"/>
    <w:rsid w:val="00260D05"/>
    <w:rsid w:val="00260EC5"/>
    <w:rsid w:val="00260ED8"/>
    <w:rsid w:val="00260F20"/>
    <w:rsid w:val="00260FAB"/>
    <w:rsid w:val="00261050"/>
    <w:rsid w:val="00261262"/>
    <w:rsid w:val="00261350"/>
    <w:rsid w:val="002613DA"/>
    <w:rsid w:val="0026144A"/>
    <w:rsid w:val="0026148F"/>
    <w:rsid w:val="002614CC"/>
    <w:rsid w:val="00261586"/>
    <w:rsid w:val="002616D6"/>
    <w:rsid w:val="002618DE"/>
    <w:rsid w:val="002618E3"/>
    <w:rsid w:val="00261A84"/>
    <w:rsid w:val="00261AD3"/>
    <w:rsid w:val="00261AD7"/>
    <w:rsid w:val="00261B4C"/>
    <w:rsid w:val="00262038"/>
    <w:rsid w:val="00262173"/>
    <w:rsid w:val="0026224C"/>
    <w:rsid w:val="002623E1"/>
    <w:rsid w:val="002624FC"/>
    <w:rsid w:val="00262597"/>
    <w:rsid w:val="0026262D"/>
    <w:rsid w:val="00262730"/>
    <w:rsid w:val="00262851"/>
    <w:rsid w:val="0026286A"/>
    <w:rsid w:val="002628C0"/>
    <w:rsid w:val="00262A53"/>
    <w:rsid w:val="00262B76"/>
    <w:rsid w:val="00262BC0"/>
    <w:rsid w:val="00262BF7"/>
    <w:rsid w:val="00262D1B"/>
    <w:rsid w:val="00262D8C"/>
    <w:rsid w:val="00262DEF"/>
    <w:rsid w:val="00262E50"/>
    <w:rsid w:val="00262E81"/>
    <w:rsid w:val="00262F55"/>
    <w:rsid w:val="00263026"/>
    <w:rsid w:val="0026313C"/>
    <w:rsid w:val="002632A1"/>
    <w:rsid w:val="002632E8"/>
    <w:rsid w:val="0026330C"/>
    <w:rsid w:val="0026338D"/>
    <w:rsid w:val="00263415"/>
    <w:rsid w:val="00263457"/>
    <w:rsid w:val="002635C5"/>
    <w:rsid w:val="002636AE"/>
    <w:rsid w:val="002636E6"/>
    <w:rsid w:val="00263735"/>
    <w:rsid w:val="00263986"/>
    <w:rsid w:val="002639F4"/>
    <w:rsid w:val="00263A9F"/>
    <w:rsid w:val="00263CEC"/>
    <w:rsid w:val="00263D4A"/>
    <w:rsid w:val="00263D5D"/>
    <w:rsid w:val="00263D65"/>
    <w:rsid w:val="00263E2B"/>
    <w:rsid w:val="002640E8"/>
    <w:rsid w:val="0026410B"/>
    <w:rsid w:val="00264183"/>
    <w:rsid w:val="002641B3"/>
    <w:rsid w:val="002641CE"/>
    <w:rsid w:val="002642D7"/>
    <w:rsid w:val="0026460E"/>
    <w:rsid w:val="00264620"/>
    <w:rsid w:val="002647C7"/>
    <w:rsid w:val="002647DC"/>
    <w:rsid w:val="0026495E"/>
    <w:rsid w:val="002649E0"/>
    <w:rsid w:val="00264A55"/>
    <w:rsid w:val="00264B21"/>
    <w:rsid w:val="00264CA4"/>
    <w:rsid w:val="00264CC9"/>
    <w:rsid w:val="00264D35"/>
    <w:rsid w:val="00264D3B"/>
    <w:rsid w:val="00264E89"/>
    <w:rsid w:val="00264EAB"/>
    <w:rsid w:val="00264EFC"/>
    <w:rsid w:val="0026507F"/>
    <w:rsid w:val="00265139"/>
    <w:rsid w:val="0026524C"/>
    <w:rsid w:val="0026525C"/>
    <w:rsid w:val="002652C6"/>
    <w:rsid w:val="002652F4"/>
    <w:rsid w:val="00265321"/>
    <w:rsid w:val="00265584"/>
    <w:rsid w:val="002655A0"/>
    <w:rsid w:val="0026575E"/>
    <w:rsid w:val="0026589E"/>
    <w:rsid w:val="0026596C"/>
    <w:rsid w:val="002659BC"/>
    <w:rsid w:val="00265B8A"/>
    <w:rsid w:val="00265D7D"/>
    <w:rsid w:val="00265E8E"/>
    <w:rsid w:val="00266048"/>
    <w:rsid w:val="002660E0"/>
    <w:rsid w:val="002662BE"/>
    <w:rsid w:val="0026631C"/>
    <w:rsid w:val="0026633A"/>
    <w:rsid w:val="002663D4"/>
    <w:rsid w:val="00266411"/>
    <w:rsid w:val="00266424"/>
    <w:rsid w:val="00266429"/>
    <w:rsid w:val="002664AB"/>
    <w:rsid w:val="002664E1"/>
    <w:rsid w:val="002665F5"/>
    <w:rsid w:val="0026662C"/>
    <w:rsid w:val="00266668"/>
    <w:rsid w:val="0026670C"/>
    <w:rsid w:val="0026673A"/>
    <w:rsid w:val="002668C6"/>
    <w:rsid w:val="00266943"/>
    <w:rsid w:val="002669A8"/>
    <w:rsid w:val="00266A2C"/>
    <w:rsid w:val="00266CED"/>
    <w:rsid w:val="00266EEC"/>
    <w:rsid w:val="00266F68"/>
    <w:rsid w:val="002670F7"/>
    <w:rsid w:val="0026710C"/>
    <w:rsid w:val="00267147"/>
    <w:rsid w:val="00267165"/>
    <w:rsid w:val="002671BB"/>
    <w:rsid w:val="002671C7"/>
    <w:rsid w:val="00267235"/>
    <w:rsid w:val="002672A3"/>
    <w:rsid w:val="00267425"/>
    <w:rsid w:val="0026743A"/>
    <w:rsid w:val="002675F8"/>
    <w:rsid w:val="002677AD"/>
    <w:rsid w:val="002677D2"/>
    <w:rsid w:val="00267891"/>
    <w:rsid w:val="00267A23"/>
    <w:rsid w:val="00267AB2"/>
    <w:rsid w:val="00267BDB"/>
    <w:rsid w:val="00267C20"/>
    <w:rsid w:val="00267E5A"/>
    <w:rsid w:val="0027012B"/>
    <w:rsid w:val="002701D2"/>
    <w:rsid w:val="0027021E"/>
    <w:rsid w:val="00270274"/>
    <w:rsid w:val="002706E0"/>
    <w:rsid w:val="002707CB"/>
    <w:rsid w:val="00270841"/>
    <w:rsid w:val="00270863"/>
    <w:rsid w:val="00270931"/>
    <w:rsid w:val="00270969"/>
    <w:rsid w:val="002709FC"/>
    <w:rsid w:val="00270A1D"/>
    <w:rsid w:val="00270BE8"/>
    <w:rsid w:val="00270CC9"/>
    <w:rsid w:val="00270CE7"/>
    <w:rsid w:val="00270FA8"/>
    <w:rsid w:val="00271032"/>
    <w:rsid w:val="00271250"/>
    <w:rsid w:val="00271280"/>
    <w:rsid w:val="00271291"/>
    <w:rsid w:val="002712B9"/>
    <w:rsid w:val="0027136E"/>
    <w:rsid w:val="002714B4"/>
    <w:rsid w:val="002715BE"/>
    <w:rsid w:val="00271615"/>
    <w:rsid w:val="002716E8"/>
    <w:rsid w:val="002718E2"/>
    <w:rsid w:val="00271971"/>
    <w:rsid w:val="00271A61"/>
    <w:rsid w:val="00271ADA"/>
    <w:rsid w:val="00271BF2"/>
    <w:rsid w:val="00271D50"/>
    <w:rsid w:val="00271E52"/>
    <w:rsid w:val="00271F1E"/>
    <w:rsid w:val="00272025"/>
    <w:rsid w:val="00272077"/>
    <w:rsid w:val="00272264"/>
    <w:rsid w:val="00272289"/>
    <w:rsid w:val="0027228E"/>
    <w:rsid w:val="00272642"/>
    <w:rsid w:val="00272694"/>
    <w:rsid w:val="00272695"/>
    <w:rsid w:val="002727F9"/>
    <w:rsid w:val="00272A7C"/>
    <w:rsid w:val="00272BAE"/>
    <w:rsid w:val="00272BFE"/>
    <w:rsid w:val="00272C13"/>
    <w:rsid w:val="00272C53"/>
    <w:rsid w:val="00272D7E"/>
    <w:rsid w:val="00272DD5"/>
    <w:rsid w:val="00272F5E"/>
    <w:rsid w:val="0027300F"/>
    <w:rsid w:val="0027303D"/>
    <w:rsid w:val="00273122"/>
    <w:rsid w:val="0027339E"/>
    <w:rsid w:val="002734D1"/>
    <w:rsid w:val="00273577"/>
    <w:rsid w:val="00273630"/>
    <w:rsid w:val="002736EE"/>
    <w:rsid w:val="00273949"/>
    <w:rsid w:val="0027396B"/>
    <w:rsid w:val="0027399F"/>
    <w:rsid w:val="00273B33"/>
    <w:rsid w:val="00273C03"/>
    <w:rsid w:val="00273CF6"/>
    <w:rsid w:val="00273D38"/>
    <w:rsid w:val="00273FE3"/>
    <w:rsid w:val="00274019"/>
    <w:rsid w:val="00274153"/>
    <w:rsid w:val="0027417C"/>
    <w:rsid w:val="00274219"/>
    <w:rsid w:val="0027427A"/>
    <w:rsid w:val="00274300"/>
    <w:rsid w:val="002744CC"/>
    <w:rsid w:val="002747E3"/>
    <w:rsid w:val="002748DB"/>
    <w:rsid w:val="002749DA"/>
    <w:rsid w:val="00274A20"/>
    <w:rsid w:val="00274AA3"/>
    <w:rsid w:val="00274BA7"/>
    <w:rsid w:val="00274BAA"/>
    <w:rsid w:val="00274C25"/>
    <w:rsid w:val="00274DA8"/>
    <w:rsid w:val="002750AB"/>
    <w:rsid w:val="00275263"/>
    <w:rsid w:val="0027534E"/>
    <w:rsid w:val="00275385"/>
    <w:rsid w:val="002753FD"/>
    <w:rsid w:val="002754FC"/>
    <w:rsid w:val="00275531"/>
    <w:rsid w:val="00275555"/>
    <w:rsid w:val="00275603"/>
    <w:rsid w:val="0027578E"/>
    <w:rsid w:val="0027582E"/>
    <w:rsid w:val="002758DB"/>
    <w:rsid w:val="00275AB6"/>
    <w:rsid w:val="00275ABC"/>
    <w:rsid w:val="00275B26"/>
    <w:rsid w:val="00275C68"/>
    <w:rsid w:val="00275CC8"/>
    <w:rsid w:val="00275E2F"/>
    <w:rsid w:val="00275E4A"/>
    <w:rsid w:val="00275F72"/>
    <w:rsid w:val="00276047"/>
    <w:rsid w:val="002760BD"/>
    <w:rsid w:val="00276148"/>
    <w:rsid w:val="00276205"/>
    <w:rsid w:val="00276274"/>
    <w:rsid w:val="0027627B"/>
    <w:rsid w:val="00276452"/>
    <w:rsid w:val="00276482"/>
    <w:rsid w:val="00276563"/>
    <w:rsid w:val="00276855"/>
    <w:rsid w:val="00276921"/>
    <w:rsid w:val="00276931"/>
    <w:rsid w:val="0027694D"/>
    <w:rsid w:val="00276950"/>
    <w:rsid w:val="002769FF"/>
    <w:rsid w:val="00276A24"/>
    <w:rsid w:val="00276B69"/>
    <w:rsid w:val="00276C87"/>
    <w:rsid w:val="00276CFE"/>
    <w:rsid w:val="00276D9A"/>
    <w:rsid w:val="00276E6A"/>
    <w:rsid w:val="002770F0"/>
    <w:rsid w:val="0027718A"/>
    <w:rsid w:val="00277228"/>
    <w:rsid w:val="0027728B"/>
    <w:rsid w:val="0027737A"/>
    <w:rsid w:val="0027744C"/>
    <w:rsid w:val="0027751E"/>
    <w:rsid w:val="002775B3"/>
    <w:rsid w:val="00277626"/>
    <w:rsid w:val="0027763C"/>
    <w:rsid w:val="002778D8"/>
    <w:rsid w:val="00277A2B"/>
    <w:rsid w:val="00277C7F"/>
    <w:rsid w:val="00277D5F"/>
    <w:rsid w:val="00277D74"/>
    <w:rsid w:val="00280001"/>
    <w:rsid w:val="002800BE"/>
    <w:rsid w:val="002802AC"/>
    <w:rsid w:val="0028040D"/>
    <w:rsid w:val="00280462"/>
    <w:rsid w:val="0028046A"/>
    <w:rsid w:val="00280551"/>
    <w:rsid w:val="002805BB"/>
    <w:rsid w:val="002805F0"/>
    <w:rsid w:val="002806C2"/>
    <w:rsid w:val="002807BB"/>
    <w:rsid w:val="002808A7"/>
    <w:rsid w:val="00280911"/>
    <w:rsid w:val="00280BDC"/>
    <w:rsid w:val="00280C42"/>
    <w:rsid w:val="00280E89"/>
    <w:rsid w:val="00280F28"/>
    <w:rsid w:val="00280FA9"/>
    <w:rsid w:val="00281022"/>
    <w:rsid w:val="00281043"/>
    <w:rsid w:val="0028106E"/>
    <w:rsid w:val="002810AF"/>
    <w:rsid w:val="002810E5"/>
    <w:rsid w:val="002812AD"/>
    <w:rsid w:val="00281352"/>
    <w:rsid w:val="002813CC"/>
    <w:rsid w:val="0028145D"/>
    <w:rsid w:val="002814C0"/>
    <w:rsid w:val="00281666"/>
    <w:rsid w:val="002817A6"/>
    <w:rsid w:val="00281A93"/>
    <w:rsid w:val="00281AD7"/>
    <w:rsid w:val="00281B4E"/>
    <w:rsid w:val="00281C46"/>
    <w:rsid w:val="00281C68"/>
    <w:rsid w:val="00281CE2"/>
    <w:rsid w:val="00281DA9"/>
    <w:rsid w:val="00281E2D"/>
    <w:rsid w:val="00281F60"/>
    <w:rsid w:val="00281F72"/>
    <w:rsid w:val="00282228"/>
    <w:rsid w:val="0028228F"/>
    <w:rsid w:val="002822C2"/>
    <w:rsid w:val="0028243E"/>
    <w:rsid w:val="00282613"/>
    <w:rsid w:val="00282730"/>
    <w:rsid w:val="002827DD"/>
    <w:rsid w:val="002828BC"/>
    <w:rsid w:val="0028291F"/>
    <w:rsid w:val="0028298F"/>
    <w:rsid w:val="00282A02"/>
    <w:rsid w:val="00282B7E"/>
    <w:rsid w:val="00282EDD"/>
    <w:rsid w:val="00282F8D"/>
    <w:rsid w:val="00282FDC"/>
    <w:rsid w:val="00282FEA"/>
    <w:rsid w:val="00283092"/>
    <w:rsid w:val="002830B9"/>
    <w:rsid w:val="002834DB"/>
    <w:rsid w:val="0028356E"/>
    <w:rsid w:val="0028361D"/>
    <w:rsid w:val="002836C2"/>
    <w:rsid w:val="00283734"/>
    <w:rsid w:val="00283781"/>
    <w:rsid w:val="00283873"/>
    <w:rsid w:val="00283C7C"/>
    <w:rsid w:val="00283CDB"/>
    <w:rsid w:val="00283EAA"/>
    <w:rsid w:val="00283F49"/>
    <w:rsid w:val="00284152"/>
    <w:rsid w:val="0028448F"/>
    <w:rsid w:val="002844A1"/>
    <w:rsid w:val="002847B8"/>
    <w:rsid w:val="00284909"/>
    <w:rsid w:val="00284AFF"/>
    <w:rsid w:val="00284BDB"/>
    <w:rsid w:val="00284C29"/>
    <w:rsid w:val="00284C9C"/>
    <w:rsid w:val="00284CD6"/>
    <w:rsid w:val="00284D99"/>
    <w:rsid w:val="00284EAA"/>
    <w:rsid w:val="00284EE3"/>
    <w:rsid w:val="00284F0E"/>
    <w:rsid w:val="00284FE5"/>
    <w:rsid w:val="00285068"/>
    <w:rsid w:val="00285101"/>
    <w:rsid w:val="00285277"/>
    <w:rsid w:val="00285419"/>
    <w:rsid w:val="002854B1"/>
    <w:rsid w:val="00285646"/>
    <w:rsid w:val="0028578F"/>
    <w:rsid w:val="0028591E"/>
    <w:rsid w:val="00285946"/>
    <w:rsid w:val="0028594C"/>
    <w:rsid w:val="002859F0"/>
    <w:rsid w:val="00285A3F"/>
    <w:rsid w:val="00285D95"/>
    <w:rsid w:val="00286048"/>
    <w:rsid w:val="00286084"/>
    <w:rsid w:val="002860C6"/>
    <w:rsid w:val="00286164"/>
    <w:rsid w:val="00286175"/>
    <w:rsid w:val="00286209"/>
    <w:rsid w:val="00286254"/>
    <w:rsid w:val="002863D6"/>
    <w:rsid w:val="0028643B"/>
    <w:rsid w:val="002864B6"/>
    <w:rsid w:val="00286603"/>
    <w:rsid w:val="002866C3"/>
    <w:rsid w:val="00286776"/>
    <w:rsid w:val="00286837"/>
    <w:rsid w:val="00286898"/>
    <w:rsid w:val="00286A0C"/>
    <w:rsid w:val="00286A79"/>
    <w:rsid w:val="00286A82"/>
    <w:rsid w:val="00286DC6"/>
    <w:rsid w:val="00286DCD"/>
    <w:rsid w:val="00286E96"/>
    <w:rsid w:val="00286F58"/>
    <w:rsid w:val="00286F92"/>
    <w:rsid w:val="0028702A"/>
    <w:rsid w:val="0028729E"/>
    <w:rsid w:val="0028744F"/>
    <w:rsid w:val="002874FB"/>
    <w:rsid w:val="0028760D"/>
    <w:rsid w:val="00287ADF"/>
    <w:rsid w:val="00287BC6"/>
    <w:rsid w:val="00287D0E"/>
    <w:rsid w:val="00287D7C"/>
    <w:rsid w:val="0029010B"/>
    <w:rsid w:val="00290166"/>
    <w:rsid w:val="00290359"/>
    <w:rsid w:val="0029043A"/>
    <w:rsid w:val="0029043C"/>
    <w:rsid w:val="0029045F"/>
    <w:rsid w:val="00290510"/>
    <w:rsid w:val="00290521"/>
    <w:rsid w:val="00290736"/>
    <w:rsid w:val="00290822"/>
    <w:rsid w:val="002908A3"/>
    <w:rsid w:val="002908DE"/>
    <w:rsid w:val="00290912"/>
    <w:rsid w:val="00290A3A"/>
    <w:rsid w:val="00290A4E"/>
    <w:rsid w:val="00290AB4"/>
    <w:rsid w:val="00290C35"/>
    <w:rsid w:val="00290D1D"/>
    <w:rsid w:val="00291356"/>
    <w:rsid w:val="002913EE"/>
    <w:rsid w:val="002918BE"/>
    <w:rsid w:val="00291930"/>
    <w:rsid w:val="00291A05"/>
    <w:rsid w:val="00291AC9"/>
    <w:rsid w:val="00291B20"/>
    <w:rsid w:val="00291B25"/>
    <w:rsid w:val="00291D42"/>
    <w:rsid w:val="00291DDE"/>
    <w:rsid w:val="00291E8B"/>
    <w:rsid w:val="00291F32"/>
    <w:rsid w:val="00292023"/>
    <w:rsid w:val="00292061"/>
    <w:rsid w:val="002921C4"/>
    <w:rsid w:val="00292254"/>
    <w:rsid w:val="002922B2"/>
    <w:rsid w:val="002922E6"/>
    <w:rsid w:val="002922E9"/>
    <w:rsid w:val="0029236E"/>
    <w:rsid w:val="002923EA"/>
    <w:rsid w:val="00292571"/>
    <w:rsid w:val="002925C1"/>
    <w:rsid w:val="002925D9"/>
    <w:rsid w:val="00292667"/>
    <w:rsid w:val="002926CE"/>
    <w:rsid w:val="00292795"/>
    <w:rsid w:val="00292897"/>
    <w:rsid w:val="002928A7"/>
    <w:rsid w:val="002928DB"/>
    <w:rsid w:val="0029293E"/>
    <w:rsid w:val="00292958"/>
    <w:rsid w:val="00292B08"/>
    <w:rsid w:val="00292B83"/>
    <w:rsid w:val="00292B8C"/>
    <w:rsid w:val="00292B8F"/>
    <w:rsid w:val="00292C4F"/>
    <w:rsid w:val="00292C9A"/>
    <w:rsid w:val="00292EE6"/>
    <w:rsid w:val="00292FFA"/>
    <w:rsid w:val="002930C1"/>
    <w:rsid w:val="00293165"/>
    <w:rsid w:val="00293193"/>
    <w:rsid w:val="00293196"/>
    <w:rsid w:val="002931C2"/>
    <w:rsid w:val="002932F4"/>
    <w:rsid w:val="00293333"/>
    <w:rsid w:val="0029333B"/>
    <w:rsid w:val="00293389"/>
    <w:rsid w:val="00293434"/>
    <w:rsid w:val="00293661"/>
    <w:rsid w:val="00293673"/>
    <w:rsid w:val="00293877"/>
    <w:rsid w:val="002938FA"/>
    <w:rsid w:val="00293937"/>
    <w:rsid w:val="00293CF0"/>
    <w:rsid w:val="00293D72"/>
    <w:rsid w:val="00293D94"/>
    <w:rsid w:val="00293DB6"/>
    <w:rsid w:val="00293E4E"/>
    <w:rsid w:val="00293F1E"/>
    <w:rsid w:val="00293F8C"/>
    <w:rsid w:val="0029404C"/>
    <w:rsid w:val="0029419D"/>
    <w:rsid w:val="002941C9"/>
    <w:rsid w:val="002942AC"/>
    <w:rsid w:val="00294335"/>
    <w:rsid w:val="0029435A"/>
    <w:rsid w:val="002943A5"/>
    <w:rsid w:val="002943E9"/>
    <w:rsid w:val="00294404"/>
    <w:rsid w:val="0029441D"/>
    <w:rsid w:val="002944F3"/>
    <w:rsid w:val="0029477F"/>
    <w:rsid w:val="002948DE"/>
    <w:rsid w:val="002948FD"/>
    <w:rsid w:val="00294B98"/>
    <w:rsid w:val="00294BC9"/>
    <w:rsid w:val="00294C42"/>
    <w:rsid w:val="00294C96"/>
    <w:rsid w:val="00294DD1"/>
    <w:rsid w:val="00294EB9"/>
    <w:rsid w:val="002951A7"/>
    <w:rsid w:val="002952A2"/>
    <w:rsid w:val="00295365"/>
    <w:rsid w:val="00295492"/>
    <w:rsid w:val="0029556D"/>
    <w:rsid w:val="00295745"/>
    <w:rsid w:val="002957CE"/>
    <w:rsid w:val="002958F1"/>
    <w:rsid w:val="0029595F"/>
    <w:rsid w:val="00295A74"/>
    <w:rsid w:val="00295AE2"/>
    <w:rsid w:val="00295BDA"/>
    <w:rsid w:val="00295CC9"/>
    <w:rsid w:val="00295D7C"/>
    <w:rsid w:val="00295D9D"/>
    <w:rsid w:val="00295E60"/>
    <w:rsid w:val="00295E87"/>
    <w:rsid w:val="00296005"/>
    <w:rsid w:val="0029601A"/>
    <w:rsid w:val="00296121"/>
    <w:rsid w:val="0029614A"/>
    <w:rsid w:val="002963FC"/>
    <w:rsid w:val="00296641"/>
    <w:rsid w:val="00296709"/>
    <w:rsid w:val="00296770"/>
    <w:rsid w:val="00296A1A"/>
    <w:rsid w:val="00296CFC"/>
    <w:rsid w:val="00296D7F"/>
    <w:rsid w:val="00296E64"/>
    <w:rsid w:val="002970C3"/>
    <w:rsid w:val="002970D6"/>
    <w:rsid w:val="0029712B"/>
    <w:rsid w:val="00297137"/>
    <w:rsid w:val="002971DF"/>
    <w:rsid w:val="0029726E"/>
    <w:rsid w:val="002974B6"/>
    <w:rsid w:val="002975B0"/>
    <w:rsid w:val="002975FD"/>
    <w:rsid w:val="00297656"/>
    <w:rsid w:val="002976A9"/>
    <w:rsid w:val="00297735"/>
    <w:rsid w:val="002977B3"/>
    <w:rsid w:val="00297848"/>
    <w:rsid w:val="002978DF"/>
    <w:rsid w:val="00297919"/>
    <w:rsid w:val="0029793D"/>
    <w:rsid w:val="00297B05"/>
    <w:rsid w:val="00297BA4"/>
    <w:rsid w:val="00297BAD"/>
    <w:rsid w:val="00297D1E"/>
    <w:rsid w:val="00297E6F"/>
    <w:rsid w:val="00297EF4"/>
    <w:rsid w:val="00297FE6"/>
    <w:rsid w:val="002A00B0"/>
    <w:rsid w:val="002A00C1"/>
    <w:rsid w:val="002A00E5"/>
    <w:rsid w:val="002A0103"/>
    <w:rsid w:val="002A0153"/>
    <w:rsid w:val="002A01FE"/>
    <w:rsid w:val="002A030E"/>
    <w:rsid w:val="002A0358"/>
    <w:rsid w:val="002A0376"/>
    <w:rsid w:val="002A045F"/>
    <w:rsid w:val="002A0541"/>
    <w:rsid w:val="002A0664"/>
    <w:rsid w:val="002A06A0"/>
    <w:rsid w:val="002A07F2"/>
    <w:rsid w:val="002A0869"/>
    <w:rsid w:val="002A0995"/>
    <w:rsid w:val="002A0CA6"/>
    <w:rsid w:val="002A0EC7"/>
    <w:rsid w:val="002A0FF6"/>
    <w:rsid w:val="002A1092"/>
    <w:rsid w:val="002A10C6"/>
    <w:rsid w:val="002A10EB"/>
    <w:rsid w:val="002A11E8"/>
    <w:rsid w:val="002A1293"/>
    <w:rsid w:val="002A12B9"/>
    <w:rsid w:val="002A1468"/>
    <w:rsid w:val="002A14C6"/>
    <w:rsid w:val="002A14F0"/>
    <w:rsid w:val="002A154F"/>
    <w:rsid w:val="002A15C6"/>
    <w:rsid w:val="002A1734"/>
    <w:rsid w:val="002A1862"/>
    <w:rsid w:val="002A19A6"/>
    <w:rsid w:val="002A1A1F"/>
    <w:rsid w:val="002A1A39"/>
    <w:rsid w:val="002A1A3A"/>
    <w:rsid w:val="002A1A9B"/>
    <w:rsid w:val="002A1B40"/>
    <w:rsid w:val="002A1BA2"/>
    <w:rsid w:val="002A1BC9"/>
    <w:rsid w:val="002A1BF4"/>
    <w:rsid w:val="002A1D81"/>
    <w:rsid w:val="002A1E10"/>
    <w:rsid w:val="002A1F0A"/>
    <w:rsid w:val="002A205B"/>
    <w:rsid w:val="002A2221"/>
    <w:rsid w:val="002A23E9"/>
    <w:rsid w:val="002A24EF"/>
    <w:rsid w:val="002A255A"/>
    <w:rsid w:val="002A260B"/>
    <w:rsid w:val="002A26DE"/>
    <w:rsid w:val="002A26F4"/>
    <w:rsid w:val="002A2731"/>
    <w:rsid w:val="002A2945"/>
    <w:rsid w:val="002A2C01"/>
    <w:rsid w:val="002A2CDE"/>
    <w:rsid w:val="002A2CEC"/>
    <w:rsid w:val="002A2D76"/>
    <w:rsid w:val="002A2DF9"/>
    <w:rsid w:val="002A3016"/>
    <w:rsid w:val="002A31A7"/>
    <w:rsid w:val="002A338F"/>
    <w:rsid w:val="002A343B"/>
    <w:rsid w:val="002A3584"/>
    <w:rsid w:val="002A35B5"/>
    <w:rsid w:val="002A3646"/>
    <w:rsid w:val="002A37BD"/>
    <w:rsid w:val="002A3836"/>
    <w:rsid w:val="002A38F3"/>
    <w:rsid w:val="002A3934"/>
    <w:rsid w:val="002A3B9A"/>
    <w:rsid w:val="002A3BEB"/>
    <w:rsid w:val="002A3CB5"/>
    <w:rsid w:val="002A3D58"/>
    <w:rsid w:val="002A3DF1"/>
    <w:rsid w:val="002A3F8C"/>
    <w:rsid w:val="002A4120"/>
    <w:rsid w:val="002A41C4"/>
    <w:rsid w:val="002A424B"/>
    <w:rsid w:val="002A42E4"/>
    <w:rsid w:val="002A433A"/>
    <w:rsid w:val="002A43C1"/>
    <w:rsid w:val="002A4458"/>
    <w:rsid w:val="002A4676"/>
    <w:rsid w:val="002A46F2"/>
    <w:rsid w:val="002A4776"/>
    <w:rsid w:val="002A47AF"/>
    <w:rsid w:val="002A4A6D"/>
    <w:rsid w:val="002A4A97"/>
    <w:rsid w:val="002A4AED"/>
    <w:rsid w:val="002A4B9C"/>
    <w:rsid w:val="002A4BFB"/>
    <w:rsid w:val="002A4C51"/>
    <w:rsid w:val="002A4E34"/>
    <w:rsid w:val="002A4E4A"/>
    <w:rsid w:val="002A4F93"/>
    <w:rsid w:val="002A5232"/>
    <w:rsid w:val="002A5268"/>
    <w:rsid w:val="002A5475"/>
    <w:rsid w:val="002A5638"/>
    <w:rsid w:val="002A5864"/>
    <w:rsid w:val="002A5941"/>
    <w:rsid w:val="002A5992"/>
    <w:rsid w:val="002A59D2"/>
    <w:rsid w:val="002A5A35"/>
    <w:rsid w:val="002A5C39"/>
    <w:rsid w:val="002A5C6D"/>
    <w:rsid w:val="002A5C71"/>
    <w:rsid w:val="002A5C97"/>
    <w:rsid w:val="002A60F9"/>
    <w:rsid w:val="002A6153"/>
    <w:rsid w:val="002A61EB"/>
    <w:rsid w:val="002A6307"/>
    <w:rsid w:val="002A6350"/>
    <w:rsid w:val="002A63B5"/>
    <w:rsid w:val="002A64DB"/>
    <w:rsid w:val="002A65F7"/>
    <w:rsid w:val="002A6601"/>
    <w:rsid w:val="002A66A0"/>
    <w:rsid w:val="002A66C9"/>
    <w:rsid w:val="002A66F8"/>
    <w:rsid w:val="002A689D"/>
    <w:rsid w:val="002A6A0B"/>
    <w:rsid w:val="002A6A41"/>
    <w:rsid w:val="002A6A71"/>
    <w:rsid w:val="002A6AD4"/>
    <w:rsid w:val="002A6ADF"/>
    <w:rsid w:val="002A6B32"/>
    <w:rsid w:val="002A6B3E"/>
    <w:rsid w:val="002A6B46"/>
    <w:rsid w:val="002A6B4A"/>
    <w:rsid w:val="002A6B7E"/>
    <w:rsid w:val="002A6BA5"/>
    <w:rsid w:val="002A6C62"/>
    <w:rsid w:val="002A6D0E"/>
    <w:rsid w:val="002A6FD0"/>
    <w:rsid w:val="002A7114"/>
    <w:rsid w:val="002A7162"/>
    <w:rsid w:val="002A7170"/>
    <w:rsid w:val="002A7193"/>
    <w:rsid w:val="002A725C"/>
    <w:rsid w:val="002A72CD"/>
    <w:rsid w:val="002A72F3"/>
    <w:rsid w:val="002A7302"/>
    <w:rsid w:val="002A74FF"/>
    <w:rsid w:val="002A75A8"/>
    <w:rsid w:val="002A763A"/>
    <w:rsid w:val="002A7743"/>
    <w:rsid w:val="002A7850"/>
    <w:rsid w:val="002A7889"/>
    <w:rsid w:val="002A79E1"/>
    <w:rsid w:val="002A7AD9"/>
    <w:rsid w:val="002A7AF3"/>
    <w:rsid w:val="002A7C72"/>
    <w:rsid w:val="002A7D21"/>
    <w:rsid w:val="002A7D26"/>
    <w:rsid w:val="002A7E69"/>
    <w:rsid w:val="002B0165"/>
    <w:rsid w:val="002B032F"/>
    <w:rsid w:val="002B055E"/>
    <w:rsid w:val="002B0591"/>
    <w:rsid w:val="002B06F9"/>
    <w:rsid w:val="002B0716"/>
    <w:rsid w:val="002B0A01"/>
    <w:rsid w:val="002B0B53"/>
    <w:rsid w:val="002B0B95"/>
    <w:rsid w:val="002B0BE2"/>
    <w:rsid w:val="002B0BF9"/>
    <w:rsid w:val="002B0D94"/>
    <w:rsid w:val="002B0FFC"/>
    <w:rsid w:val="002B105F"/>
    <w:rsid w:val="002B10A3"/>
    <w:rsid w:val="002B115E"/>
    <w:rsid w:val="002B11AD"/>
    <w:rsid w:val="002B1248"/>
    <w:rsid w:val="002B1293"/>
    <w:rsid w:val="002B12CE"/>
    <w:rsid w:val="002B132E"/>
    <w:rsid w:val="002B1380"/>
    <w:rsid w:val="002B1388"/>
    <w:rsid w:val="002B13D0"/>
    <w:rsid w:val="002B14CA"/>
    <w:rsid w:val="002B14DC"/>
    <w:rsid w:val="002B14E4"/>
    <w:rsid w:val="002B163C"/>
    <w:rsid w:val="002B16CB"/>
    <w:rsid w:val="002B16F5"/>
    <w:rsid w:val="002B173F"/>
    <w:rsid w:val="002B1767"/>
    <w:rsid w:val="002B1790"/>
    <w:rsid w:val="002B1832"/>
    <w:rsid w:val="002B1891"/>
    <w:rsid w:val="002B18A3"/>
    <w:rsid w:val="002B1929"/>
    <w:rsid w:val="002B1A85"/>
    <w:rsid w:val="002B1B93"/>
    <w:rsid w:val="002B1EA8"/>
    <w:rsid w:val="002B1EF7"/>
    <w:rsid w:val="002B203B"/>
    <w:rsid w:val="002B20A0"/>
    <w:rsid w:val="002B2162"/>
    <w:rsid w:val="002B220D"/>
    <w:rsid w:val="002B230E"/>
    <w:rsid w:val="002B2321"/>
    <w:rsid w:val="002B2398"/>
    <w:rsid w:val="002B2479"/>
    <w:rsid w:val="002B253A"/>
    <w:rsid w:val="002B2798"/>
    <w:rsid w:val="002B283E"/>
    <w:rsid w:val="002B29EE"/>
    <w:rsid w:val="002B2BB3"/>
    <w:rsid w:val="002B2BDD"/>
    <w:rsid w:val="002B2C29"/>
    <w:rsid w:val="002B2C89"/>
    <w:rsid w:val="002B2CCE"/>
    <w:rsid w:val="002B2D1E"/>
    <w:rsid w:val="002B2D52"/>
    <w:rsid w:val="002B2DCA"/>
    <w:rsid w:val="002B31AC"/>
    <w:rsid w:val="002B327D"/>
    <w:rsid w:val="002B330C"/>
    <w:rsid w:val="002B3348"/>
    <w:rsid w:val="002B33FA"/>
    <w:rsid w:val="002B34EA"/>
    <w:rsid w:val="002B34EE"/>
    <w:rsid w:val="002B3638"/>
    <w:rsid w:val="002B3644"/>
    <w:rsid w:val="002B3769"/>
    <w:rsid w:val="002B37A1"/>
    <w:rsid w:val="002B37DB"/>
    <w:rsid w:val="002B38A2"/>
    <w:rsid w:val="002B39B8"/>
    <w:rsid w:val="002B3A93"/>
    <w:rsid w:val="002B3ADC"/>
    <w:rsid w:val="002B3B46"/>
    <w:rsid w:val="002B3B7F"/>
    <w:rsid w:val="002B3B9B"/>
    <w:rsid w:val="002B3CCE"/>
    <w:rsid w:val="002B3D25"/>
    <w:rsid w:val="002B3D43"/>
    <w:rsid w:val="002B3EDE"/>
    <w:rsid w:val="002B3FB8"/>
    <w:rsid w:val="002B403F"/>
    <w:rsid w:val="002B4167"/>
    <w:rsid w:val="002B41A9"/>
    <w:rsid w:val="002B4363"/>
    <w:rsid w:val="002B437F"/>
    <w:rsid w:val="002B439F"/>
    <w:rsid w:val="002B464C"/>
    <w:rsid w:val="002B4667"/>
    <w:rsid w:val="002B4696"/>
    <w:rsid w:val="002B47F8"/>
    <w:rsid w:val="002B48E3"/>
    <w:rsid w:val="002B496F"/>
    <w:rsid w:val="002B49C9"/>
    <w:rsid w:val="002B49E4"/>
    <w:rsid w:val="002B4BA8"/>
    <w:rsid w:val="002B4BFC"/>
    <w:rsid w:val="002B4D1B"/>
    <w:rsid w:val="002B4D97"/>
    <w:rsid w:val="002B4E15"/>
    <w:rsid w:val="002B4E6C"/>
    <w:rsid w:val="002B4F92"/>
    <w:rsid w:val="002B50A9"/>
    <w:rsid w:val="002B50F1"/>
    <w:rsid w:val="002B5250"/>
    <w:rsid w:val="002B5452"/>
    <w:rsid w:val="002B54D9"/>
    <w:rsid w:val="002B5560"/>
    <w:rsid w:val="002B5790"/>
    <w:rsid w:val="002B5895"/>
    <w:rsid w:val="002B5996"/>
    <w:rsid w:val="002B59D8"/>
    <w:rsid w:val="002B5B14"/>
    <w:rsid w:val="002B5C8E"/>
    <w:rsid w:val="002B5E60"/>
    <w:rsid w:val="002B5E63"/>
    <w:rsid w:val="002B5F9A"/>
    <w:rsid w:val="002B5FEB"/>
    <w:rsid w:val="002B6019"/>
    <w:rsid w:val="002B60C2"/>
    <w:rsid w:val="002B60DB"/>
    <w:rsid w:val="002B617E"/>
    <w:rsid w:val="002B61E7"/>
    <w:rsid w:val="002B6258"/>
    <w:rsid w:val="002B63BA"/>
    <w:rsid w:val="002B64E6"/>
    <w:rsid w:val="002B6678"/>
    <w:rsid w:val="002B68B2"/>
    <w:rsid w:val="002B692F"/>
    <w:rsid w:val="002B69C3"/>
    <w:rsid w:val="002B6A58"/>
    <w:rsid w:val="002B6B01"/>
    <w:rsid w:val="002B6B64"/>
    <w:rsid w:val="002B6DA7"/>
    <w:rsid w:val="002B6EB1"/>
    <w:rsid w:val="002B6EE7"/>
    <w:rsid w:val="002B6F85"/>
    <w:rsid w:val="002B7004"/>
    <w:rsid w:val="002B721F"/>
    <w:rsid w:val="002B73B5"/>
    <w:rsid w:val="002B7456"/>
    <w:rsid w:val="002B75BE"/>
    <w:rsid w:val="002B774C"/>
    <w:rsid w:val="002B7913"/>
    <w:rsid w:val="002B7975"/>
    <w:rsid w:val="002B7A05"/>
    <w:rsid w:val="002B7A3F"/>
    <w:rsid w:val="002B7C84"/>
    <w:rsid w:val="002B7F37"/>
    <w:rsid w:val="002B7F6C"/>
    <w:rsid w:val="002B7FAA"/>
    <w:rsid w:val="002C00C0"/>
    <w:rsid w:val="002C01CE"/>
    <w:rsid w:val="002C027C"/>
    <w:rsid w:val="002C03CC"/>
    <w:rsid w:val="002C03FA"/>
    <w:rsid w:val="002C042C"/>
    <w:rsid w:val="002C04F5"/>
    <w:rsid w:val="002C0626"/>
    <w:rsid w:val="002C075B"/>
    <w:rsid w:val="002C07C5"/>
    <w:rsid w:val="002C0942"/>
    <w:rsid w:val="002C0CEB"/>
    <w:rsid w:val="002C0D69"/>
    <w:rsid w:val="002C0D6E"/>
    <w:rsid w:val="002C114A"/>
    <w:rsid w:val="002C12FD"/>
    <w:rsid w:val="002C16A9"/>
    <w:rsid w:val="002C1707"/>
    <w:rsid w:val="002C17A8"/>
    <w:rsid w:val="002C18C3"/>
    <w:rsid w:val="002C1A0E"/>
    <w:rsid w:val="002C1B20"/>
    <w:rsid w:val="002C1C8E"/>
    <w:rsid w:val="002C1D55"/>
    <w:rsid w:val="002C1DB5"/>
    <w:rsid w:val="002C1E2D"/>
    <w:rsid w:val="002C1E38"/>
    <w:rsid w:val="002C1EDF"/>
    <w:rsid w:val="002C1FAC"/>
    <w:rsid w:val="002C2064"/>
    <w:rsid w:val="002C24A6"/>
    <w:rsid w:val="002C258B"/>
    <w:rsid w:val="002C264E"/>
    <w:rsid w:val="002C26D9"/>
    <w:rsid w:val="002C2890"/>
    <w:rsid w:val="002C2893"/>
    <w:rsid w:val="002C29F9"/>
    <w:rsid w:val="002C2A37"/>
    <w:rsid w:val="002C2AB3"/>
    <w:rsid w:val="002C2B8F"/>
    <w:rsid w:val="002C2D47"/>
    <w:rsid w:val="002C2DDC"/>
    <w:rsid w:val="002C2FAC"/>
    <w:rsid w:val="002C3026"/>
    <w:rsid w:val="002C3224"/>
    <w:rsid w:val="002C3432"/>
    <w:rsid w:val="002C349C"/>
    <w:rsid w:val="002C3547"/>
    <w:rsid w:val="002C3577"/>
    <w:rsid w:val="002C3616"/>
    <w:rsid w:val="002C3688"/>
    <w:rsid w:val="002C38B7"/>
    <w:rsid w:val="002C3BFA"/>
    <w:rsid w:val="002C3D87"/>
    <w:rsid w:val="002C3DC9"/>
    <w:rsid w:val="002C3EEF"/>
    <w:rsid w:val="002C3F9A"/>
    <w:rsid w:val="002C3FEC"/>
    <w:rsid w:val="002C405F"/>
    <w:rsid w:val="002C410D"/>
    <w:rsid w:val="002C41AA"/>
    <w:rsid w:val="002C41CA"/>
    <w:rsid w:val="002C43AC"/>
    <w:rsid w:val="002C4413"/>
    <w:rsid w:val="002C4495"/>
    <w:rsid w:val="002C44A9"/>
    <w:rsid w:val="002C4645"/>
    <w:rsid w:val="002C4651"/>
    <w:rsid w:val="002C466E"/>
    <w:rsid w:val="002C4760"/>
    <w:rsid w:val="002C4803"/>
    <w:rsid w:val="002C4A21"/>
    <w:rsid w:val="002C4A45"/>
    <w:rsid w:val="002C4A7D"/>
    <w:rsid w:val="002C4BA3"/>
    <w:rsid w:val="002C4BB4"/>
    <w:rsid w:val="002C4CC6"/>
    <w:rsid w:val="002C4D59"/>
    <w:rsid w:val="002C4E4E"/>
    <w:rsid w:val="002C4F32"/>
    <w:rsid w:val="002C515E"/>
    <w:rsid w:val="002C51FA"/>
    <w:rsid w:val="002C525D"/>
    <w:rsid w:val="002C530D"/>
    <w:rsid w:val="002C53C4"/>
    <w:rsid w:val="002C53FB"/>
    <w:rsid w:val="002C5428"/>
    <w:rsid w:val="002C54ED"/>
    <w:rsid w:val="002C552E"/>
    <w:rsid w:val="002C561F"/>
    <w:rsid w:val="002C5687"/>
    <w:rsid w:val="002C5819"/>
    <w:rsid w:val="002C5935"/>
    <w:rsid w:val="002C5970"/>
    <w:rsid w:val="002C59F5"/>
    <w:rsid w:val="002C5A8C"/>
    <w:rsid w:val="002C5B16"/>
    <w:rsid w:val="002C5D63"/>
    <w:rsid w:val="002C5D9C"/>
    <w:rsid w:val="002C5DE1"/>
    <w:rsid w:val="002C5E39"/>
    <w:rsid w:val="002C5E5F"/>
    <w:rsid w:val="002C5E89"/>
    <w:rsid w:val="002C5E9F"/>
    <w:rsid w:val="002C5F97"/>
    <w:rsid w:val="002C5FBB"/>
    <w:rsid w:val="002C6057"/>
    <w:rsid w:val="002C60F9"/>
    <w:rsid w:val="002C613F"/>
    <w:rsid w:val="002C6263"/>
    <w:rsid w:val="002C6293"/>
    <w:rsid w:val="002C6300"/>
    <w:rsid w:val="002C63EE"/>
    <w:rsid w:val="002C6475"/>
    <w:rsid w:val="002C678A"/>
    <w:rsid w:val="002C67C1"/>
    <w:rsid w:val="002C6879"/>
    <w:rsid w:val="002C6987"/>
    <w:rsid w:val="002C69B6"/>
    <w:rsid w:val="002C6A19"/>
    <w:rsid w:val="002C6A4B"/>
    <w:rsid w:val="002C6FFD"/>
    <w:rsid w:val="002C70F7"/>
    <w:rsid w:val="002C7147"/>
    <w:rsid w:val="002C7339"/>
    <w:rsid w:val="002C7372"/>
    <w:rsid w:val="002C7464"/>
    <w:rsid w:val="002C74AE"/>
    <w:rsid w:val="002C74F7"/>
    <w:rsid w:val="002C7542"/>
    <w:rsid w:val="002C75A7"/>
    <w:rsid w:val="002C7850"/>
    <w:rsid w:val="002C796C"/>
    <w:rsid w:val="002C7C0D"/>
    <w:rsid w:val="002C7CF0"/>
    <w:rsid w:val="002C7FF3"/>
    <w:rsid w:val="002D002D"/>
    <w:rsid w:val="002D0041"/>
    <w:rsid w:val="002D00D6"/>
    <w:rsid w:val="002D01E2"/>
    <w:rsid w:val="002D0384"/>
    <w:rsid w:val="002D0421"/>
    <w:rsid w:val="002D048B"/>
    <w:rsid w:val="002D058B"/>
    <w:rsid w:val="002D06BF"/>
    <w:rsid w:val="002D06D1"/>
    <w:rsid w:val="002D0767"/>
    <w:rsid w:val="002D07F2"/>
    <w:rsid w:val="002D0965"/>
    <w:rsid w:val="002D0A78"/>
    <w:rsid w:val="002D0AD9"/>
    <w:rsid w:val="002D0B8A"/>
    <w:rsid w:val="002D0BB9"/>
    <w:rsid w:val="002D0C79"/>
    <w:rsid w:val="002D0D21"/>
    <w:rsid w:val="002D0EB9"/>
    <w:rsid w:val="002D0F42"/>
    <w:rsid w:val="002D0F4A"/>
    <w:rsid w:val="002D1048"/>
    <w:rsid w:val="002D10A7"/>
    <w:rsid w:val="002D110A"/>
    <w:rsid w:val="002D11D5"/>
    <w:rsid w:val="002D1420"/>
    <w:rsid w:val="002D1501"/>
    <w:rsid w:val="002D150F"/>
    <w:rsid w:val="002D15FF"/>
    <w:rsid w:val="002D1880"/>
    <w:rsid w:val="002D1898"/>
    <w:rsid w:val="002D1902"/>
    <w:rsid w:val="002D19A5"/>
    <w:rsid w:val="002D19C6"/>
    <w:rsid w:val="002D1A83"/>
    <w:rsid w:val="002D1C11"/>
    <w:rsid w:val="002D1D0F"/>
    <w:rsid w:val="002D1E37"/>
    <w:rsid w:val="002D1F0D"/>
    <w:rsid w:val="002D218B"/>
    <w:rsid w:val="002D2232"/>
    <w:rsid w:val="002D22A4"/>
    <w:rsid w:val="002D22B2"/>
    <w:rsid w:val="002D22C7"/>
    <w:rsid w:val="002D2468"/>
    <w:rsid w:val="002D2491"/>
    <w:rsid w:val="002D25C9"/>
    <w:rsid w:val="002D2747"/>
    <w:rsid w:val="002D2AD1"/>
    <w:rsid w:val="002D2B3D"/>
    <w:rsid w:val="002D2B4F"/>
    <w:rsid w:val="002D2C68"/>
    <w:rsid w:val="002D2D34"/>
    <w:rsid w:val="002D2EF0"/>
    <w:rsid w:val="002D2FDD"/>
    <w:rsid w:val="002D306C"/>
    <w:rsid w:val="002D3129"/>
    <w:rsid w:val="002D3177"/>
    <w:rsid w:val="002D3396"/>
    <w:rsid w:val="002D3451"/>
    <w:rsid w:val="002D358B"/>
    <w:rsid w:val="002D36D0"/>
    <w:rsid w:val="002D374E"/>
    <w:rsid w:val="002D38B2"/>
    <w:rsid w:val="002D38BC"/>
    <w:rsid w:val="002D38E0"/>
    <w:rsid w:val="002D3922"/>
    <w:rsid w:val="002D3979"/>
    <w:rsid w:val="002D3A6C"/>
    <w:rsid w:val="002D3E00"/>
    <w:rsid w:val="002D3E6C"/>
    <w:rsid w:val="002D3ECE"/>
    <w:rsid w:val="002D3FC6"/>
    <w:rsid w:val="002D4129"/>
    <w:rsid w:val="002D4245"/>
    <w:rsid w:val="002D433F"/>
    <w:rsid w:val="002D43D4"/>
    <w:rsid w:val="002D4415"/>
    <w:rsid w:val="002D4466"/>
    <w:rsid w:val="002D44D4"/>
    <w:rsid w:val="002D4640"/>
    <w:rsid w:val="002D475E"/>
    <w:rsid w:val="002D48F5"/>
    <w:rsid w:val="002D4935"/>
    <w:rsid w:val="002D493E"/>
    <w:rsid w:val="002D4976"/>
    <w:rsid w:val="002D4BB4"/>
    <w:rsid w:val="002D4BB9"/>
    <w:rsid w:val="002D4BDC"/>
    <w:rsid w:val="002D4D76"/>
    <w:rsid w:val="002D4EC9"/>
    <w:rsid w:val="002D526A"/>
    <w:rsid w:val="002D550C"/>
    <w:rsid w:val="002D5679"/>
    <w:rsid w:val="002D56E3"/>
    <w:rsid w:val="002D57D9"/>
    <w:rsid w:val="002D589A"/>
    <w:rsid w:val="002D58D1"/>
    <w:rsid w:val="002D58FF"/>
    <w:rsid w:val="002D59F8"/>
    <w:rsid w:val="002D5A22"/>
    <w:rsid w:val="002D5B0B"/>
    <w:rsid w:val="002D5B48"/>
    <w:rsid w:val="002D5C84"/>
    <w:rsid w:val="002D5C97"/>
    <w:rsid w:val="002D5C99"/>
    <w:rsid w:val="002D6132"/>
    <w:rsid w:val="002D6150"/>
    <w:rsid w:val="002D62B2"/>
    <w:rsid w:val="002D6309"/>
    <w:rsid w:val="002D64ED"/>
    <w:rsid w:val="002D6508"/>
    <w:rsid w:val="002D6645"/>
    <w:rsid w:val="002D664A"/>
    <w:rsid w:val="002D666B"/>
    <w:rsid w:val="002D66EF"/>
    <w:rsid w:val="002D6878"/>
    <w:rsid w:val="002D687A"/>
    <w:rsid w:val="002D68B1"/>
    <w:rsid w:val="002D694E"/>
    <w:rsid w:val="002D69B8"/>
    <w:rsid w:val="002D6AF8"/>
    <w:rsid w:val="002D6B4F"/>
    <w:rsid w:val="002D6B58"/>
    <w:rsid w:val="002D6B64"/>
    <w:rsid w:val="002D6C05"/>
    <w:rsid w:val="002D6CF5"/>
    <w:rsid w:val="002D6D4D"/>
    <w:rsid w:val="002D6F74"/>
    <w:rsid w:val="002D6FDB"/>
    <w:rsid w:val="002D71B3"/>
    <w:rsid w:val="002D730D"/>
    <w:rsid w:val="002D74E9"/>
    <w:rsid w:val="002D772C"/>
    <w:rsid w:val="002D7732"/>
    <w:rsid w:val="002D7734"/>
    <w:rsid w:val="002D776F"/>
    <w:rsid w:val="002D77BB"/>
    <w:rsid w:val="002D7A8B"/>
    <w:rsid w:val="002D7BB6"/>
    <w:rsid w:val="002D7D00"/>
    <w:rsid w:val="002E0110"/>
    <w:rsid w:val="002E0111"/>
    <w:rsid w:val="002E0187"/>
    <w:rsid w:val="002E0222"/>
    <w:rsid w:val="002E027F"/>
    <w:rsid w:val="002E02B9"/>
    <w:rsid w:val="002E02C6"/>
    <w:rsid w:val="002E0346"/>
    <w:rsid w:val="002E042C"/>
    <w:rsid w:val="002E048C"/>
    <w:rsid w:val="002E04B4"/>
    <w:rsid w:val="002E04C8"/>
    <w:rsid w:val="002E060D"/>
    <w:rsid w:val="002E087C"/>
    <w:rsid w:val="002E09AC"/>
    <w:rsid w:val="002E0C2B"/>
    <w:rsid w:val="002E0CF4"/>
    <w:rsid w:val="002E0D2A"/>
    <w:rsid w:val="002E0D8E"/>
    <w:rsid w:val="002E0DC1"/>
    <w:rsid w:val="002E0FAC"/>
    <w:rsid w:val="002E1090"/>
    <w:rsid w:val="002E10A6"/>
    <w:rsid w:val="002E121C"/>
    <w:rsid w:val="002E1235"/>
    <w:rsid w:val="002E1469"/>
    <w:rsid w:val="002E14BB"/>
    <w:rsid w:val="002E155B"/>
    <w:rsid w:val="002E167C"/>
    <w:rsid w:val="002E170E"/>
    <w:rsid w:val="002E179A"/>
    <w:rsid w:val="002E1808"/>
    <w:rsid w:val="002E1992"/>
    <w:rsid w:val="002E19E4"/>
    <w:rsid w:val="002E1BD3"/>
    <w:rsid w:val="002E1C4F"/>
    <w:rsid w:val="002E1DA8"/>
    <w:rsid w:val="002E1E8D"/>
    <w:rsid w:val="002E2041"/>
    <w:rsid w:val="002E2221"/>
    <w:rsid w:val="002E228D"/>
    <w:rsid w:val="002E22E4"/>
    <w:rsid w:val="002E2406"/>
    <w:rsid w:val="002E25D4"/>
    <w:rsid w:val="002E2638"/>
    <w:rsid w:val="002E26C5"/>
    <w:rsid w:val="002E2700"/>
    <w:rsid w:val="002E2780"/>
    <w:rsid w:val="002E2D58"/>
    <w:rsid w:val="002E2D9D"/>
    <w:rsid w:val="002E2DBC"/>
    <w:rsid w:val="002E2E41"/>
    <w:rsid w:val="002E2F15"/>
    <w:rsid w:val="002E30CB"/>
    <w:rsid w:val="002E337F"/>
    <w:rsid w:val="002E36C7"/>
    <w:rsid w:val="002E36D2"/>
    <w:rsid w:val="002E372D"/>
    <w:rsid w:val="002E378A"/>
    <w:rsid w:val="002E37E8"/>
    <w:rsid w:val="002E3973"/>
    <w:rsid w:val="002E39AC"/>
    <w:rsid w:val="002E3B52"/>
    <w:rsid w:val="002E3B77"/>
    <w:rsid w:val="002E3C05"/>
    <w:rsid w:val="002E3C72"/>
    <w:rsid w:val="002E3C9F"/>
    <w:rsid w:val="002E3CD9"/>
    <w:rsid w:val="002E3D6A"/>
    <w:rsid w:val="002E3FDA"/>
    <w:rsid w:val="002E4009"/>
    <w:rsid w:val="002E40B2"/>
    <w:rsid w:val="002E4340"/>
    <w:rsid w:val="002E4773"/>
    <w:rsid w:val="002E4832"/>
    <w:rsid w:val="002E4939"/>
    <w:rsid w:val="002E4B0B"/>
    <w:rsid w:val="002E4BD1"/>
    <w:rsid w:val="002E4D08"/>
    <w:rsid w:val="002E4D52"/>
    <w:rsid w:val="002E4D68"/>
    <w:rsid w:val="002E4F1E"/>
    <w:rsid w:val="002E4F34"/>
    <w:rsid w:val="002E4F66"/>
    <w:rsid w:val="002E4F93"/>
    <w:rsid w:val="002E5202"/>
    <w:rsid w:val="002E52E0"/>
    <w:rsid w:val="002E5490"/>
    <w:rsid w:val="002E54C1"/>
    <w:rsid w:val="002E557B"/>
    <w:rsid w:val="002E5587"/>
    <w:rsid w:val="002E57C7"/>
    <w:rsid w:val="002E57DD"/>
    <w:rsid w:val="002E58DF"/>
    <w:rsid w:val="002E5963"/>
    <w:rsid w:val="002E59B8"/>
    <w:rsid w:val="002E5A2B"/>
    <w:rsid w:val="002E5BAD"/>
    <w:rsid w:val="002E5C5C"/>
    <w:rsid w:val="002E5DB6"/>
    <w:rsid w:val="002E5ECD"/>
    <w:rsid w:val="002E5F0D"/>
    <w:rsid w:val="002E5F20"/>
    <w:rsid w:val="002E60D7"/>
    <w:rsid w:val="002E618E"/>
    <w:rsid w:val="002E61D0"/>
    <w:rsid w:val="002E626E"/>
    <w:rsid w:val="002E6282"/>
    <w:rsid w:val="002E63C9"/>
    <w:rsid w:val="002E63E7"/>
    <w:rsid w:val="002E6453"/>
    <w:rsid w:val="002E64F2"/>
    <w:rsid w:val="002E6536"/>
    <w:rsid w:val="002E67B3"/>
    <w:rsid w:val="002E6B7D"/>
    <w:rsid w:val="002E6D00"/>
    <w:rsid w:val="002E6D7E"/>
    <w:rsid w:val="002E6D85"/>
    <w:rsid w:val="002E6DB4"/>
    <w:rsid w:val="002E6E28"/>
    <w:rsid w:val="002E6E89"/>
    <w:rsid w:val="002E6FCE"/>
    <w:rsid w:val="002E70A7"/>
    <w:rsid w:val="002E7219"/>
    <w:rsid w:val="002E7230"/>
    <w:rsid w:val="002E740E"/>
    <w:rsid w:val="002E757E"/>
    <w:rsid w:val="002E7671"/>
    <w:rsid w:val="002E76AE"/>
    <w:rsid w:val="002E76BC"/>
    <w:rsid w:val="002E78C7"/>
    <w:rsid w:val="002E78EA"/>
    <w:rsid w:val="002E7934"/>
    <w:rsid w:val="002E79AB"/>
    <w:rsid w:val="002E7BF8"/>
    <w:rsid w:val="002E7DE2"/>
    <w:rsid w:val="002E7E0D"/>
    <w:rsid w:val="002E7E2D"/>
    <w:rsid w:val="002E7E55"/>
    <w:rsid w:val="002EB00A"/>
    <w:rsid w:val="002F000A"/>
    <w:rsid w:val="002F0061"/>
    <w:rsid w:val="002F00EC"/>
    <w:rsid w:val="002F04FC"/>
    <w:rsid w:val="002F0527"/>
    <w:rsid w:val="002F06A0"/>
    <w:rsid w:val="002F0732"/>
    <w:rsid w:val="002F0761"/>
    <w:rsid w:val="002F07EB"/>
    <w:rsid w:val="002F09D1"/>
    <w:rsid w:val="002F0AD5"/>
    <w:rsid w:val="002F0D1D"/>
    <w:rsid w:val="002F0E26"/>
    <w:rsid w:val="002F10D2"/>
    <w:rsid w:val="002F1191"/>
    <w:rsid w:val="002F1199"/>
    <w:rsid w:val="002F11A5"/>
    <w:rsid w:val="002F11CB"/>
    <w:rsid w:val="002F1216"/>
    <w:rsid w:val="002F1253"/>
    <w:rsid w:val="002F125B"/>
    <w:rsid w:val="002F1289"/>
    <w:rsid w:val="002F12EF"/>
    <w:rsid w:val="002F15F4"/>
    <w:rsid w:val="002F1743"/>
    <w:rsid w:val="002F17A1"/>
    <w:rsid w:val="002F17C3"/>
    <w:rsid w:val="002F18A6"/>
    <w:rsid w:val="002F1A4B"/>
    <w:rsid w:val="002F1A80"/>
    <w:rsid w:val="002F1B2D"/>
    <w:rsid w:val="002F1B9C"/>
    <w:rsid w:val="002F1C1C"/>
    <w:rsid w:val="002F1C4C"/>
    <w:rsid w:val="002F1D32"/>
    <w:rsid w:val="002F1D51"/>
    <w:rsid w:val="002F1DA0"/>
    <w:rsid w:val="002F1DCA"/>
    <w:rsid w:val="002F1E92"/>
    <w:rsid w:val="002F1EB2"/>
    <w:rsid w:val="002F228C"/>
    <w:rsid w:val="002F24BA"/>
    <w:rsid w:val="002F24BC"/>
    <w:rsid w:val="002F26BE"/>
    <w:rsid w:val="002F2708"/>
    <w:rsid w:val="002F2751"/>
    <w:rsid w:val="002F27A3"/>
    <w:rsid w:val="002F2811"/>
    <w:rsid w:val="002F2CB3"/>
    <w:rsid w:val="002F2D0A"/>
    <w:rsid w:val="002F2DAE"/>
    <w:rsid w:val="002F2E52"/>
    <w:rsid w:val="002F2E71"/>
    <w:rsid w:val="002F2F54"/>
    <w:rsid w:val="002F2FF7"/>
    <w:rsid w:val="002F30CB"/>
    <w:rsid w:val="002F3132"/>
    <w:rsid w:val="002F31A0"/>
    <w:rsid w:val="002F31A2"/>
    <w:rsid w:val="002F3381"/>
    <w:rsid w:val="002F33B3"/>
    <w:rsid w:val="002F36CB"/>
    <w:rsid w:val="002F3753"/>
    <w:rsid w:val="002F3759"/>
    <w:rsid w:val="002F37EC"/>
    <w:rsid w:val="002F38FD"/>
    <w:rsid w:val="002F3A26"/>
    <w:rsid w:val="002F3A6E"/>
    <w:rsid w:val="002F3B1F"/>
    <w:rsid w:val="002F3B47"/>
    <w:rsid w:val="002F3CC6"/>
    <w:rsid w:val="002F3E23"/>
    <w:rsid w:val="002F3ECA"/>
    <w:rsid w:val="002F400C"/>
    <w:rsid w:val="002F4050"/>
    <w:rsid w:val="002F4078"/>
    <w:rsid w:val="002F4089"/>
    <w:rsid w:val="002F40C9"/>
    <w:rsid w:val="002F40F2"/>
    <w:rsid w:val="002F42CA"/>
    <w:rsid w:val="002F42FE"/>
    <w:rsid w:val="002F43A9"/>
    <w:rsid w:val="002F44E9"/>
    <w:rsid w:val="002F4553"/>
    <w:rsid w:val="002F45CE"/>
    <w:rsid w:val="002F4628"/>
    <w:rsid w:val="002F4B55"/>
    <w:rsid w:val="002F4B77"/>
    <w:rsid w:val="002F4D0C"/>
    <w:rsid w:val="002F4FD7"/>
    <w:rsid w:val="002F5034"/>
    <w:rsid w:val="002F5046"/>
    <w:rsid w:val="002F50A4"/>
    <w:rsid w:val="002F50EF"/>
    <w:rsid w:val="002F51B3"/>
    <w:rsid w:val="002F535E"/>
    <w:rsid w:val="002F538D"/>
    <w:rsid w:val="002F53D3"/>
    <w:rsid w:val="002F563D"/>
    <w:rsid w:val="002F5657"/>
    <w:rsid w:val="002F568D"/>
    <w:rsid w:val="002F5784"/>
    <w:rsid w:val="002F57B3"/>
    <w:rsid w:val="002F589F"/>
    <w:rsid w:val="002F590F"/>
    <w:rsid w:val="002F5A9B"/>
    <w:rsid w:val="002F5AA7"/>
    <w:rsid w:val="002F5CE5"/>
    <w:rsid w:val="002F5E18"/>
    <w:rsid w:val="002F5F44"/>
    <w:rsid w:val="002F5F66"/>
    <w:rsid w:val="002F5FBD"/>
    <w:rsid w:val="002F638D"/>
    <w:rsid w:val="002F6420"/>
    <w:rsid w:val="002F64C0"/>
    <w:rsid w:val="002F65B8"/>
    <w:rsid w:val="002F65D8"/>
    <w:rsid w:val="002F6683"/>
    <w:rsid w:val="002F681A"/>
    <w:rsid w:val="002F698D"/>
    <w:rsid w:val="002F6998"/>
    <w:rsid w:val="002F6D13"/>
    <w:rsid w:val="002F6E45"/>
    <w:rsid w:val="002F6E77"/>
    <w:rsid w:val="002F6EFD"/>
    <w:rsid w:val="002F6F10"/>
    <w:rsid w:val="002F6F24"/>
    <w:rsid w:val="002F7106"/>
    <w:rsid w:val="002F723D"/>
    <w:rsid w:val="002F74AA"/>
    <w:rsid w:val="002F7597"/>
    <w:rsid w:val="002F7599"/>
    <w:rsid w:val="002F7674"/>
    <w:rsid w:val="002F777E"/>
    <w:rsid w:val="002F78C7"/>
    <w:rsid w:val="002F7B7E"/>
    <w:rsid w:val="002F7BB3"/>
    <w:rsid w:val="002F7BBD"/>
    <w:rsid w:val="002F7C02"/>
    <w:rsid w:val="002F7DA1"/>
    <w:rsid w:val="003001A0"/>
    <w:rsid w:val="00300276"/>
    <w:rsid w:val="0030048E"/>
    <w:rsid w:val="00300640"/>
    <w:rsid w:val="0030068C"/>
    <w:rsid w:val="003006D9"/>
    <w:rsid w:val="00300713"/>
    <w:rsid w:val="003007B0"/>
    <w:rsid w:val="003007E0"/>
    <w:rsid w:val="00300871"/>
    <w:rsid w:val="0030095E"/>
    <w:rsid w:val="00300A65"/>
    <w:rsid w:val="00300B06"/>
    <w:rsid w:val="00300C42"/>
    <w:rsid w:val="00300D02"/>
    <w:rsid w:val="00300DEB"/>
    <w:rsid w:val="00300E2C"/>
    <w:rsid w:val="0030110D"/>
    <w:rsid w:val="00301134"/>
    <w:rsid w:val="0030113A"/>
    <w:rsid w:val="003011B7"/>
    <w:rsid w:val="003011C5"/>
    <w:rsid w:val="0030121A"/>
    <w:rsid w:val="00301319"/>
    <w:rsid w:val="00301664"/>
    <w:rsid w:val="003017C5"/>
    <w:rsid w:val="00301800"/>
    <w:rsid w:val="00301C08"/>
    <w:rsid w:val="00302038"/>
    <w:rsid w:val="00302069"/>
    <w:rsid w:val="00302146"/>
    <w:rsid w:val="003021F3"/>
    <w:rsid w:val="0030227D"/>
    <w:rsid w:val="00302319"/>
    <w:rsid w:val="00302356"/>
    <w:rsid w:val="00302499"/>
    <w:rsid w:val="003024AD"/>
    <w:rsid w:val="00302520"/>
    <w:rsid w:val="003025CF"/>
    <w:rsid w:val="003025DB"/>
    <w:rsid w:val="003026C0"/>
    <w:rsid w:val="00302736"/>
    <w:rsid w:val="00302790"/>
    <w:rsid w:val="003027B0"/>
    <w:rsid w:val="003028E8"/>
    <w:rsid w:val="00302917"/>
    <w:rsid w:val="00302C57"/>
    <w:rsid w:val="00302CCC"/>
    <w:rsid w:val="00302D3E"/>
    <w:rsid w:val="00302D9F"/>
    <w:rsid w:val="00302DE5"/>
    <w:rsid w:val="0030320F"/>
    <w:rsid w:val="0030337D"/>
    <w:rsid w:val="00303580"/>
    <w:rsid w:val="00303723"/>
    <w:rsid w:val="0030374D"/>
    <w:rsid w:val="0030390D"/>
    <w:rsid w:val="0030398A"/>
    <w:rsid w:val="00303CD8"/>
    <w:rsid w:val="00303D4A"/>
    <w:rsid w:val="00303E0A"/>
    <w:rsid w:val="00303E18"/>
    <w:rsid w:val="00303E3F"/>
    <w:rsid w:val="00303ED8"/>
    <w:rsid w:val="00303F46"/>
    <w:rsid w:val="00303FF3"/>
    <w:rsid w:val="00304013"/>
    <w:rsid w:val="00304025"/>
    <w:rsid w:val="00304145"/>
    <w:rsid w:val="00304207"/>
    <w:rsid w:val="0030423F"/>
    <w:rsid w:val="0030434F"/>
    <w:rsid w:val="0030442E"/>
    <w:rsid w:val="00304560"/>
    <w:rsid w:val="003045E2"/>
    <w:rsid w:val="003046A4"/>
    <w:rsid w:val="00304781"/>
    <w:rsid w:val="0030487D"/>
    <w:rsid w:val="00304C19"/>
    <w:rsid w:val="00304D1A"/>
    <w:rsid w:val="00304E3F"/>
    <w:rsid w:val="00304E71"/>
    <w:rsid w:val="00304E91"/>
    <w:rsid w:val="00304F2F"/>
    <w:rsid w:val="00304F70"/>
    <w:rsid w:val="00304FE4"/>
    <w:rsid w:val="003050B6"/>
    <w:rsid w:val="003050CF"/>
    <w:rsid w:val="003050DB"/>
    <w:rsid w:val="00305178"/>
    <w:rsid w:val="0030517B"/>
    <w:rsid w:val="003051CA"/>
    <w:rsid w:val="003051F7"/>
    <w:rsid w:val="00305223"/>
    <w:rsid w:val="003052D5"/>
    <w:rsid w:val="003053F1"/>
    <w:rsid w:val="00305453"/>
    <w:rsid w:val="0030554D"/>
    <w:rsid w:val="0030557D"/>
    <w:rsid w:val="003055FE"/>
    <w:rsid w:val="003057A3"/>
    <w:rsid w:val="0030583F"/>
    <w:rsid w:val="003059FE"/>
    <w:rsid w:val="00305AD4"/>
    <w:rsid w:val="00305B73"/>
    <w:rsid w:val="00305B7B"/>
    <w:rsid w:val="00305B9A"/>
    <w:rsid w:val="00305C23"/>
    <w:rsid w:val="00305C3F"/>
    <w:rsid w:val="00305E0D"/>
    <w:rsid w:val="00305F0E"/>
    <w:rsid w:val="00305F22"/>
    <w:rsid w:val="00305F68"/>
    <w:rsid w:val="00306043"/>
    <w:rsid w:val="00306338"/>
    <w:rsid w:val="00306390"/>
    <w:rsid w:val="003063C5"/>
    <w:rsid w:val="0030649C"/>
    <w:rsid w:val="00306567"/>
    <w:rsid w:val="003065AC"/>
    <w:rsid w:val="0030673D"/>
    <w:rsid w:val="003067E6"/>
    <w:rsid w:val="003067F5"/>
    <w:rsid w:val="0030682F"/>
    <w:rsid w:val="0030688F"/>
    <w:rsid w:val="0030691F"/>
    <w:rsid w:val="003069EA"/>
    <w:rsid w:val="00306A74"/>
    <w:rsid w:val="00306CEC"/>
    <w:rsid w:val="00306D2F"/>
    <w:rsid w:val="00306D62"/>
    <w:rsid w:val="00306DC9"/>
    <w:rsid w:val="00306DFB"/>
    <w:rsid w:val="00306FBD"/>
    <w:rsid w:val="00307162"/>
    <w:rsid w:val="0030718B"/>
    <w:rsid w:val="00307250"/>
    <w:rsid w:val="003072DD"/>
    <w:rsid w:val="00307322"/>
    <w:rsid w:val="003075E2"/>
    <w:rsid w:val="00307802"/>
    <w:rsid w:val="0030788A"/>
    <w:rsid w:val="003078DF"/>
    <w:rsid w:val="00307AA6"/>
    <w:rsid w:val="00307AFE"/>
    <w:rsid w:val="00307B04"/>
    <w:rsid w:val="00307B4C"/>
    <w:rsid w:val="00307C51"/>
    <w:rsid w:val="00307E93"/>
    <w:rsid w:val="00307EDC"/>
    <w:rsid w:val="0031005C"/>
    <w:rsid w:val="00310061"/>
    <w:rsid w:val="003101CD"/>
    <w:rsid w:val="0031037F"/>
    <w:rsid w:val="0031050A"/>
    <w:rsid w:val="00310581"/>
    <w:rsid w:val="00310654"/>
    <w:rsid w:val="0031074A"/>
    <w:rsid w:val="003108E1"/>
    <w:rsid w:val="003109D2"/>
    <w:rsid w:val="003109ED"/>
    <w:rsid w:val="00310E82"/>
    <w:rsid w:val="00310F4F"/>
    <w:rsid w:val="00310FC4"/>
    <w:rsid w:val="00311137"/>
    <w:rsid w:val="00311202"/>
    <w:rsid w:val="00311255"/>
    <w:rsid w:val="003112E5"/>
    <w:rsid w:val="0031135C"/>
    <w:rsid w:val="003113E0"/>
    <w:rsid w:val="003113E5"/>
    <w:rsid w:val="0031152A"/>
    <w:rsid w:val="0031152C"/>
    <w:rsid w:val="00311547"/>
    <w:rsid w:val="003115BA"/>
    <w:rsid w:val="003117EE"/>
    <w:rsid w:val="003117FE"/>
    <w:rsid w:val="0031193C"/>
    <w:rsid w:val="00311AA0"/>
    <w:rsid w:val="00311C77"/>
    <w:rsid w:val="00311EA1"/>
    <w:rsid w:val="00311F8C"/>
    <w:rsid w:val="003120AA"/>
    <w:rsid w:val="00312167"/>
    <w:rsid w:val="00312246"/>
    <w:rsid w:val="0031239D"/>
    <w:rsid w:val="003123A0"/>
    <w:rsid w:val="003124A3"/>
    <w:rsid w:val="0031251F"/>
    <w:rsid w:val="00312588"/>
    <w:rsid w:val="0031266F"/>
    <w:rsid w:val="00312706"/>
    <w:rsid w:val="0031289D"/>
    <w:rsid w:val="0031292A"/>
    <w:rsid w:val="00312AB8"/>
    <w:rsid w:val="00312CCB"/>
    <w:rsid w:val="00312CFA"/>
    <w:rsid w:val="00312D2B"/>
    <w:rsid w:val="00312D90"/>
    <w:rsid w:val="00312E33"/>
    <w:rsid w:val="00312F36"/>
    <w:rsid w:val="00312FA5"/>
    <w:rsid w:val="0031302D"/>
    <w:rsid w:val="00313131"/>
    <w:rsid w:val="003131BD"/>
    <w:rsid w:val="003132A0"/>
    <w:rsid w:val="003135AD"/>
    <w:rsid w:val="0031361C"/>
    <w:rsid w:val="00313622"/>
    <w:rsid w:val="00313661"/>
    <w:rsid w:val="00313790"/>
    <w:rsid w:val="003137B5"/>
    <w:rsid w:val="003137C5"/>
    <w:rsid w:val="0031393C"/>
    <w:rsid w:val="00313980"/>
    <w:rsid w:val="003139B6"/>
    <w:rsid w:val="003139BB"/>
    <w:rsid w:val="00313AC3"/>
    <w:rsid w:val="00313B10"/>
    <w:rsid w:val="00313C8E"/>
    <w:rsid w:val="0031400B"/>
    <w:rsid w:val="003141F0"/>
    <w:rsid w:val="003143AA"/>
    <w:rsid w:val="00314451"/>
    <w:rsid w:val="0031447E"/>
    <w:rsid w:val="00314803"/>
    <w:rsid w:val="0031494B"/>
    <w:rsid w:val="003149ED"/>
    <w:rsid w:val="00314AC6"/>
    <w:rsid w:val="00314C68"/>
    <w:rsid w:val="00314DFE"/>
    <w:rsid w:val="00314E0E"/>
    <w:rsid w:val="00314EAD"/>
    <w:rsid w:val="00314ECA"/>
    <w:rsid w:val="00315107"/>
    <w:rsid w:val="0031510A"/>
    <w:rsid w:val="0031517A"/>
    <w:rsid w:val="00315230"/>
    <w:rsid w:val="00315282"/>
    <w:rsid w:val="003152EE"/>
    <w:rsid w:val="0031530F"/>
    <w:rsid w:val="003155FA"/>
    <w:rsid w:val="0031562F"/>
    <w:rsid w:val="0031566D"/>
    <w:rsid w:val="00315801"/>
    <w:rsid w:val="00315923"/>
    <w:rsid w:val="00315A6C"/>
    <w:rsid w:val="00315AB9"/>
    <w:rsid w:val="00315B27"/>
    <w:rsid w:val="00315BD7"/>
    <w:rsid w:val="00315C28"/>
    <w:rsid w:val="00315C64"/>
    <w:rsid w:val="00315CFE"/>
    <w:rsid w:val="00315D38"/>
    <w:rsid w:val="00315DD5"/>
    <w:rsid w:val="00315E27"/>
    <w:rsid w:val="00315E8E"/>
    <w:rsid w:val="00315F71"/>
    <w:rsid w:val="00316050"/>
    <w:rsid w:val="003160F1"/>
    <w:rsid w:val="003163CB"/>
    <w:rsid w:val="003163DD"/>
    <w:rsid w:val="003165A0"/>
    <w:rsid w:val="00316631"/>
    <w:rsid w:val="00316843"/>
    <w:rsid w:val="003169A7"/>
    <w:rsid w:val="00316A7C"/>
    <w:rsid w:val="00316B1A"/>
    <w:rsid w:val="00316B6B"/>
    <w:rsid w:val="00316D00"/>
    <w:rsid w:val="00316D1B"/>
    <w:rsid w:val="00316D4E"/>
    <w:rsid w:val="00316DA9"/>
    <w:rsid w:val="00316E03"/>
    <w:rsid w:val="00316F88"/>
    <w:rsid w:val="0031718B"/>
    <w:rsid w:val="00317262"/>
    <w:rsid w:val="0031744A"/>
    <w:rsid w:val="003174A7"/>
    <w:rsid w:val="003175C3"/>
    <w:rsid w:val="00317617"/>
    <w:rsid w:val="003176BB"/>
    <w:rsid w:val="0031772C"/>
    <w:rsid w:val="0031785B"/>
    <w:rsid w:val="003179A4"/>
    <w:rsid w:val="00317A35"/>
    <w:rsid w:val="00317A54"/>
    <w:rsid w:val="00317B29"/>
    <w:rsid w:val="00317CBD"/>
    <w:rsid w:val="00317CDF"/>
    <w:rsid w:val="00317D11"/>
    <w:rsid w:val="00317D9A"/>
    <w:rsid w:val="00317E91"/>
    <w:rsid w:val="00317ED9"/>
    <w:rsid w:val="0031C979"/>
    <w:rsid w:val="00320032"/>
    <w:rsid w:val="00320192"/>
    <w:rsid w:val="00320248"/>
    <w:rsid w:val="003202B0"/>
    <w:rsid w:val="0032044B"/>
    <w:rsid w:val="0032051D"/>
    <w:rsid w:val="00320591"/>
    <w:rsid w:val="00320834"/>
    <w:rsid w:val="003208C7"/>
    <w:rsid w:val="003209A0"/>
    <w:rsid w:val="00320AB3"/>
    <w:rsid w:val="00320B05"/>
    <w:rsid w:val="00320C52"/>
    <w:rsid w:val="00320C89"/>
    <w:rsid w:val="00320C9C"/>
    <w:rsid w:val="00320CB3"/>
    <w:rsid w:val="00321039"/>
    <w:rsid w:val="003210BB"/>
    <w:rsid w:val="003210BD"/>
    <w:rsid w:val="00321268"/>
    <w:rsid w:val="003213F8"/>
    <w:rsid w:val="00321405"/>
    <w:rsid w:val="00321538"/>
    <w:rsid w:val="00321599"/>
    <w:rsid w:val="00321766"/>
    <w:rsid w:val="003218F3"/>
    <w:rsid w:val="00321A1E"/>
    <w:rsid w:val="00321A68"/>
    <w:rsid w:val="00321BA9"/>
    <w:rsid w:val="00321C32"/>
    <w:rsid w:val="00321EE2"/>
    <w:rsid w:val="00321EFA"/>
    <w:rsid w:val="00321FA3"/>
    <w:rsid w:val="00322028"/>
    <w:rsid w:val="0032220A"/>
    <w:rsid w:val="00322213"/>
    <w:rsid w:val="003222C1"/>
    <w:rsid w:val="003223A3"/>
    <w:rsid w:val="00322407"/>
    <w:rsid w:val="00322719"/>
    <w:rsid w:val="00322761"/>
    <w:rsid w:val="00322768"/>
    <w:rsid w:val="00322A07"/>
    <w:rsid w:val="00322A74"/>
    <w:rsid w:val="00322A8F"/>
    <w:rsid w:val="00322CE3"/>
    <w:rsid w:val="00322E9A"/>
    <w:rsid w:val="00322EB7"/>
    <w:rsid w:val="00322F7F"/>
    <w:rsid w:val="00323119"/>
    <w:rsid w:val="0032313B"/>
    <w:rsid w:val="003231D0"/>
    <w:rsid w:val="0032323C"/>
    <w:rsid w:val="0032331E"/>
    <w:rsid w:val="00323420"/>
    <w:rsid w:val="0032348D"/>
    <w:rsid w:val="00323522"/>
    <w:rsid w:val="00323538"/>
    <w:rsid w:val="0032366F"/>
    <w:rsid w:val="00323849"/>
    <w:rsid w:val="00323886"/>
    <w:rsid w:val="003238B9"/>
    <w:rsid w:val="00323985"/>
    <w:rsid w:val="00323A43"/>
    <w:rsid w:val="00323A58"/>
    <w:rsid w:val="00323AC3"/>
    <w:rsid w:val="00323ADF"/>
    <w:rsid w:val="00323C72"/>
    <w:rsid w:val="00323CD7"/>
    <w:rsid w:val="00323EDF"/>
    <w:rsid w:val="00323F0B"/>
    <w:rsid w:val="00323F33"/>
    <w:rsid w:val="003240AC"/>
    <w:rsid w:val="003241CF"/>
    <w:rsid w:val="0032420F"/>
    <w:rsid w:val="003242C2"/>
    <w:rsid w:val="003243AE"/>
    <w:rsid w:val="003243E3"/>
    <w:rsid w:val="00324451"/>
    <w:rsid w:val="003244C2"/>
    <w:rsid w:val="003244CB"/>
    <w:rsid w:val="00324516"/>
    <w:rsid w:val="00324565"/>
    <w:rsid w:val="00324656"/>
    <w:rsid w:val="00324785"/>
    <w:rsid w:val="0032479A"/>
    <w:rsid w:val="00324822"/>
    <w:rsid w:val="00324996"/>
    <w:rsid w:val="003249A3"/>
    <w:rsid w:val="00324A53"/>
    <w:rsid w:val="00324C8B"/>
    <w:rsid w:val="00324D1E"/>
    <w:rsid w:val="00324FB8"/>
    <w:rsid w:val="003250B8"/>
    <w:rsid w:val="003251A7"/>
    <w:rsid w:val="00325227"/>
    <w:rsid w:val="0032523D"/>
    <w:rsid w:val="00325258"/>
    <w:rsid w:val="003254E2"/>
    <w:rsid w:val="003255F5"/>
    <w:rsid w:val="003256A5"/>
    <w:rsid w:val="00325708"/>
    <w:rsid w:val="003257A6"/>
    <w:rsid w:val="003257BE"/>
    <w:rsid w:val="003259BC"/>
    <w:rsid w:val="003259CF"/>
    <w:rsid w:val="00325A04"/>
    <w:rsid w:val="00325ADC"/>
    <w:rsid w:val="00325BF3"/>
    <w:rsid w:val="00325C01"/>
    <w:rsid w:val="00325E48"/>
    <w:rsid w:val="003262FD"/>
    <w:rsid w:val="0032632D"/>
    <w:rsid w:val="00326390"/>
    <w:rsid w:val="003263C6"/>
    <w:rsid w:val="00326421"/>
    <w:rsid w:val="00326450"/>
    <w:rsid w:val="00326662"/>
    <w:rsid w:val="003266AE"/>
    <w:rsid w:val="003266BB"/>
    <w:rsid w:val="003267EA"/>
    <w:rsid w:val="00326823"/>
    <w:rsid w:val="00326A15"/>
    <w:rsid w:val="00326B8E"/>
    <w:rsid w:val="00326BB0"/>
    <w:rsid w:val="00326E21"/>
    <w:rsid w:val="0032701D"/>
    <w:rsid w:val="0032716F"/>
    <w:rsid w:val="0032731A"/>
    <w:rsid w:val="00327338"/>
    <w:rsid w:val="0032738D"/>
    <w:rsid w:val="0032740F"/>
    <w:rsid w:val="0032763D"/>
    <w:rsid w:val="003276B6"/>
    <w:rsid w:val="00327811"/>
    <w:rsid w:val="00327892"/>
    <w:rsid w:val="0032792F"/>
    <w:rsid w:val="00327A4D"/>
    <w:rsid w:val="00327A82"/>
    <w:rsid w:val="00327BC8"/>
    <w:rsid w:val="00327C5D"/>
    <w:rsid w:val="00327CF0"/>
    <w:rsid w:val="00327D13"/>
    <w:rsid w:val="00327D7F"/>
    <w:rsid w:val="00327E0B"/>
    <w:rsid w:val="00327EA8"/>
    <w:rsid w:val="00327F57"/>
    <w:rsid w:val="00327FEF"/>
    <w:rsid w:val="003301D5"/>
    <w:rsid w:val="00330206"/>
    <w:rsid w:val="00330463"/>
    <w:rsid w:val="0033056B"/>
    <w:rsid w:val="00330628"/>
    <w:rsid w:val="00330760"/>
    <w:rsid w:val="003308BA"/>
    <w:rsid w:val="003308C5"/>
    <w:rsid w:val="003309CC"/>
    <w:rsid w:val="00330CC9"/>
    <w:rsid w:val="00330CE9"/>
    <w:rsid w:val="00330EB9"/>
    <w:rsid w:val="00331132"/>
    <w:rsid w:val="0033115A"/>
    <w:rsid w:val="003311BD"/>
    <w:rsid w:val="003311FB"/>
    <w:rsid w:val="0033129F"/>
    <w:rsid w:val="003313C2"/>
    <w:rsid w:val="00331452"/>
    <w:rsid w:val="0033147A"/>
    <w:rsid w:val="003314A8"/>
    <w:rsid w:val="003314CF"/>
    <w:rsid w:val="003314FC"/>
    <w:rsid w:val="0033151E"/>
    <w:rsid w:val="0033152D"/>
    <w:rsid w:val="00331601"/>
    <w:rsid w:val="0033161B"/>
    <w:rsid w:val="003318E9"/>
    <w:rsid w:val="00331960"/>
    <w:rsid w:val="00331A40"/>
    <w:rsid w:val="00331CFB"/>
    <w:rsid w:val="00331D2C"/>
    <w:rsid w:val="00332031"/>
    <w:rsid w:val="00332042"/>
    <w:rsid w:val="003320CB"/>
    <w:rsid w:val="003320D9"/>
    <w:rsid w:val="003322DA"/>
    <w:rsid w:val="00332334"/>
    <w:rsid w:val="00332343"/>
    <w:rsid w:val="0033249B"/>
    <w:rsid w:val="0033258D"/>
    <w:rsid w:val="0033260C"/>
    <w:rsid w:val="0033260D"/>
    <w:rsid w:val="0033286F"/>
    <w:rsid w:val="0033289A"/>
    <w:rsid w:val="00332932"/>
    <w:rsid w:val="00332B40"/>
    <w:rsid w:val="00332E79"/>
    <w:rsid w:val="00332E7A"/>
    <w:rsid w:val="00332EF7"/>
    <w:rsid w:val="00332FF1"/>
    <w:rsid w:val="00333036"/>
    <w:rsid w:val="0033313E"/>
    <w:rsid w:val="00333259"/>
    <w:rsid w:val="003332FB"/>
    <w:rsid w:val="0033352E"/>
    <w:rsid w:val="00333568"/>
    <w:rsid w:val="003335D0"/>
    <w:rsid w:val="0033363C"/>
    <w:rsid w:val="00333699"/>
    <w:rsid w:val="0033375F"/>
    <w:rsid w:val="0033398B"/>
    <w:rsid w:val="003339DE"/>
    <w:rsid w:val="003339FD"/>
    <w:rsid w:val="00333B68"/>
    <w:rsid w:val="00333CC3"/>
    <w:rsid w:val="00333FB9"/>
    <w:rsid w:val="003340E6"/>
    <w:rsid w:val="003341E6"/>
    <w:rsid w:val="003344D3"/>
    <w:rsid w:val="003347E6"/>
    <w:rsid w:val="0033483A"/>
    <w:rsid w:val="00334853"/>
    <w:rsid w:val="003349D0"/>
    <w:rsid w:val="00334AE2"/>
    <w:rsid w:val="00334CA9"/>
    <w:rsid w:val="00334EE5"/>
    <w:rsid w:val="00334FC1"/>
    <w:rsid w:val="00334FCA"/>
    <w:rsid w:val="00335088"/>
    <w:rsid w:val="0033510C"/>
    <w:rsid w:val="003351C0"/>
    <w:rsid w:val="0033529E"/>
    <w:rsid w:val="00335305"/>
    <w:rsid w:val="0033538B"/>
    <w:rsid w:val="00335485"/>
    <w:rsid w:val="0033555A"/>
    <w:rsid w:val="003355C7"/>
    <w:rsid w:val="00335B0F"/>
    <w:rsid w:val="00335B33"/>
    <w:rsid w:val="00335C4E"/>
    <w:rsid w:val="003360DA"/>
    <w:rsid w:val="00336169"/>
    <w:rsid w:val="0033623B"/>
    <w:rsid w:val="00336268"/>
    <w:rsid w:val="00336462"/>
    <w:rsid w:val="003365B7"/>
    <w:rsid w:val="003365FC"/>
    <w:rsid w:val="00336627"/>
    <w:rsid w:val="00336636"/>
    <w:rsid w:val="0033664E"/>
    <w:rsid w:val="003368D7"/>
    <w:rsid w:val="0033694B"/>
    <w:rsid w:val="00336AE8"/>
    <w:rsid w:val="00336B88"/>
    <w:rsid w:val="00336BD7"/>
    <w:rsid w:val="00336CFC"/>
    <w:rsid w:val="00336D56"/>
    <w:rsid w:val="00336D7D"/>
    <w:rsid w:val="00336E4C"/>
    <w:rsid w:val="00336EA9"/>
    <w:rsid w:val="00336EC3"/>
    <w:rsid w:val="00336F09"/>
    <w:rsid w:val="0033709F"/>
    <w:rsid w:val="0033718E"/>
    <w:rsid w:val="0033721F"/>
    <w:rsid w:val="00337240"/>
    <w:rsid w:val="0033736E"/>
    <w:rsid w:val="003374FB"/>
    <w:rsid w:val="003375B3"/>
    <w:rsid w:val="003375E4"/>
    <w:rsid w:val="00337783"/>
    <w:rsid w:val="003378DE"/>
    <w:rsid w:val="00337B3C"/>
    <w:rsid w:val="00337C5A"/>
    <w:rsid w:val="00337DCD"/>
    <w:rsid w:val="00337F67"/>
    <w:rsid w:val="0034023C"/>
    <w:rsid w:val="00340321"/>
    <w:rsid w:val="00340893"/>
    <w:rsid w:val="00340986"/>
    <w:rsid w:val="003409A1"/>
    <w:rsid w:val="00340BD4"/>
    <w:rsid w:val="00340DEE"/>
    <w:rsid w:val="00340FAF"/>
    <w:rsid w:val="003410CE"/>
    <w:rsid w:val="003410EA"/>
    <w:rsid w:val="00341113"/>
    <w:rsid w:val="003411E8"/>
    <w:rsid w:val="0034131F"/>
    <w:rsid w:val="003413D5"/>
    <w:rsid w:val="003415DD"/>
    <w:rsid w:val="00341648"/>
    <w:rsid w:val="00341689"/>
    <w:rsid w:val="003416C8"/>
    <w:rsid w:val="003416E5"/>
    <w:rsid w:val="0034177C"/>
    <w:rsid w:val="0034178A"/>
    <w:rsid w:val="00341794"/>
    <w:rsid w:val="00341859"/>
    <w:rsid w:val="003418CC"/>
    <w:rsid w:val="00341961"/>
    <w:rsid w:val="00341A1C"/>
    <w:rsid w:val="00341AB0"/>
    <w:rsid w:val="00341B34"/>
    <w:rsid w:val="00341D06"/>
    <w:rsid w:val="00341DE5"/>
    <w:rsid w:val="00341DEB"/>
    <w:rsid w:val="00341E36"/>
    <w:rsid w:val="00341E90"/>
    <w:rsid w:val="00341F43"/>
    <w:rsid w:val="003420A9"/>
    <w:rsid w:val="0034224D"/>
    <w:rsid w:val="0034227A"/>
    <w:rsid w:val="003422FD"/>
    <w:rsid w:val="00342465"/>
    <w:rsid w:val="0034248C"/>
    <w:rsid w:val="00342551"/>
    <w:rsid w:val="0034256B"/>
    <w:rsid w:val="003425D1"/>
    <w:rsid w:val="003425D4"/>
    <w:rsid w:val="0034265E"/>
    <w:rsid w:val="00342696"/>
    <w:rsid w:val="003426DF"/>
    <w:rsid w:val="003427AB"/>
    <w:rsid w:val="003427EA"/>
    <w:rsid w:val="003427EB"/>
    <w:rsid w:val="00342815"/>
    <w:rsid w:val="0034286F"/>
    <w:rsid w:val="0034288F"/>
    <w:rsid w:val="00342996"/>
    <w:rsid w:val="00342B05"/>
    <w:rsid w:val="00342F37"/>
    <w:rsid w:val="00342FFE"/>
    <w:rsid w:val="00343072"/>
    <w:rsid w:val="00343118"/>
    <w:rsid w:val="00343127"/>
    <w:rsid w:val="0034335A"/>
    <w:rsid w:val="00343414"/>
    <w:rsid w:val="0034377B"/>
    <w:rsid w:val="003437A9"/>
    <w:rsid w:val="003437DE"/>
    <w:rsid w:val="0034398A"/>
    <w:rsid w:val="003439AA"/>
    <w:rsid w:val="003439C0"/>
    <w:rsid w:val="00343A47"/>
    <w:rsid w:val="00343C01"/>
    <w:rsid w:val="00343CD1"/>
    <w:rsid w:val="00343D46"/>
    <w:rsid w:val="00343D83"/>
    <w:rsid w:val="00343E0E"/>
    <w:rsid w:val="00343E42"/>
    <w:rsid w:val="00343E7B"/>
    <w:rsid w:val="00343F05"/>
    <w:rsid w:val="00343FDE"/>
    <w:rsid w:val="00343FEC"/>
    <w:rsid w:val="00344125"/>
    <w:rsid w:val="0034415F"/>
    <w:rsid w:val="003442C6"/>
    <w:rsid w:val="003443E1"/>
    <w:rsid w:val="00344654"/>
    <w:rsid w:val="0034468C"/>
    <w:rsid w:val="003446A9"/>
    <w:rsid w:val="003447B4"/>
    <w:rsid w:val="003448D6"/>
    <w:rsid w:val="00344A76"/>
    <w:rsid w:val="00344A83"/>
    <w:rsid w:val="00344B0F"/>
    <w:rsid w:val="00344B1E"/>
    <w:rsid w:val="00344C75"/>
    <w:rsid w:val="00344CB8"/>
    <w:rsid w:val="00344D01"/>
    <w:rsid w:val="00344D79"/>
    <w:rsid w:val="00344F33"/>
    <w:rsid w:val="00344F62"/>
    <w:rsid w:val="00344F81"/>
    <w:rsid w:val="00345035"/>
    <w:rsid w:val="00345120"/>
    <w:rsid w:val="0034513B"/>
    <w:rsid w:val="0034516B"/>
    <w:rsid w:val="003451DA"/>
    <w:rsid w:val="0034533C"/>
    <w:rsid w:val="00345380"/>
    <w:rsid w:val="003453EF"/>
    <w:rsid w:val="00345787"/>
    <w:rsid w:val="003457CA"/>
    <w:rsid w:val="00345828"/>
    <w:rsid w:val="00345892"/>
    <w:rsid w:val="003458D8"/>
    <w:rsid w:val="0034597F"/>
    <w:rsid w:val="00345985"/>
    <w:rsid w:val="00345A26"/>
    <w:rsid w:val="00345A28"/>
    <w:rsid w:val="00345A37"/>
    <w:rsid w:val="00345DCB"/>
    <w:rsid w:val="00345E2F"/>
    <w:rsid w:val="00345E85"/>
    <w:rsid w:val="00345F57"/>
    <w:rsid w:val="00346067"/>
    <w:rsid w:val="0034611A"/>
    <w:rsid w:val="003461A9"/>
    <w:rsid w:val="0034620B"/>
    <w:rsid w:val="00346284"/>
    <w:rsid w:val="00346358"/>
    <w:rsid w:val="003463AF"/>
    <w:rsid w:val="00346519"/>
    <w:rsid w:val="003465FE"/>
    <w:rsid w:val="003466E0"/>
    <w:rsid w:val="00346769"/>
    <w:rsid w:val="003467EF"/>
    <w:rsid w:val="0034682A"/>
    <w:rsid w:val="00346991"/>
    <w:rsid w:val="00346A05"/>
    <w:rsid w:val="00346A88"/>
    <w:rsid w:val="00346ADE"/>
    <w:rsid w:val="00346AF6"/>
    <w:rsid w:val="00346BF1"/>
    <w:rsid w:val="00346CE5"/>
    <w:rsid w:val="00346F0F"/>
    <w:rsid w:val="00346F1E"/>
    <w:rsid w:val="00347199"/>
    <w:rsid w:val="0034723F"/>
    <w:rsid w:val="003472FF"/>
    <w:rsid w:val="00347637"/>
    <w:rsid w:val="00347642"/>
    <w:rsid w:val="003476B5"/>
    <w:rsid w:val="003478C2"/>
    <w:rsid w:val="0034791F"/>
    <w:rsid w:val="003479BB"/>
    <w:rsid w:val="003479C5"/>
    <w:rsid w:val="00347A10"/>
    <w:rsid w:val="00347A3B"/>
    <w:rsid w:val="00347AF9"/>
    <w:rsid w:val="00347B94"/>
    <w:rsid w:val="00347BB3"/>
    <w:rsid w:val="00347BD2"/>
    <w:rsid w:val="00347D30"/>
    <w:rsid w:val="00347E47"/>
    <w:rsid w:val="00347EB6"/>
    <w:rsid w:val="00347F65"/>
    <w:rsid w:val="00347F6B"/>
    <w:rsid w:val="00347FBA"/>
    <w:rsid w:val="00347FBD"/>
    <w:rsid w:val="0034FEF2"/>
    <w:rsid w:val="003501E1"/>
    <w:rsid w:val="0035026C"/>
    <w:rsid w:val="003502BF"/>
    <w:rsid w:val="00350341"/>
    <w:rsid w:val="00350348"/>
    <w:rsid w:val="00350362"/>
    <w:rsid w:val="003503BE"/>
    <w:rsid w:val="003506CF"/>
    <w:rsid w:val="003506F1"/>
    <w:rsid w:val="0035073F"/>
    <w:rsid w:val="003508A1"/>
    <w:rsid w:val="003508B5"/>
    <w:rsid w:val="003508C7"/>
    <w:rsid w:val="00350C5A"/>
    <w:rsid w:val="00350D1E"/>
    <w:rsid w:val="00350DCD"/>
    <w:rsid w:val="0035110C"/>
    <w:rsid w:val="0035113B"/>
    <w:rsid w:val="0035154E"/>
    <w:rsid w:val="0035156C"/>
    <w:rsid w:val="00351580"/>
    <w:rsid w:val="003519F2"/>
    <w:rsid w:val="00351A59"/>
    <w:rsid w:val="00351B65"/>
    <w:rsid w:val="00351BF4"/>
    <w:rsid w:val="00351CEE"/>
    <w:rsid w:val="00351D1B"/>
    <w:rsid w:val="00351FE7"/>
    <w:rsid w:val="00352056"/>
    <w:rsid w:val="003520EF"/>
    <w:rsid w:val="00352149"/>
    <w:rsid w:val="0035217A"/>
    <w:rsid w:val="003522BC"/>
    <w:rsid w:val="003524D5"/>
    <w:rsid w:val="00352553"/>
    <w:rsid w:val="003526A4"/>
    <w:rsid w:val="003527CF"/>
    <w:rsid w:val="003528DC"/>
    <w:rsid w:val="00352A4D"/>
    <w:rsid w:val="00352A72"/>
    <w:rsid w:val="00352BE9"/>
    <w:rsid w:val="00352CED"/>
    <w:rsid w:val="00352CFF"/>
    <w:rsid w:val="00352D3A"/>
    <w:rsid w:val="00352D68"/>
    <w:rsid w:val="00352E14"/>
    <w:rsid w:val="00352ECB"/>
    <w:rsid w:val="00352EF7"/>
    <w:rsid w:val="00352F06"/>
    <w:rsid w:val="00352F4B"/>
    <w:rsid w:val="00353034"/>
    <w:rsid w:val="0035313E"/>
    <w:rsid w:val="00353156"/>
    <w:rsid w:val="00353169"/>
    <w:rsid w:val="00353497"/>
    <w:rsid w:val="003534A5"/>
    <w:rsid w:val="003535CF"/>
    <w:rsid w:val="003535FE"/>
    <w:rsid w:val="00353901"/>
    <w:rsid w:val="0035390E"/>
    <w:rsid w:val="00353949"/>
    <w:rsid w:val="0035396C"/>
    <w:rsid w:val="003539FD"/>
    <w:rsid w:val="00353A56"/>
    <w:rsid w:val="00353BE3"/>
    <w:rsid w:val="00353CCD"/>
    <w:rsid w:val="00353D1F"/>
    <w:rsid w:val="00353F5A"/>
    <w:rsid w:val="00353FAA"/>
    <w:rsid w:val="00354099"/>
    <w:rsid w:val="0035417C"/>
    <w:rsid w:val="003541C0"/>
    <w:rsid w:val="00354496"/>
    <w:rsid w:val="003544CC"/>
    <w:rsid w:val="003545AF"/>
    <w:rsid w:val="003545F3"/>
    <w:rsid w:val="00354655"/>
    <w:rsid w:val="00354681"/>
    <w:rsid w:val="003546CC"/>
    <w:rsid w:val="003548AF"/>
    <w:rsid w:val="00354943"/>
    <w:rsid w:val="00354B4B"/>
    <w:rsid w:val="00354B7A"/>
    <w:rsid w:val="00354B97"/>
    <w:rsid w:val="00354BD3"/>
    <w:rsid w:val="00354C4A"/>
    <w:rsid w:val="00354C79"/>
    <w:rsid w:val="00355016"/>
    <w:rsid w:val="00355079"/>
    <w:rsid w:val="00355213"/>
    <w:rsid w:val="0035532D"/>
    <w:rsid w:val="0035549A"/>
    <w:rsid w:val="003556AC"/>
    <w:rsid w:val="0035583D"/>
    <w:rsid w:val="00355915"/>
    <w:rsid w:val="0035596C"/>
    <w:rsid w:val="00355A35"/>
    <w:rsid w:val="00355B7D"/>
    <w:rsid w:val="00355BA9"/>
    <w:rsid w:val="00355C3A"/>
    <w:rsid w:val="00355C83"/>
    <w:rsid w:val="00355D1C"/>
    <w:rsid w:val="00355DAC"/>
    <w:rsid w:val="00355DD4"/>
    <w:rsid w:val="00355DE8"/>
    <w:rsid w:val="00355E42"/>
    <w:rsid w:val="00355E6E"/>
    <w:rsid w:val="00355FAF"/>
    <w:rsid w:val="00356051"/>
    <w:rsid w:val="003560D0"/>
    <w:rsid w:val="003560EA"/>
    <w:rsid w:val="00356193"/>
    <w:rsid w:val="0035625C"/>
    <w:rsid w:val="00356504"/>
    <w:rsid w:val="00356526"/>
    <w:rsid w:val="00356582"/>
    <w:rsid w:val="003565AD"/>
    <w:rsid w:val="00356615"/>
    <w:rsid w:val="00356767"/>
    <w:rsid w:val="003569B2"/>
    <w:rsid w:val="00356CBE"/>
    <w:rsid w:val="00356CFD"/>
    <w:rsid w:val="00356D81"/>
    <w:rsid w:val="00356E21"/>
    <w:rsid w:val="00356E2A"/>
    <w:rsid w:val="00356E6B"/>
    <w:rsid w:val="00356EB6"/>
    <w:rsid w:val="00356FF8"/>
    <w:rsid w:val="00357099"/>
    <w:rsid w:val="00357120"/>
    <w:rsid w:val="003572EB"/>
    <w:rsid w:val="003574A3"/>
    <w:rsid w:val="003574D3"/>
    <w:rsid w:val="003574DF"/>
    <w:rsid w:val="003577F7"/>
    <w:rsid w:val="0035784C"/>
    <w:rsid w:val="0035785D"/>
    <w:rsid w:val="00357922"/>
    <w:rsid w:val="00357B53"/>
    <w:rsid w:val="00357C23"/>
    <w:rsid w:val="00357C62"/>
    <w:rsid w:val="00357D75"/>
    <w:rsid w:val="00357D89"/>
    <w:rsid w:val="00357E95"/>
    <w:rsid w:val="0035C567"/>
    <w:rsid w:val="00360002"/>
    <w:rsid w:val="0036001A"/>
    <w:rsid w:val="0036003A"/>
    <w:rsid w:val="003602DA"/>
    <w:rsid w:val="0036031E"/>
    <w:rsid w:val="0036035C"/>
    <w:rsid w:val="00360370"/>
    <w:rsid w:val="0036038C"/>
    <w:rsid w:val="003604AE"/>
    <w:rsid w:val="003604ED"/>
    <w:rsid w:val="00360625"/>
    <w:rsid w:val="00360668"/>
    <w:rsid w:val="0036085A"/>
    <w:rsid w:val="003609AE"/>
    <w:rsid w:val="003609BF"/>
    <w:rsid w:val="00360B2A"/>
    <w:rsid w:val="00360B4C"/>
    <w:rsid w:val="00360B79"/>
    <w:rsid w:val="00360CC2"/>
    <w:rsid w:val="00360ECA"/>
    <w:rsid w:val="00360EE5"/>
    <w:rsid w:val="003610C4"/>
    <w:rsid w:val="003610D8"/>
    <w:rsid w:val="00361139"/>
    <w:rsid w:val="0036115D"/>
    <w:rsid w:val="003611B1"/>
    <w:rsid w:val="0036122E"/>
    <w:rsid w:val="0036124C"/>
    <w:rsid w:val="00361296"/>
    <w:rsid w:val="0036154D"/>
    <w:rsid w:val="00361571"/>
    <w:rsid w:val="00361824"/>
    <w:rsid w:val="0036188C"/>
    <w:rsid w:val="003619B6"/>
    <w:rsid w:val="00361A1F"/>
    <w:rsid w:val="00361A29"/>
    <w:rsid w:val="00361A4B"/>
    <w:rsid w:val="00361BA4"/>
    <w:rsid w:val="00361BAF"/>
    <w:rsid w:val="00361BED"/>
    <w:rsid w:val="00361CAB"/>
    <w:rsid w:val="00362021"/>
    <w:rsid w:val="003622F4"/>
    <w:rsid w:val="00362419"/>
    <w:rsid w:val="00362484"/>
    <w:rsid w:val="00362505"/>
    <w:rsid w:val="0036256B"/>
    <w:rsid w:val="0036257D"/>
    <w:rsid w:val="00362692"/>
    <w:rsid w:val="0036286C"/>
    <w:rsid w:val="003628B9"/>
    <w:rsid w:val="00362932"/>
    <w:rsid w:val="003629C8"/>
    <w:rsid w:val="00362A7A"/>
    <w:rsid w:val="00362B31"/>
    <w:rsid w:val="00362B8C"/>
    <w:rsid w:val="00362CB8"/>
    <w:rsid w:val="00362D7E"/>
    <w:rsid w:val="00362E86"/>
    <w:rsid w:val="00363033"/>
    <w:rsid w:val="0036305A"/>
    <w:rsid w:val="0036345D"/>
    <w:rsid w:val="00363467"/>
    <w:rsid w:val="003637AC"/>
    <w:rsid w:val="003638C6"/>
    <w:rsid w:val="00363A0D"/>
    <w:rsid w:val="00363AEE"/>
    <w:rsid w:val="00363D12"/>
    <w:rsid w:val="00363E04"/>
    <w:rsid w:val="00363E8F"/>
    <w:rsid w:val="00363EF9"/>
    <w:rsid w:val="00363F31"/>
    <w:rsid w:val="00363F5D"/>
    <w:rsid w:val="00363FC8"/>
    <w:rsid w:val="00364125"/>
    <w:rsid w:val="00364150"/>
    <w:rsid w:val="0036418F"/>
    <w:rsid w:val="00364258"/>
    <w:rsid w:val="00364378"/>
    <w:rsid w:val="0036443D"/>
    <w:rsid w:val="003647D6"/>
    <w:rsid w:val="003649D5"/>
    <w:rsid w:val="00364A16"/>
    <w:rsid w:val="00364AFE"/>
    <w:rsid w:val="00364C34"/>
    <w:rsid w:val="00364CBB"/>
    <w:rsid w:val="00364E4C"/>
    <w:rsid w:val="00364FB5"/>
    <w:rsid w:val="00364FD3"/>
    <w:rsid w:val="00365308"/>
    <w:rsid w:val="00365329"/>
    <w:rsid w:val="00365336"/>
    <w:rsid w:val="0036544B"/>
    <w:rsid w:val="00365709"/>
    <w:rsid w:val="003657B0"/>
    <w:rsid w:val="00365985"/>
    <w:rsid w:val="00365A44"/>
    <w:rsid w:val="00365A9C"/>
    <w:rsid w:val="00365B61"/>
    <w:rsid w:val="00365DA6"/>
    <w:rsid w:val="00365E13"/>
    <w:rsid w:val="00365E28"/>
    <w:rsid w:val="00365EAC"/>
    <w:rsid w:val="00365EC4"/>
    <w:rsid w:val="00365F25"/>
    <w:rsid w:val="00365F72"/>
    <w:rsid w:val="00365FDB"/>
    <w:rsid w:val="003660D3"/>
    <w:rsid w:val="00366128"/>
    <w:rsid w:val="003661B5"/>
    <w:rsid w:val="003661FF"/>
    <w:rsid w:val="003662A0"/>
    <w:rsid w:val="00366316"/>
    <w:rsid w:val="00366317"/>
    <w:rsid w:val="00366535"/>
    <w:rsid w:val="0036660D"/>
    <w:rsid w:val="0036663B"/>
    <w:rsid w:val="0036667B"/>
    <w:rsid w:val="00366723"/>
    <w:rsid w:val="003667B4"/>
    <w:rsid w:val="00366C26"/>
    <w:rsid w:val="00366DF6"/>
    <w:rsid w:val="00366F64"/>
    <w:rsid w:val="00366F77"/>
    <w:rsid w:val="00366FB2"/>
    <w:rsid w:val="00367062"/>
    <w:rsid w:val="003670C9"/>
    <w:rsid w:val="00367294"/>
    <w:rsid w:val="00367501"/>
    <w:rsid w:val="0036756F"/>
    <w:rsid w:val="0036782D"/>
    <w:rsid w:val="00367988"/>
    <w:rsid w:val="00367999"/>
    <w:rsid w:val="003679DA"/>
    <w:rsid w:val="00367B2D"/>
    <w:rsid w:val="00367C9F"/>
    <w:rsid w:val="00367CD2"/>
    <w:rsid w:val="00367CDB"/>
    <w:rsid w:val="00367D6F"/>
    <w:rsid w:val="00370300"/>
    <w:rsid w:val="003703DE"/>
    <w:rsid w:val="003705A7"/>
    <w:rsid w:val="0037073F"/>
    <w:rsid w:val="00370875"/>
    <w:rsid w:val="003708FE"/>
    <w:rsid w:val="003709C1"/>
    <w:rsid w:val="00370AB5"/>
    <w:rsid w:val="00370B91"/>
    <w:rsid w:val="00370CFF"/>
    <w:rsid w:val="00370E0B"/>
    <w:rsid w:val="00371118"/>
    <w:rsid w:val="003711A8"/>
    <w:rsid w:val="003713A8"/>
    <w:rsid w:val="003713AF"/>
    <w:rsid w:val="003714EA"/>
    <w:rsid w:val="00371635"/>
    <w:rsid w:val="00371719"/>
    <w:rsid w:val="0037174C"/>
    <w:rsid w:val="003717C2"/>
    <w:rsid w:val="00371805"/>
    <w:rsid w:val="0037195C"/>
    <w:rsid w:val="003719A9"/>
    <w:rsid w:val="003719CB"/>
    <w:rsid w:val="003719D4"/>
    <w:rsid w:val="003719F6"/>
    <w:rsid w:val="00371A66"/>
    <w:rsid w:val="00371AB0"/>
    <w:rsid w:val="00371F31"/>
    <w:rsid w:val="0037200D"/>
    <w:rsid w:val="0037203F"/>
    <w:rsid w:val="00372155"/>
    <w:rsid w:val="003721AC"/>
    <w:rsid w:val="003721E0"/>
    <w:rsid w:val="0037220D"/>
    <w:rsid w:val="00372254"/>
    <w:rsid w:val="0037225F"/>
    <w:rsid w:val="00372411"/>
    <w:rsid w:val="0037247E"/>
    <w:rsid w:val="003725F6"/>
    <w:rsid w:val="003725F7"/>
    <w:rsid w:val="003725FE"/>
    <w:rsid w:val="00372658"/>
    <w:rsid w:val="00372666"/>
    <w:rsid w:val="00372692"/>
    <w:rsid w:val="003727D7"/>
    <w:rsid w:val="003727DD"/>
    <w:rsid w:val="0037288E"/>
    <w:rsid w:val="003728D5"/>
    <w:rsid w:val="00372920"/>
    <w:rsid w:val="00372B2B"/>
    <w:rsid w:val="00372BFE"/>
    <w:rsid w:val="00372D1C"/>
    <w:rsid w:val="00372D3C"/>
    <w:rsid w:val="00372D66"/>
    <w:rsid w:val="00372D78"/>
    <w:rsid w:val="00372F20"/>
    <w:rsid w:val="003730CF"/>
    <w:rsid w:val="00373226"/>
    <w:rsid w:val="00373338"/>
    <w:rsid w:val="00373392"/>
    <w:rsid w:val="00373417"/>
    <w:rsid w:val="00373630"/>
    <w:rsid w:val="00373698"/>
    <w:rsid w:val="0037384E"/>
    <w:rsid w:val="00373979"/>
    <w:rsid w:val="00373990"/>
    <w:rsid w:val="003739C2"/>
    <w:rsid w:val="003739FE"/>
    <w:rsid w:val="00373AB4"/>
    <w:rsid w:val="00373BCC"/>
    <w:rsid w:val="00373CCB"/>
    <w:rsid w:val="00373D98"/>
    <w:rsid w:val="00373F70"/>
    <w:rsid w:val="00374037"/>
    <w:rsid w:val="003740E2"/>
    <w:rsid w:val="00374122"/>
    <w:rsid w:val="0037422C"/>
    <w:rsid w:val="0037428D"/>
    <w:rsid w:val="0037440A"/>
    <w:rsid w:val="0037464E"/>
    <w:rsid w:val="003747E1"/>
    <w:rsid w:val="003747E4"/>
    <w:rsid w:val="00374812"/>
    <w:rsid w:val="0037487C"/>
    <w:rsid w:val="00374899"/>
    <w:rsid w:val="0037489E"/>
    <w:rsid w:val="003748A5"/>
    <w:rsid w:val="00374A9F"/>
    <w:rsid w:val="00374ABD"/>
    <w:rsid w:val="00374C4B"/>
    <w:rsid w:val="00374E46"/>
    <w:rsid w:val="00374F7C"/>
    <w:rsid w:val="003750AC"/>
    <w:rsid w:val="003751CA"/>
    <w:rsid w:val="0037520A"/>
    <w:rsid w:val="00375212"/>
    <w:rsid w:val="00375265"/>
    <w:rsid w:val="003752A5"/>
    <w:rsid w:val="003753EE"/>
    <w:rsid w:val="00375430"/>
    <w:rsid w:val="003755AC"/>
    <w:rsid w:val="003755D5"/>
    <w:rsid w:val="00375685"/>
    <w:rsid w:val="003758D3"/>
    <w:rsid w:val="00375A91"/>
    <w:rsid w:val="00375C1D"/>
    <w:rsid w:val="00375C92"/>
    <w:rsid w:val="00375E49"/>
    <w:rsid w:val="00375F89"/>
    <w:rsid w:val="003760AC"/>
    <w:rsid w:val="0037621A"/>
    <w:rsid w:val="003762B7"/>
    <w:rsid w:val="003762C9"/>
    <w:rsid w:val="003762E6"/>
    <w:rsid w:val="003763F0"/>
    <w:rsid w:val="003764EE"/>
    <w:rsid w:val="0037656F"/>
    <w:rsid w:val="00376645"/>
    <w:rsid w:val="00376688"/>
    <w:rsid w:val="00376747"/>
    <w:rsid w:val="0037677C"/>
    <w:rsid w:val="003768CD"/>
    <w:rsid w:val="003769F2"/>
    <w:rsid w:val="00376AA4"/>
    <w:rsid w:val="00376C71"/>
    <w:rsid w:val="00376C80"/>
    <w:rsid w:val="00376C8C"/>
    <w:rsid w:val="00376DBD"/>
    <w:rsid w:val="00376E02"/>
    <w:rsid w:val="00376EFF"/>
    <w:rsid w:val="003773DE"/>
    <w:rsid w:val="003774C5"/>
    <w:rsid w:val="00377517"/>
    <w:rsid w:val="00377552"/>
    <w:rsid w:val="0037755B"/>
    <w:rsid w:val="003775C4"/>
    <w:rsid w:val="003777B6"/>
    <w:rsid w:val="0037786E"/>
    <w:rsid w:val="003778E3"/>
    <w:rsid w:val="00377AE9"/>
    <w:rsid w:val="00377BFD"/>
    <w:rsid w:val="00377C24"/>
    <w:rsid w:val="00377C4D"/>
    <w:rsid w:val="00377D2A"/>
    <w:rsid w:val="00377D37"/>
    <w:rsid w:val="00377DA9"/>
    <w:rsid w:val="00377E31"/>
    <w:rsid w:val="00377E94"/>
    <w:rsid w:val="00377FE4"/>
    <w:rsid w:val="00377FED"/>
    <w:rsid w:val="00380009"/>
    <w:rsid w:val="003800EF"/>
    <w:rsid w:val="00380163"/>
    <w:rsid w:val="003801F8"/>
    <w:rsid w:val="00380271"/>
    <w:rsid w:val="00380330"/>
    <w:rsid w:val="00380356"/>
    <w:rsid w:val="003803D5"/>
    <w:rsid w:val="00380406"/>
    <w:rsid w:val="003805FB"/>
    <w:rsid w:val="003806FC"/>
    <w:rsid w:val="00380775"/>
    <w:rsid w:val="003808F9"/>
    <w:rsid w:val="00380A66"/>
    <w:rsid w:val="00380A6B"/>
    <w:rsid w:val="00380B4E"/>
    <w:rsid w:val="00380B5B"/>
    <w:rsid w:val="00380B8B"/>
    <w:rsid w:val="00380BD3"/>
    <w:rsid w:val="00380CB2"/>
    <w:rsid w:val="00380CE6"/>
    <w:rsid w:val="00380DBB"/>
    <w:rsid w:val="00380E04"/>
    <w:rsid w:val="00380E30"/>
    <w:rsid w:val="00380E35"/>
    <w:rsid w:val="00380EB0"/>
    <w:rsid w:val="00380EE7"/>
    <w:rsid w:val="00381157"/>
    <w:rsid w:val="003811D5"/>
    <w:rsid w:val="00381395"/>
    <w:rsid w:val="0038139F"/>
    <w:rsid w:val="0038148E"/>
    <w:rsid w:val="0038157B"/>
    <w:rsid w:val="003815F5"/>
    <w:rsid w:val="00381763"/>
    <w:rsid w:val="003817DB"/>
    <w:rsid w:val="00381923"/>
    <w:rsid w:val="00381D53"/>
    <w:rsid w:val="00381DB9"/>
    <w:rsid w:val="00381F85"/>
    <w:rsid w:val="00382036"/>
    <w:rsid w:val="00382058"/>
    <w:rsid w:val="00382113"/>
    <w:rsid w:val="003821EB"/>
    <w:rsid w:val="0038224A"/>
    <w:rsid w:val="003823B0"/>
    <w:rsid w:val="003824FB"/>
    <w:rsid w:val="0038262B"/>
    <w:rsid w:val="003827A0"/>
    <w:rsid w:val="003827D8"/>
    <w:rsid w:val="00382952"/>
    <w:rsid w:val="0038297E"/>
    <w:rsid w:val="003829B8"/>
    <w:rsid w:val="00382A99"/>
    <w:rsid w:val="00382C44"/>
    <w:rsid w:val="00382D15"/>
    <w:rsid w:val="00382EEF"/>
    <w:rsid w:val="00382F55"/>
    <w:rsid w:val="00382FBB"/>
    <w:rsid w:val="00383010"/>
    <w:rsid w:val="003832BA"/>
    <w:rsid w:val="0038350C"/>
    <w:rsid w:val="00383557"/>
    <w:rsid w:val="003836A3"/>
    <w:rsid w:val="003837D7"/>
    <w:rsid w:val="00383AB4"/>
    <w:rsid w:val="00383B81"/>
    <w:rsid w:val="00383BD2"/>
    <w:rsid w:val="00383C89"/>
    <w:rsid w:val="00383CCB"/>
    <w:rsid w:val="00383CDA"/>
    <w:rsid w:val="00383D42"/>
    <w:rsid w:val="00383D4C"/>
    <w:rsid w:val="00383E43"/>
    <w:rsid w:val="00383F19"/>
    <w:rsid w:val="003840A1"/>
    <w:rsid w:val="003840AD"/>
    <w:rsid w:val="0038422E"/>
    <w:rsid w:val="0038424E"/>
    <w:rsid w:val="0038433F"/>
    <w:rsid w:val="00384461"/>
    <w:rsid w:val="003844D1"/>
    <w:rsid w:val="003846AA"/>
    <w:rsid w:val="00384815"/>
    <w:rsid w:val="00384898"/>
    <w:rsid w:val="0038495E"/>
    <w:rsid w:val="00384B22"/>
    <w:rsid w:val="00384B6F"/>
    <w:rsid w:val="00384E22"/>
    <w:rsid w:val="00384E71"/>
    <w:rsid w:val="00384FBE"/>
    <w:rsid w:val="0038511F"/>
    <w:rsid w:val="0038528C"/>
    <w:rsid w:val="00385295"/>
    <w:rsid w:val="003852B8"/>
    <w:rsid w:val="003852EC"/>
    <w:rsid w:val="003853A3"/>
    <w:rsid w:val="00385502"/>
    <w:rsid w:val="00385596"/>
    <w:rsid w:val="003855F7"/>
    <w:rsid w:val="00385635"/>
    <w:rsid w:val="003857BF"/>
    <w:rsid w:val="00385950"/>
    <w:rsid w:val="0038597F"/>
    <w:rsid w:val="00385B98"/>
    <w:rsid w:val="00385BE0"/>
    <w:rsid w:val="00385C54"/>
    <w:rsid w:val="00385CD6"/>
    <w:rsid w:val="00385D77"/>
    <w:rsid w:val="00385E41"/>
    <w:rsid w:val="00385F0C"/>
    <w:rsid w:val="00385F7F"/>
    <w:rsid w:val="003860E6"/>
    <w:rsid w:val="003862F5"/>
    <w:rsid w:val="0038639E"/>
    <w:rsid w:val="003864ED"/>
    <w:rsid w:val="0038681F"/>
    <w:rsid w:val="0038688B"/>
    <w:rsid w:val="003868FA"/>
    <w:rsid w:val="00386BD6"/>
    <w:rsid w:val="00386CBA"/>
    <w:rsid w:val="00386D93"/>
    <w:rsid w:val="00386EAA"/>
    <w:rsid w:val="00386ED3"/>
    <w:rsid w:val="00386FCD"/>
    <w:rsid w:val="00387139"/>
    <w:rsid w:val="00387218"/>
    <w:rsid w:val="00387660"/>
    <w:rsid w:val="003877D9"/>
    <w:rsid w:val="003878A8"/>
    <w:rsid w:val="003878F1"/>
    <w:rsid w:val="00387994"/>
    <w:rsid w:val="00387AAE"/>
    <w:rsid w:val="00387ACD"/>
    <w:rsid w:val="00387B1B"/>
    <w:rsid w:val="00387CF2"/>
    <w:rsid w:val="00387D39"/>
    <w:rsid w:val="00387ED5"/>
    <w:rsid w:val="00390065"/>
    <w:rsid w:val="003900A0"/>
    <w:rsid w:val="003900B6"/>
    <w:rsid w:val="00390123"/>
    <w:rsid w:val="00390425"/>
    <w:rsid w:val="003904AA"/>
    <w:rsid w:val="00390508"/>
    <w:rsid w:val="003905A5"/>
    <w:rsid w:val="003905D0"/>
    <w:rsid w:val="00390776"/>
    <w:rsid w:val="00390785"/>
    <w:rsid w:val="0039088C"/>
    <w:rsid w:val="003908E5"/>
    <w:rsid w:val="00390A08"/>
    <w:rsid w:val="00390A34"/>
    <w:rsid w:val="00390A84"/>
    <w:rsid w:val="00390C08"/>
    <w:rsid w:val="00390C5F"/>
    <w:rsid w:val="00390CC9"/>
    <w:rsid w:val="00390D1D"/>
    <w:rsid w:val="00390D2F"/>
    <w:rsid w:val="00390DC3"/>
    <w:rsid w:val="00390ED6"/>
    <w:rsid w:val="00390FB3"/>
    <w:rsid w:val="003910D4"/>
    <w:rsid w:val="00391147"/>
    <w:rsid w:val="0039118D"/>
    <w:rsid w:val="003911DE"/>
    <w:rsid w:val="0039121D"/>
    <w:rsid w:val="0039121E"/>
    <w:rsid w:val="00391227"/>
    <w:rsid w:val="00391261"/>
    <w:rsid w:val="0039133D"/>
    <w:rsid w:val="003914AE"/>
    <w:rsid w:val="003914E6"/>
    <w:rsid w:val="00391677"/>
    <w:rsid w:val="0039167E"/>
    <w:rsid w:val="0039174C"/>
    <w:rsid w:val="0039176D"/>
    <w:rsid w:val="003918E8"/>
    <w:rsid w:val="00391A4E"/>
    <w:rsid w:val="00391B3A"/>
    <w:rsid w:val="00391DC3"/>
    <w:rsid w:val="00391ECC"/>
    <w:rsid w:val="00391EE0"/>
    <w:rsid w:val="00391F6D"/>
    <w:rsid w:val="00391FA1"/>
    <w:rsid w:val="0039217F"/>
    <w:rsid w:val="003922E2"/>
    <w:rsid w:val="00392322"/>
    <w:rsid w:val="0039232E"/>
    <w:rsid w:val="00392398"/>
    <w:rsid w:val="003923C4"/>
    <w:rsid w:val="003924C6"/>
    <w:rsid w:val="00392815"/>
    <w:rsid w:val="00392871"/>
    <w:rsid w:val="00392938"/>
    <w:rsid w:val="003929D2"/>
    <w:rsid w:val="00392A42"/>
    <w:rsid w:val="00392B0E"/>
    <w:rsid w:val="00392C1F"/>
    <w:rsid w:val="00392C28"/>
    <w:rsid w:val="00392E79"/>
    <w:rsid w:val="00393043"/>
    <w:rsid w:val="00393104"/>
    <w:rsid w:val="00393137"/>
    <w:rsid w:val="003931FA"/>
    <w:rsid w:val="00393238"/>
    <w:rsid w:val="0039326B"/>
    <w:rsid w:val="00393338"/>
    <w:rsid w:val="00393355"/>
    <w:rsid w:val="0039346C"/>
    <w:rsid w:val="003935BD"/>
    <w:rsid w:val="003936E2"/>
    <w:rsid w:val="003938F6"/>
    <w:rsid w:val="00393927"/>
    <w:rsid w:val="00393936"/>
    <w:rsid w:val="00393AAF"/>
    <w:rsid w:val="00393ACC"/>
    <w:rsid w:val="00393BF0"/>
    <w:rsid w:val="00393C4C"/>
    <w:rsid w:val="00393C95"/>
    <w:rsid w:val="00393DD4"/>
    <w:rsid w:val="00393E86"/>
    <w:rsid w:val="00393F19"/>
    <w:rsid w:val="00393F76"/>
    <w:rsid w:val="00393F98"/>
    <w:rsid w:val="00393FD7"/>
    <w:rsid w:val="003940E5"/>
    <w:rsid w:val="003941EE"/>
    <w:rsid w:val="003943D8"/>
    <w:rsid w:val="00394401"/>
    <w:rsid w:val="00394408"/>
    <w:rsid w:val="00394557"/>
    <w:rsid w:val="0039467B"/>
    <w:rsid w:val="003946E9"/>
    <w:rsid w:val="0039489C"/>
    <w:rsid w:val="00394900"/>
    <w:rsid w:val="00394A00"/>
    <w:rsid w:val="00394A60"/>
    <w:rsid w:val="00394A9A"/>
    <w:rsid w:val="00394BA8"/>
    <w:rsid w:val="00394C82"/>
    <w:rsid w:val="00394FDD"/>
    <w:rsid w:val="00395043"/>
    <w:rsid w:val="00395125"/>
    <w:rsid w:val="00395184"/>
    <w:rsid w:val="0039519C"/>
    <w:rsid w:val="00395210"/>
    <w:rsid w:val="0039579D"/>
    <w:rsid w:val="003957FD"/>
    <w:rsid w:val="0039599A"/>
    <w:rsid w:val="00395A3D"/>
    <w:rsid w:val="00395A53"/>
    <w:rsid w:val="00395AD5"/>
    <w:rsid w:val="00395AFA"/>
    <w:rsid w:val="00395BE4"/>
    <w:rsid w:val="00395C8E"/>
    <w:rsid w:val="00395C9D"/>
    <w:rsid w:val="00395D3C"/>
    <w:rsid w:val="00395DC3"/>
    <w:rsid w:val="00395EB6"/>
    <w:rsid w:val="00395EE8"/>
    <w:rsid w:val="00395F1B"/>
    <w:rsid w:val="00395FFA"/>
    <w:rsid w:val="003960FC"/>
    <w:rsid w:val="00396115"/>
    <w:rsid w:val="0039614A"/>
    <w:rsid w:val="0039624D"/>
    <w:rsid w:val="0039625E"/>
    <w:rsid w:val="003962C3"/>
    <w:rsid w:val="0039639D"/>
    <w:rsid w:val="0039643A"/>
    <w:rsid w:val="003964B0"/>
    <w:rsid w:val="003965AE"/>
    <w:rsid w:val="00396668"/>
    <w:rsid w:val="003966C7"/>
    <w:rsid w:val="003966D5"/>
    <w:rsid w:val="0039681F"/>
    <w:rsid w:val="003968BA"/>
    <w:rsid w:val="00396AC9"/>
    <w:rsid w:val="00396AE8"/>
    <w:rsid w:val="00396BE4"/>
    <w:rsid w:val="00396D3C"/>
    <w:rsid w:val="00396DD4"/>
    <w:rsid w:val="00396DFC"/>
    <w:rsid w:val="00396E58"/>
    <w:rsid w:val="00396EA9"/>
    <w:rsid w:val="00396EB9"/>
    <w:rsid w:val="00397030"/>
    <w:rsid w:val="0039706A"/>
    <w:rsid w:val="003970FE"/>
    <w:rsid w:val="00397187"/>
    <w:rsid w:val="003971C6"/>
    <w:rsid w:val="00397253"/>
    <w:rsid w:val="00397291"/>
    <w:rsid w:val="003972B3"/>
    <w:rsid w:val="00397311"/>
    <w:rsid w:val="0039733E"/>
    <w:rsid w:val="00397408"/>
    <w:rsid w:val="0039747A"/>
    <w:rsid w:val="00397652"/>
    <w:rsid w:val="00397677"/>
    <w:rsid w:val="00397688"/>
    <w:rsid w:val="0039768A"/>
    <w:rsid w:val="0039777A"/>
    <w:rsid w:val="003977C0"/>
    <w:rsid w:val="00397B8F"/>
    <w:rsid w:val="00397D6C"/>
    <w:rsid w:val="00397DB1"/>
    <w:rsid w:val="00397DC6"/>
    <w:rsid w:val="00397DEA"/>
    <w:rsid w:val="00397E2F"/>
    <w:rsid w:val="00397E87"/>
    <w:rsid w:val="00397F44"/>
    <w:rsid w:val="003A0222"/>
    <w:rsid w:val="003A027C"/>
    <w:rsid w:val="003A0366"/>
    <w:rsid w:val="003A0636"/>
    <w:rsid w:val="003A07BB"/>
    <w:rsid w:val="003A0977"/>
    <w:rsid w:val="003A09B6"/>
    <w:rsid w:val="003A0AB9"/>
    <w:rsid w:val="003A0C21"/>
    <w:rsid w:val="003A0C3C"/>
    <w:rsid w:val="003A0C65"/>
    <w:rsid w:val="003A0C90"/>
    <w:rsid w:val="003A0D22"/>
    <w:rsid w:val="003A0D67"/>
    <w:rsid w:val="003A0E31"/>
    <w:rsid w:val="003A1065"/>
    <w:rsid w:val="003A11AD"/>
    <w:rsid w:val="003A13F1"/>
    <w:rsid w:val="003A1415"/>
    <w:rsid w:val="003A157A"/>
    <w:rsid w:val="003A1613"/>
    <w:rsid w:val="003A16AF"/>
    <w:rsid w:val="003A18D5"/>
    <w:rsid w:val="003A1C3B"/>
    <w:rsid w:val="003A1D3D"/>
    <w:rsid w:val="003A1F50"/>
    <w:rsid w:val="003A208C"/>
    <w:rsid w:val="003A2173"/>
    <w:rsid w:val="003A2193"/>
    <w:rsid w:val="003A21D3"/>
    <w:rsid w:val="003A2282"/>
    <w:rsid w:val="003A2471"/>
    <w:rsid w:val="003A26E2"/>
    <w:rsid w:val="003A2764"/>
    <w:rsid w:val="003A27F0"/>
    <w:rsid w:val="003A28D3"/>
    <w:rsid w:val="003A2A32"/>
    <w:rsid w:val="003A2AE6"/>
    <w:rsid w:val="003A2C1C"/>
    <w:rsid w:val="003A2D3A"/>
    <w:rsid w:val="003A2D44"/>
    <w:rsid w:val="003A2DE9"/>
    <w:rsid w:val="003A2F95"/>
    <w:rsid w:val="003A2FA1"/>
    <w:rsid w:val="003A3094"/>
    <w:rsid w:val="003A3170"/>
    <w:rsid w:val="003A3176"/>
    <w:rsid w:val="003A318C"/>
    <w:rsid w:val="003A31C5"/>
    <w:rsid w:val="003A31D2"/>
    <w:rsid w:val="003A320C"/>
    <w:rsid w:val="003A3210"/>
    <w:rsid w:val="003A329D"/>
    <w:rsid w:val="003A3370"/>
    <w:rsid w:val="003A3402"/>
    <w:rsid w:val="003A3478"/>
    <w:rsid w:val="003A35EF"/>
    <w:rsid w:val="003A36B4"/>
    <w:rsid w:val="003A36D3"/>
    <w:rsid w:val="003A36FC"/>
    <w:rsid w:val="003A3747"/>
    <w:rsid w:val="003A37DB"/>
    <w:rsid w:val="003A38E1"/>
    <w:rsid w:val="003A3A1A"/>
    <w:rsid w:val="003A3A4A"/>
    <w:rsid w:val="003A3AB2"/>
    <w:rsid w:val="003A3B12"/>
    <w:rsid w:val="003A3B38"/>
    <w:rsid w:val="003A3BE0"/>
    <w:rsid w:val="003A3CE5"/>
    <w:rsid w:val="003A3D9F"/>
    <w:rsid w:val="003A3DBC"/>
    <w:rsid w:val="003A3E7D"/>
    <w:rsid w:val="003A4141"/>
    <w:rsid w:val="003A41A2"/>
    <w:rsid w:val="003A4246"/>
    <w:rsid w:val="003A43A0"/>
    <w:rsid w:val="003A4455"/>
    <w:rsid w:val="003A448A"/>
    <w:rsid w:val="003A45D8"/>
    <w:rsid w:val="003A4828"/>
    <w:rsid w:val="003A48B7"/>
    <w:rsid w:val="003A4A91"/>
    <w:rsid w:val="003A4AE0"/>
    <w:rsid w:val="003A4B78"/>
    <w:rsid w:val="003A4C4F"/>
    <w:rsid w:val="003A4CC7"/>
    <w:rsid w:val="003A4CD4"/>
    <w:rsid w:val="003A4EAF"/>
    <w:rsid w:val="003A4EE6"/>
    <w:rsid w:val="003A5116"/>
    <w:rsid w:val="003A534C"/>
    <w:rsid w:val="003A5873"/>
    <w:rsid w:val="003A5889"/>
    <w:rsid w:val="003A5A12"/>
    <w:rsid w:val="003A5C17"/>
    <w:rsid w:val="003A5DAB"/>
    <w:rsid w:val="003A5E90"/>
    <w:rsid w:val="003A5F24"/>
    <w:rsid w:val="003A603B"/>
    <w:rsid w:val="003A609C"/>
    <w:rsid w:val="003A6302"/>
    <w:rsid w:val="003A6347"/>
    <w:rsid w:val="003A6580"/>
    <w:rsid w:val="003A66F5"/>
    <w:rsid w:val="003A6721"/>
    <w:rsid w:val="003A679A"/>
    <w:rsid w:val="003A67D3"/>
    <w:rsid w:val="003A6857"/>
    <w:rsid w:val="003A6885"/>
    <w:rsid w:val="003A6908"/>
    <w:rsid w:val="003A69A9"/>
    <w:rsid w:val="003A6A9F"/>
    <w:rsid w:val="003A6B03"/>
    <w:rsid w:val="003A6B46"/>
    <w:rsid w:val="003A6B84"/>
    <w:rsid w:val="003A6C69"/>
    <w:rsid w:val="003A6E1C"/>
    <w:rsid w:val="003A6E66"/>
    <w:rsid w:val="003A7029"/>
    <w:rsid w:val="003A71C0"/>
    <w:rsid w:val="003A7450"/>
    <w:rsid w:val="003A7525"/>
    <w:rsid w:val="003A775C"/>
    <w:rsid w:val="003A7768"/>
    <w:rsid w:val="003A7864"/>
    <w:rsid w:val="003A78A6"/>
    <w:rsid w:val="003A7910"/>
    <w:rsid w:val="003A79CB"/>
    <w:rsid w:val="003A7A0B"/>
    <w:rsid w:val="003A7AA2"/>
    <w:rsid w:val="003A7AEA"/>
    <w:rsid w:val="003A7AEE"/>
    <w:rsid w:val="003A7BD4"/>
    <w:rsid w:val="003A7E11"/>
    <w:rsid w:val="003A7FA5"/>
    <w:rsid w:val="003A7FCC"/>
    <w:rsid w:val="003B00E3"/>
    <w:rsid w:val="003B0152"/>
    <w:rsid w:val="003B023A"/>
    <w:rsid w:val="003B02CC"/>
    <w:rsid w:val="003B040B"/>
    <w:rsid w:val="003B046D"/>
    <w:rsid w:val="003B059E"/>
    <w:rsid w:val="003B06A1"/>
    <w:rsid w:val="003B07AB"/>
    <w:rsid w:val="003B0861"/>
    <w:rsid w:val="003B0863"/>
    <w:rsid w:val="003B097D"/>
    <w:rsid w:val="003B0B9C"/>
    <w:rsid w:val="003B0C23"/>
    <w:rsid w:val="003B0CE7"/>
    <w:rsid w:val="003B0EBA"/>
    <w:rsid w:val="003B0F35"/>
    <w:rsid w:val="003B0F4D"/>
    <w:rsid w:val="003B0F89"/>
    <w:rsid w:val="003B0FB2"/>
    <w:rsid w:val="003B103A"/>
    <w:rsid w:val="003B108D"/>
    <w:rsid w:val="003B10AF"/>
    <w:rsid w:val="003B110D"/>
    <w:rsid w:val="003B111B"/>
    <w:rsid w:val="003B1169"/>
    <w:rsid w:val="003B129D"/>
    <w:rsid w:val="003B13AD"/>
    <w:rsid w:val="003B1408"/>
    <w:rsid w:val="003B172F"/>
    <w:rsid w:val="003B1753"/>
    <w:rsid w:val="003B183D"/>
    <w:rsid w:val="003B1938"/>
    <w:rsid w:val="003B1B48"/>
    <w:rsid w:val="003B1BA4"/>
    <w:rsid w:val="003B1F21"/>
    <w:rsid w:val="003B2160"/>
    <w:rsid w:val="003B21E1"/>
    <w:rsid w:val="003B224B"/>
    <w:rsid w:val="003B276F"/>
    <w:rsid w:val="003B29A3"/>
    <w:rsid w:val="003B2B31"/>
    <w:rsid w:val="003B2DAC"/>
    <w:rsid w:val="003B2DF6"/>
    <w:rsid w:val="003B2E0A"/>
    <w:rsid w:val="003B2E66"/>
    <w:rsid w:val="003B2EB9"/>
    <w:rsid w:val="003B2EBF"/>
    <w:rsid w:val="003B2EC2"/>
    <w:rsid w:val="003B2FB6"/>
    <w:rsid w:val="003B3145"/>
    <w:rsid w:val="003B31C7"/>
    <w:rsid w:val="003B32E5"/>
    <w:rsid w:val="003B333B"/>
    <w:rsid w:val="003B33C9"/>
    <w:rsid w:val="003B33F4"/>
    <w:rsid w:val="003B34A7"/>
    <w:rsid w:val="003B3506"/>
    <w:rsid w:val="003B3593"/>
    <w:rsid w:val="003B36B4"/>
    <w:rsid w:val="003B37AD"/>
    <w:rsid w:val="003B3A0F"/>
    <w:rsid w:val="003B3C42"/>
    <w:rsid w:val="003B3C73"/>
    <w:rsid w:val="003B3D1A"/>
    <w:rsid w:val="003B3DFA"/>
    <w:rsid w:val="003B3E59"/>
    <w:rsid w:val="003B3E5A"/>
    <w:rsid w:val="003B3F17"/>
    <w:rsid w:val="003B3FA6"/>
    <w:rsid w:val="003B3FB1"/>
    <w:rsid w:val="003B4027"/>
    <w:rsid w:val="003B40AA"/>
    <w:rsid w:val="003B40B0"/>
    <w:rsid w:val="003B410F"/>
    <w:rsid w:val="003B4198"/>
    <w:rsid w:val="003B41D6"/>
    <w:rsid w:val="003B41F0"/>
    <w:rsid w:val="003B41F7"/>
    <w:rsid w:val="003B42B5"/>
    <w:rsid w:val="003B42C3"/>
    <w:rsid w:val="003B42F7"/>
    <w:rsid w:val="003B453F"/>
    <w:rsid w:val="003B460E"/>
    <w:rsid w:val="003B46E4"/>
    <w:rsid w:val="003B485D"/>
    <w:rsid w:val="003B4A8F"/>
    <w:rsid w:val="003B4AC5"/>
    <w:rsid w:val="003B4C84"/>
    <w:rsid w:val="003B4DA8"/>
    <w:rsid w:val="003B4E27"/>
    <w:rsid w:val="003B4FC4"/>
    <w:rsid w:val="003B5088"/>
    <w:rsid w:val="003B51AC"/>
    <w:rsid w:val="003B5323"/>
    <w:rsid w:val="003B568D"/>
    <w:rsid w:val="003B58B0"/>
    <w:rsid w:val="003B5943"/>
    <w:rsid w:val="003B5992"/>
    <w:rsid w:val="003B59A6"/>
    <w:rsid w:val="003B5A25"/>
    <w:rsid w:val="003B5AAE"/>
    <w:rsid w:val="003B5AB1"/>
    <w:rsid w:val="003B5B7A"/>
    <w:rsid w:val="003B5D14"/>
    <w:rsid w:val="003B5E8A"/>
    <w:rsid w:val="003B5F3D"/>
    <w:rsid w:val="003B6071"/>
    <w:rsid w:val="003B618C"/>
    <w:rsid w:val="003B61CF"/>
    <w:rsid w:val="003B629D"/>
    <w:rsid w:val="003B6378"/>
    <w:rsid w:val="003B63DC"/>
    <w:rsid w:val="003B63DD"/>
    <w:rsid w:val="003B6539"/>
    <w:rsid w:val="003B6640"/>
    <w:rsid w:val="003B66C4"/>
    <w:rsid w:val="003B684A"/>
    <w:rsid w:val="003B68F3"/>
    <w:rsid w:val="003B6A74"/>
    <w:rsid w:val="003B6C45"/>
    <w:rsid w:val="003B6CED"/>
    <w:rsid w:val="003B6E0D"/>
    <w:rsid w:val="003B6EC5"/>
    <w:rsid w:val="003B6F14"/>
    <w:rsid w:val="003B711A"/>
    <w:rsid w:val="003B72F4"/>
    <w:rsid w:val="003B7370"/>
    <w:rsid w:val="003B73AF"/>
    <w:rsid w:val="003B7590"/>
    <w:rsid w:val="003B76B3"/>
    <w:rsid w:val="003B76CB"/>
    <w:rsid w:val="003B76E1"/>
    <w:rsid w:val="003B771F"/>
    <w:rsid w:val="003B77A0"/>
    <w:rsid w:val="003B7809"/>
    <w:rsid w:val="003B7874"/>
    <w:rsid w:val="003B7BEC"/>
    <w:rsid w:val="003B7BF5"/>
    <w:rsid w:val="003B7C61"/>
    <w:rsid w:val="003B7C85"/>
    <w:rsid w:val="003B7C93"/>
    <w:rsid w:val="003B7D75"/>
    <w:rsid w:val="003B7DFF"/>
    <w:rsid w:val="003B7E61"/>
    <w:rsid w:val="003B7EB9"/>
    <w:rsid w:val="003B7F50"/>
    <w:rsid w:val="003B7FDA"/>
    <w:rsid w:val="003C0021"/>
    <w:rsid w:val="003C01DE"/>
    <w:rsid w:val="003C026B"/>
    <w:rsid w:val="003C03CD"/>
    <w:rsid w:val="003C049A"/>
    <w:rsid w:val="003C070C"/>
    <w:rsid w:val="003C0A60"/>
    <w:rsid w:val="003C0A98"/>
    <w:rsid w:val="003C0ECA"/>
    <w:rsid w:val="003C10AF"/>
    <w:rsid w:val="003C10E3"/>
    <w:rsid w:val="003C10F1"/>
    <w:rsid w:val="003C12E3"/>
    <w:rsid w:val="003C1303"/>
    <w:rsid w:val="003C137F"/>
    <w:rsid w:val="003C13DF"/>
    <w:rsid w:val="003C13E2"/>
    <w:rsid w:val="003C13F1"/>
    <w:rsid w:val="003C1442"/>
    <w:rsid w:val="003C149E"/>
    <w:rsid w:val="003C1624"/>
    <w:rsid w:val="003C1641"/>
    <w:rsid w:val="003C1745"/>
    <w:rsid w:val="003C17CE"/>
    <w:rsid w:val="003C18FC"/>
    <w:rsid w:val="003C1903"/>
    <w:rsid w:val="003C1B9A"/>
    <w:rsid w:val="003C1D58"/>
    <w:rsid w:val="003C1FA7"/>
    <w:rsid w:val="003C200F"/>
    <w:rsid w:val="003C20BA"/>
    <w:rsid w:val="003C2134"/>
    <w:rsid w:val="003C22FC"/>
    <w:rsid w:val="003C2479"/>
    <w:rsid w:val="003C25BD"/>
    <w:rsid w:val="003C25F5"/>
    <w:rsid w:val="003C2652"/>
    <w:rsid w:val="003C2846"/>
    <w:rsid w:val="003C2930"/>
    <w:rsid w:val="003C29B5"/>
    <w:rsid w:val="003C29CB"/>
    <w:rsid w:val="003C2B77"/>
    <w:rsid w:val="003C2C75"/>
    <w:rsid w:val="003C2C96"/>
    <w:rsid w:val="003C2D18"/>
    <w:rsid w:val="003C2E33"/>
    <w:rsid w:val="003C2F83"/>
    <w:rsid w:val="003C303A"/>
    <w:rsid w:val="003C30C4"/>
    <w:rsid w:val="003C3119"/>
    <w:rsid w:val="003C32BB"/>
    <w:rsid w:val="003C34D1"/>
    <w:rsid w:val="003C3519"/>
    <w:rsid w:val="003C3554"/>
    <w:rsid w:val="003C3808"/>
    <w:rsid w:val="003C38F1"/>
    <w:rsid w:val="003C394A"/>
    <w:rsid w:val="003C3B1B"/>
    <w:rsid w:val="003C3B2B"/>
    <w:rsid w:val="003C3CBD"/>
    <w:rsid w:val="003C3D12"/>
    <w:rsid w:val="003C3DAD"/>
    <w:rsid w:val="003C3DC8"/>
    <w:rsid w:val="003C3F6D"/>
    <w:rsid w:val="003C4206"/>
    <w:rsid w:val="003C4228"/>
    <w:rsid w:val="003C4237"/>
    <w:rsid w:val="003C431A"/>
    <w:rsid w:val="003C44FB"/>
    <w:rsid w:val="003C4573"/>
    <w:rsid w:val="003C4683"/>
    <w:rsid w:val="003C47DE"/>
    <w:rsid w:val="003C483E"/>
    <w:rsid w:val="003C4891"/>
    <w:rsid w:val="003C490A"/>
    <w:rsid w:val="003C4A65"/>
    <w:rsid w:val="003C4DEE"/>
    <w:rsid w:val="003C4F8C"/>
    <w:rsid w:val="003C5053"/>
    <w:rsid w:val="003C5057"/>
    <w:rsid w:val="003C5078"/>
    <w:rsid w:val="003C5178"/>
    <w:rsid w:val="003C51EC"/>
    <w:rsid w:val="003C52B0"/>
    <w:rsid w:val="003C531E"/>
    <w:rsid w:val="003C546D"/>
    <w:rsid w:val="003C5498"/>
    <w:rsid w:val="003C54EF"/>
    <w:rsid w:val="003C559E"/>
    <w:rsid w:val="003C56DA"/>
    <w:rsid w:val="003C57BD"/>
    <w:rsid w:val="003C5A11"/>
    <w:rsid w:val="003C5A1A"/>
    <w:rsid w:val="003C5A6B"/>
    <w:rsid w:val="003C5AE9"/>
    <w:rsid w:val="003C5B5D"/>
    <w:rsid w:val="003C5C2A"/>
    <w:rsid w:val="003C6045"/>
    <w:rsid w:val="003C6091"/>
    <w:rsid w:val="003C60AC"/>
    <w:rsid w:val="003C60F4"/>
    <w:rsid w:val="003C6236"/>
    <w:rsid w:val="003C62C1"/>
    <w:rsid w:val="003C63E3"/>
    <w:rsid w:val="003C644A"/>
    <w:rsid w:val="003C6459"/>
    <w:rsid w:val="003C646A"/>
    <w:rsid w:val="003C64A4"/>
    <w:rsid w:val="003C64D1"/>
    <w:rsid w:val="003C6564"/>
    <w:rsid w:val="003C6582"/>
    <w:rsid w:val="003C65BC"/>
    <w:rsid w:val="003C662E"/>
    <w:rsid w:val="003C66A5"/>
    <w:rsid w:val="003C66A9"/>
    <w:rsid w:val="003C6752"/>
    <w:rsid w:val="003C6782"/>
    <w:rsid w:val="003C6804"/>
    <w:rsid w:val="003C68B7"/>
    <w:rsid w:val="003C6943"/>
    <w:rsid w:val="003C6C08"/>
    <w:rsid w:val="003C6CDA"/>
    <w:rsid w:val="003C6E42"/>
    <w:rsid w:val="003C6F09"/>
    <w:rsid w:val="003C6F52"/>
    <w:rsid w:val="003C7072"/>
    <w:rsid w:val="003C707D"/>
    <w:rsid w:val="003C715B"/>
    <w:rsid w:val="003C71C2"/>
    <w:rsid w:val="003C7639"/>
    <w:rsid w:val="003C764E"/>
    <w:rsid w:val="003C76CC"/>
    <w:rsid w:val="003C77A5"/>
    <w:rsid w:val="003C77CD"/>
    <w:rsid w:val="003C7A04"/>
    <w:rsid w:val="003C7CD8"/>
    <w:rsid w:val="003C7D72"/>
    <w:rsid w:val="003C7E75"/>
    <w:rsid w:val="003C7FC9"/>
    <w:rsid w:val="003D0151"/>
    <w:rsid w:val="003D02C9"/>
    <w:rsid w:val="003D05E1"/>
    <w:rsid w:val="003D0850"/>
    <w:rsid w:val="003D08BD"/>
    <w:rsid w:val="003D08FD"/>
    <w:rsid w:val="003D0ABD"/>
    <w:rsid w:val="003D0AEF"/>
    <w:rsid w:val="003D0DA8"/>
    <w:rsid w:val="003D0E6E"/>
    <w:rsid w:val="003D0E9E"/>
    <w:rsid w:val="003D0EC3"/>
    <w:rsid w:val="003D0F41"/>
    <w:rsid w:val="003D0F5B"/>
    <w:rsid w:val="003D10F6"/>
    <w:rsid w:val="003D13FB"/>
    <w:rsid w:val="003D1469"/>
    <w:rsid w:val="003D1482"/>
    <w:rsid w:val="003D154B"/>
    <w:rsid w:val="003D155A"/>
    <w:rsid w:val="003D159B"/>
    <w:rsid w:val="003D1656"/>
    <w:rsid w:val="003D1716"/>
    <w:rsid w:val="003D17AB"/>
    <w:rsid w:val="003D17B7"/>
    <w:rsid w:val="003D1851"/>
    <w:rsid w:val="003D18F4"/>
    <w:rsid w:val="003D1ACB"/>
    <w:rsid w:val="003D1AD3"/>
    <w:rsid w:val="003D1B51"/>
    <w:rsid w:val="003D1BD1"/>
    <w:rsid w:val="003D1CDE"/>
    <w:rsid w:val="003D1CE0"/>
    <w:rsid w:val="003D1D6E"/>
    <w:rsid w:val="003D1D77"/>
    <w:rsid w:val="003D1E95"/>
    <w:rsid w:val="003D1ED5"/>
    <w:rsid w:val="003D1F1A"/>
    <w:rsid w:val="003D2076"/>
    <w:rsid w:val="003D2329"/>
    <w:rsid w:val="003D234E"/>
    <w:rsid w:val="003D2357"/>
    <w:rsid w:val="003D24AD"/>
    <w:rsid w:val="003D252B"/>
    <w:rsid w:val="003D26B5"/>
    <w:rsid w:val="003D26E4"/>
    <w:rsid w:val="003D277A"/>
    <w:rsid w:val="003D27A2"/>
    <w:rsid w:val="003D297E"/>
    <w:rsid w:val="003D29FF"/>
    <w:rsid w:val="003D2A5C"/>
    <w:rsid w:val="003D2A8E"/>
    <w:rsid w:val="003D2A93"/>
    <w:rsid w:val="003D2C06"/>
    <w:rsid w:val="003D2C34"/>
    <w:rsid w:val="003D3046"/>
    <w:rsid w:val="003D3154"/>
    <w:rsid w:val="003D318D"/>
    <w:rsid w:val="003D3220"/>
    <w:rsid w:val="003D323A"/>
    <w:rsid w:val="003D3271"/>
    <w:rsid w:val="003D33DE"/>
    <w:rsid w:val="003D346A"/>
    <w:rsid w:val="003D3755"/>
    <w:rsid w:val="003D37EA"/>
    <w:rsid w:val="003D39CC"/>
    <w:rsid w:val="003D3BAC"/>
    <w:rsid w:val="003D3CA3"/>
    <w:rsid w:val="003D3CD9"/>
    <w:rsid w:val="003D3DA3"/>
    <w:rsid w:val="003D3DA9"/>
    <w:rsid w:val="003D3E21"/>
    <w:rsid w:val="003D3E89"/>
    <w:rsid w:val="003D3F19"/>
    <w:rsid w:val="003D4022"/>
    <w:rsid w:val="003D4286"/>
    <w:rsid w:val="003D4292"/>
    <w:rsid w:val="003D46A6"/>
    <w:rsid w:val="003D4723"/>
    <w:rsid w:val="003D48E4"/>
    <w:rsid w:val="003D49CF"/>
    <w:rsid w:val="003D4BDB"/>
    <w:rsid w:val="003D4BF9"/>
    <w:rsid w:val="003D4D88"/>
    <w:rsid w:val="003D4DA5"/>
    <w:rsid w:val="003D5032"/>
    <w:rsid w:val="003D50CD"/>
    <w:rsid w:val="003D510C"/>
    <w:rsid w:val="003D5197"/>
    <w:rsid w:val="003D51C0"/>
    <w:rsid w:val="003D51F0"/>
    <w:rsid w:val="003D53FA"/>
    <w:rsid w:val="003D5405"/>
    <w:rsid w:val="003D541C"/>
    <w:rsid w:val="003D5482"/>
    <w:rsid w:val="003D54D8"/>
    <w:rsid w:val="003D558A"/>
    <w:rsid w:val="003D566B"/>
    <w:rsid w:val="003D56DE"/>
    <w:rsid w:val="003D573F"/>
    <w:rsid w:val="003D5793"/>
    <w:rsid w:val="003D58EE"/>
    <w:rsid w:val="003D5996"/>
    <w:rsid w:val="003D5A82"/>
    <w:rsid w:val="003D5A85"/>
    <w:rsid w:val="003D5A9F"/>
    <w:rsid w:val="003D5ACE"/>
    <w:rsid w:val="003D5AF0"/>
    <w:rsid w:val="003D5E45"/>
    <w:rsid w:val="003D5FA9"/>
    <w:rsid w:val="003D606D"/>
    <w:rsid w:val="003D629C"/>
    <w:rsid w:val="003D6372"/>
    <w:rsid w:val="003D645B"/>
    <w:rsid w:val="003D64E6"/>
    <w:rsid w:val="003D6518"/>
    <w:rsid w:val="003D6551"/>
    <w:rsid w:val="003D661B"/>
    <w:rsid w:val="003D666D"/>
    <w:rsid w:val="003D680D"/>
    <w:rsid w:val="003D6823"/>
    <w:rsid w:val="003D691F"/>
    <w:rsid w:val="003D693C"/>
    <w:rsid w:val="003D69AA"/>
    <w:rsid w:val="003D6A36"/>
    <w:rsid w:val="003D6A3C"/>
    <w:rsid w:val="003D6A76"/>
    <w:rsid w:val="003D6A98"/>
    <w:rsid w:val="003D6B3E"/>
    <w:rsid w:val="003D6C30"/>
    <w:rsid w:val="003D6C65"/>
    <w:rsid w:val="003D6D43"/>
    <w:rsid w:val="003D6D48"/>
    <w:rsid w:val="003D6D71"/>
    <w:rsid w:val="003D6D9F"/>
    <w:rsid w:val="003D6EF7"/>
    <w:rsid w:val="003D7044"/>
    <w:rsid w:val="003D7124"/>
    <w:rsid w:val="003D71D6"/>
    <w:rsid w:val="003D7236"/>
    <w:rsid w:val="003D7284"/>
    <w:rsid w:val="003D73E2"/>
    <w:rsid w:val="003D7413"/>
    <w:rsid w:val="003D7457"/>
    <w:rsid w:val="003D74A9"/>
    <w:rsid w:val="003D74C8"/>
    <w:rsid w:val="003D74D0"/>
    <w:rsid w:val="003D7728"/>
    <w:rsid w:val="003D7805"/>
    <w:rsid w:val="003D7967"/>
    <w:rsid w:val="003D7A13"/>
    <w:rsid w:val="003D7A79"/>
    <w:rsid w:val="003D7B31"/>
    <w:rsid w:val="003D7C11"/>
    <w:rsid w:val="003D7C57"/>
    <w:rsid w:val="003D7D81"/>
    <w:rsid w:val="003D7EA4"/>
    <w:rsid w:val="003E01E6"/>
    <w:rsid w:val="003E020E"/>
    <w:rsid w:val="003E029D"/>
    <w:rsid w:val="003E0311"/>
    <w:rsid w:val="003E038E"/>
    <w:rsid w:val="003E04A6"/>
    <w:rsid w:val="003E0523"/>
    <w:rsid w:val="003E069D"/>
    <w:rsid w:val="003E0823"/>
    <w:rsid w:val="003E088D"/>
    <w:rsid w:val="003E0894"/>
    <w:rsid w:val="003E0AC2"/>
    <w:rsid w:val="003E0C07"/>
    <w:rsid w:val="003E0F13"/>
    <w:rsid w:val="003E1225"/>
    <w:rsid w:val="003E1270"/>
    <w:rsid w:val="003E127F"/>
    <w:rsid w:val="003E12F7"/>
    <w:rsid w:val="003E13A1"/>
    <w:rsid w:val="003E13E4"/>
    <w:rsid w:val="003E15AB"/>
    <w:rsid w:val="003E1686"/>
    <w:rsid w:val="003E16B2"/>
    <w:rsid w:val="003E175D"/>
    <w:rsid w:val="003E1770"/>
    <w:rsid w:val="003E1A17"/>
    <w:rsid w:val="003E1A24"/>
    <w:rsid w:val="003E1A48"/>
    <w:rsid w:val="003E1AAA"/>
    <w:rsid w:val="003E1AEA"/>
    <w:rsid w:val="003E1B57"/>
    <w:rsid w:val="003E1BEC"/>
    <w:rsid w:val="003E1CB8"/>
    <w:rsid w:val="003E1CC9"/>
    <w:rsid w:val="003E1D16"/>
    <w:rsid w:val="003E1D94"/>
    <w:rsid w:val="003E1E2E"/>
    <w:rsid w:val="003E1E35"/>
    <w:rsid w:val="003E1EA6"/>
    <w:rsid w:val="003E1EE7"/>
    <w:rsid w:val="003E2340"/>
    <w:rsid w:val="003E23DE"/>
    <w:rsid w:val="003E2422"/>
    <w:rsid w:val="003E2476"/>
    <w:rsid w:val="003E2535"/>
    <w:rsid w:val="003E25D4"/>
    <w:rsid w:val="003E25D7"/>
    <w:rsid w:val="003E2775"/>
    <w:rsid w:val="003E27DF"/>
    <w:rsid w:val="003E29B0"/>
    <w:rsid w:val="003E2A18"/>
    <w:rsid w:val="003E2BA9"/>
    <w:rsid w:val="003E2C44"/>
    <w:rsid w:val="003E2CE9"/>
    <w:rsid w:val="003E2D93"/>
    <w:rsid w:val="003E2E9A"/>
    <w:rsid w:val="003E2FB3"/>
    <w:rsid w:val="003E30E5"/>
    <w:rsid w:val="003E3116"/>
    <w:rsid w:val="003E3186"/>
    <w:rsid w:val="003E32EE"/>
    <w:rsid w:val="003E33C7"/>
    <w:rsid w:val="003E3420"/>
    <w:rsid w:val="003E3424"/>
    <w:rsid w:val="003E3595"/>
    <w:rsid w:val="003E3796"/>
    <w:rsid w:val="003E3931"/>
    <w:rsid w:val="003E39E5"/>
    <w:rsid w:val="003E3AFF"/>
    <w:rsid w:val="003E3DDB"/>
    <w:rsid w:val="003E3E06"/>
    <w:rsid w:val="003E3F25"/>
    <w:rsid w:val="003E3FAE"/>
    <w:rsid w:val="003E4119"/>
    <w:rsid w:val="003E411E"/>
    <w:rsid w:val="003E439E"/>
    <w:rsid w:val="003E43FC"/>
    <w:rsid w:val="003E4412"/>
    <w:rsid w:val="003E46BF"/>
    <w:rsid w:val="003E4767"/>
    <w:rsid w:val="003E477A"/>
    <w:rsid w:val="003E488B"/>
    <w:rsid w:val="003E498D"/>
    <w:rsid w:val="003E4B9C"/>
    <w:rsid w:val="003E4BC5"/>
    <w:rsid w:val="003E4D08"/>
    <w:rsid w:val="003E4DF7"/>
    <w:rsid w:val="003E51D5"/>
    <w:rsid w:val="003E52BC"/>
    <w:rsid w:val="003E534D"/>
    <w:rsid w:val="003E549B"/>
    <w:rsid w:val="003E5534"/>
    <w:rsid w:val="003E5668"/>
    <w:rsid w:val="003E56B6"/>
    <w:rsid w:val="003E578B"/>
    <w:rsid w:val="003E57DC"/>
    <w:rsid w:val="003E5A87"/>
    <w:rsid w:val="003E5A95"/>
    <w:rsid w:val="003E5BDF"/>
    <w:rsid w:val="003E5FA2"/>
    <w:rsid w:val="003E5FD5"/>
    <w:rsid w:val="003E60EB"/>
    <w:rsid w:val="003E6139"/>
    <w:rsid w:val="003E6157"/>
    <w:rsid w:val="003E61A0"/>
    <w:rsid w:val="003E62D6"/>
    <w:rsid w:val="003E65B8"/>
    <w:rsid w:val="003E664C"/>
    <w:rsid w:val="003E66F0"/>
    <w:rsid w:val="003E674B"/>
    <w:rsid w:val="003E6784"/>
    <w:rsid w:val="003E6815"/>
    <w:rsid w:val="003E6B6E"/>
    <w:rsid w:val="003E6BC8"/>
    <w:rsid w:val="003E6C91"/>
    <w:rsid w:val="003E6C98"/>
    <w:rsid w:val="003E6F2B"/>
    <w:rsid w:val="003E7061"/>
    <w:rsid w:val="003E7134"/>
    <w:rsid w:val="003E7290"/>
    <w:rsid w:val="003E729F"/>
    <w:rsid w:val="003E7832"/>
    <w:rsid w:val="003E7955"/>
    <w:rsid w:val="003E7990"/>
    <w:rsid w:val="003E7ADB"/>
    <w:rsid w:val="003E7B2F"/>
    <w:rsid w:val="003E7C2A"/>
    <w:rsid w:val="003E7C30"/>
    <w:rsid w:val="003E7CF2"/>
    <w:rsid w:val="003E7D32"/>
    <w:rsid w:val="003E7D9D"/>
    <w:rsid w:val="003E7E93"/>
    <w:rsid w:val="003E7F0F"/>
    <w:rsid w:val="003F0241"/>
    <w:rsid w:val="003F02A0"/>
    <w:rsid w:val="003F0590"/>
    <w:rsid w:val="003F05A1"/>
    <w:rsid w:val="003F0686"/>
    <w:rsid w:val="003F073C"/>
    <w:rsid w:val="003F07E6"/>
    <w:rsid w:val="003F09A6"/>
    <w:rsid w:val="003F0A01"/>
    <w:rsid w:val="003F0A7E"/>
    <w:rsid w:val="003F0B25"/>
    <w:rsid w:val="003F0BC7"/>
    <w:rsid w:val="003F0C5A"/>
    <w:rsid w:val="003F1108"/>
    <w:rsid w:val="003F132A"/>
    <w:rsid w:val="003F1338"/>
    <w:rsid w:val="003F133C"/>
    <w:rsid w:val="003F137F"/>
    <w:rsid w:val="003F1414"/>
    <w:rsid w:val="003F1460"/>
    <w:rsid w:val="003F15FA"/>
    <w:rsid w:val="003F16C3"/>
    <w:rsid w:val="003F16D0"/>
    <w:rsid w:val="003F175A"/>
    <w:rsid w:val="003F1AAA"/>
    <w:rsid w:val="003F1B51"/>
    <w:rsid w:val="003F1C0A"/>
    <w:rsid w:val="003F1C34"/>
    <w:rsid w:val="003F1DF7"/>
    <w:rsid w:val="003F1E39"/>
    <w:rsid w:val="003F1EAC"/>
    <w:rsid w:val="003F20BE"/>
    <w:rsid w:val="003F20D0"/>
    <w:rsid w:val="003F211E"/>
    <w:rsid w:val="003F218E"/>
    <w:rsid w:val="003F21DF"/>
    <w:rsid w:val="003F21E4"/>
    <w:rsid w:val="003F2367"/>
    <w:rsid w:val="003F23B4"/>
    <w:rsid w:val="003F23C8"/>
    <w:rsid w:val="003F2567"/>
    <w:rsid w:val="003F261A"/>
    <w:rsid w:val="003F2647"/>
    <w:rsid w:val="003F2825"/>
    <w:rsid w:val="003F28DC"/>
    <w:rsid w:val="003F2A40"/>
    <w:rsid w:val="003F2A44"/>
    <w:rsid w:val="003F2A57"/>
    <w:rsid w:val="003F2AD8"/>
    <w:rsid w:val="003F2DE2"/>
    <w:rsid w:val="003F2E4E"/>
    <w:rsid w:val="003F2FDE"/>
    <w:rsid w:val="003F2FEF"/>
    <w:rsid w:val="003F3320"/>
    <w:rsid w:val="003F3660"/>
    <w:rsid w:val="003F38E2"/>
    <w:rsid w:val="003F3913"/>
    <w:rsid w:val="003F3926"/>
    <w:rsid w:val="003F393B"/>
    <w:rsid w:val="003F397D"/>
    <w:rsid w:val="003F39C1"/>
    <w:rsid w:val="003F39EF"/>
    <w:rsid w:val="003F3A70"/>
    <w:rsid w:val="003F3A78"/>
    <w:rsid w:val="003F3CB6"/>
    <w:rsid w:val="003F3CD6"/>
    <w:rsid w:val="003F3D0D"/>
    <w:rsid w:val="003F3E57"/>
    <w:rsid w:val="003F3EB2"/>
    <w:rsid w:val="003F404B"/>
    <w:rsid w:val="003F41D1"/>
    <w:rsid w:val="003F420E"/>
    <w:rsid w:val="003F42C1"/>
    <w:rsid w:val="003F4396"/>
    <w:rsid w:val="003F43DE"/>
    <w:rsid w:val="003F43FE"/>
    <w:rsid w:val="003F44A5"/>
    <w:rsid w:val="003F476D"/>
    <w:rsid w:val="003F47C9"/>
    <w:rsid w:val="003F491E"/>
    <w:rsid w:val="003F4BFC"/>
    <w:rsid w:val="003F4C31"/>
    <w:rsid w:val="003F4CBE"/>
    <w:rsid w:val="003F4E03"/>
    <w:rsid w:val="003F4E27"/>
    <w:rsid w:val="003F4E8C"/>
    <w:rsid w:val="003F4F3B"/>
    <w:rsid w:val="003F4FBC"/>
    <w:rsid w:val="003F5018"/>
    <w:rsid w:val="003F50C6"/>
    <w:rsid w:val="003F546B"/>
    <w:rsid w:val="003F55CA"/>
    <w:rsid w:val="003F57A0"/>
    <w:rsid w:val="003F5963"/>
    <w:rsid w:val="003F5A79"/>
    <w:rsid w:val="003F5B31"/>
    <w:rsid w:val="003F5B40"/>
    <w:rsid w:val="003F5B4C"/>
    <w:rsid w:val="003F5C41"/>
    <w:rsid w:val="003F5C9F"/>
    <w:rsid w:val="003F5CE1"/>
    <w:rsid w:val="003F5FB6"/>
    <w:rsid w:val="003F6109"/>
    <w:rsid w:val="003F616F"/>
    <w:rsid w:val="003F6180"/>
    <w:rsid w:val="003F6214"/>
    <w:rsid w:val="003F6271"/>
    <w:rsid w:val="003F629D"/>
    <w:rsid w:val="003F62DE"/>
    <w:rsid w:val="003F6371"/>
    <w:rsid w:val="003F6386"/>
    <w:rsid w:val="003F63FA"/>
    <w:rsid w:val="003F6407"/>
    <w:rsid w:val="003F653B"/>
    <w:rsid w:val="003F6597"/>
    <w:rsid w:val="003F6625"/>
    <w:rsid w:val="003F67AF"/>
    <w:rsid w:val="003F68BE"/>
    <w:rsid w:val="003F691E"/>
    <w:rsid w:val="003F69AC"/>
    <w:rsid w:val="003F6A16"/>
    <w:rsid w:val="003F6A1C"/>
    <w:rsid w:val="003F6BCB"/>
    <w:rsid w:val="003F710B"/>
    <w:rsid w:val="003F71E7"/>
    <w:rsid w:val="003F73F0"/>
    <w:rsid w:val="003F74FA"/>
    <w:rsid w:val="003F75B4"/>
    <w:rsid w:val="003F766C"/>
    <w:rsid w:val="003F76FF"/>
    <w:rsid w:val="003F7814"/>
    <w:rsid w:val="003F7882"/>
    <w:rsid w:val="003F79D9"/>
    <w:rsid w:val="003F79F2"/>
    <w:rsid w:val="003F7A27"/>
    <w:rsid w:val="003F7A3E"/>
    <w:rsid w:val="003F7B34"/>
    <w:rsid w:val="003F7BDD"/>
    <w:rsid w:val="003F7D0F"/>
    <w:rsid w:val="003F7E35"/>
    <w:rsid w:val="003F7EBF"/>
    <w:rsid w:val="003F7FAC"/>
    <w:rsid w:val="004001B0"/>
    <w:rsid w:val="00400613"/>
    <w:rsid w:val="00400681"/>
    <w:rsid w:val="004007D4"/>
    <w:rsid w:val="00400805"/>
    <w:rsid w:val="00400900"/>
    <w:rsid w:val="00400970"/>
    <w:rsid w:val="00400AEE"/>
    <w:rsid w:val="00400B68"/>
    <w:rsid w:val="00400BA8"/>
    <w:rsid w:val="00400C49"/>
    <w:rsid w:val="00400C51"/>
    <w:rsid w:val="00400CD3"/>
    <w:rsid w:val="00400D07"/>
    <w:rsid w:val="00400D94"/>
    <w:rsid w:val="00400DE0"/>
    <w:rsid w:val="00400E7A"/>
    <w:rsid w:val="00401086"/>
    <w:rsid w:val="004010F0"/>
    <w:rsid w:val="004012BE"/>
    <w:rsid w:val="004012C2"/>
    <w:rsid w:val="004013DF"/>
    <w:rsid w:val="00401525"/>
    <w:rsid w:val="0040155D"/>
    <w:rsid w:val="004015D4"/>
    <w:rsid w:val="00401744"/>
    <w:rsid w:val="0040177B"/>
    <w:rsid w:val="004019C5"/>
    <w:rsid w:val="00401A24"/>
    <w:rsid w:val="00401BF7"/>
    <w:rsid w:val="00401DC8"/>
    <w:rsid w:val="00401E2E"/>
    <w:rsid w:val="00401ECA"/>
    <w:rsid w:val="00401FCF"/>
    <w:rsid w:val="00401FDE"/>
    <w:rsid w:val="00401FE9"/>
    <w:rsid w:val="004020C2"/>
    <w:rsid w:val="004022E1"/>
    <w:rsid w:val="0040237B"/>
    <w:rsid w:val="004023E5"/>
    <w:rsid w:val="0040245B"/>
    <w:rsid w:val="004026B8"/>
    <w:rsid w:val="004027CF"/>
    <w:rsid w:val="00402869"/>
    <w:rsid w:val="00402AA5"/>
    <w:rsid w:val="00402B6D"/>
    <w:rsid w:val="00402C14"/>
    <w:rsid w:val="00402C21"/>
    <w:rsid w:val="00402C39"/>
    <w:rsid w:val="00402DCD"/>
    <w:rsid w:val="00402F7E"/>
    <w:rsid w:val="00402FB0"/>
    <w:rsid w:val="0040312C"/>
    <w:rsid w:val="0040313B"/>
    <w:rsid w:val="004032FB"/>
    <w:rsid w:val="0040334F"/>
    <w:rsid w:val="00403356"/>
    <w:rsid w:val="00403448"/>
    <w:rsid w:val="00403549"/>
    <w:rsid w:val="004035A2"/>
    <w:rsid w:val="0040373A"/>
    <w:rsid w:val="00403921"/>
    <w:rsid w:val="004039F8"/>
    <w:rsid w:val="00403AA9"/>
    <w:rsid w:val="00403AF4"/>
    <w:rsid w:val="00403BC3"/>
    <w:rsid w:val="00403DA7"/>
    <w:rsid w:val="00403FE4"/>
    <w:rsid w:val="004040CA"/>
    <w:rsid w:val="004041A6"/>
    <w:rsid w:val="00404533"/>
    <w:rsid w:val="00404569"/>
    <w:rsid w:val="004046FD"/>
    <w:rsid w:val="0040470D"/>
    <w:rsid w:val="0040495C"/>
    <w:rsid w:val="00404CB1"/>
    <w:rsid w:val="00404CC2"/>
    <w:rsid w:val="00404D3C"/>
    <w:rsid w:val="00404DC9"/>
    <w:rsid w:val="00404DCA"/>
    <w:rsid w:val="00404F8F"/>
    <w:rsid w:val="0040501F"/>
    <w:rsid w:val="00405181"/>
    <w:rsid w:val="0040521E"/>
    <w:rsid w:val="00405279"/>
    <w:rsid w:val="0040529C"/>
    <w:rsid w:val="004052F5"/>
    <w:rsid w:val="00405429"/>
    <w:rsid w:val="004054F3"/>
    <w:rsid w:val="00405CB0"/>
    <w:rsid w:val="00405D99"/>
    <w:rsid w:val="00405E33"/>
    <w:rsid w:val="00405F64"/>
    <w:rsid w:val="0040600F"/>
    <w:rsid w:val="00406011"/>
    <w:rsid w:val="00406194"/>
    <w:rsid w:val="004062FF"/>
    <w:rsid w:val="004063B5"/>
    <w:rsid w:val="004063D8"/>
    <w:rsid w:val="00406479"/>
    <w:rsid w:val="0040654E"/>
    <w:rsid w:val="0040663A"/>
    <w:rsid w:val="00406653"/>
    <w:rsid w:val="004066B0"/>
    <w:rsid w:val="0040683B"/>
    <w:rsid w:val="0040692F"/>
    <w:rsid w:val="00406973"/>
    <w:rsid w:val="004069BC"/>
    <w:rsid w:val="00406A1A"/>
    <w:rsid w:val="00406D67"/>
    <w:rsid w:val="00406E9B"/>
    <w:rsid w:val="00406F1A"/>
    <w:rsid w:val="00406F2F"/>
    <w:rsid w:val="00406F39"/>
    <w:rsid w:val="00406FC2"/>
    <w:rsid w:val="004072F3"/>
    <w:rsid w:val="00407323"/>
    <w:rsid w:val="00407370"/>
    <w:rsid w:val="004073CF"/>
    <w:rsid w:val="00407427"/>
    <w:rsid w:val="004076B4"/>
    <w:rsid w:val="00407730"/>
    <w:rsid w:val="004077A6"/>
    <w:rsid w:val="004077CC"/>
    <w:rsid w:val="004077E2"/>
    <w:rsid w:val="00407901"/>
    <w:rsid w:val="0040791E"/>
    <w:rsid w:val="004079C6"/>
    <w:rsid w:val="00407A34"/>
    <w:rsid w:val="00407B86"/>
    <w:rsid w:val="00407BA8"/>
    <w:rsid w:val="00407C49"/>
    <w:rsid w:val="00407C4D"/>
    <w:rsid w:val="00407C83"/>
    <w:rsid w:val="00407CD7"/>
    <w:rsid w:val="00407CEA"/>
    <w:rsid w:val="00407CF8"/>
    <w:rsid w:val="00407EB7"/>
    <w:rsid w:val="00407FEB"/>
    <w:rsid w:val="0041003B"/>
    <w:rsid w:val="004100B8"/>
    <w:rsid w:val="004102F5"/>
    <w:rsid w:val="0041040A"/>
    <w:rsid w:val="0041040B"/>
    <w:rsid w:val="004104AF"/>
    <w:rsid w:val="00410502"/>
    <w:rsid w:val="0041059F"/>
    <w:rsid w:val="004105D9"/>
    <w:rsid w:val="00410639"/>
    <w:rsid w:val="00410978"/>
    <w:rsid w:val="0041098B"/>
    <w:rsid w:val="00410CFD"/>
    <w:rsid w:val="00410DD1"/>
    <w:rsid w:val="00410DDA"/>
    <w:rsid w:val="00410EC7"/>
    <w:rsid w:val="00410F33"/>
    <w:rsid w:val="00410F71"/>
    <w:rsid w:val="00410FF1"/>
    <w:rsid w:val="00411057"/>
    <w:rsid w:val="00411101"/>
    <w:rsid w:val="004111E3"/>
    <w:rsid w:val="0041132C"/>
    <w:rsid w:val="004113C7"/>
    <w:rsid w:val="0041180A"/>
    <w:rsid w:val="00411886"/>
    <w:rsid w:val="00411AAC"/>
    <w:rsid w:val="00411DE0"/>
    <w:rsid w:val="00412000"/>
    <w:rsid w:val="0041208D"/>
    <w:rsid w:val="0041221C"/>
    <w:rsid w:val="004123A9"/>
    <w:rsid w:val="004123AB"/>
    <w:rsid w:val="0041246D"/>
    <w:rsid w:val="00412481"/>
    <w:rsid w:val="004125A6"/>
    <w:rsid w:val="004125E5"/>
    <w:rsid w:val="00412660"/>
    <w:rsid w:val="00412687"/>
    <w:rsid w:val="00412870"/>
    <w:rsid w:val="00412901"/>
    <w:rsid w:val="00412D83"/>
    <w:rsid w:val="00412D8B"/>
    <w:rsid w:val="00412EB8"/>
    <w:rsid w:val="00412EEB"/>
    <w:rsid w:val="00412F7D"/>
    <w:rsid w:val="004130EA"/>
    <w:rsid w:val="00413277"/>
    <w:rsid w:val="00413327"/>
    <w:rsid w:val="004133D2"/>
    <w:rsid w:val="00413500"/>
    <w:rsid w:val="00413512"/>
    <w:rsid w:val="0041351A"/>
    <w:rsid w:val="00413749"/>
    <w:rsid w:val="0041376C"/>
    <w:rsid w:val="00413A86"/>
    <w:rsid w:val="00413BB6"/>
    <w:rsid w:val="00413BEB"/>
    <w:rsid w:val="00413C5A"/>
    <w:rsid w:val="00413D0E"/>
    <w:rsid w:val="00413F12"/>
    <w:rsid w:val="00413F6D"/>
    <w:rsid w:val="00413F97"/>
    <w:rsid w:val="00414020"/>
    <w:rsid w:val="0041425D"/>
    <w:rsid w:val="004142F2"/>
    <w:rsid w:val="00414364"/>
    <w:rsid w:val="004144D2"/>
    <w:rsid w:val="00414528"/>
    <w:rsid w:val="004146A6"/>
    <w:rsid w:val="00414703"/>
    <w:rsid w:val="00414758"/>
    <w:rsid w:val="0041490A"/>
    <w:rsid w:val="00414941"/>
    <w:rsid w:val="00414BAD"/>
    <w:rsid w:val="00414CA9"/>
    <w:rsid w:val="00414CF3"/>
    <w:rsid w:val="00414D74"/>
    <w:rsid w:val="00414DD6"/>
    <w:rsid w:val="00414DE7"/>
    <w:rsid w:val="00414F07"/>
    <w:rsid w:val="00414FA6"/>
    <w:rsid w:val="00415022"/>
    <w:rsid w:val="0041509A"/>
    <w:rsid w:val="00415206"/>
    <w:rsid w:val="004152A1"/>
    <w:rsid w:val="004152D9"/>
    <w:rsid w:val="00415306"/>
    <w:rsid w:val="0041535A"/>
    <w:rsid w:val="004154A9"/>
    <w:rsid w:val="004154E6"/>
    <w:rsid w:val="004154FA"/>
    <w:rsid w:val="0041551F"/>
    <w:rsid w:val="0041577E"/>
    <w:rsid w:val="0041588A"/>
    <w:rsid w:val="00415906"/>
    <w:rsid w:val="00415A27"/>
    <w:rsid w:val="00415A50"/>
    <w:rsid w:val="00415A5F"/>
    <w:rsid w:val="00415D76"/>
    <w:rsid w:val="00415E8E"/>
    <w:rsid w:val="00415FAF"/>
    <w:rsid w:val="0041626F"/>
    <w:rsid w:val="00416312"/>
    <w:rsid w:val="0041642E"/>
    <w:rsid w:val="00416434"/>
    <w:rsid w:val="0041645C"/>
    <w:rsid w:val="0041648D"/>
    <w:rsid w:val="004164E1"/>
    <w:rsid w:val="0041656F"/>
    <w:rsid w:val="004165F3"/>
    <w:rsid w:val="00416630"/>
    <w:rsid w:val="004166E2"/>
    <w:rsid w:val="00416BCB"/>
    <w:rsid w:val="0041713E"/>
    <w:rsid w:val="00417390"/>
    <w:rsid w:val="0041752F"/>
    <w:rsid w:val="00417558"/>
    <w:rsid w:val="004175BD"/>
    <w:rsid w:val="0041785D"/>
    <w:rsid w:val="00417892"/>
    <w:rsid w:val="00417A1A"/>
    <w:rsid w:val="00417A66"/>
    <w:rsid w:val="00417A74"/>
    <w:rsid w:val="00417AD5"/>
    <w:rsid w:val="00417B8A"/>
    <w:rsid w:val="00417C21"/>
    <w:rsid w:val="00417E3D"/>
    <w:rsid w:val="00417EBE"/>
    <w:rsid w:val="00417F13"/>
    <w:rsid w:val="00417FC4"/>
    <w:rsid w:val="00417FC8"/>
    <w:rsid w:val="004202C1"/>
    <w:rsid w:val="004205FB"/>
    <w:rsid w:val="0042061C"/>
    <w:rsid w:val="00420699"/>
    <w:rsid w:val="004206BA"/>
    <w:rsid w:val="004207EE"/>
    <w:rsid w:val="0042082D"/>
    <w:rsid w:val="00420907"/>
    <w:rsid w:val="0042096D"/>
    <w:rsid w:val="00420A51"/>
    <w:rsid w:val="00420AA5"/>
    <w:rsid w:val="00420AF8"/>
    <w:rsid w:val="00420DCF"/>
    <w:rsid w:val="004210DD"/>
    <w:rsid w:val="00421118"/>
    <w:rsid w:val="004212F2"/>
    <w:rsid w:val="0042142B"/>
    <w:rsid w:val="004215C0"/>
    <w:rsid w:val="004215CC"/>
    <w:rsid w:val="004216D6"/>
    <w:rsid w:val="0042174B"/>
    <w:rsid w:val="004217BB"/>
    <w:rsid w:val="0042189D"/>
    <w:rsid w:val="0042194C"/>
    <w:rsid w:val="0042195A"/>
    <w:rsid w:val="004219CD"/>
    <w:rsid w:val="004219D8"/>
    <w:rsid w:val="00421A7F"/>
    <w:rsid w:val="00421A99"/>
    <w:rsid w:val="00421C8F"/>
    <w:rsid w:val="00421CEB"/>
    <w:rsid w:val="00421D21"/>
    <w:rsid w:val="00421D3F"/>
    <w:rsid w:val="00421DC0"/>
    <w:rsid w:val="00421DD0"/>
    <w:rsid w:val="00421F06"/>
    <w:rsid w:val="00421F52"/>
    <w:rsid w:val="00421F55"/>
    <w:rsid w:val="00421F76"/>
    <w:rsid w:val="00421FA5"/>
    <w:rsid w:val="004221EE"/>
    <w:rsid w:val="004221FC"/>
    <w:rsid w:val="0042224E"/>
    <w:rsid w:val="00422279"/>
    <w:rsid w:val="004222E2"/>
    <w:rsid w:val="004222EF"/>
    <w:rsid w:val="0042236A"/>
    <w:rsid w:val="00422494"/>
    <w:rsid w:val="00422558"/>
    <w:rsid w:val="004228B0"/>
    <w:rsid w:val="004228E2"/>
    <w:rsid w:val="00422A76"/>
    <w:rsid w:val="00422D31"/>
    <w:rsid w:val="00422E3F"/>
    <w:rsid w:val="00422F1D"/>
    <w:rsid w:val="0042308F"/>
    <w:rsid w:val="004230A3"/>
    <w:rsid w:val="004230A5"/>
    <w:rsid w:val="0042321D"/>
    <w:rsid w:val="004234A7"/>
    <w:rsid w:val="004234C9"/>
    <w:rsid w:val="0042355F"/>
    <w:rsid w:val="00423785"/>
    <w:rsid w:val="004237CE"/>
    <w:rsid w:val="00423BAE"/>
    <w:rsid w:val="00423C28"/>
    <w:rsid w:val="004240D0"/>
    <w:rsid w:val="004243A9"/>
    <w:rsid w:val="004243FB"/>
    <w:rsid w:val="00424B2F"/>
    <w:rsid w:val="00424D54"/>
    <w:rsid w:val="0042501F"/>
    <w:rsid w:val="004251F5"/>
    <w:rsid w:val="004252C6"/>
    <w:rsid w:val="0042536A"/>
    <w:rsid w:val="004254EB"/>
    <w:rsid w:val="004255DB"/>
    <w:rsid w:val="00425718"/>
    <w:rsid w:val="0042572A"/>
    <w:rsid w:val="00425AE3"/>
    <w:rsid w:val="00425AF0"/>
    <w:rsid w:val="00425BAD"/>
    <w:rsid w:val="00425BD4"/>
    <w:rsid w:val="00425C95"/>
    <w:rsid w:val="00425DB6"/>
    <w:rsid w:val="00425E93"/>
    <w:rsid w:val="00425F6D"/>
    <w:rsid w:val="0042601D"/>
    <w:rsid w:val="004260E2"/>
    <w:rsid w:val="0042616D"/>
    <w:rsid w:val="00426390"/>
    <w:rsid w:val="004264C2"/>
    <w:rsid w:val="004264D9"/>
    <w:rsid w:val="0042659B"/>
    <w:rsid w:val="004268A3"/>
    <w:rsid w:val="00426970"/>
    <w:rsid w:val="00426986"/>
    <w:rsid w:val="004269A2"/>
    <w:rsid w:val="00426A05"/>
    <w:rsid w:val="00426BD9"/>
    <w:rsid w:val="00426BF6"/>
    <w:rsid w:val="00426D17"/>
    <w:rsid w:val="00426E82"/>
    <w:rsid w:val="00426EF4"/>
    <w:rsid w:val="004270BD"/>
    <w:rsid w:val="004271FB"/>
    <w:rsid w:val="00427220"/>
    <w:rsid w:val="004272B4"/>
    <w:rsid w:val="004272DB"/>
    <w:rsid w:val="00427365"/>
    <w:rsid w:val="004273AD"/>
    <w:rsid w:val="004273FA"/>
    <w:rsid w:val="00427448"/>
    <w:rsid w:val="004274A2"/>
    <w:rsid w:val="004274CE"/>
    <w:rsid w:val="00427535"/>
    <w:rsid w:val="00427764"/>
    <w:rsid w:val="004278E5"/>
    <w:rsid w:val="004279FD"/>
    <w:rsid w:val="00427A85"/>
    <w:rsid w:val="00427BB6"/>
    <w:rsid w:val="00427CEF"/>
    <w:rsid w:val="00427D5D"/>
    <w:rsid w:val="00427DAD"/>
    <w:rsid w:val="00427DE5"/>
    <w:rsid w:val="00427E95"/>
    <w:rsid w:val="00427F48"/>
    <w:rsid w:val="00427F8D"/>
    <w:rsid w:val="00430031"/>
    <w:rsid w:val="004301DE"/>
    <w:rsid w:val="004303F1"/>
    <w:rsid w:val="00430431"/>
    <w:rsid w:val="004304C2"/>
    <w:rsid w:val="004305A4"/>
    <w:rsid w:val="00430775"/>
    <w:rsid w:val="00430B59"/>
    <w:rsid w:val="00430C42"/>
    <w:rsid w:val="00430CB0"/>
    <w:rsid w:val="00430D00"/>
    <w:rsid w:val="00430D1B"/>
    <w:rsid w:val="00431022"/>
    <w:rsid w:val="004310B8"/>
    <w:rsid w:val="004313B2"/>
    <w:rsid w:val="004313F2"/>
    <w:rsid w:val="00431481"/>
    <w:rsid w:val="0043149E"/>
    <w:rsid w:val="00431520"/>
    <w:rsid w:val="0043158E"/>
    <w:rsid w:val="004317D1"/>
    <w:rsid w:val="004319F0"/>
    <w:rsid w:val="00431CBC"/>
    <w:rsid w:val="00431E10"/>
    <w:rsid w:val="00431E1C"/>
    <w:rsid w:val="00431EB3"/>
    <w:rsid w:val="00431F8E"/>
    <w:rsid w:val="00431F9F"/>
    <w:rsid w:val="00431FE8"/>
    <w:rsid w:val="00432388"/>
    <w:rsid w:val="00432471"/>
    <w:rsid w:val="0043247B"/>
    <w:rsid w:val="0043250B"/>
    <w:rsid w:val="00432568"/>
    <w:rsid w:val="00432591"/>
    <w:rsid w:val="00432602"/>
    <w:rsid w:val="00432706"/>
    <w:rsid w:val="0043280D"/>
    <w:rsid w:val="0043284A"/>
    <w:rsid w:val="00432886"/>
    <w:rsid w:val="0043299D"/>
    <w:rsid w:val="00432A6A"/>
    <w:rsid w:val="00432B69"/>
    <w:rsid w:val="00432BE7"/>
    <w:rsid w:val="00432C2C"/>
    <w:rsid w:val="004330EE"/>
    <w:rsid w:val="004331ED"/>
    <w:rsid w:val="004332E8"/>
    <w:rsid w:val="00433309"/>
    <w:rsid w:val="00433507"/>
    <w:rsid w:val="00433596"/>
    <w:rsid w:val="004335A6"/>
    <w:rsid w:val="004335E0"/>
    <w:rsid w:val="0043365D"/>
    <w:rsid w:val="00433782"/>
    <w:rsid w:val="004337EB"/>
    <w:rsid w:val="00433B5D"/>
    <w:rsid w:val="00433B7D"/>
    <w:rsid w:val="00433C29"/>
    <w:rsid w:val="00433D02"/>
    <w:rsid w:val="00433E98"/>
    <w:rsid w:val="00433EB9"/>
    <w:rsid w:val="004341A7"/>
    <w:rsid w:val="004341F4"/>
    <w:rsid w:val="00434224"/>
    <w:rsid w:val="0043426F"/>
    <w:rsid w:val="0043430F"/>
    <w:rsid w:val="0043439D"/>
    <w:rsid w:val="004346B1"/>
    <w:rsid w:val="00434751"/>
    <w:rsid w:val="004347CC"/>
    <w:rsid w:val="00434998"/>
    <w:rsid w:val="00434A27"/>
    <w:rsid w:val="00434A88"/>
    <w:rsid w:val="00434A9D"/>
    <w:rsid w:val="00434AF9"/>
    <w:rsid w:val="00434AFD"/>
    <w:rsid w:val="00434C2D"/>
    <w:rsid w:val="00434DAC"/>
    <w:rsid w:val="00434F9B"/>
    <w:rsid w:val="0043502B"/>
    <w:rsid w:val="00435392"/>
    <w:rsid w:val="0043541E"/>
    <w:rsid w:val="00435455"/>
    <w:rsid w:val="004354E9"/>
    <w:rsid w:val="00435839"/>
    <w:rsid w:val="00435877"/>
    <w:rsid w:val="0043593F"/>
    <w:rsid w:val="004359AA"/>
    <w:rsid w:val="00435BC2"/>
    <w:rsid w:val="00435F6F"/>
    <w:rsid w:val="00435FCA"/>
    <w:rsid w:val="00436347"/>
    <w:rsid w:val="00436350"/>
    <w:rsid w:val="00436409"/>
    <w:rsid w:val="00436470"/>
    <w:rsid w:val="0043647F"/>
    <w:rsid w:val="004364C5"/>
    <w:rsid w:val="00436563"/>
    <w:rsid w:val="00436868"/>
    <w:rsid w:val="004368DB"/>
    <w:rsid w:val="004368F1"/>
    <w:rsid w:val="0043690B"/>
    <w:rsid w:val="004369A6"/>
    <w:rsid w:val="004369FE"/>
    <w:rsid w:val="00436ABC"/>
    <w:rsid w:val="00436B50"/>
    <w:rsid w:val="00436C82"/>
    <w:rsid w:val="00436D3E"/>
    <w:rsid w:val="00436D56"/>
    <w:rsid w:val="00436E17"/>
    <w:rsid w:val="00436F23"/>
    <w:rsid w:val="00436F52"/>
    <w:rsid w:val="00437021"/>
    <w:rsid w:val="00437095"/>
    <w:rsid w:val="004370CE"/>
    <w:rsid w:val="00437147"/>
    <w:rsid w:val="00437230"/>
    <w:rsid w:val="004372C9"/>
    <w:rsid w:val="0043731C"/>
    <w:rsid w:val="00437389"/>
    <w:rsid w:val="0043786C"/>
    <w:rsid w:val="0043791A"/>
    <w:rsid w:val="00437B73"/>
    <w:rsid w:val="00437B84"/>
    <w:rsid w:val="00437D9D"/>
    <w:rsid w:val="00437DE6"/>
    <w:rsid w:val="00437E05"/>
    <w:rsid w:val="00437E7B"/>
    <w:rsid w:val="00440040"/>
    <w:rsid w:val="004400E6"/>
    <w:rsid w:val="00440194"/>
    <w:rsid w:val="00440219"/>
    <w:rsid w:val="004403EE"/>
    <w:rsid w:val="004404D0"/>
    <w:rsid w:val="00440519"/>
    <w:rsid w:val="004408B9"/>
    <w:rsid w:val="00440B23"/>
    <w:rsid w:val="00440B56"/>
    <w:rsid w:val="00440C93"/>
    <w:rsid w:val="00440EF4"/>
    <w:rsid w:val="004411A7"/>
    <w:rsid w:val="0044128C"/>
    <w:rsid w:val="004413F1"/>
    <w:rsid w:val="00441419"/>
    <w:rsid w:val="00441422"/>
    <w:rsid w:val="004415A2"/>
    <w:rsid w:val="0044166E"/>
    <w:rsid w:val="00441744"/>
    <w:rsid w:val="00441966"/>
    <w:rsid w:val="004419C8"/>
    <w:rsid w:val="004419D4"/>
    <w:rsid w:val="004419F5"/>
    <w:rsid w:val="00441AA7"/>
    <w:rsid w:val="00441BC5"/>
    <w:rsid w:val="00441CCC"/>
    <w:rsid w:val="00441D47"/>
    <w:rsid w:val="00441DCC"/>
    <w:rsid w:val="00441F8F"/>
    <w:rsid w:val="00441F9D"/>
    <w:rsid w:val="00441FA7"/>
    <w:rsid w:val="00442044"/>
    <w:rsid w:val="00442074"/>
    <w:rsid w:val="00442121"/>
    <w:rsid w:val="0044230E"/>
    <w:rsid w:val="0044232F"/>
    <w:rsid w:val="0044234E"/>
    <w:rsid w:val="004423A5"/>
    <w:rsid w:val="00442417"/>
    <w:rsid w:val="00442457"/>
    <w:rsid w:val="00442461"/>
    <w:rsid w:val="004424E1"/>
    <w:rsid w:val="004424FA"/>
    <w:rsid w:val="00442622"/>
    <w:rsid w:val="004426D9"/>
    <w:rsid w:val="0044276F"/>
    <w:rsid w:val="004428D3"/>
    <w:rsid w:val="00442A82"/>
    <w:rsid w:val="00442AFA"/>
    <w:rsid w:val="00442CFC"/>
    <w:rsid w:val="00442D6F"/>
    <w:rsid w:val="00442EF3"/>
    <w:rsid w:val="00442F42"/>
    <w:rsid w:val="00442F51"/>
    <w:rsid w:val="00442F83"/>
    <w:rsid w:val="0044306F"/>
    <w:rsid w:val="004430E3"/>
    <w:rsid w:val="00443219"/>
    <w:rsid w:val="004433D2"/>
    <w:rsid w:val="004433ED"/>
    <w:rsid w:val="00443446"/>
    <w:rsid w:val="00443513"/>
    <w:rsid w:val="0044358C"/>
    <w:rsid w:val="00443646"/>
    <w:rsid w:val="00443660"/>
    <w:rsid w:val="0044366E"/>
    <w:rsid w:val="00443B10"/>
    <w:rsid w:val="00443B28"/>
    <w:rsid w:val="00443CE1"/>
    <w:rsid w:val="00443F4F"/>
    <w:rsid w:val="00443FFE"/>
    <w:rsid w:val="004440D9"/>
    <w:rsid w:val="004441AE"/>
    <w:rsid w:val="00444290"/>
    <w:rsid w:val="0044435A"/>
    <w:rsid w:val="0044439C"/>
    <w:rsid w:val="004445E4"/>
    <w:rsid w:val="004446B6"/>
    <w:rsid w:val="004446BE"/>
    <w:rsid w:val="004446D8"/>
    <w:rsid w:val="00444779"/>
    <w:rsid w:val="00444792"/>
    <w:rsid w:val="00444835"/>
    <w:rsid w:val="00444861"/>
    <w:rsid w:val="0044495F"/>
    <w:rsid w:val="0044499A"/>
    <w:rsid w:val="0044499F"/>
    <w:rsid w:val="00444A2E"/>
    <w:rsid w:val="00444A9A"/>
    <w:rsid w:val="00444AA0"/>
    <w:rsid w:val="00444AE1"/>
    <w:rsid w:val="00444CC3"/>
    <w:rsid w:val="00444D1B"/>
    <w:rsid w:val="00444D67"/>
    <w:rsid w:val="00444E36"/>
    <w:rsid w:val="00444F1A"/>
    <w:rsid w:val="00444FE1"/>
    <w:rsid w:val="00444FFC"/>
    <w:rsid w:val="00445126"/>
    <w:rsid w:val="00445293"/>
    <w:rsid w:val="0044544A"/>
    <w:rsid w:val="004454A6"/>
    <w:rsid w:val="00445528"/>
    <w:rsid w:val="0044556F"/>
    <w:rsid w:val="004455A1"/>
    <w:rsid w:val="00445617"/>
    <w:rsid w:val="0044567E"/>
    <w:rsid w:val="0044576B"/>
    <w:rsid w:val="004457F6"/>
    <w:rsid w:val="00445AE7"/>
    <w:rsid w:val="00445D2C"/>
    <w:rsid w:val="00445D2E"/>
    <w:rsid w:val="00445D58"/>
    <w:rsid w:val="00445DD2"/>
    <w:rsid w:val="00445F32"/>
    <w:rsid w:val="00445FF0"/>
    <w:rsid w:val="004460CC"/>
    <w:rsid w:val="00446490"/>
    <w:rsid w:val="004464A1"/>
    <w:rsid w:val="004466B6"/>
    <w:rsid w:val="004466D9"/>
    <w:rsid w:val="0044672A"/>
    <w:rsid w:val="00446780"/>
    <w:rsid w:val="00446C8F"/>
    <w:rsid w:val="00446CE0"/>
    <w:rsid w:val="00446CEF"/>
    <w:rsid w:val="00446DD6"/>
    <w:rsid w:val="00446E1F"/>
    <w:rsid w:val="00446EBC"/>
    <w:rsid w:val="00446F62"/>
    <w:rsid w:val="00446F8A"/>
    <w:rsid w:val="00447039"/>
    <w:rsid w:val="0044703C"/>
    <w:rsid w:val="00447136"/>
    <w:rsid w:val="00447198"/>
    <w:rsid w:val="004471DE"/>
    <w:rsid w:val="004471F6"/>
    <w:rsid w:val="00447404"/>
    <w:rsid w:val="004475A9"/>
    <w:rsid w:val="0044762A"/>
    <w:rsid w:val="004476BD"/>
    <w:rsid w:val="004477D0"/>
    <w:rsid w:val="0044791F"/>
    <w:rsid w:val="00447BAF"/>
    <w:rsid w:val="00447BB3"/>
    <w:rsid w:val="00447FE7"/>
    <w:rsid w:val="0044B958"/>
    <w:rsid w:val="0045014C"/>
    <w:rsid w:val="00450161"/>
    <w:rsid w:val="0045016C"/>
    <w:rsid w:val="004502EC"/>
    <w:rsid w:val="00450407"/>
    <w:rsid w:val="0045047F"/>
    <w:rsid w:val="00450576"/>
    <w:rsid w:val="0045064B"/>
    <w:rsid w:val="00450655"/>
    <w:rsid w:val="004506A0"/>
    <w:rsid w:val="00450755"/>
    <w:rsid w:val="0045089A"/>
    <w:rsid w:val="00450A8D"/>
    <w:rsid w:val="00450B0E"/>
    <w:rsid w:val="00450B40"/>
    <w:rsid w:val="00450BD1"/>
    <w:rsid w:val="00450BED"/>
    <w:rsid w:val="00450D7A"/>
    <w:rsid w:val="00450DA5"/>
    <w:rsid w:val="00450E26"/>
    <w:rsid w:val="00450F40"/>
    <w:rsid w:val="00450FB1"/>
    <w:rsid w:val="004511D0"/>
    <w:rsid w:val="00451243"/>
    <w:rsid w:val="004512AA"/>
    <w:rsid w:val="0045133D"/>
    <w:rsid w:val="00451487"/>
    <w:rsid w:val="004514B4"/>
    <w:rsid w:val="0045163D"/>
    <w:rsid w:val="004519ED"/>
    <w:rsid w:val="00451A15"/>
    <w:rsid w:val="00451A8B"/>
    <w:rsid w:val="00451B15"/>
    <w:rsid w:val="00451B26"/>
    <w:rsid w:val="00451BB6"/>
    <w:rsid w:val="00451CCF"/>
    <w:rsid w:val="00451DEB"/>
    <w:rsid w:val="00451F42"/>
    <w:rsid w:val="00451FD0"/>
    <w:rsid w:val="00451FEE"/>
    <w:rsid w:val="004523D3"/>
    <w:rsid w:val="00452450"/>
    <w:rsid w:val="00452468"/>
    <w:rsid w:val="00452540"/>
    <w:rsid w:val="00452568"/>
    <w:rsid w:val="004525E4"/>
    <w:rsid w:val="0045262C"/>
    <w:rsid w:val="004526B0"/>
    <w:rsid w:val="004526C9"/>
    <w:rsid w:val="004526F4"/>
    <w:rsid w:val="00452750"/>
    <w:rsid w:val="004527FE"/>
    <w:rsid w:val="004528A3"/>
    <w:rsid w:val="004528CC"/>
    <w:rsid w:val="00452919"/>
    <w:rsid w:val="00452AA3"/>
    <w:rsid w:val="00452B2A"/>
    <w:rsid w:val="00452B56"/>
    <w:rsid w:val="00452BF6"/>
    <w:rsid w:val="00452D26"/>
    <w:rsid w:val="00452E61"/>
    <w:rsid w:val="00452F8F"/>
    <w:rsid w:val="0045308E"/>
    <w:rsid w:val="00453176"/>
    <w:rsid w:val="00453241"/>
    <w:rsid w:val="004532AC"/>
    <w:rsid w:val="00453312"/>
    <w:rsid w:val="0045347D"/>
    <w:rsid w:val="0045354E"/>
    <w:rsid w:val="0045360F"/>
    <w:rsid w:val="00453655"/>
    <w:rsid w:val="00453817"/>
    <w:rsid w:val="00453858"/>
    <w:rsid w:val="00453899"/>
    <w:rsid w:val="0045392C"/>
    <w:rsid w:val="004539B1"/>
    <w:rsid w:val="004539B7"/>
    <w:rsid w:val="00453AB9"/>
    <w:rsid w:val="00453D87"/>
    <w:rsid w:val="00453E77"/>
    <w:rsid w:val="00453F4F"/>
    <w:rsid w:val="004541F2"/>
    <w:rsid w:val="004543DC"/>
    <w:rsid w:val="00454505"/>
    <w:rsid w:val="00454574"/>
    <w:rsid w:val="004545D9"/>
    <w:rsid w:val="00454705"/>
    <w:rsid w:val="004548EF"/>
    <w:rsid w:val="0045490D"/>
    <w:rsid w:val="00454A26"/>
    <w:rsid w:val="00454A2A"/>
    <w:rsid w:val="00454A67"/>
    <w:rsid w:val="00454C2D"/>
    <w:rsid w:val="00454C7C"/>
    <w:rsid w:val="00454D76"/>
    <w:rsid w:val="00454E2C"/>
    <w:rsid w:val="00454EB0"/>
    <w:rsid w:val="00454EFD"/>
    <w:rsid w:val="00454FC3"/>
    <w:rsid w:val="00455092"/>
    <w:rsid w:val="004551A3"/>
    <w:rsid w:val="00455217"/>
    <w:rsid w:val="0045523C"/>
    <w:rsid w:val="00455298"/>
    <w:rsid w:val="00455338"/>
    <w:rsid w:val="00455395"/>
    <w:rsid w:val="004553DF"/>
    <w:rsid w:val="0045545D"/>
    <w:rsid w:val="00455813"/>
    <w:rsid w:val="004558C8"/>
    <w:rsid w:val="00455906"/>
    <w:rsid w:val="00455CB3"/>
    <w:rsid w:val="00455D8F"/>
    <w:rsid w:val="00455E10"/>
    <w:rsid w:val="00455E58"/>
    <w:rsid w:val="00455EF0"/>
    <w:rsid w:val="00456038"/>
    <w:rsid w:val="004560C5"/>
    <w:rsid w:val="0045616F"/>
    <w:rsid w:val="00456246"/>
    <w:rsid w:val="0045628A"/>
    <w:rsid w:val="004562C5"/>
    <w:rsid w:val="00456304"/>
    <w:rsid w:val="00456439"/>
    <w:rsid w:val="00456589"/>
    <w:rsid w:val="004565A2"/>
    <w:rsid w:val="00456621"/>
    <w:rsid w:val="004566F1"/>
    <w:rsid w:val="0045675C"/>
    <w:rsid w:val="00456770"/>
    <w:rsid w:val="004567FC"/>
    <w:rsid w:val="00456A20"/>
    <w:rsid w:val="00456A80"/>
    <w:rsid w:val="00456B61"/>
    <w:rsid w:val="00456C8C"/>
    <w:rsid w:val="00456DC4"/>
    <w:rsid w:val="0045714B"/>
    <w:rsid w:val="00457200"/>
    <w:rsid w:val="00457381"/>
    <w:rsid w:val="004573EB"/>
    <w:rsid w:val="004574DD"/>
    <w:rsid w:val="0045764C"/>
    <w:rsid w:val="0045774A"/>
    <w:rsid w:val="00457761"/>
    <w:rsid w:val="00457782"/>
    <w:rsid w:val="004578E1"/>
    <w:rsid w:val="00457912"/>
    <w:rsid w:val="00457BC2"/>
    <w:rsid w:val="00457F33"/>
    <w:rsid w:val="00457F91"/>
    <w:rsid w:val="00457FDE"/>
    <w:rsid w:val="00460007"/>
    <w:rsid w:val="00460118"/>
    <w:rsid w:val="004601B1"/>
    <w:rsid w:val="00460395"/>
    <w:rsid w:val="004605AA"/>
    <w:rsid w:val="00460741"/>
    <w:rsid w:val="00460788"/>
    <w:rsid w:val="00460A06"/>
    <w:rsid w:val="00460AAD"/>
    <w:rsid w:val="00460AF7"/>
    <w:rsid w:val="00460B0E"/>
    <w:rsid w:val="00460B5C"/>
    <w:rsid w:val="00460BD5"/>
    <w:rsid w:val="00460BFF"/>
    <w:rsid w:val="00460CAB"/>
    <w:rsid w:val="00460D19"/>
    <w:rsid w:val="00460D51"/>
    <w:rsid w:val="00460F11"/>
    <w:rsid w:val="00460FC3"/>
    <w:rsid w:val="004611D2"/>
    <w:rsid w:val="0046127C"/>
    <w:rsid w:val="0046129B"/>
    <w:rsid w:val="0046131C"/>
    <w:rsid w:val="0046131F"/>
    <w:rsid w:val="00461395"/>
    <w:rsid w:val="00461418"/>
    <w:rsid w:val="004615E3"/>
    <w:rsid w:val="0046173C"/>
    <w:rsid w:val="004618E0"/>
    <w:rsid w:val="00461A52"/>
    <w:rsid w:val="00461AD2"/>
    <w:rsid w:val="00461AF4"/>
    <w:rsid w:val="00461F9F"/>
    <w:rsid w:val="00462005"/>
    <w:rsid w:val="004620DF"/>
    <w:rsid w:val="00462370"/>
    <w:rsid w:val="00462480"/>
    <w:rsid w:val="004626E1"/>
    <w:rsid w:val="00462902"/>
    <w:rsid w:val="00462A87"/>
    <w:rsid w:val="00462C90"/>
    <w:rsid w:val="00462CAB"/>
    <w:rsid w:val="00462F24"/>
    <w:rsid w:val="0046305D"/>
    <w:rsid w:val="0046307C"/>
    <w:rsid w:val="004633BF"/>
    <w:rsid w:val="00463487"/>
    <w:rsid w:val="00463556"/>
    <w:rsid w:val="00463569"/>
    <w:rsid w:val="00463574"/>
    <w:rsid w:val="004636A2"/>
    <w:rsid w:val="0046370B"/>
    <w:rsid w:val="004637FD"/>
    <w:rsid w:val="004638AB"/>
    <w:rsid w:val="00463B63"/>
    <w:rsid w:val="00463B8C"/>
    <w:rsid w:val="00463B98"/>
    <w:rsid w:val="00463C42"/>
    <w:rsid w:val="00463CB5"/>
    <w:rsid w:val="00463D6F"/>
    <w:rsid w:val="00463DF4"/>
    <w:rsid w:val="00463EBF"/>
    <w:rsid w:val="00463FA4"/>
    <w:rsid w:val="00463FE6"/>
    <w:rsid w:val="004640E0"/>
    <w:rsid w:val="004640F6"/>
    <w:rsid w:val="00464101"/>
    <w:rsid w:val="00464184"/>
    <w:rsid w:val="00464286"/>
    <w:rsid w:val="004642A9"/>
    <w:rsid w:val="0046436B"/>
    <w:rsid w:val="00464492"/>
    <w:rsid w:val="0046451B"/>
    <w:rsid w:val="0046455B"/>
    <w:rsid w:val="004646DF"/>
    <w:rsid w:val="0046482F"/>
    <w:rsid w:val="0046486C"/>
    <w:rsid w:val="004649D3"/>
    <w:rsid w:val="00464B6B"/>
    <w:rsid w:val="00464D2B"/>
    <w:rsid w:val="00464D59"/>
    <w:rsid w:val="00464DC1"/>
    <w:rsid w:val="00464DC9"/>
    <w:rsid w:val="00465017"/>
    <w:rsid w:val="00465025"/>
    <w:rsid w:val="0046516F"/>
    <w:rsid w:val="004651DC"/>
    <w:rsid w:val="00465216"/>
    <w:rsid w:val="0046532A"/>
    <w:rsid w:val="00465353"/>
    <w:rsid w:val="0046542F"/>
    <w:rsid w:val="004655B0"/>
    <w:rsid w:val="00465654"/>
    <w:rsid w:val="004656D0"/>
    <w:rsid w:val="004657CE"/>
    <w:rsid w:val="00465948"/>
    <w:rsid w:val="00465B05"/>
    <w:rsid w:val="00465B20"/>
    <w:rsid w:val="00465C65"/>
    <w:rsid w:val="00465D4A"/>
    <w:rsid w:val="00465E09"/>
    <w:rsid w:val="00465EB6"/>
    <w:rsid w:val="00465FC6"/>
    <w:rsid w:val="004660D3"/>
    <w:rsid w:val="004660EA"/>
    <w:rsid w:val="00466189"/>
    <w:rsid w:val="004662AB"/>
    <w:rsid w:val="00466309"/>
    <w:rsid w:val="0046631A"/>
    <w:rsid w:val="0046631C"/>
    <w:rsid w:val="0046637F"/>
    <w:rsid w:val="004663AE"/>
    <w:rsid w:val="004663DA"/>
    <w:rsid w:val="0046650C"/>
    <w:rsid w:val="00466558"/>
    <w:rsid w:val="004665B3"/>
    <w:rsid w:val="004667A4"/>
    <w:rsid w:val="00466888"/>
    <w:rsid w:val="004668D2"/>
    <w:rsid w:val="004668EF"/>
    <w:rsid w:val="00466A08"/>
    <w:rsid w:val="00466A27"/>
    <w:rsid w:val="00466AAB"/>
    <w:rsid w:val="00466B43"/>
    <w:rsid w:val="00466BCC"/>
    <w:rsid w:val="00466BF8"/>
    <w:rsid w:val="00466C0A"/>
    <w:rsid w:val="00466C57"/>
    <w:rsid w:val="00466C8A"/>
    <w:rsid w:val="00466CE4"/>
    <w:rsid w:val="00466CEE"/>
    <w:rsid w:val="00466F20"/>
    <w:rsid w:val="00466F69"/>
    <w:rsid w:val="00466F6E"/>
    <w:rsid w:val="00467101"/>
    <w:rsid w:val="00467193"/>
    <w:rsid w:val="004671FC"/>
    <w:rsid w:val="00467251"/>
    <w:rsid w:val="00467323"/>
    <w:rsid w:val="00467476"/>
    <w:rsid w:val="0046751D"/>
    <w:rsid w:val="00467632"/>
    <w:rsid w:val="00467759"/>
    <w:rsid w:val="00467823"/>
    <w:rsid w:val="004678A9"/>
    <w:rsid w:val="004678F9"/>
    <w:rsid w:val="004679C2"/>
    <w:rsid w:val="00467A03"/>
    <w:rsid w:val="00467C02"/>
    <w:rsid w:val="00467C7C"/>
    <w:rsid w:val="00467E29"/>
    <w:rsid w:val="00467EAD"/>
    <w:rsid w:val="00467F86"/>
    <w:rsid w:val="004700C1"/>
    <w:rsid w:val="004701FD"/>
    <w:rsid w:val="004702C7"/>
    <w:rsid w:val="004702F1"/>
    <w:rsid w:val="00470810"/>
    <w:rsid w:val="00470835"/>
    <w:rsid w:val="004708F4"/>
    <w:rsid w:val="00470907"/>
    <w:rsid w:val="00470999"/>
    <w:rsid w:val="00470B6A"/>
    <w:rsid w:val="00470CB4"/>
    <w:rsid w:val="00470D1D"/>
    <w:rsid w:val="00470EC6"/>
    <w:rsid w:val="00471229"/>
    <w:rsid w:val="0047136A"/>
    <w:rsid w:val="004715A8"/>
    <w:rsid w:val="004715D7"/>
    <w:rsid w:val="004716CD"/>
    <w:rsid w:val="004717B8"/>
    <w:rsid w:val="0047181E"/>
    <w:rsid w:val="00471825"/>
    <w:rsid w:val="00471909"/>
    <w:rsid w:val="00471A9B"/>
    <w:rsid w:val="00471C2B"/>
    <w:rsid w:val="00471D0A"/>
    <w:rsid w:val="00471D67"/>
    <w:rsid w:val="00471DEE"/>
    <w:rsid w:val="00471E49"/>
    <w:rsid w:val="00471E4D"/>
    <w:rsid w:val="00471EB1"/>
    <w:rsid w:val="00471EDD"/>
    <w:rsid w:val="00471EF3"/>
    <w:rsid w:val="00471FEE"/>
    <w:rsid w:val="00472017"/>
    <w:rsid w:val="0047220C"/>
    <w:rsid w:val="0047237E"/>
    <w:rsid w:val="00472392"/>
    <w:rsid w:val="00472433"/>
    <w:rsid w:val="00472729"/>
    <w:rsid w:val="004727FB"/>
    <w:rsid w:val="0047285C"/>
    <w:rsid w:val="00472957"/>
    <w:rsid w:val="00472981"/>
    <w:rsid w:val="004729EA"/>
    <w:rsid w:val="00472AE3"/>
    <w:rsid w:val="00472BDA"/>
    <w:rsid w:val="00472D9C"/>
    <w:rsid w:val="00472DC9"/>
    <w:rsid w:val="00472E2F"/>
    <w:rsid w:val="00472E3F"/>
    <w:rsid w:val="00472E55"/>
    <w:rsid w:val="00472E82"/>
    <w:rsid w:val="00472ED3"/>
    <w:rsid w:val="00473003"/>
    <w:rsid w:val="004731DB"/>
    <w:rsid w:val="00473235"/>
    <w:rsid w:val="0047323F"/>
    <w:rsid w:val="00473323"/>
    <w:rsid w:val="00473460"/>
    <w:rsid w:val="00473587"/>
    <w:rsid w:val="004735C0"/>
    <w:rsid w:val="004737C5"/>
    <w:rsid w:val="004738A3"/>
    <w:rsid w:val="00473947"/>
    <w:rsid w:val="004743C0"/>
    <w:rsid w:val="004743FC"/>
    <w:rsid w:val="004744A6"/>
    <w:rsid w:val="0047466F"/>
    <w:rsid w:val="0047472A"/>
    <w:rsid w:val="00474767"/>
    <w:rsid w:val="0047478B"/>
    <w:rsid w:val="004747B6"/>
    <w:rsid w:val="00474A99"/>
    <w:rsid w:val="00474BBB"/>
    <w:rsid w:val="00474C03"/>
    <w:rsid w:val="00474D9A"/>
    <w:rsid w:val="00474EF7"/>
    <w:rsid w:val="00474F77"/>
    <w:rsid w:val="004750C4"/>
    <w:rsid w:val="004754A3"/>
    <w:rsid w:val="00475588"/>
    <w:rsid w:val="004755C6"/>
    <w:rsid w:val="0047562A"/>
    <w:rsid w:val="00475683"/>
    <w:rsid w:val="004758E4"/>
    <w:rsid w:val="00475958"/>
    <w:rsid w:val="00475A20"/>
    <w:rsid w:val="00475A29"/>
    <w:rsid w:val="00475AE4"/>
    <w:rsid w:val="00475B91"/>
    <w:rsid w:val="00475CEB"/>
    <w:rsid w:val="00475D49"/>
    <w:rsid w:val="00475E27"/>
    <w:rsid w:val="00475E41"/>
    <w:rsid w:val="00475F64"/>
    <w:rsid w:val="00475F8E"/>
    <w:rsid w:val="00475FAD"/>
    <w:rsid w:val="00476045"/>
    <w:rsid w:val="00476092"/>
    <w:rsid w:val="004760A8"/>
    <w:rsid w:val="00476180"/>
    <w:rsid w:val="00476241"/>
    <w:rsid w:val="00476264"/>
    <w:rsid w:val="004762E6"/>
    <w:rsid w:val="0047637B"/>
    <w:rsid w:val="00476421"/>
    <w:rsid w:val="004766DD"/>
    <w:rsid w:val="004766EE"/>
    <w:rsid w:val="004767CE"/>
    <w:rsid w:val="00476811"/>
    <w:rsid w:val="0047689C"/>
    <w:rsid w:val="004768A8"/>
    <w:rsid w:val="00476A24"/>
    <w:rsid w:val="00476C2A"/>
    <w:rsid w:val="00476CFD"/>
    <w:rsid w:val="00476D86"/>
    <w:rsid w:val="00476DE9"/>
    <w:rsid w:val="00476F65"/>
    <w:rsid w:val="0047724E"/>
    <w:rsid w:val="00477440"/>
    <w:rsid w:val="004774B6"/>
    <w:rsid w:val="0047757B"/>
    <w:rsid w:val="004775D3"/>
    <w:rsid w:val="004776A7"/>
    <w:rsid w:val="00477747"/>
    <w:rsid w:val="00477766"/>
    <w:rsid w:val="00477885"/>
    <w:rsid w:val="004779AA"/>
    <w:rsid w:val="00477A9B"/>
    <w:rsid w:val="00477C73"/>
    <w:rsid w:val="00477D02"/>
    <w:rsid w:val="00477FC0"/>
    <w:rsid w:val="0048001E"/>
    <w:rsid w:val="004800A9"/>
    <w:rsid w:val="004801A4"/>
    <w:rsid w:val="004801DB"/>
    <w:rsid w:val="00480213"/>
    <w:rsid w:val="0048022F"/>
    <w:rsid w:val="00480233"/>
    <w:rsid w:val="00480248"/>
    <w:rsid w:val="00480595"/>
    <w:rsid w:val="004808B8"/>
    <w:rsid w:val="004808E4"/>
    <w:rsid w:val="00480B6E"/>
    <w:rsid w:val="00480BF8"/>
    <w:rsid w:val="00480C0B"/>
    <w:rsid w:val="00480C57"/>
    <w:rsid w:val="00480CC9"/>
    <w:rsid w:val="00480D98"/>
    <w:rsid w:val="00480E0A"/>
    <w:rsid w:val="00480E7C"/>
    <w:rsid w:val="00480F35"/>
    <w:rsid w:val="0048106B"/>
    <w:rsid w:val="00481231"/>
    <w:rsid w:val="00481234"/>
    <w:rsid w:val="00481442"/>
    <w:rsid w:val="004814C4"/>
    <w:rsid w:val="0048152B"/>
    <w:rsid w:val="00481625"/>
    <w:rsid w:val="00481720"/>
    <w:rsid w:val="004817ED"/>
    <w:rsid w:val="004818A1"/>
    <w:rsid w:val="004818DC"/>
    <w:rsid w:val="00481926"/>
    <w:rsid w:val="00481C24"/>
    <w:rsid w:val="00481DE1"/>
    <w:rsid w:val="00481E30"/>
    <w:rsid w:val="00481ECC"/>
    <w:rsid w:val="00481EED"/>
    <w:rsid w:val="004820D1"/>
    <w:rsid w:val="0048218A"/>
    <w:rsid w:val="0048219D"/>
    <w:rsid w:val="00482526"/>
    <w:rsid w:val="0048273C"/>
    <w:rsid w:val="004827C1"/>
    <w:rsid w:val="00482863"/>
    <w:rsid w:val="0048296E"/>
    <w:rsid w:val="004829E4"/>
    <w:rsid w:val="004829F9"/>
    <w:rsid w:val="00482A35"/>
    <w:rsid w:val="00482BD6"/>
    <w:rsid w:val="00482C14"/>
    <w:rsid w:val="00482D7D"/>
    <w:rsid w:val="00482D8F"/>
    <w:rsid w:val="00482E77"/>
    <w:rsid w:val="00482EEC"/>
    <w:rsid w:val="00482F61"/>
    <w:rsid w:val="004830C7"/>
    <w:rsid w:val="004831E2"/>
    <w:rsid w:val="0048329C"/>
    <w:rsid w:val="00483319"/>
    <w:rsid w:val="0048331E"/>
    <w:rsid w:val="00483385"/>
    <w:rsid w:val="0048347B"/>
    <w:rsid w:val="004834E3"/>
    <w:rsid w:val="00483696"/>
    <w:rsid w:val="0048373F"/>
    <w:rsid w:val="004837B4"/>
    <w:rsid w:val="00483947"/>
    <w:rsid w:val="00483A92"/>
    <w:rsid w:val="00483BED"/>
    <w:rsid w:val="00483DA2"/>
    <w:rsid w:val="00484115"/>
    <w:rsid w:val="00484185"/>
    <w:rsid w:val="004841A2"/>
    <w:rsid w:val="0048434F"/>
    <w:rsid w:val="00484376"/>
    <w:rsid w:val="004849C1"/>
    <w:rsid w:val="00484A59"/>
    <w:rsid w:val="00484B10"/>
    <w:rsid w:val="00484C9D"/>
    <w:rsid w:val="00484D02"/>
    <w:rsid w:val="00484D05"/>
    <w:rsid w:val="00484D17"/>
    <w:rsid w:val="00484DD3"/>
    <w:rsid w:val="00484E1B"/>
    <w:rsid w:val="00484EBA"/>
    <w:rsid w:val="00484EE4"/>
    <w:rsid w:val="0048501E"/>
    <w:rsid w:val="004850BB"/>
    <w:rsid w:val="00485112"/>
    <w:rsid w:val="004853C5"/>
    <w:rsid w:val="0048571A"/>
    <w:rsid w:val="00485801"/>
    <w:rsid w:val="0048588D"/>
    <w:rsid w:val="00485A53"/>
    <w:rsid w:val="00485BD5"/>
    <w:rsid w:val="00485C25"/>
    <w:rsid w:val="00485C3C"/>
    <w:rsid w:val="00485DDE"/>
    <w:rsid w:val="00485EA7"/>
    <w:rsid w:val="00485F8A"/>
    <w:rsid w:val="004861DE"/>
    <w:rsid w:val="00486246"/>
    <w:rsid w:val="0048688C"/>
    <w:rsid w:val="004868EA"/>
    <w:rsid w:val="00486A1E"/>
    <w:rsid w:val="00486A86"/>
    <w:rsid w:val="00486BBB"/>
    <w:rsid w:val="00486CEF"/>
    <w:rsid w:val="00486D59"/>
    <w:rsid w:val="00486EBC"/>
    <w:rsid w:val="00487026"/>
    <w:rsid w:val="004870F0"/>
    <w:rsid w:val="00487220"/>
    <w:rsid w:val="0048722F"/>
    <w:rsid w:val="00487273"/>
    <w:rsid w:val="004873CC"/>
    <w:rsid w:val="0048755E"/>
    <w:rsid w:val="00487573"/>
    <w:rsid w:val="0048771A"/>
    <w:rsid w:val="00487896"/>
    <w:rsid w:val="004878B6"/>
    <w:rsid w:val="0048797F"/>
    <w:rsid w:val="00487A1D"/>
    <w:rsid w:val="00487A45"/>
    <w:rsid w:val="00487ADC"/>
    <w:rsid w:val="00487B04"/>
    <w:rsid w:val="00487B44"/>
    <w:rsid w:val="00487D6D"/>
    <w:rsid w:val="00487DFB"/>
    <w:rsid w:val="00487E95"/>
    <w:rsid w:val="00487EB1"/>
    <w:rsid w:val="00490005"/>
    <w:rsid w:val="00490022"/>
    <w:rsid w:val="0049004A"/>
    <w:rsid w:val="004902B3"/>
    <w:rsid w:val="004902ED"/>
    <w:rsid w:val="00490364"/>
    <w:rsid w:val="00490397"/>
    <w:rsid w:val="004904A8"/>
    <w:rsid w:val="004904BD"/>
    <w:rsid w:val="00490640"/>
    <w:rsid w:val="00490664"/>
    <w:rsid w:val="004906B0"/>
    <w:rsid w:val="004907A0"/>
    <w:rsid w:val="0049080A"/>
    <w:rsid w:val="004908E7"/>
    <w:rsid w:val="00490AE9"/>
    <w:rsid w:val="00490C1B"/>
    <w:rsid w:val="00490C31"/>
    <w:rsid w:val="00490CB3"/>
    <w:rsid w:val="00490CD9"/>
    <w:rsid w:val="00490CFA"/>
    <w:rsid w:val="00490DC3"/>
    <w:rsid w:val="00490FC8"/>
    <w:rsid w:val="0049108A"/>
    <w:rsid w:val="0049119D"/>
    <w:rsid w:val="004911FA"/>
    <w:rsid w:val="004913CF"/>
    <w:rsid w:val="00491475"/>
    <w:rsid w:val="004914CE"/>
    <w:rsid w:val="00491799"/>
    <w:rsid w:val="00491B2D"/>
    <w:rsid w:val="00491BF1"/>
    <w:rsid w:val="00491D84"/>
    <w:rsid w:val="00491F92"/>
    <w:rsid w:val="004922C5"/>
    <w:rsid w:val="0049230A"/>
    <w:rsid w:val="00492333"/>
    <w:rsid w:val="00492351"/>
    <w:rsid w:val="00492372"/>
    <w:rsid w:val="0049244D"/>
    <w:rsid w:val="00492605"/>
    <w:rsid w:val="00492615"/>
    <w:rsid w:val="00492695"/>
    <w:rsid w:val="004926D1"/>
    <w:rsid w:val="00492873"/>
    <w:rsid w:val="0049299E"/>
    <w:rsid w:val="004929BC"/>
    <w:rsid w:val="00492A45"/>
    <w:rsid w:val="00492CDE"/>
    <w:rsid w:val="00492D6F"/>
    <w:rsid w:val="00492DBB"/>
    <w:rsid w:val="00492E23"/>
    <w:rsid w:val="00493045"/>
    <w:rsid w:val="00493047"/>
    <w:rsid w:val="004930BF"/>
    <w:rsid w:val="004930DC"/>
    <w:rsid w:val="0049313E"/>
    <w:rsid w:val="004932CC"/>
    <w:rsid w:val="004932FD"/>
    <w:rsid w:val="004934CA"/>
    <w:rsid w:val="00493795"/>
    <w:rsid w:val="004938AC"/>
    <w:rsid w:val="00493ABD"/>
    <w:rsid w:val="00493B76"/>
    <w:rsid w:val="0049403E"/>
    <w:rsid w:val="00494119"/>
    <w:rsid w:val="00494124"/>
    <w:rsid w:val="0049413B"/>
    <w:rsid w:val="0049423E"/>
    <w:rsid w:val="004942F6"/>
    <w:rsid w:val="0049435E"/>
    <w:rsid w:val="004943C8"/>
    <w:rsid w:val="00494498"/>
    <w:rsid w:val="004944A1"/>
    <w:rsid w:val="004944B1"/>
    <w:rsid w:val="004944D0"/>
    <w:rsid w:val="004945F3"/>
    <w:rsid w:val="00494612"/>
    <w:rsid w:val="0049461B"/>
    <w:rsid w:val="004948DD"/>
    <w:rsid w:val="00494939"/>
    <w:rsid w:val="004949EC"/>
    <w:rsid w:val="00494CD3"/>
    <w:rsid w:val="00494CD8"/>
    <w:rsid w:val="00494D35"/>
    <w:rsid w:val="00494D61"/>
    <w:rsid w:val="00494E52"/>
    <w:rsid w:val="00494E74"/>
    <w:rsid w:val="00494EA7"/>
    <w:rsid w:val="00494F75"/>
    <w:rsid w:val="004952A4"/>
    <w:rsid w:val="004952B8"/>
    <w:rsid w:val="004953C8"/>
    <w:rsid w:val="0049560A"/>
    <w:rsid w:val="004956D0"/>
    <w:rsid w:val="00495A75"/>
    <w:rsid w:val="00495AE8"/>
    <w:rsid w:val="00495AFD"/>
    <w:rsid w:val="00495D1A"/>
    <w:rsid w:val="00495D67"/>
    <w:rsid w:val="00495F61"/>
    <w:rsid w:val="00495FA3"/>
    <w:rsid w:val="00495FF2"/>
    <w:rsid w:val="0049618C"/>
    <w:rsid w:val="00496225"/>
    <w:rsid w:val="004963DE"/>
    <w:rsid w:val="00496472"/>
    <w:rsid w:val="004964AB"/>
    <w:rsid w:val="004964FA"/>
    <w:rsid w:val="00496727"/>
    <w:rsid w:val="004967DF"/>
    <w:rsid w:val="004968CE"/>
    <w:rsid w:val="004968E5"/>
    <w:rsid w:val="004969F2"/>
    <w:rsid w:val="00496B86"/>
    <w:rsid w:val="00496C34"/>
    <w:rsid w:val="00496C68"/>
    <w:rsid w:val="00496DA3"/>
    <w:rsid w:val="00496E16"/>
    <w:rsid w:val="00496EC8"/>
    <w:rsid w:val="00496EE6"/>
    <w:rsid w:val="00496F08"/>
    <w:rsid w:val="00496F0E"/>
    <w:rsid w:val="00496F15"/>
    <w:rsid w:val="00496F55"/>
    <w:rsid w:val="00496FDB"/>
    <w:rsid w:val="00496FE5"/>
    <w:rsid w:val="00496FED"/>
    <w:rsid w:val="00497137"/>
    <w:rsid w:val="004971C0"/>
    <w:rsid w:val="004972A3"/>
    <w:rsid w:val="00497392"/>
    <w:rsid w:val="00497461"/>
    <w:rsid w:val="0049752A"/>
    <w:rsid w:val="004979ED"/>
    <w:rsid w:val="00497A34"/>
    <w:rsid w:val="00497A78"/>
    <w:rsid w:val="00497B87"/>
    <w:rsid w:val="00497BA7"/>
    <w:rsid w:val="00497C06"/>
    <w:rsid w:val="00497C1B"/>
    <w:rsid w:val="00497C36"/>
    <w:rsid w:val="00497C3A"/>
    <w:rsid w:val="00497E7E"/>
    <w:rsid w:val="00497EB9"/>
    <w:rsid w:val="00497F17"/>
    <w:rsid w:val="00497F8C"/>
    <w:rsid w:val="00497F9F"/>
    <w:rsid w:val="00497FDA"/>
    <w:rsid w:val="0049D262"/>
    <w:rsid w:val="004A005D"/>
    <w:rsid w:val="004A0099"/>
    <w:rsid w:val="004A014E"/>
    <w:rsid w:val="004A0184"/>
    <w:rsid w:val="004A019E"/>
    <w:rsid w:val="004A0383"/>
    <w:rsid w:val="004A05F2"/>
    <w:rsid w:val="004A06CD"/>
    <w:rsid w:val="004A06DB"/>
    <w:rsid w:val="004A0714"/>
    <w:rsid w:val="004A07D7"/>
    <w:rsid w:val="004A09ED"/>
    <w:rsid w:val="004A0A0E"/>
    <w:rsid w:val="004A0CA7"/>
    <w:rsid w:val="004A0CCC"/>
    <w:rsid w:val="004A1073"/>
    <w:rsid w:val="004A107B"/>
    <w:rsid w:val="004A10C4"/>
    <w:rsid w:val="004A1286"/>
    <w:rsid w:val="004A12BC"/>
    <w:rsid w:val="004A1302"/>
    <w:rsid w:val="004A1AFB"/>
    <w:rsid w:val="004A1C5B"/>
    <w:rsid w:val="004A1F7E"/>
    <w:rsid w:val="004A20D3"/>
    <w:rsid w:val="004A20D8"/>
    <w:rsid w:val="004A21BC"/>
    <w:rsid w:val="004A22B4"/>
    <w:rsid w:val="004A2354"/>
    <w:rsid w:val="004A23F4"/>
    <w:rsid w:val="004A250C"/>
    <w:rsid w:val="004A262E"/>
    <w:rsid w:val="004A26FD"/>
    <w:rsid w:val="004A284F"/>
    <w:rsid w:val="004A2873"/>
    <w:rsid w:val="004A2893"/>
    <w:rsid w:val="004A28C4"/>
    <w:rsid w:val="004A2CCA"/>
    <w:rsid w:val="004A2F5C"/>
    <w:rsid w:val="004A2F7C"/>
    <w:rsid w:val="004A3133"/>
    <w:rsid w:val="004A35E6"/>
    <w:rsid w:val="004A3766"/>
    <w:rsid w:val="004A37F7"/>
    <w:rsid w:val="004A38DE"/>
    <w:rsid w:val="004A39DD"/>
    <w:rsid w:val="004A3B70"/>
    <w:rsid w:val="004A3B89"/>
    <w:rsid w:val="004A3BCE"/>
    <w:rsid w:val="004A3D2B"/>
    <w:rsid w:val="004A3DCD"/>
    <w:rsid w:val="004A3F9C"/>
    <w:rsid w:val="004A3FA4"/>
    <w:rsid w:val="004A3FBA"/>
    <w:rsid w:val="004A3FF6"/>
    <w:rsid w:val="004A4021"/>
    <w:rsid w:val="004A402E"/>
    <w:rsid w:val="004A40AF"/>
    <w:rsid w:val="004A4117"/>
    <w:rsid w:val="004A44C7"/>
    <w:rsid w:val="004A4730"/>
    <w:rsid w:val="004A491D"/>
    <w:rsid w:val="004A4B6F"/>
    <w:rsid w:val="004A4CF9"/>
    <w:rsid w:val="004A4D21"/>
    <w:rsid w:val="004A4D9C"/>
    <w:rsid w:val="004A4F51"/>
    <w:rsid w:val="004A503A"/>
    <w:rsid w:val="004A52DE"/>
    <w:rsid w:val="004A5400"/>
    <w:rsid w:val="004A5432"/>
    <w:rsid w:val="004A54C5"/>
    <w:rsid w:val="004A550C"/>
    <w:rsid w:val="004A5568"/>
    <w:rsid w:val="004A55B3"/>
    <w:rsid w:val="004A55D3"/>
    <w:rsid w:val="004A5769"/>
    <w:rsid w:val="004A57AC"/>
    <w:rsid w:val="004A582D"/>
    <w:rsid w:val="004A5835"/>
    <w:rsid w:val="004A585C"/>
    <w:rsid w:val="004A587B"/>
    <w:rsid w:val="004A5881"/>
    <w:rsid w:val="004A5BB6"/>
    <w:rsid w:val="004A5CD9"/>
    <w:rsid w:val="004A5DEC"/>
    <w:rsid w:val="004A5EC8"/>
    <w:rsid w:val="004A5F10"/>
    <w:rsid w:val="004A5F9C"/>
    <w:rsid w:val="004A602C"/>
    <w:rsid w:val="004A61C7"/>
    <w:rsid w:val="004A642D"/>
    <w:rsid w:val="004A64EA"/>
    <w:rsid w:val="004A655A"/>
    <w:rsid w:val="004A6741"/>
    <w:rsid w:val="004A6799"/>
    <w:rsid w:val="004A6804"/>
    <w:rsid w:val="004A6A22"/>
    <w:rsid w:val="004A6A95"/>
    <w:rsid w:val="004A6AB2"/>
    <w:rsid w:val="004A6ABB"/>
    <w:rsid w:val="004A6C73"/>
    <w:rsid w:val="004A6CFB"/>
    <w:rsid w:val="004A6D43"/>
    <w:rsid w:val="004A6E8F"/>
    <w:rsid w:val="004A6EA6"/>
    <w:rsid w:val="004A6F8B"/>
    <w:rsid w:val="004A7009"/>
    <w:rsid w:val="004A7029"/>
    <w:rsid w:val="004A70C0"/>
    <w:rsid w:val="004A70E5"/>
    <w:rsid w:val="004A711C"/>
    <w:rsid w:val="004A71CF"/>
    <w:rsid w:val="004A7255"/>
    <w:rsid w:val="004A7342"/>
    <w:rsid w:val="004A743E"/>
    <w:rsid w:val="004A74DA"/>
    <w:rsid w:val="004A76A0"/>
    <w:rsid w:val="004A77BB"/>
    <w:rsid w:val="004A7831"/>
    <w:rsid w:val="004A7862"/>
    <w:rsid w:val="004A78D0"/>
    <w:rsid w:val="004A78F8"/>
    <w:rsid w:val="004A7979"/>
    <w:rsid w:val="004A7C22"/>
    <w:rsid w:val="004A7D09"/>
    <w:rsid w:val="004A7E0D"/>
    <w:rsid w:val="004B004A"/>
    <w:rsid w:val="004B008A"/>
    <w:rsid w:val="004B01A5"/>
    <w:rsid w:val="004B022A"/>
    <w:rsid w:val="004B023A"/>
    <w:rsid w:val="004B03D9"/>
    <w:rsid w:val="004B0501"/>
    <w:rsid w:val="004B0559"/>
    <w:rsid w:val="004B059E"/>
    <w:rsid w:val="004B07A3"/>
    <w:rsid w:val="004B09BA"/>
    <w:rsid w:val="004B09DB"/>
    <w:rsid w:val="004B0D52"/>
    <w:rsid w:val="004B0F50"/>
    <w:rsid w:val="004B0FD4"/>
    <w:rsid w:val="004B0FD9"/>
    <w:rsid w:val="004B1040"/>
    <w:rsid w:val="004B1200"/>
    <w:rsid w:val="004B1204"/>
    <w:rsid w:val="004B13DC"/>
    <w:rsid w:val="004B152F"/>
    <w:rsid w:val="004B15D2"/>
    <w:rsid w:val="004B16E6"/>
    <w:rsid w:val="004B16F1"/>
    <w:rsid w:val="004B185C"/>
    <w:rsid w:val="004B1959"/>
    <w:rsid w:val="004B19AE"/>
    <w:rsid w:val="004B1C10"/>
    <w:rsid w:val="004B1C1E"/>
    <w:rsid w:val="004B1E7E"/>
    <w:rsid w:val="004B1F52"/>
    <w:rsid w:val="004B208D"/>
    <w:rsid w:val="004B2179"/>
    <w:rsid w:val="004B22D7"/>
    <w:rsid w:val="004B22DB"/>
    <w:rsid w:val="004B22EC"/>
    <w:rsid w:val="004B2605"/>
    <w:rsid w:val="004B2671"/>
    <w:rsid w:val="004B2725"/>
    <w:rsid w:val="004B2726"/>
    <w:rsid w:val="004B2793"/>
    <w:rsid w:val="004B28BA"/>
    <w:rsid w:val="004B2ACA"/>
    <w:rsid w:val="004B2B19"/>
    <w:rsid w:val="004B2B2B"/>
    <w:rsid w:val="004B2BD1"/>
    <w:rsid w:val="004B2CD4"/>
    <w:rsid w:val="004B2CFD"/>
    <w:rsid w:val="004B2DAD"/>
    <w:rsid w:val="004B2E2F"/>
    <w:rsid w:val="004B2E52"/>
    <w:rsid w:val="004B2EA3"/>
    <w:rsid w:val="004B2FB4"/>
    <w:rsid w:val="004B3184"/>
    <w:rsid w:val="004B336B"/>
    <w:rsid w:val="004B3431"/>
    <w:rsid w:val="004B3513"/>
    <w:rsid w:val="004B356D"/>
    <w:rsid w:val="004B36F1"/>
    <w:rsid w:val="004B36FC"/>
    <w:rsid w:val="004B379E"/>
    <w:rsid w:val="004B3930"/>
    <w:rsid w:val="004B3B23"/>
    <w:rsid w:val="004B3C0E"/>
    <w:rsid w:val="004B3C72"/>
    <w:rsid w:val="004B3DC3"/>
    <w:rsid w:val="004B3EF3"/>
    <w:rsid w:val="004B42CB"/>
    <w:rsid w:val="004B436F"/>
    <w:rsid w:val="004B43CB"/>
    <w:rsid w:val="004B43FE"/>
    <w:rsid w:val="004B4417"/>
    <w:rsid w:val="004B450E"/>
    <w:rsid w:val="004B4789"/>
    <w:rsid w:val="004B496C"/>
    <w:rsid w:val="004B49F1"/>
    <w:rsid w:val="004B4B21"/>
    <w:rsid w:val="004B4DEE"/>
    <w:rsid w:val="004B4E27"/>
    <w:rsid w:val="004B4E40"/>
    <w:rsid w:val="004B4E5D"/>
    <w:rsid w:val="004B4E8D"/>
    <w:rsid w:val="004B5339"/>
    <w:rsid w:val="004B5565"/>
    <w:rsid w:val="004B5592"/>
    <w:rsid w:val="004B559C"/>
    <w:rsid w:val="004B56DE"/>
    <w:rsid w:val="004B5909"/>
    <w:rsid w:val="004B5B4E"/>
    <w:rsid w:val="004B5E0F"/>
    <w:rsid w:val="004B5EE2"/>
    <w:rsid w:val="004B5EF6"/>
    <w:rsid w:val="004B5F47"/>
    <w:rsid w:val="004B5FBA"/>
    <w:rsid w:val="004B605D"/>
    <w:rsid w:val="004B6124"/>
    <w:rsid w:val="004B6307"/>
    <w:rsid w:val="004B64A2"/>
    <w:rsid w:val="004B6501"/>
    <w:rsid w:val="004B6560"/>
    <w:rsid w:val="004B66EB"/>
    <w:rsid w:val="004B6760"/>
    <w:rsid w:val="004B69DE"/>
    <w:rsid w:val="004B6A45"/>
    <w:rsid w:val="004B6B14"/>
    <w:rsid w:val="004B6B86"/>
    <w:rsid w:val="004B6BC0"/>
    <w:rsid w:val="004B6CF7"/>
    <w:rsid w:val="004B6D08"/>
    <w:rsid w:val="004B6D7F"/>
    <w:rsid w:val="004B6DE6"/>
    <w:rsid w:val="004B6E51"/>
    <w:rsid w:val="004B716D"/>
    <w:rsid w:val="004B734D"/>
    <w:rsid w:val="004B735F"/>
    <w:rsid w:val="004B7393"/>
    <w:rsid w:val="004B73B0"/>
    <w:rsid w:val="004B741B"/>
    <w:rsid w:val="004B74A2"/>
    <w:rsid w:val="004B74D1"/>
    <w:rsid w:val="004B758B"/>
    <w:rsid w:val="004B7643"/>
    <w:rsid w:val="004B7719"/>
    <w:rsid w:val="004B77C6"/>
    <w:rsid w:val="004B77DE"/>
    <w:rsid w:val="004B7804"/>
    <w:rsid w:val="004B78EF"/>
    <w:rsid w:val="004B7B63"/>
    <w:rsid w:val="004B7B7F"/>
    <w:rsid w:val="004B7D5E"/>
    <w:rsid w:val="004B7D61"/>
    <w:rsid w:val="004B7DCC"/>
    <w:rsid w:val="004B7E40"/>
    <w:rsid w:val="004B7EBA"/>
    <w:rsid w:val="004B7F8C"/>
    <w:rsid w:val="004C0119"/>
    <w:rsid w:val="004C01B2"/>
    <w:rsid w:val="004C020A"/>
    <w:rsid w:val="004C0288"/>
    <w:rsid w:val="004C0376"/>
    <w:rsid w:val="004C06B5"/>
    <w:rsid w:val="004C083D"/>
    <w:rsid w:val="004C09BD"/>
    <w:rsid w:val="004C0A94"/>
    <w:rsid w:val="004C0A98"/>
    <w:rsid w:val="004C0AC5"/>
    <w:rsid w:val="004C0B82"/>
    <w:rsid w:val="004C0D4C"/>
    <w:rsid w:val="004C0DB2"/>
    <w:rsid w:val="004C0F5B"/>
    <w:rsid w:val="004C0F82"/>
    <w:rsid w:val="004C1159"/>
    <w:rsid w:val="004C12BE"/>
    <w:rsid w:val="004C1301"/>
    <w:rsid w:val="004C131D"/>
    <w:rsid w:val="004C13AF"/>
    <w:rsid w:val="004C1468"/>
    <w:rsid w:val="004C1510"/>
    <w:rsid w:val="004C1589"/>
    <w:rsid w:val="004C1723"/>
    <w:rsid w:val="004C1747"/>
    <w:rsid w:val="004C1802"/>
    <w:rsid w:val="004C19A8"/>
    <w:rsid w:val="004C1A28"/>
    <w:rsid w:val="004C1AB6"/>
    <w:rsid w:val="004C1ACD"/>
    <w:rsid w:val="004C1B1E"/>
    <w:rsid w:val="004C1B43"/>
    <w:rsid w:val="004C1C77"/>
    <w:rsid w:val="004C1D79"/>
    <w:rsid w:val="004C2033"/>
    <w:rsid w:val="004C208E"/>
    <w:rsid w:val="004C225F"/>
    <w:rsid w:val="004C2337"/>
    <w:rsid w:val="004C2440"/>
    <w:rsid w:val="004C2483"/>
    <w:rsid w:val="004C2867"/>
    <w:rsid w:val="004C288F"/>
    <w:rsid w:val="004C2948"/>
    <w:rsid w:val="004C29B5"/>
    <w:rsid w:val="004C2A00"/>
    <w:rsid w:val="004C2AC4"/>
    <w:rsid w:val="004C2BA3"/>
    <w:rsid w:val="004C2D06"/>
    <w:rsid w:val="004C2E13"/>
    <w:rsid w:val="004C2F7C"/>
    <w:rsid w:val="004C30A2"/>
    <w:rsid w:val="004C30C7"/>
    <w:rsid w:val="004C31B3"/>
    <w:rsid w:val="004C31C8"/>
    <w:rsid w:val="004C31F2"/>
    <w:rsid w:val="004C3212"/>
    <w:rsid w:val="004C336F"/>
    <w:rsid w:val="004C33D0"/>
    <w:rsid w:val="004C33D9"/>
    <w:rsid w:val="004C33F8"/>
    <w:rsid w:val="004C344F"/>
    <w:rsid w:val="004C3509"/>
    <w:rsid w:val="004C3635"/>
    <w:rsid w:val="004C36A3"/>
    <w:rsid w:val="004C3A02"/>
    <w:rsid w:val="004C3A1E"/>
    <w:rsid w:val="004C3BFE"/>
    <w:rsid w:val="004C3D44"/>
    <w:rsid w:val="004C3ECD"/>
    <w:rsid w:val="004C3EF0"/>
    <w:rsid w:val="004C3F66"/>
    <w:rsid w:val="004C3FBA"/>
    <w:rsid w:val="004C42B9"/>
    <w:rsid w:val="004C43D6"/>
    <w:rsid w:val="004C43DC"/>
    <w:rsid w:val="004C44E3"/>
    <w:rsid w:val="004C4686"/>
    <w:rsid w:val="004C46D0"/>
    <w:rsid w:val="004C481C"/>
    <w:rsid w:val="004C4860"/>
    <w:rsid w:val="004C489D"/>
    <w:rsid w:val="004C48A9"/>
    <w:rsid w:val="004C4AD2"/>
    <w:rsid w:val="004C4C51"/>
    <w:rsid w:val="004C4DDB"/>
    <w:rsid w:val="004C4E38"/>
    <w:rsid w:val="004C4EA5"/>
    <w:rsid w:val="004C4EAD"/>
    <w:rsid w:val="004C512A"/>
    <w:rsid w:val="004C51F5"/>
    <w:rsid w:val="004C520C"/>
    <w:rsid w:val="004C5394"/>
    <w:rsid w:val="004C53B9"/>
    <w:rsid w:val="004C5407"/>
    <w:rsid w:val="004C5489"/>
    <w:rsid w:val="004C55D2"/>
    <w:rsid w:val="004C57E5"/>
    <w:rsid w:val="004C5893"/>
    <w:rsid w:val="004C5A5F"/>
    <w:rsid w:val="004C5B86"/>
    <w:rsid w:val="004C5BA2"/>
    <w:rsid w:val="004C5C43"/>
    <w:rsid w:val="004C5C47"/>
    <w:rsid w:val="004C5C8B"/>
    <w:rsid w:val="004C5CEE"/>
    <w:rsid w:val="004C5E0E"/>
    <w:rsid w:val="004C5E4F"/>
    <w:rsid w:val="004C5EEA"/>
    <w:rsid w:val="004C5FAA"/>
    <w:rsid w:val="004C5FE2"/>
    <w:rsid w:val="004C5FE5"/>
    <w:rsid w:val="004C615E"/>
    <w:rsid w:val="004C6289"/>
    <w:rsid w:val="004C62EA"/>
    <w:rsid w:val="004C63F9"/>
    <w:rsid w:val="004C6763"/>
    <w:rsid w:val="004C68A0"/>
    <w:rsid w:val="004C6908"/>
    <w:rsid w:val="004C6A1F"/>
    <w:rsid w:val="004C6A6C"/>
    <w:rsid w:val="004C6BC8"/>
    <w:rsid w:val="004C6C6C"/>
    <w:rsid w:val="004C6D64"/>
    <w:rsid w:val="004C6D70"/>
    <w:rsid w:val="004C6DFD"/>
    <w:rsid w:val="004C6EBF"/>
    <w:rsid w:val="004C6FA0"/>
    <w:rsid w:val="004C721E"/>
    <w:rsid w:val="004C73C8"/>
    <w:rsid w:val="004C7493"/>
    <w:rsid w:val="004C74E3"/>
    <w:rsid w:val="004C7672"/>
    <w:rsid w:val="004C76CD"/>
    <w:rsid w:val="004C7797"/>
    <w:rsid w:val="004C792B"/>
    <w:rsid w:val="004C7A2A"/>
    <w:rsid w:val="004C7BE9"/>
    <w:rsid w:val="004C7D07"/>
    <w:rsid w:val="004C7D17"/>
    <w:rsid w:val="004C7F2E"/>
    <w:rsid w:val="004C7FEE"/>
    <w:rsid w:val="004D0038"/>
    <w:rsid w:val="004D0086"/>
    <w:rsid w:val="004D00B5"/>
    <w:rsid w:val="004D02EC"/>
    <w:rsid w:val="004D04FB"/>
    <w:rsid w:val="004D07BE"/>
    <w:rsid w:val="004D08E0"/>
    <w:rsid w:val="004D0AF8"/>
    <w:rsid w:val="004D0B14"/>
    <w:rsid w:val="004D0C14"/>
    <w:rsid w:val="004D0C46"/>
    <w:rsid w:val="004D0F12"/>
    <w:rsid w:val="004D0FBB"/>
    <w:rsid w:val="004D0FEC"/>
    <w:rsid w:val="004D0FF4"/>
    <w:rsid w:val="004D1013"/>
    <w:rsid w:val="004D10A3"/>
    <w:rsid w:val="004D12E0"/>
    <w:rsid w:val="004D1605"/>
    <w:rsid w:val="004D1736"/>
    <w:rsid w:val="004D1A15"/>
    <w:rsid w:val="004D1A57"/>
    <w:rsid w:val="004D1DA3"/>
    <w:rsid w:val="004D1E24"/>
    <w:rsid w:val="004D1EC8"/>
    <w:rsid w:val="004D1EDD"/>
    <w:rsid w:val="004D202F"/>
    <w:rsid w:val="004D20C1"/>
    <w:rsid w:val="004D20DD"/>
    <w:rsid w:val="004D2369"/>
    <w:rsid w:val="004D23EB"/>
    <w:rsid w:val="004D25FA"/>
    <w:rsid w:val="004D2632"/>
    <w:rsid w:val="004D2682"/>
    <w:rsid w:val="004D27AA"/>
    <w:rsid w:val="004D27FF"/>
    <w:rsid w:val="004D2952"/>
    <w:rsid w:val="004D2965"/>
    <w:rsid w:val="004D2A8E"/>
    <w:rsid w:val="004D2E37"/>
    <w:rsid w:val="004D2E41"/>
    <w:rsid w:val="004D2F0F"/>
    <w:rsid w:val="004D309C"/>
    <w:rsid w:val="004D3148"/>
    <w:rsid w:val="004D31B6"/>
    <w:rsid w:val="004D32AE"/>
    <w:rsid w:val="004D330A"/>
    <w:rsid w:val="004D33A4"/>
    <w:rsid w:val="004D33CE"/>
    <w:rsid w:val="004D3414"/>
    <w:rsid w:val="004D345F"/>
    <w:rsid w:val="004D34CD"/>
    <w:rsid w:val="004D36B2"/>
    <w:rsid w:val="004D36F9"/>
    <w:rsid w:val="004D3748"/>
    <w:rsid w:val="004D3925"/>
    <w:rsid w:val="004D3939"/>
    <w:rsid w:val="004D3AD5"/>
    <w:rsid w:val="004D3AD9"/>
    <w:rsid w:val="004D3C2A"/>
    <w:rsid w:val="004D3D38"/>
    <w:rsid w:val="004D3D4D"/>
    <w:rsid w:val="004D3D86"/>
    <w:rsid w:val="004D3D88"/>
    <w:rsid w:val="004D3DBA"/>
    <w:rsid w:val="004D3EAE"/>
    <w:rsid w:val="004D4018"/>
    <w:rsid w:val="004D402D"/>
    <w:rsid w:val="004D4081"/>
    <w:rsid w:val="004D414D"/>
    <w:rsid w:val="004D421D"/>
    <w:rsid w:val="004D427B"/>
    <w:rsid w:val="004D432F"/>
    <w:rsid w:val="004D435D"/>
    <w:rsid w:val="004D4457"/>
    <w:rsid w:val="004D4477"/>
    <w:rsid w:val="004D456C"/>
    <w:rsid w:val="004D45D8"/>
    <w:rsid w:val="004D48C2"/>
    <w:rsid w:val="004D4907"/>
    <w:rsid w:val="004D494D"/>
    <w:rsid w:val="004D49EB"/>
    <w:rsid w:val="004D4AC4"/>
    <w:rsid w:val="004D4B83"/>
    <w:rsid w:val="004D4D49"/>
    <w:rsid w:val="004D4D9A"/>
    <w:rsid w:val="004D4DA8"/>
    <w:rsid w:val="004D4E8F"/>
    <w:rsid w:val="004D4F0F"/>
    <w:rsid w:val="004D5019"/>
    <w:rsid w:val="004D5026"/>
    <w:rsid w:val="004D5027"/>
    <w:rsid w:val="004D510B"/>
    <w:rsid w:val="004D512E"/>
    <w:rsid w:val="004D5264"/>
    <w:rsid w:val="004D5400"/>
    <w:rsid w:val="004D552D"/>
    <w:rsid w:val="004D5535"/>
    <w:rsid w:val="004D5598"/>
    <w:rsid w:val="004D55D2"/>
    <w:rsid w:val="004D56B0"/>
    <w:rsid w:val="004D56DE"/>
    <w:rsid w:val="004D574D"/>
    <w:rsid w:val="004D596E"/>
    <w:rsid w:val="004D5B2A"/>
    <w:rsid w:val="004D5D6C"/>
    <w:rsid w:val="004D6042"/>
    <w:rsid w:val="004D606E"/>
    <w:rsid w:val="004D609C"/>
    <w:rsid w:val="004D6467"/>
    <w:rsid w:val="004D655E"/>
    <w:rsid w:val="004D6601"/>
    <w:rsid w:val="004D6680"/>
    <w:rsid w:val="004D6692"/>
    <w:rsid w:val="004D66C8"/>
    <w:rsid w:val="004D6700"/>
    <w:rsid w:val="004D67F4"/>
    <w:rsid w:val="004D67FA"/>
    <w:rsid w:val="004D6A00"/>
    <w:rsid w:val="004D6A78"/>
    <w:rsid w:val="004D6C0B"/>
    <w:rsid w:val="004D6C8E"/>
    <w:rsid w:val="004D6D45"/>
    <w:rsid w:val="004D6DD8"/>
    <w:rsid w:val="004D6FD5"/>
    <w:rsid w:val="004D702F"/>
    <w:rsid w:val="004D7185"/>
    <w:rsid w:val="004D7283"/>
    <w:rsid w:val="004D72B0"/>
    <w:rsid w:val="004D7349"/>
    <w:rsid w:val="004D73AF"/>
    <w:rsid w:val="004D77B5"/>
    <w:rsid w:val="004D7872"/>
    <w:rsid w:val="004D7899"/>
    <w:rsid w:val="004D7AF7"/>
    <w:rsid w:val="004D7B31"/>
    <w:rsid w:val="004D7D4E"/>
    <w:rsid w:val="004E0057"/>
    <w:rsid w:val="004E01AB"/>
    <w:rsid w:val="004E04CC"/>
    <w:rsid w:val="004E087A"/>
    <w:rsid w:val="004E08DC"/>
    <w:rsid w:val="004E08F1"/>
    <w:rsid w:val="004E0938"/>
    <w:rsid w:val="004E0ACD"/>
    <w:rsid w:val="004E0C26"/>
    <w:rsid w:val="004E0C80"/>
    <w:rsid w:val="004E0ED8"/>
    <w:rsid w:val="004E10D6"/>
    <w:rsid w:val="004E140C"/>
    <w:rsid w:val="004E14C6"/>
    <w:rsid w:val="004E157E"/>
    <w:rsid w:val="004E15A0"/>
    <w:rsid w:val="004E1654"/>
    <w:rsid w:val="004E17C7"/>
    <w:rsid w:val="004E18D7"/>
    <w:rsid w:val="004E18ED"/>
    <w:rsid w:val="004E19AC"/>
    <w:rsid w:val="004E19F6"/>
    <w:rsid w:val="004E1BD9"/>
    <w:rsid w:val="004E1CE5"/>
    <w:rsid w:val="004E1D3A"/>
    <w:rsid w:val="004E1E0C"/>
    <w:rsid w:val="004E210A"/>
    <w:rsid w:val="004E2111"/>
    <w:rsid w:val="004E2159"/>
    <w:rsid w:val="004E2298"/>
    <w:rsid w:val="004E24DC"/>
    <w:rsid w:val="004E251C"/>
    <w:rsid w:val="004E2567"/>
    <w:rsid w:val="004E274F"/>
    <w:rsid w:val="004E2765"/>
    <w:rsid w:val="004E2767"/>
    <w:rsid w:val="004E289F"/>
    <w:rsid w:val="004E2A8B"/>
    <w:rsid w:val="004E2B01"/>
    <w:rsid w:val="004E2B4F"/>
    <w:rsid w:val="004E2C1F"/>
    <w:rsid w:val="004E2CFC"/>
    <w:rsid w:val="004E2E27"/>
    <w:rsid w:val="004E2EC0"/>
    <w:rsid w:val="004E2FE6"/>
    <w:rsid w:val="004E3017"/>
    <w:rsid w:val="004E304C"/>
    <w:rsid w:val="004E31B5"/>
    <w:rsid w:val="004E333B"/>
    <w:rsid w:val="004E3487"/>
    <w:rsid w:val="004E36DC"/>
    <w:rsid w:val="004E383E"/>
    <w:rsid w:val="004E385E"/>
    <w:rsid w:val="004E38FA"/>
    <w:rsid w:val="004E3919"/>
    <w:rsid w:val="004E3A38"/>
    <w:rsid w:val="004E3DA5"/>
    <w:rsid w:val="004E3DDA"/>
    <w:rsid w:val="004E3F25"/>
    <w:rsid w:val="004E4045"/>
    <w:rsid w:val="004E4248"/>
    <w:rsid w:val="004E44E8"/>
    <w:rsid w:val="004E45B8"/>
    <w:rsid w:val="004E46EA"/>
    <w:rsid w:val="004E47AC"/>
    <w:rsid w:val="004E47B3"/>
    <w:rsid w:val="004E47FC"/>
    <w:rsid w:val="004E4873"/>
    <w:rsid w:val="004E4920"/>
    <w:rsid w:val="004E49A5"/>
    <w:rsid w:val="004E4B89"/>
    <w:rsid w:val="004E4BA4"/>
    <w:rsid w:val="004E4C4B"/>
    <w:rsid w:val="004E4CD3"/>
    <w:rsid w:val="004E4D05"/>
    <w:rsid w:val="004E4D43"/>
    <w:rsid w:val="004E4DB7"/>
    <w:rsid w:val="004E4E61"/>
    <w:rsid w:val="004E4E87"/>
    <w:rsid w:val="004E4E9D"/>
    <w:rsid w:val="004E4EBE"/>
    <w:rsid w:val="004E5060"/>
    <w:rsid w:val="004E52C3"/>
    <w:rsid w:val="004E53D9"/>
    <w:rsid w:val="004E54EC"/>
    <w:rsid w:val="004E5542"/>
    <w:rsid w:val="004E563D"/>
    <w:rsid w:val="004E5A17"/>
    <w:rsid w:val="004E5AFC"/>
    <w:rsid w:val="004E5B4E"/>
    <w:rsid w:val="004E5B75"/>
    <w:rsid w:val="004E5CF3"/>
    <w:rsid w:val="004E5DDE"/>
    <w:rsid w:val="004E5E70"/>
    <w:rsid w:val="004E5FF6"/>
    <w:rsid w:val="004E6048"/>
    <w:rsid w:val="004E60E6"/>
    <w:rsid w:val="004E6243"/>
    <w:rsid w:val="004E62E9"/>
    <w:rsid w:val="004E6438"/>
    <w:rsid w:val="004E64F3"/>
    <w:rsid w:val="004E65EF"/>
    <w:rsid w:val="004E6603"/>
    <w:rsid w:val="004E6633"/>
    <w:rsid w:val="004E663D"/>
    <w:rsid w:val="004E66D1"/>
    <w:rsid w:val="004E67F4"/>
    <w:rsid w:val="004E68F2"/>
    <w:rsid w:val="004E6C06"/>
    <w:rsid w:val="004E6C7C"/>
    <w:rsid w:val="004E6D8A"/>
    <w:rsid w:val="004E6DFA"/>
    <w:rsid w:val="004E6E40"/>
    <w:rsid w:val="004E6EA8"/>
    <w:rsid w:val="004E7022"/>
    <w:rsid w:val="004E70B6"/>
    <w:rsid w:val="004E73AA"/>
    <w:rsid w:val="004E73D9"/>
    <w:rsid w:val="004E7551"/>
    <w:rsid w:val="004E7689"/>
    <w:rsid w:val="004E76D6"/>
    <w:rsid w:val="004E789F"/>
    <w:rsid w:val="004E7A04"/>
    <w:rsid w:val="004E7B6F"/>
    <w:rsid w:val="004E7CDB"/>
    <w:rsid w:val="004E7DF0"/>
    <w:rsid w:val="004E7FC0"/>
    <w:rsid w:val="004F0005"/>
    <w:rsid w:val="004F00E4"/>
    <w:rsid w:val="004F012C"/>
    <w:rsid w:val="004F03D6"/>
    <w:rsid w:val="004F03F7"/>
    <w:rsid w:val="004F0534"/>
    <w:rsid w:val="004F05A9"/>
    <w:rsid w:val="004F0601"/>
    <w:rsid w:val="004F0673"/>
    <w:rsid w:val="004F06E3"/>
    <w:rsid w:val="004F077A"/>
    <w:rsid w:val="004F094F"/>
    <w:rsid w:val="004F09BE"/>
    <w:rsid w:val="004F09C1"/>
    <w:rsid w:val="004F0ACE"/>
    <w:rsid w:val="004F0B8A"/>
    <w:rsid w:val="004F0EF0"/>
    <w:rsid w:val="004F0EFB"/>
    <w:rsid w:val="004F0FB3"/>
    <w:rsid w:val="004F0FD2"/>
    <w:rsid w:val="004F1077"/>
    <w:rsid w:val="004F117C"/>
    <w:rsid w:val="004F11B0"/>
    <w:rsid w:val="004F124A"/>
    <w:rsid w:val="004F1291"/>
    <w:rsid w:val="004F12BA"/>
    <w:rsid w:val="004F1352"/>
    <w:rsid w:val="004F1363"/>
    <w:rsid w:val="004F1420"/>
    <w:rsid w:val="004F156D"/>
    <w:rsid w:val="004F15A3"/>
    <w:rsid w:val="004F168E"/>
    <w:rsid w:val="004F16B2"/>
    <w:rsid w:val="004F17E1"/>
    <w:rsid w:val="004F194C"/>
    <w:rsid w:val="004F1A0C"/>
    <w:rsid w:val="004F1A31"/>
    <w:rsid w:val="004F1B3E"/>
    <w:rsid w:val="004F1CFC"/>
    <w:rsid w:val="004F1D67"/>
    <w:rsid w:val="004F1E5A"/>
    <w:rsid w:val="004F2103"/>
    <w:rsid w:val="004F2171"/>
    <w:rsid w:val="004F220A"/>
    <w:rsid w:val="004F2275"/>
    <w:rsid w:val="004F22D1"/>
    <w:rsid w:val="004F24C3"/>
    <w:rsid w:val="004F24CA"/>
    <w:rsid w:val="004F2563"/>
    <w:rsid w:val="004F2569"/>
    <w:rsid w:val="004F2849"/>
    <w:rsid w:val="004F29BD"/>
    <w:rsid w:val="004F29FA"/>
    <w:rsid w:val="004F2B8C"/>
    <w:rsid w:val="004F2BB3"/>
    <w:rsid w:val="004F2CE4"/>
    <w:rsid w:val="004F2D89"/>
    <w:rsid w:val="004F2E30"/>
    <w:rsid w:val="004F2E71"/>
    <w:rsid w:val="004F2E92"/>
    <w:rsid w:val="004F2F2C"/>
    <w:rsid w:val="004F2F8A"/>
    <w:rsid w:val="004F307D"/>
    <w:rsid w:val="004F3199"/>
    <w:rsid w:val="004F32B9"/>
    <w:rsid w:val="004F3392"/>
    <w:rsid w:val="004F33BB"/>
    <w:rsid w:val="004F356C"/>
    <w:rsid w:val="004F369B"/>
    <w:rsid w:val="004F3756"/>
    <w:rsid w:val="004F3824"/>
    <w:rsid w:val="004F38BF"/>
    <w:rsid w:val="004F3A6E"/>
    <w:rsid w:val="004F3A97"/>
    <w:rsid w:val="004F3B28"/>
    <w:rsid w:val="004F3B8C"/>
    <w:rsid w:val="004F3BBF"/>
    <w:rsid w:val="004F3BDC"/>
    <w:rsid w:val="004F3C40"/>
    <w:rsid w:val="004F3C45"/>
    <w:rsid w:val="004F3D90"/>
    <w:rsid w:val="004F3DCF"/>
    <w:rsid w:val="004F3EDD"/>
    <w:rsid w:val="004F3EF4"/>
    <w:rsid w:val="004F4052"/>
    <w:rsid w:val="004F41C2"/>
    <w:rsid w:val="004F41E0"/>
    <w:rsid w:val="004F46FD"/>
    <w:rsid w:val="004F4924"/>
    <w:rsid w:val="004F49FD"/>
    <w:rsid w:val="004F4C47"/>
    <w:rsid w:val="004F4CD6"/>
    <w:rsid w:val="004F4DFC"/>
    <w:rsid w:val="004F4E09"/>
    <w:rsid w:val="004F4E13"/>
    <w:rsid w:val="004F4E38"/>
    <w:rsid w:val="004F4E3C"/>
    <w:rsid w:val="004F4F17"/>
    <w:rsid w:val="004F500C"/>
    <w:rsid w:val="004F504E"/>
    <w:rsid w:val="004F5125"/>
    <w:rsid w:val="004F518E"/>
    <w:rsid w:val="004F51C6"/>
    <w:rsid w:val="004F5306"/>
    <w:rsid w:val="004F545D"/>
    <w:rsid w:val="004F57B4"/>
    <w:rsid w:val="004F5809"/>
    <w:rsid w:val="004F5850"/>
    <w:rsid w:val="004F58C9"/>
    <w:rsid w:val="004F59A1"/>
    <w:rsid w:val="004F5A84"/>
    <w:rsid w:val="004F5BD3"/>
    <w:rsid w:val="004F5C05"/>
    <w:rsid w:val="004F5C06"/>
    <w:rsid w:val="004F5C46"/>
    <w:rsid w:val="004F5CA0"/>
    <w:rsid w:val="004F5CFB"/>
    <w:rsid w:val="004F5D94"/>
    <w:rsid w:val="004F5DAA"/>
    <w:rsid w:val="004F5DE3"/>
    <w:rsid w:val="004F5FB2"/>
    <w:rsid w:val="004F6215"/>
    <w:rsid w:val="004F63B3"/>
    <w:rsid w:val="004F6563"/>
    <w:rsid w:val="004F6613"/>
    <w:rsid w:val="004F6653"/>
    <w:rsid w:val="004F665E"/>
    <w:rsid w:val="004F66DF"/>
    <w:rsid w:val="004F6821"/>
    <w:rsid w:val="004F6822"/>
    <w:rsid w:val="004F6833"/>
    <w:rsid w:val="004F68D9"/>
    <w:rsid w:val="004F6A62"/>
    <w:rsid w:val="004F6B88"/>
    <w:rsid w:val="004F6D37"/>
    <w:rsid w:val="004F6E80"/>
    <w:rsid w:val="004F6E84"/>
    <w:rsid w:val="004F6F02"/>
    <w:rsid w:val="004F6F08"/>
    <w:rsid w:val="004F715C"/>
    <w:rsid w:val="004F71C4"/>
    <w:rsid w:val="004F72C5"/>
    <w:rsid w:val="004F73A6"/>
    <w:rsid w:val="004F7442"/>
    <w:rsid w:val="004F74B7"/>
    <w:rsid w:val="004F75F9"/>
    <w:rsid w:val="004F7608"/>
    <w:rsid w:val="004F769D"/>
    <w:rsid w:val="004F76D5"/>
    <w:rsid w:val="004F778A"/>
    <w:rsid w:val="004F77C2"/>
    <w:rsid w:val="004F7867"/>
    <w:rsid w:val="004F796A"/>
    <w:rsid w:val="004F79CD"/>
    <w:rsid w:val="004F7B04"/>
    <w:rsid w:val="004F7C77"/>
    <w:rsid w:val="004F7C92"/>
    <w:rsid w:val="004F7E7B"/>
    <w:rsid w:val="004FDB6F"/>
    <w:rsid w:val="005001F0"/>
    <w:rsid w:val="00500329"/>
    <w:rsid w:val="00500363"/>
    <w:rsid w:val="0050043E"/>
    <w:rsid w:val="0050050C"/>
    <w:rsid w:val="00500552"/>
    <w:rsid w:val="0050067D"/>
    <w:rsid w:val="00500871"/>
    <w:rsid w:val="00500B67"/>
    <w:rsid w:val="00500C15"/>
    <w:rsid w:val="00500C46"/>
    <w:rsid w:val="00500C72"/>
    <w:rsid w:val="00500CB4"/>
    <w:rsid w:val="00500CFC"/>
    <w:rsid w:val="00500D29"/>
    <w:rsid w:val="00500EAD"/>
    <w:rsid w:val="00500FD3"/>
    <w:rsid w:val="00500FE1"/>
    <w:rsid w:val="00501056"/>
    <w:rsid w:val="00501082"/>
    <w:rsid w:val="005013DB"/>
    <w:rsid w:val="005014CB"/>
    <w:rsid w:val="005015A1"/>
    <w:rsid w:val="0050161E"/>
    <w:rsid w:val="0050164D"/>
    <w:rsid w:val="005016C6"/>
    <w:rsid w:val="00501778"/>
    <w:rsid w:val="00501858"/>
    <w:rsid w:val="00501862"/>
    <w:rsid w:val="0050189B"/>
    <w:rsid w:val="005018CD"/>
    <w:rsid w:val="00501943"/>
    <w:rsid w:val="005019CA"/>
    <w:rsid w:val="00501BD1"/>
    <w:rsid w:val="00501C0F"/>
    <w:rsid w:val="00501C32"/>
    <w:rsid w:val="00501C66"/>
    <w:rsid w:val="00501D04"/>
    <w:rsid w:val="00501E82"/>
    <w:rsid w:val="00502234"/>
    <w:rsid w:val="0050226C"/>
    <w:rsid w:val="005022DC"/>
    <w:rsid w:val="005023D4"/>
    <w:rsid w:val="0050242C"/>
    <w:rsid w:val="00502492"/>
    <w:rsid w:val="00502547"/>
    <w:rsid w:val="0050257E"/>
    <w:rsid w:val="005028A0"/>
    <w:rsid w:val="0050295D"/>
    <w:rsid w:val="00502B2D"/>
    <w:rsid w:val="00502B66"/>
    <w:rsid w:val="00502CEE"/>
    <w:rsid w:val="00502DEF"/>
    <w:rsid w:val="00503111"/>
    <w:rsid w:val="0050313D"/>
    <w:rsid w:val="0050330F"/>
    <w:rsid w:val="0050337A"/>
    <w:rsid w:val="005034D6"/>
    <w:rsid w:val="00503547"/>
    <w:rsid w:val="00503793"/>
    <w:rsid w:val="005039DA"/>
    <w:rsid w:val="005039E3"/>
    <w:rsid w:val="00503A29"/>
    <w:rsid w:val="00503C0F"/>
    <w:rsid w:val="00503C4F"/>
    <w:rsid w:val="00503D6A"/>
    <w:rsid w:val="00503D98"/>
    <w:rsid w:val="0050422E"/>
    <w:rsid w:val="005042F6"/>
    <w:rsid w:val="00504302"/>
    <w:rsid w:val="005044FF"/>
    <w:rsid w:val="00504642"/>
    <w:rsid w:val="005046ED"/>
    <w:rsid w:val="00504738"/>
    <w:rsid w:val="0050474E"/>
    <w:rsid w:val="00504793"/>
    <w:rsid w:val="00504929"/>
    <w:rsid w:val="0050492A"/>
    <w:rsid w:val="00504C65"/>
    <w:rsid w:val="00504D61"/>
    <w:rsid w:val="00504DA3"/>
    <w:rsid w:val="00504E66"/>
    <w:rsid w:val="00504F05"/>
    <w:rsid w:val="00504FB9"/>
    <w:rsid w:val="00504FED"/>
    <w:rsid w:val="00505053"/>
    <w:rsid w:val="005050DF"/>
    <w:rsid w:val="005052AC"/>
    <w:rsid w:val="005052AF"/>
    <w:rsid w:val="00505325"/>
    <w:rsid w:val="00505360"/>
    <w:rsid w:val="005053CF"/>
    <w:rsid w:val="00505573"/>
    <w:rsid w:val="00505654"/>
    <w:rsid w:val="00505684"/>
    <w:rsid w:val="00505703"/>
    <w:rsid w:val="00505771"/>
    <w:rsid w:val="005057EF"/>
    <w:rsid w:val="0050590A"/>
    <w:rsid w:val="005059C6"/>
    <w:rsid w:val="00505C40"/>
    <w:rsid w:val="00505C78"/>
    <w:rsid w:val="00505C8B"/>
    <w:rsid w:val="00505C8F"/>
    <w:rsid w:val="00505C93"/>
    <w:rsid w:val="00505CC4"/>
    <w:rsid w:val="00505E00"/>
    <w:rsid w:val="00505EB6"/>
    <w:rsid w:val="00505F69"/>
    <w:rsid w:val="0050609D"/>
    <w:rsid w:val="00506139"/>
    <w:rsid w:val="0050617E"/>
    <w:rsid w:val="0050622E"/>
    <w:rsid w:val="00506434"/>
    <w:rsid w:val="0050656E"/>
    <w:rsid w:val="00506770"/>
    <w:rsid w:val="00506845"/>
    <w:rsid w:val="005069A4"/>
    <w:rsid w:val="00506DB7"/>
    <w:rsid w:val="00506EA5"/>
    <w:rsid w:val="00507095"/>
    <w:rsid w:val="005070AC"/>
    <w:rsid w:val="0050721D"/>
    <w:rsid w:val="005072B4"/>
    <w:rsid w:val="00507349"/>
    <w:rsid w:val="005073A6"/>
    <w:rsid w:val="005074B8"/>
    <w:rsid w:val="00507506"/>
    <w:rsid w:val="005075A6"/>
    <w:rsid w:val="00507602"/>
    <w:rsid w:val="00507647"/>
    <w:rsid w:val="00507739"/>
    <w:rsid w:val="005078BF"/>
    <w:rsid w:val="005078C9"/>
    <w:rsid w:val="00507AE9"/>
    <w:rsid w:val="00507BA2"/>
    <w:rsid w:val="00507C7A"/>
    <w:rsid w:val="00507D6F"/>
    <w:rsid w:val="00507E44"/>
    <w:rsid w:val="00507EDF"/>
    <w:rsid w:val="0051000E"/>
    <w:rsid w:val="0051004E"/>
    <w:rsid w:val="0051007D"/>
    <w:rsid w:val="00510155"/>
    <w:rsid w:val="005102F1"/>
    <w:rsid w:val="00510316"/>
    <w:rsid w:val="00510406"/>
    <w:rsid w:val="00510450"/>
    <w:rsid w:val="0051056B"/>
    <w:rsid w:val="0051068B"/>
    <w:rsid w:val="00510729"/>
    <w:rsid w:val="00510749"/>
    <w:rsid w:val="005109AA"/>
    <w:rsid w:val="005109BB"/>
    <w:rsid w:val="00510B46"/>
    <w:rsid w:val="00510B49"/>
    <w:rsid w:val="00510C67"/>
    <w:rsid w:val="00510E44"/>
    <w:rsid w:val="00511016"/>
    <w:rsid w:val="005110D2"/>
    <w:rsid w:val="005111E6"/>
    <w:rsid w:val="0051156C"/>
    <w:rsid w:val="005116D4"/>
    <w:rsid w:val="0051180C"/>
    <w:rsid w:val="00511860"/>
    <w:rsid w:val="00511874"/>
    <w:rsid w:val="005119DA"/>
    <w:rsid w:val="00511A7A"/>
    <w:rsid w:val="00511AFF"/>
    <w:rsid w:val="00511B7B"/>
    <w:rsid w:val="00511C02"/>
    <w:rsid w:val="00511C0B"/>
    <w:rsid w:val="00511C57"/>
    <w:rsid w:val="00511F90"/>
    <w:rsid w:val="00511F96"/>
    <w:rsid w:val="00511FB6"/>
    <w:rsid w:val="0051221F"/>
    <w:rsid w:val="0051248D"/>
    <w:rsid w:val="005127E1"/>
    <w:rsid w:val="005128DC"/>
    <w:rsid w:val="00512B37"/>
    <w:rsid w:val="00512B62"/>
    <w:rsid w:val="00512FAF"/>
    <w:rsid w:val="00513093"/>
    <w:rsid w:val="005131D7"/>
    <w:rsid w:val="005131F5"/>
    <w:rsid w:val="0051345D"/>
    <w:rsid w:val="00513479"/>
    <w:rsid w:val="00513488"/>
    <w:rsid w:val="00513625"/>
    <w:rsid w:val="0051368C"/>
    <w:rsid w:val="005137EC"/>
    <w:rsid w:val="00513854"/>
    <w:rsid w:val="0051388C"/>
    <w:rsid w:val="00513AD9"/>
    <w:rsid w:val="00513BA0"/>
    <w:rsid w:val="00513C98"/>
    <w:rsid w:val="00513CD8"/>
    <w:rsid w:val="00513DA1"/>
    <w:rsid w:val="00513E0D"/>
    <w:rsid w:val="00513E86"/>
    <w:rsid w:val="00513F89"/>
    <w:rsid w:val="00513FAA"/>
    <w:rsid w:val="00514069"/>
    <w:rsid w:val="005140E6"/>
    <w:rsid w:val="0051426C"/>
    <w:rsid w:val="0051435E"/>
    <w:rsid w:val="0051441F"/>
    <w:rsid w:val="005147AA"/>
    <w:rsid w:val="00514826"/>
    <w:rsid w:val="00514AC2"/>
    <w:rsid w:val="00514DE5"/>
    <w:rsid w:val="005150DC"/>
    <w:rsid w:val="005150FD"/>
    <w:rsid w:val="0051521B"/>
    <w:rsid w:val="00515260"/>
    <w:rsid w:val="0051532E"/>
    <w:rsid w:val="005153CA"/>
    <w:rsid w:val="005153E8"/>
    <w:rsid w:val="005154E8"/>
    <w:rsid w:val="0051551A"/>
    <w:rsid w:val="00515713"/>
    <w:rsid w:val="00515785"/>
    <w:rsid w:val="005158C0"/>
    <w:rsid w:val="00515C9F"/>
    <w:rsid w:val="00515CE0"/>
    <w:rsid w:val="00515DBA"/>
    <w:rsid w:val="00515F78"/>
    <w:rsid w:val="00515FC2"/>
    <w:rsid w:val="0051601D"/>
    <w:rsid w:val="00516055"/>
    <w:rsid w:val="0051606A"/>
    <w:rsid w:val="00516260"/>
    <w:rsid w:val="00516305"/>
    <w:rsid w:val="0051636D"/>
    <w:rsid w:val="0051639D"/>
    <w:rsid w:val="00516437"/>
    <w:rsid w:val="005165E9"/>
    <w:rsid w:val="0051660B"/>
    <w:rsid w:val="005166BC"/>
    <w:rsid w:val="005167D8"/>
    <w:rsid w:val="005169F5"/>
    <w:rsid w:val="00516C1F"/>
    <w:rsid w:val="00516D25"/>
    <w:rsid w:val="00516F57"/>
    <w:rsid w:val="00517153"/>
    <w:rsid w:val="005171A8"/>
    <w:rsid w:val="005171F5"/>
    <w:rsid w:val="005174E9"/>
    <w:rsid w:val="005174FF"/>
    <w:rsid w:val="00517706"/>
    <w:rsid w:val="005179CE"/>
    <w:rsid w:val="00517BD0"/>
    <w:rsid w:val="00517D22"/>
    <w:rsid w:val="00520252"/>
    <w:rsid w:val="005202D6"/>
    <w:rsid w:val="0052040D"/>
    <w:rsid w:val="005205DD"/>
    <w:rsid w:val="00520648"/>
    <w:rsid w:val="0052065E"/>
    <w:rsid w:val="0052078F"/>
    <w:rsid w:val="005207AF"/>
    <w:rsid w:val="0052081E"/>
    <w:rsid w:val="0052092A"/>
    <w:rsid w:val="005209A9"/>
    <w:rsid w:val="00520A2F"/>
    <w:rsid w:val="00520B86"/>
    <w:rsid w:val="00520C39"/>
    <w:rsid w:val="00520C61"/>
    <w:rsid w:val="00520CD3"/>
    <w:rsid w:val="00520CEF"/>
    <w:rsid w:val="00520F42"/>
    <w:rsid w:val="00521138"/>
    <w:rsid w:val="005211A6"/>
    <w:rsid w:val="0052121E"/>
    <w:rsid w:val="00521397"/>
    <w:rsid w:val="0052141E"/>
    <w:rsid w:val="00521445"/>
    <w:rsid w:val="00521474"/>
    <w:rsid w:val="00521683"/>
    <w:rsid w:val="0052169F"/>
    <w:rsid w:val="005216D1"/>
    <w:rsid w:val="0052187A"/>
    <w:rsid w:val="005219EB"/>
    <w:rsid w:val="00521B7D"/>
    <w:rsid w:val="00521B85"/>
    <w:rsid w:val="00521C15"/>
    <w:rsid w:val="00521C32"/>
    <w:rsid w:val="00521C7E"/>
    <w:rsid w:val="00521CA3"/>
    <w:rsid w:val="00521D12"/>
    <w:rsid w:val="00521F96"/>
    <w:rsid w:val="005220AF"/>
    <w:rsid w:val="005220CA"/>
    <w:rsid w:val="00522104"/>
    <w:rsid w:val="00522176"/>
    <w:rsid w:val="005221A2"/>
    <w:rsid w:val="00522236"/>
    <w:rsid w:val="00522372"/>
    <w:rsid w:val="00522458"/>
    <w:rsid w:val="0052255D"/>
    <w:rsid w:val="005227EA"/>
    <w:rsid w:val="00522816"/>
    <w:rsid w:val="0052282F"/>
    <w:rsid w:val="0052289C"/>
    <w:rsid w:val="005228C3"/>
    <w:rsid w:val="00522903"/>
    <w:rsid w:val="00522A02"/>
    <w:rsid w:val="00522B95"/>
    <w:rsid w:val="00522B99"/>
    <w:rsid w:val="00522C49"/>
    <w:rsid w:val="00522D29"/>
    <w:rsid w:val="00522D49"/>
    <w:rsid w:val="00522ED4"/>
    <w:rsid w:val="00522F16"/>
    <w:rsid w:val="00522F89"/>
    <w:rsid w:val="0052302E"/>
    <w:rsid w:val="0052303D"/>
    <w:rsid w:val="0052315B"/>
    <w:rsid w:val="005231A6"/>
    <w:rsid w:val="005233A5"/>
    <w:rsid w:val="00523402"/>
    <w:rsid w:val="0052344A"/>
    <w:rsid w:val="0052344D"/>
    <w:rsid w:val="0052345D"/>
    <w:rsid w:val="0052362E"/>
    <w:rsid w:val="005236C5"/>
    <w:rsid w:val="00523769"/>
    <w:rsid w:val="00523772"/>
    <w:rsid w:val="005237F5"/>
    <w:rsid w:val="00523851"/>
    <w:rsid w:val="005238E6"/>
    <w:rsid w:val="00523922"/>
    <w:rsid w:val="00523BB0"/>
    <w:rsid w:val="00523E1A"/>
    <w:rsid w:val="00523E31"/>
    <w:rsid w:val="00523FE0"/>
    <w:rsid w:val="00524072"/>
    <w:rsid w:val="00524130"/>
    <w:rsid w:val="00524209"/>
    <w:rsid w:val="00524275"/>
    <w:rsid w:val="005242E4"/>
    <w:rsid w:val="005243EF"/>
    <w:rsid w:val="00524518"/>
    <w:rsid w:val="005245AA"/>
    <w:rsid w:val="005247DC"/>
    <w:rsid w:val="00524806"/>
    <w:rsid w:val="00524844"/>
    <w:rsid w:val="00524959"/>
    <w:rsid w:val="00524993"/>
    <w:rsid w:val="00524A4E"/>
    <w:rsid w:val="00524A93"/>
    <w:rsid w:val="00524B9E"/>
    <w:rsid w:val="00524BBD"/>
    <w:rsid w:val="00524CFE"/>
    <w:rsid w:val="00524DAC"/>
    <w:rsid w:val="00524DED"/>
    <w:rsid w:val="00524E4A"/>
    <w:rsid w:val="005250BC"/>
    <w:rsid w:val="005250D2"/>
    <w:rsid w:val="00525133"/>
    <w:rsid w:val="00525177"/>
    <w:rsid w:val="0052523D"/>
    <w:rsid w:val="0052571A"/>
    <w:rsid w:val="00525733"/>
    <w:rsid w:val="00525904"/>
    <w:rsid w:val="0052597E"/>
    <w:rsid w:val="00525C84"/>
    <w:rsid w:val="00525D54"/>
    <w:rsid w:val="00525D6E"/>
    <w:rsid w:val="00525DC5"/>
    <w:rsid w:val="00525DEE"/>
    <w:rsid w:val="00525F88"/>
    <w:rsid w:val="00526020"/>
    <w:rsid w:val="00526246"/>
    <w:rsid w:val="0052626C"/>
    <w:rsid w:val="005262E7"/>
    <w:rsid w:val="005263B1"/>
    <w:rsid w:val="00526493"/>
    <w:rsid w:val="005264A2"/>
    <w:rsid w:val="00526676"/>
    <w:rsid w:val="00526819"/>
    <w:rsid w:val="0052686F"/>
    <w:rsid w:val="005268A9"/>
    <w:rsid w:val="0052692A"/>
    <w:rsid w:val="00526B77"/>
    <w:rsid w:val="00526BB5"/>
    <w:rsid w:val="00526CB1"/>
    <w:rsid w:val="00526CD6"/>
    <w:rsid w:val="00526EB0"/>
    <w:rsid w:val="00526EF5"/>
    <w:rsid w:val="00526F52"/>
    <w:rsid w:val="005270E7"/>
    <w:rsid w:val="005270EC"/>
    <w:rsid w:val="005271BF"/>
    <w:rsid w:val="005271F5"/>
    <w:rsid w:val="005272BD"/>
    <w:rsid w:val="005275B1"/>
    <w:rsid w:val="005276F1"/>
    <w:rsid w:val="0052780C"/>
    <w:rsid w:val="0052789F"/>
    <w:rsid w:val="005278C9"/>
    <w:rsid w:val="00527941"/>
    <w:rsid w:val="00527B34"/>
    <w:rsid w:val="00527D1A"/>
    <w:rsid w:val="00527D6C"/>
    <w:rsid w:val="00527D7E"/>
    <w:rsid w:val="00527E33"/>
    <w:rsid w:val="00527F78"/>
    <w:rsid w:val="00527F7C"/>
    <w:rsid w:val="00530027"/>
    <w:rsid w:val="00530057"/>
    <w:rsid w:val="005300F3"/>
    <w:rsid w:val="005301FA"/>
    <w:rsid w:val="0053020E"/>
    <w:rsid w:val="00530417"/>
    <w:rsid w:val="00530502"/>
    <w:rsid w:val="005306F3"/>
    <w:rsid w:val="00530921"/>
    <w:rsid w:val="00530A8C"/>
    <w:rsid w:val="00530B9A"/>
    <w:rsid w:val="00530E16"/>
    <w:rsid w:val="00530E82"/>
    <w:rsid w:val="00530F4F"/>
    <w:rsid w:val="00530F5B"/>
    <w:rsid w:val="005310E2"/>
    <w:rsid w:val="00531209"/>
    <w:rsid w:val="00531313"/>
    <w:rsid w:val="00531383"/>
    <w:rsid w:val="005314C4"/>
    <w:rsid w:val="005314CF"/>
    <w:rsid w:val="00531502"/>
    <w:rsid w:val="005315A4"/>
    <w:rsid w:val="00531725"/>
    <w:rsid w:val="0053173B"/>
    <w:rsid w:val="00531758"/>
    <w:rsid w:val="0053177A"/>
    <w:rsid w:val="005317EC"/>
    <w:rsid w:val="00531854"/>
    <w:rsid w:val="0053185A"/>
    <w:rsid w:val="005318E0"/>
    <w:rsid w:val="00531E7A"/>
    <w:rsid w:val="0053201C"/>
    <w:rsid w:val="00532045"/>
    <w:rsid w:val="0053208A"/>
    <w:rsid w:val="005322CC"/>
    <w:rsid w:val="00532591"/>
    <w:rsid w:val="005326C9"/>
    <w:rsid w:val="0053271A"/>
    <w:rsid w:val="00532825"/>
    <w:rsid w:val="00532A74"/>
    <w:rsid w:val="00532AB4"/>
    <w:rsid w:val="00532D52"/>
    <w:rsid w:val="00532E8B"/>
    <w:rsid w:val="00532EB5"/>
    <w:rsid w:val="00532EBA"/>
    <w:rsid w:val="00532FD5"/>
    <w:rsid w:val="00533052"/>
    <w:rsid w:val="005331FA"/>
    <w:rsid w:val="0053327C"/>
    <w:rsid w:val="005332D6"/>
    <w:rsid w:val="00533412"/>
    <w:rsid w:val="005336B4"/>
    <w:rsid w:val="0053374D"/>
    <w:rsid w:val="00533765"/>
    <w:rsid w:val="00533807"/>
    <w:rsid w:val="0053393E"/>
    <w:rsid w:val="005339C8"/>
    <w:rsid w:val="005339D7"/>
    <w:rsid w:val="00533B1D"/>
    <w:rsid w:val="00533B22"/>
    <w:rsid w:val="00533BA0"/>
    <w:rsid w:val="00533BB9"/>
    <w:rsid w:val="00533C0E"/>
    <w:rsid w:val="00533D61"/>
    <w:rsid w:val="00533E28"/>
    <w:rsid w:val="00534291"/>
    <w:rsid w:val="005342B6"/>
    <w:rsid w:val="005343CA"/>
    <w:rsid w:val="005344D6"/>
    <w:rsid w:val="005345C2"/>
    <w:rsid w:val="0053460E"/>
    <w:rsid w:val="0053470D"/>
    <w:rsid w:val="005348AF"/>
    <w:rsid w:val="005348E1"/>
    <w:rsid w:val="005349B2"/>
    <w:rsid w:val="00534A3D"/>
    <w:rsid w:val="00534A88"/>
    <w:rsid w:val="00534B21"/>
    <w:rsid w:val="00534CC2"/>
    <w:rsid w:val="00534EA6"/>
    <w:rsid w:val="00534F0B"/>
    <w:rsid w:val="00534FFB"/>
    <w:rsid w:val="00535064"/>
    <w:rsid w:val="00535218"/>
    <w:rsid w:val="0053522E"/>
    <w:rsid w:val="00535267"/>
    <w:rsid w:val="005352B6"/>
    <w:rsid w:val="005352B8"/>
    <w:rsid w:val="00535363"/>
    <w:rsid w:val="00535398"/>
    <w:rsid w:val="005353A3"/>
    <w:rsid w:val="005353DA"/>
    <w:rsid w:val="0053540B"/>
    <w:rsid w:val="00535847"/>
    <w:rsid w:val="005359E4"/>
    <w:rsid w:val="00535B34"/>
    <w:rsid w:val="00535B74"/>
    <w:rsid w:val="00535D72"/>
    <w:rsid w:val="00535E88"/>
    <w:rsid w:val="005360C6"/>
    <w:rsid w:val="005362D0"/>
    <w:rsid w:val="00536311"/>
    <w:rsid w:val="00536453"/>
    <w:rsid w:val="00536491"/>
    <w:rsid w:val="0053653C"/>
    <w:rsid w:val="00536699"/>
    <w:rsid w:val="005366B1"/>
    <w:rsid w:val="00536728"/>
    <w:rsid w:val="005368B5"/>
    <w:rsid w:val="00536919"/>
    <w:rsid w:val="005369A6"/>
    <w:rsid w:val="00536AB8"/>
    <w:rsid w:val="00536AFA"/>
    <w:rsid w:val="00536B94"/>
    <w:rsid w:val="00536BE4"/>
    <w:rsid w:val="00536E60"/>
    <w:rsid w:val="00536EF0"/>
    <w:rsid w:val="00536F33"/>
    <w:rsid w:val="00537110"/>
    <w:rsid w:val="00537190"/>
    <w:rsid w:val="0053728E"/>
    <w:rsid w:val="00537484"/>
    <w:rsid w:val="0053759F"/>
    <w:rsid w:val="005376A2"/>
    <w:rsid w:val="0053784E"/>
    <w:rsid w:val="005378E4"/>
    <w:rsid w:val="00537953"/>
    <w:rsid w:val="00537AB3"/>
    <w:rsid w:val="00537B26"/>
    <w:rsid w:val="00537B93"/>
    <w:rsid w:val="00537B9B"/>
    <w:rsid w:val="00537C23"/>
    <w:rsid w:val="00537CB2"/>
    <w:rsid w:val="00537D0B"/>
    <w:rsid w:val="00537D65"/>
    <w:rsid w:val="00537E69"/>
    <w:rsid w:val="00537FF0"/>
    <w:rsid w:val="00540088"/>
    <w:rsid w:val="005400BA"/>
    <w:rsid w:val="00540527"/>
    <w:rsid w:val="0054090D"/>
    <w:rsid w:val="00540A33"/>
    <w:rsid w:val="00540AAA"/>
    <w:rsid w:val="00540AF5"/>
    <w:rsid w:val="00540AFB"/>
    <w:rsid w:val="00540B12"/>
    <w:rsid w:val="00540C2D"/>
    <w:rsid w:val="00540C6C"/>
    <w:rsid w:val="00540D14"/>
    <w:rsid w:val="00540D4A"/>
    <w:rsid w:val="00540DDF"/>
    <w:rsid w:val="00540EAE"/>
    <w:rsid w:val="00540F9C"/>
    <w:rsid w:val="005410DB"/>
    <w:rsid w:val="00541408"/>
    <w:rsid w:val="0054156B"/>
    <w:rsid w:val="005417CD"/>
    <w:rsid w:val="0054188E"/>
    <w:rsid w:val="0054189F"/>
    <w:rsid w:val="005418DA"/>
    <w:rsid w:val="00541906"/>
    <w:rsid w:val="005419C8"/>
    <w:rsid w:val="005419D5"/>
    <w:rsid w:val="00541AB1"/>
    <w:rsid w:val="00541C5F"/>
    <w:rsid w:val="00541C95"/>
    <w:rsid w:val="00541D97"/>
    <w:rsid w:val="00541D9D"/>
    <w:rsid w:val="00541F47"/>
    <w:rsid w:val="00541FA0"/>
    <w:rsid w:val="00541FAD"/>
    <w:rsid w:val="0054206E"/>
    <w:rsid w:val="0054207F"/>
    <w:rsid w:val="005420A7"/>
    <w:rsid w:val="005420CE"/>
    <w:rsid w:val="00542302"/>
    <w:rsid w:val="00542531"/>
    <w:rsid w:val="005425BA"/>
    <w:rsid w:val="0054260C"/>
    <w:rsid w:val="00542610"/>
    <w:rsid w:val="00542821"/>
    <w:rsid w:val="005429BF"/>
    <w:rsid w:val="00542B56"/>
    <w:rsid w:val="00542C6D"/>
    <w:rsid w:val="00542D12"/>
    <w:rsid w:val="00542D4F"/>
    <w:rsid w:val="00542EA5"/>
    <w:rsid w:val="00542ED0"/>
    <w:rsid w:val="00542EE7"/>
    <w:rsid w:val="00542F0A"/>
    <w:rsid w:val="00542F2D"/>
    <w:rsid w:val="005431B4"/>
    <w:rsid w:val="0054324D"/>
    <w:rsid w:val="0054336E"/>
    <w:rsid w:val="0054345B"/>
    <w:rsid w:val="005434E3"/>
    <w:rsid w:val="005435B4"/>
    <w:rsid w:val="00543765"/>
    <w:rsid w:val="005438D5"/>
    <w:rsid w:val="00543975"/>
    <w:rsid w:val="00543A66"/>
    <w:rsid w:val="00543B7B"/>
    <w:rsid w:val="00543C27"/>
    <w:rsid w:val="00543CE3"/>
    <w:rsid w:val="00543DE4"/>
    <w:rsid w:val="00543E5E"/>
    <w:rsid w:val="00543FA9"/>
    <w:rsid w:val="0054407C"/>
    <w:rsid w:val="00544342"/>
    <w:rsid w:val="0054435D"/>
    <w:rsid w:val="00544685"/>
    <w:rsid w:val="00544946"/>
    <w:rsid w:val="00544A62"/>
    <w:rsid w:val="00544A7B"/>
    <w:rsid w:val="00544B1C"/>
    <w:rsid w:val="00544C76"/>
    <w:rsid w:val="00544CFA"/>
    <w:rsid w:val="0054500C"/>
    <w:rsid w:val="00545014"/>
    <w:rsid w:val="00545051"/>
    <w:rsid w:val="00545089"/>
    <w:rsid w:val="005452B7"/>
    <w:rsid w:val="00545377"/>
    <w:rsid w:val="0054539C"/>
    <w:rsid w:val="005454BF"/>
    <w:rsid w:val="00545533"/>
    <w:rsid w:val="00545547"/>
    <w:rsid w:val="0054572D"/>
    <w:rsid w:val="0054574E"/>
    <w:rsid w:val="00545B25"/>
    <w:rsid w:val="00545C4A"/>
    <w:rsid w:val="00545D10"/>
    <w:rsid w:val="00545F62"/>
    <w:rsid w:val="00546079"/>
    <w:rsid w:val="005460D0"/>
    <w:rsid w:val="005462B9"/>
    <w:rsid w:val="005464FF"/>
    <w:rsid w:val="005465BD"/>
    <w:rsid w:val="00546649"/>
    <w:rsid w:val="00546A6E"/>
    <w:rsid w:val="00546A99"/>
    <w:rsid w:val="00546CB6"/>
    <w:rsid w:val="00546CFE"/>
    <w:rsid w:val="00546E06"/>
    <w:rsid w:val="00546EF1"/>
    <w:rsid w:val="00547126"/>
    <w:rsid w:val="00547163"/>
    <w:rsid w:val="005471B4"/>
    <w:rsid w:val="0054722E"/>
    <w:rsid w:val="00547280"/>
    <w:rsid w:val="005472B7"/>
    <w:rsid w:val="0054737B"/>
    <w:rsid w:val="00547432"/>
    <w:rsid w:val="00547435"/>
    <w:rsid w:val="005475F9"/>
    <w:rsid w:val="0054764A"/>
    <w:rsid w:val="00547716"/>
    <w:rsid w:val="00547799"/>
    <w:rsid w:val="00547873"/>
    <w:rsid w:val="005478A0"/>
    <w:rsid w:val="00547B35"/>
    <w:rsid w:val="00547C65"/>
    <w:rsid w:val="00547C9B"/>
    <w:rsid w:val="00547D6E"/>
    <w:rsid w:val="00547DE4"/>
    <w:rsid w:val="00547E2E"/>
    <w:rsid w:val="00547E42"/>
    <w:rsid w:val="00547E43"/>
    <w:rsid w:val="00547ED5"/>
    <w:rsid w:val="00547EF8"/>
    <w:rsid w:val="00547FC5"/>
    <w:rsid w:val="0054E2DA"/>
    <w:rsid w:val="00550052"/>
    <w:rsid w:val="00550064"/>
    <w:rsid w:val="00550159"/>
    <w:rsid w:val="00550261"/>
    <w:rsid w:val="0055051E"/>
    <w:rsid w:val="00550579"/>
    <w:rsid w:val="0055058D"/>
    <w:rsid w:val="005505B6"/>
    <w:rsid w:val="00550611"/>
    <w:rsid w:val="005507A0"/>
    <w:rsid w:val="005507E1"/>
    <w:rsid w:val="00550A16"/>
    <w:rsid w:val="00550AA0"/>
    <w:rsid w:val="00550AC7"/>
    <w:rsid w:val="00550B4E"/>
    <w:rsid w:val="00550C62"/>
    <w:rsid w:val="00550C83"/>
    <w:rsid w:val="00550CA2"/>
    <w:rsid w:val="00550D3C"/>
    <w:rsid w:val="00550F7C"/>
    <w:rsid w:val="00550FEF"/>
    <w:rsid w:val="0055105F"/>
    <w:rsid w:val="005510AC"/>
    <w:rsid w:val="005512AF"/>
    <w:rsid w:val="005512E3"/>
    <w:rsid w:val="00551427"/>
    <w:rsid w:val="0055143D"/>
    <w:rsid w:val="00551602"/>
    <w:rsid w:val="0055165D"/>
    <w:rsid w:val="005516B9"/>
    <w:rsid w:val="00551815"/>
    <w:rsid w:val="00551935"/>
    <w:rsid w:val="00551C37"/>
    <w:rsid w:val="00551D2A"/>
    <w:rsid w:val="00551D60"/>
    <w:rsid w:val="00551EC8"/>
    <w:rsid w:val="00551F8D"/>
    <w:rsid w:val="00552133"/>
    <w:rsid w:val="00552284"/>
    <w:rsid w:val="00552314"/>
    <w:rsid w:val="005524AA"/>
    <w:rsid w:val="005524EB"/>
    <w:rsid w:val="0055277F"/>
    <w:rsid w:val="0055293F"/>
    <w:rsid w:val="00552B01"/>
    <w:rsid w:val="00552D00"/>
    <w:rsid w:val="00552D0F"/>
    <w:rsid w:val="00552D18"/>
    <w:rsid w:val="00552E86"/>
    <w:rsid w:val="00552F1E"/>
    <w:rsid w:val="00552F38"/>
    <w:rsid w:val="00552F75"/>
    <w:rsid w:val="00553049"/>
    <w:rsid w:val="00553102"/>
    <w:rsid w:val="005532F7"/>
    <w:rsid w:val="0055343C"/>
    <w:rsid w:val="00553516"/>
    <w:rsid w:val="00553677"/>
    <w:rsid w:val="00553689"/>
    <w:rsid w:val="0055370C"/>
    <w:rsid w:val="00553746"/>
    <w:rsid w:val="005537F6"/>
    <w:rsid w:val="0055381E"/>
    <w:rsid w:val="00553BCB"/>
    <w:rsid w:val="00553E11"/>
    <w:rsid w:val="00553EA8"/>
    <w:rsid w:val="00553EB7"/>
    <w:rsid w:val="00553F04"/>
    <w:rsid w:val="00554002"/>
    <w:rsid w:val="00554007"/>
    <w:rsid w:val="005540B2"/>
    <w:rsid w:val="005540CD"/>
    <w:rsid w:val="00554158"/>
    <w:rsid w:val="00554196"/>
    <w:rsid w:val="0055424A"/>
    <w:rsid w:val="00554523"/>
    <w:rsid w:val="005545CE"/>
    <w:rsid w:val="00554684"/>
    <w:rsid w:val="005546B6"/>
    <w:rsid w:val="00554758"/>
    <w:rsid w:val="0055484D"/>
    <w:rsid w:val="00554876"/>
    <w:rsid w:val="005548B7"/>
    <w:rsid w:val="0055497E"/>
    <w:rsid w:val="005549A8"/>
    <w:rsid w:val="00554A39"/>
    <w:rsid w:val="00554B1C"/>
    <w:rsid w:val="00554C2F"/>
    <w:rsid w:val="00554C64"/>
    <w:rsid w:val="00554D29"/>
    <w:rsid w:val="00554E77"/>
    <w:rsid w:val="00554F4A"/>
    <w:rsid w:val="00555062"/>
    <w:rsid w:val="00555125"/>
    <w:rsid w:val="0055514A"/>
    <w:rsid w:val="005551CC"/>
    <w:rsid w:val="005551FA"/>
    <w:rsid w:val="005552CF"/>
    <w:rsid w:val="005553D1"/>
    <w:rsid w:val="0055541E"/>
    <w:rsid w:val="0055545F"/>
    <w:rsid w:val="00555640"/>
    <w:rsid w:val="00555687"/>
    <w:rsid w:val="005557B3"/>
    <w:rsid w:val="005557ED"/>
    <w:rsid w:val="0055583E"/>
    <w:rsid w:val="005558F8"/>
    <w:rsid w:val="00555A5A"/>
    <w:rsid w:val="00555D1F"/>
    <w:rsid w:val="00555D3D"/>
    <w:rsid w:val="00555D4E"/>
    <w:rsid w:val="00555D53"/>
    <w:rsid w:val="00555D6D"/>
    <w:rsid w:val="00555F8D"/>
    <w:rsid w:val="00555F9F"/>
    <w:rsid w:val="00555FA0"/>
    <w:rsid w:val="00555FC8"/>
    <w:rsid w:val="005560AF"/>
    <w:rsid w:val="00556198"/>
    <w:rsid w:val="0055619B"/>
    <w:rsid w:val="005561BE"/>
    <w:rsid w:val="00556315"/>
    <w:rsid w:val="005565CE"/>
    <w:rsid w:val="00556656"/>
    <w:rsid w:val="005567AD"/>
    <w:rsid w:val="0055690D"/>
    <w:rsid w:val="00556B50"/>
    <w:rsid w:val="00556BD7"/>
    <w:rsid w:val="00556CB5"/>
    <w:rsid w:val="00556EA0"/>
    <w:rsid w:val="00556ECD"/>
    <w:rsid w:val="00556EFD"/>
    <w:rsid w:val="00556F68"/>
    <w:rsid w:val="00556F95"/>
    <w:rsid w:val="00557332"/>
    <w:rsid w:val="0055774B"/>
    <w:rsid w:val="0055778F"/>
    <w:rsid w:val="005577BF"/>
    <w:rsid w:val="005578EA"/>
    <w:rsid w:val="00557917"/>
    <w:rsid w:val="00557975"/>
    <w:rsid w:val="00557D3C"/>
    <w:rsid w:val="00557EBE"/>
    <w:rsid w:val="00557EC6"/>
    <w:rsid w:val="00557EEE"/>
    <w:rsid w:val="00557FF9"/>
    <w:rsid w:val="00560060"/>
    <w:rsid w:val="0056007D"/>
    <w:rsid w:val="005600A5"/>
    <w:rsid w:val="005600F4"/>
    <w:rsid w:val="0056021E"/>
    <w:rsid w:val="00560265"/>
    <w:rsid w:val="00560320"/>
    <w:rsid w:val="0056037E"/>
    <w:rsid w:val="005603B2"/>
    <w:rsid w:val="00560561"/>
    <w:rsid w:val="005606DD"/>
    <w:rsid w:val="00560737"/>
    <w:rsid w:val="0056076E"/>
    <w:rsid w:val="005608A6"/>
    <w:rsid w:val="005609A2"/>
    <w:rsid w:val="00560AB5"/>
    <w:rsid w:val="00560B0A"/>
    <w:rsid w:val="00560B4D"/>
    <w:rsid w:val="00561170"/>
    <w:rsid w:val="0056119A"/>
    <w:rsid w:val="00561248"/>
    <w:rsid w:val="005613EA"/>
    <w:rsid w:val="0056179D"/>
    <w:rsid w:val="005617A6"/>
    <w:rsid w:val="0056187D"/>
    <w:rsid w:val="00561A0F"/>
    <w:rsid w:val="00561ABD"/>
    <w:rsid w:val="00561D42"/>
    <w:rsid w:val="00561DB1"/>
    <w:rsid w:val="00561DE2"/>
    <w:rsid w:val="00561E12"/>
    <w:rsid w:val="00561F5D"/>
    <w:rsid w:val="00562017"/>
    <w:rsid w:val="00562321"/>
    <w:rsid w:val="0056247F"/>
    <w:rsid w:val="0056248A"/>
    <w:rsid w:val="00562670"/>
    <w:rsid w:val="00562863"/>
    <w:rsid w:val="00562BF5"/>
    <w:rsid w:val="00562C03"/>
    <w:rsid w:val="00562C84"/>
    <w:rsid w:val="00562D6E"/>
    <w:rsid w:val="00562E10"/>
    <w:rsid w:val="00562E72"/>
    <w:rsid w:val="00562ED4"/>
    <w:rsid w:val="00562F57"/>
    <w:rsid w:val="00562FA8"/>
    <w:rsid w:val="005630C8"/>
    <w:rsid w:val="00563114"/>
    <w:rsid w:val="00563174"/>
    <w:rsid w:val="005633C2"/>
    <w:rsid w:val="00563436"/>
    <w:rsid w:val="0056344D"/>
    <w:rsid w:val="00563458"/>
    <w:rsid w:val="005636F6"/>
    <w:rsid w:val="005637EA"/>
    <w:rsid w:val="00563B0A"/>
    <w:rsid w:val="00563B23"/>
    <w:rsid w:val="00563B77"/>
    <w:rsid w:val="00563DE6"/>
    <w:rsid w:val="00563F94"/>
    <w:rsid w:val="00563FC4"/>
    <w:rsid w:val="0056405D"/>
    <w:rsid w:val="0056420A"/>
    <w:rsid w:val="00564356"/>
    <w:rsid w:val="0056446A"/>
    <w:rsid w:val="005646D9"/>
    <w:rsid w:val="00564730"/>
    <w:rsid w:val="0056473E"/>
    <w:rsid w:val="005647E8"/>
    <w:rsid w:val="005647EA"/>
    <w:rsid w:val="0056482A"/>
    <w:rsid w:val="005648EF"/>
    <w:rsid w:val="0056497F"/>
    <w:rsid w:val="00564A6A"/>
    <w:rsid w:val="00564B5D"/>
    <w:rsid w:val="00564C1B"/>
    <w:rsid w:val="00564DF5"/>
    <w:rsid w:val="00564EF4"/>
    <w:rsid w:val="00564FEA"/>
    <w:rsid w:val="0056500A"/>
    <w:rsid w:val="00565349"/>
    <w:rsid w:val="00565362"/>
    <w:rsid w:val="005653E1"/>
    <w:rsid w:val="0056577A"/>
    <w:rsid w:val="005658A4"/>
    <w:rsid w:val="005658AF"/>
    <w:rsid w:val="005659FC"/>
    <w:rsid w:val="00565ACE"/>
    <w:rsid w:val="00565AE0"/>
    <w:rsid w:val="00565B01"/>
    <w:rsid w:val="00565B48"/>
    <w:rsid w:val="00565B57"/>
    <w:rsid w:val="00565BEF"/>
    <w:rsid w:val="00565CDB"/>
    <w:rsid w:val="00565DCF"/>
    <w:rsid w:val="00566055"/>
    <w:rsid w:val="005660F1"/>
    <w:rsid w:val="005664C1"/>
    <w:rsid w:val="005664D4"/>
    <w:rsid w:val="00566673"/>
    <w:rsid w:val="005666F7"/>
    <w:rsid w:val="00566AA0"/>
    <w:rsid w:val="00566AD3"/>
    <w:rsid w:val="0056702F"/>
    <w:rsid w:val="00567096"/>
    <w:rsid w:val="0056714E"/>
    <w:rsid w:val="0056722A"/>
    <w:rsid w:val="005673D9"/>
    <w:rsid w:val="00567438"/>
    <w:rsid w:val="00567524"/>
    <w:rsid w:val="0056759D"/>
    <w:rsid w:val="0056772A"/>
    <w:rsid w:val="005678B5"/>
    <w:rsid w:val="0056790D"/>
    <w:rsid w:val="00567926"/>
    <w:rsid w:val="0056799C"/>
    <w:rsid w:val="00567AE2"/>
    <w:rsid w:val="00567B18"/>
    <w:rsid w:val="00567C1F"/>
    <w:rsid w:val="00567C4C"/>
    <w:rsid w:val="00567C80"/>
    <w:rsid w:val="00567CD6"/>
    <w:rsid w:val="00567D9B"/>
    <w:rsid w:val="00567E21"/>
    <w:rsid w:val="00567F02"/>
    <w:rsid w:val="00567F4B"/>
    <w:rsid w:val="00570109"/>
    <w:rsid w:val="005701D7"/>
    <w:rsid w:val="00570247"/>
    <w:rsid w:val="00570295"/>
    <w:rsid w:val="0057032B"/>
    <w:rsid w:val="005703A0"/>
    <w:rsid w:val="005703A2"/>
    <w:rsid w:val="005704DF"/>
    <w:rsid w:val="0057070F"/>
    <w:rsid w:val="005707B9"/>
    <w:rsid w:val="005708DF"/>
    <w:rsid w:val="00570923"/>
    <w:rsid w:val="005709C9"/>
    <w:rsid w:val="00570AD5"/>
    <w:rsid w:val="00570B1A"/>
    <w:rsid w:val="00570C08"/>
    <w:rsid w:val="00570C4D"/>
    <w:rsid w:val="00570C92"/>
    <w:rsid w:val="00570D0B"/>
    <w:rsid w:val="00570D22"/>
    <w:rsid w:val="00571057"/>
    <w:rsid w:val="0057127E"/>
    <w:rsid w:val="00571281"/>
    <w:rsid w:val="005712C9"/>
    <w:rsid w:val="00571316"/>
    <w:rsid w:val="0057134C"/>
    <w:rsid w:val="0057152B"/>
    <w:rsid w:val="00571566"/>
    <w:rsid w:val="00571598"/>
    <w:rsid w:val="00571638"/>
    <w:rsid w:val="00571955"/>
    <w:rsid w:val="005719E8"/>
    <w:rsid w:val="00571A04"/>
    <w:rsid w:val="00571B72"/>
    <w:rsid w:val="00571BBC"/>
    <w:rsid w:val="00571BF1"/>
    <w:rsid w:val="00571C88"/>
    <w:rsid w:val="00571DE0"/>
    <w:rsid w:val="00571E0D"/>
    <w:rsid w:val="00572016"/>
    <w:rsid w:val="00572041"/>
    <w:rsid w:val="005721C6"/>
    <w:rsid w:val="00572216"/>
    <w:rsid w:val="00572284"/>
    <w:rsid w:val="0057228E"/>
    <w:rsid w:val="00572319"/>
    <w:rsid w:val="0057263F"/>
    <w:rsid w:val="005726C4"/>
    <w:rsid w:val="005726DB"/>
    <w:rsid w:val="005727FA"/>
    <w:rsid w:val="00572875"/>
    <w:rsid w:val="005728B8"/>
    <w:rsid w:val="005728C0"/>
    <w:rsid w:val="005729E7"/>
    <w:rsid w:val="00572A36"/>
    <w:rsid w:val="00572A40"/>
    <w:rsid w:val="00572A60"/>
    <w:rsid w:val="00572BAE"/>
    <w:rsid w:val="00572CAC"/>
    <w:rsid w:val="00572CC4"/>
    <w:rsid w:val="00572D3A"/>
    <w:rsid w:val="00572D6F"/>
    <w:rsid w:val="00572DFE"/>
    <w:rsid w:val="00572ECB"/>
    <w:rsid w:val="00572F82"/>
    <w:rsid w:val="00572FB4"/>
    <w:rsid w:val="00572FD1"/>
    <w:rsid w:val="00572FE0"/>
    <w:rsid w:val="0057316E"/>
    <w:rsid w:val="0057333A"/>
    <w:rsid w:val="005734AF"/>
    <w:rsid w:val="005736F7"/>
    <w:rsid w:val="00573851"/>
    <w:rsid w:val="005738D7"/>
    <w:rsid w:val="00573918"/>
    <w:rsid w:val="005739AE"/>
    <w:rsid w:val="00573AEE"/>
    <w:rsid w:val="00573C08"/>
    <w:rsid w:val="00573EDA"/>
    <w:rsid w:val="00574107"/>
    <w:rsid w:val="00574132"/>
    <w:rsid w:val="0057413F"/>
    <w:rsid w:val="00574201"/>
    <w:rsid w:val="0057439A"/>
    <w:rsid w:val="005744A8"/>
    <w:rsid w:val="005744B1"/>
    <w:rsid w:val="005744DF"/>
    <w:rsid w:val="0057453F"/>
    <w:rsid w:val="005746E2"/>
    <w:rsid w:val="005746ED"/>
    <w:rsid w:val="0057471D"/>
    <w:rsid w:val="005747B1"/>
    <w:rsid w:val="00574825"/>
    <w:rsid w:val="0057484A"/>
    <w:rsid w:val="005748C7"/>
    <w:rsid w:val="005749A3"/>
    <w:rsid w:val="005749BA"/>
    <w:rsid w:val="00574CA1"/>
    <w:rsid w:val="00574DB2"/>
    <w:rsid w:val="00574FD8"/>
    <w:rsid w:val="00574FE2"/>
    <w:rsid w:val="00575008"/>
    <w:rsid w:val="0057502A"/>
    <w:rsid w:val="005750B0"/>
    <w:rsid w:val="00575310"/>
    <w:rsid w:val="0057537D"/>
    <w:rsid w:val="00575485"/>
    <w:rsid w:val="005755CA"/>
    <w:rsid w:val="005755F1"/>
    <w:rsid w:val="00575B45"/>
    <w:rsid w:val="00575BB2"/>
    <w:rsid w:val="00575BE4"/>
    <w:rsid w:val="00575D87"/>
    <w:rsid w:val="00575DA5"/>
    <w:rsid w:val="00575E23"/>
    <w:rsid w:val="00575E7C"/>
    <w:rsid w:val="00575FD6"/>
    <w:rsid w:val="0057608D"/>
    <w:rsid w:val="00576165"/>
    <w:rsid w:val="00576230"/>
    <w:rsid w:val="00576231"/>
    <w:rsid w:val="00576294"/>
    <w:rsid w:val="00576399"/>
    <w:rsid w:val="005763E7"/>
    <w:rsid w:val="00576421"/>
    <w:rsid w:val="0057642D"/>
    <w:rsid w:val="0057648C"/>
    <w:rsid w:val="0057650A"/>
    <w:rsid w:val="005765C2"/>
    <w:rsid w:val="00576702"/>
    <w:rsid w:val="00576877"/>
    <w:rsid w:val="005769A2"/>
    <w:rsid w:val="00576AC0"/>
    <w:rsid w:val="00576ADC"/>
    <w:rsid w:val="00576D6A"/>
    <w:rsid w:val="00576E41"/>
    <w:rsid w:val="00576E5D"/>
    <w:rsid w:val="00576EAA"/>
    <w:rsid w:val="00576F19"/>
    <w:rsid w:val="00576F27"/>
    <w:rsid w:val="00576FB0"/>
    <w:rsid w:val="00577001"/>
    <w:rsid w:val="00577002"/>
    <w:rsid w:val="0057706B"/>
    <w:rsid w:val="00577124"/>
    <w:rsid w:val="00577202"/>
    <w:rsid w:val="00577395"/>
    <w:rsid w:val="005773DD"/>
    <w:rsid w:val="0057742F"/>
    <w:rsid w:val="0057756F"/>
    <w:rsid w:val="0057767C"/>
    <w:rsid w:val="0057779B"/>
    <w:rsid w:val="00577939"/>
    <w:rsid w:val="0057794C"/>
    <w:rsid w:val="00577A59"/>
    <w:rsid w:val="00577A92"/>
    <w:rsid w:val="00577B2F"/>
    <w:rsid w:val="00577BEE"/>
    <w:rsid w:val="00577C68"/>
    <w:rsid w:val="00577CF3"/>
    <w:rsid w:val="00577D2F"/>
    <w:rsid w:val="00577E63"/>
    <w:rsid w:val="00577FAD"/>
    <w:rsid w:val="0058005C"/>
    <w:rsid w:val="00580165"/>
    <w:rsid w:val="0058016A"/>
    <w:rsid w:val="005804D3"/>
    <w:rsid w:val="00580506"/>
    <w:rsid w:val="00580609"/>
    <w:rsid w:val="00580776"/>
    <w:rsid w:val="00580947"/>
    <w:rsid w:val="00580951"/>
    <w:rsid w:val="00580970"/>
    <w:rsid w:val="00580983"/>
    <w:rsid w:val="00580AAD"/>
    <w:rsid w:val="00580CE4"/>
    <w:rsid w:val="005810B2"/>
    <w:rsid w:val="005810C8"/>
    <w:rsid w:val="00581128"/>
    <w:rsid w:val="00581151"/>
    <w:rsid w:val="005811D5"/>
    <w:rsid w:val="00581226"/>
    <w:rsid w:val="00581283"/>
    <w:rsid w:val="0058137D"/>
    <w:rsid w:val="0058159C"/>
    <w:rsid w:val="0058172F"/>
    <w:rsid w:val="00581815"/>
    <w:rsid w:val="0058183A"/>
    <w:rsid w:val="0058184C"/>
    <w:rsid w:val="00581853"/>
    <w:rsid w:val="005819AB"/>
    <w:rsid w:val="00581B60"/>
    <w:rsid w:val="00581BA1"/>
    <w:rsid w:val="00581D52"/>
    <w:rsid w:val="00581E26"/>
    <w:rsid w:val="00581FBA"/>
    <w:rsid w:val="00581FCC"/>
    <w:rsid w:val="00581FD7"/>
    <w:rsid w:val="00582012"/>
    <w:rsid w:val="005820C4"/>
    <w:rsid w:val="005820F9"/>
    <w:rsid w:val="005822AC"/>
    <w:rsid w:val="005824FB"/>
    <w:rsid w:val="00582622"/>
    <w:rsid w:val="00582741"/>
    <w:rsid w:val="0058277C"/>
    <w:rsid w:val="00582852"/>
    <w:rsid w:val="0058294B"/>
    <w:rsid w:val="0058298D"/>
    <w:rsid w:val="005829BB"/>
    <w:rsid w:val="00582A3B"/>
    <w:rsid w:val="00582B00"/>
    <w:rsid w:val="00582B38"/>
    <w:rsid w:val="00582C2D"/>
    <w:rsid w:val="00582D93"/>
    <w:rsid w:val="00582FA4"/>
    <w:rsid w:val="0058314A"/>
    <w:rsid w:val="0058330F"/>
    <w:rsid w:val="0058342D"/>
    <w:rsid w:val="0058348B"/>
    <w:rsid w:val="00583521"/>
    <w:rsid w:val="00583533"/>
    <w:rsid w:val="00583598"/>
    <w:rsid w:val="005835E6"/>
    <w:rsid w:val="005836A7"/>
    <w:rsid w:val="005836E6"/>
    <w:rsid w:val="0058374F"/>
    <w:rsid w:val="0058378C"/>
    <w:rsid w:val="00583842"/>
    <w:rsid w:val="00583AE1"/>
    <w:rsid w:val="00583B4C"/>
    <w:rsid w:val="00583BAD"/>
    <w:rsid w:val="00583D1A"/>
    <w:rsid w:val="00583D6C"/>
    <w:rsid w:val="00583E54"/>
    <w:rsid w:val="00583FA1"/>
    <w:rsid w:val="00584008"/>
    <w:rsid w:val="00584080"/>
    <w:rsid w:val="005840BB"/>
    <w:rsid w:val="005842E5"/>
    <w:rsid w:val="005842F5"/>
    <w:rsid w:val="005844B5"/>
    <w:rsid w:val="0058450C"/>
    <w:rsid w:val="00584534"/>
    <w:rsid w:val="005845B0"/>
    <w:rsid w:val="00584650"/>
    <w:rsid w:val="005847E1"/>
    <w:rsid w:val="00584A62"/>
    <w:rsid w:val="00584A9C"/>
    <w:rsid w:val="00584B09"/>
    <w:rsid w:val="00584C95"/>
    <w:rsid w:val="00584E2D"/>
    <w:rsid w:val="00584F26"/>
    <w:rsid w:val="00585007"/>
    <w:rsid w:val="0058530D"/>
    <w:rsid w:val="005854AA"/>
    <w:rsid w:val="005854C3"/>
    <w:rsid w:val="005854F9"/>
    <w:rsid w:val="00585544"/>
    <w:rsid w:val="00585751"/>
    <w:rsid w:val="00585805"/>
    <w:rsid w:val="00585874"/>
    <w:rsid w:val="005858AE"/>
    <w:rsid w:val="00585947"/>
    <w:rsid w:val="00585AD3"/>
    <w:rsid w:val="00585BDE"/>
    <w:rsid w:val="00585CF0"/>
    <w:rsid w:val="00585EAE"/>
    <w:rsid w:val="00585ED5"/>
    <w:rsid w:val="00585F21"/>
    <w:rsid w:val="00585F29"/>
    <w:rsid w:val="00585F4E"/>
    <w:rsid w:val="005860E0"/>
    <w:rsid w:val="0058610A"/>
    <w:rsid w:val="005862C5"/>
    <w:rsid w:val="0058639A"/>
    <w:rsid w:val="0058653E"/>
    <w:rsid w:val="0058675B"/>
    <w:rsid w:val="00586763"/>
    <w:rsid w:val="005868F5"/>
    <w:rsid w:val="00586A2B"/>
    <w:rsid w:val="00586AB8"/>
    <w:rsid w:val="00586B47"/>
    <w:rsid w:val="00586B82"/>
    <w:rsid w:val="00586BB5"/>
    <w:rsid w:val="00586D76"/>
    <w:rsid w:val="00586E3C"/>
    <w:rsid w:val="00586E68"/>
    <w:rsid w:val="0058708F"/>
    <w:rsid w:val="005870BE"/>
    <w:rsid w:val="00587134"/>
    <w:rsid w:val="005871B0"/>
    <w:rsid w:val="00587246"/>
    <w:rsid w:val="00587267"/>
    <w:rsid w:val="00587363"/>
    <w:rsid w:val="0058738C"/>
    <w:rsid w:val="00587392"/>
    <w:rsid w:val="00587407"/>
    <w:rsid w:val="00587646"/>
    <w:rsid w:val="005876A0"/>
    <w:rsid w:val="00587906"/>
    <w:rsid w:val="00587A16"/>
    <w:rsid w:val="00587CA8"/>
    <w:rsid w:val="00587EA1"/>
    <w:rsid w:val="00587FA1"/>
    <w:rsid w:val="00587FC3"/>
    <w:rsid w:val="005902F9"/>
    <w:rsid w:val="005903EC"/>
    <w:rsid w:val="005906FC"/>
    <w:rsid w:val="0059071E"/>
    <w:rsid w:val="0059083C"/>
    <w:rsid w:val="00590856"/>
    <w:rsid w:val="005908A6"/>
    <w:rsid w:val="005908DC"/>
    <w:rsid w:val="00590926"/>
    <w:rsid w:val="00590A26"/>
    <w:rsid w:val="00590B4A"/>
    <w:rsid w:val="00590B7F"/>
    <w:rsid w:val="00590C20"/>
    <w:rsid w:val="00590E41"/>
    <w:rsid w:val="00590E6C"/>
    <w:rsid w:val="00590EDF"/>
    <w:rsid w:val="00590F76"/>
    <w:rsid w:val="00590FC1"/>
    <w:rsid w:val="0059100B"/>
    <w:rsid w:val="00591248"/>
    <w:rsid w:val="00591290"/>
    <w:rsid w:val="0059132A"/>
    <w:rsid w:val="0059136F"/>
    <w:rsid w:val="005916EA"/>
    <w:rsid w:val="005916F8"/>
    <w:rsid w:val="005917BC"/>
    <w:rsid w:val="005917BD"/>
    <w:rsid w:val="005917F1"/>
    <w:rsid w:val="00591848"/>
    <w:rsid w:val="005919C3"/>
    <w:rsid w:val="00591ACE"/>
    <w:rsid w:val="00591B69"/>
    <w:rsid w:val="00591BC8"/>
    <w:rsid w:val="00591BCE"/>
    <w:rsid w:val="00591BF5"/>
    <w:rsid w:val="00591C77"/>
    <w:rsid w:val="00591C84"/>
    <w:rsid w:val="00591CF0"/>
    <w:rsid w:val="00591D2D"/>
    <w:rsid w:val="00591E7F"/>
    <w:rsid w:val="00591F09"/>
    <w:rsid w:val="00591F70"/>
    <w:rsid w:val="00591F7F"/>
    <w:rsid w:val="00591F96"/>
    <w:rsid w:val="0059218E"/>
    <w:rsid w:val="005921F8"/>
    <w:rsid w:val="005922C1"/>
    <w:rsid w:val="00592355"/>
    <w:rsid w:val="005923C5"/>
    <w:rsid w:val="0059243D"/>
    <w:rsid w:val="005924D3"/>
    <w:rsid w:val="005924F5"/>
    <w:rsid w:val="00592631"/>
    <w:rsid w:val="0059266D"/>
    <w:rsid w:val="00592751"/>
    <w:rsid w:val="00592966"/>
    <w:rsid w:val="005929EC"/>
    <w:rsid w:val="00592A37"/>
    <w:rsid w:val="00592BCA"/>
    <w:rsid w:val="00592C1B"/>
    <w:rsid w:val="00592CA5"/>
    <w:rsid w:val="00592CC3"/>
    <w:rsid w:val="00592E05"/>
    <w:rsid w:val="00592EB1"/>
    <w:rsid w:val="00593012"/>
    <w:rsid w:val="00593173"/>
    <w:rsid w:val="005931DC"/>
    <w:rsid w:val="005933D1"/>
    <w:rsid w:val="00593419"/>
    <w:rsid w:val="00593448"/>
    <w:rsid w:val="0059361C"/>
    <w:rsid w:val="0059367D"/>
    <w:rsid w:val="005937A9"/>
    <w:rsid w:val="005939D1"/>
    <w:rsid w:val="005939F6"/>
    <w:rsid w:val="00593AC4"/>
    <w:rsid w:val="00593AF8"/>
    <w:rsid w:val="00593BF5"/>
    <w:rsid w:val="00593CC2"/>
    <w:rsid w:val="00593CE6"/>
    <w:rsid w:val="00593EF3"/>
    <w:rsid w:val="00593F13"/>
    <w:rsid w:val="0059403F"/>
    <w:rsid w:val="00594120"/>
    <w:rsid w:val="0059431B"/>
    <w:rsid w:val="00594565"/>
    <w:rsid w:val="0059461D"/>
    <w:rsid w:val="00594786"/>
    <w:rsid w:val="0059481A"/>
    <w:rsid w:val="0059485A"/>
    <w:rsid w:val="0059499D"/>
    <w:rsid w:val="00594A4E"/>
    <w:rsid w:val="00594B6A"/>
    <w:rsid w:val="00594CEF"/>
    <w:rsid w:val="00594F92"/>
    <w:rsid w:val="00594FDC"/>
    <w:rsid w:val="00595072"/>
    <w:rsid w:val="005950E5"/>
    <w:rsid w:val="005953D4"/>
    <w:rsid w:val="00595451"/>
    <w:rsid w:val="005956A5"/>
    <w:rsid w:val="005956B3"/>
    <w:rsid w:val="00595709"/>
    <w:rsid w:val="00595743"/>
    <w:rsid w:val="00595938"/>
    <w:rsid w:val="0059598F"/>
    <w:rsid w:val="00595BF2"/>
    <w:rsid w:val="00595CDA"/>
    <w:rsid w:val="00595CDD"/>
    <w:rsid w:val="00595CF0"/>
    <w:rsid w:val="00595D01"/>
    <w:rsid w:val="00595E45"/>
    <w:rsid w:val="00595EE9"/>
    <w:rsid w:val="00596086"/>
    <w:rsid w:val="005960AF"/>
    <w:rsid w:val="005960B8"/>
    <w:rsid w:val="005960CD"/>
    <w:rsid w:val="005960D3"/>
    <w:rsid w:val="00596200"/>
    <w:rsid w:val="00596339"/>
    <w:rsid w:val="00596392"/>
    <w:rsid w:val="005963AE"/>
    <w:rsid w:val="00596450"/>
    <w:rsid w:val="00596479"/>
    <w:rsid w:val="005964AA"/>
    <w:rsid w:val="005965CE"/>
    <w:rsid w:val="005966B8"/>
    <w:rsid w:val="005966CA"/>
    <w:rsid w:val="0059682C"/>
    <w:rsid w:val="00596D6B"/>
    <w:rsid w:val="00596FAB"/>
    <w:rsid w:val="005970A1"/>
    <w:rsid w:val="0059729E"/>
    <w:rsid w:val="00597322"/>
    <w:rsid w:val="0059732F"/>
    <w:rsid w:val="005973D3"/>
    <w:rsid w:val="005973E7"/>
    <w:rsid w:val="00597402"/>
    <w:rsid w:val="00597452"/>
    <w:rsid w:val="00597546"/>
    <w:rsid w:val="0059758D"/>
    <w:rsid w:val="00597633"/>
    <w:rsid w:val="00597741"/>
    <w:rsid w:val="00597A48"/>
    <w:rsid w:val="00597B50"/>
    <w:rsid w:val="00597DE8"/>
    <w:rsid w:val="00597E41"/>
    <w:rsid w:val="00597E58"/>
    <w:rsid w:val="00597F2A"/>
    <w:rsid w:val="00597F40"/>
    <w:rsid w:val="00597F8C"/>
    <w:rsid w:val="00597FCD"/>
    <w:rsid w:val="0059D327"/>
    <w:rsid w:val="005A01AB"/>
    <w:rsid w:val="005A01AF"/>
    <w:rsid w:val="005A0202"/>
    <w:rsid w:val="005A0222"/>
    <w:rsid w:val="005A041B"/>
    <w:rsid w:val="005A05A0"/>
    <w:rsid w:val="005A0659"/>
    <w:rsid w:val="005A08CB"/>
    <w:rsid w:val="005A08EF"/>
    <w:rsid w:val="005A097C"/>
    <w:rsid w:val="005A0A95"/>
    <w:rsid w:val="005A0B66"/>
    <w:rsid w:val="005A0BED"/>
    <w:rsid w:val="005A0BF5"/>
    <w:rsid w:val="005A0C5C"/>
    <w:rsid w:val="005A0C78"/>
    <w:rsid w:val="005A0CA7"/>
    <w:rsid w:val="005A0CE2"/>
    <w:rsid w:val="005A0D0D"/>
    <w:rsid w:val="005A0D65"/>
    <w:rsid w:val="005A0E51"/>
    <w:rsid w:val="005A0EAF"/>
    <w:rsid w:val="005A0EFB"/>
    <w:rsid w:val="005A0F0D"/>
    <w:rsid w:val="005A10A2"/>
    <w:rsid w:val="005A10B4"/>
    <w:rsid w:val="005A140D"/>
    <w:rsid w:val="005A15D3"/>
    <w:rsid w:val="005A16FB"/>
    <w:rsid w:val="005A1738"/>
    <w:rsid w:val="005A174D"/>
    <w:rsid w:val="005A1791"/>
    <w:rsid w:val="005A17A7"/>
    <w:rsid w:val="005A17BA"/>
    <w:rsid w:val="005A17F2"/>
    <w:rsid w:val="005A18F0"/>
    <w:rsid w:val="005A1A04"/>
    <w:rsid w:val="005A1A35"/>
    <w:rsid w:val="005A1A39"/>
    <w:rsid w:val="005A1B9E"/>
    <w:rsid w:val="005A1C0B"/>
    <w:rsid w:val="005A1DB0"/>
    <w:rsid w:val="005A1E2D"/>
    <w:rsid w:val="005A1E68"/>
    <w:rsid w:val="005A1EFF"/>
    <w:rsid w:val="005A1F5E"/>
    <w:rsid w:val="005A1F7F"/>
    <w:rsid w:val="005A1F87"/>
    <w:rsid w:val="005A20DF"/>
    <w:rsid w:val="005A210D"/>
    <w:rsid w:val="005A2118"/>
    <w:rsid w:val="005A21D5"/>
    <w:rsid w:val="005A2255"/>
    <w:rsid w:val="005A22C6"/>
    <w:rsid w:val="005A22E8"/>
    <w:rsid w:val="005A2344"/>
    <w:rsid w:val="005A234F"/>
    <w:rsid w:val="005A236C"/>
    <w:rsid w:val="005A2674"/>
    <w:rsid w:val="005A26BE"/>
    <w:rsid w:val="005A27C0"/>
    <w:rsid w:val="005A295C"/>
    <w:rsid w:val="005A2A4D"/>
    <w:rsid w:val="005A2A86"/>
    <w:rsid w:val="005A2D00"/>
    <w:rsid w:val="005A2F01"/>
    <w:rsid w:val="005A2F1F"/>
    <w:rsid w:val="005A302B"/>
    <w:rsid w:val="005A303B"/>
    <w:rsid w:val="005A306F"/>
    <w:rsid w:val="005A3255"/>
    <w:rsid w:val="005A3494"/>
    <w:rsid w:val="005A34F7"/>
    <w:rsid w:val="005A351D"/>
    <w:rsid w:val="005A35A5"/>
    <w:rsid w:val="005A35C2"/>
    <w:rsid w:val="005A3669"/>
    <w:rsid w:val="005A3780"/>
    <w:rsid w:val="005A37A5"/>
    <w:rsid w:val="005A381D"/>
    <w:rsid w:val="005A391F"/>
    <w:rsid w:val="005A3B0C"/>
    <w:rsid w:val="005A3B83"/>
    <w:rsid w:val="005A3C92"/>
    <w:rsid w:val="005A3D1B"/>
    <w:rsid w:val="005A3D2B"/>
    <w:rsid w:val="005A3EC1"/>
    <w:rsid w:val="005A3F6A"/>
    <w:rsid w:val="005A3FB5"/>
    <w:rsid w:val="005A3FB9"/>
    <w:rsid w:val="005A3FE7"/>
    <w:rsid w:val="005A42DA"/>
    <w:rsid w:val="005A4306"/>
    <w:rsid w:val="005A43C4"/>
    <w:rsid w:val="005A440E"/>
    <w:rsid w:val="005A4428"/>
    <w:rsid w:val="005A463E"/>
    <w:rsid w:val="005A472F"/>
    <w:rsid w:val="005A484F"/>
    <w:rsid w:val="005A48F6"/>
    <w:rsid w:val="005A49F4"/>
    <w:rsid w:val="005A4AB3"/>
    <w:rsid w:val="005A4BE1"/>
    <w:rsid w:val="005A4CA0"/>
    <w:rsid w:val="005A4E1C"/>
    <w:rsid w:val="005A4E81"/>
    <w:rsid w:val="005A4FB9"/>
    <w:rsid w:val="005A502B"/>
    <w:rsid w:val="005A5030"/>
    <w:rsid w:val="005A504A"/>
    <w:rsid w:val="005A5128"/>
    <w:rsid w:val="005A552A"/>
    <w:rsid w:val="005A56E4"/>
    <w:rsid w:val="005A578A"/>
    <w:rsid w:val="005A5B33"/>
    <w:rsid w:val="005A5B67"/>
    <w:rsid w:val="005A5C8F"/>
    <w:rsid w:val="005A5D07"/>
    <w:rsid w:val="005A5EFE"/>
    <w:rsid w:val="005A5F1D"/>
    <w:rsid w:val="005A6221"/>
    <w:rsid w:val="005A622F"/>
    <w:rsid w:val="005A6238"/>
    <w:rsid w:val="005A6374"/>
    <w:rsid w:val="005A6436"/>
    <w:rsid w:val="005A6449"/>
    <w:rsid w:val="005A6623"/>
    <w:rsid w:val="005A66AE"/>
    <w:rsid w:val="005A66B0"/>
    <w:rsid w:val="005A675A"/>
    <w:rsid w:val="005A6770"/>
    <w:rsid w:val="005A6814"/>
    <w:rsid w:val="005A68AA"/>
    <w:rsid w:val="005A68B7"/>
    <w:rsid w:val="005A695F"/>
    <w:rsid w:val="005A699F"/>
    <w:rsid w:val="005A6BF0"/>
    <w:rsid w:val="005A6F07"/>
    <w:rsid w:val="005A7004"/>
    <w:rsid w:val="005A706C"/>
    <w:rsid w:val="005A707F"/>
    <w:rsid w:val="005A70F6"/>
    <w:rsid w:val="005A7290"/>
    <w:rsid w:val="005A74B3"/>
    <w:rsid w:val="005A74BC"/>
    <w:rsid w:val="005A758F"/>
    <w:rsid w:val="005A75C9"/>
    <w:rsid w:val="005A75EC"/>
    <w:rsid w:val="005A768D"/>
    <w:rsid w:val="005A76BA"/>
    <w:rsid w:val="005A76DE"/>
    <w:rsid w:val="005A770E"/>
    <w:rsid w:val="005A7829"/>
    <w:rsid w:val="005A7861"/>
    <w:rsid w:val="005A7A9A"/>
    <w:rsid w:val="005A7B13"/>
    <w:rsid w:val="005A7B70"/>
    <w:rsid w:val="005A7CCD"/>
    <w:rsid w:val="005A7D40"/>
    <w:rsid w:val="005A7F1B"/>
    <w:rsid w:val="005B01B7"/>
    <w:rsid w:val="005B026C"/>
    <w:rsid w:val="005B0273"/>
    <w:rsid w:val="005B028C"/>
    <w:rsid w:val="005B0426"/>
    <w:rsid w:val="005B04FB"/>
    <w:rsid w:val="005B0543"/>
    <w:rsid w:val="005B0632"/>
    <w:rsid w:val="005B06AF"/>
    <w:rsid w:val="005B0832"/>
    <w:rsid w:val="005B09FB"/>
    <w:rsid w:val="005B0A69"/>
    <w:rsid w:val="005B0AA5"/>
    <w:rsid w:val="005B0B3D"/>
    <w:rsid w:val="005B0B7F"/>
    <w:rsid w:val="005B0C06"/>
    <w:rsid w:val="005B0D13"/>
    <w:rsid w:val="005B0DE6"/>
    <w:rsid w:val="005B0FEC"/>
    <w:rsid w:val="005B1052"/>
    <w:rsid w:val="005B117F"/>
    <w:rsid w:val="005B1188"/>
    <w:rsid w:val="005B1228"/>
    <w:rsid w:val="005B12A2"/>
    <w:rsid w:val="005B1426"/>
    <w:rsid w:val="005B14AD"/>
    <w:rsid w:val="005B1575"/>
    <w:rsid w:val="005B1867"/>
    <w:rsid w:val="005B187D"/>
    <w:rsid w:val="005B18F2"/>
    <w:rsid w:val="005B19D4"/>
    <w:rsid w:val="005B1B35"/>
    <w:rsid w:val="005B1CB4"/>
    <w:rsid w:val="005B1CD5"/>
    <w:rsid w:val="005B1D31"/>
    <w:rsid w:val="005B1E43"/>
    <w:rsid w:val="005B1E74"/>
    <w:rsid w:val="005B1F98"/>
    <w:rsid w:val="005B202E"/>
    <w:rsid w:val="005B20CE"/>
    <w:rsid w:val="005B21CE"/>
    <w:rsid w:val="005B2242"/>
    <w:rsid w:val="005B2309"/>
    <w:rsid w:val="005B23CE"/>
    <w:rsid w:val="005B241E"/>
    <w:rsid w:val="005B25F3"/>
    <w:rsid w:val="005B2AAF"/>
    <w:rsid w:val="005B2B89"/>
    <w:rsid w:val="005B2B8D"/>
    <w:rsid w:val="005B2D8D"/>
    <w:rsid w:val="005B2EDF"/>
    <w:rsid w:val="005B2FA1"/>
    <w:rsid w:val="005B3025"/>
    <w:rsid w:val="005B3116"/>
    <w:rsid w:val="005B3158"/>
    <w:rsid w:val="005B31EC"/>
    <w:rsid w:val="005B324B"/>
    <w:rsid w:val="005B334F"/>
    <w:rsid w:val="005B3401"/>
    <w:rsid w:val="005B366D"/>
    <w:rsid w:val="005B36CE"/>
    <w:rsid w:val="005B3818"/>
    <w:rsid w:val="005B3E9E"/>
    <w:rsid w:val="005B3EB6"/>
    <w:rsid w:val="005B3FD3"/>
    <w:rsid w:val="005B3FF0"/>
    <w:rsid w:val="005B46CA"/>
    <w:rsid w:val="005B4859"/>
    <w:rsid w:val="005B4A0F"/>
    <w:rsid w:val="005B4BAA"/>
    <w:rsid w:val="005B4D26"/>
    <w:rsid w:val="005B4D6A"/>
    <w:rsid w:val="005B4D8B"/>
    <w:rsid w:val="005B4D8D"/>
    <w:rsid w:val="005B4E85"/>
    <w:rsid w:val="005B4ED9"/>
    <w:rsid w:val="005B4F95"/>
    <w:rsid w:val="005B4FD4"/>
    <w:rsid w:val="005B50B5"/>
    <w:rsid w:val="005B50CC"/>
    <w:rsid w:val="005B510E"/>
    <w:rsid w:val="005B5259"/>
    <w:rsid w:val="005B5260"/>
    <w:rsid w:val="005B52CE"/>
    <w:rsid w:val="005B53D4"/>
    <w:rsid w:val="005B53FB"/>
    <w:rsid w:val="005B550C"/>
    <w:rsid w:val="005B5557"/>
    <w:rsid w:val="005B565E"/>
    <w:rsid w:val="005B571C"/>
    <w:rsid w:val="005B57A0"/>
    <w:rsid w:val="005B57C1"/>
    <w:rsid w:val="005B598B"/>
    <w:rsid w:val="005B5993"/>
    <w:rsid w:val="005B5A6E"/>
    <w:rsid w:val="005B5ABD"/>
    <w:rsid w:val="005B5B52"/>
    <w:rsid w:val="005B5BB1"/>
    <w:rsid w:val="005B5BF5"/>
    <w:rsid w:val="005B605C"/>
    <w:rsid w:val="005B64EB"/>
    <w:rsid w:val="005B65A8"/>
    <w:rsid w:val="005B65C7"/>
    <w:rsid w:val="005B65E7"/>
    <w:rsid w:val="005B65EB"/>
    <w:rsid w:val="005B686D"/>
    <w:rsid w:val="005B6D85"/>
    <w:rsid w:val="005B6E02"/>
    <w:rsid w:val="005B6E73"/>
    <w:rsid w:val="005B6EFC"/>
    <w:rsid w:val="005B6F1A"/>
    <w:rsid w:val="005B7152"/>
    <w:rsid w:val="005B722A"/>
    <w:rsid w:val="005B72ED"/>
    <w:rsid w:val="005B733A"/>
    <w:rsid w:val="005B7376"/>
    <w:rsid w:val="005B7407"/>
    <w:rsid w:val="005B7526"/>
    <w:rsid w:val="005B759E"/>
    <w:rsid w:val="005B7883"/>
    <w:rsid w:val="005B7B3E"/>
    <w:rsid w:val="005B7C40"/>
    <w:rsid w:val="005B7D12"/>
    <w:rsid w:val="005B7D3E"/>
    <w:rsid w:val="005B7D63"/>
    <w:rsid w:val="005B7DDD"/>
    <w:rsid w:val="005B7E1E"/>
    <w:rsid w:val="005B7EEB"/>
    <w:rsid w:val="005C0005"/>
    <w:rsid w:val="005C0081"/>
    <w:rsid w:val="005C0118"/>
    <w:rsid w:val="005C022D"/>
    <w:rsid w:val="005C0232"/>
    <w:rsid w:val="005C036C"/>
    <w:rsid w:val="005C03AB"/>
    <w:rsid w:val="005C0A4A"/>
    <w:rsid w:val="005C0AF5"/>
    <w:rsid w:val="005C0C6C"/>
    <w:rsid w:val="005C0D05"/>
    <w:rsid w:val="005C0EB5"/>
    <w:rsid w:val="005C0F18"/>
    <w:rsid w:val="005C0F4B"/>
    <w:rsid w:val="005C0FB0"/>
    <w:rsid w:val="005C0FEB"/>
    <w:rsid w:val="005C104F"/>
    <w:rsid w:val="005C1057"/>
    <w:rsid w:val="005C10CE"/>
    <w:rsid w:val="005C1183"/>
    <w:rsid w:val="005C11D2"/>
    <w:rsid w:val="005C1326"/>
    <w:rsid w:val="005C13C4"/>
    <w:rsid w:val="005C15D8"/>
    <w:rsid w:val="005C1634"/>
    <w:rsid w:val="005C1691"/>
    <w:rsid w:val="005C177E"/>
    <w:rsid w:val="005C1889"/>
    <w:rsid w:val="005C18F0"/>
    <w:rsid w:val="005C18F8"/>
    <w:rsid w:val="005C1945"/>
    <w:rsid w:val="005C1949"/>
    <w:rsid w:val="005C1A40"/>
    <w:rsid w:val="005C1BD4"/>
    <w:rsid w:val="005C1D33"/>
    <w:rsid w:val="005C1DC6"/>
    <w:rsid w:val="005C1E15"/>
    <w:rsid w:val="005C1E7A"/>
    <w:rsid w:val="005C1E7D"/>
    <w:rsid w:val="005C2087"/>
    <w:rsid w:val="005C20A5"/>
    <w:rsid w:val="005C214C"/>
    <w:rsid w:val="005C2282"/>
    <w:rsid w:val="005C228C"/>
    <w:rsid w:val="005C22EC"/>
    <w:rsid w:val="005C235A"/>
    <w:rsid w:val="005C23A7"/>
    <w:rsid w:val="005C243B"/>
    <w:rsid w:val="005C24EE"/>
    <w:rsid w:val="005C25C0"/>
    <w:rsid w:val="005C27EE"/>
    <w:rsid w:val="005C28C1"/>
    <w:rsid w:val="005C2CCD"/>
    <w:rsid w:val="005C2DA2"/>
    <w:rsid w:val="005C2DAB"/>
    <w:rsid w:val="005C2E10"/>
    <w:rsid w:val="005C2E23"/>
    <w:rsid w:val="005C2E75"/>
    <w:rsid w:val="005C2F7C"/>
    <w:rsid w:val="005C2FE7"/>
    <w:rsid w:val="005C3023"/>
    <w:rsid w:val="005C305A"/>
    <w:rsid w:val="005C30D1"/>
    <w:rsid w:val="005C3358"/>
    <w:rsid w:val="005C34CD"/>
    <w:rsid w:val="005C365E"/>
    <w:rsid w:val="005C371F"/>
    <w:rsid w:val="005C37B3"/>
    <w:rsid w:val="005C3812"/>
    <w:rsid w:val="005C3D7F"/>
    <w:rsid w:val="005C3E1B"/>
    <w:rsid w:val="005C3E57"/>
    <w:rsid w:val="005C3E94"/>
    <w:rsid w:val="005C4064"/>
    <w:rsid w:val="005C4111"/>
    <w:rsid w:val="005C42B4"/>
    <w:rsid w:val="005C4579"/>
    <w:rsid w:val="005C45B9"/>
    <w:rsid w:val="005C4759"/>
    <w:rsid w:val="005C49AB"/>
    <w:rsid w:val="005C4A19"/>
    <w:rsid w:val="005C4A24"/>
    <w:rsid w:val="005C4A51"/>
    <w:rsid w:val="005C4AE8"/>
    <w:rsid w:val="005C4B67"/>
    <w:rsid w:val="005C4BCC"/>
    <w:rsid w:val="005C4C6D"/>
    <w:rsid w:val="005C4CBF"/>
    <w:rsid w:val="005C4F15"/>
    <w:rsid w:val="005C4FE3"/>
    <w:rsid w:val="005C5183"/>
    <w:rsid w:val="005C51E7"/>
    <w:rsid w:val="005C541F"/>
    <w:rsid w:val="005C543D"/>
    <w:rsid w:val="005C55AF"/>
    <w:rsid w:val="005C55CD"/>
    <w:rsid w:val="005C5636"/>
    <w:rsid w:val="005C5836"/>
    <w:rsid w:val="005C5983"/>
    <w:rsid w:val="005C59F8"/>
    <w:rsid w:val="005C5A56"/>
    <w:rsid w:val="005C5AD4"/>
    <w:rsid w:val="005C5AF2"/>
    <w:rsid w:val="005C5C35"/>
    <w:rsid w:val="005C5D8B"/>
    <w:rsid w:val="005C5DCD"/>
    <w:rsid w:val="005C5E64"/>
    <w:rsid w:val="005C5F63"/>
    <w:rsid w:val="005C6279"/>
    <w:rsid w:val="005C62CB"/>
    <w:rsid w:val="005C63DB"/>
    <w:rsid w:val="005C63DD"/>
    <w:rsid w:val="005C643D"/>
    <w:rsid w:val="005C64A9"/>
    <w:rsid w:val="005C6522"/>
    <w:rsid w:val="005C679A"/>
    <w:rsid w:val="005C684E"/>
    <w:rsid w:val="005C6938"/>
    <w:rsid w:val="005C6CD2"/>
    <w:rsid w:val="005C6D47"/>
    <w:rsid w:val="005C6DB0"/>
    <w:rsid w:val="005C739F"/>
    <w:rsid w:val="005C746D"/>
    <w:rsid w:val="005C74A9"/>
    <w:rsid w:val="005C74E8"/>
    <w:rsid w:val="005C75B5"/>
    <w:rsid w:val="005C75CE"/>
    <w:rsid w:val="005C7755"/>
    <w:rsid w:val="005C7893"/>
    <w:rsid w:val="005C79B3"/>
    <w:rsid w:val="005C7A2E"/>
    <w:rsid w:val="005C7B41"/>
    <w:rsid w:val="005C7B9E"/>
    <w:rsid w:val="005C7C5F"/>
    <w:rsid w:val="005C7D69"/>
    <w:rsid w:val="005C7DD9"/>
    <w:rsid w:val="005C7F67"/>
    <w:rsid w:val="005D0048"/>
    <w:rsid w:val="005D01C4"/>
    <w:rsid w:val="005D02A7"/>
    <w:rsid w:val="005D02D0"/>
    <w:rsid w:val="005D02D7"/>
    <w:rsid w:val="005D0301"/>
    <w:rsid w:val="005D0531"/>
    <w:rsid w:val="005D05EE"/>
    <w:rsid w:val="005D085A"/>
    <w:rsid w:val="005D086F"/>
    <w:rsid w:val="005D097C"/>
    <w:rsid w:val="005D09BC"/>
    <w:rsid w:val="005D0BF2"/>
    <w:rsid w:val="005D0DC2"/>
    <w:rsid w:val="005D0DE0"/>
    <w:rsid w:val="005D0F84"/>
    <w:rsid w:val="005D1016"/>
    <w:rsid w:val="005D1116"/>
    <w:rsid w:val="005D1123"/>
    <w:rsid w:val="005D1203"/>
    <w:rsid w:val="005D12CB"/>
    <w:rsid w:val="005D1443"/>
    <w:rsid w:val="005D144F"/>
    <w:rsid w:val="005D1676"/>
    <w:rsid w:val="005D16DD"/>
    <w:rsid w:val="005D171C"/>
    <w:rsid w:val="005D1782"/>
    <w:rsid w:val="005D178D"/>
    <w:rsid w:val="005D17FC"/>
    <w:rsid w:val="005D180F"/>
    <w:rsid w:val="005D1838"/>
    <w:rsid w:val="005D18EE"/>
    <w:rsid w:val="005D1A54"/>
    <w:rsid w:val="005D1BB5"/>
    <w:rsid w:val="005D1BCC"/>
    <w:rsid w:val="005D1BFF"/>
    <w:rsid w:val="005D1C72"/>
    <w:rsid w:val="005D1CA2"/>
    <w:rsid w:val="005D1E1E"/>
    <w:rsid w:val="005D1E3D"/>
    <w:rsid w:val="005D1EEB"/>
    <w:rsid w:val="005D1EF8"/>
    <w:rsid w:val="005D1F9C"/>
    <w:rsid w:val="005D221C"/>
    <w:rsid w:val="005D22B5"/>
    <w:rsid w:val="005D2316"/>
    <w:rsid w:val="005D2344"/>
    <w:rsid w:val="005D235E"/>
    <w:rsid w:val="005D2446"/>
    <w:rsid w:val="005D2503"/>
    <w:rsid w:val="005D2512"/>
    <w:rsid w:val="005D25AF"/>
    <w:rsid w:val="005D25FA"/>
    <w:rsid w:val="005D266A"/>
    <w:rsid w:val="005D26ED"/>
    <w:rsid w:val="005D282D"/>
    <w:rsid w:val="005D2970"/>
    <w:rsid w:val="005D298F"/>
    <w:rsid w:val="005D2A94"/>
    <w:rsid w:val="005D2BFD"/>
    <w:rsid w:val="005D2C3E"/>
    <w:rsid w:val="005D2C89"/>
    <w:rsid w:val="005D2D28"/>
    <w:rsid w:val="005D2D7C"/>
    <w:rsid w:val="005D2FA5"/>
    <w:rsid w:val="005D3245"/>
    <w:rsid w:val="005D333C"/>
    <w:rsid w:val="005D339D"/>
    <w:rsid w:val="005D34B2"/>
    <w:rsid w:val="005D36D1"/>
    <w:rsid w:val="005D3FFB"/>
    <w:rsid w:val="005D40D8"/>
    <w:rsid w:val="005D40FB"/>
    <w:rsid w:val="005D414D"/>
    <w:rsid w:val="005D41B1"/>
    <w:rsid w:val="005D4370"/>
    <w:rsid w:val="005D463A"/>
    <w:rsid w:val="005D4648"/>
    <w:rsid w:val="005D4694"/>
    <w:rsid w:val="005D4709"/>
    <w:rsid w:val="005D4741"/>
    <w:rsid w:val="005D495C"/>
    <w:rsid w:val="005D499B"/>
    <w:rsid w:val="005D4B57"/>
    <w:rsid w:val="005D4B6C"/>
    <w:rsid w:val="005D4D36"/>
    <w:rsid w:val="005D4FFF"/>
    <w:rsid w:val="005D5017"/>
    <w:rsid w:val="005D529A"/>
    <w:rsid w:val="005D557B"/>
    <w:rsid w:val="005D5584"/>
    <w:rsid w:val="005D5610"/>
    <w:rsid w:val="005D56D7"/>
    <w:rsid w:val="005D5833"/>
    <w:rsid w:val="005D593F"/>
    <w:rsid w:val="005D5A2F"/>
    <w:rsid w:val="005D5A53"/>
    <w:rsid w:val="005D5B40"/>
    <w:rsid w:val="005D5B5A"/>
    <w:rsid w:val="005D5B82"/>
    <w:rsid w:val="005D5BCD"/>
    <w:rsid w:val="005D5C8F"/>
    <w:rsid w:val="005D5E34"/>
    <w:rsid w:val="005D5FE0"/>
    <w:rsid w:val="005D6108"/>
    <w:rsid w:val="005D618B"/>
    <w:rsid w:val="005D62B0"/>
    <w:rsid w:val="005D62F9"/>
    <w:rsid w:val="005D6331"/>
    <w:rsid w:val="005D6371"/>
    <w:rsid w:val="005D63AD"/>
    <w:rsid w:val="005D63EA"/>
    <w:rsid w:val="005D6400"/>
    <w:rsid w:val="005D654B"/>
    <w:rsid w:val="005D657F"/>
    <w:rsid w:val="005D6645"/>
    <w:rsid w:val="005D664A"/>
    <w:rsid w:val="005D6666"/>
    <w:rsid w:val="005D671A"/>
    <w:rsid w:val="005D677D"/>
    <w:rsid w:val="005D6805"/>
    <w:rsid w:val="005D6989"/>
    <w:rsid w:val="005D6AB9"/>
    <w:rsid w:val="005D6ACF"/>
    <w:rsid w:val="005D6CB3"/>
    <w:rsid w:val="005D6E49"/>
    <w:rsid w:val="005D7033"/>
    <w:rsid w:val="005D7090"/>
    <w:rsid w:val="005D7497"/>
    <w:rsid w:val="005D75E6"/>
    <w:rsid w:val="005D769E"/>
    <w:rsid w:val="005D76EC"/>
    <w:rsid w:val="005D77A2"/>
    <w:rsid w:val="005D77BC"/>
    <w:rsid w:val="005D79D2"/>
    <w:rsid w:val="005D79F7"/>
    <w:rsid w:val="005D7C1D"/>
    <w:rsid w:val="005D7D7A"/>
    <w:rsid w:val="005D7E1A"/>
    <w:rsid w:val="005D7E94"/>
    <w:rsid w:val="005D7F38"/>
    <w:rsid w:val="005D969B"/>
    <w:rsid w:val="005E0344"/>
    <w:rsid w:val="005E037A"/>
    <w:rsid w:val="005E0475"/>
    <w:rsid w:val="005E06C5"/>
    <w:rsid w:val="005E06EB"/>
    <w:rsid w:val="005E0738"/>
    <w:rsid w:val="005E0C66"/>
    <w:rsid w:val="005E0CCA"/>
    <w:rsid w:val="005E0CEB"/>
    <w:rsid w:val="005E0EAD"/>
    <w:rsid w:val="005E0F10"/>
    <w:rsid w:val="005E10EC"/>
    <w:rsid w:val="005E1201"/>
    <w:rsid w:val="005E122C"/>
    <w:rsid w:val="005E126A"/>
    <w:rsid w:val="005E1354"/>
    <w:rsid w:val="005E13B8"/>
    <w:rsid w:val="005E14D8"/>
    <w:rsid w:val="005E1589"/>
    <w:rsid w:val="005E170A"/>
    <w:rsid w:val="005E1835"/>
    <w:rsid w:val="005E191E"/>
    <w:rsid w:val="005E197C"/>
    <w:rsid w:val="005E19EC"/>
    <w:rsid w:val="005E1A9E"/>
    <w:rsid w:val="005E1BA7"/>
    <w:rsid w:val="005E1DD1"/>
    <w:rsid w:val="005E1E93"/>
    <w:rsid w:val="005E1EA2"/>
    <w:rsid w:val="005E1F3D"/>
    <w:rsid w:val="005E215B"/>
    <w:rsid w:val="005E222C"/>
    <w:rsid w:val="005E23D5"/>
    <w:rsid w:val="005E244A"/>
    <w:rsid w:val="005E245A"/>
    <w:rsid w:val="005E257D"/>
    <w:rsid w:val="005E2599"/>
    <w:rsid w:val="005E2793"/>
    <w:rsid w:val="005E27BA"/>
    <w:rsid w:val="005E2902"/>
    <w:rsid w:val="005E2A0D"/>
    <w:rsid w:val="005E2A88"/>
    <w:rsid w:val="005E2DEA"/>
    <w:rsid w:val="005E2EF1"/>
    <w:rsid w:val="005E2F43"/>
    <w:rsid w:val="005E31D5"/>
    <w:rsid w:val="005E3224"/>
    <w:rsid w:val="005E346D"/>
    <w:rsid w:val="005E36D1"/>
    <w:rsid w:val="005E3822"/>
    <w:rsid w:val="005E3837"/>
    <w:rsid w:val="005E38DF"/>
    <w:rsid w:val="005E3906"/>
    <w:rsid w:val="005E3986"/>
    <w:rsid w:val="005E39E3"/>
    <w:rsid w:val="005E3ABD"/>
    <w:rsid w:val="005E3ADF"/>
    <w:rsid w:val="005E3BD2"/>
    <w:rsid w:val="005E3BF6"/>
    <w:rsid w:val="005E3C81"/>
    <w:rsid w:val="005E3CAB"/>
    <w:rsid w:val="005E3CF0"/>
    <w:rsid w:val="005E3E19"/>
    <w:rsid w:val="005E3E5B"/>
    <w:rsid w:val="005E3E78"/>
    <w:rsid w:val="005E3EFE"/>
    <w:rsid w:val="005E40A1"/>
    <w:rsid w:val="005E40F7"/>
    <w:rsid w:val="005E4116"/>
    <w:rsid w:val="005E4248"/>
    <w:rsid w:val="005E4331"/>
    <w:rsid w:val="005E4372"/>
    <w:rsid w:val="005E4514"/>
    <w:rsid w:val="005E4581"/>
    <w:rsid w:val="005E47D1"/>
    <w:rsid w:val="005E484C"/>
    <w:rsid w:val="005E4903"/>
    <w:rsid w:val="005E4911"/>
    <w:rsid w:val="005E4A73"/>
    <w:rsid w:val="005E4AD3"/>
    <w:rsid w:val="005E4AF8"/>
    <w:rsid w:val="005E4C5E"/>
    <w:rsid w:val="005E4CF1"/>
    <w:rsid w:val="005E4D3B"/>
    <w:rsid w:val="005E4D8E"/>
    <w:rsid w:val="005E4E27"/>
    <w:rsid w:val="005E4EFD"/>
    <w:rsid w:val="005E4F9D"/>
    <w:rsid w:val="005E505E"/>
    <w:rsid w:val="005E50DD"/>
    <w:rsid w:val="005E50EF"/>
    <w:rsid w:val="005E511B"/>
    <w:rsid w:val="005E5210"/>
    <w:rsid w:val="005E551E"/>
    <w:rsid w:val="005E5828"/>
    <w:rsid w:val="005E58F9"/>
    <w:rsid w:val="005E59B1"/>
    <w:rsid w:val="005E5A47"/>
    <w:rsid w:val="005E5D66"/>
    <w:rsid w:val="005E5F49"/>
    <w:rsid w:val="005E5F8C"/>
    <w:rsid w:val="005E6067"/>
    <w:rsid w:val="005E6380"/>
    <w:rsid w:val="005E6390"/>
    <w:rsid w:val="005E63BA"/>
    <w:rsid w:val="005E6656"/>
    <w:rsid w:val="005E66C7"/>
    <w:rsid w:val="005E6925"/>
    <w:rsid w:val="005E6B95"/>
    <w:rsid w:val="005E6B96"/>
    <w:rsid w:val="005E6BB6"/>
    <w:rsid w:val="005E6C5E"/>
    <w:rsid w:val="005E6C9E"/>
    <w:rsid w:val="005E6CCD"/>
    <w:rsid w:val="005E6DF0"/>
    <w:rsid w:val="005E6EF4"/>
    <w:rsid w:val="005E6F60"/>
    <w:rsid w:val="005E6FB9"/>
    <w:rsid w:val="005E70DE"/>
    <w:rsid w:val="005E726D"/>
    <w:rsid w:val="005E72BE"/>
    <w:rsid w:val="005E72C8"/>
    <w:rsid w:val="005E75C6"/>
    <w:rsid w:val="005E75CD"/>
    <w:rsid w:val="005E762B"/>
    <w:rsid w:val="005E762D"/>
    <w:rsid w:val="005E76F9"/>
    <w:rsid w:val="005E7705"/>
    <w:rsid w:val="005E7865"/>
    <w:rsid w:val="005E787A"/>
    <w:rsid w:val="005E7944"/>
    <w:rsid w:val="005E7C33"/>
    <w:rsid w:val="005E7D2F"/>
    <w:rsid w:val="005E7DA3"/>
    <w:rsid w:val="005E7EB5"/>
    <w:rsid w:val="005E7EBC"/>
    <w:rsid w:val="005F0171"/>
    <w:rsid w:val="005F01B3"/>
    <w:rsid w:val="005F01BB"/>
    <w:rsid w:val="005F0352"/>
    <w:rsid w:val="005F0372"/>
    <w:rsid w:val="005F03A8"/>
    <w:rsid w:val="005F0423"/>
    <w:rsid w:val="005F04AF"/>
    <w:rsid w:val="005F06C0"/>
    <w:rsid w:val="005F0900"/>
    <w:rsid w:val="005F0944"/>
    <w:rsid w:val="005F09FA"/>
    <w:rsid w:val="005F0A98"/>
    <w:rsid w:val="005F0AAC"/>
    <w:rsid w:val="005F0AB7"/>
    <w:rsid w:val="005F0B46"/>
    <w:rsid w:val="005F0B4E"/>
    <w:rsid w:val="005F0B5B"/>
    <w:rsid w:val="005F0BC3"/>
    <w:rsid w:val="005F0CA2"/>
    <w:rsid w:val="005F0DA8"/>
    <w:rsid w:val="005F0ECD"/>
    <w:rsid w:val="005F108E"/>
    <w:rsid w:val="005F124F"/>
    <w:rsid w:val="005F126F"/>
    <w:rsid w:val="005F14B7"/>
    <w:rsid w:val="005F1652"/>
    <w:rsid w:val="005F176A"/>
    <w:rsid w:val="005F1A6A"/>
    <w:rsid w:val="005F1ADD"/>
    <w:rsid w:val="005F1B0E"/>
    <w:rsid w:val="005F1FDC"/>
    <w:rsid w:val="005F201C"/>
    <w:rsid w:val="005F20A2"/>
    <w:rsid w:val="005F20B0"/>
    <w:rsid w:val="005F2348"/>
    <w:rsid w:val="005F23FB"/>
    <w:rsid w:val="005F24A1"/>
    <w:rsid w:val="005F24AF"/>
    <w:rsid w:val="005F25DC"/>
    <w:rsid w:val="005F2609"/>
    <w:rsid w:val="005F28D7"/>
    <w:rsid w:val="005F295D"/>
    <w:rsid w:val="005F2B4D"/>
    <w:rsid w:val="005F2C31"/>
    <w:rsid w:val="005F2E26"/>
    <w:rsid w:val="005F2FC3"/>
    <w:rsid w:val="005F2FC4"/>
    <w:rsid w:val="005F318D"/>
    <w:rsid w:val="005F3218"/>
    <w:rsid w:val="005F3372"/>
    <w:rsid w:val="005F338C"/>
    <w:rsid w:val="005F3407"/>
    <w:rsid w:val="005F3451"/>
    <w:rsid w:val="005F3503"/>
    <w:rsid w:val="005F370E"/>
    <w:rsid w:val="005F37D3"/>
    <w:rsid w:val="005F3AA6"/>
    <w:rsid w:val="005F3EBD"/>
    <w:rsid w:val="005F3F13"/>
    <w:rsid w:val="005F3F61"/>
    <w:rsid w:val="005F3F77"/>
    <w:rsid w:val="005F3F8F"/>
    <w:rsid w:val="005F41E1"/>
    <w:rsid w:val="005F4229"/>
    <w:rsid w:val="005F427E"/>
    <w:rsid w:val="005F4353"/>
    <w:rsid w:val="005F43FF"/>
    <w:rsid w:val="005F44C7"/>
    <w:rsid w:val="005F46F8"/>
    <w:rsid w:val="005F4876"/>
    <w:rsid w:val="005F498A"/>
    <w:rsid w:val="005F4AF4"/>
    <w:rsid w:val="005F4CC8"/>
    <w:rsid w:val="005F4D1F"/>
    <w:rsid w:val="005F4D2A"/>
    <w:rsid w:val="005F4D7D"/>
    <w:rsid w:val="005F4F36"/>
    <w:rsid w:val="005F5046"/>
    <w:rsid w:val="005F50C4"/>
    <w:rsid w:val="005F5106"/>
    <w:rsid w:val="005F5113"/>
    <w:rsid w:val="005F516C"/>
    <w:rsid w:val="005F556C"/>
    <w:rsid w:val="005F55FD"/>
    <w:rsid w:val="005F56EB"/>
    <w:rsid w:val="005F571E"/>
    <w:rsid w:val="005F57E3"/>
    <w:rsid w:val="005F598A"/>
    <w:rsid w:val="005F59D4"/>
    <w:rsid w:val="005F5B97"/>
    <w:rsid w:val="005F5BF1"/>
    <w:rsid w:val="005F5BF4"/>
    <w:rsid w:val="005F5CA2"/>
    <w:rsid w:val="005F5D09"/>
    <w:rsid w:val="005F5D22"/>
    <w:rsid w:val="005F5D4C"/>
    <w:rsid w:val="005F5E54"/>
    <w:rsid w:val="005F6056"/>
    <w:rsid w:val="005F6189"/>
    <w:rsid w:val="005F6197"/>
    <w:rsid w:val="005F638B"/>
    <w:rsid w:val="005F6476"/>
    <w:rsid w:val="005F6527"/>
    <w:rsid w:val="005F6570"/>
    <w:rsid w:val="005F663B"/>
    <w:rsid w:val="005F666B"/>
    <w:rsid w:val="005F6822"/>
    <w:rsid w:val="005F6836"/>
    <w:rsid w:val="005F69E7"/>
    <w:rsid w:val="005F6A5E"/>
    <w:rsid w:val="005F6B5B"/>
    <w:rsid w:val="005F6BF7"/>
    <w:rsid w:val="005F6D67"/>
    <w:rsid w:val="005F6F0D"/>
    <w:rsid w:val="005F70A6"/>
    <w:rsid w:val="005F719B"/>
    <w:rsid w:val="005F7307"/>
    <w:rsid w:val="005F746F"/>
    <w:rsid w:val="005F767B"/>
    <w:rsid w:val="005F76EA"/>
    <w:rsid w:val="005F76F0"/>
    <w:rsid w:val="005F76F2"/>
    <w:rsid w:val="005F781D"/>
    <w:rsid w:val="005F78C6"/>
    <w:rsid w:val="005F7905"/>
    <w:rsid w:val="005F791A"/>
    <w:rsid w:val="005F794C"/>
    <w:rsid w:val="005F7954"/>
    <w:rsid w:val="005F797E"/>
    <w:rsid w:val="005F79C0"/>
    <w:rsid w:val="005F7B76"/>
    <w:rsid w:val="005F7B93"/>
    <w:rsid w:val="005F7CCA"/>
    <w:rsid w:val="005F7DCF"/>
    <w:rsid w:val="005F7E72"/>
    <w:rsid w:val="005F7F32"/>
    <w:rsid w:val="005F7F6A"/>
    <w:rsid w:val="00600064"/>
    <w:rsid w:val="006001BE"/>
    <w:rsid w:val="00600226"/>
    <w:rsid w:val="006002DD"/>
    <w:rsid w:val="006003A9"/>
    <w:rsid w:val="006003FB"/>
    <w:rsid w:val="00600575"/>
    <w:rsid w:val="006005F2"/>
    <w:rsid w:val="0060062D"/>
    <w:rsid w:val="0060063B"/>
    <w:rsid w:val="00600849"/>
    <w:rsid w:val="0060098F"/>
    <w:rsid w:val="00600B93"/>
    <w:rsid w:val="00600BC8"/>
    <w:rsid w:val="00600CEB"/>
    <w:rsid w:val="00600D20"/>
    <w:rsid w:val="00600D57"/>
    <w:rsid w:val="00600F10"/>
    <w:rsid w:val="00600FB4"/>
    <w:rsid w:val="00601058"/>
    <w:rsid w:val="006010B9"/>
    <w:rsid w:val="0060112E"/>
    <w:rsid w:val="0060136D"/>
    <w:rsid w:val="0060136F"/>
    <w:rsid w:val="00601503"/>
    <w:rsid w:val="006015EB"/>
    <w:rsid w:val="006015EE"/>
    <w:rsid w:val="006017F8"/>
    <w:rsid w:val="0060187D"/>
    <w:rsid w:val="006019B3"/>
    <w:rsid w:val="00601AFE"/>
    <w:rsid w:val="00601CA9"/>
    <w:rsid w:val="00601FC0"/>
    <w:rsid w:val="006020A5"/>
    <w:rsid w:val="0060218B"/>
    <w:rsid w:val="006021A6"/>
    <w:rsid w:val="00602290"/>
    <w:rsid w:val="00602352"/>
    <w:rsid w:val="0060248C"/>
    <w:rsid w:val="00602578"/>
    <w:rsid w:val="006025D0"/>
    <w:rsid w:val="00602689"/>
    <w:rsid w:val="006027BB"/>
    <w:rsid w:val="006028DD"/>
    <w:rsid w:val="006029DB"/>
    <w:rsid w:val="00602EAB"/>
    <w:rsid w:val="00602EBD"/>
    <w:rsid w:val="00602F27"/>
    <w:rsid w:val="00603004"/>
    <w:rsid w:val="006030BE"/>
    <w:rsid w:val="00603154"/>
    <w:rsid w:val="0060316F"/>
    <w:rsid w:val="0060344D"/>
    <w:rsid w:val="0060346B"/>
    <w:rsid w:val="006034C3"/>
    <w:rsid w:val="006034C8"/>
    <w:rsid w:val="006034D6"/>
    <w:rsid w:val="006034DB"/>
    <w:rsid w:val="00603511"/>
    <w:rsid w:val="0060359D"/>
    <w:rsid w:val="0060363E"/>
    <w:rsid w:val="006036AC"/>
    <w:rsid w:val="00603981"/>
    <w:rsid w:val="006039F7"/>
    <w:rsid w:val="00603A90"/>
    <w:rsid w:val="00603C29"/>
    <w:rsid w:val="00603CCB"/>
    <w:rsid w:val="00603CDD"/>
    <w:rsid w:val="00603D5C"/>
    <w:rsid w:val="00603DA5"/>
    <w:rsid w:val="00603E13"/>
    <w:rsid w:val="00603E17"/>
    <w:rsid w:val="00603EB1"/>
    <w:rsid w:val="00603EE3"/>
    <w:rsid w:val="0060418E"/>
    <w:rsid w:val="0060423B"/>
    <w:rsid w:val="00604426"/>
    <w:rsid w:val="006046F7"/>
    <w:rsid w:val="00604963"/>
    <w:rsid w:val="00604A5C"/>
    <w:rsid w:val="00604ADE"/>
    <w:rsid w:val="00604ADF"/>
    <w:rsid w:val="00604B13"/>
    <w:rsid w:val="00604B7C"/>
    <w:rsid w:val="00604BC3"/>
    <w:rsid w:val="00604C5E"/>
    <w:rsid w:val="00604D16"/>
    <w:rsid w:val="00604D4B"/>
    <w:rsid w:val="00604E52"/>
    <w:rsid w:val="0060508F"/>
    <w:rsid w:val="006051E7"/>
    <w:rsid w:val="0060527A"/>
    <w:rsid w:val="006052D4"/>
    <w:rsid w:val="00605315"/>
    <w:rsid w:val="00605464"/>
    <w:rsid w:val="0060546A"/>
    <w:rsid w:val="00605611"/>
    <w:rsid w:val="0060578C"/>
    <w:rsid w:val="00605864"/>
    <w:rsid w:val="006058C6"/>
    <w:rsid w:val="0060593A"/>
    <w:rsid w:val="00605AF1"/>
    <w:rsid w:val="00605AFE"/>
    <w:rsid w:val="00605B67"/>
    <w:rsid w:val="00605DC9"/>
    <w:rsid w:val="00605F8C"/>
    <w:rsid w:val="006060D1"/>
    <w:rsid w:val="00606130"/>
    <w:rsid w:val="0060616C"/>
    <w:rsid w:val="006063EB"/>
    <w:rsid w:val="00606500"/>
    <w:rsid w:val="00606633"/>
    <w:rsid w:val="0060666E"/>
    <w:rsid w:val="006066CC"/>
    <w:rsid w:val="006067BF"/>
    <w:rsid w:val="0060687E"/>
    <w:rsid w:val="00606A13"/>
    <w:rsid w:val="00606A9C"/>
    <w:rsid w:val="00606B5F"/>
    <w:rsid w:val="00606B79"/>
    <w:rsid w:val="00606BFA"/>
    <w:rsid w:val="00606C4C"/>
    <w:rsid w:val="00606D4D"/>
    <w:rsid w:val="006072D8"/>
    <w:rsid w:val="006074A6"/>
    <w:rsid w:val="00607808"/>
    <w:rsid w:val="006078AA"/>
    <w:rsid w:val="006078E4"/>
    <w:rsid w:val="006078FA"/>
    <w:rsid w:val="00607920"/>
    <w:rsid w:val="00607932"/>
    <w:rsid w:val="0060796D"/>
    <w:rsid w:val="0060799A"/>
    <w:rsid w:val="00607A2A"/>
    <w:rsid w:val="00607B73"/>
    <w:rsid w:val="00607E73"/>
    <w:rsid w:val="00607ED1"/>
    <w:rsid w:val="006101B9"/>
    <w:rsid w:val="00610315"/>
    <w:rsid w:val="0061032B"/>
    <w:rsid w:val="00610335"/>
    <w:rsid w:val="006103C9"/>
    <w:rsid w:val="006103E2"/>
    <w:rsid w:val="0061047A"/>
    <w:rsid w:val="006104CB"/>
    <w:rsid w:val="00610669"/>
    <w:rsid w:val="00610B5F"/>
    <w:rsid w:val="00610BD0"/>
    <w:rsid w:val="00610C16"/>
    <w:rsid w:val="00610CDB"/>
    <w:rsid w:val="00610E0C"/>
    <w:rsid w:val="0061100C"/>
    <w:rsid w:val="00611329"/>
    <w:rsid w:val="00611339"/>
    <w:rsid w:val="0061137E"/>
    <w:rsid w:val="0061147B"/>
    <w:rsid w:val="006115CB"/>
    <w:rsid w:val="006115D8"/>
    <w:rsid w:val="0061167A"/>
    <w:rsid w:val="00611A1A"/>
    <w:rsid w:val="00611A25"/>
    <w:rsid w:val="00611A9A"/>
    <w:rsid w:val="00611AF9"/>
    <w:rsid w:val="00611B24"/>
    <w:rsid w:val="00611B9F"/>
    <w:rsid w:val="00611C30"/>
    <w:rsid w:val="00611C5C"/>
    <w:rsid w:val="00611C60"/>
    <w:rsid w:val="00611E36"/>
    <w:rsid w:val="00611E48"/>
    <w:rsid w:val="00611E95"/>
    <w:rsid w:val="00611F25"/>
    <w:rsid w:val="0061210F"/>
    <w:rsid w:val="00612316"/>
    <w:rsid w:val="006123D6"/>
    <w:rsid w:val="006124A1"/>
    <w:rsid w:val="00612564"/>
    <w:rsid w:val="006125C2"/>
    <w:rsid w:val="006125E5"/>
    <w:rsid w:val="00612B87"/>
    <w:rsid w:val="00612BD0"/>
    <w:rsid w:val="00612C67"/>
    <w:rsid w:val="00612D1F"/>
    <w:rsid w:val="00612EFA"/>
    <w:rsid w:val="00612F05"/>
    <w:rsid w:val="00613001"/>
    <w:rsid w:val="0061301F"/>
    <w:rsid w:val="0061305E"/>
    <w:rsid w:val="00613093"/>
    <w:rsid w:val="00613135"/>
    <w:rsid w:val="00613313"/>
    <w:rsid w:val="0061338B"/>
    <w:rsid w:val="006133C2"/>
    <w:rsid w:val="00613429"/>
    <w:rsid w:val="00613435"/>
    <w:rsid w:val="00613443"/>
    <w:rsid w:val="0061364A"/>
    <w:rsid w:val="0061388B"/>
    <w:rsid w:val="0061391C"/>
    <w:rsid w:val="00613934"/>
    <w:rsid w:val="006139C8"/>
    <w:rsid w:val="006139E8"/>
    <w:rsid w:val="00613A3B"/>
    <w:rsid w:val="00613A90"/>
    <w:rsid w:val="00613CA3"/>
    <w:rsid w:val="00613CDD"/>
    <w:rsid w:val="00613DAD"/>
    <w:rsid w:val="00613E9C"/>
    <w:rsid w:val="00613EFB"/>
    <w:rsid w:val="00614029"/>
    <w:rsid w:val="00614065"/>
    <w:rsid w:val="0061428C"/>
    <w:rsid w:val="006143CE"/>
    <w:rsid w:val="0061444A"/>
    <w:rsid w:val="0061449D"/>
    <w:rsid w:val="00614552"/>
    <w:rsid w:val="00614591"/>
    <w:rsid w:val="00614604"/>
    <w:rsid w:val="0061464F"/>
    <w:rsid w:val="006146E7"/>
    <w:rsid w:val="006146F8"/>
    <w:rsid w:val="00614709"/>
    <w:rsid w:val="00614743"/>
    <w:rsid w:val="0061481D"/>
    <w:rsid w:val="00614943"/>
    <w:rsid w:val="0061495D"/>
    <w:rsid w:val="0061496F"/>
    <w:rsid w:val="00614BA7"/>
    <w:rsid w:val="00614C0D"/>
    <w:rsid w:val="00614C46"/>
    <w:rsid w:val="00614C58"/>
    <w:rsid w:val="00614D91"/>
    <w:rsid w:val="006151C5"/>
    <w:rsid w:val="006151C6"/>
    <w:rsid w:val="0061540F"/>
    <w:rsid w:val="0061559F"/>
    <w:rsid w:val="0061569C"/>
    <w:rsid w:val="00615761"/>
    <w:rsid w:val="00615A2D"/>
    <w:rsid w:val="00615A72"/>
    <w:rsid w:val="00615AB1"/>
    <w:rsid w:val="00615BDA"/>
    <w:rsid w:val="00615C3F"/>
    <w:rsid w:val="00615D4E"/>
    <w:rsid w:val="0061637A"/>
    <w:rsid w:val="0061659B"/>
    <w:rsid w:val="0061694E"/>
    <w:rsid w:val="00616C0C"/>
    <w:rsid w:val="00616C0D"/>
    <w:rsid w:val="00616C8C"/>
    <w:rsid w:val="00617040"/>
    <w:rsid w:val="0061711C"/>
    <w:rsid w:val="0061726B"/>
    <w:rsid w:val="0061733D"/>
    <w:rsid w:val="006173A7"/>
    <w:rsid w:val="0061756A"/>
    <w:rsid w:val="006176B1"/>
    <w:rsid w:val="00617826"/>
    <w:rsid w:val="006179E0"/>
    <w:rsid w:val="00617A15"/>
    <w:rsid w:val="00617A30"/>
    <w:rsid w:val="00617A45"/>
    <w:rsid w:val="00617A6D"/>
    <w:rsid w:val="00617BF7"/>
    <w:rsid w:val="00617E56"/>
    <w:rsid w:val="00617E62"/>
    <w:rsid w:val="0061EE88"/>
    <w:rsid w:val="00620072"/>
    <w:rsid w:val="00620107"/>
    <w:rsid w:val="00620115"/>
    <w:rsid w:val="006201AF"/>
    <w:rsid w:val="006202B9"/>
    <w:rsid w:val="006202CF"/>
    <w:rsid w:val="006202FE"/>
    <w:rsid w:val="00620372"/>
    <w:rsid w:val="006205D6"/>
    <w:rsid w:val="0062068C"/>
    <w:rsid w:val="006207A0"/>
    <w:rsid w:val="006207EB"/>
    <w:rsid w:val="0062093C"/>
    <w:rsid w:val="00620A1D"/>
    <w:rsid w:val="00620A9B"/>
    <w:rsid w:val="00620AE8"/>
    <w:rsid w:val="00620BA7"/>
    <w:rsid w:val="00620BD3"/>
    <w:rsid w:val="00620CB9"/>
    <w:rsid w:val="00620D11"/>
    <w:rsid w:val="00620DE7"/>
    <w:rsid w:val="00620DF7"/>
    <w:rsid w:val="00620F0B"/>
    <w:rsid w:val="00620F69"/>
    <w:rsid w:val="006210B4"/>
    <w:rsid w:val="006212A2"/>
    <w:rsid w:val="006212C0"/>
    <w:rsid w:val="00621333"/>
    <w:rsid w:val="0062135A"/>
    <w:rsid w:val="0062149D"/>
    <w:rsid w:val="006214C1"/>
    <w:rsid w:val="00621620"/>
    <w:rsid w:val="006216D7"/>
    <w:rsid w:val="00621737"/>
    <w:rsid w:val="00621748"/>
    <w:rsid w:val="00621951"/>
    <w:rsid w:val="006219D7"/>
    <w:rsid w:val="00621A0B"/>
    <w:rsid w:val="00621A7B"/>
    <w:rsid w:val="00621C94"/>
    <w:rsid w:val="00621D32"/>
    <w:rsid w:val="00621DC7"/>
    <w:rsid w:val="00621E1A"/>
    <w:rsid w:val="00621E67"/>
    <w:rsid w:val="00621EAB"/>
    <w:rsid w:val="00621F4A"/>
    <w:rsid w:val="0062232D"/>
    <w:rsid w:val="006224AC"/>
    <w:rsid w:val="00622554"/>
    <w:rsid w:val="00622654"/>
    <w:rsid w:val="006227EB"/>
    <w:rsid w:val="006228E6"/>
    <w:rsid w:val="006229BC"/>
    <w:rsid w:val="00622A75"/>
    <w:rsid w:val="00622B15"/>
    <w:rsid w:val="00622DBE"/>
    <w:rsid w:val="00622F34"/>
    <w:rsid w:val="00622F7F"/>
    <w:rsid w:val="00622F88"/>
    <w:rsid w:val="00622FC3"/>
    <w:rsid w:val="006230A6"/>
    <w:rsid w:val="00623201"/>
    <w:rsid w:val="0062326A"/>
    <w:rsid w:val="006232DC"/>
    <w:rsid w:val="00623407"/>
    <w:rsid w:val="0062349D"/>
    <w:rsid w:val="0062367C"/>
    <w:rsid w:val="0062376B"/>
    <w:rsid w:val="00623781"/>
    <w:rsid w:val="006237B2"/>
    <w:rsid w:val="00623843"/>
    <w:rsid w:val="00623A1B"/>
    <w:rsid w:val="00623A36"/>
    <w:rsid w:val="00623B2D"/>
    <w:rsid w:val="00623CC3"/>
    <w:rsid w:val="00623CC6"/>
    <w:rsid w:val="00623E73"/>
    <w:rsid w:val="00624105"/>
    <w:rsid w:val="0062414B"/>
    <w:rsid w:val="0062419E"/>
    <w:rsid w:val="0062421D"/>
    <w:rsid w:val="00624317"/>
    <w:rsid w:val="00624577"/>
    <w:rsid w:val="00624615"/>
    <w:rsid w:val="0062464C"/>
    <w:rsid w:val="00624891"/>
    <w:rsid w:val="00624932"/>
    <w:rsid w:val="0062498B"/>
    <w:rsid w:val="00624998"/>
    <w:rsid w:val="00624A11"/>
    <w:rsid w:val="00624B28"/>
    <w:rsid w:val="00624BD7"/>
    <w:rsid w:val="00624C38"/>
    <w:rsid w:val="00624C4F"/>
    <w:rsid w:val="00624D3D"/>
    <w:rsid w:val="00624E24"/>
    <w:rsid w:val="00624E25"/>
    <w:rsid w:val="00624F67"/>
    <w:rsid w:val="006250A0"/>
    <w:rsid w:val="006250DC"/>
    <w:rsid w:val="006251B7"/>
    <w:rsid w:val="006251BE"/>
    <w:rsid w:val="0062520E"/>
    <w:rsid w:val="00625259"/>
    <w:rsid w:val="006253E4"/>
    <w:rsid w:val="0062544C"/>
    <w:rsid w:val="0062554A"/>
    <w:rsid w:val="006257BC"/>
    <w:rsid w:val="00625AD4"/>
    <w:rsid w:val="00625B02"/>
    <w:rsid w:val="00625C9E"/>
    <w:rsid w:val="00625D53"/>
    <w:rsid w:val="00625E46"/>
    <w:rsid w:val="00625EFD"/>
    <w:rsid w:val="00625F87"/>
    <w:rsid w:val="00626088"/>
    <w:rsid w:val="006261FD"/>
    <w:rsid w:val="0062635F"/>
    <w:rsid w:val="006263BC"/>
    <w:rsid w:val="0062667F"/>
    <w:rsid w:val="00626772"/>
    <w:rsid w:val="00626A70"/>
    <w:rsid w:val="00626CB6"/>
    <w:rsid w:val="00626F46"/>
    <w:rsid w:val="00627544"/>
    <w:rsid w:val="00627699"/>
    <w:rsid w:val="006276E6"/>
    <w:rsid w:val="00627732"/>
    <w:rsid w:val="00627765"/>
    <w:rsid w:val="0062776C"/>
    <w:rsid w:val="006277DE"/>
    <w:rsid w:val="006277E9"/>
    <w:rsid w:val="00627933"/>
    <w:rsid w:val="00627B1F"/>
    <w:rsid w:val="00627B91"/>
    <w:rsid w:val="00627CFE"/>
    <w:rsid w:val="00627D25"/>
    <w:rsid w:val="00627D39"/>
    <w:rsid w:val="0062F95D"/>
    <w:rsid w:val="00630076"/>
    <w:rsid w:val="00630149"/>
    <w:rsid w:val="00630309"/>
    <w:rsid w:val="00630329"/>
    <w:rsid w:val="00630396"/>
    <w:rsid w:val="00630716"/>
    <w:rsid w:val="0063083D"/>
    <w:rsid w:val="00630889"/>
    <w:rsid w:val="0063094F"/>
    <w:rsid w:val="006309F4"/>
    <w:rsid w:val="00630B0F"/>
    <w:rsid w:val="00630BBB"/>
    <w:rsid w:val="00630C18"/>
    <w:rsid w:val="00630E41"/>
    <w:rsid w:val="00630E70"/>
    <w:rsid w:val="00630F14"/>
    <w:rsid w:val="00630F20"/>
    <w:rsid w:val="00630FD6"/>
    <w:rsid w:val="006310C3"/>
    <w:rsid w:val="0063118C"/>
    <w:rsid w:val="00631359"/>
    <w:rsid w:val="00631367"/>
    <w:rsid w:val="006313EC"/>
    <w:rsid w:val="00631491"/>
    <w:rsid w:val="006316FA"/>
    <w:rsid w:val="00631791"/>
    <w:rsid w:val="00631927"/>
    <w:rsid w:val="006319B3"/>
    <w:rsid w:val="00631BB3"/>
    <w:rsid w:val="00631F04"/>
    <w:rsid w:val="00631F38"/>
    <w:rsid w:val="00632057"/>
    <w:rsid w:val="00632078"/>
    <w:rsid w:val="006320D8"/>
    <w:rsid w:val="00632177"/>
    <w:rsid w:val="0063245C"/>
    <w:rsid w:val="0063247A"/>
    <w:rsid w:val="00632659"/>
    <w:rsid w:val="006326F1"/>
    <w:rsid w:val="0063273E"/>
    <w:rsid w:val="00632936"/>
    <w:rsid w:val="00632A1E"/>
    <w:rsid w:val="00632A6D"/>
    <w:rsid w:val="00632B31"/>
    <w:rsid w:val="00632B64"/>
    <w:rsid w:val="00632D80"/>
    <w:rsid w:val="00632EAB"/>
    <w:rsid w:val="00632F78"/>
    <w:rsid w:val="00633075"/>
    <w:rsid w:val="00633099"/>
    <w:rsid w:val="006330CD"/>
    <w:rsid w:val="0063312A"/>
    <w:rsid w:val="0063312E"/>
    <w:rsid w:val="006331AE"/>
    <w:rsid w:val="00633415"/>
    <w:rsid w:val="00633543"/>
    <w:rsid w:val="0063367A"/>
    <w:rsid w:val="0063367B"/>
    <w:rsid w:val="006336AA"/>
    <w:rsid w:val="0063371D"/>
    <w:rsid w:val="00633957"/>
    <w:rsid w:val="006339D1"/>
    <w:rsid w:val="00633B03"/>
    <w:rsid w:val="00633BB3"/>
    <w:rsid w:val="00633BB8"/>
    <w:rsid w:val="00633BC7"/>
    <w:rsid w:val="00633C4C"/>
    <w:rsid w:val="00633E29"/>
    <w:rsid w:val="00633F25"/>
    <w:rsid w:val="00634281"/>
    <w:rsid w:val="006344AB"/>
    <w:rsid w:val="006344CF"/>
    <w:rsid w:val="0063452B"/>
    <w:rsid w:val="006345F2"/>
    <w:rsid w:val="006347A7"/>
    <w:rsid w:val="00634978"/>
    <w:rsid w:val="006349F9"/>
    <w:rsid w:val="00634C00"/>
    <w:rsid w:val="00634CD0"/>
    <w:rsid w:val="00634DD1"/>
    <w:rsid w:val="00634DF4"/>
    <w:rsid w:val="00634E2D"/>
    <w:rsid w:val="00634E9D"/>
    <w:rsid w:val="00634F4A"/>
    <w:rsid w:val="0063516F"/>
    <w:rsid w:val="00635185"/>
    <w:rsid w:val="0063528C"/>
    <w:rsid w:val="0063556C"/>
    <w:rsid w:val="006355C6"/>
    <w:rsid w:val="00635801"/>
    <w:rsid w:val="00635884"/>
    <w:rsid w:val="00635940"/>
    <w:rsid w:val="00635AB6"/>
    <w:rsid w:val="00635AEC"/>
    <w:rsid w:val="00635B67"/>
    <w:rsid w:val="00635C50"/>
    <w:rsid w:val="00635CD8"/>
    <w:rsid w:val="00635E04"/>
    <w:rsid w:val="00635E36"/>
    <w:rsid w:val="00635F0E"/>
    <w:rsid w:val="00635FD4"/>
    <w:rsid w:val="006360AA"/>
    <w:rsid w:val="0063621E"/>
    <w:rsid w:val="00636341"/>
    <w:rsid w:val="0063643E"/>
    <w:rsid w:val="0063644F"/>
    <w:rsid w:val="0063647A"/>
    <w:rsid w:val="0063651E"/>
    <w:rsid w:val="0063656E"/>
    <w:rsid w:val="006365A7"/>
    <w:rsid w:val="006365D3"/>
    <w:rsid w:val="0063662E"/>
    <w:rsid w:val="00636654"/>
    <w:rsid w:val="0063679A"/>
    <w:rsid w:val="00636819"/>
    <w:rsid w:val="006368BC"/>
    <w:rsid w:val="006368F6"/>
    <w:rsid w:val="00636A0C"/>
    <w:rsid w:val="00636AE7"/>
    <w:rsid w:val="00636B38"/>
    <w:rsid w:val="00636CBA"/>
    <w:rsid w:val="00636D8B"/>
    <w:rsid w:val="00636DB0"/>
    <w:rsid w:val="00636DBD"/>
    <w:rsid w:val="00636E3A"/>
    <w:rsid w:val="00636E85"/>
    <w:rsid w:val="00636EFA"/>
    <w:rsid w:val="00636F90"/>
    <w:rsid w:val="0063705E"/>
    <w:rsid w:val="006370B7"/>
    <w:rsid w:val="00637103"/>
    <w:rsid w:val="00637154"/>
    <w:rsid w:val="00637172"/>
    <w:rsid w:val="0063723A"/>
    <w:rsid w:val="0063726F"/>
    <w:rsid w:val="00637391"/>
    <w:rsid w:val="006373B9"/>
    <w:rsid w:val="006373E2"/>
    <w:rsid w:val="0063740A"/>
    <w:rsid w:val="0063751F"/>
    <w:rsid w:val="006376C8"/>
    <w:rsid w:val="006376D5"/>
    <w:rsid w:val="0063780F"/>
    <w:rsid w:val="00637931"/>
    <w:rsid w:val="00637BB8"/>
    <w:rsid w:val="00637D35"/>
    <w:rsid w:val="00637FE9"/>
    <w:rsid w:val="00640000"/>
    <w:rsid w:val="0064002F"/>
    <w:rsid w:val="006401D3"/>
    <w:rsid w:val="00640222"/>
    <w:rsid w:val="0064022B"/>
    <w:rsid w:val="00640252"/>
    <w:rsid w:val="00640344"/>
    <w:rsid w:val="00640371"/>
    <w:rsid w:val="00640395"/>
    <w:rsid w:val="006404CD"/>
    <w:rsid w:val="006406AE"/>
    <w:rsid w:val="00640780"/>
    <w:rsid w:val="006407EA"/>
    <w:rsid w:val="00640897"/>
    <w:rsid w:val="006408F9"/>
    <w:rsid w:val="00640960"/>
    <w:rsid w:val="00640A10"/>
    <w:rsid w:val="00640A46"/>
    <w:rsid w:val="00640A55"/>
    <w:rsid w:val="00640B7D"/>
    <w:rsid w:val="00640C7A"/>
    <w:rsid w:val="00640CF2"/>
    <w:rsid w:val="00640D0B"/>
    <w:rsid w:val="00640F54"/>
    <w:rsid w:val="0064114B"/>
    <w:rsid w:val="006411AA"/>
    <w:rsid w:val="006411E6"/>
    <w:rsid w:val="0064122E"/>
    <w:rsid w:val="006414C6"/>
    <w:rsid w:val="006414F4"/>
    <w:rsid w:val="00641579"/>
    <w:rsid w:val="00641660"/>
    <w:rsid w:val="006416A3"/>
    <w:rsid w:val="00641788"/>
    <w:rsid w:val="00641845"/>
    <w:rsid w:val="006418C4"/>
    <w:rsid w:val="006419CA"/>
    <w:rsid w:val="00641B21"/>
    <w:rsid w:val="00641BCD"/>
    <w:rsid w:val="00641CD7"/>
    <w:rsid w:val="00641E29"/>
    <w:rsid w:val="00641E59"/>
    <w:rsid w:val="00641E96"/>
    <w:rsid w:val="00641F4B"/>
    <w:rsid w:val="00642045"/>
    <w:rsid w:val="006422B6"/>
    <w:rsid w:val="006423ED"/>
    <w:rsid w:val="00642440"/>
    <w:rsid w:val="006424AD"/>
    <w:rsid w:val="00642607"/>
    <w:rsid w:val="006426B5"/>
    <w:rsid w:val="0064270D"/>
    <w:rsid w:val="00642713"/>
    <w:rsid w:val="0064279D"/>
    <w:rsid w:val="006429EA"/>
    <w:rsid w:val="00642A33"/>
    <w:rsid w:val="00642A91"/>
    <w:rsid w:val="00642EE0"/>
    <w:rsid w:val="00643016"/>
    <w:rsid w:val="006430E8"/>
    <w:rsid w:val="00643172"/>
    <w:rsid w:val="006433A0"/>
    <w:rsid w:val="006434D1"/>
    <w:rsid w:val="0064353D"/>
    <w:rsid w:val="00643601"/>
    <w:rsid w:val="00643681"/>
    <w:rsid w:val="00643888"/>
    <w:rsid w:val="00643994"/>
    <w:rsid w:val="00643A1A"/>
    <w:rsid w:val="00643D90"/>
    <w:rsid w:val="00643D92"/>
    <w:rsid w:val="00643DFB"/>
    <w:rsid w:val="00643EC6"/>
    <w:rsid w:val="00644029"/>
    <w:rsid w:val="00644192"/>
    <w:rsid w:val="00644197"/>
    <w:rsid w:val="00644554"/>
    <w:rsid w:val="006446E4"/>
    <w:rsid w:val="00644964"/>
    <w:rsid w:val="006449DF"/>
    <w:rsid w:val="00644A7A"/>
    <w:rsid w:val="00644C04"/>
    <w:rsid w:val="00644C56"/>
    <w:rsid w:val="00644CC5"/>
    <w:rsid w:val="00644F3B"/>
    <w:rsid w:val="00644FA7"/>
    <w:rsid w:val="00644FDB"/>
    <w:rsid w:val="00644FEA"/>
    <w:rsid w:val="006450AE"/>
    <w:rsid w:val="00645104"/>
    <w:rsid w:val="0064525C"/>
    <w:rsid w:val="006453E4"/>
    <w:rsid w:val="00645448"/>
    <w:rsid w:val="00645529"/>
    <w:rsid w:val="0064555D"/>
    <w:rsid w:val="0064560B"/>
    <w:rsid w:val="0064574B"/>
    <w:rsid w:val="006457C8"/>
    <w:rsid w:val="006457F3"/>
    <w:rsid w:val="006458B3"/>
    <w:rsid w:val="006459CB"/>
    <w:rsid w:val="00645A75"/>
    <w:rsid w:val="00645BD5"/>
    <w:rsid w:val="00645D21"/>
    <w:rsid w:val="00645E50"/>
    <w:rsid w:val="00645E63"/>
    <w:rsid w:val="00645F46"/>
    <w:rsid w:val="006460C3"/>
    <w:rsid w:val="00646199"/>
    <w:rsid w:val="006461C4"/>
    <w:rsid w:val="00646237"/>
    <w:rsid w:val="00646271"/>
    <w:rsid w:val="006462CE"/>
    <w:rsid w:val="00646383"/>
    <w:rsid w:val="006464DB"/>
    <w:rsid w:val="0064676F"/>
    <w:rsid w:val="0064681D"/>
    <w:rsid w:val="00646964"/>
    <w:rsid w:val="00646D8A"/>
    <w:rsid w:val="00646DE7"/>
    <w:rsid w:val="00646FC4"/>
    <w:rsid w:val="0064700F"/>
    <w:rsid w:val="0064729A"/>
    <w:rsid w:val="00647302"/>
    <w:rsid w:val="00647330"/>
    <w:rsid w:val="0064734E"/>
    <w:rsid w:val="0064735D"/>
    <w:rsid w:val="00647386"/>
    <w:rsid w:val="006473D1"/>
    <w:rsid w:val="0064741E"/>
    <w:rsid w:val="00647481"/>
    <w:rsid w:val="0064769D"/>
    <w:rsid w:val="00647744"/>
    <w:rsid w:val="0064782C"/>
    <w:rsid w:val="00647905"/>
    <w:rsid w:val="00647BAF"/>
    <w:rsid w:val="00647D1B"/>
    <w:rsid w:val="00647D78"/>
    <w:rsid w:val="00647E03"/>
    <w:rsid w:val="00647F4A"/>
    <w:rsid w:val="00650191"/>
    <w:rsid w:val="006501B1"/>
    <w:rsid w:val="006501DC"/>
    <w:rsid w:val="0065033E"/>
    <w:rsid w:val="0065038D"/>
    <w:rsid w:val="006503C8"/>
    <w:rsid w:val="00650540"/>
    <w:rsid w:val="006506DE"/>
    <w:rsid w:val="0065077D"/>
    <w:rsid w:val="00650852"/>
    <w:rsid w:val="006508B7"/>
    <w:rsid w:val="006509E7"/>
    <w:rsid w:val="00650A80"/>
    <w:rsid w:val="00650A8D"/>
    <w:rsid w:val="00650CB8"/>
    <w:rsid w:val="00650E4F"/>
    <w:rsid w:val="00650EE8"/>
    <w:rsid w:val="006510CA"/>
    <w:rsid w:val="0065113F"/>
    <w:rsid w:val="006511CC"/>
    <w:rsid w:val="006513D7"/>
    <w:rsid w:val="006515D2"/>
    <w:rsid w:val="006516E6"/>
    <w:rsid w:val="00651701"/>
    <w:rsid w:val="00651828"/>
    <w:rsid w:val="00651885"/>
    <w:rsid w:val="00651A06"/>
    <w:rsid w:val="00651AD0"/>
    <w:rsid w:val="00651CF4"/>
    <w:rsid w:val="00651D89"/>
    <w:rsid w:val="00651ED5"/>
    <w:rsid w:val="00652079"/>
    <w:rsid w:val="006520BB"/>
    <w:rsid w:val="00652128"/>
    <w:rsid w:val="0065212A"/>
    <w:rsid w:val="00652146"/>
    <w:rsid w:val="00652237"/>
    <w:rsid w:val="00652335"/>
    <w:rsid w:val="0065235F"/>
    <w:rsid w:val="006523BA"/>
    <w:rsid w:val="006523F3"/>
    <w:rsid w:val="00652467"/>
    <w:rsid w:val="006524D0"/>
    <w:rsid w:val="0065250C"/>
    <w:rsid w:val="00652542"/>
    <w:rsid w:val="0065257A"/>
    <w:rsid w:val="006525CA"/>
    <w:rsid w:val="006525F4"/>
    <w:rsid w:val="00652825"/>
    <w:rsid w:val="00652ACC"/>
    <w:rsid w:val="00652C96"/>
    <w:rsid w:val="00652CA9"/>
    <w:rsid w:val="00652CD3"/>
    <w:rsid w:val="00652D0D"/>
    <w:rsid w:val="00652E31"/>
    <w:rsid w:val="00652F40"/>
    <w:rsid w:val="00652FC5"/>
    <w:rsid w:val="00653041"/>
    <w:rsid w:val="0065309F"/>
    <w:rsid w:val="0065321A"/>
    <w:rsid w:val="006532B3"/>
    <w:rsid w:val="006532CC"/>
    <w:rsid w:val="0065339D"/>
    <w:rsid w:val="006533FF"/>
    <w:rsid w:val="00653470"/>
    <w:rsid w:val="00653510"/>
    <w:rsid w:val="0065359E"/>
    <w:rsid w:val="006535B3"/>
    <w:rsid w:val="006535E8"/>
    <w:rsid w:val="00653623"/>
    <w:rsid w:val="00653697"/>
    <w:rsid w:val="006536A8"/>
    <w:rsid w:val="00653A76"/>
    <w:rsid w:val="00653B60"/>
    <w:rsid w:val="00653B84"/>
    <w:rsid w:val="00653BA3"/>
    <w:rsid w:val="00653C7A"/>
    <w:rsid w:val="00653D61"/>
    <w:rsid w:val="00653E22"/>
    <w:rsid w:val="00653E8A"/>
    <w:rsid w:val="00653F7E"/>
    <w:rsid w:val="00653F7F"/>
    <w:rsid w:val="00653FCB"/>
    <w:rsid w:val="00654074"/>
    <w:rsid w:val="00654078"/>
    <w:rsid w:val="00654124"/>
    <w:rsid w:val="0065415C"/>
    <w:rsid w:val="0065419F"/>
    <w:rsid w:val="00654268"/>
    <w:rsid w:val="00654305"/>
    <w:rsid w:val="006543D9"/>
    <w:rsid w:val="00654610"/>
    <w:rsid w:val="0065493C"/>
    <w:rsid w:val="00654AB9"/>
    <w:rsid w:val="00654AE4"/>
    <w:rsid w:val="00654B1A"/>
    <w:rsid w:val="00654B92"/>
    <w:rsid w:val="00654BA7"/>
    <w:rsid w:val="00654BEC"/>
    <w:rsid w:val="00654D5B"/>
    <w:rsid w:val="00654E1A"/>
    <w:rsid w:val="00654E20"/>
    <w:rsid w:val="00654F0E"/>
    <w:rsid w:val="00654F9B"/>
    <w:rsid w:val="00654FA6"/>
    <w:rsid w:val="0065515F"/>
    <w:rsid w:val="00655206"/>
    <w:rsid w:val="00655219"/>
    <w:rsid w:val="006552A8"/>
    <w:rsid w:val="006552DA"/>
    <w:rsid w:val="00655333"/>
    <w:rsid w:val="0065544B"/>
    <w:rsid w:val="006554D3"/>
    <w:rsid w:val="006555A4"/>
    <w:rsid w:val="006555AB"/>
    <w:rsid w:val="00655614"/>
    <w:rsid w:val="00655690"/>
    <w:rsid w:val="006556D0"/>
    <w:rsid w:val="0065571A"/>
    <w:rsid w:val="0065575F"/>
    <w:rsid w:val="006557BA"/>
    <w:rsid w:val="006558DA"/>
    <w:rsid w:val="0065593E"/>
    <w:rsid w:val="00655954"/>
    <w:rsid w:val="00655A3A"/>
    <w:rsid w:val="00655A70"/>
    <w:rsid w:val="00655B3A"/>
    <w:rsid w:val="00655BB6"/>
    <w:rsid w:val="00655D1C"/>
    <w:rsid w:val="00655D2A"/>
    <w:rsid w:val="006561D7"/>
    <w:rsid w:val="006562A2"/>
    <w:rsid w:val="00656372"/>
    <w:rsid w:val="006563FA"/>
    <w:rsid w:val="0065655D"/>
    <w:rsid w:val="0065656C"/>
    <w:rsid w:val="006565D1"/>
    <w:rsid w:val="0065663C"/>
    <w:rsid w:val="006566A2"/>
    <w:rsid w:val="00656767"/>
    <w:rsid w:val="006567B2"/>
    <w:rsid w:val="00656827"/>
    <w:rsid w:val="00656918"/>
    <w:rsid w:val="0065691D"/>
    <w:rsid w:val="0065699B"/>
    <w:rsid w:val="00656AA3"/>
    <w:rsid w:val="00656AC8"/>
    <w:rsid w:val="00656B10"/>
    <w:rsid w:val="00656B31"/>
    <w:rsid w:val="00656BBC"/>
    <w:rsid w:val="00656C0C"/>
    <w:rsid w:val="00656CCA"/>
    <w:rsid w:val="00656F0B"/>
    <w:rsid w:val="00657174"/>
    <w:rsid w:val="00657317"/>
    <w:rsid w:val="00657542"/>
    <w:rsid w:val="00657859"/>
    <w:rsid w:val="0065794F"/>
    <w:rsid w:val="00657952"/>
    <w:rsid w:val="00657969"/>
    <w:rsid w:val="00657B62"/>
    <w:rsid w:val="00657C84"/>
    <w:rsid w:val="00657D8C"/>
    <w:rsid w:val="00657DA1"/>
    <w:rsid w:val="00657F79"/>
    <w:rsid w:val="0066000E"/>
    <w:rsid w:val="0066011E"/>
    <w:rsid w:val="00660142"/>
    <w:rsid w:val="006601F2"/>
    <w:rsid w:val="00660291"/>
    <w:rsid w:val="00660310"/>
    <w:rsid w:val="006603F1"/>
    <w:rsid w:val="006604A4"/>
    <w:rsid w:val="006605C8"/>
    <w:rsid w:val="006605FF"/>
    <w:rsid w:val="00660864"/>
    <w:rsid w:val="00660870"/>
    <w:rsid w:val="00660939"/>
    <w:rsid w:val="00660942"/>
    <w:rsid w:val="0066097C"/>
    <w:rsid w:val="00660E02"/>
    <w:rsid w:val="00660EDF"/>
    <w:rsid w:val="006612D5"/>
    <w:rsid w:val="006613F9"/>
    <w:rsid w:val="0066142A"/>
    <w:rsid w:val="006614E5"/>
    <w:rsid w:val="00661599"/>
    <w:rsid w:val="006615DA"/>
    <w:rsid w:val="006615E5"/>
    <w:rsid w:val="006616F9"/>
    <w:rsid w:val="006619D0"/>
    <w:rsid w:val="006619EF"/>
    <w:rsid w:val="00661B3B"/>
    <w:rsid w:val="00661BBD"/>
    <w:rsid w:val="00661BDB"/>
    <w:rsid w:val="00661D0E"/>
    <w:rsid w:val="00661DBE"/>
    <w:rsid w:val="00661DCB"/>
    <w:rsid w:val="00661EEA"/>
    <w:rsid w:val="00661F1D"/>
    <w:rsid w:val="006621D7"/>
    <w:rsid w:val="0066230B"/>
    <w:rsid w:val="00662364"/>
    <w:rsid w:val="00662435"/>
    <w:rsid w:val="0066255E"/>
    <w:rsid w:val="006625E6"/>
    <w:rsid w:val="006626A9"/>
    <w:rsid w:val="006626D1"/>
    <w:rsid w:val="006626F4"/>
    <w:rsid w:val="00662867"/>
    <w:rsid w:val="0066288E"/>
    <w:rsid w:val="0066291C"/>
    <w:rsid w:val="00662C2E"/>
    <w:rsid w:val="00662C44"/>
    <w:rsid w:val="00662D07"/>
    <w:rsid w:val="00662E8D"/>
    <w:rsid w:val="00662FB5"/>
    <w:rsid w:val="0066335B"/>
    <w:rsid w:val="006634B8"/>
    <w:rsid w:val="00663565"/>
    <w:rsid w:val="0066366D"/>
    <w:rsid w:val="00663734"/>
    <w:rsid w:val="0066374D"/>
    <w:rsid w:val="00663764"/>
    <w:rsid w:val="006637C6"/>
    <w:rsid w:val="006638B1"/>
    <w:rsid w:val="0066390F"/>
    <w:rsid w:val="00663B72"/>
    <w:rsid w:val="00663D0F"/>
    <w:rsid w:val="00663D9F"/>
    <w:rsid w:val="00663DAB"/>
    <w:rsid w:val="00663E52"/>
    <w:rsid w:val="00663E6D"/>
    <w:rsid w:val="00663EEB"/>
    <w:rsid w:val="00663F61"/>
    <w:rsid w:val="00663FF7"/>
    <w:rsid w:val="0066407F"/>
    <w:rsid w:val="00664126"/>
    <w:rsid w:val="006641B8"/>
    <w:rsid w:val="006641F4"/>
    <w:rsid w:val="006642B3"/>
    <w:rsid w:val="006642D2"/>
    <w:rsid w:val="00664497"/>
    <w:rsid w:val="006644CB"/>
    <w:rsid w:val="00664556"/>
    <w:rsid w:val="0066469E"/>
    <w:rsid w:val="00664933"/>
    <w:rsid w:val="0066496D"/>
    <w:rsid w:val="00664A23"/>
    <w:rsid w:val="00664BE6"/>
    <w:rsid w:val="00664C36"/>
    <w:rsid w:val="00664CA7"/>
    <w:rsid w:val="00664E31"/>
    <w:rsid w:val="00664FC1"/>
    <w:rsid w:val="0066508E"/>
    <w:rsid w:val="006650D5"/>
    <w:rsid w:val="00665151"/>
    <w:rsid w:val="00665189"/>
    <w:rsid w:val="00665292"/>
    <w:rsid w:val="006653FD"/>
    <w:rsid w:val="006654AD"/>
    <w:rsid w:val="00665521"/>
    <w:rsid w:val="0066566F"/>
    <w:rsid w:val="00665682"/>
    <w:rsid w:val="00665860"/>
    <w:rsid w:val="00665870"/>
    <w:rsid w:val="006659E8"/>
    <w:rsid w:val="00665A1E"/>
    <w:rsid w:val="00665BA7"/>
    <w:rsid w:val="00665C13"/>
    <w:rsid w:val="00665C46"/>
    <w:rsid w:val="00665D20"/>
    <w:rsid w:val="00665E37"/>
    <w:rsid w:val="006660A7"/>
    <w:rsid w:val="00666115"/>
    <w:rsid w:val="0066613B"/>
    <w:rsid w:val="006662B7"/>
    <w:rsid w:val="0066636A"/>
    <w:rsid w:val="006663B0"/>
    <w:rsid w:val="00666473"/>
    <w:rsid w:val="0066649D"/>
    <w:rsid w:val="006664F5"/>
    <w:rsid w:val="00666527"/>
    <w:rsid w:val="006666DB"/>
    <w:rsid w:val="00666775"/>
    <w:rsid w:val="0066686C"/>
    <w:rsid w:val="006669FE"/>
    <w:rsid w:val="00666B30"/>
    <w:rsid w:val="00666B94"/>
    <w:rsid w:val="00666C56"/>
    <w:rsid w:val="00666DE6"/>
    <w:rsid w:val="00666F0C"/>
    <w:rsid w:val="00666F8A"/>
    <w:rsid w:val="00666FCA"/>
    <w:rsid w:val="00667233"/>
    <w:rsid w:val="00667254"/>
    <w:rsid w:val="00667290"/>
    <w:rsid w:val="00667367"/>
    <w:rsid w:val="006675A2"/>
    <w:rsid w:val="0066762A"/>
    <w:rsid w:val="0066765D"/>
    <w:rsid w:val="00667690"/>
    <w:rsid w:val="006676B7"/>
    <w:rsid w:val="00667768"/>
    <w:rsid w:val="0066782D"/>
    <w:rsid w:val="006678A5"/>
    <w:rsid w:val="00667986"/>
    <w:rsid w:val="00667E19"/>
    <w:rsid w:val="00667F3E"/>
    <w:rsid w:val="00670005"/>
    <w:rsid w:val="00670233"/>
    <w:rsid w:val="00670588"/>
    <w:rsid w:val="00670833"/>
    <w:rsid w:val="00670883"/>
    <w:rsid w:val="006709E1"/>
    <w:rsid w:val="006709EE"/>
    <w:rsid w:val="00670AB2"/>
    <w:rsid w:val="00670B49"/>
    <w:rsid w:val="00670C04"/>
    <w:rsid w:val="00670D5C"/>
    <w:rsid w:val="00670E35"/>
    <w:rsid w:val="00671106"/>
    <w:rsid w:val="0067110A"/>
    <w:rsid w:val="006712FF"/>
    <w:rsid w:val="00671320"/>
    <w:rsid w:val="0067138F"/>
    <w:rsid w:val="006713D2"/>
    <w:rsid w:val="00671466"/>
    <w:rsid w:val="00671495"/>
    <w:rsid w:val="00671539"/>
    <w:rsid w:val="00671746"/>
    <w:rsid w:val="00671BB2"/>
    <w:rsid w:val="00671DE0"/>
    <w:rsid w:val="00672017"/>
    <w:rsid w:val="00672023"/>
    <w:rsid w:val="00672034"/>
    <w:rsid w:val="0067216C"/>
    <w:rsid w:val="006722BC"/>
    <w:rsid w:val="0067240F"/>
    <w:rsid w:val="00672481"/>
    <w:rsid w:val="00672714"/>
    <w:rsid w:val="006727EC"/>
    <w:rsid w:val="00672847"/>
    <w:rsid w:val="00672918"/>
    <w:rsid w:val="00672962"/>
    <w:rsid w:val="00672963"/>
    <w:rsid w:val="00672A59"/>
    <w:rsid w:val="00672A5F"/>
    <w:rsid w:val="00672B83"/>
    <w:rsid w:val="00672BEC"/>
    <w:rsid w:val="00672EB4"/>
    <w:rsid w:val="00672EBD"/>
    <w:rsid w:val="0067309C"/>
    <w:rsid w:val="006732AB"/>
    <w:rsid w:val="006734F4"/>
    <w:rsid w:val="006734FA"/>
    <w:rsid w:val="0067353C"/>
    <w:rsid w:val="00673599"/>
    <w:rsid w:val="006736C2"/>
    <w:rsid w:val="006736C7"/>
    <w:rsid w:val="00673775"/>
    <w:rsid w:val="0067392E"/>
    <w:rsid w:val="00673958"/>
    <w:rsid w:val="00673A69"/>
    <w:rsid w:val="00673AC8"/>
    <w:rsid w:val="00673CFF"/>
    <w:rsid w:val="00674003"/>
    <w:rsid w:val="006741B9"/>
    <w:rsid w:val="00674237"/>
    <w:rsid w:val="0067426B"/>
    <w:rsid w:val="006742E8"/>
    <w:rsid w:val="0067441C"/>
    <w:rsid w:val="00674460"/>
    <w:rsid w:val="006744EA"/>
    <w:rsid w:val="00674535"/>
    <w:rsid w:val="00674590"/>
    <w:rsid w:val="00674669"/>
    <w:rsid w:val="00674715"/>
    <w:rsid w:val="00674A34"/>
    <w:rsid w:val="00674BAC"/>
    <w:rsid w:val="00674C24"/>
    <w:rsid w:val="00674FB1"/>
    <w:rsid w:val="00674FDE"/>
    <w:rsid w:val="0067502E"/>
    <w:rsid w:val="006751C0"/>
    <w:rsid w:val="0067523B"/>
    <w:rsid w:val="0067557C"/>
    <w:rsid w:val="00675654"/>
    <w:rsid w:val="0067567E"/>
    <w:rsid w:val="006756AF"/>
    <w:rsid w:val="00675708"/>
    <w:rsid w:val="0067574B"/>
    <w:rsid w:val="00675900"/>
    <w:rsid w:val="006759CC"/>
    <w:rsid w:val="00675A0F"/>
    <w:rsid w:val="00675A53"/>
    <w:rsid w:val="00675D4F"/>
    <w:rsid w:val="00675D56"/>
    <w:rsid w:val="00675DEF"/>
    <w:rsid w:val="00675E81"/>
    <w:rsid w:val="00675EA8"/>
    <w:rsid w:val="00675F5D"/>
    <w:rsid w:val="00675FF7"/>
    <w:rsid w:val="00675FFE"/>
    <w:rsid w:val="00676034"/>
    <w:rsid w:val="006763FA"/>
    <w:rsid w:val="006765FF"/>
    <w:rsid w:val="006766D9"/>
    <w:rsid w:val="006766DC"/>
    <w:rsid w:val="006766FB"/>
    <w:rsid w:val="006767D3"/>
    <w:rsid w:val="0067684A"/>
    <w:rsid w:val="00676963"/>
    <w:rsid w:val="006769D0"/>
    <w:rsid w:val="00676B61"/>
    <w:rsid w:val="00676BF0"/>
    <w:rsid w:val="00676D4E"/>
    <w:rsid w:val="00676D68"/>
    <w:rsid w:val="00676EF0"/>
    <w:rsid w:val="00676FC7"/>
    <w:rsid w:val="0067707C"/>
    <w:rsid w:val="0067722E"/>
    <w:rsid w:val="00677262"/>
    <w:rsid w:val="006772AA"/>
    <w:rsid w:val="0067737A"/>
    <w:rsid w:val="006773F3"/>
    <w:rsid w:val="00677527"/>
    <w:rsid w:val="00677536"/>
    <w:rsid w:val="00677570"/>
    <w:rsid w:val="0067770D"/>
    <w:rsid w:val="006777B6"/>
    <w:rsid w:val="0067784B"/>
    <w:rsid w:val="00677915"/>
    <w:rsid w:val="00677A66"/>
    <w:rsid w:val="00677A8D"/>
    <w:rsid w:val="00677AA6"/>
    <w:rsid w:val="00677B30"/>
    <w:rsid w:val="00677CCB"/>
    <w:rsid w:val="00677CF5"/>
    <w:rsid w:val="00677DF4"/>
    <w:rsid w:val="00677E2D"/>
    <w:rsid w:val="00677E93"/>
    <w:rsid w:val="006801C3"/>
    <w:rsid w:val="006801D9"/>
    <w:rsid w:val="0068022C"/>
    <w:rsid w:val="00680274"/>
    <w:rsid w:val="0068039B"/>
    <w:rsid w:val="0068047A"/>
    <w:rsid w:val="006805A0"/>
    <w:rsid w:val="00680718"/>
    <w:rsid w:val="00680722"/>
    <w:rsid w:val="0068085B"/>
    <w:rsid w:val="00680901"/>
    <w:rsid w:val="0068095C"/>
    <w:rsid w:val="00680A45"/>
    <w:rsid w:val="00680A7E"/>
    <w:rsid w:val="00680B6A"/>
    <w:rsid w:val="00680B91"/>
    <w:rsid w:val="00680C3C"/>
    <w:rsid w:val="00680CF3"/>
    <w:rsid w:val="00680E63"/>
    <w:rsid w:val="00680FEF"/>
    <w:rsid w:val="006811E8"/>
    <w:rsid w:val="00681210"/>
    <w:rsid w:val="0068126E"/>
    <w:rsid w:val="006812B8"/>
    <w:rsid w:val="00681335"/>
    <w:rsid w:val="006813C6"/>
    <w:rsid w:val="006813D7"/>
    <w:rsid w:val="00681514"/>
    <w:rsid w:val="006815DB"/>
    <w:rsid w:val="006816B2"/>
    <w:rsid w:val="00681723"/>
    <w:rsid w:val="00681A16"/>
    <w:rsid w:val="00681C1D"/>
    <w:rsid w:val="00681E78"/>
    <w:rsid w:val="00681ED7"/>
    <w:rsid w:val="00681F3B"/>
    <w:rsid w:val="006821BE"/>
    <w:rsid w:val="006822F3"/>
    <w:rsid w:val="00682468"/>
    <w:rsid w:val="006824B5"/>
    <w:rsid w:val="00682576"/>
    <w:rsid w:val="006825AE"/>
    <w:rsid w:val="0068263C"/>
    <w:rsid w:val="0068266C"/>
    <w:rsid w:val="00682696"/>
    <w:rsid w:val="00682719"/>
    <w:rsid w:val="00682794"/>
    <w:rsid w:val="006827A4"/>
    <w:rsid w:val="00682849"/>
    <w:rsid w:val="006828DD"/>
    <w:rsid w:val="006828F0"/>
    <w:rsid w:val="00682941"/>
    <w:rsid w:val="00682A8A"/>
    <w:rsid w:val="00682CCE"/>
    <w:rsid w:val="00682D16"/>
    <w:rsid w:val="00682E78"/>
    <w:rsid w:val="00682F23"/>
    <w:rsid w:val="00682F34"/>
    <w:rsid w:val="00683052"/>
    <w:rsid w:val="0068310D"/>
    <w:rsid w:val="0068319E"/>
    <w:rsid w:val="00683240"/>
    <w:rsid w:val="00683258"/>
    <w:rsid w:val="0068335D"/>
    <w:rsid w:val="006833C5"/>
    <w:rsid w:val="00683740"/>
    <w:rsid w:val="006837F0"/>
    <w:rsid w:val="006837F9"/>
    <w:rsid w:val="0068387B"/>
    <w:rsid w:val="00683AB1"/>
    <w:rsid w:val="00683AC9"/>
    <w:rsid w:val="00683DCD"/>
    <w:rsid w:val="00683F36"/>
    <w:rsid w:val="00684106"/>
    <w:rsid w:val="00684150"/>
    <w:rsid w:val="00684194"/>
    <w:rsid w:val="006841DB"/>
    <w:rsid w:val="0068425E"/>
    <w:rsid w:val="00684433"/>
    <w:rsid w:val="006844F7"/>
    <w:rsid w:val="0068454F"/>
    <w:rsid w:val="00684693"/>
    <w:rsid w:val="0068472D"/>
    <w:rsid w:val="00684986"/>
    <w:rsid w:val="00684AE8"/>
    <w:rsid w:val="00684AE9"/>
    <w:rsid w:val="00684B17"/>
    <w:rsid w:val="00684BA1"/>
    <w:rsid w:val="00684BAA"/>
    <w:rsid w:val="00684C2B"/>
    <w:rsid w:val="00684E15"/>
    <w:rsid w:val="00684E1B"/>
    <w:rsid w:val="00684EC4"/>
    <w:rsid w:val="00684FA9"/>
    <w:rsid w:val="0068510D"/>
    <w:rsid w:val="00685114"/>
    <w:rsid w:val="00685174"/>
    <w:rsid w:val="006853B4"/>
    <w:rsid w:val="00685432"/>
    <w:rsid w:val="0068543A"/>
    <w:rsid w:val="006854F1"/>
    <w:rsid w:val="006855D7"/>
    <w:rsid w:val="006856E4"/>
    <w:rsid w:val="006856FC"/>
    <w:rsid w:val="00685757"/>
    <w:rsid w:val="00685812"/>
    <w:rsid w:val="00685935"/>
    <w:rsid w:val="00685A6A"/>
    <w:rsid w:val="00685ADB"/>
    <w:rsid w:val="00685B20"/>
    <w:rsid w:val="00685BD8"/>
    <w:rsid w:val="00685C7C"/>
    <w:rsid w:val="00685D9C"/>
    <w:rsid w:val="00685E9F"/>
    <w:rsid w:val="00685EC7"/>
    <w:rsid w:val="00685F24"/>
    <w:rsid w:val="00686175"/>
    <w:rsid w:val="0068617A"/>
    <w:rsid w:val="0068623D"/>
    <w:rsid w:val="00686253"/>
    <w:rsid w:val="006862D3"/>
    <w:rsid w:val="0068647B"/>
    <w:rsid w:val="00686574"/>
    <w:rsid w:val="006865B9"/>
    <w:rsid w:val="0068667C"/>
    <w:rsid w:val="006866E1"/>
    <w:rsid w:val="00686774"/>
    <w:rsid w:val="006867FF"/>
    <w:rsid w:val="00686969"/>
    <w:rsid w:val="00686B2F"/>
    <w:rsid w:val="00686B5D"/>
    <w:rsid w:val="00686B81"/>
    <w:rsid w:val="00686C0B"/>
    <w:rsid w:val="00686C9F"/>
    <w:rsid w:val="00686D14"/>
    <w:rsid w:val="00686F2C"/>
    <w:rsid w:val="00687006"/>
    <w:rsid w:val="0068713A"/>
    <w:rsid w:val="0068719A"/>
    <w:rsid w:val="0068724C"/>
    <w:rsid w:val="00687271"/>
    <w:rsid w:val="006872C0"/>
    <w:rsid w:val="00687441"/>
    <w:rsid w:val="006874BC"/>
    <w:rsid w:val="00687546"/>
    <w:rsid w:val="00687623"/>
    <w:rsid w:val="00687656"/>
    <w:rsid w:val="0068772A"/>
    <w:rsid w:val="0068777C"/>
    <w:rsid w:val="0068787A"/>
    <w:rsid w:val="00687920"/>
    <w:rsid w:val="00687A6C"/>
    <w:rsid w:val="00687A82"/>
    <w:rsid w:val="00687B1C"/>
    <w:rsid w:val="00687B89"/>
    <w:rsid w:val="00687BDB"/>
    <w:rsid w:val="00687D90"/>
    <w:rsid w:val="00687DA7"/>
    <w:rsid w:val="00687DD2"/>
    <w:rsid w:val="00687DF9"/>
    <w:rsid w:val="00687E12"/>
    <w:rsid w:val="00687F8B"/>
    <w:rsid w:val="00690067"/>
    <w:rsid w:val="00690108"/>
    <w:rsid w:val="00690151"/>
    <w:rsid w:val="00690336"/>
    <w:rsid w:val="0069043B"/>
    <w:rsid w:val="006904B7"/>
    <w:rsid w:val="006906D1"/>
    <w:rsid w:val="006906E2"/>
    <w:rsid w:val="006907D9"/>
    <w:rsid w:val="00690834"/>
    <w:rsid w:val="0069083C"/>
    <w:rsid w:val="00690930"/>
    <w:rsid w:val="0069094E"/>
    <w:rsid w:val="00690A7F"/>
    <w:rsid w:val="00690B15"/>
    <w:rsid w:val="00690DC4"/>
    <w:rsid w:val="00690FEA"/>
    <w:rsid w:val="006912C7"/>
    <w:rsid w:val="00691346"/>
    <w:rsid w:val="006913FD"/>
    <w:rsid w:val="00691411"/>
    <w:rsid w:val="0069151A"/>
    <w:rsid w:val="00691593"/>
    <w:rsid w:val="006915A3"/>
    <w:rsid w:val="00691660"/>
    <w:rsid w:val="006916E5"/>
    <w:rsid w:val="0069171E"/>
    <w:rsid w:val="00691818"/>
    <w:rsid w:val="006918BF"/>
    <w:rsid w:val="00691962"/>
    <w:rsid w:val="0069196C"/>
    <w:rsid w:val="006919D1"/>
    <w:rsid w:val="00691A67"/>
    <w:rsid w:val="00691C5A"/>
    <w:rsid w:val="00691D33"/>
    <w:rsid w:val="00691D67"/>
    <w:rsid w:val="00691E97"/>
    <w:rsid w:val="00691FB5"/>
    <w:rsid w:val="00692077"/>
    <w:rsid w:val="00692095"/>
    <w:rsid w:val="0069229F"/>
    <w:rsid w:val="00692334"/>
    <w:rsid w:val="006923E9"/>
    <w:rsid w:val="0069258C"/>
    <w:rsid w:val="006925BE"/>
    <w:rsid w:val="0069265F"/>
    <w:rsid w:val="006926AE"/>
    <w:rsid w:val="00692863"/>
    <w:rsid w:val="0069297A"/>
    <w:rsid w:val="00692A06"/>
    <w:rsid w:val="00692A71"/>
    <w:rsid w:val="00692CDF"/>
    <w:rsid w:val="00692DB5"/>
    <w:rsid w:val="00692E7C"/>
    <w:rsid w:val="00692FB5"/>
    <w:rsid w:val="0069335C"/>
    <w:rsid w:val="00693453"/>
    <w:rsid w:val="00693462"/>
    <w:rsid w:val="006935BC"/>
    <w:rsid w:val="006936BC"/>
    <w:rsid w:val="006937C1"/>
    <w:rsid w:val="00693872"/>
    <w:rsid w:val="006938EA"/>
    <w:rsid w:val="00693953"/>
    <w:rsid w:val="006939EA"/>
    <w:rsid w:val="0069401D"/>
    <w:rsid w:val="00694094"/>
    <w:rsid w:val="0069432A"/>
    <w:rsid w:val="00694362"/>
    <w:rsid w:val="00694450"/>
    <w:rsid w:val="00694487"/>
    <w:rsid w:val="006944FC"/>
    <w:rsid w:val="00694508"/>
    <w:rsid w:val="00694522"/>
    <w:rsid w:val="0069453C"/>
    <w:rsid w:val="006945F7"/>
    <w:rsid w:val="00694692"/>
    <w:rsid w:val="00694B55"/>
    <w:rsid w:val="00694B8C"/>
    <w:rsid w:val="00694BC0"/>
    <w:rsid w:val="00694BDB"/>
    <w:rsid w:val="00694D11"/>
    <w:rsid w:val="00694D8B"/>
    <w:rsid w:val="00694FB8"/>
    <w:rsid w:val="00695120"/>
    <w:rsid w:val="0069532D"/>
    <w:rsid w:val="00695357"/>
    <w:rsid w:val="0069543B"/>
    <w:rsid w:val="006954C1"/>
    <w:rsid w:val="00695509"/>
    <w:rsid w:val="00695886"/>
    <w:rsid w:val="006958C3"/>
    <w:rsid w:val="00695924"/>
    <w:rsid w:val="00695AC3"/>
    <w:rsid w:val="00695BDD"/>
    <w:rsid w:val="00695C31"/>
    <w:rsid w:val="00695D01"/>
    <w:rsid w:val="00695D07"/>
    <w:rsid w:val="00695DFA"/>
    <w:rsid w:val="00695EE6"/>
    <w:rsid w:val="00695F45"/>
    <w:rsid w:val="00695F54"/>
    <w:rsid w:val="00695F63"/>
    <w:rsid w:val="00696040"/>
    <w:rsid w:val="00696096"/>
    <w:rsid w:val="00696157"/>
    <w:rsid w:val="00696406"/>
    <w:rsid w:val="006964B3"/>
    <w:rsid w:val="006965C1"/>
    <w:rsid w:val="006966BB"/>
    <w:rsid w:val="0069673C"/>
    <w:rsid w:val="00696AEF"/>
    <w:rsid w:val="00696BB4"/>
    <w:rsid w:val="00696BD2"/>
    <w:rsid w:val="00696C2A"/>
    <w:rsid w:val="00696C56"/>
    <w:rsid w:val="00696C63"/>
    <w:rsid w:val="00696CCE"/>
    <w:rsid w:val="00696CF9"/>
    <w:rsid w:val="00696D06"/>
    <w:rsid w:val="00696D39"/>
    <w:rsid w:val="00696D83"/>
    <w:rsid w:val="00696EA7"/>
    <w:rsid w:val="0069705C"/>
    <w:rsid w:val="006970CC"/>
    <w:rsid w:val="00697168"/>
    <w:rsid w:val="006972B9"/>
    <w:rsid w:val="00697387"/>
    <w:rsid w:val="0069740F"/>
    <w:rsid w:val="006974FB"/>
    <w:rsid w:val="00697575"/>
    <w:rsid w:val="006975B1"/>
    <w:rsid w:val="006976E5"/>
    <w:rsid w:val="00697788"/>
    <w:rsid w:val="00697A4F"/>
    <w:rsid w:val="00697AA7"/>
    <w:rsid w:val="00697B97"/>
    <w:rsid w:val="00697BE2"/>
    <w:rsid w:val="00697C9E"/>
    <w:rsid w:val="006A0089"/>
    <w:rsid w:val="006A00A9"/>
    <w:rsid w:val="006A01EC"/>
    <w:rsid w:val="006A020E"/>
    <w:rsid w:val="006A0380"/>
    <w:rsid w:val="006A06FE"/>
    <w:rsid w:val="006A0735"/>
    <w:rsid w:val="006A073B"/>
    <w:rsid w:val="006A074E"/>
    <w:rsid w:val="006A085E"/>
    <w:rsid w:val="006A08AD"/>
    <w:rsid w:val="006A08CA"/>
    <w:rsid w:val="006A095C"/>
    <w:rsid w:val="006A09A9"/>
    <w:rsid w:val="006A09D0"/>
    <w:rsid w:val="006A0B48"/>
    <w:rsid w:val="006A0CDF"/>
    <w:rsid w:val="006A0E70"/>
    <w:rsid w:val="006A0F18"/>
    <w:rsid w:val="006A0F3C"/>
    <w:rsid w:val="006A0F60"/>
    <w:rsid w:val="006A0F9D"/>
    <w:rsid w:val="006A1035"/>
    <w:rsid w:val="006A1087"/>
    <w:rsid w:val="006A1211"/>
    <w:rsid w:val="006A127F"/>
    <w:rsid w:val="006A131F"/>
    <w:rsid w:val="006A1424"/>
    <w:rsid w:val="006A14D4"/>
    <w:rsid w:val="006A1645"/>
    <w:rsid w:val="006A17C2"/>
    <w:rsid w:val="006A1923"/>
    <w:rsid w:val="006A194C"/>
    <w:rsid w:val="006A19A6"/>
    <w:rsid w:val="006A1A14"/>
    <w:rsid w:val="006A1A7B"/>
    <w:rsid w:val="006A1AF0"/>
    <w:rsid w:val="006A1B5F"/>
    <w:rsid w:val="006A1C6D"/>
    <w:rsid w:val="006A1D5E"/>
    <w:rsid w:val="006A1D87"/>
    <w:rsid w:val="006A1DB2"/>
    <w:rsid w:val="006A1E4E"/>
    <w:rsid w:val="006A2089"/>
    <w:rsid w:val="006A234E"/>
    <w:rsid w:val="006A23E9"/>
    <w:rsid w:val="006A246E"/>
    <w:rsid w:val="006A255E"/>
    <w:rsid w:val="006A263C"/>
    <w:rsid w:val="006A26A4"/>
    <w:rsid w:val="006A26E2"/>
    <w:rsid w:val="006A2776"/>
    <w:rsid w:val="006A28AF"/>
    <w:rsid w:val="006A28FB"/>
    <w:rsid w:val="006A2984"/>
    <w:rsid w:val="006A2985"/>
    <w:rsid w:val="006A2A6B"/>
    <w:rsid w:val="006A2BBA"/>
    <w:rsid w:val="006A2C6E"/>
    <w:rsid w:val="006A2D29"/>
    <w:rsid w:val="006A2EF5"/>
    <w:rsid w:val="006A3272"/>
    <w:rsid w:val="006A33B9"/>
    <w:rsid w:val="006A361F"/>
    <w:rsid w:val="006A3707"/>
    <w:rsid w:val="006A3A28"/>
    <w:rsid w:val="006A3B83"/>
    <w:rsid w:val="006A3B95"/>
    <w:rsid w:val="006A3BC0"/>
    <w:rsid w:val="006A3D41"/>
    <w:rsid w:val="006A3D7C"/>
    <w:rsid w:val="006A3E7C"/>
    <w:rsid w:val="006A3FF1"/>
    <w:rsid w:val="006A41D8"/>
    <w:rsid w:val="006A420F"/>
    <w:rsid w:val="006A425A"/>
    <w:rsid w:val="006A4265"/>
    <w:rsid w:val="006A42B3"/>
    <w:rsid w:val="006A42BC"/>
    <w:rsid w:val="006A439D"/>
    <w:rsid w:val="006A4516"/>
    <w:rsid w:val="006A451A"/>
    <w:rsid w:val="006A4874"/>
    <w:rsid w:val="006A48C6"/>
    <w:rsid w:val="006A498D"/>
    <w:rsid w:val="006A4998"/>
    <w:rsid w:val="006A4A52"/>
    <w:rsid w:val="006A4B76"/>
    <w:rsid w:val="006A4DB5"/>
    <w:rsid w:val="006A4E69"/>
    <w:rsid w:val="006A4F03"/>
    <w:rsid w:val="006A50EE"/>
    <w:rsid w:val="006A5137"/>
    <w:rsid w:val="006A516A"/>
    <w:rsid w:val="006A5303"/>
    <w:rsid w:val="006A5366"/>
    <w:rsid w:val="006A53C0"/>
    <w:rsid w:val="006A5443"/>
    <w:rsid w:val="006A550C"/>
    <w:rsid w:val="006A5512"/>
    <w:rsid w:val="006A56B9"/>
    <w:rsid w:val="006A5790"/>
    <w:rsid w:val="006A582F"/>
    <w:rsid w:val="006A5C32"/>
    <w:rsid w:val="006A5CEA"/>
    <w:rsid w:val="006A5DB1"/>
    <w:rsid w:val="006A5DE2"/>
    <w:rsid w:val="006A5E04"/>
    <w:rsid w:val="006A5FBD"/>
    <w:rsid w:val="006A618E"/>
    <w:rsid w:val="006A638D"/>
    <w:rsid w:val="006A659F"/>
    <w:rsid w:val="006A65A9"/>
    <w:rsid w:val="006A67D7"/>
    <w:rsid w:val="006A67E2"/>
    <w:rsid w:val="006A6865"/>
    <w:rsid w:val="006A68DA"/>
    <w:rsid w:val="006A6941"/>
    <w:rsid w:val="006A6A1C"/>
    <w:rsid w:val="006A6A5C"/>
    <w:rsid w:val="006A6A8C"/>
    <w:rsid w:val="006A6AB1"/>
    <w:rsid w:val="006A6ABB"/>
    <w:rsid w:val="006A6B07"/>
    <w:rsid w:val="006A6B20"/>
    <w:rsid w:val="006A6B79"/>
    <w:rsid w:val="006A6CFE"/>
    <w:rsid w:val="006A6DF8"/>
    <w:rsid w:val="006A6FA7"/>
    <w:rsid w:val="006A71EE"/>
    <w:rsid w:val="006A72A2"/>
    <w:rsid w:val="006A72B6"/>
    <w:rsid w:val="006A72EB"/>
    <w:rsid w:val="006A73BA"/>
    <w:rsid w:val="006A7446"/>
    <w:rsid w:val="006A75CE"/>
    <w:rsid w:val="006A781A"/>
    <w:rsid w:val="006A7872"/>
    <w:rsid w:val="006A7888"/>
    <w:rsid w:val="006A793C"/>
    <w:rsid w:val="006A7A21"/>
    <w:rsid w:val="006A7A3D"/>
    <w:rsid w:val="006A7A87"/>
    <w:rsid w:val="006A7AB6"/>
    <w:rsid w:val="006A7B0B"/>
    <w:rsid w:val="006A7C85"/>
    <w:rsid w:val="006A7CD0"/>
    <w:rsid w:val="006A7D49"/>
    <w:rsid w:val="006A7D51"/>
    <w:rsid w:val="006A7FC4"/>
    <w:rsid w:val="006B0050"/>
    <w:rsid w:val="006B00EB"/>
    <w:rsid w:val="006B0199"/>
    <w:rsid w:val="006B035D"/>
    <w:rsid w:val="006B0365"/>
    <w:rsid w:val="006B056A"/>
    <w:rsid w:val="006B057B"/>
    <w:rsid w:val="006B0743"/>
    <w:rsid w:val="006B08AF"/>
    <w:rsid w:val="006B0933"/>
    <w:rsid w:val="006B0963"/>
    <w:rsid w:val="006B0979"/>
    <w:rsid w:val="006B0AC8"/>
    <w:rsid w:val="006B0B50"/>
    <w:rsid w:val="006B0B5A"/>
    <w:rsid w:val="006B0BDB"/>
    <w:rsid w:val="006B0BE1"/>
    <w:rsid w:val="006B0D50"/>
    <w:rsid w:val="006B0DEB"/>
    <w:rsid w:val="006B0FB9"/>
    <w:rsid w:val="006B0FF4"/>
    <w:rsid w:val="006B1032"/>
    <w:rsid w:val="006B1040"/>
    <w:rsid w:val="006B117F"/>
    <w:rsid w:val="006B1224"/>
    <w:rsid w:val="006B1243"/>
    <w:rsid w:val="006B12AA"/>
    <w:rsid w:val="006B132C"/>
    <w:rsid w:val="006B13F8"/>
    <w:rsid w:val="006B1412"/>
    <w:rsid w:val="006B14DD"/>
    <w:rsid w:val="006B1651"/>
    <w:rsid w:val="006B1903"/>
    <w:rsid w:val="006B195C"/>
    <w:rsid w:val="006B1A16"/>
    <w:rsid w:val="006B1BC0"/>
    <w:rsid w:val="006B1D5B"/>
    <w:rsid w:val="006B2082"/>
    <w:rsid w:val="006B20AB"/>
    <w:rsid w:val="006B222A"/>
    <w:rsid w:val="006B22C5"/>
    <w:rsid w:val="006B2327"/>
    <w:rsid w:val="006B23FA"/>
    <w:rsid w:val="006B248C"/>
    <w:rsid w:val="006B24E6"/>
    <w:rsid w:val="006B2891"/>
    <w:rsid w:val="006B28D4"/>
    <w:rsid w:val="006B2A86"/>
    <w:rsid w:val="006B2ACD"/>
    <w:rsid w:val="006B2C5A"/>
    <w:rsid w:val="006B2D81"/>
    <w:rsid w:val="006B2D85"/>
    <w:rsid w:val="006B2DBC"/>
    <w:rsid w:val="006B2E8E"/>
    <w:rsid w:val="006B2EAF"/>
    <w:rsid w:val="006B2ECB"/>
    <w:rsid w:val="006B2F29"/>
    <w:rsid w:val="006B3091"/>
    <w:rsid w:val="006B3151"/>
    <w:rsid w:val="006B31E4"/>
    <w:rsid w:val="006B31F4"/>
    <w:rsid w:val="006B3255"/>
    <w:rsid w:val="006B32B5"/>
    <w:rsid w:val="006B344E"/>
    <w:rsid w:val="006B34E6"/>
    <w:rsid w:val="006B3508"/>
    <w:rsid w:val="006B368F"/>
    <w:rsid w:val="006B3734"/>
    <w:rsid w:val="006B3754"/>
    <w:rsid w:val="006B385F"/>
    <w:rsid w:val="006B3861"/>
    <w:rsid w:val="006B3ABB"/>
    <w:rsid w:val="006B3BFC"/>
    <w:rsid w:val="006B3CB9"/>
    <w:rsid w:val="006B4334"/>
    <w:rsid w:val="006B4451"/>
    <w:rsid w:val="006B44FE"/>
    <w:rsid w:val="006B45A0"/>
    <w:rsid w:val="006B45BB"/>
    <w:rsid w:val="006B4650"/>
    <w:rsid w:val="006B469E"/>
    <w:rsid w:val="006B4875"/>
    <w:rsid w:val="006B4982"/>
    <w:rsid w:val="006B49A5"/>
    <w:rsid w:val="006B4B06"/>
    <w:rsid w:val="006B4F76"/>
    <w:rsid w:val="006B5062"/>
    <w:rsid w:val="006B5372"/>
    <w:rsid w:val="006B5398"/>
    <w:rsid w:val="006B53C7"/>
    <w:rsid w:val="006B55A0"/>
    <w:rsid w:val="006B568D"/>
    <w:rsid w:val="006B56B8"/>
    <w:rsid w:val="006B583D"/>
    <w:rsid w:val="006B58A4"/>
    <w:rsid w:val="006B594B"/>
    <w:rsid w:val="006B59E2"/>
    <w:rsid w:val="006B5A9C"/>
    <w:rsid w:val="006B5AE6"/>
    <w:rsid w:val="006B5B37"/>
    <w:rsid w:val="006B5BF1"/>
    <w:rsid w:val="006B5BF5"/>
    <w:rsid w:val="006B5CA3"/>
    <w:rsid w:val="006B5F2E"/>
    <w:rsid w:val="006B6172"/>
    <w:rsid w:val="006B6309"/>
    <w:rsid w:val="006B638D"/>
    <w:rsid w:val="006B6432"/>
    <w:rsid w:val="006B6434"/>
    <w:rsid w:val="006B6567"/>
    <w:rsid w:val="006B6750"/>
    <w:rsid w:val="006B684F"/>
    <w:rsid w:val="006B68A8"/>
    <w:rsid w:val="006B69F8"/>
    <w:rsid w:val="006B6C9B"/>
    <w:rsid w:val="006B6CF5"/>
    <w:rsid w:val="006B6D2D"/>
    <w:rsid w:val="006B6D36"/>
    <w:rsid w:val="006B6DF3"/>
    <w:rsid w:val="006B6E48"/>
    <w:rsid w:val="006B7178"/>
    <w:rsid w:val="006B718E"/>
    <w:rsid w:val="006B71FD"/>
    <w:rsid w:val="006B7229"/>
    <w:rsid w:val="006B726C"/>
    <w:rsid w:val="006B72AC"/>
    <w:rsid w:val="006B73A0"/>
    <w:rsid w:val="006B73DD"/>
    <w:rsid w:val="006B7488"/>
    <w:rsid w:val="006B748C"/>
    <w:rsid w:val="006B74DD"/>
    <w:rsid w:val="006B75D5"/>
    <w:rsid w:val="006B75D6"/>
    <w:rsid w:val="006B75EA"/>
    <w:rsid w:val="006B7624"/>
    <w:rsid w:val="006B782E"/>
    <w:rsid w:val="006B7995"/>
    <w:rsid w:val="006B7A08"/>
    <w:rsid w:val="006B7BDC"/>
    <w:rsid w:val="006B7CB1"/>
    <w:rsid w:val="006B7E51"/>
    <w:rsid w:val="006B7E6C"/>
    <w:rsid w:val="006B7FBB"/>
    <w:rsid w:val="006C0004"/>
    <w:rsid w:val="006C0044"/>
    <w:rsid w:val="006C009F"/>
    <w:rsid w:val="006C00CD"/>
    <w:rsid w:val="006C0292"/>
    <w:rsid w:val="006C0342"/>
    <w:rsid w:val="006C034B"/>
    <w:rsid w:val="006C048A"/>
    <w:rsid w:val="006C0531"/>
    <w:rsid w:val="006C05C9"/>
    <w:rsid w:val="006C05DE"/>
    <w:rsid w:val="006C05ED"/>
    <w:rsid w:val="006C06C3"/>
    <w:rsid w:val="006C06F4"/>
    <w:rsid w:val="006C0901"/>
    <w:rsid w:val="006C0948"/>
    <w:rsid w:val="006C09BA"/>
    <w:rsid w:val="006C0A78"/>
    <w:rsid w:val="006C0C1D"/>
    <w:rsid w:val="006C0C70"/>
    <w:rsid w:val="006C0CC1"/>
    <w:rsid w:val="006C0DB8"/>
    <w:rsid w:val="006C0DC9"/>
    <w:rsid w:val="006C0E02"/>
    <w:rsid w:val="006C0E13"/>
    <w:rsid w:val="006C0ECA"/>
    <w:rsid w:val="006C0F07"/>
    <w:rsid w:val="006C0F5C"/>
    <w:rsid w:val="006C0FB9"/>
    <w:rsid w:val="006C12D4"/>
    <w:rsid w:val="006C136D"/>
    <w:rsid w:val="006C143C"/>
    <w:rsid w:val="006C14BD"/>
    <w:rsid w:val="006C164D"/>
    <w:rsid w:val="006C1705"/>
    <w:rsid w:val="006C1860"/>
    <w:rsid w:val="006C1977"/>
    <w:rsid w:val="006C1AEA"/>
    <w:rsid w:val="006C1C13"/>
    <w:rsid w:val="006C1CF2"/>
    <w:rsid w:val="006C1D40"/>
    <w:rsid w:val="006C1F6A"/>
    <w:rsid w:val="006C1FE9"/>
    <w:rsid w:val="006C20A4"/>
    <w:rsid w:val="006C212C"/>
    <w:rsid w:val="006C2206"/>
    <w:rsid w:val="006C22F3"/>
    <w:rsid w:val="006C2403"/>
    <w:rsid w:val="006C25B8"/>
    <w:rsid w:val="006C2771"/>
    <w:rsid w:val="006C286D"/>
    <w:rsid w:val="006C2937"/>
    <w:rsid w:val="006C2C1C"/>
    <w:rsid w:val="006C2DFE"/>
    <w:rsid w:val="006C2EB2"/>
    <w:rsid w:val="006C2F68"/>
    <w:rsid w:val="006C2F74"/>
    <w:rsid w:val="006C2FE3"/>
    <w:rsid w:val="006C300E"/>
    <w:rsid w:val="006C32EE"/>
    <w:rsid w:val="006C32FC"/>
    <w:rsid w:val="006C332F"/>
    <w:rsid w:val="006C34E0"/>
    <w:rsid w:val="006C3759"/>
    <w:rsid w:val="006C37AE"/>
    <w:rsid w:val="006C399F"/>
    <w:rsid w:val="006C39CB"/>
    <w:rsid w:val="006C3AD8"/>
    <w:rsid w:val="006C3BD0"/>
    <w:rsid w:val="006C3C5B"/>
    <w:rsid w:val="006C3F71"/>
    <w:rsid w:val="006C40AE"/>
    <w:rsid w:val="006C4412"/>
    <w:rsid w:val="006C441F"/>
    <w:rsid w:val="006C4434"/>
    <w:rsid w:val="006C47D7"/>
    <w:rsid w:val="006C49DF"/>
    <w:rsid w:val="006C4B62"/>
    <w:rsid w:val="006C4B88"/>
    <w:rsid w:val="006C4BF4"/>
    <w:rsid w:val="006C4EC9"/>
    <w:rsid w:val="006C5158"/>
    <w:rsid w:val="006C5167"/>
    <w:rsid w:val="006C518A"/>
    <w:rsid w:val="006C532C"/>
    <w:rsid w:val="006C53B7"/>
    <w:rsid w:val="006C548A"/>
    <w:rsid w:val="006C56C1"/>
    <w:rsid w:val="006C57D0"/>
    <w:rsid w:val="006C5900"/>
    <w:rsid w:val="006C5910"/>
    <w:rsid w:val="006C592D"/>
    <w:rsid w:val="006C596B"/>
    <w:rsid w:val="006C5B60"/>
    <w:rsid w:val="006C5C24"/>
    <w:rsid w:val="006C5D68"/>
    <w:rsid w:val="006C5D74"/>
    <w:rsid w:val="006C5D7D"/>
    <w:rsid w:val="006C5E38"/>
    <w:rsid w:val="006C5EA1"/>
    <w:rsid w:val="006C5EBC"/>
    <w:rsid w:val="006C5EF0"/>
    <w:rsid w:val="006C650F"/>
    <w:rsid w:val="006C65CB"/>
    <w:rsid w:val="006C6697"/>
    <w:rsid w:val="006C66B2"/>
    <w:rsid w:val="006C66B6"/>
    <w:rsid w:val="006C6702"/>
    <w:rsid w:val="006C6706"/>
    <w:rsid w:val="006C67BF"/>
    <w:rsid w:val="006C6863"/>
    <w:rsid w:val="006C68F3"/>
    <w:rsid w:val="006C6BE2"/>
    <w:rsid w:val="006C6C5F"/>
    <w:rsid w:val="006C6D29"/>
    <w:rsid w:val="006C6D3D"/>
    <w:rsid w:val="006C6E9D"/>
    <w:rsid w:val="006C774C"/>
    <w:rsid w:val="006C7799"/>
    <w:rsid w:val="006C7812"/>
    <w:rsid w:val="006C7832"/>
    <w:rsid w:val="006C7868"/>
    <w:rsid w:val="006C78E6"/>
    <w:rsid w:val="006C792A"/>
    <w:rsid w:val="006C7C8E"/>
    <w:rsid w:val="006C7CBE"/>
    <w:rsid w:val="006C7D18"/>
    <w:rsid w:val="006C7D76"/>
    <w:rsid w:val="006C7E0B"/>
    <w:rsid w:val="006D0106"/>
    <w:rsid w:val="006D026A"/>
    <w:rsid w:val="006D0297"/>
    <w:rsid w:val="006D02E3"/>
    <w:rsid w:val="006D032C"/>
    <w:rsid w:val="006D0427"/>
    <w:rsid w:val="006D0508"/>
    <w:rsid w:val="006D0526"/>
    <w:rsid w:val="006D05C2"/>
    <w:rsid w:val="006D06A2"/>
    <w:rsid w:val="006D06AA"/>
    <w:rsid w:val="006D0804"/>
    <w:rsid w:val="006D0896"/>
    <w:rsid w:val="006D0A15"/>
    <w:rsid w:val="006D0A36"/>
    <w:rsid w:val="006D0A93"/>
    <w:rsid w:val="006D0AD8"/>
    <w:rsid w:val="006D0C75"/>
    <w:rsid w:val="006D0DD6"/>
    <w:rsid w:val="006D0DDE"/>
    <w:rsid w:val="006D0DE9"/>
    <w:rsid w:val="006D0DF3"/>
    <w:rsid w:val="006D0E40"/>
    <w:rsid w:val="006D0F64"/>
    <w:rsid w:val="006D103A"/>
    <w:rsid w:val="006D1233"/>
    <w:rsid w:val="006D14A6"/>
    <w:rsid w:val="006D1561"/>
    <w:rsid w:val="006D15F4"/>
    <w:rsid w:val="006D17A1"/>
    <w:rsid w:val="006D1812"/>
    <w:rsid w:val="006D1879"/>
    <w:rsid w:val="006D18B3"/>
    <w:rsid w:val="006D1A93"/>
    <w:rsid w:val="006D1AC7"/>
    <w:rsid w:val="006D1ADE"/>
    <w:rsid w:val="006D1C09"/>
    <w:rsid w:val="006D1CC9"/>
    <w:rsid w:val="006D1EAE"/>
    <w:rsid w:val="006D1F91"/>
    <w:rsid w:val="006D1FF5"/>
    <w:rsid w:val="006D200B"/>
    <w:rsid w:val="006D24B3"/>
    <w:rsid w:val="006D24C6"/>
    <w:rsid w:val="006D261E"/>
    <w:rsid w:val="006D281D"/>
    <w:rsid w:val="006D2877"/>
    <w:rsid w:val="006D2880"/>
    <w:rsid w:val="006D2BA8"/>
    <w:rsid w:val="006D2C07"/>
    <w:rsid w:val="006D2D08"/>
    <w:rsid w:val="006D2E54"/>
    <w:rsid w:val="006D304A"/>
    <w:rsid w:val="006D318B"/>
    <w:rsid w:val="006D3243"/>
    <w:rsid w:val="006D3358"/>
    <w:rsid w:val="006D33D7"/>
    <w:rsid w:val="006D3537"/>
    <w:rsid w:val="006D3816"/>
    <w:rsid w:val="006D38F9"/>
    <w:rsid w:val="006D39E5"/>
    <w:rsid w:val="006D3A3B"/>
    <w:rsid w:val="006D3AAF"/>
    <w:rsid w:val="006D3ABE"/>
    <w:rsid w:val="006D3CA0"/>
    <w:rsid w:val="006D3DBD"/>
    <w:rsid w:val="006D3E65"/>
    <w:rsid w:val="006D3EB8"/>
    <w:rsid w:val="006D3EDA"/>
    <w:rsid w:val="006D4092"/>
    <w:rsid w:val="006D4095"/>
    <w:rsid w:val="006D40E6"/>
    <w:rsid w:val="006D4235"/>
    <w:rsid w:val="006D42B3"/>
    <w:rsid w:val="006D42BC"/>
    <w:rsid w:val="006D4345"/>
    <w:rsid w:val="006D435A"/>
    <w:rsid w:val="006D4372"/>
    <w:rsid w:val="006D4570"/>
    <w:rsid w:val="006D4602"/>
    <w:rsid w:val="006D4711"/>
    <w:rsid w:val="006D4768"/>
    <w:rsid w:val="006D4951"/>
    <w:rsid w:val="006D4953"/>
    <w:rsid w:val="006D49AD"/>
    <w:rsid w:val="006D4AAA"/>
    <w:rsid w:val="006D4C81"/>
    <w:rsid w:val="006D4E41"/>
    <w:rsid w:val="006D4E80"/>
    <w:rsid w:val="006D4F7F"/>
    <w:rsid w:val="006D4F9F"/>
    <w:rsid w:val="006D51BF"/>
    <w:rsid w:val="006D52B6"/>
    <w:rsid w:val="006D52BE"/>
    <w:rsid w:val="006D52FE"/>
    <w:rsid w:val="006D5460"/>
    <w:rsid w:val="006D548C"/>
    <w:rsid w:val="006D54D3"/>
    <w:rsid w:val="006D569F"/>
    <w:rsid w:val="006D572D"/>
    <w:rsid w:val="006D5881"/>
    <w:rsid w:val="006D588A"/>
    <w:rsid w:val="006D5AB3"/>
    <w:rsid w:val="006D5B5F"/>
    <w:rsid w:val="006D5C98"/>
    <w:rsid w:val="006D5CC3"/>
    <w:rsid w:val="006D5EAA"/>
    <w:rsid w:val="006D5EEB"/>
    <w:rsid w:val="006D5F21"/>
    <w:rsid w:val="006D6002"/>
    <w:rsid w:val="006D60BF"/>
    <w:rsid w:val="006D62B4"/>
    <w:rsid w:val="006D6309"/>
    <w:rsid w:val="006D6502"/>
    <w:rsid w:val="006D6530"/>
    <w:rsid w:val="006D6685"/>
    <w:rsid w:val="006D6716"/>
    <w:rsid w:val="006D6741"/>
    <w:rsid w:val="006D676F"/>
    <w:rsid w:val="006D67F3"/>
    <w:rsid w:val="006D6897"/>
    <w:rsid w:val="006D6A7A"/>
    <w:rsid w:val="006D6A99"/>
    <w:rsid w:val="006D6F0D"/>
    <w:rsid w:val="006D6F14"/>
    <w:rsid w:val="006D6FDF"/>
    <w:rsid w:val="006D7026"/>
    <w:rsid w:val="006D7057"/>
    <w:rsid w:val="006D7085"/>
    <w:rsid w:val="006D7173"/>
    <w:rsid w:val="006D7242"/>
    <w:rsid w:val="006D72AA"/>
    <w:rsid w:val="006D72F1"/>
    <w:rsid w:val="006D74B3"/>
    <w:rsid w:val="006D750A"/>
    <w:rsid w:val="006D75B9"/>
    <w:rsid w:val="006D773F"/>
    <w:rsid w:val="006D77B6"/>
    <w:rsid w:val="006D7866"/>
    <w:rsid w:val="006D78FB"/>
    <w:rsid w:val="006D79C6"/>
    <w:rsid w:val="006D7A70"/>
    <w:rsid w:val="006D7B37"/>
    <w:rsid w:val="006D7BEA"/>
    <w:rsid w:val="006D7BF0"/>
    <w:rsid w:val="006D7F59"/>
    <w:rsid w:val="006D7F70"/>
    <w:rsid w:val="006D7F7A"/>
    <w:rsid w:val="006D7FA8"/>
    <w:rsid w:val="006E00BD"/>
    <w:rsid w:val="006E00E9"/>
    <w:rsid w:val="006E0113"/>
    <w:rsid w:val="006E0492"/>
    <w:rsid w:val="006E0560"/>
    <w:rsid w:val="006E05A9"/>
    <w:rsid w:val="006E068E"/>
    <w:rsid w:val="006E0742"/>
    <w:rsid w:val="006E075A"/>
    <w:rsid w:val="006E07FE"/>
    <w:rsid w:val="006E0801"/>
    <w:rsid w:val="006E090C"/>
    <w:rsid w:val="006E091D"/>
    <w:rsid w:val="006E0B06"/>
    <w:rsid w:val="006E0B59"/>
    <w:rsid w:val="006E0DD5"/>
    <w:rsid w:val="006E0E83"/>
    <w:rsid w:val="006E0E87"/>
    <w:rsid w:val="006E0F93"/>
    <w:rsid w:val="006E0FAC"/>
    <w:rsid w:val="006E108B"/>
    <w:rsid w:val="006E1159"/>
    <w:rsid w:val="006E115D"/>
    <w:rsid w:val="006E12DC"/>
    <w:rsid w:val="006E1431"/>
    <w:rsid w:val="006E153F"/>
    <w:rsid w:val="006E1564"/>
    <w:rsid w:val="006E15B4"/>
    <w:rsid w:val="006E15D7"/>
    <w:rsid w:val="006E1871"/>
    <w:rsid w:val="006E18A8"/>
    <w:rsid w:val="006E18E6"/>
    <w:rsid w:val="006E19A6"/>
    <w:rsid w:val="006E19F5"/>
    <w:rsid w:val="006E1A97"/>
    <w:rsid w:val="006E1B4F"/>
    <w:rsid w:val="006E1BF7"/>
    <w:rsid w:val="006E1C55"/>
    <w:rsid w:val="006E1DE8"/>
    <w:rsid w:val="006E1ECD"/>
    <w:rsid w:val="006E1F8E"/>
    <w:rsid w:val="006E1FA0"/>
    <w:rsid w:val="006E1FE4"/>
    <w:rsid w:val="006E212B"/>
    <w:rsid w:val="006E2156"/>
    <w:rsid w:val="006E21D7"/>
    <w:rsid w:val="006E2201"/>
    <w:rsid w:val="006E2423"/>
    <w:rsid w:val="006E25B2"/>
    <w:rsid w:val="006E26BC"/>
    <w:rsid w:val="006E2701"/>
    <w:rsid w:val="006E2988"/>
    <w:rsid w:val="006E29B4"/>
    <w:rsid w:val="006E2B0B"/>
    <w:rsid w:val="006E2B29"/>
    <w:rsid w:val="006E2B4D"/>
    <w:rsid w:val="006E2BAB"/>
    <w:rsid w:val="006E2CF3"/>
    <w:rsid w:val="006E2EB5"/>
    <w:rsid w:val="006E2EE9"/>
    <w:rsid w:val="006E2F0E"/>
    <w:rsid w:val="006E2F7E"/>
    <w:rsid w:val="006E302F"/>
    <w:rsid w:val="006E305B"/>
    <w:rsid w:val="006E30A3"/>
    <w:rsid w:val="006E3199"/>
    <w:rsid w:val="006E31DE"/>
    <w:rsid w:val="006E3207"/>
    <w:rsid w:val="006E323B"/>
    <w:rsid w:val="006E3246"/>
    <w:rsid w:val="006E3314"/>
    <w:rsid w:val="006E33A1"/>
    <w:rsid w:val="006E3415"/>
    <w:rsid w:val="006E3704"/>
    <w:rsid w:val="006E3739"/>
    <w:rsid w:val="006E3A40"/>
    <w:rsid w:val="006E3C13"/>
    <w:rsid w:val="006E3C81"/>
    <w:rsid w:val="006E3D1C"/>
    <w:rsid w:val="006E3D47"/>
    <w:rsid w:val="006E3DF4"/>
    <w:rsid w:val="006E3E39"/>
    <w:rsid w:val="006E4408"/>
    <w:rsid w:val="006E46D1"/>
    <w:rsid w:val="006E46E6"/>
    <w:rsid w:val="006E486F"/>
    <w:rsid w:val="006E48E1"/>
    <w:rsid w:val="006E490B"/>
    <w:rsid w:val="006E4A9A"/>
    <w:rsid w:val="006E4AA7"/>
    <w:rsid w:val="006E4BE2"/>
    <w:rsid w:val="006E4C10"/>
    <w:rsid w:val="006E4F22"/>
    <w:rsid w:val="006E4FD8"/>
    <w:rsid w:val="006E5027"/>
    <w:rsid w:val="006E546A"/>
    <w:rsid w:val="006E55A3"/>
    <w:rsid w:val="006E55E8"/>
    <w:rsid w:val="006E5724"/>
    <w:rsid w:val="006E586D"/>
    <w:rsid w:val="006E5962"/>
    <w:rsid w:val="006E59C5"/>
    <w:rsid w:val="006E5B91"/>
    <w:rsid w:val="006E5B9E"/>
    <w:rsid w:val="006E5C11"/>
    <w:rsid w:val="006E5D4C"/>
    <w:rsid w:val="006E5D5D"/>
    <w:rsid w:val="006E5D7E"/>
    <w:rsid w:val="006E5DB5"/>
    <w:rsid w:val="006E5E18"/>
    <w:rsid w:val="006E5E8D"/>
    <w:rsid w:val="006E5FD6"/>
    <w:rsid w:val="006E608D"/>
    <w:rsid w:val="006E60AE"/>
    <w:rsid w:val="006E6267"/>
    <w:rsid w:val="006E6301"/>
    <w:rsid w:val="006E6435"/>
    <w:rsid w:val="006E64AA"/>
    <w:rsid w:val="006E6689"/>
    <w:rsid w:val="006E67BC"/>
    <w:rsid w:val="006E67DD"/>
    <w:rsid w:val="006E681A"/>
    <w:rsid w:val="006E6933"/>
    <w:rsid w:val="006E69E8"/>
    <w:rsid w:val="006E6A3D"/>
    <w:rsid w:val="006E6B78"/>
    <w:rsid w:val="006E6C08"/>
    <w:rsid w:val="006E6DC9"/>
    <w:rsid w:val="006E6E0E"/>
    <w:rsid w:val="006E6F45"/>
    <w:rsid w:val="006E6FE0"/>
    <w:rsid w:val="006E6FFB"/>
    <w:rsid w:val="006E7035"/>
    <w:rsid w:val="006E707D"/>
    <w:rsid w:val="006E7137"/>
    <w:rsid w:val="006E713C"/>
    <w:rsid w:val="006E717E"/>
    <w:rsid w:val="006E71FE"/>
    <w:rsid w:val="006E7291"/>
    <w:rsid w:val="006E733E"/>
    <w:rsid w:val="006E7535"/>
    <w:rsid w:val="006E7550"/>
    <w:rsid w:val="006E7557"/>
    <w:rsid w:val="006E7559"/>
    <w:rsid w:val="006E75E1"/>
    <w:rsid w:val="006E7822"/>
    <w:rsid w:val="006E7ADB"/>
    <w:rsid w:val="006E7CF8"/>
    <w:rsid w:val="006E7E13"/>
    <w:rsid w:val="006E7E2C"/>
    <w:rsid w:val="006E7F62"/>
    <w:rsid w:val="006F0050"/>
    <w:rsid w:val="006F005F"/>
    <w:rsid w:val="006F00CD"/>
    <w:rsid w:val="006F00F8"/>
    <w:rsid w:val="006F00FA"/>
    <w:rsid w:val="006F070E"/>
    <w:rsid w:val="006F0739"/>
    <w:rsid w:val="006F090C"/>
    <w:rsid w:val="006F0938"/>
    <w:rsid w:val="006F0A08"/>
    <w:rsid w:val="006F0AB1"/>
    <w:rsid w:val="006F0B49"/>
    <w:rsid w:val="006F0C1C"/>
    <w:rsid w:val="006F0C79"/>
    <w:rsid w:val="006F0EE8"/>
    <w:rsid w:val="006F1023"/>
    <w:rsid w:val="006F1059"/>
    <w:rsid w:val="006F11CB"/>
    <w:rsid w:val="006F1208"/>
    <w:rsid w:val="006F1229"/>
    <w:rsid w:val="006F146C"/>
    <w:rsid w:val="006F14DA"/>
    <w:rsid w:val="006F1582"/>
    <w:rsid w:val="006F1586"/>
    <w:rsid w:val="006F17BF"/>
    <w:rsid w:val="006F1842"/>
    <w:rsid w:val="006F1B82"/>
    <w:rsid w:val="006F1BB7"/>
    <w:rsid w:val="006F1BF6"/>
    <w:rsid w:val="006F1CC7"/>
    <w:rsid w:val="006F1D54"/>
    <w:rsid w:val="006F1D6C"/>
    <w:rsid w:val="006F1E5A"/>
    <w:rsid w:val="006F1E79"/>
    <w:rsid w:val="006F1EB5"/>
    <w:rsid w:val="006F1FFF"/>
    <w:rsid w:val="006F206F"/>
    <w:rsid w:val="006F20A4"/>
    <w:rsid w:val="006F22D9"/>
    <w:rsid w:val="006F23C4"/>
    <w:rsid w:val="006F24B2"/>
    <w:rsid w:val="006F2549"/>
    <w:rsid w:val="006F26B0"/>
    <w:rsid w:val="006F27C1"/>
    <w:rsid w:val="006F2872"/>
    <w:rsid w:val="006F28D4"/>
    <w:rsid w:val="006F2966"/>
    <w:rsid w:val="006F2985"/>
    <w:rsid w:val="006F2A0D"/>
    <w:rsid w:val="006F2AF4"/>
    <w:rsid w:val="006F2C97"/>
    <w:rsid w:val="006F2D2C"/>
    <w:rsid w:val="006F2D5F"/>
    <w:rsid w:val="006F2E28"/>
    <w:rsid w:val="006F2F62"/>
    <w:rsid w:val="006F2FF9"/>
    <w:rsid w:val="006F301E"/>
    <w:rsid w:val="006F309A"/>
    <w:rsid w:val="006F3105"/>
    <w:rsid w:val="006F3176"/>
    <w:rsid w:val="006F3178"/>
    <w:rsid w:val="006F325E"/>
    <w:rsid w:val="006F329C"/>
    <w:rsid w:val="006F335F"/>
    <w:rsid w:val="006F336F"/>
    <w:rsid w:val="006F33DA"/>
    <w:rsid w:val="006F33E6"/>
    <w:rsid w:val="006F33F4"/>
    <w:rsid w:val="006F355C"/>
    <w:rsid w:val="006F368B"/>
    <w:rsid w:val="006F36C9"/>
    <w:rsid w:val="006F3796"/>
    <w:rsid w:val="006F37CF"/>
    <w:rsid w:val="006F38DD"/>
    <w:rsid w:val="006F3A99"/>
    <w:rsid w:val="006F3AD7"/>
    <w:rsid w:val="006F3B79"/>
    <w:rsid w:val="006F3BCA"/>
    <w:rsid w:val="006F3D2E"/>
    <w:rsid w:val="006F3DF1"/>
    <w:rsid w:val="006F3EAB"/>
    <w:rsid w:val="006F3F4D"/>
    <w:rsid w:val="006F40E9"/>
    <w:rsid w:val="006F4563"/>
    <w:rsid w:val="006F464D"/>
    <w:rsid w:val="006F46A8"/>
    <w:rsid w:val="006F46DB"/>
    <w:rsid w:val="006F48F8"/>
    <w:rsid w:val="006F494F"/>
    <w:rsid w:val="006F49DE"/>
    <w:rsid w:val="006F4EED"/>
    <w:rsid w:val="006F4F87"/>
    <w:rsid w:val="006F4FC8"/>
    <w:rsid w:val="006F4FF4"/>
    <w:rsid w:val="006F5066"/>
    <w:rsid w:val="006F52AB"/>
    <w:rsid w:val="006F5387"/>
    <w:rsid w:val="006F53AE"/>
    <w:rsid w:val="006F53EA"/>
    <w:rsid w:val="006F542D"/>
    <w:rsid w:val="006F5477"/>
    <w:rsid w:val="006F5539"/>
    <w:rsid w:val="006F56BF"/>
    <w:rsid w:val="006F57B5"/>
    <w:rsid w:val="006F57C7"/>
    <w:rsid w:val="006F58FA"/>
    <w:rsid w:val="006F59AF"/>
    <w:rsid w:val="006F5ACD"/>
    <w:rsid w:val="006F5B52"/>
    <w:rsid w:val="006F5CB0"/>
    <w:rsid w:val="006F5EE5"/>
    <w:rsid w:val="006F626C"/>
    <w:rsid w:val="006F634D"/>
    <w:rsid w:val="006F641F"/>
    <w:rsid w:val="006F67F5"/>
    <w:rsid w:val="006F6897"/>
    <w:rsid w:val="006F6950"/>
    <w:rsid w:val="006F695D"/>
    <w:rsid w:val="006F6993"/>
    <w:rsid w:val="006F6AFA"/>
    <w:rsid w:val="006F6B8D"/>
    <w:rsid w:val="006F6D10"/>
    <w:rsid w:val="006F6D8F"/>
    <w:rsid w:val="006F715C"/>
    <w:rsid w:val="006F7366"/>
    <w:rsid w:val="006F74AD"/>
    <w:rsid w:val="006F7545"/>
    <w:rsid w:val="006F755D"/>
    <w:rsid w:val="006F766D"/>
    <w:rsid w:val="006F7783"/>
    <w:rsid w:val="006F7A87"/>
    <w:rsid w:val="006F7B15"/>
    <w:rsid w:val="006F7B6C"/>
    <w:rsid w:val="006F7D58"/>
    <w:rsid w:val="006F7EB2"/>
    <w:rsid w:val="00700100"/>
    <w:rsid w:val="00700109"/>
    <w:rsid w:val="0070010C"/>
    <w:rsid w:val="00700244"/>
    <w:rsid w:val="00700295"/>
    <w:rsid w:val="007003A0"/>
    <w:rsid w:val="007003FE"/>
    <w:rsid w:val="0070046A"/>
    <w:rsid w:val="007004BD"/>
    <w:rsid w:val="0070059C"/>
    <w:rsid w:val="007005B0"/>
    <w:rsid w:val="00700634"/>
    <w:rsid w:val="007006B3"/>
    <w:rsid w:val="007008A5"/>
    <w:rsid w:val="007009EB"/>
    <w:rsid w:val="00700A13"/>
    <w:rsid w:val="00700A1C"/>
    <w:rsid w:val="00700AC5"/>
    <w:rsid w:val="00700BBB"/>
    <w:rsid w:val="00700BF9"/>
    <w:rsid w:val="00700D11"/>
    <w:rsid w:val="00700F33"/>
    <w:rsid w:val="00700F3A"/>
    <w:rsid w:val="00701096"/>
    <w:rsid w:val="007010D8"/>
    <w:rsid w:val="007014FA"/>
    <w:rsid w:val="00701548"/>
    <w:rsid w:val="007015E0"/>
    <w:rsid w:val="00701641"/>
    <w:rsid w:val="00701710"/>
    <w:rsid w:val="007017AD"/>
    <w:rsid w:val="0070190E"/>
    <w:rsid w:val="00701932"/>
    <w:rsid w:val="007019F7"/>
    <w:rsid w:val="00701A6F"/>
    <w:rsid w:val="00701B76"/>
    <w:rsid w:val="00701DF0"/>
    <w:rsid w:val="00701DF1"/>
    <w:rsid w:val="00701E50"/>
    <w:rsid w:val="00701FF1"/>
    <w:rsid w:val="00702117"/>
    <w:rsid w:val="0070224C"/>
    <w:rsid w:val="00702299"/>
    <w:rsid w:val="007022A9"/>
    <w:rsid w:val="007023B5"/>
    <w:rsid w:val="007023C6"/>
    <w:rsid w:val="007023F1"/>
    <w:rsid w:val="00702495"/>
    <w:rsid w:val="00702630"/>
    <w:rsid w:val="007026B2"/>
    <w:rsid w:val="0070273E"/>
    <w:rsid w:val="007028C8"/>
    <w:rsid w:val="0070290E"/>
    <w:rsid w:val="00702BD7"/>
    <w:rsid w:val="00702C06"/>
    <w:rsid w:val="00702CFA"/>
    <w:rsid w:val="00702DC7"/>
    <w:rsid w:val="00703029"/>
    <w:rsid w:val="00703139"/>
    <w:rsid w:val="00703657"/>
    <w:rsid w:val="007036C0"/>
    <w:rsid w:val="0070375E"/>
    <w:rsid w:val="0070390D"/>
    <w:rsid w:val="00703983"/>
    <w:rsid w:val="007039FE"/>
    <w:rsid w:val="00703A3A"/>
    <w:rsid w:val="00703AF8"/>
    <w:rsid w:val="00703D05"/>
    <w:rsid w:val="00703D1C"/>
    <w:rsid w:val="00703E2E"/>
    <w:rsid w:val="00703E6B"/>
    <w:rsid w:val="00703EA4"/>
    <w:rsid w:val="00703F83"/>
    <w:rsid w:val="00703FFC"/>
    <w:rsid w:val="0070401B"/>
    <w:rsid w:val="0070410C"/>
    <w:rsid w:val="00704284"/>
    <w:rsid w:val="00704337"/>
    <w:rsid w:val="007044C4"/>
    <w:rsid w:val="007044DF"/>
    <w:rsid w:val="00704513"/>
    <w:rsid w:val="007045AB"/>
    <w:rsid w:val="00704614"/>
    <w:rsid w:val="0070467C"/>
    <w:rsid w:val="0070468D"/>
    <w:rsid w:val="00704824"/>
    <w:rsid w:val="00704873"/>
    <w:rsid w:val="00704925"/>
    <w:rsid w:val="00704A05"/>
    <w:rsid w:val="00704C7E"/>
    <w:rsid w:val="00704CF7"/>
    <w:rsid w:val="00704D47"/>
    <w:rsid w:val="00704D54"/>
    <w:rsid w:val="00705212"/>
    <w:rsid w:val="00705306"/>
    <w:rsid w:val="00705371"/>
    <w:rsid w:val="007054A2"/>
    <w:rsid w:val="007054AC"/>
    <w:rsid w:val="00705640"/>
    <w:rsid w:val="007056D7"/>
    <w:rsid w:val="00705772"/>
    <w:rsid w:val="00705824"/>
    <w:rsid w:val="00705873"/>
    <w:rsid w:val="007058C0"/>
    <w:rsid w:val="00705ACF"/>
    <w:rsid w:val="00705B26"/>
    <w:rsid w:val="00705B91"/>
    <w:rsid w:val="00705E71"/>
    <w:rsid w:val="00705F7D"/>
    <w:rsid w:val="007060AE"/>
    <w:rsid w:val="00706122"/>
    <w:rsid w:val="00706344"/>
    <w:rsid w:val="0070656D"/>
    <w:rsid w:val="0070665F"/>
    <w:rsid w:val="00706715"/>
    <w:rsid w:val="00706756"/>
    <w:rsid w:val="0070678B"/>
    <w:rsid w:val="00706793"/>
    <w:rsid w:val="007067D1"/>
    <w:rsid w:val="007067E4"/>
    <w:rsid w:val="007067F2"/>
    <w:rsid w:val="00706838"/>
    <w:rsid w:val="00706A4F"/>
    <w:rsid w:val="00706BFD"/>
    <w:rsid w:val="00706C5C"/>
    <w:rsid w:val="00706D04"/>
    <w:rsid w:val="00706EC2"/>
    <w:rsid w:val="00706FF1"/>
    <w:rsid w:val="00707091"/>
    <w:rsid w:val="0070710A"/>
    <w:rsid w:val="00707150"/>
    <w:rsid w:val="007071DB"/>
    <w:rsid w:val="007073BE"/>
    <w:rsid w:val="00707774"/>
    <w:rsid w:val="0070788A"/>
    <w:rsid w:val="00707A78"/>
    <w:rsid w:val="00707B20"/>
    <w:rsid w:val="00707BF8"/>
    <w:rsid w:val="00707C6B"/>
    <w:rsid w:val="00707D10"/>
    <w:rsid w:val="00707DEE"/>
    <w:rsid w:val="007102DA"/>
    <w:rsid w:val="00710336"/>
    <w:rsid w:val="00710365"/>
    <w:rsid w:val="0071036D"/>
    <w:rsid w:val="007103F4"/>
    <w:rsid w:val="00710444"/>
    <w:rsid w:val="00710477"/>
    <w:rsid w:val="007104E0"/>
    <w:rsid w:val="007104FE"/>
    <w:rsid w:val="00710506"/>
    <w:rsid w:val="0071079F"/>
    <w:rsid w:val="0071085D"/>
    <w:rsid w:val="00710A3B"/>
    <w:rsid w:val="00710B0E"/>
    <w:rsid w:val="00710B7F"/>
    <w:rsid w:val="00710C8A"/>
    <w:rsid w:val="00710CCF"/>
    <w:rsid w:val="00710DD5"/>
    <w:rsid w:val="00710DF7"/>
    <w:rsid w:val="00710E52"/>
    <w:rsid w:val="00710E6D"/>
    <w:rsid w:val="00710EAE"/>
    <w:rsid w:val="00710EC7"/>
    <w:rsid w:val="00710F70"/>
    <w:rsid w:val="00710F9B"/>
    <w:rsid w:val="0071125A"/>
    <w:rsid w:val="00711269"/>
    <w:rsid w:val="00711366"/>
    <w:rsid w:val="00711545"/>
    <w:rsid w:val="00711577"/>
    <w:rsid w:val="007116AB"/>
    <w:rsid w:val="00711725"/>
    <w:rsid w:val="0071182E"/>
    <w:rsid w:val="00711885"/>
    <w:rsid w:val="00711930"/>
    <w:rsid w:val="007119A2"/>
    <w:rsid w:val="00711A5A"/>
    <w:rsid w:val="00711AAA"/>
    <w:rsid w:val="00711B26"/>
    <w:rsid w:val="00711C18"/>
    <w:rsid w:val="00711C4D"/>
    <w:rsid w:val="00711C74"/>
    <w:rsid w:val="00711DDE"/>
    <w:rsid w:val="007121A7"/>
    <w:rsid w:val="007121F8"/>
    <w:rsid w:val="00712348"/>
    <w:rsid w:val="007123CC"/>
    <w:rsid w:val="00712415"/>
    <w:rsid w:val="00712662"/>
    <w:rsid w:val="0071267C"/>
    <w:rsid w:val="0071278A"/>
    <w:rsid w:val="0071289F"/>
    <w:rsid w:val="00712A31"/>
    <w:rsid w:val="00712A48"/>
    <w:rsid w:val="00712ABC"/>
    <w:rsid w:val="00712B20"/>
    <w:rsid w:val="00712B94"/>
    <w:rsid w:val="00712F6D"/>
    <w:rsid w:val="00712F88"/>
    <w:rsid w:val="0071303E"/>
    <w:rsid w:val="007131A4"/>
    <w:rsid w:val="007131E1"/>
    <w:rsid w:val="00713290"/>
    <w:rsid w:val="00713302"/>
    <w:rsid w:val="00713745"/>
    <w:rsid w:val="0071388E"/>
    <w:rsid w:val="007138AD"/>
    <w:rsid w:val="00713917"/>
    <w:rsid w:val="007139C1"/>
    <w:rsid w:val="00713A84"/>
    <w:rsid w:val="00713AF9"/>
    <w:rsid w:val="00713C45"/>
    <w:rsid w:val="00713D14"/>
    <w:rsid w:val="00713D23"/>
    <w:rsid w:val="00713D83"/>
    <w:rsid w:val="00713E5E"/>
    <w:rsid w:val="00713E6B"/>
    <w:rsid w:val="00713EA5"/>
    <w:rsid w:val="00713EB3"/>
    <w:rsid w:val="00714018"/>
    <w:rsid w:val="00714110"/>
    <w:rsid w:val="007141C5"/>
    <w:rsid w:val="007141DD"/>
    <w:rsid w:val="007141E8"/>
    <w:rsid w:val="0071421E"/>
    <w:rsid w:val="00714449"/>
    <w:rsid w:val="007144F1"/>
    <w:rsid w:val="0071454D"/>
    <w:rsid w:val="007145C5"/>
    <w:rsid w:val="0071467D"/>
    <w:rsid w:val="00714A45"/>
    <w:rsid w:val="00714A87"/>
    <w:rsid w:val="00714A9E"/>
    <w:rsid w:val="00714BA6"/>
    <w:rsid w:val="00714C1B"/>
    <w:rsid w:val="00714F22"/>
    <w:rsid w:val="00715114"/>
    <w:rsid w:val="007151AB"/>
    <w:rsid w:val="007151CC"/>
    <w:rsid w:val="007152CF"/>
    <w:rsid w:val="0071559F"/>
    <w:rsid w:val="0071560F"/>
    <w:rsid w:val="007156A6"/>
    <w:rsid w:val="00715776"/>
    <w:rsid w:val="007157BD"/>
    <w:rsid w:val="007157CF"/>
    <w:rsid w:val="0071589E"/>
    <w:rsid w:val="0071593A"/>
    <w:rsid w:val="00715983"/>
    <w:rsid w:val="0071598B"/>
    <w:rsid w:val="00715A0B"/>
    <w:rsid w:val="00715AE6"/>
    <w:rsid w:val="00715B80"/>
    <w:rsid w:val="00715D81"/>
    <w:rsid w:val="00715E18"/>
    <w:rsid w:val="00715E8E"/>
    <w:rsid w:val="00715EBE"/>
    <w:rsid w:val="00715F15"/>
    <w:rsid w:val="0071605F"/>
    <w:rsid w:val="00716061"/>
    <w:rsid w:val="007160A9"/>
    <w:rsid w:val="007161AF"/>
    <w:rsid w:val="00716259"/>
    <w:rsid w:val="00716281"/>
    <w:rsid w:val="0071628F"/>
    <w:rsid w:val="00716720"/>
    <w:rsid w:val="0071689D"/>
    <w:rsid w:val="007168C1"/>
    <w:rsid w:val="00716944"/>
    <w:rsid w:val="007169EB"/>
    <w:rsid w:val="00716A61"/>
    <w:rsid w:val="00716A66"/>
    <w:rsid w:val="00716AF8"/>
    <w:rsid w:val="00716B1A"/>
    <w:rsid w:val="00716BB9"/>
    <w:rsid w:val="00716DEF"/>
    <w:rsid w:val="00716ED4"/>
    <w:rsid w:val="00717148"/>
    <w:rsid w:val="0071733E"/>
    <w:rsid w:val="00717576"/>
    <w:rsid w:val="0071759A"/>
    <w:rsid w:val="007175A5"/>
    <w:rsid w:val="00717693"/>
    <w:rsid w:val="007177F0"/>
    <w:rsid w:val="00717993"/>
    <w:rsid w:val="00717B26"/>
    <w:rsid w:val="00717BB3"/>
    <w:rsid w:val="00717C30"/>
    <w:rsid w:val="00717FD8"/>
    <w:rsid w:val="00720067"/>
    <w:rsid w:val="00720071"/>
    <w:rsid w:val="0072012C"/>
    <w:rsid w:val="007201D3"/>
    <w:rsid w:val="0072022E"/>
    <w:rsid w:val="007202B9"/>
    <w:rsid w:val="00720368"/>
    <w:rsid w:val="007203A6"/>
    <w:rsid w:val="0072048F"/>
    <w:rsid w:val="00720573"/>
    <w:rsid w:val="0072067B"/>
    <w:rsid w:val="0072069A"/>
    <w:rsid w:val="007206E9"/>
    <w:rsid w:val="007207C0"/>
    <w:rsid w:val="007207E7"/>
    <w:rsid w:val="00720875"/>
    <w:rsid w:val="0072089E"/>
    <w:rsid w:val="00720B22"/>
    <w:rsid w:val="00720B51"/>
    <w:rsid w:val="00720BBE"/>
    <w:rsid w:val="00720CF2"/>
    <w:rsid w:val="00720D68"/>
    <w:rsid w:val="00720E94"/>
    <w:rsid w:val="00720F64"/>
    <w:rsid w:val="00720FF5"/>
    <w:rsid w:val="007210ED"/>
    <w:rsid w:val="00721110"/>
    <w:rsid w:val="00721126"/>
    <w:rsid w:val="00721144"/>
    <w:rsid w:val="00721287"/>
    <w:rsid w:val="00721359"/>
    <w:rsid w:val="00721360"/>
    <w:rsid w:val="00721454"/>
    <w:rsid w:val="00721471"/>
    <w:rsid w:val="00721642"/>
    <w:rsid w:val="0072177E"/>
    <w:rsid w:val="007217D5"/>
    <w:rsid w:val="007217DF"/>
    <w:rsid w:val="00721810"/>
    <w:rsid w:val="0072183D"/>
    <w:rsid w:val="007218A6"/>
    <w:rsid w:val="0072197E"/>
    <w:rsid w:val="00721A30"/>
    <w:rsid w:val="00721A92"/>
    <w:rsid w:val="00721A9E"/>
    <w:rsid w:val="00721B47"/>
    <w:rsid w:val="00721C1E"/>
    <w:rsid w:val="00721C2A"/>
    <w:rsid w:val="00721CE2"/>
    <w:rsid w:val="00721D04"/>
    <w:rsid w:val="00721DD9"/>
    <w:rsid w:val="00721E3B"/>
    <w:rsid w:val="00721E66"/>
    <w:rsid w:val="00721F7C"/>
    <w:rsid w:val="00721FF9"/>
    <w:rsid w:val="007220FC"/>
    <w:rsid w:val="00722145"/>
    <w:rsid w:val="007221C8"/>
    <w:rsid w:val="007222CB"/>
    <w:rsid w:val="00722319"/>
    <w:rsid w:val="00722442"/>
    <w:rsid w:val="00722487"/>
    <w:rsid w:val="007224EE"/>
    <w:rsid w:val="00722594"/>
    <w:rsid w:val="00722B2A"/>
    <w:rsid w:val="00722B4C"/>
    <w:rsid w:val="00722CA1"/>
    <w:rsid w:val="00722E09"/>
    <w:rsid w:val="0072303B"/>
    <w:rsid w:val="0072315B"/>
    <w:rsid w:val="007232FD"/>
    <w:rsid w:val="007233FF"/>
    <w:rsid w:val="00723488"/>
    <w:rsid w:val="00723491"/>
    <w:rsid w:val="007235B2"/>
    <w:rsid w:val="0072372A"/>
    <w:rsid w:val="0072372C"/>
    <w:rsid w:val="00723784"/>
    <w:rsid w:val="007237AF"/>
    <w:rsid w:val="007238AC"/>
    <w:rsid w:val="00723A79"/>
    <w:rsid w:val="00723CCC"/>
    <w:rsid w:val="00723E6D"/>
    <w:rsid w:val="00723EB6"/>
    <w:rsid w:val="00723EE5"/>
    <w:rsid w:val="00723F91"/>
    <w:rsid w:val="00723FC1"/>
    <w:rsid w:val="0072409E"/>
    <w:rsid w:val="007240CB"/>
    <w:rsid w:val="007241DE"/>
    <w:rsid w:val="00724414"/>
    <w:rsid w:val="00724440"/>
    <w:rsid w:val="00724480"/>
    <w:rsid w:val="00724501"/>
    <w:rsid w:val="007245D0"/>
    <w:rsid w:val="0072460D"/>
    <w:rsid w:val="007248AA"/>
    <w:rsid w:val="007249C5"/>
    <w:rsid w:val="007249DD"/>
    <w:rsid w:val="00724CC8"/>
    <w:rsid w:val="00724DA5"/>
    <w:rsid w:val="0072525C"/>
    <w:rsid w:val="00725262"/>
    <w:rsid w:val="007253B4"/>
    <w:rsid w:val="007253F6"/>
    <w:rsid w:val="00725423"/>
    <w:rsid w:val="00725560"/>
    <w:rsid w:val="00725570"/>
    <w:rsid w:val="00725925"/>
    <w:rsid w:val="00725A59"/>
    <w:rsid w:val="00725D32"/>
    <w:rsid w:val="00725D36"/>
    <w:rsid w:val="00725F59"/>
    <w:rsid w:val="00725FCC"/>
    <w:rsid w:val="00726093"/>
    <w:rsid w:val="00726204"/>
    <w:rsid w:val="007262B4"/>
    <w:rsid w:val="00726306"/>
    <w:rsid w:val="00726461"/>
    <w:rsid w:val="0072646F"/>
    <w:rsid w:val="00726576"/>
    <w:rsid w:val="007265AD"/>
    <w:rsid w:val="007267B9"/>
    <w:rsid w:val="007268D6"/>
    <w:rsid w:val="007268DE"/>
    <w:rsid w:val="00726961"/>
    <w:rsid w:val="00726B36"/>
    <w:rsid w:val="00726E00"/>
    <w:rsid w:val="00726E53"/>
    <w:rsid w:val="00726E97"/>
    <w:rsid w:val="00726EFD"/>
    <w:rsid w:val="00726F6D"/>
    <w:rsid w:val="00726F90"/>
    <w:rsid w:val="00727168"/>
    <w:rsid w:val="00727170"/>
    <w:rsid w:val="007271DA"/>
    <w:rsid w:val="007271E2"/>
    <w:rsid w:val="00727262"/>
    <w:rsid w:val="007272DB"/>
    <w:rsid w:val="0072732E"/>
    <w:rsid w:val="0072736D"/>
    <w:rsid w:val="0072746A"/>
    <w:rsid w:val="00727657"/>
    <w:rsid w:val="00727865"/>
    <w:rsid w:val="00727884"/>
    <w:rsid w:val="007278A8"/>
    <w:rsid w:val="00727ABA"/>
    <w:rsid w:val="00727C0D"/>
    <w:rsid w:val="00727C82"/>
    <w:rsid w:val="007300E5"/>
    <w:rsid w:val="0073010F"/>
    <w:rsid w:val="007301D5"/>
    <w:rsid w:val="007302B7"/>
    <w:rsid w:val="00730315"/>
    <w:rsid w:val="0073038D"/>
    <w:rsid w:val="0073057C"/>
    <w:rsid w:val="00730651"/>
    <w:rsid w:val="007306AD"/>
    <w:rsid w:val="007306B4"/>
    <w:rsid w:val="007306BF"/>
    <w:rsid w:val="0073078B"/>
    <w:rsid w:val="007307B3"/>
    <w:rsid w:val="0073086C"/>
    <w:rsid w:val="00730965"/>
    <w:rsid w:val="00730A15"/>
    <w:rsid w:val="00730A6C"/>
    <w:rsid w:val="00730AE7"/>
    <w:rsid w:val="00730B4D"/>
    <w:rsid w:val="00730C08"/>
    <w:rsid w:val="00730EC8"/>
    <w:rsid w:val="00731080"/>
    <w:rsid w:val="00731156"/>
    <w:rsid w:val="00731231"/>
    <w:rsid w:val="0073124D"/>
    <w:rsid w:val="0073128C"/>
    <w:rsid w:val="007313BF"/>
    <w:rsid w:val="0073152B"/>
    <w:rsid w:val="007316A0"/>
    <w:rsid w:val="00731881"/>
    <w:rsid w:val="00731923"/>
    <w:rsid w:val="00731AFD"/>
    <w:rsid w:val="00731B36"/>
    <w:rsid w:val="00731B89"/>
    <w:rsid w:val="00731B9E"/>
    <w:rsid w:val="00731CA7"/>
    <w:rsid w:val="00731D4F"/>
    <w:rsid w:val="00731E5F"/>
    <w:rsid w:val="00731F96"/>
    <w:rsid w:val="00731FDF"/>
    <w:rsid w:val="007321C2"/>
    <w:rsid w:val="007323C3"/>
    <w:rsid w:val="00732462"/>
    <w:rsid w:val="00732491"/>
    <w:rsid w:val="007324A8"/>
    <w:rsid w:val="0073267C"/>
    <w:rsid w:val="007327F8"/>
    <w:rsid w:val="007329EF"/>
    <w:rsid w:val="00732A19"/>
    <w:rsid w:val="00732A51"/>
    <w:rsid w:val="00732AC8"/>
    <w:rsid w:val="00732B16"/>
    <w:rsid w:val="00732B5E"/>
    <w:rsid w:val="00732B7E"/>
    <w:rsid w:val="00732DBD"/>
    <w:rsid w:val="00732E97"/>
    <w:rsid w:val="00732EA0"/>
    <w:rsid w:val="00732F1C"/>
    <w:rsid w:val="00732F47"/>
    <w:rsid w:val="00732F94"/>
    <w:rsid w:val="0073322A"/>
    <w:rsid w:val="00733349"/>
    <w:rsid w:val="007333CB"/>
    <w:rsid w:val="00733484"/>
    <w:rsid w:val="00733509"/>
    <w:rsid w:val="007336E6"/>
    <w:rsid w:val="007336F8"/>
    <w:rsid w:val="00733735"/>
    <w:rsid w:val="00733797"/>
    <w:rsid w:val="007337AD"/>
    <w:rsid w:val="007337B0"/>
    <w:rsid w:val="0073386C"/>
    <w:rsid w:val="0073389A"/>
    <w:rsid w:val="007339C1"/>
    <w:rsid w:val="007339F4"/>
    <w:rsid w:val="00733A50"/>
    <w:rsid w:val="00733B39"/>
    <w:rsid w:val="00733C29"/>
    <w:rsid w:val="00733C45"/>
    <w:rsid w:val="00733C49"/>
    <w:rsid w:val="00733CBC"/>
    <w:rsid w:val="00733D59"/>
    <w:rsid w:val="00733DD3"/>
    <w:rsid w:val="00733E05"/>
    <w:rsid w:val="00733E89"/>
    <w:rsid w:val="00733F4E"/>
    <w:rsid w:val="00734256"/>
    <w:rsid w:val="007344E6"/>
    <w:rsid w:val="00734574"/>
    <w:rsid w:val="0073462B"/>
    <w:rsid w:val="007346AB"/>
    <w:rsid w:val="00734809"/>
    <w:rsid w:val="007349CA"/>
    <w:rsid w:val="007349DB"/>
    <w:rsid w:val="00734A00"/>
    <w:rsid w:val="00734A04"/>
    <w:rsid w:val="00734A50"/>
    <w:rsid w:val="00734AEE"/>
    <w:rsid w:val="00734BB7"/>
    <w:rsid w:val="00734CE3"/>
    <w:rsid w:val="00734D92"/>
    <w:rsid w:val="00735008"/>
    <w:rsid w:val="0073531C"/>
    <w:rsid w:val="007353A4"/>
    <w:rsid w:val="00735456"/>
    <w:rsid w:val="007354C8"/>
    <w:rsid w:val="007355CE"/>
    <w:rsid w:val="00735807"/>
    <w:rsid w:val="0073582A"/>
    <w:rsid w:val="007359DA"/>
    <w:rsid w:val="00735B93"/>
    <w:rsid w:val="00735C41"/>
    <w:rsid w:val="00735C51"/>
    <w:rsid w:val="00735CAC"/>
    <w:rsid w:val="007360FC"/>
    <w:rsid w:val="00736305"/>
    <w:rsid w:val="00736564"/>
    <w:rsid w:val="007366E8"/>
    <w:rsid w:val="0073676D"/>
    <w:rsid w:val="00736832"/>
    <w:rsid w:val="007368D3"/>
    <w:rsid w:val="00736B2D"/>
    <w:rsid w:val="00736BE7"/>
    <w:rsid w:val="00736CAF"/>
    <w:rsid w:val="00736CC4"/>
    <w:rsid w:val="00736DF8"/>
    <w:rsid w:val="00736E97"/>
    <w:rsid w:val="00736EBF"/>
    <w:rsid w:val="00736EF1"/>
    <w:rsid w:val="00736F98"/>
    <w:rsid w:val="007370DD"/>
    <w:rsid w:val="00737349"/>
    <w:rsid w:val="0073737F"/>
    <w:rsid w:val="00737408"/>
    <w:rsid w:val="007374EA"/>
    <w:rsid w:val="0073750C"/>
    <w:rsid w:val="0073753F"/>
    <w:rsid w:val="0073756D"/>
    <w:rsid w:val="0073775A"/>
    <w:rsid w:val="007377A6"/>
    <w:rsid w:val="007377B0"/>
    <w:rsid w:val="00737835"/>
    <w:rsid w:val="0073797B"/>
    <w:rsid w:val="0073799F"/>
    <w:rsid w:val="00737A19"/>
    <w:rsid w:val="00737A96"/>
    <w:rsid w:val="00737B04"/>
    <w:rsid w:val="00737B55"/>
    <w:rsid w:val="00737B93"/>
    <w:rsid w:val="00737BBE"/>
    <w:rsid w:val="00737C0F"/>
    <w:rsid w:val="00737C83"/>
    <w:rsid w:val="00737C89"/>
    <w:rsid w:val="00737CB8"/>
    <w:rsid w:val="00737D90"/>
    <w:rsid w:val="00737E71"/>
    <w:rsid w:val="00737FB1"/>
    <w:rsid w:val="0074007A"/>
    <w:rsid w:val="007400C7"/>
    <w:rsid w:val="00740311"/>
    <w:rsid w:val="0074036D"/>
    <w:rsid w:val="00740420"/>
    <w:rsid w:val="007404CE"/>
    <w:rsid w:val="007405AD"/>
    <w:rsid w:val="007405B8"/>
    <w:rsid w:val="00740621"/>
    <w:rsid w:val="00740627"/>
    <w:rsid w:val="00740809"/>
    <w:rsid w:val="0074098B"/>
    <w:rsid w:val="00740B25"/>
    <w:rsid w:val="00740C36"/>
    <w:rsid w:val="00740E0E"/>
    <w:rsid w:val="00740E8A"/>
    <w:rsid w:val="007410A9"/>
    <w:rsid w:val="0074115C"/>
    <w:rsid w:val="007411A0"/>
    <w:rsid w:val="00741261"/>
    <w:rsid w:val="00741266"/>
    <w:rsid w:val="00741321"/>
    <w:rsid w:val="00741453"/>
    <w:rsid w:val="0074157F"/>
    <w:rsid w:val="00741663"/>
    <w:rsid w:val="00741759"/>
    <w:rsid w:val="007417AA"/>
    <w:rsid w:val="00741861"/>
    <w:rsid w:val="007418E2"/>
    <w:rsid w:val="00741975"/>
    <w:rsid w:val="00741AB8"/>
    <w:rsid w:val="00741CD6"/>
    <w:rsid w:val="00741E4B"/>
    <w:rsid w:val="00741F64"/>
    <w:rsid w:val="0074204C"/>
    <w:rsid w:val="007420F2"/>
    <w:rsid w:val="00742215"/>
    <w:rsid w:val="00742287"/>
    <w:rsid w:val="007422E6"/>
    <w:rsid w:val="007423A3"/>
    <w:rsid w:val="00742454"/>
    <w:rsid w:val="0074264B"/>
    <w:rsid w:val="0074265D"/>
    <w:rsid w:val="007426E6"/>
    <w:rsid w:val="00742767"/>
    <w:rsid w:val="007427AD"/>
    <w:rsid w:val="00742812"/>
    <w:rsid w:val="007428BF"/>
    <w:rsid w:val="00742CAF"/>
    <w:rsid w:val="00742DC1"/>
    <w:rsid w:val="00742ECE"/>
    <w:rsid w:val="00742F56"/>
    <w:rsid w:val="00742F9F"/>
    <w:rsid w:val="00742FD0"/>
    <w:rsid w:val="007431C9"/>
    <w:rsid w:val="007431D8"/>
    <w:rsid w:val="00743330"/>
    <w:rsid w:val="00743546"/>
    <w:rsid w:val="00743670"/>
    <w:rsid w:val="007436B3"/>
    <w:rsid w:val="00743704"/>
    <w:rsid w:val="0074371D"/>
    <w:rsid w:val="00743732"/>
    <w:rsid w:val="00743824"/>
    <w:rsid w:val="00743952"/>
    <w:rsid w:val="00743A13"/>
    <w:rsid w:val="00743ADA"/>
    <w:rsid w:val="00743B64"/>
    <w:rsid w:val="00743BBC"/>
    <w:rsid w:val="00743C09"/>
    <w:rsid w:val="00743DD2"/>
    <w:rsid w:val="00743E61"/>
    <w:rsid w:val="00743EED"/>
    <w:rsid w:val="00743F42"/>
    <w:rsid w:val="00743F65"/>
    <w:rsid w:val="00743FD7"/>
    <w:rsid w:val="00743FE9"/>
    <w:rsid w:val="00743FEF"/>
    <w:rsid w:val="007441AF"/>
    <w:rsid w:val="00744245"/>
    <w:rsid w:val="00744376"/>
    <w:rsid w:val="0074451B"/>
    <w:rsid w:val="00744540"/>
    <w:rsid w:val="00744549"/>
    <w:rsid w:val="00744558"/>
    <w:rsid w:val="00744657"/>
    <w:rsid w:val="007447B1"/>
    <w:rsid w:val="0074488F"/>
    <w:rsid w:val="00744990"/>
    <w:rsid w:val="00744A10"/>
    <w:rsid w:val="00744A25"/>
    <w:rsid w:val="00744A74"/>
    <w:rsid w:val="00744B21"/>
    <w:rsid w:val="00744BBF"/>
    <w:rsid w:val="00744C5B"/>
    <w:rsid w:val="00744D88"/>
    <w:rsid w:val="00744DFD"/>
    <w:rsid w:val="00745132"/>
    <w:rsid w:val="007451DE"/>
    <w:rsid w:val="00745220"/>
    <w:rsid w:val="0074522D"/>
    <w:rsid w:val="00745325"/>
    <w:rsid w:val="00745354"/>
    <w:rsid w:val="007453A2"/>
    <w:rsid w:val="007453ED"/>
    <w:rsid w:val="00745779"/>
    <w:rsid w:val="00745819"/>
    <w:rsid w:val="0074594C"/>
    <w:rsid w:val="00745954"/>
    <w:rsid w:val="00745D56"/>
    <w:rsid w:val="00745D67"/>
    <w:rsid w:val="00745DD3"/>
    <w:rsid w:val="00745DFA"/>
    <w:rsid w:val="00745E5F"/>
    <w:rsid w:val="00745EBE"/>
    <w:rsid w:val="0074614A"/>
    <w:rsid w:val="007461A8"/>
    <w:rsid w:val="00746264"/>
    <w:rsid w:val="0074627E"/>
    <w:rsid w:val="00746280"/>
    <w:rsid w:val="007462CB"/>
    <w:rsid w:val="007462DA"/>
    <w:rsid w:val="00746314"/>
    <w:rsid w:val="00746375"/>
    <w:rsid w:val="00746384"/>
    <w:rsid w:val="00746420"/>
    <w:rsid w:val="00746472"/>
    <w:rsid w:val="00746542"/>
    <w:rsid w:val="0074678E"/>
    <w:rsid w:val="007467C2"/>
    <w:rsid w:val="007467F5"/>
    <w:rsid w:val="0074689C"/>
    <w:rsid w:val="0074690A"/>
    <w:rsid w:val="007469A2"/>
    <w:rsid w:val="007469CA"/>
    <w:rsid w:val="007469E1"/>
    <w:rsid w:val="00746A7B"/>
    <w:rsid w:val="00746AEF"/>
    <w:rsid w:val="00746CD2"/>
    <w:rsid w:val="00746CF7"/>
    <w:rsid w:val="00746D5A"/>
    <w:rsid w:val="00746D95"/>
    <w:rsid w:val="00746E2F"/>
    <w:rsid w:val="00746E3B"/>
    <w:rsid w:val="00746EE1"/>
    <w:rsid w:val="00746F88"/>
    <w:rsid w:val="00747220"/>
    <w:rsid w:val="00747247"/>
    <w:rsid w:val="0074731B"/>
    <w:rsid w:val="007473E3"/>
    <w:rsid w:val="0074753A"/>
    <w:rsid w:val="0074771F"/>
    <w:rsid w:val="00747833"/>
    <w:rsid w:val="007479F8"/>
    <w:rsid w:val="00747A74"/>
    <w:rsid w:val="00747B3A"/>
    <w:rsid w:val="00747BCE"/>
    <w:rsid w:val="00747C31"/>
    <w:rsid w:val="00747CE5"/>
    <w:rsid w:val="00747CF0"/>
    <w:rsid w:val="00750320"/>
    <w:rsid w:val="00750478"/>
    <w:rsid w:val="0075055C"/>
    <w:rsid w:val="007505AA"/>
    <w:rsid w:val="007505DF"/>
    <w:rsid w:val="007506C3"/>
    <w:rsid w:val="007508F3"/>
    <w:rsid w:val="00750945"/>
    <w:rsid w:val="00750979"/>
    <w:rsid w:val="00750A04"/>
    <w:rsid w:val="00750B6A"/>
    <w:rsid w:val="00750D52"/>
    <w:rsid w:val="00750E3F"/>
    <w:rsid w:val="00750ED3"/>
    <w:rsid w:val="00750F45"/>
    <w:rsid w:val="007510FA"/>
    <w:rsid w:val="007510FE"/>
    <w:rsid w:val="007511E6"/>
    <w:rsid w:val="00751251"/>
    <w:rsid w:val="007512EE"/>
    <w:rsid w:val="00751425"/>
    <w:rsid w:val="00751452"/>
    <w:rsid w:val="0075198B"/>
    <w:rsid w:val="00751B8C"/>
    <w:rsid w:val="00751BD3"/>
    <w:rsid w:val="00751C9B"/>
    <w:rsid w:val="00751D73"/>
    <w:rsid w:val="00751F17"/>
    <w:rsid w:val="00751F87"/>
    <w:rsid w:val="00751FAD"/>
    <w:rsid w:val="00751FE4"/>
    <w:rsid w:val="00752019"/>
    <w:rsid w:val="00752042"/>
    <w:rsid w:val="00752069"/>
    <w:rsid w:val="0075214F"/>
    <w:rsid w:val="007523F6"/>
    <w:rsid w:val="00752418"/>
    <w:rsid w:val="00752423"/>
    <w:rsid w:val="00752626"/>
    <w:rsid w:val="00752767"/>
    <w:rsid w:val="00752978"/>
    <w:rsid w:val="007529A2"/>
    <w:rsid w:val="00752A2E"/>
    <w:rsid w:val="00752B36"/>
    <w:rsid w:val="00752BA7"/>
    <w:rsid w:val="00752C5F"/>
    <w:rsid w:val="00752C67"/>
    <w:rsid w:val="00752EF3"/>
    <w:rsid w:val="00752F33"/>
    <w:rsid w:val="00752FE3"/>
    <w:rsid w:val="00753084"/>
    <w:rsid w:val="007530C2"/>
    <w:rsid w:val="00753168"/>
    <w:rsid w:val="00753184"/>
    <w:rsid w:val="007532B7"/>
    <w:rsid w:val="0075339D"/>
    <w:rsid w:val="007533E4"/>
    <w:rsid w:val="00753441"/>
    <w:rsid w:val="00753493"/>
    <w:rsid w:val="00753632"/>
    <w:rsid w:val="00753690"/>
    <w:rsid w:val="00753794"/>
    <w:rsid w:val="007538AE"/>
    <w:rsid w:val="00753B71"/>
    <w:rsid w:val="00753C88"/>
    <w:rsid w:val="00753DEC"/>
    <w:rsid w:val="00753E9A"/>
    <w:rsid w:val="00753EA6"/>
    <w:rsid w:val="00753EED"/>
    <w:rsid w:val="00754046"/>
    <w:rsid w:val="0075412E"/>
    <w:rsid w:val="0075419F"/>
    <w:rsid w:val="00754244"/>
    <w:rsid w:val="007542D7"/>
    <w:rsid w:val="0075447A"/>
    <w:rsid w:val="0075454E"/>
    <w:rsid w:val="00754782"/>
    <w:rsid w:val="00754949"/>
    <w:rsid w:val="007549FC"/>
    <w:rsid w:val="00754AC0"/>
    <w:rsid w:val="00754C8A"/>
    <w:rsid w:val="00754CDB"/>
    <w:rsid w:val="00754E49"/>
    <w:rsid w:val="00754EF4"/>
    <w:rsid w:val="00754FF6"/>
    <w:rsid w:val="00755063"/>
    <w:rsid w:val="007550BE"/>
    <w:rsid w:val="007551AD"/>
    <w:rsid w:val="00755237"/>
    <w:rsid w:val="007552C0"/>
    <w:rsid w:val="00755398"/>
    <w:rsid w:val="007554C0"/>
    <w:rsid w:val="007555EA"/>
    <w:rsid w:val="0075566A"/>
    <w:rsid w:val="007556C4"/>
    <w:rsid w:val="0075582B"/>
    <w:rsid w:val="007558A3"/>
    <w:rsid w:val="00755A39"/>
    <w:rsid w:val="00755B95"/>
    <w:rsid w:val="00755D1C"/>
    <w:rsid w:val="00755DF5"/>
    <w:rsid w:val="00755E6D"/>
    <w:rsid w:val="00755F0A"/>
    <w:rsid w:val="00755F4F"/>
    <w:rsid w:val="00755FB7"/>
    <w:rsid w:val="00756075"/>
    <w:rsid w:val="00756274"/>
    <w:rsid w:val="00756629"/>
    <w:rsid w:val="00756809"/>
    <w:rsid w:val="00756892"/>
    <w:rsid w:val="00756976"/>
    <w:rsid w:val="007569E2"/>
    <w:rsid w:val="00756B14"/>
    <w:rsid w:val="00756C5C"/>
    <w:rsid w:val="00756D66"/>
    <w:rsid w:val="00756D6A"/>
    <w:rsid w:val="00756E2A"/>
    <w:rsid w:val="00756F42"/>
    <w:rsid w:val="00756FD1"/>
    <w:rsid w:val="00756FEB"/>
    <w:rsid w:val="0075701F"/>
    <w:rsid w:val="00757032"/>
    <w:rsid w:val="00757044"/>
    <w:rsid w:val="00757122"/>
    <w:rsid w:val="007573D8"/>
    <w:rsid w:val="007573F5"/>
    <w:rsid w:val="007574C2"/>
    <w:rsid w:val="007574E6"/>
    <w:rsid w:val="0075758A"/>
    <w:rsid w:val="0075759C"/>
    <w:rsid w:val="00757634"/>
    <w:rsid w:val="007578F1"/>
    <w:rsid w:val="0075791A"/>
    <w:rsid w:val="0075797A"/>
    <w:rsid w:val="00757A48"/>
    <w:rsid w:val="00757BB1"/>
    <w:rsid w:val="00757C01"/>
    <w:rsid w:val="00757C77"/>
    <w:rsid w:val="00757D1B"/>
    <w:rsid w:val="00757E60"/>
    <w:rsid w:val="00757F12"/>
    <w:rsid w:val="00757F36"/>
    <w:rsid w:val="00757FA8"/>
    <w:rsid w:val="007603FA"/>
    <w:rsid w:val="00760448"/>
    <w:rsid w:val="007604B2"/>
    <w:rsid w:val="007604C1"/>
    <w:rsid w:val="0076059F"/>
    <w:rsid w:val="00760708"/>
    <w:rsid w:val="0076078F"/>
    <w:rsid w:val="0076085F"/>
    <w:rsid w:val="007608B0"/>
    <w:rsid w:val="007608B9"/>
    <w:rsid w:val="0076096A"/>
    <w:rsid w:val="007609D2"/>
    <w:rsid w:val="00760AF2"/>
    <w:rsid w:val="00760C5F"/>
    <w:rsid w:val="00760F84"/>
    <w:rsid w:val="007611C7"/>
    <w:rsid w:val="00761255"/>
    <w:rsid w:val="0076135D"/>
    <w:rsid w:val="007613CD"/>
    <w:rsid w:val="00761498"/>
    <w:rsid w:val="007615E0"/>
    <w:rsid w:val="00761655"/>
    <w:rsid w:val="00761725"/>
    <w:rsid w:val="00761774"/>
    <w:rsid w:val="00761901"/>
    <w:rsid w:val="00761A50"/>
    <w:rsid w:val="00761B26"/>
    <w:rsid w:val="00761B2E"/>
    <w:rsid w:val="00761B3C"/>
    <w:rsid w:val="00761B97"/>
    <w:rsid w:val="00761F3E"/>
    <w:rsid w:val="00762316"/>
    <w:rsid w:val="00762353"/>
    <w:rsid w:val="00762390"/>
    <w:rsid w:val="00762412"/>
    <w:rsid w:val="007625B5"/>
    <w:rsid w:val="0076268D"/>
    <w:rsid w:val="007626B7"/>
    <w:rsid w:val="007626CA"/>
    <w:rsid w:val="00762740"/>
    <w:rsid w:val="0076299E"/>
    <w:rsid w:val="00762A7C"/>
    <w:rsid w:val="00762AE2"/>
    <w:rsid w:val="00762B01"/>
    <w:rsid w:val="00762C65"/>
    <w:rsid w:val="00762F71"/>
    <w:rsid w:val="00762FB2"/>
    <w:rsid w:val="0076314F"/>
    <w:rsid w:val="007631F7"/>
    <w:rsid w:val="00763223"/>
    <w:rsid w:val="00763351"/>
    <w:rsid w:val="00763426"/>
    <w:rsid w:val="00763468"/>
    <w:rsid w:val="0076347C"/>
    <w:rsid w:val="007635AA"/>
    <w:rsid w:val="007636C2"/>
    <w:rsid w:val="007636F1"/>
    <w:rsid w:val="007637AF"/>
    <w:rsid w:val="00763872"/>
    <w:rsid w:val="007638BA"/>
    <w:rsid w:val="00763926"/>
    <w:rsid w:val="0076399D"/>
    <w:rsid w:val="007639D9"/>
    <w:rsid w:val="007639F4"/>
    <w:rsid w:val="00763C80"/>
    <w:rsid w:val="00763D3F"/>
    <w:rsid w:val="00763D54"/>
    <w:rsid w:val="00763DB4"/>
    <w:rsid w:val="00763DF3"/>
    <w:rsid w:val="00763E8E"/>
    <w:rsid w:val="00763F3C"/>
    <w:rsid w:val="007640C7"/>
    <w:rsid w:val="007641F4"/>
    <w:rsid w:val="00764221"/>
    <w:rsid w:val="00764386"/>
    <w:rsid w:val="00764421"/>
    <w:rsid w:val="00764427"/>
    <w:rsid w:val="007644EA"/>
    <w:rsid w:val="007645F6"/>
    <w:rsid w:val="00764706"/>
    <w:rsid w:val="0076478E"/>
    <w:rsid w:val="007647D6"/>
    <w:rsid w:val="00764826"/>
    <w:rsid w:val="007648D0"/>
    <w:rsid w:val="00764919"/>
    <w:rsid w:val="00764AE9"/>
    <w:rsid w:val="00764BEC"/>
    <w:rsid w:val="00764DC0"/>
    <w:rsid w:val="00764F37"/>
    <w:rsid w:val="007650AE"/>
    <w:rsid w:val="0076513C"/>
    <w:rsid w:val="0076515E"/>
    <w:rsid w:val="00765262"/>
    <w:rsid w:val="0076527C"/>
    <w:rsid w:val="00765377"/>
    <w:rsid w:val="00765423"/>
    <w:rsid w:val="007654A2"/>
    <w:rsid w:val="007655D6"/>
    <w:rsid w:val="007655DB"/>
    <w:rsid w:val="0076569A"/>
    <w:rsid w:val="007657CC"/>
    <w:rsid w:val="007657DC"/>
    <w:rsid w:val="007658E5"/>
    <w:rsid w:val="007658EB"/>
    <w:rsid w:val="00765928"/>
    <w:rsid w:val="007659A2"/>
    <w:rsid w:val="00765BD3"/>
    <w:rsid w:val="00765C59"/>
    <w:rsid w:val="00765CA4"/>
    <w:rsid w:val="00765D73"/>
    <w:rsid w:val="00765E6C"/>
    <w:rsid w:val="00765EBA"/>
    <w:rsid w:val="00765EF4"/>
    <w:rsid w:val="00765F79"/>
    <w:rsid w:val="00765F96"/>
    <w:rsid w:val="007661F1"/>
    <w:rsid w:val="007664EA"/>
    <w:rsid w:val="0076677B"/>
    <w:rsid w:val="007668C7"/>
    <w:rsid w:val="0076693D"/>
    <w:rsid w:val="00766B54"/>
    <w:rsid w:val="00766E1B"/>
    <w:rsid w:val="007670AC"/>
    <w:rsid w:val="007671AB"/>
    <w:rsid w:val="00767331"/>
    <w:rsid w:val="00767357"/>
    <w:rsid w:val="0076748D"/>
    <w:rsid w:val="007674D4"/>
    <w:rsid w:val="0076759E"/>
    <w:rsid w:val="007675EE"/>
    <w:rsid w:val="007676AF"/>
    <w:rsid w:val="007678B9"/>
    <w:rsid w:val="00767996"/>
    <w:rsid w:val="00767CAB"/>
    <w:rsid w:val="00767EF9"/>
    <w:rsid w:val="00767F2E"/>
    <w:rsid w:val="00767FE7"/>
    <w:rsid w:val="0076B282"/>
    <w:rsid w:val="0077002D"/>
    <w:rsid w:val="0077006D"/>
    <w:rsid w:val="0077033A"/>
    <w:rsid w:val="0077041B"/>
    <w:rsid w:val="00770480"/>
    <w:rsid w:val="0077051B"/>
    <w:rsid w:val="007705D1"/>
    <w:rsid w:val="007705D4"/>
    <w:rsid w:val="007705D9"/>
    <w:rsid w:val="007709EC"/>
    <w:rsid w:val="00770A20"/>
    <w:rsid w:val="00770BA7"/>
    <w:rsid w:val="00770CD7"/>
    <w:rsid w:val="00770F88"/>
    <w:rsid w:val="00771016"/>
    <w:rsid w:val="00771091"/>
    <w:rsid w:val="007710A9"/>
    <w:rsid w:val="007710AE"/>
    <w:rsid w:val="007710B9"/>
    <w:rsid w:val="007710BB"/>
    <w:rsid w:val="0077129B"/>
    <w:rsid w:val="00771325"/>
    <w:rsid w:val="007713EE"/>
    <w:rsid w:val="007713F4"/>
    <w:rsid w:val="00771515"/>
    <w:rsid w:val="00771626"/>
    <w:rsid w:val="00771666"/>
    <w:rsid w:val="0077167C"/>
    <w:rsid w:val="00771729"/>
    <w:rsid w:val="0077175B"/>
    <w:rsid w:val="00771790"/>
    <w:rsid w:val="007717EB"/>
    <w:rsid w:val="00771849"/>
    <w:rsid w:val="007719FA"/>
    <w:rsid w:val="00771BDF"/>
    <w:rsid w:val="00771D2D"/>
    <w:rsid w:val="00771E26"/>
    <w:rsid w:val="00771E4F"/>
    <w:rsid w:val="00771F48"/>
    <w:rsid w:val="00771FF5"/>
    <w:rsid w:val="0077215D"/>
    <w:rsid w:val="00772189"/>
    <w:rsid w:val="00772209"/>
    <w:rsid w:val="007723DD"/>
    <w:rsid w:val="0077240C"/>
    <w:rsid w:val="0077249B"/>
    <w:rsid w:val="007724B9"/>
    <w:rsid w:val="007725DA"/>
    <w:rsid w:val="00772701"/>
    <w:rsid w:val="0077272B"/>
    <w:rsid w:val="0077274B"/>
    <w:rsid w:val="00772834"/>
    <w:rsid w:val="00772868"/>
    <w:rsid w:val="007728EC"/>
    <w:rsid w:val="00772962"/>
    <w:rsid w:val="007729F6"/>
    <w:rsid w:val="00772A9C"/>
    <w:rsid w:val="00772B25"/>
    <w:rsid w:val="00772BB7"/>
    <w:rsid w:val="00772C82"/>
    <w:rsid w:val="00772ED6"/>
    <w:rsid w:val="00772F04"/>
    <w:rsid w:val="00773027"/>
    <w:rsid w:val="00773242"/>
    <w:rsid w:val="00773325"/>
    <w:rsid w:val="007734E6"/>
    <w:rsid w:val="007735CB"/>
    <w:rsid w:val="007736D5"/>
    <w:rsid w:val="00773AA5"/>
    <w:rsid w:val="00773B94"/>
    <w:rsid w:val="00773C7C"/>
    <w:rsid w:val="00773D8A"/>
    <w:rsid w:val="00773D98"/>
    <w:rsid w:val="00773EB0"/>
    <w:rsid w:val="00773F36"/>
    <w:rsid w:val="00773F40"/>
    <w:rsid w:val="00774174"/>
    <w:rsid w:val="00774374"/>
    <w:rsid w:val="00774377"/>
    <w:rsid w:val="007743D5"/>
    <w:rsid w:val="00774684"/>
    <w:rsid w:val="007746AA"/>
    <w:rsid w:val="007747BC"/>
    <w:rsid w:val="007747CE"/>
    <w:rsid w:val="0077482E"/>
    <w:rsid w:val="00774900"/>
    <w:rsid w:val="0077495E"/>
    <w:rsid w:val="00774AFE"/>
    <w:rsid w:val="00774B35"/>
    <w:rsid w:val="00774BB7"/>
    <w:rsid w:val="00774C7E"/>
    <w:rsid w:val="00774D5A"/>
    <w:rsid w:val="00774D93"/>
    <w:rsid w:val="00774FB7"/>
    <w:rsid w:val="00775057"/>
    <w:rsid w:val="00775124"/>
    <w:rsid w:val="007751AA"/>
    <w:rsid w:val="007751B8"/>
    <w:rsid w:val="007751C2"/>
    <w:rsid w:val="00775250"/>
    <w:rsid w:val="00775263"/>
    <w:rsid w:val="0077539A"/>
    <w:rsid w:val="007753BB"/>
    <w:rsid w:val="0077547F"/>
    <w:rsid w:val="00775495"/>
    <w:rsid w:val="007754D5"/>
    <w:rsid w:val="00775536"/>
    <w:rsid w:val="007755F5"/>
    <w:rsid w:val="0077567D"/>
    <w:rsid w:val="0077568F"/>
    <w:rsid w:val="00775717"/>
    <w:rsid w:val="007757DD"/>
    <w:rsid w:val="0077586E"/>
    <w:rsid w:val="00775A72"/>
    <w:rsid w:val="00775B40"/>
    <w:rsid w:val="00775CAF"/>
    <w:rsid w:val="00775FB5"/>
    <w:rsid w:val="00775FBD"/>
    <w:rsid w:val="00776016"/>
    <w:rsid w:val="00776213"/>
    <w:rsid w:val="00776317"/>
    <w:rsid w:val="00776359"/>
    <w:rsid w:val="00776385"/>
    <w:rsid w:val="0077649A"/>
    <w:rsid w:val="0077658C"/>
    <w:rsid w:val="007767B5"/>
    <w:rsid w:val="007767F7"/>
    <w:rsid w:val="0077683E"/>
    <w:rsid w:val="00776863"/>
    <w:rsid w:val="007768C3"/>
    <w:rsid w:val="0077696D"/>
    <w:rsid w:val="00776AEA"/>
    <w:rsid w:val="00776B48"/>
    <w:rsid w:val="00776B6D"/>
    <w:rsid w:val="00776BC0"/>
    <w:rsid w:val="00776C52"/>
    <w:rsid w:val="00776C95"/>
    <w:rsid w:val="00776F4D"/>
    <w:rsid w:val="00776F99"/>
    <w:rsid w:val="00777120"/>
    <w:rsid w:val="007771DC"/>
    <w:rsid w:val="007771EA"/>
    <w:rsid w:val="0077729D"/>
    <w:rsid w:val="00777533"/>
    <w:rsid w:val="0077759D"/>
    <w:rsid w:val="007775ED"/>
    <w:rsid w:val="0077776D"/>
    <w:rsid w:val="007777CB"/>
    <w:rsid w:val="0077787D"/>
    <w:rsid w:val="00777894"/>
    <w:rsid w:val="00777898"/>
    <w:rsid w:val="007779B7"/>
    <w:rsid w:val="00777B61"/>
    <w:rsid w:val="00777BF7"/>
    <w:rsid w:val="00777D37"/>
    <w:rsid w:val="00777E6A"/>
    <w:rsid w:val="0077A5B5"/>
    <w:rsid w:val="00780081"/>
    <w:rsid w:val="007800D9"/>
    <w:rsid w:val="007802A4"/>
    <w:rsid w:val="007802D1"/>
    <w:rsid w:val="0078037F"/>
    <w:rsid w:val="00780457"/>
    <w:rsid w:val="007805BD"/>
    <w:rsid w:val="007806F4"/>
    <w:rsid w:val="00780705"/>
    <w:rsid w:val="00780748"/>
    <w:rsid w:val="0078075F"/>
    <w:rsid w:val="0078078E"/>
    <w:rsid w:val="007807AB"/>
    <w:rsid w:val="00780846"/>
    <w:rsid w:val="00780847"/>
    <w:rsid w:val="007809B7"/>
    <w:rsid w:val="00780BCE"/>
    <w:rsid w:val="00780C21"/>
    <w:rsid w:val="00780E60"/>
    <w:rsid w:val="00780F56"/>
    <w:rsid w:val="0078133D"/>
    <w:rsid w:val="007813D9"/>
    <w:rsid w:val="00781499"/>
    <w:rsid w:val="007814DB"/>
    <w:rsid w:val="0078157D"/>
    <w:rsid w:val="00781635"/>
    <w:rsid w:val="0078165A"/>
    <w:rsid w:val="00781675"/>
    <w:rsid w:val="0078167B"/>
    <w:rsid w:val="00781712"/>
    <w:rsid w:val="007818D9"/>
    <w:rsid w:val="007819EE"/>
    <w:rsid w:val="00781BAD"/>
    <w:rsid w:val="00781BB8"/>
    <w:rsid w:val="00781BF5"/>
    <w:rsid w:val="00781C9A"/>
    <w:rsid w:val="00781FCA"/>
    <w:rsid w:val="0078209C"/>
    <w:rsid w:val="0078212B"/>
    <w:rsid w:val="007821E1"/>
    <w:rsid w:val="007821EF"/>
    <w:rsid w:val="00782408"/>
    <w:rsid w:val="007824D8"/>
    <w:rsid w:val="00782565"/>
    <w:rsid w:val="007825A9"/>
    <w:rsid w:val="007825D0"/>
    <w:rsid w:val="00782643"/>
    <w:rsid w:val="007826D1"/>
    <w:rsid w:val="007826D6"/>
    <w:rsid w:val="0078280B"/>
    <w:rsid w:val="00782A34"/>
    <w:rsid w:val="00782B17"/>
    <w:rsid w:val="00782B75"/>
    <w:rsid w:val="00782C02"/>
    <w:rsid w:val="00782C53"/>
    <w:rsid w:val="00782EC2"/>
    <w:rsid w:val="00782EEC"/>
    <w:rsid w:val="0078309F"/>
    <w:rsid w:val="00783185"/>
    <w:rsid w:val="00783232"/>
    <w:rsid w:val="00783298"/>
    <w:rsid w:val="007833AA"/>
    <w:rsid w:val="007833E4"/>
    <w:rsid w:val="0078347D"/>
    <w:rsid w:val="007834D1"/>
    <w:rsid w:val="007836A5"/>
    <w:rsid w:val="0078376F"/>
    <w:rsid w:val="007838F3"/>
    <w:rsid w:val="0078390A"/>
    <w:rsid w:val="0078396B"/>
    <w:rsid w:val="00783A67"/>
    <w:rsid w:val="00783B1A"/>
    <w:rsid w:val="00783BF3"/>
    <w:rsid w:val="00783C2D"/>
    <w:rsid w:val="00783C71"/>
    <w:rsid w:val="00783C88"/>
    <w:rsid w:val="00783ED0"/>
    <w:rsid w:val="00784028"/>
    <w:rsid w:val="0078409C"/>
    <w:rsid w:val="007840F1"/>
    <w:rsid w:val="00784284"/>
    <w:rsid w:val="007842D9"/>
    <w:rsid w:val="00784316"/>
    <w:rsid w:val="00784381"/>
    <w:rsid w:val="007843B5"/>
    <w:rsid w:val="00784465"/>
    <w:rsid w:val="007844FE"/>
    <w:rsid w:val="00784566"/>
    <w:rsid w:val="00784724"/>
    <w:rsid w:val="007847F8"/>
    <w:rsid w:val="00784810"/>
    <w:rsid w:val="0078487B"/>
    <w:rsid w:val="007848CA"/>
    <w:rsid w:val="00784B19"/>
    <w:rsid w:val="00784BEB"/>
    <w:rsid w:val="00784E8C"/>
    <w:rsid w:val="00785097"/>
    <w:rsid w:val="007850F3"/>
    <w:rsid w:val="0078532F"/>
    <w:rsid w:val="00785391"/>
    <w:rsid w:val="00785450"/>
    <w:rsid w:val="007855F3"/>
    <w:rsid w:val="007855FC"/>
    <w:rsid w:val="00785626"/>
    <w:rsid w:val="00785669"/>
    <w:rsid w:val="007857B0"/>
    <w:rsid w:val="007858B3"/>
    <w:rsid w:val="0078593A"/>
    <w:rsid w:val="00785A5D"/>
    <w:rsid w:val="00785B4B"/>
    <w:rsid w:val="00785EB5"/>
    <w:rsid w:val="00785FD5"/>
    <w:rsid w:val="0078611C"/>
    <w:rsid w:val="007862D4"/>
    <w:rsid w:val="007863DF"/>
    <w:rsid w:val="0078647A"/>
    <w:rsid w:val="00786485"/>
    <w:rsid w:val="007864AD"/>
    <w:rsid w:val="007864CC"/>
    <w:rsid w:val="007864CE"/>
    <w:rsid w:val="007865A5"/>
    <w:rsid w:val="007865DB"/>
    <w:rsid w:val="007866EA"/>
    <w:rsid w:val="00786850"/>
    <w:rsid w:val="00786A18"/>
    <w:rsid w:val="00786A48"/>
    <w:rsid w:val="00786AC2"/>
    <w:rsid w:val="00786AE5"/>
    <w:rsid w:val="00786B01"/>
    <w:rsid w:val="00786D57"/>
    <w:rsid w:val="00786D8A"/>
    <w:rsid w:val="00786DCD"/>
    <w:rsid w:val="00786DFB"/>
    <w:rsid w:val="00786F4F"/>
    <w:rsid w:val="00786F75"/>
    <w:rsid w:val="00787189"/>
    <w:rsid w:val="00787196"/>
    <w:rsid w:val="0078732A"/>
    <w:rsid w:val="0078745C"/>
    <w:rsid w:val="007875C1"/>
    <w:rsid w:val="00787894"/>
    <w:rsid w:val="007878BB"/>
    <w:rsid w:val="0078797E"/>
    <w:rsid w:val="007879DE"/>
    <w:rsid w:val="00787A34"/>
    <w:rsid w:val="00787B81"/>
    <w:rsid w:val="00787D46"/>
    <w:rsid w:val="00787DB4"/>
    <w:rsid w:val="00787E05"/>
    <w:rsid w:val="00787EE4"/>
    <w:rsid w:val="00787F48"/>
    <w:rsid w:val="007901ED"/>
    <w:rsid w:val="00790313"/>
    <w:rsid w:val="007904BF"/>
    <w:rsid w:val="007904E3"/>
    <w:rsid w:val="007905AB"/>
    <w:rsid w:val="00790618"/>
    <w:rsid w:val="0079086F"/>
    <w:rsid w:val="007909FE"/>
    <w:rsid w:val="00790A6D"/>
    <w:rsid w:val="00790B5A"/>
    <w:rsid w:val="00790CF5"/>
    <w:rsid w:val="00790D1B"/>
    <w:rsid w:val="00790EFC"/>
    <w:rsid w:val="00790F19"/>
    <w:rsid w:val="0079100C"/>
    <w:rsid w:val="00791120"/>
    <w:rsid w:val="00791365"/>
    <w:rsid w:val="007913B2"/>
    <w:rsid w:val="00791426"/>
    <w:rsid w:val="007914B1"/>
    <w:rsid w:val="00791934"/>
    <w:rsid w:val="00791A6E"/>
    <w:rsid w:val="00791D70"/>
    <w:rsid w:val="00791ECC"/>
    <w:rsid w:val="00791FD2"/>
    <w:rsid w:val="00792024"/>
    <w:rsid w:val="00792057"/>
    <w:rsid w:val="0079206B"/>
    <w:rsid w:val="0079209B"/>
    <w:rsid w:val="007920B2"/>
    <w:rsid w:val="0079217E"/>
    <w:rsid w:val="007922CB"/>
    <w:rsid w:val="007924CE"/>
    <w:rsid w:val="007924E3"/>
    <w:rsid w:val="007926FC"/>
    <w:rsid w:val="0079285F"/>
    <w:rsid w:val="0079299D"/>
    <w:rsid w:val="007929F1"/>
    <w:rsid w:val="00792B17"/>
    <w:rsid w:val="00792DB1"/>
    <w:rsid w:val="00792E3C"/>
    <w:rsid w:val="00792F2A"/>
    <w:rsid w:val="007930B4"/>
    <w:rsid w:val="007930C1"/>
    <w:rsid w:val="00793100"/>
    <w:rsid w:val="007931DD"/>
    <w:rsid w:val="00793222"/>
    <w:rsid w:val="0079326A"/>
    <w:rsid w:val="00793386"/>
    <w:rsid w:val="0079345D"/>
    <w:rsid w:val="00793575"/>
    <w:rsid w:val="007936BA"/>
    <w:rsid w:val="00793A8C"/>
    <w:rsid w:val="00793AB5"/>
    <w:rsid w:val="00793C30"/>
    <w:rsid w:val="00793E61"/>
    <w:rsid w:val="00793ED7"/>
    <w:rsid w:val="00793EF1"/>
    <w:rsid w:val="00793F1D"/>
    <w:rsid w:val="0079423B"/>
    <w:rsid w:val="0079427D"/>
    <w:rsid w:val="0079461D"/>
    <w:rsid w:val="0079483B"/>
    <w:rsid w:val="00794889"/>
    <w:rsid w:val="00794954"/>
    <w:rsid w:val="00794988"/>
    <w:rsid w:val="00794C32"/>
    <w:rsid w:val="00794CFA"/>
    <w:rsid w:val="00794CFE"/>
    <w:rsid w:val="00794DD0"/>
    <w:rsid w:val="00794DDF"/>
    <w:rsid w:val="00794E36"/>
    <w:rsid w:val="00794ECC"/>
    <w:rsid w:val="00794EF0"/>
    <w:rsid w:val="00794FB9"/>
    <w:rsid w:val="00794FFF"/>
    <w:rsid w:val="00795077"/>
    <w:rsid w:val="00795184"/>
    <w:rsid w:val="00795204"/>
    <w:rsid w:val="007952F3"/>
    <w:rsid w:val="007953F4"/>
    <w:rsid w:val="0079541F"/>
    <w:rsid w:val="00795533"/>
    <w:rsid w:val="00795720"/>
    <w:rsid w:val="007957D1"/>
    <w:rsid w:val="007958B4"/>
    <w:rsid w:val="00795995"/>
    <w:rsid w:val="00795EEC"/>
    <w:rsid w:val="00795F2E"/>
    <w:rsid w:val="00795F6C"/>
    <w:rsid w:val="00796025"/>
    <w:rsid w:val="007960CB"/>
    <w:rsid w:val="007960CD"/>
    <w:rsid w:val="00796107"/>
    <w:rsid w:val="00796150"/>
    <w:rsid w:val="00796235"/>
    <w:rsid w:val="00796255"/>
    <w:rsid w:val="007962B2"/>
    <w:rsid w:val="007962EA"/>
    <w:rsid w:val="007963A7"/>
    <w:rsid w:val="007965FB"/>
    <w:rsid w:val="0079668F"/>
    <w:rsid w:val="007968F7"/>
    <w:rsid w:val="00796922"/>
    <w:rsid w:val="00796992"/>
    <w:rsid w:val="00796A50"/>
    <w:rsid w:val="00796A83"/>
    <w:rsid w:val="00796ABF"/>
    <w:rsid w:val="00796ACA"/>
    <w:rsid w:val="00796B2A"/>
    <w:rsid w:val="00796B55"/>
    <w:rsid w:val="00796C87"/>
    <w:rsid w:val="00796D57"/>
    <w:rsid w:val="00796D7A"/>
    <w:rsid w:val="00796E53"/>
    <w:rsid w:val="00796E73"/>
    <w:rsid w:val="00796EC5"/>
    <w:rsid w:val="00797081"/>
    <w:rsid w:val="0079720E"/>
    <w:rsid w:val="00797420"/>
    <w:rsid w:val="0079745C"/>
    <w:rsid w:val="0079748E"/>
    <w:rsid w:val="0079756A"/>
    <w:rsid w:val="007975CB"/>
    <w:rsid w:val="007975E5"/>
    <w:rsid w:val="007975EC"/>
    <w:rsid w:val="007975EF"/>
    <w:rsid w:val="0079768C"/>
    <w:rsid w:val="007977A9"/>
    <w:rsid w:val="007977D9"/>
    <w:rsid w:val="007978CC"/>
    <w:rsid w:val="00797921"/>
    <w:rsid w:val="00797A5E"/>
    <w:rsid w:val="00797C13"/>
    <w:rsid w:val="00797C97"/>
    <w:rsid w:val="00797D6E"/>
    <w:rsid w:val="00797DBE"/>
    <w:rsid w:val="007A028F"/>
    <w:rsid w:val="007A033B"/>
    <w:rsid w:val="007A034A"/>
    <w:rsid w:val="007A03CD"/>
    <w:rsid w:val="007A0789"/>
    <w:rsid w:val="007A07AD"/>
    <w:rsid w:val="007A081F"/>
    <w:rsid w:val="007A088C"/>
    <w:rsid w:val="007A091E"/>
    <w:rsid w:val="007A09C6"/>
    <w:rsid w:val="007A0A0F"/>
    <w:rsid w:val="007A0A11"/>
    <w:rsid w:val="007A0A79"/>
    <w:rsid w:val="007A0B23"/>
    <w:rsid w:val="007A0D61"/>
    <w:rsid w:val="007A0E54"/>
    <w:rsid w:val="007A0EAD"/>
    <w:rsid w:val="007A0FD5"/>
    <w:rsid w:val="007A11BD"/>
    <w:rsid w:val="007A1251"/>
    <w:rsid w:val="007A133C"/>
    <w:rsid w:val="007A134E"/>
    <w:rsid w:val="007A14CF"/>
    <w:rsid w:val="007A14D0"/>
    <w:rsid w:val="007A1549"/>
    <w:rsid w:val="007A1566"/>
    <w:rsid w:val="007A1850"/>
    <w:rsid w:val="007A19EA"/>
    <w:rsid w:val="007A1A79"/>
    <w:rsid w:val="007A1C24"/>
    <w:rsid w:val="007A1CE6"/>
    <w:rsid w:val="007A1DBC"/>
    <w:rsid w:val="007A1E74"/>
    <w:rsid w:val="007A1F93"/>
    <w:rsid w:val="007A212B"/>
    <w:rsid w:val="007A22CD"/>
    <w:rsid w:val="007A2343"/>
    <w:rsid w:val="007A24E1"/>
    <w:rsid w:val="007A2579"/>
    <w:rsid w:val="007A2728"/>
    <w:rsid w:val="007A2745"/>
    <w:rsid w:val="007A2845"/>
    <w:rsid w:val="007A28ED"/>
    <w:rsid w:val="007A2A60"/>
    <w:rsid w:val="007A2A91"/>
    <w:rsid w:val="007A2AC9"/>
    <w:rsid w:val="007A2C32"/>
    <w:rsid w:val="007A2CA7"/>
    <w:rsid w:val="007A2D3D"/>
    <w:rsid w:val="007A2D67"/>
    <w:rsid w:val="007A2DA8"/>
    <w:rsid w:val="007A2E3B"/>
    <w:rsid w:val="007A2E41"/>
    <w:rsid w:val="007A2F8D"/>
    <w:rsid w:val="007A2FB7"/>
    <w:rsid w:val="007A2FE5"/>
    <w:rsid w:val="007A3002"/>
    <w:rsid w:val="007A302C"/>
    <w:rsid w:val="007A30E5"/>
    <w:rsid w:val="007A312D"/>
    <w:rsid w:val="007A34D9"/>
    <w:rsid w:val="007A3593"/>
    <w:rsid w:val="007A3846"/>
    <w:rsid w:val="007A38F2"/>
    <w:rsid w:val="007A3A0C"/>
    <w:rsid w:val="007A3B30"/>
    <w:rsid w:val="007A3EAD"/>
    <w:rsid w:val="007A3F2A"/>
    <w:rsid w:val="007A3F7B"/>
    <w:rsid w:val="007A3FE9"/>
    <w:rsid w:val="007A4018"/>
    <w:rsid w:val="007A4106"/>
    <w:rsid w:val="007A41A6"/>
    <w:rsid w:val="007A41D5"/>
    <w:rsid w:val="007A4205"/>
    <w:rsid w:val="007A422D"/>
    <w:rsid w:val="007A4877"/>
    <w:rsid w:val="007A4AD1"/>
    <w:rsid w:val="007A4B09"/>
    <w:rsid w:val="007A4B53"/>
    <w:rsid w:val="007A4CEA"/>
    <w:rsid w:val="007A4E0D"/>
    <w:rsid w:val="007A4E9E"/>
    <w:rsid w:val="007A4FC9"/>
    <w:rsid w:val="007A5111"/>
    <w:rsid w:val="007A512F"/>
    <w:rsid w:val="007A5170"/>
    <w:rsid w:val="007A517C"/>
    <w:rsid w:val="007A51A7"/>
    <w:rsid w:val="007A51C3"/>
    <w:rsid w:val="007A529A"/>
    <w:rsid w:val="007A538B"/>
    <w:rsid w:val="007A53CC"/>
    <w:rsid w:val="007A5781"/>
    <w:rsid w:val="007A584C"/>
    <w:rsid w:val="007A58D0"/>
    <w:rsid w:val="007A5918"/>
    <w:rsid w:val="007A594B"/>
    <w:rsid w:val="007A5992"/>
    <w:rsid w:val="007A59A0"/>
    <w:rsid w:val="007A5ACF"/>
    <w:rsid w:val="007A5BE6"/>
    <w:rsid w:val="007A5C26"/>
    <w:rsid w:val="007A5D17"/>
    <w:rsid w:val="007A5D63"/>
    <w:rsid w:val="007A5E31"/>
    <w:rsid w:val="007A5EAB"/>
    <w:rsid w:val="007A5FFB"/>
    <w:rsid w:val="007A6272"/>
    <w:rsid w:val="007A62DA"/>
    <w:rsid w:val="007A6628"/>
    <w:rsid w:val="007A6670"/>
    <w:rsid w:val="007A66A7"/>
    <w:rsid w:val="007A6700"/>
    <w:rsid w:val="007A673D"/>
    <w:rsid w:val="007A689D"/>
    <w:rsid w:val="007A68BD"/>
    <w:rsid w:val="007A68D8"/>
    <w:rsid w:val="007A6994"/>
    <w:rsid w:val="007A6A0F"/>
    <w:rsid w:val="007A6B69"/>
    <w:rsid w:val="007A6B89"/>
    <w:rsid w:val="007A6BF0"/>
    <w:rsid w:val="007A6DBA"/>
    <w:rsid w:val="007A6F0B"/>
    <w:rsid w:val="007A709E"/>
    <w:rsid w:val="007A70FC"/>
    <w:rsid w:val="007A714B"/>
    <w:rsid w:val="007A72CA"/>
    <w:rsid w:val="007A75F7"/>
    <w:rsid w:val="007A76E3"/>
    <w:rsid w:val="007A77A0"/>
    <w:rsid w:val="007A7831"/>
    <w:rsid w:val="007A7C11"/>
    <w:rsid w:val="007A7C7C"/>
    <w:rsid w:val="007A7CC3"/>
    <w:rsid w:val="007A7F3C"/>
    <w:rsid w:val="007A7F9D"/>
    <w:rsid w:val="007B01B5"/>
    <w:rsid w:val="007B030E"/>
    <w:rsid w:val="007B033B"/>
    <w:rsid w:val="007B0383"/>
    <w:rsid w:val="007B0413"/>
    <w:rsid w:val="007B06F8"/>
    <w:rsid w:val="007B0725"/>
    <w:rsid w:val="007B073E"/>
    <w:rsid w:val="007B07A2"/>
    <w:rsid w:val="007B07ED"/>
    <w:rsid w:val="007B09B9"/>
    <w:rsid w:val="007B0A50"/>
    <w:rsid w:val="007B0A62"/>
    <w:rsid w:val="007B0AC8"/>
    <w:rsid w:val="007B0AE7"/>
    <w:rsid w:val="007B0B52"/>
    <w:rsid w:val="007B0C58"/>
    <w:rsid w:val="007B0FC7"/>
    <w:rsid w:val="007B100A"/>
    <w:rsid w:val="007B1050"/>
    <w:rsid w:val="007B10A9"/>
    <w:rsid w:val="007B1156"/>
    <w:rsid w:val="007B11B9"/>
    <w:rsid w:val="007B1392"/>
    <w:rsid w:val="007B14BF"/>
    <w:rsid w:val="007B162D"/>
    <w:rsid w:val="007B164D"/>
    <w:rsid w:val="007B16CE"/>
    <w:rsid w:val="007B1960"/>
    <w:rsid w:val="007B19A0"/>
    <w:rsid w:val="007B1B6B"/>
    <w:rsid w:val="007B1B72"/>
    <w:rsid w:val="007B1BE7"/>
    <w:rsid w:val="007B1C07"/>
    <w:rsid w:val="007B1F30"/>
    <w:rsid w:val="007B1F4D"/>
    <w:rsid w:val="007B1F4E"/>
    <w:rsid w:val="007B20D0"/>
    <w:rsid w:val="007B211F"/>
    <w:rsid w:val="007B233B"/>
    <w:rsid w:val="007B2604"/>
    <w:rsid w:val="007B2788"/>
    <w:rsid w:val="007B27F6"/>
    <w:rsid w:val="007B2815"/>
    <w:rsid w:val="007B2950"/>
    <w:rsid w:val="007B29F2"/>
    <w:rsid w:val="007B2A0D"/>
    <w:rsid w:val="007B2ADD"/>
    <w:rsid w:val="007B2ADE"/>
    <w:rsid w:val="007B2C5F"/>
    <w:rsid w:val="007B2CA1"/>
    <w:rsid w:val="007B2F00"/>
    <w:rsid w:val="007B31A6"/>
    <w:rsid w:val="007B328D"/>
    <w:rsid w:val="007B32A0"/>
    <w:rsid w:val="007B34CF"/>
    <w:rsid w:val="007B3576"/>
    <w:rsid w:val="007B360E"/>
    <w:rsid w:val="007B361D"/>
    <w:rsid w:val="007B3627"/>
    <w:rsid w:val="007B384A"/>
    <w:rsid w:val="007B38EE"/>
    <w:rsid w:val="007B391D"/>
    <w:rsid w:val="007B3936"/>
    <w:rsid w:val="007B3ACF"/>
    <w:rsid w:val="007B3C75"/>
    <w:rsid w:val="007B3D60"/>
    <w:rsid w:val="007B3D98"/>
    <w:rsid w:val="007B3DE1"/>
    <w:rsid w:val="007B3ED2"/>
    <w:rsid w:val="007B3F15"/>
    <w:rsid w:val="007B426B"/>
    <w:rsid w:val="007B42D8"/>
    <w:rsid w:val="007B4323"/>
    <w:rsid w:val="007B4335"/>
    <w:rsid w:val="007B43F2"/>
    <w:rsid w:val="007B482D"/>
    <w:rsid w:val="007B49F2"/>
    <w:rsid w:val="007B4B03"/>
    <w:rsid w:val="007B4B05"/>
    <w:rsid w:val="007B4C7A"/>
    <w:rsid w:val="007B4D9F"/>
    <w:rsid w:val="007B4DB0"/>
    <w:rsid w:val="007B50EF"/>
    <w:rsid w:val="007B50F4"/>
    <w:rsid w:val="007B510B"/>
    <w:rsid w:val="007B5231"/>
    <w:rsid w:val="007B5293"/>
    <w:rsid w:val="007B541A"/>
    <w:rsid w:val="007B54E3"/>
    <w:rsid w:val="007B54FB"/>
    <w:rsid w:val="007B5562"/>
    <w:rsid w:val="007B5709"/>
    <w:rsid w:val="007B58C8"/>
    <w:rsid w:val="007B59B7"/>
    <w:rsid w:val="007B59F7"/>
    <w:rsid w:val="007B5AC4"/>
    <w:rsid w:val="007B5E68"/>
    <w:rsid w:val="007B5E97"/>
    <w:rsid w:val="007B6023"/>
    <w:rsid w:val="007B6157"/>
    <w:rsid w:val="007B61EB"/>
    <w:rsid w:val="007B6205"/>
    <w:rsid w:val="007B6212"/>
    <w:rsid w:val="007B6309"/>
    <w:rsid w:val="007B635E"/>
    <w:rsid w:val="007B638D"/>
    <w:rsid w:val="007B639F"/>
    <w:rsid w:val="007B63E8"/>
    <w:rsid w:val="007B679A"/>
    <w:rsid w:val="007B68AC"/>
    <w:rsid w:val="007B6925"/>
    <w:rsid w:val="007B69B0"/>
    <w:rsid w:val="007B6A83"/>
    <w:rsid w:val="007B6B14"/>
    <w:rsid w:val="007B6D24"/>
    <w:rsid w:val="007B6DAC"/>
    <w:rsid w:val="007B70C3"/>
    <w:rsid w:val="007B711E"/>
    <w:rsid w:val="007B71DF"/>
    <w:rsid w:val="007B73CF"/>
    <w:rsid w:val="007B7408"/>
    <w:rsid w:val="007B746D"/>
    <w:rsid w:val="007B749C"/>
    <w:rsid w:val="007B75E0"/>
    <w:rsid w:val="007B7646"/>
    <w:rsid w:val="007B78AB"/>
    <w:rsid w:val="007B797B"/>
    <w:rsid w:val="007B79B9"/>
    <w:rsid w:val="007B79C4"/>
    <w:rsid w:val="007B7A5A"/>
    <w:rsid w:val="007B7AA6"/>
    <w:rsid w:val="007B7AF8"/>
    <w:rsid w:val="007B7C70"/>
    <w:rsid w:val="007B7CAA"/>
    <w:rsid w:val="007B7CED"/>
    <w:rsid w:val="007B7E58"/>
    <w:rsid w:val="007C002F"/>
    <w:rsid w:val="007C0233"/>
    <w:rsid w:val="007C0249"/>
    <w:rsid w:val="007C02C8"/>
    <w:rsid w:val="007C04B6"/>
    <w:rsid w:val="007C04BF"/>
    <w:rsid w:val="007C05C0"/>
    <w:rsid w:val="007C05DC"/>
    <w:rsid w:val="007C07B3"/>
    <w:rsid w:val="007C07FC"/>
    <w:rsid w:val="007C0816"/>
    <w:rsid w:val="007C08BA"/>
    <w:rsid w:val="007C08E1"/>
    <w:rsid w:val="007C08F0"/>
    <w:rsid w:val="007C09E8"/>
    <w:rsid w:val="007C0A3F"/>
    <w:rsid w:val="007C0A94"/>
    <w:rsid w:val="007C0BCF"/>
    <w:rsid w:val="007C0D5D"/>
    <w:rsid w:val="007C0E41"/>
    <w:rsid w:val="007C0F38"/>
    <w:rsid w:val="007C1207"/>
    <w:rsid w:val="007C120F"/>
    <w:rsid w:val="007C1340"/>
    <w:rsid w:val="007C14B2"/>
    <w:rsid w:val="007C15C1"/>
    <w:rsid w:val="007C1763"/>
    <w:rsid w:val="007C1839"/>
    <w:rsid w:val="007C19A1"/>
    <w:rsid w:val="007C1A01"/>
    <w:rsid w:val="007C1A19"/>
    <w:rsid w:val="007C1B76"/>
    <w:rsid w:val="007C1B96"/>
    <w:rsid w:val="007C1D0B"/>
    <w:rsid w:val="007C1DD3"/>
    <w:rsid w:val="007C1DF8"/>
    <w:rsid w:val="007C1EA5"/>
    <w:rsid w:val="007C1F27"/>
    <w:rsid w:val="007C1F75"/>
    <w:rsid w:val="007C1FA8"/>
    <w:rsid w:val="007C208B"/>
    <w:rsid w:val="007C2154"/>
    <w:rsid w:val="007C23CD"/>
    <w:rsid w:val="007C2456"/>
    <w:rsid w:val="007C26AF"/>
    <w:rsid w:val="007C2797"/>
    <w:rsid w:val="007C27AA"/>
    <w:rsid w:val="007C27B0"/>
    <w:rsid w:val="007C27EC"/>
    <w:rsid w:val="007C280C"/>
    <w:rsid w:val="007C2869"/>
    <w:rsid w:val="007C2A3D"/>
    <w:rsid w:val="007C2BF6"/>
    <w:rsid w:val="007C2CFC"/>
    <w:rsid w:val="007C2D1B"/>
    <w:rsid w:val="007C2FF9"/>
    <w:rsid w:val="007C3052"/>
    <w:rsid w:val="007C3261"/>
    <w:rsid w:val="007C3490"/>
    <w:rsid w:val="007C35DF"/>
    <w:rsid w:val="007C3611"/>
    <w:rsid w:val="007C3675"/>
    <w:rsid w:val="007C3691"/>
    <w:rsid w:val="007C38D1"/>
    <w:rsid w:val="007C39A2"/>
    <w:rsid w:val="007C39BC"/>
    <w:rsid w:val="007C39FE"/>
    <w:rsid w:val="007C3AD4"/>
    <w:rsid w:val="007C3B3D"/>
    <w:rsid w:val="007C3CB0"/>
    <w:rsid w:val="007C3DA8"/>
    <w:rsid w:val="007C3E5D"/>
    <w:rsid w:val="007C3E97"/>
    <w:rsid w:val="007C40AD"/>
    <w:rsid w:val="007C40E7"/>
    <w:rsid w:val="007C416B"/>
    <w:rsid w:val="007C423A"/>
    <w:rsid w:val="007C4342"/>
    <w:rsid w:val="007C4348"/>
    <w:rsid w:val="007C4426"/>
    <w:rsid w:val="007C4432"/>
    <w:rsid w:val="007C456D"/>
    <w:rsid w:val="007C46DF"/>
    <w:rsid w:val="007C4731"/>
    <w:rsid w:val="007C47BB"/>
    <w:rsid w:val="007C47C5"/>
    <w:rsid w:val="007C47DE"/>
    <w:rsid w:val="007C4814"/>
    <w:rsid w:val="007C48E9"/>
    <w:rsid w:val="007C48FF"/>
    <w:rsid w:val="007C49EE"/>
    <w:rsid w:val="007C4B3F"/>
    <w:rsid w:val="007C4D31"/>
    <w:rsid w:val="007C4F4A"/>
    <w:rsid w:val="007C4F87"/>
    <w:rsid w:val="007C5278"/>
    <w:rsid w:val="007C5583"/>
    <w:rsid w:val="007C56EF"/>
    <w:rsid w:val="007C5731"/>
    <w:rsid w:val="007C5766"/>
    <w:rsid w:val="007C579E"/>
    <w:rsid w:val="007C57E9"/>
    <w:rsid w:val="007C5935"/>
    <w:rsid w:val="007C59EF"/>
    <w:rsid w:val="007C5B6E"/>
    <w:rsid w:val="007C5CA7"/>
    <w:rsid w:val="007C5CCF"/>
    <w:rsid w:val="007C5D46"/>
    <w:rsid w:val="007C5D72"/>
    <w:rsid w:val="007C5FC4"/>
    <w:rsid w:val="007C60CB"/>
    <w:rsid w:val="007C6112"/>
    <w:rsid w:val="007C613C"/>
    <w:rsid w:val="007C6259"/>
    <w:rsid w:val="007C627A"/>
    <w:rsid w:val="007C628A"/>
    <w:rsid w:val="007C62A7"/>
    <w:rsid w:val="007C6406"/>
    <w:rsid w:val="007C6439"/>
    <w:rsid w:val="007C6489"/>
    <w:rsid w:val="007C64F3"/>
    <w:rsid w:val="007C653D"/>
    <w:rsid w:val="007C6641"/>
    <w:rsid w:val="007C675C"/>
    <w:rsid w:val="007C68DB"/>
    <w:rsid w:val="007C68FE"/>
    <w:rsid w:val="007C6A51"/>
    <w:rsid w:val="007C6A59"/>
    <w:rsid w:val="007C6A7C"/>
    <w:rsid w:val="007C6AAD"/>
    <w:rsid w:val="007C6B7E"/>
    <w:rsid w:val="007C6D72"/>
    <w:rsid w:val="007C6E08"/>
    <w:rsid w:val="007C6E60"/>
    <w:rsid w:val="007C6E74"/>
    <w:rsid w:val="007C6EFA"/>
    <w:rsid w:val="007C7070"/>
    <w:rsid w:val="007C7073"/>
    <w:rsid w:val="007C7235"/>
    <w:rsid w:val="007C7263"/>
    <w:rsid w:val="007C72B6"/>
    <w:rsid w:val="007C7353"/>
    <w:rsid w:val="007C7449"/>
    <w:rsid w:val="007C7482"/>
    <w:rsid w:val="007C74DB"/>
    <w:rsid w:val="007C75EA"/>
    <w:rsid w:val="007C767B"/>
    <w:rsid w:val="007C76D5"/>
    <w:rsid w:val="007C797E"/>
    <w:rsid w:val="007C7CDC"/>
    <w:rsid w:val="007C7EE3"/>
    <w:rsid w:val="007D001E"/>
    <w:rsid w:val="007D00E4"/>
    <w:rsid w:val="007D0127"/>
    <w:rsid w:val="007D013A"/>
    <w:rsid w:val="007D03C1"/>
    <w:rsid w:val="007D04CB"/>
    <w:rsid w:val="007D04DE"/>
    <w:rsid w:val="007D0532"/>
    <w:rsid w:val="007D0575"/>
    <w:rsid w:val="007D05A9"/>
    <w:rsid w:val="007D076D"/>
    <w:rsid w:val="007D07D1"/>
    <w:rsid w:val="007D0902"/>
    <w:rsid w:val="007D0A0C"/>
    <w:rsid w:val="007D0ABC"/>
    <w:rsid w:val="007D0AFF"/>
    <w:rsid w:val="007D0CCD"/>
    <w:rsid w:val="007D0D54"/>
    <w:rsid w:val="007D0E61"/>
    <w:rsid w:val="007D0F26"/>
    <w:rsid w:val="007D1256"/>
    <w:rsid w:val="007D12B6"/>
    <w:rsid w:val="007D1384"/>
    <w:rsid w:val="007D13CC"/>
    <w:rsid w:val="007D1411"/>
    <w:rsid w:val="007D163B"/>
    <w:rsid w:val="007D16EF"/>
    <w:rsid w:val="007D18AB"/>
    <w:rsid w:val="007D1AEC"/>
    <w:rsid w:val="007D1BE9"/>
    <w:rsid w:val="007D1D72"/>
    <w:rsid w:val="007D1F3A"/>
    <w:rsid w:val="007D1F91"/>
    <w:rsid w:val="007D1F97"/>
    <w:rsid w:val="007D1FC6"/>
    <w:rsid w:val="007D1FCC"/>
    <w:rsid w:val="007D212D"/>
    <w:rsid w:val="007D2135"/>
    <w:rsid w:val="007D21CF"/>
    <w:rsid w:val="007D22DA"/>
    <w:rsid w:val="007D2462"/>
    <w:rsid w:val="007D2600"/>
    <w:rsid w:val="007D26ED"/>
    <w:rsid w:val="007D2792"/>
    <w:rsid w:val="007D28C2"/>
    <w:rsid w:val="007D28DD"/>
    <w:rsid w:val="007D28F3"/>
    <w:rsid w:val="007D2BC0"/>
    <w:rsid w:val="007D2C14"/>
    <w:rsid w:val="007D2D7F"/>
    <w:rsid w:val="007D2DD5"/>
    <w:rsid w:val="007D2F7D"/>
    <w:rsid w:val="007D312A"/>
    <w:rsid w:val="007D3165"/>
    <w:rsid w:val="007D34B3"/>
    <w:rsid w:val="007D34D1"/>
    <w:rsid w:val="007D350B"/>
    <w:rsid w:val="007D3709"/>
    <w:rsid w:val="007D370D"/>
    <w:rsid w:val="007D372C"/>
    <w:rsid w:val="007D3827"/>
    <w:rsid w:val="007D3890"/>
    <w:rsid w:val="007D3902"/>
    <w:rsid w:val="007D392C"/>
    <w:rsid w:val="007D39E2"/>
    <w:rsid w:val="007D3BA7"/>
    <w:rsid w:val="007D3F93"/>
    <w:rsid w:val="007D401B"/>
    <w:rsid w:val="007D4035"/>
    <w:rsid w:val="007D4235"/>
    <w:rsid w:val="007D442C"/>
    <w:rsid w:val="007D446B"/>
    <w:rsid w:val="007D44AD"/>
    <w:rsid w:val="007D44F3"/>
    <w:rsid w:val="007D4555"/>
    <w:rsid w:val="007D45AF"/>
    <w:rsid w:val="007D4626"/>
    <w:rsid w:val="007D4650"/>
    <w:rsid w:val="007D4827"/>
    <w:rsid w:val="007D49FF"/>
    <w:rsid w:val="007D4A51"/>
    <w:rsid w:val="007D4B54"/>
    <w:rsid w:val="007D4C5D"/>
    <w:rsid w:val="007D4C5E"/>
    <w:rsid w:val="007D4DEA"/>
    <w:rsid w:val="007D4E18"/>
    <w:rsid w:val="007D4E4E"/>
    <w:rsid w:val="007D509F"/>
    <w:rsid w:val="007D5102"/>
    <w:rsid w:val="007D5136"/>
    <w:rsid w:val="007D516A"/>
    <w:rsid w:val="007D5390"/>
    <w:rsid w:val="007D53CA"/>
    <w:rsid w:val="007D5403"/>
    <w:rsid w:val="007D5516"/>
    <w:rsid w:val="007D5540"/>
    <w:rsid w:val="007D561F"/>
    <w:rsid w:val="007D5655"/>
    <w:rsid w:val="007D56B2"/>
    <w:rsid w:val="007D5773"/>
    <w:rsid w:val="007D59E5"/>
    <w:rsid w:val="007D59F1"/>
    <w:rsid w:val="007D5A73"/>
    <w:rsid w:val="007D5AEA"/>
    <w:rsid w:val="007D5BF6"/>
    <w:rsid w:val="007D5CAC"/>
    <w:rsid w:val="007D5DF3"/>
    <w:rsid w:val="007D5E80"/>
    <w:rsid w:val="007D5FBC"/>
    <w:rsid w:val="007D5FDA"/>
    <w:rsid w:val="007D6054"/>
    <w:rsid w:val="007D605D"/>
    <w:rsid w:val="007D611D"/>
    <w:rsid w:val="007D63AA"/>
    <w:rsid w:val="007D645D"/>
    <w:rsid w:val="007D6470"/>
    <w:rsid w:val="007D6529"/>
    <w:rsid w:val="007D65CE"/>
    <w:rsid w:val="007D6607"/>
    <w:rsid w:val="007D673F"/>
    <w:rsid w:val="007D6818"/>
    <w:rsid w:val="007D6893"/>
    <w:rsid w:val="007D6ADF"/>
    <w:rsid w:val="007D6B68"/>
    <w:rsid w:val="007D6BCC"/>
    <w:rsid w:val="007D6BF2"/>
    <w:rsid w:val="007D6BFB"/>
    <w:rsid w:val="007D6D89"/>
    <w:rsid w:val="007D6E43"/>
    <w:rsid w:val="007D6EAE"/>
    <w:rsid w:val="007D6F33"/>
    <w:rsid w:val="007D6FA1"/>
    <w:rsid w:val="007D7138"/>
    <w:rsid w:val="007D7261"/>
    <w:rsid w:val="007D732C"/>
    <w:rsid w:val="007D742C"/>
    <w:rsid w:val="007D74D3"/>
    <w:rsid w:val="007D755C"/>
    <w:rsid w:val="007D756D"/>
    <w:rsid w:val="007D7751"/>
    <w:rsid w:val="007D77A5"/>
    <w:rsid w:val="007D7891"/>
    <w:rsid w:val="007D7935"/>
    <w:rsid w:val="007D7939"/>
    <w:rsid w:val="007D79DB"/>
    <w:rsid w:val="007D7DE7"/>
    <w:rsid w:val="007D7E41"/>
    <w:rsid w:val="007D7F46"/>
    <w:rsid w:val="007D7FB5"/>
    <w:rsid w:val="007E0022"/>
    <w:rsid w:val="007E00AA"/>
    <w:rsid w:val="007E0164"/>
    <w:rsid w:val="007E0268"/>
    <w:rsid w:val="007E027C"/>
    <w:rsid w:val="007E02AE"/>
    <w:rsid w:val="007E02D6"/>
    <w:rsid w:val="007E0450"/>
    <w:rsid w:val="007E0453"/>
    <w:rsid w:val="007E070B"/>
    <w:rsid w:val="007E0812"/>
    <w:rsid w:val="007E089F"/>
    <w:rsid w:val="007E08E6"/>
    <w:rsid w:val="007E08ED"/>
    <w:rsid w:val="007E08F9"/>
    <w:rsid w:val="007E0A62"/>
    <w:rsid w:val="007E0A8F"/>
    <w:rsid w:val="007E0A94"/>
    <w:rsid w:val="007E0B90"/>
    <w:rsid w:val="007E0C55"/>
    <w:rsid w:val="007E0C82"/>
    <w:rsid w:val="007E0CA6"/>
    <w:rsid w:val="007E0E04"/>
    <w:rsid w:val="007E0F95"/>
    <w:rsid w:val="007E112F"/>
    <w:rsid w:val="007E124A"/>
    <w:rsid w:val="007E12D8"/>
    <w:rsid w:val="007E12E2"/>
    <w:rsid w:val="007E1302"/>
    <w:rsid w:val="007E1368"/>
    <w:rsid w:val="007E1418"/>
    <w:rsid w:val="007E14A6"/>
    <w:rsid w:val="007E1706"/>
    <w:rsid w:val="007E1733"/>
    <w:rsid w:val="007E1843"/>
    <w:rsid w:val="007E19A1"/>
    <w:rsid w:val="007E19BC"/>
    <w:rsid w:val="007E1A1B"/>
    <w:rsid w:val="007E1D9F"/>
    <w:rsid w:val="007E1E1A"/>
    <w:rsid w:val="007E1EB5"/>
    <w:rsid w:val="007E210A"/>
    <w:rsid w:val="007E211D"/>
    <w:rsid w:val="007E229A"/>
    <w:rsid w:val="007E22C5"/>
    <w:rsid w:val="007E2483"/>
    <w:rsid w:val="007E27A5"/>
    <w:rsid w:val="007E2870"/>
    <w:rsid w:val="007E2901"/>
    <w:rsid w:val="007E2B11"/>
    <w:rsid w:val="007E2BB7"/>
    <w:rsid w:val="007E2BC5"/>
    <w:rsid w:val="007E2BCF"/>
    <w:rsid w:val="007E2D46"/>
    <w:rsid w:val="007E2E19"/>
    <w:rsid w:val="007E2E38"/>
    <w:rsid w:val="007E2FFC"/>
    <w:rsid w:val="007E3275"/>
    <w:rsid w:val="007E340D"/>
    <w:rsid w:val="007E3496"/>
    <w:rsid w:val="007E34C8"/>
    <w:rsid w:val="007E3768"/>
    <w:rsid w:val="007E384B"/>
    <w:rsid w:val="007E3912"/>
    <w:rsid w:val="007E3A0A"/>
    <w:rsid w:val="007E3A1D"/>
    <w:rsid w:val="007E3A9B"/>
    <w:rsid w:val="007E3AF4"/>
    <w:rsid w:val="007E3BD9"/>
    <w:rsid w:val="007E3DED"/>
    <w:rsid w:val="007E3DEE"/>
    <w:rsid w:val="007E3E79"/>
    <w:rsid w:val="007E3ECC"/>
    <w:rsid w:val="007E4119"/>
    <w:rsid w:val="007E472B"/>
    <w:rsid w:val="007E478B"/>
    <w:rsid w:val="007E48B4"/>
    <w:rsid w:val="007E48E4"/>
    <w:rsid w:val="007E4937"/>
    <w:rsid w:val="007E49B3"/>
    <w:rsid w:val="007E49C0"/>
    <w:rsid w:val="007E49C4"/>
    <w:rsid w:val="007E4A70"/>
    <w:rsid w:val="007E4C4D"/>
    <w:rsid w:val="007E4CAB"/>
    <w:rsid w:val="007E4DF2"/>
    <w:rsid w:val="007E4E66"/>
    <w:rsid w:val="007E4EF6"/>
    <w:rsid w:val="007E4FB0"/>
    <w:rsid w:val="007E519A"/>
    <w:rsid w:val="007E51C4"/>
    <w:rsid w:val="007E51C6"/>
    <w:rsid w:val="007E5245"/>
    <w:rsid w:val="007E54DB"/>
    <w:rsid w:val="007E5528"/>
    <w:rsid w:val="007E55B2"/>
    <w:rsid w:val="007E5669"/>
    <w:rsid w:val="007E571E"/>
    <w:rsid w:val="007E59A4"/>
    <w:rsid w:val="007E59F9"/>
    <w:rsid w:val="007E5A69"/>
    <w:rsid w:val="007E5BF8"/>
    <w:rsid w:val="007E5BFA"/>
    <w:rsid w:val="007E5CF8"/>
    <w:rsid w:val="007E5F93"/>
    <w:rsid w:val="007E6074"/>
    <w:rsid w:val="007E60A6"/>
    <w:rsid w:val="007E6112"/>
    <w:rsid w:val="007E6175"/>
    <w:rsid w:val="007E6251"/>
    <w:rsid w:val="007E6260"/>
    <w:rsid w:val="007E62F1"/>
    <w:rsid w:val="007E640C"/>
    <w:rsid w:val="007E6460"/>
    <w:rsid w:val="007E66AF"/>
    <w:rsid w:val="007E6783"/>
    <w:rsid w:val="007E67A6"/>
    <w:rsid w:val="007E683E"/>
    <w:rsid w:val="007E6925"/>
    <w:rsid w:val="007E69A9"/>
    <w:rsid w:val="007E69BE"/>
    <w:rsid w:val="007E69C4"/>
    <w:rsid w:val="007E6A73"/>
    <w:rsid w:val="007E6BEB"/>
    <w:rsid w:val="007E6C2E"/>
    <w:rsid w:val="007E6C66"/>
    <w:rsid w:val="007E6D03"/>
    <w:rsid w:val="007E70B3"/>
    <w:rsid w:val="007E70BC"/>
    <w:rsid w:val="007E70CA"/>
    <w:rsid w:val="007E70E2"/>
    <w:rsid w:val="007E731F"/>
    <w:rsid w:val="007E737C"/>
    <w:rsid w:val="007E752E"/>
    <w:rsid w:val="007E75CC"/>
    <w:rsid w:val="007E767D"/>
    <w:rsid w:val="007E76A8"/>
    <w:rsid w:val="007E76AB"/>
    <w:rsid w:val="007E783F"/>
    <w:rsid w:val="007E7860"/>
    <w:rsid w:val="007E7A76"/>
    <w:rsid w:val="007E7A84"/>
    <w:rsid w:val="007E7B5C"/>
    <w:rsid w:val="007E7B75"/>
    <w:rsid w:val="007E7C84"/>
    <w:rsid w:val="007E7C94"/>
    <w:rsid w:val="007E7CB8"/>
    <w:rsid w:val="007E7D55"/>
    <w:rsid w:val="007E7E45"/>
    <w:rsid w:val="007E7EA8"/>
    <w:rsid w:val="007E7EE4"/>
    <w:rsid w:val="007E7F27"/>
    <w:rsid w:val="007E7F87"/>
    <w:rsid w:val="007F00CE"/>
    <w:rsid w:val="007F00DD"/>
    <w:rsid w:val="007F01DB"/>
    <w:rsid w:val="007F02A1"/>
    <w:rsid w:val="007F02EF"/>
    <w:rsid w:val="007F04BD"/>
    <w:rsid w:val="007F04D0"/>
    <w:rsid w:val="007F056B"/>
    <w:rsid w:val="007F058B"/>
    <w:rsid w:val="007F0603"/>
    <w:rsid w:val="007F0607"/>
    <w:rsid w:val="007F0642"/>
    <w:rsid w:val="007F07E5"/>
    <w:rsid w:val="007F09EE"/>
    <w:rsid w:val="007F0C38"/>
    <w:rsid w:val="007F0DE6"/>
    <w:rsid w:val="007F0ED8"/>
    <w:rsid w:val="007F0FA1"/>
    <w:rsid w:val="007F0FE7"/>
    <w:rsid w:val="007F1081"/>
    <w:rsid w:val="007F134A"/>
    <w:rsid w:val="007F1350"/>
    <w:rsid w:val="007F1366"/>
    <w:rsid w:val="007F13A1"/>
    <w:rsid w:val="007F1461"/>
    <w:rsid w:val="007F14F4"/>
    <w:rsid w:val="007F1672"/>
    <w:rsid w:val="007F1714"/>
    <w:rsid w:val="007F18B0"/>
    <w:rsid w:val="007F18EF"/>
    <w:rsid w:val="007F196F"/>
    <w:rsid w:val="007F1A37"/>
    <w:rsid w:val="007F1BF9"/>
    <w:rsid w:val="007F1E05"/>
    <w:rsid w:val="007F1E8A"/>
    <w:rsid w:val="007F20C2"/>
    <w:rsid w:val="007F20CD"/>
    <w:rsid w:val="007F233B"/>
    <w:rsid w:val="007F274C"/>
    <w:rsid w:val="007F27CE"/>
    <w:rsid w:val="007F2B73"/>
    <w:rsid w:val="007F2C2C"/>
    <w:rsid w:val="007F2F06"/>
    <w:rsid w:val="007F304E"/>
    <w:rsid w:val="007F3302"/>
    <w:rsid w:val="007F34DD"/>
    <w:rsid w:val="007F3519"/>
    <w:rsid w:val="007F36E7"/>
    <w:rsid w:val="007F37D4"/>
    <w:rsid w:val="007F3979"/>
    <w:rsid w:val="007F3A1E"/>
    <w:rsid w:val="007F3AAE"/>
    <w:rsid w:val="007F3BF7"/>
    <w:rsid w:val="007F3C43"/>
    <w:rsid w:val="007F3DC3"/>
    <w:rsid w:val="007F3EEE"/>
    <w:rsid w:val="007F3F11"/>
    <w:rsid w:val="007F411B"/>
    <w:rsid w:val="007F4127"/>
    <w:rsid w:val="007F4238"/>
    <w:rsid w:val="007F434B"/>
    <w:rsid w:val="007F434C"/>
    <w:rsid w:val="007F455C"/>
    <w:rsid w:val="007F45AC"/>
    <w:rsid w:val="007F4692"/>
    <w:rsid w:val="007F46FF"/>
    <w:rsid w:val="007F4701"/>
    <w:rsid w:val="007F4756"/>
    <w:rsid w:val="007F47D2"/>
    <w:rsid w:val="007F47D4"/>
    <w:rsid w:val="007F492F"/>
    <w:rsid w:val="007F4A38"/>
    <w:rsid w:val="007F4B0D"/>
    <w:rsid w:val="007F4C7D"/>
    <w:rsid w:val="007F4D06"/>
    <w:rsid w:val="007F4D44"/>
    <w:rsid w:val="007F4D8D"/>
    <w:rsid w:val="007F4E38"/>
    <w:rsid w:val="007F4F1A"/>
    <w:rsid w:val="007F502D"/>
    <w:rsid w:val="007F5175"/>
    <w:rsid w:val="007F51DD"/>
    <w:rsid w:val="007F5224"/>
    <w:rsid w:val="007F5287"/>
    <w:rsid w:val="007F537B"/>
    <w:rsid w:val="007F545E"/>
    <w:rsid w:val="007F548D"/>
    <w:rsid w:val="007F5581"/>
    <w:rsid w:val="007F55D5"/>
    <w:rsid w:val="007F584E"/>
    <w:rsid w:val="007F59B0"/>
    <w:rsid w:val="007F5AD0"/>
    <w:rsid w:val="007F5CF1"/>
    <w:rsid w:val="007F5DF7"/>
    <w:rsid w:val="007F5F4C"/>
    <w:rsid w:val="007F5FF5"/>
    <w:rsid w:val="007F6019"/>
    <w:rsid w:val="007F6172"/>
    <w:rsid w:val="007F646B"/>
    <w:rsid w:val="007F64C9"/>
    <w:rsid w:val="007F6509"/>
    <w:rsid w:val="007F6885"/>
    <w:rsid w:val="007F68FE"/>
    <w:rsid w:val="007F6972"/>
    <w:rsid w:val="007F69C5"/>
    <w:rsid w:val="007F69E3"/>
    <w:rsid w:val="007F6CF2"/>
    <w:rsid w:val="007F6E86"/>
    <w:rsid w:val="007F6EFD"/>
    <w:rsid w:val="007F7427"/>
    <w:rsid w:val="007F745B"/>
    <w:rsid w:val="007F7538"/>
    <w:rsid w:val="007F75B1"/>
    <w:rsid w:val="007F7772"/>
    <w:rsid w:val="007F77FD"/>
    <w:rsid w:val="007F793A"/>
    <w:rsid w:val="007F7A93"/>
    <w:rsid w:val="007F7AA9"/>
    <w:rsid w:val="007F7AE7"/>
    <w:rsid w:val="007F7BC2"/>
    <w:rsid w:val="007F7C04"/>
    <w:rsid w:val="007F7C98"/>
    <w:rsid w:val="007F7CF4"/>
    <w:rsid w:val="007F7D35"/>
    <w:rsid w:val="007F7D9A"/>
    <w:rsid w:val="007F7E54"/>
    <w:rsid w:val="007F7EC9"/>
    <w:rsid w:val="007F7F7B"/>
    <w:rsid w:val="007F7FEA"/>
    <w:rsid w:val="007FF994"/>
    <w:rsid w:val="00800130"/>
    <w:rsid w:val="00800379"/>
    <w:rsid w:val="008003C5"/>
    <w:rsid w:val="00800530"/>
    <w:rsid w:val="008006EB"/>
    <w:rsid w:val="00800747"/>
    <w:rsid w:val="00800A35"/>
    <w:rsid w:val="00800AD3"/>
    <w:rsid w:val="00800B14"/>
    <w:rsid w:val="00800C3B"/>
    <w:rsid w:val="00800CB9"/>
    <w:rsid w:val="00800F9C"/>
    <w:rsid w:val="008010BF"/>
    <w:rsid w:val="00801430"/>
    <w:rsid w:val="008014C5"/>
    <w:rsid w:val="008015A9"/>
    <w:rsid w:val="008016B6"/>
    <w:rsid w:val="00801743"/>
    <w:rsid w:val="0080183E"/>
    <w:rsid w:val="008018A5"/>
    <w:rsid w:val="0080190B"/>
    <w:rsid w:val="008019D2"/>
    <w:rsid w:val="00801A0A"/>
    <w:rsid w:val="00801A37"/>
    <w:rsid w:val="00801C03"/>
    <w:rsid w:val="00801D58"/>
    <w:rsid w:val="00801EB6"/>
    <w:rsid w:val="00801FE9"/>
    <w:rsid w:val="00802066"/>
    <w:rsid w:val="00802098"/>
    <w:rsid w:val="00802112"/>
    <w:rsid w:val="008021C0"/>
    <w:rsid w:val="00802379"/>
    <w:rsid w:val="00802406"/>
    <w:rsid w:val="00802435"/>
    <w:rsid w:val="00802473"/>
    <w:rsid w:val="0080254C"/>
    <w:rsid w:val="00802550"/>
    <w:rsid w:val="0080260B"/>
    <w:rsid w:val="00802632"/>
    <w:rsid w:val="00802679"/>
    <w:rsid w:val="0080273E"/>
    <w:rsid w:val="00802805"/>
    <w:rsid w:val="00802A12"/>
    <w:rsid w:val="00802A85"/>
    <w:rsid w:val="00802AB4"/>
    <w:rsid w:val="00802B45"/>
    <w:rsid w:val="00802B8C"/>
    <w:rsid w:val="00802BBC"/>
    <w:rsid w:val="00802C18"/>
    <w:rsid w:val="00802D82"/>
    <w:rsid w:val="00802ECA"/>
    <w:rsid w:val="00802EE0"/>
    <w:rsid w:val="00802FAE"/>
    <w:rsid w:val="008030D5"/>
    <w:rsid w:val="00803113"/>
    <w:rsid w:val="00803162"/>
    <w:rsid w:val="0080339F"/>
    <w:rsid w:val="008033CD"/>
    <w:rsid w:val="008035B3"/>
    <w:rsid w:val="00803654"/>
    <w:rsid w:val="0080375F"/>
    <w:rsid w:val="00803816"/>
    <w:rsid w:val="008038A2"/>
    <w:rsid w:val="008038EC"/>
    <w:rsid w:val="008039C6"/>
    <w:rsid w:val="00803B7B"/>
    <w:rsid w:val="00803BAB"/>
    <w:rsid w:val="00803BCE"/>
    <w:rsid w:val="00803BF5"/>
    <w:rsid w:val="00803C2B"/>
    <w:rsid w:val="00803DBE"/>
    <w:rsid w:val="00803E43"/>
    <w:rsid w:val="00803E8E"/>
    <w:rsid w:val="00803F5A"/>
    <w:rsid w:val="00804051"/>
    <w:rsid w:val="00804056"/>
    <w:rsid w:val="00804112"/>
    <w:rsid w:val="00804130"/>
    <w:rsid w:val="00804223"/>
    <w:rsid w:val="00804242"/>
    <w:rsid w:val="008042F5"/>
    <w:rsid w:val="00804353"/>
    <w:rsid w:val="0080459D"/>
    <w:rsid w:val="008045A3"/>
    <w:rsid w:val="008045F3"/>
    <w:rsid w:val="00804703"/>
    <w:rsid w:val="00804796"/>
    <w:rsid w:val="008047D7"/>
    <w:rsid w:val="008048FB"/>
    <w:rsid w:val="0080490E"/>
    <w:rsid w:val="00804B9B"/>
    <w:rsid w:val="00804BCF"/>
    <w:rsid w:val="00804BFC"/>
    <w:rsid w:val="00804C3D"/>
    <w:rsid w:val="00804D45"/>
    <w:rsid w:val="00804D4B"/>
    <w:rsid w:val="00804D72"/>
    <w:rsid w:val="00804E5B"/>
    <w:rsid w:val="00804E5C"/>
    <w:rsid w:val="00804E62"/>
    <w:rsid w:val="00804E88"/>
    <w:rsid w:val="00804EA4"/>
    <w:rsid w:val="00804FE9"/>
    <w:rsid w:val="00805013"/>
    <w:rsid w:val="0080513C"/>
    <w:rsid w:val="0080520C"/>
    <w:rsid w:val="00805266"/>
    <w:rsid w:val="00805293"/>
    <w:rsid w:val="00805457"/>
    <w:rsid w:val="00805669"/>
    <w:rsid w:val="008056D0"/>
    <w:rsid w:val="0080584E"/>
    <w:rsid w:val="00805855"/>
    <w:rsid w:val="00805898"/>
    <w:rsid w:val="008059B8"/>
    <w:rsid w:val="00805A84"/>
    <w:rsid w:val="00805DFC"/>
    <w:rsid w:val="00805F17"/>
    <w:rsid w:val="00805F80"/>
    <w:rsid w:val="0080617F"/>
    <w:rsid w:val="008061B0"/>
    <w:rsid w:val="0080620B"/>
    <w:rsid w:val="0080631E"/>
    <w:rsid w:val="00806392"/>
    <w:rsid w:val="008063E0"/>
    <w:rsid w:val="0080642B"/>
    <w:rsid w:val="00806438"/>
    <w:rsid w:val="008064A8"/>
    <w:rsid w:val="008067C0"/>
    <w:rsid w:val="008068B0"/>
    <w:rsid w:val="008068FD"/>
    <w:rsid w:val="00806AD4"/>
    <w:rsid w:val="00806B30"/>
    <w:rsid w:val="00806B5D"/>
    <w:rsid w:val="00806B6C"/>
    <w:rsid w:val="00806BD9"/>
    <w:rsid w:val="00806C0E"/>
    <w:rsid w:val="00806E05"/>
    <w:rsid w:val="00806EE0"/>
    <w:rsid w:val="00806F23"/>
    <w:rsid w:val="008070CE"/>
    <w:rsid w:val="008071FA"/>
    <w:rsid w:val="00807207"/>
    <w:rsid w:val="00807226"/>
    <w:rsid w:val="008073BF"/>
    <w:rsid w:val="0080741F"/>
    <w:rsid w:val="00807517"/>
    <w:rsid w:val="00807731"/>
    <w:rsid w:val="008078D6"/>
    <w:rsid w:val="00807B2C"/>
    <w:rsid w:val="00807CFA"/>
    <w:rsid w:val="00807FFC"/>
    <w:rsid w:val="0081001B"/>
    <w:rsid w:val="00810057"/>
    <w:rsid w:val="00810097"/>
    <w:rsid w:val="00810376"/>
    <w:rsid w:val="00810543"/>
    <w:rsid w:val="008105D4"/>
    <w:rsid w:val="00810653"/>
    <w:rsid w:val="00810736"/>
    <w:rsid w:val="0081075F"/>
    <w:rsid w:val="0081089E"/>
    <w:rsid w:val="00810929"/>
    <w:rsid w:val="0081096C"/>
    <w:rsid w:val="00810CD2"/>
    <w:rsid w:val="00810D24"/>
    <w:rsid w:val="00810E54"/>
    <w:rsid w:val="0081107C"/>
    <w:rsid w:val="008111CB"/>
    <w:rsid w:val="00811484"/>
    <w:rsid w:val="00811488"/>
    <w:rsid w:val="00811548"/>
    <w:rsid w:val="008118C4"/>
    <w:rsid w:val="0081194E"/>
    <w:rsid w:val="00811BD8"/>
    <w:rsid w:val="00811C69"/>
    <w:rsid w:val="00811D24"/>
    <w:rsid w:val="00811DF9"/>
    <w:rsid w:val="00812076"/>
    <w:rsid w:val="00812106"/>
    <w:rsid w:val="0081220C"/>
    <w:rsid w:val="00812282"/>
    <w:rsid w:val="0081234E"/>
    <w:rsid w:val="008123DE"/>
    <w:rsid w:val="00812478"/>
    <w:rsid w:val="0081255F"/>
    <w:rsid w:val="0081256B"/>
    <w:rsid w:val="0081273A"/>
    <w:rsid w:val="0081287A"/>
    <w:rsid w:val="0081297D"/>
    <w:rsid w:val="00812995"/>
    <w:rsid w:val="008129BE"/>
    <w:rsid w:val="00812A18"/>
    <w:rsid w:val="00812B82"/>
    <w:rsid w:val="00812B84"/>
    <w:rsid w:val="00812BE1"/>
    <w:rsid w:val="00812C92"/>
    <w:rsid w:val="00812CD8"/>
    <w:rsid w:val="00812D11"/>
    <w:rsid w:val="00812DCA"/>
    <w:rsid w:val="00812F4F"/>
    <w:rsid w:val="00813199"/>
    <w:rsid w:val="008131D5"/>
    <w:rsid w:val="00813425"/>
    <w:rsid w:val="00813458"/>
    <w:rsid w:val="008135C7"/>
    <w:rsid w:val="00813723"/>
    <w:rsid w:val="00813783"/>
    <w:rsid w:val="00813796"/>
    <w:rsid w:val="0081397B"/>
    <w:rsid w:val="00813A5D"/>
    <w:rsid w:val="00813A65"/>
    <w:rsid w:val="00813C0A"/>
    <w:rsid w:val="00813C79"/>
    <w:rsid w:val="00813CF4"/>
    <w:rsid w:val="00813F33"/>
    <w:rsid w:val="00813FAA"/>
    <w:rsid w:val="008141B9"/>
    <w:rsid w:val="008141E9"/>
    <w:rsid w:val="008144E0"/>
    <w:rsid w:val="0081469E"/>
    <w:rsid w:val="0081471A"/>
    <w:rsid w:val="00814753"/>
    <w:rsid w:val="008147B5"/>
    <w:rsid w:val="008147DA"/>
    <w:rsid w:val="00814956"/>
    <w:rsid w:val="00814AAF"/>
    <w:rsid w:val="00814B1F"/>
    <w:rsid w:val="00814B6B"/>
    <w:rsid w:val="00814B8B"/>
    <w:rsid w:val="00814FA6"/>
    <w:rsid w:val="00814FE9"/>
    <w:rsid w:val="008150EB"/>
    <w:rsid w:val="00815181"/>
    <w:rsid w:val="008151AF"/>
    <w:rsid w:val="0081539F"/>
    <w:rsid w:val="00815404"/>
    <w:rsid w:val="00815474"/>
    <w:rsid w:val="008156DD"/>
    <w:rsid w:val="008156EC"/>
    <w:rsid w:val="0081574B"/>
    <w:rsid w:val="008157E2"/>
    <w:rsid w:val="00815848"/>
    <w:rsid w:val="00815A94"/>
    <w:rsid w:val="00815BF1"/>
    <w:rsid w:val="00815C12"/>
    <w:rsid w:val="00815C8D"/>
    <w:rsid w:val="00816030"/>
    <w:rsid w:val="0081617B"/>
    <w:rsid w:val="00816251"/>
    <w:rsid w:val="00816262"/>
    <w:rsid w:val="008162DF"/>
    <w:rsid w:val="00816307"/>
    <w:rsid w:val="00816441"/>
    <w:rsid w:val="0081646D"/>
    <w:rsid w:val="008164B8"/>
    <w:rsid w:val="008164DA"/>
    <w:rsid w:val="008164E4"/>
    <w:rsid w:val="0081654B"/>
    <w:rsid w:val="00816697"/>
    <w:rsid w:val="008166C3"/>
    <w:rsid w:val="008166DA"/>
    <w:rsid w:val="00816825"/>
    <w:rsid w:val="008168EE"/>
    <w:rsid w:val="00816923"/>
    <w:rsid w:val="00816BCD"/>
    <w:rsid w:val="00816CAF"/>
    <w:rsid w:val="00816D74"/>
    <w:rsid w:val="00816F26"/>
    <w:rsid w:val="00816F3C"/>
    <w:rsid w:val="00816F63"/>
    <w:rsid w:val="008171A0"/>
    <w:rsid w:val="0081721C"/>
    <w:rsid w:val="0081729B"/>
    <w:rsid w:val="0081731E"/>
    <w:rsid w:val="00817385"/>
    <w:rsid w:val="008173B5"/>
    <w:rsid w:val="008174A5"/>
    <w:rsid w:val="0081758C"/>
    <w:rsid w:val="008176D0"/>
    <w:rsid w:val="0081772A"/>
    <w:rsid w:val="008179AA"/>
    <w:rsid w:val="00817B02"/>
    <w:rsid w:val="00817EC7"/>
    <w:rsid w:val="00820065"/>
    <w:rsid w:val="0082019F"/>
    <w:rsid w:val="008201D2"/>
    <w:rsid w:val="00820266"/>
    <w:rsid w:val="008203BF"/>
    <w:rsid w:val="00820459"/>
    <w:rsid w:val="008204A8"/>
    <w:rsid w:val="008205BC"/>
    <w:rsid w:val="00820629"/>
    <w:rsid w:val="0082066F"/>
    <w:rsid w:val="00820678"/>
    <w:rsid w:val="00820798"/>
    <w:rsid w:val="008207B1"/>
    <w:rsid w:val="00820825"/>
    <w:rsid w:val="00820957"/>
    <w:rsid w:val="00820F4A"/>
    <w:rsid w:val="00821038"/>
    <w:rsid w:val="008210B3"/>
    <w:rsid w:val="008211AA"/>
    <w:rsid w:val="00821201"/>
    <w:rsid w:val="00821300"/>
    <w:rsid w:val="0082133A"/>
    <w:rsid w:val="008213DB"/>
    <w:rsid w:val="00821453"/>
    <w:rsid w:val="0082151A"/>
    <w:rsid w:val="00821756"/>
    <w:rsid w:val="00821B76"/>
    <w:rsid w:val="00821F25"/>
    <w:rsid w:val="00821FC9"/>
    <w:rsid w:val="00822130"/>
    <w:rsid w:val="008221D5"/>
    <w:rsid w:val="008223E1"/>
    <w:rsid w:val="0082240E"/>
    <w:rsid w:val="00822517"/>
    <w:rsid w:val="0082254E"/>
    <w:rsid w:val="0082266B"/>
    <w:rsid w:val="008226B7"/>
    <w:rsid w:val="008227C3"/>
    <w:rsid w:val="008227D1"/>
    <w:rsid w:val="00822892"/>
    <w:rsid w:val="00822911"/>
    <w:rsid w:val="00822A5C"/>
    <w:rsid w:val="00822AFC"/>
    <w:rsid w:val="00822BBC"/>
    <w:rsid w:val="00822D06"/>
    <w:rsid w:val="00822D59"/>
    <w:rsid w:val="00822FFF"/>
    <w:rsid w:val="00823183"/>
    <w:rsid w:val="008231B5"/>
    <w:rsid w:val="0082326C"/>
    <w:rsid w:val="008232F8"/>
    <w:rsid w:val="0082333B"/>
    <w:rsid w:val="00823641"/>
    <w:rsid w:val="00823711"/>
    <w:rsid w:val="0082371F"/>
    <w:rsid w:val="008237D0"/>
    <w:rsid w:val="00823819"/>
    <w:rsid w:val="00823885"/>
    <w:rsid w:val="00823A39"/>
    <w:rsid w:val="00823A4C"/>
    <w:rsid w:val="00823CCD"/>
    <w:rsid w:val="00823D07"/>
    <w:rsid w:val="00823D6D"/>
    <w:rsid w:val="00823D83"/>
    <w:rsid w:val="00823E0C"/>
    <w:rsid w:val="00823F9B"/>
    <w:rsid w:val="008241E0"/>
    <w:rsid w:val="008244FC"/>
    <w:rsid w:val="008245B8"/>
    <w:rsid w:val="0082478C"/>
    <w:rsid w:val="00824ABA"/>
    <w:rsid w:val="00824B5B"/>
    <w:rsid w:val="00824E7F"/>
    <w:rsid w:val="00824FA7"/>
    <w:rsid w:val="00824FCE"/>
    <w:rsid w:val="00824FEC"/>
    <w:rsid w:val="00825048"/>
    <w:rsid w:val="008250CB"/>
    <w:rsid w:val="008251CF"/>
    <w:rsid w:val="00825247"/>
    <w:rsid w:val="008252BF"/>
    <w:rsid w:val="008252DE"/>
    <w:rsid w:val="00825356"/>
    <w:rsid w:val="0082535D"/>
    <w:rsid w:val="00825530"/>
    <w:rsid w:val="00825635"/>
    <w:rsid w:val="00825676"/>
    <w:rsid w:val="0082580A"/>
    <w:rsid w:val="008259E4"/>
    <w:rsid w:val="00825D79"/>
    <w:rsid w:val="00825DD4"/>
    <w:rsid w:val="00825DE9"/>
    <w:rsid w:val="00825EA7"/>
    <w:rsid w:val="00825F23"/>
    <w:rsid w:val="008260B6"/>
    <w:rsid w:val="00826112"/>
    <w:rsid w:val="0082612B"/>
    <w:rsid w:val="008262A3"/>
    <w:rsid w:val="008262D3"/>
    <w:rsid w:val="00826302"/>
    <w:rsid w:val="008263B3"/>
    <w:rsid w:val="00826647"/>
    <w:rsid w:val="00826700"/>
    <w:rsid w:val="00826BCD"/>
    <w:rsid w:val="00826D2C"/>
    <w:rsid w:val="00826D94"/>
    <w:rsid w:val="00826F3A"/>
    <w:rsid w:val="008270FF"/>
    <w:rsid w:val="00827156"/>
    <w:rsid w:val="008272F1"/>
    <w:rsid w:val="0082730F"/>
    <w:rsid w:val="00827397"/>
    <w:rsid w:val="0082740C"/>
    <w:rsid w:val="0082753E"/>
    <w:rsid w:val="00827606"/>
    <w:rsid w:val="008276B0"/>
    <w:rsid w:val="008276D1"/>
    <w:rsid w:val="008276DD"/>
    <w:rsid w:val="00827703"/>
    <w:rsid w:val="00827747"/>
    <w:rsid w:val="008279A6"/>
    <w:rsid w:val="00827B3A"/>
    <w:rsid w:val="00827B63"/>
    <w:rsid w:val="00827FC0"/>
    <w:rsid w:val="00830088"/>
    <w:rsid w:val="00830155"/>
    <w:rsid w:val="008302B1"/>
    <w:rsid w:val="008302DE"/>
    <w:rsid w:val="008302E2"/>
    <w:rsid w:val="00830851"/>
    <w:rsid w:val="008308F4"/>
    <w:rsid w:val="008309B7"/>
    <w:rsid w:val="00830A21"/>
    <w:rsid w:val="00830A73"/>
    <w:rsid w:val="00830A91"/>
    <w:rsid w:val="00830BE1"/>
    <w:rsid w:val="00830BE9"/>
    <w:rsid w:val="00830C06"/>
    <w:rsid w:val="00830D54"/>
    <w:rsid w:val="00830DE3"/>
    <w:rsid w:val="00830ED3"/>
    <w:rsid w:val="00830FE4"/>
    <w:rsid w:val="00831233"/>
    <w:rsid w:val="0083135C"/>
    <w:rsid w:val="0083137C"/>
    <w:rsid w:val="008313A6"/>
    <w:rsid w:val="0083141C"/>
    <w:rsid w:val="008314F5"/>
    <w:rsid w:val="008315A7"/>
    <w:rsid w:val="00831812"/>
    <w:rsid w:val="0083188C"/>
    <w:rsid w:val="008319A2"/>
    <w:rsid w:val="00831B44"/>
    <w:rsid w:val="00831D68"/>
    <w:rsid w:val="00831DEB"/>
    <w:rsid w:val="00831E7D"/>
    <w:rsid w:val="00831F3A"/>
    <w:rsid w:val="00831F79"/>
    <w:rsid w:val="00831FBE"/>
    <w:rsid w:val="0083212C"/>
    <w:rsid w:val="008321BA"/>
    <w:rsid w:val="0083223C"/>
    <w:rsid w:val="0083224D"/>
    <w:rsid w:val="0083231F"/>
    <w:rsid w:val="008323AC"/>
    <w:rsid w:val="00832591"/>
    <w:rsid w:val="00832616"/>
    <w:rsid w:val="008328BF"/>
    <w:rsid w:val="008328EF"/>
    <w:rsid w:val="00832A0B"/>
    <w:rsid w:val="00832B07"/>
    <w:rsid w:val="00832B30"/>
    <w:rsid w:val="00832B9A"/>
    <w:rsid w:val="00832C32"/>
    <w:rsid w:val="00832CF9"/>
    <w:rsid w:val="00832D03"/>
    <w:rsid w:val="00832D77"/>
    <w:rsid w:val="008332B0"/>
    <w:rsid w:val="008332B8"/>
    <w:rsid w:val="00833384"/>
    <w:rsid w:val="008333B0"/>
    <w:rsid w:val="00833646"/>
    <w:rsid w:val="0083374C"/>
    <w:rsid w:val="00833812"/>
    <w:rsid w:val="0083386B"/>
    <w:rsid w:val="00833910"/>
    <w:rsid w:val="00833914"/>
    <w:rsid w:val="00833AD6"/>
    <w:rsid w:val="00833B3B"/>
    <w:rsid w:val="00833B91"/>
    <w:rsid w:val="00833C8B"/>
    <w:rsid w:val="00833F11"/>
    <w:rsid w:val="00833FA6"/>
    <w:rsid w:val="00834044"/>
    <w:rsid w:val="00834094"/>
    <w:rsid w:val="008340A1"/>
    <w:rsid w:val="008340D2"/>
    <w:rsid w:val="00834353"/>
    <w:rsid w:val="0083436F"/>
    <w:rsid w:val="00834598"/>
    <w:rsid w:val="0083461D"/>
    <w:rsid w:val="008348A0"/>
    <w:rsid w:val="008349B4"/>
    <w:rsid w:val="00834A1E"/>
    <w:rsid w:val="00834BFA"/>
    <w:rsid w:val="00834CE8"/>
    <w:rsid w:val="00834E05"/>
    <w:rsid w:val="00834FA8"/>
    <w:rsid w:val="00835192"/>
    <w:rsid w:val="0083533B"/>
    <w:rsid w:val="00835636"/>
    <w:rsid w:val="008356A2"/>
    <w:rsid w:val="0083577A"/>
    <w:rsid w:val="0083589E"/>
    <w:rsid w:val="008358DE"/>
    <w:rsid w:val="00835AA5"/>
    <w:rsid w:val="00835B7F"/>
    <w:rsid w:val="00835CBA"/>
    <w:rsid w:val="00835D0D"/>
    <w:rsid w:val="00835DB1"/>
    <w:rsid w:val="00835E07"/>
    <w:rsid w:val="00835E18"/>
    <w:rsid w:val="00835E58"/>
    <w:rsid w:val="00836018"/>
    <w:rsid w:val="008362A8"/>
    <w:rsid w:val="008363A3"/>
    <w:rsid w:val="008363F8"/>
    <w:rsid w:val="008364F7"/>
    <w:rsid w:val="008365CC"/>
    <w:rsid w:val="008365E2"/>
    <w:rsid w:val="008367F9"/>
    <w:rsid w:val="0083690B"/>
    <w:rsid w:val="008369D8"/>
    <w:rsid w:val="00836A4F"/>
    <w:rsid w:val="00836C62"/>
    <w:rsid w:val="00836C8A"/>
    <w:rsid w:val="00836CA7"/>
    <w:rsid w:val="00836CF5"/>
    <w:rsid w:val="00836DFA"/>
    <w:rsid w:val="00836E15"/>
    <w:rsid w:val="00836F0B"/>
    <w:rsid w:val="00836F61"/>
    <w:rsid w:val="00836FFF"/>
    <w:rsid w:val="008370CB"/>
    <w:rsid w:val="008370E3"/>
    <w:rsid w:val="0083724D"/>
    <w:rsid w:val="00837397"/>
    <w:rsid w:val="008373B8"/>
    <w:rsid w:val="00837469"/>
    <w:rsid w:val="0083746C"/>
    <w:rsid w:val="008375A1"/>
    <w:rsid w:val="008376CC"/>
    <w:rsid w:val="00837749"/>
    <w:rsid w:val="008377AC"/>
    <w:rsid w:val="00837839"/>
    <w:rsid w:val="00837854"/>
    <w:rsid w:val="008378F9"/>
    <w:rsid w:val="00837906"/>
    <w:rsid w:val="00837DF2"/>
    <w:rsid w:val="00837E6C"/>
    <w:rsid w:val="00837EAF"/>
    <w:rsid w:val="008400D6"/>
    <w:rsid w:val="00840212"/>
    <w:rsid w:val="00840221"/>
    <w:rsid w:val="008402A2"/>
    <w:rsid w:val="0084038F"/>
    <w:rsid w:val="00840497"/>
    <w:rsid w:val="00840672"/>
    <w:rsid w:val="00840766"/>
    <w:rsid w:val="00840952"/>
    <w:rsid w:val="00840972"/>
    <w:rsid w:val="00840F00"/>
    <w:rsid w:val="00841035"/>
    <w:rsid w:val="008411A5"/>
    <w:rsid w:val="008412A7"/>
    <w:rsid w:val="00841328"/>
    <w:rsid w:val="00841391"/>
    <w:rsid w:val="008414AD"/>
    <w:rsid w:val="0084151D"/>
    <w:rsid w:val="0084156B"/>
    <w:rsid w:val="008415AD"/>
    <w:rsid w:val="0084160E"/>
    <w:rsid w:val="00841931"/>
    <w:rsid w:val="00841ABC"/>
    <w:rsid w:val="00841B50"/>
    <w:rsid w:val="00841C2F"/>
    <w:rsid w:val="00841D44"/>
    <w:rsid w:val="00841E87"/>
    <w:rsid w:val="00841F01"/>
    <w:rsid w:val="00841F25"/>
    <w:rsid w:val="00842006"/>
    <w:rsid w:val="0084205D"/>
    <w:rsid w:val="00842064"/>
    <w:rsid w:val="00842165"/>
    <w:rsid w:val="00842220"/>
    <w:rsid w:val="0084233F"/>
    <w:rsid w:val="00842394"/>
    <w:rsid w:val="00842440"/>
    <w:rsid w:val="00842546"/>
    <w:rsid w:val="0084256E"/>
    <w:rsid w:val="00842772"/>
    <w:rsid w:val="0084277F"/>
    <w:rsid w:val="0084280A"/>
    <w:rsid w:val="008429B4"/>
    <w:rsid w:val="00842A83"/>
    <w:rsid w:val="00842AEC"/>
    <w:rsid w:val="00842B65"/>
    <w:rsid w:val="00842C1E"/>
    <w:rsid w:val="00842CD7"/>
    <w:rsid w:val="00842DB0"/>
    <w:rsid w:val="00842DC0"/>
    <w:rsid w:val="00842E21"/>
    <w:rsid w:val="00842E76"/>
    <w:rsid w:val="00842F1B"/>
    <w:rsid w:val="008431D7"/>
    <w:rsid w:val="00843226"/>
    <w:rsid w:val="008432E1"/>
    <w:rsid w:val="008432F0"/>
    <w:rsid w:val="0084337D"/>
    <w:rsid w:val="0084347D"/>
    <w:rsid w:val="008434A1"/>
    <w:rsid w:val="00843583"/>
    <w:rsid w:val="008436DC"/>
    <w:rsid w:val="0084383E"/>
    <w:rsid w:val="008438C6"/>
    <w:rsid w:val="00843912"/>
    <w:rsid w:val="00843948"/>
    <w:rsid w:val="00843AEE"/>
    <w:rsid w:val="00843B73"/>
    <w:rsid w:val="00843E5D"/>
    <w:rsid w:val="00843F98"/>
    <w:rsid w:val="008440F5"/>
    <w:rsid w:val="0084410E"/>
    <w:rsid w:val="0084417F"/>
    <w:rsid w:val="0084418D"/>
    <w:rsid w:val="008441BE"/>
    <w:rsid w:val="008443B6"/>
    <w:rsid w:val="008447E5"/>
    <w:rsid w:val="00844837"/>
    <w:rsid w:val="008448A2"/>
    <w:rsid w:val="00844996"/>
    <w:rsid w:val="00844AE4"/>
    <w:rsid w:val="00844B1D"/>
    <w:rsid w:val="00844BDC"/>
    <w:rsid w:val="00844C7B"/>
    <w:rsid w:val="00844D95"/>
    <w:rsid w:val="00844DDA"/>
    <w:rsid w:val="00844E6C"/>
    <w:rsid w:val="00844F6B"/>
    <w:rsid w:val="00845379"/>
    <w:rsid w:val="008454FE"/>
    <w:rsid w:val="00845547"/>
    <w:rsid w:val="00845563"/>
    <w:rsid w:val="008455DC"/>
    <w:rsid w:val="00845645"/>
    <w:rsid w:val="008456E4"/>
    <w:rsid w:val="008456E6"/>
    <w:rsid w:val="0084589B"/>
    <w:rsid w:val="0084591D"/>
    <w:rsid w:val="008459AA"/>
    <w:rsid w:val="008459FA"/>
    <w:rsid w:val="00845C2C"/>
    <w:rsid w:val="00845C50"/>
    <w:rsid w:val="00845CE5"/>
    <w:rsid w:val="00845D82"/>
    <w:rsid w:val="00845E32"/>
    <w:rsid w:val="00845EC0"/>
    <w:rsid w:val="00845F4F"/>
    <w:rsid w:val="008461F1"/>
    <w:rsid w:val="008462EE"/>
    <w:rsid w:val="00846641"/>
    <w:rsid w:val="0084665D"/>
    <w:rsid w:val="00846675"/>
    <w:rsid w:val="00846852"/>
    <w:rsid w:val="008468A6"/>
    <w:rsid w:val="00846993"/>
    <w:rsid w:val="00846A04"/>
    <w:rsid w:val="00846A16"/>
    <w:rsid w:val="00846A38"/>
    <w:rsid w:val="00846B81"/>
    <w:rsid w:val="00846C2C"/>
    <w:rsid w:val="00846C4A"/>
    <w:rsid w:val="00846C88"/>
    <w:rsid w:val="00846C9A"/>
    <w:rsid w:val="00846CDF"/>
    <w:rsid w:val="00846D21"/>
    <w:rsid w:val="00846D28"/>
    <w:rsid w:val="00846D80"/>
    <w:rsid w:val="00846DBC"/>
    <w:rsid w:val="00846EF3"/>
    <w:rsid w:val="00846F10"/>
    <w:rsid w:val="00847001"/>
    <w:rsid w:val="008470EA"/>
    <w:rsid w:val="008472D8"/>
    <w:rsid w:val="0084752E"/>
    <w:rsid w:val="008475CB"/>
    <w:rsid w:val="008478ED"/>
    <w:rsid w:val="00847939"/>
    <w:rsid w:val="00847981"/>
    <w:rsid w:val="00847A1A"/>
    <w:rsid w:val="00847A93"/>
    <w:rsid w:val="00847BF4"/>
    <w:rsid w:val="00847E91"/>
    <w:rsid w:val="00847EDD"/>
    <w:rsid w:val="00847F22"/>
    <w:rsid w:val="00847F74"/>
    <w:rsid w:val="00847FB2"/>
    <w:rsid w:val="00850064"/>
    <w:rsid w:val="008500A0"/>
    <w:rsid w:val="00850401"/>
    <w:rsid w:val="00850415"/>
    <w:rsid w:val="00850508"/>
    <w:rsid w:val="00850552"/>
    <w:rsid w:val="0085063A"/>
    <w:rsid w:val="008506DD"/>
    <w:rsid w:val="00850851"/>
    <w:rsid w:val="008509D9"/>
    <w:rsid w:val="00850BEE"/>
    <w:rsid w:val="00850C69"/>
    <w:rsid w:val="00850D39"/>
    <w:rsid w:val="00850DD3"/>
    <w:rsid w:val="00850DD6"/>
    <w:rsid w:val="00850E30"/>
    <w:rsid w:val="00850ECA"/>
    <w:rsid w:val="00850F83"/>
    <w:rsid w:val="00851024"/>
    <w:rsid w:val="008511C7"/>
    <w:rsid w:val="00851244"/>
    <w:rsid w:val="00851272"/>
    <w:rsid w:val="008513E8"/>
    <w:rsid w:val="0085146B"/>
    <w:rsid w:val="00851691"/>
    <w:rsid w:val="00851807"/>
    <w:rsid w:val="00851810"/>
    <w:rsid w:val="00851891"/>
    <w:rsid w:val="00851AE9"/>
    <w:rsid w:val="00851C2A"/>
    <w:rsid w:val="00851C40"/>
    <w:rsid w:val="00851C91"/>
    <w:rsid w:val="00851D75"/>
    <w:rsid w:val="00851ED0"/>
    <w:rsid w:val="00851EDF"/>
    <w:rsid w:val="00852053"/>
    <w:rsid w:val="008520E1"/>
    <w:rsid w:val="008521D4"/>
    <w:rsid w:val="008521E3"/>
    <w:rsid w:val="00852265"/>
    <w:rsid w:val="00852299"/>
    <w:rsid w:val="00852336"/>
    <w:rsid w:val="008524BC"/>
    <w:rsid w:val="00852511"/>
    <w:rsid w:val="00852545"/>
    <w:rsid w:val="00852599"/>
    <w:rsid w:val="0085286D"/>
    <w:rsid w:val="0085288B"/>
    <w:rsid w:val="00852A5E"/>
    <w:rsid w:val="00852AA9"/>
    <w:rsid w:val="00852C23"/>
    <w:rsid w:val="00852C6B"/>
    <w:rsid w:val="00852E6F"/>
    <w:rsid w:val="00853073"/>
    <w:rsid w:val="008530B9"/>
    <w:rsid w:val="00853432"/>
    <w:rsid w:val="0085350A"/>
    <w:rsid w:val="008535E6"/>
    <w:rsid w:val="008536AE"/>
    <w:rsid w:val="00853DBC"/>
    <w:rsid w:val="00853F95"/>
    <w:rsid w:val="00853F98"/>
    <w:rsid w:val="00854066"/>
    <w:rsid w:val="00854096"/>
    <w:rsid w:val="00854137"/>
    <w:rsid w:val="00854248"/>
    <w:rsid w:val="0085426A"/>
    <w:rsid w:val="0085426F"/>
    <w:rsid w:val="008542DC"/>
    <w:rsid w:val="008542E0"/>
    <w:rsid w:val="00854351"/>
    <w:rsid w:val="008543ED"/>
    <w:rsid w:val="00854502"/>
    <w:rsid w:val="008545CE"/>
    <w:rsid w:val="00854660"/>
    <w:rsid w:val="00854852"/>
    <w:rsid w:val="00854870"/>
    <w:rsid w:val="00854BA1"/>
    <w:rsid w:val="00854CA8"/>
    <w:rsid w:val="00854E21"/>
    <w:rsid w:val="00855439"/>
    <w:rsid w:val="008555D2"/>
    <w:rsid w:val="008555DA"/>
    <w:rsid w:val="00855623"/>
    <w:rsid w:val="008557CF"/>
    <w:rsid w:val="008558A6"/>
    <w:rsid w:val="00855932"/>
    <w:rsid w:val="00855B3B"/>
    <w:rsid w:val="00855B4A"/>
    <w:rsid w:val="00855C68"/>
    <w:rsid w:val="00855C9C"/>
    <w:rsid w:val="00855F8B"/>
    <w:rsid w:val="00855FCF"/>
    <w:rsid w:val="00855FF5"/>
    <w:rsid w:val="0085601A"/>
    <w:rsid w:val="00856070"/>
    <w:rsid w:val="00856185"/>
    <w:rsid w:val="008563B1"/>
    <w:rsid w:val="0085645B"/>
    <w:rsid w:val="00856579"/>
    <w:rsid w:val="0085657F"/>
    <w:rsid w:val="008565AB"/>
    <w:rsid w:val="008565AD"/>
    <w:rsid w:val="00856658"/>
    <w:rsid w:val="00856697"/>
    <w:rsid w:val="00856736"/>
    <w:rsid w:val="00856754"/>
    <w:rsid w:val="008567D5"/>
    <w:rsid w:val="008567E3"/>
    <w:rsid w:val="0085689F"/>
    <w:rsid w:val="00856A3B"/>
    <w:rsid w:val="00856B6A"/>
    <w:rsid w:val="00856D89"/>
    <w:rsid w:val="00856DB0"/>
    <w:rsid w:val="00856DFA"/>
    <w:rsid w:val="00856E84"/>
    <w:rsid w:val="00856EF5"/>
    <w:rsid w:val="00856F4E"/>
    <w:rsid w:val="0085710B"/>
    <w:rsid w:val="00857174"/>
    <w:rsid w:val="00857297"/>
    <w:rsid w:val="00857605"/>
    <w:rsid w:val="0085764C"/>
    <w:rsid w:val="00857739"/>
    <w:rsid w:val="0085777A"/>
    <w:rsid w:val="008579FE"/>
    <w:rsid w:val="00857A3F"/>
    <w:rsid w:val="00857BAE"/>
    <w:rsid w:val="00857DDA"/>
    <w:rsid w:val="00857DEE"/>
    <w:rsid w:val="00857F5E"/>
    <w:rsid w:val="00857FCC"/>
    <w:rsid w:val="008600FF"/>
    <w:rsid w:val="008601C7"/>
    <w:rsid w:val="008602DB"/>
    <w:rsid w:val="00860317"/>
    <w:rsid w:val="00860638"/>
    <w:rsid w:val="0086063F"/>
    <w:rsid w:val="00860674"/>
    <w:rsid w:val="00860766"/>
    <w:rsid w:val="00860905"/>
    <w:rsid w:val="00860B87"/>
    <w:rsid w:val="00860BD9"/>
    <w:rsid w:val="00860CD0"/>
    <w:rsid w:val="00860D24"/>
    <w:rsid w:val="00861082"/>
    <w:rsid w:val="00861211"/>
    <w:rsid w:val="008612DA"/>
    <w:rsid w:val="0086138B"/>
    <w:rsid w:val="0086143F"/>
    <w:rsid w:val="00861470"/>
    <w:rsid w:val="00861523"/>
    <w:rsid w:val="00861606"/>
    <w:rsid w:val="0086176D"/>
    <w:rsid w:val="008617A2"/>
    <w:rsid w:val="00861B16"/>
    <w:rsid w:val="00861BFD"/>
    <w:rsid w:val="00861D5C"/>
    <w:rsid w:val="00861DC6"/>
    <w:rsid w:val="00861E81"/>
    <w:rsid w:val="00862022"/>
    <w:rsid w:val="00862031"/>
    <w:rsid w:val="0086217E"/>
    <w:rsid w:val="00862271"/>
    <w:rsid w:val="0086228D"/>
    <w:rsid w:val="008622C8"/>
    <w:rsid w:val="008624C8"/>
    <w:rsid w:val="008624CD"/>
    <w:rsid w:val="0086265F"/>
    <w:rsid w:val="00862892"/>
    <w:rsid w:val="0086291D"/>
    <w:rsid w:val="00862965"/>
    <w:rsid w:val="00862977"/>
    <w:rsid w:val="00862AFF"/>
    <w:rsid w:val="00862FF5"/>
    <w:rsid w:val="00863190"/>
    <w:rsid w:val="008631F4"/>
    <w:rsid w:val="00863296"/>
    <w:rsid w:val="00863555"/>
    <w:rsid w:val="0086357D"/>
    <w:rsid w:val="0086364F"/>
    <w:rsid w:val="0086396E"/>
    <w:rsid w:val="00863B1B"/>
    <w:rsid w:val="00863B28"/>
    <w:rsid w:val="00863CA7"/>
    <w:rsid w:val="00863DAD"/>
    <w:rsid w:val="00863EC8"/>
    <w:rsid w:val="00863EF4"/>
    <w:rsid w:val="00863F49"/>
    <w:rsid w:val="008640B2"/>
    <w:rsid w:val="008640E3"/>
    <w:rsid w:val="008641CA"/>
    <w:rsid w:val="0086421B"/>
    <w:rsid w:val="00864248"/>
    <w:rsid w:val="00864266"/>
    <w:rsid w:val="00864304"/>
    <w:rsid w:val="00864370"/>
    <w:rsid w:val="008643BB"/>
    <w:rsid w:val="0086461D"/>
    <w:rsid w:val="00864624"/>
    <w:rsid w:val="00864662"/>
    <w:rsid w:val="00864ADF"/>
    <w:rsid w:val="00864B26"/>
    <w:rsid w:val="00864BEF"/>
    <w:rsid w:val="00864CD1"/>
    <w:rsid w:val="00864EF7"/>
    <w:rsid w:val="00864FA6"/>
    <w:rsid w:val="0086518A"/>
    <w:rsid w:val="00865366"/>
    <w:rsid w:val="0086541B"/>
    <w:rsid w:val="0086548D"/>
    <w:rsid w:val="00865722"/>
    <w:rsid w:val="00865791"/>
    <w:rsid w:val="00865862"/>
    <w:rsid w:val="008658FA"/>
    <w:rsid w:val="00865B70"/>
    <w:rsid w:val="00865BDF"/>
    <w:rsid w:val="00865DDE"/>
    <w:rsid w:val="00865FD5"/>
    <w:rsid w:val="00866084"/>
    <w:rsid w:val="00866112"/>
    <w:rsid w:val="00866208"/>
    <w:rsid w:val="00866263"/>
    <w:rsid w:val="008662E8"/>
    <w:rsid w:val="0086639E"/>
    <w:rsid w:val="0086659D"/>
    <w:rsid w:val="008666C9"/>
    <w:rsid w:val="00866748"/>
    <w:rsid w:val="0086679F"/>
    <w:rsid w:val="008668D0"/>
    <w:rsid w:val="00866AFC"/>
    <w:rsid w:val="00866B48"/>
    <w:rsid w:val="00866C4B"/>
    <w:rsid w:val="00867024"/>
    <w:rsid w:val="008671A7"/>
    <w:rsid w:val="0086722E"/>
    <w:rsid w:val="0086733B"/>
    <w:rsid w:val="0086737F"/>
    <w:rsid w:val="008673A3"/>
    <w:rsid w:val="008673F4"/>
    <w:rsid w:val="008675C4"/>
    <w:rsid w:val="008675D8"/>
    <w:rsid w:val="008676C9"/>
    <w:rsid w:val="008676F2"/>
    <w:rsid w:val="00867A42"/>
    <w:rsid w:val="00867AD6"/>
    <w:rsid w:val="00867B5B"/>
    <w:rsid w:val="00867D70"/>
    <w:rsid w:val="00867D76"/>
    <w:rsid w:val="00867D7B"/>
    <w:rsid w:val="00867DB3"/>
    <w:rsid w:val="00867F31"/>
    <w:rsid w:val="0087007C"/>
    <w:rsid w:val="008700CE"/>
    <w:rsid w:val="0087011A"/>
    <w:rsid w:val="00870128"/>
    <w:rsid w:val="00870465"/>
    <w:rsid w:val="008708C4"/>
    <w:rsid w:val="008709B7"/>
    <w:rsid w:val="00870ABD"/>
    <w:rsid w:val="00870B41"/>
    <w:rsid w:val="00870BF5"/>
    <w:rsid w:val="00870DB7"/>
    <w:rsid w:val="00870E60"/>
    <w:rsid w:val="00870E63"/>
    <w:rsid w:val="00870EBE"/>
    <w:rsid w:val="00870EF8"/>
    <w:rsid w:val="00871140"/>
    <w:rsid w:val="008711EA"/>
    <w:rsid w:val="00871259"/>
    <w:rsid w:val="008712DD"/>
    <w:rsid w:val="00871438"/>
    <w:rsid w:val="008714D1"/>
    <w:rsid w:val="00871590"/>
    <w:rsid w:val="008716C7"/>
    <w:rsid w:val="008716CC"/>
    <w:rsid w:val="00871717"/>
    <w:rsid w:val="00871838"/>
    <w:rsid w:val="00871928"/>
    <w:rsid w:val="0087195C"/>
    <w:rsid w:val="008719B8"/>
    <w:rsid w:val="00871A18"/>
    <w:rsid w:val="00871AEA"/>
    <w:rsid w:val="00871B25"/>
    <w:rsid w:val="00871D0C"/>
    <w:rsid w:val="00871E53"/>
    <w:rsid w:val="0087206E"/>
    <w:rsid w:val="00872079"/>
    <w:rsid w:val="008721CE"/>
    <w:rsid w:val="008721DA"/>
    <w:rsid w:val="00872319"/>
    <w:rsid w:val="00872668"/>
    <w:rsid w:val="0087268B"/>
    <w:rsid w:val="008729A0"/>
    <w:rsid w:val="00872A10"/>
    <w:rsid w:val="00872B2F"/>
    <w:rsid w:val="00872DC2"/>
    <w:rsid w:val="00872EA5"/>
    <w:rsid w:val="00872ECC"/>
    <w:rsid w:val="008730B8"/>
    <w:rsid w:val="00873132"/>
    <w:rsid w:val="0087315F"/>
    <w:rsid w:val="008731DD"/>
    <w:rsid w:val="008731E4"/>
    <w:rsid w:val="00873243"/>
    <w:rsid w:val="008733BA"/>
    <w:rsid w:val="00873430"/>
    <w:rsid w:val="008734AE"/>
    <w:rsid w:val="00873515"/>
    <w:rsid w:val="00873592"/>
    <w:rsid w:val="00873671"/>
    <w:rsid w:val="0087369E"/>
    <w:rsid w:val="008738D1"/>
    <w:rsid w:val="0087394C"/>
    <w:rsid w:val="008739CA"/>
    <w:rsid w:val="00873AB9"/>
    <w:rsid w:val="00873BCF"/>
    <w:rsid w:val="00873DF8"/>
    <w:rsid w:val="00873E49"/>
    <w:rsid w:val="00873F49"/>
    <w:rsid w:val="0087425C"/>
    <w:rsid w:val="0087428F"/>
    <w:rsid w:val="008742BE"/>
    <w:rsid w:val="008742E2"/>
    <w:rsid w:val="00874300"/>
    <w:rsid w:val="008744D7"/>
    <w:rsid w:val="00874573"/>
    <w:rsid w:val="008745E4"/>
    <w:rsid w:val="0087469B"/>
    <w:rsid w:val="008746F8"/>
    <w:rsid w:val="00874741"/>
    <w:rsid w:val="008747F8"/>
    <w:rsid w:val="0087481F"/>
    <w:rsid w:val="00874889"/>
    <w:rsid w:val="008749D9"/>
    <w:rsid w:val="00874C07"/>
    <w:rsid w:val="00874C75"/>
    <w:rsid w:val="00874CD4"/>
    <w:rsid w:val="00874D3E"/>
    <w:rsid w:val="00874D7E"/>
    <w:rsid w:val="00875263"/>
    <w:rsid w:val="00875408"/>
    <w:rsid w:val="00875514"/>
    <w:rsid w:val="00875673"/>
    <w:rsid w:val="008756E7"/>
    <w:rsid w:val="008759EA"/>
    <w:rsid w:val="00875A45"/>
    <w:rsid w:val="00875ABD"/>
    <w:rsid w:val="00875B86"/>
    <w:rsid w:val="00875D6F"/>
    <w:rsid w:val="00875FA6"/>
    <w:rsid w:val="00876022"/>
    <w:rsid w:val="008760B8"/>
    <w:rsid w:val="00876267"/>
    <w:rsid w:val="00876637"/>
    <w:rsid w:val="008766A1"/>
    <w:rsid w:val="00876792"/>
    <w:rsid w:val="0087688C"/>
    <w:rsid w:val="008769B1"/>
    <w:rsid w:val="00876A91"/>
    <w:rsid w:val="00876AAB"/>
    <w:rsid w:val="00876AC2"/>
    <w:rsid w:val="00876D1C"/>
    <w:rsid w:val="00876DA9"/>
    <w:rsid w:val="00876F4A"/>
    <w:rsid w:val="00876F97"/>
    <w:rsid w:val="00876FB0"/>
    <w:rsid w:val="00877153"/>
    <w:rsid w:val="008772A9"/>
    <w:rsid w:val="00877428"/>
    <w:rsid w:val="0087742F"/>
    <w:rsid w:val="00877661"/>
    <w:rsid w:val="00877698"/>
    <w:rsid w:val="0087776C"/>
    <w:rsid w:val="00877B56"/>
    <w:rsid w:val="00877BF5"/>
    <w:rsid w:val="00877E65"/>
    <w:rsid w:val="00877EFD"/>
    <w:rsid w:val="00877FB0"/>
    <w:rsid w:val="00877FD1"/>
    <w:rsid w:val="00877FE1"/>
    <w:rsid w:val="008801D8"/>
    <w:rsid w:val="00880276"/>
    <w:rsid w:val="008802E4"/>
    <w:rsid w:val="00880360"/>
    <w:rsid w:val="008804AA"/>
    <w:rsid w:val="00880618"/>
    <w:rsid w:val="0088070C"/>
    <w:rsid w:val="00880722"/>
    <w:rsid w:val="00880820"/>
    <w:rsid w:val="00880AA7"/>
    <w:rsid w:val="00880B01"/>
    <w:rsid w:val="00880C35"/>
    <w:rsid w:val="00880DC7"/>
    <w:rsid w:val="00880FDC"/>
    <w:rsid w:val="00881213"/>
    <w:rsid w:val="008812B7"/>
    <w:rsid w:val="00881333"/>
    <w:rsid w:val="00881347"/>
    <w:rsid w:val="00881348"/>
    <w:rsid w:val="008813EA"/>
    <w:rsid w:val="00881431"/>
    <w:rsid w:val="00881467"/>
    <w:rsid w:val="00881488"/>
    <w:rsid w:val="0088160D"/>
    <w:rsid w:val="00881757"/>
    <w:rsid w:val="00881785"/>
    <w:rsid w:val="00881902"/>
    <w:rsid w:val="00881941"/>
    <w:rsid w:val="00881AA5"/>
    <w:rsid w:val="00881B0E"/>
    <w:rsid w:val="00881C04"/>
    <w:rsid w:val="00881C0E"/>
    <w:rsid w:val="00881C90"/>
    <w:rsid w:val="00881CDC"/>
    <w:rsid w:val="00881DA4"/>
    <w:rsid w:val="00881FB9"/>
    <w:rsid w:val="00881FCF"/>
    <w:rsid w:val="008821B1"/>
    <w:rsid w:val="00882264"/>
    <w:rsid w:val="008822C2"/>
    <w:rsid w:val="0088230B"/>
    <w:rsid w:val="008823ED"/>
    <w:rsid w:val="008825A6"/>
    <w:rsid w:val="008825F6"/>
    <w:rsid w:val="0088266F"/>
    <w:rsid w:val="00882749"/>
    <w:rsid w:val="00882781"/>
    <w:rsid w:val="008827D1"/>
    <w:rsid w:val="00882918"/>
    <w:rsid w:val="00882976"/>
    <w:rsid w:val="008829F1"/>
    <w:rsid w:val="00882A14"/>
    <w:rsid w:val="00882CD2"/>
    <w:rsid w:val="00882CD6"/>
    <w:rsid w:val="00882D46"/>
    <w:rsid w:val="00882DD6"/>
    <w:rsid w:val="00882E5C"/>
    <w:rsid w:val="0088302A"/>
    <w:rsid w:val="008831EF"/>
    <w:rsid w:val="00883372"/>
    <w:rsid w:val="00883470"/>
    <w:rsid w:val="00883488"/>
    <w:rsid w:val="008834D3"/>
    <w:rsid w:val="00883569"/>
    <w:rsid w:val="008836EA"/>
    <w:rsid w:val="00883808"/>
    <w:rsid w:val="008838AE"/>
    <w:rsid w:val="00883BE8"/>
    <w:rsid w:val="00883C2A"/>
    <w:rsid w:val="00883C60"/>
    <w:rsid w:val="00883CB2"/>
    <w:rsid w:val="00883D1E"/>
    <w:rsid w:val="00883D35"/>
    <w:rsid w:val="00883DF1"/>
    <w:rsid w:val="00883E42"/>
    <w:rsid w:val="008840F8"/>
    <w:rsid w:val="00884116"/>
    <w:rsid w:val="00884154"/>
    <w:rsid w:val="00884276"/>
    <w:rsid w:val="008843A5"/>
    <w:rsid w:val="008843F6"/>
    <w:rsid w:val="0088457F"/>
    <w:rsid w:val="0088459A"/>
    <w:rsid w:val="00884697"/>
    <w:rsid w:val="0088476E"/>
    <w:rsid w:val="00884864"/>
    <w:rsid w:val="00884891"/>
    <w:rsid w:val="008848F7"/>
    <w:rsid w:val="0088491E"/>
    <w:rsid w:val="00884ABB"/>
    <w:rsid w:val="00884D32"/>
    <w:rsid w:val="00884DD6"/>
    <w:rsid w:val="00884DFA"/>
    <w:rsid w:val="00884E1D"/>
    <w:rsid w:val="00884E37"/>
    <w:rsid w:val="00884F0E"/>
    <w:rsid w:val="00885271"/>
    <w:rsid w:val="00885340"/>
    <w:rsid w:val="008856B8"/>
    <w:rsid w:val="008856D3"/>
    <w:rsid w:val="008858F9"/>
    <w:rsid w:val="00885A0C"/>
    <w:rsid w:val="00885A58"/>
    <w:rsid w:val="00885AA7"/>
    <w:rsid w:val="00885AD9"/>
    <w:rsid w:val="00885B00"/>
    <w:rsid w:val="00885B73"/>
    <w:rsid w:val="00885BDC"/>
    <w:rsid w:val="00885C82"/>
    <w:rsid w:val="00885CA3"/>
    <w:rsid w:val="00885CF6"/>
    <w:rsid w:val="00885DB9"/>
    <w:rsid w:val="00885EC5"/>
    <w:rsid w:val="00885F66"/>
    <w:rsid w:val="00885F86"/>
    <w:rsid w:val="008860D2"/>
    <w:rsid w:val="00886102"/>
    <w:rsid w:val="0088613E"/>
    <w:rsid w:val="008861DB"/>
    <w:rsid w:val="0088621F"/>
    <w:rsid w:val="00886426"/>
    <w:rsid w:val="008864C1"/>
    <w:rsid w:val="00886557"/>
    <w:rsid w:val="008865BF"/>
    <w:rsid w:val="0088666C"/>
    <w:rsid w:val="008866A3"/>
    <w:rsid w:val="00886842"/>
    <w:rsid w:val="00886930"/>
    <w:rsid w:val="00886959"/>
    <w:rsid w:val="00886990"/>
    <w:rsid w:val="008869B0"/>
    <w:rsid w:val="008869F9"/>
    <w:rsid w:val="00886B6C"/>
    <w:rsid w:val="00886C66"/>
    <w:rsid w:val="00886C7D"/>
    <w:rsid w:val="00886C98"/>
    <w:rsid w:val="00886CBD"/>
    <w:rsid w:val="00886D5E"/>
    <w:rsid w:val="00886D69"/>
    <w:rsid w:val="00886EC1"/>
    <w:rsid w:val="0088709A"/>
    <w:rsid w:val="00887117"/>
    <w:rsid w:val="00887135"/>
    <w:rsid w:val="00887240"/>
    <w:rsid w:val="00887250"/>
    <w:rsid w:val="0088743A"/>
    <w:rsid w:val="008875BD"/>
    <w:rsid w:val="008875D1"/>
    <w:rsid w:val="008875DD"/>
    <w:rsid w:val="00887606"/>
    <w:rsid w:val="00887693"/>
    <w:rsid w:val="0088780C"/>
    <w:rsid w:val="00887819"/>
    <w:rsid w:val="008878EF"/>
    <w:rsid w:val="0088794B"/>
    <w:rsid w:val="00887AD0"/>
    <w:rsid w:val="00887C00"/>
    <w:rsid w:val="00887C6A"/>
    <w:rsid w:val="00887D03"/>
    <w:rsid w:val="00887E26"/>
    <w:rsid w:val="00887F6E"/>
    <w:rsid w:val="008901F7"/>
    <w:rsid w:val="0089021C"/>
    <w:rsid w:val="0089041B"/>
    <w:rsid w:val="00890455"/>
    <w:rsid w:val="008904AC"/>
    <w:rsid w:val="008907B3"/>
    <w:rsid w:val="008909C1"/>
    <w:rsid w:val="00890AF4"/>
    <w:rsid w:val="00890B57"/>
    <w:rsid w:val="00890B82"/>
    <w:rsid w:val="00890BEC"/>
    <w:rsid w:val="00890CCA"/>
    <w:rsid w:val="00890E54"/>
    <w:rsid w:val="008911CC"/>
    <w:rsid w:val="008912C8"/>
    <w:rsid w:val="008913D6"/>
    <w:rsid w:val="0089142F"/>
    <w:rsid w:val="00891482"/>
    <w:rsid w:val="0089159F"/>
    <w:rsid w:val="008915B8"/>
    <w:rsid w:val="0089181F"/>
    <w:rsid w:val="00891865"/>
    <w:rsid w:val="00891893"/>
    <w:rsid w:val="00891A02"/>
    <w:rsid w:val="00891A3D"/>
    <w:rsid w:val="00891A8D"/>
    <w:rsid w:val="00891CE4"/>
    <w:rsid w:val="00891D74"/>
    <w:rsid w:val="00891E28"/>
    <w:rsid w:val="00891ECE"/>
    <w:rsid w:val="00891EFB"/>
    <w:rsid w:val="00891FF7"/>
    <w:rsid w:val="0089210F"/>
    <w:rsid w:val="00892138"/>
    <w:rsid w:val="0089216A"/>
    <w:rsid w:val="00892239"/>
    <w:rsid w:val="00892262"/>
    <w:rsid w:val="00892282"/>
    <w:rsid w:val="0089228B"/>
    <w:rsid w:val="0089231E"/>
    <w:rsid w:val="0089239A"/>
    <w:rsid w:val="008924F7"/>
    <w:rsid w:val="00892661"/>
    <w:rsid w:val="00892676"/>
    <w:rsid w:val="008926BF"/>
    <w:rsid w:val="00892705"/>
    <w:rsid w:val="00892864"/>
    <w:rsid w:val="00892893"/>
    <w:rsid w:val="008929D3"/>
    <w:rsid w:val="00892A2D"/>
    <w:rsid w:val="00892A67"/>
    <w:rsid w:val="00892AA8"/>
    <w:rsid w:val="00892B46"/>
    <w:rsid w:val="00892E92"/>
    <w:rsid w:val="0089315F"/>
    <w:rsid w:val="00893180"/>
    <w:rsid w:val="0089327C"/>
    <w:rsid w:val="008932AD"/>
    <w:rsid w:val="00893331"/>
    <w:rsid w:val="008933BB"/>
    <w:rsid w:val="0089344D"/>
    <w:rsid w:val="0089346F"/>
    <w:rsid w:val="0089358D"/>
    <w:rsid w:val="008935BC"/>
    <w:rsid w:val="00893692"/>
    <w:rsid w:val="008936AB"/>
    <w:rsid w:val="008936F0"/>
    <w:rsid w:val="008936FB"/>
    <w:rsid w:val="00893778"/>
    <w:rsid w:val="00893795"/>
    <w:rsid w:val="00893BDF"/>
    <w:rsid w:val="00893BE0"/>
    <w:rsid w:val="00893D43"/>
    <w:rsid w:val="00893D68"/>
    <w:rsid w:val="00893E2A"/>
    <w:rsid w:val="008945D2"/>
    <w:rsid w:val="008945D3"/>
    <w:rsid w:val="008945EC"/>
    <w:rsid w:val="0089473E"/>
    <w:rsid w:val="00894931"/>
    <w:rsid w:val="00894944"/>
    <w:rsid w:val="008949FF"/>
    <w:rsid w:val="00894BD8"/>
    <w:rsid w:val="00894CB4"/>
    <w:rsid w:val="00894E65"/>
    <w:rsid w:val="00894F32"/>
    <w:rsid w:val="00894F98"/>
    <w:rsid w:val="00894FBC"/>
    <w:rsid w:val="00894FC0"/>
    <w:rsid w:val="00894FF8"/>
    <w:rsid w:val="00895065"/>
    <w:rsid w:val="008951C2"/>
    <w:rsid w:val="0089527B"/>
    <w:rsid w:val="0089536D"/>
    <w:rsid w:val="0089537F"/>
    <w:rsid w:val="0089543A"/>
    <w:rsid w:val="008954CA"/>
    <w:rsid w:val="008954FE"/>
    <w:rsid w:val="00895699"/>
    <w:rsid w:val="0089575D"/>
    <w:rsid w:val="0089596A"/>
    <w:rsid w:val="008959C1"/>
    <w:rsid w:val="00895A24"/>
    <w:rsid w:val="00895A81"/>
    <w:rsid w:val="00895AA1"/>
    <w:rsid w:val="00895BB5"/>
    <w:rsid w:val="00895C4A"/>
    <w:rsid w:val="00895D4C"/>
    <w:rsid w:val="00895E10"/>
    <w:rsid w:val="008960B4"/>
    <w:rsid w:val="0089626E"/>
    <w:rsid w:val="008962F5"/>
    <w:rsid w:val="008963A0"/>
    <w:rsid w:val="008963A8"/>
    <w:rsid w:val="00896404"/>
    <w:rsid w:val="008964B0"/>
    <w:rsid w:val="00896770"/>
    <w:rsid w:val="0089677F"/>
    <w:rsid w:val="008967AA"/>
    <w:rsid w:val="00896838"/>
    <w:rsid w:val="00896884"/>
    <w:rsid w:val="00896AB3"/>
    <w:rsid w:val="00896AC9"/>
    <w:rsid w:val="00896C21"/>
    <w:rsid w:val="00896CC5"/>
    <w:rsid w:val="00896D79"/>
    <w:rsid w:val="00896EB5"/>
    <w:rsid w:val="00896F6E"/>
    <w:rsid w:val="00896F70"/>
    <w:rsid w:val="008970A1"/>
    <w:rsid w:val="00897184"/>
    <w:rsid w:val="00897396"/>
    <w:rsid w:val="00897564"/>
    <w:rsid w:val="008975A4"/>
    <w:rsid w:val="00897618"/>
    <w:rsid w:val="00897657"/>
    <w:rsid w:val="008976C7"/>
    <w:rsid w:val="00897763"/>
    <w:rsid w:val="008977DC"/>
    <w:rsid w:val="00897840"/>
    <w:rsid w:val="00897874"/>
    <w:rsid w:val="0089787C"/>
    <w:rsid w:val="008978CA"/>
    <w:rsid w:val="0089792F"/>
    <w:rsid w:val="00897D2E"/>
    <w:rsid w:val="00897E4D"/>
    <w:rsid w:val="00897E75"/>
    <w:rsid w:val="00897EA2"/>
    <w:rsid w:val="00897F39"/>
    <w:rsid w:val="00897F67"/>
    <w:rsid w:val="00897F90"/>
    <w:rsid w:val="00897FC4"/>
    <w:rsid w:val="008A0023"/>
    <w:rsid w:val="008A0048"/>
    <w:rsid w:val="008A01D2"/>
    <w:rsid w:val="008A0275"/>
    <w:rsid w:val="008A034C"/>
    <w:rsid w:val="008A0376"/>
    <w:rsid w:val="008A04AB"/>
    <w:rsid w:val="008A04FE"/>
    <w:rsid w:val="008A067F"/>
    <w:rsid w:val="008A0846"/>
    <w:rsid w:val="008A08AF"/>
    <w:rsid w:val="008A08D5"/>
    <w:rsid w:val="008A0AFD"/>
    <w:rsid w:val="008A0B2B"/>
    <w:rsid w:val="008A0B2C"/>
    <w:rsid w:val="008A0B7C"/>
    <w:rsid w:val="008A0BA2"/>
    <w:rsid w:val="008A0C0B"/>
    <w:rsid w:val="008A0CA7"/>
    <w:rsid w:val="008A0CD6"/>
    <w:rsid w:val="008A0DE0"/>
    <w:rsid w:val="008A0EB2"/>
    <w:rsid w:val="008A1024"/>
    <w:rsid w:val="008A109C"/>
    <w:rsid w:val="008A10D1"/>
    <w:rsid w:val="008A1449"/>
    <w:rsid w:val="008A14E3"/>
    <w:rsid w:val="008A1526"/>
    <w:rsid w:val="008A153A"/>
    <w:rsid w:val="008A1705"/>
    <w:rsid w:val="008A1750"/>
    <w:rsid w:val="008A1856"/>
    <w:rsid w:val="008A1C3A"/>
    <w:rsid w:val="008A1CA3"/>
    <w:rsid w:val="008A1D13"/>
    <w:rsid w:val="008A1D1D"/>
    <w:rsid w:val="008A1D52"/>
    <w:rsid w:val="008A1DF2"/>
    <w:rsid w:val="008A1FE1"/>
    <w:rsid w:val="008A2382"/>
    <w:rsid w:val="008A2391"/>
    <w:rsid w:val="008A24D4"/>
    <w:rsid w:val="008A25B9"/>
    <w:rsid w:val="008A260C"/>
    <w:rsid w:val="008A27CD"/>
    <w:rsid w:val="008A283E"/>
    <w:rsid w:val="008A288D"/>
    <w:rsid w:val="008A28B2"/>
    <w:rsid w:val="008A290E"/>
    <w:rsid w:val="008A290F"/>
    <w:rsid w:val="008A29CE"/>
    <w:rsid w:val="008A2AA4"/>
    <w:rsid w:val="008A2B2F"/>
    <w:rsid w:val="008A2C1F"/>
    <w:rsid w:val="008A2DB1"/>
    <w:rsid w:val="008A2DF3"/>
    <w:rsid w:val="008A2FB2"/>
    <w:rsid w:val="008A2FBC"/>
    <w:rsid w:val="008A31AD"/>
    <w:rsid w:val="008A3266"/>
    <w:rsid w:val="008A3305"/>
    <w:rsid w:val="008A3463"/>
    <w:rsid w:val="008A34A5"/>
    <w:rsid w:val="008A3500"/>
    <w:rsid w:val="008A3502"/>
    <w:rsid w:val="008A350C"/>
    <w:rsid w:val="008A352D"/>
    <w:rsid w:val="008A36E1"/>
    <w:rsid w:val="008A3706"/>
    <w:rsid w:val="008A371D"/>
    <w:rsid w:val="008A373B"/>
    <w:rsid w:val="008A37A7"/>
    <w:rsid w:val="008A37F7"/>
    <w:rsid w:val="008A384E"/>
    <w:rsid w:val="008A390E"/>
    <w:rsid w:val="008A397F"/>
    <w:rsid w:val="008A3B23"/>
    <w:rsid w:val="008A3B40"/>
    <w:rsid w:val="008A3BD3"/>
    <w:rsid w:val="008A3CC6"/>
    <w:rsid w:val="008A3F9E"/>
    <w:rsid w:val="008A4012"/>
    <w:rsid w:val="008A42F1"/>
    <w:rsid w:val="008A431D"/>
    <w:rsid w:val="008A4336"/>
    <w:rsid w:val="008A434C"/>
    <w:rsid w:val="008A4376"/>
    <w:rsid w:val="008A43DA"/>
    <w:rsid w:val="008A448B"/>
    <w:rsid w:val="008A4846"/>
    <w:rsid w:val="008A4A1E"/>
    <w:rsid w:val="008A4D7A"/>
    <w:rsid w:val="008A4EB9"/>
    <w:rsid w:val="008A4F16"/>
    <w:rsid w:val="008A4F7F"/>
    <w:rsid w:val="008A4FD0"/>
    <w:rsid w:val="008A5059"/>
    <w:rsid w:val="008A508E"/>
    <w:rsid w:val="008A50FD"/>
    <w:rsid w:val="008A51D2"/>
    <w:rsid w:val="008A527C"/>
    <w:rsid w:val="008A52B3"/>
    <w:rsid w:val="008A5306"/>
    <w:rsid w:val="008A5357"/>
    <w:rsid w:val="008A5556"/>
    <w:rsid w:val="008A5566"/>
    <w:rsid w:val="008A55D7"/>
    <w:rsid w:val="008A568B"/>
    <w:rsid w:val="008A57B7"/>
    <w:rsid w:val="008A5825"/>
    <w:rsid w:val="008A5C40"/>
    <w:rsid w:val="008A5C9C"/>
    <w:rsid w:val="008A5D60"/>
    <w:rsid w:val="008A5DDF"/>
    <w:rsid w:val="008A5E56"/>
    <w:rsid w:val="008A6054"/>
    <w:rsid w:val="008A6142"/>
    <w:rsid w:val="008A61A3"/>
    <w:rsid w:val="008A61C8"/>
    <w:rsid w:val="008A6292"/>
    <w:rsid w:val="008A6312"/>
    <w:rsid w:val="008A644A"/>
    <w:rsid w:val="008A64E8"/>
    <w:rsid w:val="008A653D"/>
    <w:rsid w:val="008A6545"/>
    <w:rsid w:val="008A670D"/>
    <w:rsid w:val="008A68CE"/>
    <w:rsid w:val="008A6910"/>
    <w:rsid w:val="008A69BD"/>
    <w:rsid w:val="008A6B17"/>
    <w:rsid w:val="008A6B5B"/>
    <w:rsid w:val="008A6B63"/>
    <w:rsid w:val="008A6BB5"/>
    <w:rsid w:val="008A6CE1"/>
    <w:rsid w:val="008A6F13"/>
    <w:rsid w:val="008A6F2A"/>
    <w:rsid w:val="008A72ED"/>
    <w:rsid w:val="008A730C"/>
    <w:rsid w:val="008A754E"/>
    <w:rsid w:val="008A76B1"/>
    <w:rsid w:val="008A76D0"/>
    <w:rsid w:val="008A76FC"/>
    <w:rsid w:val="008A7750"/>
    <w:rsid w:val="008A78E7"/>
    <w:rsid w:val="008A7B91"/>
    <w:rsid w:val="008A7CE6"/>
    <w:rsid w:val="008A7DA7"/>
    <w:rsid w:val="008A7E3A"/>
    <w:rsid w:val="008A7ED2"/>
    <w:rsid w:val="008A7FF8"/>
    <w:rsid w:val="008B013E"/>
    <w:rsid w:val="008B01C0"/>
    <w:rsid w:val="008B04E3"/>
    <w:rsid w:val="008B0526"/>
    <w:rsid w:val="008B0546"/>
    <w:rsid w:val="008B061F"/>
    <w:rsid w:val="008B0656"/>
    <w:rsid w:val="008B06B0"/>
    <w:rsid w:val="008B0736"/>
    <w:rsid w:val="008B07A7"/>
    <w:rsid w:val="008B08E4"/>
    <w:rsid w:val="008B0BEF"/>
    <w:rsid w:val="008B0C11"/>
    <w:rsid w:val="008B0C1C"/>
    <w:rsid w:val="008B0CE3"/>
    <w:rsid w:val="008B0CF4"/>
    <w:rsid w:val="008B0D7F"/>
    <w:rsid w:val="008B0DF8"/>
    <w:rsid w:val="008B0DFB"/>
    <w:rsid w:val="008B0EA3"/>
    <w:rsid w:val="008B11C4"/>
    <w:rsid w:val="008B12B2"/>
    <w:rsid w:val="008B12D1"/>
    <w:rsid w:val="008B13C8"/>
    <w:rsid w:val="008B17F8"/>
    <w:rsid w:val="008B1812"/>
    <w:rsid w:val="008B1A9B"/>
    <w:rsid w:val="008B1B26"/>
    <w:rsid w:val="008B1C81"/>
    <w:rsid w:val="008B1D90"/>
    <w:rsid w:val="008B1E1D"/>
    <w:rsid w:val="008B2316"/>
    <w:rsid w:val="008B2398"/>
    <w:rsid w:val="008B240B"/>
    <w:rsid w:val="008B252D"/>
    <w:rsid w:val="008B25B4"/>
    <w:rsid w:val="008B2629"/>
    <w:rsid w:val="008B2848"/>
    <w:rsid w:val="008B2899"/>
    <w:rsid w:val="008B297A"/>
    <w:rsid w:val="008B2A61"/>
    <w:rsid w:val="008B2CAD"/>
    <w:rsid w:val="008B2D44"/>
    <w:rsid w:val="008B2E88"/>
    <w:rsid w:val="008B2ECF"/>
    <w:rsid w:val="008B2F4B"/>
    <w:rsid w:val="008B2FBD"/>
    <w:rsid w:val="008B30D5"/>
    <w:rsid w:val="008B312A"/>
    <w:rsid w:val="008B3473"/>
    <w:rsid w:val="008B34B9"/>
    <w:rsid w:val="008B3562"/>
    <w:rsid w:val="008B367E"/>
    <w:rsid w:val="008B3961"/>
    <w:rsid w:val="008B39F2"/>
    <w:rsid w:val="008B3A06"/>
    <w:rsid w:val="008B3C9D"/>
    <w:rsid w:val="008B3CBA"/>
    <w:rsid w:val="008B3F95"/>
    <w:rsid w:val="008B4295"/>
    <w:rsid w:val="008B4336"/>
    <w:rsid w:val="008B44AC"/>
    <w:rsid w:val="008B4547"/>
    <w:rsid w:val="008B4553"/>
    <w:rsid w:val="008B45FD"/>
    <w:rsid w:val="008B461D"/>
    <w:rsid w:val="008B4723"/>
    <w:rsid w:val="008B4766"/>
    <w:rsid w:val="008B47E4"/>
    <w:rsid w:val="008B48AD"/>
    <w:rsid w:val="008B48C7"/>
    <w:rsid w:val="008B4AD6"/>
    <w:rsid w:val="008B4C6D"/>
    <w:rsid w:val="008B4EC9"/>
    <w:rsid w:val="008B4F84"/>
    <w:rsid w:val="008B50AD"/>
    <w:rsid w:val="008B50D3"/>
    <w:rsid w:val="008B515F"/>
    <w:rsid w:val="008B547E"/>
    <w:rsid w:val="008B54B8"/>
    <w:rsid w:val="008B5689"/>
    <w:rsid w:val="008B57E9"/>
    <w:rsid w:val="008B5954"/>
    <w:rsid w:val="008B5A5F"/>
    <w:rsid w:val="008B5AF6"/>
    <w:rsid w:val="008B5B5B"/>
    <w:rsid w:val="008B5BA3"/>
    <w:rsid w:val="008B5BD3"/>
    <w:rsid w:val="008B5C8E"/>
    <w:rsid w:val="008B5E4F"/>
    <w:rsid w:val="008B5E98"/>
    <w:rsid w:val="008B62AA"/>
    <w:rsid w:val="008B62F9"/>
    <w:rsid w:val="008B635E"/>
    <w:rsid w:val="008B6364"/>
    <w:rsid w:val="008B63E9"/>
    <w:rsid w:val="008B646C"/>
    <w:rsid w:val="008B6474"/>
    <w:rsid w:val="008B6525"/>
    <w:rsid w:val="008B6529"/>
    <w:rsid w:val="008B6602"/>
    <w:rsid w:val="008B68F0"/>
    <w:rsid w:val="008B6913"/>
    <w:rsid w:val="008B6A2A"/>
    <w:rsid w:val="008B6C93"/>
    <w:rsid w:val="008B6ED6"/>
    <w:rsid w:val="008B6F05"/>
    <w:rsid w:val="008B6FC4"/>
    <w:rsid w:val="008B6FD6"/>
    <w:rsid w:val="008B701C"/>
    <w:rsid w:val="008B709E"/>
    <w:rsid w:val="008B7115"/>
    <w:rsid w:val="008B7303"/>
    <w:rsid w:val="008B7367"/>
    <w:rsid w:val="008B746E"/>
    <w:rsid w:val="008B7486"/>
    <w:rsid w:val="008B7536"/>
    <w:rsid w:val="008B7542"/>
    <w:rsid w:val="008B7600"/>
    <w:rsid w:val="008B771F"/>
    <w:rsid w:val="008B774D"/>
    <w:rsid w:val="008B776F"/>
    <w:rsid w:val="008B784B"/>
    <w:rsid w:val="008B78FE"/>
    <w:rsid w:val="008B7923"/>
    <w:rsid w:val="008B7A07"/>
    <w:rsid w:val="008B7A5D"/>
    <w:rsid w:val="008B7A97"/>
    <w:rsid w:val="008B7AA7"/>
    <w:rsid w:val="008B7C02"/>
    <w:rsid w:val="008B7C32"/>
    <w:rsid w:val="008B7C41"/>
    <w:rsid w:val="008B7CC1"/>
    <w:rsid w:val="008B7E53"/>
    <w:rsid w:val="008C009F"/>
    <w:rsid w:val="008C02BE"/>
    <w:rsid w:val="008C04E2"/>
    <w:rsid w:val="008C0644"/>
    <w:rsid w:val="008C068F"/>
    <w:rsid w:val="008C06B5"/>
    <w:rsid w:val="008C06D7"/>
    <w:rsid w:val="008C07AA"/>
    <w:rsid w:val="008C080D"/>
    <w:rsid w:val="008C089A"/>
    <w:rsid w:val="008C0B29"/>
    <w:rsid w:val="008C0B83"/>
    <w:rsid w:val="008C0D09"/>
    <w:rsid w:val="008C0D35"/>
    <w:rsid w:val="008C0F0A"/>
    <w:rsid w:val="008C0F65"/>
    <w:rsid w:val="008C11D3"/>
    <w:rsid w:val="008C12BE"/>
    <w:rsid w:val="008C1387"/>
    <w:rsid w:val="008C138E"/>
    <w:rsid w:val="008C142F"/>
    <w:rsid w:val="008C1455"/>
    <w:rsid w:val="008C1465"/>
    <w:rsid w:val="008C1472"/>
    <w:rsid w:val="008C1477"/>
    <w:rsid w:val="008C162C"/>
    <w:rsid w:val="008C1650"/>
    <w:rsid w:val="008C16D8"/>
    <w:rsid w:val="008C17E7"/>
    <w:rsid w:val="008C18BD"/>
    <w:rsid w:val="008C19C7"/>
    <w:rsid w:val="008C1A1C"/>
    <w:rsid w:val="008C1A87"/>
    <w:rsid w:val="008C1ABA"/>
    <w:rsid w:val="008C1AFF"/>
    <w:rsid w:val="008C1C34"/>
    <w:rsid w:val="008C1D1A"/>
    <w:rsid w:val="008C2015"/>
    <w:rsid w:val="008C21FA"/>
    <w:rsid w:val="008C257F"/>
    <w:rsid w:val="008C25C2"/>
    <w:rsid w:val="008C265D"/>
    <w:rsid w:val="008C2752"/>
    <w:rsid w:val="008C2786"/>
    <w:rsid w:val="008C27FB"/>
    <w:rsid w:val="008C28ED"/>
    <w:rsid w:val="008C2BC7"/>
    <w:rsid w:val="008C2C9E"/>
    <w:rsid w:val="008C2CF5"/>
    <w:rsid w:val="008C2D5A"/>
    <w:rsid w:val="008C2D74"/>
    <w:rsid w:val="008C2E28"/>
    <w:rsid w:val="008C2F22"/>
    <w:rsid w:val="008C2FD6"/>
    <w:rsid w:val="008C3042"/>
    <w:rsid w:val="008C3425"/>
    <w:rsid w:val="008C35D6"/>
    <w:rsid w:val="008C3618"/>
    <w:rsid w:val="008C3680"/>
    <w:rsid w:val="008C36CF"/>
    <w:rsid w:val="008C3706"/>
    <w:rsid w:val="008C3742"/>
    <w:rsid w:val="008C3C10"/>
    <w:rsid w:val="008C3D62"/>
    <w:rsid w:val="008C3DD4"/>
    <w:rsid w:val="008C3E2D"/>
    <w:rsid w:val="008C3E84"/>
    <w:rsid w:val="008C3FDD"/>
    <w:rsid w:val="008C4046"/>
    <w:rsid w:val="008C41DE"/>
    <w:rsid w:val="008C4340"/>
    <w:rsid w:val="008C4519"/>
    <w:rsid w:val="008C4795"/>
    <w:rsid w:val="008C4824"/>
    <w:rsid w:val="008C4945"/>
    <w:rsid w:val="008C49C3"/>
    <w:rsid w:val="008C49E1"/>
    <w:rsid w:val="008C49E5"/>
    <w:rsid w:val="008C4A17"/>
    <w:rsid w:val="008C4C00"/>
    <w:rsid w:val="008C4C89"/>
    <w:rsid w:val="008C4C8A"/>
    <w:rsid w:val="008C4D2D"/>
    <w:rsid w:val="008C4D5C"/>
    <w:rsid w:val="008C4F62"/>
    <w:rsid w:val="008C4F85"/>
    <w:rsid w:val="008C524D"/>
    <w:rsid w:val="008C526B"/>
    <w:rsid w:val="008C52A4"/>
    <w:rsid w:val="008C5372"/>
    <w:rsid w:val="008C5636"/>
    <w:rsid w:val="008C58B3"/>
    <w:rsid w:val="008C592C"/>
    <w:rsid w:val="008C595A"/>
    <w:rsid w:val="008C5A09"/>
    <w:rsid w:val="008C5B7A"/>
    <w:rsid w:val="008C5C9F"/>
    <w:rsid w:val="008C5CA1"/>
    <w:rsid w:val="008C5DE7"/>
    <w:rsid w:val="008C5F0F"/>
    <w:rsid w:val="008C5F66"/>
    <w:rsid w:val="008C6019"/>
    <w:rsid w:val="008C605F"/>
    <w:rsid w:val="008C60A0"/>
    <w:rsid w:val="008C6216"/>
    <w:rsid w:val="008C6240"/>
    <w:rsid w:val="008C6274"/>
    <w:rsid w:val="008C62DD"/>
    <w:rsid w:val="008C6514"/>
    <w:rsid w:val="008C65F4"/>
    <w:rsid w:val="008C66E7"/>
    <w:rsid w:val="008C6826"/>
    <w:rsid w:val="008C6A4A"/>
    <w:rsid w:val="008C6C55"/>
    <w:rsid w:val="008C6C56"/>
    <w:rsid w:val="008C6C5C"/>
    <w:rsid w:val="008C6CF2"/>
    <w:rsid w:val="008C6D06"/>
    <w:rsid w:val="008C6DA2"/>
    <w:rsid w:val="008C6E5B"/>
    <w:rsid w:val="008C6EAA"/>
    <w:rsid w:val="008C6F97"/>
    <w:rsid w:val="008C7249"/>
    <w:rsid w:val="008C7282"/>
    <w:rsid w:val="008C7311"/>
    <w:rsid w:val="008C73CA"/>
    <w:rsid w:val="008C7433"/>
    <w:rsid w:val="008C77D6"/>
    <w:rsid w:val="008C788D"/>
    <w:rsid w:val="008C7A52"/>
    <w:rsid w:val="008C7AE4"/>
    <w:rsid w:val="008C7B32"/>
    <w:rsid w:val="008C7BF2"/>
    <w:rsid w:val="008C7E4D"/>
    <w:rsid w:val="008C7E98"/>
    <w:rsid w:val="008C7EFA"/>
    <w:rsid w:val="008C7F91"/>
    <w:rsid w:val="008D0024"/>
    <w:rsid w:val="008D004D"/>
    <w:rsid w:val="008D0261"/>
    <w:rsid w:val="008D02CC"/>
    <w:rsid w:val="008D0354"/>
    <w:rsid w:val="008D039F"/>
    <w:rsid w:val="008D04A6"/>
    <w:rsid w:val="008D04FE"/>
    <w:rsid w:val="008D05A4"/>
    <w:rsid w:val="008D065B"/>
    <w:rsid w:val="008D06E6"/>
    <w:rsid w:val="008D0749"/>
    <w:rsid w:val="008D076D"/>
    <w:rsid w:val="008D077B"/>
    <w:rsid w:val="008D07C7"/>
    <w:rsid w:val="008D08F9"/>
    <w:rsid w:val="008D08FB"/>
    <w:rsid w:val="008D09B1"/>
    <w:rsid w:val="008D09C1"/>
    <w:rsid w:val="008D0B67"/>
    <w:rsid w:val="008D0C20"/>
    <w:rsid w:val="008D0D10"/>
    <w:rsid w:val="008D0E40"/>
    <w:rsid w:val="008D0E47"/>
    <w:rsid w:val="008D0F7C"/>
    <w:rsid w:val="008D1018"/>
    <w:rsid w:val="008D111C"/>
    <w:rsid w:val="008D1228"/>
    <w:rsid w:val="008D15AD"/>
    <w:rsid w:val="008D15C6"/>
    <w:rsid w:val="008D161E"/>
    <w:rsid w:val="008D1659"/>
    <w:rsid w:val="008D1739"/>
    <w:rsid w:val="008D1856"/>
    <w:rsid w:val="008D19C1"/>
    <w:rsid w:val="008D1A57"/>
    <w:rsid w:val="008D1B2F"/>
    <w:rsid w:val="008D1B4C"/>
    <w:rsid w:val="008D1BD2"/>
    <w:rsid w:val="008D1BFF"/>
    <w:rsid w:val="008D1C89"/>
    <w:rsid w:val="008D1CE3"/>
    <w:rsid w:val="008D1CEF"/>
    <w:rsid w:val="008D1D73"/>
    <w:rsid w:val="008D1F3E"/>
    <w:rsid w:val="008D20A6"/>
    <w:rsid w:val="008D21DE"/>
    <w:rsid w:val="008D2245"/>
    <w:rsid w:val="008D232D"/>
    <w:rsid w:val="008D2394"/>
    <w:rsid w:val="008D241D"/>
    <w:rsid w:val="008D254B"/>
    <w:rsid w:val="008D2561"/>
    <w:rsid w:val="008D25D3"/>
    <w:rsid w:val="008D265A"/>
    <w:rsid w:val="008D276E"/>
    <w:rsid w:val="008D286C"/>
    <w:rsid w:val="008D28BF"/>
    <w:rsid w:val="008D2916"/>
    <w:rsid w:val="008D2A7A"/>
    <w:rsid w:val="008D2AC2"/>
    <w:rsid w:val="008D2ADE"/>
    <w:rsid w:val="008D2C9D"/>
    <w:rsid w:val="008D2CC3"/>
    <w:rsid w:val="008D2E24"/>
    <w:rsid w:val="008D2EC6"/>
    <w:rsid w:val="008D2EE7"/>
    <w:rsid w:val="008D2F59"/>
    <w:rsid w:val="008D2FC6"/>
    <w:rsid w:val="008D3055"/>
    <w:rsid w:val="008D358E"/>
    <w:rsid w:val="008D374D"/>
    <w:rsid w:val="008D3861"/>
    <w:rsid w:val="008D391C"/>
    <w:rsid w:val="008D3A0F"/>
    <w:rsid w:val="008D3A3A"/>
    <w:rsid w:val="008D3B06"/>
    <w:rsid w:val="008D3B21"/>
    <w:rsid w:val="008D3BC7"/>
    <w:rsid w:val="008D3D3A"/>
    <w:rsid w:val="008D3F09"/>
    <w:rsid w:val="008D3F30"/>
    <w:rsid w:val="008D3F5E"/>
    <w:rsid w:val="008D3FF4"/>
    <w:rsid w:val="008D40E5"/>
    <w:rsid w:val="008D41A1"/>
    <w:rsid w:val="008D41A7"/>
    <w:rsid w:val="008D41EE"/>
    <w:rsid w:val="008D4292"/>
    <w:rsid w:val="008D45E8"/>
    <w:rsid w:val="008D4688"/>
    <w:rsid w:val="008D46C7"/>
    <w:rsid w:val="008D471E"/>
    <w:rsid w:val="008D4720"/>
    <w:rsid w:val="008D4740"/>
    <w:rsid w:val="008D4894"/>
    <w:rsid w:val="008D49D1"/>
    <w:rsid w:val="008D4A4D"/>
    <w:rsid w:val="008D4AAB"/>
    <w:rsid w:val="008D4ABC"/>
    <w:rsid w:val="008D4C8E"/>
    <w:rsid w:val="008D4E6A"/>
    <w:rsid w:val="008D4F37"/>
    <w:rsid w:val="008D4F9E"/>
    <w:rsid w:val="008D500C"/>
    <w:rsid w:val="008D50B6"/>
    <w:rsid w:val="008D5117"/>
    <w:rsid w:val="008D5227"/>
    <w:rsid w:val="008D5247"/>
    <w:rsid w:val="008D52A2"/>
    <w:rsid w:val="008D52B7"/>
    <w:rsid w:val="008D5576"/>
    <w:rsid w:val="008D55D2"/>
    <w:rsid w:val="008D56D1"/>
    <w:rsid w:val="008D5718"/>
    <w:rsid w:val="008D584B"/>
    <w:rsid w:val="008D5B57"/>
    <w:rsid w:val="008D5B99"/>
    <w:rsid w:val="008D5D06"/>
    <w:rsid w:val="008D5D3F"/>
    <w:rsid w:val="008D5E92"/>
    <w:rsid w:val="008D5F73"/>
    <w:rsid w:val="008D6042"/>
    <w:rsid w:val="008D620B"/>
    <w:rsid w:val="008D6214"/>
    <w:rsid w:val="008D6265"/>
    <w:rsid w:val="008D62B8"/>
    <w:rsid w:val="008D6489"/>
    <w:rsid w:val="008D64E6"/>
    <w:rsid w:val="008D653A"/>
    <w:rsid w:val="008D658C"/>
    <w:rsid w:val="008D65DA"/>
    <w:rsid w:val="008D662A"/>
    <w:rsid w:val="008D66EC"/>
    <w:rsid w:val="008D6703"/>
    <w:rsid w:val="008D671A"/>
    <w:rsid w:val="008D6735"/>
    <w:rsid w:val="008D6818"/>
    <w:rsid w:val="008D685F"/>
    <w:rsid w:val="008D6A44"/>
    <w:rsid w:val="008D6A5D"/>
    <w:rsid w:val="008D6AD1"/>
    <w:rsid w:val="008D6BE8"/>
    <w:rsid w:val="008D6CD3"/>
    <w:rsid w:val="008D6D05"/>
    <w:rsid w:val="008D6D21"/>
    <w:rsid w:val="008D6D85"/>
    <w:rsid w:val="008D70A2"/>
    <w:rsid w:val="008D70C6"/>
    <w:rsid w:val="008D7128"/>
    <w:rsid w:val="008D7338"/>
    <w:rsid w:val="008D7348"/>
    <w:rsid w:val="008D7389"/>
    <w:rsid w:val="008D75E4"/>
    <w:rsid w:val="008D7642"/>
    <w:rsid w:val="008D76E0"/>
    <w:rsid w:val="008D77C8"/>
    <w:rsid w:val="008D7911"/>
    <w:rsid w:val="008D795C"/>
    <w:rsid w:val="008D7A0C"/>
    <w:rsid w:val="008D7B17"/>
    <w:rsid w:val="008D7B73"/>
    <w:rsid w:val="008D7B88"/>
    <w:rsid w:val="008D7B91"/>
    <w:rsid w:val="008D7C6F"/>
    <w:rsid w:val="008D7EE5"/>
    <w:rsid w:val="008E0082"/>
    <w:rsid w:val="008E010A"/>
    <w:rsid w:val="008E010F"/>
    <w:rsid w:val="008E011F"/>
    <w:rsid w:val="008E02E8"/>
    <w:rsid w:val="008E0362"/>
    <w:rsid w:val="008E03B2"/>
    <w:rsid w:val="008E04EC"/>
    <w:rsid w:val="008E0557"/>
    <w:rsid w:val="008E0723"/>
    <w:rsid w:val="008E0829"/>
    <w:rsid w:val="008E088D"/>
    <w:rsid w:val="008E0BAF"/>
    <w:rsid w:val="008E0D88"/>
    <w:rsid w:val="008E0DA4"/>
    <w:rsid w:val="008E0EE8"/>
    <w:rsid w:val="008E0F1C"/>
    <w:rsid w:val="008E0F68"/>
    <w:rsid w:val="008E0FA6"/>
    <w:rsid w:val="008E11B4"/>
    <w:rsid w:val="008E1270"/>
    <w:rsid w:val="008E129C"/>
    <w:rsid w:val="008E12D4"/>
    <w:rsid w:val="008E1420"/>
    <w:rsid w:val="008E1451"/>
    <w:rsid w:val="008E15AE"/>
    <w:rsid w:val="008E1724"/>
    <w:rsid w:val="008E18EC"/>
    <w:rsid w:val="008E195B"/>
    <w:rsid w:val="008E1971"/>
    <w:rsid w:val="008E19CE"/>
    <w:rsid w:val="008E1B14"/>
    <w:rsid w:val="008E1B47"/>
    <w:rsid w:val="008E1BA1"/>
    <w:rsid w:val="008E1BC8"/>
    <w:rsid w:val="008E1C1A"/>
    <w:rsid w:val="008E1C4C"/>
    <w:rsid w:val="008E1CEF"/>
    <w:rsid w:val="008E1D16"/>
    <w:rsid w:val="008E1E08"/>
    <w:rsid w:val="008E20C7"/>
    <w:rsid w:val="008E2180"/>
    <w:rsid w:val="008E233A"/>
    <w:rsid w:val="008E2698"/>
    <w:rsid w:val="008E26B4"/>
    <w:rsid w:val="008E2800"/>
    <w:rsid w:val="008E288F"/>
    <w:rsid w:val="008E28B0"/>
    <w:rsid w:val="008E2C74"/>
    <w:rsid w:val="008E2CA7"/>
    <w:rsid w:val="008E2D01"/>
    <w:rsid w:val="008E2D2A"/>
    <w:rsid w:val="008E2D33"/>
    <w:rsid w:val="008E2D9F"/>
    <w:rsid w:val="008E2E30"/>
    <w:rsid w:val="008E2FA7"/>
    <w:rsid w:val="008E2FD2"/>
    <w:rsid w:val="008E3108"/>
    <w:rsid w:val="008E31AD"/>
    <w:rsid w:val="008E3204"/>
    <w:rsid w:val="008E3330"/>
    <w:rsid w:val="008E33EB"/>
    <w:rsid w:val="008E35C4"/>
    <w:rsid w:val="008E35DD"/>
    <w:rsid w:val="008E35E6"/>
    <w:rsid w:val="008E3700"/>
    <w:rsid w:val="008E3830"/>
    <w:rsid w:val="008E3C5F"/>
    <w:rsid w:val="008E3CA7"/>
    <w:rsid w:val="008E3CDD"/>
    <w:rsid w:val="008E3DC1"/>
    <w:rsid w:val="008E3E48"/>
    <w:rsid w:val="008E3F99"/>
    <w:rsid w:val="008E4122"/>
    <w:rsid w:val="008E4174"/>
    <w:rsid w:val="008E42BF"/>
    <w:rsid w:val="008E42DE"/>
    <w:rsid w:val="008E42E0"/>
    <w:rsid w:val="008E42EE"/>
    <w:rsid w:val="008E43AD"/>
    <w:rsid w:val="008E43DD"/>
    <w:rsid w:val="008E440B"/>
    <w:rsid w:val="008E4550"/>
    <w:rsid w:val="008E4862"/>
    <w:rsid w:val="008E48C0"/>
    <w:rsid w:val="008E4C80"/>
    <w:rsid w:val="008E4D5B"/>
    <w:rsid w:val="008E4E0C"/>
    <w:rsid w:val="008E4E5F"/>
    <w:rsid w:val="008E4F4E"/>
    <w:rsid w:val="008E4FE0"/>
    <w:rsid w:val="008E510F"/>
    <w:rsid w:val="008E5244"/>
    <w:rsid w:val="008E5274"/>
    <w:rsid w:val="008E541B"/>
    <w:rsid w:val="008E559F"/>
    <w:rsid w:val="008E56E6"/>
    <w:rsid w:val="008E58BC"/>
    <w:rsid w:val="008E58F7"/>
    <w:rsid w:val="008E59BC"/>
    <w:rsid w:val="008E5A7C"/>
    <w:rsid w:val="008E5B1D"/>
    <w:rsid w:val="008E5C05"/>
    <w:rsid w:val="008E5C36"/>
    <w:rsid w:val="008E5C5A"/>
    <w:rsid w:val="008E5C83"/>
    <w:rsid w:val="008E5C8F"/>
    <w:rsid w:val="008E5FFE"/>
    <w:rsid w:val="008E604D"/>
    <w:rsid w:val="008E6185"/>
    <w:rsid w:val="008E62F7"/>
    <w:rsid w:val="008E641C"/>
    <w:rsid w:val="008E64E3"/>
    <w:rsid w:val="008E64FE"/>
    <w:rsid w:val="008E6552"/>
    <w:rsid w:val="008E65B7"/>
    <w:rsid w:val="008E65D4"/>
    <w:rsid w:val="008E6674"/>
    <w:rsid w:val="008E69BE"/>
    <w:rsid w:val="008E6A1D"/>
    <w:rsid w:val="008E6CB9"/>
    <w:rsid w:val="008E6CCC"/>
    <w:rsid w:val="008E6DD5"/>
    <w:rsid w:val="008E6DE1"/>
    <w:rsid w:val="008E6F06"/>
    <w:rsid w:val="008E6F6D"/>
    <w:rsid w:val="008E702A"/>
    <w:rsid w:val="008E70B7"/>
    <w:rsid w:val="008E70E0"/>
    <w:rsid w:val="008E7245"/>
    <w:rsid w:val="008E7272"/>
    <w:rsid w:val="008E7309"/>
    <w:rsid w:val="008E747E"/>
    <w:rsid w:val="008E75DA"/>
    <w:rsid w:val="008E774A"/>
    <w:rsid w:val="008E7865"/>
    <w:rsid w:val="008E7881"/>
    <w:rsid w:val="008E7981"/>
    <w:rsid w:val="008E7985"/>
    <w:rsid w:val="008E7AB2"/>
    <w:rsid w:val="008E7AE8"/>
    <w:rsid w:val="008E7B2C"/>
    <w:rsid w:val="008E7E43"/>
    <w:rsid w:val="008E7FD4"/>
    <w:rsid w:val="008F0017"/>
    <w:rsid w:val="008F0139"/>
    <w:rsid w:val="008F03A1"/>
    <w:rsid w:val="008F05BA"/>
    <w:rsid w:val="008F0669"/>
    <w:rsid w:val="008F07F7"/>
    <w:rsid w:val="008F0A1E"/>
    <w:rsid w:val="008F0A9B"/>
    <w:rsid w:val="008F0B5E"/>
    <w:rsid w:val="008F0BC3"/>
    <w:rsid w:val="008F0BDC"/>
    <w:rsid w:val="008F0D8A"/>
    <w:rsid w:val="008F1037"/>
    <w:rsid w:val="008F1084"/>
    <w:rsid w:val="008F10B4"/>
    <w:rsid w:val="008F10E2"/>
    <w:rsid w:val="008F1174"/>
    <w:rsid w:val="008F1300"/>
    <w:rsid w:val="008F1384"/>
    <w:rsid w:val="008F1408"/>
    <w:rsid w:val="008F15B5"/>
    <w:rsid w:val="008F1940"/>
    <w:rsid w:val="008F19E0"/>
    <w:rsid w:val="008F19F2"/>
    <w:rsid w:val="008F1B60"/>
    <w:rsid w:val="008F1CE8"/>
    <w:rsid w:val="008F1EB0"/>
    <w:rsid w:val="008F1FDE"/>
    <w:rsid w:val="008F2028"/>
    <w:rsid w:val="008F207B"/>
    <w:rsid w:val="008F216D"/>
    <w:rsid w:val="008F228F"/>
    <w:rsid w:val="008F22BF"/>
    <w:rsid w:val="008F22E8"/>
    <w:rsid w:val="008F2351"/>
    <w:rsid w:val="008F244F"/>
    <w:rsid w:val="008F25F5"/>
    <w:rsid w:val="008F281D"/>
    <w:rsid w:val="008F2872"/>
    <w:rsid w:val="008F29E0"/>
    <w:rsid w:val="008F2A4B"/>
    <w:rsid w:val="008F2ACD"/>
    <w:rsid w:val="008F2B81"/>
    <w:rsid w:val="008F2BED"/>
    <w:rsid w:val="008F2F4E"/>
    <w:rsid w:val="008F3050"/>
    <w:rsid w:val="008F31F7"/>
    <w:rsid w:val="008F3217"/>
    <w:rsid w:val="008F321F"/>
    <w:rsid w:val="008F3230"/>
    <w:rsid w:val="008F3297"/>
    <w:rsid w:val="008F3539"/>
    <w:rsid w:val="008F35B3"/>
    <w:rsid w:val="008F3779"/>
    <w:rsid w:val="008F37A4"/>
    <w:rsid w:val="008F37F1"/>
    <w:rsid w:val="008F37FF"/>
    <w:rsid w:val="008F39CC"/>
    <w:rsid w:val="008F3B70"/>
    <w:rsid w:val="008F3C6F"/>
    <w:rsid w:val="008F3C70"/>
    <w:rsid w:val="008F3CCE"/>
    <w:rsid w:val="008F3D69"/>
    <w:rsid w:val="008F3DA7"/>
    <w:rsid w:val="008F4072"/>
    <w:rsid w:val="008F413F"/>
    <w:rsid w:val="008F4231"/>
    <w:rsid w:val="008F4359"/>
    <w:rsid w:val="008F43CD"/>
    <w:rsid w:val="008F44C8"/>
    <w:rsid w:val="008F4518"/>
    <w:rsid w:val="008F45A4"/>
    <w:rsid w:val="008F45E2"/>
    <w:rsid w:val="008F4763"/>
    <w:rsid w:val="008F485C"/>
    <w:rsid w:val="008F49A1"/>
    <w:rsid w:val="008F49A8"/>
    <w:rsid w:val="008F49FE"/>
    <w:rsid w:val="008F4A11"/>
    <w:rsid w:val="008F4B46"/>
    <w:rsid w:val="008F4B54"/>
    <w:rsid w:val="008F4BA0"/>
    <w:rsid w:val="008F4D43"/>
    <w:rsid w:val="008F4E47"/>
    <w:rsid w:val="008F51A2"/>
    <w:rsid w:val="008F52AF"/>
    <w:rsid w:val="008F52EA"/>
    <w:rsid w:val="008F5323"/>
    <w:rsid w:val="008F537F"/>
    <w:rsid w:val="008F5414"/>
    <w:rsid w:val="008F549A"/>
    <w:rsid w:val="008F54A4"/>
    <w:rsid w:val="008F574A"/>
    <w:rsid w:val="008F57D4"/>
    <w:rsid w:val="008F5819"/>
    <w:rsid w:val="008F5838"/>
    <w:rsid w:val="008F589E"/>
    <w:rsid w:val="008F5A0B"/>
    <w:rsid w:val="008F5AA9"/>
    <w:rsid w:val="008F5C53"/>
    <w:rsid w:val="008F5DC2"/>
    <w:rsid w:val="008F5DC7"/>
    <w:rsid w:val="008F5F3B"/>
    <w:rsid w:val="008F5F5F"/>
    <w:rsid w:val="008F6069"/>
    <w:rsid w:val="008F60A9"/>
    <w:rsid w:val="008F6105"/>
    <w:rsid w:val="008F6207"/>
    <w:rsid w:val="008F6257"/>
    <w:rsid w:val="008F635C"/>
    <w:rsid w:val="008F636F"/>
    <w:rsid w:val="008F6418"/>
    <w:rsid w:val="008F65CB"/>
    <w:rsid w:val="008F6676"/>
    <w:rsid w:val="008F66BA"/>
    <w:rsid w:val="008F680D"/>
    <w:rsid w:val="008F6835"/>
    <w:rsid w:val="008F699F"/>
    <w:rsid w:val="008F69A3"/>
    <w:rsid w:val="008F6AEF"/>
    <w:rsid w:val="008F6B08"/>
    <w:rsid w:val="008F6CE6"/>
    <w:rsid w:val="008F6EDF"/>
    <w:rsid w:val="008F6F9A"/>
    <w:rsid w:val="008F706F"/>
    <w:rsid w:val="008F70F3"/>
    <w:rsid w:val="008F718C"/>
    <w:rsid w:val="008F744D"/>
    <w:rsid w:val="008F747A"/>
    <w:rsid w:val="008F7719"/>
    <w:rsid w:val="008F7819"/>
    <w:rsid w:val="008F7898"/>
    <w:rsid w:val="008F78C6"/>
    <w:rsid w:val="008F79BC"/>
    <w:rsid w:val="008F7A33"/>
    <w:rsid w:val="008F7A57"/>
    <w:rsid w:val="008F7CD5"/>
    <w:rsid w:val="008F7DC4"/>
    <w:rsid w:val="008F7EC8"/>
    <w:rsid w:val="0090008D"/>
    <w:rsid w:val="009000C4"/>
    <w:rsid w:val="00900109"/>
    <w:rsid w:val="009001E6"/>
    <w:rsid w:val="0090026D"/>
    <w:rsid w:val="00900328"/>
    <w:rsid w:val="00900604"/>
    <w:rsid w:val="009006A3"/>
    <w:rsid w:val="00900810"/>
    <w:rsid w:val="00900830"/>
    <w:rsid w:val="009008E5"/>
    <w:rsid w:val="00900943"/>
    <w:rsid w:val="00900948"/>
    <w:rsid w:val="00900ACB"/>
    <w:rsid w:val="00900D4C"/>
    <w:rsid w:val="00900FCB"/>
    <w:rsid w:val="0090105F"/>
    <w:rsid w:val="0090115D"/>
    <w:rsid w:val="009012FB"/>
    <w:rsid w:val="00901387"/>
    <w:rsid w:val="0090148D"/>
    <w:rsid w:val="00901580"/>
    <w:rsid w:val="009015B1"/>
    <w:rsid w:val="00901747"/>
    <w:rsid w:val="009019BB"/>
    <w:rsid w:val="00901AEE"/>
    <w:rsid w:val="00901D50"/>
    <w:rsid w:val="00901F29"/>
    <w:rsid w:val="00902037"/>
    <w:rsid w:val="00902221"/>
    <w:rsid w:val="00902277"/>
    <w:rsid w:val="009022AF"/>
    <w:rsid w:val="009022E1"/>
    <w:rsid w:val="009022F6"/>
    <w:rsid w:val="009024FA"/>
    <w:rsid w:val="00902619"/>
    <w:rsid w:val="0090262F"/>
    <w:rsid w:val="00902733"/>
    <w:rsid w:val="009027C0"/>
    <w:rsid w:val="009028DA"/>
    <w:rsid w:val="00902A8E"/>
    <w:rsid w:val="00902B9B"/>
    <w:rsid w:val="00902D92"/>
    <w:rsid w:val="00902DEB"/>
    <w:rsid w:val="00902E73"/>
    <w:rsid w:val="00902E8B"/>
    <w:rsid w:val="00902F11"/>
    <w:rsid w:val="00902F84"/>
    <w:rsid w:val="00902F8A"/>
    <w:rsid w:val="00902FC3"/>
    <w:rsid w:val="009030B0"/>
    <w:rsid w:val="009030C2"/>
    <w:rsid w:val="009030D6"/>
    <w:rsid w:val="009031A8"/>
    <w:rsid w:val="00903218"/>
    <w:rsid w:val="00903291"/>
    <w:rsid w:val="009032E6"/>
    <w:rsid w:val="009033C7"/>
    <w:rsid w:val="009034EE"/>
    <w:rsid w:val="00903597"/>
    <w:rsid w:val="009038B4"/>
    <w:rsid w:val="0090396F"/>
    <w:rsid w:val="00903A6E"/>
    <w:rsid w:val="00903B89"/>
    <w:rsid w:val="00903BC7"/>
    <w:rsid w:val="00903BD8"/>
    <w:rsid w:val="00903BDA"/>
    <w:rsid w:val="00903C53"/>
    <w:rsid w:val="00903E01"/>
    <w:rsid w:val="00903F10"/>
    <w:rsid w:val="00903F7E"/>
    <w:rsid w:val="00903FF5"/>
    <w:rsid w:val="00904004"/>
    <w:rsid w:val="009042C7"/>
    <w:rsid w:val="00904348"/>
    <w:rsid w:val="00904362"/>
    <w:rsid w:val="00904423"/>
    <w:rsid w:val="009046ED"/>
    <w:rsid w:val="00904758"/>
    <w:rsid w:val="00904784"/>
    <w:rsid w:val="00904824"/>
    <w:rsid w:val="009048F3"/>
    <w:rsid w:val="009049F8"/>
    <w:rsid w:val="00904AD0"/>
    <w:rsid w:val="00904AF9"/>
    <w:rsid w:val="00904B5E"/>
    <w:rsid w:val="00904D04"/>
    <w:rsid w:val="00904D5C"/>
    <w:rsid w:val="00904DB0"/>
    <w:rsid w:val="00904EAD"/>
    <w:rsid w:val="00904F95"/>
    <w:rsid w:val="00905170"/>
    <w:rsid w:val="00905446"/>
    <w:rsid w:val="0090549A"/>
    <w:rsid w:val="009054E1"/>
    <w:rsid w:val="009056C7"/>
    <w:rsid w:val="009056E9"/>
    <w:rsid w:val="00905706"/>
    <w:rsid w:val="0090572F"/>
    <w:rsid w:val="00905820"/>
    <w:rsid w:val="00905862"/>
    <w:rsid w:val="009058E4"/>
    <w:rsid w:val="009059FD"/>
    <w:rsid w:val="00905AFE"/>
    <w:rsid w:val="00905B19"/>
    <w:rsid w:val="00905B6F"/>
    <w:rsid w:val="00905B96"/>
    <w:rsid w:val="00905C0C"/>
    <w:rsid w:val="00905CD9"/>
    <w:rsid w:val="00905D2A"/>
    <w:rsid w:val="00905D49"/>
    <w:rsid w:val="00905DDA"/>
    <w:rsid w:val="00905E36"/>
    <w:rsid w:val="00905FCC"/>
    <w:rsid w:val="0090600A"/>
    <w:rsid w:val="009062A0"/>
    <w:rsid w:val="0090637A"/>
    <w:rsid w:val="00906512"/>
    <w:rsid w:val="009066EA"/>
    <w:rsid w:val="00906E6B"/>
    <w:rsid w:val="00906EF5"/>
    <w:rsid w:val="00907146"/>
    <w:rsid w:val="009073F0"/>
    <w:rsid w:val="0090744E"/>
    <w:rsid w:val="00907472"/>
    <w:rsid w:val="009076E6"/>
    <w:rsid w:val="00907728"/>
    <w:rsid w:val="00907814"/>
    <w:rsid w:val="0090781F"/>
    <w:rsid w:val="00907A04"/>
    <w:rsid w:val="00907A81"/>
    <w:rsid w:val="00907D37"/>
    <w:rsid w:val="00907F43"/>
    <w:rsid w:val="00907FF3"/>
    <w:rsid w:val="00910033"/>
    <w:rsid w:val="0091006D"/>
    <w:rsid w:val="009101AA"/>
    <w:rsid w:val="009101C6"/>
    <w:rsid w:val="00910221"/>
    <w:rsid w:val="0091028A"/>
    <w:rsid w:val="00910335"/>
    <w:rsid w:val="0091050D"/>
    <w:rsid w:val="009105B6"/>
    <w:rsid w:val="00910707"/>
    <w:rsid w:val="0091078C"/>
    <w:rsid w:val="00910809"/>
    <w:rsid w:val="009108C4"/>
    <w:rsid w:val="0091090A"/>
    <w:rsid w:val="00910AAA"/>
    <w:rsid w:val="00910B3B"/>
    <w:rsid w:val="00910C62"/>
    <w:rsid w:val="00910CD1"/>
    <w:rsid w:val="00910CD4"/>
    <w:rsid w:val="00910D19"/>
    <w:rsid w:val="00910E25"/>
    <w:rsid w:val="00910EBE"/>
    <w:rsid w:val="0091102D"/>
    <w:rsid w:val="0091103D"/>
    <w:rsid w:val="00911068"/>
    <w:rsid w:val="00911186"/>
    <w:rsid w:val="009112F5"/>
    <w:rsid w:val="0091130A"/>
    <w:rsid w:val="0091131F"/>
    <w:rsid w:val="009113FE"/>
    <w:rsid w:val="00911415"/>
    <w:rsid w:val="00911454"/>
    <w:rsid w:val="00911469"/>
    <w:rsid w:val="0091151D"/>
    <w:rsid w:val="0091186E"/>
    <w:rsid w:val="009118A6"/>
    <w:rsid w:val="00911903"/>
    <w:rsid w:val="00911A41"/>
    <w:rsid w:val="00911BD0"/>
    <w:rsid w:val="00911C00"/>
    <w:rsid w:val="00911C0E"/>
    <w:rsid w:val="00911C46"/>
    <w:rsid w:val="00911C9B"/>
    <w:rsid w:val="00911D63"/>
    <w:rsid w:val="00911E4B"/>
    <w:rsid w:val="00911EDA"/>
    <w:rsid w:val="00912088"/>
    <w:rsid w:val="009121F1"/>
    <w:rsid w:val="0091222C"/>
    <w:rsid w:val="00912394"/>
    <w:rsid w:val="009123D2"/>
    <w:rsid w:val="00912420"/>
    <w:rsid w:val="0091246F"/>
    <w:rsid w:val="009124A2"/>
    <w:rsid w:val="009124BD"/>
    <w:rsid w:val="00912580"/>
    <w:rsid w:val="0091260B"/>
    <w:rsid w:val="009128DD"/>
    <w:rsid w:val="00912940"/>
    <w:rsid w:val="00912A38"/>
    <w:rsid w:val="00912A6B"/>
    <w:rsid w:val="00912A82"/>
    <w:rsid w:val="00912B28"/>
    <w:rsid w:val="00912B2C"/>
    <w:rsid w:val="00912D19"/>
    <w:rsid w:val="00912D1B"/>
    <w:rsid w:val="00912D2F"/>
    <w:rsid w:val="00912D55"/>
    <w:rsid w:val="00912D84"/>
    <w:rsid w:val="00912E65"/>
    <w:rsid w:val="00912F77"/>
    <w:rsid w:val="0091301E"/>
    <w:rsid w:val="00913062"/>
    <w:rsid w:val="009132A4"/>
    <w:rsid w:val="0091335C"/>
    <w:rsid w:val="0091343C"/>
    <w:rsid w:val="00913455"/>
    <w:rsid w:val="009134DE"/>
    <w:rsid w:val="0091352D"/>
    <w:rsid w:val="0091357F"/>
    <w:rsid w:val="009135F7"/>
    <w:rsid w:val="00913638"/>
    <w:rsid w:val="00913650"/>
    <w:rsid w:val="00913894"/>
    <w:rsid w:val="00913980"/>
    <w:rsid w:val="00913985"/>
    <w:rsid w:val="00913986"/>
    <w:rsid w:val="009139BA"/>
    <w:rsid w:val="00913A99"/>
    <w:rsid w:val="00913CE0"/>
    <w:rsid w:val="00913D06"/>
    <w:rsid w:val="00913D34"/>
    <w:rsid w:val="009140CC"/>
    <w:rsid w:val="0091411F"/>
    <w:rsid w:val="0091425D"/>
    <w:rsid w:val="0091432E"/>
    <w:rsid w:val="00914382"/>
    <w:rsid w:val="009143B1"/>
    <w:rsid w:val="009143BB"/>
    <w:rsid w:val="00914471"/>
    <w:rsid w:val="009144E1"/>
    <w:rsid w:val="0091457D"/>
    <w:rsid w:val="00914592"/>
    <w:rsid w:val="00914A13"/>
    <w:rsid w:val="00914B32"/>
    <w:rsid w:val="00914C5E"/>
    <w:rsid w:val="00914D44"/>
    <w:rsid w:val="00914D45"/>
    <w:rsid w:val="00914D49"/>
    <w:rsid w:val="00914DF3"/>
    <w:rsid w:val="00914E76"/>
    <w:rsid w:val="00914FAF"/>
    <w:rsid w:val="009150E3"/>
    <w:rsid w:val="009151B0"/>
    <w:rsid w:val="0091520B"/>
    <w:rsid w:val="0091535C"/>
    <w:rsid w:val="0091548C"/>
    <w:rsid w:val="0091579B"/>
    <w:rsid w:val="00915855"/>
    <w:rsid w:val="00915869"/>
    <w:rsid w:val="00915910"/>
    <w:rsid w:val="00915AB3"/>
    <w:rsid w:val="00915BFB"/>
    <w:rsid w:val="00915C32"/>
    <w:rsid w:val="00915D50"/>
    <w:rsid w:val="00915D56"/>
    <w:rsid w:val="00915DCA"/>
    <w:rsid w:val="00916365"/>
    <w:rsid w:val="00916367"/>
    <w:rsid w:val="00916493"/>
    <w:rsid w:val="009164F4"/>
    <w:rsid w:val="00916538"/>
    <w:rsid w:val="0091654E"/>
    <w:rsid w:val="00916565"/>
    <w:rsid w:val="00916650"/>
    <w:rsid w:val="009166C0"/>
    <w:rsid w:val="00916741"/>
    <w:rsid w:val="009167F2"/>
    <w:rsid w:val="009168B2"/>
    <w:rsid w:val="00916911"/>
    <w:rsid w:val="00916A71"/>
    <w:rsid w:val="00916E9A"/>
    <w:rsid w:val="00916E9F"/>
    <w:rsid w:val="00916F85"/>
    <w:rsid w:val="0091731C"/>
    <w:rsid w:val="009173BF"/>
    <w:rsid w:val="009173FD"/>
    <w:rsid w:val="00917503"/>
    <w:rsid w:val="0091758E"/>
    <w:rsid w:val="009175ED"/>
    <w:rsid w:val="009175F0"/>
    <w:rsid w:val="00917A34"/>
    <w:rsid w:val="00917B0C"/>
    <w:rsid w:val="00917B7F"/>
    <w:rsid w:val="00917C2D"/>
    <w:rsid w:val="00917C6A"/>
    <w:rsid w:val="00917D56"/>
    <w:rsid w:val="00917D91"/>
    <w:rsid w:val="00917F43"/>
    <w:rsid w:val="00917F7C"/>
    <w:rsid w:val="00917FF7"/>
    <w:rsid w:val="00920218"/>
    <w:rsid w:val="009202A6"/>
    <w:rsid w:val="009202E1"/>
    <w:rsid w:val="00920548"/>
    <w:rsid w:val="009207AE"/>
    <w:rsid w:val="009208CC"/>
    <w:rsid w:val="009208F5"/>
    <w:rsid w:val="0092097C"/>
    <w:rsid w:val="00920AEF"/>
    <w:rsid w:val="00920B0D"/>
    <w:rsid w:val="00920C88"/>
    <w:rsid w:val="00920CF7"/>
    <w:rsid w:val="00920D15"/>
    <w:rsid w:val="00920D74"/>
    <w:rsid w:val="00920DA8"/>
    <w:rsid w:val="00920E5D"/>
    <w:rsid w:val="00921020"/>
    <w:rsid w:val="009211E9"/>
    <w:rsid w:val="00921408"/>
    <w:rsid w:val="00921432"/>
    <w:rsid w:val="009214BC"/>
    <w:rsid w:val="0092184A"/>
    <w:rsid w:val="00921965"/>
    <w:rsid w:val="00921A66"/>
    <w:rsid w:val="00921A6B"/>
    <w:rsid w:val="00921B96"/>
    <w:rsid w:val="00921BC0"/>
    <w:rsid w:val="00921D16"/>
    <w:rsid w:val="00921E4D"/>
    <w:rsid w:val="00921EDA"/>
    <w:rsid w:val="00921FB8"/>
    <w:rsid w:val="00921FCD"/>
    <w:rsid w:val="00921FE1"/>
    <w:rsid w:val="009224AD"/>
    <w:rsid w:val="009224B5"/>
    <w:rsid w:val="0092274A"/>
    <w:rsid w:val="009227C2"/>
    <w:rsid w:val="009227EE"/>
    <w:rsid w:val="0092287C"/>
    <w:rsid w:val="0092291D"/>
    <w:rsid w:val="009229AC"/>
    <w:rsid w:val="00922B16"/>
    <w:rsid w:val="00922B45"/>
    <w:rsid w:val="00922B60"/>
    <w:rsid w:val="00922D34"/>
    <w:rsid w:val="00922DBB"/>
    <w:rsid w:val="00922FB4"/>
    <w:rsid w:val="00923193"/>
    <w:rsid w:val="0092325A"/>
    <w:rsid w:val="009233B4"/>
    <w:rsid w:val="009233F8"/>
    <w:rsid w:val="009237ED"/>
    <w:rsid w:val="00923950"/>
    <w:rsid w:val="00923A66"/>
    <w:rsid w:val="00923AF4"/>
    <w:rsid w:val="00923B20"/>
    <w:rsid w:val="00923D09"/>
    <w:rsid w:val="00923DCB"/>
    <w:rsid w:val="00923EE8"/>
    <w:rsid w:val="0092400B"/>
    <w:rsid w:val="00924162"/>
    <w:rsid w:val="009241A0"/>
    <w:rsid w:val="009241D1"/>
    <w:rsid w:val="009241DD"/>
    <w:rsid w:val="00924209"/>
    <w:rsid w:val="0092436F"/>
    <w:rsid w:val="009243FE"/>
    <w:rsid w:val="0092445E"/>
    <w:rsid w:val="009244C3"/>
    <w:rsid w:val="00924633"/>
    <w:rsid w:val="0092463A"/>
    <w:rsid w:val="0092477E"/>
    <w:rsid w:val="0092484F"/>
    <w:rsid w:val="009249A1"/>
    <w:rsid w:val="00924A47"/>
    <w:rsid w:val="00924BC2"/>
    <w:rsid w:val="00924C0D"/>
    <w:rsid w:val="00924D04"/>
    <w:rsid w:val="00924DE3"/>
    <w:rsid w:val="00924EA1"/>
    <w:rsid w:val="00924EE3"/>
    <w:rsid w:val="009250C6"/>
    <w:rsid w:val="0092522E"/>
    <w:rsid w:val="0092531F"/>
    <w:rsid w:val="0092533C"/>
    <w:rsid w:val="0092545B"/>
    <w:rsid w:val="009254A3"/>
    <w:rsid w:val="009254DC"/>
    <w:rsid w:val="00925600"/>
    <w:rsid w:val="00925950"/>
    <w:rsid w:val="00925B31"/>
    <w:rsid w:val="00925B40"/>
    <w:rsid w:val="00925B8E"/>
    <w:rsid w:val="00925BC2"/>
    <w:rsid w:val="00925CBC"/>
    <w:rsid w:val="00925CC7"/>
    <w:rsid w:val="00925D83"/>
    <w:rsid w:val="00925EAA"/>
    <w:rsid w:val="00925EFE"/>
    <w:rsid w:val="00925FEE"/>
    <w:rsid w:val="00926329"/>
    <w:rsid w:val="009263F8"/>
    <w:rsid w:val="00926490"/>
    <w:rsid w:val="009264B3"/>
    <w:rsid w:val="00926550"/>
    <w:rsid w:val="00926584"/>
    <w:rsid w:val="00926635"/>
    <w:rsid w:val="0092685D"/>
    <w:rsid w:val="009269AD"/>
    <w:rsid w:val="00926AE5"/>
    <w:rsid w:val="00926B5A"/>
    <w:rsid w:val="00926C88"/>
    <w:rsid w:val="00926F59"/>
    <w:rsid w:val="00926F8B"/>
    <w:rsid w:val="00926FF0"/>
    <w:rsid w:val="009272BF"/>
    <w:rsid w:val="00927372"/>
    <w:rsid w:val="009273A1"/>
    <w:rsid w:val="009274BF"/>
    <w:rsid w:val="00927684"/>
    <w:rsid w:val="0092770D"/>
    <w:rsid w:val="009278A7"/>
    <w:rsid w:val="00927960"/>
    <w:rsid w:val="00927992"/>
    <w:rsid w:val="00927A05"/>
    <w:rsid w:val="00927B2D"/>
    <w:rsid w:val="00927B85"/>
    <w:rsid w:val="00927C2D"/>
    <w:rsid w:val="00927C88"/>
    <w:rsid w:val="00927CAC"/>
    <w:rsid w:val="00927D0A"/>
    <w:rsid w:val="00927D3F"/>
    <w:rsid w:val="00927DEA"/>
    <w:rsid w:val="00927E66"/>
    <w:rsid w:val="00927EA0"/>
    <w:rsid w:val="00930424"/>
    <w:rsid w:val="00930443"/>
    <w:rsid w:val="00930546"/>
    <w:rsid w:val="009305D0"/>
    <w:rsid w:val="0093063E"/>
    <w:rsid w:val="00930738"/>
    <w:rsid w:val="0093078A"/>
    <w:rsid w:val="00930869"/>
    <w:rsid w:val="009308C4"/>
    <w:rsid w:val="00930949"/>
    <w:rsid w:val="0093099D"/>
    <w:rsid w:val="00930A1F"/>
    <w:rsid w:val="00930A85"/>
    <w:rsid w:val="00930B4D"/>
    <w:rsid w:val="00930BA9"/>
    <w:rsid w:val="00930C79"/>
    <w:rsid w:val="00930E9A"/>
    <w:rsid w:val="00930EE4"/>
    <w:rsid w:val="00931071"/>
    <w:rsid w:val="009311A8"/>
    <w:rsid w:val="009312AB"/>
    <w:rsid w:val="0093137F"/>
    <w:rsid w:val="0093152A"/>
    <w:rsid w:val="009315E3"/>
    <w:rsid w:val="009317EC"/>
    <w:rsid w:val="009319B2"/>
    <w:rsid w:val="00931A4D"/>
    <w:rsid w:val="00931B34"/>
    <w:rsid w:val="00931C68"/>
    <w:rsid w:val="00931D8D"/>
    <w:rsid w:val="00931E87"/>
    <w:rsid w:val="00931F38"/>
    <w:rsid w:val="0093207D"/>
    <w:rsid w:val="0093215C"/>
    <w:rsid w:val="009321B2"/>
    <w:rsid w:val="009321F4"/>
    <w:rsid w:val="0093227B"/>
    <w:rsid w:val="009324AF"/>
    <w:rsid w:val="009324BB"/>
    <w:rsid w:val="009324D5"/>
    <w:rsid w:val="009328A0"/>
    <w:rsid w:val="009329A7"/>
    <w:rsid w:val="00932A25"/>
    <w:rsid w:val="00932A84"/>
    <w:rsid w:val="00932B75"/>
    <w:rsid w:val="00932B83"/>
    <w:rsid w:val="00932CE2"/>
    <w:rsid w:val="00932E53"/>
    <w:rsid w:val="00932EB6"/>
    <w:rsid w:val="00932EF5"/>
    <w:rsid w:val="00932F3D"/>
    <w:rsid w:val="00932F65"/>
    <w:rsid w:val="00932FFC"/>
    <w:rsid w:val="0093315E"/>
    <w:rsid w:val="0093317A"/>
    <w:rsid w:val="0093333C"/>
    <w:rsid w:val="00933352"/>
    <w:rsid w:val="009335C1"/>
    <w:rsid w:val="00933711"/>
    <w:rsid w:val="0093372D"/>
    <w:rsid w:val="00933828"/>
    <w:rsid w:val="00933909"/>
    <w:rsid w:val="00933B86"/>
    <w:rsid w:val="00933BBC"/>
    <w:rsid w:val="00933C98"/>
    <w:rsid w:val="00933D05"/>
    <w:rsid w:val="00933D31"/>
    <w:rsid w:val="00933EC6"/>
    <w:rsid w:val="00933FC3"/>
    <w:rsid w:val="0093421F"/>
    <w:rsid w:val="009344BB"/>
    <w:rsid w:val="009345BD"/>
    <w:rsid w:val="0093467D"/>
    <w:rsid w:val="009346BE"/>
    <w:rsid w:val="0093479E"/>
    <w:rsid w:val="009347F1"/>
    <w:rsid w:val="009347F5"/>
    <w:rsid w:val="009349FB"/>
    <w:rsid w:val="00934A93"/>
    <w:rsid w:val="00934BD7"/>
    <w:rsid w:val="00934E11"/>
    <w:rsid w:val="00934E3C"/>
    <w:rsid w:val="00934F1C"/>
    <w:rsid w:val="00934F25"/>
    <w:rsid w:val="00934F98"/>
    <w:rsid w:val="009350DC"/>
    <w:rsid w:val="00935132"/>
    <w:rsid w:val="0093513F"/>
    <w:rsid w:val="0093519B"/>
    <w:rsid w:val="0093549A"/>
    <w:rsid w:val="0093566D"/>
    <w:rsid w:val="00935837"/>
    <w:rsid w:val="00935882"/>
    <w:rsid w:val="00935B3F"/>
    <w:rsid w:val="00935C98"/>
    <w:rsid w:val="00935DB1"/>
    <w:rsid w:val="00935DD2"/>
    <w:rsid w:val="00935ECE"/>
    <w:rsid w:val="00935EF6"/>
    <w:rsid w:val="009360C3"/>
    <w:rsid w:val="009360FD"/>
    <w:rsid w:val="00936159"/>
    <w:rsid w:val="009362B5"/>
    <w:rsid w:val="009363AF"/>
    <w:rsid w:val="00936414"/>
    <w:rsid w:val="009364EC"/>
    <w:rsid w:val="009364F2"/>
    <w:rsid w:val="0093650C"/>
    <w:rsid w:val="00936522"/>
    <w:rsid w:val="009366FD"/>
    <w:rsid w:val="009368A8"/>
    <w:rsid w:val="009368BE"/>
    <w:rsid w:val="009369DD"/>
    <w:rsid w:val="009369E4"/>
    <w:rsid w:val="00936A65"/>
    <w:rsid w:val="00936BCD"/>
    <w:rsid w:val="00936DFB"/>
    <w:rsid w:val="00936E69"/>
    <w:rsid w:val="00936E98"/>
    <w:rsid w:val="00936F49"/>
    <w:rsid w:val="00936F84"/>
    <w:rsid w:val="00937064"/>
    <w:rsid w:val="00937098"/>
    <w:rsid w:val="009371EB"/>
    <w:rsid w:val="009372BF"/>
    <w:rsid w:val="00937409"/>
    <w:rsid w:val="009374AB"/>
    <w:rsid w:val="009376C3"/>
    <w:rsid w:val="009376E2"/>
    <w:rsid w:val="00937758"/>
    <w:rsid w:val="00937816"/>
    <w:rsid w:val="00937845"/>
    <w:rsid w:val="00937AE9"/>
    <w:rsid w:val="00937AF1"/>
    <w:rsid w:val="00937C7D"/>
    <w:rsid w:val="00937F00"/>
    <w:rsid w:val="00937F7C"/>
    <w:rsid w:val="0093DA59"/>
    <w:rsid w:val="009400C2"/>
    <w:rsid w:val="009401F4"/>
    <w:rsid w:val="00940395"/>
    <w:rsid w:val="00940530"/>
    <w:rsid w:val="00940798"/>
    <w:rsid w:val="009407C4"/>
    <w:rsid w:val="009409BC"/>
    <w:rsid w:val="009409D3"/>
    <w:rsid w:val="009409EF"/>
    <w:rsid w:val="00940ABF"/>
    <w:rsid w:val="00940C26"/>
    <w:rsid w:val="00940C43"/>
    <w:rsid w:val="00940C8A"/>
    <w:rsid w:val="00940E20"/>
    <w:rsid w:val="00940F60"/>
    <w:rsid w:val="00940F82"/>
    <w:rsid w:val="009410CD"/>
    <w:rsid w:val="00941221"/>
    <w:rsid w:val="009412B4"/>
    <w:rsid w:val="00941378"/>
    <w:rsid w:val="00941490"/>
    <w:rsid w:val="0094155C"/>
    <w:rsid w:val="009415DC"/>
    <w:rsid w:val="0094177F"/>
    <w:rsid w:val="009417C4"/>
    <w:rsid w:val="0094184A"/>
    <w:rsid w:val="00941BC8"/>
    <w:rsid w:val="00941C6F"/>
    <w:rsid w:val="00941CA9"/>
    <w:rsid w:val="00941D2D"/>
    <w:rsid w:val="00941DBA"/>
    <w:rsid w:val="00941DD0"/>
    <w:rsid w:val="00941E1D"/>
    <w:rsid w:val="00941ED8"/>
    <w:rsid w:val="00941F00"/>
    <w:rsid w:val="0094205A"/>
    <w:rsid w:val="009421FF"/>
    <w:rsid w:val="00942310"/>
    <w:rsid w:val="009423AC"/>
    <w:rsid w:val="009423AE"/>
    <w:rsid w:val="009423B0"/>
    <w:rsid w:val="009424E9"/>
    <w:rsid w:val="0094285F"/>
    <w:rsid w:val="00942865"/>
    <w:rsid w:val="00942913"/>
    <w:rsid w:val="00942AB3"/>
    <w:rsid w:val="00942B77"/>
    <w:rsid w:val="00942BEF"/>
    <w:rsid w:val="00942C40"/>
    <w:rsid w:val="00942C4B"/>
    <w:rsid w:val="00942C64"/>
    <w:rsid w:val="00942CD5"/>
    <w:rsid w:val="00942CDF"/>
    <w:rsid w:val="00942D72"/>
    <w:rsid w:val="00942D8B"/>
    <w:rsid w:val="00942E31"/>
    <w:rsid w:val="00942EE6"/>
    <w:rsid w:val="00942F7D"/>
    <w:rsid w:val="00942FE5"/>
    <w:rsid w:val="00943015"/>
    <w:rsid w:val="00943066"/>
    <w:rsid w:val="00943079"/>
    <w:rsid w:val="009430A2"/>
    <w:rsid w:val="009430AB"/>
    <w:rsid w:val="009430C2"/>
    <w:rsid w:val="00943264"/>
    <w:rsid w:val="0094356F"/>
    <w:rsid w:val="0094358C"/>
    <w:rsid w:val="009436FC"/>
    <w:rsid w:val="009437E9"/>
    <w:rsid w:val="00943821"/>
    <w:rsid w:val="00943855"/>
    <w:rsid w:val="00943964"/>
    <w:rsid w:val="00943975"/>
    <w:rsid w:val="00943999"/>
    <w:rsid w:val="009439E6"/>
    <w:rsid w:val="00943AD4"/>
    <w:rsid w:val="00943B45"/>
    <w:rsid w:val="00943C91"/>
    <w:rsid w:val="00943DB7"/>
    <w:rsid w:val="00943DD2"/>
    <w:rsid w:val="00943E21"/>
    <w:rsid w:val="00943E4D"/>
    <w:rsid w:val="00943EB4"/>
    <w:rsid w:val="00943EFC"/>
    <w:rsid w:val="00943FBF"/>
    <w:rsid w:val="00943FCA"/>
    <w:rsid w:val="00943FD8"/>
    <w:rsid w:val="0094401B"/>
    <w:rsid w:val="009440BA"/>
    <w:rsid w:val="00944292"/>
    <w:rsid w:val="00944396"/>
    <w:rsid w:val="00944645"/>
    <w:rsid w:val="00944820"/>
    <w:rsid w:val="00944885"/>
    <w:rsid w:val="009448E0"/>
    <w:rsid w:val="00944A2A"/>
    <w:rsid w:val="00944B5B"/>
    <w:rsid w:val="00944DCF"/>
    <w:rsid w:val="00944E6A"/>
    <w:rsid w:val="00944EA4"/>
    <w:rsid w:val="00944FBB"/>
    <w:rsid w:val="00945150"/>
    <w:rsid w:val="0094523F"/>
    <w:rsid w:val="009452B8"/>
    <w:rsid w:val="00945354"/>
    <w:rsid w:val="00945491"/>
    <w:rsid w:val="009454D6"/>
    <w:rsid w:val="009455A0"/>
    <w:rsid w:val="009455AE"/>
    <w:rsid w:val="009455BB"/>
    <w:rsid w:val="00945646"/>
    <w:rsid w:val="009457BE"/>
    <w:rsid w:val="009457DA"/>
    <w:rsid w:val="00945935"/>
    <w:rsid w:val="00945A71"/>
    <w:rsid w:val="00945BC5"/>
    <w:rsid w:val="00945BD2"/>
    <w:rsid w:val="00945C5E"/>
    <w:rsid w:val="00945E46"/>
    <w:rsid w:val="00945FBC"/>
    <w:rsid w:val="009460C6"/>
    <w:rsid w:val="00946197"/>
    <w:rsid w:val="0094627E"/>
    <w:rsid w:val="00946324"/>
    <w:rsid w:val="0094635D"/>
    <w:rsid w:val="009464C7"/>
    <w:rsid w:val="0094652B"/>
    <w:rsid w:val="0094673A"/>
    <w:rsid w:val="009467BC"/>
    <w:rsid w:val="009467E3"/>
    <w:rsid w:val="0094685D"/>
    <w:rsid w:val="00946868"/>
    <w:rsid w:val="0094697F"/>
    <w:rsid w:val="00946A1A"/>
    <w:rsid w:val="00946AC4"/>
    <w:rsid w:val="00946B2E"/>
    <w:rsid w:val="00946D5B"/>
    <w:rsid w:val="00946E2C"/>
    <w:rsid w:val="00946F97"/>
    <w:rsid w:val="009470DF"/>
    <w:rsid w:val="0094719B"/>
    <w:rsid w:val="009471E2"/>
    <w:rsid w:val="0094721B"/>
    <w:rsid w:val="00947244"/>
    <w:rsid w:val="00947264"/>
    <w:rsid w:val="009472E7"/>
    <w:rsid w:val="0094735C"/>
    <w:rsid w:val="00947431"/>
    <w:rsid w:val="0094764A"/>
    <w:rsid w:val="00947AA0"/>
    <w:rsid w:val="00947AB0"/>
    <w:rsid w:val="00947C56"/>
    <w:rsid w:val="00947D6E"/>
    <w:rsid w:val="00947EA2"/>
    <w:rsid w:val="00947ED3"/>
    <w:rsid w:val="00947EE5"/>
    <w:rsid w:val="00947F58"/>
    <w:rsid w:val="00950102"/>
    <w:rsid w:val="009501A2"/>
    <w:rsid w:val="009501BD"/>
    <w:rsid w:val="00950223"/>
    <w:rsid w:val="0095035B"/>
    <w:rsid w:val="009503D7"/>
    <w:rsid w:val="0095040C"/>
    <w:rsid w:val="0095047F"/>
    <w:rsid w:val="00950496"/>
    <w:rsid w:val="00950502"/>
    <w:rsid w:val="0095055B"/>
    <w:rsid w:val="0095056F"/>
    <w:rsid w:val="009505D6"/>
    <w:rsid w:val="009507E4"/>
    <w:rsid w:val="0095080A"/>
    <w:rsid w:val="00950866"/>
    <w:rsid w:val="0095092F"/>
    <w:rsid w:val="00950935"/>
    <w:rsid w:val="0095095F"/>
    <w:rsid w:val="009509B8"/>
    <w:rsid w:val="00950AE9"/>
    <w:rsid w:val="00950B06"/>
    <w:rsid w:val="00950B8C"/>
    <w:rsid w:val="00950BF5"/>
    <w:rsid w:val="00950D4F"/>
    <w:rsid w:val="00950D54"/>
    <w:rsid w:val="00950E44"/>
    <w:rsid w:val="00950F12"/>
    <w:rsid w:val="00951047"/>
    <w:rsid w:val="0095104A"/>
    <w:rsid w:val="00951067"/>
    <w:rsid w:val="00951087"/>
    <w:rsid w:val="009510A9"/>
    <w:rsid w:val="009512E1"/>
    <w:rsid w:val="009512F9"/>
    <w:rsid w:val="00951302"/>
    <w:rsid w:val="009515B7"/>
    <w:rsid w:val="00951600"/>
    <w:rsid w:val="0095160B"/>
    <w:rsid w:val="0095169B"/>
    <w:rsid w:val="0095174A"/>
    <w:rsid w:val="00951754"/>
    <w:rsid w:val="0095183B"/>
    <w:rsid w:val="0095199F"/>
    <w:rsid w:val="00951A12"/>
    <w:rsid w:val="00951C42"/>
    <w:rsid w:val="00951C4A"/>
    <w:rsid w:val="00951D96"/>
    <w:rsid w:val="00951DB1"/>
    <w:rsid w:val="0095211F"/>
    <w:rsid w:val="00952154"/>
    <w:rsid w:val="0095232A"/>
    <w:rsid w:val="00952358"/>
    <w:rsid w:val="009524CE"/>
    <w:rsid w:val="009525CE"/>
    <w:rsid w:val="009526CE"/>
    <w:rsid w:val="00952828"/>
    <w:rsid w:val="009528C2"/>
    <w:rsid w:val="00952987"/>
    <w:rsid w:val="009529FC"/>
    <w:rsid w:val="00952A0A"/>
    <w:rsid w:val="00952C39"/>
    <w:rsid w:val="00952C55"/>
    <w:rsid w:val="00952CEC"/>
    <w:rsid w:val="00952D46"/>
    <w:rsid w:val="00952F7E"/>
    <w:rsid w:val="00953289"/>
    <w:rsid w:val="009532DA"/>
    <w:rsid w:val="0095333A"/>
    <w:rsid w:val="0095335A"/>
    <w:rsid w:val="0095343C"/>
    <w:rsid w:val="0095398F"/>
    <w:rsid w:val="009539B8"/>
    <w:rsid w:val="009539CD"/>
    <w:rsid w:val="00953ABD"/>
    <w:rsid w:val="00953BC2"/>
    <w:rsid w:val="00953C18"/>
    <w:rsid w:val="00953C83"/>
    <w:rsid w:val="00953CE9"/>
    <w:rsid w:val="00953DC7"/>
    <w:rsid w:val="00953F45"/>
    <w:rsid w:val="00953F85"/>
    <w:rsid w:val="0095405A"/>
    <w:rsid w:val="0095420A"/>
    <w:rsid w:val="00954246"/>
    <w:rsid w:val="00954287"/>
    <w:rsid w:val="00954440"/>
    <w:rsid w:val="009544AE"/>
    <w:rsid w:val="0095465D"/>
    <w:rsid w:val="009547BE"/>
    <w:rsid w:val="0095487B"/>
    <w:rsid w:val="0095493E"/>
    <w:rsid w:val="00954AE4"/>
    <w:rsid w:val="00954B80"/>
    <w:rsid w:val="00954C1B"/>
    <w:rsid w:val="00954CDF"/>
    <w:rsid w:val="00954CF1"/>
    <w:rsid w:val="00954DBA"/>
    <w:rsid w:val="00954DEB"/>
    <w:rsid w:val="0095508D"/>
    <w:rsid w:val="00955114"/>
    <w:rsid w:val="00955128"/>
    <w:rsid w:val="009551C2"/>
    <w:rsid w:val="00955413"/>
    <w:rsid w:val="00955582"/>
    <w:rsid w:val="00955589"/>
    <w:rsid w:val="009555ED"/>
    <w:rsid w:val="00955647"/>
    <w:rsid w:val="00955674"/>
    <w:rsid w:val="0095583B"/>
    <w:rsid w:val="00955871"/>
    <w:rsid w:val="009558D5"/>
    <w:rsid w:val="00955902"/>
    <w:rsid w:val="00955907"/>
    <w:rsid w:val="00955A62"/>
    <w:rsid w:val="00955A7F"/>
    <w:rsid w:val="00955B81"/>
    <w:rsid w:val="00955D6B"/>
    <w:rsid w:val="00955E30"/>
    <w:rsid w:val="00955E33"/>
    <w:rsid w:val="00955FDA"/>
    <w:rsid w:val="009560F9"/>
    <w:rsid w:val="00956110"/>
    <w:rsid w:val="0095617E"/>
    <w:rsid w:val="00956376"/>
    <w:rsid w:val="0095637E"/>
    <w:rsid w:val="0095651E"/>
    <w:rsid w:val="00956524"/>
    <w:rsid w:val="009565C5"/>
    <w:rsid w:val="009566C3"/>
    <w:rsid w:val="009566DE"/>
    <w:rsid w:val="009568AB"/>
    <w:rsid w:val="00956A28"/>
    <w:rsid w:val="00956AA9"/>
    <w:rsid w:val="00956AED"/>
    <w:rsid w:val="00956B32"/>
    <w:rsid w:val="00956B41"/>
    <w:rsid w:val="00956C1E"/>
    <w:rsid w:val="00956C4C"/>
    <w:rsid w:val="00956CCF"/>
    <w:rsid w:val="00956CE3"/>
    <w:rsid w:val="00956CFB"/>
    <w:rsid w:val="00956E23"/>
    <w:rsid w:val="00956E5F"/>
    <w:rsid w:val="00956F5F"/>
    <w:rsid w:val="00956F65"/>
    <w:rsid w:val="00956FFB"/>
    <w:rsid w:val="00957037"/>
    <w:rsid w:val="00957182"/>
    <w:rsid w:val="00957448"/>
    <w:rsid w:val="0095747A"/>
    <w:rsid w:val="009574FA"/>
    <w:rsid w:val="00957587"/>
    <w:rsid w:val="009575CF"/>
    <w:rsid w:val="009577F9"/>
    <w:rsid w:val="009579C2"/>
    <w:rsid w:val="00957A73"/>
    <w:rsid w:val="00957ADA"/>
    <w:rsid w:val="00957B9E"/>
    <w:rsid w:val="00957BB7"/>
    <w:rsid w:val="00957BD6"/>
    <w:rsid w:val="00957C77"/>
    <w:rsid w:val="00957CC8"/>
    <w:rsid w:val="00957CDC"/>
    <w:rsid w:val="00957CF8"/>
    <w:rsid w:val="00957F25"/>
    <w:rsid w:val="00960004"/>
    <w:rsid w:val="0096003C"/>
    <w:rsid w:val="0096013C"/>
    <w:rsid w:val="0096023E"/>
    <w:rsid w:val="00960258"/>
    <w:rsid w:val="00960322"/>
    <w:rsid w:val="0096040A"/>
    <w:rsid w:val="00960477"/>
    <w:rsid w:val="009604D9"/>
    <w:rsid w:val="00960717"/>
    <w:rsid w:val="009609DE"/>
    <w:rsid w:val="00960AE6"/>
    <w:rsid w:val="00960AEB"/>
    <w:rsid w:val="00960BAA"/>
    <w:rsid w:val="00960BFC"/>
    <w:rsid w:val="0096107F"/>
    <w:rsid w:val="00961184"/>
    <w:rsid w:val="00961274"/>
    <w:rsid w:val="0096129D"/>
    <w:rsid w:val="0096132A"/>
    <w:rsid w:val="0096134D"/>
    <w:rsid w:val="00961392"/>
    <w:rsid w:val="0096139B"/>
    <w:rsid w:val="009616A5"/>
    <w:rsid w:val="00961A0D"/>
    <w:rsid w:val="00961A14"/>
    <w:rsid w:val="00961ACB"/>
    <w:rsid w:val="00961B1F"/>
    <w:rsid w:val="00961B3D"/>
    <w:rsid w:val="00961B45"/>
    <w:rsid w:val="00961B98"/>
    <w:rsid w:val="00961D76"/>
    <w:rsid w:val="00961E05"/>
    <w:rsid w:val="00961E6E"/>
    <w:rsid w:val="00962130"/>
    <w:rsid w:val="009622B9"/>
    <w:rsid w:val="009623DD"/>
    <w:rsid w:val="00962438"/>
    <w:rsid w:val="00962536"/>
    <w:rsid w:val="00962597"/>
    <w:rsid w:val="009627F2"/>
    <w:rsid w:val="009628EF"/>
    <w:rsid w:val="00962901"/>
    <w:rsid w:val="00962B33"/>
    <w:rsid w:val="00962CC5"/>
    <w:rsid w:val="00962F0E"/>
    <w:rsid w:val="00962FB6"/>
    <w:rsid w:val="009631DA"/>
    <w:rsid w:val="0096331D"/>
    <w:rsid w:val="0096343B"/>
    <w:rsid w:val="00963445"/>
    <w:rsid w:val="00963543"/>
    <w:rsid w:val="00963544"/>
    <w:rsid w:val="009635C8"/>
    <w:rsid w:val="009635DE"/>
    <w:rsid w:val="009635FF"/>
    <w:rsid w:val="009637D1"/>
    <w:rsid w:val="009639F9"/>
    <w:rsid w:val="00963F20"/>
    <w:rsid w:val="00963F3C"/>
    <w:rsid w:val="009641E2"/>
    <w:rsid w:val="0096421C"/>
    <w:rsid w:val="009642DA"/>
    <w:rsid w:val="009642EB"/>
    <w:rsid w:val="0096440F"/>
    <w:rsid w:val="00964449"/>
    <w:rsid w:val="0096448F"/>
    <w:rsid w:val="00964524"/>
    <w:rsid w:val="00964528"/>
    <w:rsid w:val="009645DE"/>
    <w:rsid w:val="00964846"/>
    <w:rsid w:val="00964AA0"/>
    <w:rsid w:val="00964AC5"/>
    <w:rsid w:val="00964BD2"/>
    <w:rsid w:val="00964BF9"/>
    <w:rsid w:val="00964C82"/>
    <w:rsid w:val="00964F5B"/>
    <w:rsid w:val="009650E2"/>
    <w:rsid w:val="009651C9"/>
    <w:rsid w:val="00965249"/>
    <w:rsid w:val="0096529F"/>
    <w:rsid w:val="009653D3"/>
    <w:rsid w:val="00965418"/>
    <w:rsid w:val="0096572E"/>
    <w:rsid w:val="009657DE"/>
    <w:rsid w:val="00965885"/>
    <w:rsid w:val="009658AA"/>
    <w:rsid w:val="009658E1"/>
    <w:rsid w:val="00965955"/>
    <w:rsid w:val="00965DAC"/>
    <w:rsid w:val="00965FDF"/>
    <w:rsid w:val="0096606B"/>
    <w:rsid w:val="0096607F"/>
    <w:rsid w:val="0096608B"/>
    <w:rsid w:val="00966219"/>
    <w:rsid w:val="00966367"/>
    <w:rsid w:val="0096643A"/>
    <w:rsid w:val="009664A3"/>
    <w:rsid w:val="009666E2"/>
    <w:rsid w:val="00966752"/>
    <w:rsid w:val="00966795"/>
    <w:rsid w:val="00966A1C"/>
    <w:rsid w:val="00966A5B"/>
    <w:rsid w:val="00966A71"/>
    <w:rsid w:val="00966A9A"/>
    <w:rsid w:val="00966AC0"/>
    <w:rsid w:val="00966AD2"/>
    <w:rsid w:val="00966CE7"/>
    <w:rsid w:val="00966D00"/>
    <w:rsid w:val="00966D7B"/>
    <w:rsid w:val="00966E93"/>
    <w:rsid w:val="00966EAB"/>
    <w:rsid w:val="009670D7"/>
    <w:rsid w:val="00967194"/>
    <w:rsid w:val="009671B7"/>
    <w:rsid w:val="009671C4"/>
    <w:rsid w:val="009671E6"/>
    <w:rsid w:val="0096726A"/>
    <w:rsid w:val="00967321"/>
    <w:rsid w:val="00967360"/>
    <w:rsid w:val="00967418"/>
    <w:rsid w:val="00967487"/>
    <w:rsid w:val="00967593"/>
    <w:rsid w:val="00967686"/>
    <w:rsid w:val="0096771B"/>
    <w:rsid w:val="0096773E"/>
    <w:rsid w:val="009678A7"/>
    <w:rsid w:val="00967902"/>
    <w:rsid w:val="00967911"/>
    <w:rsid w:val="0096795C"/>
    <w:rsid w:val="00967A2E"/>
    <w:rsid w:val="00967A49"/>
    <w:rsid w:val="00967C11"/>
    <w:rsid w:val="00967C83"/>
    <w:rsid w:val="00967D22"/>
    <w:rsid w:val="00967D2A"/>
    <w:rsid w:val="00967DA6"/>
    <w:rsid w:val="00967E80"/>
    <w:rsid w:val="00967EEB"/>
    <w:rsid w:val="00970069"/>
    <w:rsid w:val="0097018B"/>
    <w:rsid w:val="00970426"/>
    <w:rsid w:val="0097048C"/>
    <w:rsid w:val="00970676"/>
    <w:rsid w:val="00970742"/>
    <w:rsid w:val="00970772"/>
    <w:rsid w:val="00970982"/>
    <w:rsid w:val="009709D7"/>
    <w:rsid w:val="00970C7F"/>
    <w:rsid w:val="00970CA9"/>
    <w:rsid w:val="00970F2C"/>
    <w:rsid w:val="00970F97"/>
    <w:rsid w:val="00970FF0"/>
    <w:rsid w:val="009712E8"/>
    <w:rsid w:val="009713A0"/>
    <w:rsid w:val="0097147A"/>
    <w:rsid w:val="009715A9"/>
    <w:rsid w:val="009715ED"/>
    <w:rsid w:val="00971781"/>
    <w:rsid w:val="00971844"/>
    <w:rsid w:val="009718C8"/>
    <w:rsid w:val="00971915"/>
    <w:rsid w:val="0097191D"/>
    <w:rsid w:val="00971A22"/>
    <w:rsid w:val="00971B1A"/>
    <w:rsid w:val="00971C11"/>
    <w:rsid w:val="00971D06"/>
    <w:rsid w:val="00971D09"/>
    <w:rsid w:val="00971F94"/>
    <w:rsid w:val="0097200D"/>
    <w:rsid w:val="009720BC"/>
    <w:rsid w:val="009721EB"/>
    <w:rsid w:val="00972742"/>
    <w:rsid w:val="0097289D"/>
    <w:rsid w:val="009728CA"/>
    <w:rsid w:val="00972A27"/>
    <w:rsid w:val="00972AF1"/>
    <w:rsid w:val="00972B86"/>
    <w:rsid w:val="00972C93"/>
    <w:rsid w:val="00972CDB"/>
    <w:rsid w:val="00972E07"/>
    <w:rsid w:val="00972E30"/>
    <w:rsid w:val="00972EC0"/>
    <w:rsid w:val="00973077"/>
    <w:rsid w:val="0097310A"/>
    <w:rsid w:val="0097343C"/>
    <w:rsid w:val="00973489"/>
    <w:rsid w:val="009734BC"/>
    <w:rsid w:val="00973549"/>
    <w:rsid w:val="0097380B"/>
    <w:rsid w:val="00973899"/>
    <w:rsid w:val="009739C0"/>
    <w:rsid w:val="009739C5"/>
    <w:rsid w:val="00973ACE"/>
    <w:rsid w:val="00973BF6"/>
    <w:rsid w:val="00973D7A"/>
    <w:rsid w:val="00973DCD"/>
    <w:rsid w:val="00973F89"/>
    <w:rsid w:val="0097423D"/>
    <w:rsid w:val="0097439E"/>
    <w:rsid w:val="009743F5"/>
    <w:rsid w:val="00974452"/>
    <w:rsid w:val="00974535"/>
    <w:rsid w:val="009745AA"/>
    <w:rsid w:val="00974646"/>
    <w:rsid w:val="0097499E"/>
    <w:rsid w:val="009749BF"/>
    <w:rsid w:val="00974ACF"/>
    <w:rsid w:val="00974B80"/>
    <w:rsid w:val="00974BB0"/>
    <w:rsid w:val="00974CE7"/>
    <w:rsid w:val="00974DCB"/>
    <w:rsid w:val="00974E70"/>
    <w:rsid w:val="00974F84"/>
    <w:rsid w:val="009750AC"/>
    <w:rsid w:val="0097510A"/>
    <w:rsid w:val="00975120"/>
    <w:rsid w:val="00975185"/>
    <w:rsid w:val="0097521D"/>
    <w:rsid w:val="0097532D"/>
    <w:rsid w:val="0097543A"/>
    <w:rsid w:val="009754C9"/>
    <w:rsid w:val="00975506"/>
    <w:rsid w:val="00975590"/>
    <w:rsid w:val="0097565B"/>
    <w:rsid w:val="00975686"/>
    <w:rsid w:val="00975855"/>
    <w:rsid w:val="009759F0"/>
    <w:rsid w:val="00975B55"/>
    <w:rsid w:val="00975C8F"/>
    <w:rsid w:val="00975CA3"/>
    <w:rsid w:val="00975D62"/>
    <w:rsid w:val="00975D6A"/>
    <w:rsid w:val="00975D98"/>
    <w:rsid w:val="00975E2B"/>
    <w:rsid w:val="009760F4"/>
    <w:rsid w:val="0097610D"/>
    <w:rsid w:val="009761FC"/>
    <w:rsid w:val="00976353"/>
    <w:rsid w:val="00976514"/>
    <w:rsid w:val="00976667"/>
    <w:rsid w:val="00976690"/>
    <w:rsid w:val="0097676D"/>
    <w:rsid w:val="00976776"/>
    <w:rsid w:val="009768D2"/>
    <w:rsid w:val="00976A52"/>
    <w:rsid w:val="00976C0F"/>
    <w:rsid w:val="00976C50"/>
    <w:rsid w:val="00976FB0"/>
    <w:rsid w:val="00976FC0"/>
    <w:rsid w:val="0097704C"/>
    <w:rsid w:val="009770D7"/>
    <w:rsid w:val="009770EB"/>
    <w:rsid w:val="00977183"/>
    <w:rsid w:val="009772B5"/>
    <w:rsid w:val="009772FD"/>
    <w:rsid w:val="00977411"/>
    <w:rsid w:val="0097742F"/>
    <w:rsid w:val="009775F2"/>
    <w:rsid w:val="009775F7"/>
    <w:rsid w:val="0097761B"/>
    <w:rsid w:val="009777C6"/>
    <w:rsid w:val="009777F2"/>
    <w:rsid w:val="00977861"/>
    <w:rsid w:val="0097787D"/>
    <w:rsid w:val="009779F2"/>
    <w:rsid w:val="00977B33"/>
    <w:rsid w:val="00977C8B"/>
    <w:rsid w:val="00977CE8"/>
    <w:rsid w:val="00977DDA"/>
    <w:rsid w:val="00977DDD"/>
    <w:rsid w:val="00977E12"/>
    <w:rsid w:val="00977E93"/>
    <w:rsid w:val="00977FC3"/>
    <w:rsid w:val="00977FCD"/>
    <w:rsid w:val="0098005C"/>
    <w:rsid w:val="009800BA"/>
    <w:rsid w:val="00980116"/>
    <w:rsid w:val="00980163"/>
    <w:rsid w:val="00980287"/>
    <w:rsid w:val="009802E8"/>
    <w:rsid w:val="00980410"/>
    <w:rsid w:val="00980480"/>
    <w:rsid w:val="009805DD"/>
    <w:rsid w:val="00980635"/>
    <w:rsid w:val="00980648"/>
    <w:rsid w:val="0098067B"/>
    <w:rsid w:val="009807B2"/>
    <w:rsid w:val="009808BA"/>
    <w:rsid w:val="00980A85"/>
    <w:rsid w:val="00980ADD"/>
    <w:rsid w:val="00980B56"/>
    <w:rsid w:val="00980B5A"/>
    <w:rsid w:val="00980D2C"/>
    <w:rsid w:val="00980D9E"/>
    <w:rsid w:val="00980DFE"/>
    <w:rsid w:val="00980E01"/>
    <w:rsid w:val="00980F3A"/>
    <w:rsid w:val="00980F5F"/>
    <w:rsid w:val="009810AE"/>
    <w:rsid w:val="009810E7"/>
    <w:rsid w:val="0098121A"/>
    <w:rsid w:val="00981329"/>
    <w:rsid w:val="009813EB"/>
    <w:rsid w:val="009813FE"/>
    <w:rsid w:val="00981457"/>
    <w:rsid w:val="00981472"/>
    <w:rsid w:val="0098156E"/>
    <w:rsid w:val="00981674"/>
    <w:rsid w:val="0098186F"/>
    <w:rsid w:val="00981958"/>
    <w:rsid w:val="00981A2B"/>
    <w:rsid w:val="00981AAE"/>
    <w:rsid w:val="00981BC3"/>
    <w:rsid w:val="00981C3B"/>
    <w:rsid w:val="00981E11"/>
    <w:rsid w:val="00981E6C"/>
    <w:rsid w:val="00981E85"/>
    <w:rsid w:val="00981FCC"/>
    <w:rsid w:val="0098200F"/>
    <w:rsid w:val="00982080"/>
    <w:rsid w:val="009820CD"/>
    <w:rsid w:val="00982348"/>
    <w:rsid w:val="0098239E"/>
    <w:rsid w:val="009823F1"/>
    <w:rsid w:val="00982465"/>
    <w:rsid w:val="009824E7"/>
    <w:rsid w:val="00982612"/>
    <w:rsid w:val="009828F4"/>
    <w:rsid w:val="00982900"/>
    <w:rsid w:val="00982994"/>
    <w:rsid w:val="009829A4"/>
    <w:rsid w:val="00982A7A"/>
    <w:rsid w:val="00982B9A"/>
    <w:rsid w:val="00982BAD"/>
    <w:rsid w:val="00982C7A"/>
    <w:rsid w:val="00982F6F"/>
    <w:rsid w:val="0098303E"/>
    <w:rsid w:val="0098304E"/>
    <w:rsid w:val="00983076"/>
    <w:rsid w:val="00983082"/>
    <w:rsid w:val="009831C0"/>
    <w:rsid w:val="0098346E"/>
    <w:rsid w:val="009834F6"/>
    <w:rsid w:val="0098355C"/>
    <w:rsid w:val="00983AEE"/>
    <w:rsid w:val="00983B88"/>
    <w:rsid w:val="00983CAF"/>
    <w:rsid w:val="00983F49"/>
    <w:rsid w:val="00983FE1"/>
    <w:rsid w:val="009840F6"/>
    <w:rsid w:val="009841FC"/>
    <w:rsid w:val="00984235"/>
    <w:rsid w:val="00984320"/>
    <w:rsid w:val="009843AC"/>
    <w:rsid w:val="009844CE"/>
    <w:rsid w:val="0098452E"/>
    <w:rsid w:val="0098457F"/>
    <w:rsid w:val="009845FA"/>
    <w:rsid w:val="0098467E"/>
    <w:rsid w:val="009846CA"/>
    <w:rsid w:val="0098493F"/>
    <w:rsid w:val="00984B3B"/>
    <w:rsid w:val="00984B69"/>
    <w:rsid w:val="00984D69"/>
    <w:rsid w:val="00984D9D"/>
    <w:rsid w:val="00984EFB"/>
    <w:rsid w:val="00984FB5"/>
    <w:rsid w:val="00984FCD"/>
    <w:rsid w:val="00984FEC"/>
    <w:rsid w:val="00984FF6"/>
    <w:rsid w:val="009850C2"/>
    <w:rsid w:val="0098515E"/>
    <w:rsid w:val="009851E5"/>
    <w:rsid w:val="00985265"/>
    <w:rsid w:val="00985277"/>
    <w:rsid w:val="009852F9"/>
    <w:rsid w:val="009853CA"/>
    <w:rsid w:val="009853E3"/>
    <w:rsid w:val="009854C9"/>
    <w:rsid w:val="00985559"/>
    <w:rsid w:val="009855A1"/>
    <w:rsid w:val="00985654"/>
    <w:rsid w:val="0098569B"/>
    <w:rsid w:val="00985761"/>
    <w:rsid w:val="009857E7"/>
    <w:rsid w:val="00985941"/>
    <w:rsid w:val="0098596A"/>
    <w:rsid w:val="00985CF4"/>
    <w:rsid w:val="00985E44"/>
    <w:rsid w:val="00985F41"/>
    <w:rsid w:val="00985FB9"/>
    <w:rsid w:val="0098600C"/>
    <w:rsid w:val="00986123"/>
    <w:rsid w:val="0098624E"/>
    <w:rsid w:val="009862FF"/>
    <w:rsid w:val="009863A7"/>
    <w:rsid w:val="009863EF"/>
    <w:rsid w:val="00986433"/>
    <w:rsid w:val="00986497"/>
    <w:rsid w:val="009864B3"/>
    <w:rsid w:val="009864E7"/>
    <w:rsid w:val="009866FD"/>
    <w:rsid w:val="00986702"/>
    <w:rsid w:val="0098677B"/>
    <w:rsid w:val="00986866"/>
    <w:rsid w:val="009868A5"/>
    <w:rsid w:val="00986991"/>
    <w:rsid w:val="0098699F"/>
    <w:rsid w:val="00986A70"/>
    <w:rsid w:val="00986B9E"/>
    <w:rsid w:val="00986C61"/>
    <w:rsid w:val="00986CA8"/>
    <w:rsid w:val="00986DEA"/>
    <w:rsid w:val="00986E12"/>
    <w:rsid w:val="00986EC9"/>
    <w:rsid w:val="00986F62"/>
    <w:rsid w:val="00987037"/>
    <w:rsid w:val="0098705F"/>
    <w:rsid w:val="009871AC"/>
    <w:rsid w:val="00987473"/>
    <w:rsid w:val="009874EB"/>
    <w:rsid w:val="0098761F"/>
    <w:rsid w:val="009878E1"/>
    <w:rsid w:val="00987936"/>
    <w:rsid w:val="00987941"/>
    <w:rsid w:val="0098796D"/>
    <w:rsid w:val="00987CED"/>
    <w:rsid w:val="00987D5F"/>
    <w:rsid w:val="00987DE7"/>
    <w:rsid w:val="00987E7A"/>
    <w:rsid w:val="00987FA4"/>
    <w:rsid w:val="00990268"/>
    <w:rsid w:val="009902AE"/>
    <w:rsid w:val="009902BE"/>
    <w:rsid w:val="0099041C"/>
    <w:rsid w:val="00990638"/>
    <w:rsid w:val="00990704"/>
    <w:rsid w:val="009907D9"/>
    <w:rsid w:val="00990954"/>
    <w:rsid w:val="00990B15"/>
    <w:rsid w:val="00990B21"/>
    <w:rsid w:val="00990BAC"/>
    <w:rsid w:val="00990C89"/>
    <w:rsid w:val="00990DC3"/>
    <w:rsid w:val="00990E62"/>
    <w:rsid w:val="00990EC7"/>
    <w:rsid w:val="00990F6C"/>
    <w:rsid w:val="00991079"/>
    <w:rsid w:val="00991182"/>
    <w:rsid w:val="0099121A"/>
    <w:rsid w:val="009914FF"/>
    <w:rsid w:val="0099151F"/>
    <w:rsid w:val="00991540"/>
    <w:rsid w:val="009915C8"/>
    <w:rsid w:val="0099161F"/>
    <w:rsid w:val="00991815"/>
    <w:rsid w:val="00991823"/>
    <w:rsid w:val="00991854"/>
    <w:rsid w:val="0099185E"/>
    <w:rsid w:val="00991897"/>
    <w:rsid w:val="00991921"/>
    <w:rsid w:val="00991A0B"/>
    <w:rsid w:val="00991A24"/>
    <w:rsid w:val="00991A42"/>
    <w:rsid w:val="00991B06"/>
    <w:rsid w:val="00991B3A"/>
    <w:rsid w:val="00991B9C"/>
    <w:rsid w:val="00991C71"/>
    <w:rsid w:val="00991F0A"/>
    <w:rsid w:val="00991F1A"/>
    <w:rsid w:val="00991F42"/>
    <w:rsid w:val="00992229"/>
    <w:rsid w:val="0099225B"/>
    <w:rsid w:val="009922BD"/>
    <w:rsid w:val="009924EC"/>
    <w:rsid w:val="00992534"/>
    <w:rsid w:val="009926DA"/>
    <w:rsid w:val="009927A8"/>
    <w:rsid w:val="00992B32"/>
    <w:rsid w:val="00992C52"/>
    <w:rsid w:val="00992C96"/>
    <w:rsid w:val="00992D5A"/>
    <w:rsid w:val="00992E64"/>
    <w:rsid w:val="00992E69"/>
    <w:rsid w:val="0099328D"/>
    <w:rsid w:val="009932FB"/>
    <w:rsid w:val="00993381"/>
    <w:rsid w:val="009933AA"/>
    <w:rsid w:val="00993766"/>
    <w:rsid w:val="009939DB"/>
    <w:rsid w:val="00993B56"/>
    <w:rsid w:val="00993BF4"/>
    <w:rsid w:val="00993CAC"/>
    <w:rsid w:val="00993CEF"/>
    <w:rsid w:val="00993D43"/>
    <w:rsid w:val="00993F7D"/>
    <w:rsid w:val="0099406F"/>
    <w:rsid w:val="009940E6"/>
    <w:rsid w:val="0099414E"/>
    <w:rsid w:val="009942E6"/>
    <w:rsid w:val="009943DD"/>
    <w:rsid w:val="00994619"/>
    <w:rsid w:val="0099461D"/>
    <w:rsid w:val="00994680"/>
    <w:rsid w:val="009947F4"/>
    <w:rsid w:val="00994E29"/>
    <w:rsid w:val="00994E42"/>
    <w:rsid w:val="00994F60"/>
    <w:rsid w:val="00994F62"/>
    <w:rsid w:val="00995144"/>
    <w:rsid w:val="00995154"/>
    <w:rsid w:val="0099516F"/>
    <w:rsid w:val="009951E2"/>
    <w:rsid w:val="009952FD"/>
    <w:rsid w:val="009953E5"/>
    <w:rsid w:val="0099544F"/>
    <w:rsid w:val="00995529"/>
    <w:rsid w:val="009955BC"/>
    <w:rsid w:val="00995A61"/>
    <w:rsid w:val="00995AA4"/>
    <w:rsid w:val="00995B73"/>
    <w:rsid w:val="00995BA0"/>
    <w:rsid w:val="00995BB0"/>
    <w:rsid w:val="00995E1B"/>
    <w:rsid w:val="00995F87"/>
    <w:rsid w:val="00996003"/>
    <w:rsid w:val="009960D5"/>
    <w:rsid w:val="00996187"/>
    <w:rsid w:val="00996348"/>
    <w:rsid w:val="00996407"/>
    <w:rsid w:val="00996440"/>
    <w:rsid w:val="00996596"/>
    <w:rsid w:val="00996868"/>
    <w:rsid w:val="00996894"/>
    <w:rsid w:val="009969B4"/>
    <w:rsid w:val="00996B48"/>
    <w:rsid w:val="00996BE8"/>
    <w:rsid w:val="00996BFD"/>
    <w:rsid w:val="00996D2D"/>
    <w:rsid w:val="00996DBB"/>
    <w:rsid w:val="00996E0F"/>
    <w:rsid w:val="00996F6A"/>
    <w:rsid w:val="00996F9B"/>
    <w:rsid w:val="009970F2"/>
    <w:rsid w:val="0099727D"/>
    <w:rsid w:val="009972A8"/>
    <w:rsid w:val="009972B9"/>
    <w:rsid w:val="009973F5"/>
    <w:rsid w:val="0099751A"/>
    <w:rsid w:val="00997556"/>
    <w:rsid w:val="009975AA"/>
    <w:rsid w:val="00997634"/>
    <w:rsid w:val="009976B3"/>
    <w:rsid w:val="00997A8C"/>
    <w:rsid w:val="00997B91"/>
    <w:rsid w:val="00997D08"/>
    <w:rsid w:val="00997D0B"/>
    <w:rsid w:val="00997D56"/>
    <w:rsid w:val="00997D96"/>
    <w:rsid w:val="00997D9C"/>
    <w:rsid w:val="00997DC9"/>
    <w:rsid w:val="00997F04"/>
    <w:rsid w:val="00997F5F"/>
    <w:rsid w:val="0099B3A1"/>
    <w:rsid w:val="009A01E0"/>
    <w:rsid w:val="009A01E9"/>
    <w:rsid w:val="009A02FE"/>
    <w:rsid w:val="009A03A3"/>
    <w:rsid w:val="009A048F"/>
    <w:rsid w:val="009A0504"/>
    <w:rsid w:val="009A0546"/>
    <w:rsid w:val="009A05C6"/>
    <w:rsid w:val="009A071F"/>
    <w:rsid w:val="009A091C"/>
    <w:rsid w:val="009A0997"/>
    <w:rsid w:val="009A0A0D"/>
    <w:rsid w:val="009A0C77"/>
    <w:rsid w:val="009A0D01"/>
    <w:rsid w:val="009A0E27"/>
    <w:rsid w:val="009A0EE9"/>
    <w:rsid w:val="009A0F7B"/>
    <w:rsid w:val="009A0FBD"/>
    <w:rsid w:val="009A11AB"/>
    <w:rsid w:val="009A1219"/>
    <w:rsid w:val="009A12AA"/>
    <w:rsid w:val="009A132A"/>
    <w:rsid w:val="009A1412"/>
    <w:rsid w:val="009A1607"/>
    <w:rsid w:val="009A1696"/>
    <w:rsid w:val="009A1752"/>
    <w:rsid w:val="009A1C83"/>
    <w:rsid w:val="009A1C95"/>
    <w:rsid w:val="009A20B4"/>
    <w:rsid w:val="009A20B7"/>
    <w:rsid w:val="009A2172"/>
    <w:rsid w:val="009A22D6"/>
    <w:rsid w:val="009A2330"/>
    <w:rsid w:val="009A23BA"/>
    <w:rsid w:val="009A24BB"/>
    <w:rsid w:val="009A25AA"/>
    <w:rsid w:val="009A2665"/>
    <w:rsid w:val="009A26C0"/>
    <w:rsid w:val="009A276A"/>
    <w:rsid w:val="009A286A"/>
    <w:rsid w:val="009A2ABB"/>
    <w:rsid w:val="009A2B9C"/>
    <w:rsid w:val="009A2D71"/>
    <w:rsid w:val="009A2E4A"/>
    <w:rsid w:val="009A3044"/>
    <w:rsid w:val="009A30D9"/>
    <w:rsid w:val="009A3190"/>
    <w:rsid w:val="009A31A3"/>
    <w:rsid w:val="009A31C5"/>
    <w:rsid w:val="009A31EE"/>
    <w:rsid w:val="009A3442"/>
    <w:rsid w:val="009A34B3"/>
    <w:rsid w:val="009A3518"/>
    <w:rsid w:val="009A357D"/>
    <w:rsid w:val="009A363B"/>
    <w:rsid w:val="009A375F"/>
    <w:rsid w:val="009A37D3"/>
    <w:rsid w:val="009A3922"/>
    <w:rsid w:val="009A39F2"/>
    <w:rsid w:val="009A3A54"/>
    <w:rsid w:val="009A3AB3"/>
    <w:rsid w:val="009A3AD7"/>
    <w:rsid w:val="009A3AE5"/>
    <w:rsid w:val="009A3C02"/>
    <w:rsid w:val="009A3D29"/>
    <w:rsid w:val="009A3E3C"/>
    <w:rsid w:val="009A3E65"/>
    <w:rsid w:val="009A4071"/>
    <w:rsid w:val="009A40F6"/>
    <w:rsid w:val="009A4126"/>
    <w:rsid w:val="009A41F0"/>
    <w:rsid w:val="009A4257"/>
    <w:rsid w:val="009A42D1"/>
    <w:rsid w:val="009A44FD"/>
    <w:rsid w:val="009A481E"/>
    <w:rsid w:val="009A49B2"/>
    <w:rsid w:val="009A4BB2"/>
    <w:rsid w:val="009A4BF2"/>
    <w:rsid w:val="009A4C7B"/>
    <w:rsid w:val="009A4D24"/>
    <w:rsid w:val="009A4E0D"/>
    <w:rsid w:val="009A4E58"/>
    <w:rsid w:val="009A4F3B"/>
    <w:rsid w:val="009A4F61"/>
    <w:rsid w:val="009A501E"/>
    <w:rsid w:val="009A505D"/>
    <w:rsid w:val="009A50AD"/>
    <w:rsid w:val="009A5102"/>
    <w:rsid w:val="009A5204"/>
    <w:rsid w:val="009A5303"/>
    <w:rsid w:val="009A530C"/>
    <w:rsid w:val="009A5348"/>
    <w:rsid w:val="009A54D0"/>
    <w:rsid w:val="009A56CF"/>
    <w:rsid w:val="009A578F"/>
    <w:rsid w:val="009A57B4"/>
    <w:rsid w:val="009A592A"/>
    <w:rsid w:val="009A5A77"/>
    <w:rsid w:val="009A5B6E"/>
    <w:rsid w:val="009A5B98"/>
    <w:rsid w:val="009A5BBD"/>
    <w:rsid w:val="009A5D6C"/>
    <w:rsid w:val="009A5DA4"/>
    <w:rsid w:val="009A5F7D"/>
    <w:rsid w:val="009A5F8F"/>
    <w:rsid w:val="009A6231"/>
    <w:rsid w:val="009A6292"/>
    <w:rsid w:val="009A6314"/>
    <w:rsid w:val="009A6329"/>
    <w:rsid w:val="009A6395"/>
    <w:rsid w:val="009A63EA"/>
    <w:rsid w:val="009A666C"/>
    <w:rsid w:val="009A66D4"/>
    <w:rsid w:val="009A680C"/>
    <w:rsid w:val="009A68A6"/>
    <w:rsid w:val="009A6BC8"/>
    <w:rsid w:val="009A6C00"/>
    <w:rsid w:val="009A6CFE"/>
    <w:rsid w:val="009A7079"/>
    <w:rsid w:val="009A709A"/>
    <w:rsid w:val="009A70B1"/>
    <w:rsid w:val="009A70BE"/>
    <w:rsid w:val="009A70DA"/>
    <w:rsid w:val="009A721E"/>
    <w:rsid w:val="009A74CF"/>
    <w:rsid w:val="009A7590"/>
    <w:rsid w:val="009A7678"/>
    <w:rsid w:val="009A76D6"/>
    <w:rsid w:val="009A7834"/>
    <w:rsid w:val="009A78D7"/>
    <w:rsid w:val="009A7B7B"/>
    <w:rsid w:val="009A7F29"/>
    <w:rsid w:val="009A7FDD"/>
    <w:rsid w:val="009AB364"/>
    <w:rsid w:val="009B0138"/>
    <w:rsid w:val="009B01CA"/>
    <w:rsid w:val="009B01E9"/>
    <w:rsid w:val="009B03D0"/>
    <w:rsid w:val="009B040D"/>
    <w:rsid w:val="009B043D"/>
    <w:rsid w:val="009B0578"/>
    <w:rsid w:val="009B0824"/>
    <w:rsid w:val="009B0854"/>
    <w:rsid w:val="009B090A"/>
    <w:rsid w:val="009B0C58"/>
    <w:rsid w:val="009B0C65"/>
    <w:rsid w:val="009B0D76"/>
    <w:rsid w:val="009B0D9B"/>
    <w:rsid w:val="009B0E9D"/>
    <w:rsid w:val="009B0EF7"/>
    <w:rsid w:val="009B1095"/>
    <w:rsid w:val="009B1217"/>
    <w:rsid w:val="009B137F"/>
    <w:rsid w:val="009B13C7"/>
    <w:rsid w:val="009B1451"/>
    <w:rsid w:val="009B1490"/>
    <w:rsid w:val="009B1627"/>
    <w:rsid w:val="009B1650"/>
    <w:rsid w:val="009B1721"/>
    <w:rsid w:val="009B17FC"/>
    <w:rsid w:val="009B18CA"/>
    <w:rsid w:val="009B1A1B"/>
    <w:rsid w:val="009B1ED7"/>
    <w:rsid w:val="009B1F0A"/>
    <w:rsid w:val="009B1F1D"/>
    <w:rsid w:val="009B207B"/>
    <w:rsid w:val="009B212E"/>
    <w:rsid w:val="009B222B"/>
    <w:rsid w:val="009B2348"/>
    <w:rsid w:val="009B23A3"/>
    <w:rsid w:val="009B25F1"/>
    <w:rsid w:val="009B2605"/>
    <w:rsid w:val="009B2856"/>
    <w:rsid w:val="009B29A7"/>
    <w:rsid w:val="009B2A49"/>
    <w:rsid w:val="009B2B99"/>
    <w:rsid w:val="009B2BD8"/>
    <w:rsid w:val="009B2D4C"/>
    <w:rsid w:val="009B2E57"/>
    <w:rsid w:val="009B2EF8"/>
    <w:rsid w:val="009B2F84"/>
    <w:rsid w:val="009B30EF"/>
    <w:rsid w:val="009B324A"/>
    <w:rsid w:val="009B3276"/>
    <w:rsid w:val="009B32DE"/>
    <w:rsid w:val="009B338A"/>
    <w:rsid w:val="009B3412"/>
    <w:rsid w:val="009B36AB"/>
    <w:rsid w:val="009B3710"/>
    <w:rsid w:val="009B371A"/>
    <w:rsid w:val="009B3721"/>
    <w:rsid w:val="009B3779"/>
    <w:rsid w:val="009B3923"/>
    <w:rsid w:val="009B3A08"/>
    <w:rsid w:val="009B3B06"/>
    <w:rsid w:val="009B3C03"/>
    <w:rsid w:val="009B3CFE"/>
    <w:rsid w:val="009B3D83"/>
    <w:rsid w:val="009B3E6F"/>
    <w:rsid w:val="009B3EB7"/>
    <w:rsid w:val="009B40D6"/>
    <w:rsid w:val="009B4185"/>
    <w:rsid w:val="009B4220"/>
    <w:rsid w:val="009B4228"/>
    <w:rsid w:val="009B426B"/>
    <w:rsid w:val="009B43D0"/>
    <w:rsid w:val="009B448A"/>
    <w:rsid w:val="009B456B"/>
    <w:rsid w:val="009B4595"/>
    <w:rsid w:val="009B4670"/>
    <w:rsid w:val="009B4715"/>
    <w:rsid w:val="009B47C5"/>
    <w:rsid w:val="009B47F1"/>
    <w:rsid w:val="009B48C7"/>
    <w:rsid w:val="009B490A"/>
    <w:rsid w:val="009B4927"/>
    <w:rsid w:val="009B4955"/>
    <w:rsid w:val="009B4970"/>
    <w:rsid w:val="009B4998"/>
    <w:rsid w:val="009B49AD"/>
    <w:rsid w:val="009B49C1"/>
    <w:rsid w:val="009B4B35"/>
    <w:rsid w:val="009B4B9D"/>
    <w:rsid w:val="009B4BDC"/>
    <w:rsid w:val="009B4C45"/>
    <w:rsid w:val="009B4C6E"/>
    <w:rsid w:val="009B4E0B"/>
    <w:rsid w:val="009B4F77"/>
    <w:rsid w:val="009B50B0"/>
    <w:rsid w:val="009B5146"/>
    <w:rsid w:val="009B5156"/>
    <w:rsid w:val="009B52EE"/>
    <w:rsid w:val="009B53F2"/>
    <w:rsid w:val="009B54D6"/>
    <w:rsid w:val="009B557D"/>
    <w:rsid w:val="009B570C"/>
    <w:rsid w:val="009B570E"/>
    <w:rsid w:val="009B58A2"/>
    <w:rsid w:val="009B59B1"/>
    <w:rsid w:val="009B59B9"/>
    <w:rsid w:val="009B5ADF"/>
    <w:rsid w:val="009B5BAA"/>
    <w:rsid w:val="009B5BF5"/>
    <w:rsid w:val="009B5C73"/>
    <w:rsid w:val="009B5D1F"/>
    <w:rsid w:val="009B5D27"/>
    <w:rsid w:val="009B5D2A"/>
    <w:rsid w:val="009B5D51"/>
    <w:rsid w:val="009B5DFC"/>
    <w:rsid w:val="009B5E15"/>
    <w:rsid w:val="009B5F7F"/>
    <w:rsid w:val="009B5FA8"/>
    <w:rsid w:val="009B5FF8"/>
    <w:rsid w:val="009B61A1"/>
    <w:rsid w:val="009B61C5"/>
    <w:rsid w:val="009B6215"/>
    <w:rsid w:val="009B62C4"/>
    <w:rsid w:val="009B640B"/>
    <w:rsid w:val="009B6628"/>
    <w:rsid w:val="009B6672"/>
    <w:rsid w:val="009B66E9"/>
    <w:rsid w:val="009B6723"/>
    <w:rsid w:val="009B67B7"/>
    <w:rsid w:val="009B689D"/>
    <w:rsid w:val="009B6969"/>
    <w:rsid w:val="009B69E4"/>
    <w:rsid w:val="009B6A24"/>
    <w:rsid w:val="009B6A3A"/>
    <w:rsid w:val="009B6B6E"/>
    <w:rsid w:val="009B6B7D"/>
    <w:rsid w:val="009B6C46"/>
    <w:rsid w:val="009B6CC9"/>
    <w:rsid w:val="009B6CFD"/>
    <w:rsid w:val="009B6E3F"/>
    <w:rsid w:val="009B6EB7"/>
    <w:rsid w:val="009B6ECB"/>
    <w:rsid w:val="009B706E"/>
    <w:rsid w:val="009B7115"/>
    <w:rsid w:val="009B722F"/>
    <w:rsid w:val="009B737C"/>
    <w:rsid w:val="009B74B1"/>
    <w:rsid w:val="009B7694"/>
    <w:rsid w:val="009B780C"/>
    <w:rsid w:val="009B7834"/>
    <w:rsid w:val="009B78FD"/>
    <w:rsid w:val="009B7B60"/>
    <w:rsid w:val="009B7B7C"/>
    <w:rsid w:val="009B7B82"/>
    <w:rsid w:val="009B7C0E"/>
    <w:rsid w:val="009B7CAE"/>
    <w:rsid w:val="009B7E2C"/>
    <w:rsid w:val="009B7E48"/>
    <w:rsid w:val="009B7E6B"/>
    <w:rsid w:val="009B7EF7"/>
    <w:rsid w:val="009B7F46"/>
    <w:rsid w:val="009B7FD4"/>
    <w:rsid w:val="009C002E"/>
    <w:rsid w:val="009C00CE"/>
    <w:rsid w:val="009C013E"/>
    <w:rsid w:val="009C018C"/>
    <w:rsid w:val="009C01A2"/>
    <w:rsid w:val="009C01FF"/>
    <w:rsid w:val="009C02ED"/>
    <w:rsid w:val="009C0313"/>
    <w:rsid w:val="009C03D7"/>
    <w:rsid w:val="009C0469"/>
    <w:rsid w:val="009C054F"/>
    <w:rsid w:val="009C06B5"/>
    <w:rsid w:val="009C06D0"/>
    <w:rsid w:val="009C07B1"/>
    <w:rsid w:val="009C0917"/>
    <w:rsid w:val="009C09C4"/>
    <w:rsid w:val="009C0A12"/>
    <w:rsid w:val="009C0A5D"/>
    <w:rsid w:val="009C0A60"/>
    <w:rsid w:val="009C0AAD"/>
    <w:rsid w:val="009C0DD2"/>
    <w:rsid w:val="009C0E85"/>
    <w:rsid w:val="009C12B2"/>
    <w:rsid w:val="009C1616"/>
    <w:rsid w:val="009C1769"/>
    <w:rsid w:val="009C1795"/>
    <w:rsid w:val="009C18EA"/>
    <w:rsid w:val="009C19DD"/>
    <w:rsid w:val="009C1CEF"/>
    <w:rsid w:val="009C1D41"/>
    <w:rsid w:val="009C20C4"/>
    <w:rsid w:val="009C2164"/>
    <w:rsid w:val="009C221B"/>
    <w:rsid w:val="009C228C"/>
    <w:rsid w:val="009C2349"/>
    <w:rsid w:val="009C2378"/>
    <w:rsid w:val="009C23E8"/>
    <w:rsid w:val="009C2442"/>
    <w:rsid w:val="009C2608"/>
    <w:rsid w:val="009C2648"/>
    <w:rsid w:val="009C26ED"/>
    <w:rsid w:val="009C278D"/>
    <w:rsid w:val="009C2791"/>
    <w:rsid w:val="009C28CC"/>
    <w:rsid w:val="009C294B"/>
    <w:rsid w:val="009C295B"/>
    <w:rsid w:val="009C2B05"/>
    <w:rsid w:val="009C2BB6"/>
    <w:rsid w:val="009C2BFB"/>
    <w:rsid w:val="009C2C11"/>
    <w:rsid w:val="009C2D90"/>
    <w:rsid w:val="009C2DFF"/>
    <w:rsid w:val="009C2FE8"/>
    <w:rsid w:val="009C30D0"/>
    <w:rsid w:val="009C3234"/>
    <w:rsid w:val="009C3284"/>
    <w:rsid w:val="009C32B3"/>
    <w:rsid w:val="009C34BA"/>
    <w:rsid w:val="009C34E4"/>
    <w:rsid w:val="009C3784"/>
    <w:rsid w:val="009C395F"/>
    <w:rsid w:val="009C39ED"/>
    <w:rsid w:val="009C3A70"/>
    <w:rsid w:val="009C3C1F"/>
    <w:rsid w:val="009C3C34"/>
    <w:rsid w:val="009C3E15"/>
    <w:rsid w:val="009C3EB3"/>
    <w:rsid w:val="009C3ECC"/>
    <w:rsid w:val="009C3F7F"/>
    <w:rsid w:val="009C4041"/>
    <w:rsid w:val="009C40B3"/>
    <w:rsid w:val="009C423A"/>
    <w:rsid w:val="009C424E"/>
    <w:rsid w:val="009C42CF"/>
    <w:rsid w:val="009C4447"/>
    <w:rsid w:val="009C4718"/>
    <w:rsid w:val="009C480F"/>
    <w:rsid w:val="009C4A06"/>
    <w:rsid w:val="009C4AAD"/>
    <w:rsid w:val="009C4ACF"/>
    <w:rsid w:val="009C4CA4"/>
    <w:rsid w:val="009C4E0A"/>
    <w:rsid w:val="009C4E61"/>
    <w:rsid w:val="009C4E8D"/>
    <w:rsid w:val="009C5204"/>
    <w:rsid w:val="009C5339"/>
    <w:rsid w:val="009C53D6"/>
    <w:rsid w:val="009C5413"/>
    <w:rsid w:val="009C5418"/>
    <w:rsid w:val="009C5510"/>
    <w:rsid w:val="009C5587"/>
    <w:rsid w:val="009C5731"/>
    <w:rsid w:val="009C5768"/>
    <w:rsid w:val="009C57C7"/>
    <w:rsid w:val="009C58F0"/>
    <w:rsid w:val="009C5B33"/>
    <w:rsid w:val="009C5B92"/>
    <w:rsid w:val="009C5C71"/>
    <w:rsid w:val="009C5D27"/>
    <w:rsid w:val="009C5D28"/>
    <w:rsid w:val="009C5DE5"/>
    <w:rsid w:val="009C5E3E"/>
    <w:rsid w:val="009C5EAB"/>
    <w:rsid w:val="009C5F38"/>
    <w:rsid w:val="009C5F96"/>
    <w:rsid w:val="009C5FD0"/>
    <w:rsid w:val="009C5FFC"/>
    <w:rsid w:val="009C60A3"/>
    <w:rsid w:val="009C60A7"/>
    <w:rsid w:val="009C6161"/>
    <w:rsid w:val="009C6244"/>
    <w:rsid w:val="009C62E4"/>
    <w:rsid w:val="009C6475"/>
    <w:rsid w:val="009C659D"/>
    <w:rsid w:val="009C660E"/>
    <w:rsid w:val="009C66A6"/>
    <w:rsid w:val="009C66D7"/>
    <w:rsid w:val="009C6740"/>
    <w:rsid w:val="009C6797"/>
    <w:rsid w:val="009C688E"/>
    <w:rsid w:val="009C6B63"/>
    <w:rsid w:val="009C6C99"/>
    <w:rsid w:val="009C6CDE"/>
    <w:rsid w:val="009C6D0E"/>
    <w:rsid w:val="009C6D4F"/>
    <w:rsid w:val="009C6DA2"/>
    <w:rsid w:val="009C6DC1"/>
    <w:rsid w:val="009C70CE"/>
    <w:rsid w:val="009C70D3"/>
    <w:rsid w:val="009C711A"/>
    <w:rsid w:val="009C7169"/>
    <w:rsid w:val="009C718C"/>
    <w:rsid w:val="009C72E4"/>
    <w:rsid w:val="009C73DF"/>
    <w:rsid w:val="009C7707"/>
    <w:rsid w:val="009C773F"/>
    <w:rsid w:val="009C77C2"/>
    <w:rsid w:val="009C77C6"/>
    <w:rsid w:val="009C7816"/>
    <w:rsid w:val="009C785B"/>
    <w:rsid w:val="009C7A7C"/>
    <w:rsid w:val="009C7B0B"/>
    <w:rsid w:val="009C7B29"/>
    <w:rsid w:val="009C7B68"/>
    <w:rsid w:val="009C7BCA"/>
    <w:rsid w:val="009D02D2"/>
    <w:rsid w:val="009D0311"/>
    <w:rsid w:val="009D032A"/>
    <w:rsid w:val="009D0389"/>
    <w:rsid w:val="009D03D8"/>
    <w:rsid w:val="009D03EB"/>
    <w:rsid w:val="009D055F"/>
    <w:rsid w:val="009D05BD"/>
    <w:rsid w:val="009D061A"/>
    <w:rsid w:val="009D0626"/>
    <w:rsid w:val="009D08D0"/>
    <w:rsid w:val="009D0905"/>
    <w:rsid w:val="009D097D"/>
    <w:rsid w:val="009D09F9"/>
    <w:rsid w:val="009D0A7A"/>
    <w:rsid w:val="009D0AB5"/>
    <w:rsid w:val="009D0B2A"/>
    <w:rsid w:val="009D0B42"/>
    <w:rsid w:val="009D0CCC"/>
    <w:rsid w:val="009D0D3E"/>
    <w:rsid w:val="009D0D54"/>
    <w:rsid w:val="009D0E28"/>
    <w:rsid w:val="009D0F95"/>
    <w:rsid w:val="009D10B9"/>
    <w:rsid w:val="009D1125"/>
    <w:rsid w:val="009D1170"/>
    <w:rsid w:val="009D1269"/>
    <w:rsid w:val="009D1393"/>
    <w:rsid w:val="009D13B7"/>
    <w:rsid w:val="009D1474"/>
    <w:rsid w:val="009D1527"/>
    <w:rsid w:val="009D15A2"/>
    <w:rsid w:val="009D15F2"/>
    <w:rsid w:val="009D17E7"/>
    <w:rsid w:val="009D190A"/>
    <w:rsid w:val="009D193C"/>
    <w:rsid w:val="009D19C7"/>
    <w:rsid w:val="009D1B85"/>
    <w:rsid w:val="009D1DCC"/>
    <w:rsid w:val="009D1F1D"/>
    <w:rsid w:val="009D1F7D"/>
    <w:rsid w:val="009D2009"/>
    <w:rsid w:val="009D225A"/>
    <w:rsid w:val="009D240F"/>
    <w:rsid w:val="009D2483"/>
    <w:rsid w:val="009D24FE"/>
    <w:rsid w:val="009D2536"/>
    <w:rsid w:val="009D257C"/>
    <w:rsid w:val="009D25F6"/>
    <w:rsid w:val="009D2689"/>
    <w:rsid w:val="009D26DE"/>
    <w:rsid w:val="009D273B"/>
    <w:rsid w:val="009D2768"/>
    <w:rsid w:val="009D27B6"/>
    <w:rsid w:val="009D27E0"/>
    <w:rsid w:val="009D2835"/>
    <w:rsid w:val="009D2897"/>
    <w:rsid w:val="009D2A77"/>
    <w:rsid w:val="009D2AF6"/>
    <w:rsid w:val="009D2B19"/>
    <w:rsid w:val="009D2B6B"/>
    <w:rsid w:val="009D2B7D"/>
    <w:rsid w:val="009D2BA4"/>
    <w:rsid w:val="009D2CB2"/>
    <w:rsid w:val="009D2CE0"/>
    <w:rsid w:val="009D2D0F"/>
    <w:rsid w:val="009D2D88"/>
    <w:rsid w:val="009D2F35"/>
    <w:rsid w:val="009D2FB7"/>
    <w:rsid w:val="009D316F"/>
    <w:rsid w:val="009D3207"/>
    <w:rsid w:val="009D33EB"/>
    <w:rsid w:val="009D3526"/>
    <w:rsid w:val="009D3708"/>
    <w:rsid w:val="009D37D4"/>
    <w:rsid w:val="009D3852"/>
    <w:rsid w:val="009D38AD"/>
    <w:rsid w:val="009D38EE"/>
    <w:rsid w:val="009D3911"/>
    <w:rsid w:val="009D39D3"/>
    <w:rsid w:val="009D3B89"/>
    <w:rsid w:val="009D3F50"/>
    <w:rsid w:val="009D40F8"/>
    <w:rsid w:val="009D415E"/>
    <w:rsid w:val="009D41BD"/>
    <w:rsid w:val="009D4212"/>
    <w:rsid w:val="009D4329"/>
    <w:rsid w:val="009D4349"/>
    <w:rsid w:val="009D434C"/>
    <w:rsid w:val="009D43BC"/>
    <w:rsid w:val="009D43F6"/>
    <w:rsid w:val="009D4410"/>
    <w:rsid w:val="009D449D"/>
    <w:rsid w:val="009D4525"/>
    <w:rsid w:val="009D4557"/>
    <w:rsid w:val="009D470D"/>
    <w:rsid w:val="009D49DF"/>
    <w:rsid w:val="009D4A12"/>
    <w:rsid w:val="009D4B92"/>
    <w:rsid w:val="009D4D28"/>
    <w:rsid w:val="009D4DB4"/>
    <w:rsid w:val="009D4E0C"/>
    <w:rsid w:val="009D4E7A"/>
    <w:rsid w:val="009D5007"/>
    <w:rsid w:val="009D5012"/>
    <w:rsid w:val="009D5044"/>
    <w:rsid w:val="009D5073"/>
    <w:rsid w:val="009D50F3"/>
    <w:rsid w:val="009D50F5"/>
    <w:rsid w:val="009D5139"/>
    <w:rsid w:val="009D55CD"/>
    <w:rsid w:val="009D5707"/>
    <w:rsid w:val="009D5894"/>
    <w:rsid w:val="009D5AD5"/>
    <w:rsid w:val="009D5B66"/>
    <w:rsid w:val="009D5B71"/>
    <w:rsid w:val="009D5D35"/>
    <w:rsid w:val="009D5D51"/>
    <w:rsid w:val="009D5E5B"/>
    <w:rsid w:val="009D5FC2"/>
    <w:rsid w:val="009D5FCF"/>
    <w:rsid w:val="009D5FEE"/>
    <w:rsid w:val="009D6018"/>
    <w:rsid w:val="009D6054"/>
    <w:rsid w:val="009D608E"/>
    <w:rsid w:val="009D6121"/>
    <w:rsid w:val="009D617C"/>
    <w:rsid w:val="009D61C4"/>
    <w:rsid w:val="009D61CD"/>
    <w:rsid w:val="009D61D4"/>
    <w:rsid w:val="009D61E4"/>
    <w:rsid w:val="009D62C2"/>
    <w:rsid w:val="009D638D"/>
    <w:rsid w:val="009D6595"/>
    <w:rsid w:val="009D6778"/>
    <w:rsid w:val="009D67A1"/>
    <w:rsid w:val="009D67E3"/>
    <w:rsid w:val="009D681C"/>
    <w:rsid w:val="009D6825"/>
    <w:rsid w:val="009D68A5"/>
    <w:rsid w:val="009D68CA"/>
    <w:rsid w:val="009D696D"/>
    <w:rsid w:val="009D699E"/>
    <w:rsid w:val="009D699F"/>
    <w:rsid w:val="009D6AC4"/>
    <w:rsid w:val="009D6AF2"/>
    <w:rsid w:val="009D6B25"/>
    <w:rsid w:val="009D6CD9"/>
    <w:rsid w:val="009D6EB0"/>
    <w:rsid w:val="009D7290"/>
    <w:rsid w:val="009D75FA"/>
    <w:rsid w:val="009D763F"/>
    <w:rsid w:val="009D7756"/>
    <w:rsid w:val="009D77B0"/>
    <w:rsid w:val="009D785E"/>
    <w:rsid w:val="009D78E2"/>
    <w:rsid w:val="009D79D6"/>
    <w:rsid w:val="009D79FC"/>
    <w:rsid w:val="009D7B93"/>
    <w:rsid w:val="009D7BD1"/>
    <w:rsid w:val="009D7C06"/>
    <w:rsid w:val="009D7CB9"/>
    <w:rsid w:val="009D7CEF"/>
    <w:rsid w:val="009D7F38"/>
    <w:rsid w:val="009D7FDF"/>
    <w:rsid w:val="009E00ED"/>
    <w:rsid w:val="009E0120"/>
    <w:rsid w:val="009E0156"/>
    <w:rsid w:val="009E0197"/>
    <w:rsid w:val="009E0269"/>
    <w:rsid w:val="009E026B"/>
    <w:rsid w:val="009E0273"/>
    <w:rsid w:val="009E049D"/>
    <w:rsid w:val="009E0542"/>
    <w:rsid w:val="009E0543"/>
    <w:rsid w:val="009E0653"/>
    <w:rsid w:val="009E0873"/>
    <w:rsid w:val="009E090E"/>
    <w:rsid w:val="009E09E4"/>
    <w:rsid w:val="009E0A3F"/>
    <w:rsid w:val="009E0B63"/>
    <w:rsid w:val="009E0CC2"/>
    <w:rsid w:val="009E0F4C"/>
    <w:rsid w:val="009E1024"/>
    <w:rsid w:val="009E111C"/>
    <w:rsid w:val="009E11BC"/>
    <w:rsid w:val="009E1394"/>
    <w:rsid w:val="009E145F"/>
    <w:rsid w:val="009E1465"/>
    <w:rsid w:val="009E1541"/>
    <w:rsid w:val="009E154F"/>
    <w:rsid w:val="009E1656"/>
    <w:rsid w:val="009E16BA"/>
    <w:rsid w:val="009E1A11"/>
    <w:rsid w:val="009E1A78"/>
    <w:rsid w:val="009E1ADF"/>
    <w:rsid w:val="009E1B11"/>
    <w:rsid w:val="009E1B13"/>
    <w:rsid w:val="009E1B46"/>
    <w:rsid w:val="009E1F1C"/>
    <w:rsid w:val="009E1FC8"/>
    <w:rsid w:val="009E2066"/>
    <w:rsid w:val="009E224F"/>
    <w:rsid w:val="009E2281"/>
    <w:rsid w:val="009E231C"/>
    <w:rsid w:val="009E23C7"/>
    <w:rsid w:val="009E23EF"/>
    <w:rsid w:val="009E246B"/>
    <w:rsid w:val="009E24A0"/>
    <w:rsid w:val="009E254D"/>
    <w:rsid w:val="009E27AC"/>
    <w:rsid w:val="009E2A9C"/>
    <w:rsid w:val="009E2BC5"/>
    <w:rsid w:val="009E2D1F"/>
    <w:rsid w:val="009E2D39"/>
    <w:rsid w:val="009E2D8D"/>
    <w:rsid w:val="009E2E04"/>
    <w:rsid w:val="009E2F5A"/>
    <w:rsid w:val="009E2F78"/>
    <w:rsid w:val="009E2FEE"/>
    <w:rsid w:val="009E3036"/>
    <w:rsid w:val="009E3242"/>
    <w:rsid w:val="009E32A0"/>
    <w:rsid w:val="009E3369"/>
    <w:rsid w:val="009E33E0"/>
    <w:rsid w:val="009E340D"/>
    <w:rsid w:val="009E34F8"/>
    <w:rsid w:val="009E368A"/>
    <w:rsid w:val="009E373B"/>
    <w:rsid w:val="009E39FD"/>
    <w:rsid w:val="009E3C70"/>
    <w:rsid w:val="009E3D2F"/>
    <w:rsid w:val="009E3E09"/>
    <w:rsid w:val="009E3E6A"/>
    <w:rsid w:val="009E3EE5"/>
    <w:rsid w:val="009E3EEC"/>
    <w:rsid w:val="009E4020"/>
    <w:rsid w:val="009E40D4"/>
    <w:rsid w:val="009E40F3"/>
    <w:rsid w:val="009E410B"/>
    <w:rsid w:val="009E41AB"/>
    <w:rsid w:val="009E41FB"/>
    <w:rsid w:val="009E424F"/>
    <w:rsid w:val="009E44A2"/>
    <w:rsid w:val="009E4592"/>
    <w:rsid w:val="009E45BE"/>
    <w:rsid w:val="009E467B"/>
    <w:rsid w:val="009E4713"/>
    <w:rsid w:val="009E479D"/>
    <w:rsid w:val="009E47F3"/>
    <w:rsid w:val="009E4A9D"/>
    <w:rsid w:val="009E4AC8"/>
    <w:rsid w:val="009E4B21"/>
    <w:rsid w:val="009E4C4B"/>
    <w:rsid w:val="009E4C9B"/>
    <w:rsid w:val="009E4F61"/>
    <w:rsid w:val="009E50DF"/>
    <w:rsid w:val="009E5141"/>
    <w:rsid w:val="009E5319"/>
    <w:rsid w:val="009E5372"/>
    <w:rsid w:val="009E543C"/>
    <w:rsid w:val="009E5517"/>
    <w:rsid w:val="009E567F"/>
    <w:rsid w:val="009E591F"/>
    <w:rsid w:val="009E5949"/>
    <w:rsid w:val="009E5970"/>
    <w:rsid w:val="009E59E8"/>
    <w:rsid w:val="009E5AA3"/>
    <w:rsid w:val="009E5AF5"/>
    <w:rsid w:val="009E5AFD"/>
    <w:rsid w:val="009E5C96"/>
    <w:rsid w:val="009E5D4F"/>
    <w:rsid w:val="009E5DBF"/>
    <w:rsid w:val="009E5E08"/>
    <w:rsid w:val="009E5F2B"/>
    <w:rsid w:val="009E5F96"/>
    <w:rsid w:val="009E6008"/>
    <w:rsid w:val="009E6074"/>
    <w:rsid w:val="009E60EF"/>
    <w:rsid w:val="009E60F4"/>
    <w:rsid w:val="009E6183"/>
    <w:rsid w:val="009E6622"/>
    <w:rsid w:val="009E6623"/>
    <w:rsid w:val="009E6801"/>
    <w:rsid w:val="009E6877"/>
    <w:rsid w:val="009E6A74"/>
    <w:rsid w:val="009E6C04"/>
    <w:rsid w:val="009E6C42"/>
    <w:rsid w:val="009E6C68"/>
    <w:rsid w:val="009E6C96"/>
    <w:rsid w:val="009E6CEA"/>
    <w:rsid w:val="009E6D10"/>
    <w:rsid w:val="009E6E2F"/>
    <w:rsid w:val="009E6E62"/>
    <w:rsid w:val="009E6E68"/>
    <w:rsid w:val="009E72AB"/>
    <w:rsid w:val="009E7498"/>
    <w:rsid w:val="009E7705"/>
    <w:rsid w:val="009E77DC"/>
    <w:rsid w:val="009E7801"/>
    <w:rsid w:val="009E7968"/>
    <w:rsid w:val="009E79E7"/>
    <w:rsid w:val="009E79ED"/>
    <w:rsid w:val="009E79F6"/>
    <w:rsid w:val="009E7AAD"/>
    <w:rsid w:val="009E7AC5"/>
    <w:rsid w:val="009E7B84"/>
    <w:rsid w:val="009E7CFE"/>
    <w:rsid w:val="009E7D3F"/>
    <w:rsid w:val="009E7F16"/>
    <w:rsid w:val="009EB069"/>
    <w:rsid w:val="009F0073"/>
    <w:rsid w:val="009F0172"/>
    <w:rsid w:val="009F0457"/>
    <w:rsid w:val="009F0677"/>
    <w:rsid w:val="009F06A0"/>
    <w:rsid w:val="009F06F5"/>
    <w:rsid w:val="009F0708"/>
    <w:rsid w:val="009F079C"/>
    <w:rsid w:val="009F07A3"/>
    <w:rsid w:val="009F07F0"/>
    <w:rsid w:val="009F0827"/>
    <w:rsid w:val="009F0865"/>
    <w:rsid w:val="009F0871"/>
    <w:rsid w:val="009F098D"/>
    <w:rsid w:val="009F0A84"/>
    <w:rsid w:val="009F0AB6"/>
    <w:rsid w:val="009F0AF0"/>
    <w:rsid w:val="009F0CA4"/>
    <w:rsid w:val="009F0D0B"/>
    <w:rsid w:val="009F0DE7"/>
    <w:rsid w:val="009F0F6C"/>
    <w:rsid w:val="009F0FF3"/>
    <w:rsid w:val="009F1059"/>
    <w:rsid w:val="009F112D"/>
    <w:rsid w:val="009F1224"/>
    <w:rsid w:val="009F12FA"/>
    <w:rsid w:val="009F13C8"/>
    <w:rsid w:val="009F1603"/>
    <w:rsid w:val="009F1694"/>
    <w:rsid w:val="009F169E"/>
    <w:rsid w:val="009F16AB"/>
    <w:rsid w:val="009F1714"/>
    <w:rsid w:val="009F171F"/>
    <w:rsid w:val="009F1875"/>
    <w:rsid w:val="009F1A97"/>
    <w:rsid w:val="009F1B1E"/>
    <w:rsid w:val="009F1B6C"/>
    <w:rsid w:val="009F1BFF"/>
    <w:rsid w:val="009F1C38"/>
    <w:rsid w:val="009F1C96"/>
    <w:rsid w:val="009F1D37"/>
    <w:rsid w:val="009F1DE7"/>
    <w:rsid w:val="009F1F7A"/>
    <w:rsid w:val="009F203B"/>
    <w:rsid w:val="009F2077"/>
    <w:rsid w:val="009F2264"/>
    <w:rsid w:val="009F233C"/>
    <w:rsid w:val="009F238D"/>
    <w:rsid w:val="009F2496"/>
    <w:rsid w:val="009F24D0"/>
    <w:rsid w:val="009F24EA"/>
    <w:rsid w:val="009F253A"/>
    <w:rsid w:val="009F271D"/>
    <w:rsid w:val="009F279B"/>
    <w:rsid w:val="009F2ACA"/>
    <w:rsid w:val="009F2AD7"/>
    <w:rsid w:val="009F2B69"/>
    <w:rsid w:val="009F2B82"/>
    <w:rsid w:val="009F2BD4"/>
    <w:rsid w:val="009F2C81"/>
    <w:rsid w:val="009F2C90"/>
    <w:rsid w:val="009F2CD9"/>
    <w:rsid w:val="009F2CE8"/>
    <w:rsid w:val="009F2DF3"/>
    <w:rsid w:val="009F2E19"/>
    <w:rsid w:val="009F2FA7"/>
    <w:rsid w:val="009F3275"/>
    <w:rsid w:val="009F32A4"/>
    <w:rsid w:val="009F3398"/>
    <w:rsid w:val="009F350E"/>
    <w:rsid w:val="009F3532"/>
    <w:rsid w:val="009F35CE"/>
    <w:rsid w:val="009F35FB"/>
    <w:rsid w:val="009F3622"/>
    <w:rsid w:val="009F37C5"/>
    <w:rsid w:val="009F3826"/>
    <w:rsid w:val="009F3963"/>
    <w:rsid w:val="009F3A1A"/>
    <w:rsid w:val="009F3A65"/>
    <w:rsid w:val="009F3AEA"/>
    <w:rsid w:val="009F3F99"/>
    <w:rsid w:val="009F41C1"/>
    <w:rsid w:val="009F4426"/>
    <w:rsid w:val="009F449B"/>
    <w:rsid w:val="009F44A0"/>
    <w:rsid w:val="009F454C"/>
    <w:rsid w:val="009F4590"/>
    <w:rsid w:val="009F46AC"/>
    <w:rsid w:val="009F4914"/>
    <w:rsid w:val="009F4955"/>
    <w:rsid w:val="009F4CA4"/>
    <w:rsid w:val="009F4E83"/>
    <w:rsid w:val="009F5060"/>
    <w:rsid w:val="009F5228"/>
    <w:rsid w:val="009F550D"/>
    <w:rsid w:val="009F5678"/>
    <w:rsid w:val="009F584F"/>
    <w:rsid w:val="009F585B"/>
    <w:rsid w:val="009F591F"/>
    <w:rsid w:val="009F59B1"/>
    <w:rsid w:val="009F5A3D"/>
    <w:rsid w:val="009F5B67"/>
    <w:rsid w:val="009F5C4B"/>
    <w:rsid w:val="009F5D4F"/>
    <w:rsid w:val="009F5DE0"/>
    <w:rsid w:val="009F62EC"/>
    <w:rsid w:val="009F65C5"/>
    <w:rsid w:val="009F6617"/>
    <w:rsid w:val="009F664B"/>
    <w:rsid w:val="009F6790"/>
    <w:rsid w:val="009F6A86"/>
    <w:rsid w:val="009F6AD9"/>
    <w:rsid w:val="009F6B97"/>
    <w:rsid w:val="009F6CC8"/>
    <w:rsid w:val="009F6D12"/>
    <w:rsid w:val="009F6DD4"/>
    <w:rsid w:val="009F6E23"/>
    <w:rsid w:val="009F6EF4"/>
    <w:rsid w:val="009F7074"/>
    <w:rsid w:val="009F70AA"/>
    <w:rsid w:val="009F70AB"/>
    <w:rsid w:val="009F7105"/>
    <w:rsid w:val="009F71ED"/>
    <w:rsid w:val="009F72B6"/>
    <w:rsid w:val="009F75EE"/>
    <w:rsid w:val="009F7822"/>
    <w:rsid w:val="009F79D2"/>
    <w:rsid w:val="009F7A10"/>
    <w:rsid w:val="009F7AA5"/>
    <w:rsid w:val="009F7B87"/>
    <w:rsid w:val="009F7BCA"/>
    <w:rsid w:val="009F7CC8"/>
    <w:rsid w:val="009F7DC3"/>
    <w:rsid w:val="009F7DD0"/>
    <w:rsid w:val="009F7DFA"/>
    <w:rsid w:val="00A00056"/>
    <w:rsid w:val="00A001B5"/>
    <w:rsid w:val="00A0021E"/>
    <w:rsid w:val="00A003EB"/>
    <w:rsid w:val="00A0045D"/>
    <w:rsid w:val="00A0066A"/>
    <w:rsid w:val="00A007E8"/>
    <w:rsid w:val="00A00843"/>
    <w:rsid w:val="00A00971"/>
    <w:rsid w:val="00A00998"/>
    <w:rsid w:val="00A00A2D"/>
    <w:rsid w:val="00A00CBC"/>
    <w:rsid w:val="00A00D48"/>
    <w:rsid w:val="00A00D79"/>
    <w:rsid w:val="00A00E11"/>
    <w:rsid w:val="00A00FE2"/>
    <w:rsid w:val="00A010DE"/>
    <w:rsid w:val="00A011A5"/>
    <w:rsid w:val="00A011A9"/>
    <w:rsid w:val="00A011C8"/>
    <w:rsid w:val="00A011CE"/>
    <w:rsid w:val="00A012AD"/>
    <w:rsid w:val="00A0136C"/>
    <w:rsid w:val="00A013EA"/>
    <w:rsid w:val="00A0141A"/>
    <w:rsid w:val="00A01514"/>
    <w:rsid w:val="00A01565"/>
    <w:rsid w:val="00A0156C"/>
    <w:rsid w:val="00A0168A"/>
    <w:rsid w:val="00A016A4"/>
    <w:rsid w:val="00A016F0"/>
    <w:rsid w:val="00A01744"/>
    <w:rsid w:val="00A01A4A"/>
    <w:rsid w:val="00A01AA3"/>
    <w:rsid w:val="00A01D14"/>
    <w:rsid w:val="00A01D55"/>
    <w:rsid w:val="00A01E86"/>
    <w:rsid w:val="00A01FBC"/>
    <w:rsid w:val="00A02134"/>
    <w:rsid w:val="00A0217F"/>
    <w:rsid w:val="00A02275"/>
    <w:rsid w:val="00A022A6"/>
    <w:rsid w:val="00A0232F"/>
    <w:rsid w:val="00A0233A"/>
    <w:rsid w:val="00A0234A"/>
    <w:rsid w:val="00A02418"/>
    <w:rsid w:val="00A02420"/>
    <w:rsid w:val="00A025FD"/>
    <w:rsid w:val="00A0264E"/>
    <w:rsid w:val="00A026A3"/>
    <w:rsid w:val="00A0272F"/>
    <w:rsid w:val="00A027BD"/>
    <w:rsid w:val="00A0289A"/>
    <w:rsid w:val="00A02DC9"/>
    <w:rsid w:val="00A02DF2"/>
    <w:rsid w:val="00A02E21"/>
    <w:rsid w:val="00A02F16"/>
    <w:rsid w:val="00A02F24"/>
    <w:rsid w:val="00A02F61"/>
    <w:rsid w:val="00A02FA4"/>
    <w:rsid w:val="00A0312A"/>
    <w:rsid w:val="00A031A0"/>
    <w:rsid w:val="00A03334"/>
    <w:rsid w:val="00A03337"/>
    <w:rsid w:val="00A033D4"/>
    <w:rsid w:val="00A03536"/>
    <w:rsid w:val="00A0362B"/>
    <w:rsid w:val="00A03677"/>
    <w:rsid w:val="00A03705"/>
    <w:rsid w:val="00A037EE"/>
    <w:rsid w:val="00A037F0"/>
    <w:rsid w:val="00A039E4"/>
    <w:rsid w:val="00A03B4D"/>
    <w:rsid w:val="00A03B86"/>
    <w:rsid w:val="00A03BAF"/>
    <w:rsid w:val="00A03C35"/>
    <w:rsid w:val="00A03C4B"/>
    <w:rsid w:val="00A03CF3"/>
    <w:rsid w:val="00A03D3D"/>
    <w:rsid w:val="00A03DBB"/>
    <w:rsid w:val="00A040F6"/>
    <w:rsid w:val="00A04154"/>
    <w:rsid w:val="00A04163"/>
    <w:rsid w:val="00A042C1"/>
    <w:rsid w:val="00A04327"/>
    <w:rsid w:val="00A04495"/>
    <w:rsid w:val="00A0454C"/>
    <w:rsid w:val="00A04734"/>
    <w:rsid w:val="00A04837"/>
    <w:rsid w:val="00A048C4"/>
    <w:rsid w:val="00A04A44"/>
    <w:rsid w:val="00A04CBA"/>
    <w:rsid w:val="00A04DB7"/>
    <w:rsid w:val="00A04E4E"/>
    <w:rsid w:val="00A04E56"/>
    <w:rsid w:val="00A04E70"/>
    <w:rsid w:val="00A04E7A"/>
    <w:rsid w:val="00A04ED1"/>
    <w:rsid w:val="00A04F09"/>
    <w:rsid w:val="00A05233"/>
    <w:rsid w:val="00A052A4"/>
    <w:rsid w:val="00A05308"/>
    <w:rsid w:val="00A0538A"/>
    <w:rsid w:val="00A0547C"/>
    <w:rsid w:val="00A05485"/>
    <w:rsid w:val="00A0555A"/>
    <w:rsid w:val="00A056AE"/>
    <w:rsid w:val="00A056C0"/>
    <w:rsid w:val="00A05791"/>
    <w:rsid w:val="00A05B3D"/>
    <w:rsid w:val="00A05C44"/>
    <w:rsid w:val="00A05C64"/>
    <w:rsid w:val="00A05D88"/>
    <w:rsid w:val="00A05D8A"/>
    <w:rsid w:val="00A05F20"/>
    <w:rsid w:val="00A05FEF"/>
    <w:rsid w:val="00A05FFE"/>
    <w:rsid w:val="00A0608D"/>
    <w:rsid w:val="00A060A1"/>
    <w:rsid w:val="00A06287"/>
    <w:rsid w:val="00A06340"/>
    <w:rsid w:val="00A0635A"/>
    <w:rsid w:val="00A063B0"/>
    <w:rsid w:val="00A063BD"/>
    <w:rsid w:val="00A063EA"/>
    <w:rsid w:val="00A06459"/>
    <w:rsid w:val="00A0646F"/>
    <w:rsid w:val="00A064E4"/>
    <w:rsid w:val="00A06603"/>
    <w:rsid w:val="00A066F3"/>
    <w:rsid w:val="00A06865"/>
    <w:rsid w:val="00A069C5"/>
    <w:rsid w:val="00A06AF1"/>
    <w:rsid w:val="00A06D24"/>
    <w:rsid w:val="00A06E70"/>
    <w:rsid w:val="00A06EDD"/>
    <w:rsid w:val="00A06F2D"/>
    <w:rsid w:val="00A06F2F"/>
    <w:rsid w:val="00A06F4D"/>
    <w:rsid w:val="00A06FEA"/>
    <w:rsid w:val="00A07244"/>
    <w:rsid w:val="00A0731D"/>
    <w:rsid w:val="00A0735B"/>
    <w:rsid w:val="00A07387"/>
    <w:rsid w:val="00A07405"/>
    <w:rsid w:val="00A074E2"/>
    <w:rsid w:val="00A07596"/>
    <w:rsid w:val="00A076B1"/>
    <w:rsid w:val="00A076B6"/>
    <w:rsid w:val="00A07711"/>
    <w:rsid w:val="00A07834"/>
    <w:rsid w:val="00A078C7"/>
    <w:rsid w:val="00A078DC"/>
    <w:rsid w:val="00A07966"/>
    <w:rsid w:val="00A07BE4"/>
    <w:rsid w:val="00A07CD3"/>
    <w:rsid w:val="00A07E78"/>
    <w:rsid w:val="00A10057"/>
    <w:rsid w:val="00A10141"/>
    <w:rsid w:val="00A10290"/>
    <w:rsid w:val="00A10360"/>
    <w:rsid w:val="00A104E9"/>
    <w:rsid w:val="00A106F7"/>
    <w:rsid w:val="00A1074E"/>
    <w:rsid w:val="00A10753"/>
    <w:rsid w:val="00A107B5"/>
    <w:rsid w:val="00A107CD"/>
    <w:rsid w:val="00A1092A"/>
    <w:rsid w:val="00A10A56"/>
    <w:rsid w:val="00A10ABD"/>
    <w:rsid w:val="00A10ACB"/>
    <w:rsid w:val="00A10BD4"/>
    <w:rsid w:val="00A10C5D"/>
    <w:rsid w:val="00A10D75"/>
    <w:rsid w:val="00A10D83"/>
    <w:rsid w:val="00A10D87"/>
    <w:rsid w:val="00A10DBF"/>
    <w:rsid w:val="00A10EE1"/>
    <w:rsid w:val="00A10F18"/>
    <w:rsid w:val="00A10FC8"/>
    <w:rsid w:val="00A111D9"/>
    <w:rsid w:val="00A11257"/>
    <w:rsid w:val="00A114AE"/>
    <w:rsid w:val="00A114C3"/>
    <w:rsid w:val="00A1158B"/>
    <w:rsid w:val="00A115E6"/>
    <w:rsid w:val="00A11638"/>
    <w:rsid w:val="00A11707"/>
    <w:rsid w:val="00A1178E"/>
    <w:rsid w:val="00A118E1"/>
    <w:rsid w:val="00A11A6A"/>
    <w:rsid w:val="00A11A7C"/>
    <w:rsid w:val="00A11A9A"/>
    <w:rsid w:val="00A11AD7"/>
    <w:rsid w:val="00A11B0C"/>
    <w:rsid w:val="00A11B56"/>
    <w:rsid w:val="00A11C57"/>
    <w:rsid w:val="00A11E5F"/>
    <w:rsid w:val="00A11E8E"/>
    <w:rsid w:val="00A12116"/>
    <w:rsid w:val="00A12146"/>
    <w:rsid w:val="00A12345"/>
    <w:rsid w:val="00A1235F"/>
    <w:rsid w:val="00A12397"/>
    <w:rsid w:val="00A124F3"/>
    <w:rsid w:val="00A12585"/>
    <w:rsid w:val="00A12666"/>
    <w:rsid w:val="00A127A6"/>
    <w:rsid w:val="00A1284F"/>
    <w:rsid w:val="00A12953"/>
    <w:rsid w:val="00A12A27"/>
    <w:rsid w:val="00A12B3F"/>
    <w:rsid w:val="00A12B72"/>
    <w:rsid w:val="00A12C3C"/>
    <w:rsid w:val="00A12C93"/>
    <w:rsid w:val="00A12D5A"/>
    <w:rsid w:val="00A12D98"/>
    <w:rsid w:val="00A12E71"/>
    <w:rsid w:val="00A12EAB"/>
    <w:rsid w:val="00A12FCF"/>
    <w:rsid w:val="00A12FF9"/>
    <w:rsid w:val="00A13039"/>
    <w:rsid w:val="00A13056"/>
    <w:rsid w:val="00A1317A"/>
    <w:rsid w:val="00A132BC"/>
    <w:rsid w:val="00A1334C"/>
    <w:rsid w:val="00A1334D"/>
    <w:rsid w:val="00A13417"/>
    <w:rsid w:val="00A13439"/>
    <w:rsid w:val="00A138F7"/>
    <w:rsid w:val="00A13B12"/>
    <w:rsid w:val="00A13B4F"/>
    <w:rsid w:val="00A13C57"/>
    <w:rsid w:val="00A13C7D"/>
    <w:rsid w:val="00A13D01"/>
    <w:rsid w:val="00A140FE"/>
    <w:rsid w:val="00A14455"/>
    <w:rsid w:val="00A1471D"/>
    <w:rsid w:val="00A147EC"/>
    <w:rsid w:val="00A14A5C"/>
    <w:rsid w:val="00A14AA6"/>
    <w:rsid w:val="00A14D65"/>
    <w:rsid w:val="00A14DD1"/>
    <w:rsid w:val="00A14E2A"/>
    <w:rsid w:val="00A14F7D"/>
    <w:rsid w:val="00A14FC3"/>
    <w:rsid w:val="00A1503B"/>
    <w:rsid w:val="00A1507F"/>
    <w:rsid w:val="00A150BD"/>
    <w:rsid w:val="00A150F9"/>
    <w:rsid w:val="00A15201"/>
    <w:rsid w:val="00A15210"/>
    <w:rsid w:val="00A1533B"/>
    <w:rsid w:val="00A1546C"/>
    <w:rsid w:val="00A1549F"/>
    <w:rsid w:val="00A154CD"/>
    <w:rsid w:val="00A15571"/>
    <w:rsid w:val="00A156D0"/>
    <w:rsid w:val="00A1572A"/>
    <w:rsid w:val="00A1593D"/>
    <w:rsid w:val="00A159CD"/>
    <w:rsid w:val="00A15A25"/>
    <w:rsid w:val="00A15A35"/>
    <w:rsid w:val="00A15CF4"/>
    <w:rsid w:val="00A15E67"/>
    <w:rsid w:val="00A15F69"/>
    <w:rsid w:val="00A16062"/>
    <w:rsid w:val="00A16154"/>
    <w:rsid w:val="00A163F4"/>
    <w:rsid w:val="00A1650C"/>
    <w:rsid w:val="00A1652F"/>
    <w:rsid w:val="00A16751"/>
    <w:rsid w:val="00A167E2"/>
    <w:rsid w:val="00A16823"/>
    <w:rsid w:val="00A1683F"/>
    <w:rsid w:val="00A16935"/>
    <w:rsid w:val="00A16AE9"/>
    <w:rsid w:val="00A16B6D"/>
    <w:rsid w:val="00A16B6E"/>
    <w:rsid w:val="00A16BA5"/>
    <w:rsid w:val="00A16D6E"/>
    <w:rsid w:val="00A16FCA"/>
    <w:rsid w:val="00A170A1"/>
    <w:rsid w:val="00A17109"/>
    <w:rsid w:val="00A1721C"/>
    <w:rsid w:val="00A17313"/>
    <w:rsid w:val="00A173A5"/>
    <w:rsid w:val="00A173D8"/>
    <w:rsid w:val="00A17483"/>
    <w:rsid w:val="00A1751A"/>
    <w:rsid w:val="00A17608"/>
    <w:rsid w:val="00A176FD"/>
    <w:rsid w:val="00A1776E"/>
    <w:rsid w:val="00A177A0"/>
    <w:rsid w:val="00A177EA"/>
    <w:rsid w:val="00A177FD"/>
    <w:rsid w:val="00A17960"/>
    <w:rsid w:val="00A17977"/>
    <w:rsid w:val="00A179FD"/>
    <w:rsid w:val="00A17A08"/>
    <w:rsid w:val="00A17AE6"/>
    <w:rsid w:val="00A17C4A"/>
    <w:rsid w:val="00A17C5A"/>
    <w:rsid w:val="00A17CF2"/>
    <w:rsid w:val="00A17DF6"/>
    <w:rsid w:val="00A17EBC"/>
    <w:rsid w:val="00A17F65"/>
    <w:rsid w:val="00A2003A"/>
    <w:rsid w:val="00A20059"/>
    <w:rsid w:val="00A201B0"/>
    <w:rsid w:val="00A201E0"/>
    <w:rsid w:val="00A204CA"/>
    <w:rsid w:val="00A204D8"/>
    <w:rsid w:val="00A205FB"/>
    <w:rsid w:val="00A20672"/>
    <w:rsid w:val="00A20692"/>
    <w:rsid w:val="00A2073F"/>
    <w:rsid w:val="00A20793"/>
    <w:rsid w:val="00A207C8"/>
    <w:rsid w:val="00A207F2"/>
    <w:rsid w:val="00A20921"/>
    <w:rsid w:val="00A2093D"/>
    <w:rsid w:val="00A2094D"/>
    <w:rsid w:val="00A2096D"/>
    <w:rsid w:val="00A209E6"/>
    <w:rsid w:val="00A20A84"/>
    <w:rsid w:val="00A20AF0"/>
    <w:rsid w:val="00A20BC8"/>
    <w:rsid w:val="00A20BE2"/>
    <w:rsid w:val="00A20BFF"/>
    <w:rsid w:val="00A20F79"/>
    <w:rsid w:val="00A2105F"/>
    <w:rsid w:val="00A21110"/>
    <w:rsid w:val="00A21420"/>
    <w:rsid w:val="00A21479"/>
    <w:rsid w:val="00A214C9"/>
    <w:rsid w:val="00A214DC"/>
    <w:rsid w:val="00A21505"/>
    <w:rsid w:val="00A216E2"/>
    <w:rsid w:val="00A21719"/>
    <w:rsid w:val="00A21784"/>
    <w:rsid w:val="00A217AC"/>
    <w:rsid w:val="00A2182C"/>
    <w:rsid w:val="00A2193A"/>
    <w:rsid w:val="00A219BD"/>
    <w:rsid w:val="00A219C6"/>
    <w:rsid w:val="00A21A0E"/>
    <w:rsid w:val="00A21B6B"/>
    <w:rsid w:val="00A21EC3"/>
    <w:rsid w:val="00A220C0"/>
    <w:rsid w:val="00A221BB"/>
    <w:rsid w:val="00A221E4"/>
    <w:rsid w:val="00A22373"/>
    <w:rsid w:val="00A2241E"/>
    <w:rsid w:val="00A22475"/>
    <w:rsid w:val="00A224B0"/>
    <w:rsid w:val="00A227FE"/>
    <w:rsid w:val="00A228A3"/>
    <w:rsid w:val="00A22904"/>
    <w:rsid w:val="00A22AF2"/>
    <w:rsid w:val="00A22B0F"/>
    <w:rsid w:val="00A22B5E"/>
    <w:rsid w:val="00A22D8C"/>
    <w:rsid w:val="00A22E52"/>
    <w:rsid w:val="00A22ED0"/>
    <w:rsid w:val="00A22FDE"/>
    <w:rsid w:val="00A22FF9"/>
    <w:rsid w:val="00A231E2"/>
    <w:rsid w:val="00A23391"/>
    <w:rsid w:val="00A233BB"/>
    <w:rsid w:val="00A233FC"/>
    <w:rsid w:val="00A23403"/>
    <w:rsid w:val="00A2349F"/>
    <w:rsid w:val="00A235A3"/>
    <w:rsid w:val="00A23674"/>
    <w:rsid w:val="00A237D4"/>
    <w:rsid w:val="00A237E0"/>
    <w:rsid w:val="00A23827"/>
    <w:rsid w:val="00A23849"/>
    <w:rsid w:val="00A2386F"/>
    <w:rsid w:val="00A238B5"/>
    <w:rsid w:val="00A2394C"/>
    <w:rsid w:val="00A239DB"/>
    <w:rsid w:val="00A239E6"/>
    <w:rsid w:val="00A23B07"/>
    <w:rsid w:val="00A23D50"/>
    <w:rsid w:val="00A23EFA"/>
    <w:rsid w:val="00A2407D"/>
    <w:rsid w:val="00A242E8"/>
    <w:rsid w:val="00A244FE"/>
    <w:rsid w:val="00A24566"/>
    <w:rsid w:val="00A246E4"/>
    <w:rsid w:val="00A2487B"/>
    <w:rsid w:val="00A2488B"/>
    <w:rsid w:val="00A24893"/>
    <w:rsid w:val="00A248A8"/>
    <w:rsid w:val="00A248EE"/>
    <w:rsid w:val="00A2492E"/>
    <w:rsid w:val="00A2497B"/>
    <w:rsid w:val="00A24AAF"/>
    <w:rsid w:val="00A24AF2"/>
    <w:rsid w:val="00A24AF3"/>
    <w:rsid w:val="00A24B0F"/>
    <w:rsid w:val="00A24CAE"/>
    <w:rsid w:val="00A24CBC"/>
    <w:rsid w:val="00A24CF7"/>
    <w:rsid w:val="00A24D07"/>
    <w:rsid w:val="00A24E1F"/>
    <w:rsid w:val="00A24EE9"/>
    <w:rsid w:val="00A24EEE"/>
    <w:rsid w:val="00A24F5C"/>
    <w:rsid w:val="00A24F7A"/>
    <w:rsid w:val="00A25003"/>
    <w:rsid w:val="00A2505C"/>
    <w:rsid w:val="00A250F8"/>
    <w:rsid w:val="00A2510B"/>
    <w:rsid w:val="00A251B0"/>
    <w:rsid w:val="00A25302"/>
    <w:rsid w:val="00A253CD"/>
    <w:rsid w:val="00A25571"/>
    <w:rsid w:val="00A255F6"/>
    <w:rsid w:val="00A25790"/>
    <w:rsid w:val="00A257CD"/>
    <w:rsid w:val="00A258E8"/>
    <w:rsid w:val="00A258F1"/>
    <w:rsid w:val="00A259C8"/>
    <w:rsid w:val="00A25ADD"/>
    <w:rsid w:val="00A25B22"/>
    <w:rsid w:val="00A25CD0"/>
    <w:rsid w:val="00A25E6B"/>
    <w:rsid w:val="00A25E92"/>
    <w:rsid w:val="00A25EF6"/>
    <w:rsid w:val="00A25FC9"/>
    <w:rsid w:val="00A26012"/>
    <w:rsid w:val="00A261E7"/>
    <w:rsid w:val="00A26373"/>
    <w:rsid w:val="00A265D5"/>
    <w:rsid w:val="00A266D3"/>
    <w:rsid w:val="00A26772"/>
    <w:rsid w:val="00A267C7"/>
    <w:rsid w:val="00A269DD"/>
    <w:rsid w:val="00A269F1"/>
    <w:rsid w:val="00A26ACE"/>
    <w:rsid w:val="00A26B14"/>
    <w:rsid w:val="00A26B23"/>
    <w:rsid w:val="00A26B93"/>
    <w:rsid w:val="00A26C70"/>
    <w:rsid w:val="00A26CED"/>
    <w:rsid w:val="00A26D1B"/>
    <w:rsid w:val="00A26D22"/>
    <w:rsid w:val="00A26E66"/>
    <w:rsid w:val="00A26F41"/>
    <w:rsid w:val="00A271D3"/>
    <w:rsid w:val="00A271D7"/>
    <w:rsid w:val="00A27245"/>
    <w:rsid w:val="00A27369"/>
    <w:rsid w:val="00A273AB"/>
    <w:rsid w:val="00A274ED"/>
    <w:rsid w:val="00A2751A"/>
    <w:rsid w:val="00A277D6"/>
    <w:rsid w:val="00A277DA"/>
    <w:rsid w:val="00A27979"/>
    <w:rsid w:val="00A279D9"/>
    <w:rsid w:val="00A27A84"/>
    <w:rsid w:val="00A27ADD"/>
    <w:rsid w:val="00A27BA8"/>
    <w:rsid w:val="00A27BCE"/>
    <w:rsid w:val="00A27BD8"/>
    <w:rsid w:val="00A27CB6"/>
    <w:rsid w:val="00A27CD6"/>
    <w:rsid w:val="00A27E38"/>
    <w:rsid w:val="00A301BD"/>
    <w:rsid w:val="00A301EA"/>
    <w:rsid w:val="00A30360"/>
    <w:rsid w:val="00A3036C"/>
    <w:rsid w:val="00A304DF"/>
    <w:rsid w:val="00A305D8"/>
    <w:rsid w:val="00A306AB"/>
    <w:rsid w:val="00A30702"/>
    <w:rsid w:val="00A30720"/>
    <w:rsid w:val="00A307AA"/>
    <w:rsid w:val="00A308C3"/>
    <w:rsid w:val="00A30948"/>
    <w:rsid w:val="00A3099C"/>
    <w:rsid w:val="00A30A8C"/>
    <w:rsid w:val="00A30B2A"/>
    <w:rsid w:val="00A30CAD"/>
    <w:rsid w:val="00A30CDF"/>
    <w:rsid w:val="00A30D74"/>
    <w:rsid w:val="00A30F2D"/>
    <w:rsid w:val="00A31196"/>
    <w:rsid w:val="00A311BE"/>
    <w:rsid w:val="00A3120D"/>
    <w:rsid w:val="00A3124E"/>
    <w:rsid w:val="00A312A1"/>
    <w:rsid w:val="00A3149C"/>
    <w:rsid w:val="00A31652"/>
    <w:rsid w:val="00A3178B"/>
    <w:rsid w:val="00A317EC"/>
    <w:rsid w:val="00A319E1"/>
    <w:rsid w:val="00A31B3B"/>
    <w:rsid w:val="00A31D49"/>
    <w:rsid w:val="00A31DBE"/>
    <w:rsid w:val="00A31E71"/>
    <w:rsid w:val="00A31F86"/>
    <w:rsid w:val="00A31FEB"/>
    <w:rsid w:val="00A32228"/>
    <w:rsid w:val="00A324B8"/>
    <w:rsid w:val="00A32519"/>
    <w:rsid w:val="00A32568"/>
    <w:rsid w:val="00A3258D"/>
    <w:rsid w:val="00A32674"/>
    <w:rsid w:val="00A3269B"/>
    <w:rsid w:val="00A326F2"/>
    <w:rsid w:val="00A326FA"/>
    <w:rsid w:val="00A327C3"/>
    <w:rsid w:val="00A327EF"/>
    <w:rsid w:val="00A3286E"/>
    <w:rsid w:val="00A328C2"/>
    <w:rsid w:val="00A328EA"/>
    <w:rsid w:val="00A32952"/>
    <w:rsid w:val="00A32963"/>
    <w:rsid w:val="00A329DE"/>
    <w:rsid w:val="00A32A99"/>
    <w:rsid w:val="00A32AA7"/>
    <w:rsid w:val="00A32AB1"/>
    <w:rsid w:val="00A32AFA"/>
    <w:rsid w:val="00A32BE6"/>
    <w:rsid w:val="00A32CD7"/>
    <w:rsid w:val="00A32CE5"/>
    <w:rsid w:val="00A32E4A"/>
    <w:rsid w:val="00A32E5F"/>
    <w:rsid w:val="00A32EFC"/>
    <w:rsid w:val="00A32F12"/>
    <w:rsid w:val="00A32F54"/>
    <w:rsid w:val="00A32F6B"/>
    <w:rsid w:val="00A3307F"/>
    <w:rsid w:val="00A330E2"/>
    <w:rsid w:val="00A33159"/>
    <w:rsid w:val="00A331DA"/>
    <w:rsid w:val="00A33307"/>
    <w:rsid w:val="00A33616"/>
    <w:rsid w:val="00A33618"/>
    <w:rsid w:val="00A33707"/>
    <w:rsid w:val="00A33741"/>
    <w:rsid w:val="00A338FC"/>
    <w:rsid w:val="00A33904"/>
    <w:rsid w:val="00A3395A"/>
    <w:rsid w:val="00A33AEC"/>
    <w:rsid w:val="00A33B44"/>
    <w:rsid w:val="00A33BA5"/>
    <w:rsid w:val="00A33BF7"/>
    <w:rsid w:val="00A33F64"/>
    <w:rsid w:val="00A34091"/>
    <w:rsid w:val="00A340C6"/>
    <w:rsid w:val="00A340E5"/>
    <w:rsid w:val="00A341EF"/>
    <w:rsid w:val="00A34224"/>
    <w:rsid w:val="00A34267"/>
    <w:rsid w:val="00A3433E"/>
    <w:rsid w:val="00A3447A"/>
    <w:rsid w:val="00A344E0"/>
    <w:rsid w:val="00A345D7"/>
    <w:rsid w:val="00A348E7"/>
    <w:rsid w:val="00A34934"/>
    <w:rsid w:val="00A3493A"/>
    <w:rsid w:val="00A34A14"/>
    <w:rsid w:val="00A34BBF"/>
    <w:rsid w:val="00A34CA0"/>
    <w:rsid w:val="00A34EC2"/>
    <w:rsid w:val="00A34EC8"/>
    <w:rsid w:val="00A3505F"/>
    <w:rsid w:val="00A35146"/>
    <w:rsid w:val="00A353F0"/>
    <w:rsid w:val="00A35443"/>
    <w:rsid w:val="00A35641"/>
    <w:rsid w:val="00A356A0"/>
    <w:rsid w:val="00A35790"/>
    <w:rsid w:val="00A3586D"/>
    <w:rsid w:val="00A35BB2"/>
    <w:rsid w:val="00A35BDC"/>
    <w:rsid w:val="00A35C19"/>
    <w:rsid w:val="00A35C24"/>
    <w:rsid w:val="00A35C8C"/>
    <w:rsid w:val="00A35D1C"/>
    <w:rsid w:val="00A35D57"/>
    <w:rsid w:val="00A35E0B"/>
    <w:rsid w:val="00A35F3D"/>
    <w:rsid w:val="00A35F83"/>
    <w:rsid w:val="00A35FF2"/>
    <w:rsid w:val="00A360E3"/>
    <w:rsid w:val="00A36111"/>
    <w:rsid w:val="00A36304"/>
    <w:rsid w:val="00A3636F"/>
    <w:rsid w:val="00A3647B"/>
    <w:rsid w:val="00A364CC"/>
    <w:rsid w:val="00A36505"/>
    <w:rsid w:val="00A36586"/>
    <w:rsid w:val="00A36740"/>
    <w:rsid w:val="00A368E9"/>
    <w:rsid w:val="00A3694D"/>
    <w:rsid w:val="00A36A0A"/>
    <w:rsid w:val="00A36B8F"/>
    <w:rsid w:val="00A36C24"/>
    <w:rsid w:val="00A36D22"/>
    <w:rsid w:val="00A36D5F"/>
    <w:rsid w:val="00A36D99"/>
    <w:rsid w:val="00A36F34"/>
    <w:rsid w:val="00A370D7"/>
    <w:rsid w:val="00A37221"/>
    <w:rsid w:val="00A37253"/>
    <w:rsid w:val="00A372ED"/>
    <w:rsid w:val="00A37601"/>
    <w:rsid w:val="00A37603"/>
    <w:rsid w:val="00A37769"/>
    <w:rsid w:val="00A377E4"/>
    <w:rsid w:val="00A37977"/>
    <w:rsid w:val="00A379CE"/>
    <w:rsid w:val="00A37A86"/>
    <w:rsid w:val="00A37ADE"/>
    <w:rsid w:val="00A37C2C"/>
    <w:rsid w:val="00A37DFC"/>
    <w:rsid w:val="00A37FB1"/>
    <w:rsid w:val="00A3B693"/>
    <w:rsid w:val="00A400A0"/>
    <w:rsid w:val="00A40117"/>
    <w:rsid w:val="00A4020A"/>
    <w:rsid w:val="00A402CE"/>
    <w:rsid w:val="00A40452"/>
    <w:rsid w:val="00A4045D"/>
    <w:rsid w:val="00A404B9"/>
    <w:rsid w:val="00A406C4"/>
    <w:rsid w:val="00A406D9"/>
    <w:rsid w:val="00A4073F"/>
    <w:rsid w:val="00A4076D"/>
    <w:rsid w:val="00A407F4"/>
    <w:rsid w:val="00A408C2"/>
    <w:rsid w:val="00A40985"/>
    <w:rsid w:val="00A40D51"/>
    <w:rsid w:val="00A40D7B"/>
    <w:rsid w:val="00A40DF6"/>
    <w:rsid w:val="00A40F50"/>
    <w:rsid w:val="00A4100A"/>
    <w:rsid w:val="00A4108D"/>
    <w:rsid w:val="00A411C5"/>
    <w:rsid w:val="00A4169E"/>
    <w:rsid w:val="00A416D4"/>
    <w:rsid w:val="00A41716"/>
    <w:rsid w:val="00A41780"/>
    <w:rsid w:val="00A417A2"/>
    <w:rsid w:val="00A4188F"/>
    <w:rsid w:val="00A418BB"/>
    <w:rsid w:val="00A418C7"/>
    <w:rsid w:val="00A41AF2"/>
    <w:rsid w:val="00A41B1B"/>
    <w:rsid w:val="00A41BB4"/>
    <w:rsid w:val="00A41DE0"/>
    <w:rsid w:val="00A41F62"/>
    <w:rsid w:val="00A42002"/>
    <w:rsid w:val="00A420CB"/>
    <w:rsid w:val="00A421D9"/>
    <w:rsid w:val="00A42298"/>
    <w:rsid w:val="00A4229E"/>
    <w:rsid w:val="00A42326"/>
    <w:rsid w:val="00A424C5"/>
    <w:rsid w:val="00A425E2"/>
    <w:rsid w:val="00A427A4"/>
    <w:rsid w:val="00A427AD"/>
    <w:rsid w:val="00A427CB"/>
    <w:rsid w:val="00A429B2"/>
    <w:rsid w:val="00A42A07"/>
    <w:rsid w:val="00A42A91"/>
    <w:rsid w:val="00A42ADD"/>
    <w:rsid w:val="00A42B37"/>
    <w:rsid w:val="00A42B4C"/>
    <w:rsid w:val="00A42BC1"/>
    <w:rsid w:val="00A42CB7"/>
    <w:rsid w:val="00A42D52"/>
    <w:rsid w:val="00A42D8C"/>
    <w:rsid w:val="00A42E0D"/>
    <w:rsid w:val="00A42E6C"/>
    <w:rsid w:val="00A42EC2"/>
    <w:rsid w:val="00A42F83"/>
    <w:rsid w:val="00A4303E"/>
    <w:rsid w:val="00A430D5"/>
    <w:rsid w:val="00A4320F"/>
    <w:rsid w:val="00A43219"/>
    <w:rsid w:val="00A43285"/>
    <w:rsid w:val="00A43326"/>
    <w:rsid w:val="00A4335C"/>
    <w:rsid w:val="00A43409"/>
    <w:rsid w:val="00A4344B"/>
    <w:rsid w:val="00A434F8"/>
    <w:rsid w:val="00A4354A"/>
    <w:rsid w:val="00A435C9"/>
    <w:rsid w:val="00A43653"/>
    <w:rsid w:val="00A43880"/>
    <w:rsid w:val="00A438C0"/>
    <w:rsid w:val="00A43A08"/>
    <w:rsid w:val="00A43C4D"/>
    <w:rsid w:val="00A43C9F"/>
    <w:rsid w:val="00A43E61"/>
    <w:rsid w:val="00A43FF9"/>
    <w:rsid w:val="00A44167"/>
    <w:rsid w:val="00A4450E"/>
    <w:rsid w:val="00A4461C"/>
    <w:rsid w:val="00A44665"/>
    <w:rsid w:val="00A44678"/>
    <w:rsid w:val="00A446C1"/>
    <w:rsid w:val="00A446DE"/>
    <w:rsid w:val="00A4470D"/>
    <w:rsid w:val="00A447C6"/>
    <w:rsid w:val="00A44A8F"/>
    <w:rsid w:val="00A44EE4"/>
    <w:rsid w:val="00A44F2A"/>
    <w:rsid w:val="00A44F33"/>
    <w:rsid w:val="00A44FC8"/>
    <w:rsid w:val="00A44FF0"/>
    <w:rsid w:val="00A45159"/>
    <w:rsid w:val="00A45224"/>
    <w:rsid w:val="00A4525F"/>
    <w:rsid w:val="00A452BF"/>
    <w:rsid w:val="00A4531F"/>
    <w:rsid w:val="00A4535F"/>
    <w:rsid w:val="00A4550A"/>
    <w:rsid w:val="00A4554E"/>
    <w:rsid w:val="00A45552"/>
    <w:rsid w:val="00A45630"/>
    <w:rsid w:val="00A456F0"/>
    <w:rsid w:val="00A457B4"/>
    <w:rsid w:val="00A458D6"/>
    <w:rsid w:val="00A45905"/>
    <w:rsid w:val="00A4593B"/>
    <w:rsid w:val="00A45BEC"/>
    <w:rsid w:val="00A45C8A"/>
    <w:rsid w:val="00A45D14"/>
    <w:rsid w:val="00A45DEA"/>
    <w:rsid w:val="00A45E6E"/>
    <w:rsid w:val="00A45FD7"/>
    <w:rsid w:val="00A46005"/>
    <w:rsid w:val="00A46185"/>
    <w:rsid w:val="00A462E6"/>
    <w:rsid w:val="00A4634F"/>
    <w:rsid w:val="00A4635D"/>
    <w:rsid w:val="00A46554"/>
    <w:rsid w:val="00A46641"/>
    <w:rsid w:val="00A46765"/>
    <w:rsid w:val="00A46822"/>
    <w:rsid w:val="00A46886"/>
    <w:rsid w:val="00A4689C"/>
    <w:rsid w:val="00A468BD"/>
    <w:rsid w:val="00A46A12"/>
    <w:rsid w:val="00A46BC7"/>
    <w:rsid w:val="00A46C0A"/>
    <w:rsid w:val="00A46C91"/>
    <w:rsid w:val="00A470C0"/>
    <w:rsid w:val="00A470D1"/>
    <w:rsid w:val="00A473D9"/>
    <w:rsid w:val="00A4743D"/>
    <w:rsid w:val="00A475BF"/>
    <w:rsid w:val="00A476A7"/>
    <w:rsid w:val="00A477D8"/>
    <w:rsid w:val="00A47852"/>
    <w:rsid w:val="00A47925"/>
    <w:rsid w:val="00A47B14"/>
    <w:rsid w:val="00A47B82"/>
    <w:rsid w:val="00A47C1A"/>
    <w:rsid w:val="00A47C46"/>
    <w:rsid w:val="00A47C77"/>
    <w:rsid w:val="00A47D9E"/>
    <w:rsid w:val="00A47E95"/>
    <w:rsid w:val="00A47EB1"/>
    <w:rsid w:val="00A47EE3"/>
    <w:rsid w:val="00A47EF7"/>
    <w:rsid w:val="00A4E927"/>
    <w:rsid w:val="00A4FF34"/>
    <w:rsid w:val="00A5001E"/>
    <w:rsid w:val="00A500A7"/>
    <w:rsid w:val="00A502A3"/>
    <w:rsid w:val="00A502FD"/>
    <w:rsid w:val="00A50447"/>
    <w:rsid w:val="00A5048D"/>
    <w:rsid w:val="00A505F7"/>
    <w:rsid w:val="00A5067E"/>
    <w:rsid w:val="00A50AED"/>
    <w:rsid w:val="00A50B98"/>
    <w:rsid w:val="00A50BEF"/>
    <w:rsid w:val="00A50C2C"/>
    <w:rsid w:val="00A50CD4"/>
    <w:rsid w:val="00A50DF6"/>
    <w:rsid w:val="00A50E4E"/>
    <w:rsid w:val="00A50F13"/>
    <w:rsid w:val="00A51010"/>
    <w:rsid w:val="00A51071"/>
    <w:rsid w:val="00A510DA"/>
    <w:rsid w:val="00A51115"/>
    <w:rsid w:val="00A5111F"/>
    <w:rsid w:val="00A511E4"/>
    <w:rsid w:val="00A512BA"/>
    <w:rsid w:val="00A512E2"/>
    <w:rsid w:val="00A51480"/>
    <w:rsid w:val="00A515DC"/>
    <w:rsid w:val="00A5169E"/>
    <w:rsid w:val="00A518B7"/>
    <w:rsid w:val="00A519D7"/>
    <w:rsid w:val="00A51B26"/>
    <w:rsid w:val="00A51C1D"/>
    <w:rsid w:val="00A51F3C"/>
    <w:rsid w:val="00A521D3"/>
    <w:rsid w:val="00A5224B"/>
    <w:rsid w:val="00A52283"/>
    <w:rsid w:val="00A52485"/>
    <w:rsid w:val="00A524B9"/>
    <w:rsid w:val="00A5264F"/>
    <w:rsid w:val="00A526E2"/>
    <w:rsid w:val="00A52781"/>
    <w:rsid w:val="00A5286D"/>
    <w:rsid w:val="00A52905"/>
    <w:rsid w:val="00A529AD"/>
    <w:rsid w:val="00A52A75"/>
    <w:rsid w:val="00A52DAC"/>
    <w:rsid w:val="00A52E16"/>
    <w:rsid w:val="00A52E25"/>
    <w:rsid w:val="00A52E46"/>
    <w:rsid w:val="00A52F1A"/>
    <w:rsid w:val="00A5302E"/>
    <w:rsid w:val="00A53182"/>
    <w:rsid w:val="00A532A3"/>
    <w:rsid w:val="00A534B8"/>
    <w:rsid w:val="00A53773"/>
    <w:rsid w:val="00A5385D"/>
    <w:rsid w:val="00A5385E"/>
    <w:rsid w:val="00A53941"/>
    <w:rsid w:val="00A53991"/>
    <w:rsid w:val="00A53DD9"/>
    <w:rsid w:val="00A53DE6"/>
    <w:rsid w:val="00A53EF1"/>
    <w:rsid w:val="00A53F64"/>
    <w:rsid w:val="00A54154"/>
    <w:rsid w:val="00A541FF"/>
    <w:rsid w:val="00A5425D"/>
    <w:rsid w:val="00A54340"/>
    <w:rsid w:val="00A54343"/>
    <w:rsid w:val="00A54573"/>
    <w:rsid w:val="00A5461B"/>
    <w:rsid w:val="00A546A9"/>
    <w:rsid w:val="00A54869"/>
    <w:rsid w:val="00A54A08"/>
    <w:rsid w:val="00A54CDC"/>
    <w:rsid w:val="00A54DFA"/>
    <w:rsid w:val="00A54E7E"/>
    <w:rsid w:val="00A54EBC"/>
    <w:rsid w:val="00A54EEC"/>
    <w:rsid w:val="00A54F40"/>
    <w:rsid w:val="00A54F7C"/>
    <w:rsid w:val="00A550FB"/>
    <w:rsid w:val="00A5516E"/>
    <w:rsid w:val="00A55235"/>
    <w:rsid w:val="00A552DE"/>
    <w:rsid w:val="00A55493"/>
    <w:rsid w:val="00A5566C"/>
    <w:rsid w:val="00A557EF"/>
    <w:rsid w:val="00A5581B"/>
    <w:rsid w:val="00A55892"/>
    <w:rsid w:val="00A55A31"/>
    <w:rsid w:val="00A55A7A"/>
    <w:rsid w:val="00A55AAB"/>
    <w:rsid w:val="00A55CB5"/>
    <w:rsid w:val="00A55CDD"/>
    <w:rsid w:val="00A55D41"/>
    <w:rsid w:val="00A55E2C"/>
    <w:rsid w:val="00A55FCB"/>
    <w:rsid w:val="00A5614E"/>
    <w:rsid w:val="00A56274"/>
    <w:rsid w:val="00A5629B"/>
    <w:rsid w:val="00A562E9"/>
    <w:rsid w:val="00A563AA"/>
    <w:rsid w:val="00A564EE"/>
    <w:rsid w:val="00A56623"/>
    <w:rsid w:val="00A56685"/>
    <w:rsid w:val="00A56746"/>
    <w:rsid w:val="00A567CD"/>
    <w:rsid w:val="00A5684D"/>
    <w:rsid w:val="00A5691A"/>
    <w:rsid w:val="00A56A37"/>
    <w:rsid w:val="00A56A79"/>
    <w:rsid w:val="00A56B61"/>
    <w:rsid w:val="00A56C38"/>
    <w:rsid w:val="00A56D53"/>
    <w:rsid w:val="00A56E7B"/>
    <w:rsid w:val="00A56F4C"/>
    <w:rsid w:val="00A57168"/>
    <w:rsid w:val="00A57439"/>
    <w:rsid w:val="00A575EF"/>
    <w:rsid w:val="00A5763F"/>
    <w:rsid w:val="00A57677"/>
    <w:rsid w:val="00A5778E"/>
    <w:rsid w:val="00A57A4E"/>
    <w:rsid w:val="00A57C04"/>
    <w:rsid w:val="00A57C1C"/>
    <w:rsid w:val="00A57C53"/>
    <w:rsid w:val="00A57DC2"/>
    <w:rsid w:val="00A57DC4"/>
    <w:rsid w:val="00A57FE5"/>
    <w:rsid w:val="00A601FF"/>
    <w:rsid w:val="00A602B5"/>
    <w:rsid w:val="00A602F3"/>
    <w:rsid w:val="00A60318"/>
    <w:rsid w:val="00A6036F"/>
    <w:rsid w:val="00A6058F"/>
    <w:rsid w:val="00A60673"/>
    <w:rsid w:val="00A6070B"/>
    <w:rsid w:val="00A60798"/>
    <w:rsid w:val="00A607A2"/>
    <w:rsid w:val="00A607BB"/>
    <w:rsid w:val="00A607E6"/>
    <w:rsid w:val="00A608FD"/>
    <w:rsid w:val="00A6095C"/>
    <w:rsid w:val="00A609AF"/>
    <w:rsid w:val="00A609FE"/>
    <w:rsid w:val="00A60A04"/>
    <w:rsid w:val="00A60A61"/>
    <w:rsid w:val="00A60AA3"/>
    <w:rsid w:val="00A60C2A"/>
    <w:rsid w:val="00A60DC2"/>
    <w:rsid w:val="00A60E90"/>
    <w:rsid w:val="00A60EFF"/>
    <w:rsid w:val="00A60FC3"/>
    <w:rsid w:val="00A6109C"/>
    <w:rsid w:val="00A61186"/>
    <w:rsid w:val="00A611FD"/>
    <w:rsid w:val="00A61232"/>
    <w:rsid w:val="00A61334"/>
    <w:rsid w:val="00A613EC"/>
    <w:rsid w:val="00A61603"/>
    <w:rsid w:val="00A6164D"/>
    <w:rsid w:val="00A61852"/>
    <w:rsid w:val="00A619FF"/>
    <w:rsid w:val="00A61B83"/>
    <w:rsid w:val="00A61E2C"/>
    <w:rsid w:val="00A61F43"/>
    <w:rsid w:val="00A62025"/>
    <w:rsid w:val="00A620C2"/>
    <w:rsid w:val="00A622A4"/>
    <w:rsid w:val="00A623DB"/>
    <w:rsid w:val="00A623FB"/>
    <w:rsid w:val="00A624FB"/>
    <w:rsid w:val="00A62519"/>
    <w:rsid w:val="00A6257A"/>
    <w:rsid w:val="00A6268E"/>
    <w:rsid w:val="00A6279F"/>
    <w:rsid w:val="00A62825"/>
    <w:rsid w:val="00A629DF"/>
    <w:rsid w:val="00A629E5"/>
    <w:rsid w:val="00A62A06"/>
    <w:rsid w:val="00A62B17"/>
    <w:rsid w:val="00A62B33"/>
    <w:rsid w:val="00A62C91"/>
    <w:rsid w:val="00A62CCC"/>
    <w:rsid w:val="00A62DE4"/>
    <w:rsid w:val="00A62E79"/>
    <w:rsid w:val="00A62E90"/>
    <w:rsid w:val="00A63011"/>
    <w:rsid w:val="00A63115"/>
    <w:rsid w:val="00A63127"/>
    <w:rsid w:val="00A631B7"/>
    <w:rsid w:val="00A63214"/>
    <w:rsid w:val="00A632B9"/>
    <w:rsid w:val="00A632D9"/>
    <w:rsid w:val="00A638E3"/>
    <w:rsid w:val="00A63A14"/>
    <w:rsid w:val="00A63C4D"/>
    <w:rsid w:val="00A63D3E"/>
    <w:rsid w:val="00A63E0F"/>
    <w:rsid w:val="00A63E18"/>
    <w:rsid w:val="00A63E69"/>
    <w:rsid w:val="00A63E85"/>
    <w:rsid w:val="00A63F06"/>
    <w:rsid w:val="00A63FB3"/>
    <w:rsid w:val="00A640A7"/>
    <w:rsid w:val="00A640AB"/>
    <w:rsid w:val="00A6411B"/>
    <w:rsid w:val="00A6419E"/>
    <w:rsid w:val="00A645D2"/>
    <w:rsid w:val="00A646AF"/>
    <w:rsid w:val="00A64757"/>
    <w:rsid w:val="00A648B6"/>
    <w:rsid w:val="00A64903"/>
    <w:rsid w:val="00A6495C"/>
    <w:rsid w:val="00A64A06"/>
    <w:rsid w:val="00A64AAF"/>
    <w:rsid w:val="00A64B62"/>
    <w:rsid w:val="00A64BA3"/>
    <w:rsid w:val="00A64EA5"/>
    <w:rsid w:val="00A64ECF"/>
    <w:rsid w:val="00A64F59"/>
    <w:rsid w:val="00A650CC"/>
    <w:rsid w:val="00A651CD"/>
    <w:rsid w:val="00A653A7"/>
    <w:rsid w:val="00A6546F"/>
    <w:rsid w:val="00A655A0"/>
    <w:rsid w:val="00A657A3"/>
    <w:rsid w:val="00A65910"/>
    <w:rsid w:val="00A65960"/>
    <w:rsid w:val="00A65A68"/>
    <w:rsid w:val="00A65A9B"/>
    <w:rsid w:val="00A65B1A"/>
    <w:rsid w:val="00A65DFD"/>
    <w:rsid w:val="00A65F59"/>
    <w:rsid w:val="00A65F5A"/>
    <w:rsid w:val="00A66081"/>
    <w:rsid w:val="00A660C4"/>
    <w:rsid w:val="00A662D2"/>
    <w:rsid w:val="00A665B8"/>
    <w:rsid w:val="00A66771"/>
    <w:rsid w:val="00A6684C"/>
    <w:rsid w:val="00A668C0"/>
    <w:rsid w:val="00A668E3"/>
    <w:rsid w:val="00A66AAB"/>
    <w:rsid w:val="00A66EDE"/>
    <w:rsid w:val="00A66EEA"/>
    <w:rsid w:val="00A66FBD"/>
    <w:rsid w:val="00A670B3"/>
    <w:rsid w:val="00A670F0"/>
    <w:rsid w:val="00A671C9"/>
    <w:rsid w:val="00A6738E"/>
    <w:rsid w:val="00A673A9"/>
    <w:rsid w:val="00A674FA"/>
    <w:rsid w:val="00A67551"/>
    <w:rsid w:val="00A67564"/>
    <w:rsid w:val="00A6761C"/>
    <w:rsid w:val="00A6766F"/>
    <w:rsid w:val="00A676FE"/>
    <w:rsid w:val="00A677AF"/>
    <w:rsid w:val="00A677B8"/>
    <w:rsid w:val="00A677BB"/>
    <w:rsid w:val="00A677D4"/>
    <w:rsid w:val="00A67833"/>
    <w:rsid w:val="00A67931"/>
    <w:rsid w:val="00A67976"/>
    <w:rsid w:val="00A67E0D"/>
    <w:rsid w:val="00A67FD3"/>
    <w:rsid w:val="00A7014C"/>
    <w:rsid w:val="00A701CE"/>
    <w:rsid w:val="00A70207"/>
    <w:rsid w:val="00A7035D"/>
    <w:rsid w:val="00A704EC"/>
    <w:rsid w:val="00A7059F"/>
    <w:rsid w:val="00A7079C"/>
    <w:rsid w:val="00A707BC"/>
    <w:rsid w:val="00A7097F"/>
    <w:rsid w:val="00A7099E"/>
    <w:rsid w:val="00A70B8C"/>
    <w:rsid w:val="00A70BFC"/>
    <w:rsid w:val="00A70C75"/>
    <w:rsid w:val="00A70CEB"/>
    <w:rsid w:val="00A70D33"/>
    <w:rsid w:val="00A70DF7"/>
    <w:rsid w:val="00A70E4A"/>
    <w:rsid w:val="00A70E7B"/>
    <w:rsid w:val="00A70EFE"/>
    <w:rsid w:val="00A70F68"/>
    <w:rsid w:val="00A7104C"/>
    <w:rsid w:val="00A71178"/>
    <w:rsid w:val="00A712E8"/>
    <w:rsid w:val="00A71536"/>
    <w:rsid w:val="00A7154E"/>
    <w:rsid w:val="00A716E5"/>
    <w:rsid w:val="00A71715"/>
    <w:rsid w:val="00A717F7"/>
    <w:rsid w:val="00A71801"/>
    <w:rsid w:val="00A718B0"/>
    <w:rsid w:val="00A71911"/>
    <w:rsid w:val="00A71939"/>
    <w:rsid w:val="00A71C73"/>
    <w:rsid w:val="00A71CAB"/>
    <w:rsid w:val="00A71D42"/>
    <w:rsid w:val="00A71D94"/>
    <w:rsid w:val="00A71FAA"/>
    <w:rsid w:val="00A7204C"/>
    <w:rsid w:val="00A7206D"/>
    <w:rsid w:val="00A7207B"/>
    <w:rsid w:val="00A720D7"/>
    <w:rsid w:val="00A72400"/>
    <w:rsid w:val="00A7247C"/>
    <w:rsid w:val="00A725D1"/>
    <w:rsid w:val="00A7268C"/>
    <w:rsid w:val="00A726BA"/>
    <w:rsid w:val="00A7285D"/>
    <w:rsid w:val="00A72870"/>
    <w:rsid w:val="00A72883"/>
    <w:rsid w:val="00A72962"/>
    <w:rsid w:val="00A729E8"/>
    <w:rsid w:val="00A72BE5"/>
    <w:rsid w:val="00A72ED2"/>
    <w:rsid w:val="00A72F10"/>
    <w:rsid w:val="00A72F85"/>
    <w:rsid w:val="00A72FBD"/>
    <w:rsid w:val="00A73087"/>
    <w:rsid w:val="00A730EA"/>
    <w:rsid w:val="00A73108"/>
    <w:rsid w:val="00A733B5"/>
    <w:rsid w:val="00A734AA"/>
    <w:rsid w:val="00A73615"/>
    <w:rsid w:val="00A73732"/>
    <w:rsid w:val="00A7378C"/>
    <w:rsid w:val="00A73799"/>
    <w:rsid w:val="00A73870"/>
    <w:rsid w:val="00A738C2"/>
    <w:rsid w:val="00A738F4"/>
    <w:rsid w:val="00A73B11"/>
    <w:rsid w:val="00A73BB2"/>
    <w:rsid w:val="00A73BD2"/>
    <w:rsid w:val="00A73DFB"/>
    <w:rsid w:val="00A73E07"/>
    <w:rsid w:val="00A73E82"/>
    <w:rsid w:val="00A74142"/>
    <w:rsid w:val="00A741D2"/>
    <w:rsid w:val="00A743E9"/>
    <w:rsid w:val="00A745B9"/>
    <w:rsid w:val="00A746AA"/>
    <w:rsid w:val="00A74720"/>
    <w:rsid w:val="00A74859"/>
    <w:rsid w:val="00A74C83"/>
    <w:rsid w:val="00A74D84"/>
    <w:rsid w:val="00A74DED"/>
    <w:rsid w:val="00A74EEE"/>
    <w:rsid w:val="00A74FA9"/>
    <w:rsid w:val="00A7520D"/>
    <w:rsid w:val="00A7547A"/>
    <w:rsid w:val="00A75518"/>
    <w:rsid w:val="00A75562"/>
    <w:rsid w:val="00A75607"/>
    <w:rsid w:val="00A75631"/>
    <w:rsid w:val="00A75645"/>
    <w:rsid w:val="00A75832"/>
    <w:rsid w:val="00A75971"/>
    <w:rsid w:val="00A75C3E"/>
    <w:rsid w:val="00A75E86"/>
    <w:rsid w:val="00A76017"/>
    <w:rsid w:val="00A76073"/>
    <w:rsid w:val="00A76077"/>
    <w:rsid w:val="00A764E8"/>
    <w:rsid w:val="00A764F4"/>
    <w:rsid w:val="00A76510"/>
    <w:rsid w:val="00A765BA"/>
    <w:rsid w:val="00A766A0"/>
    <w:rsid w:val="00A76897"/>
    <w:rsid w:val="00A768DD"/>
    <w:rsid w:val="00A769D2"/>
    <w:rsid w:val="00A76D54"/>
    <w:rsid w:val="00A76F4E"/>
    <w:rsid w:val="00A76FA1"/>
    <w:rsid w:val="00A770CD"/>
    <w:rsid w:val="00A770EE"/>
    <w:rsid w:val="00A7726E"/>
    <w:rsid w:val="00A77287"/>
    <w:rsid w:val="00A77351"/>
    <w:rsid w:val="00A7749B"/>
    <w:rsid w:val="00A77845"/>
    <w:rsid w:val="00A77948"/>
    <w:rsid w:val="00A77A34"/>
    <w:rsid w:val="00A77A75"/>
    <w:rsid w:val="00A77A9D"/>
    <w:rsid w:val="00A77AD0"/>
    <w:rsid w:val="00A77B18"/>
    <w:rsid w:val="00A77C05"/>
    <w:rsid w:val="00A77C2E"/>
    <w:rsid w:val="00A77C66"/>
    <w:rsid w:val="00A77D5A"/>
    <w:rsid w:val="00A77E99"/>
    <w:rsid w:val="00A77F15"/>
    <w:rsid w:val="00A8000D"/>
    <w:rsid w:val="00A801BC"/>
    <w:rsid w:val="00A802BA"/>
    <w:rsid w:val="00A80345"/>
    <w:rsid w:val="00A8035C"/>
    <w:rsid w:val="00A804BA"/>
    <w:rsid w:val="00A806CF"/>
    <w:rsid w:val="00A8074A"/>
    <w:rsid w:val="00A80B52"/>
    <w:rsid w:val="00A80B5A"/>
    <w:rsid w:val="00A80D0D"/>
    <w:rsid w:val="00A80D35"/>
    <w:rsid w:val="00A80D3F"/>
    <w:rsid w:val="00A80E69"/>
    <w:rsid w:val="00A80EFF"/>
    <w:rsid w:val="00A80F0C"/>
    <w:rsid w:val="00A811C1"/>
    <w:rsid w:val="00A8121B"/>
    <w:rsid w:val="00A812AD"/>
    <w:rsid w:val="00A81328"/>
    <w:rsid w:val="00A813AE"/>
    <w:rsid w:val="00A813AF"/>
    <w:rsid w:val="00A8155C"/>
    <w:rsid w:val="00A817A0"/>
    <w:rsid w:val="00A819FC"/>
    <w:rsid w:val="00A81AD8"/>
    <w:rsid w:val="00A81B9F"/>
    <w:rsid w:val="00A81D18"/>
    <w:rsid w:val="00A81D76"/>
    <w:rsid w:val="00A81DBE"/>
    <w:rsid w:val="00A81DF9"/>
    <w:rsid w:val="00A820BE"/>
    <w:rsid w:val="00A822AA"/>
    <w:rsid w:val="00A8231A"/>
    <w:rsid w:val="00A823E0"/>
    <w:rsid w:val="00A825E8"/>
    <w:rsid w:val="00A82616"/>
    <w:rsid w:val="00A8267E"/>
    <w:rsid w:val="00A82726"/>
    <w:rsid w:val="00A82793"/>
    <w:rsid w:val="00A827CF"/>
    <w:rsid w:val="00A8294B"/>
    <w:rsid w:val="00A82B54"/>
    <w:rsid w:val="00A82C4C"/>
    <w:rsid w:val="00A82CFC"/>
    <w:rsid w:val="00A82DED"/>
    <w:rsid w:val="00A82FED"/>
    <w:rsid w:val="00A83052"/>
    <w:rsid w:val="00A830A5"/>
    <w:rsid w:val="00A83122"/>
    <w:rsid w:val="00A832B5"/>
    <w:rsid w:val="00A83317"/>
    <w:rsid w:val="00A833A7"/>
    <w:rsid w:val="00A833BC"/>
    <w:rsid w:val="00A83408"/>
    <w:rsid w:val="00A83421"/>
    <w:rsid w:val="00A8357F"/>
    <w:rsid w:val="00A836F7"/>
    <w:rsid w:val="00A83763"/>
    <w:rsid w:val="00A8381B"/>
    <w:rsid w:val="00A83B4C"/>
    <w:rsid w:val="00A83B4E"/>
    <w:rsid w:val="00A83BBC"/>
    <w:rsid w:val="00A83C4A"/>
    <w:rsid w:val="00A83F44"/>
    <w:rsid w:val="00A83F83"/>
    <w:rsid w:val="00A83FA0"/>
    <w:rsid w:val="00A840A8"/>
    <w:rsid w:val="00A840CC"/>
    <w:rsid w:val="00A840EC"/>
    <w:rsid w:val="00A841BD"/>
    <w:rsid w:val="00A84262"/>
    <w:rsid w:val="00A8427D"/>
    <w:rsid w:val="00A84452"/>
    <w:rsid w:val="00A84545"/>
    <w:rsid w:val="00A8468A"/>
    <w:rsid w:val="00A8468B"/>
    <w:rsid w:val="00A846F1"/>
    <w:rsid w:val="00A846FA"/>
    <w:rsid w:val="00A84778"/>
    <w:rsid w:val="00A847E1"/>
    <w:rsid w:val="00A849C7"/>
    <w:rsid w:val="00A84B50"/>
    <w:rsid w:val="00A84CEE"/>
    <w:rsid w:val="00A84D21"/>
    <w:rsid w:val="00A84D75"/>
    <w:rsid w:val="00A84E49"/>
    <w:rsid w:val="00A84ECB"/>
    <w:rsid w:val="00A84F4A"/>
    <w:rsid w:val="00A84FE4"/>
    <w:rsid w:val="00A85006"/>
    <w:rsid w:val="00A85027"/>
    <w:rsid w:val="00A850F2"/>
    <w:rsid w:val="00A8516A"/>
    <w:rsid w:val="00A851EA"/>
    <w:rsid w:val="00A85265"/>
    <w:rsid w:val="00A852CE"/>
    <w:rsid w:val="00A853FE"/>
    <w:rsid w:val="00A8540C"/>
    <w:rsid w:val="00A85528"/>
    <w:rsid w:val="00A85741"/>
    <w:rsid w:val="00A85A4B"/>
    <w:rsid w:val="00A85B35"/>
    <w:rsid w:val="00A85C89"/>
    <w:rsid w:val="00A85E74"/>
    <w:rsid w:val="00A85FD1"/>
    <w:rsid w:val="00A86090"/>
    <w:rsid w:val="00A860D2"/>
    <w:rsid w:val="00A861B3"/>
    <w:rsid w:val="00A861DA"/>
    <w:rsid w:val="00A861DF"/>
    <w:rsid w:val="00A8623B"/>
    <w:rsid w:val="00A862C0"/>
    <w:rsid w:val="00A86401"/>
    <w:rsid w:val="00A8652C"/>
    <w:rsid w:val="00A86586"/>
    <w:rsid w:val="00A8662E"/>
    <w:rsid w:val="00A86661"/>
    <w:rsid w:val="00A866BD"/>
    <w:rsid w:val="00A8684C"/>
    <w:rsid w:val="00A868B7"/>
    <w:rsid w:val="00A8697C"/>
    <w:rsid w:val="00A869DC"/>
    <w:rsid w:val="00A86B6D"/>
    <w:rsid w:val="00A86BE0"/>
    <w:rsid w:val="00A86BE2"/>
    <w:rsid w:val="00A86C38"/>
    <w:rsid w:val="00A86CB3"/>
    <w:rsid w:val="00A86CE0"/>
    <w:rsid w:val="00A86D5E"/>
    <w:rsid w:val="00A86DE7"/>
    <w:rsid w:val="00A86E33"/>
    <w:rsid w:val="00A86FB2"/>
    <w:rsid w:val="00A86FD3"/>
    <w:rsid w:val="00A86FD6"/>
    <w:rsid w:val="00A8711F"/>
    <w:rsid w:val="00A871CD"/>
    <w:rsid w:val="00A8748E"/>
    <w:rsid w:val="00A875AF"/>
    <w:rsid w:val="00A876EF"/>
    <w:rsid w:val="00A876F8"/>
    <w:rsid w:val="00A8775C"/>
    <w:rsid w:val="00A87B1E"/>
    <w:rsid w:val="00A87B22"/>
    <w:rsid w:val="00A87B3E"/>
    <w:rsid w:val="00A87BFB"/>
    <w:rsid w:val="00A87CA6"/>
    <w:rsid w:val="00A87D53"/>
    <w:rsid w:val="00A87D88"/>
    <w:rsid w:val="00A87E51"/>
    <w:rsid w:val="00A87E7A"/>
    <w:rsid w:val="00A87F57"/>
    <w:rsid w:val="00A87FBD"/>
    <w:rsid w:val="00A900E0"/>
    <w:rsid w:val="00A901AE"/>
    <w:rsid w:val="00A90210"/>
    <w:rsid w:val="00A903F4"/>
    <w:rsid w:val="00A906E8"/>
    <w:rsid w:val="00A90792"/>
    <w:rsid w:val="00A9095D"/>
    <w:rsid w:val="00A90A7D"/>
    <w:rsid w:val="00A90AF6"/>
    <w:rsid w:val="00A90BE3"/>
    <w:rsid w:val="00A90C71"/>
    <w:rsid w:val="00A90CEF"/>
    <w:rsid w:val="00A90E9D"/>
    <w:rsid w:val="00A9100D"/>
    <w:rsid w:val="00A91049"/>
    <w:rsid w:val="00A910B4"/>
    <w:rsid w:val="00A911B8"/>
    <w:rsid w:val="00A91426"/>
    <w:rsid w:val="00A91721"/>
    <w:rsid w:val="00A917A3"/>
    <w:rsid w:val="00A91BD6"/>
    <w:rsid w:val="00A91C38"/>
    <w:rsid w:val="00A91DAC"/>
    <w:rsid w:val="00A91E64"/>
    <w:rsid w:val="00A91EFB"/>
    <w:rsid w:val="00A91F9C"/>
    <w:rsid w:val="00A9212C"/>
    <w:rsid w:val="00A92594"/>
    <w:rsid w:val="00A926D9"/>
    <w:rsid w:val="00A9274A"/>
    <w:rsid w:val="00A92903"/>
    <w:rsid w:val="00A9294A"/>
    <w:rsid w:val="00A92968"/>
    <w:rsid w:val="00A929F4"/>
    <w:rsid w:val="00A92B19"/>
    <w:rsid w:val="00A92CD5"/>
    <w:rsid w:val="00A92D69"/>
    <w:rsid w:val="00A92E88"/>
    <w:rsid w:val="00A92F53"/>
    <w:rsid w:val="00A930F5"/>
    <w:rsid w:val="00A9310E"/>
    <w:rsid w:val="00A931C3"/>
    <w:rsid w:val="00A931E1"/>
    <w:rsid w:val="00A93211"/>
    <w:rsid w:val="00A93353"/>
    <w:rsid w:val="00A9337A"/>
    <w:rsid w:val="00A9358F"/>
    <w:rsid w:val="00A93651"/>
    <w:rsid w:val="00A93659"/>
    <w:rsid w:val="00A936D5"/>
    <w:rsid w:val="00A93821"/>
    <w:rsid w:val="00A93861"/>
    <w:rsid w:val="00A93888"/>
    <w:rsid w:val="00A938DC"/>
    <w:rsid w:val="00A938DF"/>
    <w:rsid w:val="00A939FA"/>
    <w:rsid w:val="00A93A60"/>
    <w:rsid w:val="00A93BA8"/>
    <w:rsid w:val="00A93BC9"/>
    <w:rsid w:val="00A93CF2"/>
    <w:rsid w:val="00A93CF6"/>
    <w:rsid w:val="00A93D30"/>
    <w:rsid w:val="00A93F94"/>
    <w:rsid w:val="00A940A7"/>
    <w:rsid w:val="00A940AA"/>
    <w:rsid w:val="00A94206"/>
    <w:rsid w:val="00A943EE"/>
    <w:rsid w:val="00A9449D"/>
    <w:rsid w:val="00A944BB"/>
    <w:rsid w:val="00A94680"/>
    <w:rsid w:val="00A946AE"/>
    <w:rsid w:val="00A949D9"/>
    <w:rsid w:val="00A94AB9"/>
    <w:rsid w:val="00A94B46"/>
    <w:rsid w:val="00A94B48"/>
    <w:rsid w:val="00A94BD4"/>
    <w:rsid w:val="00A94DB7"/>
    <w:rsid w:val="00A94F4B"/>
    <w:rsid w:val="00A94F63"/>
    <w:rsid w:val="00A94FE6"/>
    <w:rsid w:val="00A95032"/>
    <w:rsid w:val="00A9514D"/>
    <w:rsid w:val="00A95216"/>
    <w:rsid w:val="00A9524C"/>
    <w:rsid w:val="00A95274"/>
    <w:rsid w:val="00A95307"/>
    <w:rsid w:val="00A953DE"/>
    <w:rsid w:val="00A95540"/>
    <w:rsid w:val="00A95563"/>
    <w:rsid w:val="00A9566F"/>
    <w:rsid w:val="00A9576F"/>
    <w:rsid w:val="00A95785"/>
    <w:rsid w:val="00A95928"/>
    <w:rsid w:val="00A95A28"/>
    <w:rsid w:val="00A95B56"/>
    <w:rsid w:val="00A95D47"/>
    <w:rsid w:val="00A95F51"/>
    <w:rsid w:val="00A95F7A"/>
    <w:rsid w:val="00A9610F"/>
    <w:rsid w:val="00A96416"/>
    <w:rsid w:val="00A964C5"/>
    <w:rsid w:val="00A9652A"/>
    <w:rsid w:val="00A965A7"/>
    <w:rsid w:val="00A96637"/>
    <w:rsid w:val="00A96671"/>
    <w:rsid w:val="00A966B3"/>
    <w:rsid w:val="00A96816"/>
    <w:rsid w:val="00A96893"/>
    <w:rsid w:val="00A968AE"/>
    <w:rsid w:val="00A969C9"/>
    <w:rsid w:val="00A96B5A"/>
    <w:rsid w:val="00A96C63"/>
    <w:rsid w:val="00A96CA0"/>
    <w:rsid w:val="00A96D4B"/>
    <w:rsid w:val="00A96D62"/>
    <w:rsid w:val="00A96DAA"/>
    <w:rsid w:val="00A96DB1"/>
    <w:rsid w:val="00A96F37"/>
    <w:rsid w:val="00A96F99"/>
    <w:rsid w:val="00A96FD5"/>
    <w:rsid w:val="00A97059"/>
    <w:rsid w:val="00A9718E"/>
    <w:rsid w:val="00A971C1"/>
    <w:rsid w:val="00A9725F"/>
    <w:rsid w:val="00A97272"/>
    <w:rsid w:val="00A972F4"/>
    <w:rsid w:val="00A972F9"/>
    <w:rsid w:val="00A9730E"/>
    <w:rsid w:val="00A97405"/>
    <w:rsid w:val="00A97408"/>
    <w:rsid w:val="00A974A1"/>
    <w:rsid w:val="00A975B8"/>
    <w:rsid w:val="00A97620"/>
    <w:rsid w:val="00A9766B"/>
    <w:rsid w:val="00A97687"/>
    <w:rsid w:val="00A976B6"/>
    <w:rsid w:val="00A976CE"/>
    <w:rsid w:val="00A977D9"/>
    <w:rsid w:val="00A97860"/>
    <w:rsid w:val="00A97892"/>
    <w:rsid w:val="00A979AA"/>
    <w:rsid w:val="00A979CF"/>
    <w:rsid w:val="00A97A9B"/>
    <w:rsid w:val="00A97BFF"/>
    <w:rsid w:val="00A97C2A"/>
    <w:rsid w:val="00A97C4E"/>
    <w:rsid w:val="00A97D41"/>
    <w:rsid w:val="00A97DCC"/>
    <w:rsid w:val="00A97E4E"/>
    <w:rsid w:val="00AA0092"/>
    <w:rsid w:val="00AA009E"/>
    <w:rsid w:val="00AA00FB"/>
    <w:rsid w:val="00AA030C"/>
    <w:rsid w:val="00AA038A"/>
    <w:rsid w:val="00AA0676"/>
    <w:rsid w:val="00AA077D"/>
    <w:rsid w:val="00AA08CF"/>
    <w:rsid w:val="00AA08D1"/>
    <w:rsid w:val="00AA08DE"/>
    <w:rsid w:val="00AA097F"/>
    <w:rsid w:val="00AA0A50"/>
    <w:rsid w:val="00AA0A5B"/>
    <w:rsid w:val="00AA0AB1"/>
    <w:rsid w:val="00AA0CAC"/>
    <w:rsid w:val="00AA0D60"/>
    <w:rsid w:val="00AA0D73"/>
    <w:rsid w:val="00AA0DB3"/>
    <w:rsid w:val="00AA0F0C"/>
    <w:rsid w:val="00AA1061"/>
    <w:rsid w:val="00AA10DF"/>
    <w:rsid w:val="00AA1125"/>
    <w:rsid w:val="00AA12F6"/>
    <w:rsid w:val="00AA1357"/>
    <w:rsid w:val="00AA13B0"/>
    <w:rsid w:val="00AA1472"/>
    <w:rsid w:val="00AA1484"/>
    <w:rsid w:val="00AA14C4"/>
    <w:rsid w:val="00AA1573"/>
    <w:rsid w:val="00AA15CF"/>
    <w:rsid w:val="00AA15F6"/>
    <w:rsid w:val="00AA1694"/>
    <w:rsid w:val="00AA17ED"/>
    <w:rsid w:val="00AA18F1"/>
    <w:rsid w:val="00AA198B"/>
    <w:rsid w:val="00AA19CE"/>
    <w:rsid w:val="00AA1A33"/>
    <w:rsid w:val="00AA1A83"/>
    <w:rsid w:val="00AA1A8E"/>
    <w:rsid w:val="00AA1BAE"/>
    <w:rsid w:val="00AA1CA4"/>
    <w:rsid w:val="00AA1DA4"/>
    <w:rsid w:val="00AA1DF0"/>
    <w:rsid w:val="00AA1EBA"/>
    <w:rsid w:val="00AA1F76"/>
    <w:rsid w:val="00AA22B3"/>
    <w:rsid w:val="00AA2407"/>
    <w:rsid w:val="00AA245C"/>
    <w:rsid w:val="00AA26F4"/>
    <w:rsid w:val="00AA26FD"/>
    <w:rsid w:val="00AA2811"/>
    <w:rsid w:val="00AA285B"/>
    <w:rsid w:val="00AA28B4"/>
    <w:rsid w:val="00AA2A0E"/>
    <w:rsid w:val="00AA2C90"/>
    <w:rsid w:val="00AA2CCA"/>
    <w:rsid w:val="00AA2DC2"/>
    <w:rsid w:val="00AA2EFE"/>
    <w:rsid w:val="00AA2FC6"/>
    <w:rsid w:val="00AA3107"/>
    <w:rsid w:val="00AA31A0"/>
    <w:rsid w:val="00AA3360"/>
    <w:rsid w:val="00AA338D"/>
    <w:rsid w:val="00AA34F4"/>
    <w:rsid w:val="00AA34FD"/>
    <w:rsid w:val="00AA363C"/>
    <w:rsid w:val="00AA36D9"/>
    <w:rsid w:val="00AA37B9"/>
    <w:rsid w:val="00AA38F8"/>
    <w:rsid w:val="00AA395F"/>
    <w:rsid w:val="00AA3A6F"/>
    <w:rsid w:val="00AA3A88"/>
    <w:rsid w:val="00AA3B92"/>
    <w:rsid w:val="00AA3C1B"/>
    <w:rsid w:val="00AA3C53"/>
    <w:rsid w:val="00AA3E3C"/>
    <w:rsid w:val="00AA3F18"/>
    <w:rsid w:val="00AA41DA"/>
    <w:rsid w:val="00AA4336"/>
    <w:rsid w:val="00AA44DB"/>
    <w:rsid w:val="00AA45C1"/>
    <w:rsid w:val="00AA45C7"/>
    <w:rsid w:val="00AA472B"/>
    <w:rsid w:val="00AA49E8"/>
    <w:rsid w:val="00AA4A64"/>
    <w:rsid w:val="00AA4D2D"/>
    <w:rsid w:val="00AA4D8A"/>
    <w:rsid w:val="00AA4FA2"/>
    <w:rsid w:val="00AA508E"/>
    <w:rsid w:val="00AA50DB"/>
    <w:rsid w:val="00AA5154"/>
    <w:rsid w:val="00AA5297"/>
    <w:rsid w:val="00AA555B"/>
    <w:rsid w:val="00AA5638"/>
    <w:rsid w:val="00AA5713"/>
    <w:rsid w:val="00AA57C1"/>
    <w:rsid w:val="00AA57F1"/>
    <w:rsid w:val="00AA5BF3"/>
    <w:rsid w:val="00AA5D68"/>
    <w:rsid w:val="00AA5DCE"/>
    <w:rsid w:val="00AA5DDC"/>
    <w:rsid w:val="00AA5FD9"/>
    <w:rsid w:val="00AA60A4"/>
    <w:rsid w:val="00AA61AF"/>
    <w:rsid w:val="00AA6243"/>
    <w:rsid w:val="00AA6253"/>
    <w:rsid w:val="00AA625A"/>
    <w:rsid w:val="00AA634F"/>
    <w:rsid w:val="00AA63E2"/>
    <w:rsid w:val="00AA6454"/>
    <w:rsid w:val="00AA65BF"/>
    <w:rsid w:val="00AA6609"/>
    <w:rsid w:val="00AA6616"/>
    <w:rsid w:val="00AA664A"/>
    <w:rsid w:val="00AA67BA"/>
    <w:rsid w:val="00AA67F2"/>
    <w:rsid w:val="00AA68E3"/>
    <w:rsid w:val="00AA694D"/>
    <w:rsid w:val="00AA6981"/>
    <w:rsid w:val="00AA69A7"/>
    <w:rsid w:val="00AA69D5"/>
    <w:rsid w:val="00AA6AAE"/>
    <w:rsid w:val="00AA6B13"/>
    <w:rsid w:val="00AA6B5C"/>
    <w:rsid w:val="00AA6C78"/>
    <w:rsid w:val="00AA7030"/>
    <w:rsid w:val="00AA70A8"/>
    <w:rsid w:val="00AA7179"/>
    <w:rsid w:val="00AA71C9"/>
    <w:rsid w:val="00AA71D9"/>
    <w:rsid w:val="00AA72BD"/>
    <w:rsid w:val="00AA7663"/>
    <w:rsid w:val="00AA7803"/>
    <w:rsid w:val="00AA78FB"/>
    <w:rsid w:val="00AA7963"/>
    <w:rsid w:val="00AA79D0"/>
    <w:rsid w:val="00AA7A45"/>
    <w:rsid w:val="00AA7A6E"/>
    <w:rsid w:val="00AA7AA9"/>
    <w:rsid w:val="00AA7CB4"/>
    <w:rsid w:val="00AA7D3D"/>
    <w:rsid w:val="00AA7E6E"/>
    <w:rsid w:val="00AA7FCA"/>
    <w:rsid w:val="00AB000E"/>
    <w:rsid w:val="00AB01A3"/>
    <w:rsid w:val="00AB01D5"/>
    <w:rsid w:val="00AB01F7"/>
    <w:rsid w:val="00AB02D5"/>
    <w:rsid w:val="00AB049C"/>
    <w:rsid w:val="00AB05D6"/>
    <w:rsid w:val="00AB05EA"/>
    <w:rsid w:val="00AB0669"/>
    <w:rsid w:val="00AB0871"/>
    <w:rsid w:val="00AB08AB"/>
    <w:rsid w:val="00AB0AF9"/>
    <w:rsid w:val="00AB0CA4"/>
    <w:rsid w:val="00AB0D81"/>
    <w:rsid w:val="00AB0D9A"/>
    <w:rsid w:val="00AB0DF9"/>
    <w:rsid w:val="00AB0E3D"/>
    <w:rsid w:val="00AB0F42"/>
    <w:rsid w:val="00AB1013"/>
    <w:rsid w:val="00AB102A"/>
    <w:rsid w:val="00AB1116"/>
    <w:rsid w:val="00AB1155"/>
    <w:rsid w:val="00AB12F9"/>
    <w:rsid w:val="00AB1388"/>
    <w:rsid w:val="00AB14BE"/>
    <w:rsid w:val="00AB154D"/>
    <w:rsid w:val="00AB157D"/>
    <w:rsid w:val="00AB1689"/>
    <w:rsid w:val="00AB1718"/>
    <w:rsid w:val="00AB1749"/>
    <w:rsid w:val="00AB17E5"/>
    <w:rsid w:val="00AB1A06"/>
    <w:rsid w:val="00AB1ABC"/>
    <w:rsid w:val="00AB1AFD"/>
    <w:rsid w:val="00AB1E9E"/>
    <w:rsid w:val="00AB1EDF"/>
    <w:rsid w:val="00AB1F97"/>
    <w:rsid w:val="00AB1FD1"/>
    <w:rsid w:val="00AB20B3"/>
    <w:rsid w:val="00AB231B"/>
    <w:rsid w:val="00AB231C"/>
    <w:rsid w:val="00AB24FF"/>
    <w:rsid w:val="00AB254A"/>
    <w:rsid w:val="00AB256F"/>
    <w:rsid w:val="00AB25C7"/>
    <w:rsid w:val="00AB26CA"/>
    <w:rsid w:val="00AB2733"/>
    <w:rsid w:val="00AB2748"/>
    <w:rsid w:val="00AB276A"/>
    <w:rsid w:val="00AB277B"/>
    <w:rsid w:val="00AB2781"/>
    <w:rsid w:val="00AB29E9"/>
    <w:rsid w:val="00AB2A69"/>
    <w:rsid w:val="00AB2B1C"/>
    <w:rsid w:val="00AB2B70"/>
    <w:rsid w:val="00AB2B7A"/>
    <w:rsid w:val="00AB2BA2"/>
    <w:rsid w:val="00AB2CBD"/>
    <w:rsid w:val="00AB2D4C"/>
    <w:rsid w:val="00AB2D8B"/>
    <w:rsid w:val="00AB2E85"/>
    <w:rsid w:val="00AB30DC"/>
    <w:rsid w:val="00AB3209"/>
    <w:rsid w:val="00AB3224"/>
    <w:rsid w:val="00AB32B4"/>
    <w:rsid w:val="00AB3445"/>
    <w:rsid w:val="00AB3620"/>
    <w:rsid w:val="00AB363A"/>
    <w:rsid w:val="00AB36BB"/>
    <w:rsid w:val="00AB3780"/>
    <w:rsid w:val="00AB378E"/>
    <w:rsid w:val="00AB37A9"/>
    <w:rsid w:val="00AB37EE"/>
    <w:rsid w:val="00AB3881"/>
    <w:rsid w:val="00AB3899"/>
    <w:rsid w:val="00AB3A9D"/>
    <w:rsid w:val="00AB3B7F"/>
    <w:rsid w:val="00AB3B80"/>
    <w:rsid w:val="00AB3E29"/>
    <w:rsid w:val="00AB3F3B"/>
    <w:rsid w:val="00AB4019"/>
    <w:rsid w:val="00AB407F"/>
    <w:rsid w:val="00AB40BC"/>
    <w:rsid w:val="00AB437A"/>
    <w:rsid w:val="00AB43CC"/>
    <w:rsid w:val="00AB4542"/>
    <w:rsid w:val="00AB471A"/>
    <w:rsid w:val="00AB478C"/>
    <w:rsid w:val="00AB47EA"/>
    <w:rsid w:val="00AB4921"/>
    <w:rsid w:val="00AB4B60"/>
    <w:rsid w:val="00AB4B85"/>
    <w:rsid w:val="00AB4BD2"/>
    <w:rsid w:val="00AB4C85"/>
    <w:rsid w:val="00AB4D49"/>
    <w:rsid w:val="00AB4D79"/>
    <w:rsid w:val="00AB4DA6"/>
    <w:rsid w:val="00AB4DC6"/>
    <w:rsid w:val="00AB4DD2"/>
    <w:rsid w:val="00AB4F48"/>
    <w:rsid w:val="00AB507B"/>
    <w:rsid w:val="00AB50FA"/>
    <w:rsid w:val="00AB5105"/>
    <w:rsid w:val="00AB515C"/>
    <w:rsid w:val="00AB517D"/>
    <w:rsid w:val="00AB51D9"/>
    <w:rsid w:val="00AB523C"/>
    <w:rsid w:val="00AB533D"/>
    <w:rsid w:val="00AB5365"/>
    <w:rsid w:val="00AB53C3"/>
    <w:rsid w:val="00AB540A"/>
    <w:rsid w:val="00AB55DB"/>
    <w:rsid w:val="00AB56D0"/>
    <w:rsid w:val="00AB56D9"/>
    <w:rsid w:val="00AB5743"/>
    <w:rsid w:val="00AB5807"/>
    <w:rsid w:val="00AB5853"/>
    <w:rsid w:val="00AB588A"/>
    <w:rsid w:val="00AB58FC"/>
    <w:rsid w:val="00AB5AD3"/>
    <w:rsid w:val="00AB5ADC"/>
    <w:rsid w:val="00AB5C70"/>
    <w:rsid w:val="00AB5DF4"/>
    <w:rsid w:val="00AB5F35"/>
    <w:rsid w:val="00AB5FA1"/>
    <w:rsid w:val="00AB5FBA"/>
    <w:rsid w:val="00AB6052"/>
    <w:rsid w:val="00AB605D"/>
    <w:rsid w:val="00AB6091"/>
    <w:rsid w:val="00AB60F7"/>
    <w:rsid w:val="00AB618E"/>
    <w:rsid w:val="00AB624F"/>
    <w:rsid w:val="00AB628D"/>
    <w:rsid w:val="00AB6339"/>
    <w:rsid w:val="00AB6383"/>
    <w:rsid w:val="00AB63E6"/>
    <w:rsid w:val="00AB645E"/>
    <w:rsid w:val="00AB64AB"/>
    <w:rsid w:val="00AB64F5"/>
    <w:rsid w:val="00AB65BB"/>
    <w:rsid w:val="00AB662F"/>
    <w:rsid w:val="00AB6745"/>
    <w:rsid w:val="00AB6754"/>
    <w:rsid w:val="00AB6880"/>
    <w:rsid w:val="00AB6903"/>
    <w:rsid w:val="00AB6C23"/>
    <w:rsid w:val="00AB6CEC"/>
    <w:rsid w:val="00AB6EFB"/>
    <w:rsid w:val="00AB6F2B"/>
    <w:rsid w:val="00AB6F53"/>
    <w:rsid w:val="00AB747F"/>
    <w:rsid w:val="00AB74C1"/>
    <w:rsid w:val="00AB7630"/>
    <w:rsid w:val="00AB766B"/>
    <w:rsid w:val="00AB7A12"/>
    <w:rsid w:val="00AB7A96"/>
    <w:rsid w:val="00AB7B9D"/>
    <w:rsid w:val="00AB7BE6"/>
    <w:rsid w:val="00AB7EE5"/>
    <w:rsid w:val="00AB7F9C"/>
    <w:rsid w:val="00AB7FB9"/>
    <w:rsid w:val="00AB7FDC"/>
    <w:rsid w:val="00AB7FF0"/>
    <w:rsid w:val="00AC00F5"/>
    <w:rsid w:val="00AC00F6"/>
    <w:rsid w:val="00AC019D"/>
    <w:rsid w:val="00AC01A5"/>
    <w:rsid w:val="00AC01D2"/>
    <w:rsid w:val="00AC0201"/>
    <w:rsid w:val="00AC035C"/>
    <w:rsid w:val="00AC0392"/>
    <w:rsid w:val="00AC03F5"/>
    <w:rsid w:val="00AC04C5"/>
    <w:rsid w:val="00AC06DE"/>
    <w:rsid w:val="00AC0700"/>
    <w:rsid w:val="00AC073F"/>
    <w:rsid w:val="00AC074F"/>
    <w:rsid w:val="00AC0795"/>
    <w:rsid w:val="00AC07D9"/>
    <w:rsid w:val="00AC0A4E"/>
    <w:rsid w:val="00AC0BE8"/>
    <w:rsid w:val="00AC0C2B"/>
    <w:rsid w:val="00AC0E1B"/>
    <w:rsid w:val="00AC0E5C"/>
    <w:rsid w:val="00AC0EE6"/>
    <w:rsid w:val="00AC1021"/>
    <w:rsid w:val="00AC10BF"/>
    <w:rsid w:val="00AC10D1"/>
    <w:rsid w:val="00AC1114"/>
    <w:rsid w:val="00AC1208"/>
    <w:rsid w:val="00AC1278"/>
    <w:rsid w:val="00AC13E5"/>
    <w:rsid w:val="00AC141C"/>
    <w:rsid w:val="00AC156B"/>
    <w:rsid w:val="00AC1659"/>
    <w:rsid w:val="00AC1681"/>
    <w:rsid w:val="00AC16C6"/>
    <w:rsid w:val="00AC1822"/>
    <w:rsid w:val="00AC1872"/>
    <w:rsid w:val="00AC18EC"/>
    <w:rsid w:val="00AC1B97"/>
    <w:rsid w:val="00AC1BFF"/>
    <w:rsid w:val="00AC1C71"/>
    <w:rsid w:val="00AC1C80"/>
    <w:rsid w:val="00AC1CA6"/>
    <w:rsid w:val="00AC1CC4"/>
    <w:rsid w:val="00AC1D12"/>
    <w:rsid w:val="00AC1EB8"/>
    <w:rsid w:val="00AC1F20"/>
    <w:rsid w:val="00AC201D"/>
    <w:rsid w:val="00AC21D9"/>
    <w:rsid w:val="00AC21DF"/>
    <w:rsid w:val="00AC251C"/>
    <w:rsid w:val="00AC2596"/>
    <w:rsid w:val="00AC2628"/>
    <w:rsid w:val="00AC264C"/>
    <w:rsid w:val="00AC2707"/>
    <w:rsid w:val="00AC2832"/>
    <w:rsid w:val="00AC28A8"/>
    <w:rsid w:val="00AC28B5"/>
    <w:rsid w:val="00AC295B"/>
    <w:rsid w:val="00AC296D"/>
    <w:rsid w:val="00AC29CC"/>
    <w:rsid w:val="00AC2B12"/>
    <w:rsid w:val="00AC2B28"/>
    <w:rsid w:val="00AC2C18"/>
    <w:rsid w:val="00AC2D1D"/>
    <w:rsid w:val="00AC2DE6"/>
    <w:rsid w:val="00AC2F74"/>
    <w:rsid w:val="00AC300F"/>
    <w:rsid w:val="00AC3086"/>
    <w:rsid w:val="00AC320D"/>
    <w:rsid w:val="00AC3294"/>
    <w:rsid w:val="00AC3402"/>
    <w:rsid w:val="00AC348C"/>
    <w:rsid w:val="00AC34EA"/>
    <w:rsid w:val="00AC3685"/>
    <w:rsid w:val="00AC36EA"/>
    <w:rsid w:val="00AC372D"/>
    <w:rsid w:val="00AC38E7"/>
    <w:rsid w:val="00AC3A3E"/>
    <w:rsid w:val="00AC3ACB"/>
    <w:rsid w:val="00AC3B94"/>
    <w:rsid w:val="00AC3C94"/>
    <w:rsid w:val="00AC3D91"/>
    <w:rsid w:val="00AC3D93"/>
    <w:rsid w:val="00AC3DF9"/>
    <w:rsid w:val="00AC3E58"/>
    <w:rsid w:val="00AC4294"/>
    <w:rsid w:val="00AC4325"/>
    <w:rsid w:val="00AC43A6"/>
    <w:rsid w:val="00AC4406"/>
    <w:rsid w:val="00AC44C7"/>
    <w:rsid w:val="00AC44C8"/>
    <w:rsid w:val="00AC4520"/>
    <w:rsid w:val="00AC4617"/>
    <w:rsid w:val="00AC4686"/>
    <w:rsid w:val="00AC47A6"/>
    <w:rsid w:val="00AC47C5"/>
    <w:rsid w:val="00AC4894"/>
    <w:rsid w:val="00AC48B6"/>
    <w:rsid w:val="00AC48D6"/>
    <w:rsid w:val="00AC494A"/>
    <w:rsid w:val="00AC4A9D"/>
    <w:rsid w:val="00AC4D3B"/>
    <w:rsid w:val="00AC4DFA"/>
    <w:rsid w:val="00AC4E4B"/>
    <w:rsid w:val="00AC4E93"/>
    <w:rsid w:val="00AC5077"/>
    <w:rsid w:val="00AC5106"/>
    <w:rsid w:val="00AC5260"/>
    <w:rsid w:val="00AC52A5"/>
    <w:rsid w:val="00AC54D0"/>
    <w:rsid w:val="00AC566C"/>
    <w:rsid w:val="00AC5696"/>
    <w:rsid w:val="00AC56C3"/>
    <w:rsid w:val="00AC5715"/>
    <w:rsid w:val="00AC5770"/>
    <w:rsid w:val="00AC5854"/>
    <w:rsid w:val="00AC591A"/>
    <w:rsid w:val="00AC5C1E"/>
    <w:rsid w:val="00AC5D82"/>
    <w:rsid w:val="00AC5E51"/>
    <w:rsid w:val="00AC5E62"/>
    <w:rsid w:val="00AC5EA3"/>
    <w:rsid w:val="00AC5F17"/>
    <w:rsid w:val="00AC5F4D"/>
    <w:rsid w:val="00AC6030"/>
    <w:rsid w:val="00AC62FD"/>
    <w:rsid w:val="00AC6304"/>
    <w:rsid w:val="00AC635F"/>
    <w:rsid w:val="00AC63AB"/>
    <w:rsid w:val="00AC6648"/>
    <w:rsid w:val="00AC66B5"/>
    <w:rsid w:val="00AC66ED"/>
    <w:rsid w:val="00AC66FD"/>
    <w:rsid w:val="00AC68CA"/>
    <w:rsid w:val="00AC6921"/>
    <w:rsid w:val="00AC69CA"/>
    <w:rsid w:val="00AC6A20"/>
    <w:rsid w:val="00AC6A81"/>
    <w:rsid w:val="00AC6BF3"/>
    <w:rsid w:val="00AC6F36"/>
    <w:rsid w:val="00AC6FB9"/>
    <w:rsid w:val="00AC6FEE"/>
    <w:rsid w:val="00AC7015"/>
    <w:rsid w:val="00AC701B"/>
    <w:rsid w:val="00AC7038"/>
    <w:rsid w:val="00AC7253"/>
    <w:rsid w:val="00AC75DF"/>
    <w:rsid w:val="00AC78FD"/>
    <w:rsid w:val="00AC79E7"/>
    <w:rsid w:val="00AC7AEC"/>
    <w:rsid w:val="00AC7B8C"/>
    <w:rsid w:val="00AC7BC0"/>
    <w:rsid w:val="00AD0238"/>
    <w:rsid w:val="00AD0411"/>
    <w:rsid w:val="00AD05EB"/>
    <w:rsid w:val="00AD07AB"/>
    <w:rsid w:val="00AD0838"/>
    <w:rsid w:val="00AD0939"/>
    <w:rsid w:val="00AD094B"/>
    <w:rsid w:val="00AD09C8"/>
    <w:rsid w:val="00AD0B24"/>
    <w:rsid w:val="00AD0BBC"/>
    <w:rsid w:val="00AD0D04"/>
    <w:rsid w:val="00AD0D6A"/>
    <w:rsid w:val="00AD0D82"/>
    <w:rsid w:val="00AD0E93"/>
    <w:rsid w:val="00AD101E"/>
    <w:rsid w:val="00AD111B"/>
    <w:rsid w:val="00AD111E"/>
    <w:rsid w:val="00AD112A"/>
    <w:rsid w:val="00AD123A"/>
    <w:rsid w:val="00AD1268"/>
    <w:rsid w:val="00AD139A"/>
    <w:rsid w:val="00AD1482"/>
    <w:rsid w:val="00AD14F3"/>
    <w:rsid w:val="00AD1539"/>
    <w:rsid w:val="00AD15DC"/>
    <w:rsid w:val="00AD161E"/>
    <w:rsid w:val="00AD162F"/>
    <w:rsid w:val="00AD16FC"/>
    <w:rsid w:val="00AD182E"/>
    <w:rsid w:val="00AD1904"/>
    <w:rsid w:val="00AD1A30"/>
    <w:rsid w:val="00AD1A90"/>
    <w:rsid w:val="00AD1A98"/>
    <w:rsid w:val="00AD1B65"/>
    <w:rsid w:val="00AD1BCC"/>
    <w:rsid w:val="00AD1BEF"/>
    <w:rsid w:val="00AD1C33"/>
    <w:rsid w:val="00AD1CC9"/>
    <w:rsid w:val="00AD1DA3"/>
    <w:rsid w:val="00AD1DA7"/>
    <w:rsid w:val="00AD1E3F"/>
    <w:rsid w:val="00AD1FF6"/>
    <w:rsid w:val="00AD20F8"/>
    <w:rsid w:val="00AD21BB"/>
    <w:rsid w:val="00AD23C9"/>
    <w:rsid w:val="00AD23CB"/>
    <w:rsid w:val="00AD2407"/>
    <w:rsid w:val="00AD2456"/>
    <w:rsid w:val="00AD2481"/>
    <w:rsid w:val="00AD24DD"/>
    <w:rsid w:val="00AD288E"/>
    <w:rsid w:val="00AD2A5C"/>
    <w:rsid w:val="00AD2AF6"/>
    <w:rsid w:val="00AD2C32"/>
    <w:rsid w:val="00AD2C39"/>
    <w:rsid w:val="00AD2CE2"/>
    <w:rsid w:val="00AD319D"/>
    <w:rsid w:val="00AD31A0"/>
    <w:rsid w:val="00AD3379"/>
    <w:rsid w:val="00AD359D"/>
    <w:rsid w:val="00AD35E1"/>
    <w:rsid w:val="00AD3640"/>
    <w:rsid w:val="00AD36F5"/>
    <w:rsid w:val="00AD3718"/>
    <w:rsid w:val="00AD37CE"/>
    <w:rsid w:val="00AD39BA"/>
    <w:rsid w:val="00AD39D2"/>
    <w:rsid w:val="00AD3A63"/>
    <w:rsid w:val="00AD3B08"/>
    <w:rsid w:val="00AD3B19"/>
    <w:rsid w:val="00AD3E57"/>
    <w:rsid w:val="00AD3EBF"/>
    <w:rsid w:val="00AD3F0B"/>
    <w:rsid w:val="00AD4020"/>
    <w:rsid w:val="00AD4043"/>
    <w:rsid w:val="00AD41DE"/>
    <w:rsid w:val="00AD423A"/>
    <w:rsid w:val="00AD4280"/>
    <w:rsid w:val="00AD42C5"/>
    <w:rsid w:val="00AD45AD"/>
    <w:rsid w:val="00AD45EF"/>
    <w:rsid w:val="00AD4682"/>
    <w:rsid w:val="00AD4745"/>
    <w:rsid w:val="00AD4771"/>
    <w:rsid w:val="00AD4782"/>
    <w:rsid w:val="00AD4967"/>
    <w:rsid w:val="00AD4985"/>
    <w:rsid w:val="00AD498B"/>
    <w:rsid w:val="00AD4995"/>
    <w:rsid w:val="00AD4AE0"/>
    <w:rsid w:val="00AD500F"/>
    <w:rsid w:val="00AD5051"/>
    <w:rsid w:val="00AD5486"/>
    <w:rsid w:val="00AD54D3"/>
    <w:rsid w:val="00AD55EF"/>
    <w:rsid w:val="00AD56FD"/>
    <w:rsid w:val="00AD573D"/>
    <w:rsid w:val="00AD584B"/>
    <w:rsid w:val="00AD59DF"/>
    <w:rsid w:val="00AD59E1"/>
    <w:rsid w:val="00AD5B31"/>
    <w:rsid w:val="00AD5B50"/>
    <w:rsid w:val="00AD5BC1"/>
    <w:rsid w:val="00AD5C63"/>
    <w:rsid w:val="00AD5FE8"/>
    <w:rsid w:val="00AD6248"/>
    <w:rsid w:val="00AD62D3"/>
    <w:rsid w:val="00AD631F"/>
    <w:rsid w:val="00AD65CF"/>
    <w:rsid w:val="00AD662B"/>
    <w:rsid w:val="00AD662F"/>
    <w:rsid w:val="00AD66C0"/>
    <w:rsid w:val="00AD66FA"/>
    <w:rsid w:val="00AD68D2"/>
    <w:rsid w:val="00AD68E3"/>
    <w:rsid w:val="00AD6956"/>
    <w:rsid w:val="00AD6AC1"/>
    <w:rsid w:val="00AD6B89"/>
    <w:rsid w:val="00AD6B93"/>
    <w:rsid w:val="00AD6C96"/>
    <w:rsid w:val="00AD6F5E"/>
    <w:rsid w:val="00AD6FAB"/>
    <w:rsid w:val="00AD6FCB"/>
    <w:rsid w:val="00AD6FE7"/>
    <w:rsid w:val="00AD6FED"/>
    <w:rsid w:val="00AD701A"/>
    <w:rsid w:val="00AD708D"/>
    <w:rsid w:val="00AD72E4"/>
    <w:rsid w:val="00AD738E"/>
    <w:rsid w:val="00AD74B6"/>
    <w:rsid w:val="00AD74FC"/>
    <w:rsid w:val="00AD7584"/>
    <w:rsid w:val="00AD75F5"/>
    <w:rsid w:val="00AD7603"/>
    <w:rsid w:val="00AD76F1"/>
    <w:rsid w:val="00AD7902"/>
    <w:rsid w:val="00AD7932"/>
    <w:rsid w:val="00AD7A32"/>
    <w:rsid w:val="00AD7A9A"/>
    <w:rsid w:val="00AD7B00"/>
    <w:rsid w:val="00AD7B0A"/>
    <w:rsid w:val="00AD7B74"/>
    <w:rsid w:val="00AD7BBE"/>
    <w:rsid w:val="00AD7D11"/>
    <w:rsid w:val="00AD7E11"/>
    <w:rsid w:val="00AD7E28"/>
    <w:rsid w:val="00AD7ECF"/>
    <w:rsid w:val="00AE002B"/>
    <w:rsid w:val="00AE013D"/>
    <w:rsid w:val="00AE0143"/>
    <w:rsid w:val="00AE02F9"/>
    <w:rsid w:val="00AE03E7"/>
    <w:rsid w:val="00AE041A"/>
    <w:rsid w:val="00AE0539"/>
    <w:rsid w:val="00AE0658"/>
    <w:rsid w:val="00AE072A"/>
    <w:rsid w:val="00AE0899"/>
    <w:rsid w:val="00AE08B2"/>
    <w:rsid w:val="00AE0A50"/>
    <w:rsid w:val="00AE0BC7"/>
    <w:rsid w:val="00AE0CBA"/>
    <w:rsid w:val="00AE0D05"/>
    <w:rsid w:val="00AE0D4C"/>
    <w:rsid w:val="00AE0DFE"/>
    <w:rsid w:val="00AE0EE8"/>
    <w:rsid w:val="00AE0F98"/>
    <w:rsid w:val="00AE12B1"/>
    <w:rsid w:val="00AE130D"/>
    <w:rsid w:val="00AE144E"/>
    <w:rsid w:val="00AE14A4"/>
    <w:rsid w:val="00AE14E3"/>
    <w:rsid w:val="00AE14F0"/>
    <w:rsid w:val="00AE16AF"/>
    <w:rsid w:val="00AE17B6"/>
    <w:rsid w:val="00AE1865"/>
    <w:rsid w:val="00AE189E"/>
    <w:rsid w:val="00AE190C"/>
    <w:rsid w:val="00AE1970"/>
    <w:rsid w:val="00AE198D"/>
    <w:rsid w:val="00AE1AEF"/>
    <w:rsid w:val="00AE1B24"/>
    <w:rsid w:val="00AE1FB6"/>
    <w:rsid w:val="00AE2097"/>
    <w:rsid w:val="00AE20C1"/>
    <w:rsid w:val="00AE21FF"/>
    <w:rsid w:val="00AE25A2"/>
    <w:rsid w:val="00AE267B"/>
    <w:rsid w:val="00AE26A1"/>
    <w:rsid w:val="00AE2883"/>
    <w:rsid w:val="00AE298C"/>
    <w:rsid w:val="00AE29D0"/>
    <w:rsid w:val="00AE2B64"/>
    <w:rsid w:val="00AE2C68"/>
    <w:rsid w:val="00AE2C9E"/>
    <w:rsid w:val="00AE2D1A"/>
    <w:rsid w:val="00AE2DD8"/>
    <w:rsid w:val="00AE313A"/>
    <w:rsid w:val="00AE3196"/>
    <w:rsid w:val="00AE31F3"/>
    <w:rsid w:val="00AE3216"/>
    <w:rsid w:val="00AE3267"/>
    <w:rsid w:val="00AE32CC"/>
    <w:rsid w:val="00AE32EE"/>
    <w:rsid w:val="00AE34B1"/>
    <w:rsid w:val="00AE3515"/>
    <w:rsid w:val="00AE3605"/>
    <w:rsid w:val="00AE362B"/>
    <w:rsid w:val="00AE36B8"/>
    <w:rsid w:val="00AE36EE"/>
    <w:rsid w:val="00AE3860"/>
    <w:rsid w:val="00AE3A5E"/>
    <w:rsid w:val="00AE3A8F"/>
    <w:rsid w:val="00AE3AC9"/>
    <w:rsid w:val="00AE3B17"/>
    <w:rsid w:val="00AE3B28"/>
    <w:rsid w:val="00AE3B66"/>
    <w:rsid w:val="00AE3BAF"/>
    <w:rsid w:val="00AE3CE9"/>
    <w:rsid w:val="00AE3D1D"/>
    <w:rsid w:val="00AE3D60"/>
    <w:rsid w:val="00AE3EA4"/>
    <w:rsid w:val="00AE3F0D"/>
    <w:rsid w:val="00AE4046"/>
    <w:rsid w:val="00AE41D0"/>
    <w:rsid w:val="00AE4377"/>
    <w:rsid w:val="00AE439A"/>
    <w:rsid w:val="00AE4413"/>
    <w:rsid w:val="00AE44C7"/>
    <w:rsid w:val="00AE45B2"/>
    <w:rsid w:val="00AE47C1"/>
    <w:rsid w:val="00AE4901"/>
    <w:rsid w:val="00AE49DF"/>
    <w:rsid w:val="00AE4AF5"/>
    <w:rsid w:val="00AE4C32"/>
    <w:rsid w:val="00AE4C4D"/>
    <w:rsid w:val="00AE4F6C"/>
    <w:rsid w:val="00AE5248"/>
    <w:rsid w:val="00AE527B"/>
    <w:rsid w:val="00AE5292"/>
    <w:rsid w:val="00AE5351"/>
    <w:rsid w:val="00AE5493"/>
    <w:rsid w:val="00AE5535"/>
    <w:rsid w:val="00AE5539"/>
    <w:rsid w:val="00AE553A"/>
    <w:rsid w:val="00AE5559"/>
    <w:rsid w:val="00AE567A"/>
    <w:rsid w:val="00AE56A8"/>
    <w:rsid w:val="00AE56B2"/>
    <w:rsid w:val="00AE57B4"/>
    <w:rsid w:val="00AE57C2"/>
    <w:rsid w:val="00AE585C"/>
    <w:rsid w:val="00AE58BA"/>
    <w:rsid w:val="00AE5971"/>
    <w:rsid w:val="00AE5B16"/>
    <w:rsid w:val="00AE5CAE"/>
    <w:rsid w:val="00AE5DBC"/>
    <w:rsid w:val="00AE5EDD"/>
    <w:rsid w:val="00AE6072"/>
    <w:rsid w:val="00AE6155"/>
    <w:rsid w:val="00AE6215"/>
    <w:rsid w:val="00AE63A8"/>
    <w:rsid w:val="00AE640D"/>
    <w:rsid w:val="00AE65E2"/>
    <w:rsid w:val="00AE65E5"/>
    <w:rsid w:val="00AE6651"/>
    <w:rsid w:val="00AE6719"/>
    <w:rsid w:val="00AE6768"/>
    <w:rsid w:val="00AE67B1"/>
    <w:rsid w:val="00AE698C"/>
    <w:rsid w:val="00AE6A25"/>
    <w:rsid w:val="00AE6A73"/>
    <w:rsid w:val="00AE6B18"/>
    <w:rsid w:val="00AE6B7F"/>
    <w:rsid w:val="00AE6BD8"/>
    <w:rsid w:val="00AE6DAB"/>
    <w:rsid w:val="00AE6DC2"/>
    <w:rsid w:val="00AE6F97"/>
    <w:rsid w:val="00AE6FA8"/>
    <w:rsid w:val="00AE712D"/>
    <w:rsid w:val="00AE7264"/>
    <w:rsid w:val="00AE7394"/>
    <w:rsid w:val="00AE7443"/>
    <w:rsid w:val="00AE74A0"/>
    <w:rsid w:val="00AE756F"/>
    <w:rsid w:val="00AE7656"/>
    <w:rsid w:val="00AE7810"/>
    <w:rsid w:val="00AE789C"/>
    <w:rsid w:val="00AE78BC"/>
    <w:rsid w:val="00AE7938"/>
    <w:rsid w:val="00AE7BE2"/>
    <w:rsid w:val="00AE7DE8"/>
    <w:rsid w:val="00AE7EB6"/>
    <w:rsid w:val="00AF0102"/>
    <w:rsid w:val="00AF01A9"/>
    <w:rsid w:val="00AF044F"/>
    <w:rsid w:val="00AF058A"/>
    <w:rsid w:val="00AF0634"/>
    <w:rsid w:val="00AF07DD"/>
    <w:rsid w:val="00AF09A2"/>
    <w:rsid w:val="00AF0A43"/>
    <w:rsid w:val="00AF0C09"/>
    <w:rsid w:val="00AF0CB9"/>
    <w:rsid w:val="00AF0CCF"/>
    <w:rsid w:val="00AF0E4C"/>
    <w:rsid w:val="00AF0EC7"/>
    <w:rsid w:val="00AF0F42"/>
    <w:rsid w:val="00AF0FD7"/>
    <w:rsid w:val="00AF104D"/>
    <w:rsid w:val="00AF106D"/>
    <w:rsid w:val="00AF10FF"/>
    <w:rsid w:val="00AF11A9"/>
    <w:rsid w:val="00AF1232"/>
    <w:rsid w:val="00AF12E9"/>
    <w:rsid w:val="00AF146E"/>
    <w:rsid w:val="00AF1525"/>
    <w:rsid w:val="00AF164A"/>
    <w:rsid w:val="00AF172B"/>
    <w:rsid w:val="00AF18B1"/>
    <w:rsid w:val="00AF1919"/>
    <w:rsid w:val="00AF1920"/>
    <w:rsid w:val="00AF19AA"/>
    <w:rsid w:val="00AF1A4E"/>
    <w:rsid w:val="00AF1B79"/>
    <w:rsid w:val="00AF1E01"/>
    <w:rsid w:val="00AF1F18"/>
    <w:rsid w:val="00AF1F6F"/>
    <w:rsid w:val="00AF1FF0"/>
    <w:rsid w:val="00AF2093"/>
    <w:rsid w:val="00AF2210"/>
    <w:rsid w:val="00AF2369"/>
    <w:rsid w:val="00AF257C"/>
    <w:rsid w:val="00AF2804"/>
    <w:rsid w:val="00AF2910"/>
    <w:rsid w:val="00AF2999"/>
    <w:rsid w:val="00AF29A8"/>
    <w:rsid w:val="00AF29C5"/>
    <w:rsid w:val="00AF2AD8"/>
    <w:rsid w:val="00AF2AE6"/>
    <w:rsid w:val="00AF2C66"/>
    <w:rsid w:val="00AF2DB3"/>
    <w:rsid w:val="00AF2ECF"/>
    <w:rsid w:val="00AF2F91"/>
    <w:rsid w:val="00AF3045"/>
    <w:rsid w:val="00AF32B7"/>
    <w:rsid w:val="00AF3343"/>
    <w:rsid w:val="00AF33B7"/>
    <w:rsid w:val="00AF350D"/>
    <w:rsid w:val="00AF358A"/>
    <w:rsid w:val="00AF35A8"/>
    <w:rsid w:val="00AF35B6"/>
    <w:rsid w:val="00AF35C0"/>
    <w:rsid w:val="00AF35F2"/>
    <w:rsid w:val="00AF35F7"/>
    <w:rsid w:val="00AF365F"/>
    <w:rsid w:val="00AF3921"/>
    <w:rsid w:val="00AF3943"/>
    <w:rsid w:val="00AF397B"/>
    <w:rsid w:val="00AF39DF"/>
    <w:rsid w:val="00AF3A51"/>
    <w:rsid w:val="00AF3A5E"/>
    <w:rsid w:val="00AF3BFE"/>
    <w:rsid w:val="00AF3E68"/>
    <w:rsid w:val="00AF40D4"/>
    <w:rsid w:val="00AF40E1"/>
    <w:rsid w:val="00AF42CD"/>
    <w:rsid w:val="00AF43BA"/>
    <w:rsid w:val="00AF4536"/>
    <w:rsid w:val="00AF4704"/>
    <w:rsid w:val="00AF478D"/>
    <w:rsid w:val="00AF482C"/>
    <w:rsid w:val="00AF4847"/>
    <w:rsid w:val="00AF49D4"/>
    <w:rsid w:val="00AF49F0"/>
    <w:rsid w:val="00AF4A85"/>
    <w:rsid w:val="00AF4B80"/>
    <w:rsid w:val="00AF4DC5"/>
    <w:rsid w:val="00AF4DE6"/>
    <w:rsid w:val="00AF4E0C"/>
    <w:rsid w:val="00AF4E52"/>
    <w:rsid w:val="00AF4F6B"/>
    <w:rsid w:val="00AF4F7A"/>
    <w:rsid w:val="00AF5016"/>
    <w:rsid w:val="00AF505E"/>
    <w:rsid w:val="00AF5102"/>
    <w:rsid w:val="00AF518B"/>
    <w:rsid w:val="00AF543B"/>
    <w:rsid w:val="00AF5455"/>
    <w:rsid w:val="00AF5530"/>
    <w:rsid w:val="00AF55FF"/>
    <w:rsid w:val="00AF562B"/>
    <w:rsid w:val="00AF5707"/>
    <w:rsid w:val="00AF57A1"/>
    <w:rsid w:val="00AF58AD"/>
    <w:rsid w:val="00AF58DE"/>
    <w:rsid w:val="00AF5B1A"/>
    <w:rsid w:val="00AF5BBD"/>
    <w:rsid w:val="00AF5BCB"/>
    <w:rsid w:val="00AF5E35"/>
    <w:rsid w:val="00AF5FCC"/>
    <w:rsid w:val="00AF5FF7"/>
    <w:rsid w:val="00AF6075"/>
    <w:rsid w:val="00AF615C"/>
    <w:rsid w:val="00AF6166"/>
    <w:rsid w:val="00AF6171"/>
    <w:rsid w:val="00AF62F4"/>
    <w:rsid w:val="00AF6446"/>
    <w:rsid w:val="00AF65D8"/>
    <w:rsid w:val="00AF66BE"/>
    <w:rsid w:val="00AF672A"/>
    <w:rsid w:val="00AF6749"/>
    <w:rsid w:val="00AF68F1"/>
    <w:rsid w:val="00AF6A31"/>
    <w:rsid w:val="00AF6CD9"/>
    <w:rsid w:val="00AF6CE9"/>
    <w:rsid w:val="00AF6DE4"/>
    <w:rsid w:val="00AF6F44"/>
    <w:rsid w:val="00AF6FC0"/>
    <w:rsid w:val="00AF708A"/>
    <w:rsid w:val="00AF709F"/>
    <w:rsid w:val="00AF718A"/>
    <w:rsid w:val="00AF71A4"/>
    <w:rsid w:val="00AF725E"/>
    <w:rsid w:val="00AF7328"/>
    <w:rsid w:val="00AF738A"/>
    <w:rsid w:val="00AF77FF"/>
    <w:rsid w:val="00AF7817"/>
    <w:rsid w:val="00AF7838"/>
    <w:rsid w:val="00AF79E7"/>
    <w:rsid w:val="00AF7ACB"/>
    <w:rsid w:val="00AF7AE6"/>
    <w:rsid w:val="00AF7C3A"/>
    <w:rsid w:val="00AF7C56"/>
    <w:rsid w:val="00AF7D10"/>
    <w:rsid w:val="00AF7E8D"/>
    <w:rsid w:val="00B000AA"/>
    <w:rsid w:val="00B00126"/>
    <w:rsid w:val="00B001C1"/>
    <w:rsid w:val="00B00251"/>
    <w:rsid w:val="00B00268"/>
    <w:rsid w:val="00B003DB"/>
    <w:rsid w:val="00B0041B"/>
    <w:rsid w:val="00B00584"/>
    <w:rsid w:val="00B00694"/>
    <w:rsid w:val="00B006DD"/>
    <w:rsid w:val="00B0085F"/>
    <w:rsid w:val="00B00866"/>
    <w:rsid w:val="00B00A00"/>
    <w:rsid w:val="00B00A50"/>
    <w:rsid w:val="00B00ABD"/>
    <w:rsid w:val="00B00AEE"/>
    <w:rsid w:val="00B00B27"/>
    <w:rsid w:val="00B00B66"/>
    <w:rsid w:val="00B00B76"/>
    <w:rsid w:val="00B00D6A"/>
    <w:rsid w:val="00B00E41"/>
    <w:rsid w:val="00B01100"/>
    <w:rsid w:val="00B01110"/>
    <w:rsid w:val="00B0114B"/>
    <w:rsid w:val="00B01160"/>
    <w:rsid w:val="00B012B5"/>
    <w:rsid w:val="00B014D8"/>
    <w:rsid w:val="00B01557"/>
    <w:rsid w:val="00B01622"/>
    <w:rsid w:val="00B01A02"/>
    <w:rsid w:val="00B01AAE"/>
    <w:rsid w:val="00B01B6F"/>
    <w:rsid w:val="00B01C7F"/>
    <w:rsid w:val="00B01D5C"/>
    <w:rsid w:val="00B01DBA"/>
    <w:rsid w:val="00B01ED6"/>
    <w:rsid w:val="00B02014"/>
    <w:rsid w:val="00B0202D"/>
    <w:rsid w:val="00B020EA"/>
    <w:rsid w:val="00B0236A"/>
    <w:rsid w:val="00B027D7"/>
    <w:rsid w:val="00B029F5"/>
    <w:rsid w:val="00B02AB3"/>
    <w:rsid w:val="00B02B42"/>
    <w:rsid w:val="00B02C8F"/>
    <w:rsid w:val="00B02E7A"/>
    <w:rsid w:val="00B02FA2"/>
    <w:rsid w:val="00B03012"/>
    <w:rsid w:val="00B030BE"/>
    <w:rsid w:val="00B030E3"/>
    <w:rsid w:val="00B030ED"/>
    <w:rsid w:val="00B03167"/>
    <w:rsid w:val="00B032EF"/>
    <w:rsid w:val="00B03351"/>
    <w:rsid w:val="00B034BE"/>
    <w:rsid w:val="00B035C6"/>
    <w:rsid w:val="00B036BB"/>
    <w:rsid w:val="00B03844"/>
    <w:rsid w:val="00B03871"/>
    <w:rsid w:val="00B0389F"/>
    <w:rsid w:val="00B038D4"/>
    <w:rsid w:val="00B03A56"/>
    <w:rsid w:val="00B03A61"/>
    <w:rsid w:val="00B03AC6"/>
    <w:rsid w:val="00B03B8C"/>
    <w:rsid w:val="00B03C72"/>
    <w:rsid w:val="00B03E30"/>
    <w:rsid w:val="00B03E65"/>
    <w:rsid w:val="00B03F6F"/>
    <w:rsid w:val="00B03F8A"/>
    <w:rsid w:val="00B04095"/>
    <w:rsid w:val="00B0415C"/>
    <w:rsid w:val="00B0428C"/>
    <w:rsid w:val="00B042B0"/>
    <w:rsid w:val="00B0437C"/>
    <w:rsid w:val="00B04561"/>
    <w:rsid w:val="00B0465E"/>
    <w:rsid w:val="00B046E4"/>
    <w:rsid w:val="00B04716"/>
    <w:rsid w:val="00B0478D"/>
    <w:rsid w:val="00B048A5"/>
    <w:rsid w:val="00B04963"/>
    <w:rsid w:val="00B04983"/>
    <w:rsid w:val="00B04A17"/>
    <w:rsid w:val="00B04A2F"/>
    <w:rsid w:val="00B04B44"/>
    <w:rsid w:val="00B04BFD"/>
    <w:rsid w:val="00B04CF5"/>
    <w:rsid w:val="00B04D0E"/>
    <w:rsid w:val="00B04DE2"/>
    <w:rsid w:val="00B04DF2"/>
    <w:rsid w:val="00B04E8E"/>
    <w:rsid w:val="00B04EA0"/>
    <w:rsid w:val="00B04EFC"/>
    <w:rsid w:val="00B0506C"/>
    <w:rsid w:val="00B051D3"/>
    <w:rsid w:val="00B052EE"/>
    <w:rsid w:val="00B054B9"/>
    <w:rsid w:val="00B05501"/>
    <w:rsid w:val="00B0561C"/>
    <w:rsid w:val="00B056B2"/>
    <w:rsid w:val="00B056BA"/>
    <w:rsid w:val="00B056BC"/>
    <w:rsid w:val="00B05760"/>
    <w:rsid w:val="00B05992"/>
    <w:rsid w:val="00B05AEB"/>
    <w:rsid w:val="00B05BE7"/>
    <w:rsid w:val="00B05BF2"/>
    <w:rsid w:val="00B05C6F"/>
    <w:rsid w:val="00B05DF5"/>
    <w:rsid w:val="00B05E30"/>
    <w:rsid w:val="00B05EEF"/>
    <w:rsid w:val="00B05F80"/>
    <w:rsid w:val="00B0604A"/>
    <w:rsid w:val="00B061F5"/>
    <w:rsid w:val="00B0623F"/>
    <w:rsid w:val="00B06276"/>
    <w:rsid w:val="00B062B7"/>
    <w:rsid w:val="00B062DE"/>
    <w:rsid w:val="00B06505"/>
    <w:rsid w:val="00B06638"/>
    <w:rsid w:val="00B0667E"/>
    <w:rsid w:val="00B067EB"/>
    <w:rsid w:val="00B06AB0"/>
    <w:rsid w:val="00B06AF8"/>
    <w:rsid w:val="00B06B70"/>
    <w:rsid w:val="00B06C5E"/>
    <w:rsid w:val="00B06E69"/>
    <w:rsid w:val="00B06ECE"/>
    <w:rsid w:val="00B06FF1"/>
    <w:rsid w:val="00B070C2"/>
    <w:rsid w:val="00B07191"/>
    <w:rsid w:val="00B0719E"/>
    <w:rsid w:val="00B0726E"/>
    <w:rsid w:val="00B07368"/>
    <w:rsid w:val="00B073E3"/>
    <w:rsid w:val="00B07461"/>
    <w:rsid w:val="00B075D0"/>
    <w:rsid w:val="00B07697"/>
    <w:rsid w:val="00B076B0"/>
    <w:rsid w:val="00B07936"/>
    <w:rsid w:val="00B07AD0"/>
    <w:rsid w:val="00B07C96"/>
    <w:rsid w:val="00B07D91"/>
    <w:rsid w:val="00B07DE7"/>
    <w:rsid w:val="00B07E54"/>
    <w:rsid w:val="00B10159"/>
    <w:rsid w:val="00B10302"/>
    <w:rsid w:val="00B103BC"/>
    <w:rsid w:val="00B10468"/>
    <w:rsid w:val="00B10703"/>
    <w:rsid w:val="00B10832"/>
    <w:rsid w:val="00B10964"/>
    <w:rsid w:val="00B109D1"/>
    <w:rsid w:val="00B10A13"/>
    <w:rsid w:val="00B10D49"/>
    <w:rsid w:val="00B10DC0"/>
    <w:rsid w:val="00B10DC3"/>
    <w:rsid w:val="00B10EA7"/>
    <w:rsid w:val="00B10F27"/>
    <w:rsid w:val="00B111A1"/>
    <w:rsid w:val="00B1135B"/>
    <w:rsid w:val="00B11559"/>
    <w:rsid w:val="00B115C4"/>
    <w:rsid w:val="00B115C7"/>
    <w:rsid w:val="00B11775"/>
    <w:rsid w:val="00B11813"/>
    <w:rsid w:val="00B118AB"/>
    <w:rsid w:val="00B11936"/>
    <w:rsid w:val="00B119FB"/>
    <w:rsid w:val="00B11B33"/>
    <w:rsid w:val="00B11B5E"/>
    <w:rsid w:val="00B11BAA"/>
    <w:rsid w:val="00B11C85"/>
    <w:rsid w:val="00B11CFA"/>
    <w:rsid w:val="00B11E63"/>
    <w:rsid w:val="00B11EE2"/>
    <w:rsid w:val="00B11F51"/>
    <w:rsid w:val="00B1217E"/>
    <w:rsid w:val="00B1219A"/>
    <w:rsid w:val="00B123B6"/>
    <w:rsid w:val="00B124BF"/>
    <w:rsid w:val="00B124F1"/>
    <w:rsid w:val="00B1257F"/>
    <w:rsid w:val="00B125F4"/>
    <w:rsid w:val="00B12656"/>
    <w:rsid w:val="00B126E4"/>
    <w:rsid w:val="00B1272A"/>
    <w:rsid w:val="00B1274C"/>
    <w:rsid w:val="00B12777"/>
    <w:rsid w:val="00B128A5"/>
    <w:rsid w:val="00B1290F"/>
    <w:rsid w:val="00B12940"/>
    <w:rsid w:val="00B12AD5"/>
    <w:rsid w:val="00B12B57"/>
    <w:rsid w:val="00B12CD8"/>
    <w:rsid w:val="00B12DFC"/>
    <w:rsid w:val="00B12F86"/>
    <w:rsid w:val="00B131E5"/>
    <w:rsid w:val="00B13371"/>
    <w:rsid w:val="00B13554"/>
    <w:rsid w:val="00B1359E"/>
    <w:rsid w:val="00B135C1"/>
    <w:rsid w:val="00B1364C"/>
    <w:rsid w:val="00B1375F"/>
    <w:rsid w:val="00B138FF"/>
    <w:rsid w:val="00B13B3C"/>
    <w:rsid w:val="00B13D45"/>
    <w:rsid w:val="00B13F26"/>
    <w:rsid w:val="00B13F94"/>
    <w:rsid w:val="00B13FBD"/>
    <w:rsid w:val="00B1417A"/>
    <w:rsid w:val="00B1436E"/>
    <w:rsid w:val="00B143C6"/>
    <w:rsid w:val="00B1458B"/>
    <w:rsid w:val="00B1459C"/>
    <w:rsid w:val="00B1482A"/>
    <w:rsid w:val="00B1486E"/>
    <w:rsid w:val="00B1492E"/>
    <w:rsid w:val="00B149E9"/>
    <w:rsid w:val="00B14A79"/>
    <w:rsid w:val="00B14EDA"/>
    <w:rsid w:val="00B14FE1"/>
    <w:rsid w:val="00B1503E"/>
    <w:rsid w:val="00B1504C"/>
    <w:rsid w:val="00B1531D"/>
    <w:rsid w:val="00B1543A"/>
    <w:rsid w:val="00B15750"/>
    <w:rsid w:val="00B157C3"/>
    <w:rsid w:val="00B157DB"/>
    <w:rsid w:val="00B15BE8"/>
    <w:rsid w:val="00B15C92"/>
    <w:rsid w:val="00B15CC8"/>
    <w:rsid w:val="00B15D0E"/>
    <w:rsid w:val="00B15E58"/>
    <w:rsid w:val="00B15E64"/>
    <w:rsid w:val="00B15E82"/>
    <w:rsid w:val="00B16251"/>
    <w:rsid w:val="00B16272"/>
    <w:rsid w:val="00B1627D"/>
    <w:rsid w:val="00B16281"/>
    <w:rsid w:val="00B16291"/>
    <w:rsid w:val="00B163DE"/>
    <w:rsid w:val="00B16415"/>
    <w:rsid w:val="00B1643C"/>
    <w:rsid w:val="00B16590"/>
    <w:rsid w:val="00B16661"/>
    <w:rsid w:val="00B16733"/>
    <w:rsid w:val="00B16755"/>
    <w:rsid w:val="00B1693F"/>
    <w:rsid w:val="00B1699F"/>
    <w:rsid w:val="00B16B77"/>
    <w:rsid w:val="00B16C39"/>
    <w:rsid w:val="00B16C5C"/>
    <w:rsid w:val="00B16F9D"/>
    <w:rsid w:val="00B17206"/>
    <w:rsid w:val="00B1725E"/>
    <w:rsid w:val="00B17363"/>
    <w:rsid w:val="00B174F9"/>
    <w:rsid w:val="00B17535"/>
    <w:rsid w:val="00B17756"/>
    <w:rsid w:val="00B17776"/>
    <w:rsid w:val="00B177D9"/>
    <w:rsid w:val="00B17859"/>
    <w:rsid w:val="00B17890"/>
    <w:rsid w:val="00B1792B"/>
    <w:rsid w:val="00B17A00"/>
    <w:rsid w:val="00B17B57"/>
    <w:rsid w:val="00B17D16"/>
    <w:rsid w:val="00B17D74"/>
    <w:rsid w:val="00B17DCA"/>
    <w:rsid w:val="00B17DD0"/>
    <w:rsid w:val="00B17EF7"/>
    <w:rsid w:val="00B17F31"/>
    <w:rsid w:val="00B17F9F"/>
    <w:rsid w:val="00B20010"/>
    <w:rsid w:val="00B20169"/>
    <w:rsid w:val="00B201AC"/>
    <w:rsid w:val="00B20371"/>
    <w:rsid w:val="00B20380"/>
    <w:rsid w:val="00B203E8"/>
    <w:rsid w:val="00B20504"/>
    <w:rsid w:val="00B20629"/>
    <w:rsid w:val="00B20668"/>
    <w:rsid w:val="00B206DD"/>
    <w:rsid w:val="00B206E2"/>
    <w:rsid w:val="00B2076F"/>
    <w:rsid w:val="00B207C8"/>
    <w:rsid w:val="00B2095C"/>
    <w:rsid w:val="00B20AFF"/>
    <w:rsid w:val="00B20B59"/>
    <w:rsid w:val="00B20E3E"/>
    <w:rsid w:val="00B20F24"/>
    <w:rsid w:val="00B210FA"/>
    <w:rsid w:val="00B21183"/>
    <w:rsid w:val="00B21339"/>
    <w:rsid w:val="00B2138A"/>
    <w:rsid w:val="00B21442"/>
    <w:rsid w:val="00B21699"/>
    <w:rsid w:val="00B217BF"/>
    <w:rsid w:val="00B217F1"/>
    <w:rsid w:val="00B21927"/>
    <w:rsid w:val="00B219D1"/>
    <w:rsid w:val="00B21A00"/>
    <w:rsid w:val="00B21AF0"/>
    <w:rsid w:val="00B21E18"/>
    <w:rsid w:val="00B21E22"/>
    <w:rsid w:val="00B21E4A"/>
    <w:rsid w:val="00B21E56"/>
    <w:rsid w:val="00B2216F"/>
    <w:rsid w:val="00B221CD"/>
    <w:rsid w:val="00B222F2"/>
    <w:rsid w:val="00B223C2"/>
    <w:rsid w:val="00B2242E"/>
    <w:rsid w:val="00B2273F"/>
    <w:rsid w:val="00B22767"/>
    <w:rsid w:val="00B227D1"/>
    <w:rsid w:val="00B228AD"/>
    <w:rsid w:val="00B22910"/>
    <w:rsid w:val="00B2296A"/>
    <w:rsid w:val="00B22A30"/>
    <w:rsid w:val="00B22C23"/>
    <w:rsid w:val="00B22DA5"/>
    <w:rsid w:val="00B22DC2"/>
    <w:rsid w:val="00B22E06"/>
    <w:rsid w:val="00B22E8D"/>
    <w:rsid w:val="00B22F2F"/>
    <w:rsid w:val="00B22F8E"/>
    <w:rsid w:val="00B22FA0"/>
    <w:rsid w:val="00B23033"/>
    <w:rsid w:val="00B23044"/>
    <w:rsid w:val="00B23079"/>
    <w:rsid w:val="00B230F0"/>
    <w:rsid w:val="00B23348"/>
    <w:rsid w:val="00B233CC"/>
    <w:rsid w:val="00B234AE"/>
    <w:rsid w:val="00B234CD"/>
    <w:rsid w:val="00B234D4"/>
    <w:rsid w:val="00B2361D"/>
    <w:rsid w:val="00B23826"/>
    <w:rsid w:val="00B23949"/>
    <w:rsid w:val="00B23AC2"/>
    <w:rsid w:val="00B23B0B"/>
    <w:rsid w:val="00B23BEB"/>
    <w:rsid w:val="00B23C73"/>
    <w:rsid w:val="00B23D62"/>
    <w:rsid w:val="00B23E0A"/>
    <w:rsid w:val="00B23E0C"/>
    <w:rsid w:val="00B23EDC"/>
    <w:rsid w:val="00B23F76"/>
    <w:rsid w:val="00B23FA8"/>
    <w:rsid w:val="00B241EA"/>
    <w:rsid w:val="00B242B1"/>
    <w:rsid w:val="00B242BE"/>
    <w:rsid w:val="00B24309"/>
    <w:rsid w:val="00B2448B"/>
    <w:rsid w:val="00B245E7"/>
    <w:rsid w:val="00B24758"/>
    <w:rsid w:val="00B247D9"/>
    <w:rsid w:val="00B2480E"/>
    <w:rsid w:val="00B24930"/>
    <w:rsid w:val="00B24ABC"/>
    <w:rsid w:val="00B24B66"/>
    <w:rsid w:val="00B24B8A"/>
    <w:rsid w:val="00B24C26"/>
    <w:rsid w:val="00B24C6E"/>
    <w:rsid w:val="00B24C73"/>
    <w:rsid w:val="00B24DAB"/>
    <w:rsid w:val="00B24E91"/>
    <w:rsid w:val="00B24EB3"/>
    <w:rsid w:val="00B24EE4"/>
    <w:rsid w:val="00B25166"/>
    <w:rsid w:val="00B2518C"/>
    <w:rsid w:val="00B25292"/>
    <w:rsid w:val="00B252CD"/>
    <w:rsid w:val="00B253ED"/>
    <w:rsid w:val="00B25514"/>
    <w:rsid w:val="00B25658"/>
    <w:rsid w:val="00B257E0"/>
    <w:rsid w:val="00B2585C"/>
    <w:rsid w:val="00B2599E"/>
    <w:rsid w:val="00B25A1F"/>
    <w:rsid w:val="00B25ADE"/>
    <w:rsid w:val="00B25B9F"/>
    <w:rsid w:val="00B25C70"/>
    <w:rsid w:val="00B25C9C"/>
    <w:rsid w:val="00B25CBE"/>
    <w:rsid w:val="00B25EAB"/>
    <w:rsid w:val="00B25F02"/>
    <w:rsid w:val="00B25FE6"/>
    <w:rsid w:val="00B26293"/>
    <w:rsid w:val="00B2633C"/>
    <w:rsid w:val="00B2634B"/>
    <w:rsid w:val="00B2635E"/>
    <w:rsid w:val="00B26476"/>
    <w:rsid w:val="00B26522"/>
    <w:rsid w:val="00B2653A"/>
    <w:rsid w:val="00B26686"/>
    <w:rsid w:val="00B266CD"/>
    <w:rsid w:val="00B26736"/>
    <w:rsid w:val="00B26764"/>
    <w:rsid w:val="00B26819"/>
    <w:rsid w:val="00B26846"/>
    <w:rsid w:val="00B26894"/>
    <w:rsid w:val="00B268AF"/>
    <w:rsid w:val="00B2690B"/>
    <w:rsid w:val="00B26A38"/>
    <w:rsid w:val="00B26A6A"/>
    <w:rsid w:val="00B26A78"/>
    <w:rsid w:val="00B26A95"/>
    <w:rsid w:val="00B26AAB"/>
    <w:rsid w:val="00B26B01"/>
    <w:rsid w:val="00B26B52"/>
    <w:rsid w:val="00B26E3A"/>
    <w:rsid w:val="00B26F06"/>
    <w:rsid w:val="00B26F7E"/>
    <w:rsid w:val="00B2701E"/>
    <w:rsid w:val="00B270CC"/>
    <w:rsid w:val="00B270F0"/>
    <w:rsid w:val="00B271D6"/>
    <w:rsid w:val="00B27369"/>
    <w:rsid w:val="00B2738D"/>
    <w:rsid w:val="00B273F3"/>
    <w:rsid w:val="00B273F6"/>
    <w:rsid w:val="00B27548"/>
    <w:rsid w:val="00B2770F"/>
    <w:rsid w:val="00B27990"/>
    <w:rsid w:val="00B27A71"/>
    <w:rsid w:val="00B27ACB"/>
    <w:rsid w:val="00B27B22"/>
    <w:rsid w:val="00B27BBE"/>
    <w:rsid w:val="00B27BE3"/>
    <w:rsid w:val="00B27C1D"/>
    <w:rsid w:val="00B27D1B"/>
    <w:rsid w:val="00B27E28"/>
    <w:rsid w:val="00B301EB"/>
    <w:rsid w:val="00B301EE"/>
    <w:rsid w:val="00B30200"/>
    <w:rsid w:val="00B305DC"/>
    <w:rsid w:val="00B306EE"/>
    <w:rsid w:val="00B3082A"/>
    <w:rsid w:val="00B30982"/>
    <w:rsid w:val="00B309C5"/>
    <w:rsid w:val="00B309C9"/>
    <w:rsid w:val="00B30A00"/>
    <w:rsid w:val="00B30A17"/>
    <w:rsid w:val="00B30AAD"/>
    <w:rsid w:val="00B30C09"/>
    <w:rsid w:val="00B30D9A"/>
    <w:rsid w:val="00B30E00"/>
    <w:rsid w:val="00B30F75"/>
    <w:rsid w:val="00B30F90"/>
    <w:rsid w:val="00B31363"/>
    <w:rsid w:val="00B313F1"/>
    <w:rsid w:val="00B31403"/>
    <w:rsid w:val="00B31404"/>
    <w:rsid w:val="00B31555"/>
    <w:rsid w:val="00B3175D"/>
    <w:rsid w:val="00B317D8"/>
    <w:rsid w:val="00B318E4"/>
    <w:rsid w:val="00B318F9"/>
    <w:rsid w:val="00B3193C"/>
    <w:rsid w:val="00B319D4"/>
    <w:rsid w:val="00B31A93"/>
    <w:rsid w:val="00B31A9E"/>
    <w:rsid w:val="00B31AA3"/>
    <w:rsid w:val="00B31B29"/>
    <w:rsid w:val="00B31B3D"/>
    <w:rsid w:val="00B31C2C"/>
    <w:rsid w:val="00B31D9B"/>
    <w:rsid w:val="00B31F13"/>
    <w:rsid w:val="00B3221B"/>
    <w:rsid w:val="00B322A7"/>
    <w:rsid w:val="00B3238F"/>
    <w:rsid w:val="00B324A5"/>
    <w:rsid w:val="00B324D0"/>
    <w:rsid w:val="00B324DD"/>
    <w:rsid w:val="00B32507"/>
    <w:rsid w:val="00B32589"/>
    <w:rsid w:val="00B32607"/>
    <w:rsid w:val="00B326A1"/>
    <w:rsid w:val="00B32710"/>
    <w:rsid w:val="00B3272B"/>
    <w:rsid w:val="00B327B0"/>
    <w:rsid w:val="00B327CE"/>
    <w:rsid w:val="00B329CE"/>
    <w:rsid w:val="00B32A54"/>
    <w:rsid w:val="00B32AF0"/>
    <w:rsid w:val="00B32CF9"/>
    <w:rsid w:val="00B32DFF"/>
    <w:rsid w:val="00B32E12"/>
    <w:rsid w:val="00B32EED"/>
    <w:rsid w:val="00B32F48"/>
    <w:rsid w:val="00B32F99"/>
    <w:rsid w:val="00B33548"/>
    <w:rsid w:val="00B335FB"/>
    <w:rsid w:val="00B33695"/>
    <w:rsid w:val="00B336D2"/>
    <w:rsid w:val="00B3372A"/>
    <w:rsid w:val="00B3374B"/>
    <w:rsid w:val="00B33775"/>
    <w:rsid w:val="00B337FA"/>
    <w:rsid w:val="00B33844"/>
    <w:rsid w:val="00B33868"/>
    <w:rsid w:val="00B33A0C"/>
    <w:rsid w:val="00B33AC8"/>
    <w:rsid w:val="00B33AE4"/>
    <w:rsid w:val="00B33B22"/>
    <w:rsid w:val="00B33B25"/>
    <w:rsid w:val="00B33DD1"/>
    <w:rsid w:val="00B33E9A"/>
    <w:rsid w:val="00B33F72"/>
    <w:rsid w:val="00B34037"/>
    <w:rsid w:val="00B342BC"/>
    <w:rsid w:val="00B342DA"/>
    <w:rsid w:val="00B343BB"/>
    <w:rsid w:val="00B34712"/>
    <w:rsid w:val="00B348B6"/>
    <w:rsid w:val="00B34ACF"/>
    <w:rsid w:val="00B34B46"/>
    <w:rsid w:val="00B34BE4"/>
    <w:rsid w:val="00B34C14"/>
    <w:rsid w:val="00B34CC9"/>
    <w:rsid w:val="00B34D80"/>
    <w:rsid w:val="00B34E96"/>
    <w:rsid w:val="00B34EA5"/>
    <w:rsid w:val="00B34F00"/>
    <w:rsid w:val="00B35059"/>
    <w:rsid w:val="00B351F6"/>
    <w:rsid w:val="00B35254"/>
    <w:rsid w:val="00B3526F"/>
    <w:rsid w:val="00B35273"/>
    <w:rsid w:val="00B354D6"/>
    <w:rsid w:val="00B354EE"/>
    <w:rsid w:val="00B355F1"/>
    <w:rsid w:val="00B35628"/>
    <w:rsid w:val="00B3564F"/>
    <w:rsid w:val="00B35834"/>
    <w:rsid w:val="00B35881"/>
    <w:rsid w:val="00B35A14"/>
    <w:rsid w:val="00B35A7C"/>
    <w:rsid w:val="00B35C39"/>
    <w:rsid w:val="00B35FD2"/>
    <w:rsid w:val="00B36055"/>
    <w:rsid w:val="00B3620D"/>
    <w:rsid w:val="00B36213"/>
    <w:rsid w:val="00B36273"/>
    <w:rsid w:val="00B363A1"/>
    <w:rsid w:val="00B364A4"/>
    <w:rsid w:val="00B36552"/>
    <w:rsid w:val="00B36560"/>
    <w:rsid w:val="00B365A6"/>
    <w:rsid w:val="00B36668"/>
    <w:rsid w:val="00B368C0"/>
    <w:rsid w:val="00B368C7"/>
    <w:rsid w:val="00B3691F"/>
    <w:rsid w:val="00B3692F"/>
    <w:rsid w:val="00B36A42"/>
    <w:rsid w:val="00B36BC6"/>
    <w:rsid w:val="00B36DC3"/>
    <w:rsid w:val="00B36FF0"/>
    <w:rsid w:val="00B37067"/>
    <w:rsid w:val="00B37101"/>
    <w:rsid w:val="00B37402"/>
    <w:rsid w:val="00B3741A"/>
    <w:rsid w:val="00B37454"/>
    <w:rsid w:val="00B3765C"/>
    <w:rsid w:val="00B376A8"/>
    <w:rsid w:val="00B376BF"/>
    <w:rsid w:val="00B37733"/>
    <w:rsid w:val="00B377D3"/>
    <w:rsid w:val="00B37836"/>
    <w:rsid w:val="00B3784B"/>
    <w:rsid w:val="00B378A7"/>
    <w:rsid w:val="00B37A86"/>
    <w:rsid w:val="00B37AC6"/>
    <w:rsid w:val="00B37C82"/>
    <w:rsid w:val="00B37D11"/>
    <w:rsid w:val="00B37DE2"/>
    <w:rsid w:val="00B37DEF"/>
    <w:rsid w:val="00B37ECF"/>
    <w:rsid w:val="00B37F26"/>
    <w:rsid w:val="00B4000A"/>
    <w:rsid w:val="00B40066"/>
    <w:rsid w:val="00B40313"/>
    <w:rsid w:val="00B40315"/>
    <w:rsid w:val="00B40332"/>
    <w:rsid w:val="00B403AF"/>
    <w:rsid w:val="00B403F3"/>
    <w:rsid w:val="00B40507"/>
    <w:rsid w:val="00B4060C"/>
    <w:rsid w:val="00B40670"/>
    <w:rsid w:val="00B40799"/>
    <w:rsid w:val="00B40A17"/>
    <w:rsid w:val="00B40A8B"/>
    <w:rsid w:val="00B40AE2"/>
    <w:rsid w:val="00B40BA6"/>
    <w:rsid w:val="00B40BDE"/>
    <w:rsid w:val="00B40C2A"/>
    <w:rsid w:val="00B40D31"/>
    <w:rsid w:val="00B40D65"/>
    <w:rsid w:val="00B40F8C"/>
    <w:rsid w:val="00B4108E"/>
    <w:rsid w:val="00B41104"/>
    <w:rsid w:val="00B41139"/>
    <w:rsid w:val="00B4114B"/>
    <w:rsid w:val="00B415A8"/>
    <w:rsid w:val="00B416D7"/>
    <w:rsid w:val="00B4170F"/>
    <w:rsid w:val="00B418EA"/>
    <w:rsid w:val="00B4197B"/>
    <w:rsid w:val="00B41A2F"/>
    <w:rsid w:val="00B41A4B"/>
    <w:rsid w:val="00B41A8F"/>
    <w:rsid w:val="00B41A95"/>
    <w:rsid w:val="00B41CA4"/>
    <w:rsid w:val="00B41D95"/>
    <w:rsid w:val="00B41E1C"/>
    <w:rsid w:val="00B41E4A"/>
    <w:rsid w:val="00B4204C"/>
    <w:rsid w:val="00B420FE"/>
    <w:rsid w:val="00B42171"/>
    <w:rsid w:val="00B4221D"/>
    <w:rsid w:val="00B42344"/>
    <w:rsid w:val="00B42615"/>
    <w:rsid w:val="00B426D0"/>
    <w:rsid w:val="00B42837"/>
    <w:rsid w:val="00B42904"/>
    <w:rsid w:val="00B42982"/>
    <w:rsid w:val="00B42ABB"/>
    <w:rsid w:val="00B42B7E"/>
    <w:rsid w:val="00B42C2C"/>
    <w:rsid w:val="00B42D68"/>
    <w:rsid w:val="00B42F68"/>
    <w:rsid w:val="00B42FD0"/>
    <w:rsid w:val="00B43118"/>
    <w:rsid w:val="00B43316"/>
    <w:rsid w:val="00B43327"/>
    <w:rsid w:val="00B4334E"/>
    <w:rsid w:val="00B4355F"/>
    <w:rsid w:val="00B43570"/>
    <w:rsid w:val="00B43599"/>
    <w:rsid w:val="00B435D1"/>
    <w:rsid w:val="00B43774"/>
    <w:rsid w:val="00B4389E"/>
    <w:rsid w:val="00B4391A"/>
    <w:rsid w:val="00B43928"/>
    <w:rsid w:val="00B43A24"/>
    <w:rsid w:val="00B43BE1"/>
    <w:rsid w:val="00B43C06"/>
    <w:rsid w:val="00B43E35"/>
    <w:rsid w:val="00B43E58"/>
    <w:rsid w:val="00B43E75"/>
    <w:rsid w:val="00B43FA6"/>
    <w:rsid w:val="00B44197"/>
    <w:rsid w:val="00B441AF"/>
    <w:rsid w:val="00B44219"/>
    <w:rsid w:val="00B44227"/>
    <w:rsid w:val="00B442DA"/>
    <w:rsid w:val="00B44438"/>
    <w:rsid w:val="00B44538"/>
    <w:rsid w:val="00B445CF"/>
    <w:rsid w:val="00B44747"/>
    <w:rsid w:val="00B4477A"/>
    <w:rsid w:val="00B4483F"/>
    <w:rsid w:val="00B44919"/>
    <w:rsid w:val="00B4494B"/>
    <w:rsid w:val="00B449B4"/>
    <w:rsid w:val="00B449B8"/>
    <w:rsid w:val="00B44B1D"/>
    <w:rsid w:val="00B44B55"/>
    <w:rsid w:val="00B44BBA"/>
    <w:rsid w:val="00B44C0F"/>
    <w:rsid w:val="00B44C2F"/>
    <w:rsid w:val="00B44D7A"/>
    <w:rsid w:val="00B44DDD"/>
    <w:rsid w:val="00B44FB5"/>
    <w:rsid w:val="00B45071"/>
    <w:rsid w:val="00B4509B"/>
    <w:rsid w:val="00B451E6"/>
    <w:rsid w:val="00B45223"/>
    <w:rsid w:val="00B452EE"/>
    <w:rsid w:val="00B4538F"/>
    <w:rsid w:val="00B453B2"/>
    <w:rsid w:val="00B45443"/>
    <w:rsid w:val="00B45520"/>
    <w:rsid w:val="00B457A9"/>
    <w:rsid w:val="00B4582D"/>
    <w:rsid w:val="00B4584F"/>
    <w:rsid w:val="00B4587E"/>
    <w:rsid w:val="00B458C1"/>
    <w:rsid w:val="00B458C3"/>
    <w:rsid w:val="00B45B0F"/>
    <w:rsid w:val="00B45C98"/>
    <w:rsid w:val="00B45D14"/>
    <w:rsid w:val="00B45D91"/>
    <w:rsid w:val="00B45EA0"/>
    <w:rsid w:val="00B45F80"/>
    <w:rsid w:val="00B4609A"/>
    <w:rsid w:val="00B46238"/>
    <w:rsid w:val="00B462EC"/>
    <w:rsid w:val="00B46479"/>
    <w:rsid w:val="00B4648C"/>
    <w:rsid w:val="00B4657D"/>
    <w:rsid w:val="00B46609"/>
    <w:rsid w:val="00B46888"/>
    <w:rsid w:val="00B46919"/>
    <w:rsid w:val="00B46956"/>
    <w:rsid w:val="00B4699A"/>
    <w:rsid w:val="00B46B4A"/>
    <w:rsid w:val="00B46B4D"/>
    <w:rsid w:val="00B46E02"/>
    <w:rsid w:val="00B46E65"/>
    <w:rsid w:val="00B46ED1"/>
    <w:rsid w:val="00B46FB3"/>
    <w:rsid w:val="00B46FF0"/>
    <w:rsid w:val="00B47066"/>
    <w:rsid w:val="00B4717F"/>
    <w:rsid w:val="00B47412"/>
    <w:rsid w:val="00B474C8"/>
    <w:rsid w:val="00B4763A"/>
    <w:rsid w:val="00B478D6"/>
    <w:rsid w:val="00B47A54"/>
    <w:rsid w:val="00B47A87"/>
    <w:rsid w:val="00B47B70"/>
    <w:rsid w:val="00B47B9D"/>
    <w:rsid w:val="00B47C41"/>
    <w:rsid w:val="00B47D14"/>
    <w:rsid w:val="00B47DDA"/>
    <w:rsid w:val="00B47E1A"/>
    <w:rsid w:val="00B5003D"/>
    <w:rsid w:val="00B5008B"/>
    <w:rsid w:val="00B5009E"/>
    <w:rsid w:val="00B501B2"/>
    <w:rsid w:val="00B501DE"/>
    <w:rsid w:val="00B503B9"/>
    <w:rsid w:val="00B50419"/>
    <w:rsid w:val="00B504F7"/>
    <w:rsid w:val="00B5056F"/>
    <w:rsid w:val="00B50605"/>
    <w:rsid w:val="00B507BF"/>
    <w:rsid w:val="00B50886"/>
    <w:rsid w:val="00B508EF"/>
    <w:rsid w:val="00B50A14"/>
    <w:rsid w:val="00B50AD5"/>
    <w:rsid w:val="00B50B4E"/>
    <w:rsid w:val="00B50C8E"/>
    <w:rsid w:val="00B50D9C"/>
    <w:rsid w:val="00B50DE4"/>
    <w:rsid w:val="00B50E40"/>
    <w:rsid w:val="00B50E9B"/>
    <w:rsid w:val="00B51003"/>
    <w:rsid w:val="00B5108F"/>
    <w:rsid w:val="00B5109C"/>
    <w:rsid w:val="00B510D3"/>
    <w:rsid w:val="00B51158"/>
    <w:rsid w:val="00B512A0"/>
    <w:rsid w:val="00B513A2"/>
    <w:rsid w:val="00B51412"/>
    <w:rsid w:val="00B515D5"/>
    <w:rsid w:val="00B515E7"/>
    <w:rsid w:val="00B515F5"/>
    <w:rsid w:val="00B5160A"/>
    <w:rsid w:val="00B516CA"/>
    <w:rsid w:val="00B517BB"/>
    <w:rsid w:val="00B517CD"/>
    <w:rsid w:val="00B518B3"/>
    <w:rsid w:val="00B5193F"/>
    <w:rsid w:val="00B51981"/>
    <w:rsid w:val="00B51A2E"/>
    <w:rsid w:val="00B51AB6"/>
    <w:rsid w:val="00B51C71"/>
    <w:rsid w:val="00B51D40"/>
    <w:rsid w:val="00B51DFC"/>
    <w:rsid w:val="00B51E78"/>
    <w:rsid w:val="00B51FF7"/>
    <w:rsid w:val="00B52057"/>
    <w:rsid w:val="00B520C2"/>
    <w:rsid w:val="00B5212D"/>
    <w:rsid w:val="00B521BB"/>
    <w:rsid w:val="00B52205"/>
    <w:rsid w:val="00B52362"/>
    <w:rsid w:val="00B52371"/>
    <w:rsid w:val="00B523AC"/>
    <w:rsid w:val="00B5252D"/>
    <w:rsid w:val="00B525F3"/>
    <w:rsid w:val="00B52854"/>
    <w:rsid w:val="00B52859"/>
    <w:rsid w:val="00B52B03"/>
    <w:rsid w:val="00B52BE0"/>
    <w:rsid w:val="00B52E2B"/>
    <w:rsid w:val="00B52E8F"/>
    <w:rsid w:val="00B53003"/>
    <w:rsid w:val="00B533AC"/>
    <w:rsid w:val="00B533F6"/>
    <w:rsid w:val="00B5343C"/>
    <w:rsid w:val="00B5344D"/>
    <w:rsid w:val="00B53502"/>
    <w:rsid w:val="00B5356D"/>
    <w:rsid w:val="00B53879"/>
    <w:rsid w:val="00B53BFA"/>
    <w:rsid w:val="00B53C20"/>
    <w:rsid w:val="00B53CA6"/>
    <w:rsid w:val="00B53CF6"/>
    <w:rsid w:val="00B53D2B"/>
    <w:rsid w:val="00B53E08"/>
    <w:rsid w:val="00B53E7A"/>
    <w:rsid w:val="00B53F4B"/>
    <w:rsid w:val="00B54031"/>
    <w:rsid w:val="00B5404E"/>
    <w:rsid w:val="00B541A9"/>
    <w:rsid w:val="00B54279"/>
    <w:rsid w:val="00B5433A"/>
    <w:rsid w:val="00B544D9"/>
    <w:rsid w:val="00B54796"/>
    <w:rsid w:val="00B54808"/>
    <w:rsid w:val="00B54826"/>
    <w:rsid w:val="00B54B10"/>
    <w:rsid w:val="00B54C9C"/>
    <w:rsid w:val="00B54CBF"/>
    <w:rsid w:val="00B54D6A"/>
    <w:rsid w:val="00B54E84"/>
    <w:rsid w:val="00B54EB8"/>
    <w:rsid w:val="00B54F25"/>
    <w:rsid w:val="00B54FF7"/>
    <w:rsid w:val="00B550D5"/>
    <w:rsid w:val="00B550E3"/>
    <w:rsid w:val="00B551AE"/>
    <w:rsid w:val="00B553D7"/>
    <w:rsid w:val="00B5548C"/>
    <w:rsid w:val="00B554A8"/>
    <w:rsid w:val="00B5557F"/>
    <w:rsid w:val="00B556CE"/>
    <w:rsid w:val="00B557FF"/>
    <w:rsid w:val="00B55916"/>
    <w:rsid w:val="00B55AB9"/>
    <w:rsid w:val="00B55AF0"/>
    <w:rsid w:val="00B55B21"/>
    <w:rsid w:val="00B55C76"/>
    <w:rsid w:val="00B55D28"/>
    <w:rsid w:val="00B55D2E"/>
    <w:rsid w:val="00B55D47"/>
    <w:rsid w:val="00B55EB8"/>
    <w:rsid w:val="00B5609B"/>
    <w:rsid w:val="00B56215"/>
    <w:rsid w:val="00B562E2"/>
    <w:rsid w:val="00B56382"/>
    <w:rsid w:val="00B5640D"/>
    <w:rsid w:val="00B564E8"/>
    <w:rsid w:val="00B564EE"/>
    <w:rsid w:val="00B564FE"/>
    <w:rsid w:val="00B5661F"/>
    <w:rsid w:val="00B56632"/>
    <w:rsid w:val="00B566E0"/>
    <w:rsid w:val="00B56782"/>
    <w:rsid w:val="00B56852"/>
    <w:rsid w:val="00B56878"/>
    <w:rsid w:val="00B56900"/>
    <w:rsid w:val="00B56912"/>
    <w:rsid w:val="00B569C5"/>
    <w:rsid w:val="00B569DE"/>
    <w:rsid w:val="00B56A2E"/>
    <w:rsid w:val="00B56A46"/>
    <w:rsid w:val="00B56A8C"/>
    <w:rsid w:val="00B56AB2"/>
    <w:rsid w:val="00B56B0A"/>
    <w:rsid w:val="00B56B51"/>
    <w:rsid w:val="00B56B78"/>
    <w:rsid w:val="00B56C13"/>
    <w:rsid w:val="00B56D03"/>
    <w:rsid w:val="00B56D13"/>
    <w:rsid w:val="00B56DD3"/>
    <w:rsid w:val="00B56EEC"/>
    <w:rsid w:val="00B56F95"/>
    <w:rsid w:val="00B573A9"/>
    <w:rsid w:val="00B5748A"/>
    <w:rsid w:val="00B574C6"/>
    <w:rsid w:val="00B574E6"/>
    <w:rsid w:val="00B575FF"/>
    <w:rsid w:val="00B577DB"/>
    <w:rsid w:val="00B57807"/>
    <w:rsid w:val="00B57A93"/>
    <w:rsid w:val="00B57BF5"/>
    <w:rsid w:val="00B57BF8"/>
    <w:rsid w:val="00B57C09"/>
    <w:rsid w:val="00B57C14"/>
    <w:rsid w:val="00B57C1A"/>
    <w:rsid w:val="00B57C2C"/>
    <w:rsid w:val="00B57C3A"/>
    <w:rsid w:val="00B57D04"/>
    <w:rsid w:val="00B57D2A"/>
    <w:rsid w:val="00B57DDA"/>
    <w:rsid w:val="00B57E33"/>
    <w:rsid w:val="00B57F57"/>
    <w:rsid w:val="00B57F85"/>
    <w:rsid w:val="00B57FC7"/>
    <w:rsid w:val="00B57FED"/>
    <w:rsid w:val="00B60077"/>
    <w:rsid w:val="00B6008D"/>
    <w:rsid w:val="00B600CB"/>
    <w:rsid w:val="00B6016B"/>
    <w:rsid w:val="00B60222"/>
    <w:rsid w:val="00B6029E"/>
    <w:rsid w:val="00B602A3"/>
    <w:rsid w:val="00B60334"/>
    <w:rsid w:val="00B6041F"/>
    <w:rsid w:val="00B60550"/>
    <w:rsid w:val="00B6072A"/>
    <w:rsid w:val="00B607A2"/>
    <w:rsid w:val="00B607DC"/>
    <w:rsid w:val="00B608E2"/>
    <w:rsid w:val="00B608F6"/>
    <w:rsid w:val="00B60961"/>
    <w:rsid w:val="00B609E2"/>
    <w:rsid w:val="00B60ADA"/>
    <w:rsid w:val="00B60AE0"/>
    <w:rsid w:val="00B60B38"/>
    <w:rsid w:val="00B60CB7"/>
    <w:rsid w:val="00B60E67"/>
    <w:rsid w:val="00B60F89"/>
    <w:rsid w:val="00B60FB6"/>
    <w:rsid w:val="00B61099"/>
    <w:rsid w:val="00B611DB"/>
    <w:rsid w:val="00B6124F"/>
    <w:rsid w:val="00B61307"/>
    <w:rsid w:val="00B61531"/>
    <w:rsid w:val="00B615B4"/>
    <w:rsid w:val="00B61760"/>
    <w:rsid w:val="00B617DA"/>
    <w:rsid w:val="00B61894"/>
    <w:rsid w:val="00B61A35"/>
    <w:rsid w:val="00B61B71"/>
    <w:rsid w:val="00B61CB5"/>
    <w:rsid w:val="00B61F83"/>
    <w:rsid w:val="00B61FAF"/>
    <w:rsid w:val="00B62090"/>
    <w:rsid w:val="00B620EF"/>
    <w:rsid w:val="00B620FF"/>
    <w:rsid w:val="00B62245"/>
    <w:rsid w:val="00B622CC"/>
    <w:rsid w:val="00B622FA"/>
    <w:rsid w:val="00B623D4"/>
    <w:rsid w:val="00B624B3"/>
    <w:rsid w:val="00B62533"/>
    <w:rsid w:val="00B625D9"/>
    <w:rsid w:val="00B6262F"/>
    <w:rsid w:val="00B62843"/>
    <w:rsid w:val="00B628A4"/>
    <w:rsid w:val="00B62AC8"/>
    <w:rsid w:val="00B62C82"/>
    <w:rsid w:val="00B62D58"/>
    <w:rsid w:val="00B62D62"/>
    <w:rsid w:val="00B62E86"/>
    <w:rsid w:val="00B62F76"/>
    <w:rsid w:val="00B62FEA"/>
    <w:rsid w:val="00B630E6"/>
    <w:rsid w:val="00B63157"/>
    <w:rsid w:val="00B63202"/>
    <w:rsid w:val="00B63232"/>
    <w:rsid w:val="00B632CD"/>
    <w:rsid w:val="00B63302"/>
    <w:rsid w:val="00B63341"/>
    <w:rsid w:val="00B6338B"/>
    <w:rsid w:val="00B635F0"/>
    <w:rsid w:val="00B636B4"/>
    <w:rsid w:val="00B6395D"/>
    <w:rsid w:val="00B639E3"/>
    <w:rsid w:val="00B63AD9"/>
    <w:rsid w:val="00B63B8F"/>
    <w:rsid w:val="00B63DC5"/>
    <w:rsid w:val="00B63DDD"/>
    <w:rsid w:val="00B63E8B"/>
    <w:rsid w:val="00B63F14"/>
    <w:rsid w:val="00B63F81"/>
    <w:rsid w:val="00B6416C"/>
    <w:rsid w:val="00B6439E"/>
    <w:rsid w:val="00B64462"/>
    <w:rsid w:val="00B64473"/>
    <w:rsid w:val="00B64597"/>
    <w:rsid w:val="00B6467C"/>
    <w:rsid w:val="00B648E7"/>
    <w:rsid w:val="00B6491B"/>
    <w:rsid w:val="00B64A4B"/>
    <w:rsid w:val="00B64BF0"/>
    <w:rsid w:val="00B64C36"/>
    <w:rsid w:val="00B64D19"/>
    <w:rsid w:val="00B64D29"/>
    <w:rsid w:val="00B64EDC"/>
    <w:rsid w:val="00B64F67"/>
    <w:rsid w:val="00B6536F"/>
    <w:rsid w:val="00B65415"/>
    <w:rsid w:val="00B654AC"/>
    <w:rsid w:val="00B65598"/>
    <w:rsid w:val="00B65657"/>
    <w:rsid w:val="00B6567F"/>
    <w:rsid w:val="00B6577A"/>
    <w:rsid w:val="00B657FB"/>
    <w:rsid w:val="00B65A1B"/>
    <w:rsid w:val="00B65C1F"/>
    <w:rsid w:val="00B65CA1"/>
    <w:rsid w:val="00B65E17"/>
    <w:rsid w:val="00B65E2D"/>
    <w:rsid w:val="00B6609A"/>
    <w:rsid w:val="00B66462"/>
    <w:rsid w:val="00B664A0"/>
    <w:rsid w:val="00B66971"/>
    <w:rsid w:val="00B669DA"/>
    <w:rsid w:val="00B66BC2"/>
    <w:rsid w:val="00B66BCD"/>
    <w:rsid w:val="00B66C29"/>
    <w:rsid w:val="00B66D83"/>
    <w:rsid w:val="00B66E2B"/>
    <w:rsid w:val="00B66FF5"/>
    <w:rsid w:val="00B67007"/>
    <w:rsid w:val="00B67014"/>
    <w:rsid w:val="00B6717D"/>
    <w:rsid w:val="00B67241"/>
    <w:rsid w:val="00B67424"/>
    <w:rsid w:val="00B6773D"/>
    <w:rsid w:val="00B67751"/>
    <w:rsid w:val="00B678BA"/>
    <w:rsid w:val="00B6799E"/>
    <w:rsid w:val="00B67A68"/>
    <w:rsid w:val="00B67B13"/>
    <w:rsid w:val="00B67C8C"/>
    <w:rsid w:val="00B67D2A"/>
    <w:rsid w:val="00B67F11"/>
    <w:rsid w:val="00B701BF"/>
    <w:rsid w:val="00B702E6"/>
    <w:rsid w:val="00B70345"/>
    <w:rsid w:val="00B7038B"/>
    <w:rsid w:val="00B704E8"/>
    <w:rsid w:val="00B70628"/>
    <w:rsid w:val="00B706CE"/>
    <w:rsid w:val="00B7072E"/>
    <w:rsid w:val="00B707E9"/>
    <w:rsid w:val="00B7080A"/>
    <w:rsid w:val="00B7087E"/>
    <w:rsid w:val="00B709A5"/>
    <w:rsid w:val="00B709C9"/>
    <w:rsid w:val="00B70AEE"/>
    <w:rsid w:val="00B70BEB"/>
    <w:rsid w:val="00B70D12"/>
    <w:rsid w:val="00B70DF6"/>
    <w:rsid w:val="00B70F04"/>
    <w:rsid w:val="00B70F6A"/>
    <w:rsid w:val="00B7106A"/>
    <w:rsid w:val="00B71129"/>
    <w:rsid w:val="00B71270"/>
    <w:rsid w:val="00B714CD"/>
    <w:rsid w:val="00B714FA"/>
    <w:rsid w:val="00B7192E"/>
    <w:rsid w:val="00B71B05"/>
    <w:rsid w:val="00B71C5C"/>
    <w:rsid w:val="00B71CFA"/>
    <w:rsid w:val="00B71D0C"/>
    <w:rsid w:val="00B71D97"/>
    <w:rsid w:val="00B71DB1"/>
    <w:rsid w:val="00B71E31"/>
    <w:rsid w:val="00B71E83"/>
    <w:rsid w:val="00B71F35"/>
    <w:rsid w:val="00B71F51"/>
    <w:rsid w:val="00B71FE1"/>
    <w:rsid w:val="00B7208E"/>
    <w:rsid w:val="00B721B6"/>
    <w:rsid w:val="00B721BE"/>
    <w:rsid w:val="00B721D7"/>
    <w:rsid w:val="00B723C9"/>
    <w:rsid w:val="00B72477"/>
    <w:rsid w:val="00B725EE"/>
    <w:rsid w:val="00B72616"/>
    <w:rsid w:val="00B72678"/>
    <w:rsid w:val="00B7272E"/>
    <w:rsid w:val="00B728A7"/>
    <w:rsid w:val="00B728AD"/>
    <w:rsid w:val="00B729D0"/>
    <w:rsid w:val="00B72A69"/>
    <w:rsid w:val="00B72A79"/>
    <w:rsid w:val="00B72AA3"/>
    <w:rsid w:val="00B72AB3"/>
    <w:rsid w:val="00B72AE0"/>
    <w:rsid w:val="00B72B97"/>
    <w:rsid w:val="00B72C6D"/>
    <w:rsid w:val="00B72CBD"/>
    <w:rsid w:val="00B72D4A"/>
    <w:rsid w:val="00B72D7D"/>
    <w:rsid w:val="00B72DC6"/>
    <w:rsid w:val="00B72DFD"/>
    <w:rsid w:val="00B72F73"/>
    <w:rsid w:val="00B72FB0"/>
    <w:rsid w:val="00B73239"/>
    <w:rsid w:val="00B732F1"/>
    <w:rsid w:val="00B7336A"/>
    <w:rsid w:val="00B734D1"/>
    <w:rsid w:val="00B73538"/>
    <w:rsid w:val="00B735D7"/>
    <w:rsid w:val="00B73691"/>
    <w:rsid w:val="00B73A13"/>
    <w:rsid w:val="00B73B08"/>
    <w:rsid w:val="00B73BA1"/>
    <w:rsid w:val="00B73BC5"/>
    <w:rsid w:val="00B73BDF"/>
    <w:rsid w:val="00B73C44"/>
    <w:rsid w:val="00B73C5B"/>
    <w:rsid w:val="00B73C6A"/>
    <w:rsid w:val="00B73CB8"/>
    <w:rsid w:val="00B73D8C"/>
    <w:rsid w:val="00B73E90"/>
    <w:rsid w:val="00B73EE5"/>
    <w:rsid w:val="00B73F18"/>
    <w:rsid w:val="00B73F22"/>
    <w:rsid w:val="00B73F56"/>
    <w:rsid w:val="00B73FAB"/>
    <w:rsid w:val="00B740BD"/>
    <w:rsid w:val="00B74161"/>
    <w:rsid w:val="00B74221"/>
    <w:rsid w:val="00B74244"/>
    <w:rsid w:val="00B74341"/>
    <w:rsid w:val="00B7435B"/>
    <w:rsid w:val="00B744BD"/>
    <w:rsid w:val="00B744F6"/>
    <w:rsid w:val="00B74671"/>
    <w:rsid w:val="00B74728"/>
    <w:rsid w:val="00B747FC"/>
    <w:rsid w:val="00B748BF"/>
    <w:rsid w:val="00B748E9"/>
    <w:rsid w:val="00B749AB"/>
    <w:rsid w:val="00B74A09"/>
    <w:rsid w:val="00B74AF0"/>
    <w:rsid w:val="00B74B24"/>
    <w:rsid w:val="00B74CB0"/>
    <w:rsid w:val="00B74E51"/>
    <w:rsid w:val="00B74F22"/>
    <w:rsid w:val="00B74F34"/>
    <w:rsid w:val="00B7518A"/>
    <w:rsid w:val="00B751CE"/>
    <w:rsid w:val="00B7520D"/>
    <w:rsid w:val="00B752A7"/>
    <w:rsid w:val="00B754F1"/>
    <w:rsid w:val="00B75509"/>
    <w:rsid w:val="00B755BF"/>
    <w:rsid w:val="00B75638"/>
    <w:rsid w:val="00B75739"/>
    <w:rsid w:val="00B7574E"/>
    <w:rsid w:val="00B757D1"/>
    <w:rsid w:val="00B759A6"/>
    <w:rsid w:val="00B75CD6"/>
    <w:rsid w:val="00B75D25"/>
    <w:rsid w:val="00B75FBD"/>
    <w:rsid w:val="00B75FC9"/>
    <w:rsid w:val="00B76192"/>
    <w:rsid w:val="00B761C8"/>
    <w:rsid w:val="00B761FC"/>
    <w:rsid w:val="00B7621F"/>
    <w:rsid w:val="00B762AD"/>
    <w:rsid w:val="00B76370"/>
    <w:rsid w:val="00B7647D"/>
    <w:rsid w:val="00B7653A"/>
    <w:rsid w:val="00B76762"/>
    <w:rsid w:val="00B7677C"/>
    <w:rsid w:val="00B7681F"/>
    <w:rsid w:val="00B76945"/>
    <w:rsid w:val="00B76A46"/>
    <w:rsid w:val="00B76A95"/>
    <w:rsid w:val="00B76ADE"/>
    <w:rsid w:val="00B76BBF"/>
    <w:rsid w:val="00B76D88"/>
    <w:rsid w:val="00B76DC2"/>
    <w:rsid w:val="00B76E16"/>
    <w:rsid w:val="00B76EDE"/>
    <w:rsid w:val="00B76FB6"/>
    <w:rsid w:val="00B771A1"/>
    <w:rsid w:val="00B771EF"/>
    <w:rsid w:val="00B77316"/>
    <w:rsid w:val="00B7738A"/>
    <w:rsid w:val="00B773A7"/>
    <w:rsid w:val="00B773B8"/>
    <w:rsid w:val="00B77624"/>
    <w:rsid w:val="00B77712"/>
    <w:rsid w:val="00B77794"/>
    <w:rsid w:val="00B77A25"/>
    <w:rsid w:val="00B77A67"/>
    <w:rsid w:val="00B77AAC"/>
    <w:rsid w:val="00B77AEC"/>
    <w:rsid w:val="00B77CC1"/>
    <w:rsid w:val="00B77CD5"/>
    <w:rsid w:val="00B77CF9"/>
    <w:rsid w:val="00B77DB1"/>
    <w:rsid w:val="00B77E0D"/>
    <w:rsid w:val="00B8011C"/>
    <w:rsid w:val="00B80243"/>
    <w:rsid w:val="00B80330"/>
    <w:rsid w:val="00B80404"/>
    <w:rsid w:val="00B804F4"/>
    <w:rsid w:val="00B80537"/>
    <w:rsid w:val="00B805CD"/>
    <w:rsid w:val="00B80677"/>
    <w:rsid w:val="00B80805"/>
    <w:rsid w:val="00B80897"/>
    <w:rsid w:val="00B808D2"/>
    <w:rsid w:val="00B809FC"/>
    <w:rsid w:val="00B80A62"/>
    <w:rsid w:val="00B80AE2"/>
    <w:rsid w:val="00B80B54"/>
    <w:rsid w:val="00B80B65"/>
    <w:rsid w:val="00B80BB5"/>
    <w:rsid w:val="00B81048"/>
    <w:rsid w:val="00B8117F"/>
    <w:rsid w:val="00B81245"/>
    <w:rsid w:val="00B81321"/>
    <w:rsid w:val="00B814AF"/>
    <w:rsid w:val="00B81519"/>
    <w:rsid w:val="00B815E9"/>
    <w:rsid w:val="00B81660"/>
    <w:rsid w:val="00B816C9"/>
    <w:rsid w:val="00B81933"/>
    <w:rsid w:val="00B81CDC"/>
    <w:rsid w:val="00B81D6D"/>
    <w:rsid w:val="00B81F3D"/>
    <w:rsid w:val="00B81F4B"/>
    <w:rsid w:val="00B81FA4"/>
    <w:rsid w:val="00B82043"/>
    <w:rsid w:val="00B8208B"/>
    <w:rsid w:val="00B82091"/>
    <w:rsid w:val="00B820D8"/>
    <w:rsid w:val="00B8234B"/>
    <w:rsid w:val="00B82394"/>
    <w:rsid w:val="00B8254B"/>
    <w:rsid w:val="00B826E2"/>
    <w:rsid w:val="00B82724"/>
    <w:rsid w:val="00B82743"/>
    <w:rsid w:val="00B82770"/>
    <w:rsid w:val="00B827A2"/>
    <w:rsid w:val="00B82955"/>
    <w:rsid w:val="00B82964"/>
    <w:rsid w:val="00B82AB2"/>
    <w:rsid w:val="00B82B5C"/>
    <w:rsid w:val="00B82B89"/>
    <w:rsid w:val="00B82BFF"/>
    <w:rsid w:val="00B82C10"/>
    <w:rsid w:val="00B82D13"/>
    <w:rsid w:val="00B82D27"/>
    <w:rsid w:val="00B82D90"/>
    <w:rsid w:val="00B82DE0"/>
    <w:rsid w:val="00B83007"/>
    <w:rsid w:val="00B830A7"/>
    <w:rsid w:val="00B830D1"/>
    <w:rsid w:val="00B830FE"/>
    <w:rsid w:val="00B83553"/>
    <w:rsid w:val="00B835EE"/>
    <w:rsid w:val="00B83762"/>
    <w:rsid w:val="00B8377E"/>
    <w:rsid w:val="00B83841"/>
    <w:rsid w:val="00B83934"/>
    <w:rsid w:val="00B83941"/>
    <w:rsid w:val="00B8396E"/>
    <w:rsid w:val="00B83A8D"/>
    <w:rsid w:val="00B83C6A"/>
    <w:rsid w:val="00B83CE4"/>
    <w:rsid w:val="00B83D15"/>
    <w:rsid w:val="00B83D82"/>
    <w:rsid w:val="00B84117"/>
    <w:rsid w:val="00B84346"/>
    <w:rsid w:val="00B843E0"/>
    <w:rsid w:val="00B84507"/>
    <w:rsid w:val="00B84565"/>
    <w:rsid w:val="00B8458F"/>
    <w:rsid w:val="00B84645"/>
    <w:rsid w:val="00B84652"/>
    <w:rsid w:val="00B847A7"/>
    <w:rsid w:val="00B847BA"/>
    <w:rsid w:val="00B8497A"/>
    <w:rsid w:val="00B84A95"/>
    <w:rsid w:val="00B84B0A"/>
    <w:rsid w:val="00B84B61"/>
    <w:rsid w:val="00B84BFF"/>
    <w:rsid w:val="00B84C47"/>
    <w:rsid w:val="00B84CB3"/>
    <w:rsid w:val="00B84E35"/>
    <w:rsid w:val="00B84E9B"/>
    <w:rsid w:val="00B84FDD"/>
    <w:rsid w:val="00B85281"/>
    <w:rsid w:val="00B8529E"/>
    <w:rsid w:val="00B853DB"/>
    <w:rsid w:val="00B854A1"/>
    <w:rsid w:val="00B85537"/>
    <w:rsid w:val="00B85590"/>
    <w:rsid w:val="00B85599"/>
    <w:rsid w:val="00B85621"/>
    <w:rsid w:val="00B85704"/>
    <w:rsid w:val="00B858B2"/>
    <w:rsid w:val="00B858BA"/>
    <w:rsid w:val="00B858D1"/>
    <w:rsid w:val="00B859A8"/>
    <w:rsid w:val="00B859CC"/>
    <w:rsid w:val="00B85A9F"/>
    <w:rsid w:val="00B85C0C"/>
    <w:rsid w:val="00B85CBE"/>
    <w:rsid w:val="00B85CD2"/>
    <w:rsid w:val="00B85CE2"/>
    <w:rsid w:val="00B85DCE"/>
    <w:rsid w:val="00B86138"/>
    <w:rsid w:val="00B86165"/>
    <w:rsid w:val="00B862EC"/>
    <w:rsid w:val="00B863A0"/>
    <w:rsid w:val="00B863EE"/>
    <w:rsid w:val="00B86404"/>
    <w:rsid w:val="00B8640F"/>
    <w:rsid w:val="00B86411"/>
    <w:rsid w:val="00B8658F"/>
    <w:rsid w:val="00B86720"/>
    <w:rsid w:val="00B867C7"/>
    <w:rsid w:val="00B86884"/>
    <w:rsid w:val="00B86A61"/>
    <w:rsid w:val="00B86B21"/>
    <w:rsid w:val="00B86CB7"/>
    <w:rsid w:val="00B86E27"/>
    <w:rsid w:val="00B86E2E"/>
    <w:rsid w:val="00B86EBB"/>
    <w:rsid w:val="00B86F47"/>
    <w:rsid w:val="00B86F6B"/>
    <w:rsid w:val="00B87038"/>
    <w:rsid w:val="00B870A5"/>
    <w:rsid w:val="00B8718A"/>
    <w:rsid w:val="00B871C5"/>
    <w:rsid w:val="00B875D1"/>
    <w:rsid w:val="00B877CC"/>
    <w:rsid w:val="00B878B5"/>
    <w:rsid w:val="00B87925"/>
    <w:rsid w:val="00B8794C"/>
    <w:rsid w:val="00B87954"/>
    <w:rsid w:val="00B879FA"/>
    <w:rsid w:val="00B87A8B"/>
    <w:rsid w:val="00B87B04"/>
    <w:rsid w:val="00B87B71"/>
    <w:rsid w:val="00B87B8B"/>
    <w:rsid w:val="00B87F5E"/>
    <w:rsid w:val="00B87F91"/>
    <w:rsid w:val="00B87FFA"/>
    <w:rsid w:val="00B888EE"/>
    <w:rsid w:val="00B9011F"/>
    <w:rsid w:val="00B9014C"/>
    <w:rsid w:val="00B901DE"/>
    <w:rsid w:val="00B90275"/>
    <w:rsid w:val="00B903D2"/>
    <w:rsid w:val="00B903F6"/>
    <w:rsid w:val="00B905EC"/>
    <w:rsid w:val="00B90665"/>
    <w:rsid w:val="00B906D5"/>
    <w:rsid w:val="00B90707"/>
    <w:rsid w:val="00B907CE"/>
    <w:rsid w:val="00B908F6"/>
    <w:rsid w:val="00B90907"/>
    <w:rsid w:val="00B9096E"/>
    <w:rsid w:val="00B90A79"/>
    <w:rsid w:val="00B90A90"/>
    <w:rsid w:val="00B90ECD"/>
    <w:rsid w:val="00B90F94"/>
    <w:rsid w:val="00B912F9"/>
    <w:rsid w:val="00B9155F"/>
    <w:rsid w:val="00B9176D"/>
    <w:rsid w:val="00B917FC"/>
    <w:rsid w:val="00B9190B"/>
    <w:rsid w:val="00B91960"/>
    <w:rsid w:val="00B91BA4"/>
    <w:rsid w:val="00B91D32"/>
    <w:rsid w:val="00B91D92"/>
    <w:rsid w:val="00B91E07"/>
    <w:rsid w:val="00B91E0B"/>
    <w:rsid w:val="00B91E6A"/>
    <w:rsid w:val="00B91EA2"/>
    <w:rsid w:val="00B91EDC"/>
    <w:rsid w:val="00B92158"/>
    <w:rsid w:val="00B923DF"/>
    <w:rsid w:val="00B923FD"/>
    <w:rsid w:val="00B9242D"/>
    <w:rsid w:val="00B92462"/>
    <w:rsid w:val="00B9280A"/>
    <w:rsid w:val="00B92849"/>
    <w:rsid w:val="00B928C2"/>
    <w:rsid w:val="00B92A3E"/>
    <w:rsid w:val="00B92A52"/>
    <w:rsid w:val="00B92B16"/>
    <w:rsid w:val="00B92C73"/>
    <w:rsid w:val="00B92C86"/>
    <w:rsid w:val="00B92D51"/>
    <w:rsid w:val="00B92E20"/>
    <w:rsid w:val="00B92F94"/>
    <w:rsid w:val="00B92FA0"/>
    <w:rsid w:val="00B93099"/>
    <w:rsid w:val="00B93139"/>
    <w:rsid w:val="00B93282"/>
    <w:rsid w:val="00B932BA"/>
    <w:rsid w:val="00B9344C"/>
    <w:rsid w:val="00B934C7"/>
    <w:rsid w:val="00B934DA"/>
    <w:rsid w:val="00B9383B"/>
    <w:rsid w:val="00B93861"/>
    <w:rsid w:val="00B93928"/>
    <w:rsid w:val="00B9394E"/>
    <w:rsid w:val="00B939E4"/>
    <w:rsid w:val="00B93A72"/>
    <w:rsid w:val="00B93C47"/>
    <w:rsid w:val="00B93E11"/>
    <w:rsid w:val="00B94034"/>
    <w:rsid w:val="00B9405C"/>
    <w:rsid w:val="00B94130"/>
    <w:rsid w:val="00B9414B"/>
    <w:rsid w:val="00B94184"/>
    <w:rsid w:val="00B94216"/>
    <w:rsid w:val="00B942F6"/>
    <w:rsid w:val="00B94411"/>
    <w:rsid w:val="00B94414"/>
    <w:rsid w:val="00B9448D"/>
    <w:rsid w:val="00B94705"/>
    <w:rsid w:val="00B94785"/>
    <w:rsid w:val="00B94829"/>
    <w:rsid w:val="00B949F4"/>
    <w:rsid w:val="00B94A98"/>
    <w:rsid w:val="00B94AC6"/>
    <w:rsid w:val="00B94B70"/>
    <w:rsid w:val="00B94D4C"/>
    <w:rsid w:val="00B94E0F"/>
    <w:rsid w:val="00B94F55"/>
    <w:rsid w:val="00B95060"/>
    <w:rsid w:val="00B95123"/>
    <w:rsid w:val="00B95270"/>
    <w:rsid w:val="00B95474"/>
    <w:rsid w:val="00B956B5"/>
    <w:rsid w:val="00B95AE6"/>
    <w:rsid w:val="00B95BB3"/>
    <w:rsid w:val="00B95EF4"/>
    <w:rsid w:val="00B96054"/>
    <w:rsid w:val="00B9605D"/>
    <w:rsid w:val="00B96080"/>
    <w:rsid w:val="00B960B5"/>
    <w:rsid w:val="00B9625F"/>
    <w:rsid w:val="00B962A6"/>
    <w:rsid w:val="00B96565"/>
    <w:rsid w:val="00B965CB"/>
    <w:rsid w:val="00B967D0"/>
    <w:rsid w:val="00B96810"/>
    <w:rsid w:val="00B96945"/>
    <w:rsid w:val="00B96A15"/>
    <w:rsid w:val="00B96D65"/>
    <w:rsid w:val="00B96E24"/>
    <w:rsid w:val="00B96E74"/>
    <w:rsid w:val="00B96FAE"/>
    <w:rsid w:val="00B96FB8"/>
    <w:rsid w:val="00B9701E"/>
    <w:rsid w:val="00B970C8"/>
    <w:rsid w:val="00B970CF"/>
    <w:rsid w:val="00B97216"/>
    <w:rsid w:val="00B97293"/>
    <w:rsid w:val="00B97396"/>
    <w:rsid w:val="00B97434"/>
    <w:rsid w:val="00B9763D"/>
    <w:rsid w:val="00B9763F"/>
    <w:rsid w:val="00B976B3"/>
    <w:rsid w:val="00B978F6"/>
    <w:rsid w:val="00B97958"/>
    <w:rsid w:val="00B97A29"/>
    <w:rsid w:val="00B97A2D"/>
    <w:rsid w:val="00B97ADB"/>
    <w:rsid w:val="00B97B6B"/>
    <w:rsid w:val="00B97D32"/>
    <w:rsid w:val="00B97DB9"/>
    <w:rsid w:val="00B97F43"/>
    <w:rsid w:val="00B97FFC"/>
    <w:rsid w:val="00BA0204"/>
    <w:rsid w:val="00BA03D2"/>
    <w:rsid w:val="00BA0505"/>
    <w:rsid w:val="00BA0B4E"/>
    <w:rsid w:val="00BA0BC2"/>
    <w:rsid w:val="00BA0BEB"/>
    <w:rsid w:val="00BA0C30"/>
    <w:rsid w:val="00BA0CAB"/>
    <w:rsid w:val="00BA0E0D"/>
    <w:rsid w:val="00BA0FCE"/>
    <w:rsid w:val="00BA1022"/>
    <w:rsid w:val="00BA104A"/>
    <w:rsid w:val="00BA1126"/>
    <w:rsid w:val="00BA1184"/>
    <w:rsid w:val="00BA1291"/>
    <w:rsid w:val="00BA133C"/>
    <w:rsid w:val="00BA1486"/>
    <w:rsid w:val="00BA1526"/>
    <w:rsid w:val="00BA15E2"/>
    <w:rsid w:val="00BA15F3"/>
    <w:rsid w:val="00BA161F"/>
    <w:rsid w:val="00BA1653"/>
    <w:rsid w:val="00BA170D"/>
    <w:rsid w:val="00BA1846"/>
    <w:rsid w:val="00BA188A"/>
    <w:rsid w:val="00BA18AB"/>
    <w:rsid w:val="00BA18B9"/>
    <w:rsid w:val="00BA1B47"/>
    <w:rsid w:val="00BA1C9C"/>
    <w:rsid w:val="00BA1D35"/>
    <w:rsid w:val="00BA1D6E"/>
    <w:rsid w:val="00BA1E8E"/>
    <w:rsid w:val="00BA1EF0"/>
    <w:rsid w:val="00BA1F18"/>
    <w:rsid w:val="00BA1F73"/>
    <w:rsid w:val="00BA1F78"/>
    <w:rsid w:val="00BA1FBC"/>
    <w:rsid w:val="00BA215C"/>
    <w:rsid w:val="00BA21ED"/>
    <w:rsid w:val="00BA228D"/>
    <w:rsid w:val="00BA2362"/>
    <w:rsid w:val="00BA240E"/>
    <w:rsid w:val="00BA2432"/>
    <w:rsid w:val="00BA2569"/>
    <w:rsid w:val="00BA2612"/>
    <w:rsid w:val="00BA26A0"/>
    <w:rsid w:val="00BA27D2"/>
    <w:rsid w:val="00BA2892"/>
    <w:rsid w:val="00BA29F6"/>
    <w:rsid w:val="00BA2A30"/>
    <w:rsid w:val="00BA2A33"/>
    <w:rsid w:val="00BA2AD5"/>
    <w:rsid w:val="00BA2B35"/>
    <w:rsid w:val="00BA2E73"/>
    <w:rsid w:val="00BA2E77"/>
    <w:rsid w:val="00BA2E9A"/>
    <w:rsid w:val="00BA2FE5"/>
    <w:rsid w:val="00BA31F3"/>
    <w:rsid w:val="00BA3261"/>
    <w:rsid w:val="00BA349D"/>
    <w:rsid w:val="00BA34B8"/>
    <w:rsid w:val="00BA34C7"/>
    <w:rsid w:val="00BA376F"/>
    <w:rsid w:val="00BA37B8"/>
    <w:rsid w:val="00BA3821"/>
    <w:rsid w:val="00BA38EE"/>
    <w:rsid w:val="00BA3AA2"/>
    <w:rsid w:val="00BA3CE5"/>
    <w:rsid w:val="00BA3E2A"/>
    <w:rsid w:val="00BA3F91"/>
    <w:rsid w:val="00BA41E5"/>
    <w:rsid w:val="00BA4227"/>
    <w:rsid w:val="00BA4231"/>
    <w:rsid w:val="00BA431F"/>
    <w:rsid w:val="00BA4334"/>
    <w:rsid w:val="00BA442A"/>
    <w:rsid w:val="00BA44BE"/>
    <w:rsid w:val="00BA44D5"/>
    <w:rsid w:val="00BA450F"/>
    <w:rsid w:val="00BA45EB"/>
    <w:rsid w:val="00BA4602"/>
    <w:rsid w:val="00BA4730"/>
    <w:rsid w:val="00BA4731"/>
    <w:rsid w:val="00BA47B3"/>
    <w:rsid w:val="00BA4857"/>
    <w:rsid w:val="00BA48E1"/>
    <w:rsid w:val="00BA4A9E"/>
    <w:rsid w:val="00BA4BC9"/>
    <w:rsid w:val="00BA4CBE"/>
    <w:rsid w:val="00BA4D7B"/>
    <w:rsid w:val="00BA4EBB"/>
    <w:rsid w:val="00BA4F8A"/>
    <w:rsid w:val="00BA506B"/>
    <w:rsid w:val="00BA50E6"/>
    <w:rsid w:val="00BA5112"/>
    <w:rsid w:val="00BA5316"/>
    <w:rsid w:val="00BA5354"/>
    <w:rsid w:val="00BA5449"/>
    <w:rsid w:val="00BA555E"/>
    <w:rsid w:val="00BA55F6"/>
    <w:rsid w:val="00BA5799"/>
    <w:rsid w:val="00BA579C"/>
    <w:rsid w:val="00BA57C4"/>
    <w:rsid w:val="00BA57F2"/>
    <w:rsid w:val="00BA5CD5"/>
    <w:rsid w:val="00BA5D0D"/>
    <w:rsid w:val="00BA5DD9"/>
    <w:rsid w:val="00BA5E12"/>
    <w:rsid w:val="00BA5EB6"/>
    <w:rsid w:val="00BA5F2E"/>
    <w:rsid w:val="00BA5F2F"/>
    <w:rsid w:val="00BA5F7B"/>
    <w:rsid w:val="00BA6015"/>
    <w:rsid w:val="00BA6106"/>
    <w:rsid w:val="00BA6144"/>
    <w:rsid w:val="00BA61BE"/>
    <w:rsid w:val="00BA638B"/>
    <w:rsid w:val="00BA645E"/>
    <w:rsid w:val="00BA65C4"/>
    <w:rsid w:val="00BA67FE"/>
    <w:rsid w:val="00BA69A4"/>
    <w:rsid w:val="00BA69E3"/>
    <w:rsid w:val="00BA6A76"/>
    <w:rsid w:val="00BA6AB6"/>
    <w:rsid w:val="00BA6D56"/>
    <w:rsid w:val="00BA6DDD"/>
    <w:rsid w:val="00BA6F79"/>
    <w:rsid w:val="00BA6F8B"/>
    <w:rsid w:val="00BA72DE"/>
    <w:rsid w:val="00BA752E"/>
    <w:rsid w:val="00BA753C"/>
    <w:rsid w:val="00BA7541"/>
    <w:rsid w:val="00BA75D9"/>
    <w:rsid w:val="00BA762B"/>
    <w:rsid w:val="00BA76B7"/>
    <w:rsid w:val="00BA773E"/>
    <w:rsid w:val="00BA7821"/>
    <w:rsid w:val="00BA78FA"/>
    <w:rsid w:val="00BA7964"/>
    <w:rsid w:val="00BA7B13"/>
    <w:rsid w:val="00BA7BD6"/>
    <w:rsid w:val="00BA7C09"/>
    <w:rsid w:val="00BA7CA8"/>
    <w:rsid w:val="00BA7CB6"/>
    <w:rsid w:val="00BA7D06"/>
    <w:rsid w:val="00BA7D07"/>
    <w:rsid w:val="00BA7FAF"/>
    <w:rsid w:val="00BB0111"/>
    <w:rsid w:val="00BB0187"/>
    <w:rsid w:val="00BB01BB"/>
    <w:rsid w:val="00BB0224"/>
    <w:rsid w:val="00BB028F"/>
    <w:rsid w:val="00BB030E"/>
    <w:rsid w:val="00BB0597"/>
    <w:rsid w:val="00BB05CC"/>
    <w:rsid w:val="00BB05EC"/>
    <w:rsid w:val="00BB07FA"/>
    <w:rsid w:val="00BB0825"/>
    <w:rsid w:val="00BB0896"/>
    <w:rsid w:val="00BB0C1B"/>
    <w:rsid w:val="00BB0C8F"/>
    <w:rsid w:val="00BB0D57"/>
    <w:rsid w:val="00BB0D96"/>
    <w:rsid w:val="00BB0FDD"/>
    <w:rsid w:val="00BB10EA"/>
    <w:rsid w:val="00BB118B"/>
    <w:rsid w:val="00BB125F"/>
    <w:rsid w:val="00BB128E"/>
    <w:rsid w:val="00BB1564"/>
    <w:rsid w:val="00BB15C0"/>
    <w:rsid w:val="00BB1658"/>
    <w:rsid w:val="00BB175F"/>
    <w:rsid w:val="00BB178F"/>
    <w:rsid w:val="00BB17A8"/>
    <w:rsid w:val="00BB188C"/>
    <w:rsid w:val="00BB1B33"/>
    <w:rsid w:val="00BB1B4B"/>
    <w:rsid w:val="00BB1B8E"/>
    <w:rsid w:val="00BB1C60"/>
    <w:rsid w:val="00BB1CE3"/>
    <w:rsid w:val="00BB1D85"/>
    <w:rsid w:val="00BB1DD4"/>
    <w:rsid w:val="00BB1DD7"/>
    <w:rsid w:val="00BB1E3B"/>
    <w:rsid w:val="00BB1FD6"/>
    <w:rsid w:val="00BB2018"/>
    <w:rsid w:val="00BB20C0"/>
    <w:rsid w:val="00BB210D"/>
    <w:rsid w:val="00BB2293"/>
    <w:rsid w:val="00BB231A"/>
    <w:rsid w:val="00BB2339"/>
    <w:rsid w:val="00BB2414"/>
    <w:rsid w:val="00BB2441"/>
    <w:rsid w:val="00BB2447"/>
    <w:rsid w:val="00BB24DC"/>
    <w:rsid w:val="00BB2515"/>
    <w:rsid w:val="00BB25D3"/>
    <w:rsid w:val="00BB2603"/>
    <w:rsid w:val="00BB268B"/>
    <w:rsid w:val="00BB278D"/>
    <w:rsid w:val="00BB29ED"/>
    <w:rsid w:val="00BB2B98"/>
    <w:rsid w:val="00BB2BF7"/>
    <w:rsid w:val="00BB2CA2"/>
    <w:rsid w:val="00BB2DAA"/>
    <w:rsid w:val="00BB30A9"/>
    <w:rsid w:val="00BB3251"/>
    <w:rsid w:val="00BB34E5"/>
    <w:rsid w:val="00BB359C"/>
    <w:rsid w:val="00BB36A2"/>
    <w:rsid w:val="00BB3A4C"/>
    <w:rsid w:val="00BB3AB8"/>
    <w:rsid w:val="00BB3ADA"/>
    <w:rsid w:val="00BB3B80"/>
    <w:rsid w:val="00BB3B8F"/>
    <w:rsid w:val="00BB3C6E"/>
    <w:rsid w:val="00BB3FAA"/>
    <w:rsid w:val="00BB3FBC"/>
    <w:rsid w:val="00BB4021"/>
    <w:rsid w:val="00BB4147"/>
    <w:rsid w:val="00BB4346"/>
    <w:rsid w:val="00BB4377"/>
    <w:rsid w:val="00BB4644"/>
    <w:rsid w:val="00BB46C9"/>
    <w:rsid w:val="00BB471F"/>
    <w:rsid w:val="00BB479E"/>
    <w:rsid w:val="00BB47A4"/>
    <w:rsid w:val="00BB4889"/>
    <w:rsid w:val="00BB48F9"/>
    <w:rsid w:val="00BB49A4"/>
    <w:rsid w:val="00BB49D9"/>
    <w:rsid w:val="00BB49E8"/>
    <w:rsid w:val="00BB4A3E"/>
    <w:rsid w:val="00BB4A53"/>
    <w:rsid w:val="00BB4B16"/>
    <w:rsid w:val="00BB4C39"/>
    <w:rsid w:val="00BB4D91"/>
    <w:rsid w:val="00BB4E48"/>
    <w:rsid w:val="00BB4E60"/>
    <w:rsid w:val="00BB4F10"/>
    <w:rsid w:val="00BB507D"/>
    <w:rsid w:val="00BB52A4"/>
    <w:rsid w:val="00BB559B"/>
    <w:rsid w:val="00BB5626"/>
    <w:rsid w:val="00BB5656"/>
    <w:rsid w:val="00BB58B5"/>
    <w:rsid w:val="00BB58CA"/>
    <w:rsid w:val="00BB58D6"/>
    <w:rsid w:val="00BB591B"/>
    <w:rsid w:val="00BB5B52"/>
    <w:rsid w:val="00BB5B7B"/>
    <w:rsid w:val="00BB5BDB"/>
    <w:rsid w:val="00BB5CCB"/>
    <w:rsid w:val="00BB5D32"/>
    <w:rsid w:val="00BB5DB4"/>
    <w:rsid w:val="00BB5E8F"/>
    <w:rsid w:val="00BB5F2B"/>
    <w:rsid w:val="00BB5F36"/>
    <w:rsid w:val="00BB5F38"/>
    <w:rsid w:val="00BB60C3"/>
    <w:rsid w:val="00BB6264"/>
    <w:rsid w:val="00BB62FA"/>
    <w:rsid w:val="00BB64C9"/>
    <w:rsid w:val="00BB6509"/>
    <w:rsid w:val="00BB65B0"/>
    <w:rsid w:val="00BB65F8"/>
    <w:rsid w:val="00BB668B"/>
    <w:rsid w:val="00BB66A6"/>
    <w:rsid w:val="00BB6808"/>
    <w:rsid w:val="00BB680A"/>
    <w:rsid w:val="00BB6882"/>
    <w:rsid w:val="00BB6A16"/>
    <w:rsid w:val="00BB6A8D"/>
    <w:rsid w:val="00BB6B15"/>
    <w:rsid w:val="00BB6DD1"/>
    <w:rsid w:val="00BB6E49"/>
    <w:rsid w:val="00BB6F8A"/>
    <w:rsid w:val="00BB6FE2"/>
    <w:rsid w:val="00BB70A6"/>
    <w:rsid w:val="00BB714D"/>
    <w:rsid w:val="00BB71D8"/>
    <w:rsid w:val="00BB72BE"/>
    <w:rsid w:val="00BB72F6"/>
    <w:rsid w:val="00BB7334"/>
    <w:rsid w:val="00BB7393"/>
    <w:rsid w:val="00BB7628"/>
    <w:rsid w:val="00BB768E"/>
    <w:rsid w:val="00BB779C"/>
    <w:rsid w:val="00BB77B7"/>
    <w:rsid w:val="00BB784E"/>
    <w:rsid w:val="00BB796B"/>
    <w:rsid w:val="00BB79BB"/>
    <w:rsid w:val="00BB7AF3"/>
    <w:rsid w:val="00BB7CA4"/>
    <w:rsid w:val="00BB7CCE"/>
    <w:rsid w:val="00BB7DD8"/>
    <w:rsid w:val="00BB7DE6"/>
    <w:rsid w:val="00BB7E02"/>
    <w:rsid w:val="00BB7F11"/>
    <w:rsid w:val="00BB7F81"/>
    <w:rsid w:val="00BC0107"/>
    <w:rsid w:val="00BC0261"/>
    <w:rsid w:val="00BC0477"/>
    <w:rsid w:val="00BC04AA"/>
    <w:rsid w:val="00BC04FF"/>
    <w:rsid w:val="00BC054B"/>
    <w:rsid w:val="00BC0579"/>
    <w:rsid w:val="00BC05AE"/>
    <w:rsid w:val="00BC06BD"/>
    <w:rsid w:val="00BC06C9"/>
    <w:rsid w:val="00BC0767"/>
    <w:rsid w:val="00BC099E"/>
    <w:rsid w:val="00BC0AD5"/>
    <w:rsid w:val="00BC0B12"/>
    <w:rsid w:val="00BC0B48"/>
    <w:rsid w:val="00BC0BC9"/>
    <w:rsid w:val="00BC0C7D"/>
    <w:rsid w:val="00BC0F15"/>
    <w:rsid w:val="00BC0F1A"/>
    <w:rsid w:val="00BC0F85"/>
    <w:rsid w:val="00BC0FA7"/>
    <w:rsid w:val="00BC11BE"/>
    <w:rsid w:val="00BC1429"/>
    <w:rsid w:val="00BC189A"/>
    <w:rsid w:val="00BC1A10"/>
    <w:rsid w:val="00BC1AD5"/>
    <w:rsid w:val="00BC1C9D"/>
    <w:rsid w:val="00BC1CA4"/>
    <w:rsid w:val="00BC1D2F"/>
    <w:rsid w:val="00BC1D6D"/>
    <w:rsid w:val="00BC1D9B"/>
    <w:rsid w:val="00BC1DA3"/>
    <w:rsid w:val="00BC1FA7"/>
    <w:rsid w:val="00BC1FA8"/>
    <w:rsid w:val="00BC1FAB"/>
    <w:rsid w:val="00BC1FB1"/>
    <w:rsid w:val="00BC1FDD"/>
    <w:rsid w:val="00BC20AC"/>
    <w:rsid w:val="00BC20EF"/>
    <w:rsid w:val="00BC248C"/>
    <w:rsid w:val="00BC2558"/>
    <w:rsid w:val="00BC2A08"/>
    <w:rsid w:val="00BC2A55"/>
    <w:rsid w:val="00BC2A70"/>
    <w:rsid w:val="00BC2A93"/>
    <w:rsid w:val="00BC2D84"/>
    <w:rsid w:val="00BC2E6D"/>
    <w:rsid w:val="00BC2EF7"/>
    <w:rsid w:val="00BC2FE5"/>
    <w:rsid w:val="00BC31E1"/>
    <w:rsid w:val="00BC3208"/>
    <w:rsid w:val="00BC3238"/>
    <w:rsid w:val="00BC32E9"/>
    <w:rsid w:val="00BC3367"/>
    <w:rsid w:val="00BC3467"/>
    <w:rsid w:val="00BC35C8"/>
    <w:rsid w:val="00BC3632"/>
    <w:rsid w:val="00BC36DE"/>
    <w:rsid w:val="00BC38B9"/>
    <w:rsid w:val="00BC39C5"/>
    <w:rsid w:val="00BC3AFE"/>
    <w:rsid w:val="00BC3BFD"/>
    <w:rsid w:val="00BC3C87"/>
    <w:rsid w:val="00BC3CC1"/>
    <w:rsid w:val="00BC3D17"/>
    <w:rsid w:val="00BC3EC8"/>
    <w:rsid w:val="00BC3F43"/>
    <w:rsid w:val="00BC3F7F"/>
    <w:rsid w:val="00BC3FF3"/>
    <w:rsid w:val="00BC402F"/>
    <w:rsid w:val="00BC414E"/>
    <w:rsid w:val="00BC4152"/>
    <w:rsid w:val="00BC419A"/>
    <w:rsid w:val="00BC41A3"/>
    <w:rsid w:val="00BC4213"/>
    <w:rsid w:val="00BC43B9"/>
    <w:rsid w:val="00BC443E"/>
    <w:rsid w:val="00BC455E"/>
    <w:rsid w:val="00BC4566"/>
    <w:rsid w:val="00BC4686"/>
    <w:rsid w:val="00BC468F"/>
    <w:rsid w:val="00BC474B"/>
    <w:rsid w:val="00BC476A"/>
    <w:rsid w:val="00BC4AAC"/>
    <w:rsid w:val="00BC4AB8"/>
    <w:rsid w:val="00BC4B00"/>
    <w:rsid w:val="00BC4DEB"/>
    <w:rsid w:val="00BC4DF3"/>
    <w:rsid w:val="00BC4E73"/>
    <w:rsid w:val="00BC4E78"/>
    <w:rsid w:val="00BC5064"/>
    <w:rsid w:val="00BC509A"/>
    <w:rsid w:val="00BC5258"/>
    <w:rsid w:val="00BC5286"/>
    <w:rsid w:val="00BC52EA"/>
    <w:rsid w:val="00BC5309"/>
    <w:rsid w:val="00BC543F"/>
    <w:rsid w:val="00BC54C6"/>
    <w:rsid w:val="00BC5514"/>
    <w:rsid w:val="00BC554D"/>
    <w:rsid w:val="00BC5636"/>
    <w:rsid w:val="00BC564B"/>
    <w:rsid w:val="00BC57AE"/>
    <w:rsid w:val="00BC57DD"/>
    <w:rsid w:val="00BC5875"/>
    <w:rsid w:val="00BC5878"/>
    <w:rsid w:val="00BC587F"/>
    <w:rsid w:val="00BC5A8A"/>
    <w:rsid w:val="00BC5AA4"/>
    <w:rsid w:val="00BC5B44"/>
    <w:rsid w:val="00BC5B88"/>
    <w:rsid w:val="00BC5C4D"/>
    <w:rsid w:val="00BC5E99"/>
    <w:rsid w:val="00BC5EA9"/>
    <w:rsid w:val="00BC5EB4"/>
    <w:rsid w:val="00BC611A"/>
    <w:rsid w:val="00BC612D"/>
    <w:rsid w:val="00BC61B6"/>
    <w:rsid w:val="00BC62BC"/>
    <w:rsid w:val="00BC630B"/>
    <w:rsid w:val="00BC63C1"/>
    <w:rsid w:val="00BC6457"/>
    <w:rsid w:val="00BC64B1"/>
    <w:rsid w:val="00BC66F6"/>
    <w:rsid w:val="00BC699F"/>
    <w:rsid w:val="00BC6A4D"/>
    <w:rsid w:val="00BC6A59"/>
    <w:rsid w:val="00BC6AD9"/>
    <w:rsid w:val="00BC6BCF"/>
    <w:rsid w:val="00BC6BEB"/>
    <w:rsid w:val="00BC6CCA"/>
    <w:rsid w:val="00BC6D1F"/>
    <w:rsid w:val="00BC6D49"/>
    <w:rsid w:val="00BC6F51"/>
    <w:rsid w:val="00BC6F6B"/>
    <w:rsid w:val="00BC6FBF"/>
    <w:rsid w:val="00BC7192"/>
    <w:rsid w:val="00BC71C6"/>
    <w:rsid w:val="00BC7200"/>
    <w:rsid w:val="00BC7462"/>
    <w:rsid w:val="00BC7467"/>
    <w:rsid w:val="00BC7608"/>
    <w:rsid w:val="00BC7634"/>
    <w:rsid w:val="00BC76F5"/>
    <w:rsid w:val="00BC783D"/>
    <w:rsid w:val="00BC7868"/>
    <w:rsid w:val="00BC78CC"/>
    <w:rsid w:val="00BC79F7"/>
    <w:rsid w:val="00BC7A76"/>
    <w:rsid w:val="00BC7B2E"/>
    <w:rsid w:val="00BC7C9E"/>
    <w:rsid w:val="00BC7CDB"/>
    <w:rsid w:val="00BC7D4F"/>
    <w:rsid w:val="00BC7D64"/>
    <w:rsid w:val="00BC7DA4"/>
    <w:rsid w:val="00BC7DEF"/>
    <w:rsid w:val="00BC7EA1"/>
    <w:rsid w:val="00BC7EA8"/>
    <w:rsid w:val="00BC7F15"/>
    <w:rsid w:val="00BC7F55"/>
    <w:rsid w:val="00BD018A"/>
    <w:rsid w:val="00BD02E1"/>
    <w:rsid w:val="00BD0408"/>
    <w:rsid w:val="00BD0474"/>
    <w:rsid w:val="00BD051E"/>
    <w:rsid w:val="00BD0615"/>
    <w:rsid w:val="00BD0644"/>
    <w:rsid w:val="00BD0761"/>
    <w:rsid w:val="00BD0811"/>
    <w:rsid w:val="00BD086C"/>
    <w:rsid w:val="00BD0889"/>
    <w:rsid w:val="00BD0919"/>
    <w:rsid w:val="00BD097D"/>
    <w:rsid w:val="00BD0AAA"/>
    <w:rsid w:val="00BD0B0D"/>
    <w:rsid w:val="00BD0C4A"/>
    <w:rsid w:val="00BD0CAE"/>
    <w:rsid w:val="00BD0D04"/>
    <w:rsid w:val="00BD0D62"/>
    <w:rsid w:val="00BD0D94"/>
    <w:rsid w:val="00BD0D9E"/>
    <w:rsid w:val="00BD0E0C"/>
    <w:rsid w:val="00BD0EDC"/>
    <w:rsid w:val="00BD0FD5"/>
    <w:rsid w:val="00BD1125"/>
    <w:rsid w:val="00BD113F"/>
    <w:rsid w:val="00BD11F3"/>
    <w:rsid w:val="00BD1288"/>
    <w:rsid w:val="00BD12B7"/>
    <w:rsid w:val="00BD13B1"/>
    <w:rsid w:val="00BD1815"/>
    <w:rsid w:val="00BD182B"/>
    <w:rsid w:val="00BD189B"/>
    <w:rsid w:val="00BD1B4F"/>
    <w:rsid w:val="00BD1BCF"/>
    <w:rsid w:val="00BD1C26"/>
    <w:rsid w:val="00BD1C46"/>
    <w:rsid w:val="00BD1C9A"/>
    <w:rsid w:val="00BD1E2A"/>
    <w:rsid w:val="00BD1E99"/>
    <w:rsid w:val="00BD1ED8"/>
    <w:rsid w:val="00BD1F73"/>
    <w:rsid w:val="00BD2061"/>
    <w:rsid w:val="00BD212F"/>
    <w:rsid w:val="00BD216F"/>
    <w:rsid w:val="00BD21A4"/>
    <w:rsid w:val="00BD21B2"/>
    <w:rsid w:val="00BD2236"/>
    <w:rsid w:val="00BD223E"/>
    <w:rsid w:val="00BD2304"/>
    <w:rsid w:val="00BD231F"/>
    <w:rsid w:val="00BD2451"/>
    <w:rsid w:val="00BD246D"/>
    <w:rsid w:val="00BD2496"/>
    <w:rsid w:val="00BD25AD"/>
    <w:rsid w:val="00BD272D"/>
    <w:rsid w:val="00BD27E3"/>
    <w:rsid w:val="00BD2926"/>
    <w:rsid w:val="00BD2ACD"/>
    <w:rsid w:val="00BD2CCF"/>
    <w:rsid w:val="00BD2D17"/>
    <w:rsid w:val="00BD2DFF"/>
    <w:rsid w:val="00BD2F12"/>
    <w:rsid w:val="00BD2F49"/>
    <w:rsid w:val="00BD3020"/>
    <w:rsid w:val="00BD3265"/>
    <w:rsid w:val="00BD3291"/>
    <w:rsid w:val="00BD32FB"/>
    <w:rsid w:val="00BD33C2"/>
    <w:rsid w:val="00BD3414"/>
    <w:rsid w:val="00BD3659"/>
    <w:rsid w:val="00BD36E0"/>
    <w:rsid w:val="00BD371C"/>
    <w:rsid w:val="00BD3763"/>
    <w:rsid w:val="00BD395E"/>
    <w:rsid w:val="00BD3B99"/>
    <w:rsid w:val="00BD3CFB"/>
    <w:rsid w:val="00BD3D4E"/>
    <w:rsid w:val="00BD3DFB"/>
    <w:rsid w:val="00BD3E45"/>
    <w:rsid w:val="00BD3F97"/>
    <w:rsid w:val="00BD410D"/>
    <w:rsid w:val="00BD43E9"/>
    <w:rsid w:val="00BD458D"/>
    <w:rsid w:val="00BD4D13"/>
    <w:rsid w:val="00BD4FC4"/>
    <w:rsid w:val="00BD5350"/>
    <w:rsid w:val="00BD543A"/>
    <w:rsid w:val="00BD5519"/>
    <w:rsid w:val="00BD55AC"/>
    <w:rsid w:val="00BD567F"/>
    <w:rsid w:val="00BD56B5"/>
    <w:rsid w:val="00BD5805"/>
    <w:rsid w:val="00BD5810"/>
    <w:rsid w:val="00BD5872"/>
    <w:rsid w:val="00BD587A"/>
    <w:rsid w:val="00BD58F4"/>
    <w:rsid w:val="00BD5973"/>
    <w:rsid w:val="00BD59B3"/>
    <w:rsid w:val="00BD5A7B"/>
    <w:rsid w:val="00BD5B6B"/>
    <w:rsid w:val="00BD5B93"/>
    <w:rsid w:val="00BD5CF8"/>
    <w:rsid w:val="00BD5D7C"/>
    <w:rsid w:val="00BD5E37"/>
    <w:rsid w:val="00BD5EBB"/>
    <w:rsid w:val="00BD6078"/>
    <w:rsid w:val="00BD6106"/>
    <w:rsid w:val="00BD6194"/>
    <w:rsid w:val="00BD62D6"/>
    <w:rsid w:val="00BD6313"/>
    <w:rsid w:val="00BD63D4"/>
    <w:rsid w:val="00BD64EF"/>
    <w:rsid w:val="00BD657C"/>
    <w:rsid w:val="00BD6610"/>
    <w:rsid w:val="00BD6623"/>
    <w:rsid w:val="00BD668D"/>
    <w:rsid w:val="00BD6780"/>
    <w:rsid w:val="00BD67AF"/>
    <w:rsid w:val="00BD6A20"/>
    <w:rsid w:val="00BD6AD4"/>
    <w:rsid w:val="00BD6B0B"/>
    <w:rsid w:val="00BD6C3A"/>
    <w:rsid w:val="00BD6EC8"/>
    <w:rsid w:val="00BD6EEE"/>
    <w:rsid w:val="00BD6F29"/>
    <w:rsid w:val="00BD70A2"/>
    <w:rsid w:val="00BD731A"/>
    <w:rsid w:val="00BD74C1"/>
    <w:rsid w:val="00BD752A"/>
    <w:rsid w:val="00BD757E"/>
    <w:rsid w:val="00BD75DF"/>
    <w:rsid w:val="00BD764E"/>
    <w:rsid w:val="00BD7805"/>
    <w:rsid w:val="00BD78BB"/>
    <w:rsid w:val="00BD78E1"/>
    <w:rsid w:val="00BD7936"/>
    <w:rsid w:val="00BD79C7"/>
    <w:rsid w:val="00BD7B6B"/>
    <w:rsid w:val="00BD7C62"/>
    <w:rsid w:val="00BD7D00"/>
    <w:rsid w:val="00BD7E9C"/>
    <w:rsid w:val="00BD7F50"/>
    <w:rsid w:val="00BD7F67"/>
    <w:rsid w:val="00BE00EE"/>
    <w:rsid w:val="00BE0452"/>
    <w:rsid w:val="00BE0456"/>
    <w:rsid w:val="00BE05AC"/>
    <w:rsid w:val="00BE0766"/>
    <w:rsid w:val="00BE0788"/>
    <w:rsid w:val="00BE0974"/>
    <w:rsid w:val="00BE0B4E"/>
    <w:rsid w:val="00BE0C71"/>
    <w:rsid w:val="00BE0D09"/>
    <w:rsid w:val="00BE0D2E"/>
    <w:rsid w:val="00BE0D5E"/>
    <w:rsid w:val="00BE0F2D"/>
    <w:rsid w:val="00BE100E"/>
    <w:rsid w:val="00BE105A"/>
    <w:rsid w:val="00BE115B"/>
    <w:rsid w:val="00BE12F2"/>
    <w:rsid w:val="00BE13E2"/>
    <w:rsid w:val="00BE1466"/>
    <w:rsid w:val="00BE1574"/>
    <w:rsid w:val="00BE1734"/>
    <w:rsid w:val="00BE19FC"/>
    <w:rsid w:val="00BE1AA7"/>
    <w:rsid w:val="00BE1D68"/>
    <w:rsid w:val="00BE1DAB"/>
    <w:rsid w:val="00BE1DAF"/>
    <w:rsid w:val="00BE1E63"/>
    <w:rsid w:val="00BE1E68"/>
    <w:rsid w:val="00BE1F02"/>
    <w:rsid w:val="00BE1F93"/>
    <w:rsid w:val="00BE1FFC"/>
    <w:rsid w:val="00BE2059"/>
    <w:rsid w:val="00BE20B1"/>
    <w:rsid w:val="00BE223A"/>
    <w:rsid w:val="00BE2242"/>
    <w:rsid w:val="00BE226A"/>
    <w:rsid w:val="00BE22C5"/>
    <w:rsid w:val="00BE22F4"/>
    <w:rsid w:val="00BE23B3"/>
    <w:rsid w:val="00BE23E0"/>
    <w:rsid w:val="00BE2622"/>
    <w:rsid w:val="00BE26E4"/>
    <w:rsid w:val="00BE2704"/>
    <w:rsid w:val="00BE2984"/>
    <w:rsid w:val="00BE2B6B"/>
    <w:rsid w:val="00BE2BE8"/>
    <w:rsid w:val="00BE2D29"/>
    <w:rsid w:val="00BE2D31"/>
    <w:rsid w:val="00BE2D78"/>
    <w:rsid w:val="00BE2E82"/>
    <w:rsid w:val="00BE2F0B"/>
    <w:rsid w:val="00BE2FAB"/>
    <w:rsid w:val="00BE3087"/>
    <w:rsid w:val="00BE3170"/>
    <w:rsid w:val="00BE31CA"/>
    <w:rsid w:val="00BE32B0"/>
    <w:rsid w:val="00BE3312"/>
    <w:rsid w:val="00BE332F"/>
    <w:rsid w:val="00BE34B0"/>
    <w:rsid w:val="00BE359F"/>
    <w:rsid w:val="00BE3665"/>
    <w:rsid w:val="00BE369C"/>
    <w:rsid w:val="00BE379D"/>
    <w:rsid w:val="00BE3955"/>
    <w:rsid w:val="00BE39F0"/>
    <w:rsid w:val="00BE3A90"/>
    <w:rsid w:val="00BE3AE8"/>
    <w:rsid w:val="00BE3B2E"/>
    <w:rsid w:val="00BE3B9B"/>
    <w:rsid w:val="00BE3C8F"/>
    <w:rsid w:val="00BE3E0E"/>
    <w:rsid w:val="00BE3E36"/>
    <w:rsid w:val="00BE412E"/>
    <w:rsid w:val="00BE4233"/>
    <w:rsid w:val="00BE4373"/>
    <w:rsid w:val="00BE438C"/>
    <w:rsid w:val="00BE438F"/>
    <w:rsid w:val="00BE4616"/>
    <w:rsid w:val="00BE462D"/>
    <w:rsid w:val="00BE4698"/>
    <w:rsid w:val="00BE4876"/>
    <w:rsid w:val="00BE4A0B"/>
    <w:rsid w:val="00BE4A1F"/>
    <w:rsid w:val="00BE4B04"/>
    <w:rsid w:val="00BE4B8E"/>
    <w:rsid w:val="00BE4BF3"/>
    <w:rsid w:val="00BE4F1D"/>
    <w:rsid w:val="00BE5071"/>
    <w:rsid w:val="00BE5148"/>
    <w:rsid w:val="00BE5263"/>
    <w:rsid w:val="00BE52B9"/>
    <w:rsid w:val="00BE540F"/>
    <w:rsid w:val="00BE5439"/>
    <w:rsid w:val="00BE5580"/>
    <w:rsid w:val="00BE5597"/>
    <w:rsid w:val="00BE56FF"/>
    <w:rsid w:val="00BE585B"/>
    <w:rsid w:val="00BE59EA"/>
    <w:rsid w:val="00BE5A87"/>
    <w:rsid w:val="00BE5D1C"/>
    <w:rsid w:val="00BE5D5F"/>
    <w:rsid w:val="00BE5DC7"/>
    <w:rsid w:val="00BE5E11"/>
    <w:rsid w:val="00BE5E3D"/>
    <w:rsid w:val="00BE5F1A"/>
    <w:rsid w:val="00BE5F41"/>
    <w:rsid w:val="00BE5F8D"/>
    <w:rsid w:val="00BE6187"/>
    <w:rsid w:val="00BE61FA"/>
    <w:rsid w:val="00BE63A9"/>
    <w:rsid w:val="00BE64DD"/>
    <w:rsid w:val="00BE6575"/>
    <w:rsid w:val="00BE65E3"/>
    <w:rsid w:val="00BE6629"/>
    <w:rsid w:val="00BE66D3"/>
    <w:rsid w:val="00BE6779"/>
    <w:rsid w:val="00BE6783"/>
    <w:rsid w:val="00BE67C0"/>
    <w:rsid w:val="00BE6908"/>
    <w:rsid w:val="00BE6A4A"/>
    <w:rsid w:val="00BE6A8C"/>
    <w:rsid w:val="00BE6B96"/>
    <w:rsid w:val="00BE6CF5"/>
    <w:rsid w:val="00BE6D1D"/>
    <w:rsid w:val="00BE6D30"/>
    <w:rsid w:val="00BE6E81"/>
    <w:rsid w:val="00BE721E"/>
    <w:rsid w:val="00BE728A"/>
    <w:rsid w:val="00BE72BE"/>
    <w:rsid w:val="00BE7366"/>
    <w:rsid w:val="00BE7555"/>
    <w:rsid w:val="00BE7580"/>
    <w:rsid w:val="00BE767D"/>
    <w:rsid w:val="00BE77E8"/>
    <w:rsid w:val="00BE7819"/>
    <w:rsid w:val="00BE7A84"/>
    <w:rsid w:val="00BE7AD0"/>
    <w:rsid w:val="00BE7AF3"/>
    <w:rsid w:val="00BE7C2F"/>
    <w:rsid w:val="00BE7D7B"/>
    <w:rsid w:val="00BE7D89"/>
    <w:rsid w:val="00BE7DEB"/>
    <w:rsid w:val="00BE7F93"/>
    <w:rsid w:val="00BF00C5"/>
    <w:rsid w:val="00BF00ED"/>
    <w:rsid w:val="00BF0137"/>
    <w:rsid w:val="00BF02D2"/>
    <w:rsid w:val="00BF042C"/>
    <w:rsid w:val="00BF0453"/>
    <w:rsid w:val="00BF076D"/>
    <w:rsid w:val="00BF078E"/>
    <w:rsid w:val="00BF07D0"/>
    <w:rsid w:val="00BF082E"/>
    <w:rsid w:val="00BF0850"/>
    <w:rsid w:val="00BF0B77"/>
    <w:rsid w:val="00BF0C25"/>
    <w:rsid w:val="00BF0C4D"/>
    <w:rsid w:val="00BF0CE1"/>
    <w:rsid w:val="00BF0F12"/>
    <w:rsid w:val="00BF0F18"/>
    <w:rsid w:val="00BF0F9A"/>
    <w:rsid w:val="00BF1041"/>
    <w:rsid w:val="00BF1085"/>
    <w:rsid w:val="00BF10E1"/>
    <w:rsid w:val="00BF1148"/>
    <w:rsid w:val="00BF1273"/>
    <w:rsid w:val="00BF1285"/>
    <w:rsid w:val="00BF12B9"/>
    <w:rsid w:val="00BF161A"/>
    <w:rsid w:val="00BF174E"/>
    <w:rsid w:val="00BF178C"/>
    <w:rsid w:val="00BF182E"/>
    <w:rsid w:val="00BF192D"/>
    <w:rsid w:val="00BF19A9"/>
    <w:rsid w:val="00BF19C2"/>
    <w:rsid w:val="00BF1A0A"/>
    <w:rsid w:val="00BF1A45"/>
    <w:rsid w:val="00BF1A69"/>
    <w:rsid w:val="00BF1C35"/>
    <w:rsid w:val="00BF1F03"/>
    <w:rsid w:val="00BF1FE9"/>
    <w:rsid w:val="00BF20E7"/>
    <w:rsid w:val="00BF2122"/>
    <w:rsid w:val="00BF213F"/>
    <w:rsid w:val="00BF21F8"/>
    <w:rsid w:val="00BF22A2"/>
    <w:rsid w:val="00BF22D9"/>
    <w:rsid w:val="00BF22FC"/>
    <w:rsid w:val="00BF231D"/>
    <w:rsid w:val="00BF2335"/>
    <w:rsid w:val="00BF2341"/>
    <w:rsid w:val="00BF2390"/>
    <w:rsid w:val="00BF2541"/>
    <w:rsid w:val="00BF26D8"/>
    <w:rsid w:val="00BF2812"/>
    <w:rsid w:val="00BF2A00"/>
    <w:rsid w:val="00BF2A31"/>
    <w:rsid w:val="00BF2B06"/>
    <w:rsid w:val="00BF2C28"/>
    <w:rsid w:val="00BF2C8C"/>
    <w:rsid w:val="00BF2D35"/>
    <w:rsid w:val="00BF2D38"/>
    <w:rsid w:val="00BF2EB0"/>
    <w:rsid w:val="00BF2EE5"/>
    <w:rsid w:val="00BF2FDF"/>
    <w:rsid w:val="00BF303E"/>
    <w:rsid w:val="00BF306B"/>
    <w:rsid w:val="00BF31CC"/>
    <w:rsid w:val="00BF31DF"/>
    <w:rsid w:val="00BF321E"/>
    <w:rsid w:val="00BF3326"/>
    <w:rsid w:val="00BF3652"/>
    <w:rsid w:val="00BF365E"/>
    <w:rsid w:val="00BF39D5"/>
    <w:rsid w:val="00BF39E4"/>
    <w:rsid w:val="00BF3A1A"/>
    <w:rsid w:val="00BF3C43"/>
    <w:rsid w:val="00BF3C44"/>
    <w:rsid w:val="00BF3C4A"/>
    <w:rsid w:val="00BF3E0A"/>
    <w:rsid w:val="00BF3E1D"/>
    <w:rsid w:val="00BF3EC2"/>
    <w:rsid w:val="00BF4129"/>
    <w:rsid w:val="00BF42BE"/>
    <w:rsid w:val="00BF4336"/>
    <w:rsid w:val="00BF437A"/>
    <w:rsid w:val="00BF448B"/>
    <w:rsid w:val="00BF45EC"/>
    <w:rsid w:val="00BF46EB"/>
    <w:rsid w:val="00BF4715"/>
    <w:rsid w:val="00BF4771"/>
    <w:rsid w:val="00BF486E"/>
    <w:rsid w:val="00BF48CA"/>
    <w:rsid w:val="00BF499B"/>
    <w:rsid w:val="00BF4C53"/>
    <w:rsid w:val="00BF4C95"/>
    <w:rsid w:val="00BF4CA6"/>
    <w:rsid w:val="00BF4ED0"/>
    <w:rsid w:val="00BF50A9"/>
    <w:rsid w:val="00BF510A"/>
    <w:rsid w:val="00BF5126"/>
    <w:rsid w:val="00BF5169"/>
    <w:rsid w:val="00BF5555"/>
    <w:rsid w:val="00BF56B3"/>
    <w:rsid w:val="00BF5819"/>
    <w:rsid w:val="00BF5907"/>
    <w:rsid w:val="00BF5960"/>
    <w:rsid w:val="00BF59FE"/>
    <w:rsid w:val="00BF59FF"/>
    <w:rsid w:val="00BF5A1F"/>
    <w:rsid w:val="00BF5B38"/>
    <w:rsid w:val="00BF5CE9"/>
    <w:rsid w:val="00BF5DF5"/>
    <w:rsid w:val="00BF5DFC"/>
    <w:rsid w:val="00BF5E63"/>
    <w:rsid w:val="00BF5EE4"/>
    <w:rsid w:val="00BF6024"/>
    <w:rsid w:val="00BF6055"/>
    <w:rsid w:val="00BF6060"/>
    <w:rsid w:val="00BF612D"/>
    <w:rsid w:val="00BF6188"/>
    <w:rsid w:val="00BF62DB"/>
    <w:rsid w:val="00BF62E2"/>
    <w:rsid w:val="00BF62E9"/>
    <w:rsid w:val="00BF643A"/>
    <w:rsid w:val="00BF648D"/>
    <w:rsid w:val="00BF67A6"/>
    <w:rsid w:val="00BF68EC"/>
    <w:rsid w:val="00BF6909"/>
    <w:rsid w:val="00BF69A3"/>
    <w:rsid w:val="00BF69F2"/>
    <w:rsid w:val="00BF6A25"/>
    <w:rsid w:val="00BF6A8D"/>
    <w:rsid w:val="00BF6A9E"/>
    <w:rsid w:val="00BF6BAC"/>
    <w:rsid w:val="00BF6C4C"/>
    <w:rsid w:val="00BF6C72"/>
    <w:rsid w:val="00BF6D6F"/>
    <w:rsid w:val="00BF6EBE"/>
    <w:rsid w:val="00BF710D"/>
    <w:rsid w:val="00BF7225"/>
    <w:rsid w:val="00BF74C1"/>
    <w:rsid w:val="00BF7587"/>
    <w:rsid w:val="00BF75D1"/>
    <w:rsid w:val="00BF760C"/>
    <w:rsid w:val="00BF7654"/>
    <w:rsid w:val="00BF76D0"/>
    <w:rsid w:val="00BF771C"/>
    <w:rsid w:val="00BF778B"/>
    <w:rsid w:val="00BF778D"/>
    <w:rsid w:val="00BF7883"/>
    <w:rsid w:val="00BF788A"/>
    <w:rsid w:val="00BF79A6"/>
    <w:rsid w:val="00BF7A3A"/>
    <w:rsid w:val="00BF7A9D"/>
    <w:rsid w:val="00BF7AAF"/>
    <w:rsid w:val="00BF7C0B"/>
    <w:rsid w:val="00BF7D35"/>
    <w:rsid w:val="00BF7D95"/>
    <w:rsid w:val="00BF7E90"/>
    <w:rsid w:val="00C0004C"/>
    <w:rsid w:val="00C0019B"/>
    <w:rsid w:val="00C001B4"/>
    <w:rsid w:val="00C001C9"/>
    <w:rsid w:val="00C0038D"/>
    <w:rsid w:val="00C00463"/>
    <w:rsid w:val="00C0048B"/>
    <w:rsid w:val="00C004AD"/>
    <w:rsid w:val="00C00552"/>
    <w:rsid w:val="00C00625"/>
    <w:rsid w:val="00C006B3"/>
    <w:rsid w:val="00C006CD"/>
    <w:rsid w:val="00C007BC"/>
    <w:rsid w:val="00C00845"/>
    <w:rsid w:val="00C00877"/>
    <w:rsid w:val="00C00882"/>
    <w:rsid w:val="00C008D8"/>
    <w:rsid w:val="00C008F0"/>
    <w:rsid w:val="00C00940"/>
    <w:rsid w:val="00C009AC"/>
    <w:rsid w:val="00C00A78"/>
    <w:rsid w:val="00C00AD3"/>
    <w:rsid w:val="00C00E5C"/>
    <w:rsid w:val="00C01059"/>
    <w:rsid w:val="00C01111"/>
    <w:rsid w:val="00C011EE"/>
    <w:rsid w:val="00C01210"/>
    <w:rsid w:val="00C0128B"/>
    <w:rsid w:val="00C013BB"/>
    <w:rsid w:val="00C01415"/>
    <w:rsid w:val="00C0177E"/>
    <w:rsid w:val="00C01831"/>
    <w:rsid w:val="00C01943"/>
    <w:rsid w:val="00C0194C"/>
    <w:rsid w:val="00C01A7A"/>
    <w:rsid w:val="00C01E0D"/>
    <w:rsid w:val="00C01EC0"/>
    <w:rsid w:val="00C01F58"/>
    <w:rsid w:val="00C02093"/>
    <w:rsid w:val="00C02294"/>
    <w:rsid w:val="00C022E1"/>
    <w:rsid w:val="00C024D0"/>
    <w:rsid w:val="00C024EA"/>
    <w:rsid w:val="00C026C8"/>
    <w:rsid w:val="00C027C6"/>
    <w:rsid w:val="00C0287D"/>
    <w:rsid w:val="00C028C6"/>
    <w:rsid w:val="00C028CC"/>
    <w:rsid w:val="00C02936"/>
    <w:rsid w:val="00C02AF8"/>
    <w:rsid w:val="00C02C3D"/>
    <w:rsid w:val="00C02E36"/>
    <w:rsid w:val="00C02EAF"/>
    <w:rsid w:val="00C02F44"/>
    <w:rsid w:val="00C02FAF"/>
    <w:rsid w:val="00C03021"/>
    <w:rsid w:val="00C030CB"/>
    <w:rsid w:val="00C030D2"/>
    <w:rsid w:val="00C0318D"/>
    <w:rsid w:val="00C031F8"/>
    <w:rsid w:val="00C03416"/>
    <w:rsid w:val="00C03438"/>
    <w:rsid w:val="00C035BE"/>
    <w:rsid w:val="00C03735"/>
    <w:rsid w:val="00C0377E"/>
    <w:rsid w:val="00C038E1"/>
    <w:rsid w:val="00C03B00"/>
    <w:rsid w:val="00C03B42"/>
    <w:rsid w:val="00C03C63"/>
    <w:rsid w:val="00C03D08"/>
    <w:rsid w:val="00C03E85"/>
    <w:rsid w:val="00C03ED8"/>
    <w:rsid w:val="00C03F47"/>
    <w:rsid w:val="00C03F74"/>
    <w:rsid w:val="00C03FAA"/>
    <w:rsid w:val="00C03FD7"/>
    <w:rsid w:val="00C040FB"/>
    <w:rsid w:val="00C04155"/>
    <w:rsid w:val="00C041D8"/>
    <w:rsid w:val="00C04208"/>
    <w:rsid w:val="00C0422B"/>
    <w:rsid w:val="00C0423E"/>
    <w:rsid w:val="00C0431C"/>
    <w:rsid w:val="00C043D8"/>
    <w:rsid w:val="00C0445D"/>
    <w:rsid w:val="00C045A2"/>
    <w:rsid w:val="00C04668"/>
    <w:rsid w:val="00C04907"/>
    <w:rsid w:val="00C049A3"/>
    <w:rsid w:val="00C04A3A"/>
    <w:rsid w:val="00C04A77"/>
    <w:rsid w:val="00C04ABB"/>
    <w:rsid w:val="00C04AD0"/>
    <w:rsid w:val="00C04C20"/>
    <w:rsid w:val="00C04D24"/>
    <w:rsid w:val="00C04E64"/>
    <w:rsid w:val="00C0503D"/>
    <w:rsid w:val="00C0507E"/>
    <w:rsid w:val="00C05160"/>
    <w:rsid w:val="00C0517D"/>
    <w:rsid w:val="00C051B0"/>
    <w:rsid w:val="00C051B3"/>
    <w:rsid w:val="00C0521F"/>
    <w:rsid w:val="00C05793"/>
    <w:rsid w:val="00C05891"/>
    <w:rsid w:val="00C05951"/>
    <w:rsid w:val="00C059D1"/>
    <w:rsid w:val="00C05A9A"/>
    <w:rsid w:val="00C05B43"/>
    <w:rsid w:val="00C05E03"/>
    <w:rsid w:val="00C06167"/>
    <w:rsid w:val="00C0626B"/>
    <w:rsid w:val="00C062C1"/>
    <w:rsid w:val="00C063FE"/>
    <w:rsid w:val="00C0648A"/>
    <w:rsid w:val="00C064B1"/>
    <w:rsid w:val="00C0662B"/>
    <w:rsid w:val="00C0676C"/>
    <w:rsid w:val="00C06876"/>
    <w:rsid w:val="00C068A9"/>
    <w:rsid w:val="00C06AE5"/>
    <w:rsid w:val="00C06B16"/>
    <w:rsid w:val="00C06B6C"/>
    <w:rsid w:val="00C06B6E"/>
    <w:rsid w:val="00C06B9E"/>
    <w:rsid w:val="00C06D43"/>
    <w:rsid w:val="00C06E0D"/>
    <w:rsid w:val="00C06F77"/>
    <w:rsid w:val="00C0701A"/>
    <w:rsid w:val="00C07094"/>
    <w:rsid w:val="00C070E4"/>
    <w:rsid w:val="00C07117"/>
    <w:rsid w:val="00C071E3"/>
    <w:rsid w:val="00C07320"/>
    <w:rsid w:val="00C07328"/>
    <w:rsid w:val="00C07584"/>
    <w:rsid w:val="00C07616"/>
    <w:rsid w:val="00C07667"/>
    <w:rsid w:val="00C076F8"/>
    <w:rsid w:val="00C079A5"/>
    <w:rsid w:val="00C079F4"/>
    <w:rsid w:val="00C07B21"/>
    <w:rsid w:val="00C07BB6"/>
    <w:rsid w:val="00C07D2D"/>
    <w:rsid w:val="00C07D4A"/>
    <w:rsid w:val="00C07E14"/>
    <w:rsid w:val="00C07E4F"/>
    <w:rsid w:val="00C07E58"/>
    <w:rsid w:val="00C07F7C"/>
    <w:rsid w:val="00C0F892"/>
    <w:rsid w:val="00C10071"/>
    <w:rsid w:val="00C10430"/>
    <w:rsid w:val="00C105ED"/>
    <w:rsid w:val="00C10782"/>
    <w:rsid w:val="00C109C5"/>
    <w:rsid w:val="00C10B3A"/>
    <w:rsid w:val="00C10C03"/>
    <w:rsid w:val="00C10F21"/>
    <w:rsid w:val="00C11013"/>
    <w:rsid w:val="00C11139"/>
    <w:rsid w:val="00C111B3"/>
    <w:rsid w:val="00C11208"/>
    <w:rsid w:val="00C112F2"/>
    <w:rsid w:val="00C11332"/>
    <w:rsid w:val="00C1134C"/>
    <w:rsid w:val="00C1144A"/>
    <w:rsid w:val="00C114B6"/>
    <w:rsid w:val="00C114F7"/>
    <w:rsid w:val="00C11600"/>
    <w:rsid w:val="00C1167E"/>
    <w:rsid w:val="00C116CC"/>
    <w:rsid w:val="00C116FA"/>
    <w:rsid w:val="00C11833"/>
    <w:rsid w:val="00C1187F"/>
    <w:rsid w:val="00C11941"/>
    <w:rsid w:val="00C11A1A"/>
    <w:rsid w:val="00C11A9D"/>
    <w:rsid w:val="00C11AF4"/>
    <w:rsid w:val="00C11C31"/>
    <w:rsid w:val="00C11C38"/>
    <w:rsid w:val="00C11CED"/>
    <w:rsid w:val="00C11D35"/>
    <w:rsid w:val="00C11E31"/>
    <w:rsid w:val="00C11E32"/>
    <w:rsid w:val="00C1209C"/>
    <w:rsid w:val="00C120F7"/>
    <w:rsid w:val="00C1227F"/>
    <w:rsid w:val="00C12349"/>
    <w:rsid w:val="00C123C3"/>
    <w:rsid w:val="00C12570"/>
    <w:rsid w:val="00C1272A"/>
    <w:rsid w:val="00C1274A"/>
    <w:rsid w:val="00C1278B"/>
    <w:rsid w:val="00C1291C"/>
    <w:rsid w:val="00C1292D"/>
    <w:rsid w:val="00C12940"/>
    <w:rsid w:val="00C12A5B"/>
    <w:rsid w:val="00C12B5D"/>
    <w:rsid w:val="00C12C94"/>
    <w:rsid w:val="00C12DA6"/>
    <w:rsid w:val="00C13032"/>
    <w:rsid w:val="00C130B4"/>
    <w:rsid w:val="00C130F1"/>
    <w:rsid w:val="00C13159"/>
    <w:rsid w:val="00C131EB"/>
    <w:rsid w:val="00C13279"/>
    <w:rsid w:val="00C133B8"/>
    <w:rsid w:val="00C1367A"/>
    <w:rsid w:val="00C138C8"/>
    <w:rsid w:val="00C138D0"/>
    <w:rsid w:val="00C13962"/>
    <w:rsid w:val="00C139C0"/>
    <w:rsid w:val="00C13A49"/>
    <w:rsid w:val="00C13A8C"/>
    <w:rsid w:val="00C13C27"/>
    <w:rsid w:val="00C13C9E"/>
    <w:rsid w:val="00C13CF9"/>
    <w:rsid w:val="00C13E49"/>
    <w:rsid w:val="00C13E7C"/>
    <w:rsid w:val="00C13F53"/>
    <w:rsid w:val="00C13F96"/>
    <w:rsid w:val="00C1419C"/>
    <w:rsid w:val="00C14380"/>
    <w:rsid w:val="00C143C3"/>
    <w:rsid w:val="00C144F6"/>
    <w:rsid w:val="00C14571"/>
    <w:rsid w:val="00C14653"/>
    <w:rsid w:val="00C14712"/>
    <w:rsid w:val="00C149CF"/>
    <w:rsid w:val="00C149DC"/>
    <w:rsid w:val="00C14A47"/>
    <w:rsid w:val="00C14BBD"/>
    <w:rsid w:val="00C14CA7"/>
    <w:rsid w:val="00C14DA4"/>
    <w:rsid w:val="00C14DB8"/>
    <w:rsid w:val="00C14DC2"/>
    <w:rsid w:val="00C14E5A"/>
    <w:rsid w:val="00C14FFF"/>
    <w:rsid w:val="00C15003"/>
    <w:rsid w:val="00C150E1"/>
    <w:rsid w:val="00C1513B"/>
    <w:rsid w:val="00C1521F"/>
    <w:rsid w:val="00C1528A"/>
    <w:rsid w:val="00C154FE"/>
    <w:rsid w:val="00C156C5"/>
    <w:rsid w:val="00C157EE"/>
    <w:rsid w:val="00C15852"/>
    <w:rsid w:val="00C15A8B"/>
    <w:rsid w:val="00C15B0C"/>
    <w:rsid w:val="00C15C7B"/>
    <w:rsid w:val="00C15E80"/>
    <w:rsid w:val="00C15ED8"/>
    <w:rsid w:val="00C15ED9"/>
    <w:rsid w:val="00C15F3A"/>
    <w:rsid w:val="00C15F75"/>
    <w:rsid w:val="00C160E5"/>
    <w:rsid w:val="00C164C4"/>
    <w:rsid w:val="00C164CA"/>
    <w:rsid w:val="00C16528"/>
    <w:rsid w:val="00C1662B"/>
    <w:rsid w:val="00C1675D"/>
    <w:rsid w:val="00C16887"/>
    <w:rsid w:val="00C16926"/>
    <w:rsid w:val="00C16ACE"/>
    <w:rsid w:val="00C16AD6"/>
    <w:rsid w:val="00C16BDF"/>
    <w:rsid w:val="00C16C48"/>
    <w:rsid w:val="00C16E17"/>
    <w:rsid w:val="00C16F5B"/>
    <w:rsid w:val="00C17184"/>
    <w:rsid w:val="00C17276"/>
    <w:rsid w:val="00C17298"/>
    <w:rsid w:val="00C172BB"/>
    <w:rsid w:val="00C173A5"/>
    <w:rsid w:val="00C1741F"/>
    <w:rsid w:val="00C17466"/>
    <w:rsid w:val="00C17561"/>
    <w:rsid w:val="00C1760A"/>
    <w:rsid w:val="00C1761E"/>
    <w:rsid w:val="00C177A8"/>
    <w:rsid w:val="00C17B4B"/>
    <w:rsid w:val="00C17B4D"/>
    <w:rsid w:val="00C17B6B"/>
    <w:rsid w:val="00C17D47"/>
    <w:rsid w:val="00C17DE3"/>
    <w:rsid w:val="00C17F11"/>
    <w:rsid w:val="00C17F1F"/>
    <w:rsid w:val="00C17F7F"/>
    <w:rsid w:val="00C20078"/>
    <w:rsid w:val="00C200D8"/>
    <w:rsid w:val="00C200E0"/>
    <w:rsid w:val="00C200EE"/>
    <w:rsid w:val="00C201AD"/>
    <w:rsid w:val="00C2030A"/>
    <w:rsid w:val="00C2035F"/>
    <w:rsid w:val="00C204BD"/>
    <w:rsid w:val="00C204BE"/>
    <w:rsid w:val="00C205EF"/>
    <w:rsid w:val="00C206CE"/>
    <w:rsid w:val="00C2075A"/>
    <w:rsid w:val="00C207A3"/>
    <w:rsid w:val="00C20820"/>
    <w:rsid w:val="00C208EC"/>
    <w:rsid w:val="00C20A11"/>
    <w:rsid w:val="00C20E80"/>
    <w:rsid w:val="00C20F88"/>
    <w:rsid w:val="00C20FCB"/>
    <w:rsid w:val="00C21021"/>
    <w:rsid w:val="00C210A6"/>
    <w:rsid w:val="00C2117B"/>
    <w:rsid w:val="00C2118F"/>
    <w:rsid w:val="00C21203"/>
    <w:rsid w:val="00C21266"/>
    <w:rsid w:val="00C2132D"/>
    <w:rsid w:val="00C21358"/>
    <w:rsid w:val="00C2139F"/>
    <w:rsid w:val="00C21420"/>
    <w:rsid w:val="00C214EE"/>
    <w:rsid w:val="00C215A7"/>
    <w:rsid w:val="00C21670"/>
    <w:rsid w:val="00C21743"/>
    <w:rsid w:val="00C217AC"/>
    <w:rsid w:val="00C219D4"/>
    <w:rsid w:val="00C21A2F"/>
    <w:rsid w:val="00C21A55"/>
    <w:rsid w:val="00C21A91"/>
    <w:rsid w:val="00C21E39"/>
    <w:rsid w:val="00C21F84"/>
    <w:rsid w:val="00C22052"/>
    <w:rsid w:val="00C22099"/>
    <w:rsid w:val="00C22122"/>
    <w:rsid w:val="00C22208"/>
    <w:rsid w:val="00C22245"/>
    <w:rsid w:val="00C222BF"/>
    <w:rsid w:val="00C222E4"/>
    <w:rsid w:val="00C2233A"/>
    <w:rsid w:val="00C224F7"/>
    <w:rsid w:val="00C22601"/>
    <w:rsid w:val="00C22665"/>
    <w:rsid w:val="00C22691"/>
    <w:rsid w:val="00C22717"/>
    <w:rsid w:val="00C2274C"/>
    <w:rsid w:val="00C22997"/>
    <w:rsid w:val="00C22AF5"/>
    <w:rsid w:val="00C22C88"/>
    <w:rsid w:val="00C22CBB"/>
    <w:rsid w:val="00C22D09"/>
    <w:rsid w:val="00C22D15"/>
    <w:rsid w:val="00C22EF5"/>
    <w:rsid w:val="00C22EF8"/>
    <w:rsid w:val="00C23023"/>
    <w:rsid w:val="00C2308F"/>
    <w:rsid w:val="00C230E3"/>
    <w:rsid w:val="00C23133"/>
    <w:rsid w:val="00C23292"/>
    <w:rsid w:val="00C2356C"/>
    <w:rsid w:val="00C23619"/>
    <w:rsid w:val="00C23696"/>
    <w:rsid w:val="00C238FF"/>
    <w:rsid w:val="00C23A10"/>
    <w:rsid w:val="00C23ACB"/>
    <w:rsid w:val="00C23ADD"/>
    <w:rsid w:val="00C23B31"/>
    <w:rsid w:val="00C23C5F"/>
    <w:rsid w:val="00C23C8A"/>
    <w:rsid w:val="00C23CD6"/>
    <w:rsid w:val="00C23DAB"/>
    <w:rsid w:val="00C23E51"/>
    <w:rsid w:val="00C24064"/>
    <w:rsid w:val="00C240F5"/>
    <w:rsid w:val="00C24150"/>
    <w:rsid w:val="00C242E9"/>
    <w:rsid w:val="00C2432F"/>
    <w:rsid w:val="00C2444C"/>
    <w:rsid w:val="00C244B0"/>
    <w:rsid w:val="00C244B7"/>
    <w:rsid w:val="00C244EE"/>
    <w:rsid w:val="00C245DC"/>
    <w:rsid w:val="00C2483F"/>
    <w:rsid w:val="00C248DF"/>
    <w:rsid w:val="00C2496E"/>
    <w:rsid w:val="00C24983"/>
    <w:rsid w:val="00C24A50"/>
    <w:rsid w:val="00C24B98"/>
    <w:rsid w:val="00C24C15"/>
    <w:rsid w:val="00C24D13"/>
    <w:rsid w:val="00C24D14"/>
    <w:rsid w:val="00C24DD7"/>
    <w:rsid w:val="00C24F3B"/>
    <w:rsid w:val="00C24F60"/>
    <w:rsid w:val="00C24FCF"/>
    <w:rsid w:val="00C2515F"/>
    <w:rsid w:val="00C252D8"/>
    <w:rsid w:val="00C25303"/>
    <w:rsid w:val="00C25390"/>
    <w:rsid w:val="00C253F4"/>
    <w:rsid w:val="00C2545F"/>
    <w:rsid w:val="00C25470"/>
    <w:rsid w:val="00C25481"/>
    <w:rsid w:val="00C254E8"/>
    <w:rsid w:val="00C25559"/>
    <w:rsid w:val="00C25561"/>
    <w:rsid w:val="00C255A4"/>
    <w:rsid w:val="00C2567A"/>
    <w:rsid w:val="00C25785"/>
    <w:rsid w:val="00C25823"/>
    <w:rsid w:val="00C2587B"/>
    <w:rsid w:val="00C25935"/>
    <w:rsid w:val="00C25979"/>
    <w:rsid w:val="00C25AE6"/>
    <w:rsid w:val="00C25B17"/>
    <w:rsid w:val="00C25B38"/>
    <w:rsid w:val="00C25B94"/>
    <w:rsid w:val="00C25CA1"/>
    <w:rsid w:val="00C25CF6"/>
    <w:rsid w:val="00C25FBA"/>
    <w:rsid w:val="00C26115"/>
    <w:rsid w:val="00C26246"/>
    <w:rsid w:val="00C2628B"/>
    <w:rsid w:val="00C2635C"/>
    <w:rsid w:val="00C26375"/>
    <w:rsid w:val="00C263B3"/>
    <w:rsid w:val="00C26592"/>
    <w:rsid w:val="00C265EE"/>
    <w:rsid w:val="00C26775"/>
    <w:rsid w:val="00C268A0"/>
    <w:rsid w:val="00C26916"/>
    <w:rsid w:val="00C26A81"/>
    <w:rsid w:val="00C26A88"/>
    <w:rsid w:val="00C26B17"/>
    <w:rsid w:val="00C26C2B"/>
    <w:rsid w:val="00C26C87"/>
    <w:rsid w:val="00C26D67"/>
    <w:rsid w:val="00C26D7C"/>
    <w:rsid w:val="00C26EF7"/>
    <w:rsid w:val="00C270D6"/>
    <w:rsid w:val="00C27110"/>
    <w:rsid w:val="00C27133"/>
    <w:rsid w:val="00C27140"/>
    <w:rsid w:val="00C27247"/>
    <w:rsid w:val="00C2747A"/>
    <w:rsid w:val="00C2747D"/>
    <w:rsid w:val="00C2757C"/>
    <w:rsid w:val="00C27638"/>
    <w:rsid w:val="00C2767C"/>
    <w:rsid w:val="00C27725"/>
    <w:rsid w:val="00C27743"/>
    <w:rsid w:val="00C2774F"/>
    <w:rsid w:val="00C277A3"/>
    <w:rsid w:val="00C279B4"/>
    <w:rsid w:val="00C279B9"/>
    <w:rsid w:val="00C27A20"/>
    <w:rsid w:val="00C27A5A"/>
    <w:rsid w:val="00C27A70"/>
    <w:rsid w:val="00C27A82"/>
    <w:rsid w:val="00C27A8C"/>
    <w:rsid w:val="00C27A91"/>
    <w:rsid w:val="00C27ADC"/>
    <w:rsid w:val="00C27C46"/>
    <w:rsid w:val="00C27C89"/>
    <w:rsid w:val="00C27CC9"/>
    <w:rsid w:val="00C27CE9"/>
    <w:rsid w:val="00C27E7F"/>
    <w:rsid w:val="00C27F06"/>
    <w:rsid w:val="00C27F4A"/>
    <w:rsid w:val="00C27FE7"/>
    <w:rsid w:val="00C27FE8"/>
    <w:rsid w:val="00C303DE"/>
    <w:rsid w:val="00C30724"/>
    <w:rsid w:val="00C3074B"/>
    <w:rsid w:val="00C307DD"/>
    <w:rsid w:val="00C30995"/>
    <w:rsid w:val="00C309E6"/>
    <w:rsid w:val="00C30AC0"/>
    <w:rsid w:val="00C30AEA"/>
    <w:rsid w:val="00C30AEE"/>
    <w:rsid w:val="00C30AFE"/>
    <w:rsid w:val="00C30BED"/>
    <w:rsid w:val="00C30C7D"/>
    <w:rsid w:val="00C30D47"/>
    <w:rsid w:val="00C3101C"/>
    <w:rsid w:val="00C31245"/>
    <w:rsid w:val="00C312D4"/>
    <w:rsid w:val="00C312F9"/>
    <w:rsid w:val="00C31433"/>
    <w:rsid w:val="00C3164E"/>
    <w:rsid w:val="00C316EA"/>
    <w:rsid w:val="00C3172A"/>
    <w:rsid w:val="00C31730"/>
    <w:rsid w:val="00C317E3"/>
    <w:rsid w:val="00C31AB2"/>
    <w:rsid w:val="00C31E79"/>
    <w:rsid w:val="00C3202F"/>
    <w:rsid w:val="00C320C8"/>
    <w:rsid w:val="00C3214C"/>
    <w:rsid w:val="00C3214D"/>
    <w:rsid w:val="00C3216C"/>
    <w:rsid w:val="00C32266"/>
    <w:rsid w:val="00C322FD"/>
    <w:rsid w:val="00C32330"/>
    <w:rsid w:val="00C32377"/>
    <w:rsid w:val="00C32671"/>
    <w:rsid w:val="00C32673"/>
    <w:rsid w:val="00C326E6"/>
    <w:rsid w:val="00C3284B"/>
    <w:rsid w:val="00C32859"/>
    <w:rsid w:val="00C328C2"/>
    <w:rsid w:val="00C32927"/>
    <w:rsid w:val="00C32951"/>
    <w:rsid w:val="00C32A85"/>
    <w:rsid w:val="00C32A94"/>
    <w:rsid w:val="00C32BE7"/>
    <w:rsid w:val="00C32C1C"/>
    <w:rsid w:val="00C32C93"/>
    <w:rsid w:val="00C32D19"/>
    <w:rsid w:val="00C33256"/>
    <w:rsid w:val="00C33260"/>
    <w:rsid w:val="00C3329A"/>
    <w:rsid w:val="00C332E2"/>
    <w:rsid w:val="00C33365"/>
    <w:rsid w:val="00C33366"/>
    <w:rsid w:val="00C33489"/>
    <w:rsid w:val="00C3349E"/>
    <w:rsid w:val="00C334DF"/>
    <w:rsid w:val="00C33523"/>
    <w:rsid w:val="00C3354C"/>
    <w:rsid w:val="00C336E5"/>
    <w:rsid w:val="00C337A2"/>
    <w:rsid w:val="00C3386D"/>
    <w:rsid w:val="00C33949"/>
    <w:rsid w:val="00C33A94"/>
    <w:rsid w:val="00C33D3C"/>
    <w:rsid w:val="00C33FD3"/>
    <w:rsid w:val="00C34023"/>
    <w:rsid w:val="00C34177"/>
    <w:rsid w:val="00C341C6"/>
    <w:rsid w:val="00C3424C"/>
    <w:rsid w:val="00C34323"/>
    <w:rsid w:val="00C343D2"/>
    <w:rsid w:val="00C343D5"/>
    <w:rsid w:val="00C344AD"/>
    <w:rsid w:val="00C345A7"/>
    <w:rsid w:val="00C34733"/>
    <w:rsid w:val="00C34756"/>
    <w:rsid w:val="00C348D8"/>
    <w:rsid w:val="00C3492E"/>
    <w:rsid w:val="00C34B68"/>
    <w:rsid w:val="00C34BD3"/>
    <w:rsid w:val="00C34CFA"/>
    <w:rsid w:val="00C34DA9"/>
    <w:rsid w:val="00C34DD9"/>
    <w:rsid w:val="00C34F7A"/>
    <w:rsid w:val="00C35172"/>
    <w:rsid w:val="00C35287"/>
    <w:rsid w:val="00C35393"/>
    <w:rsid w:val="00C3570C"/>
    <w:rsid w:val="00C357BC"/>
    <w:rsid w:val="00C35B98"/>
    <w:rsid w:val="00C35B9D"/>
    <w:rsid w:val="00C35CF8"/>
    <w:rsid w:val="00C35F2C"/>
    <w:rsid w:val="00C35F5F"/>
    <w:rsid w:val="00C36144"/>
    <w:rsid w:val="00C3621B"/>
    <w:rsid w:val="00C363C8"/>
    <w:rsid w:val="00C36405"/>
    <w:rsid w:val="00C366B4"/>
    <w:rsid w:val="00C367CF"/>
    <w:rsid w:val="00C368C7"/>
    <w:rsid w:val="00C36DE9"/>
    <w:rsid w:val="00C36F0F"/>
    <w:rsid w:val="00C36FCF"/>
    <w:rsid w:val="00C3713C"/>
    <w:rsid w:val="00C37194"/>
    <w:rsid w:val="00C372C1"/>
    <w:rsid w:val="00C372CE"/>
    <w:rsid w:val="00C37384"/>
    <w:rsid w:val="00C37457"/>
    <w:rsid w:val="00C3745D"/>
    <w:rsid w:val="00C3747E"/>
    <w:rsid w:val="00C374CB"/>
    <w:rsid w:val="00C374CE"/>
    <w:rsid w:val="00C374F8"/>
    <w:rsid w:val="00C376F7"/>
    <w:rsid w:val="00C377F0"/>
    <w:rsid w:val="00C378C0"/>
    <w:rsid w:val="00C37C06"/>
    <w:rsid w:val="00C37D5C"/>
    <w:rsid w:val="00C37EBC"/>
    <w:rsid w:val="00C37ED1"/>
    <w:rsid w:val="00C40012"/>
    <w:rsid w:val="00C4003A"/>
    <w:rsid w:val="00C400EE"/>
    <w:rsid w:val="00C4010F"/>
    <w:rsid w:val="00C40332"/>
    <w:rsid w:val="00C40449"/>
    <w:rsid w:val="00C404EF"/>
    <w:rsid w:val="00C4062C"/>
    <w:rsid w:val="00C4070D"/>
    <w:rsid w:val="00C40786"/>
    <w:rsid w:val="00C407CC"/>
    <w:rsid w:val="00C40813"/>
    <w:rsid w:val="00C4097B"/>
    <w:rsid w:val="00C40A33"/>
    <w:rsid w:val="00C40ADB"/>
    <w:rsid w:val="00C40C94"/>
    <w:rsid w:val="00C40C96"/>
    <w:rsid w:val="00C40CA9"/>
    <w:rsid w:val="00C40CC3"/>
    <w:rsid w:val="00C40DE0"/>
    <w:rsid w:val="00C40DE8"/>
    <w:rsid w:val="00C40EC6"/>
    <w:rsid w:val="00C40EF5"/>
    <w:rsid w:val="00C40F5D"/>
    <w:rsid w:val="00C40FA9"/>
    <w:rsid w:val="00C4134B"/>
    <w:rsid w:val="00C41403"/>
    <w:rsid w:val="00C41434"/>
    <w:rsid w:val="00C41437"/>
    <w:rsid w:val="00C414BB"/>
    <w:rsid w:val="00C4156E"/>
    <w:rsid w:val="00C418EE"/>
    <w:rsid w:val="00C4193E"/>
    <w:rsid w:val="00C4194B"/>
    <w:rsid w:val="00C41AA1"/>
    <w:rsid w:val="00C41C9B"/>
    <w:rsid w:val="00C41E1C"/>
    <w:rsid w:val="00C41F4E"/>
    <w:rsid w:val="00C4222F"/>
    <w:rsid w:val="00C422BE"/>
    <w:rsid w:val="00C42429"/>
    <w:rsid w:val="00C42569"/>
    <w:rsid w:val="00C425C2"/>
    <w:rsid w:val="00C426C8"/>
    <w:rsid w:val="00C426DA"/>
    <w:rsid w:val="00C42A93"/>
    <w:rsid w:val="00C42AE4"/>
    <w:rsid w:val="00C42B08"/>
    <w:rsid w:val="00C42B42"/>
    <w:rsid w:val="00C42BF4"/>
    <w:rsid w:val="00C42CEB"/>
    <w:rsid w:val="00C42CFD"/>
    <w:rsid w:val="00C42D17"/>
    <w:rsid w:val="00C42DA2"/>
    <w:rsid w:val="00C42E79"/>
    <w:rsid w:val="00C42F5E"/>
    <w:rsid w:val="00C42FEF"/>
    <w:rsid w:val="00C42FF5"/>
    <w:rsid w:val="00C4310E"/>
    <w:rsid w:val="00C432C1"/>
    <w:rsid w:val="00C4331D"/>
    <w:rsid w:val="00C43493"/>
    <w:rsid w:val="00C434EA"/>
    <w:rsid w:val="00C43534"/>
    <w:rsid w:val="00C43677"/>
    <w:rsid w:val="00C4379A"/>
    <w:rsid w:val="00C43875"/>
    <w:rsid w:val="00C43C28"/>
    <w:rsid w:val="00C43CA8"/>
    <w:rsid w:val="00C43D07"/>
    <w:rsid w:val="00C43E0C"/>
    <w:rsid w:val="00C43EF5"/>
    <w:rsid w:val="00C43F6A"/>
    <w:rsid w:val="00C43FA0"/>
    <w:rsid w:val="00C43FEE"/>
    <w:rsid w:val="00C441E5"/>
    <w:rsid w:val="00C444AA"/>
    <w:rsid w:val="00C444AD"/>
    <w:rsid w:val="00C444B9"/>
    <w:rsid w:val="00C44563"/>
    <w:rsid w:val="00C445BE"/>
    <w:rsid w:val="00C4461C"/>
    <w:rsid w:val="00C44748"/>
    <w:rsid w:val="00C44775"/>
    <w:rsid w:val="00C447A1"/>
    <w:rsid w:val="00C44982"/>
    <w:rsid w:val="00C44A4C"/>
    <w:rsid w:val="00C44A8C"/>
    <w:rsid w:val="00C44BBA"/>
    <w:rsid w:val="00C44C0D"/>
    <w:rsid w:val="00C44D7E"/>
    <w:rsid w:val="00C44EC1"/>
    <w:rsid w:val="00C44ECC"/>
    <w:rsid w:val="00C44ECE"/>
    <w:rsid w:val="00C44F8C"/>
    <w:rsid w:val="00C45008"/>
    <w:rsid w:val="00C45022"/>
    <w:rsid w:val="00C4512D"/>
    <w:rsid w:val="00C45275"/>
    <w:rsid w:val="00C453F4"/>
    <w:rsid w:val="00C4546D"/>
    <w:rsid w:val="00C454AD"/>
    <w:rsid w:val="00C45594"/>
    <w:rsid w:val="00C45658"/>
    <w:rsid w:val="00C45706"/>
    <w:rsid w:val="00C457A8"/>
    <w:rsid w:val="00C4582E"/>
    <w:rsid w:val="00C458A3"/>
    <w:rsid w:val="00C45AC9"/>
    <w:rsid w:val="00C45AF0"/>
    <w:rsid w:val="00C45AFD"/>
    <w:rsid w:val="00C45B0B"/>
    <w:rsid w:val="00C45B26"/>
    <w:rsid w:val="00C45B7C"/>
    <w:rsid w:val="00C45F26"/>
    <w:rsid w:val="00C461B1"/>
    <w:rsid w:val="00C46261"/>
    <w:rsid w:val="00C46285"/>
    <w:rsid w:val="00C462BE"/>
    <w:rsid w:val="00C4647D"/>
    <w:rsid w:val="00C464CB"/>
    <w:rsid w:val="00C4680F"/>
    <w:rsid w:val="00C4685C"/>
    <w:rsid w:val="00C46D56"/>
    <w:rsid w:val="00C46E19"/>
    <w:rsid w:val="00C46F26"/>
    <w:rsid w:val="00C472AF"/>
    <w:rsid w:val="00C47368"/>
    <w:rsid w:val="00C474DA"/>
    <w:rsid w:val="00C4757A"/>
    <w:rsid w:val="00C475B1"/>
    <w:rsid w:val="00C476AF"/>
    <w:rsid w:val="00C4775D"/>
    <w:rsid w:val="00C477A3"/>
    <w:rsid w:val="00C47935"/>
    <w:rsid w:val="00C47954"/>
    <w:rsid w:val="00C479A0"/>
    <w:rsid w:val="00C47A85"/>
    <w:rsid w:val="00C47AE7"/>
    <w:rsid w:val="00C47BF4"/>
    <w:rsid w:val="00C47C61"/>
    <w:rsid w:val="00C47D35"/>
    <w:rsid w:val="00C47FC9"/>
    <w:rsid w:val="00C47FE3"/>
    <w:rsid w:val="00C50017"/>
    <w:rsid w:val="00C5014D"/>
    <w:rsid w:val="00C50236"/>
    <w:rsid w:val="00C502E8"/>
    <w:rsid w:val="00C50397"/>
    <w:rsid w:val="00C5039F"/>
    <w:rsid w:val="00C50549"/>
    <w:rsid w:val="00C50556"/>
    <w:rsid w:val="00C505AE"/>
    <w:rsid w:val="00C509E9"/>
    <w:rsid w:val="00C50B32"/>
    <w:rsid w:val="00C50CE8"/>
    <w:rsid w:val="00C50CF4"/>
    <w:rsid w:val="00C50D6D"/>
    <w:rsid w:val="00C50DF1"/>
    <w:rsid w:val="00C50E09"/>
    <w:rsid w:val="00C5101A"/>
    <w:rsid w:val="00C511B0"/>
    <w:rsid w:val="00C51242"/>
    <w:rsid w:val="00C512CB"/>
    <w:rsid w:val="00C513FB"/>
    <w:rsid w:val="00C514C2"/>
    <w:rsid w:val="00C514F3"/>
    <w:rsid w:val="00C5153B"/>
    <w:rsid w:val="00C515BE"/>
    <w:rsid w:val="00C516C9"/>
    <w:rsid w:val="00C517D8"/>
    <w:rsid w:val="00C519A1"/>
    <w:rsid w:val="00C51A5C"/>
    <w:rsid w:val="00C51A9F"/>
    <w:rsid w:val="00C51BE4"/>
    <w:rsid w:val="00C51D37"/>
    <w:rsid w:val="00C51EBD"/>
    <w:rsid w:val="00C520FE"/>
    <w:rsid w:val="00C52188"/>
    <w:rsid w:val="00C52218"/>
    <w:rsid w:val="00C5223C"/>
    <w:rsid w:val="00C52266"/>
    <w:rsid w:val="00C5231A"/>
    <w:rsid w:val="00C523A7"/>
    <w:rsid w:val="00C525D2"/>
    <w:rsid w:val="00C52898"/>
    <w:rsid w:val="00C52945"/>
    <w:rsid w:val="00C529F7"/>
    <w:rsid w:val="00C52A0F"/>
    <w:rsid w:val="00C52A74"/>
    <w:rsid w:val="00C52A84"/>
    <w:rsid w:val="00C52B11"/>
    <w:rsid w:val="00C52BF2"/>
    <w:rsid w:val="00C52C26"/>
    <w:rsid w:val="00C52C4A"/>
    <w:rsid w:val="00C52C4D"/>
    <w:rsid w:val="00C52C69"/>
    <w:rsid w:val="00C52D56"/>
    <w:rsid w:val="00C52DEC"/>
    <w:rsid w:val="00C530DC"/>
    <w:rsid w:val="00C5318A"/>
    <w:rsid w:val="00C531A5"/>
    <w:rsid w:val="00C53204"/>
    <w:rsid w:val="00C5340C"/>
    <w:rsid w:val="00C53494"/>
    <w:rsid w:val="00C535EA"/>
    <w:rsid w:val="00C5360D"/>
    <w:rsid w:val="00C53691"/>
    <w:rsid w:val="00C537E9"/>
    <w:rsid w:val="00C5391A"/>
    <w:rsid w:val="00C53950"/>
    <w:rsid w:val="00C53ABB"/>
    <w:rsid w:val="00C53B20"/>
    <w:rsid w:val="00C53B51"/>
    <w:rsid w:val="00C53C1A"/>
    <w:rsid w:val="00C53CC6"/>
    <w:rsid w:val="00C53FCD"/>
    <w:rsid w:val="00C54072"/>
    <w:rsid w:val="00C5412F"/>
    <w:rsid w:val="00C54231"/>
    <w:rsid w:val="00C544F0"/>
    <w:rsid w:val="00C544F6"/>
    <w:rsid w:val="00C5450E"/>
    <w:rsid w:val="00C54603"/>
    <w:rsid w:val="00C54674"/>
    <w:rsid w:val="00C5467F"/>
    <w:rsid w:val="00C5468E"/>
    <w:rsid w:val="00C547D1"/>
    <w:rsid w:val="00C54914"/>
    <w:rsid w:val="00C54940"/>
    <w:rsid w:val="00C54AB2"/>
    <w:rsid w:val="00C54BF4"/>
    <w:rsid w:val="00C54DC2"/>
    <w:rsid w:val="00C54E32"/>
    <w:rsid w:val="00C54EC1"/>
    <w:rsid w:val="00C54F3E"/>
    <w:rsid w:val="00C5500F"/>
    <w:rsid w:val="00C5515A"/>
    <w:rsid w:val="00C5521F"/>
    <w:rsid w:val="00C5523D"/>
    <w:rsid w:val="00C555E9"/>
    <w:rsid w:val="00C55609"/>
    <w:rsid w:val="00C55738"/>
    <w:rsid w:val="00C559C9"/>
    <w:rsid w:val="00C55AE5"/>
    <w:rsid w:val="00C55C26"/>
    <w:rsid w:val="00C55D32"/>
    <w:rsid w:val="00C55DEA"/>
    <w:rsid w:val="00C56140"/>
    <w:rsid w:val="00C5628D"/>
    <w:rsid w:val="00C56392"/>
    <w:rsid w:val="00C565DD"/>
    <w:rsid w:val="00C565EF"/>
    <w:rsid w:val="00C56645"/>
    <w:rsid w:val="00C5677A"/>
    <w:rsid w:val="00C567F8"/>
    <w:rsid w:val="00C56867"/>
    <w:rsid w:val="00C568BB"/>
    <w:rsid w:val="00C56C5F"/>
    <w:rsid w:val="00C56C69"/>
    <w:rsid w:val="00C56D50"/>
    <w:rsid w:val="00C56D55"/>
    <w:rsid w:val="00C56EA9"/>
    <w:rsid w:val="00C56FA0"/>
    <w:rsid w:val="00C57082"/>
    <w:rsid w:val="00C57256"/>
    <w:rsid w:val="00C57347"/>
    <w:rsid w:val="00C5744F"/>
    <w:rsid w:val="00C57462"/>
    <w:rsid w:val="00C57468"/>
    <w:rsid w:val="00C574CD"/>
    <w:rsid w:val="00C5759E"/>
    <w:rsid w:val="00C57650"/>
    <w:rsid w:val="00C5772D"/>
    <w:rsid w:val="00C5774E"/>
    <w:rsid w:val="00C57960"/>
    <w:rsid w:val="00C57998"/>
    <w:rsid w:val="00C579C3"/>
    <w:rsid w:val="00C57C3E"/>
    <w:rsid w:val="00C57C66"/>
    <w:rsid w:val="00C57CEA"/>
    <w:rsid w:val="00C57E2B"/>
    <w:rsid w:val="00C57FF9"/>
    <w:rsid w:val="00C601BE"/>
    <w:rsid w:val="00C601C8"/>
    <w:rsid w:val="00C60267"/>
    <w:rsid w:val="00C60342"/>
    <w:rsid w:val="00C6040B"/>
    <w:rsid w:val="00C607BD"/>
    <w:rsid w:val="00C60835"/>
    <w:rsid w:val="00C60B05"/>
    <w:rsid w:val="00C60F51"/>
    <w:rsid w:val="00C61001"/>
    <w:rsid w:val="00C6104C"/>
    <w:rsid w:val="00C6114C"/>
    <w:rsid w:val="00C61198"/>
    <w:rsid w:val="00C611A9"/>
    <w:rsid w:val="00C611B2"/>
    <w:rsid w:val="00C6179D"/>
    <w:rsid w:val="00C61817"/>
    <w:rsid w:val="00C61A30"/>
    <w:rsid w:val="00C61A39"/>
    <w:rsid w:val="00C61A86"/>
    <w:rsid w:val="00C61AF5"/>
    <w:rsid w:val="00C61BDF"/>
    <w:rsid w:val="00C61CA1"/>
    <w:rsid w:val="00C61CFC"/>
    <w:rsid w:val="00C61DCC"/>
    <w:rsid w:val="00C61DED"/>
    <w:rsid w:val="00C62067"/>
    <w:rsid w:val="00C6214D"/>
    <w:rsid w:val="00C621D8"/>
    <w:rsid w:val="00C6226C"/>
    <w:rsid w:val="00C622BF"/>
    <w:rsid w:val="00C623B1"/>
    <w:rsid w:val="00C62479"/>
    <w:rsid w:val="00C625E0"/>
    <w:rsid w:val="00C626E5"/>
    <w:rsid w:val="00C62823"/>
    <w:rsid w:val="00C628C7"/>
    <w:rsid w:val="00C62C4B"/>
    <w:rsid w:val="00C62C74"/>
    <w:rsid w:val="00C62D6F"/>
    <w:rsid w:val="00C62D94"/>
    <w:rsid w:val="00C62FC8"/>
    <w:rsid w:val="00C6323C"/>
    <w:rsid w:val="00C63432"/>
    <w:rsid w:val="00C634C2"/>
    <w:rsid w:val="00C6357E"/>
    <w:rsid w:val="00C635EB"/>
    <w:rsid w:val="00C63640"/>
    <w:rsid w:val="00C63745"/>
    <w:rsid w:val="00C6377A"/>
    <w:rsid w:val="00C63822"/>
    <w:rsid w:val="00C63833"/>
    <w:rsid w:val="00C63835"/>
    <w:rsid w:val="00C638AF"/>
    <w:rsid w:val="00C638B9"/>
    <w:rsid w:val="00C638F8"/>
    <w:rsid w:val="00C63940"/>
    <w:rsid w:val="00C63A21"/>
    <w:rsid w:val="00C63AE3"/>
    <w:rsid w:val="00C63BE8"/>
    <w:rsid w:val="00C63BF1"/>
    <w:rsid w:val="00C63C19"/>
    <w:rsid w:val="00C63C4D"/>
    <w:rsid w:val="00C63C6A"/>
    <w:rsid w:val="00C63CF8"/>
    <w:rsid w:val="00C63D7E"/>
    <w:rsid w:val="00C63DF6"/>
    <w:rsid w:val="00C63E59"/>
    <w:rsid w:val="00C63E60"/>
    <w:rsid w:val="00C63F7F"/>
    <w:rsid w:val="00C63F93"/>
    <w:rsid w:val="00C64071"/>
    <w:rsid w:val="00C64200"/>
    <w:rsid w:val="00C64480"/>
    <w:rsid w:val="00C6448F"/>
    <w:rsid w:val="00C644AC"/>
    <w:rsid w:val="00C644F0"/>
    <w:rsid w:val="00C64511"/>
    <w:rsid w:val="00C64599"/>
    <w:rsid w:val="00C645DC"/>
    <w:rsid w:val="00C64780"/>
    <w:rsid w:val="00C64822"/>
    <w:rsid w:val="00C64877"/>
    <w:rsid w:val="00C6491B"/>
    <w:rsid w:val="00C649B4"/>
    <w:rsid w:val="00C64C55"/>
    <w:rsid w:val="00C64D3F"/>
    <w:rsid w:val="00C64D7E"/>
    <w:rsid w:val="00C64DA5"/>
    <w:rsid w:val="00C64E4F"/>
    <w:rsid w:val="00C64EA9"/>
    <w:rsid w:val="00C64F65"/>
    <w:rsid w:val="00C64F79"/>
    <w:rsid w:val="00C65042"/>
    <w:rsid w:val="00C650C5"/>
    <w:rsid w:val="00C650E5"/>
    <w:rsid w:val="00C65237"/>
    <w:rsid w:val="00C65246"/>
    <w:rsid w:val="00C65366"/>
    <w:rsid w:val="00C653C3"/>
    <w:rsid w:val="00C6540A"/>
    <w:rsid w:val="00C65465"/>
    <w:rsid w:val="00C65625"/>
    <w:rsid w:val="00C65883"/>
    <w:rsid w:val="00C65885"/>
    <w:rsid w:val="00C65ACC"/>
    <w:rsid w:val="00C65B9C"/>
    <w:rsid w:val="00C65DD2"/>
    <w:rsid w:val="00C65F2A"/>
    <w:rsid w:val="00C65F36"/>
    <w:rsid w:val="00C66001"/>
    <w:rsid w:val="00C6602A"/>
    <w:rsid w:val="00C6603D"/>
    <w:rsid w:val="00C66058"/>
    <w:rsid w:val="00C6607C"/>
    <w:rsid w:val="00C66114"/>
    <w:rsid w:val="00C6613F"/>
    <w:rsid w:val="00C661D2"/>
    <w:rsid w:val="00C66377"/>
    <w:rsid w:val="00C663B0"/>
    <w:rsid w:val="00C664F0"/>
    <w:rsid w:val="00C664F1"/>
    <w:rsid w:val="00C66546"/>
    <w:rsid w:val="00C66584"/>
    <w:rsid w:val="00C66635"/>
    <w:rsid w:val="00C6664E"/>
    <w:rsid w:val="00C66766"/>
    <w:rsid w:val="00C6676A"/>
    <w:rsid w:val="00C66844"/>
    <w:rsid w:val="00C6685A"/>
    <w:rsid w:val="00C6696B"/>
    <w:rsid w:val="00C669E9"/>
    <w:rsid w:val="00C66AC9"/>
    <w:rsid w:val="00C66B2B"/>
    <w:rsid w:val="00C66B8B"/>
    <w:rsid w:val="00C66C39"/>
    <w:rsid w:val="00C66D93"/>
    <w:rsid w:val="00C66E64"/>
    <w:rsid w:val="00C66F35"/>
    <w:rsid w:val="00C66F61"/>
    <w:rsid w:val="00C671BB"/>
    <w:rsid w:val="00C67260"/>
    <w:rsid w:val="00C67261"/>
    <w:rsid w:val="00C67312"/>
    <w:rsid w:val="00C67395"/>
    <w:rsid w:val="00C67507"/>
    <w:rsid w:val="00C67664"/>
    <w:rsid w:val="00C67673"/>
    <w:rsid w:val="00C677DD"/>
    <w:rsid w:val="00C67860"/>
    <w:rsid w:val="00C678DF"/>
    <w:rsid w:val="00C67B73"/>
    <w:rsid w:val="00C67BF8"/>
    <w:rsid w:val="00C67C25"/>
    <w:rsid w:val="00C67D72"/>
    <w:rsid w:val="00C70089"/>
    <w:rsid w:val="00C7012E"/>
    <w:rsid w:val="00C701EB"/>
    <w:rsid w:val="00C701EC"/>
    <w:rsid w:val="00C70461"/>
    <w:rsid w:val="00C70601"/>
    <w:rsid w:val="00C7079C"/>
    <w:rsid w:val="00C707FC"/>
    <w:rsid w:val="00C70A35"/>
    <w:rsid w:val="00C70BC3"/>
    <w:rsid w:val="00C70BF6"/>
    <w:rsid w:val="00C70CB5"/>
    <w:rsid w:val="00C70D9F"/>
    <w:rsid w:val="00C70E62"/>
    <w:rsid w:val="00C71028"/>
    <w:rsid w:val="00C712AD"/>
    <w:rsid w:val="00C71458"/>
    <w:rsid w:val="00C715E3"/>
    <w:rsid w:val="00C71779"/>
    <w:rsid w:val="00C7197C"/>
    <w:rsid w:val="00C71ADA"/>
    <w:rsid w:val="00C71DD3"/>
    <w:rsid w:val="00C71E9E"/>
    <w:rsid w:val="00C720C3"/>
    <w:rsid w:val="00C720FE"/>
    <w:rsid w:val="00C7217E"/>
    <w:rsid w:val="00C72224"/>
    <w:rsid w:val="00C72239"/>
    <w:rsid w:val="00C72274"/>
    <w:rsid w:val="00C722FB"/>
    <w:rsid w:val="00C72363"/>
    <w:rsid w:val="00C72646"/>
    <w:rsid w:val="00C72675"/>
    <w:rsid w:val="00C72697"/>
    <w:rsid w:val="00C726BD"/>
    <w:rsid w:val="00C72807"/>
    <w:rsid w:val="00C72985"/>
    <w:rsid w:val="00C72A7C"/>
    <w:rsid w:val="00C72DAB"/>
    <w:rsid w:val="00C72E99"/>
    <w:rsid w:val="00C73279"/>
    <w:rsid w:val="00C733A0"/>
    <w:rsid w:val="00C7345F"/>
    <w:rsid w:val="00C7349D"/>
    <w:rsid w:val="00C735C0"/>
    <w:rsid w:val="00C7369A"/>
    <w:rsid w:val="00C736A6"/>
    <w:rsid w:val="00C7374F"/>
    <w:rsid w:val="00C73789"/>
    <w:rsid w:val="00C73971"/>
    <w:rsid w:val="00C739E5"/>
    <w:rsid w:val="00C73B03"/>
    <w:rsid w:val="00C73CB8"/>
    <w:rsid w:val="00C73D27"/>
    <w:rsid w:val="00C73D35"/>
    <w:rsid w:val="00C73DA2"/>
    <w:rsid w:val="00C73DD6"/>
    <w:rsid w:val="00C73E90"/>
    <w:rsid w:val="00C740CC"/>
    <w:rsid w:val="00C74174"/>
    <w:rsid w:val="00C74262"/>
    <w:rsid w:val="00C742B2"/>
    <w:rsid w:val="00C742BC"/>
    <w:rsid w:val="00C74324"/>
    <w:rsid w:val="00C7437F"/>
    <w:rsid w:val="00C744F8"/>
    <w:rsid w:val="00C745A8"/>
    <w:rsid w:val="00C746D3"/>
    <w:rsid w:val="00C747B6"/>
    <w:rsid w:val="00C747EC"/>
    <w:rsid w:val="00C749D0"/>
    <w:rsid w:val="00C74A32"/>
    <w:rsid w:val="00C74A91"/>
    <w:rsid w:val="00C74AE1"/>
    <w:rsid w:val="00C74C1B"/>
    <w:rsid w:val="00C74C42"/>
    <w:rsid w:val="00C74CD7"/>
    <w:rsid w:val="00C74D2C"/>
    <w:rsid w:val="00C74DFD"/>
    <w:rsid w:val="00C74EF3"/>
    <w:rsid w:val="00C74F53"/>
    <w:rsid w:val="00C74F85"/>
    <w:rsid w:val="00C750B2"/>
    <w:rsid w:val="00C750DD"/>
    <w:rsid w:val="00C75166"/>
    <w:rsid w:val="00C75460"/>
    <w:rsid w:val="00C754AB"/>
    <w:rsid w:val="00C75585"/>
    <w:rsid w:val="00C75706"/>
    <w:rsid w:val="00C75707"/>
    <w:rsid w:val="00C75735"/>
    <w:rsid w:val="00C757A1"/>
    <w:rsid w:val="00C757BF"/>
    <w:rsid w:val="00C757DA"/>
    <w:rsid w:val="00C75928"/>
    <w:rsid w:val="00C75966"/>
    <w:rsid w:val="00C75A5E"/>
    <w:rsid w:val="00C75CAD"/>
    <w:rsid w:val="00C75EB7"/>
    <w:rsid w:val="00C75EEE"/>
    <w:rsid w:val="00C75F11"/>
    <w:rsid w:val="00C7604D"/>
    <w:rsid w:val="00C76068"/>
    <w:rsid w:val="00C76098"/>
    <w:rsid w:val="00C761D0"/>
    <w:rsid w:val="00C76200"/>
    <w:rsid w:val="00C764B5"/>
    <w:rsid w:val="00C7654B"/>
    <w:rsid w:val="00C768F6"/>
    <w:rsid w:val="00C76A31"/>
    <w:rsid w:val="00C76A60"/>
    <w:rsid w:val="00C76A85"/>
    <w:rsid w:val="00C76B30"/>
    <w:rsid w:val="00C76BB6"/>
    <w:rsid w:val="00C76C8F"/>
    <w:rsid w:val="00C76CA4"/>
    <w:rsid w:val="00C76F3A"/>
    <w:rsid w:val="00C76F73"/>
    <w:rsid w:val="00C77087"/>
    <w:rsid w:val="00C770CF"/>
    <w:rsid w:val="00C77126"/>
    <w:rsid w:val="00C77229"/>
    <w:rsid w:val="00C77259"/>
    <w:rsid w:val="00C77294"/>
    <w:rsid w:val="00C778B8"/>
    <w:rsid w:val="00C778FF"/>
    <w:rsid w:val="00C7793D"/>
    <w:rsid w:val="00C77A0F"/>
    <w:rsid w:val="00C77AAC"/>
    <w:rsid w:val="00C77CAB"/>
    <w:rsid w:val="00C77D39"/>
    <w:rsid w:val="00C77F25"/>
    <w:rsid w:val="00C77F9F"/>
    <w:rsid w:val="00C77FEF"/>
    <w:rsid w:val="00C8018B"/>
    <w:rsid w:val="00C801DA"/>
    <w:rsid w:val="00C802ED"/>
    <w:rsid w:val="00C80317"/>
    <w:rsid w:val="00C80358"/>
    <w:rsid w:val="00C80377"/>
    <w:rsid w:val="00C80401"/>
    <w:rsid w:val="00C8046E"/>
    <w:rsid w:val="00C80530"/>
    <w:rsid w:val="00C805E8"/>
    <w:rsid w:val="00C8068E"/>
    <w:rsid w:val="00C8074A"/>
    <w:rsid w:val="00C80796"/>
    <w:rsid w:val="00C8096D"/>
    <w:rsid w:val="00C809F6"/>
    <w:rsid w:val="00C80ADF"/>
    <w:rsid w:val="00C80B52"/>
    <w:rsid w:val="00C80C36"/>
    <w:rsid w:val="00C80C3F"/>
    <w:rsid w:val="00C80D08"/>
    <w:rsid w:val="00C80FCF"/>
    <w:rsid w:val="00C8112A"/>
    <w:rsid w:val="00C81153"/>
    <w:rsid w:val="00C81170"/>
    <w:rsid w:val="00C8118D"/>
    <w:rsid w:val="00C8122E"/>
    <w:rsid w:val="00C81284"/>
    <w:rsid w:val="00C81357"/>
    <w:rsid w:val="00C81450"/>
    <w:rsid w:val="00C8188C"/>
    <w:rsid w:val="00C818EE"/>
    <w:rsid w:val="00C81AAD"/>
    <w:rsid w:val="00C81BAF"/>
    <w:rsid w:val="00C81BBD"/>
    <w:rsid w:val="00C81CDC"/>
    <w:rsid w:val="00C81DEB"/>
    <w:rsid w:val="00C81E2C"/>
    <w:rsid w:val="00C81FAE"/>
    <w:rsid w:val="00C82007"/>
    <w:rsid w:val="00C82012"/>
    <w:rsid w:val="00C8201C"/>
    <w:rsid w:val="00C820B6"/>
    <w:rsid w:val="00C82170"/>
    <w:rsid w:val="00C82207"/>
    <w:rsid w:val="00C8246C"/>
    <w:rsid w:val="00C82539"/>
    <w:rsid w:val="00C825FD"/>
    <w:rsid w:val="00C826AC"/>
    <w:rsid w:val="00C8279C"/>
    <w:rsid w:val="00C827AF"/>
    <w:rsid w:val="00C827C9"/>
    <w:rsid w:val="00C8280C"/>
    <w:rsid w:val="00C828D7"/>
    <w:rsid w:val="00C828EC"/>
    <w:rsid w:val="00C82915"/>
    <w:rsid w:val="00C8292B"/>
    <w:rsid w:val="00C82936"/>
    <w:rsid w:val="00C82AAC"/>
    <w:rsid w:val="00C82B44"/>
    <w:rsid w:val="00C82C6F"/>
    <w:rsid w:val="00C82E8E"/>
    <w:rsid w:val="00C82EB0"/>
    <w:rsid w:val="00C82F65"/>
    <w:rsid w:val="00C82FE9"/>
    <w:rsid w:val="00C82FEE"/>
    <w:rsid w:val="00C8331D"/>
    <w:rsid w:val="00C833A9"/>
    <w:rsid w:val="00C8343C"/>
    <w:rsid w:val="00C8353C"/>
    <w:rsid w:val="00C8372E"/>
    <w:rsid w:val="00C83735"/>
    <w:rsid w:val="00C8376E"/>
    <w:rsid w:val="00C83786"/>
    <w:rsid w:val="00C83A0F"/>
    <w:rsid w:val="00C83B64"/>
    <w:rsid w:val="00C83BE8"/>
    <w:rsid w:val="00C83CDD"/>
    <w:rsid w:val="00C83F6F"/>
    <w:rsid w:val="00C83F87"/>
    <w:rsid w:val="00C84032"/>
    <w:rsid w:val="00C840B5"/>
    <w:rsid w:val="00C840D4"/>
    <w:rsid w:val="00C84161"/>
    <w:rsid w:val="00C841BD"/>
    <w:rsid w:val="00C84251"/>
    <w:rsid w:val="00C84337"/>
    <w:rsid w:val="00C84443"/>
    <w:rsid w:val="00C84490"/>
    <w:rsid w:val="00C844B6"/>
    <w:rsid w:val="00C844C9"/>
    <w:rsid w:val="00C8457C"/>
    <w:rsid w:val="00C845F3"/>
    <w:rsid w:val="00C84682"/>
    <w:rsid w:val="00C846AC"/>
    <w:rsid w:val="00C846B1"/>
    <w:rsid w:val="00C846B7"/>
    <w:rsid w:val="00C84719"/>
    <w:rsid w:val="00C84879"/>
    <w:rsid w:val="00C84887"/>
    <w:rsid w:val="00C848A9"/>
    <w:rsid w:val="00C8498D"/>
    <w:rsid w:val="00C84A1F"/>
    <w:rsid w:val="00C84BF5"/>
    <w:rsid w:val="00C84CBA"/>
    <w:rsid w:val="00C84CD4"/>
    <w:rsid w:val="00C84DD2"/>
    <w:rsid w:val="00C84DE0"/>
    <w:rsid w:val="00C84EE9"/>
    <w:rsid w:val="00C84F52"/>
    <w:rsid w:val="00C84F79"/>
    <w:rsid w:val="00C84FE6"/>
    <w:rsid w:val="00C84FEF"/>
    <w:rsid w:val="00C85173"/>
    <w:rsid w:val="00C85221"/>
    <w:rsid w:val="00C85376"/>
    <w:rsid w:val="00C85392"/>
    <w:rsid w:val="00C854D0"/>
    <w:rsid w:val="00C8564A"/>
    <w:rsid w:val="00C8582C"/>
    <w:rsid w:val="00C858DB"/>
    <w:rsid w:val="00C85963"/>
    <w:rsid w:val="00C859CE"/>
    <w:rsid w:val="00C85AA2"/>
    <w:rsid w:val="00C85B17"/>
    <w:rsid w:val="00C85BFD"/>
    <w:rsid w:val="00C85BFE"/>
    <w:rsid w:val="00C85C40"/>
    <w:rsid w:val="00C85C8D"/>
    <w:rsid w:val="00C85CEB"/>
    <w:rsid w:val="00C85DA5"/>
    <w:rsid w:val="00C85E29"/>
    <w:rsid w:val="00C85E82"/>
    <w:rsid w:val="00C86000"/>
    <w:rsid w:val="00C860EF"/>
    <w:rsid w:val="00C86470"/>
    <w:rsid w:val="00C864B3"/>
    <w:rsid w:val="00C864ED"/>
    <w:rsid w:val="00C86526"/>
    <w:rsid w:val="00C867E5"/>
    <w:rsid w:val="00C8692B"/>
    <w:rsid w:val="00C8698E"/>
    <w:rsid w:val="00C86A38"/>
    <w:rsid w:val="00C86A9B"/>
    <w:rsid w:val="00C86AB0"/>
    <w:rsid w:val="00C86AD1"/>
    <w:rsid w:val="00C86C51"/>
    <w:rsid w:val="00C86C75"/>
    <w:rsid w:val="00C86EAB"/>
    <w:rsid w:val="00C86F42"/>
    <w:rsid w:val="00C86F71"/>
    <w:rsid w:val="00C8708D"/>
    <w:rsid w:val="00C87154"/>
    <w:rsid w:val="00C871A7"/>
    <w:rsid w:val="00C871D8"/>
    <w:rsid w:val="00C87256"/>
    <w:rsid w:val="00C872DF"/>
    <w:rsid w:val="00C873B1"/>
    <w:rsid w:val="00C87405"/>
    <w:rsid w:val="00C87497"/>
    <w:rsid w:val="00C87635"/>
    <w:rsid w:val="00C8765E"/>
    <w:rsid w:val="00C87739"/>
    <w:rsid w:val="00C87839"/>
    <w:rsid w:val="00C8792D"/>
    <w:rsid w:val="00C8798E"/>
    <w:rsid w:val="00C87A5D"/>
    <w:rsid w:val="00C87B19"/>
    <w:rsid w:val="00C87B40"/>
    <w:rsid w:val="00C87C0E"/>
    <w:rsid w:val="00C87C64"/>
    <w:rsid w:val="00C87D1D"/>
    <w:rsid w:val="00C87DF9"/>
    <w:rsid w:val="00C87EDC"/>
    <w:rsid w:val="00C87F64"/>
    <w:rsid w:val="00C87F8B"/>
    <w:rsid w:val="00C9012C"/>
    <w:rsid w:val="00C90130"/>
    <w:rsid w:val="00C90343"/>
    <w:rsid w:val="00C903B9"/>
    <w:rsid w:val="00C90413"/>
    <w:rsid w:val="00C904D6"/>
    <w:rsid w:val="00C90646"/>
    <w:rsid w:val="00C90671"/>
    <w:rsid w:val="00C9069C"/>
    <w:rsid w:val="00C906EE"/>
    <w:rsid w:val="00C907C5"/>
    <w:rsid w:val="00C9080E"/>
    <w:rsid w:val="00C90823"/>
    <w:rsid w:val="00C9086A"/>
    <w:rsid w:val="00C90BA3"/>
    <w:rsid w:val="00C90E9A"/>
    <w:rsid w:val="00C90F57"/>
    <w:rsid w:val="00C90F86"/>
    <w:rsid w:val="00C91192"/>
    <w:rsid w:val="00C911B2"/>
    <w:rsid w:val="00C912DB"/>
    <w:rsid w:val="00C9131F"/>
    <w:rsid w:val="00C91472"/>
    <w:rsid w:val="00C91479"/>
    <w:rsid w:val="00C9147B"/>
    <w:rsid w:val="00C91770"/>
    <w:rsid w:val="00C91920"/>
    <w:rsid w:val="00C919BB"/>
    <w:rsid w:val="00C91B63"/>
    <w:rsid w:val="00C91B9B"/>
    <w:rsid w:val="00C91CC5"/>
    <w:rsid w:val="00C91D55"/>
    <w:rsid w:val="00C91D71"/>
    <w:rsid w:val="00C91E22"/>
    <w:rsid w:val="00C92059"/>
    <w:rsid w:val="00C9205B"/>
    <w:rsid w:val="00C92069"/>
    <w:rsid w:val="00C9218F"/>
    <w:rsid w:val="00C921B0"/>
    <w:rsid w:val="00C92216"/>
    <w:rsid w:val="00C9235E"/>
    <w:rsid w:val="00C92477"/>
    <w:rsid w:val="00C9265D"/>
    <w:rsid w:val="00C9270B"/>
    <w:rsid w:val="00C92846"/>
    <w:rsid w:val="00C9289D"/>
    <w:rsid w:val="00C929F1"/>
    <w:rsid w:val="00C92BB8"/>
    <w:rsid w:val="00C92D1E"/>
    <w:rsid w:val="00C92DBD"/>
    <w:rsid w:val="00C9305F"/>
    <w:rsid w:val="00C930AF"/>
    <w:rsid w:val="00C93302"/>
    <w:rsid w:val="00C93392"/>
    <w:rsid w:val="00C934A6"/>
    <w:rsid w:val="00C93538"/>
    <w:rsid w:val="00C93565"/>
    <w:rsid w:val="00C9357C"/>
    <w:rsid w:val="00C93721"/>
    <w:rsid w:val="00C93945"/>
    <w:rsid w:val="00C93B28"/>
    <w:rsid w:val="00C93B30"/>
    <w:rsid w:val="00C93C33"/>
    <w:rsid w:val="00C93E3A"/>
    <w:rsid w:val="00C93F99"/>
    <w:rsid w:val="00C93FEC"/>
    <w:rsid w:val="00C93FF1"/>
    <w:rsid w:val="00C940CB"/>
    <w:rsid w:val="00C94196"/>
    <w:rsid w:val="00C9447D"/>
    <w:rsid w:val="00C945B6"/>
    <w:rsid w:val="00C945DA"/>
    <w:rsid w:val="00C946AC"/>
    <w:rsid w:val="00C946F9"/>
    <w:rsid w:val="00C9477C"/>
    <w:rsid w:val="00C9488C"/>
    <w:rsid w:val="00C94898"/>
    <w:rsid w:val="00C9490E"/>
    <w:rsid w:val="00C94981"/>
    <w:rsid w:val="00C9499B"/>
    <w:rsid w:val="00C94A59"/>
    <w:rsid w:val="00C94AAA"/>
    <w:rsid w:val="00C94B43"/>
    <w:rsid w:val="00C94C24"/>
    <w:rsid w:val="00C94D00"/>
    <w:rsid w:val="00C94D07"/>
    <w:rsid w:val="00C95105"/>
    <w:rsid w:val="00C9515C"/>
    <w:rsid w:val="00C951D4"/>
    <w:rsid w:val="00C9539B"/>
    <w:rsid w:val="00C95652"/>
    <w:rsid w:val="00C956FE"/>
    <w:rsid w:val="00C9573A"/>
    <w:rsid w:val="00C957D9"/>
    <w:rsid w:val="00C958E9"/>
    <w:rsid w:val="00C95948"/>
    <w:rsid w:val="00C959AF"/>
    <w:rsid w:val="00C95BE5"/>
    <w:rsid w:val="00C95DA2"/>
    <w:rsid w:val="00C95E2B"/>
    <w:rsid w:val="00C95F2E"/>
    <w:rsid w:val="00C95FF5"/>
    <w:rsid w:val="00C96063"/>
    <w:rsid w:val="00C961B5"/>
    <w:rsid w:val="00C963FC"/>
    <w:rsid w:val="00C96439"/>
    <w:rsid w:val="00C96625"/>
    <w:rsid w:val="00C96672"/>
    <w:rsid w:val="00C966F8"/>
    <w:rsid w:val="00C9675F"/>
    <w:rsid w:val="00C9682A"/>
    <w:rsid w:val="00C96B34"/>
    <w:rsid w:val="00C96BAC"/>
    <w:rsid w:val="00C96D1D"/>
    <w:rsid w:val="00C96D90"/>
    <w:rsid w:val="00C96F6E"/>
    <w:rsid w:val="00C96FA6"/>
    <w:rsid w:val="00C9704E"/>
    <w:rsid w:val="00C97052"/>
    <w:rsid w:val="00C970B8"/>
    <w:rsid w:val="00C970D8"/>
    <w:rsid w:val="00C97159"/>
    <w:rsid w:val="00C97177"/>
    <w:rsid w:val="00C9729A"/>
    <w:rsid w:val="00C97340"/>
    <w:rsid w:val="00C9738D"/>
    <w:rsid w:val="00C9746F"/>
    <w:rsid w:val="00C97599"/>
    <w:rsid w:val="00C975F6"/>
    <w:rsid w:val="00C97615"/>
    <w:rsid w:val="00C977F1"/>
    <w:rsid w:val="00C97866"/>
    <w:rsid w:val="00C9795A"/>
    <w:rsid w:val="00C97B10"/>
    <w:rsid w:val="00C97BCF"/>
    <w:rsid w:val="00C97C68"/>
    <w:rsid w:val="00C97D72"/>
    <w:rsid w:val="00C97DAB"/>
    <w:rsid w:val="00C97E4C"/>
    <w:rsid w:val="00C97EAF"/>
    <w:rsid w:val="00C97EC8"/>
    <w:rsid w:val="00CA000E"/>
    <w:rsid w:val="00CA0094"/>
    <w:rsid w:val="00CA01F7"/>
    <w:rsid w:val="00CA0245"/>
    <w:rsid w:val="00CA03D1"/>
    <w:rsid w:val="00CA0492"/>
    <w:rsid w:val="00CA04CF"/>
    <w:rsid w:val="00CA054B"/>
    <w:rsid w:val="00CA0630"/>
    <w:rsid w:val="00CA06FE"/>
    <w:rsid w:val="00CA0828"/>
    <w:rsid w:val="00CA082C"/>
    <w:rsid w:val="00CA0835"/>
    <w:rsid w:val="00CA0BA7"/>
    <w:rsid w:val="00CA0C95"/>
    <w:rsid w:val="00CA0CD2"/>
    <w:rsid w:val="00CA0E1A"/>
    <w:rsid w:val="00CA0E26"/>
    <w:rsid w:val="00CA0ED9"/>
    <w:rsid w:val="00CA0FD5"/>
    <w:rsid w:val="00CA0FDC"/>
    <w:rsid w:val="00CA1105"/>
    <w:rsid w:val="00CA121C"/>
    <w:rsid w:val="00CA12B0"/>
    <w:rsid w:val="00CA13CC"/>
    <w:rsid w:val="00CA160B"/>
    <w:rsid w:val="00CA17D6"/>
    <w:rsid w:val="00CA192B"/>
    <w:rsid w:val="00CA1D18"/>
    <w:rsid w:val="00CA1DD8"/>
    <w:rsid w:val="00CA1E73"/>
    <w:rsid w:val="00CA1E78"/>
    <w:rsid w:val="00CA1F0A"/>
    <w:rsid w:val="00CA27EC"/>
    <w:rsid w:val="00CA2969"/>
    <w:rsid w:val="00CA29A3"/>
    <w:rsid w:val="00CA2A6C"/>
    <w:rsid w:val="00CA2B58"/>
    <w:rsid w:val="00CA2BD0"/>
    <w:rsid w:val="00CA2C58"/>
    <w:rsid w:val="00CA2C6C"/>
    <w:rsid w:val="00CA2C7F"/>
    <w:rsid w:val="00CA2CFB"/>
    <w:rsid w:val="00CA2D9E"/>
    <w:rsid w:val="00CA2E31"/>
    <w:rsid w:val="00CA2F56"/>
    <w:rsid w:val="00CA2FB2"/>
    <w:rsid w:val="00CA301B"/>
    <w:rsid w:val="00CA3122"/>
    <w:rsid w:val="00CA3164"/>
    <w:rsid w:val="00CA3170"/>
    <w:rsid w:val="00CA31D8"/>
    <w:rsid w:val="00CA328C"/>
    <w:rsid w:val="00CA3297"/>
    <w:rsid w:val="00CA336E"/>
    <w:rsid w:val="00CA3424"/>
    <w:rsid w:val="00CA3436"/>
    <w:rsid w:val="00CA352F"/>
    <w:rsid w:val="00CA365D"/>
    <w:rsid w:val="00CA3661"/>
    <w:rsid w:val="00CA3769"/>
    <w:rsid w:val="00CA39CB"/>
    <w:rsid w:val="00CA3BAE"/>
    <w:rsid w:val="00CA3F1A"/>
    <w:rsid w:val="00CA43E7"/>
    <w:rsid w:val="00CA45E0"/>
    <w:rsid w:val="00CA466D"/>
    <w:rsid w:val="00CA47B0"/>
    <w:rsid w:val="00CA47BD"/>
    <w:rsid w:val="00CA4815"/>
    <w:rsid w:val="00CA482E"/>
    <w:rsid w:val="00CA4A58"/>
    <w:rsid w:val="00CA4AFC"/>
    <w:rsid w:val="00CA4B2B"/>
    <w:rsid w:val="00CA4B3F"/>
    <w:rsid w:val="00CA4BCE"/>
    <w:rsid w:val="00CA4BEB"/>
    <w:rsid w:val="00CA4C77"/>
    <w:rsid w:val="00CA4D5F"/>
    <w:rsid w:val="00CA4E22"/>
    <w:rsid w:val="00CA4E74"/>
    <w:rsid w:val="00CA4EB7"/>
    <w:rsid w:val="00CA4F4D"/>
    <w:rsid w:val="00CA51F0"/>
    <w:rsid w:val="00CA521E"/>
    <w:rsid w:val="00CA5441"/>
    <w:rsid w:val="00CA544E"/>
    <w:rsid w:val="00CA56ED"/>
    <w:rsid w:val="00CA5759"/>
    <w:rsid w:val="00CA5783"/>
    <w:rsid w:val="00CA5795"/>
    <w:rsid w:val="00CA58F6"/>
    <w:rsid w:val="00CA596F"/>
    <w:rsid w:val="00CA5981"/>
    <w:rsid w:val="00CA5A6E"/>
    <w:rsid w:val="00CA60C0"/>
    <w:rsid w:val="00CA60E2"/>
    <w:rsid w:val="00CA6614"/>
    <w:rsid w:val="00CA6624"/>
    <w:rsid w:val="00CA668D"/>
    <w:rsid w:val="00CA6849"/>
    <w:rsid w:val="00CA689B"/>
    <w:rsid w:val="00CA68B0"/>
    <w:rsid w:val="00CA6A68"/>
    <w:rsid w:val="00CA6B64"/>
    <w:rsid w:val="00CA6D48"/>
    <w:rsid w:val="00CA6DA4"/>
    <w:rsid w:val="00CA6ECC"/>
    <w:rsid w:val="00CA6F9D"/>
    <w:rsid w:val="00CA70A5"/>
    <w:rsid w:val="00CA70A8"/>
    <w:rsid w:val="00CA712D"/>
    <w:rsid w:val="00CA717C"/>
    <w:rsid w:val="00CA7372"/>
    <w:rsid w:val="00CA7516"/>
    <w:rsid w:val="00CA759B"/>
    <w:rsid w:val="00CA7891"/>
    <w:rsid w:val="00CA78E6"/>
    <w:rsid w:val="00CA79A3"/>
    <w:rsid w:val="00CA7ADE"/>
    <w:rsid w:val="00CA7ADF"/>
    <w:rsid w:val="00CA7C21"/>
    <w:rsid w:val="00CA7D97"/>
    <w:rsid w:val="00CA7DD0"/>
    <w:rsid w:val="00CA7DF5"/>
    <w:rsid w:val="00CA7E6B"/>
    <w:rsid w:val="00CA7F4B"/>
    <w:rsid w:val="00CB0040"/>
    <w:rsid w:val="00CB0057"/>
    <w:rsid w:val="00CB02FE"/>
    <w:rsid w:val="00CB0464"/>
    <w:rsid w:val="00CB050C"/>
    <w:rsid w:val="00CB053E"/>
    <w:rsid w:val="00CB0682"/>
    <w:rsid w:val="00CB06DA"/>
    <w:rsid w:val="00CB0929"/>
    <w:rsid w:val="00CB0B22"/>
    <w:rsid w:val="00CB0CDA"/>
    <w:rsid w:val="00CB0D4E"/>
    <w:rsid w:val="00CB0DEE"/>
    <w:rsid w:val="00CB0ECD"/>
    <w:rsid w:val="00CB0ED2"/>
    <w:rsid w:val="00CB0ED4"/>
    <w:rsid w:val="00CB1212"/>
    <w:rsid w:val="00CB15D2"/>
    <w:rsid w:val="00CB1713"/>
    <w:rsid w:val="00CB176F"/>
    <w:rsid w:val="00CB18ED"/>
    <w:rsid w:val="00CB193D"/>
    <w:rsid w:val="00CB1C1E"/>
    <w:rsid w:val="00CB1CEF"/>
    <w:rsid w:val="00CB1D30"/>
    <w:rsid w:val="00CB1DC0"/>
    <w:rsid w:val="00CB1DEB"/>
    <w:rsid w:val="00CB1E54"/>
    <w:rsid w:val="00CB1E83"/>
    <w:rsid w:val="00CB1EC7"/>
    <w:rsid w:val="00CB1FAF"/>
    <w:rsid w:val="00CB2068"/>
    <w:rsid w:val="00CB2256"/>
    <w:rsid w:val="00CB22A6"/>
    <w:rsid w:val="00CB24CC"/>
    <w:rsid w:val="00CB253C"/>
    <w:rsid w:val="00CB2684"/>
    <w:rsid w:val="00CB26B9"/>
    <w:rsid w:val="00CB27B7"/>
    <w:rsid w:val="00CB27E9"/>
    <w:rsid w:val="00CB2827"/>
    <w:rsid w:val="00CB29EA"/>
    <w:rsid w:val="00CB2A71"/>
    <w:rsid w:val="00CB2B3F"/>
    <w:rsid w:val="00CB2C7B"/>
    <w:rsid w:val="00CB2E8B"/>
    <w:rsid w:val="00CB2E9E"/>
    <w:rsid w:val="00CB2EFD"/>
    <w:rsid w:val="00CB2F79"/>
    <w:rsid w:val="00CB3017"/>
    <w:rsid w:val="00CB328B"/>
    <w:rsid w:val="00CB33A0"/>
    <w:rsid w:val="00CB33BC"/>
    <w:rsid w:val="00CB3657"/>
    <w:rsid w:val="00CB36F2"/>
    <w:rsid w:val="00CB37B3"/>
    <w:rsid w:val="00CB3829"/>
    <w:rsid w:val="00CB38F8"/>
    <w:rsid w:val="00CB39BE"/>
    <w:rsid w:val="00CB3A76"/>
    <w:rsid w:val="00CB3B6D"/>
    <w:rsid w:val="00CB3D3D"/>
    <w:rsid w:val="00CB3E15"/>
    <w:rsid w:val="00CB3EAF"/>
    <w:rsid w:val="00CB3FF6"/>
    <w:rsid w:val="00CB4013"/>
    <w:rsid w:val="00CB40A1"/>
    <w:rsid w:val="00CB424A"/>
    <w:rsid w:val="00CB4253"/>
    <w:rsid w:val="00CB428D"/>
    <w:rsid w:val="00CB4295"/>
    <w:rsid w:val="00CB4305"/>
    <w:rsid w:val="00CB4356"/>
    <w:rsid w:val="00CB440B"/>
    <w:rsid w:val="00CB4420"/>
    <w:rsid w:val="00CB445F"/>
    <w:rsid w:val="00CB451D"/>
    <w:rsid w:val="00CB4567"/>
    <w:rsid w:val="00CB466A"/>
    <w:rsid w:val="00CB476B"/>
    <w:rsid w:val="00CB47CA"/>
    <w:rsid w:val="00CB4BCE"/>
    <w:rsid w:val="00CB4C5D"/>
    <w:rsid w:val="00CB4C7A"/>
    <w:rsid w:val="00CB4CEE"/>
    <w:rsid w:val="00CB4DB6"/>
    <w:rsid w:val="00CB4E63"/>
    <w:rsid w:val="00CB4ED5"/>
    <w:rsid w:val="00CB51D8"/>
    <w:rsid w:val="00CB53BB"/>
    <w:rsid w:val="00CB54EA"/>
    <w:rsid w:val="00CB55B1"/>
    <w:rsid w:val="00CB5649"/>
    <w:rsid w:val="00CB56B7"/>
    <w:rsid w:val="00CB57CD"/>
    <w:rsid w:val="00CB5862"/>
    <w:rsid w:val="00CB5A80"/>
    <w:rsid w:val="00CB5A99"/>
    <w:rsid w:val="00CB5B74"/>
    <w:rsid w:val="00CB5B96"/>
    <w:rsid w:val="00CB5C8A"/>
    <w:rsid w:val="00CB5E57"/>
    <w:rsid w:val="00CB5E66"/>
    <w:rsid w:val="00CB5EE5"/>
    <w:rsid w:val="00CB6019"/>
    <w:rsid w:val="00CB6043"/>
    <w:rsid w:val="00CB60A5"/>
    <w:rsid w:val="00CB632F"/>
    <w:rsid w:val="00CB6374"/>
    <w:rsid w:val="00CB6391"/>
    <w:rsid w:val="00CB646F"/>
    <w:rsid w:val="00CB648A"/>
    <w:rsid w:val="00CB64C5"/>
    <w:rsid w:val="00CB65CA"/>
    <w:rsid w:val="00CB65CD"/>
    <w:rsid w:val="00CB66A4"/>
    <w:rsid w:val="00CB6742"/>
    <w:rsid w:val="00CB688B"/>
    <w:rsid w:val="00CB6985"/>
    <w:rsid w:val="00CB6A92"/>
    <w:rsid w:val="00CB6ABD"/>
    <w:rsid w:val="00CB6BB8"/>
    <w:rsid w:val="00CB6C55"/>
    <w:rsid w:val="00CB6C7E"/>
    <w:rsid w:val="00CB6CF8"/>
    <w:rsid w:val="00CB6D0E"/>
    <w:rsid w:val="00CB6DA8"/>
    <w:rsid w:val="00CB6F83"/>
    <w:rsid w:val="00CB7088"/>
    <w:rsid w:val="00CB70F2"/>
    <w:rsid w:val="00CB74F9"/>
    <w:rsid w:val="00CB75AA"/>
    <w:rsid w:val="00CB75C9"/>
    <w:rsid w:val="00CB75CB"/>
    <w:rsid w:val="00CB75ED"/>
    <w:rsid w:val="00CB7602"/>
    <w:rsid w:val="00CB7661"/>
    <w:rsid w:val="00CB76CF"/>
    <w:rsid w:val="00CB7853"/>
    <w:rsid w:val="00CB78CD"/>
    <w:rsid w:val="00CB7D07"/>
    <w:rsid w:val="00CB7E03"/>
    <w:rsid w:val="00CB7E9C"/>
    <w:rsid w:val="00CC0083"/>
    <w:rsid w:val="00CC01CC"/>
    <w:rsid w:val="00CC01DF"/>
    <w:rsid w:val="00CC027F"/>
    <w:rsid w:val="00CC0342"/>
    <w:rsid w:val="00CC034D"/>
    <w:rsid w:val="00CC039C"/>
    <w:rsid w:val="00CC04C3"/>
    <w:rsid w:val="00CC0538"/>
    <w:rsid w:val="00CC0549"/>
    <w:rsid w:val="00CC0741"/>
    <w:rsid w:val="00CC08F3"/>
    <w:rsid w:val="00CC0914"/>
    <w:rsid w:val="00CC0997"/>
    <w:rsid w:val="00CC0A96"/>
    <w:rsid w:val="00CC0ABC"/>
    <w:rsid w:val="00CC0C14"/>
    <w:rsid w:val="00CC0D0B"/>
    <w:rsid w:val="00CC0DA8"/>
    <w:rsid w:val="00CC0F81"/>
    <w:rsid w:val="00CC105E"/>
    <w:rsid w:val="00CC1198"/>
    <w:rsid w:val="00CC13A7"/>
    <w:rsid w:val="00CC1505"/>
    <w:rsid w:val="00CC163E"/>
    <w:rsid w:val="00CC1732"/>
    <w:rsid w:val="00CC19A4"/>
    <w:rsid w:val="00CC19E2"/>
    <w:rsid w:val="00CC1A7E"/>
    <w:rsid w:val="00CC1B05"/>
    <w:rsid w:val="00CC1BD0"/>
    <w:rsid w:val="00CC1D7C"/>
    <w:rsid w:val="00CC2242"/>
    <w:rsid w:val="00CC22BD"/>
    <w:rsid w:val="00CC22F2"/>
    <w:rsid w:val="00CC23FF"/>
    <w:rsid w:val="00CC259D"/>
    <w:rsid w:val="00CC2627"/>
    <w:rsid w:val="00CC2662"/>
    <w:rsid w:val="00CC2847"/>
    <w:rsid w:val="00CC292D"/>
    <w:rsid w:val="00CC293F"/>
    <w:rsid w:val="00CC29C3"/>
    <w:rsid w:val="00CC2AE9"/>
    <w:rsid w:val="00CC2D15"/>
    <w:rsid w:val="00CC2E03"/>
    <w:rsid w:val="00CC2EF0"/>
    <w:rsid w:val="00CC2F18"/>
    <w:rsid w:val="00CC2FBE"/>
    <w:rsid w:val="00CC2FDE"/>
    <w:rsid w:val="00CC3019"/>
    <w:rsid w:val="00CC3091"/>
    <w:rsid w:val="00CC30C9"/>
    <w:rsid w:val="00CC3327"/>
    <w:rsid w:val="00CC3680"/>
    <w:rsid w:val="00CC370F"/>
    <w:rsid w:val="00CC378A"/>
    <w:rsid w:val="00CC37D8"/>
    <w:rsid w:val="00CC37F0"/>
    <w:rsid w:val="00CC39D3"/>
    <w:rsid w:val="00CC3A0A"/>
    <w:rsid w:val="00CC3B5E"/>
    <w:rsid w:val="00CC3D96"/>
    <w:rsid w:val="00CC3DB6"/>
    <w:rsid w:val="00CC3EC5"/>
    <w:rsid w:val="00CC3F71"/>
    <w:rsid w:val="00CC3FFE"/>
    <w:rsid w:val="00CC40C0"/>
    <w:rsid w:val="00CC43EA"/>
    <w:rsid w:val="00CC4403"/>
    <w:rsid w:val="00CC4457"/>
    <w:rsid w:val="00CC450D"/>
    <w:rsid w:val="00CC453B"/>
    <w:rsid w:val="00CC45DF"/>
    <w:rsid w:val="00CC4724"/>
    <w:rsid w:val="00CC48E8"/>
    <w:rsid w:val="00CC49B2"/>
    <w:rsid w:val="00CC4A82"/>
    <w:rsid w:val="00CC4EC1"/>
    <w:rsid w:val="00CC4F15"/>
    <w:rsid w:val="00CC5124"/>
    <w:rsid w:val="00CC524D"/>
    <w:rsid w:val="00CC5256"/>
    <w:rsid w:val="00CC52C3"/>
    <w:rsid w:val="00CC53D4"/>
    <w:rsid w:val="00CC542B"/>
    <w:rsid w:val="00CC545A"/>
    <w:rsid w:val="00CC5556"/>
    <w:rsid w:val="00CC5563"/>
    <w:rsid w:val="00CC5684"/>
    <w:rsid w:val="00CC573E"/>
    <w:rsid w:val="00CC5888"/>
    <w:rsid w:val="00CC5931"/>
    <w:rsid w:val="00CC5AFF"/>
    <w:rsid w:val="00CC5D82"/>
    <w:rsid w:val="00CC5D87"/>
    <w:rsid w:val="00CC5DDF"/>
    <w:rsid w:val="00CC5E4D"/>
    <w:rsid w:val="00CC5EA8"/>
    <w:rsid w:val="00CC5F11"/>
    <w:rsid w:val="00CC5F7D"/>
    <w:rsid w:val="00CC603F"/>
    <w:rsid w:val="00CC6157"/>
    <w:rsid w:val="00CC6191"/>
    <w:rsid w:val="00CC619D"/>
    <w:rsid w:val="00CC61D4"/>
    <w:rsid w:val="00CC61FB"/>
    <w:rsid w:val="00CC62C5"/>
    <w:rsid w:val="00CC6366"/>
    <w:rsid w:val="00CC63D7"/>
    <w:rsid w:val="00CC6406"/>
    <w:rsid w:val="00CC6487"/>
    <w:rsid w:val="00CC64AE"/>
    <w:rsid w:val="00CC6558"/>
    <w:rsid w:val="00CC6582"/>
    <w:rsid w:val="00CC65D3"/>
    <w:rsid w:val="00CC6630"/>
    <w:rsid w:val="00CC66B0"/>
    <w:rsid w:val="00CC66F4"/>
    <w:rsid w:val="00CC68D1"/>
    <w:rsid w:val="00CC69BC"/>
    <w:rsid w:val="00CC6A38"/>
    <w:rsid w:val="00CC6AEE"/>
    <w:rsid w:val="00CC6C38"/>
    <w:rsid w:val="00CC6C70"/>
    <w:rsid w:val="00CC6C9C"/>
    <w:rsid w:val="00CC6DA6"/>
    <w:rsid w:val="00CC6E2F"/>
    <w:rsid w:val="00CC6F6B"/>
    <w:rsid w:val="00CC716F"/>
    <w:rsid w:val="00CC7318"/>
    <w:rsid w:val="00CC73BA"/>
    <w:rsid w:val="00CC7402"/>
    <w:rsid w:val="00CC7411"/>
    <w:rsid w:val="00CC74EF"/>
    <w:rsid w:val="00CC7587"/>
    <w:rsid w:val="00CC7595"/>
    <w:rsid w:val="00CC7634"/>
    <w:rsid w:val="00CC7715"/>
    <w:rsid w:val="00CC777A"/>
    <w:rsid w:val="00CC77B2"/>
    <w:rsid w:val="00CC77C3"/>
    <w:rsid w:val="00CC782C"/>
    <w:rsid w:val="00CC7863"/>
    <w:rsid w:val="00CC7A1A"/>
    <w:rsid w:val="00CC7A89"/>
    <w:rsid w:val="00CC7A91"/>
    <w:rsid w:val="00CC7AED"/>
    <w:rsid w:val="00CC7B3E"/>
    <w:rsid w:val="00CC7B4E"/>
    <w:rsid w:val="00CC7E07"/>
    <w:rsid w:val="00CC7E6D"/>
    <w:rsid w:val="00CC7FCA"/>
    <w:rsid w:val="00CC7FFB"/>
    <w:rsid w:val="00CD0172"/>
    <w:rsid w:val="00CD0212"/>
    <w:rsid w:val="00CD0260"/>
    <w:rsid w:val="00CD02C0"/>
    <w:rsid w:val="00CD03D8"/>
    <w:rsid w:val="00CD0406"/>
    <w:rsid w:val="00CD0410"/>
    <w:rsid w:val="00CD0417"/>
    <w:rsid w:val="00CD0489"/>
    <w:rsid w:val="00CD0494"/>
    <w:rsid w:val="00CD04A5"/>
    <w:rsid w:val="00CD0544"/>
    <w:rsid w:val="00CD05D7"/>
    <w:rsid w:val="00CD0648"/>
    <w:rsid w:val="00CD0816"/>
    <w:rsid w:val="00CD0901"/>
    <w:rsid w:val="00CD09E8"/>
    <w:rsid w:val="00CD0A9D"/>
    <w:rsid w:val="00CD0B10"/>
    <w:rsid w:val="00CD0BC8"/>
    <w:rsid w:val="00CD0C47"/>
    <w:rsid w:val="00CD0C54"/>
    <w:rsid w:val="00CD0DB1"/>
    <w:rsid w:val="00CD0DFF"/>
    <w:rsid w:val="00CD0EBF"/>
    <w:rsid w:val="00CD0F2D"/>
    <w:rsid w:val="00CD0F61"/>
    <w:rsid w:val="00CD0FF1"/>
    <w:rsid w:val="00CD1074"/>
    <w:rsid w:val="00CD12F4"/>
    <w:rsid w:val="00CD1364"/>
    <w:rsid w:val="00CD13C6"/>
    <w:rsid w:val="00CD13DC"/>
    <w:rsid w:val="00CD13F4"/>
    <w:rsid w:val="00CD1503"/>
    <w:rsid w:val="00CD1534"/>
    <w:rsid w:val="00CD1660"/>
    <w:rsid w:val="00CD172F"/>
    <w:rsid w:val="00CD17EE"/>
    <w:rsid w:val="00CD19CB"/>
    <w:rsid w:val="00CD19D0"/>
    <w:rsid w:val="00CD1AF6"/>
    <w:rsid w:val="00CD1B58"/>
    <w:rsid w:val="00CD1ECB"/>
    <w:rsid w:val="00CD1F49"/>
    <w:rsid w:val="00CD1FF5"/>
    <w:rsid w:val="00CD2063"/>
    <w:rsid w:val="00CD2276"/>
    <w:rsid w:val="00CD24EB"/>
    <w:rsid w:val="00CD263D"/>
    <w:rsid w:val="00CD26FB"/>
    <w:rsid w:val="00CD278E"/>
    <w:rsid w:val="00CD283C"/>
    <w:rsid w:val="00CD2A22"/>
    <w:rsid w:val="00CD2B06"/>
    <w:rsid w:val="00CD2C08"/>
    <w:rsid w:val="00CD2E3C"/>
    <w:rsid w:val="00CD2FE1"/>
    <w:rsid w:val="00CD3144"/>
    <w:rsid w:val="00CD3221"/>
    <w:rsid w:val="00CD326A"/>
    <w:rsid w:val="00CD33F5"/>
    <w:rsid w:val="00CD3624"/>
    <w:rsid w:val="00CD3687"/>
    <w:rsid w:val="00CD3818"/>
    <w:rsid w:val="00CD3887"/>
    <w:rsid w:val="00CD388C"/>
    <w:rsid w:val="00CD38BC"/>
    <w:rsid w:val="00CD3A14"/>
    <w:rsid w:val="00CD3A4E"/>
    <w:rsid w:val="00CD3B5F"/>
    <w:rsid w:val="00CD3BDE"/>
    <w:rsid w:val="00CD3C03"/>
    <w:rsid w:val="00CD3C8C"/>
    <w:rsid w:val="00CD3CCC"/>
    <w:rsid w:val="00CD3CCF"/>
    <w:rsid w:val="00CD3DE1"/>
    <w:rsid w:val="00CD3DE8"/>
    <w:rsid w:val="00CD3E0B"/>
    <w:rsid w:val="00CD3F41"/>
    <w:rsid w:val="00CD3F4A"/>
    <w:rsid w:val="00CD3FFA"/>
    <w:rsid w:val="00CD406B"/>
    <w:rsid w:val="00CD407D"/>
    <w:rsid w:val="00CD4143"/>
    <w:rsid w:val="00CD42E2"/>
    <w:rsid w:val="00CD4782"/>
    <w:rsid w:val="00CD48D3"/>
    <w:rsid w:val="00CD495E"/>
    <w:rsid w:val="00CD497B"/>
    <w:rsid w:val="00CD4AAE"/>
    <w:rsid w:val="00CD4AE9"/>
    <w:rsid w:val="00CD4E69"/>
    <w:rsid w:val="00CD5379"/>
    <w:rsid w:val="00CD54FA"/>
    <w:rsid w:val="00CD5682"/>
    <w:rsid w:val="00CD568E"/>
    <w:rsid w:val="00CD5800"/>
    <w:rsid w:val="00CD5991"/>
    <w:rsid w:val="00CD59AE"/>
    <w:rsid w:val="00CD5AE2"/>
    <w:rsid w:val="00CD5B0E"/>
    <w:rsid w:val="00CD5BE2"/>
    <w:rsid w:val="00CD5C65"/>
    <w:rsid w:val="00CD5CFD"/>
    <w:rsid w:val="00CD5D3A"/>
    <w:rsid w:val="00CD5DB6"/>
    <w:rsid w:val="00CD5E2D"/>
    <w:rsid w:val="00CD5E33"/>
    <w:rsid w:val="00CD5E3E"/>
    <w:rsid w:val="00CD5F6F"/>
    <w:rsid w:val="00CD5F7B"/>
    <w:rsid w:val="00CD6273"/>
    <w:rsid w:val="00CD62EB"/>
    <w:rsid w:val="00CD633C"/>
    <w:rsid w:val="00CD63C8"/>
    <w:rsid w:val="00CD643B"/>
    <w:rsid w:val="00CD649B"/>
    <w:rsid w:val="00CD64A6"/>
    <w:rsid w:val="00CD67D3"/>
    <w:rsid w:val="00CD6802"/>
    <w:rsid w:val="00CD681C"/>
    <w:rsid w:val="00CD68AB"/>
    <w:rsid w:val="00CD68C2"/>
    <w:rsid w:val="00CD6900"/>
    <w:rsid w:val="00CD6AA2"/>
    <w:rsid w:val="00CD6D5C"/>
    <w:rsid w:val="00CD6E3C"/>
    <w:rsid w:val="00CD7000"/>
    <w:rsid w:val="00CD70F4"/>
    <w:rsid w:val="00CD73AC"/>
    <w:rsid w:val="00CD73B1"/>
    <w:rsid w:val="00CD74E2"/>
    <w:rsid w:val="00CD753C"/>
    <w:rsid w:val="00CD75C8"/>
    <w:rsid w:val="00CD75D5"/>
    <w:rsid w:val="00CD7794"/>
    <w:rsid w:val="00CD77A2"/>
    <w:rsid w:val="00CD77B2"/>
    <w:rsid w:val="00CD79AC"/>
    <w:rsid w:val="00CD7BC7"/>
    <w:rsid w:val="00CD7C59"/>
    <w:rsid w:val="00CD7E45"/>
    <w:rsid w:val="00CE0032"/>
    <w:rsid w:val="00CE00E6"/>
    <w:rsid w:val="00CE010A"/>
    <w:rsid w:val="00CE0242"/>
    <w:rsid w:val="00CE0307"/>
    <w:rsid w:val="00CE033E"/>
    <w:rsid w:val="00CE0363"/>
    <w:rsid w:val="00CE045F"/>
    <w:rsid w:val="00CE04F3"/>
    <w:rsid w:val="00CE0553"/>
    <w:rsid w:val="00CE056B"/>
    <w:rsid w:val="00CE0677"/>
    <w:rsid w:val="00CE0678"/>
    <w:rsid w:val="00CE07DA"/>
    <w:rsid w:val="00CE0A95"/>
    <w:rsid w:val="00CE0B8D"/>
    <w:rsid w:val="00CE0BD4"/>
    <w:rsid w:val="00CE0BFE"/>
    <w:rsid w:val="00CE0CF2"/>
    <w:rsid w:val="00CE0D32"/>
    <w:rsid w:val="00CE0D55"/>
    <w:rsid w:val="00CE0DBE"/>
    <w:rsid w:val="00CE0ED0"/>
    <w:rsid w:val="00CE0F4C"/>
    <w:rsid w:val="00CE0F6C"/>
    <w:rsid w:val="00CE12B3"/>
    <w:rsid w:val="00CE12CA"/>
    <w:rsid w:val="00CE1370"/>
    <w:rsid w:val="00CE158E"/>
    <w:rsid w:val="00CE15B0"/>
    <w:rsid w:val="00CE178D"/>
    <w:rsid w:val="00CE17CE"/>
    <w:rsid w:val="00CE1BA7"/>
    <w:rsid w:val="00CE1C31"/>
    <w:rsid w:val="00CE1E20"/>
    <w:rsid w:val="00CE1E61"/>
    <w:rsid w:val="00CE1F31"/>
    <w:rsid w:val="00CE22E1"/>
    <w:rsid w:val="00CE2486"/>
    <w:rsid w:val="00CE2557"/>
    <w:rsid w:val="00CE2581"/>
    <w:rsid w:val="00CE261B"/>
    <w:rsid w:val="00CE26F6"/>
    <w:rsid w:val="00CE2838"/>
    <w:rsid w:val="00CE2B0A"/>
    <w:rsid w:val="00CE2B40"/>
    <w:rsid w:val="00CE2B5C"/>
    <w:rsid w:val="00CE2BF8"/>
    <w:rsid w:val="00CE2C15"/>
    <w:rsid w:val="00CE2C27"/>
    <w:rsid w:val="00CE2C45"/>
    <w:rsid w:val="00CE2C9A"/>
    <w:rsid w:val="00CE2CA8"/>
    <w:rsid w:val="00CE2D12"/>
    <w:rsid w:val="00CE2DB9"/>
    <w:rsid w:val="00CE2DD4"/>
    <w:rsid w:val="00CE2EDB"/>
    <w:rsid w:val="00CE3174"/>
    <w:rsid w:val="00CE334E"/>
    <w:rsid w:val="00CE33BE"/>
    <w:rsid w:val="00CE3442"/>
    <w:rsid w:val="00CE3483"/>
    <w:rsid w:val="00CE355E"/>
    <w:rsid w:val="00CE3692"/>
    <w:rsid w:val="00CE3835"/>
    <w:rsid w:val="00CE38F8"/>
    <w:rsid w:val="00CE3ADC"/>
    <w:rsid w:val="00CE3BAB"/>
    <w:rsid w:val="00CE3BE1"/>
    <w:rsid w:val="00CE3D8B"/>
    <w:rsid w:val="00CE3E7A"/>
    <w:rsid w:val="00CE4090"/>
    <w:rsid w:val="00CE4131"/>
    <w:rsid w:val="00CE41FF"/>
    <w:rsid w:val="00CE4226"/>
    <w:rsid w:val="00CE4371"/>
    <w:rsid w:val="00CE439F"/>
    <w:rsid w:val="00CE43AB"/>
    <w:rsid w:val="00CE43D2"/>
    <w:rsid w:val="00CE43E5"/>
    <w:rsid w:val="00CE457E"/>
    <w:rsid w:val="00CE45FB"/>
    <w:rsid w:val="00CE4654"/>
    <w:rsid w:val="00CE48C2"/>
    <w:rsid w:val="00CE4953"/>
    <w:rsid w:val="00CE4BF0"/>
    <w:rsid w:val="00CE4DAE"/>
    <w:rsid w:val="00CE4DE7"/>
    <w:rsid w:val="00CE4DEE"/>
    <w:rsid w:val="00CE4E02"/>
    <w:rsid w:val="00CE4E79"/>
    <w:rsid w:val="00CE4EFC"/>
    <w:rsid w:val="00CE4F04"/>
    <w:rsid w:val="00CE4F20"/>
    <w:rsid w:val="00CE4FFC"/>
    <w:rsid w:val="00CE51A8"/>
    <w:rsid w:val="00CE5300"/>
    <w:rsid w:val="00CE5370"/>
    <w:rsid w:val="00CE5393"/>
    <w:rsid w:val="00CE53AD"/>
    <w:rsid w:val="00CE53CB"/>
    <w:rsid w:val="00CE5875"/>
    <w:rsid w:val="00CE58D7"/>
    <w:rsid w:val="00CE591C"/>
    <w:rsid w:val="00CE5B4F"/>
    <w:rsid w:val="00CE5BD3"/>
    <w:rsid w:val="00CE5DCB"/>
    <w:rsid w:val="00CE5FC4"/>
    <w:rsid w:val="00CE62B0"/>
    <w:rsid w:val="00CE62D0"/>
    <w:rsid w:val="00CE62D2"/>
    <w:rsid w:val="00CE62F1"/>
    <w:rsid w:val="00CE62F5"/>
    <w:rsid w:val="00CE64D5"/>
    <w:rsid w:val="00CE665E"/>
    <w:rsid w:val="00CE66BF"/>
    <w:rsid w:val="00CE67B6"/>
    <w:rsid w:val="00CE67EF"/>
    <w:rsid w:val="00CE6811"/>
    <w:rsid w:val="00CE682E"/>
    <w:rsid w:val="00CE6923"/>
    <w:rsid w:val="00CE6A6D"/>
    <w:rsid w:val="00CE6B0A"/>
    <w:rsid w:val="00CE6BD2"/>
    <w:rsid w:val="00CE6C9C"/>
    <w:rsid w:val="00CE6D52"/>
    <w:rsid w:val="00CE6DE1"/>
    <w:rsid w:val="00CE6DFD"/>
    <w:rsid w:val="00CE6FF2"/>
    <w:rsid w:val="00CE70DA"/>
    <w:rsid w:val="00CE7257"/>
    <w:rsid w:val="00CE72A1"/>
    <w:rsid w:val="00CE7328"/>
    <w:rsid w:val="00CE73DD"/>
    <w:rsid w:val="00CE743D"/>
    <w:rsid w:val="00CE74A2"/>
    <w:rsid w:val="00CE74C7"/>
    <w:rsid w:val="00CE752E"/>
    <w:rsid w:val="00CE761A"/>
    <w:rsid w:val="00CE790C"/>
    <w:rsid w:val="00CE7930"/>
    <w:rsid w:val="00CE7993"/>
    <w:rsid w:val="00CE79A0"/>
    <w:rsid w:val="00CE7A5B"/>
    <w:rsid w:val="00CE7D76"/>
    <w:rsid w:val="00CE7DD9"/>
    <w:rsid w:val="00CE7E36"/>
    <w:rsid w:val="00CE7E6D"/>
    <w:rsid w:val="00CE7EBE"/>
    <w:rsid w:val="00CE7F0D"/>
    <w:rsid w:val="00CEE644"/>
    <w:rsid w:val="00CF0034"/>
    <w:rsid w:val="00CF0068"/>
    <w:rsid w:val="00CF0088"/>
    <w:rsid w:val="00CF01CE"/>
    <w:rsid w:val="00CF02F6"/>
    <w:rsid w:val="00CF0351"/>
    <w:rsid w:val="00CF0370"/>
    <w:rsid w:val="00CF03A0"/>
    <w:rsid w:val="00CF0443"/>
    <w:rsid w:val="00CF04C7"/>
    <w:rsid w:val="00CF04ED"/>
    <w:rsid w:val="00CF0516"/>
    <w:rsid w:val="00CF0665"/>
    <w:rsid w:val="00CF07CA"/>
    <w:rsid w:val="00CF0994"/>
    <w:rsid w:val="00CF0A8F"/>
    <w:rsid w:val="00CF0C0F"/>
    <w:rsid w:val="00CF0E67"/>
    <w:rsid w:val="00CF0E9B"/>
    <w:rsid w:val="00CF0F2B"/>
    <w:rsid w:val="00CF0FB4"/>
    <w:rsid w:val="00CF0FC6"/>
    <w:rsid w:val="00CF1295"/>
    <w:rsid w:val="00CF130C"/>
    <w:rsid w:val="00CF14E9"/>
    <w:rsid w:val="00CF15B8"/>
    <w:rsid w:val="00CF165A"/>
    <w:rsid w:val="00CF16E3"/>
    <w:rsid w:val="00CF191B"/>
    <w:rsid w:val="00CF1984"/>
    <w:rsid w:val="00CF1C4A"/>
    <w:rsid w:val="00CF1C4E"/>
    <w:rsid w:val="00CF1CFA"/>
    <w:rsid w:val="00CF1D6C"/>
    <w:rsid w:val="00CF1DB3"/>
    <w:rsid w:val="00CF1E97"/>
    <w:rsid w:val="00CF1FA4"/>
    <w:rsid w:val="00CF2160"/>
    <w:rsid w:val="00CF21A0"/>
    <w:rsid w:val="00CF2238"/>
    <w:rsid w:val="00CF2281"/>
    <w:rsid w:val="00CF2304"/>
    <w:rsid w:val="00CF251C"/>
    <w:rsid w:val="00CF2524"/>
    <w:rsid w:val="00CF2633"/>
    <w:rsid w:val="00CF2659"/>
    <w:rsid w:val="00CF2728"/>
    <w:rsid w:val="00CF2B86"/>
    <w:rsid w:val="00CF2C25"/>
    <w:rsid w:val="00CF2E0B"/>
    <w:rsid w:val="00CF2E1D"/>
    <w:rsid w:val="00CF2FFA"/>
    <w:rsid w:val="00CF3002"/>
    <w:rsid w:val="00CF3027"/>
    <w:rsid w:val="00CF30C6"/>
    <w:rsid w:val="00CF3372"/>
    <w:rsid w:val="00CF3525"/>
    <w:rsid w:val="00CF35F2"/>
    <w:rsid w:val="00CF3741"/>
    <w:rsid w:val="00CF37CD"/>
    <w:rsid w:val="00CF3A8D"/>
    <w:rsid w:val="00CF3B0C"/>
    <w:rsid w:val="00CF3C26"/>
    <w:rsid w:val="00CF3C51"/>
    <w:rsid w:val="00CF3CB7"/>
    <w:rsid w:val="00CF3FDF"/>
    <w:rsid w:val="00CF4086"/>
    <w:rsid w:val="00CF41B7"/>
    <w:rsid w:val="00CF455E"/>
    <w:rsid w:val="00CF475A"/>
    <w:rsid w:val="00CF476E"/>
    <w:rsid w:val="00CF47DD"/>
    <w:rsid w:val="00CF4B70"/>
    <w:rsid w:val="00CF4BB9"/>
    <w:rsid w:val="00CF4BE7"/>
    <w:rsid w:val="00CF4BF4"/>
    <w:rsid w:val="00CF4BFA"/>
    <w:rsid w:val="00CF4E7C"/>
    <w:rsid w:val="00CF4F81"/>
    <w:rsid w:val="00CF5083"/>
    <w:rsid w:val="00CF5146"/>
    <w:rsid w:val="00CF515A"/>
    <w:rsid w:val="00CF519D"/>
    <w:rsid w:val="00CF520D"/>
    <w:rsid w:val="00CF52AC"/>
    <w:rsid w:val="00CF560F"/>
    <w:rsid w:val="00CF5705"/>
    <w:rsid w:val="00CF585D"/>
    <w:rsid w:val="00CF593E"/>
    <w:rsid w:val="00CF5A5D"/>
    <w:rsid w:val="00CF5B66"/>
    <w:rsid w:val="00CF5B68"/>
    <w:rsid w:val="00CF5B75"/>
    <w:rsid w:val="00CF5D71"/>
    <w:rsid w:val="00CF5E08"/>
    <w:rsid w:val="00CF5E3D"/>
    <w:rsid w:val="00CF5F00"/>
    <w:rsid w:val="00CF5F84"/>
    <w:rsid w:val="00CF6442"/>
    <w:rsid w:val="00CF644E"/>
    <w:rsid w:val="00CF64C7"/>
    <w:rsid w:val="00CF651D"/>
    <w:rsid w:val="00CF6562"/>
    <w:rsid w:val="00CF668F"/>
    <w:rsid w:val="00CF679D"/>
    <w:rsid w:val="00CF6987"/>
    <w:rsid w:val="00CF6B99"/>
    <w:rsid w:val="00CF6BCA"/>
    <w:rsid w:val="00CF6C83"/>
    <w:rsid w:val="00CF6CE2"/>
    <w:rsid w:val="00CF6CF0"/>
    <w:rsid w:val="00CF6CFB"/>
    <w:rsid w:val="00CF7103"/>
    <w:rsid w:val="00CF71A2"/>
    <w:rsid w:val="00CF71C5"/>
    <w:rsid w:val="00CF7229"/>
    <w:rsid w:val="00CF72F9"/>
    <w:rsid w:val="00CF73B5"/>
    <w:rsid w:val="00CF73D4"/>
    <w:rsid w:val="00CF750D"/>
    <w:rsid w:val="00CF77A6"/>
    <w:rsid w:val="00CF77F1"/>
    <w:rsid w:val="00CF78E4"/>
    <w:rsid w:val="00CF7910"/>
    <w:rsid w:val="00CF79A9"/>
    <w:rsid w:val="00CF79BE"/>
    <w:rsid w:val="00CF7A43"/>
    <w:rsid w:val="00CF7A7F"/>
    <w:rsid w:val="00CF7B64"/>
    <w:rsid w:val="00CF7D0F"/>
    <w:rsid w:val="00CF7DED"/>
    <w:rsid w:val="00CF7E70"/>
    <w:rsid w:val="00CF7E8F"/>
    <w:rsid w:val="00CFAC41"/>
    <w:rsid w:val="00D0002C"/>
    <w:rsid w:val="00D00268"/>
    <w:rsid w:val="00D00309"/>
    <w:rsid w:val="00D00344"/>
    <w:rsid w:val="00D004BD"/>
    <w:rsid w:val="00D00721"/>
    <w:rsid w:val="00D00735"/>
    <w:rsid w:val="00D00896"/>
    <w:rsid w:val="00D009D7"/>
    <w:rsid w:val="00D009FE"/>
    <w:rsid w:val="00D00A5D"/>
    <w:rsid w:val="00D00AE5"/>
    <w:rsid w:val="00D00B6C"/>
    <w:rsid w:val="00D00BDF"/>
    <w:rsid w:val="00D00F3F"/>
    <w:rsid w:val="00D00FB7"/>
    <w:rsid w:val="00D00FF7"/>
    <w:rsid w:val="00D01056"/>
    <w:rsid w:val="00D01193"/>
    <w:rsid w:val="00D01242"/>
    <w:rsid w:val="00D01285"/>
    <w:rsid w:val="00D012E6"/>
    <w:rsid w:val="00D01347"/>
    <w:rsid w:val="00D01394"/>
    <w:rsid w:val="00D0147D"/>
    <w:rsid w:val="00D01517"/>
    <w:rsid w:val="00D01531"/>
    <w:rsid w:val="00D0153E"/>
    <w:rsid w:val="00D015CF"/>
    <w:rsid w:val="00D01697"/>
    <w:rsid w:val="00D01702"/>
    <w:rsid w:val="00D0180B"/>
    <w:rsid w:val="00D018B2"/>
    <w:rsid w:val="00D01912"/>
    <w:rsid w:val="00D01945"/>
    <w:rsid w:val="00D01997"/>
    <w:rsid w:val="00D01A45"/>
    <w:rsid w:val="00D01AE1"/>
    <w:rsid w:val="00D01B5B"/>
    <w:rsid w:val="00D01B6B"/>
    <w:rsid w:val="00D01D02"/>
    <w:rsid w:val="00D01D45"/>
    <w:rsid w:val="00D01DB7"/>
    <w:rsid w:val="00D01DDB"/>
    <w:rsid w:val="00D01E41"/>
    <w:rsid w:val="00D02276"/>
    <w:rsid w:val="00D0229A"/>
    <w:rsid w:val="00D022AF"/>
    <w:rsid w:val="00D02364"/>
    <w:rsid w:val="00D02462"/>
    <w:rsid w:val="00D02572"/>
    <w:rsid w:val="00D025F5"/>
    <w:rsid w:val="00D02700"/>
    <w:rsid w:val="00D0272E"/>
    <w:rsid w:val="00D02792"/>
    <w:rsid w:val="00D0293D"/>
    <w:rsid w:val="00D029B8"/>
    <w:rsid w:val="00D02AD1"/>
    <w:rsid w:val="00D02BAF"/>
    <w:rsid w:val="00D02BBC"/>
    <w:rsid w:val="00D02BBE"/>
    <w:rsid w:val="00D02C0C"/>
    <w:rsid w:val="00D02CEC"/>
    <w:rsid w:val="00D02DBE"/>
    <w:rsid w:val="00D02F47"/>
    <w:rsid w:val="00D03023"/>
    <w:rsid w:val="00D03155"/>
    <w:rsid w:val="00D0316C"/>
    <w:rsid w:val="00D0316F"/>
    <w:rsid w:val="00D03255"/>
    <w:rsid w:val="00D032C8"/>
    <w:rsid w:val="00D035CD"/>
    <w:rsid w:val="00D035DD"/>
    <w:rsid w:val="00D03698"/>
    <w:rsid w:val="00D037D3"/>
    <w:rsid w:val="00D0385A"/>
    <w:rsid w:val="00D03925"/>
    <w:rsid w:val="00D03988"/>
    <w:rsid w:val="00D03A09"/>
    <w:rsid w:val="00D03B89"/>
    <w:rsid w:val="00D03E89"/>
    <w:rsid w:val="00D03EAD"/>
    <w:rsid w:val="00D03F06"/>
    <w:rsid w:val="00D0407C"/>
    <w:rsid w:val="00D041F2"/>
    <w:rsid w:val="00D0423C"/>
    <w:rsid w:val="00D0425C"/>
    <w:rsid w:val="00D042F9"/>
    <w:rsid w:val="00D04330"/>
    <w:rsid w:val="00D043D4"/>
    <w:rsid w:val="00D04432"/>
    <w:rsid w:val="00D04489"/>
    <w:rsid w:val="00D0448A"/>
    <w:rsid w:val="00D044F1"/>
    <w:rsid w:val="00D04565"/>
    <w:rsid w:val="00D0461B"/>
    <w:rsid w:val="00D048F4"/>
    <w:rsid w:val="00D04A19"/>
    <w:rsid w:val="00D04A82"/>
    <w:rsid w:val="00D04C1E"/>
    <w:rsid w:val="00D04D35"/>
    <w:rsid w:val="00D04FBC"/>
    <w:rsid w:val="00D050EC"/>
    <w:rsid w:val="00D05133"/>
    <w:rsid w:val="00D05191"/>
    <w:rsid w:val="00D05192"/>
    <w:rsid w:val="00D051A3"/>
    <w:rsid w:val="00D05258"/>
    <w:rsid w:val="00D052F6"/>
    <w:rsid w:val="00D05378"/>
    <w:rsid w:val="00D053B9"/>
    <w:rsid w:val="00D053D2"/>
    <w:rsid w:val="00D055BA"/>
    <w:rsid w:val="00D055D4"/>
    <w:rsid w:val="00D057BB"/>
    <w:rsid w:val="00D0582F"/>
    <w:rsid w:val="00D0584B"/>
    <w:rsid w:val="00D0599D"/>
    <w:rsid w:val="00D059FF"/>
    <w:rsid w:val="00D05A36"/>
    <w:rsid w:val="00D05B10"/>
    <w:rsid w:val="00D05B59"/>
    <w:rsid w:val="00D05CD8"/>
    <w:rsid w:val="00D05E8F"/>
    <w:rsid w:val="00D05EB6"/>
    <w:rsid w:val="00D05EFE"/>
    <w:rsid w:val="00D05F57"/>
    <w:rsid w:val="00D05FB2"/>
    <w:rsid w:val="00D0606A"/>
    <w:rsid w:val="00D061DF"/>
    <w:rsid w:val="00D06204"/>
    <w:rsid w:val="00D06225"/>
    <w:rsid w:val="00D0628C"/>
    <w:rsid w:val="00D062E3"/>
    <w:rsid w:val="00D06467"/>
    <w:rsid w:val="00D064DA"/>
    <w:rsid w:val="00D06568"/>
    <w:rsid w:val="00D065E4"/>
    <w:rsid w:val="00D06670"/>
    <w:rsid w:val="00D06699"/>
    <w:rsid w:val="00D068F6"/>
    <w:rsid w:val="00D06A10"/>
    <w:rsid w:val="00D06AC4"/>
    <w:rsid w:val="00D06B06"/>
    <w:rsid w:val="00D06C6B"/>
    <w:rsid w:val="00D06D36"/>
    <w:rsid w:val="00D06D87"/>
    <w:rsid w:val="00D06DFE"/>
    <w:rsid w:val="00D06E11"/>
    <w:rsid w:val="00D06E15"/>
    <w:rsid w:val="00D07009"/>
    <w:rsid w:val="00D070D0"/>
    <w:rsid w:val="00D070D9"/>
    <w:rsid w:val="00D0748B"/>
    <w:rsid w:val="00D074F6"/>
    <w:rsid w:val="00D0753A"/>
    <w:rsid w:val="00D075AD"/>
    <w:rsid w:val="00D07922"/>
    <w:rsid w:val="00D079CD"/>
    <w:rsid w:val="00D079D8"/>
    <w:rsid w:val="00D07AC7"/>
    <w:rsid w:val="00D07B27"/>
    <w:rsid w:val="00D07B92"/>
    <w:rsid w:val="00D07D7B"/>
    <w:rsid w:val="00D07EA5"/>
    <w:rsid w:val="00D07F12"/>
    <w:rsid w:val="00D07FCA"/>
    <w:rsid w:val="00D1022F"/>
    <w:rsid w:val="00D10272"/>
    <w:rsid w:val="00D103BB"/>
    <w:rsid w:val="00D10571"/>
    <w:rsid w:val="00D10593"/>
    <w:rsid w:val="00D10721"/>
    <w:rsid w:val="00D1073F"/>
    <w:rsid w:val="00D1078D"/>
    <w:rsid w:val="00D1086F"/>
    <w:rsid w:val="00D10895"/>
    <w:rsid w:val="00D108FE"/>
    <w:rsid w:val="00D1091D"/>
    <w:rsid w:val="00D109B8"/>
    <w:rsid w:val="00D10A1A"/>
    <w:rsid w:val="00D10ABB"/>
    <w:rsid w:val="00D10ADE"/>
    <w:rsid w:val="00D10B84"/>
    <w:rsid w:val="00D10BF3"/>
    <w:rsid w:val="00D10C6D"/>
    <w:rsid w:val="00D10DC5"/>
    <w:rsid w:val="00D10EE5"/>
    <w:rsid w:val="00D10F28"/>
    <w:rsid w:val="00D110B4"/>
    <w:rsid w:val="00D11168"/>
    <w:rsid w:val="00D1124D"/>
    <w:rsid w:val="00D112BB"/>
    <w:rsid w:val="00D1131C"/>
    <w:rsid w:val="00D1133A"/>
    <w:rsid w:val="00D1136D"/>
    <w:rsid w:val="00D11470"/>
    <w:rsid w:val="00D116A4"/>
    <w:rsid w:val="00D116B4"/>
    <w:rsid w:val="00D118F1"/>
    <w:rsid w:val="00D11985"/>
    <w:rsid w:val="00D11ACA"/>
    <w:rsid w:val="00D11B4B"/>
    <w:rsid w:val="00D11B6E"/>
    <w:rsid w:val="00D11C5C"/>
    <w:rsid w:val="00D11CC0"/>
    <w:rsid w:val="00D11CFC"/>
    <w:rsid w:val="00D11DBF"/>
    <w:rsid w:val="00D11E33"/>
    <w:rsid w:val="00D11E9E"/>
    <w:rsid w:val="00D11EA0"/>
    <w:rsid w:val="00D12126"/>
    <w:rsid w:val="00D12147"/>
    <w:rsid w:val="00D1218D"/>
    <w:rsid w:val="00D12293"/>
    <w:rsid w:val="00D1244A"/>
    <w:rsid w:val="00D124B4"/>
    <w:rsid w:val="00D124D1"/>
    <w:rsid w:val="00D1257B"/>
    <w:rsid w:val="00D12618"/>
    <w:rsid w:val="00D12BF1"/>
    <w:rsid w:val="00D12DA2"/>
    <w:rsid w:val="00D1305F"/>
    <w:rsid w:val="00D1314F"/>
    <w:rsid w:val="00D133F8"/>
    <w:rsid w:val="00D13503"/>
    <w:rsid w:val="00D136CC"/>
    <w:rsid w:val="00D13764"/>
    <w:rsid w:val="00D138E5"/>
    <w:rsid w:val="00D139A3"/>
    <w:rsid w:val="00D13B2A"/>
    <w:rsid w:val="00D13B4E"/>
    <w:rsid w:val="00D13BE2"/>
    <w:rsid w:val="00D13C16"/>
    <w:rsid w:val="00D13CD4"/>
    <w:rsid w:val="00D13D9D"/>
    <w:rsid w:val="00D13FB8"/>
    <w:rsid w:val="00D14183"/>
    <w:rsid w:val="00D141D9"/>
    <w:rsid w:val="00D14218"/>
    <w:rsid w:val="00D142E3"/>
    <w:rsid w:val="00D1435F"/>
    <w:rsid w:val="00D144DB"/>
    <w:rsid w:val="00D14794"/>
    <w:rsid w:val="00D147FA"/>
    <w:rsid w:val="00D148D8"/>
    <w:rsid w:val="00D1491C"/>
    <w:rsid w:val="00D149A4"/>
    <w:rsid w:val="00D149D2"/>
    <w:rsid w:val="00D14CCA"/>
    <w:rsid w:val="00D14D29"/>
    <w:rsid w:val="00D14DAF"/>
    <w:rsid w:val="00D14E1A"/>
    <w:rsid w:val="00D14F43"/>
    <w:rsid w:val="00D14FAB"/>
    <w:rsid w:val="00D14FAC"/>
    <w:rsid w:val="00D1517D"/>
    <w:rsid w:val="00D151B2"/>
    <w:rsid w:val="00D151F8"/>
    <w:rsid w:val="00D1532C"/>
    <w:rsid w:val="00D15336"/>
    <w:rsid w:val="00D1537D"/>
    <w:rsid w:val="00D15489"/>
    <w:rsid w:val="00D155D6"/>
    <w:rsid w:val="00D15851"/>
    <w:rsid w:val="00D158FE"/>
    <w:rsid w:val="00D15978"/>
    <w:rsid w:val="00D159A1"/>
    <w:rsid w:val="00D159AA"/>
    <w:rsid w:val="00D15A0C"/>
    <w:rsid w:val="00D15A0D"/>
    <w:rsid w:val="00D15AFA"/>
    <w:rsid w:val="00D15B05"/>
    <w:rsid w:val="00D15B5A"/>
    <w:rsid w:val="00D15C59"/>
    <w:rsid w:val="00D15DED"/>
    <w:rsid w:val="00D16039"/>
    <w:rsid w:val="00D1613D"/>
    <w:rsid w:val="00D161A3"/>
    <w:rsid w:val="00D162DC"/>
    <w:rsid w:val="00D163DE"/>
    <w:rsid w:val="00D16449"/>
    <w:rsid w:val="00D16488"/>
    <w:rsid w:val="00D1648D"/>
    <w:rsid w:val="00D16490"/>
    <w:rsid w:val="00D164EB"/>
    <w:rsid w:val="00D1656A"/>
    <w:rsid w:val="00D16642"/>
    <w:rsid w:val="00D16825"/>
    <w:rsid w:val="00D16860"/>
    <w:rsid w:val="00D16903"/>
    <w:rsid w:val="00D1699D"/>
    <w:rsid w:val="00D169B7"/>
    <w:rsid w:val="00D16BB4"/>
    <w:rsid w:val="00D16E7A"/>
    <w:rsid w:val="00D170E7"/>
    <w:rsid w:val="00D17133"/>
    <w:rsid w:val="00D172C1"/>
    <w:rsid w:val="00D173B4"/>
    <w:rsid w:val="00D173F7"/>
    <w:rsid w:val="00D17530"/>
    <w:rsid w:val="00D17575"/>
    <w:rsid w:val="00D175A4"/>
    <w:rsid w:val="00D17645"/>
    <w:rsid w:val="00D17899"/>
    <w:rsid w:val="00D178C7"/>
    <w:rsid w:val="00D17900"/>
    <w:rsid w:val="00D17BD0"/>
    <w:rsid w:val="00D17C9E"/>
    <w:rsid w:val="00D17CB0"/>
    <w:rsid w:val="00D17DDA"/>
    <w:rsid w:val="00D17F14"/>
    <w:rsid w:val="00D17F24"/>
    <w:rsid w:val="00D20126"/>
    <w:rsid w:val="00D20221"/>
    <w:rsid w:val="00D204BB"/>
    <w:rsid w:val="00D20678"/>
    <w:rsid w:val="00D2070F"/>
    <w:rsid w:val="00D20752"/>
    <w:rsid w:val="00D20838"/>
    <w:rsid w:val="00D208BB"/>
    <w:rsid w:val="00D208DB"/>
    <w:rsid w:val="00D20957"/>
    <w:rsid w:val="00D2095A"/>
    <w:rsid w:val="00D2095D"/>
    <w:rsid w:val="00D209FF"/>
    <w:rsid w:val="00D20CBA"/>
    <w:rsid w:val="00D20CEB"/>
    <w:rsid w:val="00D20D4C"/>
    <w:rsid w:val="00D20D63"/>
    <w:rsid w:val="00D20E39"/>
    <w:rsid w:val="00D20E76"/>
    <w:rsid w:val="00D2100D"/>
    <w:rsid w:val="00D21132"/>
    <w:rsid w:val="00D211DF"/>
    <w:rsid w:val="00D21318"/>
    <w:rsid w:val="00D2161A"/>
    <w:rsid w:val="00D21640"/>
    <w:rsid w:val="00D216A2"/>
    <w:rsid w:val="00D21708"/>
    <w:rsid w:val="00D21842"/>
    <w:rsid w:val="00D219A9"/>
    <w:rsid w:val="00D219C4"/>
    <w:rsid w:val="00D21A7A"/>
    <w:rsid w:val="00D21AAD"/>
    <w:rsid w:val="00D21AB1"/>
    <w:rsid w:val="00D21ADA"/>
    <w:rsid w:val="00D21B00"/>
    <w:rsid w:val="00D21B48"/>
    <w:rsid w:val="00D21BDF"/>
    <w:rsid w:val="00D21DA2"/>
    <w:rsid w:val="00D21E50"/>
    <w:rsid w:val="00D22240"/>
    <w:rsid w:val="00D22384"/>
    <w:rsid w:val="00D2241D"/>
    <w:rsid w:val="00D224A1"/>
    <w:rsid w:val="00D224B5"/>
    <w:rsid w:val="00D224E1"/>
    <w:rsid w:val="00D22811"/>
    <w:rsid w:val="00D22B23"/>
    <w:rsid w:val="00D22B3B"/>
    <w:rsid w:val="00D22BC5"/>
    <w:rsid w:val="00D22CE9"/>
    <w:rsid w:val="00D230ED"/>
    <w:rsid w:val="00D23155"/>
    <w:rsid w:val="00D2330B"/>
    <w:rsid w:val="00D233A2"/>
    <w:rsid w:val="00D233B7"/>
    <w:rsid w:val="00D2341B"/>
    <w:rsid w:val="00D23462"/>
    <w:rsid w:val="00D2346A"/>
    <w:rsid w:val="00D23509"/>
    <w:rsid w:val="00D23651"/>
    <w:rsid w:val="00D23685"/>
    <w:rsid w:val="00D236A5"/>
    <w:rsid w:val="00D23811"/>
    <w:rsid w:val="00D2381E"/>
    <w:rsid w:val="00D2389B"/>
    <w:rsid w:val="00D23930"/>
    <w:rsid w:val="00D2398F"/>
    <w:rsid w:val="00D239F3"/>
    <w:rsid w:val="00D23A24"/>
    <w:rsid w:val="00D23B46"/>
    <w:rsid w:val="00D23B5E"/>
    <w:rsid w:val="00D23C27"/>
    <w:rsid w:val="00D23D19"/>
    <w:rsid w:val="00D23EEE"/>
    <w:rsid w:val="00D24373"/>
    <w:rsid w:val="00D243DA"/>
    <w:rsid w:val="00D243FE"/>
    <w:rsid w:val="00D2440E"/>
    <w:rsid w:val="00D2450F"/>
    <w:rsid w:val="00D24649"/>
    <w:rsid w:val="00D24660"/>
    <w:rsid w:val="00D246D5"/>
    <w:rsid w:val="00D246F9"/>
    <w:rsid w:val="00D24775"/>
    <w:rsid w:val="00D24907"/>
    <w:rsid w:val="00D24A70"/>
    <w:rsid w:val="00D24B72"/>
    <w:rsid w:val="00D24C1F"/>
    <w:rsid w:val="00D24C24"/>
    <w:rsid w:val="00D24C92"/>
    <w:rsid w:val="00D24C96"/>
    <w:rsid w:val="00D24D22"/>
    <w:rsid w:val="00D24DBE"/>
    <w:rsid w:val="00D24DE8"/>
    <w:rsid w:val="00D24E37"/>
    <w:rsid w:val="00D2506F"/>
    <w:rsid w:val="00D250C9"/>
    <w:rsid w:val="00D250E4"/>
    <w:rsid w:val="00D25144"/>
    <w:rsid w:val="00D25188"/>
    <w:rsid w:val="00D251E7"/>
    <w:rsid w:val="00D251FE"/>
    <w:rsid w:val="00D2520F"/>
    <w:rsid w:val="00D25220"/>
    <w:rsid w:val="00D2538D"/>
    <w:rsid w:val="00D25465"/>
    <w:rsid w:val="00D2560D"/>
    <w:rsid w:val="00D2565C"/>
    <w:rsid w:val="00D2573B"/>
    <w:rsid w:val="00D25740"/>
    <w:rsid w:val="00D2574F"/>
    <w:rsid w:val="00D2584E"/>
    <w:rsid w:val="00D25B29"/>
    <w:rsid w:val="00D25BFA"/>
    <w:rsid w:val="00D25DD2"/>
    <w:rsid w:val="00D25DD7"/>
    <w:rsid w:val="00D25F85"/>
    <w:rsid w:val="00D25FCE"/>
    <w:rsid w:val="00D26077"/>
    <w:rsid w:val="00D2609F"/>
    <w:rsid w:val="00D260BA"/>
    <w:rsid w:val="00D26350"/>
    <w:rsid w:val="00D2647C"/>
    <w:rsid w:val="00D26498"/>
    <w:rsid w:val="00D2661B"/>
    <w:rsid w:val="00D26649"/>
    <w:rsid w:val="00D26697"/>
    <w:rsid w:val="00D2669C"/>
    <w:rsid w:val="00D269FA"/>
    <w:rsid w:val="00D26A2C"/>
    <w:rsid w:val="00D26B66"/>
    <w:rsid w:val="00D26C46"/>
    <w:rsid w:val="00D26CA6"/>
    <w:rsid w:val="00D26CBC"/>
    <w:rsid w:val="00D26D9A"/>
    <w:rsid w:val="00D26E0D"/>
    <w:rsid w:val="00D26FFB"/>
    <w:rsid w:val="00D270A4"/>
    <w:rsid w:val="00D27197"/>
    <w:rsid w:val="00D2735E"/>
    <w:rsid w:val="00D273B2"/>
    <w:rsid w:val="00D274B2"/>
    <w:rsid w:val="00D27700"/>
    <w:rsid w:val="00D27784"/>
    <w:rsid w:val="00D27787"/>
    <w:rsid w:val="00D2778A"/>
    <w:rsid w:val="00D27A95"/>
    <w:rsid w:val="00D27B41"/>
    <w:rsid w:val="00D27BFE"/>
    <w:rsid w:val="00D27CC0"/>
    <w:rsid w:val="00D27D56"/>
    <w:rsid w:val="00D27E29"/>
    <w:rsid w:val="00D27E7E"/>
    <w:rsid w:val="00D27FEF"/>
    <w:rsid w:val="00D300A1"/>
    <w:rsid w:val="00D30232"/>
    <w:rsid w:val="00D30477"/>
    <w:rsid w:val="00D306A0"/>
    <w:rsid w:val="00D306D6"/>
    <w:rsid w:val="00D3071A"/>
    <w:rsid w:val="00D308EB"/>
    <w:rsid w:val="00D3095C"/>
    <w:rsid w:val="00D30A28"/>
    <w:rsid w:val="00D30A2E"/>
    <w:rsid w:val="00D30BEB"/>
    <w:rsid w:val="00D30C10"/>
    <w:rsid w:val="00D30D0D"/>
    <w:rsid w:val="00D30DE0"/>
    <w:rsid w:val="00D30EB4"/>
    <w:rsid w:val="00D30F4F"/>
    <w:rsid w:val="00D310BF"/>
    <w:rsid w:val="00D310CE"/>
    <w:rsid w:val="00D31125"/>
    <w:rsid w:val="00D31325"/>
    <w:rsid w:val="00D31329"/>
    <w:rsid w:val="00D31452"/>
    <w:rsid w:val="00D31608"/>
    <w:rsid w:val="00D31963"/>
    <w:rsid w:val="00D319C4"/>
    <w:rsid w:val="00D31B6A"/>
    <w:rsid w:val="00D31B71"/>
    <w:rsid w:val="00D31CD6"/>
    <w:rsid w:val="00D31F32"/>
    <w:rsid w:val="00D32106"/>
    <w:rsid w:val="00D321D0"/>
    <w:rsid w:val="00D322CB"/>
    <w:rsid w:val="00D32307"/>
    <w:rsid w:val="00D3238A"/>
    <w:rsid w:val="00D323B6"/>
    <w:rsid w:val="00D3243D"/>
    <w:rsid w:val="00D324C7"/>
    <w:rsid w:val="00D324FF"/>
    <w:rsid w:val="00D32624"/>
    <w:rsid w:val="00D327B3"/>
    <w:rsid w:val="00D32832"/>
    <w:rsid w:val="00D329C2"/>
    <w:rsid w:val="00D32B05"/>
    <w:rsid w:val="00D32B25"/>
    <w:rsid w:val="00D32CDE"/>
    <w:rsid w:val="00D32CE8"/>
    <w:rsid w:val="00D32EBB"/>
    <w:rsid w:val="00D32ED4"/>
    <w:rsid w:val="00D32F06"/>
    <w:rsid w:val="00D32F8F"/>
    <w:rsid w:val="00D331AA"/>
    <w:rsid w:val="00D33248"/>
    <w:rsid w:val="00D333AE"/>
    <w:rsid w:val="00D334D4"/>
    <w:rsid w:val="00D3352E"/>
    <w:rsid w:val="00D3364A"/>
    <w:rsid w:val="00D3366C"/>
    <w:rsid w:val="00D33963"/>
    <w:rsid w:val="00D3399E"/>
    <w:rsid w:val="00D33A4D"/>
    <w:rsid w:val="00D33A78"/>
    <w:rsid w:val="00D33B6D"/>
    <w:rsid w:val="00D33CAC"/>
    <w:rsid w:val="00D33CDB"/>
    <w:rsid w:val="00D33D11"/>
    <w:rsid w:val="00D33D92"/>
    <w:rsid w:val="00D33EC2"/>
    <w:rsid w:val="00D33ED2"/>
    <w:rsid w:val="00D33F4E"/>
    <w:rsid w:val="00D342B0"/>
    <w:rsid w:val="00D34460"/>
    <w:rsid w:val="00D344AA"/>
    <w:rsid w:val="00D344B6"/>
    <w:rsid w:val="00D344C5"/>
    <w:rsid w:val="00D346BF"/>
    <w:rsid w:val="00D34784"/>
    <w:rsid w:val="00D347DA"/>
    <w:rsid w:val="00D34AA6"/>
    <w:rsid w:val="00D34B23"/>
    <w:rsid w:val="00D34D47"/>
    <w:rsid w:val="00D34D5A"/>
    <w:rsid w:val="00D34D97"/>
    <w:rsid w:val="00D34D98"/>
    <w:rsid w:val="00D3550F"/>
    <w:rsid w:val="00D35557"/>
    <w:rsid w:val="00D3556B"/>
    <w:rsid w:val="00D35585"/>
    <w:rsid w:val="00D3565C"/>
    <w:rsid w:val="00D356AB"/>
    <w:rsid w:val="00D357AE"/>
    <w:rsid w:val="00D35872"/>
    <w:rsid w:val="00D358B5"/>
    <w:rsid w:val="00D358FE"/>
    <w:rsid w:val="00D35A2E"/>
    <w:rsid w:val="00D35AC9"/>
    <w:rsid w:val="00D35C15"/>
    <w:rsid w:val="00D35CDA"/>
    <w:rsid w:val="00D35DED"/>
    <w:rsid w:val="00D35E67"/>
    <w:rsid w:val="00D35F5A"/>
    <w:rsid w:val="00D35F73"/>
    <w:rsid w:val="00D35F75"/>
    <w:rsid w:val="00D35FA8"/>
    <w:rsid w:val="00D3611E"/>
    <w:rsid w:val="00D36132"/>
    <w:rsid w:val="00D36158"/>
    <w:rsid w:val="00D361B3"/>
    <w:rsid w:val="00D36252"/>
    <w:rsid w:val="00D36296"/>
    <w:rsid w:val="00D362F0"/>
    <w:rsid w:val="00D362F8"/>
    <w:rsid w:val="00D36365"/>
    <w:rsid w:val="00D3638B"/>
    <w:rsid w:val="00D36462"/>
    <w:rsid w:val="00D364BE"/>
    <w:rsid w:val="00D36563"/>
    <w:rsid w:val="00D365B3"/>
    <w:rsid w:val="00D367E0"/>
    <w:rsid w:val="00D36957"/>
    <w:rsid w:val="00D36A2E"/>
    <w:rsid w:val="00D36BB3"/>
    <w:rsid w:val="00D36BD9"/>
    <w:rsid w:val="00D36C7B"/>
    <w:rsid w:val="00D36D2B"/>
    <w:rsid w:val="00D36F9B"/>
    <w:rsid w:val="00D37010"/>
    <w:rsid w:val="00D37083"/>
    <w:rsid w:val="00D37153"/>
    <w:rsid w:val="00D37381"/>
    <w:rsid w:val="00D37400"/>
    <w:rsid w:val="00D37439"/>
    <w:rsid w:val="00D3757B"/>
    <w:rsid w:val="00D3769A"/>
    <w:rsid w:val="00D376AC"/>
    <w:rsid w:val="00D376F6"/>
    <w:rsid w:val="00D37875"/>
    <w:rsid w:val="00D37C39"/>
    <w:rsid w:val="00D37CF9"/>
    <w:rsid w:val="00D37EB0"/>
    <w:rsid w:val="00D37F08"/>
    <w:rsid w:val="00D37FBA"/>
    <w:rsid w:val="00D40045"/>
    <w:rsid w:val="00D4007F"/>
    <w:rsid w:val="00D4014B"/>
    <w:rsid w:val="00D40160"/>
    <w:rsid w:val="00D40193"/>
    <w:rsid w:val="00D40274"/>
    <w:rsid w:val="00D40352"/>
    <w:rsid w:val="00D403FB"/>
    <w:rsid w:val="00D40413"/>
    <w:rsid w:val="00D40453"/>
    <w:rsid w:val="00D40878"/>
    <w:rsid w:val="00D40ABB"/>
    <w:rsid w:val="00D40CD0"/>
    <w:rsid w:val="00D40CD7"/>
    <w:rsid w:val="00D40CE3"/>
    <w:rsid w:val="00D40D4B"/>
    <w:rsid w:val="00D40E48"/>
    <w:rsid w:val="00D40EC3"/>
    <w:rsid w:val="00D410F0"/>
    <w:rsid w:val="00D412BC"/>
    <w:rsid w:val="00D412D3"/>
    <w:rsid w:val="00D413B1"/>
    <w:rsid w:val="00D414D2"/>
    <w:rsid w:val="00D416AB"/>
    <w:rsid w:val="00D41769"/>
    <w:rsid w:val="00D4184A"/>
    <w:rsid w:val="00D41AB1"/>
    <w:rsid w:val="00D41B1A"/>
    <w:rsid w:val="00D41EF8"/>
    <w:rsid w:val="00D41F8F"/>
    <w:rsid w:val="00D42082"/>
    <w:rsid w:val="00D42131"/>
    <w:rsid w:val="00D422E8"/>
    <w:rsid w:val="00D4232C"/>
    <w:rsid w:val="00D424B6"/>
    <w:rsid w:val="00D424FE"/>
    <w:rsid w:val="00D42940"/>
    <w:rsid w:val="00D429B7"/>
    <w:rsid w:val="00D42B01"/>
    <w:rsid w:val="00D42B0D"/>
    <w:rsid w:val="00D42BBF"/>
    <w:rsid w:val="00D42CAC"/>
    <w:rsid w:val="00D42CCD"/>
    <w:rsid w:val="00D42D0F"/>
    <w:rsid w:val="00D42D11"/>
    <w:rsid w:val="00D42E10"/>
    <w:rsid w:val="00D42E65"/>
    <w:rsid w:val="00D42ED9"/>
    <w:rsid w:val="00D43016"/>
    <w:rsid w:val="00D4302C"/>
    <w:rsid w:val="00D43073"/>
    <w:rsid w:val="00D43274"/>
    <w:rsid w:val="00D432AF"/>
    <w:rsid w:val="00D4334E"/>
    <w:rsid w:val="00D43466"/>
    <w:rsid w:val="00D435B7"/>
    <w:rsid w:val="00D4362C"/>
    <w:rsid w:val="00D4372A"/>
    <w:rsid w:val="00D43795"/>
    <w:rsid w:val="00D4393C"/>
    <w:rsid w:val="00D43965"/>
    <w:rsid w:val="00D43A78"/>
    <w:rsid w:val="00D43AF5"/>
    <w:rsid w:val="00D43B53"/>
    <w:rsid w:val="00D43BEE"/>
    <w:rsid w:val="00D43C0A"/>
    <w:rsid w:val="00D43C2B"/>
    <w:rsid w:val="00D43CD3"/>
    <w:rsid w:val="00D43F44"/>
    <w:rsid w:val="00D43F50"/>
    <w:rsid w:val="00D43F87"/>
    <w:rsid w:val="00D43FAD"/>
    <w:rsid w:val="00D43FC5"/>
    <w:rsid w:val="00D4411E"/>
    <w:rsid w:val="00D4412F"/>
    <w:rsid w:val="00D441A1"/>
    <w:rsid w:val="00D4426C"/>
    <w:rsid w:val="00D444DC"/>
    <w:rsid w:val="00D444FF"/>
    <w:rsid w:val="00D4450A"/>
    <w:rsid w:val="00D448A4"/>
    <w:rsid w:val="00D448F2"/>
    <w:rsid w:val="00D44938"/>
    <w:rsid w:val="00D4499D"/>
    <w:rsid w:val="00D44AC7"/>
    <w:rsid w:val="00D44B78"/>
    <w:rsid w:val="00D44C29"/>
    <w:rsid w:val="00D44C80"/>
    <w:rsid w:val="00D44D9D"/>
    <w:rsid w:val="00D44E82"/>
    <w:rsid w:val="00D44E86"/>
    <w:rsid w:val="00D44EC1"/>
    <w:rsid w:val="00D45043"/>
    <w:rsid w:val="00D45048"/>
    <w:rsid w:val="00D450B9"/>
    <w:rsid w:val="00D450E6"/>
    <w:rsid w:val="00D45175"/>
    <w:rsid w:val="00D452E0"/>
    <w:rsid w:val="00D452EA"/>
    <w:rsid w:val="00D45306"/>
    <w:rsid w:val="00D454D5"/>
    <w:rsid w:val="00D45598"/>
    <w:rsid w:val="00D45720"/>
    <w:rsid w:val="00D45741"/>
    <w:rsid w:val="00D458A9"/>
    <w:rsid w:val="00D459CC"/>
    <w:rsid w:val="00D459E8"/>
    <w:rsid w:val="00D45C75"/>
    <w:rsid w:val="00D45D2D"/>
    <w:rsid w:val="00D45E11"/>
    <w:rsid w:val="00D45EA7"/>
    <w:rsid w:val="00D460E8"/>
    <w:rsid w:val="00D4614C"/>
    <w:rsid w:val="00D4616B"/>
    <w:rsid w:val="00D4632C"/>
    <w:rsid w:val="00D46382"/>
    <w:rsid w:val="00D463A4"/>
    <w:rsid w:val="00D46476"/>
    <w:rsid w:val="00D4668C"/>
    <w:rsid w:val="00D46692"/>
    <w:rsid w:val="00D46772"/>
    <w:rsid w:val="00D467FB"/>
    <w:rsid w:val="00D468EA"/>
    <w:rsid w:val="00D46AB5"/>
    <w:rsid w:val="00D46C36"/>
    <w:rsid w:val="00D46C6A"/>
    <w:rsid w:val="00D46CB2"/>
    <w:rsid w:val="00D46CFF"/>
    <w:rsid w:val="00D46D77"/>
    <w:rsid w:val="00D46DE3"/>
    <w:rsid w:val="00D46ECD"/>
    <w:rsid w:val="00D46EEC"/>
    <w:rsid w:val="00D46EF6"/>
    <w:rsid w:val="00D46F9E"/>
    <w:rsid w:val="00D46FC4"/>
    <w:rsid w:val="00D47099"/>
    <w:rsid w:val="00D47126"/>
    <w:rsid w:val="00D473DB"/>
    <w:rsid w:val="00D474B5"/>
    <w:rsid w:val="00D474C5"/>
    <w:rsid w:val="00D474C6"/>
    <w:rsid w:val="00D476EC"/>
    <w:rsid w:val="00D476EE"/>
    <w:rsid w:val="00D47737"/>
    <w:rsid w:val="00D477FB"/>
    <w:rsid w:val="00D47945"/>
    <w:rsid w:val="00D47C0E"/>
    <w:rsid w:val="00D47C11"/>
    <w:rsid w:val="00D47C15"/>
    <w:rsid w:val="00D47DC8"/>
    <w:rsid w:val="00D47ED8"/>
    <w:rsid w:val="00D484E5"/>
    <w:rsid w:val="00D50073"/>
    <w:rsid w:val="00D50121"/>
    <w:rsid w:val="00D502D0"/>
    <w:rsid w:val="00D50325"/>
    <w:rsid w:val="00D503F3"/>
    <w:rsid w:val="00D504EB"/>
    <w:rsid w:val="00D505F6"/>
    <w:rsid w:val="00D50621"/>
    <w:rsid w:val="00D507BC"/>
    <w:rsid w:val="00D5081F"/>
    <w:rsid w:val="00D50851"/>
    <w:rsid w:val="00D5092A"/>
    <w:rsid w:val="00D50941"/>
    <w:rsid w:val="00D50982"/>
    <w:rsid w:val="00D509F9"/>
    <w:rsid w:val="00D50B64"/>
    <w:rsid w:val="00D50C2C"/>
    <w:rsid w:val="00D50C37"/>
    <w:rsid w:val="00D50C58"/>
    <w:rsid w:val="00D50D6C"/>
    <w:rsid w:val="00D50DB2"/>
    <w:rsid w:val="00D5108D"/>
    <w:rsid w:val="00D51114"/>
    <w:rsid w:val="00D51171"/>
    <w:rsid w:val="00D51191"/>
    <w:rsid w:val="00D511C5"/>
    <w:rsid w:val="00D511E3"/>
    <w:rsid w:val="00D51200"/>
    <w:rsid w:val="00D512CA"/>
    <w:rsid w:val="00D5135E"/>
    <w:rsid w:val="00D513B1"/>
    <w:rsid w:val="00D513F3"/>
    <w:rsid w:val="00D5144F"/>
    <w:rsid w:val="00D51470"/>
    <w:rsid w:val="00D514D6"/>
    <w:rsid w:val="00D5153D"/>
    <w:rsid w:val="00D51833"/>
    <w:rsid w:val="00D51A14"/>
    <w:rsid w:val="00D51B34"/>
    <w:rsid w:val="00D51C37"/>
    <w:rsid w:val="00D51CF5"/>
    <w:rsid w:val="00D51DDE"/>
    <w:rsid w:val="00D51E12"/>
    <w:rsid w:val="00D52007"/>
    <w:rsid w:val="00D520E5"/>
    <w:rsid w:val="00D5220C"/>
    <w:rsid w:val="00D52290"/>
    <w:rsid w:val="00D5240C"/>
    <w:rsid w:val="00D52481"/>
    <w:rsid w:val="00D524A3"/>
    <w:rsid w:val="00D5256D"/>
    <w:rsid w:val="00D52598"/>
    <w:rsid w:val="00D5264F"/>
    <w:rsid w:val="00D52691"/>
    <w:rsid w:val="00D52772"/>
    <w:rsid w:val="00D52930"/>
    <w:rsid w:val="00D52A14"/>
    <w:rsid w:val="00D52AC8"/>
    <w:rsid w:val="00D52C0A"/>
    <w:rsid w:val="00D52C8D"/>
    <w:rsid w:val="00D52E38"/>
    <w:rsid w:val="00D5301F"/>
    <w:rsid w:val="00D53079"/>
    <w:rsid w:val="00D53161"/>
    <w:rsid w:val="00D531D0"/>
    <w:rsid w:val="00D53210"/>
    <w:rsid w:val="00D53449"/>
    <w:rsid w:val="00D534B5"/>
    <w:rsid w:val="00D536B1"/>
    <w:rsid w:val="00D53AD0"/>
    <w:rsid w:val="00D53B17"/>
    <w:rsid w:val="00D53C44"/>
    <w:rsid w:val="00D53C7D"/>
    <w:rsid w:val="00D53EB9"/>
    <w:rsid w:val="00D53EC9"/>
    <w:rsid w:val="00D53F05"/>
    <w:rsid w:val="00D53F94"/>
    <w:rsid w:val="00D53FEA"/>
    <w:rsid w:val="00D5423F"/>
    <w:rsid w:val="00D547AC"/>
    <w:rsid w:val="00D5495B"/>
    <w:rsid w:val="00D5496D"/>
    <w:rsid w:val="00D549F5"/>
    <w:rsid w:val="00D54BC0"/>
    <w:rsid w:val="00D54C13"/>
    <w:rsid w:val="00D54C32"/>
    <w:rsid w:val="00D54C3F"/>
    <w:rsid w:val="00D54C7F"/>
    <w:rsid w:val="00D54DDE"/>
    <w:rsid w:val="00D54E33"/>
    <w:rsid w:val="00D54E47"/>
    <w:rsid w:val="00D54E60"/>
    <w:rsid w:val="00D54E7E"/>
    <w:rsid w:val="00D54ECC"/>
    <w:rsid w:val="00D55098"/>
    <w:rsid w:val="00D550A8"/>
    <w:rsid w:val="00D55278"/>
    <w:rsid w:val="00D552A5"/>
    <w:rsid w:val="00D552DC"/>
    <w:rsid w:val="00D5538B"/>
    <w:rsid w:val="00D553AB"/>
    <w:rsid w:val="00D55424"/>
    <w:rsid w:val="00D55542"/>
    <w:rsid w:val="00D5555C"/>
    <w:rsid w:val="00D55632"/>
    <w:rsid w:val="00D55812"/>
    <w:rsid w:val="00D55858"/>
    <w:rsid w:val="00D558D2"/>
    <w:rsid w:val="00D5590B"/>
    <w:rsid w:val="00D55B02"/>
    <w:rsid w:val="00D55B17"/>
    <w:rsid w:val="00D55B81"/>
    <w:rsid w:val="00D55BA8"/>
    <w:rsid w:val="00D55D43"/>
    <w:rsid w:val="00D55E6B"/>
    <w:rsid w:val="00D55F78"/>
    <w:rsid w:val="00D55F8F"/>
    <w:rsid w:val="00D56003"/>
    <w:rsid w:val="00D560BF"/>
    <w:rsid w:val="00D562DD"/>
    <w:rsid w:val="00D5630E"/>
    <w:rsid w:val="00D56381"/>
    <w:rsid w:val="00D5642E"/>
    <w:rsid w:val="00D56456"/>
    <w:rsid w:val="00D56478"/>
    <w:rsid w:val="00D5657A"/>
    <w:rsid w:val="00D56645"/>
    <w:rsid w:val="00D56687"/>
    <w:rsid w:val="00D56711"/>
    <w:rsid w:val="00D5671E"/>
    <w:rsid w:val="00D5688A"/>
    <w:rsid w:val="00D56A81"/>
    <w:rsid w:val="00D56B40"/>
    <w:rsid w:val="00D56F8C"/>
    <w:rsid w:val="00D56FD8"/>
    <w:rsid w:val="00D5722C"/>
    <w:rsid w:val="00D57259"/>
    <w:rsid w:val="00D57388"/>
    <w:rsid w:val="00D5745C"/>
    <w:rsid w:val="00D57686"/>
    <w:rsid w:val="00D578AE"/>
    <w:rsid w:val="00D57AA9"/>
    <w:rsid w:val="00D57B1A"/>
    <w:rsid w:val="00D57E7E"/>
    <w:rsid w:val="00D57FCA"/>
    <w:rsid w:val="00D60157"/>
    <w:rsid w:val="00D6018C"/>
    <w:rsid w:val="00D602E8"/>
    <w:rsid w:val="00D602EC"/>
    <w:rsid w:val="00D602F7"/>
    <w:rsid w:val="00D60339"/>
    <w:rsid w:val="00D60374"/>
    <w:rsid w:val="00D603E0"/>
    <w:rsid w:val="00D604FF"/>
    <w:rsid w:val="00D60575"/>
    <w:rsid w:val="00D605A5"/>
    <w:rsid w:val="00D605C6"/>
    <w:rsid w:val="00D6067E"/>
    <w:rsid w:val="00D6075A"/>
    <w:rsid w:val="00D60878"/>
    <w:rsid w:val="00D60894"/>
    <w:rsid w:val="00D6094D"/>
    <w:rsid w:val="00D60C68"/>
    <w:rsid w:val="00D60CDC"/>
    <w:rsid w:val="00D60E71"/>
    <w:rsid w:val="00D60EB6"/>
    <w:rsid w:val="00D611DD"/>
    <w:rsid w:val="00D6124E"/>
    <w:rsid w:val="00D612EA"/>
    <w:rsid w:val="00D612F7"/>
    <w:rsid w:val="00D614B6"/>
    <w:rsid w:val="00D6166C"/>
    <w:rsid w:val="00D6176F"/>
    <w:rsid w:val="00D617C2"/>
    <w:rsid w:val="00D6192D"/>
    <w:rsid w:val="00D619D6"/>
    <w:rsid w:val="00D619E1"/>
    <w:rsid w:val="00D61A08"/>
    <w:rsid w:val="00D61A66"/>
    <w:rsid w:val="00D61B1E"/>
    <w:rsid w:val="00D61D2A"/>
    <w:rsid w:val="00D61D86"/>
    <w:rsid w:val="00D61D9A"/>
    <w:rsid w:val="00D61DF8"/>
    <w:rsid w:val="00D61E40"/>
    <w:rsid w:val="00D61E83"/>
    <w:rsid w:val="00D61EF7"/>
    <w:rsid w:val="00D620A4"/>
    <w:rsid w:val="00D621C3"/>
    <w:rsid w:val="00D62A04"/>
    <w:rsid w:val="00D62A81"/>
    <w:rsid w:val="00D62ADD"/>
    <w:rsid w:val="00D62BD5"/>
    <w:rsid w:val="00D62C68"/>
    <w:rsid w:val="00D62E67"/>
    <w:rsid w:val="00D62EC4"/>
    <w:rsid w:val="00D62F45"/>
    <w:rsid w:val="00D62FBF"/>
    <w:rsid w:val="00D6300E"/>
    <w:rsid w:val="00D63023"/>
    <w:rsid w:val="00D63141"/>
    <w:rsid w:val="00D63216"/>
    <w:rsid w:val="00D63220"/>
    <w:rsid w:val="00D63266"/>
    <w:rsid w:val="00D632AE"/>
    <w:rsid w:val="00D632E2"/>
    <w:rsid w:val="00D63345"/>
    <w:rsid w:val="00D63438"/>
    <w:rsid w:val="00D6349D"/>
    <w:rsid w:val="00D634D7"/>
    <w:rsid w:val="00D63593"/>
    <w:rsid w:val="00D63613"/>
    <w:rsid w:val="00D6364C"/>
    <w:rsid w:val="00D636A2"/>
    <w:rsid w:val="00D6375E"/>
    <w:rsid w:val="00D639DA"/>
    <w:rsid w:val="00D63CE2"/>
    <w:rsid w:val="00D63EFD"/>
    <w:rsid w:val="00D63FDB"/>
    <w:rsid w:val="00D64127"/>
    <w:rsid w:val="00D641E2"/>
    <w:rsid w:val="00D64210"/>
    <w:rsid w:val="00D643C8"/>
    <w:rsid w:val="00D645F3"/>
    <w:rsid w:val="00D6468F"/>
    <w:rsid w:val="00D647E5"/>
    <w:rsid w:val="00D648FC"/>
    <w:rsid w:val="00D649CF"/>
    <w:rsid w:val="00D64A4C"/>
    <w:rsid w:val="00D64C64"/>
    <w:rsid w:val="00D64CE5"/>
    <w:rsid w:val="00D64D31"/>
    <w:rsid w:val="00D64DD4"/>
    <w:rsid w:val="00D64DEF"/>
    <w:rsid w:val="00D64E33"/>
    <w:rsid w:val="00D64E36"/>
    <w:rsid w:val="00D64FB6"/>
    <w:rsid w:val="00D650CE"/>
    <w:rsid w:val="00D65172"/>
    <w:rsid w:val="00D65197"/>
    <w:rsid w:val="00D652AC"/>
    <w:rsid w:val="00D652CE"/>
    <w:rsid w:val="00D65321"/>
    <w:rsid w:val="00D65400"/>
    <w:rsid w:val="00D65409"/>
    <w:rsid w:val="00D6554F"/>
    <w:rsid w:val="00D6560A"/>
    <w:rsid w:val="00D657E7"/>
    <w:rsid w:val="00D65832"/>
    <w:rsid w:val="00D65944"/>
    <w:rsid w:val="00D65B86"/>
    <w:rsid w:val="00D65B87"/>
    <w:rsid w:val="00D65D86"/>
    <w:rsid w:val="00D65E5A"/>
    <w:rsid w:val="00D65EAA"/>
    <w:rsid w:val="00D65FAC"/>
    <w:rsid w:val="00D6600C"/>
    <w:rsid w:val="00D662DD"/>
    <w:rsid w:val="00D663C5"/>
    <w:rsid w:val="00D6656F"/>
    <w:rsid w:val="00D6680E"/>
    <w:rsid w:val="00D669C9"/>
    <w:rsid w:val="00D669EF"/>
    <w:rsid w:val="00D66C0E"/>
    <w:rsid w:val="00D66D5B"/>
    <w:rsid w:val="00D66ED8"/>
    <w:rsid w:val="00D66F30"/>
    <w:rsid w:val="00D6700F"/>
    <w:rsid w:val="00D67048"/>
    <w:rsid w:val="00D6723D"/>
    <w:rsid w:val="00D67315"/>
    <w:rsid w:val="00D674C0"/>
    <w:rsid w:val="00D6750A"/>
    <w:rsid w:val="00D675CB"/>
    <w:rsid w:val="00D67686"/>
    <w:rsid w:val="00D67734"/>
    <w:rsid w:val="00D67890"/>
    <w:rsid w:val="00D67997"/>
    <w:rsid w:val="00D67A40"/>
    <w:rsid w:val="00D67B42"/>
    <w:rsid w:val="00D67B5D"/>
    <w:rsid w:val="00D67BDC"/>
    <w:rsid w:val="00D67BFB"/>
    <w:rsid w:val="00D67C5C"/>
    <w:rsid w:val="00D67CB1"/>
    <w:rsid w:val="00D67D69"/>
    <w:rsid w:val="00D67FAA"/>
    <w:rsid w:val="00D6C2B7"/>
    <w:rsid w:val="00D70002"/>
    <w:rsid w:val="00D700F1"/>
    <w:rsid w:val="00D7024F"/>
    <w:rsid w:val="00D70251"/>
    <w:rsid w:val="00D70273"/>
    <w:rsid w:val="00D7027F"/>
    <w:rsid w:val="00D7038D"/>
    <w:rsid w:val="00D704A0"/>
    <w:rsid w:val="00D705FF"/>
    <w:rsid w:val="00D706BE"/>
    <w:rsid w:val="00D70712"/>
    <w:rsid w:val="00D7087A"/>
    <w:rsid w:val="00D70B30"/>
    <w:rsid w:val="00D70BC9"/>
    <w:rsid w:val="00D70C1C"/>
    <w:rsid w:val="00D70D02"/>
    <w:rsid w:val="00D70E13"/>
    <w:rsid w:val="00D70E95"/>
    <w:rsid w:val="00D70EA2"/>
    <w:rsid w:val="00D70FAB"/>
    <w:rsid w:val="00D71286"/>
    <w:rsid w:val="00D712B0"/>
    <w:rsid w:val="00D712B1"/>
    <w:rsid w:val="00D712D2"/>
    <w:rsid w:val="00D71378"/>
    <w:rsid w:val="00D7139D"/>
    <w:rsid w:val="00D7145A"/>
    <w:rsid w:val="00D71569"/>
    <w:rsid w:val="00D715B6"/>
    <w:rsid w:val="00D71693"/>
    <w:rsid w:val="00D716EA"/>
    <w:rsid w:val="00D717E1"/>
    <w:rsid w:val="00D71887"/>
    <w:rsid w:val="00D71A2A"/>
    <w:rsid w:val="00D71AC9"/>
    <w:rsid w:val="00D71C2A"/>
    <w:rsid w:val="00D71C94"/>
    <w:rsid w:val="00D71EB5"/>
    <w:rsid w:val="00D71F09"/>
    <w:rsid w:val="00D71F50"/>
    <w:rsid w:val="00D71F61"/>
    <w:rsid w:val="00D71FA0"/>
    <w:rsid w:val="00D71FC1"/>
    <w:rsid w:val="00D720DD"/>
    <w:rsid w:val="00D721D4"/>
    <w:rsid w:val="00D7238B"/>
    <w:rsid w:val="00D723DC"/>
    <w:rsid w:val="00D724F4"/>
    <w:rsid w:val="00D72565"/>
    <w:rsid w:val="00D725DF"/>
    <w:rsid w:val="00D726A9"/>
    <w:rsid w:val="00D726BE"/>
    <w:rsid w:val="00D72A6A"/>
    <w:rsid w:val="00D72A6B"/>
    <w:rsid w:val="00D72AE6"/>
    <w:rsid w:val="00D72B4C"/>
    <w:rsid w:val="00D72B88"/>
    <w:rsid w:val="00D72C05"/>
    <w:rsid w:val="00D72DDD"/>
    <w:rsid w:val="00D72E6B"/>
    <w:rsid w:val="00D72FED"/>
    <w:rsid w:val="00D7305E"/>
    <w:rsid w:val="00D730A0"/>
    <w:rsid w:val="00D730BB"/>
    <w:rsid w:val="00D73201"/>
    <w:rsid w:val="00D73269"/>
    <w:rsid w:val="00D73281"/>
    <w:rsid w:val="00D732B6"/>
    <w:rsid w:val="00D7347C"/>
    <w:rsid w:val="00D73498"/>
    <w:rsid w:val="00D73563"/>
    <w:rsid w:val="00D736EE"/>
    <w:rsid w:val="00D73733"/>
    <w:rsid w:val="00D73743"/>
    <w:rsid w:val="00D7383C"/>
    <w:rsid w:val="00D73887"/>
    <w:rsid w:val="00D73915"/>
    <w:rsid w:val="00D73951"/>
    <w:rsid w:val="00D73A52"/>
    <w:rsid w:val="00D73B3D"/>
    <w:rsid w:val="00D73BFD"/>
    <w:rsid w:val="00D73CD3"/>
    <w:rsid w:val="00D73D0F"/>
    <w:rsid w:val="00D73D42"/>
    <w:rsid w:val="00D73D5A"/>
    <w:rsid w:val="00D73F61"/>
    <w:rsid w:val="00D73F96"/>
    <w:rsid w:val="00D740B5"/>
    <w:rsid w:val="00D7431C"/>
    <w:rsid w:val="00D745BC"/>
    <w:rsid w:val="00D74696"/>
    <w:rsid w:val="00D746EC"/>
    <w:rsid w:val="00D74705"/>
    <w:rsid w:val="00D74806"/>
    <w:rsid w:val="00D74A16"/>
    <w:rsid w:val="00D74A30"/>
    <w:rsid w:val="00D74A3F"/>
    <w:rsid w:val="00D74AA3"/>
    <w:rsid w:val="00D74C58"/>
    <w:rsid w:val="00D74E12"/>
    <w:rsid w:val="00D74F01"/>
    <w:rsid w:val="00D75301"/>
    <w:rsid w:val="00D75348"/>
    <w:rsid w:val="00D75379"/>
    <w:rsid w:val="00D754EA"/>
    <w:rsid w:val="00D755FB"/>
    <w:rsid w:val="00D7563C"/>
    <w:rsid w:val="00D75720"/>
    <w:rsid w:val="00D757DA"/>
    <w:rsid w:val="00D75824"/>
    <w:rsid w:val="00D7583E"/>
    <w:rsid w:val="00D7593D"/>
    <w:rsid w:val="00D75943"/>
    <w:rsid w:val="00D759D5"/>
    <w:rsid w:val="00D75B58"/>
    <w:rsid w:val="00D75B77"/>
    <w:rsid w:val="00D75BE3"/>
    <w:rsid w:val="00D75C40"/>
    <w:rsid w:val="00D75D9D"/>
    <w:rsid w:val="00D75E5A"/>
    <w:rsid w:val="00D75F3A"/>
    <w:rsid w:val="00D7609D"/>
    <w:rsid w:val="00D7620B"/>
    <w:rsid w:val="00D7624B"/>
    <w:rsid w:val="00D76320"/>
    <w:rsid w:val="00D764C8"/>
    <w:rsid w:val="00D76503"/>
    <w:rsid w:val="00D7667B"/>
    <w:rsid w:val="00D766C2"/>
    <w:rsid w:val="00D76809"/>
    <w:rsid w:val="00D7682E"/>
    <w:rsid w:val="00D76850"/>
    <w:rsid w:val="00D76858"/>
    <w:rsid w:val="00D769E1"/>
    <w:rsid w:val="00D76ACD"/>
    <w:rsid w:val="00D76C45"/>
    <w:rsid w:val="00D76C4B"/>
    <w:rsid w:val="00D76D02"/>
    <w:rsid w:val="00D76D3B"/>
    <w:rsid w:val="00D76DB1"/>
    <w:rsid w:val="00D76E8F"/>
    <w:rsid w:val="00D76F10"/>
    <w:rsid w:val="00D76F4E"/>
    <w:rsid w:val="00D76F96"/>
    <w:rsid w:val="00D76FA6"/>
    <w:rsid w:val="00D76FF7"/>
    <w:rsid w:val="00D76FFB"/>
    <w:rsid w:val="00D77058"/>
    <w:rsid w:val="00D771E0"/>
    <w:rsid w:val="00D7725F"/>
    <w:rsid w:val="00D773D3"/>
    <w:rsid w:val="00D7751A"/>
    <w:rsid w:val="00D7768A"/>
    <w:rsid w:val="00D776A6"/>
    <w:rsid w:val="00D776E4"/>
    <w:rsid w:val="00D777C4"/>
    <w:rsid w:val="00D77AF6"/>
    <w:rsid w:val="00D77B16"/>
    <w:rsid w:val="00D77B85"/>
    <w:rsid w:val="00D77BA6"/>
    <w:rsid w:val="00D77BF0"/>
    <w:rsid w:val="00D77BF5"/>
    <w:rsid w:val="00D77CD1"/>
    <w:rsid w:val="00D77E21"/>
    <w:rsid w:val="00D77E74"/>
    <w:rsid w:val="00D77F52"/>
    <w:rsid w:val="00D80191"/>
    <w:rsid w:val="00D80217"/>
    <w:rsid w:val="00D8028A"/>
    <w:rsid w:val="00D80338"/>
    <w:rsid w:val="00D8038A"/>
    <w:rsid w:val="00D80407"/>
    <w:rsid w:val="00D8048A"/>
    <w:rsid w:val="00D80710"/>
    <w:rsid w:val="00D80728"/>
    <w:rsid w:val="00D8072D"/>
    <w:rsid w:val="00D8075E"/>
    <w:rsid w:val="00D807AB"/>
    <w:rsid w:val="00D8082D"/>
    <w:rsid w:val="00D80848"/>
    <w:rsid w:val="00D8093B"/>
    <w:rsid w:val="00D809F0"/>
    <w:rsid w:val="00D80B7C"/>
    <w:rsid w:val="00D80C5A"/>
    <w:rsid w:val="00D80D52"/>
    <w:rsid w:val="00D80E49"/>
    <w:rsid w:val="00D80EA3"/>
    <w:rsid w:val="00D80EB1"/>
    <w:rsid w:val="00D81025"/>
    <w:rsid w:val="00D81032"/>
    <w:rsid w:val="00D8120F"/>
    <w:rsid w:val="00D8127D"/>
    <w:rsid w:val="00D8153A"/>
    <w:rsid w:val="00D81574"/>
    <w:rsid w:val="00D81605"/>
    <w:rsid w:val="00D81628"/>
    <w:rsid w:val="00D8163B"/>
    <w:rsid w:val="00D816C4"/>
    <w:rsid w:val="00D817AE"/>
    <w:rsid w:val="00D8185B"/>
    <w:rsid w:val="00D818B3"/>
    <w:rsid w:val="00D819BE"/>
    <w:rsid w:val="00D81AB6"/>
    <w:rsid w:val="00D81ABA"/>
    <w:rsid w:val="00D81B22"/>
    <w:rsid w:val="00D81BB6"/>
    <w:rsid w:val="00D81D71"/>
    <w:rsid w:val="00D81DAE"/>
    <w:rsid w:val="00D81EBA"/>
    <w:rsid w:val="00D82049"/>
    <w:rsid w:val="00D82237"/>
    <w:rsid w:val="00D82326"/>
    <w:rsid w:val="00D825BD"/>
    <w:rsid w:val="00D827AF"/>
    <w:rsid w:val="00D828B8"/>
    <w:rsid w:val="00D828BF"/>
    <w:rsid w:val="00D82923"/>
    <w:rsid w:val="00D829B3"/>
    <w:rsid w:val="00D82AF5"/>
    <w:rsid w:val="00D82B16"/>
    <w:rsid w:val="00D82B8B"/>
    <w:rsid w:val="00D82BF0"/>
    <w:rsid w:val="00D82DA4"/>
    <w:rsid w:val="00D82DB6"/>
    <w:rsid w:val="00D82E1B"/>
    <w:rsid w:val="00D83001"/>
    <w:rsid w:val="00D83068"/>
    <w:rsid w:val="00D8311D"/>
    <w:rsid w:val="00D83643"/>
    <w:rsid w:val="00D836B9"/>
    <w:rsid w:val="00D8373B"/>
    <w:rsid w:val="00D83800"/>
    <w:rsid w:val="00D8383F"/>
    <w:rsid w:val="00D83941"/>
    <w:rsid w:val="00D8395F"/>
    <w:rsid w:val="00D83AD5"/>
    <w:rsid w:val="00D83BEA"/>
    <w:rsid w:val="00D83C05"/>
    <w:rsid w:val="00D83E53"/>
    <w:rsid w:val="00D83F24"/>
    <w:rsid w:val="00D83F57"/>
    <w:rsid w:val="00D84089"/>
    <w:rsid w:val="00D840DD"/>
    <w:rsid w:val="00D8424F"/>
    <w:rsid w:val="00D8438C"/>
    <w:rsid w:val="00D8447B"/>
    <w:rsid w:val="00D845E2"/>
    <w:rsid w:val="00D84692"/>
    <w:rsid w:val="00D846A5"/>
    <w:rsid w:val="00D84700"/>
    <w:rsid w:val="00D8472D"/>
    <w:rsid w:val="00D847B0"/>
    <w:rsid w:val="00D84873"/>
    <w:rsid w:val="00D849C7"/>
    <w:rsid w:val="00D84A09"/>
    <w:rsid w:val="00D84C7E"/>
    <w:rsid w:val="00D84D34"/>
    <w:rsid w:val="00D84EC5"/>
    <w:rsid w:val="00D84F11"/>
    <w:rsid w:val="00D85055"/>
    <w:rsid w:val="00D8508D"/>
    <w:rsid w:val="00D850E7"/>
    <w:rsid w:val="00D852F1"/>
    <w:rsid w:val="00D8538F"/>
    <w:rsid w:val="00D854D2"/>
    <w:rsid w:val="00D854D4"/>
    <w:rsid w:val="00D854F2"/>
    <w:rsid w:val="00D8551B"/>
    <w:rsid w:val="00D85820"/>
    <w:rsid w:val="00D85857"/>
    <w:rsid w:val="00D85921"/>
    <w:rsid w:val="00D859AF"/>
    <w:rsid w:val="00D85B24"/>
    <w:rsid w:val="00D85CFB"/>
    <w:rsid w:val="00D85FE6"/>
    <w:rsid w:val="00D8608F"/>
    <w:rsid w:val="00D86104"/>
    <w:rsid w:val="00D861A2"/>
    <w:rsid w:val="00D8623D"/>
    <w:rsid w:val="00D8625A"/>
    <w:rsid w:val="00D86327"/>
    <w:rsid w:val="00D86333"/>
    <w:rsid w:val="00D863B8"/>
    <w:rsid w:val="00D863D8"/>
    <w:rsid w:val="00D863FA"/>
    <w:rsid w:val="00D86450"/>
    <w:rsid w:val="00D86478"/>
    <w:rsid w:val="00D86492"/>
    <w:rsid w:val="00D864BB"/>
    <w:rsid w:val="00D864CC"/>
    <w:rsid w:val="00D86524"/>
    <w:rsid w:val="00D86585"/>
    <w:rsid w:val="00D865EF"/>
    <w:rsid w:val="00D8667C"/>
    <w:rsid w:val="00D866B4"/>
    <w:rsid w:val="00D86736"/>
    <w:rsid w:val="00D867C5"/>
    <w:rsid w:val="00D86832"/>
    <w:rsid w:val="00D86945"/>
    <w:rsid w:val="00D869DA"/>
    <w:rsid w:val="00D86ABA"/>
    <w:rsid w:val="00D86BE3"/>
    <w:rsid w:val="00D86C22"/>
    <w:rsid w:val="00D86CED"/>
    <w:rsid w:val="00D86CFB"/>
    <w:rsid w:val="00D86D2B"/>
    <w:rsid w:val="00D86EDB"/>
    <w:rsid w:val="00D86FD7"/>
    <w:rsid w:val="00D87101"/>
    <w:rsid w:val="00D871BE"/>
    <w:rsid w:val="00D871DC"/>
    <w:rsid w:val="00D871DF"/>
    <w:rsid w:val="00D87235"/>
    <w:rsid w:val="00D87296"/>
    <w:rsid w:val="00D872E9"/>
    <w:rsid w:val="00D87324"/>
    <w:rsid w:val="00D87401"/>
    <w:rsid w:val="00D874FB"/>
    <w:rsid w:val="00D87500"/>
    <w:rsid w:val="00D8769F"/>
    <w:rsid w:val="00D877D0"/>
    <w:rsid w:val="00D877F1"/>
    <w:rsid w:val="00D8781D"/>
    <w:rsid w:val="00D87D34"/>
    <w:rsid w:val="00D87D65"/>
    <w:rsid w:val="00D87D6A"/>
    <w:rsid w:val="00D87DA6"/>
    <w:rsid w:val="00D87DC6"/>
    <w:rsid w:val="00D87DF2"/>
    <w:rsid w:val="00D87F14"/>
    <w:rsid w:val="00D901F8"/>
    <w:rsid w:val="00D90281"/>
    <w:rsid w:val="00D9030D"/>
    <w:rsid w:val="00D903E0"/>
    <w:rsid w:val="00D90735"/>
    <w:rsid w:val="00D9078E"/>
    <w:rsid w:val="00D9085F"/>
    <w:rsid w:val="00D90937"/>
    <w:rsid w:val="00D9096F"/>
    <w:rsid w:val="00D90A39"/>
    <w:rsid w:val="00D90B1B"/>
    <w:rsid w:val="00D90CBB"/>
    <w:rsid w:val="00D90DED"/>
    <w:rsid w:val="00D90E32"/>
    <w:rsid w:val="00D90FED"/>
    <w:rsid w:val="00D9115B"/>
    <w:rsid w:val="00D914B2"/>
    <w:rsid w:val="00D914E5"/>
    <w:rsid w:val="00D91683"/>
    <w:rsid w:val="00D917A8"/>
    <w:rsid w:val="00D918C2"/>
    <w:rsid w:val="00D91943"/>
    <w:rsid w:val="00D91DDD"/>
    <w:rsid w:val="00D91E17"/>
    <w:rsid w:val="00D91EE8"/>
    <w:rsid w:val="00D920C3"/>
    <w:rsid w:val="00D92123"/>
    <w:rsid w:val="00D922BE"/>
    <w:rsid w:val="00D92308"/>
    <w:rsid w:val="00D92366"/>
    <w:rsid w:val="00D92503"/>
    <w:rsid w:val="00D925A5"/>
    <w:rsid w:val="00D92773"/>
    <w:rsid w:val="00D92787"/>
    <w:rsid w:val="00D9279A"/>
    <w:rsid w:val="00D928F1"/>
    <w:rsid w:val="00D92B4E"/>
    <w:rsid w:val="00D92CD7"/>
    <w:rsid w:val="00D92DDF"/>
    <w:rsid w:val="00D92DFB"/>
    <w:rsid w:val="00D92F7A"/>
    <w:rsid w:val="00D92FFC"/>
    <w:rsid w:val="00D93134"/>
    <w:rsid w:val="00D931AA"/>
    <w:rsid w:val="00D931CB"/>
    <w:rsid w:val="00D931DC"/>
    <w:rsid w:val="00D931DD"/>
    <w:rsid w:val="00D9329B"/>
    <w:rsid w:val="00D93685"/>
    <w:rsid w:val="00D93741"/>
    <w:rsid w:val="00D93881"/>
    <w:rsid w:val="00D93946"/>
    <w:rsid w:val="00D93CBA"/>
    <w:rsid w:val="00D93E15"/>
    <w:rsid w:val="00D93E59"/>
    <w:rsid w:val="00D93F52"/>
    <w:rsid w:val="00D93FE7"/>
    <w:rsid w:val="00D94000"/>
    <w:rsid w:val="00D940AB"/>
    <w:rsid w:val="00D94159"/>
    <w:rsid w:val="00D94232"/>
    <w:rsid w:val="00D946F3"/>
    <w:rsid w:val="00D948CE"/>
    <w:rsid w:val="00D94D85"/>
    <w:rsid w:val="00D9503F"/>
    <w:rsid w:val="00D9509D"/>
    <w:rsid w:val="00D95247"/>
    <w:rsid w:val="00D95356"/>
    <w:rsid w:val="00D9535A"/>
    <w:rsid w:val="00D95468"/>
    <w:rsid w:val="00D954AF"/>
    <w:rsid w:val="00D955D4"/>
    <w:rsid w:val="00D95649"/>
    <w:rsid w:val="00D9564D"/>
    <w:rsid w:val="00D9565D"/>
    <w:rsid w:val="00D957BA"/>
    <w:rsid w:val="00D95871"/>
    <w:rsid w:val="00D958FD"/>
    <w:rsid w:val="00D9593A"/>
    <w:rsid w:val="00D959E6"/>
    <w:rsid w:val="00D95B4E"/>
    <w:rsid w:val="00D95C6D"/>
    <w:rsid w:val="00D95DBE"/>
    <w:rsid w:val="00D95F9B"/>
    <w:rsid w:val="00D96226"/>
    <w:rsid w:val="00D9631D"/>
    <w:rsid w:val="00D96466"/>
    <w:rsid w:val="00D9652C"/>
    <w:rsid w:val="00D9670C"/>
    <w:rsid w:val="00D969DA"/>
    <w:rsid w:val="00D969F9"/>
    <w:rsid w:val="00D96B43"/>
    <w:rsid w:val="00D96C0F"/>
    <w:rsid w:val="00D96C54"/>
    <w:rsid w:val="00D96D91"/>
    <w:rsid w:val="00D96EF5"/>
    <w:rsid w:val="00D96FEF"/>
    <w:rsid w:val="00D97021"/>
    <w:rsid w:val="00D97039"/>
    <w:rsid w:val="00D9709B"/>
    <w:rsid w:val="00D970BB"/>
    <w:rsid w:val="00D97138"/>
    <w:rsid w:val="00D97206"/>
    <w:rsid w:val="00D972A4"/>
    <w:rsid w:val="00D972B2"/>
    <w:rsid w:val="00D973B9"/>
    <w:rsid w:val="00D97464"/>
    <w:rsid w:val="00D974C9"/>
    <w:rsid w:val="00D97511"/>
    <w:rsid w:val="00D9751F"/>
    <w:rsid w:val="00D97538"/>
    <w:rsid w:val="00D97594"/>
    <w:rsid w:val="00D97618"/>
    <w:rsid w:val="00D97693"/>
    <w:rsid w:val="00D976DA"/>
    <w:rsid w:val="00D976E2"/>
    <w:rsid w:val="00D9788D"/>
    <w:rsid w:val="00D97964"/>
    <w:rsid w:val="00D979AB"/>
    <w:rsid w:val="00D97A9C"/>
    <w:rsid w:val="00D97B8D"/>
    <w:rsid w:val="00D97C05"/>
    <w:rsid w:val="00D97CC4"/>
    <w:rsid w:val="00D97CC9"/>
    <w:rsid w:val="00D97D45"/>
    <w:rsid w:val="00D97FA4"/>
    <w:rsid w:val="00D97FBD"/>
    <w:rsid w:val="00DA00A2"/>
    <w:rsid w:val="00DA0190"/>
    <w:rsid w:val="00DA021E"/>
    <w:rsid w:val="00DA049C"/>
    <w:rsid w:val="00DA051D"/>
    <w:rsid w:val="00DA0669"/>
    <w:rsid w:val="00DA076B"/>
    <w:rsid w:val="00DA0814"/>
    <w:rsid w:val="00DA0928"/>
    <w:rsid w:val="00DA09EF"/>
    <w:rsid w:val="00DA0BA5"/>
    <w:rsid w:val="00DA0BE3"/>
    <w:rsid w:val="00DA0EE2"/>
    <w:rsid w:val="00DA0F14"/>
    <w:rsid w:val="00DA0F39"/>
    <w:rsid w:val="00DA0F5E"/>
    <w:rsid w:val="00DA108D"/>
    <w:rsid w:val="00DA11A1"/>
    <w:rsid w:val="00DA1267"/>
    <w:rsid w:val="00DA1369"/>
    <w:rsid w:val="00DA13B6"/>
    <w:rsid w:val="00DA14EF"/>
    <w:rsid w:val="00DA15B2"/>
    <w:rsid w:val="00DA16D2"/>
    <w:rsid w:val="00DA16F3"/>
    <w:rsid w:val="00DA1844"/>
    <w:rsid w:val="00DA18BC"/>
    <w:rsid w:val="00DA1944"/>
    <w:rsid w:val="00DA19C0"/>
    <w:rsid w:val="00DA19C7"/>
    <w:rsid w:val="00DA1BD5"/>
    <w:rsid w:val="00DA1C21"/>
    <w:rsid w:val="00DA1ECD"/>
    <w:rsid w:val="00DA1FA7"/>
    <w:rsid w:val="00DA2002"/>
    <w:rsid w:val="00DA2076"/>
    <w:rsid w:val="00DA20CA"/>
    <w:rsid w:val="00DA20CE"/>
    <w:rsid w:val="00DA2333"/>
    <w:rsid w:val="00DA24C9"/>
    <w:rsid w:val="00DA255F"/>
    <w:rsid w:val="00DA2740"/>
    <w:rsid w:val="00DA2797"/>
    <w:rsid w:val="00DA2938"/>
    <w:rsid w:val="00DA2B70"/>
    <w:rsid w:val="00DA2CC4"/>
    <w:rsid w:val="00DA2E57"/>
    <w:rsid w:val="00DA2F06"/>
    <w:rsid w:val="00DA2F45"/>
    <w:rsid w:val="00DA2F58"/>
    <w:rsid w:val="00DA30D3"/>
    <w:rsid w:val="00DA3209"/>
    <w:rsid w:val="00DA3222"/>
    <w:rsid w:val="00DA33BE"/>
    <w:rsid w:val="00DA3415"/>
    <w:rsid w:val="00DA350E"/>
    <w:rsid w:val="00DA3517"/>
    <w:rsid w:val="00DA36C7"/>
    <w:rsid w:val="00DA371B"/>
    <w:rsid w:val="00DA3852"/>
    <w:rsid w:val="00DA389B"/>
    <w:rsid w:val="00DA389C"/>
    <w:rsid w:val="00DA3C95"/>
    <w:rsid w:val="00DA3CB5"/>
    <w:rsid w:val="00DA44AA"/>
    <w:rsid w:val="00DA47BF"/>
    <w:rsid w:val="00DA47F5"/>
    <w:rsid w:val="00DA47FA"/>
    <w:rsid w:val="00DA48F5"/>
    <w:rsid w:val="00DA49A2"/>
    <w:rsid w:val="00DA4AA7"/>
    <w:rsid w:val="00DA4BB1"/>
    <w:rsid w:val="00DA4BE9"/>
    <w:rsid w:val="00DA4C4C"/>
    <w:rsid w:val="00DA4C9F"/>
    <w:rsid w:val="00DA4D4A"/>
    <w:rsid w:val="00DA4F6D"/>
    <w:rsid w:val="00DA5148"/>
    <w:rsid w:val="00DA51DB"/>
    <w:rsid w:val="00DA5296"/>
    <w:rsid w:val="00DA5697"/>
    <w:rsid w:val="00DA577C"/>
    <w:rsid w:val="00DA57A0"/>
    <w:rsid w:val="00DA57EE"/>
    <w:rsid w:val="00DA5861"/>
    <w:rsid w:val="00DA598A"/>
    <w:rsid w:val="00DA598E"/>
    <w:rsid w:val="00DA59FE"/>
    <w:rsid w:val="00DA5AF6"/>
    <w:rsid w:val="00DA5B36"/>
    <w:rsid w:val="00DA5B45"/>
    <w:rsid w:val="00DA5C18"/>
    <w:rsid w:val="00DA5C60"/>
    <w:rsid w:val="00DA5CC2"/>
    <w:rsid w:val="00DA5CDB"/>
    <w:rsid w:val="00DA5D8A"/>
    <w:rsid w:val="00DA5EE1"/>
    <w:rsid w:val="00DA6076"/>
    <w:rsid w:val="00DA6101"/>
    <w:rsid w:val="00DA61A3"/>
    <w:rsid w:val="00DA6797"/>
    <w:rsid w:val="00DA67B3"/>
    <w:rsid w:val="00DA696C"/>
    <w:rsid w:val="00DA6A39"/>
    <w:rsid w:val="00DA6AE6"/>
    <w:rsid w:val="00DA6BB5"/>
    <w:rsid w:val="00DA6CD0"/>
    <w:rsid w:val="00DA6CF8"/>
    <w:rsid w:val="00DA6D9F"/>
    <w:rsid w:val="00DA6E02"/>
    <w:rsid w:val="00DA6E07"/>
    <w:rsid w:val="00DA6EA1"/>
    <w:rsid w:val="00DA6F32"/>
    <w:rsid w:val="00DA6F35"/>
    <w:rsid w:val="00DA7177"/>
    <w:rsid w:val="00DA71EF"/>
    <w:rsid w:val="00DA73FF"/>
    <w:rsid w:val="00DA7460"/>
    <w:rsid w:val="00DA751B"/>
    <w:rsid w:val="00DA7583"/>
    <w:rsid w:val="00DA75EB"/>
    <w:rsid w:val="00DA76AD"/>
    <w:rsid w:val="00DA783B"/>
    <w:rsid w:val="00DA7851"/>
    <w:rsid w:val="00DA7940"/>
    <w:rsid w:val="00DA7948"/>
    <w:rsid w:val="00DA7AE6"/>
    <w:rsid w:val="00DA7BD5"/>
    <w:rsid w:val="00DA7C05"/>
    <w:rsid w:val="00DB0012"/>
    <w:rsid w:val="00DB007D"/>
    <w:rsid w:val="00DB00FE"/>
    <w:rsid w:val="00DB0188"/>
    <w:rsid w:val="00DB02E6"/>
    <w:rsid w:val="00DB038C"/>
    <w:rsid w:val="00DB0433"/>
    <w:rsid w:val="00DB044C"/>
    <w:rsid w:val="00DB04CF"/>
    <w:rsid w:val="00DB0501"/>
    <w:rsid w:val="00DB064D"/>
    <w:rsid w:val="00DB0678"/>
    <w:rsid w:val="00DB06CE"/>
    <w:rsid w:val="00DB071E"/>
    <w:rsid w:val="00DB0826"/>
    <w:rsid w:val="00DB087B"/>
    <w:rsid w:val="00DB0924"/>
    <w:rsid w:val="00DB092A"/>
    <w:rsid w:val="00DB0A43"/>
    <w:rsid w:val="00DB0B80"/>
    <w:rsid w:val="00DB0B96"/>
    <w:rsid w:val="00DB0BA2"/>
    <w:rsid w:val="00DB0BED"/>
    <w:rsid w:val="00DB0C26"/>
    <w:rsid w:val="00DB0E75"/>
    <w:rsid w:val="00DB0F72"/>
    <w:rsid w:val="00DB10C1"/>
    <w:rsid w:val="00DB11C3"/>
    <w:rsid w:val="00DB131E"/>
    <w:rsid w:val="00DB14D4"/>
    <w:rsid w:val="00DB150C"/>
    <w:rsid w:val="00DB17B3"/>
    <w:rsid w:val="00DB17BE"/>
    <w:rsid w:val="00DB17DD"/>
    <w:rsid w:val="00DB184F"/>
    <w:rsid w:val="00DB189A"/>
    <w:rsid w:val="00DB195F"/>
    <w:rsid w:val="00DB19A7"/>
    <w:rsid w:val="00DB19B8"/>
    <w:rsid w:val="00DB1A6A"/>
    <w:rsid w:val="00DB1B66"/>
    <w:rsid w:val="00DB1B68"/>
    <w:rsid w:val="00DB1BD1"/>
    <w:rsid w:val="00DB1CAE"/>
    <w:rsid w:val="00DB1D0C"/>
    <w:rsid w:val="00DB1E23"/>
    <w:rsid w:val="00DB1F2D"/>
    <w:rsid w:val="00DB1F8A"/>
    <w:rsid w:val="00DB1FAD"/>
    <w:rsid w:val="00DB20BF"/>
    <w:rsid w:val="00DB20C0"/>
    <w:rsid w:val="00DB20D6"/>
    <w:rsid w:val="00DB2261"/>
    <w:rsid w:val="00DB22B7"/>
    <w:rsid w:val="00DB246C"/>
    <w:rsid w:val="00DB2484"/>
    <w:rsid w:val="00DB2534"/>
    <w:rsid w:val="00DB259F"/>
    <w:rsid w:val="00DB2654"/>
    <w:rsid w:val="00DB2684"/>
    <w:rsid w:val="00DB2700"/>
    <w:rsid w:val="00DB27F6"/>
    <w:rsid w:val="00DB2840"/>
    <w:rsid w:val="00DB28CE"/>
    <w:rsid w:val="00DB2950"/>
    <w:rsid w:val="00DB2A3B"/>
    <w:rsid w:val="00DB2B1C"/>
    <w:rsid w:val="00DB2B53"/>
    <w:rsid w:val="00DB2F73"/>
    <w:rsid w:val="00DB337A"/>
    <w:rsid w:val="00DB33C5"/>
    <w:rsid w:val="00DB3455"/>
    <w:rsid w:val="00DB34F8"/>
    <w:rsid w:val="00DB3553"/>
    <w:rsid w:val="00DB3621"/>
    <w:rsid w:val="00DB3633"/>
    <w:rsid w:val="00DB3792"/>
    <w:rsid w:val="00DB388C"/>
    <w:rsid w:val="00DB38B9"/>
    <w:rsid w:val="00DB3985"/>
    <w:rsid w:val="00DB3A28"/>
    <w:rsid w:val="00DB3BAB"/>
    <w:rsid w:val="00DB3BF1"/>
    <w:rsid w:val="00DB3D47"/>
    <w:rsid w:val="00DB3D4F"/>
    <w:rsid w:val="00DB3EE3"/>
    <w:rsid w:val="00DB4099"/>
    <w:rsid w:val="00DB4170"/>
    <w:rsid w:val="00DB4263"/>
    <w:rsid w:val="00DB42F5"/>
    <w:rsid w:val="00DB4462"/>
    <w:rsid w:val="00DB44CB"/>
    <w:rsid w:val="00DB46D7"/>
    <w:rsid w:val="00DB499D"/>
    <w:rsid w:val="00DB4B10"/>
    <w:rsid w:val="00DB4C4C"/>
    <w:rsid w:val="00DB4D11"/>
    <w:rsid w:val="00DB4D72"/>
    <w:rsid w:val="00DB4DEA"/>
    <w:rsid w:val="00DB4F0D"/>
    <w:rsid w:val="00DB4F16"/>
    <w:rsid w:val="00DB5011"/>
    <w:rsid w:val="00DB5040"/>
    <w:rsid w:val="00DB526B"/>
    <w:rsid w:val="00DB54CF"/>
    <w:rsid w:val="00DB5595"/>
    <w:rsid w:val="00DB560D"/>
    <w:rsid w:val="00DB560E"/>
    <w:rsid w:val="00DB566A"/>
    <w:rsid w:val="00DB57E2"/>
    <w:rsid w:val="00DB59AF"/>
    <w:rsid w:val="00DB5C0A"/>
    <w:rsid w:val="00DB5CEB"/>
    <w:rsid w:val="00DB5D27"/>
    <w:rsid w:val="00DB609F"/>
    <w:rsid w:val="00DB60AB"/>
    <w:rsid w:val="00DB60EF"/>
    <w:rsid w:val="00DB6109"/>
    <w:rsid w:val="00DB614E"/>
    <w:rsid w:val="00DB62A6"/>
    <w:rsid w:val="00DB6339"/>
    <w:rsid w:val="00DB633D"/>
    <w:rsid w:val="00DB6868"/>
    <w:rsid w:val="00DB6AD6"/>
    <w:rsid w:val="00DB6AFD"/>
    <w:rsid w:val="00DB6BC5"/>
    <w:rsid w:val="00DB6C42"/>
    <w:rsid w:val="00DB6D51"/>
    <w:rsid w:val="00DB71F8"/>
    <w:rsid w:val="00DB72B0"/>
    <w:rsid w:val="00DB7360"/>
    <w:rsid w:val="00DB74CD"/>
    <w:rsid w:val="00DB74E8"/>
    <w:rsid w:val="00DB7670"/>
    <w:rsid w:val="00DB7833"/>
    <w:rsid w:val="00DB79B2"/>
    <w:rsid w:val="00DB79E1"/>
    <w:rsid w:val="00DB7ADE"/>
    <w:rsid w:val="00DB7D92"/>
    <w:rsid w:val="00DB7EBB"/>
    <w:rsid w:val="00DB7EF3"/>
    <w:rsid w:val="00DB7F87"/>
    <w:rsid w:val="00DB7F90"/>
    <w:rsid w:val="00DC0000"/>
    <w:rsid w:val="00DC00C6"/>
    <w:rsid w:val="00DC0158"/>
    <w:rsid w:val="00DC0159"/>
    <w:rsid w:val="00DC019B"/>
    <w:rsid w:val="00DC054D"/>
    <w:rsid w:val="00DC058E"/>
    <w:rsid w:val="00DC0705"/>
    <w:rsid w:val="00DC0768"/>
    <w:rsid w:val="00DC08A2"/>
    <w:rsid w:val="00DC08F0"/>
    <w:rsid w:val="00DC0992"/>
    <w:rsid w:val="00DC0B2C"/>
    <w:rsid w:val="00DC0D17"/>
    <w:rsid w:val="00DC0D67"/>
    <w:rsid w:val="00DC0E6C"/>
    <w:rsid w:val="00DC0EE2"/>
    <w:rsid w:val="00DC0F00"/>
    <w:rsid w:val="00DC0F15"/>
    <w:rsid w:val="00DC0FB5"/>
    <w:rsid w:val="00DC1230"/>
    <w:rsid w:val="00DC1253"/>
    <w:rsid w:val="00DC126B"/>
    <w:rsid w:val="00DC1478"/>
    <w:rsid w:val="00DC15AC"/>
    <w:rsid w:val="00DC15D6"/>
    <w:rsid w:val="00DC15E5"/>
    <w:rsid w:val="00DC1678"/>
    <w:rsid w:val="00DC18B4"/>
    <w:rsid w:val="00DC199E"/>
    <w:rsid w:val="00DC1BB5"/>
    <w:rsid w:val="00DC1D6C"/>
    <w:rsid w:val="00DC1FB6"/>
    <w:rsid w:val="00DC1FF8"/>
    <w:rsid w:val="00DC2138"/>
    <w:rsid w:val="00DC216A"/>
    <w:rsid w:val="00DC2182"/>
    <w:rsid w:val="00DC22ED"/>
    <w:rsid w:val="00DC2344"/>
    <w:rsid w:val="00DC2350"/>
    <w:rsid w:val="00DC2434"/>
    <w:rsid w:val="00DC2683"/>
    <w:rsid w:val="00DC27C2"/>
    <w:rsid w:val="00DC2825"/>
    <w:rsid w:val="00DC285F"/>
    <w:rsid w:val="00DC291C"/>
    <w:rsid w:val="00DC2A66"/>
    <w:rsid w:val="00DC2A84"/>
    <w:rsid w:val="00DC2AC2"/>
    <w:rsid w:val="00DC2BED"/>
    <w:rsid w:val="00DC2BFF"/>
    <w:rsid w:val="00DC2CB0"/>
    <w:rsid w:val="00DC2DB9"/>
    <w:rsid w:val="00DC2DCA"/>
    <w:rsid w:val="00DC2F81"/>
    <w:rsid w:val="00DC2FB3"/>
    <w:rsid w:val="00DC2FD3"/>
    <w:rsid w:val="00DC303B"/>
    <w:rsid w:val="00DC30C8"/>
    <w:rsid w:val="00DC30D9"/>
    <w:rsid w:val="00DC3100"/>
    <w:rsid w:val="00DC336D"/>
    <w:rsid w:val="00DC33F3"/>
    <w:rsid w:val="00DC3443"/>
    <w:rsid w:val="00DC3471"/>
    <w:rsid w:val="00DC34AA"/>
    <w:rsid w:val="00DC356B"/>
    <w:rsid w:val="00DC3684"/>
    <w:rsid w:val="00DC38F5"/>
    <w:rsid w:val="00DC3B64"/>
    <w:rsid w:val="00DC3BBB"/>
    <w:rsid w:val="00DC3D24"/>
    <w:rsid w:val="00DC3ED1"/>
    <w:rsid w:val="00DC3F4A"/>
    <w:rsid w:val="00DC40AE"/>
    <w:rsid w:val="00DC4150"/>
    <w:rsid w:val="00DC43E5"/>
    <w:rsid w:val="00DC4453"/>
    <w:rsid w:val="00DC4559"/>
    <w:rsid w:val="00DC4610"/>
    <w:rsid w:val="00DC4721"/>
    <w:rsid w:val="00DC479C"/>
    <w:rsid w:val="00DC4827"/>
    <w:rsid w:val="00DC48BA"/>
    <w:rsid w:val="00DC4B1C"/>
    <w:rsid w:val="00DC4D41"/>
    <w:rsid w:val="00DC5098"/>
    <w:rsid w:val="00DC514C"/>
    <w:rsid w:val="00DC515E"/>
    <w:rsid w:val="00DC5231"/>
    <w:rsid w:val="00DC52A9"/>
    <w:rsid w:val="00DC535D"/>
    <w:rsid w:val="00DC54EA"/>
    <w:rsid w:val="00DC5600"/>
    <w:rsid w:val="00DC56BF"/>
    <w:rsid w:val="00DC570F"/>
    <w:rsid w:val="00DC57B8"/>
    <w:rsid w:val="00DC58A1"/>
    <w:rsid w:val="00DC58C0"/>
    <w:rsid w:val="00DC5980"/>
    <w:rsid w:val="00DC59B7"/>
    <w:rsid w:val="00DC59CB"/>
    <w:rsid w:val="00DC5A39"/>
    <w:rsid w:val="00DC5A8B"/>
    <w:rsid w:val="00DC5BBE"/>
    <w:rsid w:val="00DC5CF7"/>
    <w:rsid w:val="00DC5D39"/>
    <w:rsid w:val="00DC5FC8"/>
    <w:rsid w:val="00DC6165"/>
    <w:rsid w:val="00DC620B"/>
    <w:rsid w:val="00DC6296"/>
    <w:rsid w:val="00DC63EC"/>
    <w:rsid w:val="00DC646F"/>
    <w:rsid w:val="00DC64A6"/>
    <w:rsid w:val="00DC64C6"/>
    <w:rsid w:val="00DC64E4"/>
    <w:rsid w:val="00DC658D"/>
    <w:rsid w:val="00DC65B8"/>
    <w:rsid w:val="00DC6759"/>
    <w:rsid w:val="00DC67EB"/>
    <w:rsid w:val="00DC6830"/>
    <w:rsid w:val="00DC688C"/>
    <w:rsid w:val="00DC68E6"/>
    <w:rsid w:val="00DC6A09"/>
    <w:rsid w:val="00DC6A40"/>
    <w:rsid w:val="00DC6A42"/>
    <w:rsid w:val="00DC6A4B"/>
    <w:rsid w:val="00DC6A79"/>
    <w:rsid w:val="00DC6B09"/>
    <w:rsid w:val="00DC6B24"/>
    <w:rsid w:val="00DC6CC9"/>
    <w:rsid w:val="00DC6D21"/>
    <w:rsid w:val="00DC6D57"/>
    <w:rsid w:val="00DC6D97"/>
    <w:rsid w:val="00DC6F37"/>
    <w:rsid w:val="00DC7325"/>
    <w:rsid w:val="00DC732D"/>
    <w:rsid w:val="00DC73E8"/>
    <w:rsid w:val="00DC7472"/>
    <w:rsid w:val="00DC74C2"/>
    <w:rsid w:val="00DC755F"/>
    <w:rsid w:val="00DC7604"/>
    <w:rsid w:val="00DC76F5"/>
    <w:rsid w:val="00DC7799"/>
    <w:rsid w:val="00DC77D0"/>
    <w:rsid w:val="00DC7844"/>
    <w:rsid w:val="00DC784F"/>
    <w:rsid w:val="00DC7C1D"/>
    <w:rsid w:val="00DC7CE7"/>
    <w:rsid w:val="00DC7D82"/>
    <w:rsid w:val="00DC7E57"/>
    <w:rsid w:val="00DD0021"/>
    <w:rsid w:val="00DD010E"/>
    <w:rsid w:val="00DD011D"/>
    <w:rsid w:val="00DD0151"/>
    <w:rsid w:val="00DD0327"/>
    <w:rsid w:val="00DD0421"/>
    <w:rsid w:val="00DD0445"/>
    <w:rsid w:val="00DD0545"/>
    <w:rsid w:val="00DD058A"/>
    <w:rsid w:val="00DD05CC"/>
    <w:rsid w:val="00DD0717"/>
    <w:rsid w:val="00DD0774"/>
    <w:rsid w:val="00DD0783"/>
    <w:rsid w:val="00DD0AD1"/>
    <w:rsid w:val="00DD0AFE"/>
    <w:rsid w:val="00DD0CC1"/>
    <w:rsid w:val="00DD0D71"/>
    <w:rsid w:val="00DD0F22"/>
    <w:rsid w:val="00DD0F57"/>
    <w:rsid w:val="00DD0FE8"/>
    <w:rsid w:val="00DD102F"/>
    <w:rsid w:val="00DD1194"/>
    <w:rsid w:val="00DD11F8"/>
    <w:rsid w:val="00DD13A8"/>
    <w:rsid w:val="00DD13C0"/>
    <w:rsid w:val="00DD15FE"/>
    <w:rsid w:val="00DD1601"/>
    <w:rsid w:val="00DD161C"/>
    <w:rsid w:val="00DD1682"/>
    <w:rsid w:val="00DD1699"/>
    <w:rsid w:val="00DD16A0"/>
    <w:rsid w:val="00DD179E"/>
    <w:rsid w:val="00DD18A6"/>
    <w:rsid w:val="00DD18D9"/>
    <w:rsid w:val="00DD1A1A"/>
    <w:rsid w:val="00DD1A8A"/>
    <w:rsid w:val="00DD1B00"/>
    <w:rsid w:val="00DD1B92"/>
    <w:rsid w:val="00DD1B9D"/>
    <w:rsid w:val="00DD1CFE"/>
    <w:rsid w:val="00DD1D7E"/>
    <w:rsid w:val="00DD1D98"/>
    <w:rsid w:val="00DD1D9E"/>
    <w:rsid w:val="00DD1EB9"/>
    <w:rsid w:val="00DD1EF9"/>
    <w:rsid w:val="00DD21A2"/>
    <w:rsid w:val="00DD22B7"/>
    <w:rsid w:val="00DD2361"/>
    <w:rsid w:val="00DD238F"/>
    <w:rsid w:val="00DD2408"/>
    <w:rsid w:val="00DD2437"/>
    <w:rsid w:val="00DD24E8"/>
    <w:rsid w:val="00DD252F"/>
    <w:rsid w:val="00DD25FE"/>
    <w:rsid w:val="00DD26AE"/>
    <w:rsid w:val="00DD2731"/>
    <w:rsid w:val="00DD2815"/>
    <w:rsid w:val="00DD2839"/>
    <w:rsid w:val="00DD2897"/>
    <w:rsid w:val="00DD2B46"/>
    <w:rsid w:val="00DD2B87"/>
    <w:rsid w:val="00DD2BEE"/>
    <w:rsid w:val="00DD2C61"/>
    <w:rsid w:val="00DD2D6E"/>
    <w:rsid w:val="00DD2D76"/>
    <w:rsid w:val="00DD2E2C"/>
    <w:rsid w:val="00DD2F5F"/>
    <w:rsid w:val="00DD300C"/>
    <w:rsid w:val="00DD3096"/>
    <w:rsid w:val="00DD313D"/>
    <w:rsid w:val="00DD314F"/>
    <w:rsid w:val="00DD3436"/>
    <w:rsid w:val="00DD3546"/>
    <w:rsid w:val="00DD357C"/>
    <w:rsid w:val="00DD364B"/>
    <w:rsid w:val="00DD391E"/>
    <w:rsid w:val="00DD3A76"/>
    <w:rsid w:val="00DD3AD4"/>
    <w:rsid w:val="00DD3B67"/>
    <w:rsid w:val="00DD3B8E"/>
    <w:rsid w:val="00DD3D7B"/>
    <w:rsid w:val="00DD3E5A"/>
    <w:rsid w:val="00DD3EE3"/>
    <w:rsid w:val="00DD3F1B"/>
    <w:rsid w:val="00DD41F4"/>
    <w:rsid w:val="00DD4284"/>
    <w:rsid w:val="00DD4414"/>
    <w:rsid w:val="00DD441E"/>
    <w:rsid w:val="00DD4484"/>
    <w:rsid w:val="00DD4573"/>
    <w:rsid w:val="00DD46C5"/>
    <w:rsid w:val="00DD4B55"/>
    <w:rsid w:val="00DD4C47"/>
    <w:rsid w:val="00DD4D16"/>
    <w:rsid w:val="00DD4D44"/>
    <w:rsid w:val="00DD4DE5"/>
    <w:rsid w:val="00DD4E47"/>
    <w:rsid w:val="00DD4E6E"/>
    <w:rsid w:val="00DD4F17"/>
    <w:rsid w:val="00DD4F5C"/>
    <w:rsid w:val="00DD4FF5"/>
    <w:rsid w:val="00DD51A6"/>
    <w:rsid w:val="00DD526F"/>
    <w:rsid w:val="00DD545A"/>
    <w:rsid w:val="00DD5543"/>
    <w:rsid w:val="00DD5545"/>
    <w:rsid w:val="00DD5684"/>
    <w:rsid w:val="00DD5699"/>
    <w:rsid w:val="00DD5793"/>
    <w:rsid w:val="00DD5810"/>
    <w:rsid w:val="00DD593F"/>
    <w:rsid w:val="00DD5A15"/>
    <w:rsid w:val="00DD5A2B"/>
    <w:rsid w:val="00DD5AF1"/>
    <w:rsid w:val="00DD5BBF"/>
    <w:rsid w:val="00DD5DCF"/>
    <w:rsid w:val="00DD5E12"/>
    <w:rsid w:val="00DD5F41"/>
    <w:rsid w:val="00DD603E"/>
    <w:rsid w:val="00DD6057"/>
    <w:rsid w:val="00DD613B"/>
    <w:rsid w:val="00DD62CC"/>
    <w:rsid w:val="00DD6406"/>
    <w:rsid w:val="00DD64AE"/>
    <w:rsid w:val="00DD6574"/>
    <w:rsid w:val="00DD66BB"/>
    <w:rsid w:val="00DD67E9"/>
    <w:rsid w:val="00DD6A02"/>
    <w:rsid w:val="00DD6A37"/>
    <w:rsid w:val="00DD6B5D"/>
    <w:rsid w:val="00DD6B8B"/>
    <w:rsid w:val="00DD6F09"/>
    <w:rsid w:val="00DD6F3B"/>
    <w:rsid w:val="00DD7038"/>
    <w:rsid w:val="00DD708B"/>
    <w:rsid w:val="00DD7106"/>
    <w:rsid w:val="00DD72EB"/>
    <w:rsid w:val="00DD73DA"/>
    <w:rsid w:val="00DD759E"/>
    <w:rsid w:val="00DD78A9"/>
    <w:rsid w:val="00DD78E4"/>
    <w:rsid w:val="00DD7947"/>
    <w:rsid w:val="00DD7B28"/>
    <w:rsid w:val="00DD7B9B"/>
    <w:rsid w:val="00DD7E47"/>
    <w:rsid w:val="00DD7EB0"/>
    <w:rsid w:val="00DD7EBB"/>
    <w:rsid w:val="00DD7F19"/>
    <w:rsid w:val="00DD7F9B"/>
    <w:rsid w:val="00DE0016"/>
    <w:rsid w:val="00DE0255"/>
    <w:rsid w:val="00DE02D9"/>
    <w:rsid w:val="00DE02FA"/>
    <w:rsid w:val="00DE0325"/>
    <w:rsid w:val="00DE05A9"/>
    <w:rsid w:val="00DE068C"/>
    <w:rsid w:val="00DE06B6"/>
    <w:rsid w:val="00DE06DD"/>
    <w:rsid w:val="00DE077A"/>
    <w:rsid w:val="00DE08FB"/>
    <w:rsid w:val="00DE09C8"/>
    <w:rsid w:val="00DE09D6"/>
    <w:rsid w:val="00DE09E4"/>
    <w:rsid w:val="00DE0AE6"/>
    <w:rsid w:val="00DE0C97"/>
    <w:rsid w:val="00DE0D63"/>
    <w:rsid w:val="00DE0E2E"/>
    <w:rsid w:val="00DE0E53"/>
    <w:rsid w:val="00DE0FFD"/>
    <w:rsid w:val="00DE106C"/>
    <w:rsid w:val="00DE10B5"/>
    <w:rsid w:val="00DE10C7"/>
    <w:rsid w:val="00DE1119"/>
    <w:rsid w:val="00DE11FE"/>
    <w:rsid w:val="00DE13CC"/>
    <w:rsid w:val="00DE163E"/>
    <w:rsid w:val="00DE1898"/>
    <w:rsid w:val="00DE1959"/>
    <w:rsid w:val="00DE1969"/>
    <w:rsid w:val="00DE1A3A"/>
    <w:rsid w:val="00DE1A94"/>
    <w:rsid w:val="00DE1CD8"/>
    <w:rsid w:val="00DE1E0A"/>
    <w:rsid w:val="00DE1E11"/>
    <w:rsid w:val="00DE1F6A"/>
    <w:rsid w:val="00DE1FA6"/>
    <w:rsid w:val="00DE226B"/>
    <w:rsid w:val="00DE22F9"/>
    <w:rsid w:val="00DE230B"/>
    <w:rsid w:val="00DE2522"/>
    <w:rsid w:val="00DE2552"/>
    <w:rsid w:val="00DE2720"/>
    <w:rsid w:val="00DE2765"/>
    <w:rsid w:val="00DE27BF"/>
    <w:rsid w:val="00DE28DA"/>
    <w:rsid w:val="00DE2901"/>
    <w:rsid w:val="00DE295B"/>
    <w:rsid w:val="00DE2A03"/>
    <w:rsid w:val="00DE2AD2"/>
    <w:rsid w:val="00DE2C46"/>
    <w:rsid w:val="00DE2E52"/>
    <w:rsid w:val="00DE2E8E"/>
    <w:rsid w:val="00DE2F4A"/>
    <w:rsid w:val="00DE306D"/>
    <w:rsid w:val="00DE3266"/>
    <w:rsid w:val="00DE337E"/>
    <w:rsid w:val="00DE33D0"/>
    <w:rsid w:val="00DE35E8"/>
    <w:rsid w:val="00DE3610"/>
    <w:rsid w:val="00DE3854"/>
    <w:rsid w:val="00DE3918"/>
    <w:rsid w:val="00DE3949"/>
    <w:rsid w:val="00DE39ED"/>
    <w:rsid w:val="00DE3B44"/>
    <w:rsid w:val="00DE3BB8"/>
    <w:rsid w:val="00DE3F47"/>
    <w:rsid w:val="00DE4033"/>
    <w:rsid w:val="00DE409E"/>
    <w:rsid w:val="00DE40AF"/>
    <w:rsid w:val="00DE419C"/>
    <w:rsid w:val="00DE41A0"/>
    <w:rsid w:val="00DE4280"/>
    <w:rsid w:val="00DE4287"/>
    <w:rsid w:val="00DE42E0"/>
    <w:rsid w:val="00DE447A"/>
    <w:rsid w:val="00DE455C"/>
    <w:rsid w:val="00DE457C"/>
    <w:rsid w:val="00DE45D9"/>
    <w:rsid w:val="00DE46FF"/>
    <w:rsid w:val="00DE48B9"/>
    <w:rsid w:val="00DE49A3"/>
    <w:rsid w:val="00DE4AC3"/>
    <w:rsid w:val="00DE4BC6"/>
    <w:rsid w:val="00DE4C4D"/>
    <w:rsid w:val="00DE4E11"/>
    <w:rsid w:val="00DE4E8C"/>
    <w:rsid w:val="00DE4F61"/>
    <w:rsid w:val="00DE4F69"/>
    <w:rsid w:val="00DE507D"/>
    <w:rsid w:val="00DE519B"/>
    <w:rsid w:val="00DE51A7"/>
    <w:rsid w:val="00DE54FA"/>
    <w:rsid w:val="00DE58FB"/>
    <w:rsid w:val="00DE5902"/>
    <w:rsid w:val="00DE5961"/>
    <w:rsid w:val="00DE5CE6"/>
    <w:rsid w:val="00DE5CF2"/>
    <w:rsid w:val="00DE5E8F"/>
    <w:rsid w:val="00DE5EDB"/>
    <w:rsid w:val="00DE5F0A"/>
    <w:rsid w:val="00DE5FF1"/>
    <w:rsid w:val="00DE6078"/>
    <w:rsid w:val="00DE6097"/>
    <w:rsid w:val="00DE61AE"/>
    <w:rsid w:val="00DE636F"/>
    <w:rsid w:val="00DE63C2"/>
    <w:rsid w:val="00DE63FA"/>
    <w:rsid w:val="00DE6486"/>
    <w:rsid w:val="00DE64BC"/>
    <w:rsid w:val="00DE6839"/>
    <w:rsid w:val="00DE6869"/>
    <w:rsid w:val="00DE6994"/>
    <w:rsid w:val="00DE6A3D"/>
    <w:rsid w:val="00DE6A78"/>
    <w:rsid w:val="00DE6AC6"/>
    <w:rsid w:val="00DE6C6C"/>
    <w:rsid w:val="00DE6CE5"/>
    <w:rsid w:val="00DE6D06"/>
    <w:rsid w:val="00DE6D7D"/>
    <w:rsid w:val="00DE6E4F"/>
    <w:rsid w:val="00DE6EEB"/>
    <w:rsid w:val="00DE7038"/>
    <w:rsid w:val="00DE7093"/>
    <w:rsid w:val="00DE716B"/>
    <w:rsid w:val="00DE7346"/>
    <w:rsid w:val="00DE7404"/>
    <w:rsid w:val="00DE740E"/>
    <w:rsid w:val="00DE75A5"/>
    <w:rsid w:val="00DE76C4"/>
    <w:rsid w:val="00DE7816"/>
    <w:rsid w:val="00DE7851"/>
    <w:rsid w:val="00DE785B"/>
    <w:rsid w:val="00DE79E9"/>
    <w:rsid w:val="00DE7AE1"/>
    <w:rsid w:val="00DE7B07"/>
    <w:rsid w:val="00DE7B95"/>
    <w:rsid w:val="00DE7BB8"/>
    <w:rsid w:val="00DE7BE8"/>
    <w:rsid w:val="00DE7C17"/>
    <w:rsid w:val="00DE7DB9"/>
    <w:rsid w:val="00DE7E19"/>
    <w:rsid w:val="00DE7E7C"/>
    <w:rsid w:val="00DE7ECC"/>
    <w:rsid w:val="00DE7F8D"/>
    <w:rsid w:val="00DF0349"/>
    <w:rsid w:val="00DF04ED"/>
    <w:rsid w:val="00DF0532"/>
    <w:rsid w:val="00DF059D"/>
    <w:rsid w:val="00DF0727"/>
    <w:rsid w:val="00DF07C3"/>
    <w:rsid w:val="00DF07D1"/>
    <w:rsid w:val="00DF07D8"/>
    <w:rsid w:val="00DF07D9"/>
    <w:rsid w:val="00DF0D22"/>
    <w:rsid w:val="00DF0D84"/>
    <w:rsid w:val="00DF0DC6"/>
    <w:rsid w:val="00DF1086"/>
    <w:rsid w:val="00DF1261"/>
    <w:rsid w:val="00DF12A4"/>
    <w:rsid w:val="00DF1322"/>
    <w:rsid w:val="00DF1453"/>
    <w:rsid w:val="00DF1505"/>
    <w:rsid w:val="00DF15F5"/>
    <w:rsid w:val="00DF16A3"/>
    <w:rsid w:val="00DF17A6"/>
    <w:rsid w:val="00DF1846"/>
    <w:rsid w:val="00DF1A3C"/>
    <w:rsid w:val="00DF1D9E"/>
    <w:rsid w:val="00DF1E09"/>
    <w:rsid w:val="00DF1F67"/>
    <w:rsid w:val="00DF20C9"/>
    <w:rsid w:val="00DF21E5"/>
    <w:rsid w:val="00DF227E"/>
    <w:rsid w:val="00DF22EF"/>
    <w:rsid w:val="00DF24EE"/>
    <w:rsid w:val="00DF2824"/>
    <w:rsid w:val="00DF284D"/>
    <w:rsid w:val="00DF2915"/>
    <w:rsid w:val="00DF296B"/>
    <w:rsid w:val="00DF2A86"/>
    <w:rsid w:val="00DF2B44"/>
    <w:rsid w:val="00DF2BBF"/>
    <w:rsid w:val="00DF2C68"/>
    <w:rsid w:val="00DF2E1E"/>
    <w:rsid w:val="00DF2F05"/>
    <w:rsid w:val="00DF3176"/>
    <w:rsid w:val="00DF31E7"/>
    <w:rsid w:val="00DF3271"/>
    <w:rsid w:val="00DF3405"/>
    <w:rsid w:val="00DF3451"/>
    <w:rsid w:val="00DF34B4"/>
    <w:rsid w:val="00DF35D1"/>
    <w:rsid w:val="00DF375D"/>
    <w:rsid w:val="00DF3A3E"/>
    <w:rsid w:val="00DF3B6A"/>
    <w:rsid w:val="00DF3D95"/>
    <w:rsid w:val="00DF3DD8"/>
    <w:rsid w:val="00DF3FF5"/>
    <w:rsid w:val="00DF4247"/>
    <w:rsid w:val="00DF43BF"/>
    <w:rsid w:val="00DF4472"/>
    <w:rsid w:val="00DF4556"/>
    <w:rsid w:val="00DF4668"/>
    <w:rsid w:val="00DF47E4"/>
    <w:rsid w:val="00DF4AC0"/>
    <w:rsid w:val="00DF4DB8"/>
    <w:rsid w:val="00DF4DDB"/>
    <w:rsid w:val="00DF4F3A"/>
    <w:rsid w:val="00DF4FDE"/>
    <w:rsid w:val="00DF5313"/>
    <w:rsid w:val="00DF5348"/>
    <w:rsid w:val="00DF560D"/>
    <w:rsid w:val="00DF5661"/>
    <w:rsid w:val="00DF570B"/>
    <w:rsid w:val="00DF5805"/>
    <w:rsid w:val="00DF589C"/>
    <w:rsid w:val="00DF5AA3"/>
    <w:rsid w:val="00DF5C68"/>
    <w:rsid w:val="00DF5CB8"/>
    <w:rsid w:val="00DF5CE5"/>
    <w:rsid w:val="00DF5D2A"/>
    <w:rsid w:val="00DF5D4C"/>
    <w:rsid w:val="00DF5E48"/>
    <w:rsid w:val="00DF5F39"/>
    <w:rsid w:val="00DF61BD"/>
    <w:rsid w:val="00DF6293"/>
    <w:rsid w:val="00DF646A"/>
    <w:rsid w:val="00DF6491"/>
    <w:rsid w:val="00DF6738"/>
    <w:rsid w:val="00DF6835"/>
    <w:rsid w:val="00DF68B9"/>
    <w:rsid w:val="00DF6955"/>
    <w:rsid w:val="00DF695B"/>
    <w:rsid w:val="00DF6B69"/>
    <w:rsid w:val="00DF6B6A"/>
    <w:rsid w:val="00DF6BAE"/>
    <w:rsid w:val="00DF6BFB"/>
    <w:rsid w:val="00DF6C1F"/>
    <w:rsid w:val="00DF6D4F"/>
    <w:rsid w:val="00DF6E5D"/>
    <w:rsid w:val="00DF6F83"/>
    <w:rsid w:val="00DF6F9C"/>
    <w:rsid w:val="00DF6FCC"/>
    <w:rsid w:val="00DF6FFF"/>
    <w:rsid w:val="00DF7231"/>
    <w:rsid w:val="00DF72BF"/>
    <w:rsid w:val="00DF733F"/>
    <w:rsid w:val="00DF735B"/>
    <w:rsid w:val="00DF73A2"/>
    <w:rsid w:val="00DF73B9"/>
    <w:rsid w:val="00DF77AC"/>
    <w:rsid w:val="00DF78F2"/>
    <w:rsid w:val="00DF7A10"/>
    <w:rsid w:val="00DF7AC7"/>
    <w:rsid w:val="00DF7B35"/>
    <w:rsid w:val="00DF7CEB"/>
    <w:rsid w:val="00DF7E18"/>
    <w:rsid w:val="00DF7FCE"/>
    <w:rsid w:val="00DF7FE3"/>
    <w:rsid w:val="00E00068"/>
    <w:rsid w:val="00E00097"/>
    <w:rsid w:val="00E001A5"/>
    <w:rsid w:val="00E002B1"/>
    <w:rsid w:val="00E00472"/>
    <w:rsid w:val="00E0050A"/>
    <w:rsid w:val="00E00783"/>
    <w:rsid w:val="00E00787"/>
    <w:rsid w:val="00E0078B"/>
    <w:rsid w:val="00E00892"/>
    <w:rsid w:val="00E008D6"/>
    <w:rsid w:val="00E008DF"/>
    <w:rsid w:val="00E00914"/>
    <w:rsid w:val="00E00A0E"/>
    <w:rsid w:val="00E00A50"/>
    <w:rsid w:val="00E00A85"/>
    <w:rsid w:val="00E00B78"/>
    <w:rsid w:val="00E00D23"/>
    <w:rsid w:val="00E00EBB"/>
    <w:rsid w:val="00E0132D"/>
    <w:rsid w:val="00E01384"/>
    <w:rsid w:val="00E013BB"/>
    <w:rsid w:val="00E013C8"/>
    <w:rsid w:val="00E01469"/>
    <w:rsid w:val="00E014D7"/>
    <w:rsid w:val="00E01625"/>
    <w:rsid w:val="00E01A1A"/>
    <w:rsid w:val="00E01A22"/>
    <w:rsid w:val="00E01B33"/>
    <w:rsid w:val="00E01BBA"/>
    <w:rsid w:val="00E01D21"/>
    <w:rsid w:val="00E01DE4"/>
    <w:rsid w:val="00E01DE9"/>
    <w:rsid w:val="00E01EE5"/>
    <w:rsid w:val="00E01F8C"/>
    <w:rsid w:val="00E02136"/>
    <w:rsid w:val="00E02171"/>
    <w:rsid w:val="00E021EA"/>
    <w:rsid w:val="00E0220F"/>
    <w:rsid w:val="00E02341"/>
    <w:rsid w:val="00E0235F"/>
    <w:rsid w:val="00E02366"/>
    <w:rsid w:val="00E0238F"/>
    <w:rsid w:val="00E0248D"/>
    <w:rsid w:val="00E0257E"/>
    <w:rsid w:val="00E02585"/>
    <w:rsid w:val="00E025B8"/>
    <w:rsid w:val="00E02683"/>
    <w:rsid w:val="00E026CA"/>
    <w:rsid w:val="00E02703"/>
    <w:rsid w:val="00E0274E"/>
    <w:rsid w:val="00E0277A"/>
    <w:rsid w:val="00E02D7D"/>
    <w:rsid w:val="00E02FF2"/>
    <w:rsid w:val="00E030A7"/>
    <w:rsid w:val="00E0337C"/>
    <w:rsid w:val="00E034C0"/>
    <w:rsid w:val="00E034CF"/>
    <w:rsid w:val="00E0354B"/>
    <w:rsid w:val="00E03810"/>
    <w:rsid w:val="00E03867"/>
    <w:rsid w:val="00E038DD"/>
    <w:rsid w:val="00E03905"/>
    <w:rsid w:val="00E03D6B"/>
    <w:rsid w:val="00E03DB0"/>
    <w:rsid w:val="00E03E47"/>
    <w:rsid w:val="00E0410A"/>
    <w:rsid w:val="00E0430E"/>
    <w:rsid w:val="00E0452E"/>
    <w:rsid w:val="00E045CD"/>
    <w:rsid w:val="00E04614"/>
    <w:rsid w:val="00E04634"/>
    <w:rsid w:val="00E046B6"/>
    <w:rsid w:val="00E0487F"/>
    <w:rsid w:val="00E0496B"/>
    <w:rsid w:val="00E049A5"/>
    <w:rsid w:val="00E04ACD"/>
    <w:rsid w:val="00E04AE1"/>
    <w:rsid w:val="00E04AEF"/>
    <w:rsid w:val="00E04BC9"/>
    <w:rsid w:val="00E04C28"/>
    <w:rsid w:val="00E04C5C"/>
    <w:rsid w:val="00E04C91"/>
    <w:rsid w:val="00E04CC9"/>
    <w:rsid w:val="00E04F98"/>
    <w:rsid w:val="00E050F4"/>
    <w:rsid w:val="00E051B9"/>
    <w:rsid w:val="00E0531E"/>
    <w:rsid w:val="00E05373"/>
    <w:rsid w:val="00E0547D"/>
    <w:rsid w:val="00E056D7"/>
    <w:rsid w:val="00E057C1"/>
    <w:rsid w:val="00E0586D"/>
    <w:rsid w:val="00E058E2"/>
    <w:rsid w:val="00E05A56"/>
    <w:rsid w:val="00E05CE3"/>
    <w:rsid w:val="00E061DB"/>
    <w:rsid w:val="00E062CB"/>
    <w:rsid w:val="00E0631B"/>
    <w:rsid w:val="00E06432"/>
    <w:rsid w:val="00E065B3"/>
    <w:rsid w:val="00E066CF"/>
    <w:rsid w:val="00E06A6D"/>
    <w:rsid w:val="00E06A9B"/>
    <w:rsid w:val="00E06BEF"/>
    <w:rsid w:val="00E06C68"/>
    <w:rsid w:val="00E06D86"/>
    <w:rsid w:val="00E06D8E"/>
    <w:rsid w:val="00E06E0C"/>
    <w:rsid w:val="00E06F02"/>
    <w:rsid w:val="00E06F6B"/>
    <w:rsid w:val="00E0703C"/>
    <w:rsid w:val="00E070F4"/>
    <w:rsid w:val="00E070FE"/>
    <w:rsid w:val="00E07215"/>
    <w:rsid w:val="00E07217"/>
    <w:rsid w:val="00E07233"/>
    <w:rsid w:val="00E072A7"/>
    <w:rsid w:val="00E0747B"/>
    <w:rsid w:val="00E07570"/>
    <w:rsid w:val="00E075C7"/>
    <w:rsid w:val="00E07861"/>
    <w:rsid w:val="00E079CA"/>
    <w:rsid w:val="00E07A0A"/>
    <w:rsid w:val="00E07A22"/>
    <w:rsid w:val="00E07A68"/>
    <w:rsid w:val="00E07AFD"/>
    <w:rsid w:val="00E07B6C"/>
    <w:rsid w:val="00E07C4E"/>
    <w:rsid w:val="00E07C71"/>
    <w:rsid w:val="00E07CCB"/>
    <w:rsid w:val="00E07DC5"/>
    <w:rsid w:val="00E07DCD"/>
    <w:rsid w:val="00E07E49"/>
    <w:rsid w:val="00E07E65"/>
    <w:rsid w:val="00E10138"/>
    <w:rsid w:val="00E10153"/>
    <w:rsid w:val="00E1017F"/>
    <w:rsid w:val="00E10211"/>
    <w:rsid w:val="00E10279"/>
    <w:rsid w:val="00E102C8"/>
    <w:rsid w:val="00E103F4"/>
    <w:rsid w:val="00E10932"/>
    <w:rsid w:val="00E1098F"/>
    <w:rsid w:val="00E10A0E"/>
    <w:rsid w:val="00E10B54"/>
    <w:rsid w:val="00E10DA8"/>
    <w:rsid w:val="00E10E44"/>
    <w:rsid w:val="00E111AF"/>
    <w:rsid w:val="00E11299"/>
    <w:rsid w:val="00E1133C"/>
    <w:rsid w:val="00E113B4"/>
    <w:rsid w:val="00E1152A"/>
    <w:rsid w:val="00E1165D"/>
    <w:rsid w:val="00E116A1"/>
    <w:rsid w:val="00E116E5"/>
    <w:rsid w:val="00E1175D"/>
    <w:rsid w:val="00E11C4C"/>
    <w:rsid w:val="00E11C88"/>
    <w:rsid w:val="00E11D71"/>
    <w:rsid w:val="00E11EB7"/>
    <w:rsid w:val="00E11F03"/>
    <w:rsid w:val="00E11F58"/>
    <w:rsid w:val="00E11F5B"/>
    <w:rsid w:val="00E12020"/>
    <w:rsid w:val="00E121F4"/>
    <w:rsid w:val="00E1222C"/>
    <w:rsid w:val="00E12432"/>
    <w:rsid w:val="00E1270D"/>
    <w:rsid w:val="00E1274A"/>
    <w:rsid w:val="00E12794"/>
    <w:rsid w:val="00E128EB"/>
    <w:rsid w:val="00E12B10"/>
    <w:rsid w:val="00E12C76"/>
    <w:rsid w:val="00E12E01"/>
    <w:rsid w:val="00E12E4D"/>
    <w:rsid w:val="00E12F7D"/>
    <w:rsid w:val="00E12FEF"/>
    <w:rsid w:val="00E13007"/>
    <w:rsid w:val="00E1322B"/>
    <w:rsid w:val="00E13415"/>
    <w:rsid w:val="00E135AB"/>
    <w:rsid w:val="00E135CE"/>
    <w:rsid w:val="00E13669"/>
    <w:rsid w:val="00E1368F"/>
    <w:rsid w:val="00E13732"/>
    <w:rsid w:val="00E1380E"/>
    <w:rsid w:val="00E13871"/>
    <w:rsid w:val="00E139B6"/>
    <w:rsid w:val="00E139D7"/>
    <w:rsid w:val="00E13A01"/>
    <w:rsid w:val="00E13A74"/>
    <w:rsid w:val="00E13AE6"/>
    <w:rsid w:val="00E13BDD"/>
    <w:rsid w:val="00E13C52"/>
    <w:rsid w:val="00E13EB8"/>
    <w:rsid w:val="00E140E4"/>
    <w:rsid w:val="00E14138"/>
    <w:rsid w:val="00E14171"/>
    <w:rsid w:val="00E14304"/>
    <w:rsid w:val="00E1432A"/>
    <w:rsid w:val="00E1440F"/>
    <w:rsid w:val="00E1458E"/>
    <w:rsid w:val="00E1474E"/>
    <w:rsid w:val="00E1486F"/>
    <w:rsid w:val="00E148C2"/>
    <w:rsid w:val="00E14BF2"/>
    <w:rsid w:val="00E14CFA"/>
    <w:rsid w:val="00E14ECA"/>
    <w:rsid w:val="00E14F07"/>
    <w:rsid w:val="00E14FD3"/>
    <w:rsid w:val="00E1509A"/>
    <w:rsid w:val="00E150D7"/>
    <w:rsid w:val="00E15135"/>
    <w:rsid w:val="00E15246"/>
    <w:rsid w:val="00E15422"/>
    <w:rsid w:val="00E1554B"/>
    <w:rsid w:val="00E1561C"/>
    <w:rsid w:val="00E1585A"/>
    <w:rsid w:val="00E15A91"/>
    <w:rsid w:val="00E15BA6"/>
    <w:rsid w:val="00E15C71"/>
    <w:rsid w:val="00E15C82"/>
    <w:rsid w:val="00E15DDB"/>
    <w:rsid w:val="00E160FD"/>
    <w:rsid w:val="00E16282"/>
    <w:rsid w:val="00E162EA"/>
    <w:rsid w:val="00E162F0"/>
    <w:rsid w:val="00E1638D"/>
    <w:rsid w:val="00E165B9"/>
    <w:rsid w:val="00E1662D"/>
    <w:rsid w:val="00E166BC"/>
    <w:rsid w:val="00E16709"/>
    <w:rsid w:val="00E16AEE"/>
    <w:rsid w:val="00E16C7C"/>
    <w:rsid w:val="00E16D76"/>
    <w:rsid w:val="00E16DD8"/>
    <w:rsid w:val="00E16ED6"/>
    <w:rsid w:val="00E16F5E"/>
    <w:rsid w:val="00E16FCB"/>
    <w:rsid w:val="00E1708E"/>
    <w:rsid w:val="00E1709F"/>
    <w:rsid w:val="00E171ED"/>
    <w:rsid w:val="00E1730D"/>
    <w:rsid w:val="00E17399"/>
    <w:rsid w:val="00E17438"/>
    <w:rsid w:val="00E17457"/>
    <w:rsid w:val="00E174A4"/>
    <w:rsid w:val="00E174DD"/>
    <w:rsid w:val="00E175D2"/>
    <w:rsid w:val="00E176AB"/>
    <w:rsid w:val="00E1774E"/>
    <w:rsid w:val="00E17787"/>
    <w:rsid w:val="00E177A0"/>
    <w:rsid w:val="00E178D1"/>
    <w:rsid w:val="00E1797C"/>
    <w:rsid w:val="00E179DE"/>
    <w:rsid w:val="00E17AA6"/>
    <w:rsid w:val="00E17CC1"/>
    <w:rsid w:val="00E17E0A"/>
    <w:rsid w:val="00E17E5B"/>
    <w:rsid w:val="00E17E67"/>
    <w:rsid w:val="00E17F16"/>
    <w:rsid w:val="00E17F21"/>
    <w:rsid w:val="00E202B4"/>
    <w:rsid w:val="00E202C1"/>
    <w:rsid w:val="00E20386"/>
    <w:rsid w:val="00E20459"/>
    <w:rsid w:val="00E2047F"/>
    <w:rsid w:val="00E205C9"/>
    <w:rsid w:val="00E206FB"/>
    <w:rsid w:val="00E207B1"/>
    <w:rsid w:val="00E20826"/>
    <w:rsid w:val="00E20901"/>
    <w:rsid w:val="00E209B3"/>
    <w:rsid w:val="00E209DA"/>
    <w:rsid w:val="00E20A29"/>
    <w:rsid w:val="00E20A8B"/>
    <w:rsid w:val="00E20AA1"/>
    <w:rsid w:val="00E20AAA"/>
    <w:rsid w:val="00E20C22"/>
    <w:rsid w:val="00E20CD1"/>
    <w:rsid w:val="00E20DB2"/>
    <w:rsid w:val="00E20E0D"/>
    <w:rsid w:val="00E20EB8"/>
    <w:rsid w:val="00E20F9E"/>
    <w:rsid w:val="00E21058"/>
    <w:rsid w:val="00E21082"/>
    <w:rsid w:val="00E2112F"/>
    <w:rsid w:val="00E21134"/>
    <w:rsid w:val="00E2123A"/>
    <w:rsid w:val="00E21265"/>
    <w:rsid w:val="00E21292"/>
    <w:rsid w:val="00E212A3"/>
    <w:rsid w:val="00E213E6"/>
    <w:rsid w:val="00E21553"/>
    <w:rsid w:val="00E2159F"/>
    <w:rsid w:val="00E216E9"/>
    <w:rsid w:val="00E21731"/>
    <w:rsid w:val="00E2174E"/>
    <w:rsid w:val="00E217C8"/>
    <w:rsid w:val="00E21895"/>
    <w:rsid w:val="00E218B5"/>
    <w:rsid w:val="00E21A39"/>
    <w:rsid w:val="00E21B84"/>
    <w:rsid w:val="00E21BBF"/>
    <w:rsid w:val="00E21C15"/>
    <w:rsid w:val="00E21C35"/>
    <w:rsid w:val="00E21D43"/>
    <w:rsid w:val="00E21D51"/>
    <w:rsid w:val="00E21D97"/>
    <w:rsid w:val="00E21E33"/>
    <w:rsid w:val="00E21E70"/>
    <w:rsid w:val="00E21E86"/>
    <w:rsid w:val="00E21E89"/>
    <w:rsid w:val="00E21E97"/>
    <w:rsid w:val="00E21E99"/>
    <w:rsid w:val="00E22001"/>
    <w:rsid w:val="00E22060"/>
    <w:rsid w:val="00E22086"/>
    <w:rsid w:val="00E22155"/>
    <w:rsid w:val="00E2219E"/>
    <w:rsid w:val="00E222C2"/>
    <w:rsid w:val="00E222E2"/>
    <w:rsid w:val="00E224D3"/>
    <w:rsid w:val="00E2268D"/>
    <w:rsid w:val="00E2274D"/>
    <w:rsid w:val="00E2275C"/>
    <w:rsid w:val="00E2291E"/>
    <w:rsid w:val="00E22982"/>
    <w:rsid w:val="00E22BD7"/>
    <w:rsid w:val="00E22C25"/>
    <w:rsid w:val="00E22F1A"/>
    <w:rsid w:val="00E22FF4"/>
    <w:rsid w:val="00E23049"/>
    <w:rsid w:val="00E230AD"/>
    <w:rsid w:val="00E23170"/>
    <w:rsid w:val="00E23222"/>
    <w:rsid w:val="00E23239"/>
    <w:rsid w:val="00E234BD"/>
    <w:rsid w:val="00E23511"/>
    <w:rsid w:val="00E235E4"/>
    <w:rsid w:val="00E23754"/>
    <w:rsid w:val="00E23889"/>
    <w:rsid w:val="00E238A3"/>
    <w:rsid w:val="00E23D11"/>
    <w:rsid w:val="00E23DFF"/>
    <w:rsid w:val="00E23EA7"/>
    <w:rsid w:val="00E23F6A"/>
    <w:rsid w:val="00E2405F"/>
    <w:rsid w:val="00E2411B"/>
    <w:rsid w:val="00E24136"/>
    <w:rsid w:val="00E24206"/>
    <w:rsid w:val="00E24249"/>
    <w:rsid w:val="00E2424D"/>
    <w:rsid w:val="00E2425F"/>
    <w:rsid w:val="00E242B0"/>
    <w:rsid w:val="00E243CC"/>
    <w:rsid w:val="00E24459"/>
    <w:rsid w:val="00E244EE"/>
    <w:rsid w:val="00E24558"/>
    <w:rsid w:val="00E2459F"/>
    <w:rsid w:val="00E245C5"/>
    <w:rsid w:val="00E24614"/>
    <w:rsid w:val="00E2463E"/>
    <w:rsid w:val="00E24656"/>
    <w:rsid w:val="00E2488A"/>
    <w:rsid w:val="00E2497E"/>
    <w:rsid w:val="00E24B9A"/>
    <w:rsid w:val="00E24C0D"/>
    <w:rsid w:val="00E24CFF"/>
    <w:rsid w:val="00E24D2A"/>
    <w:rsid w:val="00E24E37"/>
    <w:rsid w:val="00E2504B"/>
    <w:rsid w:val="00E252F4"/>
    <w:rsid w:val="00E25497"/>
    <w:rsid w:val="00E2552E"/>
    <w:rsid w:val="00E25636"/>
    <w:rsid w:val="00E25642"/>
    <w:rsid w:val="00E256AA"/>
    <w:rsid w:val="00E2573F"/>
    <w:rsid w:val="00E25825"/>
    <w:rsid w:val="00E25843"/>
    <w:rsid w:val="00E258DB"/>
    <w:rsid w:val="00E259A2"/>
    <w:rsid w:val="00E25BC0"/>
    <w:rsid w:val="00E25F78"/>
    <w:rsid w:val="00E25FBE"/>
    <w:rsid w:val="00E25FE4"/>
    <w:rsid w:val="00E26009"/>
    <w:rsid w:val="00E260B2"/>
    <w:rsid w:val="00E260C8"/>
    <w:rsid w:val="00E2611E"/>
    <w:rsid w:val="00E262BD"/>
    <w:rsid w:val="00E2666B"/>
    <w:rsid w:val="00E266C1"/>
    <w:rsid w:val="00E2699A"/>
    <w:rsid w:val="00E269BF"/>
    <w:rsid w:val="00E269E5"/>
    <w:rsid w:val="00E26A6E"/>
    <w:rsid w:val="00E26B2B"/>
    <w:rsid w:val="00E26D98"/>
    <w:rsid w:val="00E26EBE"/>
    <w:rsid w:val="00E26EFD"/>
    <w:rsid w:val="00E26F2B"/>
    <w:rsid w:val="00E26F46"/>
    <w:rsid w:val="00E26F64"/>
    <w:rsid w:val="00E2716A"/>
    <w:rsid w:val="00E27429"/>
    <w:rsid w:val="00E27498"/>
    <w:rsid w:val="00E274AE"/>
    <w:rsid w:val="00E27802"/>
    <w:rsid w:val="00E2794F"/>
    <w:rsid w:val="00E27990"/>
    <w:rsid w:val="00E27A9B"/>
    <w:rsid w:val="00E27B86"/>
    <w:rsid w:val="00E27BA4"/>
    <w:rsid w:val="00E27C69"/>
    <w:rsid w:val="00E27C9C"/>
    <w:rsid w:val="00E27CD4"/>
    <w:rsid w:val="00E27D25"/>
    <w:rsid w:val="00E27D78"/>
    <w:rsid w:val="00E27DAA"/>
    <w:rsid w:val="00E30014"/>
    <w:rsid w:val="00E30142"/>
    <w:rsid w:val="00E303A4"/>
    <w:rsid w:val="00E30440"/>
    <w:rsid w:val="00E30457"/>
    <w:rsid w:val="00E305C3"/>
    <w:rsid w:val="00E306ED"/>
    <w:rsid w:val="00E306F5"/>
    <w:rsid w:val="00E30A4E"/>
    <w:rsid w:val="00E30CAE"/>
    <w:rsid w:val="00E30E02"/>
    <w:rsid w:val="00E30F2B"/>
    <w:rsid w:val="00E31036"/>
    <w:rsid w:val="00E3110A"/>
    <w:rsid w:val="00E31167"/>
    <w:rsid w:val="00E31244"/>
    <w:rsid w:val="00E31473"/>
    <w:rsid w:val="00E314C7"/>
    <w:rsid w:val="00E314CB"/>
    <w:rsid w:val="00E31651"/>
    <w:rsid w:val="00E31896"/>
    <w:rsid w:val="00E318A0"/>
    <w:rsid w:val="00E31A86"/>
    <w:rsid w:val="00E31ACD"/>
    <w:rsid w:val="00E31AF9"/>
    <w:rsid w:val="00E31BB9"/>
    <w:rsid w:val="00E31C1C"/>
    <w:rsid w:val="00E31D9E"/>
    <w:rsid w:val="00E321D7"/>
    <w:rsid w:val="00E32456"/>
    <w:rsid w:val="00E324D0"/>
    <w:rsid w:val="00E32574"/>
    <w:rsid w:val="00E32595"/>
    <w:rsid w:val="00E32775"/>
    <w:rsid w:val="00E329A4"/>
    <w:rsid w:val="00E329E5"/>
    <w:rsid w:val="00E32B3F"/>
    <w:rsid w:val="00E32B40"/>
    <w:rsid w:val="00E32CA7"/>
    <w:rsid w:val="00E32DCE"/>
    <w:rsid w:val="00E32E5F"/>
    <w:rsid w:val="00E33261"/>
    <w:rsid w:val="00E33284"/>
    <w:rsid w:val="00E33344"/>
    <w:rsid w:val="00E3336A"/>
    <w:rsid w:val="00E333C1"/>
    <w:rsid w:val="00E33450"/>
    <w:rsid w:val="00E33558"/>
    <w:rsid w:val="00E33559"/>
    <w:rsid w:val="00E33578"/>
    <w:rsid w:val="00E33585"/>
    <w:rsid w:val="00E335C0"/>
    <w:rsid w:val="00E335EC"/>
    <w:rsid w:val="00E3378A"/>
    <w:rsid w:val="00E33876"/>
    <w:rsid w:val="00E33890"/>
    <w:rsid w:val="00E339B1"/>
    <w:rsid w:val="00E33B08"/>
    <w:rsid w:val="00E33B1A"/>
    <w:rsid w:val="00E33C26"/>
    <w:rsid w:val="00E33D07"/>
    <w:rsid w:val="00E33F0A"/>
    <w:rsid w:val="00E33F8E"/>
    <w:rsid w:val="00E34041"/>
    <w:rsid w:val="00E34049"/>
    <w:rsid w:val="00E34074"/>
    <w:rsid w:val="00E340AD"/>
    <w:rsid w:val="00E341F0"/>
    <w:rsid w:val="00E3424E"/>
    <w:rsid w:val="00E342C4"/>
    <w:rsid w:val="00E343CC"/>
    <w:rsid w:val="00E343D8"/>
    <w:rsid w:val="00E34565"/>
    <w:rsid w:val="00E345C7"/>
    <w:rsid w:val="00E34777"/>
    <w:rsid w:val="00E348A9"/>
    <w:rsid w:val="00E348E6"/>
    <w:rsid w:val="00E34A26"/>
    <w:rsid w:val="00E34BB5"/>
    <w:rsid w:val="00E34CC5"/>
    <w:rsid w:val="00E34CE4"/>
    <w:rsid w:val="00E34D09"/>
    <w:rsid w:val="00E34D1D"/>
    <w:rsid w:val="00E34D62"/>
    <w:rsid w:val="00E34D75"/>
    <w:rsid w:val="00E34F76"/>
    <w:rsid w:val="00E350C4"/>
    <w:rsid w:val="00E350E5"/>
    <w:rsid w:val="00E35112"/>
    <w:rsid w:val="00E35130"/>
    <w:rsid w:val="00E35236"/>
    <w:rsid w:val="00E3532F"/>
    <w:rsid w:val="00E3543A"/>
    <w:rsid w:val="00E354C4"/>
    <w:rsid w:val="00E35547"/>
    <w:rsid w:val="00E35747"/>
    <w:rsid w:val="00E35803"/>
    <w:rsid w:val="00E35876"/>
    <w:rsid w:val="00E3593D"/>
    <w:rsid w:val="00E3594A"/>
    <w:rsid w:val="00E3595A"/>
    <w:rsid w:val="00E359E7"/>
    <w:rsid w:val="00E359F9"/>
    <w:rsid w:val="00E35A19"/>
    <w:rsid w:val="00E35B60"/>
    <w:rsid w:val="00E35BAE"/>
    <w:rsid w:val="00E35C14"/>
    <w:rsid w:val="00E36007"/>
    <w:rsid w:val="00E360AF"/>
    <w:rsid w:val="00E3611B"/>
    <w:rsid w:val="00E3621B"/>
    <w:rsid w:val="00E364DC"/>
    <w:rsid w:val="00E366AB"/>
    <w:rsid w:val="00E36842"/>
    <w:rsid w:val="00E36A00"/>
    <w:rsid w:val="00E36A66"/>
    <w:rsid w:val="00E36C99"/>
    <w:rsid w:val="00E36CF5"/>
    <w:rsid w:val="00E36D18"/>
    <w:rsid w:val="00E36D8E"/>
    <w:rsid w:val="00E36E40"/>
    <w:rsid w:val="00E36E7B"/>
    <w:rsid w:val="00E36F10"/>
    <w:rsid w:val="00E37216"/>
    <w:rsid w:val="00E37221"/>
    <w:rsid w:val="00E3733B"/>
    <w:rsid w:val="00E37399"/>
    <w:rsid w:val="00E373E0"/>
    <w:rsid w:val="00E37500"/>
    <w:rsid w:val="00E375C8"/>
    <w:rsid w:val="00E37639"/>
    <w:rsid w:val="00E37654"/>
    <w:rsid w:val="00E3770F"/>
    <w:rsid w:val="00E377C8"/>
    <w:rsid w:val="00E377F1"/>
    <w:rsid w:val="00E37B40"/>
    <w:rsid w:val="00E37C9F"/>
    <w:rsid w:val="00E37FB3"/>
    <w:rsid w:val="00E37FD1"/>
    <w:rsid w:val="00E37FE4"/>
    <w:rsid w:val="00E40313"/>
    <w:rsid w:val="00E40364"/>
    <w:rsid w:val="00E40384"/>
    <w:rsid w:val="00E403CA"/>
    <w:rsid w:val="00E405BE"/>
    <w:rsid w:val="00E4061E"/>
    <w:rsid w:val="00E406D8"/>
    <w:rsid w:val="00E40830"/>
    <w:rsid w:val="00E40941"/>
    <w:rsid w:val="00E40A6C"/>
    <w:rsid w:val="00E40AF1"/>
    <w:rsid w:val="00E40B1A"/>
    <w:rsid w:val="00E40BA6"/>
    <w:rsid w:val="00E40BCA"/>
    <w:rsid w:val="00E40C88"/>
    <w:rsid w:val="00E40D21"/>
    <w:rsid w:val="00E40D50"/>
    <w:rsid w:val="00E40DC5"/>
    <w:rsid w:val="00E40F1D"/>
    <w:rsid w:val="00E40F5F"/>
    <w:rsid w:val="00E40FE5"/>
    <w:rsid w:val="00E41028"/>
    <w:rsid w:val="00E41143"/>
    <w:rsid w:val="00E4116B"/>
    <w:rsid w:val="00E4128C"/>
    <w:rsid w:val="00E412E2"/>
    <w:rsid w:val="00E41363"/>
    <w:rsid w:val="00E41427"/>
    <w:rsid w:val="00E41680"/>
    <w:rsid w:val="00E416E6"/>
    <w:rsid w:val="00E41751"/>
    <w:rsid w:val="00E4179A"/>
    <w:rsid w:val="00E417DF"/>
    <w:rsid w:val="00E4193E"/>
    <w:rsid w:val="00E41ABC"/>
    <w:rsid w:val="00E41BB4"/>
    <w:rsid w:val="00E41BB6"/>
    <w:rsid w:val="00E41F72"/>
    <w:rsid w:val="00E41F94"/>
    <w:rsid w:val="00E4203E"/>
    <w:rsid w:val="00E420C7"/>
    <w:rsid w:val="00E4213B"/>
    <w:rsid w:val="00E42157"/>
    <w:rsid w:val="00E421BD"/>
    <w:rsid w:val="00E42363"/>
    <w:rsid w:val="00E42394"/>
    <w:rsid w:val="00E42438"/>
    <w:rsid w:val="00E4244B"/>
    <w:rsid w:val="00E42478"/>
    <w:rsid w:val="00E425B6"/>
    <w:rsid w:val="00E4282B"/>
    <w:rsid w:val="00E429C3"/>
    <w:rsid w:val="00E42A4C"/>
    <w:rsid w:val="00E42A87"/>
    <w:rsid w:val="00E42A9D"/>
    <w:rsid w:val="00E42BD2"/>
    <w:rsid w:val="00E42CAB"/>
    <w:rsid w:val="00E42CC4"/>
    <w:rsid w:val="00E42E28"/>
    <w:rsid w:val="00E42F7B"/>
    <w:rsid w:val="00E42F8B"/>
    <w:rsid w:val="00E43023"/>
    <w:rsid w:val="00E430FE"/>
    <w:rsid w:val="00E4318C"/>
    <w:rsid w:val="00E43394"/>
    <w:rsid w:val="00E433F1"/>
    <w:rsid w:val="00E4357E"/>
    <w:rsid w:val="00E436D8"/>
    <w:rsid w:val="00E4388F"/>
    <w:rsid w:val="00E438FD"/>
    <w:rsid w:val="00E43AD8"/>
    <w:rsid w:val="00E43D70"/>
    <w:rsid w:val="00E43ED5"/>
    <w:rsid w:val="00E4410D"/>
    <w:rsid w:val="00E4425F"/>
    <w:rsid w:val="00E442D1"/>
    <w:rsid w:val="00E4440E"/>
    <w:rsid w:val="00E4458B"/>
    <w:rsid w:val="00E44670"/>
    <w:rsid w:val="00E4467E"/>
    <w:rsid w:val="00E447AA"/>
    <w:rsid w:val="00E447B8"/>
    <w:rsid w:val="00E449AF"/>
    <w:rsid w:val="00E44AF4"/>
    <w:rsid w:val="00E44B04"/>
    <w:rsid w:val="00E44B5C"/>
    <w:rsid w:val="00E44BD2"/>
    <w:rsid w:val="00E44CFC"/>
    <w:rsid w:val="00E44D3F"/>
    <w:rsid w:val="00E44DD9"/>
    <w:rsid w:val="00E44E31"/>
    <w:rsid w:val="00E44E8A"/>
    <w:rsid w:val="00E44F97"/>
    <w:rsid w:val="00E45098"/>
    <w:rsid w:val="00E45131"/>
    <w:rsid w:val="00E4520E"/>
    <w:rsid w:val="00E452F4"/>
    <w:rsid w:val="00E45372"/>
    <w:rsid w:val="00E453A9"/>
    <w:rsid w:val="00E45582"/>
    <w:rsid w:val="00E4558D"/>
    <w:rsid w:val="00E45652"/>
    <w:rsid w:val="00E456E0"/>
    <w:rsid w:val="00E457AA"/>
    <w:rsid w:val="00E457F0"/>
    <w:rsid w:val="00E45815"/>
    <w:rsid w:val="00E45857"/>
    <w:rsid w:val="00E4598D"/>
    <w:rsid w:val="00E45A5C"/>
    <w:rsid w:val="00E45AC9"/>
    <w:rsid w:val="00E45C9E"/>
    <w:rsid w:val="00E45D02"/>
    <w:rsid w:val="00E45D8F"/>
    <w:rsid w:val="00E45E44"/>
    <w:rsid w:val="00E45E6A"/>
    <w:rsid w:val="00E460B1"/>
    <w:rsid w:val="00E460DC"/>
    <w:rsid w:val="00E461B9"/>
    <w:rsid w:val="00E461DF"/>
    <w:rsid w:val="00E46246"/>
    <w:rsid w:val="00E462C9"/>
    <w:rsid w:val="00E462D0"/>
    <w:rsid w:val="00E464C9"/>
    <w:rsid w:val="00E46682"/>
    <w:rsid w:val="00E4671F"/>
    <w:rsid w:val="00E46783"/>
    <w:rsid w:val="00E46882"/>
    <w:rsid w:val="00E4698E"/>
    <w:rsid w:val="00E46AF7"/>
    <w:rsid w:val="00E46B73"/>
    <w:rsid w:val="00E46BB8"/>
    <w:rsid w:val="00E46C0F"/>
    <w:rsid w:val="00E46D38"/>
    <w:rsid w:val="00E46FAB"/>
    <w:rsid w:val="00E47163"/>
    <w:rsid w:val="00E4728A"/>
    <w:rsid w:val="00E472DA"/>
    <w:rsid w:val="00E47303"/>
    <w:rsid w:val="00E47354"/>
    <w:rsid w:val="00E4737D"/>
    <w:rsid w:val="00E47454"/>
    <w:rsid w:val="00E474D3"/>
    <w:rsid w:val="00E47525"/>
    <w:rsid w:val="00E4768E"/>
    <w:rsid w:val="00E476F4"/>
    <w:rsid w:val="00E47773"/>
    <w:rsid w:val="00E478DA"/>
    <w:rsid w:val="00E47922"/>
    <w:rsid w:val="00E47CC2"/>
    <w:rsid w:val="00E47E9D"/>
    <w:rsid w:val="00E47EAB"/>
    <w:rsid w:val="00E47F91"/>
    <w:rsid w:val="00E47FD1"/>
    <w:rsid w:val="00E50096"/>
    <w:rsid w:val="00E5023B"/>
    <w:rsid w:val="00E5035B"/>
    <w:rsid w:val="00E503A9"/>
    <w:rsid w:val="00E504BF"/>
    <w:rsid w:val="00E504D9"/>
    <w:rsid w:val="00E5057A"/>
    <w:rsid w:val="00E50610"/>
    <w:rsid w:val="00E5064D"/>
    <w:rsid w:val="00E50664"/>
    <w:rsid w:val="00E50722"/>
    <w:rsid w:val="00E5097F"/>
    <w:rsid w:val="00E509E7"/>
    <w:rsid w:val="00E50A04"/>
    <w:rsid w:val="00E50A54"/>
    <w:rsid w:val="00E50B9F"/>
    <w:rsid w:val="00E50C4E"/>
    <w:rsid w:val="00E50F34"/>
    <w:rsid w:val="00E50FE6"/>
    <w:rsid w:val="00E510B5"/>
    <w:rsid w:val="00E51202"/>
    <w:rsid w:val="00E512A9"/>
    <w:rsid w:val="00E512E8"/>
    <w:rsid w:val="00E515EF"/>
    <w:rsid w:val="00E518A1"/>
    <w:rsid w:val="00E51928"/>
    <w:rsid w:val="00E51A97"/>
    <w:rsid w:val="00E51AF9"/>
    <w:rsid w:val="00E51BBA"/>
    <w:rsid w:val="00E51DA9"/>
    <w:rsid w:val="00E51E14"/>
    <w:rsid w:val="00E51EDE"/>
    <w:rsid w:val="00E52032"/>
    <w:rsid w:val="00E521FF"/>
    <w:rsid w:val="00E52381"/>
    <w:rsid w:val="00E52393"/>
    <w:rsid w:val="00E523D8"/>
    <w:rsid w:val="00E523E8"/>
    <w:rsid w:val="00E5242F"/>
    <w:rsid w:val="00E526FF"/>
    <w:rsid w:val="00E5274E"/>
    <w:rsid w:val="00E527D9"/>
    <w:rsid w:val="00E528A7"/>
    <w:rsid w:val="00E529E5"/>
    <w:rsid w:val="00E52A08"/>
    <w:rsid w:val="00E52A3C"/>
    <w:rsid w:val="00E52A6B"/>
    <w:rsid w:val="00E52A80"/>
    <w:rsid w:val="00E52AA2"/>
    <w:rsid w:val="00E52D56"/>
    <w:rsid w:val="00E52D9E"/>
    <w:rsid w:val="00E52EFD"/>
    <w:rsid w:val="00E53028"/>
    <w:rsid w:val="00E53179"/>
    <w:rsid w:val="00E53270"/>
    <w:rsid w:val="00E53279"/>
    <w:rsid w:val="00E53290"/>
    <w:rsid w:val="00E533D3"/>
    <w:rsid w:val="00E534AB"/>
    <w:rsid w:val="00E534ED"/>
    <w:rsid w:val="00E535C2"/>
    <w:rsid w:val="00E535C8"/>
    <w:rsid w:val="00E535EE"/>
    <w:rsid w:val="00E53634"/>
    <w:rsid w:val="00E5365B"/>
    <w:rsid w:val="00E537C2"/>
    <w:rsid w:val="00E537D2"/>
    <w:rsid w:val="00E53892"/>
    <w:rsid w:val="00E53B2F"/>
    <w:rsid w:val="00E53C54"/>
    <w:rsid w:val="00E53DB9"/>
    <w:rsid w:val="00E53E6D"/>
    <w:rsid w:val="00E54132"/>
    <w:rsid w:val="00E54145"/>
    <w:rsid w:val="00E541A1"/>
    <w:rsid w:val="00E5431B"/>
    <w:rsid w:val="00E544A1"/>
    <w:rsid w:val="00E544E2"/>
    <w:rsid w:val="00E54523"/>
    <w:rsid w:val="00E54800"/>
    <w:rsid w:val="00E54846"/>
    <w:rsid w:val="00E54880"/>
    <w:rsid w:val="00E548C5"/>
    <w:rsid w:val="00E548E2"/>
    <w:rsid w:val="00E54AA5"/>
    <w:rsid w:val="00E54B99"/>
    <w:rsid w:val="00E54D89"/>
    <w:rsid w:val="00E54F59"/>
    <w:rsid w:val="00E54FB7"/>
    <w:rsid w:val="00E5501F"/>
    <w:rsid w:val="00E550DF"/>
    <w:rsid w:val="00E550ED"/>
    <w:rsid w:val="00E55174"/>
    <w:rsid w:val="00E551C1"/>
    <w:rsid w:val="00E55289"/>
    <w:rsid w:val="00E5538A"/>
    <w:rsid w:val="00E55396"/>
    <w:rsid w:val="00E553B4"/>
    <w:rsid w:val="00E55405"/>
    <w:rsid w:val="00E554DF"/>
    <w:rsid w:val="00E55703"/>
    <w:rsid w:val="00E5584B"/>
    <w:rsid w:val="00E55974"/>
    <w:rsid w:val="00E55AA7"/>
    <w:rsid w:val="00E55B93"/>
    <w:rsid w:val="00E55C47"/>
    <w:rsid w:val="00E55DE8"/>
    <w:rsid w:val="00E5603B"/>
    <w:rsid w:val="00E5613C"/>
    <w:rsid w:val="00E561AE"/>
    <w:rsid w:val="00E56410"/>
    <w:rsid w:val="00E565B2"/>
    <w:rsid w:val="00E565CF"/>
    <w:rsid w:val="00E566D7"/>
    <w:rsid w:val="00E5677F"/>
    <w:rsid w:val="00E56821"/>
    <w:rsid w:val="00E56826"/>
    <w:rsid w:val="00E56907"/>
    <w:rsid w:val="00E56B8A"/>
    <w:rsid w:val="00E56C09"/>
    <w:rsid w:val="00E56D0D"/>
    <w:rsid w:val="00E56F09"/>
    <w:rsid w:val="00E56FAA"/>
    <w:rsid w:val="00E56FCA"/>
    <w:rsid w:val="00E57042"/>
    <w:rsid w:val="00E57061"/>
    <w:rsid w:val="00E57164"/>
    <w:rsid w:val="00E572E0"/>
    <w:rsid w:val="00E5730E"/>
    <w:rsid w:val="00E57381"/>
    <w:rsid w:val="00E573B5"/>
    <w:rsid w:val="00E573E1"/>
    <w:rsid w:val="00E574EC"/>
    <w:rsid w:val="00E578E1"/>
    <w:rsid w:val="00E57AEB"/>
    <w:rsid w:val="00E57B90"/>
    <w:rsid w:val="00E57BC9"/>
    <w:rsid w:val="00E57C0D"/>
    <w:rsid w:val="00E57C57"/>
    <w:rsid w:val="00E57FBD"/>
    <w:rsid w:val="00E57FF0"/>
    <w:rsid w:val="00E57FF6"/>
    <w:rsid w:val="00E600D3"/>
    <w:rsid w:val="00E600EC"/>
    <w:rsid w:val="00E60340"/>
    <w:rsid w:val="00E6041A"/>
    <w:rsid w:val="00E60584"/>
    <w:rsid w:val="00E607A2"/>
    <w:rsid w:val="00E607A6"/>
    <w:rsid w:val="00E6085E"/>
    <w:rsid w:val="00E60C81"/>
    <w:rsid w:val="00E60D23"/>
    <w:rsid w:val="00E60F82"/>
    <w:rsid w:val="00E61051"/>
    <w:rsid w:val="00E61083"/>
    <w:rsid w:val="00E6109E"/>
    <w:rsid w:val="00E61139"/>
    <w:rsid w:val="00E613A7"/>
    <w:rsid w:val="00E6142F"/>
    <w:rsid w:val="00E6148C"/>
    <w:rsid w:val="00E61523"/>
    <w:rsid w:val="00E6161A"/>
    <w:rsid w:val="00E61644"/>
    <w:rsid w:val="00E616F1"/>
    <w:rsid w:val="00E61724"/>
    <w:rsid w:val="00E6174F"/>
    <w:rsid w:val="00E6182C"/>
    <w:rsid w:val="00E618FE"/>
    <w:rsid w:val="00E619D4"/>
    <w:rsid w:val="00E61A42"/>
    <w:rsid w:val="00E61AAD"/>
    <w:rsid w:val="00E61BBE"/>
    <w:rsid w:val="00E61C93"/>
    <w:rsid w:val="00E61E6D"/>
    <w:rsid w:val="00E6202C"/>
    <w:rsid w:val="00E622C7"/>
    <w:rsid w:val="00E623A9"/>
    <w:rsid w:val="00E623CB"/>
    <w:rsid w:val="00E623E0"/>
    <w:rsid w:val="00E624DF"/>
    <w:rsid w:val="00E62582"/>
    <w:rsid w:val="00E6262A"/>
    <w:rsid w:val="00E6275E"/>
    <w:rsid w:val="00E62789"/>
    <w:rsid w:val="00E6281A"/>
    <w:rsid w:val="00E62944"/>
    <w:rsid w:val="00E62A44"/>
    <w:rsid w:val="00E62A4E"/>
    <w:rsid w:val="00E62A5F"/>
    <w:rsid w:val="00E62AD6"/>
    <w:rsid w:val="00E62CA5"/>
    <w:rsid w:val="00E62CC5"/>
    <w:rsid w:val="00E62D01"/>
    <w:rsid w:val="00E62D35"/>
    <w:rsid w:val="00E62D58"/>
    <w:rsid w:val="00E62D9A"/>
    <w:rsid w:val="00E62DA9"/>
    <w:rsid w:val="00E62DFE"/>
    <w:rsid w:val="00E62E26"/>
    <w:rsid w:val="00E62E7D"/>
    <w:rsid w:val="00E62E7F"/>
    <w:rsid w:val="00E62F62"/>
    <w:rsid w:val="00E62F79"/>
    <w:rsid w:val="00E62FF3"/>
    <w:rsid w:val="00E6306C"/>
    <w:rsid w:val="00E63084"/>
    <w:rsid w:val="00E630DF"/>
    <w:rsid w:val="00E632E0"/>
    <w:rsid w:val="00E63338"/>
    <w:rsid w:val="00E63383"/>
    <w:rsid w:val="00E633A8"/>
    <w:rsid w:val="00E63468"/>
    <w:rsid w:val="00E63510"/>
    <w:rsid w:val="00E6353E"/>
    <w:rsid w:val="00E63832"/>
    <w:rsid w:val="00E63870"/>
    <w:rsid w:val="00E638B6"/>
    <w:rsid w:val="00E63A67"/>
    <w:rsid w:val="00E63BCF"/>
    <w:rsid w:val="00E63CE0"/>
    <w:rsid w:val="00E63D06"/>
    <w:rsid w:val="00E63D4C"/>
    <w:rsid w:val="00E63EB5"/>
    <w:rsid w:val="00E641DA"/>
    <w:rsid w:val="00E641FA"/>
    <w:rsid w:val="00E642A4"/>
    <w:rsid w:val="00E642AD"/>
    <w:rsid w:val="00E643EA"/>
    <w:rsid w:val="00E646E5"/>
    <w:rsid w:val="00E6473E"/>
    <w:rsid w:val="00E647F6"/>
    <w:rsid w:val="00E64840"/>
    <w:rsid w:val="00E64936"/>
    <w:rsid w:val="00E64A35"/>
    <w:rsid w:val="00E64A4A"/>
    <w:rsid w:val="00E64A90"/>
    <w:rsid w:val="00E64C2F"/>
    <w:rsid w:val="00E64CB3"/>
    <w:rsid w:val="00E64CF3"/>
    <w:rsid w:val="00E64D3C"/>
    <w:rsid w:val="00E64DCE"/>
    <w:rsid w:val="00E64E53"/>
    <w:rsid w:val="00E65038"/>
    <w:rsid w:val="00E650DE"/>
    <w:rsid w:val="00E65126"/>
    <w:rsid w:val="00E651B1"/>
    <w:rsid w:val="00E65201"/>
    <w:rsid w:val="00E65239"/>
    <w:rsid w:val="00E652BD"/>
    <w:rsid w:val="00E653CD"/>
    <w:rsid w:val="00E65647"/>
    <w:rsid w:val="00E65659"/>
    <w:rsid w:val="00E65732"/>
    <w:rsid w:val="00E65747"/>
    <w:rsid w:val="00E65817"/>
    <w:rsid w:val="00E658E4"/>
    <w:rsid w:val="00E658E8"/>
    <w:rsid w:val="00E65D7F"/>
    <w:rsid w:val="00E65F0B"/>
    <w:rsid w:val="00E65F9F"/>
    <w:rsid w:val="00E65FFA"/>
    <w:rsid w:val="00E66092"/>
    <w:rsid w:val="00E66100"/>
    <w:rsid w:val="00E66125"/>
    <w:rsid w:val="00E6625A"/>
    <w:rsid w:val="00E66273"/>
    <w:rsid w:val="00E6629B"/>
    <w:rsid w:val="00E66474"/>
    <w:rsid w:val="00E66594"/>
    <w:rsid w:val="00E665B4"/>
    <w:rsid w:val="00E665C0"/>
    <w:rsid w:val="00E66661"/>
    <w:rsid w:val="00E666EA"/>
    <w:rsid w:val="00E668E5"/>
    <w:rsid w:val="00E6691B"/>
    <w:rsid w:val="00E6692E"/>
    <w:rsid w:val="00E6694A"/>
    <w:rsid w:val="00E66A7A"/>
    <w:rsid w:val="00E66AA1"/>
    <w:rsid w:val="00E66AD0"/>
    <w:rsid w:val="00E66B85"/>
    <w:rsid w:val="00E66B9B"/>
    <w:rsid w:val="00E66C21"/>
    <w:rsid w:val="00E66CA1"/>
    <w:rsid w:val="00E66D19"/>
    <w:rsid w:val="00E66D2B"/>
    <w:rsid w:val="00E66F0C"/>
    <w:rsid w:val="00E6700F"/>
    <w:rsid w:val="00E6703E"/>
    <w:rsid w:val="00E67159"/>
    <w:rsid w:val="00E6724E"/>
    <w:rsid w:val="00E67362"/>
    <w:rsid w:val="00E6758B"/>
    <w:rsid w:val="00E67604"/>
    <w:rsid w:val="00E67629"/>
    <w:rsid w:val="00E6765A"/>
    <w:rsid w:val="00E67660"/>
    <w:rsid w:val="00E676B0"/>
    <w:rsid w:val="00E6784A"/>
    <w:rsid w:val="00E678DD"/>
    <w:rsid w:val="00E6797B"/>
    <w:rsid w:val="00E67A1C"/>
    <w:rsid w:val="00E67A94"/>
    <w:rsid w:val="00E67C86"/>
    <w:rsid w:val="00E67D62"/>
    <w:rsid w:val="00E67DEA"/>
    <w:rsid w:val="00E67E9A"/>
    <w:rsid w:val="00E67EEE"/>
    <w:rsid w:val="00E67FC7"/>
    <w:rsid w:val="00E701E1"/>
    <w:rsid w:val="00E703CC"/>
    <w:rsid w:val="00E70566"/>
    <w:rsid w:val="00E706DC"/>
    <w:rsid w:val="00E70804"/>
    <w:rsid w:val="00E70842"/>
    <w:rsid w:val="00E708D0"/>
    <w:rsid w:val="00E708D1"/>
    <w:rsid w:val="00E70A64"/>
    <w:rsid w:val="00E70B3F"/>
    <w:rsid w:val="00E70B84"/>
    <w:rsid w:val="00E70E6A"/>
    <w:rsid w:val="00E71108"/>
    <w:rsid w:val="00E71143"/>
    <w:rsid w:val="00E71206"/>
    <w:rsid w:val="00E71210"/>
    <w:rsid w:val="00E71267"/>
    <w:rsid w:val="00E712DC"/>
    <w:rsid w:val="00E71317"/>
    <w:rsid w:val="00E71482"/>
    <w:rsid w:val="00E71638"/>
    <w:rsid w:val="00E71699"/>
    <w:rsid w:val="00E71741"/>
    <w:rsid w:val="00E717D9"/>
    <w:rsid w:val="00E71988"/>
    <w:rsid w:val="00E71A8B"/>
    <w:rsid w:val="00E71AFB"/>
    <w:rsid w:val="00E71D77"/>
    <w:rsid w:val="00E71DEB"/>
    <w:rsid w:val="00E71E71"/>
    <w:rsid w:val="00E71E9E"/>
    <w:rsid w:val="00E71FCE"/>
    <w:rsid w:val="00E72048"/>
    <w:rsid w:val="00E72056"/>
    <w:rsid w:val="00E720AB"/>
    <w:rsid w:val="00E721E9"/>
    <w:rsid w:val="00E7227B"/>
    <w:rsid w:val="00E72679"/>
    <w:rsid w:val="00E7289F"/>
    <w:rsid w:val="00E728E9"/>
    <w:rsid w:val="00E728FA"/>
    <w:rsid w:val="00E72912"/>
    <w:rsid w:val="00E72A1D"/>
    <w:rsid w:val="00E72A36"/>
    <w:rsid w:val="00E72B49"/>
    <w:rsid w:val="00E72B5A"/>
    <w:rsid w:val="00E72BDA"/>
    <w:rsid w:val="00E72C6F"/>
    <w:rsid w:val="00E72DD0"/>
    <w:rsid w:val="00E72E7E"/>
    <w:rsid w:val="00E72EE0"/>
    <w:rsid w:val="00E72EFB"/>
    <w:rsid w:val="00E72FAC"/>
    <w:rsid w:val="00E73013"/>
    <w:rsid w:val="00E73020"/>
    <w:rsid w:val="00E73145"/>
    <w:rsid w:val="00E731A1"/>
    <w:rsid w:val="00E73234"/>
    <w:rsid w:val="00E7374B"/>
    <w:rsid w:val="00E73796"/>
    <w:rsid w:val="00E73805"/>
    <w:rsid w:val="00E73815"/>
    <w:rsid w:val="00E73886"/>
    <w:rsid w:val="00E738E8"/>
    <w:rsid w:val="00E738EC"/>
    <w:rsid w:val="00E73B84"/>
    <w:rsid w:val="00E73BBF"/>
    <w:rsid w:val="00E73DD1"/>
    <w:rsid w:val="00E73E7B"/>
    <w:rsid w:val="00E73EF9"/>
    <w:rsid w:val="00E7405D"/>
    <w:rsid w:val="00E7423B"/>
    <w:rsid w:val="00E742AC"/>
    <w:rsid w:val="00E744D9"/>
    <w:rsid w:val="00E7458A"/>
    <w:rsid w:val="00E7460E"/>
    <w:rsid w:val="00E7465B"/>
    <w:rsid w:val="00E74867"/>
    <w:rsid w:val="00E748BC"/>
    <w:rsid w:val="00E74980"/>
    <w:rsid w:val="00E749EF"/>
    <w:rsid w:val="00E74A21"/>
    <w:rsid w:val="00E74AA6"/>
    <w:rsid w:val="00E74BC1"/>
    <w:rsid w:val="00E74C06"/>
    <w:rsid w:val="00E74D65"/>
    <w:rsid w:val="00E74D74"/>
    <w:rsid w:val="00E74E7A"/>
    <w:rsid w:val="00E74EEB"/>
    <w:rsid w:val="00E75160"/>
    <w:rsid w:val="00E751BE"/>
    <w:rsid w:val="00E752F4"/>
    <w:rsid w:val="00E75313"/>
    <w:rsid w:val="00E75466"/>
    <w:rsid w:val="00E754C1"/>
    <w:rsid w:val="00E75597"/>
    <w:rsid w:val="00E755FD"/>
    <w:rsid w:val="00E75660"/>
    <w:rsid w:val="00E75748"/>
    <w:rsid w:val="00E75A80"/>
    <w:rsid w:val="00E75B54"/>
    <w:rsid w:val="00E75BA9"/>
    <w:rsid w:val="00E75BE0"/>
    <w:rsid w:val="00E75E45"/>
    <w:rsid w:val="00E75E55"/>
    <w:rsid w:val="00E75F9B"/>
    <w:rsid w:val="00E75FAF"/>
    <w:rsid w:val="00E760BD"/>
    <w:rsid w:val="00E760E9"/>
    <w:rsid w:val="00E7614D"/>
    <w:rsid w:val="00E7618A"/>
    <w:rsid w:val="00E763BF"/>
    <w:rsid w:val="00E7648B"/>
    <w:rsid w:val="00E7669C"/>
    <w:rsid w:val="00E766F9"/>
    <w:rsid w:val="00E767C9"/>
    <w:rsid w:val="00E76861"/>
    <w:rsid w:val="00E76A9B"/>
    <w:rsid w:val="00E76ACE"/>
    <w:rsid w:val="00E76B58"/>
    <w:rsid w:val="00E76E5D"/>
    <w:rsid w:val="00E76E7F"/>
    <w:rsid w:val="00E76EB7"/>
    <w:rsid w:val="00E76F2C"/>
    <w:rsid w:val="00E76FC2"/>
    <w:rsid w:val="00E772CF"/>
    <w:rsid w:val="00E775A5"/>
    <w:rsid w:val="00E77749"/>
    <w:rsid w:val="00E777CD"/>
    <w:rsid w:val="00E7794D"/>
    <w:rsid w:val="00E77953"/>
    <w:rsid w:val="00E779B5"/>
    <w:rsid w:val="00E779D5"/>
    <w:rsid w:val="00E77A6C"/>
    <w:rsid w:val="00E77C69"/>
    <w:rsid w:val="00E77CDD"/>
    <w:rsid w:val="00E77DE2"/>
    <w:rsid w:val="00E77F2F"/>
    <w:rsid w:val="00E77F86"/>
    <w:rsid w:val="00E77FB5"/>
    <w:rsid w:val="00E800E6"/>
    <w:rsid w:val="00E801FE"/>
    <w:rsid w:val="00E80259"/>
    <w:rsid w:val="00E80300"/>
    <w:rsid w:val="00E803E6"/>
    <w:rsid w:val="00E8040F"/>
    <w:rsid w:val="00E80550"/>
    <w:rsid w:val="00E80605"/>
    <w:rsid w:val="00E80634"/>
    <w:rsid w:val="00E806CF"/>
    <w:rsid w:val="00E80799"/>
    <w:rsid w:val="00E80802"/>
    <w:rsid w:val="00E809BD"/>
    <w:rsid w:val="00E80A3B"/>
    <w:rsid w:val="00E80B16"/>
    <w:rsid w:val="00E80C0A"/>
    <w:rsid w:val="00E80C3A"/>
    <w:rsid w:val="00E80E0D"/>
    <w:rsid w:val="00E80F1F"/>
    <w:rsid w:val="00E8107C"/>
    <w:rsid w:val="00E810A9"/>
    <w:rsid w:val="00E8110B"/>
    <w:rsid w:val="00E81116"/>
    <w:rsid w:val="00E8118B"/>
    <w:rsid w:val="00E81245"/>
    <w:rsid w:val="00E81427"/>
    <w:rsid w:val="00E8144F"/>
    <w:rsid w:val="00E815AA"/>
    <w:rsid w:val="00E817C7"/>
    <w:rsid w:val="00E8199B"/>
    <w:rsid w:val="00E81AAC"/>
    <w:rsid w:val="00E81BA0"/>
    <w:rsid w:val="00E81D1B"/>
    <w:rsid w:val="00E81DFD"/>
    <w:rsid w:val="00E81F62"/>
    <w:rsid w:val="00E8200E"/>
    <w:rsid w:val="00E82055"/>
    <w:rsid w:val="00E820C1"/>
    <w:rsid w:val="00E8221C"/>
    <w:rsid w:val="00E8227A"/>
    <w:rsid w:val="00E822FC"/>
    <w:rsid w:val="00E8234F"/>
    <w:rsid w:val="00E82365"/>
    <w:rsid w:val="00E823F8"/>
    <w:rsid w:val="00E82683"/>
    <w:rsid w:val="00E82689"/>
    <w:rsid w:val="00E82696"/>
    <w:rsid w:val="00E82852"/>
    <w:rsid w:val="00E82915"/>
    <w:rsid w:val="00E8292D"/>
    <w:rsid w:val="00E829EC"/>
    <w:rsid w:val="00E82A03"/>
    <w:rsid w:val="00E82B09"/>
    <w:rsid w:val="00E82D42"/>
    <w:rsid w:val="00E830F0"/>
    <w:rsid w:val="00E8335E"/>
    <w:rsid w:val="00E8346F"/>
    <w:rsid w:val="00E83497"/>
    <w:rsid w:val="00E8354E"/>
    <w:rsid w:val="00E8373E"/>
    <w:rsid w:val="00E837C7"/>
    <w:rsid w:val="00E83840"/>
    <w:rsid w:val="00E8393D"/>
    <w:rsid w:val="00E8395E"/>
    <w:rsid w:val="00E839C3"/>
    <w:rsid w:val="00E83A67"/>
    <w:rsid w:val="00E83AE6"/>
    <w:rsid w:val="00E83B40"/>
    <w:rsid w:val="00E83B74"/>
    <w:rsid w:val="00E83BB8"/>
    <w:rsid w:val="00E83BE6"/>
    <w:rsid w:val="00E83C73"/>
    <w:rsid w:val="00E83CA9"/>
    <w:rsid w:val="00E83DD0"/>
    <w:rsid w:val="00E83DF6"/>
    <w:rsid w:val="00E83E33"/>
    <w:rsid w:val="00E83EB3"/>
    <w:rsid w:val="00E83F9F"/>
    <w:rsid w:val="00E83FEF"/>
    <w:rsid w:val="00E84060"/>
    <w:rsid w:val="00E84083"/>
    <w:rsid w:val="00E84328"/>
    <w:rsid w:val="00E843C4"/>
    <w:rsid w:val="00E843D4"/>
    <w:rsid w:val="00E845D6"/>
    <w:rsid w:val="00E84717"/>
    <w:rsid w:val="00E84730"/>
    <w:rsid w:val="00E84A6B"/>
    <w:rsid w:val="00E84A88"/>
    <w:rsid w:val="00E84BD5"/>
    <w:rsid w:val="00E84C34"/>
    <w:rsid w:val="00E84D74"/>
    <w:rsid w:val="00E84D7D"/>
    <w:rsid w:val="00E84E64"/>
    <w:rsid w:val="00E84EED"/>
    <w:rsid w:val="00E84F45"/>
    <w:rsid w:val="00E850CA"/>
    <w:rsid w:val="00E85100"/>
    <w:rsid w:val="00E85137"/>
    <w:rsid w:val="00E852A0"/>
    <w:rsid w:val="00E852BA"/>
    <w:rsid w:val="00E8532F"/>
    <w:rsid w:val="00E854B7"/>
    <w:rsid w:val="00E85507"/>
    <w:rsid w:val="00E85573"/>
    <w:rsid w:val="00E8557C"/>
    <w:rsid w:val="00E8558E"/>
    <w:rsid w:val="00E8577E"/>
    <w:rsid w:val="00E857E4"/>
    <w:rsid w:val="00E859A5"/>
    <w:rsid w:val="00E85A16"/>
    <w:rsid w:val="00E85B21"/>
    <w:rsid w:val="00E85C98"/>
    <w:rsid w:val="00E85DE0"/>
    <w:rsid w:val="00E85F34"/>
    <w:rsid w:val="00E85F93"/>
    <w:rsid w:val="00E86113"/>
    <w:rsid w:val="00E862AA"/>
    <w:rsid w:val="00E862C0"/>
    <w:rsid w:val="00E863DC"/>
    <w:rsid w:val="00E8643A"/>
    <w:rsid w:val="00E864BB"/>
    <w:rsid w:val="00E8653C"/>
    <w:rsid w:val="00E86682"/>
    <w:rsid w:val="00E8668F"/>
    <w:rsid w:val="00E86737"/>
    <w:rsid w:val="00E8692D"/>
    <w:rsid w:val="00E86BAE"/>
    <w:rsid w:val="00E86C16"/>
    <w:rsid w:val="00E86C47"/>
    <w:rsid w:val="00E86CEC"/>
    <w:rsid w:val="00E86E1C"/>
    <w:rsid w:val="00E86E53"/>
    <w:rsid w:val="00E86E57"/>
    <w:rsid w:val="00E86EA5"/>
    <w:rsid w:val="00E86F80"/>
    <w:rsid w:val="00E870A4"/>
    <w:rsid w:val="00E871AB"/>
    <w:rsid w:val="00E872B5"/>
    <w:rsid w:val="00E8731B"/>
    <w:rsid w:val="00E873B2"/>
    <w:rsid w:val="00E873BD"/>
    <w:rsid w:val="00E874A9"/>
    <w:rsid w:val="00E87549"/>
    <w:rsid w:val="00E8759F"/>
    <w:rsid w:val="00E877E1"/>
    <w:rsid w:val="00E879F4"/>
    <w:rsid w:val="00E87A12"/>
    <w:rsid w:val="00E87BC3"/>
    <w:rsid w:val="00E87C3D"/>
    <w:rsid w:val="00E87D87"/>
    <w:rsid w:val="00E87E0F"/>
    <w:rsid w:val="00E87F38"/>
    <w:rsid w:val="00E87F43"/>
    <w:rsid w:val="00E90047"/>
    <w:rsid w:val="00E9006D"/>
    <w:rsid w:val="00E901E5"/>
    <w:rsid w:val="00E902E1"/>
    <w:rsid w:val="00E902ED"/>
    <w:rsid w:val="00E90305"/>
    <w:rsid w:val="00E903A8"/>
    <w:rsid w:val="00E903E3"/>
    <w:rsid w:val="00E9057D"/>
    <w:rsid w:val="00E90607"/>
    <w:rsid w:val="00E9076F"/>
    <w:rsid w:val="00E9096B"/>
    <w:rsid w:val="00E90B06"/>
    <w:rsid w:val="00E90C83"/>
    <w:rsid w:val="00E90D07"/>
    <w:rsid w:val="00E90D7D"/>
    <w:rsid w:val="00E90DB7"/>
    <w:rsid w:val="00E90DEA"/>
    <w:rsid w:val="00E90E48"/>
    <w:rsid w:val="00E90E5B"/>
    <w:rsid w:val="00E90EB4"/>
    <w:rsid w:val="00E910EF"/>
    <w:rsid w:val="00E91141"/>
    <w:rsid w:val="00E9118C"/>
    <w:rsid w:val="00E911E7"/>
    <w:rsid w:val="00E9132B"/>
    <w:rsid w:val="00E914F0"/>
    <w:rsid w:val="00E91847"/>
    <w:rsid w:val="00E9199E"/>
    <w:rsid w:val="00E919B3"/>
    <w:rsid w:val="00E919F1"/>
    <w:rsid w:val="00E91A1B"/>
    <w:rsid w:val="00E91A24"/>
    <w:rsid w:val="00E91A37"/>
    <w:rsid w:val="00E91A97"/>
    <w:rsid w:val="00E91D3D"/>
    <w:rsid w:val="00E91E7F"/>
    <w:rsid w:val="00E91F35"/>
    <w:rsid w:val="00E9209B"/>
    <w:rsid w:val="00E920FC"/>
    <w:rsid w:val="00E92144"/>
    <w:rsid w:val="00E92219"/>
    <w:rsid w:val="00E923A2"/>
    <w:rsid w:val="00E923E2"/>
    <w:rsid w:val="00E92685"/>
    <w:rsid w:val="00E9268D"/>
    <w:rsid w:val="00E926F1"/>
    <w:rsid w:val="00E927A9"/>
    <w:rsid w:val="00E928EA"/>
    <w:rsid w:val="00E92980"/>
    <w:rsid w:val="00E92AB6"/>
    <w:rsid w:val="00E92CC7"/>
    <w:rsid w:val="00E92DC0"/>
    <w:rsid w:val="00E92E2B"/>
    <w:rsid w:val="00E92F7B"/>
    <w:rsid w:val="00E92FDE"/>
    <w:rsid w:val="00E930DA"/>
    <w:rsid w:val="00E932A4"/>
    <w:rsid w:val="00E93338"/>
    <w:rsid w:val="00E93368"/>
    <w:rsid w:val="00E93585"/>
    <w:rsid w:val="00E936E6"/>
    <w:rsid w:val="00E938A9"/>
    <w:rsid w:val="00E938F7"/>
    <w:rsid w:val="00E93952"/>
    <w:rsid w:val="00E939A9"/>
    <w:rsid w:val="00E93A11"/>
    <w:rsid w:val="00E93AFA"/>
    <w:rsid w:val="00E93BDF"/>
    <w:rsid w:val="00E93C0D"/>
    <w:rsid w:val="00E93CEF"/>
    <w:rsid w:val="00E93FA6"/>
    <w:rsid w:val="00E93FED"/>
    <w:rsid w:val="00E9412B"/>
    <w:rsid w:val="00E9412F"/>
    <w:rsid w:val="00E9422E"/>
    <w:rsid w:val="00E94441"/>
    <w:rsid w:val="00E94478"/>
    <w:rsid w:val="00E945D7"/>
    <w:rsid w:val="00E94728"/>
    <w:rsid w:val="00E947D2"/>
    <w:rsid w:val="00E94838"/>
    <w:rsid w:val="00E94A1A"/>
    <w:rsid w:val="00E94A9B"/>
    <w:rsid w:val="00E94B15"/>
    <w:rsid w:val="00E94C11"/>
    <w:rsid w:val="00E94C8F"/>
    <w:rsid w:val="00E94CB1"/>
    <w:rsid w:val="00E94D04"/>
    <w:rsid w:val="00E94D52"/>
    <w:rsid w:val="00E94D5B"/>
    <w:rsid w:val="00E94E46"/>
    <w:rsid w:val="00E94EC2"/>
    <w:rsid w:val="00E94FA9"/>
    <w:rsid w:val="00E95048"/>
    <w:rsid w:val="00E9515C"/>
    <w:rsid w:val="00E95228"/>
    <w:rsid w:val="00E9545F"/>
    <w:rsid w:val="00E95498"/>
    <w:rsid w:val="00E954BC"/>
    <w:rsid w:val="00E95537"/>
    <w:rsid w:val="00E9567F"/>
    <w:rsid w:val="00E956BD"/>
    <w:rsid w:val="00E959EA"/>
    <w:rsid w:val="00E95A10"/>
    <w:rsid w:val="00E95A15"/>
    <w:rsid w:val="00E95A17"/>
    <w:rsid w:val="00E95AE4"/>
    <w:rsid w:val="00E95B2B"/>
    <w:rsid w:val="00E95B5E"/>
    <w:rsid w:val="00E95C1F"/>
    <w:rsid w:val="00E95C5A"/>
    <w:rsid w:val="00E95C5D"/>
    <w:rsid w:val="00E95EFF"/>
    <w:rsid w:val="00E95F6C"/>
    <w:rsid w:val="00E9616D"/>
    <w:rsid w:val="00E9617F"/>
    <w:rsid w:val="00E9618B"/>
    <w:rsid w:val="00E962C2"/>
    <w:rsid w:val="00E96338"/>
    <w:rsid w:val="00E964B7"/>
    <w:rsid w:val="00E9651C"/>
    <w:rsid w:val="00E9668E"/>
    <w:rsid w:val="00E96697"/>
    <w:rsid w:val="00E967E1"/>
    <w:rsid w:val="00E9691A"/>
    <w:rsid w:val="00E96A57"/>
    <w:rsid w:val="00E96AFB"/>
    <w:rsid w:val="00E96B47"/>
    <w:rsid w:val="00E96BB0"/>
    <w:rsid w:val="00E96C62"/>
    <w:rsid w:val="00E96CE3"/>
    <w:rsid w:val="00E96D40"/>
    <w:rsid w:val="00E96DFD"/>
    <w:rsid w:val="00E96E7A"/>
    <w:rsid w:val="00E97170"/>
    <w:rsid w:val="00E971CB"/>
    <w:rsid w:val="00E9729B"/>
    <w:rsid w:val="00E972CD"/>
    <w:rsid w:val="00E97341"/>
    <w:rsid w:val="00E973DB"/>
    <w:rsid w:val="00E97519"/>
    <w:rsid w:val="00E975AC"/>
    <w:rsid w:val="00E975ED"/>
    <w:rsid w:val="00E97629"/>
    <w:rsid w:val="00E9763A"/>
    <w:rsid w:val="00E9764A"/>
    <w:rsid w:val="00E97779"/>
    <w:rsid w:val="00E978D3"/>
    <w:rsid w:val="00E9792E"/>
    <w:rsid w:val="00E97958"/>
    <w:rsid w:val="00E97ACB"/>
    <w:rsid w:val="00E97BF8"/>
    <w:rsid w:val="00E97D4A"/>
    <w:rsid w:val="00E97E56"/>
    <w:rsid w:val="00E97EEE"/>
    <w:rsid w:val="00E97FC8"/>
    <w:rsid w:val="00E97FED"/>
    <w:rsid w:val="00EA0053"/>
    <w:rsid w:val="00EA00B0"/>
    <w:rsid w:val="00EA0143"/>
    <w:rsid w:val="00EA0165"/>
    <w:rsid w:val="00EA0225"/>
    <w:rsid w:val="00EA02F6"/>
    <w:rsid w:val="00EA03B7"/>
    <w:rsid w:val="00EA04C7"/>
    <w:rsid w:val="00EA04F1"/>
    <w:rsid w:val="00EA05E4"/>
    <w:rsid w:val="00EA06FE"/>
    <w:rsid w:val="00EA0728"/>
    <w:rsid w:val="00EA09C3"/>
    <w:rsid w:val="00EA09F1"/>
    <w:rsid w:val="00EA0AC3"/>
    <w:rsid w:val="00EA0AF3"/>
    <w:rsid w:val="00EA0C25"/>
    <w:rsid w:val="00EA0C53"/>
    <w:rsid w:val="00EA0DDC"/>
    <w:rsid w:val="00EA0E4D"/>
    <w:rsid w:val="00EA0FE3"/>
    <w:rsid w:val="00EA1002"/>
    <w:rsid w:val="00EA1050"/>
    <w:rsid w:val="00EA10C6"/>
    <w:rsid w:val="00EA11AB"/>
    <w:rsid w:val="00EA1200"/>
    <w:rsid w:val="00EA125B"/>
    <w:rsid w:val="00EA125C"/>
    <w:rsid w:val="00EA1287"/>
    <w:rsid w:val="00EA128E"/>
    <w:rsid w:val="00EA13FB"/>
    <w:rsid w:val="00EA1585"/>
    <w:rsid w:val="00EA16A2"/>
    <w:rsid w:val="00EA16D4"/>
    <w:rsid w:val="00EA16EB"/>
    <w:rsid w:val="00EA18F7"/>
    <w:rsid w:val="00EA1A65"/>
    <w:rsid w:val="00EA1B4A"/>
    <w:rsid w:val="00EA1BC2"/>
    <w:rsid w:val="00EA1C2E"/>
    <w:rsid w:val="00EA1EC8"/>
    <w:rsid w:val="00EA2011"/>
    <w:rsid w:val="00EA20F6"/>
    <w:rsid w:val="00EA2117"/>
    <w:rsid w:val="00EA2228"/>
    <w:rsid w:val="00EA2254"/>
    <w:rsid w:val="00EA2423"/>
    <w:rsid w:val="00EA2592"/>
    <w:rsid w:val="00EA26B0"/>
    <w:rsid w:val="00EA27DB"/>
    <w:rsid w:val="00EA2866"/>
    <w:rsid w:val="00EA2A26"/>
    <w:rsid w:val="00EA2C51"/>
    <w:rsid w:val="00EA2D46"/>
    <w:rsid w:val="00EA2ED0"/>
    <w:rsid w:val="00EA2EEF"/>
    <w:rsid w:val="00EA2F38"/>
    <w:rsid w:val="00EA3150"/>
    <w:rsid w:val="00EA32A3"/>
    <w:rsid w:val="00EA3403"/>
    <w:rsid w:val="00EA35B1"/>
    <w:rsid w:val="00EA3737"/>
    <w:rsid w:val="00EA393A"/>
    <w:rsid w:val="00EA3A5D"/>
    <w:rsid w:val="00EA3B22"/>
    <w:rsid w:val="00EA3B35"/>
    <w:rsid w:val="00EA3B89"/>
    <w:rsid w:val="00EA3BE3"/>
    <w:rsid w:val="00EA3C04"/>
    <w:rsid w:val="00EA3C52"/>
    <w:rsid w:val="00EA3D44"/>
    <w:rsid w:val="00EA4251"/>
    <w:rsid w:val="00EA437F"/>
    <w:rsid w:val="00EA43FE"/>
    <w:rsid w:val="00EA44F3"/>
    <w:rsid w:val="00EA4501"/>
    <w:rsid w:val="00EA4613"/>
    <w:rsid w:val="00EA4868"/>
    <w:rsid w:val="00EA48EA"/>
    <w:rsid w:val="00EA4B6A"/>
    <w:rsid w:val="00EA4BAE"/>
    <w:rsid w:val="00EA4BB6"/>
    <w:rsid w:val="00EA4DAC"/>
    <w:rsid w:val="00EA4E47"/>
    <w:rsid w:val="00EA4EAD"/>
    <w:rsid w:val="00EA4EE0"/>
    <w:rsid w:val="00EA518E"/>
    <w:rsid w:val="00EA51C6"/>
    <w:rsid w:val="00EA5211"/>
    <w:rsid w:val="00EA5371"/>
    <w:rsid w:val="00EA558B"/>
    <w:rsid w:val="00EA55D3"/>
    <w:rsid w:val="00EA56DF"/>
    <w:rsid w:val="00EA5966"/>
    <w:rsid w:val="00EA5CBD"/>
    <w:rsid w:val="00EA5E15"/>
    <w:rsid w:val="00EA5F7F"/>
    <w:rsid w:val="00EA604A"/>
    <w:rsid w:val="00EA60B9"/>
    <w:rsid w:val="00EA614E"/>
    <w:rsid w:val="00EA61C9"/>
    <w:rsid w:val="00EA6216"/>
    <w:rsid w:val="00EA624B"/>
    <w:rsid w:val="00EA63BA"/>
    <w:rsid w:val="00EA642B"/>
    <w:rsid w:val="00EA64CA"/>
    <w:rsid w:val="00EA65F5"/>
    <w:rsid w:val="00EA66AF"/>
    <w:rsid w:val="00EA674F"/>
    <w:rsid w:val="00EA6762"/>
    <w:rsid w:val="00EA6826"/>
    <w:rsid w:val="00EA69E9"/>
    <w:rsid w:val="00EA6A34"/>
    <w:rsid w:val="00EA6ADE"/>
    <w:rsid w:val="00EA6BA4"/>
    <w:rsid w:val="00EA6D27"/>
    <w:rsid w:val="00EA6E2D"/>
    <w:rsid w:val="00EA6EBE"/>
    <w:rsid w:val="00EA70A1"/>
    <w:rsid w:val="00EA70F5"/>
    <w:rsid w:val="00EA7146"/>
    <w:rsid w:val="00EA71B6"/>
    <w:rsid w:val="00EA71B9"/>
    <w:rsid w:val="00EA7237"/>
    <w:rsid w:val="00EA725F"/>
    <w:rsid w:val="00EA7411"/>
    <w:rsid w:val="00EA767C"/>
    <w:rsid w:val="00EA76C7"/>
    <w:rsid w:val="00EA76F0"/>
    <w:rsid w:val="00EA79F2"/>
    <w:rsid w:val="00EA7B0E"/>
    <w:rsid w:val="00EA7B29"/>
    <w:rsid w:val="00EA7B57"/>
    <w:rsid w:val="00EA7B7A"/>
    <w:rsid w:val="00EA7C5A"/>
    <w:rsid w:val="00EA7CDB"/>
    <w:rsid w:val="00EA7DAF"/>
    <w:rsid w:val="00EA7DD4"/>
    <w:rsid w:val="00EA7FBB"/>
    <w:rsid w:val="00EA7FD7"/>
    <w:rsid w:val="00EA7FF0"/>
    <w:rsid w:val="00EB0026"/>
    <w:rsid w:val="00EB003D"/>
    <w:rsid w:val="00EB0070"/>
    <w:rsid w:val="00EB00B1"/>
    <w:rsid w:val="00EB01F8"/>
    <w:rsid w:val="00EB02E1"/>
    <w:rsid w:val="00EB0506"/>
    <w:rsid w:val="00EB0567"/>
    <w:rsid w:val="00EB0935"/>
    <w:rsid w:val="00EB0A2C"/>
    <w:rsid w:val="00EB0AE7"/>
    <w:rsid w:val="00EB0B2C"/>
    <w:rsid w:val="00EB0DEF"/>
    <w:rsid w:val="00EB0F90"/>
    <w:rsid w:val="00EB0FDF"/>
    <w:rsid w:val="00EB105A"/>
    <w:rsid w:val="00EB110C"/>
    <w:rsid w:val="00EB12AD"/>
    <w:rsid w:val="00EB12D2"/>
    <w:rsid w:val="00EB1335"/>
    <w:rsid w:val="00EB15E1"/>
    <w:rsid w:val="00EB1A22"/>
    <w:rsid w:val="00EB1C79"/>
    <w:rsid w:val="00EB1C92"/>
    <w:rsid w:val="00EB1CBB"/>
    <w:rsid w:val="00EB1D20"/>
    <w:rsid w:val="00EB1D8A"/>
    <w:rsid w:val="00EB1FD3"/>
    <w:rsid w:val="00EB2189"/>
    <w:rsid w:val="00EB21C8"/>
    <w:rsid w:val="00EB223B"/>
    <w:rsid w:val="00EB22CB"/>
    <w:rsid w:val="00EB23FC"/>
    <w:rsid w:val="00EB2428"/>
    <w:rsid w:val="00EB244C"/>
    <w:rsid w:val="00EB24A6"/>
    <w:rsid w:val="00EB2517"/>
    <w:rsid w:val="00EB2587"/>
    <w:rsid w:val="00EB2685"/>
    <w:rsid w:val="00EB273C"/>
    <w:rsid w:val="00EB278C"/>
    <w:rsid w:val="00EB2A9A"/>
    <w:rsid w:val="00EB2B3D"/>
    <w:rsid w:val="00EB2BC5"/>
    <w:rsid w:val="00EB2BCD"/>
    <w:rsid w:val="00EB2BFE"/>
    <w:rsid w:val="00EB2C65"/>
    <w:rsid w:val="00EB2CDC"/>
    <w:rsid w:val="00EB2DB7"/>
    <w:rsid w:val="00EB2ED6"/>
    <w:rsid w:val="00EB2FAD"/>
    <w:rsid w:val="00EB3183"/>
    <w:rsid w:val="00EB320F"/>
    <w:rsid w:val="00EB361B"/>
    <w:rsid w:val="00EB3694"/>
    <w:rsid w:val="00EB3762"/>
    <w:rsid w:val="00EB3944"/>
    <w:rsid w:val="00EB3950"/>
    <w:rsid w:val="00EB3A18"/>
    <w:rsid w:val="00EB3AEE"/>
    <w:rsid w:val="00EB3B82"/>
    <w:rsid w:val="00EB3C68"/>
    <w:rsid w:val="00EB3C83"/>
    <w:rsid w:val="00EB3C9C"/>
    <w:rsid w:val="00EB3D9E"/>
    <w:rsid w:val="00EB3EAD"/>
    <w:rsid w:val="00EB3EDD"/>
    <w:rsid w:val="00EB3F4B"/>
    <w:rsid w:val="00EB41E7"/>
    <w:rsid w:val="00EB4395"/>
    <w:rsid w:val="00EB439E"/>
    <w:rsid w:val="00EB44F9"/>
    <w:rsid w:val="00EB45B4"/>
    <w:rsid w:val="00EB4611"/>
    <w:rsid w:val="00EB4765"/>
    <w:rsid w:val="00EB47D0"/>
    <w:rsid w:val="00EB47FA"/>
    <w:rsid w:val="00EB4803"/>
    <w:rsid w:val="00EB48BF"/>
    <w:rsid w:val="00EB49CD"/>
    <w:rsid w:val="00EB49D5"/>
    <w:rsid w:val="00EB4A34"/>
    <w:rsid w:val="00EB4A5D"/>
    <w:rsid w:val="00EB4ABF"/>
    <w:rsid w:val="00EB4C2F"/>
    <w:rsid w:val="00EB4C8C"/>
    <w:rsid w:val="00EB4CB4"/>
    <w:rsid w:val="00EB4E16"/>
    <w:rsid w:val="00EB4E20"/>
    <w:rsid w:val="00EB4EA4"/>
    <w:rsid w:val="00EB4EC0"/>
    <w:rsid w:val="00EB4EF8"/>
    <w:rsid w:val="00EB4FEE"/>
    <w:rsid w:val="00EB50A7"/>
    <w:rsid w:val="00EB519C"/>
    <w:rsid w:val="00EB51B4"/>
    <w:rsid w:val="00EB5270"/>
    <w:rsid w:val="00EB54AC"/>
    <w:rsid w:val="00EB54C1"/>
    <w:rsid w:val="00EB555F"/>
    <w:rsid w:val="00EB5749"/>
    <w:rsid w:val="00EB5793"/>
    <w:rsid w:val="00EB5860"/>
    <w:rsid w:val="00EB5970"/>
    <w:rsid w:val="00EB59BE"/>
    <w:rsid w:val="00EB5A3F"/>
    <w:rsid w:val="00EB5A45"/>
    <w:rsid w:val="00EB5A57"/>
    <w:rsid w:val="00EB5A5C"/>
    <w:rsid w:val="00EB5C04"/>
    <w:rsid w:val="00EB5C8F"/>
    <w:rsid w:val="00EB5E62"/>
    <w:rsid w:val="00EB5E9E"/>
    <w:rsid w:val="00EB5F54"/>
    <w:rsid w:val="00EB5F59"/>
    <w:rsid w:val="00EB5F95"/>
    <w:rsid w:val="00EB5FD2"/>
    <w:rsid w:val="00EB60E8"/>
    <w:rsid w:val="00EB6135"/>
    <w:rsid w:val="00EB6282"/>
    <w:rsid w:val="00EB63E3"/>
    <w:rsid w:val="00EB6582"/>
    <w:rsid w:val="00EB6693"/>
    <w:rsid w:val="00EB66C3"/>
    <w:rsid w:val="00EB6731"/>
    <w:rsid w:val="00EB674E"/>
    <w:rsid w:val="00EB68F5"/>
    <w:rsid w:val="00EB69C6"/>
    <w:rsid w:val="00EB6AFB"/>
    <w:rsid w:val="00EB6B71"/>
    <w:rsid w:val="00EB6CC1"/>
    <w:rsid w:val="00EB6E2D"/>
    <w:rsid w:val="00EB6EC7"/>
    <w:rsid w:val="00EB6EF7"/>
    <w:rsid w:val="00EB6F81"/>
    <w:rsid w:val="00EB72F8"/>
    <w:rsid w:val="00EB735D"/>
    <w:rsid w:val="00EB73D1"/>
    <w:rsid w:val="00EB7480"/>
    <w:rsid w:val="00EB74C2"/>
    <w:rsid w:val="00EB74CC"/>
    <w:rsid w:val="00EB763B"/>
    <w:rsid w:val="00EB7647"/>
    <w:rsid w:val="00EB7758"/>
    <w:rsid w:val="00EB77C2"/>
    <w:rsid w:val="00EB782B"/>
    <w:rsid w:val="00EB7871"/>
    <w:rsid w:val="00EB7884"/>
    <w:rsid w:val="00EB792C"/>
    <w:rsid w:val="00EB79E6"/>
    <w:rsid w:val="00EB7B1D"/>
    <w:rsid w:val="00EB7B50"/>
    <w:rsid w:val="00EB7BA9"/>
    <w:rsid w:val="00EB7BE9"/>
    <w:rsid w:val="00EB7C11"/>
    <w:rsid w:val="00EB7CED"/>
    <w:rsid w:val="00EB7DB6"/>
    <w:rsid w:val="00EB7DF6"/>
    <w:rsid w:val="00EB7EA1"/>
    <w:rsid w:val="00EC01BB"/>
    <w:rsid w:val="00EC02A1"/>
    <w:rsid w:val="00EC0513"/>
    <w:rsid w:val="00EC0664"/>
    <w:rsid w:val="00EC073E"/>
    <w:rsid w:val="00EC07B6"/>
    <w:rsid w:val="00EC07EB"/>
    <w:rsid w:val="00EC0A7A"/>
    <w:rsid w:val="00EC0C18"/>
    <w:rsid w:val="00EC0C22"/>
    <w:rsid w:val="00EC0C4F"/>
    <w:rsid w:val="00EC0DF8"/>
    <w:rsid w:val="00EC0E46"/>
    <w:rsid w:val="00EC10A5"/>
    <w:rsid w:val="00EC115C"/>
    <w:rsid w:val="00EC12AA"/>
    <w:rsid w:val="00EC12C4"/>
    <w:rsid w:val="00EC13AA"/>
    <w:rsid w:val="00EC13B7"/>
    <w:rsid w:val="00EC13C1"/>
    <w:rsid w:val="00EC148E"/>
    <w:rsid w:val="00EC14C8"/>
    <w:rsid w:val="00EC153D"/>
    <w:rsid w:val="00EC15F4"/>
    <w:rsid w:val="00EC161E"/>
    <w:rsid w:val="00EC162C"/>
    <w:rsid w:val="00EC1780"/>
    <w:rsid w:val="00EC17DD"/>
    <w:rsid w:val="00EC182A"/>
    <w:rsid w:val="00EC19A2"/>
    <w:rsid w:val="00EC1A6B"/>
    <w:rsid w:val="00EC1B59"/>
    <w:rsid w:val="00EC1B5F"/>
    <w:rsid w:val="00EC1D28"/>
    <w:rsid w:val="00EC1DF7"/>
    <w:rsid w:val="00EC2098"/>
    <w:rsid w:val="00EC220C"/>
    <w:rsid w:val="00EC239A"/>
    <w:rsid w:val="00EC2454"/>
    <w:rsid w:val="00EC2549"/>
    <w:rsid w:val="00EC2580"/>
    <w:rsid w:val="00EC2741"/>
    <w:rsid w:val="00EC2852"/>
    <w:rsid w:val="00EC2956"/>
    <w:rsid w:val="00EC2A2F"/>
    <w:rsid w:val="00EC2B96"/>
    <w:rsid w:val="00EC2CF1"/>
    <w:rsid w:val="00EC2E96"/>
    <w:rsid w:val="00EC2E9B"/>
    <w:rsid w:val="00EC2F8C"/>
    <w:rsid w:val="00EC2F9C"/>
    <w:rsid w:val="00EC2FAA"/>
    <w:rsid w:val="00EC2FC5"/>
    <w:rsid w:val="00EC30E6"/>
    <w:rsid w:val="00EC317F"/>
    <w:rsid w:val="00EC3199"/>
    <w:rsid w:val="00EC3249"/>
    <w:rsid w:val="00EC32F8"/>
    <w:rsid w:val="00EC332C"/>
    <w:rsid w:val="00EC338A"/>
    <w:rsid w:val="00EC3429"/>
    <w:rsid w:val="00EC389F"/>
    <w:rsid w:val="00EC3924"/>
    <w:rsid w:val="00EC39B7"/>
    <w:rsid w:val="00EC3BBA"/>
    <w:rsid w:val="00EC3CB9"/>
    <w:rsid w:val="00EC3E35"/>
    <w:rsid w:val="00EC3FEA"/>
    <w:rsid w:val="00EC4060"/>
    <w:rsid w:val="00EC416A"/>
    <w:rsid w:val="00EC4319"/>
    <w:rsid w:val="00EC431C"/>
    <w:rsid w:val="00EC43C7"/>
    <w:rsid w:val="00EC44D2"/>
    <w:rsid w:val="00EC46B9"/>
    <w:rsid w:val="00EC4718"/>
    <w:rsid w:val="00EC47A2"/>
    <w:rsid w:val="00EC47D6"/>
    <w:rsid w:val="00EC4A1E"/>
    <w:rsid w:val="00EC4AA4"/>
    <w:rsid w:val="00EC4AAE"/>
    <w:rsid w:val="00EC4B9C"/>
    <w:rsid w:val="00EC4BAF"/>
    <w:rsid w:val="00EC4BF4"/>
    <w:rsid w:val="00EC4C99"/>
    <w:rsid w:val="00EC4D10"/>
    <w:rsid w:val="00EC4D56"/>
    <w:rsid w:val="00EC4E3A"/>
    <w:rsid w:val="00EC4ED3"/>
    <w:rsid w:val="00EC4F19"/>
    <w:rsid w:val="00EC4FE1"/>
    <w:rsid w:val="00EC50A1"/>
    <w:rsid w:val="00EC5282"/>
    <w:rsid w:val="00EC5338"/>
    <w:rsid w:val="00EC5344"/>
    <w:rsid w:val="00EC5419"/>
    <w:rsid w:val="00EC5498"/>
    <w:rsid w:val="00EC5500"/>
    <w:rsid w:val="00EC55C7"/>
    <w:rsid w:val="00EC56C0"/>
    <w:rsid w:val="00EC56D8"/>
    <w:rsid w:val="00EC5873"/>
    <w:rsid w:val="00EC58EB"/>
    <w:rsid w:val="00EC5913"/>
    <w:rsid w:val="00EC591A"/>
    <w:rsid w:val="00EC59CB"/>
    <w:rsid w:val="00EC59D5"/>
    <w:rsid w:val="00EC5BD1"/>
    <w:rsid w:val="00EC5C05"/>
    <w:rsid w:val="00EC5E6A"/>
    <w:rsid w:val="00EC5E86"/>
    <w:rsid w:val="00EC5EC1"/>
    <w:rsid w:val="00EC5FE6"/>
    <w:rsid w:val="00EC5FFE"/>
    <w:rsid w:val="00EC6048"/>
    <w:rsid w:val="00EC6137"/>
    <w:rsid w:val="00EC616A"/>
    <w:rsid w:val="00EC61B9"/>
    <w:rsid w:val="00EC61FF"/>
    <w:rsid w:val="00EC6426"/>
    <w:rsid w:val="00EC653E"/>
    <w:rsid w:val="00EC66CE"/>
    <w:rsid w:val="00EC6708"/>
    <w:rsid w:val="00EC67FF"/>
    <w:rsid w:val="00EC6829"/>
    <w:rsid w:val="00EC69F2"/>
    <w:rsid w:val="00EC6ACF"/>
    <w:rsid w:val="00EC6AD9"/>
    <w:rsid w:val="00EC6AFE"/>
    <w:rsid w:val="00EC6B48"/>
    <w:rsid w:val="00EC6B6A"/>
    <w:rsid w:val="00EC6C00"/>
    <w:rsid w:val="00EC6CD4"/>
    <w:rsid w:val="00EC7356"/>
    <w:rsid w:val="00EC742A"/>
    <w:rsid w:val="00EC7611"/>
    <w:rsid w:val="00EC778D"/>
    <w:rsid w:val="00EC77A6"/>
    <w:rsid w:val="00EC78E5"/>
    <w:rsid w:val="00EC79FA"/>
    <w:rsid w:val="00EC7A22"/>
    <w:rsid w:val="00EC7AD1"/>
    <w:rsid w:val="00EC7B3C"/>
    <w:rsid w:val="00EC7B67"/>
    <w:rsid w:val="00EC7CDE"/>
    <w:rsid w:val="00EC7CE5"/>
    <w:rsid w:val="00EC7D5E"/>
    <w:rsid w:val="00EC7F78"/>
    <w:rsid w:val="00EC7FE2"/>
    <w:rsid w:val="00ECE461"/>
    <w:rsid w:val="00ED0050"/>
    <w:rsid w:val="00ED00B8"/>
    <w:rsid w:val="00ED0322"/>
    <w:rsid w:val="00ED03FC"/>
    <w:rsid w:val="00ED04AC"/>
    <w:rsid w:val="00ED0612"/>
    <w:rsid w:val="00ED087E"/>
    <w:rsid w:val="00ED0A3C"/>
    <w:rsid w:val="00ED0D06"/>
    <w:rsid w:val="00ED0D5C"/>
    <w:rsid w:val="00ED0DDF"/>
    <w:rsid w:val="00ED101B"/>
    <w:rsid w:val="00ED10BD"/>
    <w:rsid w:val="00ED1166"/>
    <w:rsid w:val="00ED1197"/>
    <w:rsid w:val="00ED12A8"/>
    <w:rsid w:val="00ED147C"/>
    <w:rsid w:val="00ED149D"/>
    <w:rsid w:val="00ED150F"/>
    <w:rsid w:val="00ED1551"/>
    <w:rsid w:val="00ED1764"/>
    <w:rsid w:val="00ED1841"/>
    <w:rsid w:val="00ED1902"/>
    <w:rsid w:val="00ED1A1E"/>
    <w:rsid w:val="00ED1CD7"/>
    <w:rsid w:val="00ED1D38"/>
    <w:rsid w:val="00ED1DAA"/>
    <w:rsid w:val="00ED2193"/>
    <w:rsid w:val="00ED21BA"/>
    <w:rsid w:val="00ED21CA"/>
    <w:rsid w:val="00ED2244"/>
    <w:rsid w:val="00ED2305"/>
    <w:rsid w:val="00ED2307"/>
    <w:rsid w:val="00ED230B"/>
    <w:rsid w:val="00ED2332"/>
    <w:rsid w:val="00ED2370"/>
    <w:rsid w:val="00ED2548"/>
    <w:rsid w:val="00ED25DC"/>
    <w:rsid w:val="00ED25E4"/>
    <w:rsid w:val="00ED264B"/>
    <w:rsid w:val="00ED2799"/>
    <w:rsid w:val="00ED27A2"/>
    <w:rsid w:val="00ED2850"/>
    <w:rsid w:val="00ED2A32"/>
    <w:rsid w:val="00ED2A60"/>
    <w:rsid w:val="00ED2AEF"/>
    <w:rsid w:val="00ED2BFF"/>
    <w:rsid w:val="00ED2C5A"/>
    <w:rsid w:val="00ED2D0D"/>
    <w:rsid w:val="00ED2D2A"/>
    <w:rsid w:val="00ED2DD3"/>
    <w:rsid w:val="00ED2DFA"/>
    <w:rsid w:val="00ED2F2D"/>
    <w:rsid w:val="00ED30DF"/>
    <w:rsid w:val="00ED324F"/>
    <w:rsid w:val="00ED33DC"/>
    <w:rsid w:val="00ED33DD"/>
    <w:rsid w:val="00ED3411"/>
    <w:rsid w:val="00ED346C"/>
    <w:rsid w:val="00ED35C8"/>
    <w:rsid w:val="00ED365F"/>
    <w:rsid w:val="00ED37F6"/>
    <w:rsid w:val="00ED3807"/>
    <w:rsid w:val="00ED381B"/>
    <w:rsid w:val="00ED3884"/>
    <w:rsid w:val="00ED39EC"/>
    <w:rsid w:val="00ED3AE5"/>
    <w:rsid w:val="00ED3C62"/>
    <w:rsid w:val="00ED3DD3"/>
    <w:rsid w:val="00ED40FB"/>
    <w:rsid w:val="00ED4119"/>
    <w:rsid w:val="00ED4179"/>
    <w:rsid w:val="00ED4194"/>
    <w:rsid w:val="00ED4277"/>
    <w:rsid w:val="00ED44B5"/>
    <w:rsid w:val="00ED4566"/>
    <w:rsid w:val="00ED4775"/>
    <w:rsid w:val="00ED482F"/>
    <w:rsid w:val="00ED48AA"/>
    <w:rsid w:val="00ED494C"/>
    <w:rsid w:val="00ED4971"/>
    <w:rsid w:val="00ED4AC5"/>
    <w:rsid w:val="00ED4B10"/>
    <w:rsid w:val="00ED4D03"/>
    <w:rsid w:val="00ED4D7F"/>
    <w:rsid w:val="00ED4D95"/>
    <w:rsid w:val="00ED4E74"/>
    <w:rsid w:val="00ED4E92"/>
    <w:rsid w:val="00ED4FE8"/>
    <w:rsid w:val="00ED521E"/>
    <w:rsid w:val="00ED5268"/>
    <w:rsid w:val="00ED52FD"/>
    <w:rsid w:val="00ED530B"/>
    <w:rsid w:val="00ED538C"/>
    <w:rsid w:val="00ED53B8"/>
    <w:rsid w:val="00ED5631"/>
    <w:rsid w:val="00ED568A"/>
    <w:rsid w:val="00ED583A"/>
    <w:rsid w:val="00ED5842"/>
    <w:rsid w:val="00ED5895"/>
    <w:rsid w:val="00ED58A9"/>
    <w:rsid w:val="00ED5957"/>
    <w:rsid w:val="00ED5C20"/>
    <w:rsid w:val="00ED5C7F"/>
    <w:rsid w:val="00ED5CD8"/>
    <w:rsid w:val="00ED5E53"/>
    <w:rsid w:val="00ED5EAB"/>
    <w:rsid w:val="00ED5EC2"/>
    <w:rsid w:val="00ED5F33"/>
    <w:rsid w:val="00ED6011"/>
    <w:rsid w:val="00ED6327"/>
    <w:rsid w:val="00ED638E"/>
    <w:rsid w:val="00ED63EE"/>
    <w:rsid w:val="00ED63F2"/>
    <w:rsid w:val="00ED677E"/>
    <w:rsid w:val="00ED6808"/>
    <w:rsid w:val="00ED68B1"/>
    <w:rsid w:val="00ED68B5"/>
    <w:rsid w:val="00ED6A02"/>
    <w:rsid w:val="00ED6AE8"/>
    <w:rsid w:val="00ED6C96"/>
    <w:rsid w:val="00ED6D69"/>
    <w:rsid w:val="00ED6FE4"/>
    <w:rsid w:val="00ED7041"/>
    <w:rsid w:val="00ED7046"/>
    <w:rsid w:val="00ED70E3"/>
    <w:rsid w:val="00ED7197"/>
    <w:rsid w:val="00ED72D9"/>
    <w:rsid w:val="00ED72EF"/>
    <w:rsid w:val="00ED7367"/>
    <w:rsid w:val="00ED73D5"/>
    <w:rsid w:val="00ED743A"/>
    <w:rsid w:val="00ED74E2"/>
    <w:rsid w:val="00ED750E"/>
    <w:rsid w:val="00ED758E"/>
    <w:rsid w:val="00ED77B7"/>
    <w:rsid w:val="00ED7892"/>
    <w:rsid w:val="00ED78FB"/>
    <w:rsid w:val="00ED7CC6"/>
    <w:rsid w:val="00ED7D68"/>
    <w:rsid w:val="00ED7D98"/>
    <w:rsid w:val="00ED7DFF"/>
    <w:rsid w:val="00ED7E52"/>
    <w:rsid w:val="00ED7F12"/>
    <w:rsid w:val="00ED7F91"/>
    <w:rsid w:val="00EE0135"/>
    <w:rsid w:val="00EE0270"/>
    <w:rsid w:val="00EE0303"/>
    <w:rsid w:val="00EE0459"/>
    <w:rsid w:val="00EE04A8"/>
    <w:rsid w:val="00EE04C3"/>
    <w:rsid w:val="00EE061A"/>
    <w:rsid w:val="00EE0713"/>
    <w:rsid w:val="00EE076E"/>
    <w:rsid w:val="00EE07C7"/>
    <w:rsid w:val="00EE0857"/>
    <w:rsid w:val="00EE099D"/>
    <w:rsid w:val="00EE0B9A"/>
    <w:rsid w:val="00EE0C87"/>
    <w:rsid w:val="00EE0CA3"/>
    <w:rsid w:val="00EE0D33"/>
    <w:rsid w:val="00EE0E0F"/>
    <w:rsid w:val="00EE0FB6"/>
    <w:rsid w:val="00EE1053"/>
    <w:rsid w:val="00EE10D3"/>
    <w:rsid w:val="00EE10D7"/>
    <w:rsid w:val="00EE13B6"/>
    <w:rsid w:val="00EE13F4"/>
    <w:rsid w:val="00EE14E4"/>
    <w:rsid w:val="00EE156E"/>
    <w:rsid w:val="00EE182C"/>
    <w:rsid w:val="00EE186C"/>
    <w:rsid w:val="00EE19B2"/>
    <w:rsid w:val="00EE1B31"/>
    <w:rsid w:val="00EE1BDB"/>
    <w:rsid w:val="00EE1BFE"/>
    <w:rsid w:val="00EE1F4B"/>
    <w:rsid w:val="00EE1FAF"/>
    <w:rsid w:val="00EE2048"/>
    <w:rsid w:val="00EE2112"/>
    <w:rsid w:val="00EE24C4"/>
    <w:rsid w:val="00EE25B9"/>
    <w:rsid w:val="00EE2793"/>
    <w:rsid w:val="00EE2794"/>
    <w:rsid w:val="00EE29C0"/>
    <w:rsid w:val="00EE2A2F"/>
    <w:rsid w:val="00EE2DCA"/>
    <w:rsid w:val="00EE2F5B"/>
    <w:rsid w:val="00EE2F66"/>
    <w:rsid w:val="00EE2F88"/>
    <w:rsid w:val="00EE3042"/>
    <w:rsid w:val="00EE3111"/>
    <w:rsid w:val="00EE3229"/>
    <w:rsid w:val="00EE32C4"/>
    <w:rsid w:val="00EE33B1"/>
    <w:rsid w:val="00EE3407"/>
    <w:rsid w:val="00EE343C"/>
    <w:rsid w:val="00EE345D"/>
    <w:rsid w:val="00EE34D1"/>
    <w:rsid w:val="00EE355F"/>
    <w:rsid w:val="00EE376A"/>
    <w:rsid w:val="00EE378F"/>
    <w:rsid w:val="00EE381C"/>
    <w:rsid w:val="00EE3995"/>
    <w:rsid w:val="00EE39C4"/>
    <w:rsid w:val="00EE3A49"/>
    <w:rsid w:val="00EE3B3E"/>
    <w:rsid w:val="00EE3BD2"/>
    <w:rsid w:val="00EE3C03"/>
    <w:rsid w:val="00EE3C15"/>
    <w:rsid w:val="00EE3D65"/>
    <w:rsid w:val="00EE3D94"/>
    <w:rsid w:val="00EE3D99"/>
    <w:rsid w:val="00EE3DD4"/>
    <w:rsid w:val="00EE3DEC"/>
    <w:rsid w:val="00EE3E10"/>
    <w:rsid w:val="00EE3FFB"/>
    <w:rsid w:val="00EE41B9"/>
    <w:rsid w:val="00EE41CB"/>
    <w:rsid w:val="00EE42DC"/>
    <w:rsid w:val="00EE442B"/>
    <w:rsid w:val="00EE4457"/>
    <w:rsid w:val="00EE44AD"/>
    <w:rsid w:val="00EE458E"/>
    <w:rsid w:val="00EE4864"/>
    <w:rsid w:val="00EE4885"/>
    <w:rsid w:val="00EE4A56"/>
    <w:rsid w:val="00EE4C35"/>
    <w:rsid w:val="00EE4CF5"/>
    <w:rsid w:val="00EE4D4F"/>
    <w:rsid w:val="00EE4D9C"/>
    <w:rsid w:val="00EE4DBF"/>
    <w:rsid w:val="00EE4E7E"/>
    <w:rsid w:val="00EE4EDE"/>
    <w:rsid w:val="00EE4F11"/>
    <w:rsid w:val="00EE50AA"/>
    <w:rsid w:val="00EE5135"/>
    <w:rsid w:val="00EE5187"/>
    <w:rsid w:val="00EE51C9"/>
    <w:rsid w:val="00EE52C5"/>
    <w:rsid w:val="00EE53D1"/>
    <w:rsid w:val="00EE553C"/>
    <w:rsid w:val="00EE56DF"/>
    <w:rsid w:val="00EE56E0"/>
    <w:rsid w:val="00EE5AB1"/>
    <w:rsid w:val="00EE5C3B"/>
    <w:rsid w:val="00EE5CB3"/>
    <w:rsid w:val="00EE5E56"/>
    <w:rsid w:val="00EE6129"/>
    <w:rsid w:val="00EE6152"/>
    <w:rsid w:val="00EE6372"/>
    <w:rsid w:val="00EE63CF"/>
    <w:rsid w:val="00EE63FA"/>
    <w:rsid w:val="00EE6479"/>
    <w:rsid w:val="00EE6530"/>
    <w:rsid w:val="00EE653F"/>
    <w:rsid w:val="00EE659E"/>
    <w:rsid w:val="00EE66B0"/>
    <w:rsid w:val="00EE66B2"/>
    <w:rsid w:val="00EE67D5"/>
    <w:rsid w:val="00EE684E"/>
    <w:rsid w:val="00EE6863"/>
    <w:rsid w:val="00EE688C"/>
    <w:rsid w:val="00EE68C0"/>
    <w:rsid w:val="00EE6913"/>
    <w:rsid w:val="00EE69DB"/>
    <w:rsid w:val="00EE6A39"/>
    <w:rsid w:val="00EE6B01"/>
    <w:rsid w:val="00EE6C01"/>
    <w:rsid w:val="00EE6C62"/>
    <w:rsid w:val="00EE6CFC"/>
    <w:rsid w:val="00EE7010"/>
    <w:rsid w:val="00EE7077"/>
    <w:rsid w:val="00EE720F"/>
    <w:rsid w:val="00EE728D"/>
    <w:rsid w:val="00EE74B9"/>
    <w:rsid w:val="00EE7523"/>
    <w:rsid w:val="00EE75BD"/>
    <w:rsid w:val="00EE7694"/>
    <w:rsid w:val="00EE78CE"/>
    <w:rsid w:val="00EE791F"/>
    <w:rsid w:val="00EE7D28"/>
    <w:rsid w:val="00EE7E9B"/>
    <w:rsid w:val="00EE7FB6"/>
    <w:rsid w:val="00EF01BF"/>
    <w:rsid w:val="00EF0208"/>
    <w:rsid w:val="00EF0209"/>
    <w:rsid w:val="00EF0270"/>
    <w:rsid w:val="00EF05B5"/>
    <w:rsid w:val="00EF062B"/>
    <w:rsid w:val="00EF063F"/>
    <w:rsid w:val="00EF071B"/>
    <w:rsid w:val="00EF0931"/>
    <w:rsid w:val="00EF0A09"/>
    <w:rsid w:val="00EF0BD3"/>
    <w:rsid w:val="00EF0D0D"/>
    <w:rsid w:val="00EF0D8E"/>
    <w:rsid w:val="00EF0DF3"/>
    <w:rsid w:val="00EF0E01"/>
    <w:rsid w:val="00EF0F0D"/>
    <w:rsid w:val="00EF102F"/>
    <w:rsid w:val="00EF10D1"/>
    <w:rsid w:val="00EF119C"/>
    <w:rsid w:val="00EF11D4"/>
    <w:rsid w:val="00EF128F"/>
    <w:rsid w:val="00EF135A"/>
    <w:rsid w:val="00EF14A5"/>
    <w:rsid w:val="00EF153B"/>
    <w:rsid w:val="00EF155D"/>
    <w:rsid w:val="00EF15CF"/>
    <w:rsid w:val="00EF160D"/>
    <w:rsid w:val="00EF165F"/>
    <w:rsid w:val="00EF170A"/>
    <w:rsid w:val="00EF17BB"/>
    <w:rsid w:val="00EF17C4"/>
    <w:rsid w:val="00EF18EA"/>
    <w:rsid w:val="00EF191D"/>
    <w:rsid w:val="00EF192D"/>
    <w:rsid w:val="00EF197C"/>
    <w:rsid w:val="00EF19BB"/>
    <w:rsid w:val="00EF1B20"/>
    <w:rsid w:val="00EF1C2D"/>
    <w:rsid w:val="00EF1C38"/>
    <w:rsid w:val="00EF1D7C"/>
    <w:rsid w:val="00EF1E1F"/>
    <w:rsid w:val="00EF1E28"/>
    <w:rsid w:val="00EF1E51"/>
    <w:rsid w:val="00EF20DE"/>
    <w:rsid w:val="00EF2132"/>
    <w:rsid w:val="00EF218D"/>
    <w:rsid w:val="00EF232A"/>
    <w:rsid w:val="00EF23D7"/>
    <w:rsid w:val="00EF23F1"/>
    <w:rsid w:val="00EF23FE"/>
    <w:rsid w:val="00EF2431"/>
    <w:rsid w:val="00EF2493"/>
    <w:rsid w:val="00EF24D1"/>
    <w:rsid w:val="00EF25E0"/>
    <w:rsid w:val="00EF267C"/>
    <w:rsid w:val="00EF283B"/>
    <w:rsid w:val="00EF28EE"/>
    <w:rsid w:val="00EF2929"/>
    <w:rsid w:val="00EF2A68"/>
    <w:rsid w:val="00EF2ACF"/>
    <w:rsid w:val="00EF2AD0"/>
    <w:rsid w:val="00EF2B78"/>
    <w:rsid w:val="00EF3015"/>
    <w:rsid w:val="00EF3150"/>
    <w:rsid w:val="00EF31F8"/>
    <w:rsid w:val="00EF32CB"/>
    <w:rsid w:val="00EF3337"/>
    <w:rsid w:val="00EF34CC"/>
    <w:rsid w:val="00EF36EE"/>
    <w:rsid w:val="00EF3757"/>
    <w:rsid w:val="00EF380D"/>
    <w:rsid w:val="00EF3934"/>
    <w:rsid w:val="00EF3991"/>
    <w:rsid w:val="00EF39DF"/>
    <w:rsid w:val="00EF3AFE"/>
    <w:rsid w:val="00EF3F65"/>
    <w:rsid w:val="00EF3FCB"/>
    <w:rsid w:val="00EF4019"/>
    <w:rsid w:val="00EF40E5"/>
    <w:rsid w:val="00EF43A5"/>
    <w:rsid w:val="00EF4442"/>
    <w:rsid w:val="00EF44B3"/>
    <w:rsid w:val="00EF44E2"/>
    <w:rsid w:val="00EF45A2"/>
    <w:rsid w:val="00EF46A3"/>
    <w:rsid w:val="00EF477C"/>
    <w:rsid w:val="00EF4902"/>
    <w:rsid w:val="00EF494B"/>
    <w:rsid w:val="00EF494F"/>
    <w:rsid w:val="00EF4997"/>
    <w:rsid w:val="00EF499E"/>
    <w:rsid w:val="00EF4A8B"/>
    <w:rsid w:val="00EF4AB2"/>
    <w:rsid w:val="00EF4BF9"/>
    <w:rsid w:val="00EF4C52"/>
    <w:rsid w:val="00EF4C7C"/>
    <w:rsid w:val="00EF4CB1"/>
    <w:rsid w:val="00EF4DDD"/>
    <w:rsid w:val="00EF4F48"/>
    <w:rsid w:val="00EF5015"/>
    <w:rsid w:val="00EF506C"/>
    <w:rsid w:val="00EF5124"/>
    <w:rsid w:val="00EF515B"/>
    <w:rsid w:val="00EF5222"/>
    <w:rsid w:val="00EF54F6"/>
    <w:rsid w:val="00EF559F"/>
    <w:rsid w:val="00EF57F9"/>
    <w:rsid w:val="00EF5911"/>
    <w:rsid w:val="00EF59B2"/>
    <w:rsid w:val="00EF5A4C"/>
    <w:rsid w:val="00EF5AA9"/>
    <w:rsid w:val="00EF5B0A"/>
    <w:rsid w:val="00EF5B27"/>
    <w:rsid w:val="00EF5BE1"/>
    <w:rsid w:val="00EF5D52"/>
    <w:rsid w:val="00EF5DD1"/>
    <w:rsid w:val="00EF5DD2"/>
    <w:rsid w:val="00EF5E3B"/>
    <w:rsid w:val="00EF5F5D"/>
    <w:rsid w:val="00EF6072"/>
    <w:rsid w:val="00EF6082"/>
    <w:rsid w:val="00EF6171"/>
    <w:rsid w:val="00EF61DB"/>
    <w:rsid w:val="00EF649F"/>
    <w:rsid w:val="00EF655A"/>
    <w:rsid w:val="00EF66F2"/>
    <w:rsid w:val="00EF6873"/>
    <w:rsid w:val="00EF68C9"/>
    <w:rsid w:val="00EF68F4"/>
    <w:rsid w:val="00EF69C6"/>
    <w:rsid w:val="00EF6A65"/>
    <w:rsid w:val="00EF6AD2"/>
    <w:rsid w:val="00EF6B78"/>
    <w:rsid w:val="00EF6E00"/>
    <w:rsid w:val="00EF6E01"/>
    <w:rsid w:val="00EF7008"/>
    <w:rsid w:val="00EF7068"/>
    <w:rsid w:val="00EF71D8"/>
    <w:rsid w:val="00EF729F"/>
    <w:rsid w:val="00EF7322"/>
    <w:rsid w:val="00EF73CA"/>
    <w:rsid w:val="00EF73DB"/>
    <w:rsid w:val="00EF757C"/>
    <w:rsid w:val="00EF75D1"/>
    <w:rsid w:val="00EF75D6"/>
    <w:rsid w:val="00EF7684"/>
    <w:rsid w:val="00EF7753"/>
    <w:rsid w:val="00EF7826"/>
    <w:rsid w:val="00EF7832"/>
    <w:rsid w:val="00EF7E90"/>
    <w:rsid w:val="00EF7ED5"/>
    <w:rsid w:val="00EF7F2C"/>
    <w:rsid w:val="00F0007B"/>
    <w:rsid w:val="00F000A6"/>
    <w:rsid w:val="00F000F8"/>
    <w:rsid w:val="00F001D3"/>
    <w:rsid w:val="00F0026D"/>
    <w:rsid w:val="00F00504"/>
    <w:rsid w:val="00F00586"/>
    <w:rsid w:val="00F0060C"/>
    <w:rsid w:val="00F006A3"/>
    <w:rsid w:val="00F006B0"/>
    <w:rsid w:val="00F006C7"/>
    <w:rsid w:val="00F0076A"/>
    <w:rsid w:val="00F00816"/>
    <w:rsid w:val="00F008C5"/>
    <w:rsid w:val="00F00988"/>
    <w:rsid w:val="00F0098B"/>
    <w:rsid w:val="00F00A28"/>
    <w:rsid w:val="00F00A58"/>
    <w:rsid w:val="00F00B1A"/>
    <w:rsid w:val="00F00CDA"/>
    <w:rsid w:val="00F00DA3"/>
    <w:rsid w:val="00F00DB2"/>
    <w:rsid w:val="00F00F1F"/>
    <w:rsid w:val="00F01197"/>
    <w:rsid w:val="00F01222"/>
    <w:rsid w:val="00F0125E"/>
    <w:rsid w:val="00F013FD"/>
    <w:rsid w:val="00F01447"/>
    <w:rsid w:val="00F01629"/>
    <w:rsid w:val="00F01938"/>
    <w:rsid w:val="00F019E4"/>
    <w:rsid w:val="00F01BE2"/>
    <w:rsid w:val="00F01C0E"/>
    <w:rsid w:val="00F01C2D"/>
    <w:rsid w:val="00F01ED3"/>
    <w:rsid w:val="00F02076"/>
    <w:rsid w:val="00F02114"/>
    <w:rsid w:val="00F02125"/>
    <w:rsid w:val="00F022AB"/>
    <w:rsid w:val="00F023D5"/>
    <w:rsid w:val="00F023E2"/>
    <w:rsid w:val="00F024DB"/>
    <w:rsid w:val="00F02599"/>
    <w:rsid w:val="00F0259B"/>
    <w:rsid w:val="00F02624"/>
    <w:rsid w:val="00F02736"/>
    <w:rsid w:val="00F028E9"/>
    <w:rsid w:val="00F02933"/>
    <w:rsid w:val="00F02947"/>
    <w:rsid w:val="00F029A9"/>
    <w:rsid w:val="00F029FF"/>
    <w:rsid w:val="00F02DDF"/>
    <w:rsid w:val="00F02F02"/>
    <w:rsid w:val="00F02F05"/>
    <w:rsid w:val="00F031BE"/>
    <w:rsid w:val="00F03560"/>
    <w:rsid w:val="00F035B3"/>
    <w:rsid w:val="00F036A3"/>
    <w:rsid w:val="00F0375E"/>
    <w:rsid w:val="00F03848"/>
    <w:rsid w:val="00F03B59"/>
    <w:rsid w:val="00F03BB7"/>
    <w:rsid w:val="00F03C0F"/>
    <w:rsid w:val="00F03D66"/>
    <w:rsid w:val="00F03E41"/>
    <w:rsid w:val="00F03EA5"/>
    <w:rsid w:val="00F03F46"/>
    <w:rsid w:val="00F03FD0"/>
    <w:rsid w:val="00F04148"/>
    <w:rsid w:val="00F041B1"/>
    <w:rsid w:val="00F0426D"/>
    <w:rsid w:val="00F04272"/>
    <w:rsid w:val="00F0430B"/>
    <w:rsid w:val="00F0431F"/>
    <w:rsid w:val="00F04399"/>
    <w:rsid w:val="00F047BB"/>
    <w:rsid w:val="00F04A35"/>
    <w:rsid w:val="00F04A59"/>
    <w:rsid w:val="00F04A64"/>
    <w:rsid w:val="00F04A7D"/>
    <w:rsid w:val="00F04DB6"/>
    <w:rsid w:val="00F04E41"/>
    <w:rsid w:val="00F04E79"/>
    <w:rsid w:val="00F04FB1"/>
    <w:rsid w:val="00F050A0"/>
    <w:rsid w:val="00F050AC"/>
    <w:rsid w:val="00F0511B"/>
    <w:rsid w:val="00F053C1"/>
    <w:rsid w:val="00F056DA"/>
    <w:rsid w:val="00F057AD"/>
    <w:rsid w:val="00F057F7"/>
    <w:rsid w:val="00F05864"/>
    <w:rsid w:val="00F05926"/>
    <w:rsid w:val="00F059CC"/>
    <w:rsid w:val="00F05A52"/>
    <w:rsid w:val="00F05B9A"/>
    <w:rsid w:val="00F05BA5"/>
    <w:rsid w:val="00F05C95"/>
    <w:rsid w:val="00F05CBF"/>
    <w:rsid w:val="00F05E31"/>
    <w:rsid w:val="00F060C0"/>
    <w:rsid w:val="00F06218"/>
    <w:rsid w:val="00F06233"/>
    <w:rsid w:val="00F062BB"/>
    <w:rsid w:val="00F06455"/>
    <w:rsid w:val="00F064F8"/>
    <w:rsid w:val="00F065C7"/>
    <w:rsid w:val="00F065DA"/>
    <w:rsid w:val="00F066DA"/>
    <w:rsid w:val="00F068C0"/>
    <w:rsid w:val="00F069E8"/>
    <w:rsid w:val="00F06A36"/>
    <w:rsid w:val="00F06A43"/>
    <w:rsid w:val="00F06A4F"/>
    <w:rsid w:val="00F06B14"/>
    <w:rsid w:val="00F06CD4"/>
    <w:rsid w:val="00F06D68"/>
    <w:rsid w:val="00F06E2F"/>
    <w:rsid w:val="00F0715C"/>
    <w:rsid w:val="00F0721C"/>
    <w:rsid w:val="00F07240"/>
    <w:rsid w:val="00F07361"/>
    <w:rsid w:val="00F075F0"/>
    <w:rsid w:val="00F0761F"/>
    <w:rsid w:val="00F0767C"/>
    <w:rsid w:val="00F0768F"/>
    <w:rsid w:val="00F07720"/>
    <w:rsid w:val="00F07736"/>
    <w:rsid w:val="00F079D0"/>
    <w:rsid w:val="00F07C09"/>
    <w:rsid w:val="00F07DA1"/>
    <w:rsid w:val="00F07EFC"/>
    <w:rsid w:val="00F07F04"/>
    <w:rsid w:val="00F1000D"/>
    <w:rsid w:val="00F1010B"/>
    <w:rsid w:val="00F101FF"/>
    <w:rsid w:val="00F102B0"/>
    <w:rsid w:val="00F105D8"/>
    <w:rsid w:val="00F10611"/>
    <w:rsid w:val="00F1078B"/>
    <w:rsid w:val="00F1088F"/>
    <w:rsid w:val="00F1094C"/>
    <w:rsid w:val="00F10D1A"/>
    <w:rsid w:val="00F1119B"/>
    <w:rsid w:val="00F11270"/>
    <w:rsid w:val="00F112B0"/>
    <w:rsid w:val="00F11563"/>
    <w:rsid w:val="00F11652"/>
    <w:rsid w:val="00F11670"/>
    <w:rsid w:val="00F11765"/>
    <w:rsid w:val="00F11812"/>
    <w:rsid w:val="00F11867"/>
    <w:rsid w:val="00F118B6"/>
    <w:rsid w:val="00F11906"/>
    <w:rsid w:val="00F1191C"/>
    <w:rsid w:val="00F11A63"/>
    <w:rsid w:val="00F11AB6"/>
    <w:rsid w:val="00F11BEE"/>
    <w:rsid w:val="00F11CAC"/>
    <w:rsid w:val="00F11E34"/>
    <w:rsid w:val="00F11EDC"/>
    <w:rsid w:val="00F11EF7"/>
    <w:rsid w:val="00F11F83"/>
    <w:rsid w:val="00F11FBA"/>
    <w:rsid w:val="00F11FCC"/>
    <w:rsid w:val="00F12098"/>
    <w:rsid w:val="00F12328"/>
    <w:rsid w:val="00F1242C"/>
    <w:rsid w:val="00F125B2"/>
    <w:rsid w:val="00F12810"/>
    <w:rsid w:val="00F128C4"/>
    <w:rsid w:val="00F12919"/>
    <w:rsid w:val="00F1295C"/>
    <w:rsid w:val="00F1299A"/>
    <w:rsid w:val="00F12D6E"/>
    <w:rsid w:val="00F12DF2"/>
    <w:rsid w:val="00F12EDD"/>
    <w:rsid w:val="00F12FA1"/>
    <w:rsid w:val="00F1311F"/>
    <w:rsid w:val="00F131CF"/>
    <w:rsid w:val="00F13278"/>
    <w:rsid w:val="00F1334B"/>
    <w:rsid w:val="00F13351"/>
    <w:rsid w:val="00F13361"/>
    <w:rsid w:val="00F13452"/>
    <w:rsid w:val="00F1362F"/>
    <w:rsid w:val="00F1369F"/>
    <w:rsid w:val="00F138FD"/>
    <w:rsid w:val="00F13981"/>
    <w:rsid w:val="00F13A0D"/>
    <w:rsid w:val="00F13C42"/>
    <w:rsid w:val="00F13C97"/>
    <w:rsid w:val="00F13CD8"/>
    <w:rsid w:val="00F13F33"/>
    <w:rsid w:val="00F13F73"/>
    <w:rsid w:val="00F14026"/>
    <w:rsid w:val="00F140A1"/>
    <w:rsid w:val="00F14385"/>
    <w:rsid w:val="00F1438F"/>
    <w:rsid w:val="00F1439E"/>
    <w:rsid w:val="00F143DC"/>
    <w:rsid w:val="00F14871"/>
    <w:rsid w:val="00F149A2"/>
    <w:rsid w:val="00F14AC8"/>
    <w:rsid w:val="00F14BD6"/>
    <w:rsid w:val="00F14D1E"/>
    <w:rsid w:val="00F14E04"/>
    <w:rsid w:val="00F14EA1"/>
    <w:rsid w:val="00F14F4E"/>
    <w:rsid w:val="00F14F6B"/>
    <w:rsid w:val="00F14F7F"/>
    <w:rsid w:val="00F151CC"/>
    <w:rsid w:val="00F152E5"/>
    <w:rsid w:val="00F1532F"/>
    <w:rsid w:val="00F1533D"/>
    <w:rsid w:val="00F153CA"/>
    <w:rsid w:val="00F15440"/>
    <w:rsid w:val="00F15486"/>
    <w:rsid w:val="00F154BB"/>
    <w:rsid w:val="00F155EC"/>
    <w:rsid w:val="00F156E9"/>
    <w:rsid w:val="00F15823"/>
    <w:rsid w:val="00F1585E"/>
    <w:rsid w:val="00F1591A"/>
    <w:rsid w:val="00F15A07"/>
    <w:rsid w:val="00F15C8B"/>
    <w:rsid w:val="00F15CB8"/>
    <w:rsid w:val="00F15E05"/>
    <w:rsid w:val="00F15E0E"/>
    <w:rsid w:val="00F15F1C"/>
    <w:rsid w:val="00F15F7E"/>
    <w:rsid w:val="00F160F3"/>
    <w:rsid w:val="00F161D9"/>
    <w:rsid w:val="00F1624A"/>
    <w:rsid w:val="00F1625E"/>
    <w:rsid w:val="00F1636F"/>
    <w:rsid w:val="00F16518"/>
    <w:rsid w:val="00F1686E"/>
    <w:rsid w:val="00F1689F"/>
    <w:rsid w:val="00F169B2"/>
    <w:rsid w:val="00F16A60"/>
    <w:rsid w:val="00F16D53"/>
    <w:rsid w:val="00F16D7A"/>
    <w:rsid w:val="00F16F04"/>
    <w:rsid w:val="00F1716B"/>
    <w:rsid w:val="00F172C1"/>
    <w:rsid w:val="00F17359"/>
    <w:rsid w:val="00F1741B"/>
    <w:rsid w:val="00F17748"/>
    <w:rsid w:val="00F177A8"/>
    <w:rsid w:val="00F177EF"/>
    <w:rsid w:val="00F1786E"/>
    <w:rsid w:val="00F1789A"/>
    <w:rsid w:val="00F179CA"/>
    <w:rsid w:val="00F17A9F"/>
    <w:rsid w:val="00F17AB5"/>
    <w:rsid w:val="00F17BA3"/>
    <w:rsid w:val="00F17BF7"/>
    <w:rsid w:val="00F17EFC"/>
    <w:rsid w:val="00F17FA7"/>
    <w:rsid w:val="00F20067"/>
    <w:rsid w:val="00F200A2"/>
    <w:rsid w:val="00F200E4"/>
    <w:rsid w:val="00F20206"/>
    <w:rsid w:val="00F2034B"/>
    <w:rsid w:val="00F205B4"/>
    <w:rsid w:val="00F20600"/>
    <w:rsid w:val="00F207A7"/>
    <w:rsid w:val="00F20B9E"/>
    <w:rsid w:val="00F20CE7"/>
    <w:rsid w:val="00F20E56"/>
    <w:rsid w:val="00F20EA8"/>
    <w:rsid w:val="00F20F66"/>
    <w:rsid w:val="00F2105A"/>
    <w:rsid w:val="00F210B6"/>
    <w:rsid w:val="00F210D8"/>
    <w:rsid w:val="00F21117"/>
    <w:rsid w:val="00F21146"/>
    <w:rsid w:val="00F21154"/>
    <w:rsid w:val="00F2131A"/>
    <w:rsid w:val="00F2142D"/>
    <w:rsid w:val="00F214FB"/>
    <w:rsid w:val="00F21689"/>
    <w:rsid w:val="00F2174A"/>
    <w:rsid w:val="00F2182C"/>
    <w:rsid w:val="00F21885"/>
    <w:rsid w:val="00F21946"/>
    <w:rsid w:val="00F2198D"/>
    <w:rsid w:val="00F21A24"/>
    <w:rsid w:val="00F21A2A"/>
    <w:rsid w:val="00F21A32"/>
    <w:rsid w:val="00F21AA4"/>
    <w:rsid w:val="00F21BEA"/>
    <w:rsid w:val="00F21C0A"/>
    <w:rsid w:val="00F21D61"/>
    <w:rsid w:val="00F21E4C"/>
    <w:rsid w:val="00F21E77"/>
    <w:rsid w:val="00F21F2D"/>
    <w:rsid w:val="00F21F7F"/>
    <w:rsid w:val="00F21FAD"/>
    <w:rsid w:val="00F2208A"/>
    <w:rsid w:val="00F2211C"/>
    <w:rsid w:val="00F2217F"/>
    <w:rsid w:val="00F22200"/>
    <w:rsid w:val="00F224E5"/>
    <w:rsid w:val="00F2263B"/>
    <w:rsid w:val="00F226E6"/>
    <w:rsid w:val="00F226E8"/>
    <w:rsid w:val="00F2296E"/>
    <w:rsid w:val="00F22AC8"/>
    <w:rsid w:val="00F22D7B"/>
    <w:rsid w:val="00F22DA1"/>
    <w:rsid w:val="00F22E48"/>
    <w:rsid w:val="00F22E50"/>
    <w:rsid w:val="00F22E58"/>
    <w:rsid w:val="00F22E64"/>
    <w:rsid w:val="00F230FE"/>
    <w:rsid w:val="00F23123"/>
    <w:rsid w:val="00F231AB"/>
    <w:rsid w:val="00F23225"/>
    <w:rsid w:val="00F2324F"/>
    <w:rsid w:val="00F232B8"/>
    <w:rsid w:val="00F233AB"/>
    <w:rsid w:val="00F2345D"/>
    <w:rsid w:val="00F2346C"/>
    <w:rsid w:val="00F23520"/>
    <w:rsid w:val="00F23551"/>
    <w:rsid w:val="00F2359A"/>
    <w:rsid w:val="00F23827"/>
    <w:rsid w:val="00F23989"/>
    <w:rsid w:val="00F23AD7"/>
    <w:rsid w:val="00F23C26"/>
    <w:rsid w:val="00F23CF9"/>
    <w:rsid w:val="00F23DB7"/>
    <w:rsid w:val="00F23DDD"/>
    <w:rsid w:val="00F23E7D"/>
    <w:rsid w:val="00F23EB6"/>
    <w:rsid w:val="00F23F3A"/>
    <w:rsid w:val="00F24077"/>
    <w:rsid w:val="00F24119"/>
    <w:rsid w:val="00F2415E"/>
    <w:rsid w:val="00F24217"/>
    <w:rsid w:val="00F242AA"/>
    <w:rsid w:val="00F2454B"/>
    <w:rsid w:val="00F24719"/>
    <w:rsid w:val="00F24772"/>
    <w:rsid w:val="00F249F0"/>
    <w:rsid w:val="00F24A5E"/>
    <w:rsid w:val="00F24ABD"/>
    <w:rsid w:val="00F24C29"/>
    <w:rsid w:val="00F24C7E"/>
    <w:rsid w:val="00F24EE4"/>
    <w:rsid w:val="00F24F1C"/>
    <w:rsid w:val="00F25094"/>
    <w:rsid w:val="00F251DD"/>
    <w:rsid w:val="00F251EC"/>
    <w:rsid w:val="00F251EE"/>
    <w:rsid w:val="00F2520C"/>
    <w:rsid w:val="00F25290"/>
    <w:rsid w:val="00F252D6"/>
    <w:rsid w:val="00F254CB"/>
    <w:rsid w:val="00F25677"/>
    <w:rsid w:val="00F256FF"/>
    <w:rsid w:val="00F257E2"/>
    <w:rsid w:val="00F2580D"/>
    <w:rsid w:val="00F25858"/>
    <w:rsid w:val="00F258E7"/>
    <w:rsid w:val="00F25AB0"/>
    <w:rsid w:val="00F25AD7"/>
    <w:rsid w:val="00F25B0B"/>
    <w:rsid w:val="00F25CD9"/>
    <w:rsid w:val="00F25CEF"/>
    <w:rsid w:val="00F25D1F"/>
    <w:rsid w:val="00F25D3F"/>
    <w:rsid w:val="00F25D87"/>
    <w:rsid w:val="00F25DDD"/>
    <w:rsid w:val="00F25E97"/>
    <w:rsid w:val="00F25F03"/>
    <w:rsid w:val="00F25F18"/>
    <w:rsid w:val="00F26034"/>
    <w:rsid w:val="00F260E1"/>
    <w:rsid w:val="00F2612B"/>
    <w:rsid w:val="00F2625E"/>
    <w:rsid w:val="00F26271"/>
    <w:rsid w:val="00F26391"/>
    <w:rsid w:val="00F26495"/>
    <w:rsid w:val="00F264F7"/>
    <w:rsid w:val="00F26818"/>
    <w:rsid w:val="00F26ADE"/>
    <w:rsid w:val="00F26BF8"/>
    <w:rsid w:val="00F26CB0"/>
    <w:rsid w:val="00F26CD1"/>
    <w:rsid w:val="00F26D6E"/>
    <w:rsid w:val="00F26DB9"/>
    <w:rsid w:val="00F26E6F"/>
    <w:rsid w:val="00F26EC1"/>
    <w:rsid w:val="00F26EE4"/>
    <w:rsid w:val="00F26FC2"/>
    <w:rsid w:val="00F2705F"/>
    <w:rsid w:val="00F27100"/>
    <w:rsid w:val="00F27153"/>
    <w:rsid w:val="00F2717E"/>
    <w:rsid w:val="00F271E5"/>
    <w:rsid w:val="00F272F1"/>
    <w:rsid w:val="00F273EC"/>
    <w:rsid w:val="00F2748D"/>
    <w:rsid w:val="00F2755E"/>
    <w:rsid w:val="00F27837"/>
    <w:rsid w:val="00F279CF"/>
    <w:rsid w:val="00F27A52"/>
    <w:rsid w:val="00F27ACE"/>
    <w:rsid w:val="00F27BD5"/>
    <w:rsid w:val="00F27C80"/>
    <w:rsid w:val="00F27D85"/>
    <w:rsid w:val="00F27F46"/>
    <w:rsid w:val="00F27FDF"/>
    <w:rsid w:val="00F30001"/>
    <w:rsid w:val="00F30098"/>
    <w:rsid w:val="00F300B1"/>
    <w:rsid w:val="00F30139"/>
    <w:rsid w:val="00F3022A"/>
    <w:rsid w:val="00F30274"/>
    <w:rsid w:val="00F303CA"/>
    <w:rsid w:val="00F30459"/>
    <w:rsid w:val="00F304A7"/>
    <w:rsid w:val="00F3053A"/>
    <w:rsid w:val="00F3075A"/>
    <w:rsid w:val="00F30769"/>
    <w:rsid w:val="00F308A3"/>
    <w:rsid w:val="00F308F1"/>
    <w:rsid w:val="00F30974"/>
    <w:rsid w:val="00F309F3"/>
    <w:rsid w:val="00F30A12"/>
    <w:rsid w:val="00F30A1E"/>
    <w:rsid w:val="00F30A7F"/>
    <w:rsid w:val="00F30AA3"/>
    <w:rsid w:val="00F30AC2"/>
    <w:rsid w:val="00F30C4A"/>
    <w:rsid w:val="00F30CA3"/>
    <w:rsid w:val="00F30D37"/>
    <w:rsid w:val="00F30EF3"/>
    <w:rsid w:val="00F3110D"/>
    <w:rsid w:val="00F311A4"/>
    <w:rsid w:val="00F314FD"/>
    <w:rsid w:val="00F315E8"/>
    <w:rsid w:val="00F3179D"/>
    <w:rsid w:val="00F31801"/>
    <w:rsid w:val="00F318A2"/>
    <w:rsid w:val="00F31916"/>
    <w:rsid w:val="00F3196D"/>
    <w:rsid w:val="00F31B19"/>
    <w:rsid w:val="00F31CC6"/>
    <w:rsid w:val="00F320B7"/>
    <w:rsid w:val="00F3227A"/>
    <w:rsid w:val="00F32302"/>
    <w:rsid w:val="00F32640"/>
    <w:rsid w:val="00F327BC"/>
    <w:rsid w:val="00F32874"/>
    <w:rsid w:val="00F328FB"/>
    <w:rsid w:val="00F32AC4"/>
    <w:rsid w:val="00F32B14"/>
    <w:rsid w:val="00F32C30"/>
    <w:rsid w:val="00F32E0A"/>
    <w:rsid w:val="00F32EA1"/>
    <w:rsid w:val="00F32FCA"/>
    <w:rsid w:val="00F3302A"/>
    <w:rsid w:val="00F33080"/>
    <w:rsid w:val="00F331D0"/>
    <w:rsid w:val="00F33216"/>
    <w:rsid w:val="00F3323A"/>
    <w:rsid w:val="00F33275"/>
    <w:rsid w:val="00F335F7"/>
    <w:rsid w:val="00F33683"/>
    <w:rsid w:val="00F336EE"/>
    <w:rsid w:val="00F3378A"/>
    <w:rsid w:val="00F3393F"/>
    <w:rsid w:val="00F33976"/>
    <w:rsid w:val="00F33C80"/>
    <w:rsid w:val="00F33ED6"/>
    <w:rsid w:val="00F34069"/>
    <w:rsid w:val="00F340DE"/>
    <w:rsid w:val="00F34179"/>
    <w:rsid w:val="00F34274"/>
    <w:rsid w:val="00F343E0"/>
    <w:rsid w:val="00F3456E"/>
    <w:rsid w:val="00F346C8"/>
    <w:rsid w:val="00F3489A"/>
    <w:rsid w:val="00F3492B"/>
    <w:rsid w:val="00F34987"/>
    <w:rsid w:val="00F34AC4"/>
    <w:rsid w:val="00F34AEF"/>
    <w:rsid w:val="00F34B65"/>
    <w:rsid w:val="00F34BAF"/>
    <w:rsid w:val="00F34C93"/>
    <w:rsid w:val="00F34DB6"/>
    <w:rsid w:val="00F34E8D"/>
    <w:rsid w:val="00F34EE4"/>
    <w:rsid w:val="00F3500C"/>
    <w:rsid w:val="00F35212"/>
    <w:rsid w:val="00F35248"/>
    <w:rsid w:val="00F3538B"/>
    <w:rsid w:val="00F353D2"/>
    <w:rsid w:val="00F35426"/>
    <w:rsid w:val="00F354C6"/>
    <w:rsid w:val="00F354D6"/>
    <w:rsid w:val="00F3568E"/>
    <w:rsid w:val="00F35793"/>
    <w:rsid w:val="00F358A0"/>
    <w:rsid w:val="00F358F1"/>
    <w:rsid w:val="00F358FD"/>
    <w:rsid w:val="00F35980"/>
    <w:rsid w:val="00F35A31"/>
    <w:rsid w:val="00F35A7B"/>
    <w:rsid w:val="00F35AE0"/>
    <w:rsid w:val="00F35D03"/>
    <w:rsid w:val="00F35D2D"/>
    <w:rsid w:val="00F35E9B"/>
    <w:rsid w:val="00F35EEE"/>
    <w:rsid w:val="00F35FA8"/>
    <w:rsid w:val="00F35FC9"/>
    <w:rsid w:val="00F360CB"/>
    <w:rsid w:val="00F36119"/>
    <w:rsid w:val="00F361C1"/>
    <w:rsid w:val="00F3623C"/>
    <w:rsid w:val="00F36273"/>
    <w:rsid w:val="00F362D9"/>
    <w:rsid w:val="00F3658B"/>
    <w:rsid w:val="00F365EA"/>
    <w:rsid w:val="00F36653"/>
    <w:rsid w:val="00F368E1"/>
    <w:rsid w:val="00F36998"/>
    <w:rsid w:val="00F369BA"/>
    <w:rsid w:val="00F36BB2"/>
    <w:rsid w:val="00F36C34"/>
    <w:rsid w:val="00F36DDE"/>
    <w:rsid w:val="00F36E30"/>
    <w:rsid w:val="00F36E8D"/>
    <w:rsid w:val="00F37034"/>
    <w:rsid w:val="00F3703E"/>
    <w:rsid w:val="00F3704C"/>
    <w:rsid w:val="00F371A5"/>
    <w:rsid w:val="00F37208"/>
    <w:rsid w:val="00F3748C"/>
    <w:rsid w:val="00F37514"/>
    <w:rsid w:val="00F3757C"/>
    <w:rsid w:val="00F375D3"/>
    <w:rsid w:val="00F3764D"/>
    <w:rsid w:val="00F376E2"/>
    <w:rsid w:val="00F378B5"/>
    <w:rsid w:val="00F37956"/>
    <w:rsid w:val="00F379C5"/>
    <w:rsid w:val="00F379D7"/>
    <w:rsid w:val="00F379FD"/>
    <w:rsid w:val="00F37A26"/>
    <w:rsid w:val="00F37A37"/>
    <w:rsid w:val="00F37C2A"/>
    <w:rsid w:val="00F37C70"/>
    <w:rsid w:val="00F37D11"/>
    <w:rsid w:val="00F37E29"/>
    <w:rsid w:val="00F37EB4"/>
    <w:rsid w:val="00F37F6A"/>
    <w:rsid w:val="00F40028"/>
    <w:rsid w:val="00F400BC"/>
    <w:rsid w:val="00F400DF"/>
    <w:rsid w:val="00F4016A"/>
    <w:rsid w:val="00F401DD"/>
    <w:rsid w:val="00F4031D"/>
    <w:rsid w:val="00F403BF"/>
    <w:rsid w:val="00F40869"/>
    <w:rsid w:val="00F40883"/>
    <w:rsid w:val="00F4091A"/>
    <w:rsid w:val="00F40AF4"/>
    <w:rsid w:val="00F40BB6"/>
    <w:rsid w:val="00F40C5F"/>
    <w:rsid w:val="00F40C87"/>
    <w:rsid w:val="00F40CB6"/>
    <w:rsid w:val="00F40D99"/>
    <w:rsid w:val="00F40DCE"/>
    <w:rsid w:val="00F40E93"/>
    <w:rsid w:val="00F40EFB"/>
    <w:rsid w:val="00F40F19"/>
    <w:rsid w:val="00F40FF9"/>
    <w:rsid w:val="00F410AE"/>
    <w:rsid w:val="00F4110C"/>
    <w:rsid w:val="00F411D3"/>
    <w:rsid w:val="00F411F7"/>
    <w:rsid w:val="00F4121A"/>
    <w:rsid w:val="00F415EA"/>
    <w:rsid w:val="00F4160E"/>
    <w:rsid w:val="00F4165F"/>
    <w:rsid w:val="00F416A5"/>
    <w:rsid w:val="00F41732"/>
    <w:rsid w:val="00F41747"/>
    <w:rsid w:val="00F41904"/>
    <w:rsid w:val="00F4193D"/>
    <w:rsid w:val="00F41A09"/>
    <w:rsid w:val="00F41B9B"/>
    <w:rsid w:val="00F41D32"/>
    <w:rsid w:val="00F41DBB"/>
    <w:rsid w:val="00F41E8D"/>
    <w:rsid w:val="00F41E94"/>
    <w:rsid w:val="00F41ED1"/>
    <w:rsid w:val="00F41EF7"/>
    <w:rsid w:val="00F41F37"/>
    <w:rsid w:val="00F4201F"/>
    <w:rsid w:val="00F42102"/>
    <w:rsid w:val="00F421EF"/>
    <w:rsid w:val="00F422AF"/>
    <w:rsid w:val="00F4238C"/>
    <w:rsid w:val="00F423D6"/>
    <w:rsid w:val="00F424FF"/>
    <w:rsid w:val="00F42522"/>
    <w:rsid w:val="00F427E4"/>
    <w:rsid w:val="00F4280D"/>
    <w:rsid w:val="00F42BBD"/>
    <w:rsid w:val="00F42C66"/>
    <w:rsid w:val="00F42E2C"/>
    <w:rsid w:val="00F42FCF"/>
    <w:rsid w:val="00F430F4"/>
    <w:rsid w:val="00F432FC"/>
    <w:rsid w:val="00F43377"/>
    <w:rsid w:val="00F433A7"/>
    <w:rsid w:val="00F433C6"/>
    <w:rsid w:val="00F43459"/>
    <w:rsid w:val="00F43477"/>
    <w:rsid w:val="00F434A2"/>
    <w:rsid w:val="00F434AD"/>
    <w:rsid w:val="00F434DB"/>
    <w:rsid w:val="00F43508"/>
    <w:rsid w:val="00F435C5"/>
    <w:rsid w:val="00F4363F"/>
    <w:rsid w:val="00F436D3"/>
    <w:rsid w:val="00F43732"/>
    <w:rsid w:val="00F4375B"/>
    <w:rsid w:val="00F438E3"/>
    <w:rsid w:val="00F43978"/>
    <w:rsid w:val="00F43A2A"/>
    <w:rsid w:val="00F43A8D"/>
    <w:rsid w:val="00F43AFC"/>
    <w:rsid w:val="00F43C24"/>
    <w:rsid w:val="00F43D19"/>
    <w:rsid w:val="00F43D83"/>
    <w:rsid w:val="00F43E4A"/>
    <w:rsid w:val="00F43E80"/>
    <w:rsid w:val="00F43F71"/>
    <w:rsid w:val="00F442D8"/>
    <w:rsid w:val="00F44307"/>
    <w:rsid w:val="00F443DB"/>
    <w:rsid w:val="00F44651"/>
    <w:rsid w:val="00F4465A"/>
    <w:rsid w:val="00F446A2"/>
    <w:rsid w:val="00F446B4"/>
    <w:rsid w:val="00F446E8"/>
    <w:rsid w:val="00F448C9"/>
    <w:rsid w:val="00F44A72"/>
    <w:rsid w:val="00F44B03"/>
    <w:rsid w:val="00F44B9D"/>
    <w:rsid w:val="00F44CC2"/>
    <w:rsid w:val="00F44D12"/>
    <w:rsid w:val="00F44D2F"/>
    <w:rsid w:val="00F44F11"/>
    <w:rsid w:val="00F44FA1"/>
    <w:rsid w:val="00F45040"/>
    <w:rsid w:val="00F450BF"/>
    <w:rsid w:val="00F45153"/>
    <w:rsid w:val="00F452BB"/>
    <w:rsid w:val="00F4531E"/>
    <w:rsid w:val="00F453B6"/>
    <w:rsid w:val="00F453BB"/>
    <w:rsid w:val="00F45435"/>
    <w:rsid w:val="00F454FD"/>
    <w:rsid w:val="00F4552D"/>
    <w:rsid w:val="00F4552F"/>
    <w:rsid w:val="00F458A9"/>
    <w:rsid w:val="00F45A78"/>
    <w:rsid w:val="00F45AE9"/>
    <w:rsid w:val="00F45BA5"/>
    <w:rsid w:val="00F45BC5"/>
    <w:rsid w:val="00F45BF8"/>
    <w:rsid w:val="00F45D1D"/>
    <w:rsid w:val="00F45DB1"/>
    <w:rsid w:val="00F45E66"/>
    <w:rsid w:val="00F45F11"/>
    <w:rsid w:val="00F45F7F"/>
    <w:rsid w:val="00F4625E"/>
    <w:rsid w:val="00F463E0"/>
    <w:rsid w:val="00F466E4"/>
    <w:rsid w:val="00F46704"/>
    <w:rsid w:val="00F46831"/>
    <w:rsid w:val="00F4686F"/>
    <w:rsid w:val="00F468A0"/>
    <w:rsid w:val="00F46AA8"/>
    <w:rsid w:val="00F46C5F"/>
    <w:rsid w:val="00F46CD5"/>
    <w:rsid w:val="00F46CEF"/>
    <w:rsid w:val="00F46D28"/>
    <w:rsid w:val="00F46D2F"/>
    <w:rsid w:val="00F46F2C"/>
    <w:rsid w:val="00F46F75"/>
    <w:rsid w:val="00F47059"/>
    <w:rsid w:val="00F471C9"/>
    <w:rsid w:val="00F4722C"/>
    <w:rsid w:val="00F4726A"/>
    <w:rsid w:val="00F47300"/>
    <w:rsid w:val="00F47348"/>
    <w:rsid w:val="00F473EA"/>
    <w:rsid w:val="00F47490"/>
    <w:rsid w:val="00F4756D"/>
    <w:rsid w:val="00F475C1"/>
    <w:rsid w:val="00F4766E"/>
    <w:rsid w:val="00F477C2"/>
    <w:rsid w:val="00F47AC1"/>
    <w:rsid w:val="00F47C8F"/>
    <w:rsid w:val="00F47D93"/>
    <w:rsid w:val="00F47DEC"/>
    <w:rsid w:val="00F47DEE"/>
    <w:rsid w:val="00F47E2B"/>
    <w:rsid w:val="00F47ED7"/>
    <w:rsid w:val="00F47EE5"/>
    <w:rsid w:val="00F50009"/>
    <w:rsid w:val="00F5005A"/>
    <w:rsid w:val="00F50129"/>
    <w:rsid w:val="00F50239"/>
    <w:rsid w:val="00F50285"/>
    <w:rsid w:val="00F503BE"/>
    <w:rsid w:val="00F505BC"/>
    <w:rsid w:val="00F506D7"/>
    <w:rsid w:val="00F506DA"/>
    <w:rsid w:val="00F506F0"/>
    <w:rsid w:val="00F50729"/>
    <w:rsid w:val="00F50790"/>
    <w:rsid w:val="00F507D1"/>
    <w:rsid w:val="00F50AD9"/>
    <w:rsid w:val="00F50C4A"/>
    <w:rsid w:val="00F50C78"/>
    <w:rsid w:val="00F50C89"/>
    <w:rsid w:val="00F50CE9"/>
    <w:rsid w:val="00F50EC4"/>
    <w:rsid w:val="00F50F26"/>
    <w:rsid w:val="00F5104E"/>
    <w:rsid w:val="00F510FE"/>
    <w:rsid w:val="00F51100"/>
    <w:rsid w:val="00F511C3"/>
    <w:rsid w:val="00F512B4"/>
    <w:rsid w:val="00F51338"/>
    <w:rsid w:val="00F51451"/>
    <w:rsid w:val="00F5155C"/>
    <w:rsid w:val="00F51692"/>
    <w:rsid w:val="00F517DB"/>
    <w:rsid w:val="00F518A0"/>
    <w:rsid w:val="00F51A18"/>
    <w:rsid w:val="00F51B18"/>
    <w:rsid w:val="00F51B4E"/>
    <w:rsid w:val="00F51B50"/>
    <w:rsid w:val="00F51C12"/>
    <w:rsid w:val="00F51C21"/>
    <w:rsid w:val="00F51C73"/>
    <w:rsid w:val="00F51C79"/>
    <w:rsid w:val="00F51D10"/>
    <w:rsid w:val="00F51D30"/>
    <w:rsid w:val="00F51EED"/>
    <w:rsid w:val="00F51F16"/>
    <w:rsid w:val="00F51F94"/>
    <w:rsid w:val="00F5210E"/>
    <w:rsid w:val="00F52166"/>
    <w:rsid w:val="00F52269"/>
    <w:rsid w:val="00F52292"/>
    <w:rsid w:val="00F522A7"/>
    <w:rsid w:val="00F5234C"/>
    <w:rsid w:val="00F52455"/>
    <w:rsid w:val="00F524C8"/>
    <w:rsid w:val="00F524F5"/>
    <w:rsid w:val="00F52536"/>
    <w:rsid w:val="00F52537"/>
    <w:rsid w:val="00F52589"/>
    <w:rsid w:val="00F525C6"/>
    <w:rsid w:val="00F5262E"/>
    <w:rsid w:val="00F526EE"/>
    <w:rsid w:val="00F527E8"/>
    <w:rsid w:val="00F5290F"/>
    <w:rsid w:val="00F52992"/>
    <w:rsid w:val="00F52A83"/>
    <w:rsid w:val="00F52C30"/>
    <w:rsid w:val="00F52C7E"/>
    <w:rsid w:val="00F52CA0"/>
    <w:rsid w:val="00F52D01"/>
    <w:rsid w:val="00F52EF9"/>
    <w:rsid w:val="00F52F87"/>
    <w:rsid w:val="00F52FAD"/>
    <w:rsid w:val="00F53002"/>
    <w:rsid w:val="00F530E3"/>
    <w:rsid w:val="00F53123"/>
    <w:rsid w:val="00F53259"/>
    <w:rsid w:val="00F532A7"/>
    <w:rsid w:val="00F53450"/>
    <w:rsid w:val="00F53452"/>
    <w:rsid w:val="00F53749"/>
    <w:rsid w:val="00F537BB"/>
    <w:rsid w:val="00F53864"/>
    <w:rsid w:val="00F5388D"/>
    <w:rsid w:val="00F539B8"/>
    <w:rsid w:val="00F53AA4"/>
    <w:rsid w:val="00F53D20"/>
    <w:rsid w:val="00F53D6B"/>
    <w:rsid w:val="00F53D7B"/>
    <w:rsid w:val="00F53F28"/>
    <w:rsid w:val="00F540A1"/>
    <w:rsid w:val="00F540AC"/>
    <w:rsid w:val="00F54170"/>
    <w:rsid w:val="00F54298"/>
    <w:rsid w:val="00F542B7"/>
    <w:rsid w:val="00F5435F"/>
    <w:rsid w:val="00F54383"/>
    <w:rsid w:val="00F543E1"/>
    <w:rsid w:val="00F54578"/>
    <w:rsid w:val="00F54585"/>
    <w:rsid w:val="00F5466A"/>
    <w:rsid w:val="00F54688"/>
    <w:rsid w:val="00F546DB"/>
    <w:rsid w:val="00F547FE"/>
    <w:rsid w:val="00F54990"/>
    <w:rsid w:val="00F549BE"/>
    <w:rsid w:val="00F54ABE"/>
    <w:rsid w:val="00F54B86"/>
    <w:rsid w:val="00F54C20"/>
    <w:rsid w:val="00F54C32"/>
    <w:rsid w:val="00F55059"/>
    <w:rsid w:val="00F5506F"/>
    <w:rsid w:val="00F55084"/>
    <w:rsid w:val="00F551C8"/>
    <w:rsid w:val="00F55328"/>
    <w:rsid w:val="00F55426"/>
    <w:rsid w:val="00F5544A"/>
    <w:rsid w:val="00F55802"/>
    <w:rsid w:val="00F55808"/>
    <w:rsid w:val="00F5580D"/>
    <w:rsid w:val="00F55816"/>
    <w:rsid w:val="00F5593A"/>
    <w:rsid w:val="00F55B74"/>
    <w:rsid w:val="00F55DD2"/>
    <w:rsid w:val="00F55DE5"/>
    <w:rsid w:val="00F55E23"/>
    <w:rsid w:val="00F55E73"/>
    <w:rsid w:val="00F560F2"/>
    <w:rsid w:val="00F5613B"/>
    <w:rsid w:val="00F5617A"/>
    <w:rsid w:val="00F562E3"/>
    <w:rsid w:val="00F563AC"/>
    <w:rsid w:val="00F564A2"/>
    <w:rsid w:val="00F564E7"/>
    <w:rsid w:val="00F565B6"/>
    <w:rsid w:val="00F565BF"/>
    <w:rsid w:val="00F56953"/>
    <w:rsid w:val="00F569AE"/>
    <w:rsid w:val="00F56C4B"/>
    <w:rsid w:val="00F56CEB"/>
    <w:rsid w:val="00F56E75"/>
    <w:rsid w:val="00F56ECF"/>
    <w:rsid w:val="00F56F19"/>
    <w:rsid w:val="00F56FA1"/>
    <w:rsid w:val="00F570DD"/>
    <w:rsid w:val="00F5717C"/>
    <w:rsid w:val="00F572A3"/>
    <w:rsid w:val="00F573AB"/>
    <w:rsid w:val="00F573ED"/>
    <w:rsid w:val="00F57719"/>
    <w:rsid w:val="00F57863"/>
    <w:rsid w:val="00F578E9"/>
    <w:rsid w:val="00F5798A"/>
    <w:rsid w:val="00F57A4B"/>
    <w:rsid w:val="00F57A80"/>
    <w:rsid w:val="00F57C67"/>
    <w:rsid w:val="00F57E2D"/>
    <w:rsid w:val="00F57E79"/>
    <w:rsid w:val="00F57F44"/>
    <w:rsid w:val="00F60026"/>
    <w:rsid w:val="00F60095"/>
    <w:rsid w:val="00F600AE"/>
    <w:rsid w:val="00F6034B"/>
    <w:rsid w:val="00F603AD"/>
    <w:rsid w:val="00F60466"/>
    <w:rsid w:val="00F60515"/>
    <w:rsid w:val="00F60557"/>
    <w:rsid w:val="00F60642"/>
    <w:rsid w:val="00F606C8"/>
    <w:rsid w:val="00F607B8"/>
    <w:rsid w:val="00F607BD"/>
    <w:rsid w:val="00F60914"/>
    <w:rsid w:val="00F6092A"/>
    <w:rsid w:val="00F609FE"/>
    <w:rsid w:val="00F60A46"/>
    <w:rsid w:val="00F60B89"/>
    <w:rsid w:val="00F60CD1"/>
    <w:rsid w:val="00F60D44"/>
    <w:rsid w:val="00F60D6E"/>
    <w:rsid w:val="00F60D90"/>
    <w:rsid w:val="00F60E22"/>
    <w:rsid w:val="00F60FC4"/>
    <w:rsid w:val="00F60FE8"/>
    <w:rsid w:val="00F6100E"/>
    <w:rsid w:val="00F61072"/>
    <w:rsid w:val="00F611D8"/>
    <w:rsid w:val="00F6120E"/>
    <w:rsid w:val="00F61265"/>
    <w:rsid w:val="00F6126B"/>
    <w:rsid w:val="00F613DB"/>
    <w:rsid w:val="00F613EE"/>
    <w:rsid w:val="00F61516"/>
    <w:rsid w:val="00F61553"/>
    <w:rsid w:val="00F616F7"/>
    <w:rsid w:val="00F616FD"/>
    <w:rsid w:val="00F61762"/>
    <w:rsid w:val="00F61793"/>
    <w:rsid w:val="00F619C4"/>
    <w:rsid w:val="00F619D7"/>
    <w:rsid w:val="00F61B4D"/>
    <w:rsid w:val="00F61B81"/>
    <w:rsid w:val="00F61D50"/>
    <w:rsid w:val="00F61DD1"/>
    <w:rsid w:val="00F61DDA"/>
    <w:rsid w:val="00F61E67"/>
    <w:rsid w:val="00F62086"/>
    <w:rsid w:val="00F620F5"/>
    <w:rsid w:val="00F62130"/>
    <w:rsid w:val="00F6224F"/>
    <w:rsid w:val="00F62267"/>
    <w:rsid w:val="00F622E4"/>
    <w:rsid w:val="00F623DE"/>
    <w:rsid w:val="00F6263D"/>
    <w:rsid w:val="00F62670"/>
    <w:rsid w:val="00F62A28"/>
    <w:rsid w:val="00F62AC9"/>
    <w:rsid w:val="00F62B0F"/>
    <w:rsid w:val="00F62CB1"/>
    <w:rsid w:val="00F62D6D"/>
    <w:rsid w:val="00F62DC5"/>
    <w:rsid w:val="00F62E39"/>
    <w:rsid w:val="00F62EDC"/>
    <w:rsid w:val="00F63110"/>
    <w:rsid w:val="00F633FD"/>
    <w:rsid w:val="00F63468"/>
    <w:rsid w:val="00F6346E"/>
    <w:rsid w:val="00F634BB"/>
    <w:rsid w:val="00F634DC"/>
    <w:rsid w:val="00F63571"/>
    <w:rsid w:val="00F63573"/>
    <w:rsid w:val="00F63708"/>
    <w:rsid w:val="00F639B8"/>
    <w:rsid w:val="00F63A93"/>
    <w:rsid w:val="00F63B7A"/>
    <w:rsid w:val="00F63B96"/>
    <w:rsid w:val="00F63BA4"/>
    <w:rsid w:val="00F63C77"/>
    <w:rsid w:val="00F63D67"/>
    <w:rsid w:val="00F63EE3"/>
    <w:rsid w:val="00F63F34"/>
    <w:rsid w:val="00F63FEE"/>
    <w:rsid w:val="00F63FEF"/>
    <w:rsid w:val="00F64365"/>
    <w:rsid w:val="00F64393"/>
    <w:rsid w:val="00F64510"/>
    <w:rsid w:val="00F64512"/>
    <w:rsid w:val="00F64AA6"/>
    <w:rsid w:val="00F64AB9"/>
    <w:rsid w:val="00F64B19"/>
    <w:rsid w:val="00F64B96"/>
    <w:rsid w:val="00F64BF3"/>
    <w:rsid w:val="00F64C1D"/>
    <w:rsid w:val="00F64C2C"/>
    <w:rsid w:val="00F64CC9"/>
    <w:rsid w:val="00F64CDB"/>
    <w:rsid w:val="00F6509B"/>
    <w:rsid w:val="00F65131"/>
    <w:rsid w:val="00F65235"/>
    <w:rsid w:val="00F65400"/>
    <w:rsid w:val="00F65421"/>
    <w:rsid w:val="00F65446"/>
    <w:rsid w:val="00F6547F"/>
    <w:rsid w:val="00F656C7"/>
    <w:rsid w:val="00F65779"/>
    <w:rsid w:val="00F65895"/>
    <w:rsid w:val="00F659F0"/>
    <w:rsid w:val="00F65CB9"/>
    <w:rsid w:val="00F65DAD"/>
    <w:rsid w:val="00F6606C"/>
    <w:rsid w:val="00F660B2"/>
    <w:rsid w:val="00F660B7"/>
    <w:rsid w:val="00F661D7"/>
    <w:rsid w:val="00F6621D"/>
    <w:rsid w:val="00F6633F"/>
    <w:rsid w:val="00F663FD"/>
    <w:rsid w:val="00F664A4"/>
    <w:rsid w:val="00F6652F"/>
    <w:rsid w:val="00F665F9"/>
    <w:rsid w:val="00F6689C"/>
    <w:rsid w:val="00F668BA"/>
    <w:rsid w:val="00F669B6"/>
    <w:rsid w:val="00F66CDA"/>
    <w:rsid w:val="00F66E0C"/>
    <w:rsid w:val="00F66E20"/>
    <w:rsid w:val="00F66E39"/>
    <w:rsid w:val="00F66E65"/>
    <w:rsid w:val="00F66FA4"/>
    <w:rsid w:val="00F67141"/>
    <w:rsid w:val="00F67192"/>
    <w:rsid w:val="00F67390"/>
    <w:rsid w:val="00F674DA"/>
    <w:rsid w:val="00F67693"/>
    <w:rsid w:val="00F67699"/>
    <w:rsid w:val="00F676A2"/>
    <w:rsid w:val="00F67844"/>
    <w:rsid w:val="00F67927"/>
    <w:rsid w:val="00F679B4"/>
    <w:rsid w:val="00F679EE"/>
    <w:rsid w:val="00F67A7E"/>
    <w:rsid w:val="00F67B16"/>
    <w:rsid w:val="00F67B35"/>
    <w:rsid w:val="00F67C72"/>
    <w:rsid w:val="00F67DC1"/>
    <w:rsid w:val="00F67FD5"/>
    <w:rsid w:val="00F7016E"/>
    <w:rsid w:val="00F7020E"/>
    <w:rsid w:val="00F702F6"/>
    <w:rsid w:val="00F70444"/>
    <w:rsid w:val="00F70454"/>
    <w:rsid w:val="00F705E6"/>
    <w:rsid w:val="00F70731"/>
    <w:rsid w:val="00F708BC"/>
    <w:rsid w:val="00F70B78"/>
    <w:rsid w:val="00F70BB0"/>
    <w:rsid w:val="00F70D9F"/>
    <w:rsid w:val="00F70DB2"/>
    <w:rsid w:val="00F70E1E"/>
    <w:rsid w:val="00F70EA2"/>
    <w:rsid w:val="00F70F8A"/>
    <w:rsid w:val="00F7105D"/>
    <w:rsid w:val="00F71068"/>
    <w:rsid w:val="00F711EF"/>
    <w:rsid w:val="00F71292"/>
    <w:rsid w:val="00F712FA"/>
    <w:rsid w:val="00F71330"/>
    <w:rsid w:val="00F71401"/>
    <w:rsid w:val="00F7146A"/>
    <w:rsid w:val="00F714D4"/>
    <w:rsid w:val="00F715DA"/>
    <w:rsid w:val="00F715E2"/>
    <w:rsid w:val="00F715F3"/>
    <w:rsid w:val="00F716AB"/>
    <w:rsid w:val="00F717AD"/>
    <w:rsid w:val="00F717CD"/>
    <w:rsid w:val="00F71A78"/>
    <w:rsid w:val="00F71AC1"/>
    <w:rsid w:val="00F71B98"/>
    <w:rsid w:val="00F71C09"/>
    <w:rsid w:val="00F71D15"/>
    <w:rsid w:val="00F71D29"/>
    <w:rsid w:val="00F71EE1"/>
    <w:rsid w:val="00F71F83"/>
    <w:rsid w:val="00F71F9F"/>
    <w:rsid w:val="00F720CE"/>
    <w:rsid w:val="00F7211F"/>
    <w:rsid w:val="00F721FB"/>
    <w:rsid w:val="00F72248"/>
    <w:rsid w:val="00F72282"/>
    <w:rsid w:val="00F72337"/>
    <w:rsid w:val="00F7240F"/>
    <w:rsid w:val="00F724F1"/>
    <w:rsid w:val="00F72583"/>
    <w:rsid w:val="00F729D4"/>
    <w:rsid w:val="00F729E1"/>
    <w:rsid w:val="00F72AA8"/>
    <w:rsid w:val="00F72C02"/>
    <w:rsid w:val="00F72D51"/>
    <w:rsid w:val="00F7313B"/>
    <w:rsid w:val="00F731D4"/>
    <w:rsid w:val="00F731F7"/>
    <w:rsid w:val="00F731FA"/>
    <w:rsid w:val="00F7332B"/>
    <w:rsid w:val="00F73431"/>
    <w:rsid w:val="00F734FE"/>
    <w:rsid w:val="00F737E5"/>
    <w:rsid w:val="00F738D9"/>
    <w:rsid w:val="00F73B83"/>
    <w:rsid w:val="00F73C1B"/>
    <w:rsid w:val="00F73C81"/>
    <w:rsid w:val="00F73DDA"/>
    <w:rsid w:val="00F73F5E"/>
    <w:rsid w:val="00F740A6"/>
    <w:rsid w:val="00F741EF"/>
    <w:rsid w:val="00F74238"/>
    <w:rsid w:val="00F74405"/>
    <w:rsid w:val="00F744A6"/>
    <w:rsid w:val="00F744D8"/>
    <w:rsid w:val="00F74611"/>
    <w:rsid w:val="00F74695"/>
    <w:rsid w:val="00F74861"/>
    <w:rsid w:val="00F748EA"/>
    <w:rsid w:val="00F74939"/>
    <w:rsid w:val="00F74A75"/>
    <w:rsid w:val="00F74B5A"/>
    <w:rsid w:val="00F74BBD"/>
    <w:rsid w:val="00F74BEA"/>
    <w:rsid w:val="00F74C54"/>
    <w:rsid w:val="00F74C72"/>
    <w:rsid w:val="00F74E82"/>
    <w:rsid w:val="00F74E88"/>
    <w:rsid w:val="00F74F97"/>
    <w:rsid w:val="00F7504B"/>
    <w:rsid w:val="00F75218"/>
    <w:rsid w:val="00F753F5"/>
    <w:rsid w:val="00F75594"/>
    <w:rsid w:val="00F755A2"/>
    <w:rsid w:val="00F75654"/>
    <w:rsid w:val="00F75697"/>
    <w:rsid w:val="00F756B8"/>
    <w:rsid w:val="00F75754"/>
    <w:rsid w:val="00F7583E"/>
    <w:rsid w:val="00F75970"/>
    <w:rsid w:val="00F759AA"/>
    <w:rsid w:val="00F75BE8"/>
    <w:rsid w:val="00F75CDC"/>
    <w:rsid w:val="00F75CEE"/>
    <w:rsid w:val="00F75DA4"/>
    <w:rsid w:val="00F75EBA"/>
    <w:rsid w:val="00F76099"/>
    <w:rsid w:val="00F76246"/>
    <w:rsid w:val="00F76532"/>
    <w:rsid w:val="00F7660A"/>
    <w:rsid w:val="00F76656"/>
    <w:rsid w:val="00F76662"/>
    <w:rsid w:val="00F76673"/>
    <w:rsid w:val="00F766D5"/>
    <w:rsid w:val="00F76824"/>
    <w:rsid w:val="00F768B8"/>
    <w:rsid w:val="00F768EC"/>
    <w:rsid w:val="00F76959"/>
    <w:rsid w:val="00F76AE0"/>
    <w:rsid w:val="00F76C9D"/>
    <w:rsid w:val="00F76CAD"/>
    <w:rsid w:val="00F76CEF"/>
    <w:rsid w:val="00F76F47"/>
    <w:rsid w:val="00F76F52"/>
    <w:rsid w:val="00F7724F"/>
    <w:rsid w:val="00F772E7"/>
    <w:rsid w:val="00F77301"/>
    <w:rsid w:val="00F776C1"/>
    <w:rsid w:val="00F77751"/>
    <w:rsid w:val="00F77929"/>
    <w:rsid w:val="00F7792C"/>
    <w:rsid w:val="00F779D6"/>
    <w:rsid w:val="00F77AA4"/>
    <w:rsid w:val="00F77B80"/>
    <w:rsid w:val="00F77CA4"/>
    <w:rsid w:val="00F77CCB"/>
    <w:rsid w:val="00F77D39"/>
    <w:rsid w:val="00F77D75"/>
    <w:rsid w:val="00F800D5"/>
    <w:rsid w:val="00F800DE"/>
    <w:rsid w:val="00F8014B"/>
    <w:rsid w:val="00F80180"/>
    <w:rsid w:val="00F802BB"/>
    <w:rsid w:val="00F8043B"/>
    <w:rsid w:val="00F8049A"/>
    <w:rsid w:val="00F804F0"/>
    <w:rsid w:val="00F8067F"/>
    <w:rsid w:val="00F80732"/>
    <w:rsid w:val="00F80752"/>
    <w:rsid w:val="00F807B4"/>
    <w:rsid w:val="00F80A71"/>
    <w:rsid w:val="00F80B60"/>
    <w:rsid w:val="00F80E73"/>
    <w:rsid w:val="00F81029"/>
    <w:rsid w:val="00F810FB"/>
    <w:rsid w:val="00F81308"/>
    <w:rsid w:val="00F813AF"/>
    <w:rsid w:val="00F81412"/>
    <w:rsid w:val="00F81466"/>
    <w:rsid w:val="00F81535"/>
    <w:rsid w:val="00F81697"/>
    <w:rsid w:val="00F816C0"/>
    <w:rsid w:val="00F818A8"/>
    <w:rsid w:val="00F818E4"/>
    <w:rsid w:val="00F81900"/>
    <w:rsid w:val="00F81964"/>
    <w:rsid w:val="00F81AB2"/>
    <w:rsid w:val="00F81B2B"/>
    <w:rsid w:val="00F81B6D"/>
    <w:rsid w:val="00F81B7B"/>
    <w:rsid w:val="00F81C2C"/>
    <w:rsid w:val="00F81CD9"/>
    <w:rsid w:val="00F81E57"/>
    <w:rsid w:val="00F82017"/>
    <w:rsid w:val="00F82020"/>
    <w:rsid w:val="00F821EB"/>
    <w:rsid w:val="00F824C5"/>
    <w:rsid w:val="00F824D8"/>
    <w:rsid w:val="00F8258E"/>
    <w:rsid w:val="00F8269A"/>
    <w:rsid w:val="00F8276F"/>
    <w:rsid w:val="00F827FE"/>
    <w:rsid w:val="00F829C8"/>
    <w:rsid w:val="00F82A47"/>
    <w:rsid w:val="00F82B22"/>
    <w:rsid w:val="00F82BD0"/>
    <w:rsid w:val="00F82C2C"/>
    <w:rsid w:val="00F82C69"/>
    <w:rsid w:val="00F82CDB"/>
    <w:rsid w:val="00F82D76"/>
    <w:rsid w:val="00F82D8D"/>
    <w:rsid w:val="00F82F46"/>
    <w:rsid w:val="00F82F5D"/>
    <w:rsid w:val="00F8322E"/>
    <w:rsid w:val="00F83294"/>
    <w:rsid w:val="00F832CB"/>
    <w:rsid w:val="00F83423"/>
    <w:rsid w:val="00F834AD"/>
    <w:rsid w:val="00F834E7"/>
    <w:rsid w:val="00F834EA"/>
    <w:rsid w:val="00F835B8"/>
    <w:rsid w:val="00F835CE"/>
    <w:rsid w:val="00F83642"/>
    <w:rsid w:val="00F83648"/>
    <w:rsid w:val="00F836B9"/>
    <w:rsid w:val="00F837F0"/>
    <w:rsid w:val="00F83818"/>
    <w:rsid w:val="00F83896"/>
    <w:rsid w:val="00F838AF"/>
    <w:rsid w:val="00F83BA2"/>
    <w:rsid w:val="00F83CC1"/>
    <w:rsid w:val="00F83EDC"/>
    <w:rsid w:val="00F840AB"/>
    <w:rsid w:val="00F840F7"/>
    <w:rsid w:val="00F84178"/>
    <w:rsid w:val="00F841C6"/>
    <w:rsid w:val="00F8444A"/>
    <w:rsid w:val="00F8450F"/>
    <w:rsid w:val="00F845C1"/>
    <w:rsid w:val="00F84AB5"/>
    <w:rsid w:val="00F84AEE"/>
    <w:rsid w:val="00F84B94"/>
    <w:rsid w:val="00F84D33"/>
    <w:rsid w:val="00F84D75"/>
    <w:rsid w:val="00F84D89"/>
    <w:rsid w:val="00F84E69"/>
    <w:rsid w:val="00F84E8E"/>
    <w:rsid w:val="00F84EF4"/>
    <w:rsid w:val="00F84F2D"/>
    <w:rsid w:val="00F85055"/>
    <w:rsid w:val="00F85115"/>
    <w:rsid w:val="00F8516A"/>
    <w:rsid w:val="00F8517E"/>
    <w:rsid w:val="00F85189"/>
    <w:rsid w:val="00F851C5"/>
    <w:rsid w:val="00F85376"/>
    <w:rsid w:val="00F8538A"/>
    <w:rsid w:val="00F853BC"/>
    <w:rsid w:val="00F853C0"/>
    <w:rsid w:val="00F853C4"/>
    <w:rsid w:val="00F85499"/>
    <w:rsid w:val="00F8549E"/>
    <w:rsid w:val="00F854C3"/>
    <w:rsid w:val="00F854FD"/>
    <w:rsid w:val="00F85544"/>
    <w:rsid w:val="00F85913"/>
    <w:rsid w:val="00F85AA2"/>
    <w:rsid w:val="00F85B03"/>
    <w:rsid w:val="00F85B0F"/>
    <w:rsid w:val="00F85C05"/>
    <w:rsid w:val="00F85C37"/>
    <w:rsid w:val="00F85E00"/>
    <w:rsid w:val="00F8641E"/>
    <w:rsid w:val="00F864DA"/>
    <w:rsid w:val="00F864E2"/>
    <w:rsid w:val="00F86761"/>
    <w:rsid w:val="00F86788"/>
    <w:rsid w:val="00F867E8"/>
    <w:rsid w:val="00F86841"/>
    <w:rsid w:val="00F868F3"/>
    <w:rsid w:val="00F869B3"/>
    <w:rsid w:val="00F86A54"/>
    <w:rsid w:val="00F86B5D"/>
    <w:rsid w:val="00F86BB3"/>
    <w:rsid w:val="00F86F0A"/>
    <w:rsid w:val="00F870A1"/>
    <w:rsid w:val="00F870D8"/>
    <w:rsid w:val="00F87115"/>
    <w:rsid w:val="00F87248"/>
    <w:rsid w:val="00F872C4"/>
    <w:rsid w:val="00F8737A"/>
    <w:rsid w:val="00F8741E"/>
    <w:rsid w:val="00F876A0"/>
    <w:rsid w:val="00F8771D"/>
    <w:rsid w:val="00F87814"/>
    <w:rsid w:val="00F878F4"/>
    <w:rsid w:val="00F8798D"/>
    <w:rsid w:val="00F87A35"/>
    <w:rsid w:val="00F87B02"/>
    <w:rsid w:val="00F87C18"/>
    <w:rsid w:val="00F87CBD"/>
    <w:rsid w:val="00F87CE6"/>
    <w:rsid w:val="00F87F45"/>
    <w:rsid w:val="00F900C2"/>
    <w:rsid w:val="00F9015A"/>
    <w:rsid w:val="00F90261"/>
    <w:rsid w:val="00F902CB"/>
    <w:rsid w:val="00F90385"/>
    <w:rsid w:val="00F904FD"/>
    <w:rsid w:val="00F9052B"/>
    <w:rsid w:val="00F9052E"/>
    <w:rsid w:val="00F9075A"/>
    <w:rsid w:val="00F90763"/>
    <w:rsid w:val="00F907E6"/>
    <w:rsid w:val="00F9081B"/>
    <w:rsid w:val="00F9086A"/>
    <w:rsid w:val="00F90930"/>
    <w:rsid w:val="00F90957"/>
    <w:rsid w:val="00F90BC3"/>
    <w:rsid w:val="00F90D41"/>
    <w:rsid w:val="00F90DF1"/>
    <w:rsid w:val="00F90E4E"/>
    <w:rsid w:val="00F90FDD"/>
    <w:rsid w:val="00F911EE"/>
    <w:rsid w:val="00F913CE"/>
    <w:rsid w:val="00F9141E"/>
    <w:rsid w:val="00F914AE"/>
    <w:rsid w:val="00F91536"/>
    <w:rsid w:val="00F9163F"/>
    <w:rsid w:val="00F917D1"/>
    <w:rsid w:val="00F917D9"/>
    <w:rsid w:val="00F91AF9"/>
    <w:rsid w:val="00F91B11"/>
    <w:rsid w:val="00F91BAF"/>
    <w:rsid w:val="00F91BB1"/>
    <w:rsid w:val="00F91C37"/>
    <w:rsid w:val="00F91D09"/>
    <w:rsid w:val="00F91D88"/>
    <w:rsid w:val="00F91E51"/>
    <w:rsid w:val="00F91F12"/>
    <w:rsid w:val="00F91F7A"/>
    <w:rsid w:val="00F91F9E"/>
    <w:rsid w:val="00F921F9"/>
    <w:rsid w:val="00F92235"/>
    <w:rsid w:val="00F92275"/>
    <w:rsid w:val="00F922EC"/>
    <w:rsid w:val="00F92359"/>
    <w:rsid w:val="00F9251C"/>
    <w:rsid w:val="00F9257B"/>
    <w:rsid w:val="00F92589"/>
    <w:rsid w:val="00F92654"/>
    <w:rsid w:val="00F926E0"/>
    <w:rsid w:val="00F9297F"/>
    <w:rsid w:val="00F92A50"/>
    <w:rsid w:val="00F92B5B"/>
    <w:rsid w:val="00F92B6A"/>
    <w:rsid w:val="00F92BBF"/>
    <w:rsid w:val="00F92C36"/>
    <w:rsid w:val="00F92C97"/>
    <w:rsid w:val="00F92D17"/>
    <w:rsid w:val="00F92D75"/>
    <w:rsid w:val="00F92FBD"/>
    <w:rsid w:val="00F930E0"/>
    <w:rsid w:val="00F93140"/>
    <w:rsid w:val="00F93274"/>
    <w:rsid w:val="00F932A8"/>
    <w:rsid w:val="00F93331"/>
    <w:rsid w:val="00F9338E"/>
    <w:rsid w:val="00F933AC"/>
    <w:rsid w:val="00F933D6"/>
    <w:rsid w:val="00F9343D"/>
    <w:rsid w:val="00F934B9"/>
    <w:rsid w:val="00F934F5"/>
    <w:rsid w:val="00F93542"/>
    <w:rsid w:val="00F9363E"/>
    <w:rsid w:val="00F93788"/>
    <w:rsid w:val="00F937A2"/>
    <w:rsid w:val="00F937A3"/>
    <w:rsid w:val="00F93813"/>
    <w:rsid w:val="00F93874"/>
    <w:rsid w:val="00F9390E"/>
    <w:rsid w:val="00F93B84"/>
    <w:rsid w:val="00F93C19"/>
    <w:rsid w:val="00F93C38"/>
    <w:rsid w:val="00F93C7F"/>
    <w:rsid w:val="00F93D10"/>
    <w:rsid w:val="00F93D70"/>
    <w:rsid w:val="00F93D7E"/>
    <w:rsid w:val="00F93DC4"/>
    <w:rsid w:val="00F93DE1"/>
    <w:rsid w:val="00F93E72"/>
    <w:rsid w:val="00F93F0A"/>
    <w:rsid w:val="00F93F38"/>
    <w:rsid w:val="00F94031"/>
    <w:rsid w:val="00F940D9"/>
    <w:rsid w:val="00F941B9"/>
    <w:rsid w:val="00F941E7"/>
    <w:rsid w:val="00F9421A"/>
    <w:rsid w:val="00F943A2"/>
    <w:rsid w:val="00F94572"/>
    <w:rsid w:val="00F946EE"/>
    <w:rsid w:val="00F94702"/>
    <w:rsid w:val="00F947AF"/>
    <w:rsid w:val="00F9480C"/>
    <w:rsid w:val="00F948EF"/>
    <w:rsid w:val="00F94A44"/>
    <w:rsid w:val="00F94A9E"/>
    <w:rsid w:val="00F94B96"/>
    <w:rsid w:val="00F94C1D"/>
    <w:rsid w:val="00F94C65"/>
    <w:rsid w:val="00F94F01"/>
    <w:rsid w:val="00F94FBC"/>
    <w:rsid w:val="00F95012"/>
    <w:rsid w:val="00F95027"/>
    <w:rsid w:val="00F952EC"/>
    <w:rsid w:val="00F95349"/>
    <w:rsid w:val="00F95838"/>
    <w:rsid w:val="00F9589E"/>
    <w:rsid w:val="00F958BC"/>
    <w:rsid w:val="00F958FF"/>
    <w:rsid w:val="00F95A09"/>
    <w:rsid w:val="00F95A14"/>
    <w:rsid w:val="00F95BF9"/>
    <w:rsid w:val="00F95CB3"/>
    <w:rsid w:val="00F95CEF"/>
    <w:rsid w:val="00F95D22"/>
    <w:rsid w:val="00F95D26"/>
    <w:rsid w:val="00F95E5A"/>
    <w:rsid w:val="00F96046"/>
    <w:rsid w:val="00F960AD"/>
    <w:rsid w:val="00F960E4"/>
    <w:rsid w:val="00F9624D"/>
    <w:rsid w:val="00F96292"/>
    <w:rsid w:val="00F962F2"/>
    <w:rsid w:val="00F9634D"/>
    <w:rsid w:val="00F9659D"/>
    <w:rsid w:val="00F9689B"/>
    <w:rsid w:val="00F96922"/>
    <w:rsid w:val="00F96927"/>
    <w:rsid w:val="00F969BD"/>
    <w:rsid w:val="00F969C1"/>
    <w:rsid w:val="00F96B85"/>
    <w:rsid w:val="00F96C4A"/>
    <w:rsid w:val="00F96EB6"/>
    <w:rsid w:val="00F97027"/>
    <w:rsid w:val="00F972F7"/>
    <w:rsid w:val="00F9737D"/>
    <w:rsid w:val="00F973A5"/>
    <w:rsid w:val="00F973E8"/>
    <w:rsid w:val="00F974BD"/>
    <w:rsid w:val="00F97825"/>
    <w:rsid w:val="00F97897"/>
    <w:rsid w:val="00F978D6"/>
    <w:rsid w:val="00F9798A"/>
    <w:rsid w:val="00F97B5A"/>
    <w:rsid w:val="00F97C8A"/>
    <w:rsid w:val="00F97F3A"/>
    <w:rsid w:val="00F97F68"/>
    <w:rsid w:val="00F97FBA"/>
    <w:rsid w:val="00F97FEB"/>
    <w:rsid w:val="00FA004B"/>
    <w:rsid w:val="00FA0119"/>
    <w:rsid w:val="00FA017F"/>
    <w:rsid w:val="00FA01F4"/>
    <w:rsid w:val="00FA0285"/>
    <w:rsid w:val="00FA0292"/>
    <w:rsid w:val="00FA02B0"/>
    <w:rsid w:val="00FA0320"/>
    <w:rsid w:val="00FA0518"/>
    <w:rsid w:val="00FA0579"/>
    <w:rsid w:val="00FA067D"/>
    <w:rsid w:val="00FA069E"/>
    <w:rsid w:val="00FA06DB"/>
    <w:rsid w:val="00FA07AE"/>
    <w:rsid w:val="00FA08EB"/>
    <w:rsid w:val="00FA0AD8"/>
    <w:rsid w:val="00FA0C3F"/>
    <w:rsid w:val="00FA0C72"/>
    <w:rsid w:val="00FA0D66"/>
    <w:rsid w:val="00FA0EC7"/>
    <w:rsid w:val="00FA0F72"/>
    <w:rsid w:val="00FA1002"/>
    <w:rsid w:val="00FA10A3"/>
    <w:rsid w:val="00FA115F"/>
    <w:rsid w:val="00FA124F"/>
    <w:rsid w:val="00FA141F"/>
    <w:rsid w:val="00FA145A"/>
    <w:rsid w:val="00FA15C9"/>
    <w:rsid w:val="00FA15F9"/>
    <w:rsid w:val="00FA1606"/>
    <w:rsid w:val="00FA1693"/>
    <w:rsid w:val="00FA16A1"/>
    <w:rsid w:val="00FA1727"/>
    <w:rsid w:val="00FA1787"/>
    <w:rsid w:val="00FA18D7"/>
    <w:rsid w:val="00FA1A16"/>
    <w:rsid w:val="00FA1A3E"/>
    <w:rsid w:val="00FA1C97"/>
    <w:rsid w:val="00FA1CAC"/>
    <w:rsid w:val="00FA1D4E"/>
    <w:rsid w:val="00FA1E38"/>
    <w:rsid w:val="00FA20DC"/>
    <w:rsid w:val="00FA2115"/>
    <w:rsid w:val="00FA21D8"/>
    <w:rsid w:val="00FA2343"/>
    <w:rsid w:val="00FA2448"/>
    <w:rsid w:val="00FA25BB"/>
    <w:rsid w:val="00FA25EA"/>
    <w:rsid w:val="00FA265F"/>
    <w:rsid w:val="00FA2703"/>
    <w:rsid w:val="00FA2755"/>
    <w:rsid w:val="00FA2790"/>
    <w:rsid w:val="00FA28B3"/>
    <w:rsid w:val="00FA28CE"/>
    <w:rsid w:val="00FA297B"/>
    <w:rsid w:val="00FA2A6C"/>
    <w:rsid w:val="00FA2A72"/>
    <w:rsid w:val="00FA2AFB"/>
    <w:rsid w:val="00FA2B04"/>
    <w:rsid w:val="00FA2C0B"/>
    <w:rsid w:val="00FA2EB1"/>
    <w:rsid w:val="00FA2EC0"/>
    <w:rsid w:val="00FA300D"/>
    <w:rsid w:val="00FA3021"/>
    <w:rsid w:val="00FA304B"/>
    <w:rsid w:val="00FA351F"/>
    <w:rsid w:val="00FA36B3"/>
    <w:rsid w:val="00FA36EF"/>
    <w:rsid w:val="00FA380B"/>
    <w:rsid w:val="00FA381D"/>
    <w:rsid w:val="00FA3829"/>
    <w:rsid w:val="00FA3884"/>
    <w:rsid w:val="00FA3968"/>
    <w:rsid w:val="00FA410D"/>
    <w:rsid w:val="00FA427C"/>
    <w:rsid w:val="00FA428B"/>
    <w:rsid w:val="00FA43C7"/>
    <w:rsid w:val="00FA43FA"/>
    <w:rsid w:val="00FA4418"/>
    <w:rsid w:val="00FA454F"/>
    <w:rsid w:val="00FA4685"/>
    <w:rsid w:val="00FA4725"/>
    <w:rsid w:val="00FA484D"/>
    <w:rsid w:val="00FA4872"/>
    <w:rsid w:val="00FA499D"/>
    <w:rsid w:val="00FA4A87"/>
    <w:rsid w:val="00FA4AEF"/>
    <w:rsid w:val="00FA4BE7"/>
    <w:rsid w:val="00FA4D5C"/>
    <w:rsid w:val="00FA4D85"/>
    <w:rsid w:val="00FA4E1F"/>
    <w:rsid w:val="00FA4E9C"/>
    <w:rsid w:val="00FA4EC0"/>
    <w:rsid w:val="00FA4EF4"/>
    <w:rsid w:val="00FA4FD0"/>
    <w:rsid w:val="00FA5012"/>
    <w:rsid w:val="00FA5033"/>
    <w:rsid w:val="00FA56E6"/>
    <w:rsid w:val="00FA5752"/>
    <w:rsid w:val="00FA59EC"/>
    <w:rsid w:val="00FA5A45"/>
    <w:rsid w:val="00FA5A4D"/>
    <w:rsid w:val="00FA5C93"/>
    <w:rsid w:val="00FA5CA8"/>
    <w:rsid w:val="00FA5E7C"/>
    <w:rsid w:val="00FA5ECE"/>
    <w:rsid w:val="00FA5F06"/>
    <w:rsid w:val="00FA5F3F"/>
    <w:rsid w:val="00FA5F51"/>
    <w:rsid w:val="00FA5FDB"/>
    <w:rsid w:val="00FA612D"/>
    <w:rsid w:val="00FA613A"/>
    <w:rsid w:val="00FA6172"/>
    <w:rsid w:val="00FA6199"/>
    <w:rsid w:val="00FA62B3"/>
    <w:rsid w:val="00FA632C"/>
    <w:rsid w:val="00FA637B"/>
    <w:rsid w:val="00FA647C"/>
    <w:rsid w:val="00FA6594"/>
    <w:rsid w:val="00FA6795"/>
    <w:rsid w:val="00FA67AB"/>
    <w:rsid w:val="00FA692C"/>
    <w:rsid w:val="00FA6965"/>
    <w:rsid w:val="00FA69C9"/>
    <w:rsid w:val="00FA6AA8"/>
    <w:rsid w:val="00FA6BB4"/>
    <w:rsid w:val="00FA6C2B"/>
    <w:rsid w:val="00FA6D31"/>
    <w:rsid w:val="00FA6E87"/>
    <w:rsid w:val="00FA6F45"/>
    <w:rsid w:val="00FA701F"/>
    <w:rsid w:val="00FA7044"/>
    <w:rsid w:val="00FA708F"/>
    <w:rsid w:val="00FA7170"/>
    <w:rsid w:val="00FA71E9"/>
    <w:rsid w:val="00FA7678"/>
    <w:rsid w:val="00FA768A"/>
    <w:rsid w:val="00FA7767"/>
    <w:rsid w:val="00FA7894"/>
    <w:rsid w:val="00FA7980"/>
    <w:rsid w:val="00FA79F8"/>
    <w:rsid w:val="00FA7B0F"/>
    <w:rsid w:val="00FA7BCB"/>
    <w:rsid w:val="00FA7CB1"/>
    <w:rsid w:val="00FB0000"/>
    <w:rsid w:val="00FB014B"/>
    <w:rsid w:val="00FB01F8"/>
    <w:rsid w:val="00FB038D"/>
    <w:rsid w:val="00FB03BD"/>
    <w:rsid w:val="00FB0A47"/>
    <w:rsid w:val="00FB0A5B"/>
    <w:rsid w:val="00FB0A6D"/>
    <w:rsid w:val="00FB0B95"/>
    <w:rsid w:val="00FB0BE8"/>
    <w:rsid w:val="00FB0C95"/>
    <w:rsid w:val="00FB0D9C"/>
    <w:rsid w:val="00FB0FDE"/>
    <w:rsid w:val="00FB1000"/>
    <w:rsid w:val="00FB1089"/>
    <w:rsid w:val="00FB109C"/>
    <w:rsid w:val="00FB10CA"/>
    <w:rsid w:val="00FB11A2"/>
    <w:rsid w:val="00FB11BC"/>
    <w:rsid w:val="00FB11D5"/>
    <w:rsid w:val="00FB1278"/>
    <w:rsid w:val="00FB1291"/>
    <w:rsid w:val="00FB12A5"/>
    <w:rsid w:val="00FB12FB"/>
    <w:rsid w:val="00FB1340"/>
    <w:rsid w:val="00FB1364"/>
    <w:rsid w:val="00FB13C5"/>
    <w:rsid w:val="00FB1503"/>
    <w:rsid w:val="00FB1565"/>
    <w:rsid w:val="00FB1581"/>
    <w:rsid w:val="00FB174F"/>
    <w:rsid w:val="00FB177D"/>
    <w:rsid w:val="00FB188C"/>
    <w:rsid w:val="00FB1906"/>
    <w:rsid w:val="00FB1A55"/>
    <w:rsid w:val="00FB1A7C"/>
    <w:rsid w:val="00FB1A96"/>
    <w:rsid w:val="00FB1B16"/>
    <w:rsid w:val="00FB1CCB"/>
    <w:rsid w:val="00FB1CD6"/>
    <w:rsid w:val="00FB1D0C"/>
    <w:rsid w:val="00FB1DFA"/>
    <w:rsid w:val="00FB1E88"/>
    <w:rsid w:val="00FB1FB0"/>
    <w:rsid w:val="00FB205A"/>
    <w:rsid w:val="00FB2096"/>
    <w:rsid w:val="00FB213B"/>
    <w:rsid w:val="00FB2359"/>
    <w:rsid w:val="00FB2427"/>
    <w:rsid w:val="00FB256B"/>
    <w:rsid w:val="00FB256C"/>
    <w:rsid w:val="00FB25AA"/>
    <w:rsid w:val="00FB276A"/>
    <w:rsid w:val="00FB28A0"/>
    <w:rsid w:val="00FB2941"/>
    <w:rsid w:val="00FB29E7"/>
    <w:rsid w:val="00FB2C86"/>
    <w:rsid w:val="00FB2CB4"/>
    <w:rsid w:val="00FB2EEE"/>
    <w:rsid w:val="00FB2F20"/>
    <w:rsid w:val="00FB31C2"/>
    <w:rsid w:val="00FB31C8"/>
    <w:rsid w:val="00FB322F"/>
    <w:rsid w:val="00FB3237"/>
    <w:rsid w:val="00FB3291"/>
    <w:rsid w:val="00FB33E1"/>
    <w:rsid w:val="00FB3495"/>
    <w:rsid w:val="00FB34FD"/>
    <w:rsid w:val="00FB362F"/>
    <w:rsid w:val="00FB37FA"/>
    <w:rsid w:val="00FB38ED"/>
    <w:rsid w:val="00FB38EF"/>
    <w:rsid w:val="00FB39CA"/>
    <w:rsid w:val="00FB3A18"/>
    <w:rsid w:val="00FB3B43"/>
    <w:rsid w:val="00FB3C0A"/>
    <w:rsid w:val="00FB3C5D"/>
    <w:rsid w:val="00FB3DDE"/>
    <w:rsid w:val="00FB3F44"/>
    <w:rsid w:val="00FB4016"/>
    <w:rsid w:val="00FB408A"/>
    <w:rsid w:val="00FB413D"/>
    <w:rsid w:val="00FB422B"/>
    <w:rsid w:val="00FB428E"/>
    <w:rsid w:val="00FB42F3"/>
    <w:rsid w:val="00FB43B7"/>
    <w:rsid w:val="00FB44AF"/>
    <w:rsid w:val="00FB4579"/>
    <w:rsid w:val="00FB4593"/>
    <w:rsid w:val="00FB46E8"/>
    <w:rsid w:val="00FB4703"/>
    <w:rsid w:val="00FB4739"/>
    <w:rsid w:val="00FB4991"/>
    <w:rsid w:val="00FB49BF"/>
    <w:rsid w:val="00FB4A26"/>
    <w:rsid w:val="00FB4A40"/>
    <w:rsid w:val="00FB4A6F"/>
    <w:rsid w:val="00FB4B18"/>
    <w:rsid w:val="00FB4B3E"/>
    <w:rsid w:val="00FB4B44"/>
    <w:rsid w:val="00FB4BDD"/>
    <w:rsid w:val="00FB4E48"/>
    <w:rsid w:val="00FB4F0A"/>
    <w:rsid w:val="00FB5216"/>
    <w:rsid w:val="00FB522F"/>
    <w:rsid w:val="00FB53CF"/>
    <w:rsid w:val="00FB53D2"/>
    <w:rsid w:val="00FB54EC"/>
    <w:rsid w:val="00FB557F"/>
    <w:rsid w:val="00FB55C8"/>
    <w:rsid w:val="00FB5664"/>
    <w:rsid w:val="00FB5864"/>
    <w:rsid w:val="00FB58B2"/>
    <w:rsid w:val="00FB594D"/>
    <w:rsid w:val="00FB5C2E"/>
    <w:rsid w:val="00FB5D88"/>
    <w:rsid w:val="00FB605D"/>
    <w:rsid w:val="00FB60D8"/>
    <w:rsid w:val="00FB623B"/>
    <w:rsid w:val="00FB6310"/>
    <w:rsid w:val="00FB653A"/>
    <w:rsid w:val="00FB6939"/>
    <w:rsid w:val="00FB6969"/>
    <w:rsid w:val="00FB6AA0"/>
    <w:rsid w:val="00FB6B26"/>
    <w:rsid w:val="00FB6D4C"/>
    <w:rsid w:val="00FB6E0D"/>
    <w:rsid w:val="00FB6EB5"/>
    <w:rsid w:val="00FB7005"/>
    <w:rsid w:val="00FB7132"/>
    <w:rsid w:val="00FB71AF"/>
    <w:rsid w:val="00FB7223"/>
    <w:rsid w:val="00FB7340"/>
    <w:rsid w:val="00FB7542"/>
    <w:rsid w:val="00FB75BB"/>
    <w:rsid w:val="00FB7614"/>
    <w:rsid w:val="00FB76CC"/>
    <w:rsid w:val="00FB7873"/>
    <w:rsid w:val="00FB7AE0"/>
    <w:rsid w:val="00FB7B3E"/>
    <w:rsid w:val="00FB7CCC"/>
    <w:rsid w:val="00FB7CFF"/>
    <w:rsid w:val="00FB7D0D"/>
    <w:rsid w:val="00FB7D2C"/>
    <w:rsid w:val="00FB7D7F"/>
    <w:rsid w:val="00FB7D8A"/>
    <w:rsid w:val="00FB7DCA"/>
    <w:rsid w:val="00FB7E83"/>
    <w:rsid w:val="00FC0043"/>
    <w:rsid w:val="00FC00F9"/>
    <w:rsid w:val="00FC013E"/>
    <w:rsid w:val="00FC013F"/>
    <w:rsid w:val="00FC015D"/>
    <w:rsid w:val="00FC01ED"/>
    <w:rsid w:val="00FC02A5"/>
    <w:rsid w:val="00FC036E"/>
    <w:rsid w:val="00FC0396"/>
    <w:rsid w:val="00FC03B3"/>
    <w:rsid w:val="00FC0426"/>
    <w:rsid w:val="00FC0465"/>
    <w:rsid w:val="00FC0754"/>
    <w:rsid w:val="00FC077B"/>
    <w:rsid w:val="00FC083E"/>
    <w:rsid w:val="00FC0A9D"/>
    <w:rsid w:val="00FC0B24"/>
    <w:rsid w:val="00FC0C91"/>
    <w:rsid w:val="00FC0DBF"/>
    <w:rsid w:val="00FC0F28"/>
    <w:rsid w:val="00FC0F6E"/>
    <w:rsid w:val="00FC1011"/>
    <w:rsid w:val="00FC1028"/>
    <w:rsid w:val="00FC10E6"/>
    <w:rsid w:val="00FC116C"/>
    <w:rsid w:val="00FC11F5"/>
    <w:rsid w:val="00FC1209"/>
    <w:rsid w:val="00FC134A"/>
    <w:rsid w:val="00FC15FB"/>
    <w:rsid w:val="00FC168C"/>
    <w:rsid w:val="00FC177A"/>
    <w:rsid w:val="00FC1B8D"/>
    <w:rsid w:val="00FC1C8C"/>
    <w:rsid w:val="00FC1D6B"/>
    <w:rsid w:val="00FC1DAF"/>
    <w:rsid w:val="00FC1ED1"/>
    <w:rsid w:val="00FC1EF8"/>
    <w:rsid w:val="00FC2014"/>
    <w:rsid w:val="00FC2133"/>
    <w:rsid w:val="00FC226E"/>
    <w:rsid w:val="00FC24C4"/>
    <w:rsid w:val="00FC260F"/>
    <w:rsid w:val="00FC2645"/>
    <w:rsid w:val="00FC2849"/>
    <w:rsid w:val="00FC2879"/>
    <w:rsid w:val="00FC2AFD"/>
    <w:rsid w:val="00FC2C7F"/>
    <w:rsid w:val="00FC2DA6"/>
    <w:rsid w:val="00FC2DAB"/>
    <w:rsid w:val="00FC2E58"/>
    <w:rsid w:val="00FC3083"/>
    <w:rsid w:val="00FC3368"/>
    <w:rsid w:val="00FC3407"/>
    <w:rsid w:val="00FC3728"/>
    <w:rsid w:val="00FC3869"/>
    <w:rsid w:val="00FC3913"/>
    <w:rsid w:val="00FC3A40"/>
    <w:rsid w:val="00FC3A63"/>
    <w:rsid w:val="00FC3AD3"/>
    <w:rsid w:val="00FC3AED"/>
    <w:rsid w:val="00FC3CE1"/>
    <w:rsid w:val="00FC3D6C"/>
    <w:rsid w:val="00FC3FA0"/>
    <w:rsid w:val="00FC4045"/>
    <w:rsid w:val="00FC4385"/>
    <w:rsid w:val="00FC43F2"/>
    <w:rsid w:val="00FC4567"/>
    <w:rsid w:val="00FC4610"/>
    <w:rsid w:val="00FC4642"/>
    <w:rsid w:val="00FC46F6"/>
    <w:rsid w:val="00FC48D7"/>
    <w:rsid w:val="00FC4969"/>
    <w:rsid w:val="00FC4BA9"/>
    <w:rsid w:val="00FC4BF7"/>
    <w:rsid w:val="00FC4D9F"/>
    <w:rsid w:val="00FC4DB7"/>
    <w:rsid w:val="00FC4F21"/>
    <w:rsid w:val="00FC4F52"/>
    <w:rsid w:val="00FC5027"/>
    <w:rsid w:val="00FC516F"/>
    <w:rsid w:val="00FC5200"/>
    <w:rsid w:val="00FC52FE"/>
    <w:rsid w:val="00FC55BC"/>
    <w:rsid w:val="00FC57BF"/>
    <w:rsid w:val="00FC5813"/>
    <w:rsid w:val="00FC5BD2"/>
    <w:rsid w:val="00FC5C95"/>
    <w:rsid w:val="00FC5CD3"/>
    <w:rsid w:val="00FC5D01"/>
    <w:rsid w:val="00FC5D0B"/>
    <w:rsid w:val="00FC5E29"/>
    <w:rsid w:val="00FC5E64"/>
    <w:rsid w:val="00FC6034"/>
    <w:rsid w:val="00FC6073"/>
    <w:rsid w:val="00FC62A2"/>
    <w:rsid w:val="00FC62AB"/>
    <w:rsid w:val="00FC632E"/>
    <w:rsid w:val="00FC6355"/>
    <w:rsid w:val="00FC6451"/>
    <w:rsid w:val="00FC647A"/>
    <w:rsid w:val="00FC65B3"/>
    <w:rsid w:val="00FC65FD"/>
    <w:rsid w:val="00FC6692"/>
    <w:rsid w:val="00FC66E8"/>
    <w:rsid w:val="00FC67B7"/>
    <w:rsid w:val="00FC6937"/>
    <w:rsid w:val="00FC69A1"/>
    <w:rsid w:val="00FC69BF"/>
    <w:rsid w:val="00FC6A00"/>
    <w:rsid w:val="00FC6BC3"/>
    <w:rsid w:val="00FC6C12"/>
    <w:rsid w:val="00FC6F84"/>
    <w:rsid w:val="00FC6FB8"/>
    <w:rsid w:val="00FC7141"/>
    <w:rsid w:val="00FC7221"/>
    <w:rsid w:val="00FC737B"/>
    <w:rsid w:val="00FC73DF"/>
    <w:rsid w:val="00FC7531"/>
    <w:rsid w:val="00FC767A"/>
    <w:rsid w:val="00FC77ED"/>
    <w:rsid w:val="00FC7822"/>
    <w:rsid w:val="00FC7837"/>
    <w:rsid w:val="00FC7868"/>
    <w:rsid w:val="00FC786E"/>
    <w:rsid w:val="00FC78F9"/>
    <w:rsid w:val="00FC7BFD"/>
    <w:rsid w:val="00FC7CA8"/>
    <w:rsid w:val="00FC7CBD"/>
    <w:rsid w:val="00FC7E46"/>
    <w:rsid w:val="00FC7FC5"/>
    <w:rsid w:val="00FD0168"/>
    <w:rsid w:val="00FD0183"/>
    <w:rsid w:val="00FD0212"/>
    <w:rsid w:val="00FD024A"/>
    <w:rsid w:val="00FD03F4"/>
    <w:rsid w:val="00FD04F2"/>
    <w:rsid w:val="00FD0509"/>
    <w:rsid w:val="00FD0550"/>
    <w:rsid w:val="00FD05BD"/>
    <w:rsid w:val="00FD0619"/>
    <w:rsid w:val="00FD085E"/>
    <w:rsid w:val="00FD08D3"/>
    <w:rsid w:val="00FD08E9"/>
    <w:rsid w:val="00FD0B06"/>
    <w:rsid w:val="00FD0B2C"/>
    <w:rsid w:val="00FD0D59"/>
    <w:rsid w:val="00FD0DF1"/>
    <w:rsid w:val="00FD0FE2"/>
    <w:rsid w:val="00FD102E"/>
    <w:rsid w:val="00FD1177"/>
    <w:rsid w:val="00FD121D"/>
    <w:rsid w:val="00FD1258"/>
    <w:rsid w:val="00FD1523"/>
    <w:rsid w:val="00FD154E"/>
    <w:rsid w:val="00FD17B3"/>
    <w:rsid w:val="00FD17CA"/>
    <w:rsid w:val="00FD1932"/>
    <w:rsid w:val="00FD19B2"/>
    <w:rsid w:val="00FD1AF1"/>
    <w:rsid w:val="00FD1AFE"/>
    <w:rsid w:val="00FD1BC0"/>
    <w:rsid w:val="00FD1CB1"/>
    <w:rsid w:val="00FD1D17"/>
    <w:rsid w:val="00FD1D29"/>
    <w:rsid w:val="00FD1E29"/>
    <w:rsid w:val="00FD203C"/>
    <w:rsid w:val="00FD204B"/>
    <w:rsid w:val="00FD21A2"/>
    <w:rsid w:val="00FD21EA"/>
    <w:rsid w:val="00FD2348"/>
    <w:rsid w:val="00FD2382"/>
    <w:rsid w:val="00FD246E"/>
    <w:rsid w:val="00FD2612"/>
    <w:rsid w:val="00FD269F"/>
    <w:rsid w:val="00FD2888"/>
    <w:rsid w:val="00FD2921"/>
    <w:rsid w:val="00FD29C8"/>
    <w:rsid w:val="00FD2AA6"/>
    <w:rsid w:val="00FD2B51"/>
    <w:rsid w:val="00FD2B70"/>
    <w:rsid w:val="00FD2B7A"/>
    <w:rsid w:val="00FD2BFE"/>
    <w:rsid w:val="00FD2D79"/>
    <w:rsid w:val="00FD2E1F"/>
    <w:rsid w:val="00FD2E40"/>
    <w:rsid w:val="00FD2E86"/>
    <w:rsid w:val="00FD2F04"/>
    <w:rsid w:val="00FD2F3C"/>
    <w:rsid w:val="00FD2FBD"/>
    <w:rsid w:val="00FD2FDE"/>
    <w:rsid w:val="00FD3176"/>
    <w:rsid w:val="00FD331C"/>
    <w:rsid w:val="00FD3364"/>
    <w:rsid w:val="00FD38B1"/>
    <w:rsid w:val="00FD38FB"/>
    <w:rsid w:val="00FD394C"/>
    <w:rsid w:val="00FD39B8"/>
    <w:rsid w:val="00FD39D3"/>
    <w:rsid w:val="00FD3A1E"/>
    <w:rsid w:val="00FD3A22"/>
    <w:rsid w:val="00FD3CEC"/>
    <w:rsid w:val="00FD3D30"/>
    <w:rsid w:val="00FD3D63"/>
    <w:rsid w:val="00FD3E93"/>
    <w:rsid w:val="00FD3EE9"/>
    <w:rsid w:val="00FD3F6A"/>
    <w:rsid w:val="00FD40E0"/>
    <w:rsid w:val="00FD40ED"/>
    <w:rsid w:val="00FD4181"/>
    <w:rsid w:val="00FD431E"/>
    <w:rsid w:val="00FD436C"/>
    <w:rsid w:val="00FD4483"/>
    <w:rsid w:val="00FD457B"/>
    <w:rsid w:val="00FD46CC"/>
    <w:rsid w:val="00FD473F"/>
    <w:rsid w:val="00FD48CA"/>
    <w:rsid w:val="00FD4A7A"/>
    <w:rsid w:val="00FD4D11"/>
    <w:rsid w:val="00FD4D21"/>
    <w:rsid w:val="00FD4D6E"/>
    <w:rsid w:val="00FD4EA5"/>
    <w:rsid w:val="00FD4EA7"/>
    <w:rsid w:val="00FD4EEE"/>
    <w:rsid w:val="00FD4F38"/>
    <w:rsid w:val="00FD5204"/>
    <w:rsid w:val="00FD52A6"/>
    <w:rsid w:val="00FD5361"/>
    <w:rsid w:val="00FD548F"/>
    <w:rsid w:val="00FD57C8"/>
    <w:rsid w:val="00FD57C9"/>
    <w:rsid w:val="00FD5860"/>
    <w:rsid w:val="00FD5938"/>
    <w:rsid w:val="00FD5C09"/>
    <w:rsid w:val="00FD5CEB"/>
    <w:rsid w:val="00FD5D80"/>
    <w:rsid w:val="00FD5D88"/>
    <w:rsid w:val="00FD5E91"/>
    <w:rsid w:val="00FD5FEC"/>
    <w:rsid w:val="00FD6022"/>
    <w:rsid w:val="00FD613C"/>
    <w:rsid w:val="00FD61E5"/>
    <w:rsid w:val="00FD63E3"/>
    <w:rsid w:val="00FD656A"/>
    <w:rsid w:val="00FD65FE"/>
    <w:rsid w:val="00FD66DC"/>
    <w:rsid w:val="00FD6801"/>
    <w:rsid w:val="00FD69D8"/>
    <w:rsid w:val="00FD6B05"/>
    <w:rsid w:val="00FD6B1A"/>
    <w:rsid w:val="00FD6BC7"/>
    <w:rsid w:val="00FD6C8C"/>
    <w:rsid w:val="00FD6F68"/>
    <w:rsid w:val="00FD6F8B"/>
    <w:rsid w:val="00FD7038"/>
    <w:rsid w:val="00FD7042"/>
    <w:rsid w:val="00FD7173"/>
    <w:rsid w:val="00FD71C4"/>
    <w:rsid w:val="00FD74F2"/>
    <w:rsid w:val="00FD75C7"/>
    <w:rsid w:val="00FD76C0"/>
    <w:rsid w:val="00FD7738"/>
    <w:rsid w:val="00FD774A"/>
    <w:rsid w:val="00FD77AA"/>
    <w:rsid w:val="00FD77CD"/>
    <w:rsid w:val="00FD79F3"/>
    <w:rsid w:val="00FD7A1E"/>
    <w:rsid w:val="00FD7A90"/>
    <w:rsid w:val="00FD7B3B"/>
    <w:rsid w:val="00FD7BFB"/>
    <w:rsid w:val="00FD7C71"/>
    <w:rsid w:val="00FD7D26"/>
    <w:rsid w:val="00FD7D36"/>
    <w:rsid w:val="00FD7D47"/>
    <w:rsid w:val="00FD7E66"/>
    <w:rsid w:val="00FE013A"/>
    <w:rsid w:val="00FE0272"/>
    <w:rsid w:val="00FE02B3"/>
    <w:rsid w:val="00FE047E"/>
    <w:rsid w:val="00FE0B80"/>
    <w:rsid w:val="00FE0D2A"/>
    <w:rsid w:val="00FE0DD4"/>
    <w:rsid w:val="00FE0EFD"/>
    <w:rsid w:val="00FE0F11"/>
    <w:rsid w:val="00FE0F88"/>
    <w:rsid w:val="00FE10C1"/>
    <w:rsid w:val="00FE11C2"/>
    <w:rsid w:val="00FE13B2"/>
    <w:rsid w:val="00FE16EE"/>
    <w:rsid w:val="00FE17FF"/>
    <w:rsid w:val="00FE1939"/>
    <w:rsid w:val="00FE1AE0"/>
    <w:rsid w:val="00FE1B5D"/>
    <w:rsid w:val="00FE1E6E"/>
    <w:rsid w:val="00FE1ECB"/>
    <w:rsid w:val="00FE20E9"/>
    <w:rsid w:val="00FE21BC"/>
    <w:rsid w:val="00FE21D6"/>
    <w:rsid w:val="00FE21E1"/>
    <w:rsid w:val="00FE2361"/>
    <w:rsid w:val="00FE2373"/>
    <w:rsid w:val="00FE2429"/>
    <w:rsid w:val="00FE2463"/>
    <w:rsid w:val="00FE25A4"/>
    <w:rsid w:val="00FE2788"/>
    <w:rsid w:val="00FE2897"/>
    <w:rsid w:val="00FE2928"/>
    <w:rsid w:val="00FE2B6B"/>
    <w:rsid w:val="00FE2C9C"/>
    <w:rsid w:val="00FE2F3F"/>
    <w:rsid w:val="00FE30D4"/>
    <w:rsid w:val="00FE3103"/>
    <w:rsid w:val="00FE3112"/>
    <w:rsid w:val="00FE3130"/>
    <w:rsid w:val="00FE3205"/>
    <w:rsid w:val="00FE324F"/>
    <w:rsid w:val="00FE328B"/>
    <w:rsid w:val="00FE3466"/>
    <w:rsid w:val="00FE35B0"/>
    <w:rsid w:val="00FE364F"/>
    <w:rsid w:val="00FE3653"/>
    <w:rsid w:val="00FE37E7"/>
    <w:rsid w:val="00FE3836"/>
    <w:rsid w:val="00FE385B"/>
    <w:rsid w:val="00FE3861"/>
    <w:rsid w:val="00FE393B"/>
    <w:rsid w:val="00FE3A16"/>
    <w:rsid w:val="00FE3ACF"/>
    <w:rsid w:val="00FE3B5C"/>
    <w:rsid w:val="00FE3EC9"/>
    <w:rsid w:val="00FE4074"/>
    <w:rsid w:val="00FE407B"/>
    <w:rsid w:val="00FE407E"/>
    <w:rsid w:val="00FE4110"/>
    <w:rsid w:val="00FE411C"/>
    <w:rsid w:val="00FE4348"/>
    <w:rsid w:val="00FE4455"/>
    <w:rsid w:val="00FE456D"/>
    <w:rsid w:val="00FE4709"/>
    <w:rsid w:val="00FE4AE5"/>
    <w:rsid w:val="00FE4CD3"/>
    <w:rsid w:val="00FE4CEF"/>
    <w:rsid w:val="00FE4D6C"/>
    <w:rsid w:val="00FE4DEF"/>
    <w:rsid w:val="00FE4E9E"/>
    <w:rsid w:val="00FE4EBB"/>
    <w:rsid w:val="00FE4ECB"/>
    <w:rsid w:val="00FE4F82"/>
    <w:rsid w:val="00FE50FA"/>
    <w:rsid w:val="00FE510C"/>
    <w:rsid w:val="00FE5162"/>
    <w:rsid w:val="00FE51A8"/>
    <w:rsid w:val="00FE51BD"/>
    <w:rsid w:val="00FE51D4"/>
    <w:rsid w:val="00FE534A"/>
    <w:rsid w:val="00FE5365"/>
    <w:rsid w:val="00FE538E"/>
    <w:rsid w:val="00FE53A2"/>
    <w:rsid w:val="00FE53B7"/>
    <w:rsid w:val="00FE53FE"/>
    <w:rsid w:val="00FE5468"/>
    <w:rsid w:val="00FE55E7"/>
    <w:rsid w:val="00FE57C2"/>
    <w:rsid w:val="00FE57E8"/>
    <w:rsid w:val="00FE5951"/>
    <w:rsid w:val="00FE5BBF"/>
    <w:rsid w:val="00FE5C84"/>
    <w:rsid w:val="00FE5CD3"/>
    <w:rsid w:val="00FE5DF0"/>
    <w:rsid w:val="00FE5EB1"/>
    <w:rsid w:val="00FE5FE7"/>
    <w:rsid w:val="00FE617F"/>
    <w:rsid w:val="00FE6213"/>
    <w:rsid w:val="00FE62EC"/>
    <w:rsid w:val="00FE6402"/>
    <w:rsid w:val="00FE6788"/>
    <w:rsid w:val="00FE678D"/>
    <w:rsid w:val="00FE6879"/>
    <w:rsid w:val="00FE68C9"/>
    <w:rsid w:val="00FE69DD"/>
    <w:rsid w:val="00FE6B3B"/>
    <w:rsid w:val="00FE6BCC"/>
    <w:rsid w:val="00FE6CBF"/>
    <w:rsid w:val="00FE6CD8"/>
    <w:rsid w:val="00FE6ECC"/>
    <w:rsid w:val="00FE6F43"/>
    <w:rsid w:val="00FE7014"/>
    <w:rsid w:val="00FE7124"/>
    <w:rsid w:val="00FE71A3"/>
    <w:rsid w:val="00FE7288"/>
    <w:rsid w:val="00FE732E"/>
    <w:rsid w:val="00FE7384"/>
    <w:rsid w:val="00FE777B"/>
    <w:rsid w:val="00FE7788"/>
    <w:rsid w:val="00FE79A0"/>
    <w:rsid w:val="00FE7AA0"/>
    <w:rsid w:val="00FE7CFA"/>
    <w:rsid w:val="00FE7DA6"/>
    <w:rsid w:val="00FE7DF7"/>
    <w:rsid w:val="00FE7E0D"/>
    <w:rsid w:val="00FE7E71"/>
    <w:rsid w:val="00FE7F98"/>
    <w:rsid w:val="00FE7FAC"/>
    <w:rsid w:val="00FF004E"/>
    <w:rsid w:val="00FF0412"/>
    <w:rsid w:val="00FF04E8"/>
    <w:rsid w:val="00FF0533"/>
    <w:rsid w:val="00FF05B3"/>
    <w:rsid w:val="00FF06AB"/>
    <w:rsid w:val="00FF06B3"/>
    <w:rsid w:val="00FF07DE"/>
    <w:rsid w:val="00FF0826"/>
    <w:rsid w:val="00FF0892"/>
    <w:rsid w:val="00FF0895"/>
    <w:rsid w:val="00FF0A32"/>
    <w:rsid w:val="00FF0A47"/>
    <w:rsid w:val="00FF0A62"/>
    <w:rsid w:val="00FF0AF5"/>
    <w:rsid w:val="00FF0B94"/>
    <w:rsid w:val="00FF0BEA"/>
    <w:rsid w:val="00FF0C67"/>
    <w:rsid w:val="00FF0D25"/>
    <w:rsid w:val="00FF0E7C"/>
    <w:rsid w:val="00FF0F4B"/>
    <w:rsid w:val="00FF0FB5"/>
    <w:rsid w:val="00FF10A0"/>
    <w:rsid w:val="00FF10D2"/>
    <w:rsid w:val="00FF1105"/>
    <w:rsid w:val="00FF1165"/>
    <w:rsid w:val="00FF11EC"/>
    <w:rsid w:val="00FF134B"/>
    <w:rsid w:val="00FF13FA"/>
    <w:rsid w:val="00FF142D"/>
    <w:rsid w:val="00FF14DD"/>
    <w:rsid w:val="00FF1678"/>
    <w:rsid w:val="00FF167A"/>
    <w:rsid w:val="00FF17D7"/>
    <w:rsid w:val="00FF1866"/>
    <w:rsid w:val="00FF1895"/>
    <w:rsid w:val="00FF1957"/>
    <w:rsid w:val="00FF1B1B"/>
    <w:rsid w:val="00FF1BFF"/>
    <w:rsid w:val="00FF1DDE"/>
    <w:rsid w:val="00FF1E4B"/>
    <w:rsid w:val="00FF1F63"/>
    <w:rsid w:val="00FF20F9"/>
    <w:rsid w:val="00FF21F5"/>
    <w:rsid w:val="00FF2313"/>
    <w:rsid w:val="00FF2392"/>
    <w:rsid w:val="00FF265F"/>
    <w:rsid w:val="00FF2663"/>
    <w:rsid w:val="00FF2A5A"/>
    <w:rsid w:val="00FF2AD7"/>
    <w:rsid w:val="00FF2B36"/>
    <w:rsid w:val="00FF2B4C"/>
    <w:rsid w:val="00FF2BAD"/>
    <w:rsid w:val="00FF2D4C"/>
    <w:rsid w:val="00FF2E9D"/>
    <w:rsid w:val="00FF3296"/>
    <w:rsid w:val="00FF329A"/>
    <w:rsid w:val="00FF3609"/>
    <w:rsid w:val="00FF36C9"/>
    <w:rsid w:val="00FF385A"/>
    <w:rsid w:val="00FF38D6"/>
    <w:rsid w:val="00FF39F2"/>
    <w:rsid w:val="00FF39F3"/>
    <w:rsid w:val="00FF3A76"/>
    <w:rsid w:val="00FF3B32"/>
    <w:rsid w:val="00FF3B42"/>
    <w:rsid w:val="00FF3CFC"/>
    <w:rsid w:val="00FF3DE4"/>
    <w:rsid w:val="00FF3ECC"/>
    <w:rsid w:val="00FF3ED1"/>
    <w:rsid w:val="00FF3EE2"/>
    <w:rsid w:val="00FF4010"/>
    <w:rsid w:val="00FF4058"/>
    <w:rsid w:val="00FF409D"/>
    <w:rsid w:val="00FF41D6"/>
    <w:rsid w:val="00FF4223"/>
    <w:rsid w:val="00FF4266"/>
    <w:rsid w:val="00FF42C3"/>
    <w:rsid w:val="00FF44D8"/>
    <w:rsid w:val="00FF4613"/>
    <w:rsid w:val="00FF4634"/>
    <w:rsid w:val="00FF4654"/>
    <w:rsid w:val="00FF467D"/>
    <w:rsid w:val="00FF46B0"/>
    <w:rsid w:val="00FF4741"/>
    <w:rsid w:val="00FF482B"/>
    <w:rsid w:val="00FF4830"/>
    <w:rsid w:val="00FF4A81"/>
    <w:rsid w:val="00FF4BBD"/>
    <w:rsid w:val="00FF4CBF"/>
    <w:rsid w:val="00FF4D3C"/>
    <w:rsid w:val="00FF4DFE"/>
    <w:rsid w:val="00FF4E4D"/>
    <w:rsid w:val="00FF4FA6"/>
    <w:rsid w:val="00FF51BB"/>
    <w:rsid w:val="00FF5244"/>
    <w:rsid w:val="00FF5269"/>
    <w:rsid w:val="00FF53DC"/>
    <w:rsid w:val="00FF5478"/>
    <w:rsid w:val="00FF54AB"/>
    <w:rsid w:val="00FF5689"/>
    <w:rsid w:val="00FF578C"/>
    <w:rsid w:val="00FF58F9"/>
    <w:rsid w:val="00FF5A7D"/>
    <w:rsid w:val="00FF5BC8"/>
    <w:rsid w:val="00FF5CC5"/>
    <w:rsid w:val="00FF5CCB"/>
    <w:rsid w:val="00FF5E2B"/>
    <w:rsid w:val="00FF5FF6"/>
    <w:rsid w:val="00FF60F0"/>
    <w:rsid w:val="00FF61CB"/>
    <w:rsid w:val="00FF61DE"/>
    <w:rsid w:val="00FF6324"/>
    <w:rsid w:val="00FF633E"/>
    <w:rsid w:val="00FF67C3"/>
    <w:rsid w:val="00FF6803"/>
    <w:rsid w:val="00FF68CD"/>
    <w:rsid w:val="00FF6930"/>
    <w:rsid w:val="00FF69E7"/>
    <w:rsid w:val="00FF6B27"/>
    <w:rsid w:val="00FF6B5C"/>
    <w:rsid w:val="00FF6B90"/>
    <w:rsid w:val="00FF6C59"/>
    <w:rsid w:val="00FF6C67"/>
    <w:rsid w:val="00FF6C8A"/>
    <w:rsid w:val="00FF6CC1"/>
    <w:rsid w:val="00FF6D4D"/>
    <w:rsid w:val="00FF6EAF"/>
    <w:rsid w:val="00FF706C"/>
    <w:rsid w:val="00FF729D"/>
    <w:rsid w:val="00FF73A5"/>
    <w:rsid w:val="00FF7418"/>
    <w:rsid w:val="00FF7533"/>
    <w:rsid w:val="00FF75BA"/>
    <w:rsid w:val="00FF75F4"/>
    <w:rsid w:val="00FF7700"/>
    <w:rsid w:val="00FF775F"/>
    <w:rsid w:val="00FF77CA"/>
    <w:rsid w:val="00FF7813"/>
    <w:rsid w:val="00FF790B"/>
    <w:rsid w:val="00FF7B06"/>
    <w:rsid w:val="00FF7B40"/>
    <w:rsid w:val="00FF7B86"/>
    <w:rsid w:val="00FF7BFF"/>
    <w:rsid w:val="00FF7D65"/>
    <w:rsid w:val="00FF7E25"/>
    <w:rsid w:val="00FF7EEE"/>
    <w:rsid w:val="00FF7F1D"/>
    <w:rsid w:val="01005D51"/>
    <w:rsid w:val="0103CFE4"/>
    <w:rsid w:val="010782B4"/>
    <w:rsid w:val="01078C69"/>
    <w:rsid w:val="010EBE22"/>
    <w:rsid w:val="010EF3C0"/>
    <w:rsid w:val="010EF50C"/>
    <w:rsid w:val="0113D883"/>
    <w:rsid w:val="0115B899"/>
    <w:rsid w:val="0117FDC8"/>
    <w:rsid w:val="011BB2E4"/>
    <w:rsid w:val="011D9661"/>
    <w:rsid w:val="011E80A9"/>
    <w:rsid w:val="011EC3AA"/>
    <w:rsid w:val="012482A1"/>
    <w:rsid w:val="0129F4E4"/>
    <w:rsid w:val="012CF492"/>
    <w:rsid w:val="012D4B72"/>
    <w:rsid w:val="012F795F"/>
    <w:rsid w:val="01311107"/>
    <w:rsid w:val="013828B1"/>
    <w:rsid w:val="01385980"/>
    <w:rsid w:val="013AF102"/>
    <w:rsid w:val="013E4B67"/>
    <w:rsid w:val="0142EDC1"/>
    <w:rsid w:val="01469EFF"/>
    <w:rsid w:val="014A43B5"/>
    <w:rsid w:val="01527E10"/>
    <w:rsid w:val="0153C897"/>
    <w:rsid w:val="0154C292"/>
    <w:rsid w:val="01570901"/>
    <w:rsid w:val="0159A3AB"/>
    <w:rsid w:val="015F1D12"/>
    <w:rsid w:val="016592E2"/>
    <w:rsid w:val="016A428E"/>
    <w:rsid w:val="016C7CA5"/>
    <w:rsid w:val="0176D247"/>
    <w:rsid w:val="0181C76D"/>
    <w:rsid w:val="01836C44"/>
    <w:rsid w:val="01874E4D"/>
    <w:rsid w:val="019EEA7C"/>
    <w:rsid w:val="01A21D2B"/>
    <w:rsid w:val="01A2E97D"/>
    <w:rsid w:val="01A5F126"/>
    <w:rsid w:val="01AE1068"/>
    <w:rsid w:val="01B21832"/>
    <w:rsid w:val="01B761B2"/>
    <w:rsid w:val="01BA9301"/>
    <w:rsid w:val="01BBCCD1"/>
    <w:rsid w:val="01BC06A9"/>
    <w:rsid w:val="01BF4C94"/>
    <w:rsid w:val="01C0BD0C"/>
    <w:rsid w:val="01C7646C"/>
    <w:rsid w:val="01C959C4"/>
    <w:rsid w:val="01CE016A"/>
    <w:rsid w:val="01CE9F93"/>
    <w:rsid w:val="01D3DF05"/>
    <w:rsid w:val="01D81446"/>
    <w:rsid w:val="01DA1EB4"/>
    <w:rsid w:val="01DAA4D3"/>
    <w:rsid w:val="01DC0949"/>
    <w:rsid w:val="01DF4CB8"/>
    <w:rsid w:val="01E7E9D9"/>
    <w:rsid w:val="01F3DF4F"/>
    <w:rsid w:val="01F43323"/>
    <w:rsid w:val="01F459A2"/>
    <w:rsid w:val="01F7A209"/>
    <w:rsid w:val="02012831"/>
    <w:rsid w:val="0202D398"/>
    <w:rsid w:val="02054B57"/>
    <w:rsid w:val="020E5964"/>
    <w:rsid w:val="02156BDD"/>
    <w:rsid w:val="02189AE0"/>
    <w:rsid w:val="0219C37C"/>
    <w:rsid w:val="021B3207"/>
    <w:rsid w:val="021F1D3F"/>
    <w:rsid w:val="022054DE"/>
    <w:rsid w:val="022590B1"/>
    <w:rsid w:val="02301D37"/>
    <w:rsid w:val="0235EB1B"/>
    <w:rsid w:val="02378BCD"/>
    <w:rsid w:val="023C4206"/>
    <w:rsid w:val="023E803D"/>
    <w:rsid w:val="02442A04"/>
    <w:rsid w:val="0249B5FA"/>
    <w:rsid w:val="024A16C7"/>
    <w:rsid w:val="024AC45D"/>
    <w:rsid w:val="02500007"/>
    <w:rsid w:val="0252E853"/>
    <w:rsid w:val="02551AA2"/>
    <w:rsid w:val="0257BB31"/>
    <w:rsid w:val="0260603A"/>
    <w:rsid w:val="02628865"/>
    <w:rsid w:val="02647F98"/>
    <w:rsid w:val="0267C6BE"/>
    <w:rsid w:val="02695088"/>
    <w:rsid w:val="026E0706"/>
    <w:rsid w:val="02726605"/>
    <w:rsid w:val="0276640D"/>
    <w:rsid w:val="027823D0"/>
    <w:rsid w:val="02816541"/>
    <w:rsid w:val="0285C840"/>
    <w:rsid w:val="0288A2B4"/>
    <w:rsid w:val="028A1B93"/>
    <w:rsid w:val="028A7444"/>
    <w:rsid w:val="028B9C99"/>
    <w:rsid w:val="028BEDA2"/>
    <w:rsid w:val="028C54D1"/>
    <w:rsid w:val="028D59B5"/>
    <w:rsid w:val="028D9AA3"/>
    <w:rsid w:val="028F0F41"/>
    <w:rsid w:val="028F6FA4"/>
    <w:rsid w:val="0291F943"/>
    <w:rsid w:val="029CBE69"/>
    <w:rsid w:val="029D1F93"/>
    <w:rsid w:val="029D30CC"/>
    <w:rsid w:val="029D9C74"/>
    <w:rsid w:val="029E6638"/>
    <w:rsid w:val="02A03961"/>
    <w:rsid w:val="02A1B20B"/>
    <w:rsid w:val="02A6710E"/>
    <w:rsid w:val="02AA26AF"/>
    <w:rsid w:val="02AD39E5"/>
    <w:rsid w:val="02AFBA67"/>
    <w:rsid w:val="02B026C5"/>
    <w:rsid w:val="02B2864B"/>
    <w:rsid w:val="02B6270B"/>
    <w:rsid w:val="02B8CE7E"/>
    <w:rsid w:val="02BE73B0"/>
    <w:rsid w:val="02C6F271"/>
    <w:rsid w:val="02CC095E"/>
    <w:rsid w:val="02CEFC14"/>
    <w:rsid w:val="02D80401"/>
    <w:rsid w:val="02DA0544"/>
    <w:rsid w:val="02DD8B7B"/>
    <w:rsid w:val="02DF2559"/>
    <w:rsid w:val="02E14BB1"/>
    <w:rsid w:val="02E420AC"/>
    <w:rsid w:val="02E7663F"/>
    <w:rsid w:val="02F1253C"/>
    <w:rsid w:val="02F36345"/>
    <w:rsid w:val="02F979E7"/>
    <w:rsid w:val="02F9B704"/>
    <w:rsid w:val="02FAD9FC"/>
    <w:rsid w:val="02FEA951"/>
    <w:rsid w:val="0304E8E6"/>
    <w:rsid w:val="03050536"/>
    <w:rsid w:val="03067EDC"/>
    <w:rsid w:val="0308BA3B"/>
    <w:rsid w:val="030A04D6"/>
    <w:rsid w:val="030A7402"/>
    <w:rsid w:val="030CD2D3"/>
    <w:rsid w:val="030CFC73"/>
    <w:rsid w:val="03115D33"/>
    <w:rsid w:val="031168B9"/>
    <w:rsid w:val="0314A44D"/>
    <w:rsid w:val="0317C564"/>
    <w:rsid w:val="031CAC06"/>
    <w:rsid w:val="03233328"/>
    <w:rsid w:val="03236E41"/>
    <w:rsid w:val="0326DBFF"/>
    <w:rsid w:val="0327A565"/>
    <w:rsid w:val="03293EA0"/>
    <w:rsid w:val="032A06EE"/>
    <w:rsid w:val="032C076B"/>
    <w:rsid w:val="032FEC62"/>
    <w:rsid w:val="03312D96"/>
    <w:rsid w:val="03319936"/>
    <w:rsid w:val="0331B40A"/>
    <w:rsid w:val="0332FB90"/>
    <w:rsid w:val="0339FDBA"/>
    <w:rsid w:val="033AF2F7"/>
    <w:rsid w:val="0342E1AE"/>
    <w:rsid w:val="03430AD8"/>
    <w:rsid w:val="03483B9C"/>
    <w:rsid w:val="034FFB94"/>
    <w:rsid w:val="0350FBFF"/>
    <w:rsid w:val="035630F4"/>
    <w:rsid w:val="0357DB85"/>
    <w:rsid w:val="035C991F"/>
    <w:rsid w:val="035E75FF"/>
    <w:rsid w:val="035F1CF6"/>
    <w:rsid w:val="03610237"/>
    <w:rsid w:val="03629F1A"/>
    <w:rsid w:val="03696B26"/>
    <w:rsid w:val="0374A793"/>
    <w:rsid w:val="038093CF"/>
    <w:rsid w:val="0383E70E"/>
    <w:rsid w:val="03850C02"/>
    <w:rsid w:val="0388FE7A"/>
    <w:rsid w:val="038B5076"/>
    <w:rsid w:val="038BE6B8"/>
    <w:rsid w:val="038C52B1"/>
    <w:rsid w:val="0391C0C6"/>
    <w:rsid w:val="0394D704"/>
    <w:rsid w:val="0395E7E4"/>
    <w:rsid w:val="0396FB0D"/>
    <w:rsid w:val="039A4E32"/>
    <w:rsid w:val="039EF7FB"/>
    <w:rsid w:val="03A1613F"/>
    <w:rsid w:val="03AA5F48"/>
    <w:rsid w:val="03AF9E84"/>
    <w:rsid w:val="03B11712"/>
    <w:rsid w:val="03B13614"/>
    <w:rsid w:val="03B8776A"/>
    <w:rsid w:val="03B88B07"/>
    <w:rsid w:val="03BA37DE"/>
    <w:rsid w:val="03BA5981"/>
    <w:rsid w:val="03C21541"/>
    <w:rsid w:val="03C30791"/>
    <w:rsid w:val="03C65842"/>
    <w:rsid w:val="03C8607D"/>
    <w:rsid w:val="03CAA7BF"/>
    <w:rsid w:val="03CB1416"/>
    <w:rsid w:val="03CC4564"/>
    <w:rsid w:val="03CD81D0"/>
    <w:rsid w:val="03D47980"/>
    <w:rsid w:val="03D64312"/>
    <w:rsid w:val="03D85A94"/>
    <w:rsid w:val="03DA6DCD"/>
    <w:rsid w:val="03DAEE27"/>
    <w:rsid w:val="03DEFC4E"/>
    <w:rsid w:val="03DF8F0C"/>
    <w:rsid w:val="03E65C8E"/>
    <w:rsid w:val="03E74774"/>
    <w:rsid w:val="03EA409A"/>
    <w:rsid w:val="03EA87A6"/>
    <w:rsid w:val="03F52A32"/>
    <w:rsid w:val="03FEC1B9"/>
    <w:rsid w:val="03FFEE52"/>
    <w:rsid w:val="0403BDC4"/>
    <w:rsid w:val="0403EF9A"/>
    <w:rsid w:val="04098F1A"/>
    <w:rsid w:val="0409AEB0"/>
    <w:rsid w:val="0410D54E"/>
    <w:rsid w:val="0414CC18"/>
    <w:rsid w:val="04172FD4"/>
    <w:rsid w:val="0417A788"/>
    <w:rsid w:val="041B02C8"/>
    <w:rsid w:val="041BF842"/>
    <w:rsid w:val="0420D0B8"/>
    <w:rsid w:val="04283519"/>
    <w:rsid w:val="042B537D"/>
    <w:rsid w:val="042D703F"/>
    <w:rsid w:val="042FBF27"/>
    <w:rsid w:val="0430EC69"/>
    <w:rsid w:val="0431B623"/>
    <w:rsid w:val="0437C0D4"/>
    <w:rsid w:val="0439DCCC"/>
    <w:rsid w:val="043C9948"/>
    <w:rsid w:val="043F0713"/>
    <w:rsid w:val="044438E6"/>
    <w:rsid w:val="04488B5C"/>
    <w:rsid w:val="0448F30F"/>
    <w:rsid w:val="044AF059"/>
    <w:rsid w:val="045F8CE6"/>
    <w:rsid w:val="0464FA78"/>
    <w:rsid w:val="0466F38B"/>
    <w:rsid w:val="0468139E"/>
    <w:rsid w:val="0474A1AC"/>
    <w:rsid w:val="0474F88F"/>
    <w:rsid w:val="047AF955"/>
    <w:rsid w:val="047CCF31"/>
    <w:rsid w:val="0483601F"/>
    <w:rsid w:val="0484DC45"/>
    <w:rsid w:val="0488EB98"/>
    <w:rsid w:val="0489655E"/>
    <w:rsid w:val="0495195A"/>
    <w:rsid w:val="04970D6A"/>
    <w:rsid w:val="049AA193"/>
    <w:rsid w:val="049F64C0"/>
    <w:rsid w:val="04A39678"/>
    <w:rsid w:val="04A5D780"/>
    <w:rsid w:val="04A5F560"/>
    <w:rsid w:val="04A736E0"/>
    <w:rsid w:val="04AA46E1"/>
    <w:rsid w:val="04B29FEC"/>
    <w:rsid w:val="04BCA66C"/>
    <w:rsid w:val="04BE7C47"/>
    <w:rsid w:val="04BF7CAC"/>
    <w:rsid w:val="04C2687F"/>
    <w:rsid w:val="04CD86CD"/>
    <w:rsid w:val="04CDBC98"/>
    <w:rsid w:val="04D2F95D"/>
    <w:rsid w:val="04D5FA08"/>
    <w:rsid w:val="04D834E6"/>
    <w:rsid w:val="04D93366"/>
    <w:rsid w:val="04DADA0B"/>
    <w:rsid w:val="04DBFD3F"/>
    <w:rsid w:val="04DDF5E6"/>
    <w:rsid w:val="04E64743"/>
    <w:rsid w:val="04EA0DEA"/>
    <w:rsid w:val="04ECB525"/>
    <w:rsid w:val="04F1BAB8"/>
    <w:rsid w:val="04F315C4"/>
    <w:rsid w:val="04F84BE4"/>
    <w:rsid w:val="04FFA930"/>
    <w:rsid w:val="050272A5"/>
    <w:rsid w:val="05064055"/>
    <w:rsid w:val="050875B1"/>
    <w:rsid w:val="050A0576"/>
    <w:rsid w:val="050D22FF"/>
    <w:rsid w:val="050E6F75"/>
    <w:rsid w:val="05112E6B"/>
    <w:rsid w:val="0519300A"/>
    <w:rsid w:val="051D0D73"/>
    <w:rsid w:val="051EEA59"/>
    <w:rsid w:val="051FEB7B"/>
    <w:rsid w:val="05248E13"/>
    <w:rsid w:val="052BA936"/>
    <w:rsid w:val="052D1482"/>
    <w:rsid w:val="0530DA8B"/>
    <w:rsid w:val="0533462A"/>
    <w:rsid w:val="05366B18"/>
    <w:rsid w:val="053A78BB"/>
    <w:rsid w:val="053AECF9"/>
    <w:rsid w:val="053D9EAE"/>
    <w:rsid w:val="0541BFE2"/>
    <w:rsid w:val="0542EB92"/>
    <w:rsid w:val="05437407"/>
    <w:rsid w:val="0544806A"/>
    <w:rsid w:val="054AA9CC"/>
    <w:rsid w:val="054F9A8C"/>
    <w:rsid w:val="055469F3"/>
    <w:rsid w:val="0559DB36"/>
    <w:rsid w:val="055B1774"/>
    <w:rsid w:val="055E2C24"/>
    <w:rsid w:val="05611754"/>
    <w:rsid w:val="056440AD"/>
    <w:rsid w:val="05652B90"/>
    <w:rsid w:val="05656C34"/>
    <w:rsid w:val="05668277"/>
    <w:rsid w:val="05697413"/>
    <w:rsid w:val="056FF136"/>
    <w:rsid w:val="05739B7B"/>
    <w:rsid w:val="0574C222"/>
    <w:rsid w:val="057890BF"/>
    <w:rsid w:val="05791EC4"/>
    <w:rsid w:val="057B8FB8"/>
    <w:rsid w:val="0580D6E7"/>
    <w:rsid w:val="0582AF72"/>
    <w:rsid w:val="05881CD9"/>
    <w:rsid w:val="058B0C48"/>
    <w:rsid w:val="058BBD01"/>
    <w:rsid w:val="058C93A1"/>
    <w:rsid w:val="058F5ED9"/>
    <w:rsid w:val="0591BC88"/>
    <w:rsid w:val="0593CE5B"/>
    <w:rsid w:val="0593E82D"/>
    <w:rsid w:val="05958C81"/>
    <w:rsid w:val="05A230C3"/>
    <w:rsid w:val="05A97371"/>
    <w:rsid w:val="05AC4FBC"/>
    <w:rsid w:val="05B426EC"/>
    <w:rsid w:val="05BAC013"/>
    <w:rsid w:val="05BE575E"/>
    <w:rsid w:val="05C1AD77"/>
    <w:rsid w:val="05C1D04F"/>
    <w:rsid w:val="05CE0F81"/>
    <w:rsid w:val="05CEB349"/>
    <w:rsid w:val="05CF54E9"/>
    <w:rsid w:val="05D87960"/>
    <w:rsid w:val="05DA4164"/>
    <w:rsid w:val="05DB33FE"/>
    <w:rsid w:val="05E0A0B0"/>
    <w:rsid w:val="05E6ABD9"/>
    <w:rsid w:val="05E70227"/>
    <w:rsid w:val="05F4670A"/>
    <w:rsid w:val="05F8A03D"/>
    <w:rsid w:val="05FA0348"/>
    <w:rsid w:val="05FECFD7"/>
    <w:rsid w:val="0601136B"/>
    <w:rsid w:val="0603951C"/>
    <w:rsid w:val="0603DA52"/>
    <w:rsid w:val="0604AC93"/>
    <w:rsid w:val="0604E167"/>
    <w:rsid w:val="06071AD2"/>
    <w:rsid w:val="0607821A"/>
    <w:rsid w:val="060A7C82"/>
    <w:rsid w:val="060C3C16"/>
    <w:rsid w:val="060DA18D"/>
    <w:rsid w:val="06106A81"/>
    <w:rsid w:val="0614F15E"/>
    <w:rsid w:val="06168888"/>
    <w:rsid w:val="061779FE"/>
    <w:rsid w:val="061B44DD"/>
    <w:rsid w:val="061CEAE5"/>
    <w:rsid w:val="061E1405"/>
    <w:rsid w:val="06253EDB"/>
    <w:rsid w:val="0627B610"/>
    <w:rsid w:val="062ABE65"/>
    <w:rsid w:val="062B80AC"/>
    <w:rsid w:val="062C61D1"/>
    <w:rsid w:val="062D09DA"/>
    <w:rsid w:val="062FE024"/>
    <w:rsid w:val="0631AB6C"/>
    <w:rsid w:val="063950A0"/>
    <w:rsid w:val="063C968F"/>
    <w:rsid w:val="0641C7F2"/>
    <w:rsid w:val="06440BE1"/>
    <w:rsid w:val="064659E2"/>
    <w:rsid w:val="06471111"/>
    <w:rsid w:val="064906DD"/>
    <w:rsid w:val="06497A28"/>
    <w:rsid w:val="0650668A"/>
    <w:rsid w:val="06537A5E"/>
    <w:rsid w:val="06546768"/>
    <w:rsid w:val="065C37D0"/>
    <w:rsid w:val="065DA4C2"/>
    <w:rsid w:val="0661604E"/>
    <w:rsid w:val="06646148"/>
    <w:rsid w:val="06666523"/>
    <w:rsid w:val="0667095E"/>
    <w:rsid w:val="066E9FDF"/>
    <w:rsid w:val="06782CA0"/>
    <w:rsid w:val="0679F981"/>
    <w:rsid w:val="067DA2FC"/>
    <w:rsid w:val="06807DBE"/>
    <w:rsid w:val="0680A83A"/>
    <w:rsid w:val="06841011"/>
    <w:rsid w:val="0687A600"/>
    <w:rsid w:val="068A4EB0"/>
    <w:rsid w:val="068E8CC2"/>
    <w:rsid w:val="06A4BA44"/>
    <w:rsid w:val="06AE0755"/>
    <w:rsid w:val="06AFDCFB"/>
    <w:rsid w:val="06B0605E"/>
    <w:rsid w:val="06BA984D"/>
    <w:rsid w:val="06C790EC"/>
    <w:rsid w:val="06CE5035"/>
    <w:rsid w:val="06CF1F4E"/>
    <w:rsid w:val="06D7E8B3"/>
    <w:rsid w:val="06D97C07"/>
    <w:rsid w:val="06DACDBC"/>
    <w:rsid w:val="06DF99D7"/>
    <w:rsid w:val="06E0B3AB"/>
    <w:rsid w:val="06E164A5"/>
    <w:rsid w:val="06E2BEC3"/>
    <w:rsid w:val="06E43B4F"/>
    <w:rsid w:val="06E48EB4"/>
    <w:rsid w:val="06EA7CBD"/>
    <w:rsid w:val="06EB2B30"/>
    <w:rsid w:val="06F46315"/>
    <w:rsid w:val="06F52FA1"/>
    <w:rsid w:val="06FA5704"/>
    <w:rsid w:val="06FA9099"/>
    <w:rsid w:val="0704857F"/>
    <w:rsid w:val="0707935D"/>
    <w:rsid w:val="07091717"/>
    <w:rsid w:val="07092A1B"/>
    <w:rsid w:val="0709D2B6"/>
    <w:rsid w:val="070B1B9A"/>
    <w:rsid w:val="070F63DE"/>
    <w:rsid w:val="070FE9A7"/>
    <w:rsid w:val="071088D0"/>
    <w:rsid w:val="07138568"/>
    <w:rsid w:val="0716D2FC"/>
    <w:rsid w:val="0717F916"/>
    <w:rsid w:val="07194667"/>
    <w:rsid w:val="071A992D"/>
    <w:rsid w:val="071AE42C"/>
    <w:rsid w:val="071B36AC"/>
    <w:rsid w:val="071BB472"/>
    <w:rsid w:val="072C0DE7"/>
    <w:rsid w:val="072C98DA"/>
    <w:rsid w:val="073393D8"/>
    <w:rsid w:val="0735CD32"/>
    <w:rsid w:val="0737A4FA"/>
    <w:rsid w:val="073BCBE3"/>
    <w:rsid w:val="074019AC"/>
    <w:rsid w:val="07425B78"/>
    <w:rsid w:val="07428D82"/>
    <w:rsid w:val="07457822"/>
    <w:rsid w:val="074A390B"/>
    <w:rsid w:val="074A9113"/>
    <w:rsid w:val="074E1590"/>
    <w:rsid w:val="075025D1"/>
    <w:rsid w:val="0751BF17"/>
    <w:rsid w:val="075A2A0B"/>
    <w:rsid w:val="075C5D8C"/>
    <w:rsid w:val="07616306"/>
    <w:rsid w:val="076185BA"/>
    <w:rsid w:val="076739DA"/>
    <w:rsid w:val="076781DF"/>
    <w:rsid w:val="076890F4"/>
    <w:rsid w:val="07724015"/>
    <w:rsid w:val="0772EDBD"/>
    <w:rsid w:val="0776D697"/>
    <w:rsid w:val="077EF553"/>
    <w:rsid w:val="077FD4BF"/>
    <w:rsid w:val="0780F4CB"/>
    <w:rsid w:val="07831B3C"/>
    <w:rsid w:val="07870E59"/>
    <w:rsid w:val="078A13BC"/>
    <w:rsid w:val="078B62D3"/>
    <w:rsid w:val="078C029C"/>
    <w:rsid w:val="078D6654"/>
    <w:rsid w:val="07992E85"/>
    <w:rsid w:val="079D88C0"/>
    <w:rsid w:val="079E5063"/>
    <w:rsid w:val="079E50FD"/>
    <w:rsid w:val="079E7707"/>
    <w:rsid w:val="079EACBC"/>
    <w:rsid w:val="07A0FD78"/>
    <w:rsid w:val="07A4E77B"/>
    <w:rsid w:val="07AC2063"/>
    <w:rsid w:val="07AFF179"/>
    <w:rsid w:val="07B0E3E9"/>
    <w:rsid w:val="07B259DA"/>
    <w:rsid w:val="07C1BEE1"/>
    <w:rsid w:val="07C1E354"/>
    <w:rsid w:val="07C1ED20"/>
    <w:rsid w:val="07C34872"/>
    <w:rsid w:val="07C7B08F"/>
    <w:rsid w:val="07C88EE6"/>
    <w:rsid w:val="07C9395B"/>
    <w:rsid w:val="07CF7D57"/>
    <w:rsid w:val="07D022A0"/>
    <w:rsid w:val="07D2704E"/>
    <w:rsid w:val="07D2EA66"/>
    <w:rsid w:val="07D52C35"/>
    <w:rsid w:val="07D75BE9"/>
    <w:rsid w:val="07D920AD"/>
    <w:rsid w:val="07E0E5BD"/>
    <w:rsid w:val="07E2DE61"/>
    <w:rsid w:val="07E36CF7"/>
    <w:rsid w:val="07E4917C"/>
    <w:rsid w:val="07EBC3E0"/>
    <w:rsid w:val="07EBF602"/>
    <w:rsid w:val="07ED823A"/>
    <w:rsid w:val="07F578A2"/>
    <w:rsid w:val="07F5E70E"/>
    <w:rsid w:val="07F62FCA"/>
    <w:rsid w:val="07F635B4"/>
    <w:rsid w:val="07F7E2D3"/>
    <w:rsid w:val="07FA0DD7"/>
    <w:rsid w:val="07FBE33B"/>
    <w:rsid w:val="07FC18AF"/>
    <w:rsid w:val="07FD5159"/>
    <w:rsid w:val="07FE42C8"/>
    <w:rsid w:val="0803D3BC"/>
    <w:rsid w:val="08063629"/>
    <w:rsid w:val="0808B442"/>
    <w:rsid w:val="080B8EBE"/>
    <w:rsid w:val="080CEA6A"/>
    <w:rsid w:val="08115D3C"/>
    <w:rsid w:val="081630BA"/>
    <w:rsid w:val="081923F7"/>
    <w:rsid w:val="081DD629"/>
    <w:rsid w:val="081E6A9C"/>
    <w:rsid w:val="0820A392"/>
    <w:rsid w:val="08265894"/>
    <w:rsid w:val="08290248"/>
    <w:rsid w:val="08295D84"/>
    <w:rsid w:val="082BB8D9"/>
    <w:rsid w:val="082C4B76"/>
    <w:rsid w:val="082CCBD3"/>
    <w:rsid w:val="0835A700"/>
    <w:rsid w:val="083A951D"/>
    <w:rsid w:val="083CCE52"/>
    <w:rsid w:val="083DE117"/>
    <w:rsid w:val="084236F7"/>
    <w:rsid w:val="08433D7F"/>
    <w:rsid w:val="0846B6AA"/>
    <w:rsid w:val="084C7276"/>
    <w:rsid w:val="084FEC54"/>
    <w:rsid w:val="08522676"/>
    <w:rsid w:val="085A7875"/>
    <w:rsid w:val="085B588B"/>
    <w:rsid w:val="086AE6EC"/>
    <w:rsid w:val="086F3CAC"/>
    <w:rsid w:val="086F5E81"/>
    <w:rsid w:val="086F6C82"/>
    <w:rsid w:val="08728DBB"/>
    <w:rsid w:val="087378C7"/>
    <w:rsid w:val="08775753"/>
    <w:rsid w:val="087EE701"/>
    <w:rsid w:val="0880453D"/>
    <w:rsid w:val="0886A911"/>
    <w:rsid w:val="08877FB4"/>
    <w:rsid w:val="08886373"/>
    <w:rsid w:val="088DAB73"/>
    <w:rsid w:val="088EE057"/>
    <w:rsid w:val="088FF5E4"/>
    <w:rsid w:val="0893E6D9"/>
    <w:rsid w:val="089C05E3"/>
    <w:rsid w:val="08A20676"/>
    <w:rsid w:val="08AA8B7B"/>
    <w:rsid w:val="08B42053"/>
    <w:rsid w:val="08B55C3C"/>
    <w:rsid w:val="08BA1195"/>
    <w:rsid w:val="08BA521E"/>
    <w:rsid w:val="08BCB245"/>
    <w:rsid w:val="08BD4D4E"/>
    <w:rsid w:val="08BF7F48"/>
    <w:rsid w:val="08C16D0F"/>
    <w:rsid w:val="08C49727"/>
    <w:rsid w:val="08CCB70C"/>
    <w:rsid w:val="08CF7594"/>
    <w:rsid w:val="08CFAD22"/>
    <w:rsid w:val="08D60D7F"/>
    <w:rsid w:val="08DA0DE2"/>
    <w:rsid w:val="08DE9080"/>
    <w:rsid w:val="08DF9350"/>
    <w:rsid w:val="08E3996D"/>
    <w:rsid w:val="08E3E0FB"/>
    <w:rsid w:val="08E61FC9"/>
    <w:rsid w:val="08E89466"/>
    <w:rsid w:val="08E89707"/>
    <w:rsid w:val="08EE56CA"/>
    <w:rsid w:val="08F1BF35"/>
    <w:rsid w:val="08F1E0DA"/>
    <w:rsid w:val="08F4CF18"/>
    <w:rsid w:val="08F6A5F8"/>
    <w:rsid w:val="08F71682"/>
    <w:rsid w:val="08FC656E"/>
    <w:rsid w:val="08FDE3B8"/>
    <w:rsid w:val="0901DA0B"/>
    <w:rsid w:val="0903C614"/>
    <w:rsid w:val="0906B219"/>
    <w:rsid w:val="090D0C80"/>
    <w:rsid w:val="09117A8C"/>
    <w:rsid w:val="0916192A"/>
    <w:rsid w:val="09188C52"/>
    <w:rsid w:val="091CF52F"/>
    <w:rsid w:val="091D67FF"/>
    <w:rsid w:val="091FE2CE"/>
    <w:rsid w:val="0921A437"/>
    <w:rsid w:val="0924BC69"/>
    <w:rsid w:val="0927EB79"/>
    <w:rsid w:val="092802A9"/>
    <w:rsid w:val="09284FCD"/>
    <w:rsid w:val="0928BAB5"/>
    <w:rsid w:val="092CDF8A"/>
    <w:rsid w:val="0938FFFF"/>
    <w:rsid w:val="093DC728"/>
    <w:rsid w:val="093DD088"/>
    <w:rsid w:val="093E36DD"/>
    <w:rsid w:val="093F9422"/>
    <w:rsid w:val="09402E9E"/>
    <w:rsid w:val="0944D45D"/>
    <w:rsid w:val="094A253F"/>
    <w:rsid w:val="094C4F1B"/>
    <w:rsid w:val="094C61FD"/>
    <w:rsid w:val="094CDE56"/>
    <w:rsid w:val="094FB527"/>
    <w:rsid w:val="095071E2"/>
    <w:rsid w:val="0952EAC8"/>
    <w:rsid w:val="0956A281"/>
    <w:rsid w:val="09593095"/>
    <w:rsid w:val="095A2E13"/>
    <w:rsid w:val="095C40C5"/>
    <w:rsid w:val="095E63DE"/>
    <w:rsid w:val="095EDF81"/>
    <w:rsid w:val="096267FF"/>
    <w:rsid w:val="09632481"/>
    <w:rsid w:val="0969A4E6"/>
    <w:rsid w:val="096A534F"/>
    <w:rsid w:val="096DD0CF"/>
    <w:rsid w:val="096DE24E"/>
    <w:rsid w:val="0972D3A4"/>
    <w:rsid w:val="0978FA30"/>
    <w:rsid w:val="097B2197"/>
    <w:rsid w:val="097DAAA2"/>
    <w:rsid w:val="097FCE1B"/>
    <w:rsid w:val="09830476"/>
    <w:rsid w:val="09922D68"/>
    <w:rsid w:val="0995D32C"/>
    <w:rsid w:val="0995FA04"/>
    <w:rsid w:val="0996B809"/>
    <w:rsid w:val="0996E258"/>
    <w:rsid w:val="099E3A7B"/>
    <w:rsid w:val="099E7596"/>
    <w:rsid w:val="09AD1480"/>
    <w:rsid w:val="09ADA7B5"/>
    <w:rsid w:val="09B2C511"/>
    <w:rsid w:val="09B5E232"/>
    <w:rsid w:val="09B6FC01"/>
    <w:rsid w:val="09B9C237"/>
    <w:rsid w:val="09BAFF74"/>
    <w:rsid w:val="09C58A74"/>
    <w:rsid w:val="09C68870"/>
    <w:rsid w:val="09CA631F"/>
    <w:rsid w:val="09CF0DF0"/>
    <w:rsid w:val="09CF4326"/>
    <w:rsid w:val="09CFF2F2"/>
    <w:rsid w:val="09D943DF"/>
    <w:rsid w:val="09DA01A2"/>
    <w:rsid w:val="09E08BB9"/>
    <w:rsid w:val="09E53A14"/>
    <w:rsid w:val="09EB2E20"/>
    <w:rsid w:val="09F65A3A"/>
    <w:rsid w:val="09F7BC8B"/>
    <w:rsid w:val="09F7D7C4"/>
    <w:rsid w:val="09F9EE55"/>
    <w:rsid w:val="0A010EED"/>
    <w:rsid w:val="0A0365B8"/>
    <w:rsid w:val="0A059CFF"/>
    <w:rsid w:val="0A0B8D66"/>
    <w:rsid w:val="0A0D965F"/>
    <w:rsid w:val="0A10129A"/>
    <w:rsid w:val="0A10E3ED"/>
    <w:rsid w:val="0A133AEE"/>
    <w:rsid w:val="0A1C06B1"/>
    <w:rsid w:val="0A1DB084"/>
    <w:rsid w:val="0A1E5477"/>
    <w:rsid w:val="0A24AFFB"/>
    <w:rsid w:val="0A24E971"/>
    <w:rsid w:val="0A252C05"/>
    <w:rsid w:val="0A2A8784"/>
    <w:rsid w:val="0A2A9C53"/>
    <w:rsid w:val="0A2B55A7"/>
    <w:rsid w:val="0A2CE098"/>
    <w:rsid w:val="0A2E35E5"/>
    <w:rsid w:val="0A36B39A"/>
    <w:rsid w:val="0A39671C"/>
    <w:rsid w:val="0A3DA1D9"/>
    <w:rsid w:val="0A40D495"/>
    <w:rsid w:val="0A43EBB3"/>
    <w:rsid w:val="0A519242"/>
    <w:rsid w:val="0A5471ED"/>
    <w:rsid w:val="0A5527E3"/>
    <w:rsid w:val="0A58C02C"/>
    <w:rsid w:val="0A590DCE"/>
    <w:rsid w:val="0A5C2D41"/>
    <w:rsid w:val="0A5CA7D1"/>
    <w:rsid w:val="0A6354C7"/>
    <w:rsid w:val="0A63B288"/>
    <w:rsid w:val="0A695911"/>
    <w:rsid w:val="0A713401"/>
    <w:rsid w:val="0A73183B"/>
    <w:rsid w:val="0A751A2F"/>
    <w:rsid w:val="0A78CDBA"/>
    <w:rsid w:val="0A78F1E7"/>
    <w:rsid w:val="0A7AB6B1"/>
    <w:rsid w:val="0A8E12FE"/>
    <w:rsid w:val="0A8E1304"/>
    <w:rsid w:val="0A8E2E0F"/>
    <w:rsid w:val="0A8EA04B"/>
    <w:rsid w:val="0A9022B9"/>
    <w:rsid w:val="0A92BEF2"/>
    <w:rsid w:val="0A93330F"/>
    <w:rsid w:val="0A976B6F"/>
    <w:rsid w:val="0A97E9F4"/>
    <w:rsid w:val="0A9BAA0D"/>
    <w:rsid w:val="0A9F1515"/>
    <w:rsid w:val="0A9F5291"/>
    <w:rsid w:val="0AA2D281"/>
    <w:rsid w:val="0AA43735"/>
    <w:rsid w:val="0AA48CCB"/>
    <w:rsid w:val="0AA54E7B"/>
    <w:rsid w:val="0AA5AAA8"/>
    <w:rsid w:val="0AA9549F"/>
    <w:rsid w:val="0AB2F97B"/>
    <w:rsid w:val="0AB46DEB"/>
    <w:rsid w:val="0AB646ED"/>
    <w:rsid w:val="0ACBD541"/>
    <w:rsid w:val="0ACC97A7"/>
    <w:rsid w:val="0ACCBE75"/>
    <w:rsid w:val="0AD0347C"/>
    <w:rsid w:val="0AD07EF3"/>
    <w:rsid w:val="0AD4F9A3"/>
    <w:rsid w:val="0AD560F8"/>
    <w:rsid w:val="0AD60306"/>
    <w:rsid w:val="0ADB298C"/>
    <w:rsid w:val="0ADC4304"/>
    <w:rsid w:val="0ADF6265"/>
    <w:rsid w:val="0AE05E35"/>
    <w:rsid w:val="0AE62A87"/>
    <w:rsid w:val="0AE71D77"/>
    <w:rsid w:val="0AEA7719"/>
    <w:rsid w:val="0AEE0BE8"/>
    <w:rsid w:val="0AEE5249"/>
    <w:rsid w:val="0AF1B582"/>
    <w:rsid w:val="0AF2147C"/>
    <w:rsid w:val="0AF34F1E"/>
    <w:rsid w:val="0AF576A9"/>
    <w:rsid w:val="0AF6CB39"/>
    <w:rsid w:val="0AFB2556"/>
    <w:rsid w:val="0AFC4C3D"/>
    <w:rsid w:val="0B0F5708"/>
    <w:rsid w:val="0B10A2CF"/>
    <w:rsid w:val="0B12452C"/>
    <w:rsid w:val="0B128E06"/>
    <w:rsid w:val="0B173EFF"/>
    <w:rsid w:val="0B193104"/>
    <w:rsid w:val="0B19916C"/>
    <w:rsid w:val="0B1BB0B4"/>
    <w:rsid w:val="0B1FD2E1"/>
    <w:rsid w:val="0B288FA2"/>
    <w:rsid w:val="0B2AE6C0"/>
    <w:rsid w:val="0B3DF7F7"/>
    <w:rsid w:val="0B3EEE89"/>
    <w:rsid w:val="0B42D497"/>
    <w:rsid w:val="0B441813"/>
    <w:rsid w:val="0B44DE5F"/>
    <w:rsid w:val="0B45A3A7"/>
    <w:rsid w:val="0B46C509"/>
    <w:rsid w:val="0B4F4D85"/>
    <w:rsid w:val="0B52119D"/>
    <w:rsid w:val="0B540AA8"/>
    <w:rsid w:val="0B5CD413"/>
    <w:rsid w:val="0B608294"/>
    <w:rsid w:val="0B622E80"/>
    <w:rsid w:val="0B667456"/>
    <w:rsid w:val="0B66BBE4"/>
    <w:rsid w:val="0B68BFCC"/>
    <w:rsid w:val="0B6A3C14"/>
    <w:rsid w:val="0B6B53C5"/>
    <w:rsid w:val="0B7428DD"/>
    <w:rsid w:val="0B76DB36"/>
    <w:rsid w:val="0B776C58"/>
    <w:rsid w:val="0B7946FA"/>
    <w:rsid w:val="0B7B6D34"/>
    <w:rsid w:val="0B7BD035"/>
    <w:rsid w:val="0B81C009"/>
    <w:rsid w:val="0B864A43"/>
    <w:rsid w:val="0B89BC93"/>
    <w:rsid w:val="0B902E19"/>
    <w:rsid w:val="0B944A93"/>
    <w:rsid w:val="0B9708A1"/>
    <w:rsid w:val="0B98D174"/>
    <w:rsid w:val="0B99234D"/>
    <w:rsid w:val="0B994F52"/>
    <w:rsid w:val="0B9A67B4"/>
    <w:rsid w:val="0B9BC56F"/>
    <w:rsid w:val="0BA17789"/>
    <w:rsid w:val="0BA67A21"/>
    <w:rsid w:val="0BAA4672"/>
    <w:rsid w:val="0BAA5B07"/>
    <w:rsid w:val="0BAC049E"/>
    <w:rsid w:val="0BAE9E53"/>
    <w:rsid w:val="0BB6EE99"/>
    <w:rsid w:val="0BB95446"/>
    <w:rsid w:val="0BBC695F"/>
    <w:rsid w:val="0BBE767D"/>
    <w:rsid w:val="0BC4D598"/>
    <w:rsid w:val="0BC95DF4"/>
    <w:rsid w:val="0BCE069F"/>
    <w:rsid w:val="0BD0556E"/>
    <w:rsid w:val="0BDEABAC"/>
    <w:rsid w:val="0BE147A5"/>
    <w:rsid w:val="0BE457DC"/>
    <w:rsid w:val="0BEAC0DC"/>
    <w:rsid w:val="0BEBEF31"/>
    <w:rsid w:val="0BEFDC80"/>
    <w:rsid w:val="0BF52265"/>
    <w:rsid w:val="0BF74418"/>
    <w:rsid w:val="0BF87091"/>
    <w:rsid w:val="0BF940CA"/>
    <w:rsid w:val="0BF9FD6A"/>
    <w:rsid w:val="0BFF009B"/>
    <w:rsid w:val="0BFF185D"/>
    <w:rsid w:val="0C07E461"/>
    <w:rsid w:val="0C09C453"/>
    <w:rsid w:val="0C0DC662"/>
    <w:rsid w:val="0C0E480B"/>
    <w:rsid w:val="0C313680"/>
    <w:rsid w:val="0C358D0A"/>
    <w:rsid w:val="0C36EFD3"/>
    <w:rsid w:val="0C3B306E"/>
    <w:rsid w:val="0C3D67EC"/>
    <w:rsid w:val="0C412C11"/>
    <w:rsid w:val="0C434CFF"/>
    <w:rsid w:val="0C444BA6"/>
    <w:rsid w:val="0C45957C"/>
    <w:rsid w:val="0C45A535"/>
    <w:rsid w:val="0C494BA9"/>
    <w:rsid w:val="0C4AC7D0"/>
    <w:rsid w:val="0C4E64D8"/>
    <w:rsid w:val="0C57CF8A"/>
    <w:rsid w:val="0C582D85"/>
    <w:rsid w:val="0C598B12"/>
    <w:rsid w:val="0C5D46BA"/>
    <w:rsid w:val="0C601020"/>
    <w:rsid w:val="0C613266"/>
    <w:rsid w:val="0C648637"/>
    <w:rsid w:val="0C6A9734"/>
    <w:rsid w:val="0C6C52E3"/>
    <w:rsid w:val="0C6EBC13"/>
    <w:rsid w:val="0C6EC548"/>
    <w:rsid w:val="0C73BF5C"/>
    <w:rsid w:val="0C76A84B"/>
    <w:rsid w:val="0C7A471A"/>
    <w:rsid w:val="0C7C8DF5"/>
    <w:rsid w:val="0C7D43D0"/>
    <w:rsid w:val="0C832CD6"/>
    <w:rsid w:val="0C83F52D"/>
    <w:rsid w:val="0C87342C"/>
    <w:rsid w:val="0C8F161F"/>
    <w:rsid w:val="0C917779"/>
    <w:rsid w:val="0C97E2DB"/>
    <w:rsid w:val="0C9B13F1"/>
    <w:rsid w:val="0C9FE2C6"/>
    <w:rsid w:val="0CA20E7C"/>
    <w:rsid w:val="0CA7C785"/>
    <w:rsid w:val="0CA857E2"/>
    <w:rsid w:val="0CA870AD"/>
    <w:rsid w:val="0CA9D4E0"/>
    <w:rsid w:val="0CABB04C"/>
    <w:rsid w:val="0CAD31F7"/>
    <w:rsid w:val="0CAE43B2"/>
    <w:rsid w:val="0CAF9687"/>
    <w:rsid w:val="0CBB024D"/>
    <w:rsid w:val="0CC1A800"/>
    <w:rsid w:val="0CC445C0"/>
    <w:rsid w:val="0CC5BEC7"/>
    <w:rsid w:val="0CC7FE88"/>
    <w:rsid w:val="0CC95EEE"/>
    <w:rsid w:val="0CD05329"/>
    <w:rsid w:val="0CD1FC04"/>
    <w:rsid w:val="0CD8E6BD"/>
    <w:rsid w:val="0CD980D6"/>
    <w:rsid w:val="0CDA5CB4"/>
    <w:rsid w:val="0CDA75CB"/>
    <w:rsid w:val="0CDB82BA"/>
    <w:rsid w:val="0CDD755F"/>
    <w:rsid w:val="0CE7FB1C"/>
    <w:rsid w:val="0CF11D1E"/>
    <w:rsid w:val="0CF19975"/>
    <w:rsid w:val="0CF1A532"/>
    <w:rsid w:val="0CF6366D"/>
    <w:rsid w:val="0CFF9EA9"/>
    <w:rsid w:val="0D0051A2"/>
    <w:rsid w:val="0D0797BD"/>
    <w:rsid w:val="0D07A63A"/>
    <w:rsid w:val="0D0EDCCC"/>
    <w:rsid w:val="0D1196D1"/>
    <w:rsid w:val="0D17FB3D"/>
    <w:rsid w:val="0D19031D"/>
    <w:rsid w:val="0D1AAD43"/>
    <w:rsid w:val="0D1B0F50"/>
    <w:rsid w:val="0D1F4FB8"/>
    <w:rsid w:val="0D1FBC95"/>
    <w:rsid w:val="0D28345E"/>
    <w:rsid w:val="0D2BD9C8"/>
    <w:rsid w:val="0D2EA92C"/>
    <w:rsid w:val="0D328C81"/>
    <w:rsid w:val="0D33D521"/>
    <w:rsid w:val="0D3D1C29"/>
    <w:rsid w:val="0D3EFD5F"/>
    <w:rsid w:val="0D405539"/>
    <w:rsid w:val="0D4378E9"/>
    <w:rsid w:val="0D44FACF"/>
    <w:rsid w:val="0D483966"/>
    <w:rsid w:val="0D48B982"/>
    <w:rsid w:val="0D4A59F8"/>
    <w:rsid w:val="0D4A84A6"/>
    <w:rsid w:val="0D4FAAE9"/>
    <w:rsid w:val="0D50A8A5"/>
    <w:rsid w:val="0D5117B4"/>
    <w:rsid w:val="0D5130EB"/>
    <w:rsid w:val="0D594CAC"/>
    <w:rsid w:val="0D5E7D45"/>
    <w:rsid w:val="0D5EB42D"/>
    <w:rsid w:val="0D61F0C3"/>
    <w:rsid w:val="0D6A7FF2"/>
    <w:rsid w:val="0D71891F"/>
    <w:rsid w:val="0D74A37B"/>
    <w:rsid w:val="0D76E9BA"/>
    <w:rsid w:val="0D77A8F0"/>
    <w:rsid w:val="0D7D4D1C"/>
    <w:rsid w:val="0D832469"/>
    <w:rsid w:val="0D867E59"/>
    <w:rsid w:val="0D889105"/>
    <w:rsid w:val="0D8B538C"/>
    <w:rsid w:val="0D8D10FC"/>
    <w:rsid w:val="0D8D7DDF"/>
    <w:rsid w:val="0D8F340D"/>
    <w:rsid w:val="0D906F33"/>
    <w:rsid w:val="0D945FDD"/>
    <w:rsid w:val="0D96FFE0"/>
    <w:rsid w:val="0D99569D"/>
    <w:rsid w:val="0D99E812"/>
    <w:rsid w:val="0D9C8FCB"/>
    <w:rsid w:val="0DA0CA20"/>
    <w:rsid w:val="0DA331E5"/>
    <w:rsid w:val="0DA37087"/>
    <w:rsid w:val="0DA83C50"/>
    <w:rsid w:val="0DAC280E"/>
    <w:rsid w:val="0DADF176"/>
    <w:rsid w:val="0DB4186F"/>
    <w:rsid w:val="0DB9160C"/>
    <w:rsid w:val="0DB9659D"/>
    <w:rsid w:val="0DBC22A8"/>
    <w:rsid w:val="0DC0876B"/>
    <w:rsid w:val="0DC3CC52"/>
    <w:rsid w:val="0DC4697C"/>
    <w:rsid w:val="0DC80B41"/>
    <w:rsid w:val="0DC8F346"/>
    <w:rsid w:val="0DCE0EA5"/>
    <w:rsid w:val="0DD6F353"/>
    <w:rsid w:val="0DD88A6A"/>
    <w:rsid w:val="0DDCE877"/>
    <w:rsid w:val="0DE02716"/>
    <w:rsid w:val="0DE0CB9D"/>
    <w:rsid w:val="0DE0F437"/>
    <w:rsid w:val="0DE4CC34"/>
    <w:rsid w:val="0DE62131"/>
    <w:rsid w:val="0DE63D1A"/>
    <w:rsid w:val="0DE72B5B"/>
    <w:rsid w:val="0DE900D4"/>
    <w:rsid w:val="0DEDE322"/>
    <w:rsid w:val="0DEF032E"/>
    <w:rsid w:val="0DEFB854"/>
    <w:rsid w:val="0DF4CB03"/>
    <w:rsid w:val="0DF58656"/>
    <w:rsid w:val="0DF60951"/>
    <w:rsid w:val="0DF716A0"/>
    <w:rsid w:val="0DFB45A0"/>
    <w:rsid w:val="0DFD956B"/>
    <w:rsid w:val="0DFE3E48"/>
    <w:rsid w:val="0E02510B"/>
    <w:rsid w:val="0E07D930"/>
    <w:rsid w:val="0E09E3D1"/>
    <w:rsid w:val="0E0B2240"/>
    <w:rsid w:val="0E1790FB"/>
    <w:rsid w:val="0E28D3F9"/>
    <w:rsid w:val="0E29046C"/>
    <w:rsid w:val="0E2F2542"/>
    <w:rsid w:val="0E2F7A98"/>
    <w:rsid w:val="0E2FF5A5"/>
    <w:rsid w:val="0E37AEA0"/>
    <w:rsid w:val="0E38D363"/>
    <w:rsid w:val="0E3C6E06"/>
    <w:rsid w:val="0E3C94E5"/>
    <w:rsid w:val="0E404C33"/>
    <w:rsid w:val="0E4143EE"/>
    <w:rsid w:val="0E415951"/>
    <w:rsid w:val="0E4192BC"/>
    <w:rsid w:val="0E43E667"/>
    <w:rsid w:val="0E478F6C"/>
    <w:rsid w:val="0E49D2A8"/>
    <w:rsid w:val="0E4A815B"/>
    <w:rsid w:val="0E52D70F"/>
    <w:rsid w:val="0E56BD34"/>
    <w:rsid w:val="0E5E8351"/>
    <w:rsid w:val="0E5E940A"/>
    <w:rsid w:val="0E5F7035"/>
    <w:rsid w:val="0E64172A"/>
    <w:rsid w:val="0E66852A"/>
    <w:rsid w:val="0E66F498"/>
    <w:rsid w:val="0E677E09"/>
    <w:rsid w:val="0E6C580A"/>
    <w:rsid w:val="0E6D8BFB"/>
    <w:rsid w:val="0E6E6384"/>
    <w:rsid w:val="0E727482"/>
    <w:rsid w:val="0E7663C8"/>
    <w:rsid w:val="0E78F9B2"/>
    <w:rsid w:val="0E7DB416"/>
    <w:rsid w:val="0E7E2E81"/>
    <w:rsid w:val="0E808AED"/>
    <w:rsid w:val="0E8825D0"/>
    <w:rsid w:val="0E8C0E6A"/>
    <w:rsid w:val="0E8CD515"/>
    <w:rsid w:val="0E93AED3"/>
    <w:rsid w:val="0E9F611E"/>
    <w:rsid w:val="0EA0527D"/>
    <w:rsid w:val="0EA07F9B"/>
    <w:rsid w:val="0EA97739"/>
    <w:rsid w:val="0EB759F5"/>
    <w:rsid w:val="0EB91E80"/>
    <w:rsid w:val="0EBB2019"/>
    <w:rsid w:val="0EBC004C"/>
    <w:rsid w:val="0ED619AC"/>
    <w:rsid w:val="0ED62A89"/>
    <w:rsid w:val="0ED9B2E0"/>
    <w:rsid w:val="0EDC8E71"/>
    <w:rsid w:val="0EDCF698"/>
    <w:rsid w:val="0EE01246"/>
    <w:rsid w:val="0EE0BDF3"/>
    <w:rsid w:val="0EEA85A6"/>
    <w:rsid w:val="0EF1F082"/>
    <w:rsid w:val="0EF98C18"/>
    <w:rsid w:val="0EFB60F0"/>
    <w:rsid w:val="0EFE2FC5"/>
    <w:rsid w:val="0F016780"/>
    <w:rsid w:val="0F0544BC"/>
    <w:rsid w:val="0F055FE3"/>
    <w:rsid w:val="0F061885"/>
    <w:rsid w:val="0F068012"/>
    <w:rsid w:val="0F07476D"/>
    <w:rsid w:val="0F0DD90B"/>
    <w:rsid w:val="0F180822"/>
    <w:rsid w:val="0F18D9C3"/>
    <w:rsid w:val="0F197C3B"/>
    <w:rsid w:val="0F1E4820"/>
    <w:rsid w:val="0F1E6B17"/>
    <w:rsid w:val="0F27AFD2"/>
    <w:rsid w:val="0F30595A"/>
    <w:rsid w:val="0F30770F"/>
    <w:rsid w:val="0F36418D"/>
    <w:rsid w:val="0F3DFF52"/>
    <w:rsid w:val="0F3F2FD5"/>
    <w:rsid w:val="0F3F8988"/>
    <w:rsid w:val="0F3FD860"/>
    <w:rsid w:val="0F3FD953"/>
    <w:rsid w:val="0F4041BE"/>
    <w:rsid w:val="0F4217E8"/>
    <w:rsid w:val="0F4532F6"/>
    <w:rsid w:val="0F46624D"/>
    <w:rsid w:val="0F498921"/>
    <w:rsid w:val="0F51A11D"/>
    <w:rsid w:val="0F52BE7B"/>
    <w:rsid w:val="0F5396AA"/>
    <w:rsid w:val="0F53E171"/>
    <w:rsid w:val="0F560F12"/>
    <w:rsid w:val="0F57489D"/>
    <w:rsid w:val="0F57D482"/>
    <w:rsid w:val="0F5AAB32"/>
    <w:rsid w:val="0F5C034A"/>
    <w:rsid w:val="0F5F1A2E"/>
    <w:rsid w:val="0F602E2A"/>
    <w:rsid w:val="0F615A5C"/>
    <w:rsid w:val="0F6611BF"/>
    <w:rsid w:val="0F6E13B5"/>
    <w:rsid w:val="0F71F8FE"/>
    <w:rsid w:val="0F79D6BB"/>
    <w:rsid w:val="0F7CB238"/>
    <w:rsid w:val="0F7E1084"/>
    <w:rsid w:val="0F7EB98F"/>
    <w:rsid w:val="0F82AAC2"/>
    <w:rsid w:val="0F82D93D"/>
    <w:rsid w:val="0F832BA7"/>
    <w:rsid w:val="0F8881DC"/>
    <w:rsid w:val="0F8ABE58"/>
    <w:rsid w:val="0F90FCC4"/>
    <w:rsid w:val="0F94D7D6"/>
    <w:rsid w:val="0F94E833"/>
    <w:rsid w:val="0F966230"/>
    <w:rsid w:val="0F97ACA1"/>
    <w:rsid w:val="0F9C442C"/>
    <w:rsid w:val="0F9D1B26"/>
    <w:rsid w:val="0F9D8066"/>
    <w:rsid w:val="0FA1D7F2"/>
    <w:rsid w:val="0FA4AD02"/>
    <w:rsid w:val="0FA5938F"/>
    <w:rsid w:val="0FA682AB"/>
    <w:rsid w:val="0FB0FE2E"/>
    <w:rsid w:val="0FB33552"/>
    <w:rsid w:val="0FB47B12"/>
    <w:rsid w:val="0FB5D805"/>
    <w:rsid w:val="0FB76D6F"/>
    <w:rsid w:val="0FB9AD19"/>
    <w:rsid w:val="0FBBB98B"/>
    <w:rsid w:val="0FBDBFB1"/>
    <w:rsid w:val="0FC07657"/>
    <w:rsid w:val="0FC25D41"/>
    <w:rsid w:val="0FC3FF9B"/>
    <w:rsid w:val="0FCB2949"/>
    <w:rsid w:val="0FCE1FC9"/>
    <w:rsid w:val="0FD02174"/>
    <w:rsid w:val="0FD197A4"/>
    <w:rsid w:val="0FD2919A"/>
    <w:rsid w:val="0FD76BDE"/>
    <w:rsid w:val="0FD8CF13"/>
    <w:rsid w:val="0FE113B0"/>
    <w:rsid w:val="0FE1FD6B"/>
    <w:rsid w:val="0FE4013C"/>
    <w:rsid w:val="0FE6F853"/>
    <w:rsid w:val="0FE72E19"/>
    <w:rsid w:val="0FE84159"/>
    <w:rsid w:val="0FE9AB11"/>
    <w:rsid w:val="0FEAF396"/>
    <w:rsid w:val="0FEC75E6"/>
    <w:rsid w:val="0FF0AC52"/>
    <w:rsid w:val="0FF250F9"/>
    <w:rsid w:val="0FFC8D44"/>
    <w:rsid w:val="1000ECE8"/>
    <w:rsid w:val="1005C3D9"/>
    <w:rsid w:val="1007E688"/>
    <w:rsid w:val="100B69E2"/>
    <w:rsid w:val="1011D079"/>
    <w:rsid w:val="1015EEC8"/>
    <w:rsid w:val="1018A536"/>
    <w:rsid w:val="10191E76"/>
    <w:rsid w:val="10195BBF"/>
    <w:rsid w:val="101C5604"/>
    <w:rsid w:val="101C9EA9"/>
    <w:rsid w:val="10210AF0"/>
    <w:rsid w:val="1021A898"/>
    <w:rsid w:val="10259943"/>
    <w:rsid w:val="102CE0DA"/>
    <w:rsid w:val="1030D19A"/>
    <w:rsid w:val="1033729A"/>
    <w:rsid w:val="1036411E"/>
    <w:rsid w:val="103D15BF"/>
    <w:rsid w:val="103D5F93"/>
    <w:rsid w:val="1041FD78"/>
    <w:rsid w:val="1044DF8E"/>
    <w:rsid w:val="104B480B"/>
    <w:rsid w:val="10542C03"/>
    <w:rsid w:val="10560EFF"/>
    <w:rsid w:val="10575AA6"/>
    <w:rsid w:val="1063014D"/>
    <w:rsid w:val="1066B904"/>
    <w:rsid w:val="10673F69"/>
    <w:rsid w:val="106AB9D1"/>
    <w:rsid w:val="106C676A"/>
    <w:rsid w:val="106E22DE"/>
    <w:rsid w:val="107B29D4"/>
    <w:rsid w:val="107B7D3D"/>
    <w:rsid w:val="108191A3"/>
    <w:rsid w:val="10827A4B"/>
    <w:rsid w:val="10875E26"/>
    <w:rsid w:val="108AE6D1"/>
    <w:rsid w:val="108D7E16"/>
    <w:rsid w:val="108E9790"/>
    <w:rsid w:val="108F12F0"/>
    <w:rsid w:val="1095FF8C"/>
    <w:rsid w:val="10963B1D"/>
    <w:rsid w:val="1097E937"/>
    <w:rsid w:val="109CEA46"/>
    <w:rsid w:val="109D3279"/>
    <w:rsid w:val="10A0C7FB"/>
    <w:rsid w:val="10A19B1B"/>
    <w:rsid w:val="10A2F50A"/>
    <w:rsid w:val="10A56939"/>
    <w:rsid w:val="10A76CD0"/>
    <w:rsid w:val="10B4AA24"/>
    <w:rsid w:val="10B6F5E6"/>
    <w:rsid w:val="10B85E32"/>
    <w:rsid w:val="10B923C0"/>
    <w:rsid w:val="10BC4A67"/>
    <w:rsid w:val="10C53E9B"/>
    <w:rsid w:val="10C5861D"/>
    <w:rsid w:val="10CCE7B3"/>
    <w:rsid w:val="10D0E1C9"/>
    <w:rsid w:val="10D50368"/>
    <w:rsid w:val="10D54D88"/>
    <w:rsid w:val="10D73EEF"/>
    <w:rsid w:val="10DA5698"/>
    <w:rsid w:val="10E6FF0A"/>
    <w:rsid w:val="10E730A3"/>
    <w:rsid w:val="10E778D7"/>
    <w:rsid w:val="10E8E63C"/>
    <w:rsid w:val="10F27D69"/>
    <w:rsid w:val="10F4B4E4"/>
    <w:rsid w:val="10F94DC3"/>
    <w:rsid w:val="10F9ADC7"/>
    <w:rsid w:val="10FA7D59"/>
    <w:rsid w:val="10FF915C"/>
    <w:rsid w:val="11022516"/>
    <w:rsid w:val="11052DD3"/>
    <w:rsid w:val="11063EA6"/>
    <w:rsid w:val="110C6C73"/>
    <w:rsid w:val="110E39EB"/>
    <w:rsid w:val="1110E4CD"/>
    <w:rsid w:val="1117291A"/>
    <w:rsid w:val="111B55C2"/>
    <w:rsid w:val="111C407E"/>
    <w:rsid w:val="111CAE87"/>
    <w:rsid w:val="1128D649"/>
    <w:rsid w:val="112D3E19"/>
    <w:rsid w:val="11327F69"/>
    <w:rsid w:val="11333773"/>
    <w:rsid w:val="1134ABD2"/>
    <w:rsid w:val="11381A15"/>
    <w:rsid w:val="113D1291"/>
    <w:rsid w:val="113FC20C"/>
    <w:rsid w:val="114086FA"/>
    <w:rsid w:val="114119E0"/>
    <w:rsid w:val="1142C464"/>
    <w:rsid w:val="11447964"/>
    <w:rsid w:val="11459FDE"/>
    <w:rsid w:val="11480135"/>
    <w:rsid w:val="11494138"/>
    <w:rsid w:val="114B3917"/>
    <w:rsid w:val="1151A22A"/>
    <w:rsid w:val="1151B6A7"/>
    <w:rsid w:val="1152853F"/>
    <w:rsid w:val="1153CDA2"/>
    <w:rsid w:val="1157EF27"/>
    <w:rsid w:val="115A9AB7"/>
    <w:rsid w:val="115F6E9D"/>
    <w:rsid w:val="1163C475"/>
    <w:rsid w:val="1165EC8D"/>
    <w:rsid w:val="11662ECA"/>
    <w:rsid w:val="1167520D"/>
    <w:rsid w:val="116902E5"/>
    <w:rsid w:val="1169E547"/>
    <w:rsid w:val="116C12E6"/>
    <w:rsid w:val="116D70C1"/>
    <w:rsid w:val="116EDD14"/>
    <w:rsid w:val="11749012"/>
    <w:rsid w:val="1176D646"/>
    <w:rsid w:val="1179C19D"/>
    <w:rsid w:val="117CFB64"/>
    <w:rsid w:val="11895069"/>
    <w:rsid w:val="1189EEA3"/>
    <w:rsid w:val="118B8DAD"/>
    <w:rsid w:val="1190B90C"/>
    <w:rsid w:val="119667D1"/>
    <w:rsid w:val="119DB813"/>
    <w:rsid w:val="11A24F11"/>
    <w:rsid w:val="11A44569"/>
    <w:rsid w:val="11A7D74D"/>
    <w:rsid w:val="11A7F21E"/>
    <w:rsid w:val="11AD6DAE"/>
    <w:rsid w:val="11ADEF96"/>
    <w:rsid w:val="11B00683"/>
    <w:rsid w:val="11B1CDBA"/>
    <w:rsid w:val="11B7B6B1"/>
    <w:rsid w:val="11BD1871"/>
    <w:rsid w:val="11C10ECC"/>
    <w:rsid w:val="11C2ADC3"/>
    <w:rsid w:val="11C90EFA"/>
    <w:rsid w:val="11CA360C"/>
    <w:rsid w:val="11CC12AF"/>
    <w:rsid w:val="11D3B5B9"/>
    <w:rsid w:val="11D4170C"/>
    <w:rsid w:val="11D96FB1"/>
    <w:rsid w:val="11DB60FA"/>
    <w:rsid w:val="11DD0AE1"/>
    <w:rsid w:val="11DE9078"/>
    <w:rsid w:val="11E495CE"/>
    <w:rsid w:val="11F0C707"/>
    <w:rsid w:val="11F243C4"/>
    <w:rsid w:val="11F95A0A"/>
    <w:rsid w:val="11FBB743"/>
    <w:rsid w:val="12008DB9"/>
    <w:rsid w:val="120189F4"/>
    <w:rsid w:val="12046207"/>
    <w:rsid w:val="1204AA18"/>
    <w:rsid w:val="12092036"/>
    <w:rsid w:val="120D9544"/>
    <w:rsid w:val="12112921"/>
    <w:rsid w:val="12147D48"/>
    <w:rsid w:val="12149627"/>
    <w:rsid w:val="121AEEBF"/>
    <w:rsid w:val="121B5BE8"/>
    <w:rsid w:val="121C94CD"/>
    <w:rsid w:val="122044F0"/>
    <w:rsid w:val="1223E4FD"/>
    <w:rsid w:val="122ED1D5"/>
    <w:rsid w:val="123056BD"/>
    <w:rsid w:val="12355B98"/>
    <w:rsid w:val="12357FEA"/>
    <w:rsid w:val="123856B3"/>
    <w:rsid w:val="123C6AB9"/>
    <w:rsid w:val="123EE7C6"/>
    <w:rsid w:val="123F86BC"/>
    <w:rsid w:val="1242A4E4"/>
    <w:rsid w:val="1242BBD6"/>
    <w:rsid w:val="124476F8"/>
    <w:rsid w:val="12456510"/>
    <w:rsid w:val="1247CB6A"/>
    <w:rsid w:val="12493DE2"/>
    <w:rsid w:val="124C0DD8"/>
    <w:rsid w:val="124E93CF"/>
    <w:rsid w:val="124F97ED"/>
    <w:rsid w:val="1251FE11"/>
    <w:rsid w:val="12569757"/>
    <w:rsid w:val="12582D06"/>
    <w:rsid w:val="12585FA2"/>
    <w:rsid w:val="125B98B3"/>
    <w:rsid w:val="125C8502"/>
    <w:rsid w:val="125D7AAB"/>
    <w:rsid w:val="125DDC87"/>
    <w:rsid w:val="125F3C72"/>
    <w:rsid w:val="125FE4FB"/>
    <w:rsid w:val="1263727E"/>
    <w:rsid w:val="12637DFF"/>
    <w:rsid w:val="12713F5C"/>
    <w:rsid w:val="1272FC44"/>
    <w:rsid w:val="1274F6E3"/>
    <w:rsid w:val="1279FDBA"/>
    <w:rsid w:val="127F1824"/>
    <w:rsid w:val="1280ABFE"/>
    <w:rsid w:val="1284DDD9"/>
    <w:rsid w:val="128A9DC6"/>
    <w:rsid w:val="128E84B8"/>
    <w:rsid w:val="1290C0E9"/>
    <w:rsid w:val="129A4859"/>
    <w:rsid w:val="129E2F49"/>
    <w:rsid w:val="129E46B8"/>
    <w:rsid w:val="12A00B99"/>
    <w:rsid w:val="12A4CC7A"/>
    <w:rsid w:val="12A74773"/>
    <w:rsid w:val="12A8DA72"/>
    <w:rsid w:val="12A934DB"/>
    <w:rsid w:val="12A9CA17"/>
    <w:rsid w:val="12ADFC77"/>
    <w:rsid w:val="12AE9070"/>
    <w:rsid w:val="12AF5DE8"/>
    <w:rsid w:val="12BF1727"/>
    <w:rsid w:val="12BF34FB"/>
    <w:rsid w:val="12C06F2B"/>
    <w:rsid w:val="12C1DB2E"/>
    <w:rsid w:val="12C30244"/>
    <w:rsid w:val="12C606E1"/>
    <w:rsid w:val="12C8BD32"/>
    <w:rsid w:val="12CC3619"/>
    <w:rsid w:val="12CC3AB5"/>
    <w:rsid w:val="12CDD49D"/>
    <w:rsid w:val="12D0A333"/>
    <w:rsid w:val="12D14CC1"/>
    <w:rsid w:val="12D80B16"/>
    <w:rsid w:val="12E012F4"/>
    <w:rsid w:val="12E02292"/>
    <w:rsid w:val="12E114EB"/>
    <w:rsid w:val="12E7AEE0"/>
    <w:rsid w:val="12E90271"/>
    <w:rsid w:val="12E9F2F6"/>
    <w:rsid w:val="12EB6380"/>
    <w:rsid w:val="12EBA8CB"/>
    <w:rsid w:val="12EF1308"/>
    <w:rsid w:val="12EFA718"/>
    <w:rsid w:val="12F022C7"/>
    <w:rsid w:val="12F163FB"/>
    <w:rsid w:val="12F18D1B"/>
    <w:rsid w:val="12F20E12"/>
    <w:rsid w:val="12F2D12A"/>
    <w:rsid w:val="12F6AC5B"/>
    <w:rsid w:val="12F8FCC1"/>
    <w:rsid w:val="12FA8F0B"/>
    <w:rsid w:val="12FE377F"/>
    <w:rsid w:val="1302E38A"/>
    <w:rsid w:val="1302F9CB"/>
    <w:rsid w:val="130CD496"/>
    <w:rsid w:val="130FC19E"/>
    <w:rsid w:val="1310F2DA"/>
    <w:rsid w:val="1311C0F0"/>
    <w:rsid w:val="1313C765"/>
    <w:rsid w:val="1318719B"/>
    <w:rsid w:val="1325657D"/>
    <w:rsid w:val="1328E324"/>
    <w:rsid w:val="13296E99"/>
    <w:rsid w:val="132BBE1B"/>
    <w:rsid w:val="132C194D"/>
    <w:rsid w:val="132E5429"/>
    <w:rsid w:val="13336E06"/>
    <w:rsid w:val="1333EE32"/>
    <w:rsid w:val="133F9A16"/>
    <w:rsid w:val="1340410A"/>
    <w:rsid w:val="134120FB"/>
    <w:rsid w:val="13432077"/>
    <w:rsid w:val="13465EA2"/>
    <w:rsid w:val="134B179B"/>
    <w:rsid w:val="134BFFFF"/>
    <w:rsid w:val="134CD62A"/>
    <w:rsid w:val="1355A13B"/>
    <w:rsid w:val="1358F336"/>
    <w:rsid w:val="13597DF7"/>
    <w:rsid w:val="135A770E"/>
    <w:rsid w:val="13614375"/>
    <w:rsid w:val="136AB6C6"/>
    <w:rsid w:val="136F9478"/>
    <w:rsid w:val="136FDDE4"/>
    <w:rsid w:val="1370CC45"/>
    <w:rsid w:val="1375C610"/>
    <w:rsid w:val="1377268E"/>
    <w:rsid w:val="1377A576"/>
    <w:rsid w:val="13799932"/>
    <w:rsid w:val="137E6A32"/>
    <w:rsid w:val="137E95E2"/>
    <w:rsid w:val="137EBA45"/>
    <w:rsid w:val="137EBE1B"/>
    <w:rsid w:val="1383E53B"/>
    <w:rsid w:val="13842CCC"/>
    <w:rsid w:val="138484B8"/>
    <w:rsid w:val="13867A0C"/>
    <w:rsid w:val="138CE198"/>
    <w:rsid w:val="138D63FA"/>
    <w:rsid w:val="138FDE67"/>
    <w:rsid w:val="139094B1"/>
    <w:rsid w:val="13913B80"/>
    <w:rsid w:val="13939CAE"/>
    <w:rsid w:val="139782B2"/>
    <w:rsid w:val="139D47AF"/>
    <w:rsid w:val="139EE864"/>
    <w:rsid w:val="139F11BF"/>
    <w:rsid w:val="13A5923A"/>
    <w:rsid w:val="13AC81B3"/>
    <w:rsid w:val="13AE1CF8"/>
    <w:rsid w:val="13B5639C"/>
    <w:rsid w:val="13B78357"/>
    <w:rsid w:val="13B7DE4C"/>
    <w:rsid w:val="13BCE01F"/>
    <w:rsid w:val="13BD500D"/>
    <w:rsid w:val="13C0BA70"/>
    <w:rsid w:val="13C0BAFB"/>
    <w:rsid w:val="13C1177C"/>
    <w:rsid w:val="13C2B085"/>
    <w:rsid w:val="13C9811E"/>
    <w:rsid w:val="13CAB0DD"/>
    <w:rsid w:val="13CCD2F3"/>
    <w:rsid w:val="13CDCE20"/>
    <w:rsid w:val="13CEA1E4"/>
    <w:rsid w:val="13CF59AF"/>
    <w:rsid w:val="13D2CF06"/>
    <w:rsid w:val="13D3367B"/>
    <w:rsid w:val="13D53F26"/>
    <w:rsid w:val="13D5F27B"/>
    <w:rsid w:val="13D850C8"/>
    <w:rsid w:val="13E4EDF0"/>
    <w:rsid w:val="13E55095"/>
    <w:rsid w:val="13E627F3"/>
    <w:rsid w:val="13F0C8E1"/>
    <w:rsid w:val="13F6CCFA"/>
    <w:rsid w:val="13F74ED4"/>
    <w:rsid w:val="13F7E7A5"/>
    <w:rsid w:val="13FCD578"/>
    <w:rsid w:val="13FD7306"/>
    <w:rsid w:val="13FFDDD2"/>
    <w:rsid w:val="1405917B"/>
    <w:rsid w:val="1409EDFA"/>
    <w:rsid w:val="140BE19C"/>
    <w:rsid w:val="140C4BE9"/>
    <w:rsid w:val="140D974D"/>
    <w:rsid w:val="140DCF05"/>
    <w:rsid w:val="1410E7AD"/>
    <w:rsid w:val="14121E40"/>
    <w:rsid w:val="14182B5C"/>
    <w:rsid w:val="141C0993"/>
    <w:rsid w:val="141E48D5"/>
    <w:rsid w:val="141F1CB5"/>
    <w:rsid w:val="1420FDD0"/>
    <w:rsid w:val="14243CB1"/>
    <w:rsid w:val="1425B9D7"/>
    <w:rsid w:val="14271BA5"/>
    <w:rsid w:val="142726A4"/>
    <w:rsid w:val="1427414A"/>
    <w:rsid w:val="1427C09E"/>
    <w:rsid w:val="14282D18"/>
    <w:rsid w:val="142F7349"/>
    <w:rsid w:val="142F756A"/>
    <w:rsid w:val="1431F150"/>
    <w:rsid w:val="1438D086"/>
    <w:rsid w:val="143B2B49"/>
    <w:rsid w:val="143D4946"/>
    <w:rsid w:val="143EFA92"/>
    <w:rsid w:val="144B1CCF"/>
    <w:rsid w:val="14511F7A"/>
    <w:rsid w:val="14541192"/>
    <w:rsid w:val="1456C8FB"/>
    <w:rsid w:val="14616415"/>
    <w:rsid w:val="1461D215"/>
    <w:rsid w:val="14639CA2"/>
    <w:rsid w:val="14688DDF"/>
    <w:rsid w:val="146E4EEE"/>
    <w:rsid w:val="147438A3"/>
    <w:rsid w:val="1478103F"/>
    <w:rsid w:val="147B2F9E"/>
    <w:rsid w:val="147EF504"/>
    <w:rsid w:val="147FE271"/>
    <w:rsid w:val="1480E1FA"/>
    <w:rsid w:val="148874FE"/>
    <w:rsid w:val="148BE01D"/>
    <w:rsid w:val="148DA5F0"/>
    <w:rsid w:val="14925E57"/>
    <w:rsid w:val="149295F8"/>
    <w:rsid w:val="1493A08E"/>
    <w:rsid w:val="14952FCD"/>
    <w:rsid w:val="1495B070"/>
    <w:rsid w:val="149D8C9B"/>
    <w:rsid w:val="149DDB59"/>
    <w:rsid w:val="14B249F4"/>
    <w:rsid w:val="14B2B37D"/>
    <w:rsid w:val="14CC0CE4"/>
    <w:rsid w:val="14CF37A9"/>
    <w:rsid w:val="14D1E7B5"/>
    <w:rsid w:val="14D6072D"/>
    <w:rsid w:val="14D6455A"/>
    <w:rsid w:val="14D7430B"/>
    <w:rsid w:val="14D7AC18"/>
    <w:rsid w:val="14DE9CC1"/>
    <w:rsid w:val="14E14FF4"/>
    <w:rsid w:val="14E4EADE"/>
    <w:rsid w:val="14E53B45"/>
    <w:rsid w:val="14E713BC"/>
    <w:rsid w:val="14EBE134"/>
    <w:rsid w:val="14EE10AF"/>
    <w:rsid w:val="14EE6F4E"/>
    <w:rsid w:val="14F3F175"/>
    <w:rsid w:val="14FA68E7"/>
    <w:rsid w:val="14FBFB72"/>
    <w:rsid w:val="14FC0F4B"/>
    <w:rsid w:val="14FE61E8"/>
    <w:rsid w:val="1501534F"/>
    <w:rsid w:val="15065AF9"/>
    <w:rsid w:val="15092E1D"/>
    <w:rsid w:val="150C0AF5"/>
    <w:rsid w:val="150FCD0D"/>
    <w:rsid w:val="151301F5"/>
    <w:rsid w:val="151468D7"/>
    <w:rsid w:val="1519CCD8"/>
    <w:rsid w:val="151B7B13"/>
    <w:rsid w:val="15207D87"/>
    <w:rsid w:val="15218FC1"/>
    <w:rsid w:val="15229650"/>
    <w:rsid w:val="152B398F"/>
    <w:rsid w:val="152EEA70"/>
    <w:rsid w:val="15320BEF"/>
    <w:rsid w:val="1534E5DA"/>
    <w:rsid w:val="1535B02A"/>
    <w:rsid w:val="1536C49C"/>
    <w:rsid w:val="153762FC"/>
    <w:rsid w:val="1537700A"/>
    <w:rsid w:val="153EB06F"/>
    <w:rsid w:val="1540EBE6"/>
    <w:rsid w:val="1550DABD"/>
    <w:rsid w:val="1555674C"/>
    <w:rsid w:val="155DC114"/>
    <w:rsid w:val="1562DC2A"/>
    <w:rsid w:val="156355ED"/>
    <w:rsid w:val="15648831"/>
    <w:rsid w:val="156559AA"/>
    <w:rsid w:val="156A3395"/>
    <w:rsid w:val="156C1EE3"/>
    <w:rsid w:val="1572F693"/>
    <w:rsid w:val="1578C671"/>
    <w:rsid w:val="1579A097"/>
    <w:rsid w:val="157AAA07"/>
    <w:rsid w:val="157B5AD2"/>
    <w:rsid w:val="157C51AC"/>
    <w:rsid w:val="157DA3D2"/>
    <w:rsid w:val="158178B7"/>
    <w:rsid w:val="15820BFF"/>
    <w:rsid w:val="15833281"/>
    <w:rsid w:val="1584589D"/>
    <w:rsid w:val="1588C9DD"/>
    <w:rsid w:val="1589623A"/>
    <w:rsid w:val="158DA806"/>
    <w:rsid w:val="159091E7"/>
    <w:rsid w:val="1593C2FC"/>
    <w:rsid w:val="1596009E"/>
    <w:rsid w:val="15963386"/>
    <w:rsid w:val="159BA464"/>
    <w:rsid w:val="159C109C"/>
    <w:rsid w:val="159C8A57"/>
    <w:rsid w:val="15A21B37"/>
    <w:rsid w:val="15A21C71"/>
    <w:rsid w:val="15A67ACB"/>
    <w:rsid w:val="15A6EAD9"/>
    <w:rsid w:val="15AA2263"/>
    <w:rsid w:val="15AB52EB"/>
    <w:rsid w:val="15B32723"/>
    <w:rsid w:val="15BA822E"/>
    <w:rsid w:val="15BD852D"/>
    <w:rsid w:val="15BF8ACE"/>
    <w:rsid w:val="15C21585"/>
    <w:rsid w:val="15C76331"/>
    <w:rsid w:val="15C83C79"/>
    <w:rsid w:val="15D40E37"/>
    <w:rsid w:val="15D47FA8"/>
    <w:rsid w:val="15D7316F"/>
    <w:rsid w:val="15DA1291"/>
    <w:rsid w:val="15DBB372"/>
    <w:rsid w:val="15DC69BE"/>
    <w:rsid w:val="15DD8D90"/>
    <w:rsid w:val="15DDDD7F"/>
    <w:rsid w:val="15E02A58"/>
    <w:rsid w:val="15E1042E"/>
    <w:rsid w:val="15E75220"/>
    <w:rsid w:val="15E8EA9F"/>
    <w:rsid w:val="15EC1758"/>
    <w:rsid w:val="15EC66DD"/>
    <w:rsid w:val="15EDE4CD"/>
    <w:rsid w:val="15F07F36"/>
    <w:rsid w:val="15F1025C"/>
    <w:rsid w:val="15F1F40C"/>
    <w:rsid w:val="15F41812"/>
    <w:rsid w:val="15F511B4"/>
    <w:rsid w:val="15F833C4"/>
    <w:rsid w:val="15F99CBA"/>
    <w:rsid w:val="16005E78"/>
    <w:rsid w:val="16018932"/>
    <w:rsid w:val="1603C92C"/>
    <w:rsid w:val="1603D2E3"/>
    <w:rsid w:val="1604B584"/>
    <w:rsid w:val="160B16DB"/>
    <w:rsid w:val="160FC10A"/>
    <w:rsid w:val="1614D18A"/>
    <w:rsid w:val="1616BB30"/>
    <w:rsid w:val="1620576C"/>
    <w:rsid w:val="1620A62E"/>
    <w:rsid w:val="16250565"/>
    <w:rsid w:val="16266036"/>
    <w:rsid w:val="1628E3FE"/>
    <w:rsid w:val="1629739B"/>
    <w:rsid w:val="1634BDEA"/>
    <w:rsid w:val="1635501D"/>
    <w:rsid w:val="1635D97B"/>
    <w:rsid w:val="163A6F92"/>
    <w:rsid w:val="16457F81"/>
    <w:rsid w:val="16485119"/>
    <w:rsid w:val="164E704D"/>
    <w:rsid w:val="165510AF"/>
    <w:rsid w:val="16579D67"/>
    <w:rsid w:val="165902C6"/>
    <w:rsid w:val="165F9E05"/>
    <w:rsid w:val="1662D133"/>
    <w:rsid w:val="16663776"/>
    <w:rsid w:val="16697823"/>
    <w:rsid w:val="166CA40A"/>
    <w:rsid w:val="1672694F"/>
    <w:rsid w:val="16748DC9"/>
    <w:rsid w:val="167BBBB6"/>
    <w:rsid w:val="1681E9A5"/>
    <w:rsid w:val="1682F379"/>
    <w:rsid w:val="16847868"/>
    <w:rsid w:val="168522A1"/>
    <w:rsid w:val="1689A68F"/>
    <w:rsid w:val="168B9788"/>
    <w:rsid w:val="168DBA0B"/>
    <w:rsid w:val="168F1F27"/>
    <w:rsid w:val="168F5CE8"/>
    <w:rsid w:val="16940318"/>
    <w:rsid w:val="16960143"/>
    <w:rsid w:val="16976589"/>
    <w:rsid w:val="1699A024"/>
    <w:rsid w:val="169B7124"/>
    <w:rsid w:val="169E0A3C"/>
    <w:rsid w:val="16A3F2AA"/>
    <w:rsid w:val="16A57240"/>
    <w:rsid w:val="16A6BB0E"/>
    <w:rsid w:val="16A83440"/>
    <w:rsid w:val="16A84970"/>
    <w:rsid w:val="16AAF706"/>
    <w:rsid w:val="16AE50F6"/>
    <w:rsid w:val="16AF84C6"/>
    <w:rsid w:val="16B39F09"/>
    <w:rsid w:val="16B4CAA6"/>
    <w:rsid w:val="16B65F63"/>
    <w:rsid w:val="16B886AC"/>
    <w:rsid w:val="16BBE0E6"/>
    <w:rsid w:val="16BD23B3"/>
    <w:rsid w:val="16BF6BB8"/>
    <w:rsid w:val="16C83870"/>
    <w:rsid w:val="16CC829F"/>
    <w:rsid w:val="16CFA7D4"/>
    <w:rsid w:val="16D05033"/>
    <w:rsid w:val="16D134A4"/>
    <w:rsid w:val="16D4C67D"/>
    <w:rsid w:val="16DA54A0"/>
    <w:rsid w:val="16DD1A3F"/>
    <w:rsid w:val="16DDEB37"/>
    <w:rsid w:val="16E441DC"/>
    <w:rsid w:val="16EEE360"/>
    <w:rsid w:val="16F06CE8"/>
    <w:rsid w:val="16F0E6A0"/>
    <w:rsid w:val="16F58EB4"/>
    <w:rsid w:val="16F99E6C"/>
    <w:rsid w:val="16FDFAB2"/>
    <w:rsid w:val="16FE9D66"/>
    <w:rsid w:val="16FEBF2A"/>
    <w:rsid w:val="1704A9B6"/>
    <w:rsid w:val="170602B3"/>
    <w:rsid w:val="170E027C"/>
    <w:rsid w:val="171ABA4E"/>
    <w:rsid w:val="171FAE13"/>
    <w:rsid w:val="172150AC"/>
    <w:rsid w:val="17229191"/>
    <w:rsid w:val="17259EE5"/>
    <w:rsid w:val="172AC982"/>
    <w:rsid w:val="172D4A65"/>
    <w:rsid w:val="172D9E9B"/>
    <w:rsid w:val="173374E1"/>
    <w:rsid w:val="1733F469"/>
    <w:rsid w:val="173B7210"/>
    <w:rsid w:val="1741349B"/>
    <w:rsid w:val="1741AFD2"/>
    <w:rsid w:val="17432A11"/>
    <w:rsid w:val="17433D8F"/>
    <w:rsid w:val="174714C0"/>
    <w:rsid w:val="174AAFE3"/>
    <w:rsid w:val="17548CB0"/>
    <w:rsid w:val="175D4B2C"/>
    <w:rsid w:val="1760960A"/>
    <w:rsid w:val="17628BDF"/>
    <w:rsid w:val="1766EE09"/>
    <w:rsid w:val="1768BD31"/>
    <w:rsid w:val="176DC00D"/>
    <w:rsid w:val="176EE588"/>
    <w:rsid w:val="1775F862"/>
    <w:rsid w:val="17776231"/>
    <w:rsid w:val="177A0881"/>
    <w:rsid w:val="177A9A18"/>
    <w:rsid w:val="177F4EB5"/>
    <w:rsid w:val="178017CA"/>
    <w:rsid w:val="178388B5"/>
    <w:rsid w:val="1786C66C"/>
    <w:rsid w:val="178ACC77"/>
    <w:rsid w:val="178CC9CA"/>
    <w:rsid w:val="178E9EE2"/>
    <w:rsid w:val="17914EC3"/>
    <w:rsid w:val="1795A5A4"/>
    <w:rsid w:val="17A08EBE"/>
    <w:rsid w:val="17A39990"/>
    <w:rsid w:val="17A69887"/>
    <w:rsid w:val="17AA58E8"/>
    <w:rsid w:val="17B1655B"/>
    <w:rsid w:val="17B594EE"/>
    <w:rsid w:val="17B786B1"/>
    <w:rsid w:val="17BBF8BA"/>
    <w:rsid w:val="17BD1C04"/>
    <w:rsid w:val="17BD33CD"/>
    <w:rsid w:val="17BFE43F"/>
    <w:rsid w:val="17C688BE"/>
    <w:rsid w:val="17CE2D24"/>
    <w:rsid w:val="17CE739C"/>
    <w:rsid w:val="17D1E046"/>
    <w:rsid w:val="17D84805"/>
    <w:rsid w:val="17E0EF3E"/>
    <w:rsid w:val="17E68DE6"/>
    <w:rsid w:val="17E77A3B"/>
    <w:rsid w:val="17E7F407"/>
    <w:rsid w:val="17EB4FFF"/>
    <w:rsid w:val="17EBC098"/>
    <w:rsid w:val="17F07443"/>
    <w:rsid w:val="17F667DD"/>
    <w:rsid w:val="17FD648D"/>
    <w:rsid w:val="180A1C3F"/>
    <w:rsid w:val="180BE65B"/>
    <w:rsid w:val="180E3F8C"/>
    <w:rsid w:val="181054AB"/>
    <w:rsid w:val="18118478"/>
    <w:rsid w:val="1811C6D4"/>
    <w:rsid w:val="18166AA5"/>
    <w:rsid w:val="181AC069"/>
    <w:rsid w:val="181D0719"/>
    <w:rsid w:val="18222374"/>
    <w:rsid w:val="1825A6E6"/>
    <w:rsid w:val="1828D347"/>
    <w:rsid w:val="182C4721"/>
    <w:rsid w:val="18357B36"/>
    <w:rsid w:val="1837621B"/>
    <w:rsid w:val="18389E3A"/>
    <w:rsid w:val="183AD8A9"/>
    <w:rsid w:val="183D5FEC"/>
    <w:rsid w:val="183D6018"/>
    <w:rsid w:val="183D9BC6"/>
    <w:rsid w:val="184027AE"/>
    <w:rsid w:val="18423352"/>
    <w:rsid w:val="184244DB"/>
    <w:rsid w:val="18496834"/>
    <w:rsid w:val="185717B2"/>
    <w:rsid w:val="185B2929"/>
    <w:rsid w:val="185BBE7F"/>
    <w:rsid w:val="185EF833"/>
    <w:rsid w:val="1862546F"/>
    <w:rsid w:val="18629818"/>
    <w:rsid w:val="186345EF"/>
    <w:rsid w:val="186728A9"/>
    <w:rsid w:val="186B1143"/>
    <w:rsid w:val="186D0E21"/>
    <w:rsid w:val="18796454"/>
    <w:rsid w:val="187CAEE6"/>
    <w:rsid w:val="1880C22F"/>
    <w:rsid w:val="1885DB07"/>
    <w:rsid w:val="18861B0F"/>
    <w:rsid w:val="18896C71"/>
    <w:rsid w:val="188FB500"/>
    <w:rsid w:val="1895732F"/>
    <w:rsid w:val="1897752F"/>
    <w:rsid w:val="189AFC88"/>
    <w:rsid w:val="189DEB4D"/>
    <w:rsid w:val="18A44669"/>
    <w:rsid w:val="18A59B7F"/>
    <w:rsid w:val="18AB4D04"/>
    <w:rsid w:val="18AFA1C4"/>
    <w:rsid w:val="18B2CD35"/>
    <w:rsid w:val="18B772A4"/>
    <w:rsid w:val="18B7815A"/>
    <w:rsid w:val="18C01650"/>
    <w:rsid w:val="18C18621"/>
    <w:rsid w:val="18C2E917"/>
    <w:rsid w:val="18C3969F"/>
    <w:rsid w:val="18C59E8D"/>
    <w:rsid w:val="18CA2DF7"/>
    <w:rsid w:val="18CBF17C"/>
    <w:rsid w:val="18CCA35F"/>
    <w:rsid w:val="18CDD4F2"/>
    <w:rsid w:val="18D02657"/>
    <w:rsid w:val="18D3199C"/>
    <w:rsid w:val="18D4AC76"/>
    <w:rsid w:val="18D9BD23"/>
    <w:rsid w:val="18DC17DA"/>
    <w:rsid w:val="18DE7B7A"/>
    <w:rsid w:val="18DEC0F8"/>
    <w:rsid w:val="18E415D5"/>
    <w:rsid w:val="18E54D84"/>
    <w:rsid w:val="18E8F698"/>
    <w:rsid w:val="18EBF0F0"/>
    <w:rsid w:val="18EF5587"/>
    <w:rsid w:val="18EF6BD3"/>
    <w:rsid w:val="18F125D4"/>
    <w:rsid w:val="18F3DAC8"/>
    <w:rsid w:val="18F5238C"/>
    <w:rsid w:val="18F5FA08"/>
    <w:rsid w:val="18F814CC"/>
    <w:rsid w:val="18F867BF"/>
    <w:rsid w:val="18F94DBC"/>
    <w:rsid w:val="18FA1518"/>
    <w:rsid w:val="1900F600"/>
    <w:rsid w:val="19024766"/>
    <w:rsid w:val="190B4C42"/>
    <w:rsid w:val="190F6D4B"/>
    <w:rsid w:val="1916B96A"/>
    <w:rsid w:val="19197C19"/>
    <w:rsid w:val="191A06DE"/>
    <w:rsid w:val="191C5485"/>
    <w:rsid w:val="192295BE"/>
    <w:rsid w:val="1923B83F"/>
    <w:rsid w:val="1927678C"/>
    <w:rsid w:val="192928E0"/>
    <w:rsid w:val="192C3699"/>
    <w:rsid w:val="192DCACB"/>
    <w:rsid w:val="19310CDB"/>
    <w:rsid w:val="1931957C"/>
    <w:rsid w:val="19321147"/>
    <w:rsid w:val="1937DE56"/>
    <w:rsid w:val="19381A80"/>
    <w:rsid w:val="1939DB49"/>
    <w:rsid w:val="193C5EA0"/>
    <w:rsid w:val="19450B6C"/>
    <w:rsid w:val="194732FD"/>
    <w:rsid w:val="1949A204"/>
    <w:rsid w:val="1949D181"/>
    <w:rsid w:val="194C825E"/>
    <w:rsid w:val="194DEF2D"/>
    <w:rsid w:val="194E0DAE"/>
    <w:rsid w:val="1955A2AC"/>
    <w:rsid w:val="195D3D86"/>
    <w:rsid w:val="1960674A"/>
    <w:rsid w:val="196B3677"/>
    <w:rsid w:val="196CC257"/>
    <w:rsid w:val="19720AF1"/>
    <w:rsid w:val="19786F07"/>
    <w:rsid w:val="197CE4B2"/>
    <w:rsid w:val="197CFEB3"/>
    <w:rsid w:val="197D5F84"/>
    <w:rsid w:val="19818F17"/>
    <w:rsid w:val="198340C2"/>
    <w:rsid w:val="1984FFFC"/>
    <w:rsid w:val="1986190D"/>
    <w:rsid w:val="198B5182"/>
    <w:rsid w:val="198CAB4D"/>
    <w:rsid w:val="198CB5D1"/>
    <w:rsid w:val="198EA30B"/>
    <w:rsid w:val="198F6BD2"/>
    <w:rsid w:val="199459A5"/>
    <w:rsid w:val="1995F602"/>
    <w:rsid w:val="1996301A"/>
    <w:rsid w:val="19966E32"/>
    <w:rsid w:val="199D6222"/>
    <w:rsid w:val="199FB526"/>
    <w:rsid w:val="19A02E17"/>
    <w:rsid w:val="19A07EF2"/>
    <w:rsid w:val="19A1BE0F"/>
    <w:rsid w:val="19A25BA9"/>
    <w:rsid w:val="19A5ECA0"/>
    <w:rsid w:val="19A8F8E3"/>
    <w:rsid w:val="19AEE8C4"/>
    <w:rsid w:val="19AF79A7"/>
    <w:rsid w:val="19B07891"/>
    <w:rsid w:val="19B4EAA1"/>
    <w:rsid w:val="19B62909"/>
    <w:rsid w:val="19B772B8"/>
    <w:rsid w:val="19B7B110"/>
    <w:rsid w:val="19B92AC2"/>
    <w:rsid w:val="19BDB599"/>
    <w:rsid w:val="19C0F5D4"/>
    <w:rsid w:val="19C3384A"/>
    <w:rsid w:val="19D1B390"/>
    <w:rsid w:val="19D49794"/>
    <w:rsid w:val="19E91C85"/>
    <w:rsid w:val="19EEE66E"/>
    <w:rsid w:val="19F0C80C"/>
    <w:rsid w:val="19F0FFC6"/>
    <w:rsid w:val="19F17905"/>
    <w:rsid w:val="19F6DE1E"/>
    <w:rsid w:val="19FBA730"/>
    <w:rsid w:val="19FC54C1"/>
    <w:rsid w:val="19FD7682"/>
    <w:rsid w:val="19FD83DD"/>
    <w:rsid w:val="1A02DCFC"/>
    <w:rsid w:val="1A0AF2B3"/>
    <w:rsid w:val="1A0C3825"/>
    <w:rsid w:val="1A180167"/>
    <w:rsid w:val="1A21AB81"/>
    <w:rsid w:val="1A23188C"/>
    <w:rsid w:val="1A23C28C"/>
    <w:rsid w:val="1A2ABD57"/>
    <w:rsid w:val="1A2AF105"/>
    <w:rsid w:val="1A2BF3B1"/>
    <w:rsid w:val="1A307B44"/>
    <w:rsid w:val="1A33292D"/>
    <w:rsid w:val="1A36D929"/>
    <w:rsid w:val="1A3FDF06"/>
    <w:rsid w:val="1A432555"/>
    <w:rsid w:val="1A441962"/>
    <w:rsid w:val="1A4506F3"/>
    <w:rsid w:val="1A454E33"/>
    <w:rsid w:val="1A47FA08"/>
    <w:rsid w:val="1A49121C"/>
    <w:rsid w:val="1A59C48C"/>
    <w:rsid w:val="1A5A42C2"/>
    <w:rsid w:val="1A643292"/>
    <w:rsid w:val="1A66D794"/>
    <w:rsid w:val="1A6A14A1"/>
    <w:rsid w:val="1A6A78A7"/>
    <w:rsid w:val="1A6BF828"/>
    <w:rsid w:val="1A6DA64C"/>
    <w:rsid w:val="1A700EAF"/>
    <w:rsid w:val="1A7283C1"/>
    <w:rsid w:val="1A7327EE"/>
    <w:rsid w:val="1A825AAD"/>
    <w:rsid w:val="1A82A03A"/>
    <w:rsid w:val="1A82E51B"/>
    <w:rsid w:val="1A830989"/>
    <w:rsid w:val="1A846B98"/>
    <w:rsid w:val="1A87E3BC"/>
    <w:rsid w:val="1A8875B3"/>
    <w:rsid w:val="1A889670"/>
    <w:rsid w:val="1A8CF635"/>
    <w:rsid w:val="1A92A536"/>
    <w:rsid w:val="1A940F8D"/>
    <w:rsid w:val="1A951E69"/>
    <w:rsid w:val="1A953A4B"/>
    <w:rsid w:val="1A97E074"/>
    <w:rsid w:val="1A9A8729"/>
    <w:rsid w:val="1A9B0CC2"/>
    <w:rsid w:val="1A9BF0D4"/>
    <w:rsid w:val="1AA72819"/>
    <w:rsid w:val="1AAD4D5A"/>
    <w:rsid w:val="1AB62342"/>
    <w:rsid w:val="1AB70522"/>
    <w:rsid w:val="1AB83641"/>
    <w:rsid w:val="1ABD2C97"/>
    <w:rsid w:val="1ABD408B"/>
    <w:rsid w:val="1ABDC927"/>
    <w:rsid w:val="1AC05473"/>
    <w:rsid w:val="1AC10932"/>
    <w:rsid w:val="1AC70C58"/>
    <w:rsid w:val="1ACF697E"/>
    <w:rsid w:val="1AD20636"/>
    <w:rsid w:val="1AD40E50"/>
    <w:rsid w:val="1AD5AE6B"/>
    <w:rsid w:val="1ADBBC3C"/>
    <w:rsid w:val="1ADCE676"/>
    <w:rsid w:val="1AE818F1"/>
    <w:rsid w:val="1AEF9D75"/>
    <w:rsid w:val="1AF25F93"/>
    <w:rsid w:val="1AF44569"/>
    <w:rsid w:val="1AF7F055"/>
    <w:rsid w:val="1AFABFD2"/>
    <w:rsid w:val="1AFAEFAE"/>
    <w:rsid w:val="1AFCD065"/>
    <w:rsid w:val="1AFFFFD4"/>
    <w:rsid w:val="1B0327CE"/>
    <w:rsid w:val="1B05FECC"/>
    <w:rsid w:val="1B0720B8"/>
    <w:rsid w:val="1B0C17D0"/>
    <w:rsid w:val="1B0C2FE5"/>
    <w:rsid w:val="1B0F8F63"/>
    <w:rsid w:val="1B0FB94F"/>
    <w:rsid w:val="1B104643"/>
    <w:rsid w:val="1B110725"/>
    <w:rsid w:val="1B130600"/>
    <w:rsid w:val="1B1C9A9F"/>
    <w:rsid w:val="1B1D318D"/>
    <w:rsid w:val="1B227D36"/>
    <w:rsid w:val="1B22E100"/>
    <w:rsid w:val="1B2682EB"/>
    <w:rsid w:val="1B278A3B"/>
    <w:rsid w:val="1B2BADD7"/>
    <w:rsid w:val="1B3112A3"/>
    <w:rsid w:val="1B32547C"/>
    <w:rsid w:val="1B36608F"/>
    <w:rsid w:val="1B378AA4"/>
    <w:rsid w:val="1B39F4D4"/>
    <w:rsid w:val="1B3EFCAB"/>
    <w:rsid w:val="1B403B49"/>
    <w:rsid w:val="1B40CF09"/>
    <w:rsid w:val="1B467588"/>
    <w:rsid w:val="1B557DEA"/>
    <w:rsid w:val="1B594099"/>
    <w:rsid w:val="1B5B5FFC"/>
    <w:rsid w:val="1B5C1329"/>
    <w:rsid w:val="1B5F08AB"/>
    <w:rsid w:val="1B6556D2"/>
    <w:rsid w:val="1B6779BF"/>
    <w:rsid w:val="1B6FEAEF"/>
    <w:rsid w:val="1B76F3BA"/>
    <w:rsid w:val="1B79FD76"/>
    <w:rsid w:val="1B7ADFB8"/>
    <w:rsid w:val="1B7E7064"/>
    <w:rsid w:val="1B8165A7"/>
    <w:rsid w:val="1B83F97F"/>
    <w:rsid w:val="1B860C39"/>
    <w:rsid w:val="1B877E1D"/>
    <w:rsid w:val="1B87FD70"/>
    <w:rsid w:val="1B8989D1"/>
    <w:rsid w:val="1B8BC907"/>
    <w:rsid w:val="1B95AB82"/>
    <w:rsid w:val="1B9691C3"/>
    <w:rsid w:val="1B97344C"/>
    <w:rsid w:val="1B9841FD"/>
    <w:rsid w:val="1B989DBC"/>
    <w:rsid w:val="1B9D1DD4"/>
    <w:rsid w:val="1B9E55B4"/>
    <w:rsid w:val="1BA51297"/>
    <w:rsid w:val="1BACE4FA"/>
    <w:rsid w:val="1BAE81E6"/>
    <w:rsid w:val="1BB113BA"/>
    <w:rsid w:val="1BB11DE2"/>
    <w:rsid w:val="1BB37F80"/>
    <w:rsid w:val="1BB6659B"/>
    <w:rsid w:val="1BB6A7BD"/>
    <w:rsid w:val="1BB7FD81"/>
    <w:rsid w:val="1BB9C4D8"/>
    <w:rsid w:val="1BBD35B8"/>
    <w:rsid w:val="1BBE32CB"/>
    <w:rsid w:val="1BC1D9CB"/>
    <w:rsid w:val="1BC3722E"/>
    <w:rsid w:val="1BC53710"/>
    <w:rsid w:val="1BC6C166"/>
    <w:rsid w:val="1BC6CE75"/>
    <w:rsid w:val="1BCFFD93"/>
    <w:rsid w:val="1BD12E30"/>
    <w:rsid w:val="1BD7A283"/>
    <w:rsid w:val="1BD7E952"/>
    <w:rsid w:val="1BD917BD"/>
    <w:rsid w:val="1BE51CD1"/>
    <w:rsid w:val="1BE6B5D5"/>
    <w:rsid w:val="1BEC12E6"/>
    <w:rsid w:val="1BEC17EC"/>
    <w:rsid w:val="1BED20D7"/>
    <w:rsid w:val="1BEF5863"/>
    <w:rsid w:val="1BF00E76"/>
    <w:rsid w:val="1BF1E919"/>
    <w:rsid w:val="1BF4FC4F"/>
    <w:rsid w:val="1BFA2959"/>
    <w:rsid w:val="1C016A29"/>
    <w:rsid w:val="1C045CF1"/>
    <w:rsid w:val="1C06099A"/>
    <w:rsid w:val="1C06D16F"/>
    <w:rsid w:val="1C08BDA7"/>
    <w:rsid w:val="1C0B39EC"/>
    <w:rsid w:val="1C0C8217"/>
    <w:rsid w:val="1C0FA0F5"/>
    <w:rsid w:val="1C12B26A"/>
    <w:rsid w:val="1C136D22"/>
    <w:rsid w:val="1C175AE1"/>
    <w:rsid w:val="1C194824"/>
    <w:rsid w:val="1C19F4D8"/>
    <w:rsid w:val="1C2213DB"/>
    <w:rsid w:val="1C251A55"/>
    <w:rsid w:val="1C28A704"/>
    <w:rsid w:val="1C28CC8B"/>
    <w:rsid w:val="1C295A77"/>
    <w:rsid w:val="1C2BC72E"/>
    <w:rsid w:val="1C2DBAF1"/>
    <w:rsid w:val="1C336B10"/>
    <w:rsid w:val="1C3825D5"/>
    <w:rsid w:val="1C3B4749"/>
    <w:rsid w:val="1C3D4B43"/>
    <w:rsid w:val="1C4076FD"/>
    <w:rsid w:val="1C41CBCE"/>
    <w:rsid w:val="1C42C8F5"/>
    <w:rsid w:val="1C489177"/>
    <w:rsid w:val="1C48CB60"/>
    <w:rsid w:val="1C49A442"/>
    <w:rsid w:val="1C4A84D7"/>
    <w:rsid w:val="1C4E1A28"/>
    <w:rsid w:val="1C4F4CBE"/>
    <w:rsid w:val="1C51B27D"/>
    <w:rsid w:val="1C54F77F"/>
    <w:rsid w:val="1C568945"/>
    <w:rsid w:val="1C580F21"/>
    <w:rsid w:val="1C5A4227"/>
    <w:rsid w:val="1C64E34B"/>
    <w:rsid w:val="1C65AB35"/>
    <w:rsid w:val="1C67B3C0"/>
    <w:rsid w:val="1C6AD361"/>
    <w:rsid w:val="1C6BC0B5"/>
    <w:rsid w:val="1C6DEDA6"/>
    <w:rsid w:val="1C71F09B"/>
    <w:rsid w:val="1C76BC5A"/>
    <w:rsid w:val="1C76D027"/>
    <w:rsid w:val="1C80AD62"/>
    <w:rsid w:val="1C8232CE"/>
    <w:rsid w:val="1C866020"/>
    <w:rsid w:val="1C88C8A8"/>
    <w:rsid w:val="1C8BB3DD"/>
    <w:rsid w:val="1C8CEBAD"/>
    <w:rsid w:val="1C912AC8"/>
    <w:rsid w:val="1C9466E3"/>
    <w:rsid w:val="1C98320F"/>
    <w:rsid w:val="1C9892A6"/>
    <w:rsid w:val="1C99A06E"/>
    <w:rsid w:val="1C9E8DB7"/>
    <w:rsid w:val="1C9EF33F"/>
    <w:rsid w:val="1C9F804F"/>
    <w:rsid w:val="1CA0661F"/>
    <w:rsid w:val="1CA2EB76"/>
    <w:rsid w:val="1CAEA80E"/>
    <w:rsid w:val="1CAF2C5A"/>
    <w:rsid w:val="1CB41210"/>
    <w:rsid w:val="1CB48574"/>
    <w:rsid w:val="1CB62A76"/>
    <w:rsid w:val="1CB8F689"/>
    <w:rsid w:val="1CBAF8F4"/>
    <w:rsid w:val="1CC034C2"/>
    <w:rsid w:val="1CC13E76"/>
    <w:rsid w:val="1CC3B950"/>
    <w:rsid w:val="1CC72FB6"/>
    <w:rsid w:val="1CCC0F17"/>
    <w:rsid w:val="1CCE3BFB"/>
    <w:rsid w:val="1CCF4211"/>
    <w:rsid w:val="1CCF87C1"/>
    <w:rsid w:val="1CD0E6C4"/>
    <w:rsid w:val="1CD5BED3"/>
    <w:rsid w:val="1CD83857"/>
    <w:rsid w:val="1CD93CDE"/>
    <w:rsid w:val="1CDB6E99"/>
    <w:rsid w:val="1CDB8F9C"/>
    <w:rsid w:val="1CDE34E4"/>
    <w:rsid w:val="1CE186B3"/>
    <w:rsid w:val="1CE3CA0B"/>
    <w:rsid w:val="1CE8B250"/>
    <w:rsid w:val="1CEADDC0"/>
    <w:rsid w:val="1CF0468D"/>
    <w:rsid w:val="1CF29959"/>
    <w:rsid w:val="1CF5D5D1"/>
    <w:rsid w:val="1CF626ED"/>
    <w:rsid w:val="1CFC9128"/>
    <w:rsid w:val="1D025A75"/>
    <w:rsid w:val="1D05187A"/>
    <w:rsid w:val="1D0697E9"/>
    <w:rsid w:val="1D0DE45D"/>
    <w:rsid w:val="1D122110"/>
    <w:rsid w:val="1D14A91D"/>
    <w:rsid w:val="1D155BEB"/>
    <w:rsid w:val="1D1B09AB"/>
    <w:rsid w:val="1D236DEB"/>
    <w:rsid w:val="1D28C191"/>
    <w:rsid w:val="1D2AC1A5"/>
    <w:rsid w:val="1D2ACFEB"/>
    <w:rsid w:val="1D2D01AA"/>
    <w:rsid w:val="1D303280"/>
    <w:rsid w:val="1D311180"/>
    <w:rsid w:val="1D34D576"/>
    <w:rsid w:val="1D389AB0"/>
    <w:rsid w:val="1D39060C"/>
    <w:rsid w:val="1D3B4603"/>
    <w:rsid w:val="1D404661"/>
    <w:rsid w:val="1D430ADC"/>
    <w:rsid w:val="1D4506C8"/>
    <w:rsid w:val="1D47C387"/>
    <w:rsid w:val="1D521829"/>
    <w:rsid w:val="1D56A136"/>
    <w:rsid w:val="1D5B98A9"/>
    <w:rsid w:val="1D5CBE77"/>
    <w:rsid w:val="1D60EBE4"/>
    <w:rsid w:val="1D63D8CA"/>
    <w:rsid w:val="1D666F60"/>
    <w:rsid w:val="1D67E283"/>
    <w:rsid w:val="1D680FC2"/>
    <w:rsid w:val="1D6880B9"/>
    <w:rsid w:val="1D6B7B48"/>
    <w:rsid w:val="1D714258"/>
    <w:rsid w:val="1D71710C"/>
    <w:rsid w:val="1D72C144"/>
    <w:rsid w:val="1D74A78A"/>
    <w:rsid w:val="1D75AE75"/>
    <w:rsid w:val="1D772885"/>
    <w:rsid w:val="1D78E73D"/>
    <w:rsid w:val="1D7B26CB"/>
    <w:rsid w:val="1D7FA8FA"/>
    <w:rsid w:val="1D82033E"/>
    <w:rsid w:val="1D8206E8"/>
    <w:rsid w:val="1D8264C5"/>
    <w:rsid w:val="1D84868E"/>
    <w:rsid w:val="1D872AFA"/>
    <w:rsid w:val="1D890984"/>
    <w:rsid w:val="1D930214"/>
    <w:rsid w:val="1D93252A"/>
    <w:rsid w:val="1D949C58"/>
    <w:rsid w:val="1D95976A"/>
    <w:rsid w:val="1D9E7D2A"/>
    <w:rsid w:val="1DA17614"/>
    <w:rsid w:val="1DA1C998"/>
    <w:rsid w:val="1DA50E15"/>
    <w:rsid w:val="1DA5C07B"/>
    <w:rsid w:val="1DA8AD40"/>
    <w:rsid w:val="1DA8D7DC"/>
    <w:rsid w:val="1DA93398"/>
    <w:rsid w:val="1DB3FB06"/>
    <w:rsid w:val="1DBCFCC9"/>
    <w:rsid w:val="1DBEF126"/>
    <w:rsid w:val="1DBF1DEE"/>
    <w:rsid w:val="1DC0A7B4"/>
    <w:rsid w:val="1DC5F49B"/>
    <w:rsid w:val="1DC84025"/>
    <w:rsid w:val="1DCA00D8"/>
    <w:rsid w:val="1DCD1C7B"/>
    <w:rsid w:val="1DCD7088"/>
    <w:rsid w:val="1DCE1FEE"/>
    <w:rsid w:val="1DD4E2F2"/>
    <w:rsid w:val="1DD69434"/>
    <w:rsid w:val="1DD8891E"/>
    <w:rsid w:val="1DDAA01D"/>
    <w:rsid w:val="1DDCACD2"/>
    <w:rsid w:val="1DE79039"/>
    <w:rsid w:val="1DE9CB95"/>
    <w:rsid w:val="1DEAA9B8"/>
    <w:rsid w:val="1DEBB868"/>
    <w:rsid w:val="1DEE5AD0"/>
    <w:rsid w:val="1DEFEB2B"/>
    <w:rsid w:val="1DF54C2B"/>
    <w:rsid w:val="1DF61D0C"/>
    <w:rsid w:val="1DF9929C"/>
    <w:rsid w:val="1DFC0D8D"/>
    <w:rsid w:val="1DFCB58F"/>
    <w:rsid w:val="1DFD356A"/>
    <w:rsid w:val="1DFFC4CC"/>
    <w:rsid w:val="1E032E8B"/>
    <w:rsid w:val="1E04601C"/>
    <w:rsid w:val="1E057CCB"/>
    <w:rsid w:val="1E059F67"/>
    <w:rsid w:val="1E05F71D"/>
    <w:rsid w:val="1E0C0603"/>
    <w:rsid w:val="1E0F7471"/>
    <w:rsid w:val="1E1C7B20"/>
    <w:rsid w:val="1E203AB4"/>
    <w:rsid w:val="1E20BB19"/>
    <w:rsid w:val="1E20F2AA"/>
    <w:rsid w:val="1E2399B0"/>
    <w:rsid w:val="1E2644DA"/>
    <w:rsid w:val="1E29E29F"/>
    <w:rsid w:val="1E2AA862"/>
    <w:rsid w:val="1E2ED8F5"/>
    <w:rsid w:val="1E366292"/>
    <w:rsid w:val="1E37A84A"/>
    <w:rsid w:val="1E3B5F1F"/>
    <w:rsid w:val="1E41A79F"/>
    <w:rsid w:val="1E41BC8D"/>
    <w:rsid w:val="1E46F50E"/>
    <w:rsid w:val="1E473600"/>
    <w:rsid w:val="1E4DEF35"/>
    <w:rsid w:val="1E4FB50F"/>
    <w:rsid w:val="1E504A83"/>
    <w:rsid w:val="1E507DE8"/>
    <w:rsid w:val="1E50DAD2"/>
    <w:rsid w:val="1E51D75E"/>
    <w:rsid w:val="1E532E99"/>
    <w:rsid w:val="1E5865AB"/>
    <w:rsid w:val="1E5BA699"/>
    <w:rsid w:val="1E5D031A"/>
    <w:rsid w:val="1E5E59CE"/>
    <w:rsid w:val="1E6039A0"/>
    <w:rsid w:val="1E655756"/>
    <w:rsid w:val="1E6646BA"/>
    <w:rsid w:val="1E68BCE0"/>
    <w:rsid w:val="1E69A111"/>
    <w:rsid w:val="1E6A5691"/>
    <w:rsid w:val="1E6CE6D7"/>
    <w:rsid w:val="1E6EA393"/>
    <w:rsid w:val="1E71A8D9"/>
    <w:rsid w:val="1E7407AC"/>
    <w:rsid w:val="1E75CDD1"/>
    <w:rsid w:val="1E841C08"/>
    <w:rsid w:val="1E86A3E8"/>
    <w:rsid w:val="1E8FA2FD"/>
    <w:rsid w:val="1E93E161"/>
    <w:rsid w:val="1E965C80"/>
    <w:rsid w:val="1E989412"/>
    <w:rsid w:val="1E9B034C"/>
    <w:rsid w:val="1E9C33D7"/>
    <w:rsid w:val="1E9D5CB3"/>
    <w:rsid w:val="1EA4FC87"/>
    <w:rsid w:val="1EA722AB"/>
    <w:rsid w:val="1EA74B1B"/>
    <w:rsid w:val="1EAAB163"/>
    <w:rsid w:val="1EAD61F5"/>
    <w:rsid w:val="1EB006A5"/>
    <w:rsid w:val="1EB1173C"/>
    <w:rsid w:val="1EB33CFC"/>
    <w:rsid w:val="1EB6FB71"/>
    <w:rsid w:val="1EB7C742"/>
    <w:rsid w:val="1EBACD9F"/>
    <w:rsid w:val="1EBB1FF4"/>
    <w:rsid w:val="1EBBDAC0"/>
    <w:rsid w:val="1EBF3B2C"/>
    <w:rsid w:val="1EC217B3"/>
    <w:rsid w:val="1EC63798"/>
    <w:rsid w:val="1EC721F6"/>
    <w:rsid w:val="1ECBDBD7"/>
    <w:rsid w:val="1ECC09DC"/>
    <w:rsid w:val="1ECF0087"/>
    <w:rsid w:val="1ED4A192"/>
    <w:rsid w:val="1ED56882"/>
    <w:rsid w:val="1ED93169"/>
    <w:rsid w:val="1EDD8B38"/>
    <w:rsid w:val="1EE1DFA9"/>
    <w:rsid w:val="1EE75704"/>
    <w:rsid w:val="1EE7A33E"/>
    <w:rsid w:val="1EEA5D7B"/>
    <w:rsid w:val="1EEC62EE"/>
    <w:rsid w:val="1EF0E8D2"/>
    <w:rsid w:val="1EF1D8AE"/>
    <w:rsid w:val="1EF84D1A"/>
    <w:rsid w:val="1EF919B6"/>
    <w:rsid w:val="1EFB717B"/>
    <w:rsid w:val="1EFFCA73"/>
    <w:rsid w:val="1F04E8B2"/>
    <w:rsid w:val="1F06D486"/>
    <w:rsid w:val="1F09B66E"/>
    <w:rsid w:val="1F0C0F69"/>
    <w:rsid w:val="1F0C6D71"/>
    <w:rsid w:val="1F0D0721"/>
    <w:rsid w:val="1F116E04"/>
    <w:rsid w:val="1F17F2DC"/>
    <w:rsid w:val="1F18BB58"/>
    <w:rsid w:val="1F256ED4"/>
    <w:rsid w:val="1F25E9B6"/>
    <w:rsid w:val="1F288AD7"/>
    <w:rsid w:val="1F295F75"/>
    <w:rsid w:val="1F2CDA97"/>
    <w:rsid w:val="1F2D2040"/>
    <w:rsid w:val="1F2E04AE"/>
    <w:rsid w:val="1F318DC6"/>
    <w:rsid w:val="1F375E7B"/>
    <w:rsid w:val="1F3A7AB5"/>
    <w:rsid w:val="1F3FD56B"/>
    <w:rsid w:val="1F412C1C"/>
    <w:rsid w:val="1F44018C"/>
    <w:rsid w:val="1F48EC6D"/>
    <w:rsid w:val="1F52EB70"/>
    <w:rsid w:val="1F5B398E"/>
    <w:rsid w:val="1F5F0E00"/>
    <w:rsid w:val="1F6035E6"/>
    <w:rsid w:val="1F627CEF"/>
    <w:rsid w:val="1F66B2E1"/>
    <w:rsid w:val="1F66B667"/>
    <w:rsid w:val="1F68043F"/>
    <w:rsid w:val="1F69C281"/>
    <w:rsid w:val="1F6E87F7"/>
    <w:rsid w:val="1F7144E2"/>
    <w:rsid w:val="1F735705"/>
    <w:rsid w:val="1F74221C"/>
    <w:rsid w:val="1F782782"/>
    <w:rsid w:val="1F78A3EB"/>
    <w:rsid w:val="1F796DA1"/>
    <w:rsid w:val="1F7F0020"/>
    <w:rsid w:val="1F81106B"/>
    <w:rsid w:val="1F831F03"/>
    <w:rsid w:val="1F85BB94"/>
    <w:rsid w:val="1F88AAAE"/>
    <w:rsid w:val="1F8ABAC6"/>
    <w:rsid w:val="1F8E740C"/>
    <w:rsid w:val="1F8F928A"/>
    <w:rsid w:val="1F93F09F"/>
    <w:rsid w:val="1F96918F"/>
    <w:rsid w:val="1F9A32CC"/>
    <w:rsid w:val="1F9C7DB8"/>
    <w:rsid w:val="1F9CDB21"/>
    <w:rsid w:val="1FA37CC1"/>
    <w:rsid w:val="1FA391B6"/>
    <w:rsid w:val="1FAF3DD7"/>
    <w:rsid w:val="1FB0562C"/>
    <w:rsid w:val="1FBD04C6"/>
    <w:rsid w:val="1FBDB478"/>
    <w:rsid w:val="1FC7E22A"/>
    <w:rsid w:val="1FCC926A"/>
    <w:rsid w:val="1FCD31E9"/>
    <w:rsid w:val="1FCD6225"/>
    <w:rsid w:val="1FD5B7BF"/>
    <w:rsid w:val="1FDCD53F"/>
    <w:rsid w:val="1FDE49B8"/>
    <w:rsid w:val="1FE0567C"/>
    <w:rsid w:val="1FE23105"/>
    <w:rsid w:val="1FE3DA84"/>
    <w:rsid w:val="1FE493FB"/>
    <w:rsid w:val="1FEE69F8"/>
    <w:rsid w:val="1FF0D1D1"/>
    <w:rsid w:val="1FF1A7C5"/>
    <w:rsid w:val="1FF6A285"/>
    <w:rsid w:val="1FF7A811"/>
    <w:rsid w:val="2002501F"/>
    <w:rsid w:val="2005CEE5"/>
    <w:rsid w:val="200909AB"/>
    <w:rsid w:val="2009948C"/>
    <w:rsid w:val="200D0E18"/>
    <w:rsid w:val="200DA4AB"/>
    <w:rsid w:val="2011A20D"/>
    <w:rsid w:val="2011E896"/>
    <w:rsid w:val="2012BC0A"/>
    <w:rsid w:val="20133996"/>
    <w:rsid w:val="2013B16E"/>
    <w:rsid w:val="2014550D"/>
    <w:rsid w:val="2019E70B"/>
    <w:rsid w:val="201A6C94"/>
    <w:rsid w:val="201C4293"/>
    <w:rsid w:val="201E5421"/>
    <w:rsid w:val="202094F0"/>
    <w:rsid w:val="20251585"/>
    <w:rsid w:val="2027214F"/>
    <w:rsid w:val="202F3B93"/>
    <w:rsid w:val="2038A178"/>
    <w:rsid w:val="203ADC5E"/>
    <w:rsid w:val="204248D2"/>
    <w:rsid w:val="20485DA1"/>
    <w:rsid w:val="204BAF2D"/>
    <w:rsid w:val="204ED8BA"/>
    <w:rsid w:val="204EECD1"/>
    <w:rsid w:val="204F5E93"/>
    <w:rsid w:val="20513521"/>
    <w:rsid w:val="20678F0E"/>
    <w:rsid w:val="206C94E5"/>
    <w:rsid w:val="206E16BC"/>
    <w:rsid w:val="206E4231"/>
    <w:rsid w:val="207604EA"/>
    <w:rsid w:val="20812354"/>
    <w:rsid w:val="20861DCA"/>
    <w:rsid w:val="208C198A"/>
    <w:rsid w:val="20959D7D"/>
    <w:rsid w:val="20A0DEDD"/>
    <w:rsid w:val="20A2D983"/>
    <w:rsid w:val="20A2F735"/>
    <w:rsid w:val="20A3699E"/>
    <w:rsid w:val="20A41F67"/>
    <w:rsid w:val="20AA7A8C"/>
    <w:rsid w:val="20AB5EB7"/>
    <w:rsid w:val="20AF1789"/>
    <w:rsid w:val="20B3B7B0"/>
    <w:rsid w:val="20C566AC"/>
    <w:rsid w:val="20C7810F"/>
    <w:rsid w:val="20C9EFC7"/>
    <w:rsid w:val="20CB2523"/>
    <w:rsid w:val="20D42D66"/>
    <w:rsid w:val="20D4722C"/>
    <w:rsid w:val="20D7A0DD"/>
    <w:rsid w:val="20D9017D"/>
    <w:rsid w:val="20D9B51A"/>
    <w:rsid w:val="20DF3F36"/>
    <w:rsid w:val="20DF52EA"/>
    <w:rsid w:val="20DFF1F6"/>
    <w:rsid w:val="20E44B42"/>
    <w:rsid w:val="20E80729"/>
    <w:rsid w:val="20ED0F78"/>
    <w:rsid w:val="20F43655"/>
    <w:rsid w:val="20F9B63C"/>
    <w:rsid w:val="20FBEBF2"/>
    <w:rsid w:val="2100731E"/>
    <w:rsid w:val="2100F58F"/>
    <w:rsid w:val="210C0537"/>
    <w:rsid w:val="210DAE9E"/>
    <w:rsid w:val="2111AB1C"/>
    <w:rsid w:val="21193631"/>
    <w:rsid w:val="2121E105"/>
    <w:rsid w:val="2126768A"/>
    <w:rsid w:val="212AB20C"/>
    <w:rsid w:val="212BC792"/>
    <w:rsid w:val="21326DA1"/>
    <w:rsid w:val="2134692E"/>
    <w:rsid w:val="2136B4C6"/>
    <w:rsid w:val="2137CB83"/>
    <w:rsid w:val="213C10F0"/>
    <w:rsid w:val="21402A36"/>
    <w:rsid w:val="2149D3E9"/>
    <w:rsid w:val="214C285C"/>
    <w:rsid w:val="214DE768"/>
    <w:rsid w:val="214E3574"/>
    <w:rsid w:val="21568011"/>
    <w:rsid w:val="2156E82D"/>
    <w:rsid w:val="21583033"/>
    <w:rsid w:val="21598C60"/>
    <w:rsid w:val="2162965F"/>
    <w:rsid w:val="2166EC16"/>
    <w:rsid w:val="216AEAF7"/>
    <w:rsid w:val="21738F7B"/>
    <w:rsid w:val="2174F282"/>
    <w:rsid w:val="21772334"/>
    <w:rsid w:val="2180E668"/>
    <w:rsid w:val="2181F561"/>
    <w:rsid w:val="2186D82F"/>
    <w:rsid w:val="2187443E"/>
    <w:rsid w:val="2187CC7A"/>
    <w:rsid w:val="2187DF8A"/>
    <w:rsid w:val="21899DF3"/>
    <w:rsid w:val="218B36A5"/>
    <w:rsid w:val="218F4BAA"/>
    <w:rsid w:val="21912F6B"/>
    <w:rsid w:val="2192AB71"/>
    <w:rsid w:val="2196BD9C"/>
    <w:rsid w:val="219AEE88"/>
    <w:rsid w:val="219CE7C1"/>
    <w:rsid w:val="21AA2D8D"/>
    <w:rsid w:val="21AB27A2"/>
    <w:rsid w:val="21AE67C6"/>
    <w:rsid w:val="21AF4B2D"/>
    <w:rsid w:val="21B34423"/>
    <w:rsid w:val="21B6CDD9"/>
    <w:rsid w:val="21B80E23"/>
    <w:rsid w:val="21C04799"/>
    <w:rsid w:val="21C77045"/>
    <w:rsid w:val="21C87510"/>
    <w:rsid w:val="21CAB52B"/>
    <w:rsid w:val="21D2EACA"/>
    <w:rsid w:val="21D718E3"/>
    <w:rsid w:val="21D8C0A8"/>
    <w:rsid w:val="21D928A8"/>
    <w:rsid w:val="21DD76E0"/>
    <w:rsid w:val="21E31123"/>
    <w:rsid w:val="21E4CC57"/>
    <w:rsid w:val="21E58F7E"/>
    <w:rsid w:val="21E6CBFA"/>
    <w:rsid w:val="21E9CBAB"/>
    <w:rsid w:val="21EAEB38"/>
    <w:rsid w:val="21EBDD54"/>
    <w:rsid w:val="21EFF2C9"/>
    <w:rsid w:val="21F07052"/>
    <w:rsid w:val="21F857CC"/>
    <w:rsid w:val="21FA2871"/>
    <w:rsid w:val="2201D006"/>
    <w:rsid w:val="220480A6"/>
    <w:rsid w:val="2214C4E6"/>
    <w:rsid w:val="22178842"/>
    <w:rsid w:val="2219E365"/>
    <w:rsid w:val="221CCF19"/>
    <w:rsid w:val="22209502"/>
    <w:rsid w:val="2226D78B"/>
    <w:rsid w:val="22278193"/>
    <w:rsid w:val="222834D3"/>
    <w:rsid w:val="2228BB7A"/>
    <w:rsid w:val="222BBEBC"/>
    <w:rsid w:val="222D744F"/>
    <w:rsid w:val="22310024"/>
    <w:rsid w:val="2238758D"/>
    <w:rsid w:val="2239000F"/>
    <w:rsid w:val="223D1E30"/>
    <w:rsid w:val="22431068"/>
    <w:rsid w:val="22442C51"/>
    <w:rsid w:val="224CC985"/>
    <w:rsid w:val="224E0007"/>
    <w:rsid w:val="224F2DEC"/>
    <w:rsid w:val="22554D1E"/>
    <w:rsid w:val="225A3BC0"/>
    <w:rsid w:val="225BA44D"/>
    <w:rsid w:val="22622437"/>
    <w:rsid w:val="2264ED35"/>
    <w:rsid w:val="2265CB1C"/>
    <w:rsid w:val="226707F7"/>
    <w:rsid w:val="2267F43F"/>
    <w:rsid w:val="226CB2E3"/>
    <w:rsid w:val="2275018A"/>
    <w:rsid w:val="227B2D9C"/>
    <w:rsid w:val="227BA7A2"/>
    <w:rsid w:val="227FF133"/>
    <w:rsid w:val="2282E9C6"/>
    <w:rsid w:val="2282FB83"/>
    <w:rsid w:val="2284BED4"/>
    <w:rsid w:val="2287A855"/>
    <w:rsid w:val="228E980A"/>
    <w:rsid w:val="228EB85E"/>
    <w:rsid w:val="228F2E17"/>
    <w:rsid w:val="2294C4C6"/>
    <w:rsid w:val="229AF58F"/>
    <w:rsid w:val="22A5761C"/>
    <w:rsid w:val="22B41FA8"/>
    <w:rsid w:val="22B4A066"/>
    <w:rsid w:val="22B66070"/>
    <w:rsid w:val="22B79A5D"/>
    <w:rsid w:val="22BD2C55"/>
    <w:rsid w:val="22C507F2"/>
    <w:rsid w:val="22C7D373"/>
    <w:rsid w:val="22CAA35B"/>
    <w:rsid w:val="22D0709D"/>
    <w:rsid w:val="22DB0731"/>
    <w:rsid w:val="22DB1E99"/>
    <w:rsid w:val="22DC0A11"/>
    <w:rsid w:val="22DF8A7D"/>
    <w:rsid w:val="22E2C7AB"/>
    <w:rsid w:val="22E5C2E9"/>
    <w:rsid w:val="22E8BEFD"/>
    <w:rsid w:val="22E9A96A"/>
    <w:rsid w:val="22EAA628"/>
    <w:rsid w:val="22EACBE4"/>
    <w:rsid w:val="22F25247"/>
    <w:rsid w:val="22F361B5"/>
    <w:rsid w:val="22F70E0D"/>
    <w:rsid w:val="22FDCC47"/>
    <w:rsid w:val="22FE1DC2"/>
    <w:rsid w:val="23041682"/>
    <w:rsid w:val="2308310C"/>
    <w:rsid w:val="230922F2"/>
    <w:rsid w:val="230F6ACF"/>
    <w:rsid w:val="2313F320"/>
    <w:rsid w:val="2317E303"/>
    <w:rsid w:val="231D3241"/>
    <w:rsid w:val="231E186C"/>
    <w:rsid w:val="231F7253"/>
    <w:rsid w:val="231F7383"/>
    <w:rsid w:val="2325A290"/>
    <w:rsid w:val="232732D1"/>
    <w:rsid w:val="232F36A9"/>
    <w:rsid w:val="2331CAF1"/>
    <w:rsid w:val="23328107"/>
    <w:rsid w:val="2337C16C"/>
    <w:rsid w:val="23423D6D"/>
    <w:rsid w:val="2346B7EE"/>
    <w:rsid w:val="23475431"/>
    <w:rsid w:val="234E13A5"/>
    <w:rsid w:val="235091A9"/>
    <w:rsid w:val="23540DCE"/>
    <w:rsid w:val="2354DFE4"/>
    <w:rsid w:val="2356E24D"/>
    <w:rsid w:val="235937AC"/>
    <w:rsid w:val="235D39F6"/>
    <w:rsid w:val="235FD4C7"/>
    <w:rsid w:val="23609CAE"/>
    <w:rsid w:val="2364BC10"/>
    <w:rsid w:val="2364E327"/>
    <w:rsid w:val="23672907"/>
    <w:rsid w:val="236C616F"/>
    <w:rsid w:val="2374758C"/>
    <w:rsid w:val="23762919"/>
    <w:rsid w:val="237B3E32"/>
    <w:rsid w:val="237C8E69"/>
    <w:rsid w:val="2381827A"/>
    <w:rsid w:val="2383BAEC"/>
    <w:rsid w:val="23877C09"/>
    <w:rsid w:val="238864AF"/>
    <w:rsid w:val="2388C33A"/>
    <w:rsid w:val="238D7F13"/>
    <w:rsid w:val="23910A45"/>
    <w:rsid w:val="23929EBF"/>
    <w:rsid w:val="23932615"/>
    <w:rsid w:val="2394DCA3"/>
    <w:rsid w:val="239538E1"/>
    <w:rsid w:val="23956ED6"/>
    <w:rsid w:val="239580A1"/>
    <w:rsid w:val="239842CC"/>
    <w:rsid w:val="2399E238"/>
    <w:rsid w:val="239E5FC2"/>
    <w:rsid w:val="239F3D28"/>
    <w:rsid w:val="23B481C4"/>
    <w:rsid w:val="23B4D923"/>
    <w:rsid w:val="23B5F6DE"/>
    <w:rsid w:val="23B6A9A6"/>
    <w:rsid w:val="23B833FB"/>
    <w:rsid w:val="23BD6DC8"/>
    <w:rsid w:val="23BE2145"/>
    <w:rsid w:val="23BE7C49"/>
    <w:rsid w:val="23BF2A26"/>
    <w:rsid w:val="23C1289F"/>
    <w:rsid w:val="23C5E810"/>
    <w:rsid w:val="23CD7ABE"/>
    <w:rsid w:val="23CE459E"/>
    <w:rsid w:val="23D39301"/>
    <w:rsid w:val="23D59F57"/>
    <w:rsid w:val="23D65C3A"/>
    <w:rsid w:val="23DB1454"/>
    <w:rsid w:val="23E1CA02"/>
    <w:rsid w:val="23E3097F"/>
    <w:rsid w:val="23E35AFA"/>
    <w:rsid w:val="23E617EA"/>
    <w:rsid w:val="23E70DE1"/>
    <w:rsid w:val="23EBE655"/>
    <w:rsid w:val="23EF7A13"/>
    <w:rsid w:val="23F00835"/>
    <w:rsid w:val="23F1C252"/>
    <w:rsid w:val="23F47796"/>
    <w:rsid w:val="23FCE941"/>
    <w:rsid w:val="23FEE38E"/>
    <w:rsid w:val="23FEEC1C"/>
    <w:rsid w:val="23FEEE7D"/>
    <w:rsid w:val="24046A9E"/>
    <w:rsid w:val="2404DF91"/>
    <w:rsid w:val="2404EB81"/>
    <w:rsid w:val="24074646"/>
    <w:rsid w:val="24105433"/>
    <w:rsid w:val="2414454B"/>
    <w:rsid w:val="2415BA8E"/>
    <w:rsid w:val="24176717"/>
    <w:rsid w:val="241E1382"/>
    <w:rsid w:val="241F3CD3"/>
    <w:rsid w:val="241F98E7"/>
    <w:rsid w:val="2424C3DE"/>
    <w:rsid w:val="2426EEAA"/>
    <w:rsid w:val="24286897"/>
    <w:rsid w:val="242A3BB6"/>
    <w:rsid w:val="242B8CC9"/>
    <w:rsid w:val="2432082E"/>
    <w:rsid w:val="2434E10A"/>
    <w:rsid w:val="2436CCD2"/>
    <w:rsid w:val="2436F57D"/>
    <w:rsid w:val="243C9758"/>
    <w:rsid w:val="243F6F2F"/>
    <w:rsid w:val="244A8DC1"/>
    <w:rsid w:val="244F40AE"/>
    <w:rsid w:val="245039F8"/>
    <w:rsid w:val="2453262A"/>
    <w:rsid w:val="2455A2D2"/>
    <w:rsid w:val="245A7762"/>
    <w:rsid w:val="245AD29F"/>
    <w:rsid w:val="245B3A3B"/>
    <w:rsid w:val="24642FC1"/>
    <w:rsid w:val="246677F0"/>
    <w:rsid w:val="246900F8"/>
    <w:rsid w:val="247858EE"/>
    <w:rsid w:val="2479BD47"/>
    <w:rsid w:val="247AEE97"/>
    <w:rsid w:val="247EA88D"/>
    <w:rsid w:val="247F50B5"/>
    <w:rsid w:val="2485B6B7"/>
    <w:rsid w:val="24860D8E"/>
    <w:rsid w:val="248AA81B"/>
    <w:rsid w:val="248AAABC"/>
    <w:rsid w:val="248CBFA0"/>
    <w:rsid w:val="248D4AD5"/>
    <w:rsid w:val="248E4DE4"/>
    <w:rsid w:val="248F955E"/>
    <w:rsid w:val="248FA6DD"/>
    <w:rsid w:val="2492FA61"/>
    <w:rsid w:val="2498D384"/>
    <w:rsid w:val="249BD330"/>
    <w:rsid w:val="249F3DD6"/>
    <w:rsid w:val="249FF835"/>
    <w:rsid w:val="24A0A79B"/>
    <w:rsid w:val="24A2652B"/>
    <w:rsid w:val="24A800FD"/>
    <w:rsid w:val="24AFBC4C"/>
    <w:rsid w:val="24B054CC"/>
    <w:rsid w:val="24B07A33"/>
    <w:rsid w:val="24B08E0C"/>
    <w:rsid w:val="24B1A196"/>
    <w:rsid w:val="24B34355"/>
    <w:rsid w:val="24B5E707"/>
    <w:rsid w:val="24B7B0ED"/>
    <w:rsid w:val="24B7E49E"/>
    <w:rsid w:val="24BE7169"/>
    <w:rsid w:val="24C3C9C2"/>
    <w:rsid w:val="24C3F796"/>
    <w:rsid w:val="24C41179"/>
    <w:rsid w:val="24C9BE04"/>
    <w:rsid w:val="24CC3B75"/>
    <w:rsid w:val="24D004DC"/>
    <w:rsid w:val="24D841A1"/>
    <w:rsid w:val="24D9C7D2"/>
    <w:rsid w:val="24DA7659"/>
    <w:rsid w:val="24DDE09E"/>
    <w:rsid w:val="24E0C93E"/>
    <w:rsid w:val="24E376BF"/>
    <w:rsid w:val="24E42F8F"/>
    <w:rsid w:val="24EAC7E9"/>
    <w:rsid w:val="24EE930E"/>
    <w:rsid w:val="24F8D872"/>
    <w:rsid w:val="24FB9536"/>
    <w:rsid w:val="250000B6"/>
    <w:rsid w:val="250407E3"/>
    <w:rsid w:val="250BBA2B"/>
    <w:rsid w:val="250C592E"/>
    <w:rsid w:val="250C7C92"/>
    <w:rsid w:val="251021CF"/>
    <w:rsid w:val="251828E8"/>
    <w:rsid w:val="251A89BD"/>
    <w:rsid w:val="251A9251"/>
    <w:rsid w:val="251AF432"/>
    <w:rsid w:val="251B591F"/>
    <w:rsid w:val="251CB8A0"/>
    <w:rsid w:val="2525D1DC"/>
    <w:rsid w:val="25269CAE"/>
    <w:rsid w:val="252B3EFB"/>
    <w:rsid w:val="252E315E"/>
    <w:rsid w:val="252EAC5F"/>
    <w:rsid w:val="25302987"/>
    <w:rsid w:val="2530BDA7"/>
    <w:rsid w:val="2532CB75"/>
    <w:rsid w:val="2532DF8D"/>
    <w:rsid w:val="253642C9"/>
    <w:rsid w:val="253A55F2"/>
    <w:rsid w:val="2548EE9C"/>
    <w:rsid w:val="254BCFA1"/>
    <w:rsid w:val="2558439F"/>
    <w:rsid w:val="255A1B6F"/>
    <w:rsid w:val="255CD4F2"/>
    <w:rsid w:val="2563243E"/>
    <w:rsid w:val="2567D140"/>
    <w:rsid w:val="2569558B"/>
    <w:rsid w:val="257316E2"/>
    <w:rsid w:val="257E14BB"/>
    <w:rsid w:val="257F748E"/>
    <w:rsid w:val="2586F2BD"/>
    <w:rsid w:val="2588A700"/>
    <w:rsid w:val="2589D624"/>
    <w:rsid w:val="258E4005"/>
    <w:rsid w:val="258FC786"/>
    <w:rsid w:val="25966FA5"/>
    <w:rsid w:val="259BE299"/>
    <w:rsid w:val="259CDEFE"/>
    <w:rsid w:val="25A128EF"/>
    <w:rsid w:val="25A8F5A2"/>
    <w:rsid w:val="25AD0C21"/>
    <w:rsid w:val="25AE2FF2"/>
    <w:rsid w:val="25AF9690"/>
    <w:rsid w:val="25B1A71A"/>
    <w:rsid w:val="25C1E75F"/>
    <w:rsid w:val="25C1F792"/>
    <w:rsid w:val="25CD5F4F"/>
    <w:rsid w:val="25D2876A"/>
    <w:rsid w:val="25D30195"/>
    <w:rsid w:val="25D40702"/>
    <w:rsid w:val="25DCCB59"/>
    <w:rsid w:val="25DD5AC2"/>
    <w:rsid w:val="25DDE4C6"/>
    <w:rsid w:val="25E38B0D"/>
    <w:rsid w:val="25E68267"/>
    <w:rsid w:val="25E9BEDC"/>
    <w:rsid w:val="25E9CD58"/>
    <w:rsid w:val="25EA9DB8"/>
    <w:rsid w:val="25EB3BBC"/>
    <w:rsid w:val="25F28500"/>
    <w:rsid w:val="25F35D58"/>
    <w:rsid w:val="25F856FE"/>
    <w:rsid w:val="25FA049A"/>
    <w:rsid w:val="25FD7E46"/>
    <w:rsid w:val="2600BC41"/>
    <w:rsid w:val="260142E3"/>
    <w:rsid w:val="2602F6FF"/>
    <w:rsid w:val="2606F4F2"/>
    <w:rsid w:val="260C768A"/>
    <w:rsid w:val="260D05AB"/>
    <w:rsid w:val="261104CC"/>
    <w:rsid w:val="2612F6BC"/>
    <w:rsid w:val="26171D37"/>
    <w:rsid w:val="26172B20"/>
    <w:rsid w:val="261DABB4"/>
    <w:rsid w:val="261F5F29"/>
    <w:rsid w:val="26220CFE"/>
    <w:rsid w:val="2628A42A"/>
    <w:rsid w:val="262A90FA"/>
    <w:rsid w:val="263A4B66"/>
    <w:rsid w:val="26403461"/>
    <w:rsid w:val="264ED87E"/>
    <w:rsid w:val="2651815E"/>
    <w:rsid w:val="26570D5D"/>
    <w:rsid w:val="2657C37A"/>
    <w:rsid w:val="265B50AD"/>
    <w:rsid w:val="265C10E4"/>
    <w:rsid w:val="265CE943"/>
    <w:rsid w:val="26608A37"/>
    <w:rsid w:val="2665D7D9"/>
    <w:rsid w:val="2665F2C9"/>
    <w:rsid w:val="26661CD6"/>
    <w:rsid w:val="26708D15"/>
    <w:rsid w:val="26730869"/>
    <w:rsid w:val="26735E80"/>
    <w:rsid w:val="26744C44"/>
    <w:rsid w:val="2679BD2D"/>
    <w:rsid w:val="268A62C4"/>
    <w:rsid w:val="268B85C7"/>
    <w:rsid w:val="268E88EA"/>
    <w:rsid w:val="268FB367"/>
    <w:rsid w:val="26950505"/>
    <w:rsid w:val="2695707C"/>
    <w:rsid w:val="26962901"/>
    <w:rsid w:val="269CEF16"/>
    <w:rsid w:val="269DF7A1"/>
    <w:rsid w:val="26A3B8CA"/>
    <w:rsid w:val="26A4B9C1"/>
    <w:rsid w:val="26A514E8"/>
    <w:rsid w:val="26A66AE6"/>
    <w:rsid w:val="26A7B936"/>
    <w:rsid w:val="26AFF36E"/>
    <w:rsid w:val="26B09FAB"/>
    <w:rsid w:val="26BC8E8C"/>
    <w:rsid w:val="26BE76B2"/>
    <w:rsid w:val="26BE8F4A"/>
    <w:rsid w:val="26BEE4B8"/>
    <w:rsid w:val="26BF789E"/>
    <w:rsid w:val="26C18300"/>
    <w:rsid w:val="26C782DE"/>
    <w:rsid w:val="26CE3D18"/>
    <w:rsid w:val="26CF570A"/>
    <w:rsid w:val="26D27DF8"/>
    <w:rsid w:val="26D81CAC"/>
    <w:rsid w:val="26DD5C83"/>
    <w:rsid w:val="26E91A03"/>
    <w:rsid w:val="26ED3FCD"/>
    <w:rsid w:val="26EEDD6B"/>
    <w:rsid w:val="26F3907F"/>
    <w:rsid w:val="26F92584"/>
    <w:rsid w:val="26FF076C"/>
    <w:rsid w:val="270082B2"/>
    <w:rsid w:val="2702A2E8"/>
    <w:rsid w:val="2702F12D"/>
    <w:rsid w:val="270388B1"/>
    <w:rsid w:val="2706DD6F"/>
    <w:rsid w:val="27089735"/>
    <w:rsid w:val="270961EE"/>
    <w:rsid w:val="270A1E46"/>
    <w:rsid w:val="270A67AD"/>
    <w:rsid w:val="270CC891"/>
    <w:rsid w:val="270D78F4"/>
    <w:rsid w:val="27125895"/>
    <w:rsid w:val="271435CC"/>
    <w:rsid w:val="27154BB7"/>
    <w:rsid w:val="2716E103"/>
    <w:rsid w:val="27210BBB"/>
    <w:rsid w:val="2721A531"/>
    <w:rsid w:val="27255BB6"/>
    <w:rsid w:val="27260DC7"/>
    <w:rsid w:val="272B0DDD"/>
    <w:rsid w:val="272BD264"/>
    <w:rsid w:val="272E26B0"/>
    <w:rsid w:val="273A8967"/>
    <w:rsid w:val="273B6950"/>
    <w:rsid w:val="2742F50A"/>
    <w:rsid w:val="2747EFC2"/>
    <w:rsid w:val="274F7F64"/>
    <w:rsid w:val="2750A96C"/>
    <w:rsid w:val="27534FA0"/>
    <w:rsid w:val="2754C0BA"/>
    <w:rsid w:val="27632D8B"/>
    <w:rsid w:val="2764C42E"/>
    <w:rsid w:val="2768AB96"/>
    <w:rsid w:val="276B1CED"/>
    <w:rsid w:val="276DA4E1"/>
    <w:rsid w:val="276DC630"/>
    <w:rsid w:val="276E3A55"/>
    <w:rsid w:val="276E800F"/>
    <w:rsid w:val="27731955"/>
    <w:rsid w:val="2777B471"/>
    <w:rsid w:val="2781FA8D"/>
    <w:rsid w:val="27869F6B"/>
    <w:rsid w:val="27870AEF"/>
    <w:rsid w:val="27878A64"/>
    <w:rsid w:val="2788FFEA"/>
    <w:rsid w:val="27894879"/>
    <w:rsid w:val="278AD4F6"/>
    <w:rsid w:val="2790A1C0"/>
    <w:rsid w:val="27924713"/>
    <w:rsid w:val="279288C3"/>
    <w:rsid w:val="2798028F"/>
    <w:rsid w:val="279E1AB8"/>
    <w:rsid w:val="279E26BB"/>
    <w:rsid w:val="27A1A2C3"/>
    <w:rsid w:val="27A7A30C"/>
    <w:rsid w:val="27A7EADA"/>
    <w:rsid w:val="27A80473"/>
    <w:rsid w:val="27A92662"/>
    <w:rsid w:val="27ADC0E9"/>
    <w:rsid w:val="27B3F41E"/>
    <w:rsid w:val="27B9233A"/>
    <w:rsid w:val="27BD0607"/>
    <w:rsid w:val="27BF0725"/>
    <w:rsid w:val="27CCE560"/>
    <w:rsid w:val="27CEF6C8"/>
    <w:rsid w:val="27CF4F79"/>
    <w:rsid w:val="27D01F79"/>
    <w:rsid w:val="27D2F5E3"/>
    <w:rsid w:val="27D3961E"/>
    <w:rsid w:val="27D4D5C5"/>
    <w:rsid w:val="27D6609C"/>
    <w:rsid w:val="27DC4747"/>
    <w:rsid w:val="27E322EC"/>
    <w:rsid w:val="27E42A68"/>
    <w:rsid w:val="27E7C7F3"/>
    <w:rsid w:val="27EAFBDA"/>
    <w:rsid w:val="27EB6038"/>
    <w:rsid w:val="27EC3925"/>
    <w:rsid w:val="27F4F44B"/>
    <w:rsid w:val="27F53B9B"/>
    <w:rsid w:val="27F9603E"/>
    <w:rsid w:val="27F96ACF"/>
    <w:rsid w:val="2800EF8A"/>
    <w:rsid w:val="2801708C"/>
    <w:rsid w:val="28074940"/>
    <w:rsid w:val="280A1C5B"/>
    <w:rsid w:val="281E5D67"/>
    <w:rsid w:val="281EBFF9"/>
    <w:rsid w:val="281F70A6"/>
    <w:rsid w:val="28229D3E"/>
    <w:rsid w:val="2823BE7B"/>
    <w:rsid w:val="282FAEEC"/>
    <w:rsid w:val="283033C2"/>
    <w:rsid w:val="28387CEE"/>
    <w:rsid w:val="284054B8"/>
    <w:rsid w:val="2841EFD7"/>
    <w:rsid w:val="2845C522"/>
    <w:rsid w:val="28483EAF"/>
    <w:rsid w:val="284D9013"/>
    <w:rsid w:val="28504D31"/>
    <w:rsid w:val="2851EEAB"/>
    <w:rsid w:val="28553DD9"/>
    <w:rsid w:val="28577F93"/>
    <w:rsid w:val="2858903B"/>
    <w:rsid w:val="2859EB46"/>
    <w:rsid w:val="28621AC8"/>
    <w:rsid w:val="28638C27"/>
    <w:rsid w:val="2868BF73"/>
    <w:rsid w:val="286A2E04"/>
    <w:rsid w:val="286A3028"/>
    <w:rsid w:val="286BB29D"/>
    <w:rsid w:val="286BCBCE"/>
    <w:rsid w:val="286E8F99"/>
    <w:rsid w:val="2877A6CA"/>
    <w:rsid w:val="287B5A84"/>
    <w:rsid w:val="287C2B3F"/>
    <w:rsid w:val="2881D98F"/>
    <w:rsid w:val="28827003"/>
    <w:rsid w:val="28838D76"/>
    <w:rsid w:val="2883CA72"/>
    <w:rsid w:val="28893310"/>
    <w:rsid w:val="288A5FAD"/>
    <w:rsid w:val="288A6B14"/>
    <w:rsid w:val="288B7C75"/>
    <w:rsid w:val="288BAED4"/>
    <w:rsid w:val="288CD610"/>
    <w:rsid w:val="288F1936"/>
    <w:rsid w:val="2891D5C8"/>
    <w:rsid w:val="2895BDCE"/>
    <w:rsid w:val="2896831A"/>
    <w:rsid w:val="2897A3D1"/>
    <w:rsid w:val="289AC7A2"/>
    <w:rsid w:val="289D23EB"/>
    <w:rsid w:val="289D85FE"/>
    <w:rsid w:val="289EBD1B"/>
    <w:rsid w:val="28A46894"/>
    <w:rsid w:val="28A6E089"/>
    <w:rsid w:val="28A88BFA"/>
    <w:rsid w:val="28AB4D0E"/>
    <w:rsid w:val="28BD6873"/>
    <w:rsid w:val="28BDA523"/>
    <w:rsid w:val="28C48F23"/>
    <w:rsid w:val="28C54B18"/>
    <w:rsid w:val="28C6618F"/>
    <w:rsid w:val="28C84C59"/>
    <w:rsid w:val="28C89374"/>
    <w:rsid w:val="28CFE224"/>
    <w:rsid w:val="28D27BC2"/>
    <w:rsid w:val="28D4A1C1"/>
    <w:rsid w:val="28D5C2A2"/>
    <w:rsid w:val="28D5F970"/>
    <w:rsid w:val="28E68797"/>
    <w:rsid w:val="28E9431F"/>
    <w:rsid w:val="28EB1D86"/>
    <w:rsid w:val="28F614BC"/>
    <w:rsid w:val="28F6F11C"/>
    <w:rsid w:val="28FC5190"/>
    <w:rsid w:val="28FCE0AA"/>
    <w:rsid w:val="290190DD"/>
    <w:rsid w:val="2902D78E"/>
    <w:rsid w:val="2909E5C4"/>
    <w:rsid w:val="290BE995"/>
    <w:rsid w:val="290C8A68"/>
    <w:rsid w:val="290CE397"/>
    <w:rsid w:val="290CE58A"/>
    <w:rsid w:val="290EA14F"/>
    <w:rsid w:val="2910AAE8"/>
    <w:rsid w:val="2910D5D4"/>
    <w:rsid w:val="2912B10C"/>
    <w:rsid w:val="29166F39"/>
    <w:rsid w:val="29176D15"/>
    <w:rsid w:val="2918EEBC"/>
    <w:rsid w:val="291B83CF"/>
    <w:rsid w:val="291BB60D"/>
    <w:rsid w:val="291F1253"/>
    <w:rsid w:val="291F4066"/>
    <w:rsid w:val="2920DCF5"/>
    <w:rsid w:val="29234F71"/>
    <w:rsid w:val="2929E93C"/>
    <w:rsid w:val="292BA6E0"/>
    <w:rsid w:val="2932187A"/>
    <w:rsid w:val="29329788"/>
    <w:rsid w:val="2932C694"/>
    <w:rsid w:val="293741CE"/>
    <w:rsid w:val="293741E2"/>
    <w:rsid w:val="2940637E"/>
    <w:rsid w:val="2943DC5A"/>
    <w:rsid w:val="29452DF6"/>
    <w:rsid w:val="2945830B"/>
    <w:rsid w:val="29468C4A"/>
    <w:rsid w:val="294BE22F"/>
    <w:rsid w:val="294E6E3D"/>
    <w:rsid w:val="29503D63"/>
    <w:rsid w:val="29504848"/>
    <w:rsid w:val="2954405C"/>
    <w:rsid w:val="2958497D"/>
    <w:rsid w:val="295A3317"/>
    <w:rsid w:val="295B5162"/>
    <w:rsid w:val="295E0942"/>
    <w:rsid w:val="296C0D8F"/>
    <w:rsid w:val="296F9BDC"/>
    <w:rsid w:val="296FF5B8"/>
    <w:rsid w:val="29754511"/>
    <w:rsid w:val="2976382D"/>
    <w:rsid w:val="29795F41"/>
    <w:rsid w:val="297CD6DB"/>
    <w:rsid w:val="298C99F4"/>
    <w:rsid w:val="2993087C"/>
    <w:rsid w:val="29948B65"/>
    <w:rsid w:val="299533CB"/>
    <w:rsid w:val="299A5D8F"/>
    <w:rsid w:val="299D326A"/>
    <w:rsid w:val="29A08CFB"/>
    <w:rsid w:val="29A15BEC"/>
    <w:rsid w:val="29A67FFE"/>
    <w:rsid w:val="29A6BEAD"/>
    <w:rsid w:val="29ABE403"/>
    <w:rsid w:val="29AC5E92"/>
    <w:rsid w:val="29B4B9C2"/>
    <w:rsid w:val="29B69693"/>
    <w:rsid w:val="29C3387F"/>
    <w:rsid w:val="29C56230"/>
    <w:rsid w:val="29C641D2"/>
    <w:rsid w:val="29C8E933"/>
    <w:rsid w:val="29CBA837"/>
    <w:rsid w:val="29D79BB7"/>
    <w:rsid w:val="29DD8323"/>
    <w:rsid w:val="29DECFC7"/>
    <w:rsid w:val="29E340F6"/>
    <w:rsid w:val="29E51EC2"/>
    <w:rsid w:val="29E7FD90"/>
    <w:rsid w:val="29EBC369"/>
    <w:rsid w:val="29ED434B"/>
    <w:rsid w:val="29F5B5B1"/>
    <w:rsid w:val="29FA4ECE"/>
    <w:rsid w:val="29FED43A"/>
    <w:rsid w:val="2A00DDF1"/>
    <w:rsid w:val="2A06C4DB"/>
    <w:rsid w:val="2A06D6AD"/>
    <w:rsid w:val="2A0E1432"/>
    <w:rsid w:val="2A10FFC9"/>
    <w:rsid w:val="2A1A40A4"/>
    <w:rsid w:val="2A1AD2B9"/>
    <w:rsid w:val="2A1AE2F2"/>
    <w:rsid w:val="2A1F3DE3"/>
    <w:rsid w:val="2A2214CD"/>
    <w:rsid w:val="2A2597F0"/>
    <w:rsid w:val="2A292C61"/>
    <w:rsid w:val="2A2A52D4"/>
    <w:rsid w:val="2A2A58C9"/>
    <w:rsid w:val="2A2B0CBC"/>
    <w:rsid w:val="2A336D54"/>
    <w:rsid w:val="2A34AAE8"/>
    <w:rsid w:val="2A353325"/>
    <w:rsid w:val="2A39DF03"/>
    <w:rsid w:val="2A424642"/>
    <w:rsid w:val="2A435DD2"/>
    <w:rsid w:val="2A4AE0C1"/>
    <w:rsid w:val="2A4C3EB6"/>
    <w:rsid w:val="2A4FA6FA"/>
    <w:rsid w:val="2A513896"/>
    <w:rsid w:val="2A54F587"/>
    <w:rsid w:val="2A58A51C"/>
    <w:rsid w:val="2A58C261"/>
    <w:rsid w:val="2A5DD468"/>
    <w:rsid w:val="2A6252A0"/>
    <w:rsid w:val="2A6452AE"/>
    <w:rsid w:val="2A716B3E"/>
    <w:rsid w:val="2A74BDDC"/>
    <w:rsid w:val="2A7B34EF"/>
    <w:rsid w:val="2A7ECE7C"/>
    <w:rsid w:val="2A853EAA"/>
    <w:rsid w:val="2A869DE0"/>
    <w:rsid w:val="2A899A34"/>
    <w:rsid w:val="2A908667"/>
    <w:rsid w:val="2A938ABA"/>
    <w:rsid w:val="2A95CC45"/>
    <w:rsid w:val="2A9DF1A1"/>
    <w:rsid w:val="2AA10A41"/>
    <w:rsid w:val="2AB3B676"/>
    <w:rsid w:val="2AB63D00"/>
    <w:rsid w:val="2AB8D958"/>
    <w:rsid w:val="2ABBADC7"/>
    <w:rsid w:val="2AC1627B"/>
    <w:rsid w:val="2AC656CC"/>
    <w:rsid w:val="2AC6860A"/>
    <w:rsid w:val="2ACC6D9E"/>
    <w:rsid w:val="2AD12E24"/>
    <w:rsid w:val="2AD37EB9"/>
    <w:rsid w:val="2AD60A60"/>
    <w:rsid w:val="2ADAF3F8"/>
    <w:rsid w:val="2ADEC01C"/>
    <w:rsid w:val="2AE1CBDA"/>
    <w:rsid w:val="2AE1E6EC"/>
    <w:rsid w:val="2AE37B86"/>
    <w:rsid w:val="2AE59C52"/>
    <w:rsid w:val="2AE888C9"/>
    <w:rsid w:val="2AEDC1A5"/>
    <w:rsid w:val="2AEE625B"/>
    <w:rsid w:val="2AF1AFFB"/>
    <w:rsid w:val="2AF7B30B"/>
    <w:rsid w:val="2AF82220"/>
    <w:rsid w:val="2AFCBE64"/>
    <w:rsid w:val="2AFFDD48"/>
    <w:rsid w:val="2B01CDFA"/>
    <w:rsid w:val="2B04E638"/>
    <w:rsid w:val="2B06143C"/>
    <w:rsid w:val="2B080773"/>
    <w:rsid w:val="2B0A3357"/>
    <w:rsid w:val="2B0AC06E"/>
    <w:rsid w:val="2B0B93F6"/>
    <w:rsid w:val="2B0CB410"/>
    <w:rsid w:val="2B125DDD"/>
    <w:rsid w:val="2B171F37"/>
    <w:rsid w:val="2B17A27C"/>
    <w:rsid w:val="2B185211"/>
    <w:rsid w:val="2B1971C7"/>
    <w:rsid w:val="2B1D93A7"/>
    <w:rsid w:val="2B205E3B"/>
    <w:rsid w:val="2B2349DA"/>
    <w:rsid w:val="2B2B7AFE"/>
    <w:rsid w:val="2B2B820E"/>
    <w:rsid w:val="2B2D217F"/>
    <w:rsid w:val="2B317A02"/>
    <w:rsid w:val="2B33B885"/>
    <w:rsid w:val="2B33FFBA"/>
    <w:rsid w:val="2B3D2C4D"/>
    <w:rsid w:val="2B3EA64F"/>
    <w:rsid w:val="2B425386"/>
    <w:rsid w:val="2B42DCCA"/>
    <w:rsid w:val="2B4797BE"/>
    <w:rsid w:val="2B482F15"/>
    <w:rsid w:val="2B485B01"/>
    <w:rsid w:val="2B485F63"/>
    <w:rsid w:val="2B4D4301"/>
    <w:rsid w:val="2B4E1124"/>
    <w:rsid w:val="2B509F21"/>
    <w:rsid w:val="2B582369"/>
    <w:rsid w:val="2B585E1E"/>
    <w:rsid w:val="2B591928"/>
    <w:rsid w:val="2B627747"/>
    <w:rsid w:val="2B656942"/>
    <w:rsid w:val="2B6736FF"/>
    <w:rsid w:val="2B6DC2D8"/>
    <w:rsid w:val="2B70D584"/>
    <w:rsid w:val="2B7C877D"/>
    <w:rsid w:val="2B81D0FA"/>
    <w:rsid w:val="2B81F192"/>
    <w:rsid w:val="2B89C22F"/>
    <w:rsid w:val="2B8D788C"/>
    <w:rsid w:val="2B8F9230"/>
    <w:rsid w:val="2B913413"/>
    <w:rsid w:val="2B9A2BE8"/>
    <w:rsid w:val="2B9CDA80"/>
    <w:rsid w:val="2BA1063E"/>
    <w:rsid w:val="2BA3D5B5"/>
    <w:rsid w:val="2BA55B3E"/>
    <w:rsid w:val="2BA8FDBF"/>
    <w:rsid w:val="2BAD4649"/>
    <w:rsid w:val="2BADB7FC"/>
    <w:rsid w:val="2BB811BD"/>
    <w:rsid w:val="2BBA322C"/>
    <w:rsid w:val="2BBA774F"/>
    <w:rsid w:val="2BBB851D"/>
    <w:rsid w:val="2BBDA70E"/>
    <w:rsid w:val="2BC1B617"/>
    <w:rsid w:val="2BCA613A"/>
    <w:rsid w:val="2BCF7A1F"/>
    <w:rsid w:val="2BCFE364"/>
    <w:rsid w:val="2BD0196A"/>
    <w:rsid w:val="2BD12F27"/>
    <w:rsid w:val="2BD55E03"/>
    <w:rsid w:val="2BDBE876"/>
    <w:rsid w:val="2BDC6C36"/>
    <w:rsid w:val="2BE01A92"/>
    <w:rsid w:val="2BE692A3"/>
    <w:rsid w:val="2BE7E316"/>
    <w:rsid w:val="2BEA546F"/>
    <w:rsid w:val="2BF02970"/>
    <w:rsid w:val="2BF1A9D2"/>
    <w:rsid w:val="2BF4C426"/>
    <w:rsid w:val="2BF56353"/>
    <w:rsid w:val="2BF7CE57"/>
    <w:rsid w:val="2BF8B82A"/>
    <w:rsid w:val="2BFA3D20"/>
    <w:rsid w:val="2BFA7CB6"/>
    <w:rsid w:val="2BFFF9CC"/>
    <w:rsid w:val="2C02E414"/>
    <w:rsid w:val="2C03F412"/>
    <w:rsid w:val="2C05155E"/>
    <w:rsid w:val="2C10FEBA"/>
    <w:rsid w:val="2C15B7F4"/>
    <w:rsid w:val="2C1796C4"/>
    <w:rsid w:val="2C1CD266"/>
    <w:rsid w:val="2C23A5E6"/>
    <w:rsid w:val="2C284DDF"/>
    <w:rsid w:val="2C31AE39"/>
    <w:rsid w:val="2C34592A"/>
    <w:rsid w:val="2C3609D1"/>
    <w:rsid w:val="2C391D6A"/>
    <w:rsid w:val="2C3D4190"/>
    <w:rsid w:val="2C476AA7"/>
    <w:rsid w:val="2C49806B"/>
    <w:rsid w:val="2C4C7DC5"/>
    <w:rsid w:val="2C4F12ED"/>
    <w:rsid w:val="2C57EBBE"/>
    <w:rsid w:val="2C5EDA13"/>
    <w:rsid w:val="2C62ABBF"/>
    <w:rsid w:val="2C660880"/>
    <w:rsid w:val="2C67E8D1"/>
    <w:rsid w:val="2C6DF1A8"/>
    <w:rsid w:val="2C70483E"/>
    <w:rsid w:val="2C721565"/>
    <w:rsid w:val="2C8549E3"/>
    <w:rsid w:val="2C8B49A6"/>
    <w:rsid w:val="2C8D961A"/>
    <w:rsid w:val="2C929714"/>
    <w:rsid w:val="2C950E4B"/>
    <w:rsid w:val="2C9565B6"/>
    <w:rsid w:val="2C9F570D"/>
    <w:rsid w:val="2CA1875A"/>
    <w:rsid w:val="2CA34DC7"/>
    <w:rsid w:val="2CA54661"/>
    <w:rsid w:val="2CA83AFE"/>
    <w:rsid w:val="2CB01C61"/>
    <w:rsid w:val="2CBA3273"/>
    <w:rsid w:val="2CBD9684"/>
    <w:rsid w:val="2CBDB9A5"/>
    <w:rsid w:val="2CC202F0"/>
    <w:rsid w:val="2CC27F75"/>
    <w:rsid w:val="2CC500A2"/>
    <w:rsid w:val="2CC56966"/>
    <w:rsid w:val="2CC7D0E4"/>
    <w:rsid w:val="2CC8419F"/>
    <w:rsid w:val="2CC88CD9"/>
    <w:rsid w:val="2CCB7033"/>
    <w:rsid w:val="2CCE7E27"/>
    <w:rsid w:val="2CCFDE28"/>
    <w:rsid w:val="2CDCBD34"/>
    <w:rsid w:val="2CDCCA49"/>
    <w:rsid w:val="2CE4A889"/>
    <w:rsid w:val="2CE5B147"/>
    <w:rsid w:val="2CE897C2"/>
    <w:rsid w:val="2CF3DB85"/>
    <w:rsid w:val="2CFBB3E2"/>
    <w:rsid w:val="2D04F65B"/>
    <w:rsid w:val="2D055C3D"/>
    <w:rsid w:val="2D06E707"/>
    <w:rsid w:val="2D0AB648"/>
    <w:rsid w:val="2D10782E"/>
    <w:rsid w:val="2D177EF6"/>
    <w:rsid w:val="2D1AD18C"/>
    <w:rsid w:val="2D1BE577"/>
    <w:rsid w:val="2D1D1EFF"/>
    <w:rsid w:val="2D1E38D3"/>
    <w:rsid w:val="2D26C204"/>
    <w:rsid w:val="2D288249"/>
    <w:rsid w:val="2D296C40"/>
    <w:rsid w:val="2D33DDF4"/>
    <w:rsid w:val="2D36A789"/>
    <w:rsid w:val="2D36B4AD"/>
    <w:rsid w:val="2D3E195C"/>
    <w:rsid w:val="2D3E1C97"/>
    <w:rsid w:val="2D3F6B1C"/>
    <w:rsid w:val="2D41D4EF"/>
    <w:rsid w:val="2D41EE8E"/>
    <w:rsid w:val="2D501A70"/>
    <w:rsid w:val="2D5291B8"/>
    <w:rsid w:val="2D550E84"/>
    <w:rsid w:val="2D5703EC"/>
    <w:rsid w:val="2D5B4C64"/>
    <w:rsid w:val="2D5C9559"/>
    <w:rsid w:val="2D5D1B43"/>
    <w:rsid w:val="2D5DC9ED"/>
    <w:rsid w:val="2D60FD84"/>
    <w:rsid w:val="2D649801"/>
    <w:rsid w:val="2D651919"/>
    <w:rsid w:val="2D684421"/>
    <w:rsid w:val="2D6CE99D"/>
    <w:rsid w:val="2D6EBCAD"/>
    <w:rsid w:val="2D7CB133"/>
    <w:rsid w:val="2D7E4176"/>
    <w:rsid w:val="2D7ED30A"/>
    <w:rsid w:val="2D7FDCDA"/>
    <w:rsid w:val="2D8317A3"/>
    <w:rsid w:val="2D83E609"/>
    <w:rsid w:val="2D8467DC"/>
    <w:rsid w:val="2D869FEB"/>
    <w:rsid w:val="2D8FD20A"/>
    <w:rsid w:val="2D908C63"/>
    <w:rsid w:val="2D91F42A"/>
    <w:rsid w:val="2D94A179"/>
    <w:rsid w:val="2D95F9D8"/>
    <w:rsid w:val="2D97F912"/>
    <w:rsid w:val="2D99FE1F"/>
    <w:rsid w:val="2D9A7D44"/>
    <w:rsid w:val="2D9EF0B5"/>
    <w:rsid w:val="2DA3D727"/>
    <w:rsid w:val="2DA44E30"/>
    <w:rsid w:val="2DA6B7FA"/>
    <w:rsid w:val="2DAC4C04"/>
    <w:rsid w:val="2DB02F99"/>
    <w:rsid w:val="2DB280B1"/>
    <w:rsid w:val="2DB52404"/>
    <w:rsid w:val="2DB67D29"/>
    <w:rsid w:val="2DB70861"/>
    <w:rsid w:val="2DB90B23"/>
    <w:rsid w:val="2DB91456"/>
    <w:rsid w:val="2DBBC6A4"/>
    <w:rsid w:val="2DBE8408"/>
    <w:rsid w:val="2DC911A8"/>
    <w:rsid w:val="2DCA0D7D"/>
    <w:rsid w:val="2DCBD7FB"/>
    <w:rsid w:val="2DD46470"/>
    <w:rsid w:val="2DD585DD"/>
    <w:rsid w:val="2DD89903"/>
    <w:rsid w:val="2DD9DC9A"/>
    <w:rsid w:val="2DDB63B6"/>
    <w:rsid w:val="2DDC149F"/>
    <w:rsid w:val="2DE26033"/>
    <w:rsid w:val="2DE3445B"/>
    <w:rsid w:val="2DE64FE0"/>
    <w:rsid w:val="2DE7BF9F"/>
    <w:rsid w:val="2DE93502"/>
    <w:rsid w:val="2DEBEFE5"/>
    <w:rsid w:val="2DED55DC"/>
    <w:rsid w:val="2DF282FE"/>
    <w:rsid w:val="2DFB574C"/>
    <w:rsid w:val="2DFFD8C4"/>
    <w:rsid w:val="2E01576C"/>
    <w:rsid w:val="2E02F587"/>
    <w:rsid w:val="2E0941C1"/>
    <w:rsid w:val="2E0B52C7"/>
    <w:rsid w:val="2E0DB5DA"/>
    <w:rsid w:val="2E0E5178"/>
    <w:rsid w:val="2E0FAB1F"/>
    <w:rsid w:val="2E1097C4"/>
    <w:rsid w:val="2E10D81F"/>
    <w:rsid w:val="2E1165CA"/>
    <w:rsid w:val="2E120DD6"/>
    <w:rsid w:val="2E1498DF"/>
    <w:rsid w:val="2E1530DD"/>
    <w:rsid w:val="2E1BD5F7"/>
    <w:rsid w:val="2E1E9C58"/>
    <w:rsid w:val="2E1FF295"/>
    <w:rsid w:val="2E228170"/>
    <w:rsid w:val="2E2501F0"/>
    <w:rsid w:val="2E28DB03"/>
    <w:rsid w:val="2E28F5BB"/>
    <w:rsid w:val="2E2A6E12"/>
    <w:rsid w:val="2E2C20FA"/>
    <w:rsid w:val="2E33852F"/>
    <w:rsid w:val="2E347174"/>
    <w:rsid w:val="2E3DBBBB"/>
    <w:rsid w:val="2E41D8E2"/>
    <w:rsid w:val="2E423D09"/>
    <w:rsid w:val="2E43C589"/>
    <w:rsid w:val="2E447E98"/>
    <w:rsid w:val="2E45A220"/>
    <w:rsid w:val="2E48E262"/>
    <w:rsid w:val="2E547A42"/>
    <w:rsid w:val="2E62B99C"/>
    <w:rsid w:val="2E658F46"/>
    <w:rsid w:val="2E665FC8"/>
    <w:rsid w:val="2E6908F9"/>
    <w:rsid w:val="2E69B0EB"/>
    <w:rsid w:val="2E6E315D"/>
    <w:rsid w:val="2E718C90"/>
    <w:rsid w:val="2E7A00BA"/>
    <w:rsid w:val="2E7AD9F9"/>
    <w:rsid w:val="2E7B0C89"/>
    <w:rsid w:val="2E7BF659"/>
    <w:rsid w:val="2E7CC099"/>
    <w:rsid w:val="2E7DBB84"/>
    <w:rsid w:val="2E847FC1"/>
    <w:rsid w:val="2E88A9EE"/>
    <w:rsid w:val="2E91E62B"/>
    <w:rsid w:val="2E924F4B"/>
    <w:rsid w:val="2E9951AC"/>
    <w:rsid w:val="2E9C277B"/>
    <w:rsid w:val="2EA03A1B"/>
    <w:rsid w:val="2EAAEA29"/>
    <w:rsid w:val="2EAFD4E2"/>
    <w:rsid w:val="2EB62CD9"/>
    <w:rsid w:val="2EBB603A"/>
    <w:rsid w:val="2EC006E0"/>
    <w:rsid w:val="2EC00E65"/>
    <w:rsid w:val="2ECA5AF3"/>
    <w:rsid w:val="2ECB83FB"/>
    <w:rsid w:val="2ECBE57C"/>
    <w:rsid w:val="2ECEADB7"/>
    <w:rsid w:val="2ED05681"/>
    <w:rsid w:val="2ED41948"/>
    <w:rsid w:val="2ED907CD"/>
    <w:rsid w:val="2EE3EF1C"/>
    <w:rsid w:val="2EE47D9F"/>
    <w:rsid w:val="2EE6E8A5"/>
    <w:rsid w:val="2EE74CDF"/>
    <w:rsid w:val="2EEA2A34"/>
    <w:rsid w:val="2EEFF0E6"/>
    <w:rsid w:val="2EF0A3EB"/>
    <w:rsid w:val="2EF25905"/>
    <w:rsid w:val="2EF5D359"/>
    <w:rsid w:val="2EF7DCEA"/>
    <w:rsid w:val="2EFD698F"/>
    <w:rsid w:val="2EFD81C0"/>
    <w:rsid w:val="2EFE04E9"/>
    <w:rsid w:val="2F0496AF"/>
    <w:rsid w:val="2F07D788"/>
    <w:rsid w:val="2F0D380D"/>
    <w:rsid w:val="2F0F18A5"/>
    <w:rsid w:val="2F119CDE"/>
    <w:rsid w:val="2F149563"/>
    <w:rsid w:val="2F1AD007"/>
    <w:rsid w:val="2F1C6C3B"/>
    <w:rsid w:val="2F1EE25A"/>
    <w:rsid w:val="2F25CFE0"/>
    <w:rsid w:val="2F27F593"/>
    <w:rsid w:val="2F326C18"/>
    <w:rsid w:val="2F327328"/>
    <w:rsid w:val="2F38249B"/>
    <w:rsid w:val="2F38FACE"/>
    <w:rsid w:val="2F3AD556"/>
    <w:rsid w:val="2F3B608A"/>
    <w:rsid w:val="2F3DCFF4"/>
    <w:rsid w:val="2F420494"/>
    <w:rsid w:val="2F4DC150"/>
    <w:rsid w:val="2F4E0DDB"/>
    <w:rsid w:val="2F50AFF7"/>
    <w:rsid w:val="2F52A584"/>
    <w:rsid w:val="2F54AE3B"/>
    <w:rsid w:val="2F56D227"/>
    <w:rsid w:val="2F5BF65B"/>
    <w:rsid w:val="2F60A460"/>
    <w:rsid w:val="2F60B973"/>
    <w:rsid w:val="2F61CCA7"/>
    <w:rsid w:val="2F68B182"/>
    <w:rsid w:val="2F793630"/>
    <w:rsid w:val="2F7B64D2"/>
    <w:rsid w:val="2F7C60F1"/>
    <w:rsid w:val="2F7CA7FF"/>
    <w:rsid w:val="2F7FA844"/>
    <w:rsid w:val="2F84C5AA"/>
    <w:rsid w:val="2F86B7C2"/>
    <w:rsid w:val="2F87B37E"/>
    <w:rsid w:val="2F892F71"/>
    <w:rsid w:val="2F9182EA"/>
    <w:rsid w:val="2F92E598"/>
    <w:rsid w:val="2F962A43"/>
    <w:rsid w:val="2F9A419C"/>
    <w:rsid w:val="2F9D6427"/>
    <w:rsid w:val="2FA72C0B"/>
    <w:rsid w:val="2FA7548F"/>
    <w:rsid w:val="2FA9F3E5"/>
    <w:rsid w:val="2FACD386"/>
    <w:rsid w:val="2FAD8BC1"/>
    <w:rsid w:val="2FADB005"/>
    <w:rsid w:val="2FADBE0D"/>
    <w:rsid w:val="2FB08B55"/>
    <w:rsid w:val="2FB267A1"/>
    <w:rsid w:val="2FBA0660"/>
    <w:rsid w:val="2FBB48A4"/>
    <w:rsid w:val="2FBF748E"/>
    <w:rsid w:val="2FBFF39F"/>
    <w:rsid w:val="2FC46853"/>
    <w:rsid w:val="2FC69446"/>
    <w:rsid w:val="2FC6CF9C"/>
    <w:rsid w:val="2FC7F6BE"/>
    <w:rsid w:val="2FC9D500"/>
    <w:rsid w:val="2FCAFEA4"/>
    <w:rsid w:val="2FCD0A34"/>
    <w:rsid w:val="2FD1468A"/>
    <w:rsid w:val="2FD5CA56"/>
    <w:rsid w:val="2FD5F63F"/>
    <w:rsid w:val="2FD6A4F1"/>
    <w:rsid w:val="2FD8A57F"/>
    <w:rsid w:val="2FD90CB9"/>
    <w:rsid w:val="2FD9AE73"/>
    <w:rsid w:val="2FDAA60E"/>
    <w:rsid w:val="2FDC0222"/>
    <w:rsid w:val="2FE21E1D"/>
    <w:rsid w:val="2FE4182D"/>
    <w:rsid w:val="2FE4D5B0"/>
    <w:rsid w:val="2FE83A9C"/>
    <w:rsid w:val="2FEB71C1"/>
    <w:rsid w:val="2FEB9244"/>
    <w:rsid w:val="2FEBD09C"/>
    <w:rsid w:val="2FF6714B"/>
    <w:rsid w:val="2FF75049"/>
    <w:rsid w:val="2FF88C30"/>
    <w:rsid w:val="2FFD4CBA"/>
    <w:rsid w:val="2FFEA2D4"/>
    <w:rsid w:val="3006D7E9"/>
    <w:rsid w:val="300AE32D"/>
    <w:rsid w:val="300C2A12"/>
    <w:rsid w:val="300CA7CB"/>
    <w:rsid w:val="300E1D63"/>
    <w:rsid w:val="3010E882"/>
    <w:rsid w:val="30115BA0"/>
    <w:rsid w:val="3012D734"/>
    <w:rsid w:val="301D64D3"/>
    <w:rsid w:val="301F9B2A"/>
    <w:rsid w:val="301FE5A2"/>
    <w:rsid w:val="302691E7"/>
    <w:rsid w:val="303255A8"/>
    <w:rsid w:val="303257F5"/>
    <w:rsid w:val="30349CD3"/>
    <w:rsid w:val="3036A00B"/>
    <w:rsid w:val="30387376"/>
    <w:rsid w:val="30413EA7"/>
    <w:rsid w:val="30414F29"/>
    <w:rsid w:val="30428A93"/>
    <w:rsid w:val="3047B11B"/>
    <w:rsid w:val="30488125"/>
    <w:rsid w:val="3049C6A9"/>
    <w:rsid w:val="304E76DC"/>
    <w:rsid w:val="304E946D"/>
    <w:rsid w:val="304F2424"/>
    <w:rsid w:val="30525EC7"/>
    <w:rsid w:val="305399B6"/>
    <w:rsid w:val="3055997F"/>
    <w:rsid w:val="305BCA5F"/>
    <w:rsid w:val="305E8562"/>
    <w:rsid w:val="305FC317"/>
    <w:rsid w:val="306C98D7"/>
    <w:rsid w:val="306CA024"/>
    <w:rsid w:val="306F641F"/>
    <w:rsid w:val="30714FE5"/>
    <w:rsid w:val="3074909D"/>
    <w:rsid w:val="30788575"/>
    <w:rsid w:val="307F8CCF"/>
    <w:rsid w:val="3085AA9C"/>
    <w:rsid w:val="3087FA1B"/>
    <w:rsid w:val="308848AC"/>
    <w:rsid w:val="3089977A"/>
    <w:rsid w:val="308F5515"/>
    <w:rsid w:val="30902ADE"/>
    <w:rsid w:val="30909EA9"/>
    <w:rsid w:val="30919097"/>
    <w:rsid w:val="30986A1D"/>
    <w:rsid w:val="309B618B"/>
    <w:rsid w:val="30A9E628"/>
    <w:rsid w:val="30AA9584"/>
    <w:rsid w:val="30ADF07C"/>
    <w:rsid w:val="30B01B8B"/>
    <w:rsid w:val="30B1C39E"/>
    <w:rsid w:val="30B1E9F3"/>
    <w:rsid w:val="30B3B22A"/>
    <w:rsid w:val="30B86EA2"/>
    <w:rsid w:val="30BD9B91"/>
    <w:rsid w:val="30BDD500"/>
    <w:rsid w:val="30C1248C"/>
    <w:rsid w:val="30CA120B"/>
    <w:rsid w:val="30CD340E"/>
    <w:rsid w:val="30CFD4D9"/>
    <w:rsid w:val="30D17940"/>
    <w:rsid w:val="30D5AEDE"/>
    <w:rsid w:val="30DCA4C6"/>
    <w:rsid w:val="30DE661F"/>
    <w:rsid w:val="30E5B5EB"/>
    <w:rsid w:val="30EC118C"/>
    <w:rsid w:val="30EDB802"/>
    <w:rsid w:val="30F61F75"/>
    <w:rsid w:val="30F75116"/>
    <w:rsid w:val="30F7CF36"/>
    <w:rsid w:val="30F91E55"/>
    <w:rsid w:val="310748A7"/>
    <w:rsid w:val="310846CD"/>
    <w:rsid w:val="310AA85A"/>
    <w:rsid w:val="310F939E"/>
    <w:rsid w:val="31107C25"/>
    <w:rsid w:val="311A57E8"/>
    <w:rsid w:val="311E5AB4"/>
    <w:rsid w:val="3120A97E"/>
    <w:rsid w:val="3123BED4"/>
    <w:rsid w:val="312859F9"/>
    <w:rsid w:val="312DEC3D"/>
    <w:rsid w:val="313431A3"/>
    <w:rsid w:val="31366990"/>
    <w:rsid w:val="31368F99"/>
    <w:rsid w:val="3137FC66"/>
    <w:rsid w:val="313AC721"/>
    <w:rsid w:val="313D5CA6"/>
    <w:rsid w:val="31429747"/>
    <w:rsid w:val="31438197"/>
    <w:rsid w:val="3148C031"/>
    <w:rsid w:val="314D7E60"/>
    <w:rsid w:val="3151346A"/>
    <w:rsid w:val="31518115"/>
    <w:rsid w:val="3152DFAE"/>
    <w:rsid w:val="3153C185"/>
    <w:rsid w:val="315547B9"/>
    <w:rsid w:val="3163392D"/>
    <w:rsid w:val="31681E4F"/>
    <w:rsid w:val="316A6FB8"/>
    <w:rsid w:val="316E3935"/>
    <w:rsid w:val="3170FBC0"/>
    <w:rsid w:val="317130D1"/>
    <w:rsid w:val="3173A2B0"/>
    <w:rsid w:val="3173FFA5"/>
    <w:rsid w:val="317720B5"/>
    <w:rsid w:val="31778CD1"/>
    <w:rsid w:val="3177B4FE"/>
    <w:rsid w:val="3178BF1F"/>
    <w:rsid w:val="317C70A2"/>
    <w:rsid w:val="317DED1F"/>
    <w:rsid w:val="3181DD57"/>
    <w:rsid w:val="31820BAC"/>
    <w:rsid w:val="3183CBDE"/>
    <w:rsid w:val="31856CD6"/>
    <w:rsid w:val="31861F7D"/>
    <w:rsid w:val="318C83A3"/>
    <w:rsid w:val="3190078A"/>
    <w:rsid w:val="319996FF"/>
    <w:rsid w:val="319E235C"/>
    <w:rsid w:val="319F72D4"/>
    <w:rsid w:val="31A04C2E"/>
    <w:rsid w:val="31A4C98A"/>
    <w:rsid w:val="31A540C9"/>
    <w:rsid w:val="31AB08D5"/>
    <w:rsid w:val="31ABC982"/>
    <w:rsid w:val="31B40AFE"/>
    <w:rsid w:val="31B4CCBC"/>
    <w:rsid w:val="31B5E778"/>
    <w:rsid w:val="31BA716B"/>
    <w:rsid w:val="31BB030A"/>
    <w:rsid w:val="31BE0D92"/>
    <w:rsid w:val="31C3C525"/>
    <w:rsid w:val="31C50EA1"/>
    <w:rsid w:val="31CF058A"/>
    <w:rsid w:val="31D65E11"/>
    <w:rsid w:val="31D83512"/>
    <w:rsid w:val="31DA5F42"/>
    <w:rsid w:val="31DBC522"/>
    <w:rsid w:val="31DF3436"/>
    <w:rsid w:val="31E2B1A3"/>
    <w:rsid w:val="31E3EBCA"/>
    <w:rsid w:val="31ECBF44"/>
    <w:rsid w:val="31EDC6DD"/>
    <w:rsid w:val="31EEFCBB"/>
    <w:rsid w:val="31F154F9"/>
    <w:rsid w:val="31F6999B"/>
    <w:rsid w:val="31F79055"/>
    <w:rsid w:val="31F8A83A"/>
    <w:rsid w:val="31F8DB10"/>
    <w:rsid w:val="31FA302C"/>
    <w:rsid w:val="31FA89CE"/>
    <w:rsid w:val="3206DEC7"/>
    <w:rsid w:val="320BF4B5"/>
    <w:rsid w:val="320DBF12"/>
    <w:rsid w:val="320EE2D2"/>
    <w:rsid w:val="321680D5"/>
    <w:rsid w:val="32177CA3"/>
    <w:rsid w:val="321A2DEE"/>
    <w:rsid w:val="321BCC49"/>
    <w:rsid w:val="321CEC4D"/>
    <w:rsid w:val="321DBEFF"/>
    <w:rsid w:val="322075A7"/>
    <w:rsid w:val="3221F3E2"/>
    <w:rsid w:val="3222C1FC"/>
    <w:rsid w:val="322ADE1E"/>
    <w:rsid w:val="322FEEF8"/>
    <w:rsid w:val="323571F5"/>
    <w:rsid w:val="3237B09D"/>
    <w:rsid w:val="323EF5DE"/>
    <w:rsid w:val="323F7C99"/>
    <w:rsid w:val="32442497"/>
    <w:rsid w:val="3251BF38"/>
    <w:rsid w:val="325568D3"/>
    <w:rsid w:val="3257A898"/>
    <w:rsid w:val="325A4D1E"/>
    <w:rsid w:val="3264896D"/>
    <w:rsid w:val="32656FEA"/>
    <w:rsid w:val="326AE7A1"/>
    <w:rsid w:val="326BCAB6"/>
    <w:rsid w:val="3274302D"/>
    <w:rsid w:val="32808F52"/>
    <w:rsid w:val="32818FDF"/>
    <w:rsid w:val="328311C7"/>
    <w:rsid w:val="328422BF"/>
    <w:rsid w:val="3284D922"/>
    <w:rsid w:val="328564D7"/>
    <w:rsid w:val="3287978C"/>
    <w:rsid w:val="328D1CF1"/>
    <w:rsid w:val="328DD02D"/>
    <w:rsid w:val="32929900"/>
    <w:rsid w:val="329ACAE5"/>
    <w:rsid w:val="329BB5E9"/>
    <w:rsid w:val="329D12CC"/>
    <w:rsid w:val="329F2BB4"/>
    <w:rsid w:val="32A0A3E3"/>
    <w:rsid w:val="32A325AC"/>
    <w:rsid w:val="32A38390"/>
    <w:rsid w:val="32AB7696"/>
    <w:rsid w:val="32AC2F00"/>
    <w:rsid w:val="32B2CF97"/>
    <w:rsid w:val="32B32145"/>
    <w:rsid w:val="32B5F979"/>
    <w:rsid w:val="32B8528F"/>
    <w:rsid w:val="32BC184F"/>
    <w:rsid w:val="32C01A16"/>
    <w:rsid w:val="32C417FD"/>
    <w:rsid w:val="32C714F6"/>
    <w:rsid w:val="32C96B6A"/>
    <w:rsid w:val="32DB3F5E"/>
    <w:rsid w:val="32E31822"/>
    <w:rsid w:val="32E481D1"/>
    <w:rsid w:val="32E96D29"/>
    <w:rsid w:val="32EB096C"/>
    <w:rsid w:val="32F0A770"/>
    <w:rsid w:val="32F62FFC"/>
    <w:rsid w:val="32F77C5C"/>
    <w:rsid w:val="32F900F5"/>
    <w:rsid w:val="32FF0F54"/>
    <w:rsid w:val="330032D6"/>
    <w:rsid w:val="33011F3F"/>
    <w:rsid w:val="33013251"/>
    <w:rsid w:val="3302B19C"/>
    <w:rsid w:val="330504A0"/>
    <w:rsid w:val="330737D5"/>
    <w:rsid w:val="3309C619"/>
    <w:rsid w:val="3309D647"/>
    <w:rsid w:val="330D849D"/>
    <w:rsid w:val="330DEF54"/>
    <w:rsid w:val="330E81CA"/>
    <w:rsid w:val="3318C2C0"/>
    <w:rsid w:val="3320C906"/>
    <w:rsid w:val="33250CDF"/>
    <w:rsid w:val="33280F81"/>
    <w:rsid w:val="332E271C"/>
    <w:rsid w:val="33302B8C"/>
    <w:rsid w:val="33303DC4"/>
    <w:rsid w:val="3330B833"/>
    <w:rsid w:val="33395123"/>
    <w:rsid w:val="333B0A29"/>
    <w:rsid w:val="333D3E01"/>
    <w:rsid w:val="333D514A"/>
    <w:rsid w:val="3347A2F4"/>
    <w:rsid w:val="334A0AFC"/>
    <w:rsid w:val="334B3B08"/>
    <w:rsid w:val="335044D8"/>
    <w:rsid w:val="335151A6"/>
    <w:rsid w:val="33515484"/>
    <w:rsid w:val="335CD7FF"/>
    <w:rsid w:val="335E09AE"/>
    <w:rsid w:val="33606872"/>
    <w:rsid w:val="3368F202"/>
    <w:rsid w:val="3372D43E"/>
    <w:rsid w:val="3373BE9F"/>
    <w:rsid w:val="337471DF"/>
    <w:rsid w:val="33794605"/>
    <w:rsid w:val="337CA12A"/>
    <w:rsid w:val="3380BBE1"/>
    <w:rsid w:val="3388E302"/>
    <w:rsid w:val="3388F718"/>
    <w:rsid w:val="338B0446"/>
    <w:rsid w:val="338F2727"/>
    <w:rsid w:val="339048CB"/>
    <w:rsid w:val="3393EE59"/>
    <w:rsid w:val="33964FB7"/>
    <w:rsid w:val="33A05816"/>
    <w:rsid w:val="33A2C495"/>
    <w:rsid w:val="33A48065"/>
    <w:rsid w:val="33A68E65"/>
    <w:rsid w:val="33A867EC"/>
    <w:rsid w:val="33A9E3AC"/>
    <w:rsid w:val="33ABA0CD"/>
    <w:rsid w:val="33B0DADF"/>
    <w:rsid w:val="33B829A3"/>
    <w:rsid w:val="33BA9C06"/>
    <w:rsid w:val="33BDFFFE"/>
    <w:rsid w:val="33C021AB"/>
    <w:rsid w:val="33C0A5BB"/>
    <w:rsid w:val="33C48A38"/>
    <w:rsid w:val="33C66774"/>
    <w:rsid w:val="33C7468B"/>
    <w:rsid w:val="33C8535B"/>
    <w:rsid w:val="33C92717"/>
    <w:rsid w:val="33CECEB3"/>
    <w:rsid w:val="33D4B3CA"/>
    <w:rsid w:val="33D7EAED"/>
    <w:rsid w:val="33DC3CA9"/>
    <w:rsid w:val="33DE39ED"/>
    <w:rsid w:val="33DE62C4"/>
    <w:rsid w:val="33DF3224"/>
    <w:rsid w:val="33E14B04"/>
    <w:rsid w:val="33E2D90C"/>
    <w:rsid w:val="33E30092"/>
    <w:rsid w:val="33E4209B"/>
    <w:rsid w:val="33F2D661"/>
    <w:rsid w:val="33F3137A"/>
    <w:rsid w:val="33F88C56"/>
    <w:rsid w:val="33F947AA"/>
    <w:rsid w:val="33F98BFB"/>
    <w:rsid w:val="340231AE"/>
    <w:rsid w:val="340D8BAA"/>
    <w:rsid w:val="3410F857"/>
    <w:rsid w:val="341115CD"/>
    <w:rsid w:val="34121868"/>
    <w:rsid w:val="341705B2"/>
    <w:rsid w:val="34189AE3"/>
    <w:rsid w:val="341A1B76"/>
    <w:rsid w:val="3421A761"/>
    <w:rsid w:val="3429AE7C"/>
    <w:rsid w:val="342A60AC"/>
    <w:rsid w:val="34304F85"/>
    <w:rsid w:val="34349DF9"/>
    <w:rsid w:val="343558BA"/>
    <w:rsid w:val="3435C5B6"/>
    <w:rsid w:val="34398BAF"/>
    <w:rsid w:val="343B4BDC"/>
    <w:rsid w:val="3443B545"/>
    <w:rsid w:val="344B15BD"/>
    <w:rsid w:val="344B4165"/>
    <w:rsid w:val="344DB9DF"/>
    <w:rsid w:val="344F62C8"/>
    <w:rsid w:val="344FCD52"/>
    <w:rsid w:val="34506402"/>
    <w:rsid w:val="3450DB9E"/>
    <w:rsid w:val="34524B4F"/>
    <w:rsid w:val="34541D80"/>
    <w:rsid w:val="3454FCA4"/>
    <w:rsid w:val="3457F2C4"/>
    <w:rsid w:val="3458E619"/>
    <w:rsid w:val="345C0256"/>
    <w:rsid w:val="345E54BB"/>
    <w:rsid w:val="345EDFF7"/>
    <w:rsid w:val="346012EA"/>
    <w:rsid w:val="3466ED7A"/>
    <w:rsid w:val="34688CCB"/>
    <w:rsid w:val="3468FB91"/>
    <w:rsid w:val="34719BE2"/>
    <w:rsid w:val="3471D904"/>
    <w:rsid w:val="3471FDBF"/>
    <w:rsid w:val="34741002"/>
    <w:rsid w:val="3475FCC6"/>
    <w:rsid w:val="3477BC2D"/>
    <w:rsid w:val="347EEC8A"/>
    <w:rsid w:val="348374B7"/>
    <w:rsid w:val="3485EAFD"/>
    <w:rsid w:val="3487733D"/>
    <w:rsid w:val="348983E1"/>
    <w:rsid w:val="348FB8EF"/>
    <w:rsid w:val="3495C281"/>
    <w:rsid w:val="34971967"/>
    <w:rsid w:val="3497A745"/>
    <w:rsid w:val="34A2A3BC"/>
    <w:rsid w:val="34A54D90"/>
    <w:rsid w:val="34A6D83A"/>
    <w:rsid w:val="34A74965"/>
    <w:rsid w:val="34ACB46E"/>
    <w:rsid w:val="34AF6125"/>
    <w:rsid w:val="34B160FF"/>
    <w:rsid w:val="34B57026"/>
    <w:rsid w:val="34B6B13A"/>
    <w:rsid w:val="34BBCF54"/>
    <w:rsid w:val="34BD0D98"/>
    <w:rsid w:val="34BEB52B"/>
    <w:rsid w:val="34BEE853"/>
    <w:rsid w:val="34C1F36D"/>
    <w:rsid w:val="34C4B6E2"/>
    <w:rsid w:val="34CF2034"/>
    <w:rsid w:val="34D04C23"/>
    <w:rsid w:val="34DC1606"/>
    <w:rsid w:val="34DF037A"/>
    <w:rsid w:val="34E2CF13"/>
    <w:rsid w:val="34E67509"/>
    <w:rsid w:val="34E96623"/>
    <w:rsid w:val="34EA0FE2"/>
    <w:rsid w:val="34EAB73B"/>
    <w:rsid w:val="34F29948"/>
    <w:rsid w:val="34F35F99"/>
    <w:rsid w:val="34F4C910"/>
    <w:rsid w:val="34FB1A09"/>
    <w:rsid w:val="34FF6CEE"/>
    <w:rsid w:val="350511FC"/>
    <w:rsid w:val="35099AB3"/>
    <w:rsid w:val="350B0EFE"/>
    <w:rsid w:val="35176AF1"/>
    <w:rsid w:val="351CD355"/>
    <w:rsid w:val="351EB3FD"/>
    <w:rsid w:val="3520D921"/>
    <w:rsid w:val="352496DB"/>
    <w:rsid w:val="35253643"/>
    <w:rsid w:val="352A118A"/>
    <w:rsid w:val="352A4A28"/>
    <w:rsid w:val="35317B05"/>
    <w:rsid w:val="3538E52D"/>
    <w:rsid w:val="353C9CCE"/>
    <w:rsid w:val="35414E1E"/>
    <w:rsid w:val="35468756"/>
    <w:rsid w:val="354804AA"/>
    <w:rsid w:val="3549231B"/>
    <w:rsid w:val="354B0111"/>
    <w:rsid w:val="35545913"/>
    <w:rsid w:val="35558423"/>
    <w:rsid w:val="35581263"/>
    <w:rsid w:val="355C1DDF"/>
    <w:rsid w:val="355CE948"/>
    <w:rsid w:val="3566DA54"/>
    <w:rsid w:val="356995DA"/>
    <w:rsid w:val="356A324E"/>
    <w:rsid w:val="356B4651"/>
    <w:rsid w:val="356BFA27"/>
    <w:rsid w:val="3576D1BD"/>
    <w:rsid w:val="35799E81"/>
    <w:rsid w:val="357E9BCA"/>
    <w:rsid w:val="357FF8E0"/>
    <w:rsid w:val="358540F0"/>
    <w:rsid w:val="35862D90"/>
    <w:rsid w:val="35870503"/>
    <w:rsid w:val="3587E0C8"/>
    <w:rsid w:val="358CDD7F"/>
    <w:rsid w:val="35901DA9"/>
    <w:rsid w:val="35907B4B"/>
    <w:rsid w:val="35952BBC"/>
    <w:rsid w:val="359600F3"/>
    <w:rsid w:val="359773CE"/>
    <w:rsid w:val="3599C4E4"/>
    <w:rsid w:val="359CC8A0"/>
    <w:rsid w:val="359E4AE7"/>
    <w:rsid w:val="359EB7E1"/>
    <w:rsid w:val="35A35B14"/>
    <w:rsid w:val="35A41FC2"/>
    <w:rsid w:val="35A4E487"/>
    <w:rsid w:val="35A57A51"/>
    <w:rsid w:val="35A5DB1E"/>
    <w:rsid w:val="35AD040D"/>
    <w:rsid w:val="35B1CDF0"/>
    <w:rsid w:val="35B1DF8E"/>
    <w:rsid w:val="35C1E883"/>
    <w:rsid w:val="35C3A574"/>
    <w:rsid w:val="35C73732"/>
    <w:rsid w:val="35C97F41"/>
    <w:rsid w:val="35D1291B"/>
    <w:rsid w:val="35D3C64B"/>
    <w:rsid w:val="35D6377A"/>
    <w:rsid w:val="35DA8E3A"/>
    <w:rsid w:val="35E08B95"/>
    <w:rsid w:val="35E3676B"/>
    <w:rsid w:val="35E7C3D8"/>
    <w:rsid w:val="35EA2A32"/>
    <w:rsid w:val="35EC5F08"/>
    <w:rsid w:val="35EF9FEC"/>
    <w:rsid w:val="35F5DD63"/>
    <w:rsid w:val="35F6870F"/>
    <w:rsid w:val="35FBD9A6"/>
    <w:rsid w:val="35FD4100"/>
    <w:rsid w:val="35FF9BA4"/>
    <w:rsid w:val="3601D1F9"/>
    <w:rsid w:val="360D296F"/>
    <w:rsid w:val="360D4777"/>
    <w:rsid w:val="361132FA"/>
    <w:rsid w:val="36157309"/>
    <w:rsid w:val="361AFCC8"/>
    <w:rsid w:val="362600EF"/>
    <w:rsid w:val="3626027D"/>
    <w:rsid w:val="36287457"/>
    <w:rsid w:val="362AB3FE"/>
    <w:rsid w:val="362F8FE4"/>
    <w:rsid w:val="363158B6"/>
    <w:rsid w:val="3631C5E2"/>
    <w:rsid w:val="363C597C"/>
    <w:rsid w:val="363F8BEF"/>
    <w:rsid w:val="36409DC4"/>
    <w:rsid w:val="364CA6EC"/>
    <w:rsid w:val="364FC8F9"/>
    <w:rsid w:val="3650FEA7"/>
    <w:rsid w:val="365167F1"/>
    <w:rsid w:val="36539948"/>
    <w:rsid w:val="365822DD"/>
    <w:rsid w:val="3658CA02"/>
    <w:rsid w:val="365A2E95"/>
    <w:rsid w:val="365A5637"/>
    <w:rsid w:val="3664635A"/>
    <w:rsid w:val="3664BCF3"/>
    <w:rsid w:val="3668B4A0"/>
    <w:rsid w:val="366AAE70"/>
    <w:rsid w:val="366FEA92"/>
    <w:rsid w:val="3672EF43"/>
    <w:rsid w:val="3676F2B4"/>
    <w:rsid w:val="367E6889"/>
    <w:rsid w:val="367FC76D"/>
    <w:rsid w:val="36864FE7"/>
    <w:rsid w:val="3688D9DC"/>
    <w:rsid w:val="368BF67B"/>
    <w:rsid w:val="368FB109"/>
    <w:rsid w:val="3693FC43"/>
    <w:rsid w:val="369AAD4D"/>
    <w:rsid w:val="369C1686"/>
    <w:rsid w:val="369E7E12"/>
    <w:rsid w:val="36A3869A"/>
    <w:rsid w:val="36A534ED"/>
    <w:rsid w:val="36A971A7"/>
    <w:rsid w:val="36AAB33A"/>
    <w:rsid w:val="36ABC6FB"/>
    <w:rsid w:val="36AC5102"/>
    <w:rsid w:val="36B40105"/>
    <w:rsid w:val="36BB2193"/>
    <w:rsid w:val="36BB7686"/>
    <w:rsid w:val="36C129FE"/>
    <w:rsid w:val="36C19E95"/>
    <w:rsid w:val="36C3F35E"/>
    <w:rsid w:val="36CA5092"/>
    <w:rsid w:val="36CD209A"/>
    <w:rsid w:val="36CFF3E7"/>
    <w:rsid w:val="36D143E7"/>
    <w:rsid w:val="36D3F794"/>
    <w:rsid w:val="36D79431"/>
    <w:rsid w:val="36DD55E3"/>
    <w:rsid w:val="36E57C9B"/>
    <w:rsid w:val="36E8FDF1"/>
    <w:rsid w:val="36E92BC6"/>
    <w:rsid w:val="36E98AE1"/>
    <w:rsid w:val="36EF1860"/>
    <w:rsid w:val="36F699D3"/>
    <w:rsid w:val="36F83127"/>
    <w:rsid w:val="36FA9638"/>
    <w:rsid w:val="37040C0A"/>
    <w:rsid w:val="370931B9"/>
    <w:rsid w:val="370B8E16"/>
    <w:rsid w:val="370DAACD"/>
    <w:rsid w:val="371326EA"/>
    <w:rsid w:val="3716CC0E"/>
    <w:rsid w:val="3717A355"/>
    <w:rsid w:val="371AEC3D"/>
    <w:rsid w:val="371B66C8"/>
    <w:rsid w:val="3721AD75"/>
    <w:rsid w:val="3723FCA1"/>
    <w:rsid w:val="3728C98E"/>
    <w:rsid w:val="3729D91C"/>
    <w:rsid w:val="372A66CF"/>
    <w:rsid w:val="372A797C"/>
    <w:rsid w:val="372C44C5"/>
    <w:rsid w:val="37363559"/>
    <w:rsid w:val="37367B7C"/>
    <w:rsid w:val="3737B687"/>
    <w:rsid w:val="373833C6"/>
    <w:rsid w:val="373AAD4C"/>
    <w:rsid w:val="373BE33B"/>
    <w:rsid w:val="37413E6F"/>
    <w:rsid w:val="3745B5DA"/>
    <w:rsid w:val="37499156"/>
    <w:rsid w:val="374C497E"/>
    <w:rsid w:val="374C6AC7"/>
    <w:rsid w:val="374DC25D"/>
    <w:rsid w:val="3755532B"/>
    <w:rsid w:val="3755A8DD"/>
    <w:rsid w:val="3759CC2A"/>
    <w:rsid w:val="375A126D"/>
    <w:rsid w:val="375B1788"/>
    <w:rsid w:val="375FB70A"/>
    <w:rsid w:val="37618B29"/>
    <w:rsid w:val="3765B406"/>
    <w:rsid w:val="37689F98"/>
    <w:rsid w:val="376A3DB3"/>
    <w:rsid w:val="37709002"/>
    <w:rsid w:val="3771889E"/>
    <w:rsid w:val="3775AF90"/>
    <w:rsid w:val="37795155"/>
    <w:rsid w:val="377AD734"/>
    <w:rsid w:val="378250C9"/>
    <w:rsid w:val="3784C5FF"/>
    <w:rsid w:val="378A07B3"/>
    <w:rsid w:val="378B6C55"/>
    <w:rsid w:val="37925087"/>
    <w:rsid w:val="37981016"/>
    <w:rsid w:val="3799CF51"/>
    <w:rsid w:val="37A05489"/>
    <w:rsid w:val="37A06DFF"/>
    <w:rsid w:val="37A0C44D"/>
    <w:rsid w:val="37A2FE98"/>
    <w:rsid w:val="37A45D57"/>
    <w:rsid w:val="37A66237"/>
    <w:rsid w:val="37A9C432"/>
    <w:rsid w:val="37AAAB56"/>
    <w:rsid w:val="37AAF8B4"/>
    <w:rsid w:val="37AB24E9"/>
    <w:rsid w:val="37ABB0C4"/>
    <w:rsid w:val="37B1B927"/>
    <w:rsid w:val="37B65B33"/>
    <w:rsid w:val="37B68E04"/>
    <w:rsid w:val="37B7303E"/>
    <w:rsid w:val="37B7B7FC"/>
    <w:rsid w:val="37C33270"/>
    <w:rsid w:val="37C3463D"/>
    <w:rsid w:val="37C78630"/>
    <w:rsid w:val="37C89AD8"/>
    <w:rsid w:val="37CA71F7"/>
    <w:rsid w:val="37CBE0CE"/>
    <w:rsid w:val="37CC891B"/>
    <w:rsid w:val="37CD1762"/>
    <w:rsid w:val="37D040BD"/>
    <w:rsid w:val="37D9D008"/>
    <w:rsid w:val="37DB253D"/>
    <w:rsid w:val="37E4C50E"/>
    <w:rsid w:val="37E59BAB"/>
    <w:rsid w:val="37ED14C4"/>
    <w:rsid w:val="37EDC886"/>
    <w:rsid w:val="37F01426"/>
    <w:rsid w:val="37F4502E"/>
    <w:rsid w:val="37F531DB"/>
    <w:rsid w:val="37FAE2B1"/>
    <w:rsid w:val="38028711"/>
    <w:rsid w:val="380A033F"/>
    <w:rsid w:val="380F259E"/>
    <w:rsid w:val="38129DCB"/>
    <w:rsid w:val="3814C82D"/>
    <w:rsid w:val="3815CAF0"/>
    <w:rsid w:val="3818CBF2"/>
    <w:rsid w:val="3818EA80"/>
    <w:rsid w:val="381AE4C9"/>
    <w:rsid w:val="381B3A17"/>
    <w:rsid w:val="381D5513"/>
    <w:rsid w:val="381EDE4B"/>
    <w:rsid w:val="38239764"/>
    <w:rsid w:val="38268CCB"/>
    <w:rsid w:val="3827EF4B"/>
    <w:rsid w:val="382A61C3"/>
    <w:rsid w:val="38341536"/>
    <w:rsid w:val="3838E35F"/>
    <w:rsid w:val="383BAAB3"/>
    <w:rsid w:val="383C65D9"/>
    <w:rsid w:val="384258B3"/>
    <w:rsid w:val="384357EE"/>
    <w:rsid w:val="384420AD"/>
    <w:rsid w:val="3846CB1B"/>
    <w:rsid w:val="38498B7C"/>
    <w:rsid w:val="384BEB23"/>
    <w:rsid w:val="384E9DE5"/>
    <w:rsid w:val="38539E8C"/>
    <w:rsid w:val="385B041F"/>
    <w:rsid w:val="385B339B"/>
    <w:rsid w:val="385BA61A"/>
    <w:rsid w:val="385CE059"/>
    <w:rsid w:val="38604F8F"/>
    <w:rsid w:val="3862B596"/>
    <w:rsid w:val="386BCF46"/>
    <w:rsid w:val="386C8A2F"/>
    <w:rsid w:val="386CE1EC"/>
    <w:rsid w:val="386DF1C4"/>
    <w:rsid w:val="38708CEF"/>
    <w:rsid w:val="3870D9EF"/>
    <w:rsid w:val="3872408B"/>
    <w:rsid w:val="3872BC2D"/>
    <w:rsid w:val="38747446"/>
    <w:rsid w:val="3875A2D3"/>
    <w:rsid w:val="3879EC7F"/>
    <w:rsid w:val="387AB772"/>
    <w:rsid w:val="387C5821"/>
    <w:rsid w:val="387E357D"/>
    <w:rsid w:val="388296DF"/>
    <w:rsid w:val="388E293A"/>
    <w:rsid w:val="389223AA"/>
    <w:rsid w:val="38928F4C"/>
    <w:rsid w:val="389662D4"/>
    <w:rsid w:val="3896CA96"/>
    <w:rsid w:val="389707C8"/>
    <w:rsid w:val="3899BC47"/>
    <w:rsid w:val="389A363D"/>
    <w:rsid w:val="389B8BF3"/>
    <w:rsid w:val="389CE6B6"/>
    <w:rsid w:val="389EF5CA"/>
    <w:rsid w:val="389F2E54"/>
    <w:rsid w:val="38A04545"/>
    <w:rsid w:val="38A37303"/>
    <w:rsid w:val="38A69572"/>
    <w:rsid w:val="38A924C0"/>
    <w:rsid w:val="38AD8F8E"/>
    <w:rsid w:val="38AFFBCE"/>
    <w:rsid w:val="38B672AB"/>
    <w:rsid w:val="38B82F5E"/>
    <w:rsid w:val="38BA5985"/>
    <w:rsid w:val="38BBFB93"/>
    <w:rsid w:val="38BFE701"/>
    <w:rsid w:val="38C3EE47"/>
    <w:rsid w:val="38C6B715"/>
    <w:rsid w:val="38D1A3E9"/>
    <w:rsid w:val="38D8B486"/>
    <w:rsid w:val="38DA09EE"/>
    <w:rsid w:val="38DACA98"/>
    <w:rsid w:val="38DAE6E8"/>
    <w:rsid w:val="38DDE4BD"/>
    <w:rsid w:val="38DE45F4"/>
    <w:rsid w:val="38E16EC8"/>
    <w:rsid w:val="38E5F48D"/>
    <w:rsid w:val="38EA014B"/>
    <w:rsid w:val="38EA315E"/>
    <w:rsid w:val="38EF6052"/>
    <w:rsid w:val="38F885C3"/>
    <w:rsid w:val="39028176"/>
    <w:rsid w:val="39044DCA"/>
    <w:rsid w:val="39073A47"/>
    <w:rsid w:val="3912FAD4"/>
    <w:rsid w:val="3913C327"/>
    <w:rsid w:val="39151022"/>
    <w:rsid w:val="391DCEE8"/>
    <w:rsid w:val="391F2765"/>
    <w:rsid w:val="39226176"/>
    <w:rsid w:val="39237E5B"/>
    <w:rsid w:val="3924C51C"/>
    <w:rsid w:val="39261911"/>
    <w:rsid w:val="3926C6C7"/>
    <w:rsid w:val="3929A241"/>
    <w:rsid w:val="39344FB9"/>
    <w:rsid w:val="39369288"/>
    <w:rsid w:val="3937CF82"/>
    <w:rsid w:val="393D936A"/>
    <w:rsid w:val="39461D2F"/>
    <w:rsid w:val="39463A49"/>
    <w:rsid w:val="394A0745"/>
    <w:rsid w:val="39579F7F"/>
    <w:rsid w:val="3957B376"/>
    <w:rsid w:val="395CB9F5"/>
    <w:rsid w:val="395DEDB1"/>
    <w:rsid w:val="395EB6C4"/>
    <w:rsid w:val="3961A7E6"/>
    <w:rsid w:val="396315A6"/>
    <w:rsid w:val="39652F91"/>
    <w:rsid w:val="396AB628"/>
    <w:rsid w:val="396F47F4"/>
    <w:rsid w:val="39705043"/>
    <w:rsid w:val="397581FA"/>
    <w:rsid w:val="397BEA15"/>
    <w:rsid w:val="39847CCC"/>
    <w:rsid w:val="39852C31"/>
    <w:rsid w:val="39865771"/>
    <w:rsid w:val="3986B230"/>
    <w:rsid w:val="3986C480"/>
    <w:rsid w:val="39895A52"/>
    <w:rsid w:val="398AE70D"/>
    <w:rsid w:val="3991C39F"/>
    <w:rsid w:val="3994229B"/>
    <w:rsid w:val="399C606D"/>
    <w:rsid w:val="39A27717"/>
    <w:rsid w:val="39A304CC"/>
    <w:rsid w:val="39A5EBE3"/>
    <w:rsid w:val="39ACD613"/>
    <w:rsid w:val="39AEF860"/>
    <w:rsid w:val="39B79277"/>
    <w:rsid w:val="39B9D59A"/>
    <w:rsid w:val="39BB3D4B"/>
    <w:rsid w:val="39BFEE1E"/>
    <w:rsid w:val="39C1B034"/>
    <w:rsid w:val="39C399A2"/>
    <w:rsid w:val="39C608D6"/>
    <w:rsid w:val="39CBC932"/>
    <w:rsid w:val="39CE6428"/>
    <w:rsid w:val="39D3229C"/>
    <w:rsid w:val="39D3A031"/>
    <w:rsid w:val="39E1EACB"/>
    <w:rsid w:val="39E5E91A"/>
    <w:rsid w:val="39E6B3A0"/>
    <w:rsid w:val="39E74B29"/>
    <w:rsid w:val="39E7EBB9"/>
    <w:rsid w:val="39EC51D9"/>
    <w:rsid w:val="39ECCFBC"/>
    <w:rsid w:val="39EEE430"/>
    <w:rsid w:val="39EEFE50"/>
    <w:rsid w:val="39F06724"/>
    <w:rsid w:val="39F25114"/>
    <w:rsid w:val="39F3597C"/>
    <w:rsid w:val="39F4290E"/>
    <w:rsid w:val="39F6F8DF"/>
    <w:rsid w:val="39F80F48"/>
    <w:rsid w:val="39F86292"/>
    <w:rsid w:val="39F8F228"/>
    <w:rsid w:val="39FA3992"/>
    <w:rsid w:val="3A0151FE"/>
    <w:rsid w:val="3A05FF01"/>
    <w:rsid w:val="3A0611C2"/>
    <w:rsid w:val="3A06883A"/>
    <w:rsid w:val="3A0AA43A"/>
    <w:rsid w:val="3A165AC2"/>
    <w:rsid w:val="3A16ADB5"/>
    <w:rsid w:val="3A173AD3"/>
    <w:rsid w:val="3A1A964F"/>
    <w:rsid w:val="3A1E05EA"/>
    <w:rsid w:val="3A217B99"/>
    <w:rsid w:val="3A27D477"/>
    <w:rsid w:val="3A290DD0"/>
    <w:rsid w:val="3A2ADAA1"/>
    <w:rsid w:val="3A2C2220"/>
    <w:rsid w:val="3A2D21FF"/>
    <w:rsid w:val="3A33E656"/>
    <w:rsid w:val="3A36F381"/>
    <w:rsid w:val="3A39609D"/>
    <w:rsid w:val="3A397BA2"/>
    <w:rsid w:val="3A3BCDFA"/>
    <w:rsid w:val="3A3BD54C"/>
    <w:rsid w:val="3A3DEF8B"/>
    <w:rsid w:val="3A427AB6"/>
    <w:rsid w:val="3A430DF8"/>
    <w:rsid w:val="3A43135B"/>
    <w:rsid w:val="3A43B0C2"/>
    <w:rsid w:val="3A455CEB"/>
    <w:rsid w:val="3A4565DD"/>
    <w:rsid w:val="3A5416DB"/>
    <w:rsid w:val="3A584A76"/>
    <w:rsid w:val="3A60B513"/>
    <w:rsid w:val="3A635002"/>
    <w:rsid w:val="3A6CE016"/>
    <w:rsid w:val="3A71A243"/>
    <w:rsid w:val="3A7229BE"/>
    <w:rsid w:val="3A73DA50"/>
    <w:rsid w:val="3A746074"/>
    <w:rsid w:val="3A7643A1"/>
    <w:rsid w:val="3A7662A2"/>
    <w:rsid w:val="3A767DA7"/>
    <w:rsid w:val="3A7A19F5"/>
    <w:rsid w:val="3A815BC2"/>
    <w:rsid w:val="3A8341C9"/>
    <w:rsid w:val="3A8492DB"/>
    <w:rsid w:val="3A84D560"/>
    <w:rsid w:val="3A86F0D1"/>
    <w:rsid w:val="3A873433"/>
    <w:rsid w:val="3A8A90F9"/>
    <w:rsid w:val="3A9074EF"/>
    <w:rsid w:val="3A91CAD5"/>
    <w:rsid w:val="3A944D0E"/>
    <w:rsid w:val="3A9457C0"/>
    <w:rsid w:val="3A9A9CEA"/>
    <w:rsid w:val="3A9C3A31"/>
    <w:rsid w:val="3A9FDE47"/>
    <w:rsid w:val="3AA123D6"/>
    <w:rsid w:val="3AA2AB73"/>
    <w:rsid w:val="3AA830A8"/>
    <w:rsid w:val="3AAD741A"/>
    <w:rsid w:val="3AB301D2"/>
    <w:rsid w:val="3AB3C7E0"/>
    <w:rsid w:val="3AB4A52E"/>
    <w:rsid w:val="3AB4F91A"/>
    <w:rsid w:val="3AB6E002"/>
    <w:rsid w:val="3AB8C162"/>
    <w:rsid w:val="3ABC9D61"/>
    <w:rsid w:val="3ABE5608"/>
    <w:rsid w:val="3AC05849"/>
    <w:rsid w:val="3AC10176"/>
    <w:rsid w:val="3AC400DC"/>
    <w:rsid w:val="3AC72CD5"/>
    <w:rsid w:val="3AC949B0"/>
    <w:rsid w:val="3ACFDB37"/>
    <w:rsid w:val="3AD2E1D5"/>
    <w:rsid w:val="3AD7E6E9"/>
    <w:rsid w:val="3AD9A418"/>
    <w:rsid w:val="3ADB8C39"/>
    <w:rsid w:val="3ADBCE65"/>
    <w:rsid w:val="3ADE8C92"/>
    <w:rsid w:val="3AE67100"/>
    <w:rsid w:val="3AEA4EDE"/>
    <w:rsid w:val="3AEBEC8A"/>
    <w:rsid w:val="3AED0E34"/>
    <w:rsid w:val="3AF0C1B7"/>
    <w:rsid w:val="3AF4C1B8"/>
    <w:rsid w:val="3AF6DBDF"/>
    <w:rsid w:val="3AF777F6"/>
    <w:rsid w:val="3AFAA8E3"/>
    <w:rsid w:val="3B07DC18"/>
    <w:rsid w:val="3B097270"/>
    <w:rsid w:val="3B0E8452"/>
    <w:rsid w:val="3B148228"/>
    <w:rsid w:val="3B1A05E4"/>
    <w:rsid w:val="3B1D6AEC"/>
    <w:rsid w:val="3B1EAAA1"/>
    <w:rsid w:val="3B2D9D9F"/>
    <w:rsid w:val="3B31CE20"/>
    <w:rsid w:val="3B3654B7"/>
    <w:rsid w:val="3B3AD197"/>
    <w:rsid w:val="3B3F1326"/>
    <w:rsid w:val="3B467E30"/>
    <w:rsid w:val="3B4EB5F9"/>
    <w:rsid w:val="3B4F9280"/>
    <w:rsid w:val="3B501AAC"/>
    <w:rsid w:val="3B52D504"/>
    <w:rsid w:val="3B53379C"/>
    <w:rsid w:val="3B5344F9"/>
    <w:rsid w:val="3B537C23"/>
    <w:rsid w:val="3B57C0E1"/>
    <w:rsid w:val="3B585CF0"/>
    <w:rsid w:val="3B5DC80E"/>
    <w:rsid w:val="3B5EDFFC"/>
    <w:rsid w:val="3B649B51"/>
    <w:rsid w:val="3B6FF27E"/>
    <w:rsid w:val="3B71ECA5"/>
    <w:rsid w:val="3B74B9C8"/>
    <w:rsid w:val="3B77474E"/>
    <w:rsid w:val="3B7F182E"/>
    <w:rsid w:val="3B7F8D3F"/>
    <w:rsid w:val="3B8259A4"/>
    <w:rsid w:val="3B83806E"/>
    <w:rsid w:val="3B8E9194"/>
    <w:rsid w:val="3B9A0468"/>
    <w:rsid w:val="3B9A289E"/>
    <w:rsid w:val="3B9C2305"/>
    <w:rsid w:val="3B9EF1FD"/>
    <w:rsid w:val="3BA3D918"/>
    <w:rsid w:val="3BA47B1D"/>
    <w:rsid w:val="3BA92D01"/>
    <w:rsid w:val="3BA97055"/>
    <w:rsid w:val="3BAB9469"/>
    <w:rsid w:val="3BAD9A9C"/>
    <w:rsid w:val="3BAFA3F5"/>
    <w:rsid w:val="3BB07ED4"/>
    <w:rsid w:val="3BB1A68C"/>
    <w:rsid w:val="3BB5EA17"/>
    <w:rsid w:val="3BB6E9C6"/>
    <w:rsid w:val="3BB7D70C"/>
    <w:rsid w:val="3BBEC6E1"/>
    <w:rsid w:val="3BC91414"/>
    <w:rsid w:val="3BD0E1E1"/>
    <w:rsid w:val="3BD14EEF"/>
    <w:rsid w:val="3BD1DEE6"/>
    <w:rsid w:val="3BD1E036"/>
    <w:rsid w:val="3BD4710C"/>
    <w:rsid w:val="3BD4D249"/>
    <w:rsid w:val="3BDEB4C6"/>
    <w:rsid w:val="3BE346A6"/>
    <w:rsid w:val="3BE34988"/>
    <w:rsid w:val="3BE40C79"/>
    <w:rsid w:val="3BE614FC"/>
    <w:rsid w:val="3BEA4CD0"/>
    <w:rsid w:val="3BF42477"/>
    <w:rsid w:val="3BF50A4E"/>
    <w:rsid w:val="3BF92999"/>
    <w:rsid w:val="3BF970E3"/>
    <w:rsid w:val="3BFBFB83"/>
    <w:rsid w:val="3BFE0A32"/>
    <w:rsid w:val="3C04393E"/>
    <w:rsid w:val="3C0B29A5"/>
    <w:rsid w:val="3C0C97AC"/>
    <w:rsid w:val="3C1212D0"/>
    <w:rsid w:val="3C140EBC"/>
    <w:rsid w:val="3C15B893"/>
    <w:rsid w:val="3C163425"/>
    <w:rsid w:val="3C1ED798"/>
    <w:rsid w:val="3C26AB0D"/>
    <w:rsid w:val="3C2C11AF"/>
    <w:rsid w:val="3C314CE6"/>
    <w:rsid w:val="3C33EF46"/>
    <w:rsid w:val="3C35B7C7"/>
    <w:rsid w:val="3C3A4123"/>
    <w:rsid w:val="3C40CFCF"/>
    <w:rsid w:val="3C439B1D"/>
    <w:rsid w:val="3C43F14B"/>
    <w:rsid w:val="3C477E13"/>
    <w:rsid w:val="3C5CA942"/>
    <w:rsid w:val="3C68A7D4"/>
    <w:rsid w:val="3C6A1A36"/>
    <w:rsid w:val="3C6C2401"/>
    <w:rsid w:val="3C6C9D2D"/>
    <w:rsid w:val="3C6E9ACF"/>
    <w:rsid w:val="3C7623EB"/>
    <w:rsid w:val="3C7BB838"/>
    <w:rsid w:val="3C82D986"/>
    <w:rsid w:val="3C849B00"/>
    <w:rsid w:val="3C865E3B"/>
    <w:rsid w:val="3C87091A"/>
    <w:rsid w:val="3C8949B2"/>
    <w:rsid w:val="3C8B0708"/>
    <w:rsid w:val="3C8E2B9D"/>
    <w:rsid w:val="3C921B9F"/>
    <w:rsid w:val="3C9B14E6"/>
    <w:rsid w:val="3CA04918"/>
    <w:rsid w:val="3CA26C2B"/>
    <w:rsid w:val="3CA3AC79"/>
    <w:rsid w:val="3CA58974"/>
    <w:rsid w:val="3CA5A9A6"/>
    <w:rsid w:val="3CA62B1C"/>
    <w:rsid w:val="3CAB3533"/>
    <w:rsid w:val="3CABB5D1"/>
    <w:rsid w:val="3CAD6443"/>
    <w:rsid w:val="3CADFC65"/>
    <w:rsid w:val="3CAE7E94"/>
    <w:rsid w:val="3CB3B0DB"/>
    <w:rsid w:val="3CB718DB"/>
    <w:rsid w:val="3CB73518"/>
    <w:rsid w:val="3CBAC1E0"/>
    <w:rsid w:val="3CBBB06D"/>
    <w:rsid w:val="3CC08014"/>
    <w:rsid w:val="3CC409AC"/>
    <w:rsid w:val="3CC73013"/>
    <w:rsid w:val="3CCBACC3"/>
    <w:rsid w:val="3CCFC63B"/>
    <w:rsid w:val="3CD10F41"/>
    <w:rsid w:val="3CD78768"/>
    <w:rsid w:val="3CDC2483"/>
    <w:rsid w:val="3CDF17B0"/>
    <w:rsid w:val="3CE4F191"/>
    <w:rsid w:val="3CEA2149"/>
    <w:rsid w:val="3CEE1840"/>
    <w:rsid w:val="3CEEF203"/>
    <w:rsid w:val="3CF3E9F2"/>
    <w:rsid w:val="3CF43FD9"/>
    <w:rsid w:val="3D052CC5"/>
    <w:rsid w:val="3D094F60"/>
    <w:rsid w:val="3D121EFD"/>
    <w:rsid w:val="3D1554A2"/>
    <w:rsid w:val="3D1801F3"/>
    <w:rsid w:val="3D1AE88F"/>
    <w:rsid w:val="3D1CC982"/>
    <w:rsid w:val="3D1FE1F9"/>
    <w:rsid w:val="3D231C58"/>
    <w:rsid w:val="3D24C2C0"/>
    <w:rsid w:val="3D2685BE"/>
    <w:rsid w:val="3D29D61B"/>
    <w:rsid w:val="3D2BA5C9"/>
    <w:rsid w:val="3D2D9E07"/>
    <w:rsid w:val="3D30D639"/>
    <w:rsid w:val="3D3875A3"/>
    <w:rsid w:val="3D407BC7"/>
    <w:rsid w:val="3D44D753"/>
    <w:rsid w:val="3D485BE4"/>
    <w:rsid w:val="3D4E443D"/>
    <w:rsid w:val="3D5128CA"/>
    <w:rsid w:val="3D53A473"/>
    <w:rsid w:val="3D571951"/>
    <w:rsid w:val="3D5ACB15"/>
    <w:rsid w:val="3D5D6B8C"/>
    <w:rsid w:val="3D637C25"/>
    <w:rsid w:val="3D65563D"/>
    <w:rsid w:val="3D68806A"/>
    <w:rsid w:val="3D724918"/>
    <w:rsid w:val="3D76393B"/>
    <w:rsid w:val="3D817CE1"/>
    <w:rsid w:val="3D819EB6"/>
    <w:rsid w:val="3D827149"/>
    <w:rsid w:val="3D835F93"/>
    <w:rsid w:val="3D841E6D"/>
    <w:rsid w:val="3D859B6A"/>
    <w:rsid w:val="3D8CC506"/>
    <w:rsid w:val="3D8D92D2"/>
    <w:rsid w:val="3D91E1F7"/>
    <w:rsid w:val="3D96D04D"/>
    <w:rsid w:val="3D976414"/>
    <w:rsid w:val="3D996BAE"/>
    <w:rsid w:val="3D9BDE4E"/>
    <w:rsid w:val="3D9E0668"/>
    <w:rsid w:val="3D9FAADF"/>
    <w:rsid w:val="3DA0C9A7"/>
    <w:rsid w:val="3DA13B6E"/>
    <w:rsid w:val="3DA2325C"/>
    <w:rsid w:val="3DA45A99"/>
    <w:rsid w:val="3DA55B0E"/>
    <w:rsid w:val="3DA5F662"/>
    <w:rsid w:val="3DA720E1"/>
    <w:rsid w:val="3DAC8CEC"/>
    <w:rsid w:val="3DB01C71"/>
    <w:rsid w:val="3DB23C3D"/>
    <w:rsid w:val="3DB4057E"/>
    <w:rsid w:val="3DB558AF"/>
    <w:rsid w:val="3DB6A608"/>
    <w:rsid w:val="3DB79CD0"/>
    <w:rsid w:val="3DB9F03B"/>
    <w:rsid w:val="3DBB5B31"/>
    <w:rsid w:val="3DBFBA92"/>
    <w:rsid w:val="3DC1169F"/>
    <w:rsid w:val="3DC237FA"/>
    <w:rsid w:val="3DC3B0BD"/>
    <w:rsid w:val="3DC4F4E8"/>
    <w:rsid w:val="3DC5F498"/>
    <w:rsid w:val="3DC7EA98"/>
    <w:rsid w:val="3DC9BB0E"/>
    <w:rsid w:val="3DCC9270"/>
    <w:rsid w:val="3DCD0A5C"/>
    <w:rsid w:val="3DCF88D4"/>
    <w:rsid w:val="3DD0C6F5"/>
    <w:rsid w:val="3DD3A41D"/>
    <w:rsid w:val="3DD3C236"/>
    <w:rsid w:val="3DDBEDFF"/>
    <w:rsid w:val="3DDE803A"/>
    <w:rsid w:val="3DE13135"/>
    <w:rsid w:val="3DE5901E"/>
    <w:rsid w:val="3DE78B03"/>
    <w:rsid w:val="3DE8BE03"/>
    <w:rsid w:val="3DE9B21A"/>
    <w:rsid w:val="3DEBF396"/>
    <w:rsid w:val="3DF1E016"/>
    <w:rsid w:val="3DF32640"/>
    <w:rsid w:val="3DF59451"/>
    <w:rsid w:val="3DF72555"/>
    <w:rsid w:val="3DF73CC2"/>
    <w:rsid w:val="3DF83BDD"/>
    <w:rsid w:val="3DFA0757"/>
    <w:rsid w:val="3DFC1D19"/>
    <w:rsid w:val="3DFF962B"/>
    <w:rsid w:val="3E00B572"/>
    <w:rsid w:val="3E055B25"/>
    <w:rsid w:val="3E0A6918"/>
    <w:rsid w:val="3E0BD528"/>
    <w:rsid w:val="3E152ADB"/>
    <w:rsid w:val="3E1548E0"/>
    <w:rsid w:val="3E163E97"/>
    <w:rsid w:val="3E212C89"/>
    <w:rsid w:val="3E212F91"/>
    <w:rsid w:val="3E235BDE"/>
    <w:rsid w:val="3E2ECE87"/>
    <w:rsid w:val="3E2EF56D"/>
    <w:rsid w:val="3E313D6B"/>
    <w:rsid w:val="3E3162B6"/>
    <w:rsid w:val="3E35625A"/>
    <w:rsid w:val="3E39D77E"/>
    <w:rsid w:val="3E3D1578"/>
    <w:rsid w:val="3E3F7CDA"/>
    <w:rsid w:val="3E3FF46E"/>
    <w:rsid w:val="3E4020D8"/>
    <w:rsid w:val="3E423644"/>
    <w:rsid w:val="3E42DAF6"/>
    <w:rsid w:val="3E4AEE3D"/>
    <w:rsid w:val="3E4D277E"/>
    <w:rsid w:val="3E4E1E02"/>
    <w:rsid w:val="3E4E4BF5"/>
    <w:rsid w:val="3E5531D2"/>
    <w:rsid w:val="3E592757"/>
    <w:rsid w:val="3E5F27F8"/>
    <w:rsid w:val="3E6465A4"/>
    <w:rsid w:val="3E678E74"/>
    <w:rsid w:val="3E6C91C7"/>
    <w:rsid w:val="3E6DF1E1"/>
    <w:rsid w:val="3E7189AF"/>
    <w:rsid w:val="3E72C34E"/>
    <w:rsid w:val="3E7A8EA4"/>
    <w:rsid w:val="3E7BABD0"/>
    <w:rsid w:val="3E7C564C"/>
    <w:rsid w:val="3E83ED7D"/>
    <w:rsid w:val="3E86BAE9"/>
    <w:rsid w:val="3E8A5740"/>
    <w:rsid w:val="3E8AA053"/>
    <w:rsid w:val="3E8B9AB6"/>
    <w:rsid w:val="3E8E273E"/>
    <w:rsid w:val="3E953F05"/>
    <w:rsid w:val="3E963EE7"/>
    <w:rsid w:val="3E973F6C"/>
    <w:rsid w:val="3E991C48"/>
    <w:rsid w:val="3E9D1F0F"/>
    <w:rsid w:val="3E9DD248"/>
    <w:rsid w:val="3EA66A1B"/>
    <w:rsid w:val="3EA6EA72"/>
    <w:rsid w:val="3EA738B6"/>
    <w:rsid w:val="3EA7D6EE"/>
    <w:rsid w:val="3EA8103D"/>
    <w:rsid w:val="3EACB2DD"/>
    <w:rsid w:val="3EAE5207"/>
    <w:rsid w:val="3EAF2125"/>
    <w:rsid w:val="3EBE91B7"/>
    <w:rsid w:val="3EBF531E"/>
    <w:rsid w:val="3EC7BD1C"/>
    <w:rsid w:val="3ED01F69"/>
    <w:rsid w:val="3ED4FD5C"/>
    <w:rsid w:val="3ED64391"/>
    <w:rsid w:val="3ED95A2D"/>
    <w:rsid w:val="3EE13CA1"/>
    <w:rsid w:val="3EE91109"/>
    <w:rsid w:val="3EEB95ED"/>
    <w:rsid w:val="3EED360E"/>
    <w:rsid w:val="3EEDB359"/>
    <w:rsid w:val="3EEFEED1"/>
    <w:rsid w:val="3EF4D0D9"/>
    <w:rsid w:val="3EF991DB"/>
    <w:rsid w:val="3EFEE1BE"/>
    <w:rsid w:val="3F01CF6E"/>
    <w:rsid w:val="3F0AC23A"/>
    <w:rsid w:val="3F0CCB8D"/>
    <w:rsid w:val="3F0EF9FF"/>
    <w:rsid w:val="3F1678B0"/>
    <w:rsid w:val="3F1DA7A6"/>
    <w:rsid w:val="3F204604"/>
    <w:rsid w:val="3F2081A4"/>
    <w:rsid w:val="3F23351F"/>
    <w:rsid w:val="3F27F1F0"/>
    <w:rsid w:val="3F2DDEE6"/>
    <w:rsid w:val="3F3250E7"/>
    <w:rsid w:val="3F35BF9E"/>
    <w:rsid w:val="3F390E64"/>
    <w:rsid w:val="3F39FE36"/>
    <w:rsid w:val="3F41A5DD"/>
    <w:rsid w:val="3F453E58"/>
    <w:rsid w:val="3F51F3C7"/>
    <w:rsid w:val="3F59CF5B"/>
    <w:rsid w:val="3F5EB54B"/>
    <w:rsid w:val="3F60398B"/>
    <w:rsid w:val="3F6146E9"/>
    <w:rsid w:val="3F62424A"/>
    <w:rsid w:val="3F63CD19"/>
    <w:rsid w:val="3F66B0E4"/>
    <w:rsid w:val="3F677EAE"/>
    <w:rsid w:val="3F6ADAF8"/>
    <w:rsid w:val="3F74CBC8"/>
    <w:rsid w:val="3F750D3F"/>
    <w:rsid w:val="3F76F6B0"/>
    <w:rsid w:val="3F770010"/>
    <w:rsid w:val="3F7700C8"/>
    <w:rsid w:val="3F78DE5C"/>
    <w:rsid w:val="3F7B9444"/>
    <w:rsid w:val="3F7BF32B"/>
    <w:rsid w:val="3F8093C9"/>
    <w:rsid w:val="3F839C90"/>
    <w:rsid w:val="3F83ED80"/>
    <w:rsid w:val="3F879DB3"/>
    <w:rsid w:val="3F8C50C0"/>
    <w:rsid w:val="3F915B53"/>
    <w:rsid w:val="3F995500"/>
    <w:rsid w:val="3F9D4F21"/>
    <w:rsid w:val="3F9E59FD"/>
    <w:rsid w:val="3FAE237C"/>
    <w:rsid w:val="3FB8A7E9"/>
    <w:rsid w:val="3FB8EDB8"/>
    <w:rsid w:val="3FBCCBB9"/>
    <w:rsid w:val="3FC69B72"/>
    <w:rsid w:val="3FC91645"/>
    <w:rsid w:val="3FCBB281"/>
    <w:rsid w:val="3FCBBAB1"/>
    <w:rsid w:val="3FD7A6AE"/>
    <w:rsid w:val="3FDC255B"/>
    <w:rsid w:val="3FE330DC"/>
    <w:rsid w:val="3FE5442B"/>
    <w:rsid w:val="3FE55636"/>
    <w:rsid w:val="3FE5F72A"/>
    <w:rsid w:val="3FE7668D"/>
    <w:rsid w:val="3FEC88B1"/>
    <w:rsid w:val="3FED9950"/>
    <w:rsid w:val="3FED9A5C"/>
    <w:rsid w:val="3FF007F3"/>
    <w:rsid w:val="3FF59C35"/>
    <w:rsid w:val="3FF6665D"/>
    <w:rsid w:val="3FFD4525"/>
    <w:rsid w:val="3FFE2E7B"/>
    <w:rsid w:val="3FFFC03F"/>
    <w:rsid w:val="40009AAF"/>
    <w:rsid w:val="4005183B"/>
    <w:rsid w:val="400E127F"/>
    <w:rsid w:val="40129D3E"/>
    <w:rsid w:val="40148AA4"/>
    <w:rsid w:val="40169BBE"/>
    <w:rsid w:val="4017EFB5"/>
    <w:rsid w:val="401AA70C"/>
    <w:rsid w:val="401E6213"/>
    <w:rsid w:val="401F471A"/>
    <w:rsid w:val="402DB1A6"/>
    <w:rsid w:val="402FA142"/>
    <w:rsid w:val="402FCAEB"/>
    <w:rsid w:val="4033BBF9"/>
    <w:rsid w:val="40382424"/>
    <w:rsid w:val="403C2E6F"/>
    <w:rsid w:val="403EBC9A"/>
    <w:rsid w:val="403FE5D1"/>
    <w:rsid w:val="4041B6D1"/>
    <w:rsid w:val="4042532A"/>
    <w:rsid w:val="404E3ACE"/>
    <w:rsid w:val="405248E9"/>
    <w:rsid w:val="4056076B"/>
    <w:rsid w:val="40560B81"/>
    <w:rsid w:val="405A3DBC"/>
    <w:rsid w:val="405F3862"/>
    <w:rsid w:val="40601B69"/>
    <w:rsid w:val="406538BF"/>
    <w:rsid w:val="40668120"/>
    <w:rsid w:val="406E13CA"/>
    <w:rsid w:val="407533A5"/>
    <w:rsid w:val="40758819"/>
    <w:rsid w:val="4078262D"/>
    <w:rsid w:val="407D0FBB"/>
    <w:rsid w:val="40898D5A"/>
    <w:rsid w:val="40899BCA"/>
    <w:rsid w:val="408AC756"/>
    <w:rsid w:val="408B482F"/>
    <w:rsid w:val="408F5E52"/>
    <w:rsid w:val="40932BB0"/>
    <w:rsid w:val="4094D739"/>
    <w:rsid w:val="409A33D7"/>
    <w:rsid w:val="409A4850"/>
    <w:rsid w:val="40A6A2EA"/>
    <w:rsid w:val="40B091CF"/>
    <w:rsid w:val="40B48D45"/>
    <w:rsid w:val="40C12571"/>
    <w:rsid w:val="40C13635"/>
    <w:rsid w:val="40C22D78"/>
    <w:rsid w:val="40C2C445"/>
    <w:rsid w:val="40C49474"/>
    <w:rsid w:val="40C7B136"/>
    <w:rsid w:val="40CA90D4"/>
    <w:rsid w:val="40D044DF"/>
    <w:rsid w:val="40D10E91"/>
    <w:rsid w:val="40D2C522"/>
    <w:rsid w:val="40D5FEFD"/>
    <w:rsid w:val="40DC867C"/>
    <w:rsid w:val="40DCE9E5"/>
    <w:rsid w:val="40DDBC3B"/>
    <w:rsid w:val="40DF3575"/>
    <w:rsid w:val="40DFAD19"/>
    <w:rsid w:val="40E1E82C"/>
    <w:rsid w:val="40E4DB48"/>
    <w:rsid w:val="40E4E9BA"/>
    <w:rsid w:val="40E56B10"/>
    <w:rsid w:val="40E70720"/>
    <w:rsid w:val="40E9E3F3"/>
    <w:rsid w:val="40EF5D59"/>
    <w:rsid w:val="40F0D9E6"/>
    <w:rsid w:val="40F47717"/>
    <w:rsid w:val="40F84822"/>
    <w:rsid w:val="40F8B1F2"/>
    <w:rsid w:val="40FB4812"/>
    <w:rsid w:val="40FBB3A1"/>
    <w:rsid w:val="40FBDE8F"/>
    <w:rsid w:val="40FD9610"/>
    <w:rsid w:val="4104996C"/>
    <w:rsid w:val="410568E7"/>
    <w:rsid w:val="4106EB4E"/>
    <w:rsid w:val="4108ABA0"/>
    <w:rsid w:val="41090E0D"/>
    <w:rsid w:val="41097B9C"/>
    <w:rsid w:val="410AA597"/>
    <w:rsid w:val="410AD577"/>
    <w:rsid w:val="410D97FE"/>
    <w:rsid w:val="410F4171"/>
    <w:rsid w:val="411217E2"/>
    <w:rsid w:val="4116AB69"/>
    <w:rsid w:val="411C0E74"/>
    <w:rsid w:val="411C9954"/>
    <w:rsid w:val="411D57AE"/>
    <w:rsid w:val="41240885"/>
    <w:rsid w:val="4126B119"/>
    <w:rsid w:val="4126B6B6"/>
    <w:rsid w:val="412C089C"/>
    <w:rsid w:val="412D242A"/>
    <w:rsid w:val="412DEDA7"/>
    <w:rsid w:val="412EF96E"/>
    <w:rsid w:val="413250AF"/>
    <w:rsid w:val="4136A9C9"/>
    <w:rsid w:val="413A94FA"/>
    <w:rsid w:val="413C3EA6"/>
    <w:rsid w:val="4141D021"/>
    <w:rsid w:val="4142FA12"/>
    <w:rsid w:val="414ABE9B"/>
    <w:rsid w:val="414ECE9C"/>
    <w:rsid w:val="414F4370"/>
    <w:rsid w:val="414FA1D1"/>
    <w:rsid w:val="41509276"/>
    <w:rsid w:val="41568A82"/>
    <w:rsid w:val="41586054"/>
    <w:rsid w:val="415BA6F6"/>
    <w:rsid w:val="415E3E3B"/>
    <w:rsid w:val="4161361D"/>
    <w:rsid w:val="41630A54"/>
    <w:rsid w:val="41636FDE"/>
    <w:rsid w:val="4165A08C"/>
    <w:rsid w:val="4166B389"/>
    <w:rsid w:val="41675494"/>
    <w:rsid w:val="416E1416"/>
    <w:rsid w:val="416FBCAD"/>
    <w:rsid w:val="4173E274"/>
    <w:rsid w:val="4178F12F"/>
    <w:rsid w:val="417A7BB8"/>
    <w:rsid w:val="417CDA68"/>
    <w:rsid w:val="4185E41E"/>
    <w:rsid w:val="4186EEED"/>
    <w:rsid w:val="41894096"/>
    <w:rsid w:val="418EDA0F"/>
    <w:rsid w:val="4193E016"/>
    <w:rsid w:val="4194189D"/>
    <w:rsid w:val="41948828"/>
    <w:rsid w:val="4196C26A"/>
    <w:rsid w:val="41A193D1"/>
    <w:rsid w:val="41A3532A"/>
    <w:rsid w:val="41ACD3F7"/>
    <w:rsid w:val="41ACFB61"/>
    <w:rsid w:val="41B0B696"/>
    <w:rsid w:val="41B3B257"/>
    <w:rsid w:val="41C17CDA"/>
    <w:rsid w:val="41C32AB3"/>
    <w:rsid w:val="41C35761"/>
    <w:rsid w:val="41C5CBE7"/>
    <w:rsid w:val="41C9CC0A"/>
    <w:rsid w:val="41CE25F1"/>
    <w:rsid w:val="41D061A3"/>
    <w:rsid w:val="41D85E00"/>
    <w:rsid w:val="41E1548D"/>
    <w:rsid w:val="41E4E11A"/>
    <w:rsid w:val="41E59ACE"/>
    <w:rsid w:val="41E612C0"/>
    <w:rsid w:val="41EDCA07"/>
    <w:rsid w:val="41F325CD"/>
    <w:rsid w:val="42072204"/>
    <w:rsid w:val="42080A1A"/>
    <w:rsid w:val="4209F90C"/>
    <w:rsid w:val="420ABC73"/>
    <w:rsid w:val="420BB12A"/>
    <w:rsid w:val="420CA0F5"/>
    <w:rsid w:val="420FBC34"/>
    <w:rsid w:val="4210291A"/>
    <w:rsid w:val="42158E51"/>
    <w:rsid w:val="421F4209"/>
    <w:rsid w:val="4221F9D7"/>
    <w:rsid w:val="42245EB8"/>
    <w:rsid w:val="422612AD"/>
    <w:rsid w:val="42284242"/>
    <w:rsid w:val="422A0DBB"/>
    <w:rsid w:val="422D5A7D"/>
    <w:rsid w:val="4230469A"/>
    <w:rsid w:val="42323D77"/>
    <w:rsid w:val="4236BF6C"/>
    <w:rsid w:val="423ACCC8"/>
    <w:rsid w:val="423CCCE9"/>
    <w:rsid w:val="42403B12"/>
    <w:rsid w:val="42419543"/>
    <w:rsid w:val="42449175"/>
    <w:rsid w:val="424503AE"/>
    <w:rsid w:val="42471C0D"/>
    <w:rsid w:val="42479A64"/>
    <w:rsid w:val="42481E0B"/>
    <w:rsid w:val="42497AD0"/>
    <w:rsid w:val="4251B9E0"/>
    <w:rsid w:val="4262576B"/>
    <w:rsid w:val="426DF823"/>
    <w:rsid w:val="426EB19A"/>
    <w:rsid w:val="42751700"/>
    <w:rsid w:val="4275B615"/>
    <w:rsid w:val="4275FCA6"/>
    <w:rsid w:val="427E2F42"/>
    <w:rsid w:val="427E903B"/>
    <w:rsid w:val="427F1ABA"/>
    <w:rsid w:val="4286AB30"/>
    <w:rsid w:val="428B3906"/>
    <w:rsid w:val="428F7DF4"/>
    <w:rsid w:val="4291B924"/>
    <w:rsid w:val="42970A88"/>
    <w:rsid w:val="4298AD2A"/>
    <w:rsid w:val="4298AD6D"/>
    <w:rsid w:val="4299A41D"/>
    <w:rsid w:val="429AD9AB"/>
    <w:rsid w:val="429B4565"/>
    <w:rsid w:val="429CBA53"/>
    <w:rsid w:val="429D4147"/>
    <w:rsid w:val="429D89D7"/>
    <w:rsid w:val="42B63DDD"/>
    <w:rsid w:val="42B9DDE4"/>
    <w:rsid w:val="42BB07B3"/>
    <w:rsid w:val="42BF04E7"/>
    <w:rsid w:val="42C23224"/>
    <w:rsid w:val="42C8299D"/>
    <w:rsid w:val="42CEAB40"/>
    <w:rsid w:val="42D4E86C"/>
    <w:rsid w:val="42D8D6C0"/>
    <w:rsid w:val="42DC40D8"/>
    <w:rsid w:val="42DC558B"/>
    <w:rsid w:val="42DC77A1"/>
    <w:rsid w:val="42DF9B37"/>
    <w:rsid w:val="42E6E447"/>
    <w:rsid w:val="42E893BF"/>
    <w:rsid w:val="42E90AFF"/>
    <w:rsid w:val="42EEB395"/>
    <w:rsid w:val="42EF6945"/>
    <w:rsid w:val="42F2E3D2"/>
    <w:rsid w:val="42F465BD"/>
    <w:rsid w:val="42FC79B5"/>
    <w:rsid w:val="42FE6397"/>
    <w:rsid w:val="42FFC3AC"/>
    <w:rsid w:val="43017999"/>
    <w:rsid w:val="430E0544"/>
    <w:rsid w:val="430F40DF"/>
    <w:rsid w:val="4310D3DD"/>
    <w:rsid w:val="4318E5FA"/>
    <w:rsid w:val="431C216F"/>
    <w:rsid w:val="431E5979"/>
    <w:rsid w:val="431F42F7"/>
    <w:rsid w:val="43237A8A"/>
    <w:rsid w:val="432447AB"/>
    <w:rsid w:val="432676DA"/>
    <w:rsid w:val="4326D1DE"/>
    <w:rsid w:val="43288C85"/>
    <w:rsid w:val="432AA05C"/>
    <w:rsid w:val="432AAB53"/>
    <w:rsid w:val="432B5BB8"/>
    <w:rsid w:val="432D39B7"/>
    <w:rsid w:val="43349762"/>
    <w:rsid w:val="433BDD88"/>
    <w:rsid w:val="433E9322"/>
    <w:rsid w:val="434365B1"/>
    <w:rsid w:val="43470C08"/>
    <w:rsid w:val="4348ACDA"/>
    <w:rsid w:val="43575BA8"/>
    <w:rsid w:val="4357BAD0"/>
    <w:rsid w:val="43581B0E"/>
    <w:rsid w:val="435A7833"/>
    <w:rsid w:val="435F241F"/>
    <w:rsid w:val="4361E49A"/>
    <w:rsid w:val="43640B8E"/>
    <w:rsid w:val="4366227D"/>
    <w:rsid w:val="43684B3E"/>
    <w:rsid w:val="436993AD"/>
    <w:rsid w:val="436AECBF"/>
    <w:rsid w:val="43717AA6"/>
    <w:rsid w:val="437208B8"/>
    <w:rsid w:val="43749B63"/>
    <w:rsid w:val="4378A173"/>
    <w:rsid w:val="43797A9B"/>
    <w:rsid w:val="437A11ED"/>
    <w:rsid w:val="437BB13D"/>
    <w:rsid w:val="437C6BFF"/>
    <w:rsid w:val="43843394"/>
    <w:rsid w:val="438A81BC"/>
    <w:rsid w:val="438B051B"/>
    <w:rsid w:val="438CDBF5"/>
    <w:rsid w:val="4391315D"/>
    <w:rsid w:val="43935DEA"/>
    <w:rsid w:val="4394F029"/>
    <w:rsid w:val="4397FFCD"/>
    <w:rsid w:val="4399B7CE"/>
    <w:rsid w:val="439A86A3"/>
    <w:rsid w:val="43A0896E"/>
    <w:rsid w:val="43A0AA97"/>
    <w:rsid w:val="43A133FD"/>
    <w:rsid w:val="43A171C5"/>
    <w:rsid w:val="43A3048E"/>
    <w:rsid w:val="43A5CAB6"/>
    <w:rsid w:val="43A6506D"/>
    <w:rsid w:val="43ACD8A8"/>
    <w:rsid w:val="43B06085"/>
    <w:rsid w:val="43B10E0A"/>
    <w:rsid w:val="43BF1089"/>
    <w:rsid w:val="43BF560E"/>
    <w:rsid w:val="43C270C1"/>
    <w:rsid w:val="43C4357A"/>
    <w:rsid w:val="43C44B36"/>
    <w:rsid w:val="43CB9F75"/>
    <w:rsid w:val="43CBB028"/>
    <w:rsid w:val="43CBD86C"/>
    <w:rsid w:val="43D28E7A"/>
    <w:rsid w:val="43D2EF68"/>
    <w:rsid w:val="43D3F530"/>
    <w:rsid w:val="43DB207A"/>
    <w:rsid w:val="43DD61D1"/>
    <w:rsid w:val="43DEC80E"/>
    <w:rsid w:val="43E27F8B"/>
    <w:rsid w:val="43E32C1C"/>
    <w:rsid w:val="43E9A9D2"/>
    <w:rsid w:val="43EC2A5C"/>
    <w:rsid w:val="43EE2A04"/>
    <w:rsid w:val="43EF89E6"/>
    <w:rsid w:val="43EFD977"/>
    <w:rsid w:val="43F3FECC"/>
    <w:rsid w:val="43F55CB3"/>
    <w:rsid w:val="43F60638"/>
    <w:rsid w:val="43F8D5D9"/>
    <w:rsid w:val="43FAD6FA"/>
    <w:rsid w:val="43FDEF38"/>
    <w:rsid w:val="44050300"/>
    <w:rsid w:val="44060AC3"/>
    <w:rsid w:val="4406233C"/>
    <w:rsid w:val="440C25DE"/>
    <w:rsid w:val="440C8F87"/>
    <w:rsid w:val="441180C5"/>
    <w:rsid w:val="44199BD0"/>
    <w:rsid w:val="441BE984"/>
    <w:rsid w:val="441E6C55"/>
    <w:rsid w:val="44213D88"/>
    <w:rsid w:val="4424E187"/>
    <w:rsid w:val="4427BB40"/>
    <w:rsid w:val="442C96D4"/>
    <w:rsid w:val="442EF17E"/>
    <w:rsid w:val="442FC088"/>
    <w:rsid w:val="442FC6B4"/>
    <w:rsid w:val="44321362"/>
    <w:rsid w:val="443338B8"/>
    <w:rsid w:val="4437D853"/>
    <w:rsid w:val="443F272E"/>
    <w:rsid w:val="44425122"/>
    <w:rsid w:val="44495FFB"/>
    <w:rsid w:val="444FC2B5"/>
    <w:rsid w:val="445AE093"/>
    <w:rsid w:val="445C2214"/>
    <w:rsid w:val="4460A11D"/>
    <w:rsid w:val="44695A08"/>
    <w:rsid w:val="44699A39"/>
    <w:rsid w:val="446B02A5"/>
    <w:rsid w:val="446E9485"/>
    <w:rsid w:val="4470F04D"/>
    <w:rsid w:val="4471F95F"/>
    <w:rsid w:val="4474EE44"/>
    <w:rsid w:val="447A6ACB"/>
    <w:rsid w:val="447EF419"/>
    <w:rsid w:val="448450F6"/>
    <w:rsid w:val="448ABDE7"/>
    <w:rsid w:val="4490CA29"/>
    <w:rsid w:val="44921228"/>
    <w:rsid w:val="4493D296"/>
    <w:rsid w:val="4494765A"/>
    <w:rsid w:val="449DAA5A"/>
    <w:rsid w:val="449EAA94"/>
    <w:rsid w:val="449F0DBC"/>
    <w:rsid w:val="44A0A262"/>
    <w:rsid w:val="44A44D54"/>
    <w:rsid w:val="44A70576"/>
    <w:rsid w:val="44AA4451"/>
    <w:rsid w:val="44B1DF11"/>
    <w:rsid w:val="44B64AE4"/>
    <w:rsid w:val="44B6C486"/>
    <w:rsid w:val="44B6D9D8"/>
    <w:rsid w:val="44B92578"/>
    <w:rsid w:val="44BCB786"/>
    <w:rsid w:val="44BCDC58"/>
    <w:rsid w:val="44BE77AF"/>
    <w:rsid w:val="44C3678F"/>
    <w:rsid w:val="44C62E2B"/>
    <w:rsid w:val="44C739E1"/>
    <w:rsid w:val="44CC4719"/>
    <w:rsid w:val="44CD6AF9"/>
    <w:rsid w:val="44CF37B1"/>
    <w:rsid w:val="44CFBE94"/>
    <w:rsid w:val="44D09FCA"/>
    <w:rsid w:val="44D35FD1"/>
    <w:rsid w:val="44D758B8"/>
    <w:rsid w:val="44D9A4AC"/>
    <w:rsid w:val="44DD4C1C"/>
    <w:rsid w:val="44E9B25C"/>
    <w:rsid w:val="44F18D33"/>
    <w:rsid w:val="44F2EE0B"/>
    <w:rsid w:val="44F49D72"/>
    <w:rsid w:val="44F5414D"/>
    <w:rsid w:val="44F9CB58"/>
    <w:rsid w:val="44FB03CD"/>
    <w:rsid w:val="44FBF26D"/>
    <w:rsid w:val="44FCFB8E"/>
    <w:rsid w:val="45019E8E"/>
    <w:rsid w:val="45043C87"/>
    <w:rsid w:val="4505D154"/>
    <w:rsid w:val="4506D411"/>
    <w:rsid w:val="45090108"/>
    <w:rsid w:val="450BCDEB"/>
    <w:rsid w:val="451AD41B"/>
    <w:rsid w:val="451B1A69"/>
    <w:rsid w:val="451FD420"/>
    <w:rsid w:val="4520C2E8"/>
    <w:rsid w:val="4521E401"/>
    <w:rsid w:val="4522CD11"/>
    <w:rsid w:val="4524C642"/>
    <w:rsid w:val="452542E9"/>
    <w:rsid w:val="452593BF"/>
    <w:rsid w:val="452866D5"/>
    <w:rsid w:val="452CF9E1"/>
    <w:rsid w:val="4531EDFC"/>
    <w:rsid w:val="453637DE"/>
    <w:rsid w:val="453BEB54"/>
    <w:rsid w:val="453C7D47"/>
    <w:rsid w:val="4543AA3F"/>
    <w:rsid w:val="45452938"/>
    <w:rsid w:val="4545AAEA"/>
    <w:rsid w:val="4549E2A6"/>
    <w:rsid w:val="45532FFF"/>
    <w:rsid w:val="4557C520"/>
    <w:rsid w:val="455B6CE7"/>
    <w:rsid w:val="455DF495"/>
    <w:rsid w:val="455FB33A"/>
    <w:rsid w:val="45630986"/>
    <w:rsid w:val="4563EEE9"/>
    <w:rsid w:val="456F89BA"/>
    <w:rsid w:val="45729CDC"/>
    <w:rsid w:val="45737230"/>
    <w:rsid w:val="457CA28D"/>
    <w:rsid w:val="457E52A6"/>
    <w:rsid w:val="457FA726"/>
    <w:rsid w:val="45811C9F"/>
    <w:rsid w:val="458661FD"/>
    <w:rsid w:val="458920CA"/>
    <w:rsid w:val="458D223F"/>
    <w:rsid w:val="458FE869"/>
    <w:rsid w:val="45914D00"/>
    <w:rsid w:val="4592EC1F"/>
    <w:rsid w:val="4598CC20"/>
    <w:rsid w:val="4599747A"/>
    <w:rsid w:val="45A4648D"/>
    <w:rsid w:val="45A69592"/>
    <w:rsid w:val="45A83C41"/>
    <w:rsid w:val="45AD6F01"/>
    <w:rsid w:val="45B15806"/>
    <w:rsid w:val="45BA493F"/>
    <w:rsid w:val="45C05A58"/>
    <w:rsid w:val="45C1F62F"/>
    <w:rsid w:val="45C78AAB"/>
    <w:rsid w:val="45CA0788"/>
    <w:rsid w:val="45CAFD73"/>
    <w:rsid w:val="45D0154F"/>
    <w:rsid w:val="45D19280"/>
    <w:rsid w:val="45D4B70B"/>
    <w:rsid w:val="45DB84B2"/>
    <w:rsid w:val="45E4A2CE"/>
    <w:rsid w:val="45E90845"/>
    <w:rsid w:val="45E98A6E"/>
    <w:rsid w:val="45F77BA3"/>
    <w:rsid w:val="45FB1494"/>
    <w:rsid w:val="45FD6106"/>
    <w:rsid w:val="4606FF7E"/>
    <w:rsid w:val="4608C0ED"/>
    <w:rsid w:val="460D1220"/>
    <w:rsid w:val="461342CE"/>
    <w:rsid w:val="4615F57E"/>
    <w:rsid w:val="461632C8"/>
    <w:rsid w:val="4618C38D"/>
    <w:rsid w:val="461ACB7B"/>
    <w:rsid w:val="4620BF31"/>
    <w:rsid w:val="4621AC9D"/>
    <w:rsid w:val="462391CE"/>
    <w:rsid w:val="46242992"/>
    <w:rsid w:val="4626DC7B"/>
    <w:rsid w:val="462C48EA"/>
    <w:rsid w:val="46329D5B"/>
    <w:rsid w:val="46331C62"/>
    <w:rsid w:val="463B40A9"/>
    <w:rsid w:val="463D7C4D"/>
    <w:rsid w:val="464377C8"/>
    <w:rsid w:val="4646D3C9"/>
    <w:rsid w:val="46490E73"/>
    <w:rsid w:val="4652C108"/>
    <w:rsid w:val="465CCF35"/>
    <w:rsid w:val="465E1E13"/>
    <w:rsid w:val="4662C507"/>
    <w:rsid w:val="466361AF"/>
    <w:rsid w:val="46649C8A"/>
    <w:rsid w:val="466A39C5"/>
    <w:rsid w:val="466EB2DD"/>
    <w:rsid w:val="466FB6D2"/>
    <w:rsid w:val="46704BEF"/>
    <w:rsid w:val="4671DE1A"/>
    <w:rsid w:val="468AF817"/>
    <w:rsid w:val="46921784"/>
    <w:rsid w:val="4697767E"/>
    <w:rsid w:val="469D21FF"/>
    <w:rsid w:val="469FED07"/>
    <w:rsid w:val="46A0D8AE"/>
    <w:rsid w:val="46A17221"/>
    <w:rsid w:val="46AA466B"/>
    <w:rsid w:val="46AADD37"/>
    <w:rsid w:val="46AC337A"/>
    <w:rsid w:val="46AD942B"/>
    <w:rsid w:val="46ADE3A8"/>
    <w:rsid w:val="46B08443"/>
    <w:rsid w:val="46B36EB6"/>
    <w:rsid w:val="46B89664"/>
    <w:rsid w:val="46BA2D2B"/>
    <w:rsid w:val="46BAE458"/>
    <w:rsid w:val="46C64269"/>
    <w:rsid w:val="46C972D8"/>
    <w:rsid w:val="46CCF709"/>
    <w:rsid w:val="46CF2C84"/>
    <w:rsid w:val="46D02CC2"/>
    <w:rsid w:val="46D166D5"/>
    <w:rsid w:val="46DC43C8"/>
    <w:rsid w:val="46DE504B"/>
    <w:rsid w:val="46E4AE25"/>
    <w:rsid w:val="46E7CACB"/>
    <w:rsid w:val="46EC3845"/>
    <w:rsid w:val="46F4C8CF"/>
    <w:rsid w:val="46F7AD4B"/>
    <w:rsid w:val="46F93E78"/>
    <w:rsid w:val="46FA89B3"/>
    <w:rsid w:val="46FECFB1"/>
    <w:rsid w:val="46FF11A7"/>
    <w:rsid w:val="4700DFE9"/>
    <w:rsid w:val="4702F9BC"/>
    <w:rsid w:val="4703C880"/>
    <w:rsid w:val="4705242B"/>
    <w:rsid w:val="470AB0EC"/>
    <w:rsid w:val="470ECDC4"/>
    <w:rsid w:val="4712E943"/>
    <w:rsid w:val="4718C430"/>
    <w:rsid w:val="471B0288"/>
    <w:rsid w:val="471BF22F"/>
    <w:rsid w:val="4721C86E"/>
    <w:rsid w:val="47241532"/>
    <w:rsid w:val="4728A63A"/>
    <w:rsid w:val="472A3437"/>
    <w:rsid w:val="472AEF7C"/>
    <w:rsid w:val="472BA39A"/>
    <w:rsid w:val="472E8A4C"/>
    <w:rsid w:val="4732EA13"/>
    <w:rsid w:val="473452E4"/>
    <w:rsid w:val="473CF49C"/>
    <w:rsid w:val="4746389D"/>
    <w:rsid w:val="4748BD4A"/>
    <w:rsid w:val="47499C59"/>
    <w:rsid w:val="474AAFDB"/>
    <w:rsid w:val="474AE2AD"/>
    <w:rsid w:val="4752EAA5"/>
    <w:rsid w:val="47551D9D"/>
    <w:rsid w:val="475F3D39"/>
    <w:rsid w:val="475F5C02"/>
    <w:rsid w:val="47610D32"/>
    <w:rsid w:val="47619270"/>
    <w:rsid w:val="4762D668"/>
    <w:rsid w:val="47634BF8"/>
    <w:rsid w:val="476864BF"/>
    <w:rsid w:val="476966D8"/>
    <w:rsid w:val="476B45EE"/>
    <w:rsid w:val="477856D9"/>
    <w:rsid w:val="477AFEDD"/>
    <w:rsid w:val="478762A8"/>
    <w:rsid w:val="478A9FED"/>
    <w:rsid w:val="478ACD68"/>
    <w:rsid w:val="47903891"/>
    <w:rsid w:val="47921B5C"/>
    <w:rsid w:val="47934B8D"/>
    <w:rsid w:val="4793B0C8"/>
    <w:rsid w:val="4796C188"/>
    <w:rsid w:val="479B9B77"/>
    <w:rsid w:val="479EA575"/>
    <w:rsid w:val="479FE370"/>
    <w:rsid w:val="47A172B8"/>
    <w:rsid w:val="47A36F84"/>
    <w:rsid w:val="47A5C517"/>
    <w:rsid w:val="47AB52B9"/>
    <w:rsid w:val="47BDCA5B"/>
    <w:rsid w:val="47BEC27F"/>
    <w:rsid w:val="47C32BB2"/>
    <w:rsid w:val="47C73FAB"/>
    <w:rsid w:val="47CA0463"/>
    <w:rsid w:val="47CC3164"/>
    <w:rsid w:val="47CFBF21"/>
    <w:rsid w:val="47D51399"/>
    <w:rsid w:val="47D76C41"/>
    <w:rsid w:val="47D79001"/>
    <w:rsid w:val="47D7C2A3"/>
    <w:rsid w:val="47D9BB70"/>
    <w:rsid w:val="47DBC238"/>
    <w:rsid w:val="47E24B82"/>
    <w:rsid w:val="47E24CED"/>
    <w:rsid w:val="47E4418F"/>
    <w:rsid w:val="47E6E1A2"/>
    <w:rsid w:val="47E769CA"/>
    <w:rsid w:val="47EA0F84"/>
    <w:rsid w:val="47EB572F"/>
    <w:rsid w:val="47F19EAE"/>
    <w:rsid w:val="47F4168E"/>
    <w:rsid w:val="47F5F2A0"/>
    <w:rsid w:val="47FAB7DF"/>
    <w:rsid w:val="480091E4"/>
    <w:rsid w:val="4803C68E"/>
    <w:rsid w:val="4804C984"/>
    <w:rsid w:val="4804CBB7"/>
    <w:rsid w:val="4805D89E"/>
    <w:rsid w:val="4805EFAF"/>
    <w:rsid w:val="48069645"/>
    <w:rsid w:val="480ACD68"/>
    <w:rsid w:val="4810274C"/>
    <w:rsid w:val="4812D9FF"/>
    <w:rsid w:val="481347F1"/>
    <w:rsid w:val="4818D86A"/>
    <w:rsid w:val="481E3215"/>
    <w:rsid w:val="4820483D"/>
    <w:rsid w:val="4821A6CC"/>
    <w:rsid w:val="4822219E"/>
    <w:rsid w:val="48223C42"/>
    <w:rsid w:val="4824B2EF"/>
    <w:rsid w:val="4825FA0C"/>
    <w:rsid w:val="48292485"/>
    <w:rsid w:val="482B16A4"/>
    <w:rsid w:val="482E7E65"/>
    <w:rsid w:val="48315215"/>
    <w:rsid w:val="483283D8"/>
    <w:rsid w:val="4839AEF9"/>
    <w:rsid w:val="483A64B7"/>
    <w:rsid w:val="48403626"/>
    <w:rsid w:val="48404160"/>
    <w:rsid w:val="4840513A"/>
    <w:rsid w:val="48435123"/>
    <w:rsid w:val="4844C772"/>
    <w:rsid w:val="484B484D"/>
    <w:rsid w:val="484BDC58"/>
    <w:rsid w:val="4851DD8D"/>
    <w:rsid w:val="48536EED"/>
    <w:rsid w:val="48558A22"/>
    <w:rsid w:val="4855D20F"/>
    <w:rsid w:val="4858C2D8"/>
    <w:rsid w:val="4859D04F"/>
    <w:rsid w:val="485AF98B"/>
    <w:rsid w:val="485EA9E9"/>
    <w:rsid w:val="485F47AD"/>
    <w:rsid w:val="48609651"/>
    <w:rsid w:val="4867BB46"/>
    <w:rsid w:val="4868A4CF"/>
    <w:rsid w:val="486F5FC6"/>
    <w:rsid w:val="486FCECB"/>
    <w:rsid w:val="48729FC0"/>
    <w:rsid w:val="487B98CB"/>
    <w:rsid w:val="487BF62B"/>
    <w:rsid w:val="4880F69F"/>
    <w:rsid w:val="488281D4"/>
    <w:rsid w:val="48836A5D"/>
    <w:rsid w:val="4883B398"/>
    <w:rsid w:val="4886DA6E"/>
    <w:rsid w:val="4887DBB6"/>
    <w:rsid w:val="48891BB8"/>
    <w:rsid w:val="488B6CB7"/>
    <w:rsid w:val="488C3F51"/>
    <w:rsid w:val="488D78D8"/>
    <w:rsid w:val="488FF6DF"/>
    <w:rsid w:val="48928EBD"/>
    <w:rsid w:val="4894691C"/>
    <w:rsid w:val="4894BC0C"/>
    <w:rsid w:val="489A2583"/>
    <w:rsid w:val="489AEC8C"/>
    <w:rsid w:val="48A3888B"/>
    <w:rsid w:val="48A7FD58"/>
    <w:rsid w:val="48A951F1"/>
    <w:rsid w:val="48A9D5C9"/>
    <w:rsid w:val="48AD0B0E"/>
    <w:rsid w:val="48AE70D0"/>
    <w:rsid w:val="48B01C29"/>
    <w:rsid w:val="48B07277"/>
    <w:rsid w:val="48B10EB8"/>
    <w:rsid w:val="48B116BB"/>
    <w:rsid w:val="48B68CC8"/>
    <w:rsid w:val="48B73306"/>
    <w:rsid w:val="48B98A31"/>
    <w:rsid w:val="48C0886E"/>
    <w:rsid w:val="48C61349"/>
    <w:rsid w:val="48C921DA"/>
    <w:rsid w:val="48CACF1A"/>
    <w:rsid w:val="48CCBF1B"/>
    <w:rsid w:val="48CDD652"/>
    <w:rsid w:val="48CF79BF"/>
    <w:rsid w:val="48D06F20"/>
    <w:rsid w:val="48D238D8"/>
    <w:rsid w:val="48D52D25"/>
    <w:rsid w:val="48D857DB"/>
    <w:rsid w:val="48D97988"/>
    <w:rsid w:val="48E9594B"/>
    <w:rsid w:val="48EBE9CA"/>
    <w:rsid w:val="48ECDE56"/>
    <w:rsid w:val="48ED2A53"/>
    <w:rsid w:val="48ED3C41"/>
    <w:rsid w:val="48F86AE0"/>
    <w:rsid w:val="48F9C8A0"/>
    <w:rsid w:val="48FB98C4"/>
    <w:rsid w:val="48FCF212"/>
    <w:rsid w:val="48FEE95E"/>
    <w:rsid w:val="490010C4"/>
    <w:rsid w:val="4900CD90"/>
    <w:rsid w:val="49017C3B"/>
    <w:rsid w:val="4901ED12"/>
    <w:rsid w:val="490497AC"/>
    <w:rsid w:val="49052A68"/>
    <w:rsid w:val="49075A33"/>
    <w:rsid w:val="490BEA42"/>
    <w:rsid w:val="490FDE64"/>
    <w:rsid w:val="4919C4BC"/>
    <w:rsid w:val="491EA8E1"/>
    <w:rsid w:val="49225825"/>
    <w:rsid w:val="4925FBE0"/>
    <w:rsid w:val="492FE0DF"/>
    <w:rsid w:val="4930FB9B"/>
    <w:rsid w:val="49341D99"/>
    <w:rsid w:val="493433A5"/>
    <w:rsid w:val="49366F63"/>
    <w:rsid w:val="493B038A"/>
    <w:rsid w:val="493E6782"/>
    <w:rsid w:val="494848F5"/>
    <w:rsid w:val="494A456B"/>
    <w:rsid w:val="495783C6"/>
    <w:rsid w:val="49584AF6"/>
    <w:rsid w:val="495D1D77"/>
    <w:rsid w:val="495E297C"/>
    <w:rsid w:val="495E77DD"/>
    <w:rsid w:val="4967C644"/>
    <w:rsid w:val="4967F837"/>
    <w:rsid w:val="4968471B"/>
    <w:rsid w:val="4968D872"/>
    <w:rsid w:val="496BD5F1"/>
    <w:rsid w:val="49731460"/>
    <w:rsid w:val="4975ECD8"/>
    <w:rsid w:val="49796A36"/>
    <w:rsid w:val="4980EFD6"/>
    <w:rsid w:val="4983D019"/>
    <w:rsid w:val="4984E8A6"/>
    <w:rsid w:val="498572CF"/>
    <w:rsid w:val="498AB667"/>
    <w:rsid w:val="498B4B34"/>
    <w:rsid w:val="498D50A8"/>
    <w:rsid w:val="498D7B82"/>
    <w:rsid w:val="4994292E"/>
    <w:rsid w:val="4995C208"/>
    <w:rsid w:val="4996D953"/>
    <w:rsid w:val="499C3749"/>
    <w:rsid w:val="499D5244"/>
    <w:rsid w:val="499FD6D1"/>
    <w:rsid w:val="49A59E83"/>
    <w:rsid w:val="49A929FC"/>
    <w:rsid w:val="49AF9811"/>
    <w:rsid w:val="49AFAFFB"/>
    <w:rsid w:val="49B266C2"/>
    <w:rsid w:val="49B33962"/>
    <w:rsid w:val="49B5F29A"/>
    <w:rsid w:val="49B60B36"/>
    <w:rsid w:val="49B82476"/>
    <w:rsid w:val="49B8F538"/>
    <w:rsid w:val="49B9B6F8"/>
    <w:rsid w:val="49B9BF4A"/>
    <w:rsid w:val="49BDD5A9"/>
    <w:rsid w:val="49C04B4D"/>
    <w:rsid w:val="49C0CE4E"/>
    <w:rsid w:val="49C11798"/>
    <w:rsid w:val="49C41BFA"/>
    <w:rsid w:val="49C5B1DD"/>
    <w:rsid w:val="49C8DDF9"/>
    <w:rsid w:val="49D52CB6"/>
    <w:rsid w:val="49D9AC2D"/>
    <w:rsid w:val="49D9DB11"/>
    <w:rsid w:val="49E591E0"/>
    <w:rsid w:val="49E65931"/>
    <w:rsid w:val="49F4E5DE"/>
    <w:rsid w:val="49F681ED"/>
    <w:rsid w:val="49F9726D"/>
    <w:rsid w:val="49FBBE6A"/>
    <w:rsid w:val="49FCB699"/>
    <w:rsid w:val="4A01DB60"/>
    <w:rsid w:val="4A05E28D"/>
    <w:rsid w:val="4A07DC1F"/>
    <w:rsid w:val="4A07E797"/>
    <w:rsid w:val="4A0C4922"/>
    <w:rsid w:val="4A117741"/>
    <w:rsid w:val="4A1AEB05"/>
    <w:rsid w:val="4A1B2DCF"/>
    <w:rsid w:val="4A2009AA"/>
    <w:rsid w:val="4A257AD2"/>
    <w:rsid w:val="4A287782"/>
    <w:rsid w:val="4A2A7A1C"/>
    <w:rsid w:val="4A2C377A"/>
    <w:rsid w:val="4A3147F9"/>
    <w:rsid w:val="4A38FC94"/>
    <w:rsid w:val="4A3ABF12"/>
    <w:rsid w:val="4A3C371B"/>
    <w:rsid w:val="4A40F799"/>
    <w:rsid w:val="4A43FDDB"/>
    <w:rsid w:val="4A476967"/>
    <w:rsid w:val="4A488278"/>
    <w:rsid w:val="4A4B4D31"/>
    <w:rsid w:val="4A502780"/>
    <w:rsid w:val="4A51E193"/>
    <w:rsid w:val="4A54852D"/>
    <w:rsid w:val="4A55AF46"/>
    <w:rsid w:val="4A569D79"/>
    <w:rsid w:val="4A574C7F"/>
    <w:rsid w:val="4A589FE2"/>
    <w:rsid w:val="4A58C8D2"/>
    <w:rsid w:val="4A597E4C"/>
    <w:rsid w:val="4A5AD837"/>
    <w:rsid w:val="4A5C8D0A"/>
    <w:rsid w:val="4A6FCE3A"/>
    <w:rsid w:val="4A7086E9"/>
    <w:rsid w:val="4A70E4FA"/>
    <w:rsid w:val="4A742832"/>
    <w:rsid w:val="4A78AA07"/>
    <w:rsid w:val="4A7F988D"/>
    <w:rsid w:val="4A8069E8"/>
    <w:rsid w:val="4A823100"/>
    <w:rsid w:val="4A864214"/>
    <w:rsid w:val="4A867BD6"/>
    <w:rsid w:val="4A94FEEC"/>
    <w:rsid w:val="4A96B5B6"/>
    <w:rsid w:val="4AA50D41"/>
    <w:rsid w:val="4AAB67A8"/>
    <w:rsid w:val="4AB24EBB"/>
    <w:rsid w:val="4AB64F32"/>
    <w:rsid w:val="4AC5486B"/>
    <w:rsid w:val="4AC9132D"/>
    <w:rsid w:val="4ACD5782"/>
    <w:rsid w:val="4ACE18BB"/>
    <w:rsid w:val="4ACF0367"/>
    <w:rsid w:val="4AD94EBB"/>
    <w:rsid w:val="4ADC4F02"/>
    <w:rsid w:val="4ADD95FF"/>
    <w:rsid w:val="4AE02D82"/>
    <w:rsid w:val="4AE048BF"/>
    <w:rsid w:val="4AE82FCD"/>
    <w:rsid w:val="4AEA107E"/>
    <w:rsid w:val="4AEC13DF"/>
    <w:rsid w:val="4AEE36B9"/>
    <w:rsid w:val="4AF030BF"/>
    <w:rsid w:val="4AF07A6C"/>
    <w:rsid w:val="4AF07DD5"/>
    <w:rsid w:val="4AF59FB9"/>
    <w:rsid w:val="4AF74CE0"/>
    <w:rsid w:val="4AFB7B7F"/>
    <w:rsid w:val="4AFC6EEF"/>
    <w:rsid w:val="4B028BF9"/>
    <w:rsid w:val="4B0A7F8A"/>
    <w:rsid w:val="4B0C709B"/>
    <w:rsid w:val="4B0F2D32"/>
    <w:rsid w:val="4B14D6C9"/>
    <w:rsid w:val="4B14FAA5"/>
    <w:rsid w:val="4B1A08EB"/>
    <w:rsid w:val="4B1BAD1B"/>
    <w:rsid w:val="4B1D892A"/>
    <w:rsid w:val="4B1E0649"/>
    <w:rsid w:val="4B1E4E40"/>
    <w:rsid w:val="4B2477F3"/>
    <w:rsid w:val="4B26ABBE"/>
    <w:rsid w:val="4B26B4CF"/>
    <w:rsid w:val="4B27377D"/>
    <w:rsid w:val="4B2CAE04"/>
    <w:rsid w:val="4B2EBB30"/>
    <w:rsid w:val="4B2F56DA"/>
    <w:rsid w:val="4B31EDD1"/>
    <w:rsid w:val="4B32712A"/>
    <w:rsid w:val="4B3298D5"/>
    <w:rsid w:val="4B344BF6"/>
    <w:rsid w:val="4B378384"/>
    <w:rsid w:val="4B388869"/>
    <w:rsid w:val="4B395242"/>
    <w:rsid w:val="4B4173FC"/>
    <w:rsid w:val="4B458953"/>
    <w:rsid w:val="4B483C8A"/>
    <w:rsid w:val="4B4B499B"/>
    <w:rsid w:val="4B4C63F5"/>
    <w:rsid w:val="4B4D4F71"/>
    <w:rsid w:val="4B514E37"/>
    <w:rsid w:val="4B53462F"/>
    <w:rsid w:val="4B53DEB6"/>
    <w:rsid w:val="4B540A99"/>
    <w:rsid w:val="4B57A7B3"/>
    <w:rsid w:val="4B5890DF"/>
    <w:rsid w:val="4B5DAF37"/>
    <w:rsid w:val="4B670468"/>
    <w:rsid w:val="4B676D78"/>
    <w:rsid w:val="4B6DDD3F"/>
    <w:rsid w:val="4B70192F"/>
    <w:rsid w:val="4B77F9AC"/>
    <w:rsid w:val="4B77FC91"/>
    <w:rsid w:val="4B807FE4"/>
    <w:rsid w:val="4B85E2C9"/>
    <w:rsid w:val="4B86AE03"/>
    <w:rsid w:val="4B8756EA"/>
    <w:rsid w:val="4B8C1AC4"/>
    <w:rsid w:val="4B8CF8C8"/>
    <w:rsid w:val="4B91486E"/>
    <w:rsid w:val="4B947BAD"/>
    <w:rsid w:val="4B9554BE"/>
    <w:rsid w:val="4B95F168"/>
    <w:rsid w:val="4B97EF23"/>
    <w:rsid w:val="4B9D1948"/>
    <w:rsid w:val="4BA4602C"/>
    <w:rsid w:val="4BA68ED9"/>
    <w:rsid w:val="4BA9700A"/>
    <w:rsid w:val="4BAAAE7F"/>
    <w:rsid w:val="4BAD4C83"/>
    <w:rsid w:val="4BB67711"/>
    <w:rsid w:val="4BB886D2"/>
    <w:rsid w:val="4BB9DDA9"/>
    <w:rsid w:val="4BBB97CD"/>
    <w:rsid w:val="4BBF4162"/>
    <w:rsid w:val="4BBFCD05"/>
    <w:rsid w:val="4BC0B537"/>
    <w:rsid w:val="4BC49F27"/>
    <w:rsid w:val="4BC5D08E"/>
    <w:rsid w:val="4BD25EF8"/>
    <w:rsid w:val="4BD3E525"/>
    <w:rsid w:val="4BD53C35"/>
    <w:rsid w:val="4BD949FA"/>
    <w:rsid w:val="4BE65163"/>
    <w:rsid w:val="4BEC0093"/>
    <w:rsid w:val="4BF1C8C4"/>
    <w:rsid w:val="4BF990CF"/>
    <w:rsid w:val="4BFD74CF"/>
    <w:rsid w:val="4C019015"/>
    <w:rsid w:val="4C0459A5"/>
    <w:rsid w:val="4C0B2F44"/>
    <w:rsid w:val="4C0B431A"/>
    <w:rsid w:val="4C1A4F2E"/>
    <w:rsid w:val="4C1B78CC"/>
    <w:rsid w:val="4C1C783E"/>
    <w:rsid w:val="4C1C92AA"/>
    <w:rsid w:val="4C1F812E"/>
    <w:rsid w:val="4C228184"/>
    <w:rsid w:val="4C258587"/>
    <w:rsid w:val="4C298B39"/>
    <w:rsid w:val="4C29FCAD"/>
    <w:rsid w:val="4C2E8C6B"/>
    <w:rsid w:val="4C338337"/>
    <w:rsid w:val="4C36EB85"/>
    <w:rsid w:val="4C3EB711"/>
    <w:rsid w:val="4C3F26AC"/>
    <w:rsid w:val="4C40457C"/>
    <w:rsid w:val="4C419182"/>
    <w:rsid w:val="4C42D3CA"/>
    <w:rsid w:val="4C482137"/>
    <w:rsid w:val="4C4FDA1B"/>
    <w:rsid w:val="4C519F3D"/>
    <w:rsid w:val="4C51C27F"/>
    <w:rsid w:val="4C5237FB"/>
    <w:rsid w:val="4C5D78A7"/>
    <w:rsid w:val="4C5FCE57"/>
    <w:rsid w:val="4C6638E4"/>
    <w:rsid w:val="4C684145"/>
    <w:rsid w:val="4C6AFD4D"/>
    <w:rsid w:val="4C6CDA4E"/>
    <w:rsid w:val="4C6F2904"/>
    <w:rsid w:val="4C723253"/>
    <w:rsid w:val="4C74433E"/>
    <w:rsid w:val="4C7F57BD"/>
    <w:rsid w:val="4C85D20D"/>
    <w:rsid w:val="4C861DFF"/>
    <w:rsid w:val="4C8926F4"/>
    <w:rsid w:val="4C909514"/>
    <w:rsid w:val="4C98A6AF"/>
    <w:rsid w:val="4CA47B3F"/>
    <w:rsid w:val="4CA67826"/>
    <w:rsid w:val="4CB0AAE3"/>
    <w:rsid w:val="4CB16AB2"/>
    <w:rsid w:val="4CB481B6"/>
    <w:rsid w:val="4CB80115"/>
    <w:rsid w:val="4CB93600"/>
    <w:rsid w:val="4CBB0BF6"/>
    <w:rsid w:val="4CCA2A3B"/>
    <w:rsid w:val="4CCB6BAF"/>
    <w:rsid w:val="4CD0F5BE"/>
    <w:rsid w:val="4CDF7FB3"/>
    <w:rsid w:val="4CE21E37"/>
    <w:rsid w:val="4CE3C043"/>
    <w:rsid w:val="4CE85D5B"/>
    <w:rsid w:val="4CE8BBC7"/>
    <w:rsid w:val="4CE8DEB9"/>
    <w:rsid w:val="4CE94AF7"/>
    <w:rsid w:val="4CEC6D18"/>
    <w:rsid w:val="4CEC86B7"/>
    <w:rsid w:val="4CEF285B"/>
    <w:rsid w:val="4CF01E88"/>
    <w:rsid w:val="4CF80544"/>
    <w:rsid w:val="4CFD8312"/>
    <w:rsid w:val="4CFE6AF4"/>
    <w:rsid w:val="4D013158"/>
    <w:rsid w:val="4D02FB5E"/>
    <w:rsid w:val="4D057BAA"/>
    <w:rsid w:val="4D096781"/>
    <w:rsid w:val="4D10559D"/>
    <w:rsid w:val="4D14F0F0"/>
    <w:rsid w:val="4D1900CC"/>
    <w:rsid w:val="4D1CE3F7"/>
    <w:rsid w:val="4D1F5346"/>
    <w:rsid w:val="4D2065FD"/>
    <w:rsid w:val="4D29A15E"/>
    <w:rsid w:val="4D2DD078"/>
    <w:rsid w:val="4D2EC303"/>
    <w:rsid w:val="4D2F6DA4"/>
    <w:rsid w:val="4D32D4F6"/>
    <w:rsid w:val="4D3E4ADC"/>
    <w:rsid w:val="4D460357"/>
    <w:rsid w:val="4D4892BB"/>
    <w:rsid w:val="4D4BE9C3"/>
    <w:rsid w:val="4D4C5F93"/>
    <w:rsid w:val="4D5227FF"/>
    <w:rsid w:val="4D52B5C3"/>
    <w:rsid w:val="4D562CA4"/>
    <w:rsid w:val="4D59A2B5"/>
    <w:rsid w:val="4D5FA334"/>
    <w:rsid w:val="4D61B141"/>
    <w:rsid w:val="4D63421C"/>
    <w:rsid w:val="4D65057E"/>
    <w:rsid w:val="4D65B208"/>
    <w:rsid w:val="4D673357"/>
    <w:rsid w:val="4D691106"/>
    <w:rsid w:val="4D693566"/>
    <w:rsid w:val="4D6960B7"/>
    <w:rsid w:val="4D69BF0C"/>
    <w:rsid w:val="4D6B875E"/>
    <w:rsid w:val="4D6D1621"/>
    <w:rsid w:val="4D6EDB68"/>
    <w:rsid w:val="4D6F10FF"/>
    <w:rsid w:val="4D711192"/>
    <w:rsid w:val="4D73C57B"/>
    <w:rsid w:val="4D7812E9"/>
    <w:rsid w:val="4D789C64"/>
    <w:rsid w:val="4D82ACC9"/>
    <w:rsid w:val="4D837CF4"/>
    <w:rsid w:val="4D8777D4"/>
    <w:rsid w:val="4D87ABBB"/>
    <w:rsid w:val="4D87B895"/>
    <w:rsid w:val="4D8DE974"/>
    <w:rsid w:val="4D8E3257"/>
    <w:rsid w:val="4D95B2BA"/>
    <w:rsid w:val="4D978C87"/>
    <w:rsid w:val="4D9B3D0F"/>
    <w:rsid w:val="4D9DFFFF"/>
    <w:rsid w:val="4DA08C3E"/>
    <w:rsid w:val="4DA8DD1C"/>
    <w:rsid w:val="4DACA062"/>
    <w:rsid w:val="4DAD2C9B"/>
    <w:rsid w:val="4DB33015"/>
    <w:rsid w:val="4DB70671"/>
    <w:rsid w:val="4DBA2DA3"/>
    <w:rsid w:val="4DBBEE35"/>
    <w:rsid w:val="4DBCF5F2"/>
    <w:rsid w:val="4DC17565"/>
    <w:rsid w:val="4DC3045B"/>
    <w:rsid w:val="4DC37772"/>
    <w:rsid w:val="4DC60A28"/>
    <w:rsid w:val="4DC97B60"/>
    <w:rsid w:val="4DCCDEEB"/>
    <w:rsid w:val="4DCF7E26"/>
    <w:rsid w:val="4DCF9822"/>
    <w:rsid w:val="4DD0317F"/>
    <w:rsid w:val="4DD3DD27"/>
    <w:rsid w:val="4DD3E8F6"/>
    <w:rsid w:val="4DD72FE7"/>
    <w:rsid w:val="4DD77D81"/>
    <w:rsid w:val="4DD93F34"/>
    <w:rsid w:val="4DD961E1"/>
    <w:rsid w:val="4DDA6BCC"/>
    <w:rsid w:val="4DDFB21B"/>
    <w:rsid w:val="4DE0F3AF"/>
    <w:rsid w:val="4DE448C3"/>
    <w:rsid w:val="4DE520D4"/>
    <w:rsid w:val="4DE7797D"/>
    <w:rsid w:val="4DE82068"/>
    <w:rsid w:val="4DEF5652"/>
    <w:rsid w:val="4DEFBBD9"/>
    <w:rsid w:val="4DF31230"/>
    <w:rsid w:val="4DF5D71E"/>
    <w:rsid w:val="4DF7E200"/>
    <w:rsid w:val="4DFD310A"/>
    <w:rsid w:val="4DFED362"/>
    <w:rsid w:val="4DFF8EC0"/>
    <w:rsid w:val="4E02BE06"/>
    <w:rsid w:val="4E05DA69"/>
    <w:rsid w:val="4E0A0903"/>
    <w:rsid w:val="4E0DF911"/>
    <w:rsid w:val="4E0F9B04"/>
    <w:rsid w:val="4E1243C1"/>
    <w:rsid w:val="4E12E688"/>
    <w:rsid w:val="4E1C7162"/>
    <w:rsid w:val="4E1DB83F"/>
    <w:rsid w:val="4E1FBE28"/>
    <w:rsid w:val="4E1FD22D"/>
    <w:rsid w:val="4E217792"/>
    <w:rsid w:val="4E22A063"/>
    <w:rsid w:val="4E25760C"/>
    <w:rsid w:val="4E27BA04"/>
    <w:rsid w:val="4E2AAAA3"/>
    <w:rsid w:val="4E30EF87"/>
    <w:rsid w:val="4E3727B8"/>
    <w:rsid w:val="4E3BD7E5"/>
    <w:rsid w:val="4E411DA7"/>
    <w:rsid w:val="4E41C53C"/>
    <w:rsid w:val="4E42428B"/>
    <w:rsid w:val="4E456FC4"/>
    <w:rsid w:val="4E469F24"/>
    <w:rsid w:val="4E519FDD"/>
    <w:rsid w:val="4E548395"/>
    <w:rsid w:val="4E58FEC0"/>
    <w:rsid w:val="4E59C4EC"/>
    <w:rsid w:val="4E5E80E7"/>
    <w:rsid w:val="4E62B575"/>
    <w:rsid w:val="4E645DD3"/>
    <w:rsid w:val="4E6488D2"/>
    <w:rsid w:val="4E6B67F8"/>
    <w:rsid w:val="4E6C024B"/>
    <w:rsid w:val="4E766D59"/>
    <w:rsid w:val="4E76A5B2"/>
    <w:rsid w:val="4E7A1431"/>
    <w:rsid w:val="4E862AFA"/>
    <w:rsid w:val="4E878541"/>
    <w:rsid w:val="4E8911C2"/>
    <w:rsid w:val="4E89973B"/>
    <w:rsid w:val="4E8B0FA5"/>
    <w:rsid w:val="4E9064A2"/>
    <w:rsid w:val="4E95A4E2"/>
    <w:rsid w:val="4E98375B"/>
    <w:rsid w:val="4E9C7A1B"/>
    <w:rsid w:val="4E9E0DB2"/>
    <w:rsid w:val="4EA1955C"/>
    <w:rsid w:val="4EA337E1"/>
    <w:rsid w:val="4EA45FAD"/>
    <w:rsid w:val="4EA889FE"/>
    <w:rsid w:val="4EAA8777"/>
    <w:rsid w:val="4EB11B45"/>
    <w:rsid w:val="4EB3CD99"/>
    <w:rsid w:val="4EB8CDB1"/>
    <w:rsid w:val="4EC65096"/>
    <w:rsid w:val="4EC851E5"/>
    <w:rsid w:val="4EC97EE1"/>
    <w:rsid w:val="4ECD17F1"/>
    <w:rsid w:val="4ECDF2B4"/>
    <w:rsid w:val="4ED17CBC"/>
    <w:rsid w:val="4ED6D7AE"/>
    <w:rsid w:val="4EDC0DE4"/>
    <w:rsid w:val="4EDC145E"/>
    <w:rsid w:val="4EDD4286"/>
    <w:rsid w:val="4EDEB3C5"/>
    <w:rsid w:val="4EE54D2D"/>
    <w:rsid w:val="4EE6493E"/>
    <w:rsid w:val="4EE98A71"/>
    <w:rsid w:val="4EEB4C04"/>
    <w:rsid w:val="4EED1739"/>
    <w:rsid w:val="4EF00BF1"/>
    <w:rsid w:val="4EF33012"/>
    <w:rsid w:val="4EFAF2BB"/>
    <w:rsid w:val="4EFC6618"/>
    <w:rsid w:val="4EFFE11D"/>
    <w:rsid w:val="4F056FF2"/>
    <w:rsid w:val="4F0DF3B8"/>
    <w:rsid w:val="4F0E486C"/>
    <w:rsid w:val="4F137996"/>
    <w:rsid w:val="4F1829DC"/>
    <w:rsid w:val="4F1B6861"/>
    <w:rsid w:val="4F2C71FC"/>
    <w:rsid w:val="4F2DB9FB"/>
    <w:rsid w:val="4F2E4F6C"/>
    <w:rsid w:val="4F323BAB"/>
    <w:rsid w:val="4F32CFF0"/>
    <w:rsid w:val="4F33E7DE"/>
    <w:rsid w:val="4F34C15E"/>
    <w:rsid w:val="4F378686"/>
    <w:rsid w:val="4F37A409"/>
    <w:rsid w:val="4F38530A"/>
    <w:rsid w:val="4F39147F"/>
    <w:rsid w:val="4F39A198"/>
    <w:rsid w:val="4F3A4A6D"/>
    <w:rsid w:val="4F3B32E4"/>
    <w:rsid w:val="4F3B6D30"/>
    <w:rsid w:val="4F3F48A5"/>
    <w:rsid w:val="4F4088E6"/>
    <w:rsid w:val="4F431BB6"/>
    <w:rsid w:val="4F437DAE"/>
    <w:rsid w:val="4F48107A"/>
    <w:rsid w:val="4F4A96DB"/>
    <w:rsid w:val="4F4AAE08"/>
    <w:rsid w:val="4F4B35E9"/>
    <w:rsid w:val="4F4F8B68"/>
    <w:rsid w:val="4F5614E8"/>
    <w:rsid w:val="4F564515"/>
    <w:rsid w:val="4F615679"/>
    <w:rsid w:val="4F65ECC5"/>
    <w:rsid w:val="4F6801B2"/>
    <w:rsid w:val="4F6C8787"/>
    <w:rsid w:val="4F6CCD7A"/>
    <w:rsid w:val="4F6D9FE5"/>
    <w:rsid w:val="4F71FE89"/>
    <w:rsid w:val="4F79E481"/>
    <w:rsid w:val="4F84284E"/>
    <w:rsid w:val="4F878ADD"/>
    <w:rsid w:val="4F882FE2"/>
    <w:rsid w:val="4F8BCB83"/>
    <w:rsid w:val="4F8E9887"/>
    <w:rsid w:val="4F905F46"/>
    <w:rsid w:val="4F92A30E"/>
    <w:rsid w:val="4F93250E"/>
    <w:rsid w:val="4F9CB4B5"/>
    <w:rsid w:val="4F9CCB0F"/>
    <w:rsid w:val="4FA04BF8"/>
    <w:rsid w:val="4FA34828"/>
    <w:rsid w:val="4FA35D86"/>
    <w:rsid w:val="4FA963D1"/>
    <w:rsid w:val="4FABE3FF"/>
    <w:rsid w:val="4FACA03B"/>
    <w:rsid w:val="4FAF5F8E"/>
    <w:rsid w:val="4FB0C3F1"/>
    <w:rsid w:val="4FB2BDA2"/>
    <w:rsid w:val="4FB3EB91"/>
    <w:rsid w:val="4FB85BD6"/>
    <w:rsid w:val="4FBB69D3"/>
    <w:rsid w:val="4FBDBFC1"/>
    <w:rsid w:val="4FC098BD"/>
    <w:rsid w:val="4FC5FA43"/>
    <w:rsid w:val="4FC94A5A"/>
    <w:rsid w:val="4FCDFAB0"/>
    <w:rsid w:val="4FCE211A"/>
    <w:rsid w:val="4FD2BCE0"/>
    <w:rsid w:val="4FD2E0E4"/>
    <w:rsid w:val="4FD41F0F"/>
    <w:rsid w:val="4FD96EAE"/>
    <w:rsid w:val="4FE05F1A"/>
    <w:rsid w:val="4FE0D156"/>
    <w:rsid w:val="4FE2AF5F"/>
    <w:rsid w:val="4FE3CE49"/>
    <w:rsid w:val="4FE6378A"/>
    <w:rsid w:val="4FEA6361"/>
    <w:rsid w:val="4FF181F5"/>
    <w:rsid w:val="4FF5CAD0"/>
    <w:rsid w:val="4FF5FE2A"/>
    <w:rsid w:val="4FF7B51B"/>
    <w:rsid w:val="4FF856D4"/>
    <w:rsid w:val="4FFA9260"/>
    <w:rsid w:val="4FFEB17B"/>
    <w:rsid w:val="50035DE6"/>
    <w:rsid w:val="500446EB"/>
    <w:rsid w:val="5005B074"/>
    <w:rsid w:val="5006562F"/>
    <w:rsid w:val="500B7733"/>
    <w:rsid w:val="500D01F1"/>
    <w:rsid w:val="50121794"/>
    <w:rsid w:val="5012F4DA"/>
    <w:rsid w:val="5017A909"/>
    <w:rsid w:val="50191DF8"/>
    <w:rsid w:val="50227C1E"/>
    <w:rsid w:val="502A70BA"/>
    <w:rsid w:val="502F4149"/>
    <w:rsid w:val="502F7518"/>
    <w:rsid w:val="5036B8E7"/>
    <w:rsid w:val="5037DC1A"/>
    <w:rsid w:val="503C9A08"/>
    <w:rsid w:val="5040292F"/>
    <w:rsid w:val="50424776"/>
    <w:rsid w:val="504628D0"/>
    <w:rsid w:val="5047F65F"/>
    <w:rsid w:val="50560211"/>
    <w:rsid w:val="505644A6"/>
    <w:rsid w:val="50584381"/>
    <w:rsid w:val="50586DDD"/>
    <w:rsid w:val="505B7C3C"/>
    <w:rsid w:val="505C6732"/>
    <w:rsid w:val="505C8D0D"/>
    <w:rsid w:val="5063FA83"/>
    <w:rsid w:val="506D09F7"/>
    <w:rsid w:val="506E5F5C"/>
    <w:rsid w:val="5073F5BE"/>
    <w:rsid w:val="5075BB42"/>
    <w:rsid w:val="507B0814"/>
    <w:rsid w:val="507C4A23"/>
    <w:rsid w:val="507CF4E6"/>
    <w:rsid w:val="507D0F20"/>
    <w:rsid w:val="508A668F"/>
    <w:rsid w:val="508D5AA1"/>
    <w:rsid w:val="5096CFE8"/>
    <w:rsid w:val="50995A17"/>
    <w:rsid w:val="509C4E4D"/>
    <w:rsid w:val="509E457E"/>
    <w:rsid w:val="509FBBBC"/>
    <w:rsid w:val="50A2CCB3"/>
    <w:rsid w:val="50A5630A"/>
    <w:rsid w:val="50A779FA"/>
    <w:rsid w:val="50AABE08"/>
    <w:rsid w:val="50AB9014"/>
    <w:rsid w:val="50ABFACE"/>
    <w:rsid w:val="50AD8AB6"/>
    <w:rsid w:val="50B56637"/>
    <w:rsid w:val="50B7872E"/>
    <w:rsid w:val="50B902AC"/>
    <w:rsid w:val="50BA7553"/>
    <w:rsid w:val="50BB2CDE"/>
    <w:rsid w:val="50BD080D"/>
    <w:rsid w:val="50C00E14"/>
    <w:rsid w:val="50CF2DFE"/>
    <w:rsid w:val="50D0577D"/>
    <w:rsid w:val="50D44898"/>
    <w:rsid w:val="50D6A32D"/>
    <w:rsid w:val="50D99C9E"/>
    <w:rsid w:val="50DCB6F6"/>
    <w:rsid w:val="50DECF6B"/>
    <w:rsid w:val="50E12934"/>
    <w:rsid w:val="50E27670"/>
    <w:rsid w:val="50E56481"/>
    <w:rsid w:val="50E9B734"/>
    <w:rsid w:val="50EBD4C1"/>
    <w:rsid w:val="50EBDF06"/>
    <w:rsid w:val="50F06F64"/>
    <w:rsid w:val="50F0F80F"/>
    <w:rsid w:val="50F5E0BA"/>
    <w:rsid w:val="50F6BCC7"/>
    <w:rsid w:val="50FA6FCA"/>
    <w:rsid w:val="50FBA465"/>
    <w:rsid w:val="50FD2C2D"/>
    <w:rsid w:val="5100B300"/>
    <w:rsid w:val="5101F51F"/>
    <w:rsid w:val="5102FC2F"/>
    <w:rsid w:val="5108209E"/>
    <w:rsid w:val="510959E3"/>
    <w:rsid w:val="510D0AB5"/>
    <w:rsid w:val="51122834"/>
    <w:rsid w:val="51133595"/>
    <w:rsid w:val="5115D1F4"/>
    <w:rsid w:val="51186EC3"/>
    <w:rsid w:val="5119613D"/>
    <w:rsid w:val="511B460D"/>
    <w:rsid w:val="511D877B"/>
    <w:rsid w:val="51214A42"/>
    <w:rsid w:val="5121A81A"/>
    <w:rsid w:val="512208A1"/>
    <w:rsid w:val="512452BA"/>
    <w:rsid w:val="51261126"/>
    <w:rsid w:val="512B835A"/>
    <w:rsid w:val="512EBCEF"/>
    <w:rsid w:val="5133FE17"/>
    <w:rsid w:val="5135CDBC"/>
    <w:rsid w:val="5136A526"/>
    <w:rsid w:val="5138BA5F"/>
    <w:rsid w:val="51396CD9"/>
    <w:rsid w:val="513D5364"/>
    <w:rsid w:val="513D5DFC"/>
    <w:rsid w:val="514B8907"/>
    <w:rsid w:val="514DC85E"/>
    <w:rsid w:val="514F1ED9"/>
    <w:rsid w:val="5150ACA2"/>
    <w:rsid w:val="5151E7B4"/>
    <w:rsid w:val="5154EFF7"/>
    <w:rsid w:val="515588B9"/>
    <w:rsid w:val="515A45B2"/>
    <w:rsid w:val="515E982E"/>
    <w:rsid w:val="51624868"/>
    <w:rsid w:val="516B00DD"/>
    <w:rsid w:val="51762F1C"/>
    <w:rsid w:val="517F4C39"/>
    <w:rsid w:val="5184B032"/>
    <w:rsid w:val="5187D498"/>
    <w:rsid w:val="518A4516"/>
    <w:rsid w:val="518BA125"/>
    <w:rsid w:val="518E7757"/>
    <w:rsid w:val="51954EFC"/>
    <w:rsid w:val="51984F9F"/>
    <w:rsid w:val="519BE11D"/>
    <w:rsid w:val="51A10A52"/>
    <w:rsid w:val="51A21C11"/>
    <w:rsid w:val="51A401D3"/>
    <w:rsid w:val="51A65BA6"/>
    <w:rsid w:val="51A68B99"/>
    <w:rsid w:val="51B05CD1"/>
    <w:rsid w:val="51B0A9C8"/>
    <w:rsid w:val="51B1711A"/>
    <w:rsid w:val="51B632A0"/>
    <w:rsid w:val="51BE7A38"/>
    <w:rsid w:val="51BF26CD"/>
    <w:rsid w:val="51C560A0"/>
    <w:rsid w:val="51C731C5"/>
    <w:rsid w:val="51CB76F4"/>
    <w:rsid w:val="51D2C238"/>
    <w:rsid w:val="51D5D5ED"/>
    <w:rsid w:val="51D8DD52"/>
    <w:rsid w:val="51E2FDCD"/>
    <w:rsid w:val="51E9C9ED"/>
    <w:rsid w:val="51EC5C32"/>
    <w:rsid w:val="51ED4983"/>
    <w:rsid w:val="51EDF10A"/>
    <w:rsid w:val="51F6427A"/>
    <w:rsid w:val="51FAD861"/>
    <w:rsid w:val="51FB135C"/>
    <w:rsid w:val="51FB9BFA"/>
    <w:rsid w:val="52050D9B"/>
    <w:rsid w:val="52078ABB"/>
    <w:rsid w:val="520BABE1"/>
    <w:rsid w:val="520CED90"/>
    <w:rsid w:val="520DFE7D"/>
    <w:rsid w:val="520FB34A"/>
    <w:rsid w:val="521A196E"/>
    <w:rsid w:val="521AFA30"/>
    <w:rsid w:val="521D0128"/>
    <w:rsid w:val="521DA777"/>
    <w:rsid w:val="522EE242"/>
    <w:rsid w:val="52325131"/>
    <w:rsid w:val="523B8C1D"/>
    <w:rsid w:val="523BDF0F"/>
    <w:rsid w:val="523BEB0D"/>
    <w:rsid w:val="523C9396"/>
    <w:rsid w:val="523F1A93"/>
    <w:rsid w:val="5240DE5A"/>
    <w:rsid w:val="5244359F"/>
    <w:rsid w:val="5248E25A"/>
    <w:rsid w:val="524BA2E4"/>
    <w:rsid w:val="524DAAE2"/>
    <w:rsid w:val="524E81E3"/>
    <w:rsid w:val="52510217"/>
    <w:rsid w:val="5251AA16"/>
    <w:rsid w:val="5256A01A"/>
    <w:rsid w:val="5258EC8A"/>
    <w:rsid w:val="525D98C4"/>
    <w:rsid w:val="52604A1F"/>
    <w:rsid w:val="526CF777"/>
    <w:rsid w:val="526E8D2F"/>
    <w:rsid w:val="5274B27F"/>
    <w:rsid w:val="5274DDFA"/>
    <w:rsid w:val="5275BDF6"/>
    <w:rsid w:val="5278CA80"/>
    <w:rsid w:val="527901A3"/>
    <w:rsid w:val="527F4507"/>
    <w:rsid w:val="5284A8FA"/>
    <w:rsid w:val="5285650F"/>
    <w:rsid w:val="5289A128"/>
    <w:rsid w:val="5289D1FA"/>
    <w:rsid w:val="528A5EEB"/>
    <w:rsid w:val="528B7034"/>
    <w:rsid w:val="528D9CA6"/>
    <w:rsid w:val="5290A4B1"/>
    <w:rsid w:val="5291542A"/>
    <w:rsid w:val="52918CEA"/>
    <w:rsid w:val="52919A2D"/>
    <w:rsid w:val="5292F27A"/>
    <w:rsid w:val="52936ED3"/>
    <w:rsid w:val="529CD805"/>
    <w:rsid w:val="529CF7CB"/>
    <w:rsid w:val="52A298E8"/>
    <w:rsid w:val="52AD72AF"/>
    <w:rsid w:val="52B1ECBC"/>
    <w:rsid w:val="52B759D4"/>
    <w:rsid w:val="52B82D61"/>
    <w:rsid w:val="52B9964E"/>
    <w:rsid w:val="52C8BA6C"/>
    <w:rsid w:val="52CD68C2"/>
    <w:rsid w:val="52D05709"/>
    <w:rsid w:val="52D1631C"/>
    <w:rsid w:val="52D709E2"/>
    <w:rsid w:val="52D7B1E7"/>
    <w:rsid w:val="52D7F6AD"/>
    <w:rsid w:val="52DA2D40"/>
    <w:rsid w:val="52E13E7E"/>
    <w:rsid w:val="52E2DC2A"/>
    <w:rsid w:val="52E6EF6D"/>
    <w:rsid w:val="52E8EC3B"/>
    <w:rsid w:val="52ECA744"/>
    <w:rsid w:val="52ED1321"/>
    <w:rsid w:val="52F276A3"/>
    <w:rsid w:val="52F3ADB2"/>
    <w:rsid w:val="52F693E2"/>
    <w:rsid w:val="52F6BDF5"/>
    <w:rsid w:val="52F8E3D5"/>
    <w:rsid w:val="52FCD6C8"/>
    <w:rsid w:val="53053C13"/>
    <w:rsid w:val="5305D212"/>
    <w:rsid w:val="53082D3F"/>
    <w:rsid w:val="530A7845"/>
    <w:rsid w:val="530DDDD4"/>
    <w:rsid w:val="530DF2DA"/>
    <w:rsid w:val="53109376"/>
    <w:rsid w:val="53127238"/>
    <w:rsid w:val="53136ED1"/>
    <w:rsid w:val="53152D4A"/>
    <w:rsid w:val="531950AC"/>
    <w:rsid w:val="5322C519"/>
    <w:rsid w:val="5324B956"/>
    <w:rsid w:val="5324DB11"/>
    <w:rsid w:val="53261385"/>
    <w:rsid w:val="5329FB9D"/>
    <w:rsid w:val="5335BEDE"/>
    <w:rsid w:val="533D392F"/>
    <w:rsid w:val="533E2DDF"/>
    <w:rsid w:val="534B3B66"/>
    <w:rsid w:val="534D04FA"/>
    <w:rsid w:val="534DAFF6"/>
    <w:rsid w:val="534DFAEA"/>
    <w:rsid w:val="534F2A70"/>
    <w:rsid w:val="534FC72E"/>
    <w:rsid w:val="535048E5"/>
    <w:rsid w:val="5351806D"/>
    <w:rsid w:val="5354F51F"/>
    <w:rsid w:val="53583205"/>
    <w:rsid w:val="535AD224"/>
    <w:rsid w:val="535B508B"/>
    <w:rsid w:val="535B5EBB"/>
    <w:rsid w:val="535DF262"/>
    <w:rsid w:val="53626135"/>
    <w:rsid w:val="5368FAD2"/>
    <w:rsid w:val="536972DA"/>
    <w:rsid w:val="53723757"/>
    <w:rsid w:val="5375C609"/>
    <w:rsid w:val="5379680F"/>
    <w:rsid w:val="53834BCB"/>
    <w:rsid w:val="5384EF53"/>
    <w:rsid w:val="5389D262"/>
    <w:rsid w:val="538E391C"/>
    <w:rsid w:val="53906CB4"/>
    <w:rsid w:val="5395FAD1"/>
    <w:rsid w:val="539640DB"/>
    <w:rsid w:val="53968CB2"/>
    <w:rsid w:val="53971CBD"/>
    <w:rsid w:val="53A05DD9"/>
    <w:rsid w:val="53A1FA41"/>
    <w:rsid w:val="53A40DCF"/>
    <w:rsid w:val="53A4BCDB"/>
    <w:rsid w:val="53A6513B"/>
    <w:rsid w:val="53A86CE0"/>
    <w:rsid w:val="53A9D1F3"/>
    <w:rsid w:val="53AAEA41"/>
    <w:rsid w:val="53AB8259"/>
    <w:rsid w:val="53AB9E75"/>
    <w:rsid w:val="53AEAD37"/>
    <w:rsid w:val="53B011C3"/>
    <w:rsid w:val="53B1B81F"/>
    <w:rsid w:val="53B1D263"/>
    <w:rsid w:val="53B1D91E"/>
    <w:rsid w:val="53B21CB9"/>
    <w:rsid w:val="53C1AD73"/>
    <w:rsid w:val="53C3E2DF"/>
    <w:rsid w:val="53C4D0F2"/>
    <w:rsid w:val="53C5161B"/>
    <w:rsid w:val="53C5D308"/>
    <w:rsid w:val="53C77E07"/>
    <w:rsid w:val="53D21889"/>
    <w:rsid w:val="53D63D60"/>
    <w:rsid w:val="53D6D0C4"/>
    <w:rsid w:val="53DA89A1"/>
    <w:rsid w:val="53DB4612"/>
    <w:rsid w:val="53DECF89"/>
    <w:rsid w:val="53E392D0"/>
    <w:rsid w:val="53E52A7F"/>
    <w:rsid w:val="53E661E6"/>
    <w:rsid w:val="53EAE4AB"/>
    <w:rsid w:val="53EF837A"/>
    <w:rsid w:val="53F411A3"/>
    <w:rsid w:val="53F5D643"/>
    <w:rsid w:val="53FAF754"/>
    <w:rsid w:val="54061815"/>
    <w:rsid w:val="540783CF"/>
    <w:rsid w:val="540A8C3A"/>
    <w:rsid w:val="540CE0ED"/>
    <w:rsid w:val="540F4829"/>
    <w:rsid w:val="5411FE49"/>
    <w:rsid w:val="5416E48A"/>
    <w:rsid w:val="54176D90"/>
    <w:rsid w:val="5417E30C"/>
    <w:rsid w:val="541EC3B2"/>
    <w:rsid w:val="5421037E"/>
    <w:rsid w:val="54225B1A"/>
    <w:rsid w:val="54238F47"/>
    <w:rsid w:val="5428D993"/>
    <w:rsid w:val="542F3BB6"/>
    <w:rsid w:val="5430DD9D"/>
    <w:rsid w:val="543493CF"/>
    <w:rsid w:val="5437A5F7"/>
    <w:rsid w:val="543FFE9B"/>
    <w:rsid w:val="5447ABC8"/>
    <w:rsid w:val="5448226A"/>
    <w:rsid w:val="5456324F"/>
    <w:rsid w:val="545684C4"/>
    <w:rsid w:val="545A2D4F"/>
    <w:rsid w:val="54606FDC"/>
    <w:rsid w:val="54609E67"/>
    <w:rsid w:val="5464F185"/>
    <w:rsid w:val="5467E317"/>
    <w:rsid w:val="5468CAEA"/>
    <w:rsid w:val="546E58F4"/>
    <w:rsid w:val="5474C1CC"/>
    <w:rsid w:val="54793B78"/>
    <w:rsid w:val="547F54BC"/>
    <w:rsid w:val="54850B0E"/>
    <w:rsid w:val="5486CC10"/>
    <w:rsid w:val="548D2AFC"/>
    <w:rsid w:val="548FA8A4"/>
    <w:rsid w:val="5492792D"/>
    <w:rsid w:val="549325DD"/>
    <w:rsid w:val="54935006"/>
    <w:rsid w:val="54940DAA"/>
    <w:rsid w:val="5495EF23"/>
    <w:rsid w:val="54971EA9"/>
    <w:rsid w:val="54985C76"/>
    <w:rsid w:val="549F6115"/>
    <w:rsid w:val="54A05DD7"/>
    <w:rsid w:val="54A1B8EF"/>
    <w:rsid w:val="54A1EA88"/>
    <w:rsid w:val="54A268E3"/>
    <w:rsid w:val="54A96B8A"/>
    <w:rsid w:val="54ABE5EF"/>
    <w:rsid w:val="54AEC9A1"/>
    <w:rsid w:val="54B24C10"/>
    <w:rsid w:val="54B2E74C"/>
    <w:rsid w:val="54BA242E"/>
    <w:rsid w:val="54BF2A80"/>
    <w:rsid w:val="54C5C6F7"/>
    <w:rsid w:val="54C9F5F6"/>
    <w:rsid w:val="54CB8C2B"/>
    <w:rsid w:val="54CD2E2E"/>
    <w:rsid w:val="54D7C431"/>
    <w:rsid w:val="54D86B72"/>
    <w:rsid w:val="54DAC7E9"/>
    <w:rsid w:val="54DD2828"/>
    <w:rsid w:val="54E5E11A"/>
    <w:rsid w:val="54ED5E1F"/>
    <w:rsid w:val="54F177A9"/>
    <w:rsid w:val="54F1F90E"/>
    <w:rsid w:val="54F39C86"/>
    <w:rsid w:val="54F61D73"/>
    <w:rsid w:val="54F64410"/>
    <w:rsid w:val="54F6C6C5"/>
    <w:rsid w:val="54F74894"/>
    <w:rsid w:val="54FBC9BA"/>
    <w:rsid w:val="55010049"/>
    <w:rsid w:val="550178D5"/>
    <w:rsid w:val="55027BB1"/>
    <w:rsid w:val="5504603B"/>
    <w:rsid w:val="5507019D"/>
    <w:rsid w:val="5507AE08"/>
    <w:rsid w:val="550B13F1"/>
    <w:rsid w:val="550EE47F"/>
    <w:rsid w:val="55155436"/>
    <w:rsid w:val="55197804"/>
    <w:rsid w:val="55274BFF"/>
    <w:rsid w:val="5533CC54"/>
    <w:rsid w:val="55349797"/>
    <w:rsid w:val="5536B26C"/>
    <w:rsid w:val="5538F538"/>
    <w:rsid w:val="553F8736"/>
    <w:rsid w:val="55459063"/>
    <w:rsid w:val="55479AFB"/>
    <w:rsid w:val="5547A476"/>
    <w:rsid w:val="554A8651"/>
    <w:rsid w:val="554CF6A8"/>
    <w:rsid w:val="554FEA8A"/>
    <w:rsid w:val="555187CF"/>
    <w:rsid w:val="55556ECC"/>
    <w:rsid w:val="5555DAEE"/>
    <w:rsid w:val="5558133F"/>
    <w:rsid w:val="55589BC5"/>
    <w:rsid w:val="555A9DF2"/>
    <w:rsid w:val="555D416E"/>
    <w:rsid w:val="5560BDD9"/>
    <w:rsid w:val="5562849E"/>
    <w:rsid w:val="55657656"/>
    <w:rsid w:val="5571A4AA"/>
    <w:rsid w:val="557438B8"/>
    <w:rsid w:val="5578BF99"/>
    <w:rsid w:val="557B03D2"/>
    <w:rsid w:val="557C7100"/>
    <w:rsid w:val="55856235"/>
    <w:rsid w:val="558570A1"/>
    <w:rsid w:val="55859E00"/>
    <w:rsid w:val="558807CA"/>
    <w:rsid w:val="558E3067"/>
    <w:rsid w:val="55914BD5"/>
    <w:rsid w:val="559A7310"/>
    <w:rsid w:val="559DFC0A"/>
    <w:rsid w:val="559EB98D"/>
    <w:rsid w:val="55A33960"/>
    <w:rsid w:val="55A57517"/>
    <w:rsid w:val="55AB0461"/>
    <w:rsid w:val="55B133A5"/>
    <w:rsid w:val="55B16E2A"/>
    <w:rsid w:val="55B1D225"/>
    <w:rsid w:val="55B27FA3"/>
    <w:rsid w:val="55B4ED76"/>
    <w:rsid w:val="55B5054C"/>
    <w:rsid w:val="55B660A6"/>
    <w:rsid w:val="55B6C4E0"/>
    <w:rsid w:val="55B7E976"/>
    <w:rsid w:val="55BF9937"/>
    <w:rsid w:val="55C54E19"/>
    <w:rsid w:val="55C5B411"/>
    <w:rsid w:val="55CB28A8"/>
    <w:rsid w:val="55CC6AD8"/>
    <w:rsid w:val="55CFAB3E"/>
    <w:rsid w:val="55D2973E"/>
    <w:rsid w:val="55D3DEF2"/>
    <w:rsid w:val="55E382E5"/>
    <w:rsid w:val="55E647ED"/>
    <w:rsid w:val="55E75254"/>
    <w:rsid w:val="55ED35FC"/>
    <w:rsid w:val="55F9ED68"/>
    <w:rsid w:val="55FBA693"/>
    <w:rsid w:val="55FD9D5C"/>
    <w:rsid w:val="55FDC088"/>
    <w:rsid w:val="5603B378"/>
    <w:rsid w:val="5605F07C"/>
    <w:rsid w:val="56083F8F"/>
    <w:rsid w:val="5610C41E"/>
    <w:rsid w:val="5615BEE6"/>
    <w:rsid w:val="5620D7F2"/>
    <w:rsid w:val="5623A1E9"/>
    <w:rsid w:val="56242EF5"/>
    <w:rsid w:val="5624C5D8"/>
    <w:rsid w:val="5629406B"/>
    <w:rsid w:val="56299123"/>
    <w:rsid w:val="562A3623"/>
    <w:rsid w:val="562D02B7"/>
    <w:rsid w:val="5631B536"/>
    <w:rsid w:val="5635E4A1"/>
    <w:rsid w:val="5636486D"/>
    <w:rsid w:val="56382395"/>
    <w:rsid w:val="564199A5"/>
    <w:rsid w:val="56422058"/>
    <w:rsid w:val="5647470B"/>
    <w:rsid w:val="564C2586"/>
    <w:rsid w:val="565178EF"/>
    <w:rsid w:val="565378DA"/>
    <w:rsid w:val="56539755"/>
    <w:rsid w:val="565B18EA"/>
    <w:rsid w:val="565C17AA"/>
    <w:rsid w:val="565F2A61"/>
    <w:rsid w:val="5668A7AF"/>
    <w:rsid w:val="566B266D"/>
    <w:rsid w:val="566B5A43"/>
    <w:rsid w:val="566CE94A"/>
    <w:rsid w:val="566E1E3F"/>
    <w:rsid w:val="566E6A39"/>
    <w:rsid w:val="56757B82"/>
    <w:rsid w:val="5677C7DA"/>
    <w:rsid w:val="5678FE8B"/>
    <w:rsid w:val="567BE292"/>
    <w:rsid w:val="567D2E2F"/>
    <w:rsid w:val="567DF7B8"/>
    <w:rsid w:val="5680AC7D"/>
    <w:rsid w:val="56816A24"/>
    <w:rsid w:val="56854E79"/>
    <w:rsid w:val="568BEE4E"/>
    <w:rsid w:val="568FF391"/>
    <w:rsid w:val="569036FB"/>
    <w:rsid w:val="5691B459"/>
    <w:rsid w:val="5693ECBA"/>
    <w:rsid w:val="56965CB9"/>
    <w:rsid w:val="56980FEB"/>
    <w:rsid w:val="569A8652"/>
    <w:rsid w:val="569C1D1C"/>
    <w:rsid w:val="56A7DEB1"/>
    <w:rsid w:val="56AD0A52"/>
    <w:rsid w:val="56B0F01B"/>
    <w:rsid w:val="56B163EC"/>
    <w:rsid w:val="56B737E3"/>
    <w:rsid w:val="56B75839"/>
    <w:rsid w:val="56B85252"/>
    <w:rsid w:val="56BDD1F0"/>
    <w:rsid w:val="56BFC26F"/>
    <w:rsid w:val="56C312BB"/>
    <w:rsid w:val="56C39B7F"/>
    <w:rsid w:val="56C55438"/>
    <w:rsid w:val="56C5C401"/>
    <w:rsid w:val="56C80292"/>
    <w:rsid w:val="56CC716A"/>
    <w:rsid w:val="56CD47BB"/>
    <w:rsid w:val="56CDA989"/>
    <w:rsid w:val="56D15EA9"/>
    <w:rsid w:val="56D3CBC8"/>
    <w:rsid w:val="56DC4B7B"/>
    <w:rsid w:val="56E01646"/>
    <w:rsid w:val="56E18542"/>
    <w:rsid w:val="56E68706"/>
    <w:rsid w:val="56E8512B"/>
    <w:rsid w:val="56ED3E65"/>
    <w:rsid w:val="56F13A74"/>
    <w:rsid w:val="56FBCB1E"/>
    <w:rsid w:val="56FE59E1"/>
    <w:rsid w:val="56FF2810"/>
    <w:rsid w:val="57038894"/>
    <w:rsid w:val="570BFD50"/>
    <w:rsid w:val="570EFD40"/>
    <w:rsid w:val="5712605A"/>
    <w:rsid w:val="571B64D6"/>
    <w:rsid w:val="571FF3C6"/>
    <w:rsid w:val="57207F7C"/>
    <w:rsid w:val="5723F3F2"/>
    <w:rsid w:val="5728B9E2"/>
    <w:rsid w:val="57298CC2"/>
    <w:rsid w:val="572B3FDA"/>
    <w:rsid w:val="5730CCA8"/>
    <w:rsid w:val="57372A33"/>
    <w:rsid w:val="57382F3A"/>
    <w:rsid w:val="57526957"/>
    <w:rsid w:val="575D932D"/>
    <w:rsid w:val="575EC1BB"/>
    <w:rsid w:val="5762FA12"/>
    <w:rsid w:val="57647BC9"/>
    <w:rsid w:val="5766C62E"/>
    <w:rsid w:val="576B71A9"/>
    <w:rsid w:val="576CB82C"/>
    <w:rsid w:val="576E50AA"/>
    <w:rsid w:val="576F0847"/>
    <w:rsid w:val="577253A3"/>
    <w:rsid w:val="5773BB4E"/>
    <w:rsid w:val="57742739"/>
    <w:rsid w:val="57765506"/>
    <w:rsid w:val="57808325"/>
    <w:rsid w:val="57853BEE"/>
    <w:rsid w:val="57885E67"/>
    <w:rsid w:val="578D0E1A"/>
    <w:rsid w:val="578D8AD2"/>
    <w:rsid w:val="578F5881"/>
    <w:rsid w:val="57909A0E"/>
    <w:rsid w:val="579D25C4"/>
    <w:rsid w:val="579EDBEB"/>
    <w:rsid w:val="57A2ADE7"/>
    <w:rsid w:val="57A9BFA7"/>
    <w:rsid w:val="57AACBAE"/>
    <w:rsid w:val="57AB865C"/>
    <w:rsid w:val="57AC095A"/>
    <w:rsid w:val="57B4AE26"/>
    <w:rsid w:val="57B7822B"/>
    <w:rsid w:val="57BA0FC9"/>
    <w:rsid w:val="57BEC804"/>
    <w:rsid w:val="57BFFF24"/>
    <w:rsid w:val="57C2157D"/>
    <w:rsid w:val="57CDDDEA"/>
    <w:rsid w:val="57D5D6DA"/>
    <w:rsid w:val="57E15F14"/>
    <w:rsid w:val="57F2A2F1"/>
    <w:rsid w:val="57F30678"/>
    <w:rsid w:val="57F84F06"/>
    <w:rsid w:val="57FC7246"/>
    <w:rsid w:val="58001117"/>
    <w:rsid w:val="58061B0F"/>
    <w:rsid w:val="58075B1E"/>
    <w:rsid w:val="580CE35E"/>
    <w:rsid w:val="580F790B"/>
    <w:rsid w:val="58111BDD"/>
    <w:rsid w:val="58128D85"/>
    <w:rsid w:val="581AE947"/>
    <w:rsid w:val="581B2F0C"/>
    <w:rsid w:val="58240992"/>
    <w:rsid w:val="58296733"/>
    <w:rsid w:val="58299138"/>
    <w:rsid w:val="582C0A71"/>
    <w:rsid w:val="582CEFD7"/>
    <w:rsid w:val="582FF0EE"/>
    <w:rsid w:val="58320FF0"/>
    <w:rsid w:val="583DBFAB"/>
    <w:rsid w:val="5840D7E2"/>
    <w:rsid w:val="584975AE"/>
    <w:rsid w:val="584AC0B7"/>
    <w:rsid w:val="585413B5"/>
    <w:rsid w:val="5855B0C6"/>
    <w:rsid w:val="58563B69"/>
    <w:rsid w:val="585DE9B5"/>
    <w:rsid w:val="585FA83C"/>
    <w:rsid w:val="58613C7B"/>
    <w:rsid w:val="586A1B39"/>
    <w:rsid w:val="586B6AE4"/>
    <w:rsid w:val="5871C48E"/>
    <w:rsid w:val="58728C33"/>
    <w:rsid w:val="587535F1"/>
    <w:rsid w:val="58756F62"/>
    <w:rsid w:val="587A36C6"/>
    <w:rsid w:val="587C4DFB"/>
    <w:rsid w:val="587C8B3C"/>
    <w:rsid w:val="587D2A66"/>
    <w:rsid w:val="587F422A"/>
    <w:rsid w:val="5883FE87"/>
    <w:rsid w:val="5884DB9C"/>
    <w:rsid w:val="588584C3"/>
    <w:rsid w:val="5886F446"/>
    <w:rsid w:val="5887EC79"/>
    <w:rsid w:val="58894E4A"/>
    <w:rsid w:val="5891DD70"/>
    <w:rsid w:val="5891F86B"/>
    <w:rsid w:val="589736C2"/>
    <w:rsid w:val="589A8439"/>
    <w:rsid w:val="589AAEF3"/>
    <w:rsid w:val="58A3D836"/>
    <w:rsid w:val="58A4E1BD"/>
    <w:rsid w:val="58A5762E"/>
    <w:rsid w:val="58A88C80"/>
    <w:rsid w:val="58ACB30D"/>
    <w:rsid w:val="58ADE770"/>
    <w:rsid w:val="58B2C5D7"/>
    <w:rsid w:val="58B3F705"/>
    <w:rsid w:val="58B62914"/>
    <w:rsid w:val="58B694FB"/>
    <w:rsid w:val="58B9C839"/>
    <w:rsid w:val="58C93CC1"/>
    <w:rsid w:val="58C980EB"/>
    <w:rsid w:val="58D3FDFB"/>
    <w:rsid w:val="58D48C06"/>
    <w:rsid w:val="58D7AABC"/>
    <w:rsid w:val="58E2EBA8"/>
    <w:rsid w:val="58E58FE0"/>
    <w:rsid w:val="58E668E1"/>
    <w:rsid w:val="58EB7289"/>
    <w:rsid w:val="58EEFCE8"/>
    <w:rsid w:val="58F81BA3"/>
    <w:rsid w:val="58FAE2F8"/>
    <w:rsid w:val="58FB3D8F"/>
    <w:rsid w:val="58FC5D2D"/>
    <w:rsid w:val="58FC61FB"/>
    <w:rsid w:val="58FF616E"/>
    <w:rsid w:val="58FFBC80"/>
    <w:rsid w:val="590014DC"/>
    <w:rsid w:val="590150F1"/>
    <w:rsid w:val="59019E39"/>
    <w:rsid w:val="59037AC1"/>
    <w:rsid w:val="5906DABE"/>
    <w:rsid w:val="59070D8F"/>
    <w:rsid w:val="590D407B"/>
    <w:rsid w:val="590D4168"/>
    <w:rsid w:val="59131E72"/>
    <w:rsid w:val="591544C6"/>
    <w:rsid w:val="59164824"/>
    <w:rsid w:val="5917F92C"/>
    <w:rsid w:val="5919BF4B"/>
    <w:rsid w:val="591DBA61"/>
    <w:rsid w:val="591FAD85"/>
    <w:rsid w:val="592361ED"/>
    <w:rsid w:val="592A6614"/>
    <w:rsid w:val="592ADFD8"/>
    <w:rsid w:val="592BBDFC"/>
    <w:rsid w:val="593554A7"/>
    <w:rsid w:val="593FA0A0"/>
    <w:rsid w:val="59489E41"/>
    <w:rsid w:val="5948D527"/>
    <w:rsid w:val="594930BD"/>
    <w:rsid w:val="594B0586"/>
    <w:rsid w:val="594BFB8A"/>
    <w:rsid w:val="5954FA25"/>
    <w:rsid w:val="595833C7"/>
    <w:rsid w:val="595A5A09"/>
    <w:rsid w:val="59602DBF"/>
    <w:rsid w:val="59631CAB"/>
    <w:rsid w:val="59650809"/>
    <w:rsid w:val="59666459"/>
    <w:rsid w:val="59691D57"/>
    <w:rsid w:val="596B94E0"/>
    <w:rsid w:val="59713011"/>
    <w:rsid w:val="59725D94"/>
    <w:rsid w:val="597A46BC"/>
    <w:rsid w:val="597D8E78"/>
    <w:rsid w:val="598353BC"/>
    <w:rsid w:val="59853F25"/>
    <w:rsid w:val="59865504"/>
    <w:rsid w:val="59896B1D"/>
    <w:rsid w:val="598DC059"/>
    <w:rsid w:val="598EA3CA"/>
    <w:rsid w:val="59928A02"/>
    <w:rsid w:val="5992ECAF"/>
    <w:rsid w:val="59930D73"/>
    <w:rsid w:val="5996E8EA"/>
    <w:rsid w:val="5997DDA8"/>
    <w:rsid w:val="599A5ACB"/>
    <w:rsid w:val="599AB7BF"/>
    <w:rsid w:val="599D6EDD"/>
    <w:rsid w:val="599E563C"/>
    <w:rsid w:val="599F4B8B"/>
    <w:rsid w:val="59A0030C"/>
    <w:rsid w:val="59A279D2"/>
    <w:rsid w:val="59A3A918"/>
    <w:rsid w:val="59A880F0"/>
    <w:rsid w:val="59AB3F09"/>
    <w:rsid w:val="59B25970"/>
    <w:rsid w:val="59B2A5A6"/>
    <w:rsid w:val="59B5987A"/>
    <w:rsid w:val="59B7791B"/>
    <w:rsid w:val="59B990C3"/>
    <w:rsid w:val="59BD6C8E"/>
    <w:rsid w:val="59C0A4AC"/>
    <w:rsid w:val="59C0B3D8"/>
    <w:rsid w:val="59C63A7E"/>
    <w:rsid w:val="59D93D5F"/>
    <w:rsid w:val="59DA7EC9"/>
    <w:rsid w:val="59DB424A"/>
    <w:rsid w:val="59DB6016"/>
    <w:rsid w:val="59E383EC"/>
    <w:rsid w:val="59EBA3B5"/>
    <w:rsid w:val="59EFB13F"/>
    <w:rsid w:val="59F433D4"/>
    <w:rsid w:val="59F4411A"/>
    <w:rsid w:val="59FA0476"/>
    <w:rsid w:val="59FABD22"/>
    <w:rsid w:val="59FB5507"/>
    <w:rsid w:val="59FB8094"/>
    <w:rsid w:val="59FD366D"/>
    <w:rsid w:val="59FE6FB5"/>
    <w:rsid w:val="5A023B4D"/>
    <w:rsid w:val="5A05714C"/>
    <w:rsid w:val="5A12E174"/>
    <w:rsid w:val="5A155ADB"/>
    <w:rsid w:val="5A1785E9"/>
    <w:rsid w:val="5A1B1C19"/>
    <w:rsid w:val="5A201786"/>
    <w:rsid w:val="5A235E84"/>
    <w:rsid w:val="5A2661AB"/>
    <w:rsid w:val="5A28C9DE"/>
    <w:rsid w:val="5A2EB9FB"/>
    <w:rsid w:val="5A2FBF8F"/>
    <w:rsid w:val="5A332E75"/>
    <w:rsid w:val="5A336BE0"/>
    <w:rsid w:val="5A355401"/>
    <w:rsid w:val="5A357104"/>
    <w:rsid w:val="5A3806DB"/>
    <w:rsid w:val="5A3A719C"/>
    <w:rsid w:val="5A3FB607"/>
    <w:rsid w:val="5A4405BE"/>
    <w:rsid w:val="5A4410ED"/>
    <w:rsid w:val="5A4624E8"/>
    <w:rsid w:val="5A4991AF"/>
    <w:rsid w:val="5A49A081"/>
    <w:rsid w:val="5A4C9AB5"/>
    <w:rsid w:val="5A4D74CF"/>
    <w:rsid w:val="5A520132"/>
    <w:rsid w:val="5A547D73"/>
    <w:rsid w:val="5A5A06CA"/>
    <w:rsid w:val="5A5A31D8"/>
    <w:rsid w:val="5A5E8A29"/>
    <w:rsid w:val="5A5FB7CC"/>
    <w:rsid w:val="5A60268D"/>
    <w:rsid w:val="5A6617CC"/>
    <w:rsid w:val="5A689AD3"/>
    <w:rsid w:val="5A6D3B09"/>
    <w:rsid w:val="5A6EAAFC"/>
    <w:rsid w:val="5A70BECE"/>
    <w:rsid w:val="5A75FA2B"/>
    <w:rsid w:val="5A775BBD"/>
    <w:rsid w:val="5A7CFF36"/>
    <w:rsid w:val="5A815439"/>
    <w:rsid w:val="5A83164F"/>
    <w:rsid w:val="5A845243"/>
    <w:rsid w:val="5A8878D1"/>
    <w:rsid w:val="5A8981F5"/>
    <w:rsid w:val="5A8AC680"/>
    <w:rsid w:val="5A8E8C58"/>
    <w:rsid w:val="5A8FD219"/>
    <w:rsid w:val="5A95B8F5"/>
    <w:rsid w:val="5A9DF467"/>
    <w:rsid w:val="5A9F5B67"/>
    <w:rsid w:val="5AA65078"/>
    <w:rsid w:val="5AAB2D4F"/>
    <w:rsid w:val="5AB03B5D"/>
    <w:rsid w:val="5AB10298"/>
    <w:rsid w:val="5AB18A56"/>
    <w:rsid w:val="5AB3C82C"/>
    <w:rsid w:val="5AB750C4"/>
    <w:rsid w:val="5AB9E422"/>
    <w:rsid w:val="5AC1B3E3"/>
    <w:rsid w:val="5AC1D128"/>
    <w:rsid w:val="5AC5EFDD"/>
    <w:rsid w:val="5AC92BED"/>
    <w:rsid w:val="5AC9FBF4"/>
    <w:rsid w:val="5ACB31AC"/>
    <w:rsid w:val="5AD0915D"/>
    <w:rsid w:val="5AD4A912"/>
    <w:rsid w:val="5AD4FC8B"/>
    <w:rsid w:val="5AD53D7F"/>
    <w:rsid w:val="5AD59147"/>
    <w:rsid w:val="5AD8F36D"/>
    <w:rsid w:val="5AD9F78D"/>
    <w:rsid w:val="5ADF9421"/>
    <w:rsid w:val="5AE0FF0F"/>
    <w:rsid w:val="5AE49241"/>
    <w:rsid w:val="5AE5F597"/>
    <w:rsid w:val="5AEBBE2D"/>
    <w:rsid w:val="5AEC86E8"/>
    <w:rsid w:val="5AEDE59B"/>
    <w:rsid w:val="5AEDF810"/>
    <w:rsid w:val="5AEF90CA"/>
    <w:rsid w:val="5AF050FC"/>
    <w:rsid w:val="5AF0B618"/>
    <w:rsid w:val="5AF0DCC4"/>
    <w:rsid w:val="5AF2347A"/>
    <w:rsid w:val="5AF366D4"/>
    <w:rsid w:val="5AFAB460"/>
    <w:rsid w:val="5AFAC750"/>
    <w:rsid w:val="5AFC6D33"/>
    <w:rsid w:val="5AFD9AD1"/>
    <w:rsid w:val="5B091547"/>
    <w:rsid w:val="5B097916"/>
    <w:rsid w:val="5B0A80DC"/>
    <w:rsid w:val="5B0F3916"/>
    <w:rsid w:val="5B0F3CC3"/>
    <w:rsid w:val="5B15D7B5"/>
    <w:rsid w:val="5B19283C"/>
    <w:rsid w:val="5B1B35D9"/>
    <w:rsid w:val="5B1F4248"/>
    <w:rsid w:val="5B215D42"/>
    <w:rsid w:val="5B21929B"/>
    <w:rsid w:val="5B21A5EB"/>
    <w:rsid w:val="5B21F612"/>
    <w:rsid w:val="5B26D091"/>
    <w:rsid w:val="5B270633"/>
    <w:rsid w:val="5B33834A"/>
    <w:rsid w:val="5B33B424"/>
    <w:rsid w:val="5B3B4144"/>
    <w:rsid w:val="5B3C2CB3"/>
    <w:rsid w:val="5B42424B"/>
    <w:rsid w:val="5B45E7EE"/>
    <w:rsid w:val="5B4777AC"/>
    <w:rsid w:val="5B4A954C"/>
    <w:rsid w:val="5B53C2DC"/>
    <w:rsid w:val="5B5609DE"/>
    <w:rsid w:val="5B5795D5"/>
    <w:rsid w:val="5B597666"/>
    <w:rsid w:val="5B599E62"/>
    <w:rsid w:val="5B5ACF3B"/>
    <w:rsid w:val="5B5B0866"/>
    <w:rsid w:val="5B63855F"/>
    <w:rsid w:val="5B63F9D4"/>
    <w:rsid w:val="5B67BA99"/>
    <w:rsid w:val="5B6A3D34"/>
    <w:rsid w:val="5B6B480B"/>
    <w:rsid w:val="5B6CAC5F"/>
    <w:rsid w:val="5B796479"/>
    <w:rsid w:val="5B7D3E70"/>
    <w:rsid w:val="5B7D9580"/>
    <w:rsid w:val="5B81790E"/>
    <w:rsid w:val="5B84CDC1"/>
    <w:rsid w:val="5B8954F6"/>
    <w:rsid w:val="5B8A0CEB"/>
    <w:rsid w:val="5B8D9CD4"/>
    <w:rsid w:val="5B8F0575"/>
    <w:rsid w:val="5B8F2973"/>
    <w:rsid w:val="5B904F12"/>
    <w:rsid w:val="5B92BC57"/>
    <w:rsid w:val="5B941E90"/>
    <w:rsid w:val="5B966909"/>
    <w:rsid w:val="5B969B5C"/>
    <w:rsid w:val="5B96F80A"/>
    <w:rsid w:val="5B9D64F9"/>
    <w:rsid w:val="5B9E9D40"/>
    <w:rsid w:val="5BA02B2F"/>
    <w:rsid w:val="5BA1FB4B"/>
    <w:rsid w:val="5BA55220"/>
    <w:rsid w:val="5BA73AA5"/>
    <w:rsid w:val="5BAA69A5"/>
    <w:rsid w:val="5BAC1C0F"/>
    <w:rsid w:val="5BAC3F3B"/>
    <w:rsid w:val="5BAD1E1A"/>
    <w:rsid w:val="5BAF287A"/>
    <w:rsid w:val="5BAF44F6"/>
    <w:rsid w:val="5BB3D790"/>
    <w:rsid w:val="5BBE4085"/>
    <w:rsid w:val="5BBEB44A"/>
    <w:rsid w:val="5BC10165"/>
    <w:rsid w:val="5BC4097E"/>
    <w:rsid w:val="5BC90998"/>
    <w:rsid w:val="5BCA7B14"/>
    <w:rsid w:val="5BCB09E5"/>
    <w:rsid w:val="5BD37527"/>
    <w:rsid w:val="5BD52059"/>
    <w:rsid w:val="5BD63575"/>
    <w:rsid w:val="5BD6822F"/>
    <w:rsid w:val="5BD8F0E2"/>
    <w:rsid w:val="5BE006BC"/>
    <w:rsid w:val="5BE32631"/>
    <w:rsid w:val="5BE57683"/>
    <w:rsid w:val="5BE8A3D5"/>
    <w:rsid w:val="5BE8BFD0"/>
    <w:rsid w:val="5BE954EA"/>
    <w:rsid w:val="5BE967BC"/>
    <w:rsid w:val="5BF11341"/>
    <w:rsid w:val="5BF576A4"/>
    <w:rsid w:val="5BF8B3DA"/>
    <w:rsid w:val="5BFA86CD"/>
    <w:rsid w:val="5C010858"/>
    <w:rsid w:val="5C07EBA2"/>
    <w:rsid w:val="5C0D094A"/>
    <w:rsid w:val="5C0D8807"/>
    <w:rsid w:val="5C12317D"/>
    <w:rsid w:val="5C129908"/>
    <w:rsid w:val="5C12F748"/>
    <w:rsid w:val="5C18E188"/>
    <w:rsid w:val="5C1C6940"/>
    <w:rsid w:val="5C1E9210"/>
    <w:rsid w:val="5C21C037"/>
    <w:rsid w:val="5C223324"/>
    <w:rsid w:val="5C253C1B"/>
    <w:rsid w:val="5C254038"/>
    <w:rsid w:val="5C26541F"/>
    <w:rsid w:val="5C3120F1"/>
    <w:rsid w:val="5C314B05"/>
    <w:rsid w:val="5C36E0B1"/>
    <w:rsid w:val="5C3798DB"/>
    <w:rsid w:val="5C40B5E9"/>
    <w:rsid w:val="5C43E1BF"/>
    <w:rsid w:val="5C4492EE"/>
    <w:rsid w:val="5C5165D3"/>
    <w:rsid w:val="5C5463A9"/>
    <w:rsid w:val="5C546FE0"/>
    <w:rsid w:val="5C54705A"/>
    <w:rsid w:val="5C54DF68"/>
    <w:rsid w:val="5C56555C"/>
    <w:rsid w:val="5C595C90"/>
    <w:rsid w:val="5C597411"/>
    <w:rsid w:val="5C59AD2E"/>
    <w:rsid w:val="5C5A42E4"/>
    <w:rsid w:val="5C5F685D"/>
    <w:rsid w:val="5C63BE4F"/>
    <w:rsid w:val="5C6501EC"/>
    <w:rsid w:val="5C666DE9"/>
    <w:rsid w:val="5C671317"/>
    <w:rsid w:val="5C6A1B72"/>
    <w:rsid w:val="5C6F5856"/>
    <w:rsid w:val="5C79D0EB"/>
    <w:rsid w:val="5C7BB47E"/>
    <w:rsid w:val="5C7C1583"/>
    <w:rsid w:val="5C85BC3F"/>
    <w:rsid w:val="5C8A843A"/>
    <w:rsid w:val="5C8DCDED"/>
    <w:rsid w:val="5C920CA7"/>
    <w:rsid w:val="5C92A218"/>
    <w:rsid w:val="5C92E591"/>
    <w:rsid w:val="5C98B037"/>
    <w:rsid w:val="5C99C35D"/>
    <w:rsid w:val="5C9B2B90"/>
    <w:rsid w:val="5CA064B0"/>
    <w:rsid w:val="5CAC90C1"/>
    <w:rsid w:val="5CAFAC39"/>
    <w:rsid w:val="5CB2EDE6"/>
    <w:rsid w:val="5CB3283B"/>
    <w:rsid w:val="5CB9110D"/>
    <w:rsid w:val="5CBB758A"/>
    <w:rsid w:val="5CBD30F8"/>
    <w:rsid w:val="5CBD75E0"/>
    <w:rsid w:val="5CC2DE7C"/>
    <w:rsid w:val="5CC9CCA4"/>
    <w:rsid w:val="5CCA4135"/>
    <w:rsid w:val="5CCA8F17"/>
    <w:rsid w:val="5CCB200A"/>
    <w:rsid w:val="5CCDE20D"/>
    <w:rsid w:val="5CD5F4A0"/>
    <w:rsid w:val="5CDA2473"/>
    <w:rsid w:val="5CDBDB73"/>
    <w:rsid w:val="5CDF37C5"/>
    <w:rsid w:val="5CE1A197"/>
    <w:rsid w:val="5CE42FB9"/>
    <w:rsid w:val="5CE4466D"/>
    <w:rsid w:val="5CEAB5A3"/>
    <w:rsid w:val="5CEC28D2"/>
    <w:rsid w:val="5CEF93C6"/>
    <w:rsid w:val="5CF50D6D"/>
    <w:rsid w:val="5CFDE121"/>
    <w:rsid w:val="5CFE5903"/>
    <w:rsid w:val="5D00741E"/>
    <w:rsid w:val="5D054F4F"/>
    <w:rsid w:val="5D07A94D"/>
    <w:rsid w:val="5D0C6D91"/>
    <w:rsid w:val="5D153291"/>
    <w:rsid w:val="5D16B614"/>
    <w:rsid w:val="5D190EE8"/>
    <w:rsid w:val="5D1BEA15"/>
    <w:rsid w:val="5D1C07E4"/>
    <w:rsid w:val="5D1C2EF6"/>
    <w:rsid w:val="5D1CE6CA"/>
    <w:rsid w:val="5D1F1A5D"/>
    <w:rsid w:val="5D211F33"/>
    <w:rsid w:val="5D2483CA"/>
    <w:rsid w:val="5D2633DA"/>
    <w:rsid w:val="5D2E7A34"/>
    <w:rsid w:val="5D3191A5"/>
    <w:rsid w:val="5D34942A"/>
    <w:rsid w:val="5D378876"/>
    <w:rsid w:val="5D38C6EA"/>
    <w:rsid w:val="5D41BB2B"/>
    <w:rsid w:val="5D42EAAE"/>
    <w:rsid w:val="5D44E420"/>
    <w:rsid w:val="5D458CED"/>
    <w:rsid w:val="5D4A494F"/>
    <w:rsid w:val="5D553BF3"/>
    <w:rsid w:val="5D5958B7"/>
    <w:rsid w:val="5D5AEB06"/>
    <w:rsid w:val="5D5C62D8"/>
    <w:rsid w:val="5D5E4DAD"/>
    <w:rsid w:val="5D5F9941"/>
    <w:rsid w:val="5D6CCD5A"/>
    <w:rsid w:val="5D77C6E1"/>
    <w:rsid w:val="5D7E3102"/>
    <w:rsid w:val="5D7ECEB5"/>
    <w:rsid w:val="5D808F6E"/>
    <w:rsid w:val="5D814670"/>
    <w:rsid w:val="5D85EB92"/>
    <w:rsid w:val="5D86BB40"/>
    <w:rsid w:val="5D896F7F"/>
    <w:rsid w:val="5D8CC505"/>
    <w:rsid w:val="5D9255BA"/>
    <w:rsid w:val="5D92F159"/>
    <w:rsid w:val="5D94FB7F"/>
    <w:rsid w:val="5D973734"/>
    <w:rsid w:val="5D999F0D"/>
    <w:rsid w:val="5DA70956"/>
    <w:rsid w:val="5DA778D3"/>
    <w:rsid w:val="5DAB30A2"/>
    <w:rsid w:val="5DADB051"/>
    <w:rsid w:val="5DB09588"/>
    <w:rsid w:val="5DB9C852"/>
    <w:rsid w:val="5DBEAAA7"/>
    <w:rsid w:val="5DBEBE7E"/>
    <w:rsid w:val="5DC80E59"/>
    <w:rsid w:val="5DD5A152"/>
    <w:rsid w:val="5DD84E1B"/>
    <w:rsid w:val="5DDB5227"/>
    <w:rsid w:val="5DDCA5F9"/>
    <w:rsid w:val="5DDD1A03"/>
    <w:rsid w:val="5DDDF1A7"/>
    <w:rsid w:val="5DE02926"/>
    <w:rsid w:val="5DE57968"/>
    <w:rsid w:val="5DE67213"/>
    <w:rsid w:val="5DEE74D1"/>
    <w:rsid w:val="5DEFFD51"/>
    <w:rsid w:val="5DF21D04"/>
    <w:rsid w:val="5DF2E529"/>
    <w:rsid w:val="5DF3D4E9"/>
    <w:rsid w:val="5DF7CA75"/>
    <w:rsid w:val="5DF7FA2D"/>
    <w:rsid w:val="5DF877A0"/>
    <w:rsid w:val="5DFA4806"/>
    <w:rsid w:val="5DFA7436"/>
    <w:rsid w:val="5DFB4FAE"/>
    <w:rsid w:val="5DFD1BAF"/>
    <w:rsid w:val="5DFEFB3F"/>
    <w:rsid w:val="5E0219D7"/>
    <w:rsid w:val="5E025A94"/>
    <w:rsid w:val="5E120D1F"/>
    <w:rsid w:val="5E189A49"/>
    <w:rsid w:val="5E18F4BB"/>
    <w:rsid w:val="5E2A5086"/>
    <w:rsid w:val="5E2AA90D"/>
    <w:rsid w:val="5E2CD995"/>
    <w:rsid w:val="5E312743"/>
    <w:rsid w:val="5E35EBEB"/>
    <w:rsid w:val="5E3E88FD"/>
    <w:rsid w:val="5E3EF09A"/>
    <w:rsid w:val="5E406450"/>
    <w:rsid w:val="5E41E7D8"/>
    <w:rsid w:val="5E425F07"/>
    <w:rsid w:val="5E45EB32"/>
    <w:rsid w:val="5E4D51C7"/>
    <w:rsid w:val="5E5203D5"/>
    <w:rsid w:val="5E53F905"/>
    <w:rsid w:val="5E57D418"/>
    <w:rsid w:val="5E5E4ED1"/>
    <w:rsid w:val="5E64AD77"/>
    <w:rsid w:val="5E65331E"/>
    <w:rsid w:val="5E6B08D3"/>
    <w:rsid w:val="5E6C5DE6"/>
    <w:rsid w:val="5E7310C2"/>
    <w:rsid w:val="5E739434"/>
    <w:rsid w:val="5E73C565"/>
    <w:rsid w:val="5E7B5147"/>
    <w:rsid w:val="5E7D7DB5"/>
    <w:rsid w:val="5E7D9719"/>
    <w:rsid w:val="5E81557C"/>
    <w:rsid w:val="5E84E369"/>
    <w:rsid w:val="5E855873"/>
    <w:rsid w:val="5E8596A8"/>
    <w:rsid w:val="5E8B5ECE"/>
    <w:rsid w:val="5E8D4E9C"/>
    <w:rsid w:val="5E93F87A"/>
    <w:rsid w:val="5E984E48"/>
    <w:rsid w:val="5E9ACBCB"/>
    <w:rsid w:val="5E9DA90B"/>
    <w:rsid w:val="5EA07EF4"/>
    <w:rsid w:val="5EA59741"/>
    <w:rsid w:val="5EB13C80"/>
    <w:rsid w:val="5EB17FA9"/>
    <w:rsid w:val="5EB4D426"/>
    <w:rsid w:val="5EB4D63B"/>
    <w:rsid w:val="5EB9B50F"/>
    <w:rsid w:val="5EBCB497"/>
    <w:rsid w:val="5EBCF405"/>
    <w:rsid w:val="5EC0145E"/>
    <w:rsid w:val="5EC06BDF"/>
    <w:rsid w:val="5EC84ECD"/>
    <w:rsid w:val="5EC9E983"/>
    <w:rsid w:val="5ECA4596"/>
    <w:rsid w:val="5ED22BC1"/>
    <w:rsid w:val="5ED4B226"/>
    <w:rsid w:val="5ED83D35"/>
    <w:rsid w:val="5EDB7090"/>
    <w:rsid w:val="5EDBE5D6"/>
    <w:rsid w:val="5EDDD0B8"/>
    <w:rsid w:val="5EDDF988"/>
    <w:rsid w:val="5EDFA82F"/>
    <w:rsid w:val="5EE51756"/>
    <w:rsid w:val="5EE9A529"/>
    <w:rsid w:val="5EF31B74"/>
    <w:rsid w:val="5EF388AD"/>
    <w:rsid w:val="5F00879B"/>
    <w:rsid w:val="5F017F80"/>
    <w:rsid w:val="5F029F6E"/>
    <w:rsid w:val="5F03C588"/>
    <w:rsid w:val="5F0495E4"/>
    <w:rsid w:val="5F06BDAB"/>
    <w:rsid w:val="5F07AC9C"/>
    <w:rsid w:val="5F108AE6"/>
    <w:rsid w:val="5F1221B8"/>
    <w:rsid w:val="5F15C062"/>
    <w:rsid w:val="5F16F668"/>
    <w:rsid w:val="5F186D1A"/>
    <w:rsid w:val="5F1B9765"/>
    <w:rsid w:val="5F1D6507"/>
    <w:rsid w:val="5F1E5B25"/>
    <w:rsid w:val="5F224EF1"/>
    <w:rsid w:val="5F22969F"/>
    <w:rsid w:val="5F23FADE"/>
    <w:rsid w:val="5F28362E"/>
    <w:rsid w:val="5F37E4B7"/>
    <w:rsid w:val="5F38962F"/>
    <w:rsid w:val="5F38A163"/>
    <w:rsid w:val="5F3D575C"/>
    <w:rsid w:val="5F4493EF"/>
    <w:rsid w:val="5F4DFFF7"/>
    <w:rsid w:val="5F537A90"/>
    <w:rsid w:val="5F5BC3F6"/>
    <w:rsid w:val="5F5CED4C"/>
    <w:rsid w:val="5F5F4440"/>
    <w:rsid w:val="5F61BB0B"/>
    <w:rsid w:val="5F62EBA2"/>
    <w:rsid w:val="5F66382B"/>
    <w:rsid w:val="5F688EAF"/>
    <w:rsid w:val="5F6DDA50"/>
    <w:rsid w:val="5F72E322"/>
    <w:rsid w:val="5F7A3861"/>
    <w:rsid w:val="5F7E35C1"/>
    <w:rsid w:val="5F818D4A"/>
    <w:rsid w:val="5F82A7CC"/>
    <w:rsid w:val="5F82D5A0"/>
    <w:rsid w:val="5F85EFD8"/>
    <w:rsid w:val="5F886BBC"/>
    <w:rsid w:val="5F8A11CF"/>
    <w:rsid w:val="5F8CE1C4"/>
    <w:rsid w:val="5F8E0225"/>
    <w:rsid w:val="5F905CC5"/>
    <w:rsid w:val="5F956AC2"/>
    <w:rsid w:val="5F96324A"/>
    <w:rsid w:val="5FA27D7E"/>
    <w:rsid w:val="5FA55B54"/>
    <w:rsid w:val="5FA826E2"/>
    <w:rsid w:val="5FA8650B"/>
    <w:rsid w:val="5FA9C8AA"/>
    <w:rsid w:val="5FABB48E"/>
    <w:rsid w:val="5FB071D0"/>
    <w:rsid w:val="5FB1CE44"/>
    <w:rsid w:val="5FB64132"/>
    <w:rsid w:val="5FBB8CCA"/>
    <w:rsid w:val="5FBE1661"/>
    <w:rsid w:val="5FBF6806"/>
    <w:rsid w:val="5FC3AC72"/>
    <w:rsid w:val="5FC61D1B"/>
    <w:rsid w:val="5FCAFA42"/>
    <w:rsid w:val="5FCBBE55"/>
    <w:rsid w:val="5FD262DE"/>
    <w:rsid w:val="5FD51AB1"/>
    <w:rsid w:val="5FD52A10"/>
    <w:rsid w:val="5FD6B05D"/>
    <w:rsid w:val="5FD6E01D"/>
    <w:rsid w:val="5FD6E0DE"/>
    <w:rsid w:val="5FD917AD"/>
    <w:rsid w:val="5FDC39D8"/>
    <w:rsid w:val="5FE10A13"/>
    <w:rsid w:val="5FE4775E"/>
    <w:rsid w:val="5FE645B4"/>
    <w:rsid w:val="5FE87300"/>
    <w:rsid w:val="5FEB2C27"/>
    <w:rsid w:val="5FED39C1"/>
    <w:rsid w:val="5FEE2AAA"/>
    <w:rsid w:val="5FF532C1"/>
    <w:rsid w:val="5FF5C974"/>
    <w:rsid w:val="5FF6FDF6"/>
    <w:rsid w:val="6001EC1F"/>
    <w:rsid w:val="6003C97D"/>
    <w:rsid w:val="60050C1A"/>
    <w:rsid w:val="60082860"/>
    <w:rsid w:val="601C35EB"/>
    <w:rsid w:val="601CE550"/>
    <w:rsid w:val="60210F81"/>
    <w:rsid w:val="6022F4F9"/>
    <w:rsid w:val="602515FF"/>
    <w:rsid w:val="602521D6"/>
    <w:rsid w:val="602F5C10"/>
    <w:rsid w:val="6031940F"/>
    <w:rsid w:val="60402B24"/>
    <w:rsid w:val="604174CB"/>
    <w:rsid w:val="604A99D6"/>
    <w:rsid w:val="604F6D73"/>
    <w:rsid w:val="60523498"/>
    <w:rsid w:val="605976DE"/>
    <w:rsid w:val="605D4D60"/>
    <w:rsid w:val="60651341"/>
    <w:rsid w:val="606D1B1A"/>
    <w:rsid w:val="606D56F9"/>
    <w:rsid w:val="606F9995"/>
    <w:rsid w:val="607A11B3"/>
    <w:rsid w:val="607B68E4"/>
    <w:rsid w:val="607BEA7F"/>
    <w:rsid w:val="607CD3D2"/>
    <w:rsid w:val="60891CD4"/>
    <w:rsid w:val="6089DBF5"/>
    <w:rsid w:val="608A3314"/>
    <w:rsid w:val="608E70C6"/>
    <w:rsid w:val="6098CD28"/>
    <w:rsid w:val="609A5A4D"/>
    <w:rsid w:val="609CAD30"/>
    <w:rsid w:val="60A16E15"/>
    <w:rsid w:val="60A25990"/>
    <w:rsid w:val="60A5F746"/>
    <w:rsid w:val="60A64C6B"/>
    <w:rsid w:val="60A7A087"/>
    <w:rsid w:val="60A88B71"/>
    <w:rsid w:val="60AAAD78"/>
    <w:rsid w:val="60AB980B"/>
    <w:rsid w:val="60B1C353"/>
    <w:rsid w:val="60B426F5"/>
    <w:rsid w:val="60B46C33"/>
    <w:rsid w:val="60B593AD"/>
    <w:rsid w:val="60BA1AA9"/>
    <w:rsid w:val="60BA6092"/>
    <w:rsid w:val="60BABF91"/>
    <w:rsid w:val="60C3226A"/>
    <w:rsid w:val="60C49207"/>
    <w:rsid w:val="60CA0653"/>
    <w:rsid w:val="60CB4830"/>
    <w:rsid w:val="60CCE5D4"/>
    <w:rsid w:val="60CFBB06"/>
    <w:rsid w:val="60D12183"/>
    <w:rsid w:val="60D2853D"/>
    <w:rsid w:val="60D84406"/>
    <w:rsid w:val="60DB57E4"/>
    <w:rsid w:val="60DFEF44"/>
    <w:rsid w:val="60E2DE45"/>
    <w:rsid w:val="60E42B05"/>
    <w:rsid w:val="60E43128"/>
    <w:rsid w:val="60F01041"/>
    <w:rsid w:val="60F03A24"/>
    <w:rsid w:val="60F56792"/>
    <w:rsid w:val="60F5E3C0"/>
    <w:rsid w:val="60F61C7D"/>
    <w:rsid w:val="60F70554"/>
    <w:rsid w:val="60F86418"/>
    <w:rsid w:val="60FAB1D8"/>
    <w:rsid w:val="60FB61D3"/>
    <w:rsid w:val="60FD5F43"/>
    <w:rsid w:val="610121A7"/>
    <w:rsid w:val="610A73D0"/>
    <w:rsid w:val="610D9857"/>
    <w:rsid w:val="61119814"/>
    <w:rsid w:val="6112E8C2"/>
    <w:rsid w:val="6117842C"/>
    <w:rsid w:val="611BCA3E"/>
    <w:rsid w:val="611C62B3"/>
    <w:rsid w:val="611E40D8"/>
    <w:rsid w:val="61204D07"/>
    <w:rsid w:val="6121D6C5"/>
    <w:rsid w:val="612218B7"/>
    <w:rsid w:val="61224125"/>
    <w:rsid w:val="61255D95"/>
    <w:rsid w:val="61256762"/>
    <w:rsid w:val="6128236E"/>
    <w:rsid w:val="61295957"/>
    <w:rsid w:val="612AC8F3"/>
    <w:rsid w:val="612BFF13"/>
    <w:rsid w:val="612E4284"/>
    <w:rsid w:val="6136AFC2"/>
    <w:rsid w:val="61386D2F"/>
    <w:rsid w:val="6138FD6E"/>
    <w:rsid w:val="613AC9D9"/>
    <w:rsid w:val="613D3D71"/>
    <w:rsid w:val="613ED731"/>
    <w:rsid w:val="613F0A91"/>
    <w:rsid w:val="6146279F"/>
    <w:rsid w:val="6148B0C4"/>
    <w:rsid w:val="614DF01E"/>
    <w:rsid w:val="614E1167"/>
    <w:rsid w:val="614F41A3"/>
    <w:rsid w:val="61509D25"/>
    <w:rsid w:val="6156DBA5"/>
    <w:rsid w:val="61579CF2"/>
    <w:rsid w:val="615B9BF4"/>
    <w:rsid w:val="616040EF"/>
    <w:rsid w:val="61616D3C"/>
    <w:rsid w:val="6162E001"/>
    <w:rsid w:val="6165C7E6"/>
    <w:rsid w:val="61671C46"/>
    <w:rsid w:val="6168492E"/>
    <w:rsid w:val="616A5A95"/>
    <w:rsid w:val="616AFF9F"/>
    <w:rsid w:val="6174051A"/>
    <w:rsid w:val="617AFC93"/>
    <w:rsid w:val="617ECE2D"/>
    <w:rsid w:val="61840990"/>
    <w:rsid w:val="61848430"/>
    <w:rsid w:val="6186CE6C"/>
    <w:rsid w:val="6186EB9C"/>
    <w:rsid w:val="61870FD4"/>
    <w:rsid w:val="61889032"/>
    <w:rsid w:val="61895A1C"/>
    <w:rsid w:val="618D0E9D"/>
    <w:rsid w:val="618D7CFF"/>
    <w:rsid w:val="619012AA"/>
    <w:rsid w:val="6193FBE5"/>
    <w:rsid w:val="61996BB8"/>
    <w:rsid w:val="619981FC"/>
    <w:rsid w:val="6199CB4C"/>
    <w:rsid w:val="619B2967"/>
    <w:rsid w:val="619D3892"/>
    <w:rsid w:val="619E0420"/>
    <w:rsid w:val="61A1DACF"/>
    <w:rsid w:val="61A509E8"/>
    <w:rsid w:val="61ACA4AE"/>
    <w:rsid w:val="61AFEBDD"/>
    <w:rsid w:val="61B86E8B"/>
    <w:rsid w:val="61BA3B40"/>
    <w:rsid w:val="61BD85FC"/>
    <w:rsid w:val="61BFDED1"/>
    <w:rsid w:val="61C49D7C"/>
    <w:rsid w:val="61C55122"/>
    <w:rsid w:val="61C68FAA"/>
    <w:rsid w:val="61C86CC7"/>
    <w:rsid w:val="61CC14FD"/>
    <w:rsid w:val="61D142A2"/>
    <w:rsid w:val="61D60280"/>
    <w:rsid w:val="61D6A357"/>
    <w:rsid w:val="61E1750C"/>
    <w:rsid w:val="61E6693E"/>
    <w:rsid w:val="61E83B75"/>
    <w:rsid w:val="61F178EC"/>
    <w:rsid w:val="61F22782"/>
    <w:rsid w:val="61F24C9C"/>
    <w:rsid w:val="61FBF47A"/>
    <w:rsid w:val="61FC5E8C"/>
    <w:rsid w:val="61FCE96C"/>
    <w:rsid w:val="6203D7C7"/>
    <w:rsid w:val="62041B69"/>
    <w:rsid w:val="620431BB"/>
    <w:rsid w:val="6207B98B"/>
    <w:rsid w:val="62089034"/>
    <w:rsid w:val="620EE9CD"/>
    <w:rsid w:val="620F2765"/>
    <w:rsid w:val="621397E4"/>
    <w:rsid w:val="6214CE6F"/>
    <w:rsid w:val="621D98E3"/>
    <w:rsid w:val="621DC04A"/>
    <w:rsid w:val="62225580"/>
    <w:rsid w:val="6223CCB9"/>
    <w:rsid w:val="62273429"/>
    <w:rsid w:val="62286174"/>
    <w:rsid w:val="6228F30B"/>
    <w:rsid w:val="6229EF73"/>
    <w:rsid w:val="622D18E5"/>
    <w:rsid w:val="622D6AB5"/>
    <w:rsid w:val="62321060"/>
    <w:rsid w:val="623452DB"/>
    <w:rsid w:val="623ABFA5"/>
    <w:rsid w:val="624191F8"/>
    <w:rsid w:val="62442D3E"/>
    <w:rsid w:val="6245CE5D"/>
    <w:rsid w:val="6248EAFA"/>
    <w:rsid w:val="62499706"/>
    <w:rsid w:val="62511942"/>
    <w:rsid w:val="62535F34"/>
    <w:rsid w:val="62557628"/>
    <w:rsid w:val="6256B524"/>
    <w:rsid w:val="6257E9C6"/>
    <w:rsid w:val="6258E762"/>
    <w:rsid w:val="625A9E5C"/>
    <w:rsid w:val="625AA031"/>
    <w:rsid w:val="625CEB56"/>
    <w:rsid w:val="625F2B3B"/>
    <w:rsid w:val="62605123"/>
    <w:rsid w:val="62615390"/>
    <w:rsid w:val="62615F25"/>
    <w:rsid w:val="62623CC4"/>
    <w:rsid w:val="6262971D"/>
    <w:rsid w:val="6263A8E0"/>
    <w:rsid w:val="626B626A"/>
    <w:rsid w:val="6271F4CA"/>
    <w:rsid w:val="62732C3A"/>
    <w:rsid w:val="627518B1"/>
    <w:rsid w:val="62757817"/>
    <w:rsid w:val="6277D041"/>
    <w:rsid w:val="62780233"/>
    <w:rsid w:val="62786D19"/>
    <w:rsid w:val="627D1022"/>
    <w:rsid w:val="627E9890"/>
    <w:rsid w:val="627EC03B"/>
    <w:rsid w:val="627FCFC0"/>
    <w:rsid w:val="62922D2A"/>
    <w:rsid w:val="629727F5"/>
    <w:rsid w:val="629A76A8"/>
    <w:rsid w:val="629B2DBE"/>
    <w:rsid w:val="629DB315"/>
    <w:rsid w:val="629E8276"/>
    <w:rsid w:val="629EF0B0"/>
    <w:rsid w:val="629FDA22"/>
    <w:rsid w:val="62A1679A"/>
    <w:rsid w:val="62AC02C6"/>
    <w:rsid w:val="62AC0BFB"/>
    <w:rsid w:val="62AE7083"/>
    <w:rsid w:val="62AFC5D5"/>
    <w:rsid w:val="62BB9B27"/>
    <w:rsid w:val="62BBA1AF"/>
    <w:rsid w:val="62C262ED"/>
    <w:rsid w:val="62C58DEC"/>
    <w:rsid w:val="62C67D66"/>
    <w:rsid w:val="62C69954"/>
    <w:rsid w:val="62C7DB48"/>
    <w:rsid w:val="62C7F173"/>
    <w:rsid w:val="62CFB1AE"/>
    <w:rsid w:val="62CFBD47"/>
    <w:rsid w:val="62DA867B"/>
    <w:rsid w:val="62DB6D95"/>
    <w:rsid w:val="62EE8F7C"/>
    <w:rsid w:val="62F46749"/>
    <w:rsid w:val="62F65A0B"/>
    <w:rsid w:val="62FC4623"/>
    <w:rsid w:val="63029136"/>
    <w:rsid w:val="6302C023"/>
    <w:rsid w:val="63054A30"/>
    <w:rsid w:val="630A7A8F"/>
    <w:rsid w:val="630FB0E2"/>
    <w:rsid w:val="63130074"/>
    <w:rsid w:val="6313AB76"/>
    <w:rsid w:val="63170C07"/>
    <w:rsid w:val="631F8225"/>
    <w:rsid w:val="6324495C"/>
    <w:rsid w:val="63255820"/>
    <w:rsid w:val="63257245"/>
    <w:rsid w:val="632E12D3"/>
    <w:rsid w:val="63340F5D"/>
    <w:rsid w:val="63456C10"/>
    <w:rsid w:val="63494A1F"/>
    <w:rsid w:val="635023F9"/>
    <w:rsid w:val="63547B2F"/>
    <w:rsid w:val="6363D4CC"/>
    <w:rsid w:val="636CBAC8"/>
    <w:rsid w:val="636E1C2C"/>
    <w:rsid w:val="636E5F3C"/>
    <w:rsid w:val="637036DB"/>
    <w:rsid w:val="637B4FD8"/>
    <w:rsid w:val="637BEF25"/>
    <w:rsid w:val="637D90E1"/>
    <w:rsid w:val="637E8D00"/>
    <w:rsid w:val="637F6498"/>
    <w:rsid w:val="638059E0"/>
    <w:rsid w:val="63845FE7"/>
    <w:rsid w:val="63868CC0"/>
    <w:rsid w:val="6387B2B8"/>
    <w:rsid w:val="6387D0E2"/>
    <w:rsid w:val="638BAB6A"/>
    <w:rsid w:val="638C6518"/>
    <w:rsid w:val="638C7E51"/>
    <w:rsid w:val="63930DE3"/>
    <w:rsid w:val="639C2322"/>
    <w:rsid w:val="63A76CD3"/>
    <w:rsid w:val="63A8CD72"/>
    <w:rsid w:val="63AD02FB"/>
    <w:rsid w:val="63AFB2AE"/>
    <w:rsid w:val="63B1D40E"/>
    <w:rsid w:val="63B5D5D9"/>
    <w:rsid w:val="63B8D087"/>
    <w:rsid w:val="63B92EC5"/>
    <w:rsid w:val="63BE25E1"/>
    <w:rsid w:val="63C30233"/>
    <w:rsid w:val="63C360FE"/>
    <w:rsid w:val="63C9EF4F"/>
    <w:rsid w:val="63CA6E7F"/>
    <w:rsid w:val="63CDBAA6"/>
    <w:rsid w:val="63D07224"/>
    <w:rsid w:val="63DAE695"/>
    <w:rsid w:val="63DC892B"/>
    <w:rsid w:val="63DD923D"/>
    <w:rsid w:val="63DDE3CC"/>
    <w:rsid w:val="63DFD797"/>
    <w:rsid w:val="63E37B6F"/>
    <w:rsid w:val="63E4E536"/>
    <w:rsid w:val="63E9C012"/>
    <w:rsid w:val="63EC50BE"/>
    <w:rsid w:val="63F18F18"/>
    <w:rsid w:val="63F377DC"/>
    <w:rsid w:val="63F53B4A"/>
    <w:rsid w:val="63F7A994"/>
    <w:rsid w:val="63F9A08C"/>
    <w:rsid w:val="63FA9D8C"/>
    <w:rsid w:val="63FAC0EB"/>
    <w:rsid w:val="63FC0603"/>
    <w:rsid w:val="63FC8A46"/>
    <w:rsid w:val="63FCA34B"/>
    <w:rsid w:val="6409EFAB"/>
    <w:rsid w:val="640AB938"/>
    <w:rsid w:val="640FBC3D"/>
    <w:rsid w:val="640FCAC8"/>
    <w:rsid w:val="641035CA"/>
    <w:rsid w:val="6413FCD1"/>
    <w:rsid w:val="641642CD"/>
    <w:rsid w:val="64211522"/>
    <w:rsid w:val="64212D36"/>
    <w:rsid w:val="6421D60E"/>
    <w:rsid w:val="6428B554"/>
    <w:rsid w:val="642B6569"/>
    <w:rsid w:val="642D0854"/>
    <w:rsid w:val="642D469B"/>
    <w:rsid w:val="642E2CAC"/>
    <w:rsid w:val="643965AE"/>
    <w:rsid w:val="643AE60A"/>
    <w:rsid w:val="643E6E19"/>
    <w:rsid w:val="6440179F"/>
    <w:rsid w:val="64405A59"/>
    <w:rsid w:val="644E5D46"/>
    <w:rsid w:val="64504790"/>
    <w:rsid w:val="6450B59E"/>
    <w:rsid w:val="6451DA3E"/>
    <w:rsid w:val="64535B56"/>
    <w:rsid w:val="6456FFC7"/>
    <w:rsid w:val="6460FE6B"/>
    <w:rsid w:val="64610125"/>
    <w:rsid w:val="64618D4D"/>
    <w:rsid w:val="646E76F8"/>
    <w:rsid w:val="64751B76"/>
    <w:rsid w:val="6475A2F1"/>
    <w:rsid w:val="6477145E"/>
    <w:rsid w:val="6478CFFD"/>
    <w:rsid w:val="647D2E7E"/>
    <w:rsid w:val="64836E69"/>
    <w:rsid w:val="648A2669"/>
    <w:rsid w:val="648ED966"/>
    <w:rsid w:val="6491243E"/>
    <w:rsid w:val="649128E3"/>
    <w:rsid w:val="6492FAAF"/>
    <w:rsid w:val="64957BD7"/>
    <w:rsid w:val="64957E1F"/>
    <w:rsid w:val="64997D1D"/>
    <w:rsid w:val="649E5C24"/>
    <w:rsid w:val="64A42E23"/>
    <w:rsid w:val="64A481D3"/>
    <w:rsid w:val="64A83A28"/>
    <w:rsid w:val="64A90B72"/>
    <w:rsid w:val="64AA7620"/>
    <w:rsid w:val="64AFE20A"/>
    <w:rsid w:val="64B84E0B"/>
    <w:rsid w:val="64B8885E"/>
    <w:rsid w:val="64CA11AC"/>
    <w:rsid w:val="64D1AA43"/>
    <w:rsid w:val="64D39E86"/>
    <w:rsid w:val="64D7380A"/>
    <w:rsid w:val="64D77164"/>
    <w:rsid w:val="64DAF16B"/>
    <w:rsid w:val="64ECDD92"/>
    <w:rsid w:val="64EFB764"/>
    <w:rsid w:val="64F2A6FE"/>
    <w:rsid w:val="64F2DC66"/>
    <w:rsid w:val="64F3B17B"/>
    <w:rsid w:val="64F639ED"/>
    <w:rsid w:val="64F71371"/>
    <w:rsid w:val="64FC4E5E"/>
    <w:rsid w:val="64FC822F"/>
    <w:rsid w:val="64FD28D4"/>
    <w:rsid w:val="65076CDF"/>
    <w:rsid w:val="650883D8"/>
    <w:rsid w:val="650B7423"/>
    <w:rsid w:val="650D3574"/>
    <w:rsid w:val="65169787"/>
    <w:rsid w:val="65174954"/>
    <w:rsid w:val="651AEC19"/>
    <w:rsid w:val="651D4213"/>
    <w:rsid w:val="651D4832"/>
    <w:rsid w:val="651F11A9"/>
    <w:rsid w:val="6520F218"/>
    <w:rsid w:val="6523F09D"/>
    <w:rsid w:val="65256DFE"/>
    <w:rsid w:val="652903F5"/>
    <w:rsid w:val="652AA17F"/>
    <w:rsid w:val="652B34F9"/>
    <w:rsid w:val="652C6D75"/>
    <w:rsid w:val="652F2575"/>
    <w:rsid w:val="652F28C9"/>
    <w:rsid w:val="6533DE7E"/>
    <w:rsid w:val="653782D9"/>
    <w:rsid w:val="653D70A8"/>
    <w:rsid w:val="6540FE99"/>
    <w:rsid w:val="65435BF1"/>
    <w:rsid w:val="6549B919"/>
    <w:rsid w:val="654B8144"/>
    <w:rsid w:val="654C01F4"/>
    <w:rsid w:val="654CCE26"/>
    <w:rsid w:val="6551C779"/>
    <w:rsid w:val="6558E312"/>
    <w:rsid w:val="65607C6A"/>
    <w:rsid w:val="65698E58"/>
    <w:rsid w:val="656A4233"/>
    <w:rsid w:val="65723DCF"/>
    <w:rsid w:val="6577B720"/>
    <w:rsid w:val="657BB06C"/>
    <w:rsid w:val="658187C5"/>
    <w:rsid w:val="6589B1B9"/>
    <w:rsid w:val="658D2CD6"/>
    <w:rsid w:val="65907077"/>
    <w:rsid w:val="6591DD2A"/>
    <w:rsid w:val="6593AD38"/>
    <w:rsid w:val="65946B7C"/>
    <w:rsid w:val="6597ED58"/>
    <w:rsid w:val="659875CC"/>
    <w:rsid w:val="6598A773"/>
    <w:rsid w:val="659A9EC4"/>
    <w:rsid w:val="659CB016"/>
    <w:rsid w:val="65A5BE56"/>
    <w:rsid w:val="65A85A14"/>
    <w:rsid w:val="65A92CBC"/>
    <w:rsid w:val="65AA0AFE"/>
    <w:rsid w:val="65AB583F"/>
    <w:rsid w:val="65ABAD61"/>
    <w:rsid w:val="65ACB20F"/>
    <w:rsid w:val="65AFD09A"/>
    <w:rsid w:val="65B2D280"/>
    <w:rsid w:val="65B78F29"/>
    <w:rsid w:val="65B86BE8"/>
    <w:rsid w:val="65BB3E62"/>
    <w:rsid w:val="65BBF888"/>
    <w:rsid w:val="65BC3109"/>
    <w:rsid w:val="65C6B895"/>
    <w:rsid w:val="65C76303"/>
    <w:rsid w:val="65D22799"/>
    <w:rsid w:val="65D465EE"/>
    <w:rsid w:val="65D960A8"/>
    <w:rsid w:val="65DA64DB"/>
    <w:rsid w:val="65DB4177"/>
    <w:rsid w:val="65DC3997"/>
    <w:rsid w:val="65DCC554"/>
    <w:rsid w:val="65DF523F"/>
    <w:rsid w:val="65E42765"/>
    <w:rsid w:val="65E87D27"/>
    <w:rsid w:val="65ED636E"/>
    <w:rsid w:val="65ED9C12"/>
    <w:rsid w:val="65F8E65A"/>
    <w:rsid w:val="65FC23F3"/>
    <w:rsid w:val="65FC3026"/>
    <w:rsid w:val="65FF2D5D"/>
    <w:rsid w:val="6607096A"/>
    <w:rsid w:val="660A581F"/>
    <w:rsid w:val="660C8999"/>
    <w:rsid w:val="660CBE6A"/>
    <w:rsid w:val="66112639"/>
    <w:rsid w:val="6617946C"/>
    <w:rsid w:val="6617B1FE"/>
    <w:rsid w:val="66181822"/>
    <w:rsid w:val="661FCBD2"/>
    <w:rsid w:val="6620C0CD"/>
    <w:rsid w:val="66219F89"/>
    <w:rsid w:val="66225B5B"/>
    <w:rsid w:val="6625B75F"/>
    <w:rsid w:val="662920BE"/>
    <w:rsid w:val="662E5B29"/>
    <w:rsid w:val="662FEC74"/>
    <w:rsid w:val="6630E4EF"/>
    <w:rsid w:val="6634E982"/>
    <w:rsid w:val="66356451"/>
    <w:rsid w:val="663C2B80"/>
    <w:rsid w:val="663F7D83"/>
    <w:rsid w:val="66417D56"/>
    <w:rsid w:val="664418A7"/>
    <w:rsid w:val="66467BC4"/>
    <w:rsid w:val="6649066E"/>
    <w:rsid w:val="664A769E"/>
    <w:rsid w:val="665B2F85"/>
    <w:rsid w:val="6660CF75"/>
    <w:rsid w:val="66699DD8"/>
    <w:rsid w:val="666D414E"/>
    <w:rsid w:val="66705084"/>
    <w:rsid w:val="66749B05"/>
    <w:rsid w:val="667A5057"/>
    <w:rsid w:val="667F08BA"/>
    <w:rsid w:val="66876AFB"/>
    <w:rsid w:val="668CCF2F"/>
    <w:rsid w:val="6696E9DB"/>
    <w:rsid w:val="6698CDEB"/>
    <w:rsid w:val="669A99F4"/>
    <w:rsid w:val="669B7309"/>
    <w:rsid w:val="669F2447"/>
    <w:rsid w:val="66A0F101"/>
    <w:rsid w:val="66A336DD"/>
    <w:rsid w:val="66A40071"/>
    <w:rsid w:val="66A6C8E4"/>
    <w:rsid w:val="66AC146D"/>
    <w:rsid w:val="66AC22BC"/>
    <w:rsid w:val="66AF8262"/>
    <w:rsid w:val="66B244CD"/>
    <w:rsid w:val="66B4242C"/>
    <w:rsid w:val="66B5A207"/>
    <w:rsid w:val="66C6E9CB"/>
    <w:rsid w:val="66C8EF8C"/>
    <w:rsid w:val="66C94DBF"/>
    <w:rsid w:val="66CF3E5F"/>
    <w:rsid w:val="66D7A564"/>
    <w:rsid w:val="66DE8AE0"/>
    <w:rsid w:val="66DF6D3D"/>
    <w:rsid w:val="66E17121"/>
    <w:rsid w:val="66E33A2C"/>
    <w:rsid w:val="66E34D2C"/>
    <w:rsid w:val="66E6643A"/>
    <w:rsid w:val="66E770B8"/>
    <w:rsid w:val="66EAEAB5"/>
    <w:rsid w:val="66ED65E0"/>
    <w:rsid w:val="66F3B057"/>
    <w:rsid w:val="66F80D25"/>
    <w:rsid w:val="66FC258C"/>
    <w:rsid w:val="66FCEA8F"/>
    <w:rsid w:val="67016E0E"/>
    <w:rsid w:val="6704A809"/>
    <w:rsid w:val="670E7EC2"/>
    <w:rsid w:val="6710696B"/>
    <w:rsid w:val="67145DD4"/>
    <w:rsid w:val="6719B9BD"/>
    <w:rsid w:val="671BC764"/>
    <w:rsid w:val="673054A7"/>
    <w:rsid w:val="673FD51B"/>
    <w:rsid w:val="67492367"/>
    <w:rsid w:val="67493CA0"/>
    <w:rsid w:val="6749CD2D"/>
    <w:rsid w:val="674A4386"/>
    <w:rsid w:val="674E32F3"/>
    <w:rsid w:val="67536E3F"/>
    <w:rsid w:val="6758586B"/>
    <w:rsid w:val="6761D915"/>
    <w:rsid w:val="67637ACB"/>
    <w:rsid w:val="6763FA76"/>
    <w:rsid w:val="67651463"/>
    <w:rsid w:val="676ACEAC"/>
    <w:rsid w:val="676BD6BF"/>
    <w:rsid w:val="676BF741"/>
    <w:rsid w:val="6773E840"/>
    <w:rsid w:val="67741FCF"/>
    <w:rsid w:val="6778DFC0"/>
    <w:rsid w:val="67792962"/>
    <w:rsid w:val="677AF778"/>
    <w:rsid w:val="67878009"/>
    <w:rsid w:val="6787DBD4"/>
    <w:rsid w:val="678B3FCC"/>
    <w:rsid w:val="67956328"/>
    <w:rsid w:val="6797C27A"/>
    <w:rsid w:val="67986263"/>
    <w:rsid w:val="6798FBCE"/>
    <w:rsid w:val="679F76A3"/>
    <w:rsid w:val="67A057DB"/>
    <w:rsid w:val="67A0F7A8"/>
    <w:rsid w:val="67B1BB44"/>
    <w:rsid w:val="67B91BEA"/>
    <w:rsid w:val="67C8B90D"/>
    <w:rsid w:val="67C925F9"/>
    <w:rsid w:val="67CC7291"/>
    <w:rsid w:val="67CF675F"/>
    <w:rsid w:val="67CFBA54"/>
    <w:rsid w:val="67DA43EB"/>
    <w:rsid w:val="67E0CCFA"/>
    <w:rsid w:val="67E7AD03"/>
    <w:rsid w:val="67E81908"/>
    <w:rsid w:val="67EFEECD"/>
    <w:rsid w:val="67F0821A"/>
    <w:rsid w:val="67F20F3F"/>
    <w:rsid w:val="67F37B55"/>
    <w:rsid w:val="67FEE2E5"/>
    <w:rsid w:val="68009783"/>
    <w:rsid w:val="68052023"/>
    <w:rsid w:val="680888A4"/>
    <w:rsid w:val="6808D8AF"/>
    <w:rsid w:val="6809ABFC"/>
    <w:rsid w:val="680B1D23"/>
    <w:rsid w:val="680C7CE7"/>
    <w:rsid w:val="68109EED"/>
    <w:rsid w:val="68147212"/>
    <w:rsid w:val="6814CCD8"/>
    <w:rsid w:val="681B1B50"/>
    <w:rsid w:val="681B86F7"/>
    <w:rsid w:val="681C5D60"/>
    <w:rsid w:val="681E8D0C"/>
    <w:rsid w:val="681FE8FD"/>
    <w:rsid w:val="6821AD97"/>
    <w:rsid w:val="6822C13F"/>
    <w:rsid w:val="6826A47B"/>
    <w:rsid w:val="682861C2"/>
    <w:rsid w:val="682C2FFE"/>
    <w:rsid w:val="682E1D84"/>
    <w:rsid w:val="682E72EE"/>
    <w:rsid w:val="682F67AF"/>
    <w:rsid w:val="6834487C"/>
    <w:rsid w:val="683468E3"/>
    <w:rsid w:val="6839F423"/>
    <w:rsid w:val="683C2E4E"/>
    <w:rsid w:val="683E98F1"/>
    <w:rsid w:val="68413B43"/>
    <w:rsid w:val="6842BB4F"/>
    <w:rsid w:val="684A96C4"/>
    <w:rsid w:val="684EE313"/>
    <w:rsid w:val="68568DB8"/>
    <w:rsid w:val="6856FB93"/>
    <w:rsid w:val="685E4BBB"/>
    <w:rsid w:val="68610247"/>
    <w:rsid w:val="68644820"/>
    <w:rsid w:val="686597FE"/>
    <w:rsid w:val="686DD2DC"/>
    <w:rsid w:val="6870FEEC"/>
    <w:rsid w:val="687198BE"/>
    <w:rsid w:val="68720C3C"/>
    <w:rsid w:val="6872606E"/>
    <w:rsid w:val="68791884"/>
    <w:rsid w:val="6879C699"/>
    <w:rsid w:val="687AE1B7"/>
    <w:rsid w:val="687DB590"/>
    <w:rsid w:val="688C2E72"/>
    <w:rsid w:val="688DBD34"/>
    <w:rsid w:val="68988D2C"/>
    <w:rsid w:val="689B79B0"/>
    <w:rsid w:val="689DC3BD"/>
    <w:rsid w:val="689DFFE8"/>
    <w:rsid w:val="689ED7B2"/>
    <w:rsid w:val="68A11AAD"/>
    <w:rsid w:val="68A2DB9A"/>
    <w:rsid w:val="68A6CCF9"/>
    <w:rsid w:val="68AB8CC6"/>
    <w:rsid w:val="68B14809"/>
    <w:rsid w:val="68B30D69"/>
    <w:rsid w:val="68B67024"/>
    <w:rsid w:val="68B6C4E6"/>
    <w:rsid w:val="68B80A50"/>
    <w:rsid w:val="68C4F428"/>
    <w:rsid w:val="68C5A742"/>
    <w:rsid w:val="68C5AED1"/>
    <w:rsid w:val="68CDADD3"/>
    <w:rsid w:val="68D6678E"/>
    <w:rsid w:val="68DA4440"/>
    <w:rsid w:val="68DB0385"/>
    <w:rsid w:val="68DF1F32"/>
    <w:rsid w:val="68E02533"/>
    <w:rsid w:val="68E0C703"/>
    <w:rsid w:val="68E329B0"/>
    <w:rsid w:val="68E6AA99"/>
    <w:rsid w:val="68E83366"/>
    <w:rsid w:val="68EDF7DF"/>
    <w:rsid w:val="68EF61AA"/>
    <w:rsid w:val="68F79AF8"/>
    <w:rsid w:val="68F9319D"/>
    <w:rsid w:val="68F9EF75"/>
    <w:rsid w:val="68FBDAEB"/>
    <w:rsid w:val="68FC6E97"/>
    <w:rsid w:val="69096FF5"/>
    <w:rsid w:val="690AA970"/>
    <w:rsid w:val="690B863B"/>
    <w:rsid w:val="690F933D"/>
    <w:rsid w:val="69113900"/>
    <w:rsid w:val="6911B522"/>
    <w:rsid w:val="6911E263"/>
    <w:rsid w:val="691B117E"/>
    <w:rsid w:val="69234AE2"/>
    <w:rsid w:val="6925A17D"/>
    <w:rsid w:val="69338D2E"/>
    <w:rsid w:val="6936C1DB"/>
    <w:rsid w:val="69384E44"/>
    <w:rsid w:val="693CB10B"/>
    <w:rsid w:val="694541DD"/>
    <w:rsid w:val="69481B00"/>
    <w:rsid w:val="694C89E4"/>
    <w:rsid w:val="694F8535"/>
    <w:rsid w:val="695FA225"/>
    <w:rsid w:val="69648110"/>
    <w:rsid w:val="696D68DD"/>
    <w:rsid w:val="6970FDF3"/>
    <w:rsid w:val="697154DF"/>
    <w:rsid w:val="6972A575"/>
    <w:rsid w:val="6973DD95"/>
    <w:rsid w:val="6974253E"/>
    <w:rsid w:val="697C63B3"/>
    <w:rsid w:val="69818428"/>
    <w:rsid w:val="69878D02"/>
    <w:rsid w:val="69885026"/>
    <w:rsid w:val="69885D22"/>
    <w:rsid w:val="698CF32A"/>
    <w:rsid w:val="698FAF90"/>
    <w:rsid w:val="69937D35"/>
    <w:rsid w:val="6994F39A"/>
    <w:rsid w:val="69985711"/>
    <w:rsid w:val="6999B2F1"/>
    <w:rsid w:val="699A58FE"/>
    <w:rsid w:val="699AD03B"/>
    <w:rsid w:val="699CB7C7"/>
    <w:rsid w:val="69AF8BD6"/>
    <w:rsid w:val="69B0E265"/>
    <w:rsid w:val="69B1D871"/>
    <w:rsid w:val="69B6D043"/>
    <w:rsid w:val="69B775BD"/>
    <w:rsid w:val="69B8379C"/>
    <w:rsid w:val="69B8676D"/>
    <w:rsid w:val="69BAFAD7"/>
    <w:rsid w:val="69BEB2BF"/>
    <w:rsid w:val="69BEFA50"/>
    <w:rsid w:val="69BF313E"/>
    <w:rsid w:val="69C1AD6A"/>
    <w:rsid w:val="69C9CF0C"/>
    <w:rsid w:val="69CB075A"/>
    <w:rsid w:val="69CB3810"/>
    <w:rsid w:val="69D87952"/>
    <w:rsid w:val="69E4F422"/>
    <w:rsid w:val="69E8E630"/>
    <w:rsid w:val="69EC4FDF"/>
    <w:rsid w:val="69EF5A4A"/>
    <w:rsid w:val="69F0458A"/>
    <w:rsid w:val="69F159F1"/>
    <w:rsid w:val="69F25100"/>
    <w:rsid w:val="69F50BFC"/>
    <w:rsid w:val="69F5B8C3"/>
    <w:rsid w:val="69F76E9F"/>
    <w:rsid w:val="69F7E14E"/>
    <w:rsid w:val="69F7F155"/>
    <w:rsid w:val="69FA7A90"/>
    <w:rsid w:val="69FBD2BE"/>
    <w:rsid w:val="69FCC517"/>
    <w:rsid w:val="69FE0565"/>
    <w:rsid w:val="6A042222"/>
    <w:rsid w:val="6A0CB336"/>
    <w:rsid w:val="6A0E2AC0"/>
    <w:rsid w:val="6A13306E"/>
    <w:rsid w:val="6A14964C"/>
    <w:rsid w:val="6A155B7D"/>
    <w:rsid w:val="6A16143F"/>
    <w:rsid w:val="6A1712FE"/>
    <w:rsid w:val="6A1B84E9"/>
    <w:rsid w:val="6A27C9FD"/>
    <w:rsid w:val="6A321F4D"/>
    <w:rsid w:val="6A3693F3"/>
    <w:rsid w:val="6A36F9FA"/>
    <w:rsid w:val="6A444351"/>
    <w:rsid w:val="6A4751D5"/>
    <w:rsid w:val="6A481121"/>
    <w:rsid w:val="6A4A0054"/>
    <w:rsid w:val="6A4A5805"/>
    <w:rsid w:val="6A4D1D2D"/>
    <w:rsid w:val="6A4DED67"/>
    <w:rsid w:val="6A4EB7B0"/>
    <w:rsid w:val="6A5119D5"/>
    <w:rsid w:val="6A542609"/>
    <w:rsid w:val="6A58BB34"/>
    <w:rsid w:val="6A5C8B0E"/>
    <w:rsid w:val="6A5EC373"/>
    <w:rsid w:val="6A5F1086"/>
    <w:rsid w:val="6A651B73"/>
    <w:rsid w:val="6A67BFFE"/>
    <w:rsid w:val="6A6C82E7"/>
    <w:rsid w:val="6A70CC75"/>
    <w:rsid w:val="6A71F588"/>
    <w:rsid w:val="6A75B655"/>
    <w:rsid w:val="6A78F1BA"/>
    <w:rsid w:val="6A7EB81B"/>
    <w:rsid w:val="6A7F8C55"/>
    <w:rsid w:val="6A844979"/>
    <w:rsid w:val="6A856153"/>
    <w:rsid w:val="6A87DBE8"/>
    <w:rsid w:val="6A89D560"/>
    <w:rsid w:val="6A8DFBA7"/>
    <w:rsid w:val="6A8DFCE1"/>
    <w:rsid w:val="6A90553E"/>
    <w:rsid w:val="6A93F184"/>
    <w:rsid w:val="6A983213"/>
    <w:rsid w:val="6A9FCFA1"/>
    <w:rsid w:val="6AA53919"/>
    <w:rsid w:val="6AA6A7B7"/>
    <w:rsid w:val="6AA76BCC"/>
    <w:rsid w:val="6AADF78A"/>
    <w:rsid w:val="6AAF9048"/>
    <w:rsid w:val="6AAFD728"/>
    <w:rsid w:val="6AB22899"/>
    <w:rsid w:val="6AB24200"/>
    <w:rsid w:val="6AB6A4E3"/>
    <w:rsid w:val="6ABB04BF"/>
    <w:rsid w:val="6ABE97DB"/>
    <w:rsid w:val="6ABFE0F7"/>
    <w:rsid w:val="6AC1282D"/>
    <w:rsid w:val="6AC8F31E"/>
    <w:rsid w:val="6ACEBEF7"/>
    <w:rsid w:val="6AD0D62E"/>
    <w:rsid w:val="6AD568B6"/>
    <w:rsid w:val="6AD919B2"/>
    <w:rsid w:val="6ADE52E5"/>
    <w:rsid w:val="6AE1E900"/>
    <w:rsid w:val="6AE27541"/>
    <w:rsid w:val="6AE47EAD"/>
    <w:rsid w:val="6AE5EE53"/>
    <w:rsid w:val="6AE6BF9F"/>
    <w:rsid w:val="6AE78306"/>
    <w:rsid w:val="6AE86AF7"/>
    <w:rsid w:val="6AEE7630"/>
    <w:rsid w:val="6AF3E7DA"/>
    <w:rsid w:val="6AF944DC"/>
    <w:rsid w:val="6AF999F1"/>
    <w:rsid w:val="6AFA9922"/>
    <w:rsid w:val="6AFCB27F"/>
    <w:rsid w:val="6B11396F"/>
    <w:rsid w:val="6B150BD8"/>
    <w:rsid w:val="6B1737BD"/>
    <w:rsid w:val="6B1B2139"/>
    <w:rsid w:val="6B1BFCBF"/>
    <w:rsid w:val="6B1C0F75"/>
    <w:rsid w:val="6B1D7B41"/>
    <w:rsid w:val="6B1F97FA"/>
    <w:rsid w:val="6B24FFFC"/>
    <w:rsid w:val="6B2544AE"/>
    <w:rsid w:val="6B2DD823"/>
    <w:rsid w:val="6B2EC9ED"/>
    <w:rsid w:val="6B358F05"/>
    <w:rsid w:val="6B35982E"/>
    <w:rsid w:val="6B3B78C7"/>
    <w:rsid w:val="6B3DF1E2"/>
    <w:rsid w:val="6B3EC383"/>
    <w:rsid w:val="6B410029"/>
    <w:rsid w:val="6B4B4E29"/>
    <w:rsid w:val="6B61F763"/>
    <w:rsid w:val="6B6D54EB"/>
    <w:rsid w:val="6B6E358C"/>
    <w:rsid w:val="6B75C42E"/>
    <w:rsid w:val="6B7B1336"/>
    <w:rsid w:val="6B7B4CF7"/>
    <w:rsid w:val="6B7CBF6E"/>
    <w:rsid w:val="6B7CEDAD"/>
    <w:rsid w:val="6B80DF24"/>
    <w:rsid w:val="6B87E2D7"/>
    <w:rsid w:val="6B8C0F2E"/>
    <w:rsid w:val="6B8C4023"/>
    <w:rsid w:val="6B91429F"/>
    <w:rsid w:val="6B914B0D"/>
    <w:rsid w:val="6B915570"/>
    <w:rsid w:val="6B918C6B"/>
    <w:rsid w:val="6B9259C2"/>
    <w:rsid w:val="6B960D42"/>
    <w:rsid w:val="6B99727B"/>
    <w:rsid w:val="6BA5739E"/>
    <w:rsid w:val="6BA92F53"/>
    <w:rsid w:val="6BACCE79"/>
    <w:rsid w:val="6BAD2FE5"/>
    <w:rsid w:val="6BB04304"/>
    <w:rsid w:val="6BB17D62"/>
    <w:rsid w:val="6BBAABF4"/>
    <w:rsid w:val="6BBEE3C0"/>
    <w:rsid w:val="6BC00C9B"/>
    <w:rsid w:val="6BC0876D"/>
    <w:rsid w:val="6BC201AF"/>
    <w:rsid w:val="6BC7DFD7"/>
    <w:rsid w:val="6BCD8A05"/>
    <w:rsid w:val="6BCFC3B2"/>
    <w:rsid w:val="6BD0664E"/>
    <w:rsid w:val="6BD6A1FD"/>
    <w:rsid w:val="6BD6E2F6"/>
    <w:rsid w:val="6BD7D844"/>
    <w:rsid w:val="6BD8145F"/>
    <w:rsid w:val="6BDAF10C"/>
    <w:rsid w:val="6BDC4E35"/>
    <w:rsid w:val="6BDCC0B4"/>
    <w:rsid w:val="6BE4E7F6"/>
    <w:rsid w:val="6BEAE385"/>
    <w:rsid w:val="6BECB471"/>
    <w:rsid w:val="6BEE115A"/>
    <w:rsid w:val="6BF15B4D"/>
    <w:rsid w:val="6BF52CCF"/>
    <w:rsid w:val="6BF53BFF"/>
    <w:rsid w:val="6BF86785"/>
    <w:rsid w:val="6BF92B93"/>
    <w:rsid w:val="6BFB6907"/>
    <w:rsid w:val="6C04BFF0"/>
    <w:rsid w:val="6C0725CE"/>
    <w:rsid w:val="6C0B4BCF"/>
    <w:rsid w:val="6C0FF8BA"/>
    <w:rsid w:val="6C1176BF"/>
    <w:rsid w:val="6C126EFF"/>
    <w:rsid w:val="6C16F18A"/>
    <w:rsid w:val="6C1CA320"/>
    <w:rsid w:val="6C20DF4F"/>
    <w:rsid w:val="6C232814"/>
    <w:rsid w:val="6C28B171"/>
    <w:rsid w:val="6C2B2497"/>
    <w:rsid w:val="6C2BE07B"/>
    <w:rsid w:val="6C30748B"/>
    <w:rsid w:val="6C374EAA"/>
    <w:rsid w:val="6C3ACA68"/>
    <w:rsid w:val="6C3C9A09"/>
    <w:rsid w:val="6C3E9749"/>
    <w:rsid w:val="6C3EAABA"/>
    <w:rsid w:val="6C4394A5"/>
    <w:rsid w:val="6C510922"/>
    <w:rsid w:val="6C523978"/>
    <w:rsid w:val="6C544286"/>
    <w:rsid w:val="6C56DC67"/>
    <w:rsid w:val="6C590D52"/>
    <w:rsid w:val="6C59F792"/>
    <w:rsid w:val="6C609EAF"/>
    <w:rsid w:val="6C673F60"/>
    <w:rsid w:val="6C684DCD"/>
    <w:rsid w:val="6C686054"/>
    <w:rsid w:val="6C699FF6"/>
    <w:rsid w:val="6C69DCC7"/>
    <w:rsid w:val="6C6C1D10"/>
    <w:rsid w:val="6C6C8D10"/>
    <w:rsid w:val="6C6CC75D"/>
    <w:rsid w:val="6C7CD53D"/>
    <w:rsid w:val="6C8AD8ED"/>
    <w:rsid w:val="6C91064C"/>
    <w:rsid w:val="6C943C8B"/>
    <w:rsid w:val="6C9D18CF"/>
    <w:rsid w:val="6C9DB898"/>
    <w:rsid w:val="6CA1540F"/>
    <w:rsid w:val="6CA578B4"/>
    <w:rsid w:val="6CA6FC54"/>
    <w:rsid w:val="6CA71E36"/>
    <w:rsid w:val="6CA837C3"/>
    <w:rsid w:val="6CADD3E4"/>
    <w:rsid w:val="6CB61696"/>
    <w:rsid w:val="6CBF65BC"/>
    <w:rsid w:val="6CC0EACA"/>
    <w:rsid w:val="6CC2215C"/>
    <w:rsid w:val="6CC5FC35"/>
    <w:rsid w:val="6CC7CBC5"/>
    <w:rsid w:val="6CCA3DA4"/>
    <w:rsid w:val="6CCA7E19"/>
    <w:rsid w:val="6CD3546E"/>
    <w:rsid w:val="6CD7B853"/>
    <w:rsid w:val="6CD7BD37"/>
    <w:rsid w:val="6CDBBEFA"/>
    <w:rsid w:val="6CDFA8B8"/>
    <w:rsid w:val="6CE067C1"/>
    <w:rsid w:val="6CE409A7"/>
    <w:rsid w:val="6CE5FA23"/>
    <w:rsid w:val="6CE96DB0"/>
    <w:rsid w:val="6CF23107"/>
    <w:rsid w:val="6CF47E45"/>
    <w:rsid w:val="6CFA4FCE"/>
    <w:rsid w:val="6CFA9A56"/>
    <w:rsid w:val="6D03F71F"/>
    <w:rsid w:val="6D082A8C"/>
    <w:rsid w:val="6D0CC7AC"/>
    <w:rsid w:val="6D0EB1D5"/>
    <w:rsid w:val="6D0F0F51"/>
    <w:rsid w:val="6D0FD40B"/>
    <w:rsid w:val="6D0FE541"/>
    <w:rsid w:val="6D138D4A"/>
    <w:rsid w:val="6D139892"/>
    <w:rsid w:val="6D189BB1"/>
    <w:rsid w:val="6D1A1E91"/>
    <w:rsid w:val="6D1C4325"/>
    <w:rsid w:val="6D2086F2"/>
    <w:rsid w:val="6D20DD27"/>
    <w:rsid w:val="6D2348F3"/>
    <w:rsid w:val="6D2616F4"/>
    <w:rsid w:val="6D293E60"/>
    <w:rsid w:val="6D2C17C4"/>
    <w:rsid w:val="6D2C2AD6"/>
    <w:rsid w:val="6D3039C5"/>
    <w:rsid w:val="6D32F0B9"/>
    <w:rsid w:val="6D376A98"/>
    <w:rsid w:val="6D399D0B"/>
    <w:rsid w:val="6D3AA4B5"/>
    <w:rsid w:val="6D3BCE01"/>
    <w:rsid w:val="6D3C4BDA"/>
    <w:rsid w:val="6D42F1C3"/>
    <w:rsid w:val="6D46C599"/>
    <w:rsid w:val="6D473849"/>
    <w:rsid w:val="6D47CA6C"/>
    <w:rsid w:val="6D48501B"/>
    <w:rsid w:val="6D4A4ED4"/>
    <w:rsid w:val="6D4B2ADF"/>
    <w:rsid w:val="6D4CA878"/>
    <w:rsid w:val="6D4CE891"/>
    <w:rsid w:val="6D4EF936"/>
    <w:rsid w:val="6D5063BA"/>
    <w:rsid w:val="6D50DA56"/>
    <w:rsid w:val="6D571175"/>
    <w:rsid w:val="6D5B1DC0"/>
    <w:rsid w:val="6D5BAEFB"/>
    <w:rsid w:val="6D5BFE72"/>
    <w:rsid w:val="6D5F349D"/>
    <w:rsid w:val="6D6000CF"/>
    <w:rsid w:val="6D601582"/>
    <w:rsid w:val="6D61A334"/>
    <w:rsid w:val="6D64469A"/>
    <w:rsid w:val="6D66F828"/>
    <w:rsid w:val="6D688014"/>
    <w:rsid w:val="6D6FAAA9"/>
    <w:rsid w:val="6D744CFD"/>
    <w:rsid w:val="6D775609"/>
    <w:rsid w:val="6D7A8EF2"/>
    <w:rsid w:val="6D7D14C0"/>
    <w:rsid w:val="6D7E7C09"/>
    <w:rsid w:val="6D7E9013"/>
    <w:rsid w:val="6D7EE7AC"/>
    <w:rsid w:val="6D877DD9"/>
    <w:rsid w:val="6D88E72B"/>
    <w:rsid w:val="6D892962"/>
    <w:rsid w:val="6D89DEC6"/>
    <w:rsid w:val="6D8CC1B4"/>
    <w:rsid w:val="6D8CEAB3"/>
    <w:rsid w:val="6D8D6260"/>
    <w:rsid w:val="6D8EE323"/>
    <w:rsid w:val="6D91B8E8"/>
    <w:rsid w:val="6D936DC3"/>
    <w:rsid w:val="6D93D8A3"/>
    <w:rsid w:val="6D9CDCAC"/>
    <w:rsid w:val="6D9D7D0F"/>
    <w:rsid w:val="6D9F0EC2"/>
    <w:rsid w:val="6DA68F5C"/>
    <w:rsid w:val="6DABC2EC"/>
    <w:rsid w:val="6DB2D5B2"/>
    <w:rsid w:val="6DB87ED4"/>
    <w:rsid w:val="6DBDB0AD"/>
    <w:rsid w:val="6DBDB31C"/>
    <w:rsid w:val="6DBEFBBF"/>
    <w:rsid w:val="6DC1676A"/>
    <w:rsid w:val="6DC5568A"/>
    <w:rsid w:val="6DC55EC0"/>
    <w:rsid w:val="6DC6F4F8"/>
    <w:rsid w:val="6DCA9149"/>
    <w:rsid w:val="6DCBC978"/>
    <w:rsid w:val="6DCCA373"/>
    <w:rsid w:val="6DD61CD3"/>
    <w:rsid w:val="6DD7B36B"/>
    <w:rsid w:val="6DD81197"/>
    <w:rsid w:val="6DD891D5"/>
    <w:rsid w:val="6DD8AF8A"/>
    <w:rsid w:val="6DDB2BB6"/>
    <w:rsid w:val="6DDCDED7"/>
    <w:rsid w:val="6DE04F40"/>
    <w:rsid w:val="6DE0581D"/>
    <w:rsid w:val="6DE2BC1C"/>
    <w:rsid w:val="6DE678D1"/>
    <w:rsid w:val="6DE6FDE3"/>
    <w:rsid w:val="6DE7A6D4"/>
    <w:rsid w:val="6DE898EC"/>
    <w:rsid w:val="6DE93064"/>
    <w:rsid w:val="6DEA56EB"/>
    <w:rsid w:val="6DF08165"/>
    <w:rsid w:val="6DF251AA"/>
    <w:rsid w:val="6DF72E02"/>
    <w:rsid w:val="6DF7D4CA"/>
    <w:rsid w:val="6DFB2DCE"/>
    <w:rsid w:val="6DFBBD2C"/>
    <w:rsid w:val="6DFFA58C"/>
    <w:rsid w:val="6E025E61"/>
    <w:rsid w:val="6E03BF52"/>
    <w:rsid w:val="6E05F062"/>
    <w:rsid w:val="6E0C05C1"/>
    <w:rsid w:val="6E0E2FAC"/>
    <w:rsid w:val="6E103F48"/>
    <w:rsid w:val="6E109785"/>
    <w:rsid w:val="6E117395"/>
    <w:rsid w:val="6E13D283"/>
    <w:rsid w:val="6E141101"/>
    <w:rsid w:val="6E1A222B"/>
    <w:rsid w:val="6E1A2FA2"/>
    <w:rsid w:val="6E1CFBB7"/>
    <w:rsid w:val="6E1D6D2D"/>
    <w:rsid w:val="6E22639B"/>
    <w:rsid w:val="6E27AB95"/>
    <w:rsid w:val="6E3371F4"/>
    <w:rsid w:val="6E3CC331"/>
    <w:rsid w:val="6E3E6460"/>
    <w:rsid w:val="6E476EE1"/>
    <w:rsid w:val="6E4C6DB4"/>
    <w:rsid w:val="6E4FF2E4"/>
    <w:rsid w:val="6E516232"/>
    <w:rsid w:val="6E55DECA"/>
    <w:rsid w:val="6E58E052"/>
    <w:rsid w:val="6E5C36B4"/>
    <w:rsid w:val="6E5ECDAF"/>
    <w:rsid w:val="6E6BE7C2"/>
    <w:rsid w:val="6E6BEBB4"/>
    <w:rsid w:val="6E702394"/>
    <w:rsid w:val="6E79FFD9"/>
    <w:rsid w:val="6E80E382"/>
    <w:rsid w:val="6E82077B"/>
    <w:rsid w:val="6E83D730"/>
    <w:rsid w:val="6E85EB48"/>
    <w:rsid w:val="6E895523"/>
    <w:rsid w:val="6E8AE808"/>
    <w:rsid w:val="6E8DC89D"/>
    <w:rsid w:val="6E8E6CB3"/>
    <w:rsid w:val="6E8E9D85"/>
    <w:rsid w:val="6E8F8184"/>
    <w:rsid w:val="6E9BCB71"/>
    <w:rsid w:val="6E9EE1AD"/>
    <w:rsid w:val="6EA3EACD"/>
    <w:rsid w:val="6EA512E4"/>
    <w:rsid w:val="6EA80860"/>
    <w:rsid w:val="6EAE2A44"/>
    <w:rsid w:val="6EB0CD97"/>
    <w:rsid w:val="6EB2EFA1"/>
    <w:rsid w:val="6EB3B5C3"/>
    <w:rsid w:val="6EB4C624"/>
    <w:rsid w:val="6EB72B15"/>
    <w:rsid w:val="6EB86F9F"/>
    <w:rsid w:val="6EB887E1"/>
    <w:rsid w:val="6ED17FC7"/>
    <w:rsid w:val="6EE34E93"/>
    <w:rsid w:val="6EE7A688"/>
    <w:rsid w:val="6EE80660"/>
    <w:rsid w:val="6EE86CA6"/>
    <w:rsid w:val="6EEBFE66"/>
    <w:rsid w:val="6EF419E5"/>
    <w:rsid w:val="6EF4910A"/>
    <w:rsid w:val="6EF919F9"/>
    <w:rsid w:val="6EF9BD61"/>
    <w:rsid w:val="6EFC4812"/>
    <w:rsid w:val="6EFF1762"/>
    <w:rsid w:val="6F0241C1"/>
    <w:rsid w:val="6F07B4B7"/>
    <w:rsid w:val="6F0A87B5"/>
    <w:rsid w:val="6F0DAC38"/>
    <w:rsid w:val="6F0EE6C9"/>
    <w:rsid w:val="6F14A6C3"/>
    <w:rsid w:val="6F14DC05"/>
    <w:rsid w:val="6F166882"/>
    <w:rsid w:val="6F1751B6"/>
    <w:rsid w:val="6F185CD0"/>
    <w:rsid w:val="6F1A6262"/>
    <w:rsid w:val="6F1BD388"/>
    <w:rsid w:val="6F21EFA9"/>
    <w:rsid w:val="6F232831"/>
    <w:rsid w:val="6F2701E4"/>
    <w:rsid w:val="6F29E4B7"/>
    <w:rsid w:val="6F2EA54D"/>
    <w:rsid w:val="6F32F774"/>
    <w:rsid w:val="6F364590"/>
    <w:rsid w:val="6F3897C1"/>
    <w:rsid w:val="6F3CFF31"/>
    <w:rsid w:val="6F3E3F60"/>
    <w:rsid w:val="6F418432"/>
    <w:rsid w:val="6F47795F"/>
    <w:rsid w:val="6F48EE23"/>
    <w:rsid w:val="6F4C444E"/>
    <w:rsid w:val="6F4C7733"/>
    <w:rsid w:val="6F4F6319"/>
    <w:rsid w:val="6F50C75B"/>
    <w:rsid w:val="6F54034F"/>
    <w:rsid w:val="6F5553D2"/>
    <w:rsid w:val="6F58FDF1"/>
    <w:rsid w:val="6F6150F3"/>
    <w:rsid w:val="6F627BED"/>
    <w:rsid w:val="6F654C97"/>
    <w:rsid w:val="6F69D42A"/>
    <w:rsid w:val="6F6A7D0E"/>
    <w:rsid w:val="6F6D06E9"/>
    <w:rsid w:val="6F72FD4F"/>
    <w:rsid w:val="6F773326"/>
    <w:rsid w:val="6F7A80F8"/>
    <w:rsid w:val="6F7D9EC0"/>
    <w:rsid w:val="6F83A7EF"/>
    <w:rsid w:val="6F8502A9"/>
    <w:rsid w:val="6F8826D8"/>
    <w:rsid w:val="6F882D95"/>
    <w:rsid w:val="6F8B10CD"/>
    <w:rsid w:val="6F8DA870"/>
    <w:rsid w:val="6F90B8E0"/>
    <w:rsid w:val="6F929498"/>
    <w:rsid w:val="6F936EED"/>
    <w:rsid w:val="6F9BD461"/>
    <w:rsid w:val="6FA0C477"/>
    <w:rsid w:val="6FA460AD"/>
    <w:rsid w:val="6FA6E521"/>
    <w:rsid w:val="6FA8E6B7"/>
    <w:rsid w:val="6FAC56D3"/>
    <w:rsid w:val="6FADC7FA"/>
    <w:rsid w:val="6FAEAC95"/>
    <w:rsid w:val="6FB00A9C"/>
    <w:rsid w:val="6FB19BE8"/>
    <w:rsid w:val="6FB27618"/>
    <w:rsid w:val="6FB2EB3D"/>
    <w:rsid w:val="6FB866AB"/>
    <w:rsid w:val="6FBABD3E"/>
    <w:rsid w:val="6FC7CCA5"/>
    <w:rsid w:val="6FCB832B"/>
    <w:rsid w:val="6FCCD061"/>
    <w:rsid w:val="6FCD4AC6"/>
    <w:rsid w:val="6FCE965C"/>
    <w:rsid w:val="6FD37150"/>
    <w:rsid w:val="6FD66DD7"/>
    <w:rsid w:val="6FD80B5D"/>
    <w:rsid w:val="6FD8B30B"/>
    <w:rsid w:val="6FDA58F1"/>
    <w:rsid w:val="6FDC3E7F"/>
    <w:rsid w:val="6FE05B9C"/>
    <w:rsid w:val="6FE1349A"/>
    <w:rsid w:val="6FE1DD3E"/>
    <w:rsid w:val="6FE425B9"/>
    <w:rsid w:val="6FE8E9A9"/>
    <w:rsid w:val="6FEACE27"/>
    <w:rsid w:val="6FEC5368"/>
    <w:rsid w:val="6FF14CB5"/>
    <w:rsid w:val="6FF95D3E"/>
    <w:rsid w:val="6FFDFD86"/>
    <w:rsid w:val="6FFFA751"/>
    <w:rsid w:val="7004E6F9"/>
    <w:rsid w:val="700760E3"/>
    <w:rsid w:val="70084209"/>
    <w:rsid w:val="700E66E3"/>
    <w:rsid w:val="7014DA62"/>
    <w:rsid w:val="7014DBD9"/>
    <w:rsid w:val="701A3C10"/>
    <w:rsid w:val="701C01E2"/>
    <w:rsid w:val="7021B6E6"/>
    <w:rsid w:val="7023EA03"/>
    <w:rsid w:val="70245A9D"/>
    <w:rsid w:val="70256900"/>
    <w:rsid w:val="7026B89C"/>
    <w:rsid w:val="702ADCBC"/>
    <w:rsid w:val="702C824E"/>
    <w:rsid w:val="70304827"/>
    <w:rsid w:val="7031DE73"/>
    <w:rsid w:val="70322B9D"/>
    <w:rsid w:val="70351D30"/>
    <w:rsid w:val="703537F4"/>
    <w:rsid w:val="70389A36"/>
    <w:rsid w:val="703C9FA7"/>
    <w:rsid w:val="703D8587"/>
    <w:rsid w:val="70430877"/>
    <w:rsid w:val="70438035"/>
    <w:rsid w:val="7044A264"/>
    <w:rsid w:val="704548F4"/>
    <w:rsid w:val="70464A47"/>
    <w:rsid w:val="7046814D"/>
    <w:rsid w:val="70493C96"/>
    <w:rsid w:val="704A998E"/>
    <w:rsid w:val="7058C057"/>
    <w:rsid w:val="705BFEF5"/>
    <w:rsid w:val="705EFF74"/>
    <w:rsid w:val="706BA20C"/>
    <w:rsid w:val="706D1FC5"/>
    <w:rsid w:val="706DD0A3"/>
    <w:rsid w:val="706E3B36"/>
    <w:rsid w:val="7076F7A1"/>
    <w:rsid w:val="7076F9E7"/>
    <w:rsid w:val="707BE0E6"/>
    <w:rsid w:val="707DEFAC"/>
    <w:rsid w:val="707FD130"/>
    <w:rsid w:val="7080FC9F"/>
    <w:rsid w:val="70833F49"/>
    <w:rsid w:val="7083B86F"/>
    <w:rsid w:val="7090C535"/>
    <w:rsid w:val="7092DD0C"/>
    <w:rsid w:val="7094EA5A"/>
    <w:rsid w:val="7095937E"/>
    <w:rsid w:val="709C3A7B"/>
    <w:rsid w:val="709E2F75"/>
    <w:rsid w:val="709E45DD"/>
    <w:rsid w:val="709E87EE"/>
    <w:rsid w:val="709FCEB7"/>
    <w:rsid w:val="70A2BC91"/>
    <w:rsid w:val="70A653F9"/>
    <w:rsid w:val="70AA251A"/>
    <w:rsid w:val="70AB9319"/>
    <w:rsid w:val="70AEBDFE"/>
    <w:rsid w:val="70B57FF7"/>
    <w:rsid w:val="70B5DFAF"/>
    <w:rsid w:val="70BABE39"/>
    <w:rsid w:val="70BC9E5B"/>
    <w:rsid w:val="70BFDC6B"/>
    <w:rsid w:val="70C02229"/>
    <w:rsid w:val="70C168E8"/>
    <w:rsid w:val="70CB6140"/>
    <w:rsid w:val="70D13027"/>
    <w:rsid w:val="70D291B7"/>
    <w:rsid w:val="70D39E00"/>
    <w:rsid w:val="70D6FF9B"/>
    <w:rsid w:val="70E45A0F"/>
    <w:rsid w:val="70EA8951"/>
    <w:rsid w:val="70EAAFC0"/>
    <w:rsid w:val="70EB02E5"/>
    <w:rsid w:val="70EB774F"/>
    <w:rsid w:val="70ECEDD9"/>
    <w:rsid w:val="70EDF5EF"/>
    <w:rsid w:val="70EE9F3D"/>
    <w:rsid w:val="70EF081D"/>
    <w:rsid w:val="70F1B667"/>
    <w:rsid w:val="70F2867C"/>
    <w:rsid w:val="70F51E0E"/>
    <w:rsid w:val="70F59B49"/>
    <w:rsid w:val="70FCE1FF"/>
    <w:rsid w:val="710010F8"/>
    <w:rsid w:val="710040B5"/>
    <w:rsid w:val="7105DD7B"/>
    <w:rsid w:val="7107E029"/>
    <w:rsid w:val="71098A71"/>
    <w:rsid w:val="710A65CA"/>
    <w:rsid w:val="710D5FC8"/>
    <w:rsid w:val="710FFD90"/>
    <w:rsid w:val="71142EA6"/>
    <w:rsid w:val="711C763B"/>
    <w:rsid w:val="71223796"/>
    <w:rsid w:val="712558AD"/>
    <w:rsid w:val="712BEF0A"/>
    <w:rsid w:val="712DA7F6"/>
    <w:rsid w:val="712F3AC1"/>
    <w:rsid w:val="712F4864"/>
    <w:rsid w:val="7132AC53"/>
    <w:rsid w:val="7137F0B4"/>
    <w:rsid w:val="713AE673"/>
    <w:rsid w:val="7140A56F"/>
    <w:rsid w:val="7140DA98"/>
    <w:rsid w:val="71426B38"/>
    <w:rsid w:val="71457752"/>
    <w:rsid w:val="71469CB6"/>
    <w:rsid w:val="714764C3"/>
    <w:rsid w:val="714B20BA"/>
    <w:rsid w:val="714B4F12"/>
    <w:rsid w:val="71527616"/>
    <w:rsid w:val="715484C8"/>
    <w:rsid w:val="7157A51B"/>
    <w:rsid w:val="715DF18E"/>
    <w:rsid w:val="715E0903"/>
    <w:rsid w:val="715EBF89"/>
    <w:rsid w:val="7164776F"/>
    <w:rsid w:val="71648B55"/>
    <w:rsid w:val="7164A2D2"/>
    <w:rsid w:val="716B6752"/>
    <w:rsid w:val="716DEDAC"/>
    <w:rsid w:val="71714D9D"/>
    <w:rsid w:val="71721542"/>
    <w:rsid w:val="71727E26"/>
    <w:rsid w:val="7174CBDD"/>
    <w:rsid w:val="71759B1A"/>
    <w:rsid w:val="717795AB"/>
    <w:rsid w:val="717A5BE9"/>
    <w:rsid w:val="717D6C43"/>
    <w:rsid w:val="71806C33"/>
    <w:rsid w:val="718122FA"/>
    <w:rsid w:val="7182B703"/>
    <w:rsid w:val="7185A5A9"/>
    <w:rsid w:val="71861CF3"/>
    <w:rsid w:val="71932172"/>
    <w:rsid w:val="7193DDE0"/>
    <w:rsid w:val="7199EE0F"/>
    <w:rsid w:val="719C6589"/>
    <w:rsid w:val="719D32B3"/>
    <w:rsid w:val="71A8EE25"/>
    <w:rsid w:val="71AD1A56"/>
    <w:rsid w:val="71AD3FA4"/>
    <w:rsid w:val="71AD5E54"/>
    <w:rsid w:val="71AEE2C3"/>
    <w:rsid w:val="71B66749"/>
    <w:rsid w:val="71B6EBCA"/>
    <w:rsid w:val="71B6F969"/>
    <w:rsid w:val="71BB80AC"/>
    <w:rsid w:val="71C240D1"/>
    <w:rsid w:val="71CF9BC2"/>
    <w:rsid w:val="71D2A480"/>
    <w:rsid w:val="71DB58DB"/>
    <w:rsid w:val="71E27804"/>
    <w:rsid w:val="71E2A582"/>
    <w:rsid w:val="71EC83BE"/>
    <w:rsid w:val="71EFF80B"/>
    <w:rsid w:val="71F0FFD8"/>
    <w:rsid w:val="71F3CF42"/>
    <w:rsid w:val="71F84903"/>
    <w:rsid w:val="71FB7FDF"/>
    <w:rsid w:val="71FC97F3"/>
    <w:rsid w:val="7201A52E"/>
    <w:rsid w:val="7202E653"/>
    <w:rsid w:val="72050013"/>
    <w:rsid w:val="72053B71"/>
    <w:rsid w:val="72058C75"/>
    <w:rsid w:val="7206B881"/>
    <w:rsid w:val="7207E208"/>
    <w:rsid w:val="7208F008"/>
    <w:rsid w:val="7209D3C4"/>
    <w:rsid w:val="72118184"/>
    <w:rsid w:val="72140D04"/>
    <w:rsid w:val="72197D63"/>
    <w:rsid w:val="7223F3AC"/>
    <w:rsid w:val="72265A68"/>
    <w:rsid w:val="7226F9E3"/>
    <w:rsid w:val="72288CBE"/>
    <w:rsid w:val="7228C923"/>
    <w:rsid w:val="7229E1F9"/>
    <w:rsid w:val="722C3176"/>
    <w:rsid w:val="722EEEF8"/>
    <w:rsid w:val="723404AE"/>
    <w:rsid w:val="7237247F"/>
    <w:rsid w:val="72379F64"/>
    <w:rsid w:val="7237BE12"/>
    <w:rsid w:val="7237EC91"/>
    <w:rsid w:val="72384969"/>
    <w:rsid w:val="723B42BB"/>
    <w:rsid w:val="723E3931"/>
    <w:rsid w:val="724060D6"/>
    <w:rsid w:val="72429B54"/>
    <w:rsid w:val="72430A09"/>
    <w:rsid w:val="7244D02C"/>
    <w:rsid w:val="725AC1D3"/>
    <w:rsid w:val="725CCE0D"/>
    <w:rsid w:val="725E0D75"/>
    <w:rsid w:val="7261D711"/>
    <w:rsid w:val="7262FEBD"/>
    <w:rsid w:val="726403E9"/>
    <w:rsid w:val="72670E6A"/>
    <w:rsid w:val="726B4D3A"/>
    <w:rsid w:val="726D9C1D"/>
    <w:rsid w:val="726EE197"/>
    <w:rsid w:val="726FF539"/>
    <w:rsid w:val="72709FFD"/>
    <w:rsid w:val="727104AE"/>
    <w:rsid w:val="72734327"/>
    <w:rsid w:val="72734DFF"/>
    <w:rsid w:val="7273DBE9"/>
    <w:rsid w:val="72761E21"/>
    <w:rsid w:val="727A07DC"/>
    <w:rsid w:val="727AA113"/>
    <w:rsid w:val="727AA565"/>
    <w:rsid w:val="7286A216"/>
    <w:rsid w:val="7287AF11"/>
    <w:rsid w:val="72898278"/>
    <w:rsid w:val="728DF6F2"/>
    <w:rsid w:val="7290A012"/>
    <w:rsid w:val="7291F285"/>
    <w:rsid w:val="72936B6E"/>
    <w:rsid w:val="7295535A"/>
    <w:rsid w:val="729B3393"/>
    <w:rsid w:val="72A04522"/>
    <w:rsid w:val="72A658B6"/>
    <w:rsid w:val="72A6A1F5"/>
    <w:rsid w:val="72A73CD6"/>
    <w:rsid w:val="72A75BBD"/>
    <w:rsid w:val="72A7964A"/>
    <w:rsid w:val="72B24EA2"/>
    <w:rsid w:val="72B2E505"/>
    <w:rsid w:val="72B3B6EF"/>
    <w:rsid w:val="72B54909"/>
    <w:rsid w:val="72BC218C"/>
    <w:rsid w:val="72BC2E21"/>
    <w:rsid w:val="72BD328D"/>
    <w:rsid w:val="72BE143F"/>
    <w:rsid w:val="72BE581F"/>
    <w:rsid w:val="72C1165B"/>
    <w:rsid w:val="72C2B9F6"/>
    <w:rsid w:val="72C6178F"/>
    <w:rsid w:val="72C73ACD"/>
    <w:rsid w:val="72C97ED2"/>
    <w:rsid w:val="72CFCC35"/>
    <w:rsid w:val="72D48EF4"/>
    <w:rsid w:val="72D7A827"/>
    <w:rsid w:val="72D8DC31"/>
    <w:rsid w:val="72DA5248"/>
    <w:rsid w:val="72DB1996"/>
    <w:rsid w:val="72EC8966"/>
    <w:rsid w:val="72F068A5"/>
    <w:rsid w:val="72F36979"/>
    <w:rsid w:val="72F3F96A"/>
    <w:rsid w:val="72F78602"/>
    <w:rsid w:val="72FADF83"/>
    <w:rsid w:val="72FE5CB2"/>
    <w:rsid w:val="7308A5E2"/>
    <w:rsid w:val="7312618B"/>
    <w:rsid w:val="7312C3FC"/>
    <w:rsid w:val="73148B0B"/>
    <w:rsid w:val="73156E8B"/>
    <w:rsid w:val="7320503F"/>
    <w:rsid w:val="73235CBD"/>
    <w:rsid w:val="7326AD0B"/>
    <w:rsid w:val="732879D5"/>
    <w:rsid w:val="7331CAE8"/>
    <w:rsid w:val="73331A12"/>
    <w:rsid w:val="73333CC5"/>
    <w:rsid w:val="7338BB02"/>
    <w:rsid w:val="733AE904"/>
    <w:rsid w:val="7346AB6F"/>
    <w:rsid w:val="7346E79F"/>
    <w:rsid w:val="73471CB5"/>
    <w:rsid w:val="73492E07"/>
    <w:rsid w:val="734ECA49"/>
    <w:rsid w:val="73544C29"/>
    <w:rsid w:val="73572657"/>
    <w:rsid w:val="735866EA"/>
    <w:rsid w:val="736B41B9"/>
    <w:rsid w:val="736B69B6"/>
    <w:rsid w:val="73718CB2"/>
    <w:rsid w:val="7372C4CB"/>
    <w:rsid w:val="7375C527"/>
    <w:rsid w:val="7376E22D"/>
    <w:rsid w:val="7377DDED"/>
    <w:rsid w:val="7378D425"/>
    <w:rsid w:val="737E734A"/>
    <w:rsid w:val="737ED2C7"/>
    <w:rsid w:val="738203BF"/>
    <w:rsid w:val="73834BE4"/>
    <w:rsid w:val="73847246"/>
    <w:rsid w:val="73848CC8"/>
    <w:rsid w:val="7386B4D2"/>
    <w:rsid w:val="73891AA5"/>
    <w:rsid w:val="738E14A2"/>
    <w:rsid w:val="7394CEA2"/>
    <w:rsid w:val="7399BF66"/>
    <w:rsid w:val="739A76AB"/>
    <w:rsid w:val="739A8050"/>
    <w:rsid w:val="739BCB42"/>
    <w:rsid w:val="739DB909"/>
    <w:rsid w:val="739DFC48"/>
    <w:rsid w:val="73A52894"/>
    <w:rsid w:val="73A536FC"/>
    <w:rsid w:val="73A94868"/>
    <w:rsid w:val="73AAE56C"/>
    <w:rsid w:val="73B24AB2"/>
    <w:rsid w:val="73B71FA0"/>
    <w:rsid w:val="73B7E7A5"/>
    <w:rsid w:val="73B7FB59"/>
    <w:rsid w:val="73B9CB20"/>
    <w:rsid w:val="73BE407D"/>
    <w:rsid w:val="73BF98C8"/>
    <w:rsid w:val="73C50F09"/>
    <w:rsid w:val="73C8F467"/>
    <w:rsid w:val="73CDDA30"/>
    <w:rsid w:val="73D3DBB6"/>
    <w:rsid w:val="73E1D315"/>
    <w:rsid w:val="73E32A83"/>
    <w:rsid w:val="73E75BA1"/>
    <w:rsid w:val="73E772F6"/>
    <w:rsid w:val="73E8A3CD"/>
    <w:rsid w:val="73EA4999"/>
    <w:rsid w:val="73EE7845"/>
    <w:rsid w:val="73F1F219"/>
    <w:rsid w:val="73F306A8"/>
    <w:rsid w:val="73F30AC1"/>
    <w:rsid w:val="73F8A644"/>
    <w:rsid w:val="73FEFB11"/>
    <w:rsid w:val="7402E408"/>
    <w:rsid w:val="7405FABB"/>
    <w:rsid w:val="7407A6DF"/>
    <w:rsid w:val="740D98FA"/>
    <w:rsid w:val="740E3496"/>
    <w:rsid w:val="741228A8"/>
    <w:rsid w:val="7419ACB1"/>
    <w:rsid w:val="741F64F8"/>
    <w:rsid w:val="7428B016"/>
    <w:rsid w:val="743B47BC"/>
    <w:rsid w:val="743C7138"/>
    <w:rsid w:val="743D430D"/>
    <w:rsid w:val="7441D289"/>
    <w:rsid w:val="74435138"/>
    <w:rsid w:val="74490BCE"/>
    <w:rsid w:val="744C6268"/>
    <w:rsid w:val="744D3920"/>
    <w:rsid w:val="744F7023"/>
    <w:rsid w:val="745077BB"/>
    <w:rsid w:val="7456B9DA"/>
    <w:rsid w:val="7457E38F"/>
    <w:rsid w:val="745E1300"/>
    <w:rsid w:val="74609938"/>
    <w:rsid w:val="7462B3EA"/>
    <w:rsid w:val="7466A04C"/>
    <w:rsid w:val="74759B24"/>
    <w:rsid w:val="7475B946"/>
    <w:rsid w:val="7477D07D"/>
    <w:rsid w:val="747944AE"/>
    <w:rsid w:val="747A7D84"/>
    <w:rsid w:val="747A84BF"/>
    <w:rsid w:val="747CA7C6"/>
    <w:rsid w:val="74810A57"/>
    <w:rsid w:val="74829450"/>
    <w:rsid w:val="748569F5"/>
    <w:rsid w:val="74891294"/>
    <w:rsid w:val="7499E2BB"/>
    <w:rsid w:val="74A00070"/>
    <w:rsid w:val="74A0E359"/>
    <w:rsid w:val="74A15595"/>
    <w:rsid w:val="74A4EEF9"/>
    <w:rsid w:val="74A548E6"/>
    <w:rsid w:val="74A57E0B"/>
    <w:rsid w:val="74A9B089"/>
    <w:rsid w:val="74AA248C"/>
    <w:rsid w:val="74AC1FDF"/>
    <w:rsid w:val="74ADCE30"/>
    <w:rsid w:val="74B16638"/>
    <w:rsid w:val="74B1AD7A"/>
    <w:rsid w:val="74B33C64"/>
    <w:rsid w:val="74B406BE"/>
    <w:rsid w:val="74B96974"/>
    <w:rsid w:val="74BE929B"/>
    <w:rsid w:val="74C04996"/>
    <w:rsid w:val="74C3696C"/>
    <w:rsid w:val="74C3DBB8"/>
    <w:rsid w:val="74C4B894"/>
    <w:rsid w:val="74C68C2A"/>
    <w:rsid w:val="74C9F19D"/>
    <w:rsid w:val="74CB7F51"/>
    <w:rsid w:val="74D206AA"/>
    <w:rsid w:val="74DD5805"/>
    <w:rsid w:val="74DFDAEB"/>
    <w:rsid w:val="74E10EFB"/>
    <w:rsid w:val="74E1948A"/>
    <w:rsid w:val="74E39972"/>
    <w:rsid w:val="74E562DB"/>
    <w:rsid w:val="74E7DF8F"/>
    <w:rsid w:val="74E9C8B4"/>
    <w:rsid w:val="74EB4865"/>
    <w:rsid w:val="74EB8D7C"/>
    <w:rsid w:val="74ED2EA3"/>
    <w:rsid w:val="74F0B8A5"/>
    <w:rsid w:val="74F1BA13"/>
    <w:rsid w:val="74F21970"/>
    <w:rsid w:val="74F596B8"/>
    <w:rsid w:val="74F7072E"/>
    <w:rsid w:val="74F74E0F"/>
    <w:rsid w:val="74F818A3"/>
    <w:rsid w:val="74F886CB"/>
    <w:rsid w:val="74FBDACC"/>
    <w:rsid w:val="75017407"/>
    <w:rsid w:val="75083FD6"/>
    <w:rsid w:val="750A6315"/>
    <w:rsid w:val="750CD236"/>
    <w:rsid w:val="750D5626"/>
    <w:rsid w:val="750E2B9E"/>
    <w:rsid w:val="750E8EA2"/>
    <w:rsid w:val="75133D04"/>
    <w:rsid w:val="7516ABA0"/>
    <w:rsid w:val="75190B20"/>
    <w:rsid w:val="7519103B"/>
    <w:rsid w:val="75192FAF"/>
    <w:rsid w:val="751C11C0"/>
    <w:rsid w:val="751E01AE"/>
    <w:rsid w:val="7521D815"/>
    <w:rsid w:val="75220F6F"/>
    <w:rsid w:val="7522E3B1"/>
    <w:rsid w:val="7523F306"/>
    <w:rsid w:val="7524D9BE"/>
    <w:rsid w:val="752BF8B1"/>
    <w:rsid w:val="75322CA6"/>
    <w:rsid w:val="75350DDB"/>
    <w:rsid w:val="753581EC"/>
    <w:rsid w:val="753C9D8D"/>
    <w:rsid w:val="7540E685"/>
    <w:rsid w:val="75423D68"/>
    <w:rsid w:val="75466DAB"/>
    <w:rsid w:val="754ACA14"/>
    <w:rsid w:val="754B4337"/>
    <w:rsid w:val="754C453E"/>
    <w:rsid w:val="754E4E65"/>
    <w:rsid w:val="7551B308"/>
    <w:rsid w:val="75543D70"/>
    <w:rsid w:val="7558F52F"/>
    <w:rsid w:val="755E6BD4"/>
    <w:rsid w:val="755FF056"/>
    <w:rsid w:val="756D6273"/>
    <w:rsid w:val="756FCA7D"/>
    <w:rsid w:val="757652F0"/>
    <w:rsid w:val="7579B4E4"/>
    <w:rsid w:val="757AE082"/>
    <w:rsid w:val="757B077A"/>
    <w:rsid w:val="757C4BE8"/>
    <w:rsid w:val="757C6E67"/>
    <w:rsid w:val="75839E07"/>
    <w:rsid w:val="75841A9A"/>
    <w:rsid w:val="7589CF58"/>
    <w:rsid w:val="758DC975"/>
    <w:rsid w:val="758F3291"/>
    <w:rsid w:val="7590FF5B"/>
    <w:rsid w:val="7598CBB6"/>
    <w:rsid w:val="7598E05B"/>
    <w:rsid w:val="759AC40B"/>
    <w:rsid w:val="759E4CA7"/>
    <w:rsid w:val="759ECEED"/>
    <w:rsid w:val="75A1AB01"/>
    <w:rsid w:val="75A431E8"/>
    <w:rsid w:val="75A481EC"/>
    <w:rsid w:val="75A64B1C"/>
    <w:rsid w:val="75A9C17F"/>
    <w:rsid w:val="75B0AB70"/>
    <w:rsid w:val="75B291CB"/>
    <w:rsid w:val="75B41BB8"/>
    <w:rsid w:val="75B81288"/>
    <w:rsid w:val="75BA5C51"/>
    <w:rsid w:val="75C274F3"/>
    <w:rsid w:val="75C99059"/>
    <w:rsid w:val="75D1CCD7"/>
    <w:rsid w:val="75D2227C"/>
    <w:rsid w:val="75D919E0"/>
    <w:rsid w:val="75DD69D6"/>
    <w:rsid w:val="75DF776C"/>
    <w:rsid w:val="75E15DB1"/>
    <w:rsid w:val="75E55C07"/>
    <w:rsid w:val="75E658E0"/>
    <w:rsid w:val="75F003A8"/>
    <w:rsid w:val="75F3C6DB"/>
    <w:rsid w:val="75F4444B"/>
    <w:rsid w:val="75F5E297"/>
    <w:rsid w:val="75F923B0"/>
    <w:rsid w:val="75F985A2"/>
    <w:rsid w:val="75F9F951"/>
    <w:rsid w:val="75FD9536"/>
    <w:rsid w:val="75FFDAC4"/>
    <w:rsid w:val="76004858"/>
    <w:rsid w:val="7601E042"/>
    <w:rsid w:val="760357DC"/>
    <w:rsid w:val="76059DA3"/>
    <w:rsid w:val="7607630A"/>
    <w:rsid w:val="760BD380"/>
    <w:rsid w:val="760E463C"/>
    <w:rsid w:val="760E4CFC"/>
    <w:rsid w:val="76118597"/>
    <w:rsid w:val="7616B820"/>
    <w:rsid w:val="7618CC65"/>
    <w:rsid w:val="761B7DB3"/>
    <w:rsid w:val="761CED61"/>
    <w:rsid w:val="7620D39B"/>
    <w:rsid w:val="76223DC4"/>
    <w:rsid w:val="7624BA4D"/>
    <w:rsid w:val="762CC5D8"/>
    <w:rsid w:val="762DA815"/>
    <w:rsid w:val="762DFBCD"/>
    <w:rsid w:val="76303C7D"/>
    <w:rsid w:val="76346090"/>
    <w:rsid w:val="763AE056"/>
    <w:rsid w:val="763C82EB"/>
    <w:rsid w:val="763DF9DC"/>
    <w:rsid w:val="764143F6"/>
    <w:rsid w:val="76420013"/>
    <w:rsid w:val="7644096C"/>
    <w:rsid w:val="76453FCB"/>
    <w:rsid w:val="7648FAC0"/>
    <w:rsid w:val="76494066"/>
    <w:rsid w:val="764AF001"/>
    <w:rsid w:val="764E21F9"/>
    <w:rsid w:val="7650DCF9"/>
    <w:rsid w:val="7652F67D"/>
    <w:rsid w:val="76573A2B"/>
    <w:rsid w:val="765C41A5"/>
    <w:rsid w:val="76642FD8"/>
    <w:rsid w:val="76645F82"/>
    <w:rsid w:val="76698DE5"/>
    <w:rsid w:val="766A69F6"/>
    <w:rsid w:val="766E35BA"/>
    <w:rsid w:val="767234E3"/>
    <w:rsid w:val="76747F7C"/>
    <w:rsid w:val="76750A2B"/>
    <w:rsid w:val="767B2FCA"/>
    <w:rsid w:val="767BAFAC"/>
    <w:rsid w:val="7681F919"/>
    <w:rsid w:val="7682A6C8"/>
    <w:rsid w:val="7686CF38"/>
    <w:rsid w:val="76882B48"/>
    <w:rsid w:val="768F8B81"/>
    <w:rsid w:val="7690F18A"/>
    <w:rsid w:val="769BE5D6"/>
    <w:rsid w:val="769D9515"/>
    <w:rsid w:val="76A1B3A7"/>
    <w:rsid w:val="76A3C07E"/>
    <w:rsid w:val="76ADA3E3"/>
    <w:rsid w:val="76B00904"/>
    <w:rsid w:val="76B2CF92"/>
    <w:rsid w:val="76B534DD"/>
    <w:rsid w:val="76BD7760"/>
    <w:rsid w:val="76BE5941"/>
    <w:rsid w:val="76CB3424"/>
    <w:rsid w:val="76CCE9A3"/>
    <w:rsid w:val="76CDF879"/>
    <w:rsid w:val="76CEDABE"/>
    <w:rsid w:val="76CEF45C"/>
    <w:rsid w:val="76CF6857"/>
    <w:rsid w:val="76D29F41"/>
    <w:rsid w:val="76D3FDB2"/>
    <w:rsid w:val="76DAB255"/>
    <w:rsid w:val="76DF05CB"/>
    <w:rsid w:val="76E501FB"/>
    <w:rsid w:val="76E58C08"/>
    <w:rsid w:val="76EFBFF1"/>
    <w:rsid w:val="76F23D59"/>
    <w:rsid w:val="76F2D3BB"/>
    <w:rsid w:val="76F45065"/>
    <w:rsid w:val="76F686AB"/>
    <w:rsid w:val="76F9110B"/>
    <w:rsid w:val="76FAE7AE"/>
    <w:rsid w:val="76FC6FA1"/>
    <w:rsid w:val="7704D611"/>
    <w:rsid w:val="770D5277"/>
    <w:rsid w:val="770DDC86"/>
    <w:rsid w:val="770F1BAE"/>
    <w:rsid w:val="77108EAB"/>
    <w:rsid w:val="7718C0FD"/>
    <w:rsid w:val="771AB748"/>
    <w:rsid w:val="77208FD0"/>
    <w:rsid w:val="77209BF5"/>
    <w:rsid w:val="772375C2"/>
    <w:rsid w:val="77275B49"/>
    <w:rsid w:val="77278004"/>
    <w:rsid w:val="772B518A"/>
    <w:rsid w:val="772B7C05"/>
    <w:rsid w:val="77339853"/>
    <w:rsid w:val="773A8ECA"/>
    <w:rsid w:val="773B674B"/>
    <w:rsid w:val="7740BED6"/>
    <w:rsid w:val="77456239"/>
    <w:rsid w:val="77477711"/>
    <w:rsid w:val="7748D0FE"/>
    <w:rsid w:val="774A4DB4"/>
    <w:rsid w:val="77577E74"/>
    <w:rsid w:val="775F17E4"/>
    <w:rsid w:val="77612724"/>
    <w:rsid w:val="7768DD3D"/>
    <w:rsid w:val="7770E6AF"/>
    <w:rsid w:val="777660E2"/>
    <w:rsid w:val="777CEC02"/>
    <w:rsid w:val="777FA464"/>
    <w:rsid w:val="778145BA"/>
    <w:rsid w:val="7782739E"/>
    <w:rsid w:val="77849B4A"/>
    <w:rsid w:val="7787B97D"/>
    <w:rsid w:val="778E3676"/>
    <w:rsid w:val="778E421A"/>
    <w:rsid w:val="7796DDCC"/>
    <w:rsid w:val="7799EFB3"/>
    <w:rsid w:val="779A90E2"/>
    <w:rsid w:val="779EE402"/>
    <w:rsid w:val="77A0AF4E"/>
    <w:rsid w:val="77A29673"/>
    <w:rsid w:val="77A38328"/>
    <w:rsid w:val="77A87051"/>
    <w:rsid w:val="77AD21F2"/>
    <w:rsid w:val="77B095E5"/>
    <w:rsid w:val="77B31F42"/>
    <w:rsid w:val="77BCA53C"/>
    <w:rsid w:val="77C5044A"/>
    <w:rsid w:val="77CBE763"/>
    <w:rsid w:val="77CE3BB2"/>
    <w:rsid w:val="77CE93E9"/>
    <w:rsid w:val="77D2023B"/>
    <w:rsid w:val="77DCCD6D"/>
    <w:rsid w:val="77DD4D80"/>
    <w:rsid w:val="77E03303"/>
    <w:rsid w:val="77E08F21"/>
    <w:rsid w:val="77E1F35A"/>
    <w:rsid w:val="77E28D9D"/>
    <w:rsid w:val="77E38B3E"/>
    <w:rsid w:val="77E906F7"/>
    <w:rsid w:val="77EB5A96"/>
    <w:rsid w:val="77EF496D"/>
    <w:rsid w:val="77F1DFE0"/>
    <w:rsid w:val="77F6C65C"/>
    <w:rsid w:val="77FA34FA"/>
    <w:rsid w:val="77FC430A"/>
    <w:rsid w:val="77FDD9E2"/>
    <w:rsid w:val="780044A3"/>
    <w:rsid w:val="780462E6"/>
    <w:rsid w:val="78048F9C"/>
    <w:rsid w:val="78081772"/>
    <w:rsid w:val="7809B2EC"/>
    <w:rsid w:val="78178292"/>
    <w:rsid w:val="7818A290"/>
    <w:rsid w:val="78229E13"/>
    <w:rsid w:val="7825291C"/>
    <w:rsid w:val="78261E22"/>
    <w:rsid w:val="78282C1E"/>
    <w:rsid w:val="782AEE8C"/>
    <w:rsid w:val="782B38B0"/>
    <w:rsid w:val="782E8E47"/>
    <w:rsid w:val="783B428D"/>
    <w:rsid w:val="783D1753"/>
    <w:rsid w:val="7844DCA0"/>
    <w:rsid w:val="78497444"/>
    <w:rsid w:val="784A0F6C"/>
    <w:rsid w:val="784A7F44"/>
    <w:rsid w:val="7851FF1E"/>
    <w:rsid w:val="78530096"/>
    <w:rsid w:val="785529A0"/>
    <w:rsid w:val="78576E9B"/>
    <w:rsid w:val="7859C3ED"/>
    <w:rsid w:val="785A5ADE"/>
    <w:rsid w:val="785D6769"/>
    <w:rsid w:val="785EDFC1"/>
    <w:rsid w:val="78687574"/>
    <w:rsid w:val="786BFA78"/>
    <w:rsid w:val="7878EBD2"/>
    <w:rsid w:val="78790853"/>
    <w:rsid w:val="787DDBF8"/>
    <w:rsid w:val="788418F8"/>
    <w:rsid w:val="7886D3E2"/>
    <w:rsid w:val="7887F267"/>
    <w:rsid w:val="788B73B1"/>
    <w:rsid w:val="788D459C"/>
    <w:rsid w:val="788F3AFC"/>
    <w:rsid w:val="78920D33"/>
    <w:rsid w:val="789232D8"/>
    <w:rsid w:val="7897AAAE"/>
    <w:rsid w:val="789BF021"/>
    <w:rsid w:val="789EB1B8"/>
    <w:rsid w:val="78A11933"/>
    <w:rsid w:val="78A27151"/>
    <w:rsid w:val="78B09294"/>
    <w:rsid w:val="78B2A83C"/>
    <w:rsid w:val="78B52930"/>
    <w:rsid w:val="78B64239"/>
    <w:rsid w:val="78B8179E"/>
    <w:rsid w:val="78BB3FF3"/>
    <w:rsid w:val="78BDACD6"/>
    <w:rsid w:val="78C29BA2"/>
    <w:rsid w:val="78C32106"/>
    <w:rsid w:val="78C54FF2"/>
    <w:rsid w:val="78CD8751"/>
    <w:rsid w:val="78D159AE"/>
    <w:rsid w:val="78D5087A"/>
    <w:rsid w:val="78D85F9C"/>
    <w:rsid w:val="78D92B6B"/>
    <w:rsid w:val="78DA3D27"/>
    <w:rsid w:val="78DF284E"/>
    <w:rsid w:val="78DF7BB5"/>
    <w:rsid w:val="78E14E36"/>
    <w:rsid w:val="78E56478"/>
    <w:rsid w:val="78E75299"/>
    <w:rsid w:val="78E93477"/>
    <w:rsid w:val="78EA658F"/>
    <w:rsid w:val="78EB13A2"/>
    <w:rsid w:val="78EBD52F"/>
    <w:rsid w:val="78ECE4B8"/>
    <w:rsid w:val="78ED90D5"/>
    <w:rsid w:val="78EE6C23"/>
    <w:rsid w:val="78F3FEED"/>
    <w:rsid w:val="78F6248D"/>
    <w:rsid w:val="78F6FAC7"/>
    <w:rsid w:val="78F7F372"/>
    <w:rsid w:val="78F7F8E6"/>
    <w:rsid w:val="78F8FEFE"/>
    <w:rsid w:val="78FD6B44"/>
    <w:rsid w:val="79090439"/>
    <w:rsid w:val="790A3A26"/>
    <w:rsid w:val="790D1E9B"/>
    <w:rsid w:val="79164E49"/>
    <w:rsid w:val="791C779B"/>
    <w:rsid w:val="791D8AE2"/>
    <w:rsid w:val="7920585D"/>
    <w:rsid w:val="79231505"/>
    <w:rsid w:val="79255746"/>
    <w:rsid w:val="79289478"/>
    <w:rsid w:val="792C7AA4"/>
    <w:rsid w:val="792E5DA8"/>
    <w:rsid w:val="792FCFC9"/>
    <w:rsid w:val="7932FDDF"/>
    <w:rsid w:val="7933D9BD"/>
    <w:rsid w:val="7934BC64"/>
    <w:rsid w:val="79383617"/>
    <w:rsid w:val="79392F9D"/>
    <w:rsid w:val="793C6AD8"/>
    <w:rsid w:val="793D89CC"/>
    <w:rsid w:val="794035E3"/>
    <w:rsid w:val="794256A3"/>
    <w:rsid w:val="794F6AF7"/>
    <w:rsid w:val="7956F8B2"/>
    <w:rsid w:val="79581F39"/>
    <w:rsid w:val="795A9953"/>
    <w:rsid w:val="795AC916"/>
    <w:rsid w:val="795B7E2D"/>
    <w:rsid w:val="7963468B"/>
    <w:rsid w:val="79637BDC"/>
    <w:rsid w:val="79681D52"/>
    <w:rsid w:val="796A690C"/>
    <w:rsid w:val="796ACB70"/>
    <w:rsid w:val="796DAEF5"/>
    <w:rsid w:val="796EAF17"/>
    <w:rsid w:val="796FD9EF"/>
    <w:rsid w:val="797462B9"/>
    <w:rsid w:val="797481A7"/>
    <w:rsid w:val="7974842D"/>
    <w:rsid w:val="79772EEE"/>
    <w:rsid w:val="7977B348"/>
    <w:rsid w:val="7977C03E"/>
    <w:rsid w:val="7978B320"/>
    <w:rsid w:val="79796EE5"/>
    <w:rsid w:val="797D30E0"/>
    <w:rsid w:val="797E0CED"/>
    <w:rsid w:val="797E4E80"/>
    <w:rsid w:val="798316BB"/>
    <w:rsid w:val="7986FA39"/>
    <w:rsid w:val="7989D9EC"/>
    <w:rsid w:val="798ACB34"/>
    <w:rsid w:val="798B2B93"/>
    <w:rsid w:val="799182F3"/>
    <w:rsid w:val="799A348B"/>
    <w:rsid w:val="799C3696"/>
    <w:rsid w:val="79A05763"/>
    <w:rsid w:val="79A53DED"/>
    <w:rsid w:val="79A93812"/>
    <w:rsid w:val="79ACB4D2"/>
    <w:rsid w:val="79B644FD"/>
    <w:rsid w:val="79BC2A5D"/>
    <w:rsid w:val="79BC32FC"/>
    <w:rsid w:val="79BD8AE9"/>
    <w:rsid w:val="79C664F7"/>
    <w:rsid w:val="79C70A96"/>
    <w:rsid w:val="79CA3912"/>
    <w:rsid w:val="79CE6DE1"/>
    <w:rsid w:val="79CEE69C"/>
    <w:rsid w:val="79D15A08"/>
    <w:rsid w:val="79D17030"/>
    <w:rsid w:val="79D1E3DD"/>
    <w:rsid w:val="79D2767A"/>
    <w:rsid w:val="79D5306B"/>
    <w:rsid w:val="79D5E282"/>
    <w:rsid w:val="79D8C1F2"/>
    <w:rsid w:val="79E95F5E"/>
    <w:rsid w:val="79EA29C5"/>
    <w:rsid w:val="79EB68DC"/>
    <w:rsid w:val="79F01FD8"/>
    <w:rsid w:val="79F14CC9"/>
    <w:rsid w:val="79F204FD"/>
    <w:rsid w:val="79F281BD"/>
    <w:rsid w:val="79FDA5DC"/>
    <w:rsid w:val="7A013849"/>
    <w:rsid w:val="7A033344"/>
    <w:rsid w:val="7A0404CA"/>
    <w:rsid w:val="7A079818"/>
    <w:rsid w:val="7A097DA7"/>
    <w:rsid w:val="7A0C89DB"/>
    <w:rsid w:val="7A116486"/>
    <w:rsid w:val="7A11BF72"/>
    <w:rsid w:val="7A1210EA"/>
    <w:rsid w:val="7A135AEC"/>
    <w:rsid w:val="7A14428E"/>
    <w:rsid w:val="7A167263"/>
    <w:rsid w:val="7A1838D2"/>
    <w:rsid w:val="7A187D8F"/>
    <w:rsid w:val="7A1EDD29"/>
    <w:rsid w:val="7A1F0DD4"/>
    <w:rsid w:val="7A205BE4"/>
    <w:rsid w:val="7A221209"/>
    <w:rsid w:val="7A270430"/>
    <w:rsid w:val="7A292620"/>
    <w:rsid w:val="7A2CFB7A"/>
    <w:rsid w:val="7A2DDD71"/>
    <w:rsid w:val="7A310E1A"/>
    <w:rsid w:val="7A332BF9"/>
    <w:rsid w:val="7A340391"/>
    <w:rsid w:val="7A38E226"/>
    <w:rsid w:val="7A407FAC"/>
    <w:rsid w:val="7A4DD5B4"/>
    <w:rsid w:val="7A4FABAF"/>
    <w:rsid w:val="7A5160E5"/>
    <w:rsid w:val="7A5297CD"/>
    <w:rsid w:val="7A58D2F1"/>
    <w:rsid w:val="7A5A7EBF"/>
    <w:rsid w:val="7A5C0714"/>
    <w:rsid w:val="7A69AB9D"/>
    <w:rsid w:val="7A6A9D92"/>
    <w:rsid w:val="7A6AB543"/>
    <w:rsid w:val="7A6B07A3"/>
    <w:rsid w:val="7A6EA279"/>
    <w:rsid w:val="7A6F78DF"/>
    <w:rsid w:val="7A7078F9"/>
    <w:rsid w:val="7A70B2CE"/>
    <w:rsid w:val="7A70E373"/>
    <w:rsid w:val="7A75C6D4"/>
    <w:rsid w:val="7A7E5592"/>
    <w:rsid w:val="7A7F6C23"/>
    <w:rsid w:val="7A8750E5"/>
    <w:rsid w:val="7A87F29D"/>
    <w:rsid w:val="7A888899"/>
    <w:rsid w:val="7A8D0CB3"/>
    <w:rsid w:val="7A8D8537"/>
    <w:rsid w:val="7A8F16BA"/>
    <w:rsid w:val="7A97ECA8"/>
    <w:rsid w:val="7A98BEAA"/>
    <w:rsid w:val="7A9FE84E"/>
    <w:rsid w:val="7AA06301"/>
    <w:rsid w:val="7AA09E3B"/>
    <w:rsid w:val="7AA11AB4"/>
    <w:rsid w:val="7AA623DE"/>
    <w:rsid w:val="7AA8CFCE"/>
    <w:rsid w:val="7AAA0D36"/>
    <w:rsid w:val="7AACD6E7"/>
    <w:rsid w:val="7AB1589C"/>
    <w:rsid w:val="7AB21743"/>
    <w:rsid w:val="7AB6DDB7"/>
    <w:rsid w:val="7AB7F88C"/>
    <w:rsid w:val="7AB8E5DD"/>
    <w:rsid w:val="7ABCAA7D"/>
    <w:rsid w:val="7ABF7CF4"/>
    <w:rsid w:val="7AC02330"/>
    <w:rsid w:val="7AC38A1B"/>
    <w:rsid w:val="7AC45510"/>
    <w:rsid w:val="7AC7574F"/>
    <w:rsid w:val="7ACB11D2"/>
    <w:rsid w:val="7ACF4629"/>
    <w:rsid w:val="7AD1728C"/>
    <w:rsid w:val="7AD220C3"/>
    <w:rsid w:val="7AD37BAC"/>
    <w:rsid w:val="7AD9EE2B"/>
    <w:rsid w:val="7ADBE9D6"/>
    <w:rsid w:val="7AE024C3"/>
    <w:rsid w:val="7AE2F0B0"/>
    <w:rsid w:val="7AE4FFAD"/>
    <w:rsid w:val="7AEC2578"/>
    <w:rsid w:val="7AED39BC"/>
    <w:rsid w:val="7AF07AA0"/>
    <w:rsid w:val="7AF3D5F1"/>
    <w:rsid w:val="7AF7BE33"/>
    <w:rsid w:val="7AF98AE0"/>
    <w:rsid w:val="7AFA12B1"/>
    <w:rsid w:val="7B059458"/>
    <w:rsid w:val="7B05F4AD"/>
    <w:rsid w:val="7B088AB9"/>
    <w:rsid w:val="7B08F206"/>
    <w:rsid w:val="7B191FD5"/>
    <w:rsid w:val="7B1F3A81"/>
    <w:rsid w:val="7B21D79C"/>
    <w:rsid w:val="7B228339"/>
    <w:rsid w:val="7B233BEB"/>
    <w:rsid w:val="7B25DBE8"/>
    <w:rsid w:val="7B29A55A"/>
    <w:rsid w:val="7B319FFE"/>
    <w:rsid w:val="7B3B9EEC"/>
    <w:rsid w:val="7B3BF9BD"/>
    <w:rsid w:val="7B4231AB"/>
    <w:rsid w:val="7B43285E"/>
    <w:rsid w:val="7B47D1F4"/>
    <w:rsid w:val="7B519F9F"/>
    <w:rsid w:val="7B5495A7"/>
    <w:rsid w:val="7B5B928C"/>
    <w:rsid w:val="7B5C20B5"/>
    <w:rsid w:val="7B5F0597"/>
    <w:rsid w:val="7B639CAF"/>
    <w:rsid w:val="7B65C836"/>
    <w:rsid w:val="7B6B45B6"/>
    <w:rsid w:val="7B6F4548"/>
    <w:rsid w:val="7B71EEE6"/>
    <w:rsid w:val="7B79837D"/>
    <w:rsid w:val="7B823BA0"/>
    <w:rsid w:val="7B84A0DD"/>
    <w:rsid w:val="7B8AE1A7"/>
    <w:rsid w:val="7B8C620B"/>
    <w:rsid w:val="7B8D9F43"/>
    <w:rsid w:val="7B95AFBF"/>
    <w:rsid w:val="7B9C009F"/>
    <w:rsid w:val="7BA0C38A"/>
    <w:rsid w:val="7BA1EBCB"/>
    <w:rsid w:val="7BA4C27F"/>
    <w:rsid w:val="7BA57077"/>
    <w:rsid w:val="7BA7F100"/>
    <w:rsid w:val="7BAE4570"/>
    <w:rsid w:val="7BB08598"/>
    <w:rsid w:val="7BB13E2F"/>
    <w:rsid w:val="7BB24AAB"/>
    <w:rsid w:val="7BB7EF9D"/>
    <w:rsid w:val="7BB9CDC5"/>
    <w:rsid w:val="7BBE9864"/>
    <w:rsid w:val="7BC09DCA"/>
    <w:rsid w:val="7BC28292"/>
    <w:rsid w:val="7BC5CA53"/>
    <w:rsid w:val="7BC734A5"/>
    <w:rsid w:val="7BC83ED1"/>
    <w:rsid w:val="7BC92A31"/>
    <w:rsid w:val="7BD428F9"/>
    <w:rsid w:val="7BDCE851"/>
    <w:rsid w:val="7BE068C2"/>
    <w:rsid w:val="7BE1BA9E"/>
    <w:rsid w:val="7BE3FA2C"/>
    <w:rsid w:val="7BE5F44B"/>
    <w:rsid w:val="7BE77406"/>
    <w:rsid w:val="7BE7FD8B"/>
    <w:rsid w:val="7BE85CEC"/>
    <w:rsid w:val="7BEBA0DA"/>
    <w:rsid w:val="7BEDA528"/>
    <w:rsid w:val="7BEDAE1D"/>
    <w:rsid w:val="7BEDB46F"/>
    <w:rsid w:val="7BEF857C"/>
    <w:rsid w:val="7BEFA983"/>
    <w:rsid w:val="7BEFC0AB"/>
    <w:rsid w:val="7BF23592"/>
    <w:rsid w:val="7BF3337A"/>
    <w:rsid w:val="7BF51C62"/>
    <w:rsid w:val="7BF65E32"/>
    <w:rsid w:val="7BF7BEFA"/>
    <w:rsid w:val="7BF8C194"/>
    <w:rsid w:val="7BFA97EF"/>
    <w:rsid w:val="7BFB2B0A"/>
    <w:rsid w:val="7BFC4A5B"/>
    <w:rsid w:val="7BFF0C86"/>
    <w:rsid w:val="7C028979"/>
    <w:rsid w:val="7C084815"/>
    <w:rsid w:val="7C0B4BCB"/>
    <w:rsid w:val="7C0E1E54"/>
    <w:rsid w:val="7C10F0DB"/>
    <w:rsid w:val="7C1EF0D5"/>
    <w:rsid w:val="7C21A2B9"/>
    <w:rsid w:val="7C2211F8"/>
    <w:rsid w:val="7C2226DC"/>
    <w:rsid w:val="7C223992"/>
    <w:rsid w:val="7C2247A3"/>
    <w:rsid w:val="7C235806"/>
    <w:rsid w:val="7C24A964"/>
    <w:rsid w:val="7C26D6A2"/>
    <w:rsid w:val="7C27E0EC"/>
    <w:rsid w:val="7C2A7B86"/>
    <w:rsid w:val="7C2BCB3F"/>
    <w:rsid w:val="7C3118BA"/>
    <w:rsid w:val="7C31B4AB"/>
    <w:rsid w:val="7C4AC2B2"/>
    <w:rsid w:val="7C4D60CF"/>
    <w:rsid w:val="7C516DDD"/>
    <w:rsid w:val="7C5AC63E"/>
    <w:rsid w:val="7C5CFDD3"/>
    <w:rsid w:val="7C617213"/>
    <w:rsid w:val="7C617E27"/>
    <w:rsid w:val="7C6C43C0"/>
    <w:rsid w:val="7C6CEA73"/>
    <w:rsid w:val="7C72D6C9"/>
    <w:rsid w:val="7C735C33"/>
    <w:rsid w:val="7C73D1E5"/>
    <w:rsid w:val="7C747A24"/>
    <w:rsid w:val="7C776DD4"/>
    <w:rsid w:val="7C7FB66B"/>
    <w:rsid w:val="7C839150"/>
    <w:rsid w:val="7C857CCE"/>
    <w:rsid w:val="7C8A21C0"/>
    <w:rsid w:val="7C8A40B9"/>
    <w:rsid w:val="7C90FD73"/>
    <w:rsid w:val="7C92C015"/>
    <w:rsid w:val="7C933224"/>
    <w:rsid w:val="7C9739D4"/>
    <w:rsid w:val="7C9A0F5E"/>
    <w:rsid w:val="7C9BE4CD"/>
    <w:rsid w:val="7C9D4C1F"/>
    <w:rsid w:val="7CA3ECED"/>
    <w:rsid w:val="7CA77CAF"/>
    <w:rsid w:val="7CA7B575"/>
    <w:rsid w:val="7CA864F0"/>
    <w:rsid w:val="7CAC4F9E"/>
    <w:rsid w:val="7CACB2E5"/>
    <w:rsid w:val="7CACE74B"/>
    <w:rsid w:val="7CB45E9D"/>
    <w:rsid w:val="7CB6EAA0"/>
    <w:rsid w:val="7CB7ABB2"/>
    <w:rsid w:val="7CB81D43"/>
    <w:rsid w:val="7CB9BC03"/>
    <w:rsid w:val="7CBD4492"/>
    <w:rsid w:val="7CBF1EED"/>
    <w:rsid w:val="7CC07452"/>
    <w:rsid w:val="7CC07D4E"/>
    <w:rsid w:val="7CC749D6"/>
    <w:rsid w:val="7CC8A908"/>
    <w:rsid w:val="7CCE7BD2"/>
    <w:rsid w:val="7CCF8A2C"/>
    <w:rsid w:val="7CD2C6BF"/>
    <w:rsid w:val="7CD45B3E"/>
    <w:rsid w:val="7CD8BDED"/>
    <w:rsid w:val="7CDADD20"/>
    <w:rsid w:val="7CDAF4E3"/>
    <w:rsid w:val="7CDDADAF"/>
    <w:rsid w:val="7CDDECF0"/>
    <w:rsid w:val="7CE43ADC"/>
    <w:rsid w:val="7CE6753F"/>
    <w:rsid w:val="7CE9939B"/>
    <w:rsid w:val="7CEC0E5C"/>
    <w:rsid w:val="7CF0C57D"/>
    <w:rsid w:val="7CF25A88"/>
    <w:rsid w:val="7CF392A5"/>
    <w:rsid w:val="7CF7BE9E"/>
    <w:rsid w:val="7CF853E3"/>
    <w:rsid w:val="7CFD7B50"/>
    <w:rsid w:val="7CFD8DF5"/>
    <w:rsid w:val="7CFF7212"/>
    <w:rsid w:val="7D048FB4"/>
    <w:rsid w:val="7D087541"/>
    <w:rsid w:val="7D08F518"/>
    <w:rsid w:val="7D0B653D"/>
    <w:rsid w:val="7D14AA4E"/>
    <w:rsid w:val="7D165428"/>
    <w:rsid w:val="7D18105A"/>
    <w:rsid w:val="7D181AD8"/>
    <w:rsid w:val="7D1ACD19"/>
    <w:rsid w:val="7D1B074D"/>
    <w:rsid w:val="7D1EB1AB"/>
    <w:rsid w:val="7D20AEA5"/>
    <w:rsid w:val="7D27BF3A"/>
    <w:rsid w:val="7D2E22DF"/>
    <w:rsid w:val="7D3226E5"/>
    <w:rsid w:val="7D32B732"/>
    <w:rsid w:val="7D32DB2B"/>
    <w:rsid w:val="7D349692"/>
    <w:rsid w:val="7D38A1AF"/>
    <w:rsid w:val="7D447D22"/>
    <w:rsid w:val="7D4DC83A"/>
    <w:rsid w:val="7D520000"/>
    <w:rsid w:val="7D53A3B6"/>
    <w:rsid w:val="7D55799D"/>
    <w:rsid w:val="7D589016"/>
    <w:rsid w:val="7D616689"/>
    <w:rsid w:val="7D628F16"/>
    <w:rsid w:val="7D6533DD"/>
    <w:rsid w:val="7D67B390"/>
    <w:rsid w:val="7D6C8EBB"/>
    <w:rsid w:val="7D6E9B99"/>
    <w:rsid w:val="7D704F8B"/>
    <w:rsid w:val="7D70F956"/>
    <w:rsid w:val="7D7131B0"/>
    <w:rsid w:val="7D794DC9"/>
    <w:rsid w:val="7D7A9F7B"/>
    <w:rsid w:val="7D7B0FE5"/>
    <w:rsid w:val="7D7C3923"/>
    <w:rsid w:val="7D879D49"/>
    <w:rsid w:val="7D936C6A"/>
    <w:rsid w:val="7D957429"/>
    <w:rsid w:val="7D958CDB"/>
    <w:rsid w:val="7D964044"/>
    <w:rsid w:val="7D9CC927"/>
    <w:rsid w:val="7D9D0081"/>
    <w:rsid w:val="7D9F3491"/>
    <w:rsid w:val="7DA63C60"/>
    <w:rsid w:val="7DAE103A"/>
    <w:rsid w:val="7DAF0A53"/>
    <w:rsid w:val="7DB16524"/>
    <w:rsid w:val="7DB215FE"/>
    <w:rsid w:val="7DB2E53C"/>
    <w:rsid w:val="7DB4E4FE"/>
    <w:rsid w:val="7DB64D56"/>
    <w:rsid w:val="7DBCD58D"/>
    <w:rsid w:val="7DBD81D9"/>
    <w:rsid w:val="7DBF74E1"/>
    <w:rsid w:val="7DC0CF88"/>
    <w:rsid w:val="7DC3102F"/>
    <w:rsid w:val="7DC7726F"/>
    <w:rsid w:val="7DCB9766"/>
    <w:rsid w:val="7DD363E7"/>
    <w:rsid w:val="7DD3ABEA"/>
    <w:rsid w:val="7DD744B2"/>
    <w:rsid w:val="7DDA878F"/>
    <w:rsid w:val="7DDE5B50"/>
    <w:rsid w:val="7DE297AC"/>
    <w:rsid w:val="7DE368DD"/>
    <w:rsid w:val="7DE659DC"/>
    <w:rsid w:val="7DF139DC"/>
    <w:rsid w:val="7DF32E74"/>
    <w:rsid w:val="7DF39A68"/>
    <w:rsid w:val="7DF88C2A"/>
    <w:rsid w:val="7DF91FFE"/>
    <w:rsid w:val="7DFB8569"/>
    <w:rsid w:val="7DFD0542"/>
    <w:rsid w:val="7E04E0DB"/>
    <w:rsid w:val="7E0674C9"/>
    <w:rsid w:val="7E07A114"/>
    <w:rsid w:val="7E0BCF87"/>
    <w:rsid w:val="7E0D2E03"/>
    <w:rsid w:val="7E12BA14"/>
    <w:rsid w:val="7E1489B4"/>
    <w:rsid w:val="7E162476"/>
    <w:rsid w:val="7E1969B4"/>
    <w:rsid w:val="7E1E9FFC"/>
    <w:rsid w:val="7E1F3E47"/>
    <w:rsid w:val="7E231D54"/>
    <w:rsid w:val="7E237F88"/>
    <w:rsid w:val="7E254F1C"/>
    <w:rsid w:val="7E287154"/>
    <w:rsid w:val="7E2A6DAF"/>
    <w:rsid w:val="7E2D5A1F"/>
    <w:rsid w:val="7E2D6D66"/>
    <w:rsid w:val="7E348074"/>
    <w:rsid w:val="7E3624EC"/>
    <w:rsid w:val="7E371E90"/>
    <w:rsid w:val="7E48F5CA"/>
    <w:rsid w:val="7E49FDE4"/>
    <w:rsid w:val="7E4AEBEB"/>
    <w:rsid w:val="7E4EA7E6"/>
    <w:rsid w:val="7E5035A2"/>
    <w:rsid w:val="7E55D8EC"/>
    <w:rsid w:val="7E56A428"/>
    <w:rsid w:val="7E579B37"/>
    <w:rsid w:val="7E594E0D"/>
    <w:rsid w:val="7E598626"/>
    <w:rsid w:val="7E5CEF46"/>
    <w:rsid w:val="7E675F92"/>
    <w:rsid w:val="7E6B8F47"/>
    <w:rsid w:val="7E6C1F78"/>
    <w:rsid w:val="7E6C7E89"/>
    <w:rsid w:val="7E726A26"/>
    <w:rsid w:val="7E72A7B5"/>
    <w:rsid w:val="7E737FDB"/>
    <w:rsid w:val="7E73DBFA"/>
    <w:rsid w:val="7E76ABBC"/>
    <w:rsid w:val="7E79E279"/>
    <w:rsid w:val="7E7B011F"/>
    <w:rsid w:val="7E7C49F6"/>
    <w:rsid w:val="7E7E6D7E"/>
    <w:rsid w:val="7E89CEB8"/>
    <w:rsid w:val="7E8CB5D7"/>
    <w:rsid w:val="7E8F6B90"/>
    <w:rsid w:val="7E92C360"/>
    <w:rsid w:val="7E94F11A"/>
    <w:rsid w:val="7E950259"/>
    <w:rsid w:val="7E989B8D"/>
    <w:rsid w:val="7E994794"/>
    <w:rsid w:val="7E998574"/>
    <w:rsid w:val="7E9B9B17"/>
    <w:rsid w:val="7E9F9D28"/>
    <w:rsid w:val="7EA69325"/>
    <w:rsid w:val="7EA97ECB"/>
    <w:rsid w:val="7EAB442F"/>
    <w:rsid w:val="7EAE9890"/>
    <w:rsid w:val="7EB1FB5E"/>
    <w:rsid w:val="7EB2E0D6"/>
    <w:rsid w:val="7EBBC966"/>
    <w:rsid w:val="7EC3D22D"/>
    <w:rsid w:val="7ECB499A"/>
    <w:rsid w:val="7ECC438B"/>
    <w:rsid w:val="7ECC534F"/>
    <w:rsid w:val="7ECC8E9D"/>
    <w:rsid w:val="7ED73E78"/>
    <w:rsid w:val="7EDD2CD4"/>
    <w:rsid w:val="7EDE60EC"/>
    <w:rsid w:val="7EE1CF39"/>
    <w:rsid w:val="7EE3F9E7"/>
    <w:rsid w:val="7EE5E8CB"/>
    <w:rsid w:val="7EE8952C"/>
    <w:rsid w:val="7EECBEF3"/>
    <w:rsid w:val="7EFCCFE4"/>
    <w:rsid w:val="7EFEB092"/>
    <w:rsid w:val="7EFF74C5"/>
    <w:rsid w:val="7F03E56B"/>
    <w:rsid w:val="7F04A73C"/>
    <w:rsid w:val="7F07B1D6"/>
    <w:rsid w:val="7F085E6A"/>
    <w:rsid w:val="7F088D14"/>
    <w:rsid w:val="7F092CE4"/>
    <w:rsid w:val="7F0E0AB6"/>
    <w:rsid w:val="7F0F0C24"/>
    <w:rsid w:val="7F13F0CF"/>
    <w:rsid w:val="7F1C1017"/>
    <w:rsid w:val="7F1FFBC9"/>
    <w:rsid w:val="7F217E4C"/>
    <w:rsid w:val="7F2535D4"/>
    <w:rsid w:val="7F28CEF2"/>
    <w:rsid w:val="7F29CA8F"/>
    <w:rsid w:val="7F2BAC5C"/>
    <w:rsid w:val="7F2EF765"/>
    <w:rsid w:val="7F2FB309"/>
    <w:rsid w:val="7F34874E"/>
    <w:rsid w:val="7F383B2D"/>
    <w:rsid w:val="7F3AE626"/>
    <w:rsid w:val="7F3CF38A"/>
    <w:rsid w:val="7F424587"/>
    <w:rsid w:val="7F424EA9"/>
    <w:rsid w:val="7F4314C6"/>
    <w:rsid w:val="7F4447E6"/>
    <w:rsid w:val="7F4702F4"/>
    <w:rsid w:val="7F4BA33A"/>
    <w:rsid w:val="7F4BC6EE"/>
    <w:rsid w:val="7F4E1A1A"/>
    <w:rsid w:val="7F5376EF"/>
    <w:rsid w:val="7F53D5CE"/>
    <w:rsid w:val="7F576142"/>
    <w:rsid w:val="7F58D5F8"/>
    <w:rsid w:val="7F59335B"/>
    <w:rsid w:val="7F5A4AB5"/>
    <w:rsid w:val="7F670809"/>
    <w:rsid w:val="7F6AE8FA"/>
    <w:rsid w:val="7F6AF61F"/>
    <w:rsid w:val="7F6DD305"/>
    <w:rsid w:val="7F85F69B"/>
    <w:rsid w:val="7F867624"/>
    <w:rsid w:val="7F8A538C"/>
    <w:rsid w:val="7F8D96AF"/>
    <w:rsid w:val="7F8DA2F5"/>
    <w:rsid w:val="7F8EB834"/>
    <w:rsid w:val="7F94090A"/>
    <w:rsid w:val="7F9A00CB"/>
    <w:rsid w:val="7F9BC2A1"/>
    <w:rsid w:val="7FA5FF1E"/>
    <w:rsid w:val="7FA67154"/>
    <w:rsid w:val="7FA92BCB"/>
    <w:rsid w:val="7FAE90A4"/>
    <w:rsid w:val="7FBAD3F8"/>
    <w:rsid w:val="7FBC7CFE"/>
    <w:rsid w:val="7FC7055C"/>
    <w:rsid w:val="7FCF07F8"/>
    <w:rsid w:val="7FD0AADF"/>
    <w:rsid w:val="7FD8D08A"/>
    <w:rsid w:val="7FDF8E74"/>
    <w:rsid w:val="7FE0796A"/>
    <w:rsid w:val="7FE2728D"/>
    <w:rsid w:val="7FEA496A"/>
    <w:rsid w:val="7FEC20BC"/>
    <w:rsid w:val="7FECAD29"/>
    <w:rsid w:val="7FF1D26B"/>
    <w:rsid w:val="7FF64A26"/>
    <w:rsid w:val="7FF70F59"/>
    <w:rsid w:val="7FF76B25"/>
    <w:rsid w:val="7FF84CAB"/>
    <w:rsid w:val="7FFA6980"/>
    <w:rsid w:val="7FFA6A7F"/>
    <w:rsid w:val="7FFDC09B"/>
    <w:rsid w:val="7FFF67AB"/>
    <w:rsid w:val="7FFFD2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5" w:qFormat="1"/>
    <w:lsdException w:name="List Number" w:uiPriority="98"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uiPriority="98"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E4C"/>
    <w:pPr>
      <w:spacing w:after="200" w:line="276" w:lineRule="auto"/>
    </w:pPr>
  </w:style>
  <w:style w:type="paragraph" w:styleId="Heading1">
    <w:name w:val="heading 1"/>
    <w:basedOn w:val="Normal"/>
    <w:next w:val="Normal"/>
    <w:link w:val="Heading1Char"/>
    <w:uiPriority w:val="9"/>
    <w:qFormat/>
    <w:rsid w:val="0012041E"/>
    <w:pPr>
      <w:keepNext/>
      <w:keepLines/>
      <w:outlineLvl w:val="0"/>
    </w:pPr>
    <w:rPr>
      <w:rFonts w:ascii="Calibri Light" w:eastAsia="Times New Roman" w:hAnsi="Calibri Light" w:cs="Times New Roman"/>
      <w:b/>
      <w:bCs/>
      <w:color w:val="002C3E" w:themeColor="background2"/>
      <w:sz w:val="44"/>
      <w:szCs w:val="44"/>
      <w:lang w:eastAsia="en-AU"/>
    </w:rPr>
  </w:style>
  <w:style w:type="paragraph" w:styleId="Heading2">
    <w:name w:val="heading 2"/>
    <w:basedOn w:val="Normal"/>
    <w:next w:val="Normal"/>
    <w:link w:val="Heading2Char"/>
    <w:uiPriority w:val="9"/>
    <w:unhideWhenUsed/>
    <w:qFormat/>
    <w:rsid w:val="0012041E"/>
    <w:pPr>
      <w:keepNext/>
      <w:keepLines/>
      <w:spacing w:after="240" w:line="240" w:lineRule="auto"/>
      <w:outlineLvl w:val="1"/>
    </w:pPr>
    <w:rPr>
      <w:rFonts w:ascii="Calibri Light" w:eastAsia="Yu Gothic Light" w:hAnsi="Calibri Light" w:cs="Times New Roman"/>
      <w:b/>
      <w:color w:val="002C3E" w:themeColor="background2"/>
      <w:sz w:val="36"/>
      <w:szCs w:val="36"/>
    </w:rPr>
  </w:style>
  <w:style w:type="paragraph" w:styleId="Heading3">
    <w:name w:val="heading 3"/>
    <w:basedOn w:val="Normal"/>
    <w:next w:val="Normal"/>
    <w:link w:val="Heading3Char"/>
    <w:uiPriority w:val="9"/>
    <w:unhideWhenUsed/>
    <w:qFormat/>
    <w:rsid w:val="00E73BBF"/>
    <w:pPr>
      <w:keepNext/>
      <w:keepLines/>
      <w:spacing w:before="240" w:after="120" w:line="240" w:lineRule="auto"/>
      <w:outlineLvl w:val="2"/>
    </w:pPr>
    <w:rPr>
      <w:rFonts w:ascii="Calibri Light" w:eastAsia="Times New Roman" w:hAnsi="Calibri Light" w:cs="Times New Roman"/>
      <w:b/>
      <w:color w:val="002C3E"/>
      <w:sz w:val="32"/>
      <w:szCs w:val="32"/>
      <w:lang w:eastAsia="en-AU"/>
    </w:rPr>
  </w:style>
  <w:style w:type="paragraph" w:styleId="Heading4">
    <w:name w:val="heading 4"/>
    <w:basedOn w:val="Normal"/>
    <w:next w:val="Normal"/>
    <w:link w:val="Heading4Char"/>
    <w:uiPriority w:val="9"/>
    <w:unhideWhenUsed/>
    <w:qFormat/>
    <w:rsid w:val="00020D82"/>
    <w:pPr>
      <w:keepNext/>
      <w:keepLines/>
      <w:spacing w:before="240" w:after="0"/>
      <w:outlineLvl w:val="3"/>
    </w:pPr>
    <w:rPr>
      <w:rFonts w:ascii="Calibri" w:eastAsia="Yu Gothic Light" w:hAnsi="Calibri" w:cs="Calibri"/>
      <w:b/>
      <w:color w:val="002C3E" w:themeColor="background2"/>
      <w:sz w:val="28"/>
      <w:szCs w:val="28"/>
      <w:lang w:eastAsia="en-AU"/>
    </w:rPr>
  </w:style>
  <w:style w:type="paragraph" w:styleId="Heading5">
    <w:name w:val="heading 5"/>
    <w:basedOn w:val="Normal"/>
    <w:next w:val="Normal"/>
    <w:link w:val="Heading5Char"/>
    <w:uiPriority w:val="9"/>
    <w:unhideWhenUsed/>
    <w:qFormat/>
    <w:rsid w:val="004A71CF"/>
    <w:pPr>
      <w:keepNext/>
      <w:spacing w:before="240" w:after="0"/>
      <w:outlineLvl w:val="4"/>
    </w:pPr>
    <w:rPr>
      <w:rFonts w:ascii="Calibri" w:eastAsia="Calibri" w:hAnsi="Calibri" w:cs="Calibri"/>
      <w:b/>
      <w:sz w:val="24"/>
      <w:szCs w:val="24"/>
    </w:rPr>
  </w:style>
  <w:style w:type="paragraph" w:styleId="Heading6">
    <w:name w:val="heading 6"/>
    <w:basedOn w:val="Normal"/>
    <w:next w:val="Normal"/>
    <w:link w:val="Heading6Char"/>
    <w:uiPriority w:val="9"/>
    <w:unhideWhenUsed/>
    <w:qFormat/>
    <w:rsid w:val="002E5BAD"/>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ECF52"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Bold"/>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4F9E"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AERO basic table"/>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041E"/>
    <w:rPr>
      <w:rFonts w:ascii="Calibri Light" w:eastAsia="Times New Roman" w:hAnsi="Calibri Light" w:cs="Times New Roman"/>
      <w:b/>
      <w:bCs/>
      <w:color w:val="002C3E" w:themeColor="background2"/>
      <w:sz w:val="44"/>
      <w:szCs w:val="44"/>
      <w:lang w:eastAsia="en-AU"/>
    </w:rPr>
  </w:style>
  <w:style w:type="character" w:customStyle="1" w:styleId="Heading2Char">
    <w:name w:val="Heading 2 Char"/>
    <w:basedOn w:val="DefaultParagraphFont"/>
    <w:link w:val="Heading2"/>
    <w:uiPriority w:val="9"/>
    <w:rsid w:val="0012041E"/>
    <w:rPr>
      <w:rFonts w:ascii="Calibri Light" w:eastAsia="Yu Gothic Light" w:hAnsi="Calibri Light" w:cs="Times New Roman"/>
      <w:b/>
      <w:color w:val="002C3E" w:themeColor="background2"/>
      <w:sz w:val="36"/>
      <w:szCs w:val="36"/>
    </w:rPr>
  </w:style>
  <w:style w:type="character" w:customStyle="1" w:styleId="Heading3Char">
    <w:name w:val="Heading 3 Char"/>
    <w:basedOn w:val="DefaultParagraphFont"/>
    <w:link w:val="Heading3"/>
    <w:uiPriority w:val="9"/>
    <w:rsid w:val="00E73BBF"/>
    <w:rPr>
      <w:rFonts w:ascii="Calibri Light" w:eastAsia="Times New Roman" w:hAnsi="Calibri Light" w:cs="Times New Roman"/>
      <w:b/>
      <w:color w:val="002C3E"/>
      <w:sz w:val="32"/>
      <w:szCs w:val="32"/>
      <w:lang w:eastAsia="en-AU"/>
    </w:rPr>
  </w:style>
  <w:style w:type="character" w:customStyle="1" w:styleId="Heading4Char">
    <w:name w:val="Heading 4 Char"/>
    <w:basedOn w:val="DefaultParagraphFont"/>
    <w:link w:val="Heading4"/>
    <w:uiPriority w:val="9"/>
    <w:rsid w:val="00020D82"/>
    <w:rPr>
      <w:rFonts w:ascii="Calibri" w:eastAsia="Yu Gothic Light" w:hAnsi="Calibri" w:cs="Calibri"/>
      <w:b/>
      <w:color w:val="002C3E" w:themeColor="background2"/>
      <w:sz w:val="28"/>
      <w:szCs w:val="28"/>
      <w:lang w:eastAsia="en-AU"/>
    </w:rPr>
  </w:style>
  <w:style w:type="character" w:customStyle="1" w:styleId="Heading5Char">
    <w:name w:val="Heading 5 Char"/>
    <w:basedOn w:val="DefaultParagraphFont"/>
    <w:link w:val="Heading5"/>
    <w:uiPriority w:val="9"/>
    <w:rsid w:val="004A71CF"/>
    <w:rPr>
      <w:rFonts w:ascii="Calibri" w:eastAsia="Calibri" w:hAnsi="Calibri" w:cs="Calibri"/>
      <w:b/>
      <w:sz w:val="24"/>
      <w:szCs w:val="24"/>
    </w:rPr>
  </w:style>
  <w:style w:type="character" w:customStyle="1" w:styleId="Heading6Char">
    <w:name w:val="Heading 6 Char"/>
    <w:basedOn w:val="DefaultParagraphFont"/>
    <w:link w:val="Heading6"/>
    <w:uiPriority w:val="9"/>
    <w:rsid w:val="002E5BAD"/>
    <w:rPr>
      <w:rFonts w:asciiTheme="majorHAnsi" w:eastAsiaTheme="majorEastAsia" w:hAnsiTheme="majorHAnsi" w:cstheme="majorBidi"/>
      <w:b/>
      <w:color w:val="5F636A"/>
    </w:rPr>
  </w:style>
  <w:style w:type="table" w:styleId="ListTable4-Accent1">
    <w:name w:val="List Table 4 Accent 1"/>
    <w:basedOn w:val="TableNormal"/>
    <w:uiPriority w:val="49"/>
    <w:rsid w:val="00D13C16"/>
    <w:pPr>
      <w:spacing w:after="0" w:line="240" w:lineRule="auto"/>
    </w:pPr>
    <w:tblPr>
      <w:tblStyleRowBandSize w:val="1"/>
      <w:tblStyleColBandSize w:val="1"/>
      <w:tblBorders>
        <w:top w:val="single" w:sz="4" w:space="0" w:color="F4CC6F" w:themeColor="accent1" w:themeTint="99"/>
        <w:left w:val="single" w:sz="4" w:space="0" w:color="F4CC6F" w:themeColor="accent1" w:themeTint="99"/>
        <w:bottom w:val="single" w:sz="4" w:space="0" w:color="F4CC6F" w:themeColor="accent1" w:themeTint="99"/>
        <w:right w:val="single" w:sz="4" w:space="0" w:color="F4CC6F" w:themeColor="accent1" w:themeTint="99"/>
        <w:insideH w:val="single" w:sz="4" w:space="0" w:color="F4CC6F" w:themeColor="accent1" w:themeTint="99"/>
      </w:tblBorders>
    </w:tblPr>
    <w:tblStylePr w:type="firstRow">
      <w:rPr>
        <w:b/>
        <w:bCs/>
        <w:color w:val="FFFFFF" w:themeColor="background1"/>
      </w:rPr>
      <w:tblPr/>
      <w:tcPr>
        <w:tcBorders>
          <w:top w:val="single" w:sz="4" w:space="0" w:color="EBAB12" w:themeColor="accent1"/>
          <w:left w:val="single" w:sz="4" w:space="0" w:color="EBAB12" w:themeColor="accent1"/>
          <w:bottom w:val="single" w:sz="4" w:space="0" w:color="EBAB12" w:themeColor="accent1"/>
          <w:right w:val="single" w:sz="4" w:space="0" w:color="EBAB12" w:themeColor="accent1"/>
          <w:insideH w:val="nil"/>
        </w:tcBorders>
        <w:shd w:val="clear" w:color="auto" w:fill="EBAB12" w:themeFill="accent1"/>
      </w:tcPr>
    </w:tblStylePr>
    <w:tblStylePr w:type="lastRow">
      <w:rPr>
        <w:b/>
        <w:bCs/>
      </w:rPr>
      <w:tblPr/>
      <w:tcPr>
        <w:tcBorders>
          <w:top w:val="double" w:sz="4" w:space="0" w:color="F4CC6F" w:themeColor="accent1" w:themeTint="99"/>
        </w:tcBorders>
      </w:tcPr>
    </w:tblStylePr>
    <w:tblStylePr w:type="firstCol">
      <w:rPr>
        <w:b/>
        <w:bCs/>
      </w:rPr>
    </w:tblStylePr>
    <w:tblStylePr w:type="lastCol">
      <w:rPr>
        <w:b/>
        <w:bCs/>
      </w:rPr>
    </w:tblStylePr>
    <w:tblStylePr w:type="band1Vert">
      <w:tblPr/>
      <w:tcPr>
        <w:shd w:val="clear" w:color="auto" w:fill="FBEECF" w:themeFill="accent1" w:themeFillTint="33"/>
      </w:tcPr>
    </w:tblStylePr>
    <w:tblStylePr w:type="band1Horz">
      <w:tblPr/>
      <w:tcPr>
        <w:shd w:val="clear" w:color="auto" w:fill="FBEECF" w:themeFill="accent1" w:themeFillTint="33"/>
      </w:tcPr>
    </w:tblStyle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ECF52"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FFFFF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FFFFFF" w:themeColor="accent4"/>
      <w:spacing w:val="15"/>
      <w:sz w:val="40"/>
    </w:rPr>
  </w:style>
  <w:style w:type="paragraph" w:styleId="List">
    <w:name w:val="List"/>
    <w:basedOn w:val="Normal"/>
    <w:uiPriority w:val="98"/>
    <w:qFormat/>
    <w:rsid w:val="009F2264"/>
    <w:pPr>
      <w:numPr>
        <w:numId w:val="20"/>
      </w:numPr>
      <w:contextualSpacing/>
    </w:pPr>
  </w:style>
  <w:style w:type="paragraph" w:styleId="List2">
    <w:name w:val="List 2"/>
    <w:basedOn w:val="Normal"/>
    <w:uiPriority w:val="98"/>
    <w:qFormat/>
    <w:rsid w:val="00F85913"/>
    <w:pPr>
      <w:numPr>
        <w:ilvl w:val="1"/>
        <w:numId w:val="20"/>
      </w:numPr>
      <w:contextualSpacing/>
    </w:pPr>
  </w:style>
  <w:style w:type="paragraph" w:styleId="List3">
    <w:name w:val="List 3"/>
    <w:basedOn w:val="Normal"/>
    <w:uiPriority w:val="98"/>
    <w:qFormat/>
    <w:rsid w:val="00BC248C"/>
    <w:pPr>
      <w:numPr>
        <w:ilvl w:val="2"/>
        <w:numId w:val="20"/>
      </w:numPr>
      <w:contextualSpacing/>
    </w:pPr>
  </w:style>
  <w:style w:type="paragraph" w:styleId="List4">
    <w:name w:val="List 4"/>
    <w:basedOn w:val="Normal"/>
    <w:uiPriority w:val="98"/>
    <w:qFormat/>
    <w:rsid w:val="00BC248C"/>
    <w:pPr>
      <w:numPr>
        <w:ilvl w:val="3"/>
        <w:numId w:val="20"/>
      </w:numPr>
      <w:contextualSpacing/>
    </w:pPr>
  </w:style>
  <w:style w:type="paragraph" w:styleId="ListNumber">
    <w:name w:val="List Number"/>
    <w:basedOn w:val="Normal"/>
    <w:uiPriority w:val="98"/>
    <w:qFormat/>
    <w:rsid w:val="00276047"/>
    <w:pPr>
      <w:numPr>
        <w:numId w:val="17"/>
      </w:numPr>
      <w:contextualSpacing/>
    </w:pPr>
  </w:style>
  <w:style w:type="paragraph" w:styleId="ListNumber2">
    <w:name w:val="List Number 2"/>
    <w:basedOn w:val="Normal"/>
    <w:uiPriority w:val="98"/>
    <w:qFormat/>
    <w:rsid w:val="00276047"/>
    <w:pPr>
      <w:ind w:left="360" w:hanging="360"/>
      <w:contextualSpacing/>
    </w:pPr>
  </w:style>
  <w:style w:type="paragraph" w:styleId="ListNumber3">
    <w:name w:val="List Number 3"/>
    <w:basedOn w:val="Normal"/>
    <w:uiPriority w:val="98"/>
    <w:qFormat/>
    <w:rsid w:val="00950B06"/>
    <w:pPr>
      <w:numPr>
        <w:ilvl w:val="2"/>
        <w:numId w:val="17"/>
      </w:numPr>
      <w:contextualSpacing/>
    </w:pPr>
  </w:style>
  <w:style w:type="paragraph" w:styleId="ListNumber4">
    <w:name w:val="List Number 4"/>
    <w:basedOn w:val="Normal"/>
    <w:uiPriority w:val="98"/>
    <w:qFormat/>
    <w:rsid w:val="0012343A"/>
    <w:pPr>
      <w:numPr>
        <w:ilvl w:val="3"/>
        <w:numId w:val="17"/>
      </w:numPr>
      <w:contextualSpacing/>
    </w:pPr>
  </w:style>
  <w:style w:type="paragraph" w:styleId="ListBullet">
    <w:name w:val="List Bullet"/>
    <w:basedOn w:val="Normal"/>
    <w:uiPriority w:val="5"/>
    <w:qFormat/>
    <w:rsid w:val="006A127F"/>
    <w:pPr>
      <w:tabs>
        <w:tab w:val="num" w:pos="360"/>
      </w:tabs>
      <w:spacing w:after="120"/>
      <w:ind w:left="360" w:hanging="360"/>
      <w:contextualSpacing/>
    </w:pPr>
    <w:rPr>
      <w:rFonts w:ascii="Calibri" w:eastAsia="Calibri" w:hAnsi="Calibri" w:cs="Calibri"/>
    </w:rPr>
  </w:style>
  <w:style w:type="paragraph" w:styleId="ListBullet2">
    <w:name w:val="List Bullet 2"/>
    <w:basedOn w:val="ListBullet"/>
    <w:uiPriority w:val="98"/>
    <w:qFormat/>
    <w:rsid w:val="004D606E"/>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F76C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C3E"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BE5A87"/>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AF1F18"/>
    <w:pPr>
      <w:spacing w:before="240" w:after="0"/>
    </w:pPr>
    <w:rPr>
      <w:rFonts w:cstheme="minorHAnsi"/>
      <w:b/>
      <w:bCs/>
      <w:sz w:val="20"/>
      <w:szCs w:val="20"/>
    </w:rPr>
  </w:style>
  <w:style w:type="paragraph" w:styleId="TOC3">
    <w:name w:val="toc 3"/>
    <w:basedOn w:val="Normal"/>
    <w:next w:val="Normal"/>
    <w:autoRedefine/>
    <w:uiPriority w:val="39"/>
    <w:unhideWhenUsed/>
    <w:rsid w:val="00AF1F18"/>
    <w:pPr>
      <w:spacing w:after="0"/>
      <w:ind w:left="220"/>
    </w:pPr>
    <w:rPr>
      <w:rFonts w:cstheme="minorHAnsi"/>
      <w:sz w:val="20"/>
      <w:szCs w:val="20"/>
    </w:rPr>
  </w:style>
  <w:style w:type="paragraph" w:styleId="TOCHeading">
    <w:name w:val="TOC Heading"/>
    <w:basedOn w:val="Heading1"/>
    <w:next w:val="Normal"/>
    <w:uiPriority w:val="39"/>
    <w:unhideWhenUsed/>
    <w:qFormat/>
    <w:rsid w:val="002E5BAD"/>
    <w:pPr>
      <w:spacing w:after="240" w:line="259" w:lineRule="auto"/>
      <w:outlineLvl w:val="9"/>
    </w:pPr>
    <w:rPr>
      <w:b w:val="0"/>
      <w:color w:val="004F9E" w:themeColor="text2"/>
      <w:lang w:val="en-US"/>
    </w:rPr>
  </w:style>
  <w:style w:type="numbering" w:customStyle="1" w:styleId="CurrentList2">
    <w:name w:val="Current List2"/>
    <w:uiPriority w:val="99"/>
    <w:rsid w:val="000C715B"/>
    <w:pPr>
      <w:numPr>
        <w:numId w:val="93"/>
      </w:numPr>
    </w:pPr>
  </w:style>
  <w:style w:type="numbering" w:customStyle="1" w:styleId="NoList1">
    <w:name w:val="No List1"/>
    <w:next w:val="NoList"/>
    <w:uiPriority w:val="99"/>
    <w:semiHidden/>
    <w:unhideWhenUsed/>
    <w:rsid w:val="00B707E9"/>
  </w:style>
  <w:style w:type="numbering" w:customStyle="1" w:styleId="CurrentList1">
    <w:name w:val="Current List1"/>
    <w:uiPriority w:val="99"/>
    <w:rsid w:val="004D4DA8"/>
    <w:pPr>
      <w:numPr>
        <w:numId w:val="92"/>
      </w:numPr>
    </w:pPr>
  </w:style>
  <w:style w:type="character" w:styleId="FollowedHyperlink">
    <w:name w:val="FollowedHyperlink"/>
    <w:basedOn w:val="DefaultParagraphFont"/>
    <w:uiPriority w:val="99"/>
    <w:semiHidden/>
    <w:unhideWhenUsed/>
    <w:rsid w:val="00B707E9"/>
    <w:rPr>
      <w:color w:val="800080"/>
      <w:u w:val="single"/>
    </w:rPr>
  </w:style>
  <w:style w:type="character" w:customStyle="1" w:styleId="superscript">
    <w:name w:val="superscript"/>
    <w:basedOn w:val="DefaultParagraphFont"/>
    <w:rsid w:val="00B707E9"/>
  </w:style>
  <w:style w:type="character" w:styleId="CommentReference">
    <w:name w:val="annotation reference"/>
    <w:basedOn w:val="DefaultParagraphFont"/>
    <w:uiPriority w:val="99"/>
    <w:semiHidden/>
    <w:unhideWhenUsed/>
    <w:rsid w:val="00665521"/>
    <w:rPr>
      <w:sz w:val="16"/>
      <w:szCs w:val="16"/>
    </w:rPr>
  </w:style>
  <w:style w:type="paragraph" w:styleId="CommentText">
    <w:name w:val="annotation text"/>
    <w:basedOn w:val="Normal"/>
    <w:link w:val="CommentTextChar"/>
    <w:uiPriority w:val="99"/>
    <w:unhideWhenUsed/>
    <w:rsid w:val="00665521"/>
    <w:pPr>
      <w:spacing w:line="240" w:lineRule="auto"/>
    </w:pPr>
    <w:rPr>
      <w:sz w:val="20"/>
      <w:szCs w:val="20"/>
    </w:rPr>
  </w:style>
  <w:style w:type="character" w:customStyle="1" w:styleId="CommentTextChar">
    <w:name w:val="Comment Text Char"/>
    <w:basedOn w:val="DefaultParagraphFont"/>
    <w:link w:val="CommentText"/>
    <w:uiPriority w:val="99"/>
    <w:rsid w:val="00665521"/>
    <w:rPr>
      <w:sz w:val="20"/>
      <w:szCs w:val="20"/>
    </w:rPr>
  </w:style>
  <w:style w:type="paragraph" w:styleId="CommentSubject">
    <w:name w:val="annotation subject"/>
    <w:basedOn w:val="CommentText"/>
    <w:next w:val="CommentText"/>
    <w:link w:val="CommentSubjectChar"/>
    <w:uiPriority w:val="99"/>
    <w:semiHidden/>
    <w:unhideWhenUsed/>
    <w:rsid w:val="00665521"/>
    <w:rPr>
      <w:b/>
      <w:bCs/>
    </w:rPr>
  </w:style>
  <w:style w:type="character" w:customStyle="1" w:styleId="CommentSubjectChar">
    <w:name w:val="Comment Subject Char"/>
    <w:basedOn w:val="CommentTextChar"/>
    <w:link w:val="CommentSubject"/>
    <w:uiPriority w:val="99"/>
    <w:semiHidden/>
    <w:rsid w:val="00665521"/>
    <w:rPr>
      <w:b/>
      <w:bCs/>
      <w:sz w:val="20"/>
      <w:szCs w:val="20"/>
    </w:rPr>
  </w:style>
  <w:style w:type="character" w:styleId="Emphasis">
    <w:name w:val="Emphasis"/>
    <w:basedOn w:val="DefaultParagraphFont"/>
    <w:uiPriority w:val="20"/>
    <w:qFormat/>
    <w:rsid w:val="00EB0567"/>
    <w:rPr>
      <w:i/>
      <w:iCs/>
    </w:rPr>
  </w:style>
  <w:style w:type="paragraph" w:styleId="Revision">
    <w:name w:val="Revision"/>
    <w:hidden/>
    <w:uiPriority w:val="99"/>
    <w:semiHidden/>
    <w:rsid w:val="00166183"/>
    <w:pPr>
      <w:spacing w:after="0" w:line="240" w:lineRule="auto"/>
    </w:pPr>
  </w:style>
  <w:style w:type="paragraph" w:customStyle="1" w:styleId="NormalTextBulleted">
    <w:name w:val="Normal Text Bulleted"/>
    <w:basedOn w:val="Normal"/>
    <w:link w:val="NormalTextBulletedChar"/>
    <w:qFormat/>
    <w:rsid w:val="007735CB"/>
    <w:pPr>
      <w:numPr>
        <w:numId w:val="21"/>
      </w:numPr>
      <w:spacing w:after="160"/>
      <w:contextualSpacing/>
    </w:pPr>
    <w:rPr>
      <w:rFonts w:ascii="Arial" w:eastAsia="Times New Roman" w:hAnsi="Arial" w:cs="Open Sans"/>
      <w:sz w:val="20"/>
    </w:rPr>
  </w:style>
  <w:style w:type="character" w:customStyle="1" w:styleId="NormalTextBulletedChar">
    <w:name w:val="Normal Text Bulleted Char"/>
    <w:basedOn w:val="DefaultParagraphFont"/>
    <w:link w:val="NormalTextBulleted"/>
    <w:rsid w:val="007735CB"/>
    <w:rPr>
      <w:rFonts w:ascii="Arial" w:eastAsia="Times New Roman" w:hAnsi="Arial" w:cs="Open Sans"/>
      <w:sz w:val="20"/>
    </w:rPr>
  </w:style>
  <w:style w:type="numbering" w:customStyle="1" w:styleId="Bulleted">
    <w:name w:val="Bulleted"/>
    <w:basedOn w:val="NoList"/>
    <w:uiPriority w:val="99"/>
    <w:rsid w:val="007735CB"/>
    <w:pPr>
      <w:numPr>
        <w:numId w:val="41"/>
      </w:numPr>
    </w:pPr>
  </w:style>
  <w:style w:type="paragraph" w:customStyle="1" w:styleId="NormalTextNumbered">
    <w:name w:val="Normal Text Numbered"/>
    <w:basedOn w:val="Normal"/>
    <w:link w:val="NormalTextNumberedChar"/>
    <w:qFormat/>
    <w:rsid w:val="006A127F"/>
    <w:pPr>
      <w:numPr>
        <w:numId w:val="28"/>
      </w:numPr>
      <w:spacing w:after="0"/>
      <w:ind w:left="284" w:hanging="284"/>
      <w:contextualSpacing/>
    </w:pPr>
    <w:rPr>
      <w:rFonts w:eastAsia="Arial" w:cstheme="minorHAnsi"/>
      <w:b/>
      <w:bCs/>
    </w:rPr>
  </w:style>
  <w:style w:type="character" w:customStyle="1" w:styleId="NormalTextNumberedChar">
    <w:name w:val="Normal Text Numbered Char"/>
    <w:basedOn w:val="DefaultParagraphFont"/>
    <w:link w:val="NormalTextNumbered"/>
    <w:rsid w:val="009F06A0"/>
    <w:rPr>
      <w:rFonts w:eastAsia="Arial" w:cstheme="minorHAnsi"/>
      <w:b/>
      <w:bCs/>
    </w:rPr>
  </w:style>
  <w:style w:type="paragraph" w:customStyle="1" w:styleId="References">
    <w:name w:val="References"/>
    <w:basedOn w:val="Normal"/>
    <w:next w:val="Normal"/>
    <w:qFormat/>
    <w:rsid w:val="00247519"/>
    <w:pPr>
      <w:spacing w:after="60"/>
      <w:ind w:left="284" w:hanging="284"/>
    </w:pPr>
    <w:rPr>
      <w:rFonts w:ascii="Arial" w:eastAsia="Calibri" w:hAnsi="Arial" w:cs="Open Sans"/>
      <w:sz w:val="20"/>
    </w:rPr>
  </w:style>
  <w:style w:type="character" w:styleId="FootnoteReference">
    <w:name w:val="footnote reference"/>
    <w:basedOn w:val="DefaultParagraphFont"/>
    <w:uiPriority w:val="99"/>
    <w:rsid w:val="00705306"/>
    <w:rPr>
      <w:vertAlign w:val="superscript"/>
    </w:rPr>
  </w:style>
  <w:style w:type="paragraph" w:customStyle="1" w:styleId="Footnote">
    <w:name w:val="Footnote"/>
    <w:basedOn w:val="FootnoteText"/>
    <w:link w:val="FootnoteChar"/>
    <w:qFormat/>
    <w:rsid w:val="00F86A54"/>
    <w:pPr>
      <w:spacing w:line="259" w:lineRule="auto"/>
    </w:pPr>
    <w:rPr>
      <w:rFonts w:ascii="Arial" w:eastAsia="Calibri" w:hAnsi="Arial" w:cs="Open Sans"/>
      <w:sz w:val="16"/>
    </w:rPr>
  </w:style>
  <w:style w:type="character" w:customStyle="1" w:styleId="FootnoteChar">
    <w:name w:val="Footnote Char"/>
    <w:basedOn w:val="FootnoteTextChar"/>
    <w:link w:val="Footnote"/>
    <w:rsid w:val="00F86A54"/>
    <w:rPr>
      <w:rFonts w:ascii="Arial" w:eastAsia="Calibri" w:hAnsi="Arial" w:cs="Open Sans"/>
      <w:sz w:val="16"/>
      <w:szCs w:val="20"/>
    </w:rPr>
  </w:style>
  <w:style w:type="paragraph" w:styleId="FootnoteText">
    <w:name w:val="footnote text"/>
    <w:basedOn w:val="Normal"/>
    <w:link w:val="FootnoteTextChar"/>
    <w:uiPriority w:val="99"/>
    <w:unhideWhenUsed/>
    <w:rsid w:val="00F86A54"/>
    <w:pPr>
      <w:spacing w:after="0" w:line="240" w:lineRule="auto"/>
    </w:pPr>
    <w:rPr>
      <w:sz w:val="20"/>
      <w:szCs w:val="20"/>
    </w:rPr>
  </w:style>
  <w:style w:type="character" w:customStyle="1" w:styleId="FootnoteTextChar">
    <w:name w:val="Footnote Text Char"/>
    <w:basedOn w:val="DefaultParagraphFont"/>
    <w:link w:val="FootnoteText"/>
    <w:uiPriority w:val="99"/>
    <w:rsid w:val="00F86A54"/>
    <w:rPr>
      <w:sz w:val="20"/>
      <w:szCs w:val="20"/>
    </w:rPr>
  </w:style>
  <w:style w:type="table" w:styleId="TableGridLight">
    <w:name w:val="Grid Table Light"/>
    <w:aliases w:val="Call-out box"/>
    <w:basedOn w:val="TableNormal"/>
    <w:uiPriority w:val="40"/>
    <w:rsid w:val="005567AD"/>
    <w:pPr>
      <w:spacing w:after="0" w:line="280" w:lineRule="atLeast"/>
    </w:pPr>
    <w:rPr>
      <w:rFonts w:ascii="Montserrat" w:hAnsi="Montserrat"/>
      <w:szCs w:val="20"/>
      <w:lang w:val="en-US"/>
    </w:rPr>
    <w:tblPr>
      <w:tblBorders>
        <w:top w:val="single" w:sz="4" w:space="0" w:color="EBAB12" w:themeColor="accent1"/>
        <w:left w:val="single" w:sz="4" w:space="0" w:color="EBAB12" w:themeColor="accent1"/>
        <w:bottom w:val="single" w:sz="4" w:space="0" w:color="EBAB12" w:themeColor="accent1"/>
        <w:right w:val="single" w:sz="4" w:space="0" w:color="EBAB12" w:themeColor="accent1"/>
      </w:tblBorders>
      <w:tblCellMar>
        <w:top w:w="170" w:type="dxa"/>
        <w:left w:w="170" w:type="dxa"/>
        <w:bottom w:w="170" w:type="dxa"/>
        <w:right w:w="170" w:type="dxa"/>
      </w:tblCellMar>
    </w:tblPr>
    <w:tcPr>
      <w:shd w:val="clear" w:color="auto" w:fill="E8FCFA"/>
    </w:tcPr>
    <w:tblStylePr w:type="firstRow">
      <w:rPr>
        <w:b/>
      </w:rPr>
      <w:tblPr/>
      <w:trPr>
        <w:tblHeader/>
      </w:trPr>
    </w:tblStylePr>
  </w:style>
  <w:style w:type="character" w:styleId="Mention">
    <w:name w:val="Mention"/>
    <w:basedOn w:val="DefaultParagraphFont"/>
    <w:uiPriority w:val="99"/>
    <w:unhideWhenUsed/>
    <w:rsid w:val="00C6357E"/>
    <w:rPr>
      <w:color w:val="2B579A"/>
      <w:shd w:val="clear" w:color="auto" w:fill="E6E6E6"/>
    </w:rPr>
  </w:style>
  <w:style w:type="paragraph" w:styleId="Bibliography">
    <w:name w:val="Bibliography"/>
    <w:basedOn w:val="Normal"/>
    <w:next w:val="Normal"/>
    <w:uiPriority w:val="37"/>
    <w:unhideWhenUsed/>
    <w:rsid w:val="00437B84"/>
    <w:pPr>
      <w:suppressAutoHyphens/>
      <w:spacing w:before="160" w:after="160" w:line="320" w:lineRule="atLeast"/>
    </w:pPr>
    <w:rPr>
      <w:rFonts w:ascii="Montserrat" w:hAnsi="Montserrat"/>
      <w:szCs w:val="20"/>
    </w:rPr>
  </w:style>
  <w:style w:type="paragraph" w:styleId="NoSpacing">
    <w:name w:val="No Spacing"/>
    <w:basedOn w:val="Normal"/>
    <w:link w:val="NoSpacingChar"/>
    <w:uiPriority w:val="1"/>
    <w:qFormat/>
    <w:rsid w:val="009635DE"/>
    <w:pPr>
      <w:spacing w:after="120" w:line="360" w:lineRule="auto"/>
    </w:pPr>
    <w:rPr>
      <w:rFonts w:eastAsia="Calibri" w:cs="Calibri"/>
      <w:color w:val="000000" w:themeColor="text1"/>
      <w:szCs w:val="20"/>
    </w:rPr>
  </w:style>
  <w:style w:type="character" w:customStyle="1" w:styleId="NoSpacingChar">
    <w:name w:val="No Spacing Char"/>
    <w:basedOn w:val="DefaultParagraphFont"/>
    <w:link w:val="NoSpacing"/>
    <w:uiPriority w:val="1"/>
    <w:rsid w:val="009635DE"/>
    <w:rPr>
      <w:rFonts w:eastAsia="Calibri" w:cs="Calibri"/>
      <w:color w:val="000000" w:themeColor="text1"/>
      <w:szCs w:val="20"/>
    </w:rPr>
  </w:style>
  <w:style w:type="paragraph" w:styleId="TOC4">
    <w:name w:val="toc 4"/>
    <w:basedOn w:val="Normal"/>
    <w:next w:val="Normal"/>
    <w:autoRedefine/>
    <w:uiPriority w:val="39"/>
    <w:unhideWhenUsed/>
    <w:rsid w:val="00A3636F"/>
    <w:pPr>
      <w:spacing w:after="0"/>
      <w:ind w:left="440"/>
    </w:pPr>
    <w:rPr>
      <w:rFonts w:cstheme="minorHAnsi"/>
      <w:sz w:val="20"/>
      <w:szCs w:val="20"/>
    </w:rPr>
  </w:style>
  <w:style w:type="paragraph" w:styleId="TOC6">
    <w:name w:val="toc 6"/>
    <w:basedOn w:val="Normal"/>
    <w:next w:val="Normal"/>
    <w:autoRedefine/>
    <w:uiPriority w:val="39"/>
    <w:unhideWhenUsed/>
    <w:rsid w:val="007C57E9"/>
    <w:pPr>
      <w:spacing w:after="0"/>
      <w:ind w:left="880"/>
    </w:pPr>
    <w:rPr>
      <w:rFonts w:cstheme="minorHAnsi"/>
      <w:sz w:val="20"/>
      <w:szCs w:val="20"/>
    </w:rPr>
  </w:style>
  <w:style w:type="paragraph" w:customStyle="1" w:styleId="Keypoints">
    <w:name w:val="Key points"/>
    <w:basedOn w:val="Normal"/>
    <w:link w:val="KeypointsChar"/>
    <w:qFormat/>
    <w:rsid w:val="00B25A1F"/>
    <w:pPr>
      <w:pBdr>
        <w:top w:val="single" w:sz="12" w:space="1" w:color="AF7F0D" w:themeColor="accent1" w:themeShade="BF"/>
        <w:left w:val="single" w:sz="12" w:space="4" w:color="AF7F0D" w:themeColor="accent1" w:themeShade="BF"/>
        <w:bottom w:val="single" w:sz="12" w:space="1" w:color="AF7F0D" w:themeColor="accent1" w:themeShade="BF"/>
        <w:right w:val="single" w:sz="12" w:space="4" w:color="AF7F0D" w:themeColor="accent1" w:themeShade="BF"/>
      </w:pBdr>
    </w:pPr>
    <w:rPr>
      <w:b/>
      <w:color w:val="AF7F0D" w:themeColor="accent1" w:themeShade="BF"/>
      <w:sz w:val="20"/>
      <w:szCs w:val="20"/>
    </w:rPr>
  </w:style>
  <w:style w:type="character" w:customStyle="1" w:styleId="KeypointsChar">
    <w:name w:val="Key points Char"/>
    <w:basedOn w:val="DefaultParagraphFont"/>
    <w:link w:val="Keypoints"/>
    <w:rsid w:val="00B25A1F"/>
    <w:rPr>
      <w:b/>
      <w:color w:val="AF7F0D" w:themeColor="accent1" w:themeShade="BF"/>
      <w:sz w:val="20"/>
      <w:szCs w:val="20"/>
    </w:rPr>
  </w:style>
  <w:style w:type="table" w:styleId="PlainTable1">
    <w:name w:val="Plain Table 1"/>
    <w:basedOn w:val="TableNormal"/>
    <w:uiPriority w:val="41"/>
    <w:rsid w:val="000564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64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3-Accent2">
    <w:name w:val="List Table 3 Accent 2"/>
    <w:basedOn w:val="TableNormal"/>
    <w:uiPriority w:val="48"/>
    <w:rsid w:val="004717B8"/>
    <w:pPr>
      <w:spacing w:after="0" w:line="240" w:lineRule="auto"/>
    </w:pPr>
    <w:tblPr>
      <w:tblStyleRowBandSize w:val="1"/>
      <w:tblStyleColBandSize w:val="1"/>
      <w:tblBorders>
        <w:top w:val="single" w:sz="4" w:space="0" w:color="FECF52" w:themeColor="accent2"/>
        <w:left w:val="single" w:sz="4" w:space="0" w:color="FECF52" w:themeColor="accent2"/>
        <w:bottom w:val="single" w:sz="4" w:space="0" w:color="FECF52" w:themeColor="accent2"/>
        <w:right w:val="single" w:sz="4" w:space="0" w:color="FECF52" w:themeColor="accent2"/>
      </w:tblBorders>
    </w:tblPr>
    <w:tblStylePr w:type="firstRow">
      <w:rPr>
        <w:b/>
        <w:bCs/>
        <w:color w:val="FFFFFF" w:themeColor="background1"/>
      </w:rPr>
      <w:tblPr/>
      <w:tcPr>
        <w:shd w:val="clear" w:color="auto" w:fill="FECF52" w:themeFill="accent2"/>
      </w:tcPr>
    </w:tblStylePr>
    <w:tblStylePr w:type="lastRow">
      <w:rPr>
        <w:b/>
        <w:bCs/>
      </w:rPr>
      <w:tblPr/>
      <w:tcPr>
        <w:tcBorders>
          <w:top w:val="double" w:sz="4" w:space="0" w:color="FECF5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CF52" w:themeColor="accent2"/>
          <w:right w:val="single" w:sz="4" w:space="0" w:color="FECF52" w:themeColor="accent2"/>
        </w:tcBorders>
      </w:tcPr>
    </w:tblStylePr>
    <w:tblStylePr w:type="band1Horz">
      <w:tblPr/>
      <w:tcPr>
        <w:tcBorders>
          <w:top w:val="single" w:sz="4" w:space="0" w:color="FECF52" w:themeColor="accent2"/>
          <w:bottom w:val="single" w:sz="4" w:space="0" w:color="FECF5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CF52" w:themeColor="accent2"/>
          <w:left w:val="nil"/>
        </w:tcBorders>
      </w:tcPr>
    </w:tblStylePr>
    <w:tblStylePr w:type="swCell">
      <w:tblPr/>
      <w:tcPr>
        <w:tcBorders>
          <w:top w:val="double" w:sz="4" w:space="0" w:color="FECF52" w:themeColor="accent2"/>
          <w:right w:val="nil"/>
        </w:tcBorders>
      </w:tcPr>
    </w:tblStylePr>
  </w:style>
  <w:style w:type="table" w:customStyle="1" w:styleId="AERObasictable1">
    <w:name w:val="AERO basic table1"/>
    <w:basedOn w:val="TableNormal"/>
    <w:next w:val="TableGrid"/>
    <w:uiPriority w:val="39"/>
    <w:rsid w:val="00D15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TEReview">
    <w:name w:val="ITEReview"/>
    <w:basedOn w:val="TableNormal"/>
    <w:uiPriority w:val="99"/>
    <w:rsid w:val="000C3A19"/>
    <w:pPr>
      <w:spacing w:after="0" w:line="240" w:lineRule="auto"/>
    </w:pPr>
    <w:rPr>
      <w:sz w:val="24"/>
      <w:szCs w:val="24"/>
    </w:rPr>
    <w:tblPr>
      <w:tblStyleRowBandSize w:val="1"/>
    </w:tblPr>
    <w:tblStylePr w:type="firstRow">
      <w:tblPr/>
      <w:tcPr>
        <w:shd w:val="clear" w:color="auto" w:fill="203864"/>
      </w:tcPr>
    </w:tblStylePr>
    <w:tblStylePr w:type="band1Horz">
      <w:tblPr/>
      <w:tcPr>
        <w:shd w:val="clear" w:color="auto" w:fill="FFFFFF"/>
      </w:tcPr>
    </w:tblStylePr>
    <w:tblStylePr w:type="band2Horz">
      <w:tblPr/>
      <w:tcPr>
        <w:shd w:val="clear" w:color="auto" w:fill="DAE3F3"/>
      </w:tcPr>
    </w:tblStylePr>
  </w:style>
  <w:style w:type="table" w:styleId="GridTable1Light-Accent1">
    <w:name w:val="Grid Table 1 Light Accent 1"/>
    <w:basedOn w:val="TableNormal"/>
    <w:uiPriority w:val="46"/>
    <w:rsid w:val="00EC4AAE"/>
    <w:pPr>
      <w:spacing w:after="0" w:line="240" w:lineRule="auto"/>
    </w:pPr>
    <w:tblPr>
      <w:tblStyleRowBandSize w:val="1"/>
      <w:tblStyleColBandSize w:val="1"/>
      <w:tblBorders>
        <w:top w:val="single" w:sz="4" w:space="0" w:color="F7DD9F" w:themeColor="accent1" w:themeTint="66"/>
        <w:left w:val="single" w:sz="4" w:space="0" w:color="F7DD9F" w:themeColor="accent1" w:themeTint="66"/>
        <w:bottom w:val="single" w:sz="4" w:space="0" w:color="F7DD9F" w:themeColor="accent1" w:themeTint="66"/>
        <w:right w:val="single" w:sz="4" w:space="0" w:color="F7DD9F" w:themeColor="accent1" w:themeTint="66"/>
        <w:insideH w:val="single" w:sz="4" w:space="0" w:color="F7DD9F" w:themeColor="accent1" w:themeTint="66"/>
        <w:insideV w:val="single" w:sz="4" w:space="0" w:color="F7DD9F" w:themeColor="accent1" w:themeTint="66"/>
      </w:tblBorders>
    </w:tblPr>
    <w:tblStylePr w:type="firstRow">
      <w:rPr>
        <w:b/>
        <w:bCs/>
      </w:rPr>
      <w:tblPr/>
      <w:tcPr>
        <w:tcBorders>
          <w:bottom w:val="single" w:sz="12" w:space="0" w:color="F4CC6F" w:themeColor="accent1" w:themeTint="99"/>
        </w:tcBorders>
      </w:tcPr>
    </w:tblStylePr>
    <w:tblStylePr w:type="lastRow">
      <w:rPr>
        <w:b/>
        <w:bCs/>
      </w:rPr>
      <w:tblPr/>
      <w:tcPr>
        <w:tcBorders>
          <w:top w:val="double" w:sz="2" w:space="0" w:color="F4CC6F"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EC4AAE"/>
    <w:pPr>
      <w:spacing w:after="0" w:line="240" w:lineRule="auto"/>
    </w:pPr>
    <w:tblPr>
      <w:tblStyleRowBandSize w:val="1"/>
      <w:tblStyleColBandSize w:val="1"/>
      <w:tblBorders>
        <w:top w:val="single" w:sz="4" w:space="0" w:color="FEE296" w:themeColor="accent2" w:themeTint="99"/>
        <w:left w:val="single" w:sz="4" w:space="0" w:color="FEE296" w:themeColor="accent2" w:themeTint="99"/>
        <w:bottom w:val="single" w:sz="4" w:space="0" w:color="FEE296" w:themeColor="accent2" w:themeTint="99"/>
        <w:right w:val="single" w:sz="4" w:space="0" w:color="FEE296" w:themeColor="accent2" w:themeTint="99"/>
        <w:insideH w:val="single" w:sz="4" w:space="0" w:color="FEE296" w:themeColor="accent2" w:themeTint="99"/>
        <w:insideV w:val="single" w:sz="4" w:space="0" w:color="FEE296" w:themeColor="accent2" w:themeTint="99"/>
      </w:tblBorders>
    </w:tblPr>
    <w:tblStylePr w:type="firstRow">
      <w:rPr>
        <w:b/>
        <w:bCs/>
        <w:color w:val="FFFFFF" w:themeColor="background1"/>
      </w:rPr>
      <w:tblPr/>
      <w:tcPr>
        <w:tcBorders>
          <w:top w:val="single" w:sz="4" w:space="0" w:color="FECF52" w:themeColor="accent2"/>
          <w:left w:val="single" w:sz="4" w:space="0" w:color="FECF52" w:themeColor="accent2"/>
          <w:bottom w:val="single" w:sz="4" w:space="0" w:color="FECF52" w:themeColor="accent2"/>
          <w:right w:val="single" w:sz="4" w:space="0" w:color="FECF52" w:themeColor="accent2"/>
          <w:insideH w:val="nil"/>
          <w:insideV w:val="nil"/>
        </w:tcBorders>
        <w:shd w:val="clear" w:color="auto" w:fill="FECF52" w:themeFill="accent2"/>
      </w:tcPr>
    </w:tblStylePr>
    <w:tblStylePr w:type="lastRow">
      <w:rPr>
        <w:b/>
        <w:bCs/>
      </w:rPr>
      <w:tblPr/>
      <w:tcPr>
        <w:tcBorders>
          <w:top w:val="double" w:sz="4" w:space="0" w:color="FECF52" w:themeColor="accent2"/>
        </w:tcBorders>
      </w:tcPr>
    </w:tblStylePr>
    <w:tblStylePr w:type="firstCol">
      <w:rPr>
        <w:b/>
        <w:bCs/>
      </w:rPr>
    </w:tblStylePr>
    <w:tblStylePr w:type="lastCol">
      <w:rPr>
        <w:b/>
        <w:bCs/>
      </w:rPr>
    </w:tblStylePr>
    <w:tblStylePr w:type="band1Vert">
      <w:tblPr/>
      <w:tcPr>
        <w:shd w:val="clear" w:color="auto" w:fill="FEF5DC" w:themeFill="accent2" w:themeFillTint="33"/>
      </w:tcPr>
    </w:tblStylePr>
    <w:tblStylePr w:type="band1Horz">
      <w:tblPr/>
      <w:tcPr>
        <w:shd w:val="clear" w:color="auto" w:fill="FEF5DC" w:themeFill="accent2" w:themeFillTint="33"/>
      </w:tcPr>
    </w:tblStylePr>
  </w:style>
  <w:style w:type="table" w:styleId="GridTable4-Accent1">
    <w:name w:val="Grid Table 4 Accent 1"/>
    <w:basedOn w:val="TableNormal"/>
    <w:uiPriority w:val="49"/>
    <w:rsid w:val="008C0F65"/>
    <w:pPr>
      <w:spacing w:after="0" w:line="240" w:lineRule="auto"/>
    </w:pPr>
    <w:tblPr>
      <w:tblStyleRowBandSize w:val="1"/>
      <w:tblStyleColBandSize w:val="1"/>
      <w:tblBorders>
        <w:top w:val="single" w:sz="4" w:space="0" w:color="F4CC6F" w:themeColor="accent1" w:themeTint="99"/>
        <w:left w:val="single" w:sz="4" w:space="0" w:color="F4CC6F" w:themeColor="accent1" w:themeTint="99"/>
        <w:bottom w:val="single" w:sz="4" w:space="0" w:color="F4CC6F" w:themeColor="accent1" w:themeTint="99"/>
        <w:right w:val="single" w:sz="4" w:space="0" w:color="F4CC6F" w:themeColor="accent1" w:themeTint="99"/>
        <w:insideH w:val="single" w:sz="4" w:space="0" w:color="F4CC6F" w:themeColor="accent1" w:themeTint="99"/>
        <w:insideV w:val="single" w:sz="4" w:space="0" w:color="F4CC6F" w:themeColor="accent1" w:themeTint="99"/>
      </w:tblBorders>
    </w:tblPr>
    <w:tblStylePr w:type="firstRow">
      <w:rPr>
        <w:b/>
        <w:bCs/>
        <w:color w:val="FFFFFF" w:themeColor="background1"/>
      </w:rPr>
      <w:tblPr/>
      <w:tcPr>
        <w:tcBorders>
          <w:top w:val="single" w:sz="4" w:space="0" w:color="EBAB12" w:themeColor="accent1"/>
          <w:left w:val="single" w:sz="4" w:space="0" w:color="EBAB12" w:themeColor="accent1"/>
          <w:bottom w:val="single" w:sz="4" w:space="0" w:color="EBAB12" w:themeColor="accent1"/>
          <w:right w:val="single" w:sz="4" w:space="0" w:color="EBAB12" w:themeColor="accent1"/>
          <w:insideH w:val="nil"/>
          <w:insideV w:val="nil"/>
        </w:tcBorders>
        <w:shd w:val="clear" w:color="auto" w:fill="EBAB12" w:themeFill="accent1"/>
      </w:tcPr>
    </w:tblStylePr>
    <w:tblStylePr w:type="lastRow">
      <w:rPr>
        <w:b/>
        <w:bCs/>
      </w:rPr>
      <w:tblPr/>
      <w:tcPr>
        <w:tcBorders>
          <w:top w:val="double" w:sz="4" w:space="0" w:color="EBAB12" w:themeColor="accent1"/>
        </w:tcBorders>
      </w:tcPr>
    </w:tblStylePr>
    <w:tblStylePr w:type="firstCol">
      <w:rPr>
        <w:b/>
        <w:bCs/>
      </w:rPr>
    </w:tblStylePr>
    <w:tblStylePr w:type="lastCol">
      <w:rPr>
        <w:b/>
        <w:bCs/>
      </w:rPr>
    </w:tblStylePr>
    <w:tblStylePr w:type="band1Vert">
      <w:tblPr/>
      <w:tcPr>
        <w:shd w:val="clear" w:color="auto" w:fill="FBEECF" w:themeFill="accent1" w:themeFillTint="33"/>
      </w:tcPr>
    </w:tblStylePr>
    <w:tblStylePr w:type="band1Horz">
      <w:tblPr/>
      <w:tcPr>
        <w:shd w:val="clear" w:color="auto" w:fill="FBEECF" w:themeFill="accent1" w:themeFillTint="33"/>
      </w:tcPr>
    </w:tblStylePr>
  </w:style>
  <w:style w:type="table" w:styleId="GridTable2-Accent2">
    <w:name w:val="Grid Table 2 Accent 2"/>
    <w:basedOn w:val="TableNormal"/>
    <w:uiPriority w:val="47"/>
    <w:rsid w:val="00756629"/>
    <w:pPr>
      <w:spacing w:after="0" w:line="240" w:lineRule="auto"/>
    </w:pPr>
    <w:tblPr>
      <w:tblStyleRowBandSize w:val="1"/>
      <w:tblStyleColBandSize w:val="1"/>
      <w:tblBorders>
        <w:top w:val="single" w:sz="2" w:space="0" w:color="FEE296" w:themeColor="accent2" w:themeTint="99"/>
        <w:bottom w:val="single" w:sz="2" w:space="0" w:color="FEE296" w:themeColor="accent2" w:themeTint="99"/>
        <w:insideH w:val="single" w:sz="2" w:space="0" w:color="FEE296" w:themeColor="accent2" w:themeTint="99"/>
        <w:insideV w:val="single" w:sz="2" w:space="0" w:color="FEE296" w:themeColor="accent2" w:themeTint="99"/>
      </w:tblBorders>
    </w:tblPr>
    <w:tblStylePr w:type="firstRow">
      <w:rPr>
        <w:b/>
        <w:bCs/>
      </w:rPr>
      <w:tblPr/>
      <w:tcPr>
        <w:tcBorders>
          <w:top w:val="nil"/>
          <w:bottom w:val="single" w:sz="12" w:space="0" w:color="FEE296" w:themeColor="accent2" w:themeTint="99"/>
          <w:insideH w:val="nil"/>
          <w:insideV w:val="nil"/>
        </w:tcBorders>
        <w:shd w:val="clear" w:color="auto" w:fill="FFFFFF" w:themeFill="background1"/>
      </w:tcPr>
    </w:tblStylePr>
    <w:tblStylePr w:type="lastRow">
      <w:rPr>
        <w:b/>
        <w:bCs/>
      </w:rPr>
      <w:tblPr/>
      <w:tcPr>
        <w:tcBorders>
          <w:top w:val="double" w:sz="2" w:space="0" w:color="FEE29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5DC" w:themeFill="accent2" w:themeFillTint="33"/>
      </w:tcPr>
    </w:tblStylePr>
    <w:tblStylePr w:type="band1Horz">
      <w:tblPr/>
      <w:tcPr>
        <w:shd w:val="clear" w:color="auto" w:fill="FEF5DC" w:themeFill="accent2" w:themeFillTint="33"/>
      </w:tcPr>
    </w:tblStylePr>
  </w:style>
  <w:style w:type="table" w:styleId="GridTable1Light-Accent2">
    <w:name w:val="Grid Table 1 Light Accent 2"/>
    <w:basedOn w:val="TableNormal"/>
    <w:uiPriority w:val="46"/>
    <w:rsid w:val="00CF47DD"/>
    <w:pPr>
      <w:spacing w:after="0" w:line="240" w:lineRule="auto"/>
    </w:pPr>
    <w:tblPr>
      <w:tblStyleRowBandSize w:val="1"/>
      <w:tblStyleColBandSize w:val="1"/>
      <w:tblBorders>
        <w:top w:val="single" w:sz="4" w:space="0" w:color="FEEBB9" w:themeColor="accent2" w:themeTint="66"/>
        <w:left w:val="single" w:sz="4" w:space="0" w:color="FEEBB9" w:themeColor="accent2" w:themeTint="66"/>
        <w:bottom w:val="single" w:sz="4" w:space="0" w:color="FEEBB9" w:themeColor="accent2" w:themeTint="66"/>
        <w:right w:val="single" w:sz="4" w:space="0" w:color="FEEBB9" w:themeColor="accent2" w:themeTint="66"/>
        <w:insideH w:val="single" w:sz="4" w:space="0" w:color="FEEBB9" w:themeColor="accent2" w:themeTint="66"/>
        <w:insideV w:val="single" w:sz="4" w:space="0" w:color="FEEBB9" w:themeColor="accent2" w:themeTint="66"/>
      </w:tblBorders>
    </w:tblPr>
    <w:tblStylePr w:type="firstRow">
      <w:rPr>
        <w:b/>
        <w:bCs/>
      </w:rPr>
      <w:tblPr/>
      <w:tcPr>
        <w:tcBorders>
          <w:bottom w:val="single" w:sz="12" w:space="0" w:color="FEE296" w:themeColor="accent2" w:themeTint="99"/>
        </w:tcBorders>
      </w:tcPr>
    </w:tblStylePr>
    <w:tblStylePr w:type="lastRow">
      <w:rPr>
        <w:b/>
        <w:bCs/>
      </w:rPr>
      <w:tblPr/>
      <w:tcPr>
        <w:tcBorders>
          <w:top w:val="double" w:sz="2" w:space="0" w:color="FEE296" w:themeColor="accent2" w:themeTint="99"/>
        </w:tcBorders>
      </w:tcPr>
    </w:tblStylePr>
    <w:tblStylePr w:type="firstCol">
      <w:rPr>
        <w:b/>
        <w:bCs/>
      </w:rPr>
    </w:tblStylePr>
    <w:tblStylePr w:type="lastCol">
      <w:rPr>
        <w:b/>
        <w:bCs/>
      </w:rPr>
    </w:tblStylePr>
  </w:style>
  <w:style w:type="paragraph" w:customStyle="1" w:styleId="FigureHeading">
    <w:name w:val="Figure Heading"/>
    <w:basedOn w:val="Normal"/>
    <w:next w:val="Normal"/>
    <w:link w:val="FigureHeadingChar"/>
    <w:uiPriority w:val="48"/>
    <w:qFormat/>
    <w:rsid w:val="006A2C6E"/>
    <w:pPr>
      <w:keepNext/>
      <w:keepLines/>
      <w:numPr>
        <w:numId w:val="33"/>
      </w:numPr>
      <w:tabs>
        <w:tab w:val="left" w:pos="1361"/>
      </w:tabs>
      <w:spacing w:before="120" w:after="240" w:line="280" w:lineRule="atLeast"/>
      <w:ind w:left="357" w:hanging="357"/>
      <w:contextualSpacing/>
      <w:outlineLvl w:val="4"/>
    </w:pPr>
    <w:rPr>
      <w:rFonts w:asciiTheme="majorHAnsi" w:eastAsia="Times New Roman" w:hAnsiTheme="majorHAnsi" w:cs="Times New Roman"/>
      <w:b/>
      <w:color w:val="000000"/>
      <w:sz w:val="20"/>
      <w:szCs w:val="24"/>
      <w:lang w:eastAsia="en-AU"/>
    </w:rPr>
  </w:style>
  <w:style w:type="character" w:customStyle="1" w:styleId="FigureHeadingChar">
    <w:name w:val="Figure Heading Char"/>
    <w:basedOn w:val="DefaultParagraphFont"/>
    <w:link w:val="FigureHeading"/>
    <w:uiPriority w:val="48"/>
    <w:rsid w:val="006A2C6E"/>
    <w:rPr>
      <w:rFonts w:asciiTheme="majorHAnsi" w:eastAsia="Times New Roman" w:hAnsiTheme="majorHAnsi" w:cs="Times New Roman"/>
      <w:b/>
      <w:color w:val="000000"/>
      <w:sz w:val="20"/>
      <w:szCs w:val="24"/>
      <w:lang w:eastAsia="en-AU"/>
    </w:rPr>
  </w:style>
  <w:style w:type="paragraph" w:customStyle="1" w:styleId="Default">
    <w:name w:val="Default"/>
    <w:rsid w:val="00045C6B"/>
    <w:pPr>
      <w:autoSpaceDE w:val="0"/>
      <w:autoSpaceDN w:val="0"/>
      <w:adjustRightInd w:val="0"/>
      <w:spacing w:after="0" w:line="240" w:lineRule="auto"/>
    </w:pPr>
    <w:rPr>
      <w:rFonts w:ascii="Calibri" w:hAnsi="Calibri" w:cs="Calibri"/>
      <w:color w:val="000000"/>
      <w:sz w:val="24"/>
      <w:szCs w:val="24"/>
    </w:rPr>
  </w:style>
  <w:style w:type="paragraph" w:customStyle="1" w:styleId="HeadingTable">
    <w:name w:val="Heading Table"/>
    <w:basedOn w:val="FigureHeading"/>
    <w:link w:val="HeadingTableChar"/>
    <w:qFormat/>
    <w:rsid w:val="00FA4EC0"/>
    <w:pPr>
      <w:numPr>
        <w:numId w:val="35"/>
      </w:numPr>
      <w:tabs>
        <w:tab w:val="left" w:pos="1021"/>
      </w:tabs>
    </w:pPr>
  </w:style>
  <w:style w:type="character" w:customStyle="1" w:styleId="HeadingTableChar">
    <w:name w:val="Heading Table Char"/>
    <w:basedOn w:val="FigureHeadingChar"/>
    <w:link w:val="HeadingTable"/>
    <w:rsid w:val="00FA4EC0"/>
    <w:rPr>
      <w:rFonts w:asciiTheme="majorHAnsi" w:eastAsia="Times New Roman" w:hAnsiTheme="majorHAnsi" w:cs="Times New Roman"/>
      <w:b/>
      <w:color w:val="000000"/>
      <w:sz w:val="20"/>
      <w:szCs w:val="24"/>
      <w:lang w:eastAsia="en-AU"/>
    </w:rPr>
  </w:style>
  <w:style w:type="numbering" w:customStyle="1" w:styleId="AlphaList">
    <w:name w:val="_Alpha List"/>
    <w:uiPriority w:val="99"/>
    <w:rsid w:val="002C70F7"/>
    <w:pPr>
      <w:numPr>
        <w:numId w:val="54"/>
      </w:numPr>
    </w:pPr>
  </w:style>
  <w:style w:type="character" w:customStyle="1" w:styleId="Recommendation2Char">
    <w:name w:val="Recommendation 2 Char"/>
    <w:basedOn w:val="DefaultParagraphFont"/>
    <w:link w:val="Recommendation2"/>
    <w:locked/>
    <w:rsid w:val="002E2E41"/>
    <w:rPr>
      <w:color w:val="000000" w:themeColor="text1"/>
      <w:szCs w:val="20"/>
      <w:shd w:val="clear" w:color="auto" w:fill="F2F2F2" w:themeFill="background1" w:themeFillShade="F2"/>
    </w:rPr>
  </w:style>
  <w:style w:type="paragraph" w:customStyle="1" w:styleId="Recommendation2">
    <w:name w:val="Recommendation 2"/>
    <w:basedOn w:val="Normal"/>
    <w:link w:val="Recommendation2Char"/>
    <w:qFormat/>
    <w:rsid w:val="002E2E41"/>
    <w:pPr>
      <w:pBdr>
        <w:right w:val="single" w:sz="48" w:space="4" w:color="FECF52" w:themeColor="accent2"/>
      </w:pBdr>
      <w:shd w:val="clear" w:color="auto" w:fill="F2F2F2" w:themeFill="background1" w:themeFillShade="F2"/>
    </w:pPr>
    <w:rPr>
      <w:color w:val="000000" w:themeColor="text1"/>
      <w:szCs w:val="20"/>
    </w:rPr>
  </w:style>
  <w:style w:type="paragraph" w:styleId="EndnoteText">
    <w:name w:val="endnote text"/>
    <w:basedOn w:val="Normal"/>
    <w:link w:val="EndnoteTextChar"/>
    <w:uiPriority w:val="99"/>
    <w:semiHidden/>
    <w:unhideWhenUsed/>
    <w:rsid w:val="000D63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6398"/>
    <w:rPr>
      <w:sz w:val="20"/>
      <w:szCs w:val="20"/>
    </w:rPr>
  </w:style>
  <w:style w:type="character" w:styleId="EndnoteReference">
    <w:name w:val="endnote reference"/>
    <w:basedOn w:val="DefaultParagraphFont"/>
    <w:uiPriority w:val="99"/>
    <w:semiHidden/>
    <w:unhideWhenUsed/>
    <w:rsid w:val="000D6398"/>
    <w:rPr>
      <w:vertAlign w:val="superscript"/>
    </w:r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FFFFFF" w:themeColor="accent4"/>
        <w:left w:val="single" w:sz="4" w:space="0" w:color="FFFFFF" w:themeColor="accent4"/>
        <w:bottom w:val="single" w:sz="4" w:space="0" w:color="FFFFFF" w:themeColor="accent4"/>
        <w:right w:val="single" w:sz="4" w:space="0" w:color="FFFFFF" w:themeColor="accent4"/>
      </w:tblBorders>
    </w:tblPr>
    <w:tblStylePr w:type="firstRow">
      <w:rPr>
        <w:b/>
        <w:bCs/>
        <w:color w:val="FFFFFF" w:themeColor="background1"/>
      </w:rPr>
      <w:tblPr/>
      <w:tcPr>
        <w:shd w:val="clear" w:color="auto" w:fill="FFFFFF" w:themeFill="accent4"/>
      </w:tcPr>
    </w:tblStylePr>
    <w:tblStylePr w:type="lastRow">
      <w:rPr>
        <w:b/>
        <w:bCs/>
      </w:rPr>
      <w:tblPr/>
      <w:tcPr>
        <w:tcBorders>
          <w:top w:val="double" w:sz="4" w:space="0" w:color="FFFF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4"/>
          <w:right w:val="single" w:sz="4" w:space="0" w:color="FFFFFF" w:themeColor="accent4"/>
        </w:tcBorders>
      </w:tcPr>
    </w:tblStylePr>
    <w:tblStylePr w:type="band1Horz">
      <w:tblPr/>
      <w:tcPr>
        <w:tcBorders>
          <w:top w:val="single" w:sz="4" w:space="0" w:color="FFFFFF" w:themeColor="accent4"/>
          <w:bottom w:val="single" w:sz="4" w:space="0" w:color="FFFF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4"/>
          <w:left w:val="nil"/>
        </w:tcBorders>
      </w:tcPr>
    </w:tblStylePr>
    <w:tblStylePr w:type="swCell">
      <w:tblPr/>
      <w:tcPr>
        <w:tcBorders>
          <w:top w:val="double" w:sz="4" w:space="0" w:color="FFFFFF" w:themeColor="accent4"/>
          <w:right w:val="nil"/>
        </w:tcBorders>
      </w:tcPr>
    </w:tblStylePr>
  </w:style>
  <w:style w:type="table" w:customStyle="1" w:styleId="AERObasictable2">
    <w:name w:val="AERO basic table2"/>
    <w:basedOn w:val="TableNormal"/>
    <w:next w:val="TableGrid"/>
    <w:uiPriority w:val="39"/>
    <w:rsid w:val="004027CF"/>
    <w:pPr>
      <w:suppressAutoHyphens/>
      <w:spacing w:after="0" w:line="240" w:lineRule="auto"/>
    </w:pPr>
    <w:rPr>
      <w:rFonts w:ascii="Montserrat" w:hAnsi="Montserrat"/>
      <w:szCs w:val="20"/>
      <w:lang w:val="en-US"/>
    </w:rPr>
    <w:tblPr>
      <w:tblBorders>
        <w:bottom w:val="single" w:sz="12" w:space="0" w:color="01838F"/>
        <w:insideH w:val="single" w:sz="4" w:space="0" w:color="01838F"/>
        <w:insideV w:val="single" w:sz="4" w:space="0" w:color="01838F"/>
      </w:tblBorders>
      <w:tblCellMar>
        <w:left w:w="85" w:type="dxa"/>
        <w:bottom w:w="142" w:type="dxa"/>
        <w:right w:w="85" w:type="dxa"/>
      </w:tblCellMar>
    </w:tblPr>
    <w:tcPr>
      <w:shd w:val="clear" w:color="auto" w:fill="auto"/>
    </w:tcPr>
    <w:tblStylePr w:type="firstRow">
      <w:pPr>
        <w:jc w:val="left"/>
      </w:pPr>
      <w:rPr>
        <w:rFonts w:ascii="Berlin Sans FB Demi" w:hAnsi="Berlin Sans FB Demi"/>
        <w:color w:val="FFFFFF"/>
      </w:rPr>
      <w:tblPr/>
      <w:trPr>
        <w:tblHeader/>
      </w:trPr>
      <w:tcPr>
        <w:shd w:val="clear" w:color="auto" w:fill="01838F"/>
      </w:tcPr>
    </w:tblStylePr>
  </w:style>
  <w:style w:type="table" w:customStyle="1" w:styleId="AERObasictable3">
    <w:name w:val="AERO basic table3"/>
    <w:basedOn w:val="TableNormal"/>
    <w:next w:val="TableGrid"/>
    <w:uiPriority w:val="39"/>
    <w:rsid w:val="004027CF"/>
    <w:pPr>
      <w:suppressAutoHyphens/>
      <w:spacing w:after="0" w:line="240" w:lineRule="auto"/>
    </w:pPr>
    <w:rPr>
      <w:rFonts w:ascii="Montserrat" w:hAnsi="Montserrat"/>
      <w:szCs w:val="20"/>
      <w:lang w:val="en-US"/>
    </w:rPr>
    <w:tblPr>
      <w:tblBorders>
        <w:bottom w:val="single" w:sz="12" w:space="0" w:color="01838F"/>
        <w:insideH w:val="single" w:sz="4" w:space="0" w:color="01838F"/>
        <w:insideV w:val="single" w:sz="4" w:space="0" w:color="01838F"/>
      </w:tblBorders>
      <w:tblCellMar>
        <w:left w:w="85" w:type="dxa"/>
        <w:bottom w:w="142" w:type="dxa"/>
        <w:right w:w="85" w:type="dxa"/>
      </w:tblCellMar>
    </w:tblPr>
    <w:tcPr>
      <w:shd w:val="clear" w:color="auto" w:fill="auto"/>
    </w:tcPr>
    <w:tblStylePr w:type="firstRow">
      <w:pPr>
        <w:jc w:val="left"/>
      </w:pPr>
      <w:rPr>
        <w:rFonts w:ascii="Berlin Sans FB Demi" w:hAnsi="Berlin Sans FB Demi"/>
        <w:color w:val="FFFFFF"/>
      </w:rPr>
      <w:tblPr/>
      <w:trPr>
        <w:tblHeader/>
      </w:trPr>
      <w:tcPr>
        <w:shd w:val="clear" w:color="auto" w:fill="01838F"/>
      </w:tcPr>
    </w:tblStylePr>
  </w:style>
  <w:style w:type="table" w:customStyle="1" w:styleId="AERObasictable4">
    <w:name w:val="AERO basic table4"/>
    <w:basedOn w:val="TableNormal"/>
    <w:next w:val="TableGrid"/>
    <w:uiPriority w:val="39"/>
    <w:rsid w:val="004027CF"/>
    <w:pPr>
      <w:suppressAutoHyphens/>
      <w:spacing w:after="0" w:line="240" w:lineRule="auto"/>
    </w:pPr>
    <w:rPr>
      <w:rFonts w:ascii="Montserrat" w:hAnsi="Montserrat"/>
      <w:szCs w:val="20"/>
      <w:lang w:val="en-US"/>
    </w:rPr>
    <w:tblPr>
      <w:tblBorders>
        <w:bottom w:val="single" w:sz="12" w:space="0" w:color="01838F"/>
        <w:insideH w:val="single" w:sz="4" w:space="0" w:color="01838F"/>
        <w:insideV w:val="single" w:sz="4" w:space="0" w:color="01838F"/>
      </w:tblBorders>
      <w:tblCellMar>
        <w:left w:w="85" w:type="dxa"/>
        <w:bottom w:w="142" w:type="dxa"/>
        <w:right w:w="85" w:type="dxa"/>
      </w:tblCellMar>
    </w:tblPr>
    <w:tcPr>
      <w:shd w:val="clear" w:color="auto" w:fill="auto"/>
    </w:tcPr>
    <w:tblStylePr w:type="firstRow">
      <w:pPr>
        <w:jc w:val="left"/>
      </w:pPr>
      <w:rPr>
        <w:rFonts w:ascii="Berlin Sans FB Demi" w:hAnsi="Berlin Sans FB Demi"/>
        <w:color w:val="FFFFFF"/>
      </w:rPr>
      <w:tblPr/>
      <w:trPr>
        <w:tblHeader/>
      </w:trPr>
      <w:tcPr>
        <w:shd w:val="clear" w:color="auto" w:fill="01838F"/>
      </w:tcPr>
    </w:tblStylePr>
  </w:style>
  <w:style w:type="table" w:customStyle="1" w:styleId="AERObasictable5">
    <w:name w:val="AERO basic table5"/>
    <w:basedOn w:val="TableNormal"/>
    <w:next w:val="TableGrid"/>
    <w:uiPriority w:val="39"/>
    <w:rsid w:val="004027CF"/>
    <w:pPr>
      <w:suppressAutoHyphens/>
      <w:spacing w:after="0" w:line="240" w:lineRule="auto"/>
    </w:pPr>
    <w:rPr>
      <w:rFonts w:ascii="Montserrat" w:hAnsi="Montserrat"/>
      <w:szCs w:val="20"/>
      <w:lang w:val="en-US"/>
    </w:rPr>
    <w:tblPr>
      <w:tblBorders>
        <w:bottom w:val="single" w:sz="12" w:space="0" w:color="01838F"/>
        <w:insideH w:val="single" w:sz="4" w:space="0" w:color="01838F"/>
        <w:insideV w:val="single" w:sz="4" w:space="0" w:color="01838F"/>
      </w:tblBorders>
      <w:tblCellMar>
        <w:left w:w="85" w:type="dxa"/>
        <w:bottom w:w="142" w:type="dxa"/>
        <w:right w:w="85" w:type="dxa"/>
      </w:tblCellMar>
    </w:tblPr>
    <w:tcPr>
      <w:shd w:val="clear" w:color="auto" w:fill="auto"/>
    </w:tcPr>
    <w:tblStylePr w:type="firstRow">
      <w:pPr>
        <w:jc w:val="left"/>
      </w:pPr>
      <w:rPr>
        <w:rFonts w:ascii="Berlin Sans FB Demi" w:hAnsi="Berlin Sans FB Demi"/>
        <w:color w:val="FFFFFF"/>
      </w:rPr>
      <w:tblPr/>
      <w:trPr>
        <w:tblHeader/>
      </w:trPr>
      <w:tcPr>
        <w:shd w:val="clear" w:color="auto" w:fill="01838F"/>
      </w:tcPr>
    </w:tblStylePr>
  </w:style>
  <w:style w:type="table" w:styleId="ListTable6Colorful-Accent4">
    <w:name w:val="List Table 6 Colorful Accent 4"/>
    <w:basedOn w:val="TableNormal"/>
    <w:uiPriority w:val="51"/>
    <w:rsid w:val="004027CF"/>
    <w:pPr>
      <w:spacing w:after="0" w:line="240" w:lineRule="auto"/>
    </w:pPr>
    <w:rPr>
      <w:color w:val="BFBFBF" w:themeColor="accent4" w:themeShade="BF"/>
    </w:rPr>
    <w:tblPr>
      <w:tblStyleRowBandSize w:val="1"/>
      <w:tblStyleColBandSize w:val="1"/>
      <w:tblBorders>
        <w:top w:val="single" w:sz="4" w:space="0" w:color="FFFFFF" w:themeColor="accent4"/>
        <w:bottom w:val="single" w:sz="4" w:space="0" w:color="FFFFFF" w:themeColor="accent4"/>
      </w:tblBorders>
    </w:tblPr>
    <w:tblStylePr w:type="firstRow">
      <w:rPr>
        <w:b/>
        <w:bCs/>
      </w:rPr>
      <w:tblPr/>
      <w:tcPr>
        <w:tcBorders>
          <w:bottom w:val="single" w:sz="4" w:space="0" w:color="FFFFFF" w:themeColor="accent4"/>
        </w:tcBorders>
      </w:tcPr>
    </w:tblStylePr>
    <w:tblStylePr w:type="lastRow">
      <w:rPr>
        <w:b/>
        <w:bCs/>
      </w:rPr>
      <w:tblPr/>
      <w:tcPr>
        <w:tcBorders>
          <w:top w:val="double" w:sz="4" w:space="0" w:color="FFFFFF" w:themeColor="accent4"/>
        </w:tcBorders>
      </w:tcPr>
    </w:tblStylePr>
    <w:tblStylePr w:type="firstCol">
      <w:rPr>
        <w:b/>
        <w:bCs/>
      </w:rPr>
    </w:tblStylePr>
    <w:tblStylePr w:type="lastCol">
      <w:rPr>
        <w:b/>
        <w:bCs/>
      </w:rPr>
    </w:tblStylePr>
    <w:tblStylePr w:type="band1Vert">
      <w:tblPr/>
      <w:tcPr>
        <w:shd w:val="clear" w:color="auto" w:fill="FFFFFF" w:themeFill="accent4" w:themeFillTint="33"/>
      </w:tcPr>
    </w:tblStylePr>
    <w:tblStylePr w:type="band1Horz">
      <w:tblPr/>
      <w:tcPr>
        <w:shd w:val="clear" w:color="auto" w:fill="FFFFFF" w:themeFill="accent4" w:themeFillTint="33"/>
      </w:tcPr>
    </w:tblStylePr>
  </w:style>
  <w:style w:type="table" w:styleId="ListTable7Colorful-Accent4">
    <w:name w:val="List Table 7 Colorful Accent 4"/>
    <w:basedOn w:val="TableNormal"/>
    <w:uiPriority w:val="52"/>
    <w:rsid w:val="004027CF"/>
    <w:pPr>
      <w:spacing w:after="0" w:line="240" w:lineRule="auto"/>
    </w:pPr>
    <w:rPr>
      <w:color w:val="BFBFB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4"/>
        </w:tcBorders>
        <w:shd w:val="clear" w:color="auto" w:fill="FFFFFF" w:themeFill="background1"/>
      </w:tcPr>
    </w:tblStylePr>
    <w:tblStylePr w:type="band1Vert">
      <w:tblPr/>
      <w:tcPr>
        <w:shd w:val="clear" w:color="auto" w:fill="FFFFFF" w:themeFill="accent4" w:themeFillTint="33"/>
      </w:tcPr>
    </w:tblStylePr>
    <w:tblStylePr w:type="band1Horz">
      <w:tblPr/>
      <w:tcPr>
        <w:shd w:val="clear" w:color="auto" w:fill="FFFF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2">
    <w:name w:val="Grid Table 5 Dark Accent 2"/>
    <w:basedOn w:val="TableNormal"/>
    <w:uiPriority w:val="50"/>
    <w:rsid w:val="00D816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5D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CF5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CF5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CF5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CF52" w:themeFill="accent2"/>
      </w:tcPr>
    </w:tblStylePr>
    <w:tblStylePr w:type="band1Vert">
      <w:tblPr/>
      <w:tcPr>
        <w:shd w:val="clear" w:color="auto" w:fill="FEEBB9" w:themeFill="accent2" w:themeFillTint="66"/>
      </w:tcPr>
    </w:tblStylePr>
    <w:tblStylePr w:type="band1Horz">
      <w:tblPr/>
      <w:tcPr>
        <w:shd w:val="clear" w:color="auto" w:fill="FEEBB9" w:themeFill="accent2" w:themeFillTint="66"/>
      </w:tcPr>
    </w:tblStylePr>
  </w:style>
  <w:style w:type="character" w:styleId="LineNumber">
    <w:name w:val="line number"/>
    <w:basedOn w:val="DefaultParagraphFont"/>
    <w:uiPriority w:val="99"/>
    <w:semiHidden/>
    <w:unhideWhenUsed/>
    <w:rsid w:val="00DE4280"/>
  </w:style>
  <w:style w:type="paragraph" w:styleId="TOC5">
    <w:name w:val="toc 5"/>
    <w:basedOn w:val="Normal"/>
    <w:next w:val="Normal"/>
    <w:autoRedefine/>
    <w:uiPriority w:val="39"/>
    <w:unhideWhenUsed/>
    <w:rsid w:val="001B13D8"/>
    <w:pPr>
      <w:spacing w:after="0"/>
      <w:ind w:left="660"/>
    </w:pPr>
    <w:rPr>
      <w:rFonts w:cstheme="minorHAnsi"/>
      <w:sz w:val="20"/>
      <w:szCs w:val="20"/>
    </w:rPr>
  </w:style>
  <w:style w:type="paragraph" w:styleId="TOC7">
    <w:name w:val="toc 7"/>
    <w:basedOn w:val="Normal"/>
    <w:next w:val="Normal"/>
    <w:autoRedefine/>
    <w:uiPriority w:val="39"/>
    <w:unhideWhenUsed/>
    <w:rsid w:val="001B13D8"/>
    <w:pPr>
      <w:spacing w:after="0"/>
      <w:ind w:left="1100"/>
    </w:pPr>
    <w:rPr>
      <w:rFonts w:cstheme="minorHAnsi"/>
      <w:sz w:val="20"/>
      <w:szCs w:val="20"/>
    </w:rPr>
  </w:style>
  <w:style w:type="paragraph" w:styleId="TOC8">
    <w:name w:val="toc 8"/>
    <w:basedOn w:val="Normal"/>
    <w:next w:val="Normal"/>
    <w:autoRedefine/>
    <w:uiPriority w:val="39"/>
    <w:unhideWhenUsed/>
    <w:rsid w:val="001B13D8"/>
    <w:pPr>
      <w:spacing w:after="0"/>
      <w:ind w:left="1320"/>
    </w:pPr>
    <w:rPr>
      <w:rFonts w:cstheme="minorHAnsi"/>
      <w:sz w:val="20"/>
      <w:szCs w:val="20"/>
    </w:rPr>
  </w:style>
  <w:style w:type="paragraph" w:styleId="TOC9">
    <w:name w:val="toc 9"/>
    <w:basedOn w:val="Normal"/>
    <w:next w:val="Normal"/>
    <w:autoRedefine/>
    <w:uiPriority w:val="39"/>
    <w:unhideWhenUsed/>
    <w:rsid w:val="001B13D8"/>
    <w:pPr>
      <w:spacing w:after="0"/>
      <w:ind w:left="1540"/>
    </w:pPr>
    <w:rPr>
      <w:rFonts w:cstheme="minorHAnsi"/>
      <w:sz w:val="20"/>
      <w:szCs w:val="20"/>
    </w:rPr>
  </w:style>
  <w:style w:type="character" w:customStyle="1" w:styleId="cf01">
    <w:name w:val="cf01"/>
    <w:basedOn w:val="DefaultParagraphFont"/>
    <w:rsid w:val="00321EFA"/>
    <w:rPr>
      <w:rFonts w:ascii="Segoe UI" w:hAnsi="Segoe UI" w:cs="Segoe UI" w:hint="default"/>
      <w:color w:val="333333"/>
      <w:sz w:val="18"/>
      <w:szCs w:val="18"/>
    </w:rPr>
  </w:style>
  <w:style w:type="character" w:customStyle="1" w:styleId="ui-provider">
    <w:name w:val="ui-provider"/>
    <w:basedOn w:val="DefaultParagraphFont"/>
    <w:rsid w:val="00BD78E1"/>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basedOn w:val="DefaultParagraphFont"/>
    <w:link w:val="ListParagraph"/>
    <w:uiPriority w:val="34"/>
    <w:qFormat/>
    <w:locked/>
    <w:rsid w:val="0021100A"/>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lp1"/>
    <w:basedOn w:val="Normal"/>
    <w:link w:val="ListParagraphChar"/>
    <w:uiPriority w:val="34"/>
    <w:qFormat/>
    <w:rsid w:val="0021100A"/>
    <w:pPr>
      <w:spacing w:after="0" w:line="240" w:lineRule="auto"/>
      <w:ind w:left="720"/>
      <w:contextualSpacing/>
    </w:pPr>
  </w:style>
  <w:style w:type="character" w:customStyle="1" w:styleId="apple-converted-space">
    <w:name w:val="apple-converted-space"/>
    <w:basedOn w:val="DefaultParagraphFont"/>
    <w:rsid w:val="00C70BF6"/>
  </w:style>
  <w:style w:type="paragraph" w:customStyle="1" w:styleId="xmsolistparagraph">
    <w:name w:val="x_msolistparagraph"/>
    <w:basedOn w:val="Normal"/>
    <w:rsid w:val="00E90E48"/>
    <w:pPr>
      <w:spacing w:after="160" w:line="252" w:lineRule="auto"/>
      <w:ind w:left="720"/>
    </w:pPr>
    <w:rPr>
      <w:rFonts w:ascii="Calibri" w:hAnsi="Calibri" w:cs="Calibri"/>
      <w:lang w:eastAsia="en-AU"/>
    </w:rPr>
  </w:style>
  <w:style w:type="paragraph" w:customStyle="1" w:styleId="paragraph">
    <w:name w:val="paragraph"/>
    <w:basedOn w:val="Normal"/>
    <w:rsid w:val="0072609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26093"/>
  </w:style>
  <w:style w:type="character" w:customStyle="1" w:styleId="eop">
    <w:name w:val="eop"/>
    <w:basedOn w:val="DefaultParagraphFont"/>
    <w:rsid w:val="00726093"/>
  </w:style>
  <w:style w:type="character" w:customStyle="1" w:styleId="A15">
    <w:name w:val="A15"/>
    <w:uiPriority w:val="99"/>
    <w:rsid w:val="00873AB9"/>
    <w:rPr>
      <w:rFonts w:ascii="Myriad Pro Light" w:hAnsi="Myriad Pro Light" w:cs="Myriad Pro Ligh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67">
      <w:bodyDiv w:val="1"/>
      <w:marLeft w:val="0"/>
      <w:marRight w:val="0"/>
      <w:marTop w:val="0"/>
      <w:marBottom w:val="0"/>
      <w:divBdr>
        <w:top w:val="none" w:sz="0" w:space="0" w:color="auto"/>
        <w:left w:val="none" w:sz="0" w:space="0" w:color="auto"/>
        <w:bottom w:val="none" w:sz="0" w:space="0" w:color="auto"/>
        <w:right w:val="none" w:sz="0" w:space="0" w:color="auto"/>
      </w:divBdr>
    </w:div>
    <w:div w:id="21908780">
      <w:bodyDiv w:val="1"/>
      <w:marLeft w:val="0"/>
      <w:marRight w:val="0"/>
      <w:marTop w:val="0"/>
      <w:marBottom w:val="0"/>
      <w:divBdr>
        <w:top w:val="none" w:sz="0" w:space="0" w:color="auto"/>
        <w:left w:val="none" w:sz="0" w:space="0" w:color="auto"/>
        <w:bottom w:val="none" w:sz="0" w:space="0" w:color="auto"/>
        <w:right w:val="none" w:sz="0" w:space="0" w:color="auto"/>
      </w:divBdr>
    </w:div>
    <w:div w:id="78799188">
      <w:bodyDiv w:val="1"/>
      <w:marLeft w:val="0"/>
      <w:marRight w:val="0"/>
      <w:marTop w:val="0"/>
      <w:marBottom w:val="0"/>
      <w:divBdr>
        <w:top w:val="none" w:sz="0" w:space="0" w:color="auto"/>
        <w:left w:val="none" w:sz="0" w:space="0" w:color="auto"/>
        <w:bottom w:val="none" w:sz="0" w:space="0" w:color="auto"/>
        <w:right w:val="none" w:sz="0" w:space="0" w:color="auto"/>
      </w:divBdr>
    </w:div>
    <w:div w:id="79563721">
      <w:bodyDiv w:val="1"/>
      <w:marLeft w:val="0"/>
      <w:marRight w:val="0"/>
      <w:marTop w:val="0"/>
      <w:marBottom w:val="0"/>
      <w:divBdr>
        <w:top w:val="none" w:sz="0" w:space="0" w:color="auto"/>
        <w:left w:val="none" w:sz="0" w:space="0" w:color="auto"/>
        <w:bottom w:val="none" w:sz="0" w:space="0" w:color="auto"/>
        <w:right w:val="none" w:sz="0" w:space="0" w:color="auto"/>
      </w:divBdr>
    </w:div>
    <w:div w:id="100880977">
      <w:bodyDiv w:val="1"/>
      <w:marLeft w:val="0"/>
      <w:marRight w:val="0"/>
      <w:marTop w:val="0"/>
      <w:marBottom w:val="0"/>
      <w:divBdr>
        <w:top w:val="none" w:sz="0" w:space="0" w:color="auto"/>
        <w:left w:val="none" w:sz="0" w:space="0" w:color="auto"/>
        <w:bottom w:val="none" w:sz="0" w:space="0" w:color="auto"/>
        <w:right w:val="none" w:sz="0" w:space="0" w:color="auto"/>
      </w:divBdr>
    </w:div>
    <w:div w:id="111829590">
      <w:bodyDiv w:val="1"/>
      <w:marLeft w:val="0"/>
      <w:marRight w:val="0"/>
      <w:marTop w:val="0"/>
      <w:marBottom w:val="0"/>
      <w:divBdr>
        <w:top w:val="none" w:sz="0" w:space="0" w:color="auto"/>
        <w:left w:val="none" w:sz="0" w:space="0" w:color="auto"/>
        <w:bottom w:val="none" w:sz="0" w:space="0" w:color="auto"/>
        <w:right w:val="none" w:sz="0" w:space="0" w:color="auto"/>
      </w:divBdr>
    </w:div>
    <w:div w:id="129712700">
      <w:bodyDiv w:val="1"/>
      <w:marLeft w:val="0"/>
      <w:marRight w:val="0"/>
      <w:marTop w:val="0"/>
      <w:marBottom w:val="0"/>
      <w:divBdr>
        <w:top w:val="none" w:sz="0" w:space="0" w:color="auto"/>
        <w:left w:val="none" w:sz="0" w:space="0" w:color="auto"/>
        <w:bottom w:val="none" w:sz="0" w:space="0" w:color="auto"/>
        <w:right w:val="none" w:sz="0" w:space="0" w:color="auto"/>
      </w:divBdr>
    </w:div>
    <w:div w:id="134106851">
      <w:bodyDiv w:val="1"/>
      <w:marLeft w:val="0"/>
      <w:marRight w:val="0"/>
      <w:marTop w:val="0"/>
      <w:marBottom w:val="0"/>
      <w:divBdr>
        <w:top w:val="none" w:sz="0" w:space="0" w:color="auto"/>
        <w:left w:val="none" w:sz="0" w:space="0" w:color="auto"/>
        <w:bottom w:val="none" w:sz="0" w:space="0" w:color="auto"/>
        <w:right w:val="none" w:sz="0" w:space="0" w:color="auto"/>
      </w:divBdr>
    </w:div>
    <w:div w:id="195049321">
      <w:bodyDiv w:val="1"/>
      <w:marLeft w:val="0"/>
      <w:marRight w:val="0"/>
      <w:marTop w:val="0"/>
      <w:marBottom w:val="0"/>
      <w:divBdr>
        <w:top w:val="none" w:sz="0" w:space="0" w:color="auto"/>
        <w:left w:val="none" w:sz="0" w:space="0" w:color="auto"/>
        <w:bottom w:val="none" w:sz="0" w:space="0" w:color="auto"/>
        <w:right w:val="none" w:sz="0" w:space="0" w:color="auto"/>
      </w:divBdr>
    </w:div>
    <w:div w:id="205219626">
      <w:bodyDiv w:val="1"/>
      <w:marLeft w:val="0"/>
      <w:marRight w:val="0"/>
      <w:marTop w:val="0"/>
      <w:marBottom w:val="0"/>
      <w:divBdr>
        <w:top w:val="none" w:sz="0" w:space="0" w:color="auto"/>
        <w:left w:val="none" w:sz="0" w:space="0" w:color="auto"/>
        <w:bottom w:val="none" w:sz="0" w:space="0" w:color="auto"/>
        <w:right w:val="none" w:sz="0" w:space="0" w:color="auto"/>
      </w:divBdr>
    </w:div>
    <w:div w:id="248540660">
      <w:bodyDiv w:val="1"/>
      <w:marLeft w:val="0"/>
      <w:marRight w:val="0"/>
      <w:marTop w:val="0"/>
      <w:marBottom w:val="0"/>
      <w:divBdr>
        <w:top w:val="none" w:sz="0" w:space="0" w:color="auto"/>
        <w:left w:val="none" w:sz="0" w:space="0" w:color="auto"/>
        <w:bottom w:val="none" w:sz="0" w:space="0" w:color="auto"/>
        <w:right w:val="none" w:sz="0" w:space="0" w:color="auto"/>
      </w:divBdr>
    </w:div>
    <w:div w:id="249046675">
      <w:bodyDiv w:val="1"/>
      <w:marLeft w:val="0"/>
      <w:marRight w:val="0"/>
      <w:marTop w:val="0"/>
      <w:marBottom w:val="0"/>
      <w:divBdr>
        <w:top w:val="none" w:sz="0" w:space="0" w:color="auto"/>
        <w:left w:val="none" w:sz="0" w:space="0" w:color="auto"/>
        <w:bottom w:val="none" w:sz="0" w:space="0" w:color="auto"/>
        <w:right w:val="none" w:sz="0" w:space="0" w:color="auto"/>
      </w:divBdr>
    </w:div>
    <w:div w:id="249430074">
      <w:bodyDiv w:val="1"/>
      <w:marLeft w:val="0"/>
      <w:marRight w:val="0"/>
      <w:marTop w:val="0"/>
      <w:marBottom w:val="0"/>
      <w:divBdr>
        <w:top w:val="none" w:sz="0" w:space="0" w:color="auto"/>
        <w:left w:val="none" w:sz="0" w:space="0" w:color="auto"/>
        <w:bottom w:val="none" w:sz="0" w:space="0" w:color="auto"/>
        <w:right w:val="none" w:sz="0" w:space="0" w:color="auto"/>
      </w:divBdr>
    </w:div>
    <w:div w:id="253518737">
      <w:bodyDiv w:val="1"/>
      <w:marLeft w:val="0"/>
      <w:marRight w:val="0"/>
      <w:marTop w:val="0"/>
      <w:marBottom w:val="0"/>
      <w:divBdr>
        <w:top w:val="none" w:sz="0" w:space="0" w:color="auto"/>
        <w:left w:val="none" w:sz="0" w:space="0" w:color="auto"/>
        <w:bottom w:val="none" w:sz="0" w:space="0" w:color="auto"/>
        <w:right w:val="none" w:sz="0" w:space="0" w:color="auto"/>
      </w:divBdr>
    </w:div>
    <w:div w:id="257906734">
      <w:bodyDiv w:val="1"/>
      <w:marLeft w:val="0"/>
      <w:marRight w:val="0"/>
      <w:marTop w:val="0"/>
      <w:marBottom w:val="0"/>
      <w:divBdr>
        <w:top w:val="none" w:sz="0" w:space="0" w:color="auto"/>
        <w:left w:val="none" w:sz="0" w:space="0" w:color="auto"/>
        <w:bottom w:val="none" w:sz="0" w:space="0" w:color="auto"/>
        <w:right w:val="none" w:sz="0" w:space="0" w:color="auto"/>
      </w:divBdr>
    </w:div>
    <w:div w:id="275601296">
      <w:bodyDiv w:val="1"/>
      <w:marLeft w:val="0"/>
      <w:marRight w:val="0"/>
      <w:marTop w:val="0"/>
      <w:marBottom w:val="0"/>
      <w:divBdr>
        <w:top w:val="none" w:sz="0" w:space="0" w:color="auto"/>
        <w:left w:val="none" w:sz="0" w:space="0" w:color="auto"/>
        <w:bottom w:val="none" w:sz="0" w:space="0" w:color="auto"/>
        <w:right w:val="none" w:sz="0" w:space="0" w:color="auto"/>
      </w:divBdr>
    </w:div>
    <w:div w:id="296381358">
      <w:bodyDiv w:val="1"/>
      <w:marLeft w:val="0"/>
      <w:marRight w:val="0"/>
      <w:marTop w:val="0"/>
      <w:marBottom w:val="0"/>
      <w:divBdr>
        <w:top w:val="none" w:sz="0" w:space="0" w:color="auto"/>
        <w:left w:val="none" w:sz="0" w:space="0" w:color="auto"/>
        <w:bottom w:val="none" w:sz="0" w:space="0" w:color="auto"/>
        <w:right w:val="none" w:sz="0" w:space="0" w:color="auto"/>
      </w:divBdr>
    </w:div>
    <w:div w:id="305472755">
      <w:bodyDiv w:val="1"/>
      <w:marLeft w:val="0"/>
      <w:marRight w:val="0"/>
      <w:marTop w:val="0"/>
      <w:marBottom w:val="0"/>
      <w:divBdr>
        <w:top w:val="none" w:sz="0" w:space="0" w:color="auto"/>
        <w:left w:val="none" w:sz="0" w:space="0" w:color="auto"/>
        <w:bottom w:val="none" w:sz="0" w:space="0" w:color="auto"/>
        <w:right w:val="none" w:sz="0" w:space="0" w:color="auto"/>
      </w:divBdr>
    </w:div>
    <w:div w:id="308243693">
      <w:bodyDiv w:val="1"/>
      <w:marLeft w:val="0"/>
      <w:marRight w:val="0"/>
      <w:marTop w:val="0"/>
      <w:marBottom w:val="0"/>
      <w:divBdr>
        <w:top w:val="none" w:sz="0" w:space="0" w:color="auto"/>
        <w:left w:val="none" w:sz="0" w:space="0" w:color="auto"/>
        <w:bottom w:val="none" w:sz="0" w:space="0" w:color="auto"/>
        <w:right w:val="none" w:sz="0" w:space="0" w:color="auto"/>
      </w:divBdr>
    </w:div>
    <w:div w:id="325793147">
      <w:bodyDiv w:val="1"/>
      <w:marLeft w:val="0"/>
      <w:marRight w:val="0"/>
      <w:marTop w:val="0"/>
      <w:marBottom w:val="0"/>
      <w:divBdr>
        <w:top w:val="none" w:sz="0" w:space="0" w:color="auto"/>
        <w:left w:val="none" w:sz="0" w:space="0" w:color="auto"/>
        <w:bottom w:val="none" w:sz="0" w:space="0" w:color="auto"/>
        <w:right w:val="none" w:sz="0" w:space="0" w:color="auto"/>
      </w:divBdr>
    </w:div>
    <w:div w:id="337314622">
      <w:bodyDiv w:val="1"/>
      <w:marLeft w:val="0"/>
      <w:marRight w:val="0"/>
      <w:marTop w:val="0"/>
      <w:marBottom w:val="0"/>
      <w:divBdr>
        <w:top w:val="none" w:sz="0" w:space="0" w:color="auto"/>
        <w:left w:val="none" w:sz="0" w:space="0" w:color="auto"/>
        <w:bottom w:val="none" w:sz="0" w:space="0" w:color="auto"/>
        <w:right w:val="none" w:sz="0" w:space="0" w:color="auto"/>
      </w:divBdr>
    </w:div>
    <w:div w:id="351423820">
      <w:bodyDiv w:val="1"/>
      <w:marLeft w:val="0"/>
      <w:marRight w:val="0"/>
      <w:marTop w:val="0"/>
      <w:marBottom w:val="0"/>
      <w:divBdr>
        <w:top w:val="none" w:sz="0" w:space="0" w:color="auto"/>
        <w:left w:val="none" w:sz="0" w:space="0" w:color="auto"/>
        <w:bottom w:val="none" w:sz="0" w:space="0" w:color="auto"/>
        <w:right w:val="none" w:sz="0" w:space="0" w:color="auto"/>
      </w:divBdr>
    </w:div>
    <w:div w:id="364913875">
      <w:bodyDiv w:val="1"/>
      <w:marLeft w:val="0"/>
      <w:marRight w:val="0"/>
      <w:marTop w:val="0"/>
      <w:marBottom w:val="0"/>
      <w:divBdr>
        <w:top w:val="none" w:sz="0" w:space="0" w:color="auto"/>
        <w:left w:val="none" w:sz="0" w:space="0" w:color="auto"/>
        <w:bottom w:val="none" w:sz="0" w:space="0" w:color="auto"/>
        <w:right w:val="none" w:sz="0" w:space="0" w:color="auto"/>
      </w:divBdr>
      <w:divsChild>
        <w:div w:id="72318125">
          <w:marLeft w:val="446"/>
          <w:marRight w:val="0"/>
          <w:marTop w:val="62"/>
          <w:marBottom w:val="0"/>
          <w:divBdr>
            <w:top w:val="none" w:sz="0" w:space="0" w:color="auto"/>
            <w:left w:val="none" w:sz="0" w:space="0" w:color="auto"/>
            <w:bottom w:val="none" w:sz="0" w:space="0" w:color="auto"/>
            <w:right w:val="none" w:sz="0" w:space="0" w:color="auto"/>
          </w:divBdr>
        </w:div>
      </w:divsChild>
    </w:div>
    <w:div w:id="365835013">
      <w:bodyDiv w:val="1"/>
      <w:marLeft w:val="0"/>
      <w:marRight w:val="0"/>
      <w:marTop w:val="0"/>
      <w:marBottom w:val="0"/>
      <w:divBdr>
        <w:top w:val="none" w:sz="0" w:space="0" w:color="auto"/>
        <w:left w:val="none" w:sz="0" w:space="0" w:color="auto"/>
        <w:bottom w:val="none" w:sz="0" w:space="0" w:color="auto"/>
        <w:right w:val="none" w:sz="0" w:space="0" w:color="auto"/>
      </w:divBdr>
    </w:div>
    <w:div w:id="367141315">
      <w:bodyDiv w:val="1"/>
      <w:marLeft w:val="0"/>
      <w:marRight w:val="0"/>
      <w:marTop w:val="0"/>
      <w:marBottom w:val="0"/>
      <w:divBdr>
        <w:top w:val="none" w:sz="0" w:space="0" w:color="auto"/>
        <w:left w:val="none" w:sz="0" w:space="0" w:color="auto"/>
        <w:bottom w:val="none" w:sz="0" w:space="0" w:color="auto"/>
        <w:right w:val="none" w:sz="0" w:space="0" w:color="auto"/>
      </w:divBdr>
    </w:div>
    <w:div w:id="367999343">
      <w:bodyDiv w:val="1"/>
      <w:marLeft w:val="0"/>
      <w:marRight w:val="0"/>
      <w:marTop w:val="0"/>
      <w:marBottom w:val="0"/>
      <w:divBdr>
        <w:top w:val="none" w:sz="0" w:space="0" w:color="auto"/>
        <w:left w:val="none" w:sz="0" w:space="0" w:color="auto"/>
        <w:bottom w:val="none" w:sz="0" w:space="0" w:color="auto"/>
        <w:right w:val="none" w:sz="0" w:space="0" w:color="auto"/>
      </w:divBdr>
    </w:div>
    <w:div w:id="379521335">
      <w:bodyDiv w:val="1"/>
      <w:marLeft w:val="0"/>
      <w:marRight w:val="0"/>
      <w:marTop w:val="0"/>
      <w:marBottom w:val="0"/>
      <w:divBdr>
        <w:top w:val="none" w:sz="0" w:space="0" w:color="auto"/>
        <w:left w:val="none" w:sz="0" w:space="0" w:color="auto"/>
        <w:bottom w:val="none" w:sz="0" w:space="0" w:color="auto"/>
        <w:right w:val="none" w:sz="0" w:space="0" w:color="auto"/>
      </w:divBdr>
      <w:divsChild>
        <w:div w:id="1228764202">
          <w:marLeft w:val="0"/>
          <w:marRight w:val="0"/>
          <w:marTop w:val="0"/>
          <w:marBottom w:val="0"/>
          <w:divBdr>
            <w:top w:val="none" w:sz="0" w:space="0" w:color="auto"/>
            <w:left w:val="none" w:sz="0" w:space="0" w:color="auto"/>
            <w:bottom w:val="none" w:sz="0" w:space="0" w:color="auto"/>
            <w:right w:val="none" w:sz="0" w:space="0" w:color="auto"/>
          </w:divBdr>
          <w:divsChild>
            <w:div w:id="1195732284">
              <w:marLeft w:val="0"/>
              <w:marRight w:val="0"/>
              <w:marTop w:val="30"/>
              <w:marBottom w:val="30"/>
              <w:divBdr>
                <w:top w:val="none" w:sz="0" w:space="0" w:color="auto"/>
                <w:left w:val="none" w:sz="0" w:space="0" w:color="auto"/>
                <w:bottom w:val="none" w:sz="0" w:space="0" w:color="auto"/>
                <w:right w:val="none" w:sz="0" w:space="0" w:color="auto"/>
              </w:divBdr>
              <w:divsChild>
                <w:div w:id="19550148">
                  <w:marLeft w:val="0"/>
                  <w:marRight w:val="0"/>
                  <w:marTop w:val="0"/>
                  <w:marBottom w:val="0"/>
                  <w:divBdr>
                    <w:top w:val="none" w:sz="0" w:space="0" w:color="auto"/>
                    <w:left w:val="none" w:sz="0" w:space="0" w:color="auto"/>
                    <w:bottom w:val="none" w:sz="0" w:space="0" w:color="auto"/>
                    <w:right w:val="none" w:sz="0" w:space="0" w:color="auto"/>
                  </w:divBdr>
                  <w:divsChild>
                    <w:div w:id="23601354">
                      <w:marLeft w:val="0"/>
                      <w:marRight w:val="0"/>
                      <w:marTop w:val="0"/>
                      <w:marBottom w:val="0"/>
                      <w:divBdr>
                        <w:top w:val="none" w:sz="0" w:space="0" w:color="auto"/>
                        <w:left w:val="none" w:sz="0" w:space="0" w:color="auto"/>
                        <w:bottom w:val="none" w:sz="0" w:space="0" w:color="auto"/>
                        <w:right w:val="none" w:sz="0" w:space="0" w:color="auto"/>
                      </w:divBdr>
                    </w:div>
                  </w:divsChild>
                </w:div>
                <w:div w:id="82846696">
                  <w:marLeft w:val="0"/>
                  <w:marRight w:val="0"/>
                  <w:marTop w:val="0"/>
                  <w:marBottom w:val="0"/>
                  <w:divBdr>
                    <w:top w:val="none" w:sz="0" w:space="0" w:color="auto"/>
                    <w:left w:val="none" w:sz="0" w:space="0" w:color="auto"/>
                    <w:bottom w:val="none" w:sz="0" w:space="0" w:color="auto"/>
                    <w:right w:val="none" w:sz="0" w:space="0" w:color="auto"/>
                  </w:divBdr>
                  <w:divsChild>
                    <w:div w:id="1463428415">
                      <w:marLeft w:val="0"/>
                      <w:marRight w:val="0"/>
                      <w:marTop w:val="0"/>
                      <w:marBottom w:val="0"/>
                      <w:divBdr>
                        <w:top w:val="none" w:sz="0" w:space="0" w:color="auto"/>
                        <w:left w:val="none" w:sz="0" w:space="0" w:color="auto"/>
                        <w:bottom w:val="none" w:sz="0" w:space="0" w:color="auto"/>
                        <w:right w:val="none" w:sz="0" w:space="0" w:color="auto"/>
                      </w:divBdr>
                    </w:div>
                  </w:divsChild>
                </w:div>
                <w:div w:id="88936069">
                  <w:marLeft w:val="0"/>
                  <w:marRight w:val="0"/>
                  <w:marTop w:val="0"/>
                  <w:marBottom w:val="0"/>
                  <w:divBdr>
                    <w:top w:val="none" w:sz="0" w:space="0" w:color="auto"/>
                    <w:left w:val="none" w:sz="0" w:space="0" w:color="auto"/>
                    <w:bottom w:val="none" w:sz="0" w:space="0" w:color="auto"/>
                    <w:right w:val="none" w:sz="0" w:space="0" w:color="auto"/>
                  </w:divBdr>
                  <w:divsChild>
                    <w:div w:id="1253128736">
                      <w:marLeft w:val="0"/>
                      <w:marRight w:val="0"/>
                      <w:marTop w:val="0"/>
                      <w:marBottom w:val="0"/>
                      <w:divBdr>
                        <w:top w:val="none" w:sz="0" w:space="0" w:color="auto"/>
                        <w:left w:val="none" w:sz="0" w:space="0" w:color="auto"/>
                        <w:bottom w:val="none" w:sz="0" w:space="0" w:color="auto"/>
                        <w:right w:val="none" w:sz="0" w:space="0" w:color="auto"/>
                      </w:divBdr>
                    </w:div>
                  </w:divsChild>
                </w:div>
                <w:div w:id="132649592">
                  <w:marLeft w:val="0"/>
                  <w:marRight w:val="0"/>
                  <w:marTop w:val="0"/>
                  <w:marBottom w:val="0"/>
                  <w:divBdr>
                    <w:top w:val="none" w:sz="0" w:space="0" w:color="auto"/>
                    <w:left w:val="none" w:sz="0" w:space="0" w:color="auto"/>
                    <w:bottom w:val="none" w:sz="0" w:space="0" w:color="auto"/>
                    <w:right w:val="none" w:sz="0" w:space="0" w:color="auto"/>
                  </w:divBdr>
                  <w:divsChild>
                    <w:div w:id="120464023">
                      <w:marLeft w:val="0"/>
                      <w:marRight w:val="0"/>
                      <w:marTop w:val="0"/>
                      <w:marBottom w:val="0"/>
                      <w:divBdr>
                        <w:top w:val="none" w:sz="0" w:space="0" w:color="auto"/>
                        <w:left w:val="none" w:sz="0" w:space="0" w:color="auto"/>
                        <w:bottom w:val="none" w:sz="0" w:space="0" w:color="auto"/>
                        <w:right w:val="none" w:sz="0" w:space="0" w:color="auto"/>
                      </w:divBdr>
                    </w:div>
                  </w:divsChild>
                </w:div>
                <w:div w:id="141774844">
                  <w:marLeft w:val="0"/>
                  <w:marRight w:val="0"/>
                  <w:marTop w:val="0"/>
                  <w:marBottom w:val="0"/>
                  <w:divBdr>
                    <w:top w:val="none" w:sz="0" w:space="0" w:color="auto"/>
                    <w:left w:val="none" w:sz="0" w:space="0" w:color="auto"/>
                    <w:bottom w:val="none" w:sz="0" w:space="0" w:color="auto"/>
                    <w:right w:val="none" w:sz="0" w:space="0" w:color="auto"/>
                  </w:divBdr>
                  <w:divsChild>
                    <w:div w:id="1632588456">
                      <w:marLeft w:val="0"/>
                      <w:marRight w:val="0"/>
                      <w:marTop w:val="0"/>
                      <w:marBottom w:val="0"/>
                      <w:divBdr>
                        <w:top w:val="none" w:sz="0" w:space="0" w:color="auto"/>
                        <w:left w:val="none" w:sz="0" w:space="0" w:color="auto"/>
                        <w:bottom w:val="none" w:sz="0" w:space="0" w:color="auto"/>
                        <w:right w:val="none" w:sz="0" w:space="0" w:color="auto"/>
                      </w:divBdr>
                    </w:div>
                  </w:divsChild>
                </w:div>
                <w:div w:id="178782715">
                  <w:marLeft w:val="0"/>
                  <w:marRight w:val="0"/>
                  <w:marTop w:val="0"/>
                  <w:marBottom w:val="0"/>
                  <w:divBdr>
                    <w:top w:val="none" w:sz="0" w:space="0" w:color="auto"/>
                    <w:left w:val="none" w:sz="0" w:space="0" w:color="auto"/>
                    <w:bottom w:val="none" w:sz="0" w:space="0" w:color="auto"/>
                    <w:right w:val="none" w:sz="0" w:space="0" w:color="auto"/>
                  </w:divBdr>
                  <w:divsChild>
                    <w:div w:id="1753118782">
                      <w:marLeft w:val="0"/>
                      <w:marRight w:val="0"/>
                      <w:marTop w:val="0"/>
                      <w:marBottom w:val="0"/>
                      <w:divBdr>
                        <w:top w:val="none" w:sz="0" w:space="0" w:color="auto"/>
                        <w:left w:val="none" w:sz="0" w:space="0" w:color="auto"/>
                        <w:bottom w:val="none" w:sz="0" w:space="0" w:color="auto"/>
                        <w:right w:val="none" w:sz="0" w:space="0" w:color="auto"/>
                      </w:divBdr>
                    </w:div>
                  </w:divsChild>
                </w:div>
                <w:div w:id="188765766">
                  <w:marLeft w:val="0"/>
                  <w:marRight w:val="0"/>
                  <w:marTop w:val="0"/>
                  <w:marBottom w:val="0"/>
                  <w:divBdr>
                    <w:top w:val="none" w:sz="0" w:space="0" w:color="auto"/>
                    <w:left w:val="none" w:sz="0" w:space="0" w:color="auto"/>
                    <w:bottom w:val="none" w:sz="0" w:space="0" w:color="auto"/>
                    <w:right w:val="none" w:sz="0" w:space="0" w:color="auto"/>
                  </w:divBdr>
                  <w:divsChild>
                    <w:div w:id="777411477">
                      <w:marLeft w:val="0"/>
                      <w:marRight w:val="0"/>
                      <w:marTop w:val="0"/>
                      <w:marBottom w:val="0"/>
                      <w:divBdr>
                        <w:top w:val="none" w:sz="0" w:space="0" w:color="auto"/>
                        <w:left w:val="none" w:sz="0" w:space="0" w:color="auto"/>
                        <w:bottom w:val="none" w:sz="0" w:space="0" w:color="auto"/>
                        <w:right w:val="none" w:sz="0" w:space="0" w:color="auto"/>
                      </w:divBdr>
                    </w:div>
                  </w:divsChild>
                </w:div>
                <w:div w:id="294678831">
                  <w:marLeft w:val="0"/>
                  <w:marRight w:val="0"/>
                  <w:marTop w:val="0"/>
                  <w:marBottom w:val="0"/>
                  <w:divBdr>
                    <w:top w:val="none" w:sz="0" w:space="0" w:color="auto"/>
                    <w:left w:val="none" w:sz="0" w:space="0" w:color="auto"/>
                    <w:bottom w:val="none" w:sz="0" w:space="0" w:color="auto"/>
                    <w:right w:val="none" w:sz="0" w:space="0" w:color="auto"/>
                  </w:divBdr>
                  <w:divsChild>
                    <w:div w:id="911935492">
                      <w:marLeft w:val="0"/>
                      <w:marRight w:val="0"/>
                      <w:marTop w:val="0"/>
                      <w:marBottom w:val="0"/>
                      <w:divBdr>
                        <w:top w:val="none" w:sz="0" w:space="0" w:color="auto"/>
                        <w:left w:val="none" w:sz="0" w:space="0" w:color="auto"/>
                        <w:bottom w:val="none" w:sz="0" w:space="0" w:color="auto"/>
                        <w:right w:val="none" w:sz="0" w:space="0" w:color="auto"/>
                      </w:divBdr>
                    </w:div>
                  </w:divsChild>
                </w:div>
                <w:div w:id="299304499">
                  <w:marLeft w:val="0"/>
                  <w:marRight w:val="0"/>
                  <w:marTop w:val="0"/>
                  <w:marBottom w:val="0"/>
                  <w:divBdr>
                    <w:top w:val="none" w:sz="0" w:space="0" w:color="auto"/>
                    <w:left w:val="none" w:sz="0" w:space="0" w:color="auto"/>
                    <w:bottom w:val="none" w:sz="0" w:space="0" w:color="auto"/>
                    <w:right w:val="none" w:sz="0" w:space="0" w:color="auto"/>
                  </w:divBdr>
                  <w:divsChild>
                    <w:div w:id="2015179243">
                      <w:marLeft w:val="0"/>
                      <w:marRight w:val="0"/>
                      <w:marTop w:val="0"/>
                      <w:marBottom w:val="0"/>
                      <w:divBdr>
                        <w:top w:val="none" w:sz="0" w:space="0" w:color="auto"/>
                        <w:left w:val="none" w:sz="0" w:space="0" w:color="auto"/>
                        <w:bottom w:val="none" w:sz="0" w:space="0" w:color="auto"/>
                        <w:right w:val="none" w:sz="0" w:space="0" w:color="auto"/>
                      </w:divBdr>
                    </w:div>
                  </w:divsChild>
                </w:div>
                <w:div w:id="325745332">
                  <w:marLeft w:val="0"/>
                  <w:marRight w:val="0"/>
                  <w:marTop w:val="0"/>
                  <w:marBottom w:val="0"/>
                  <w:divBdr>
                    <w:top w:val="none" w:sz="0" w:space="0" w:color="auto"/>
                    <w:left w:val="none" w:sz="0" w:space="0" w:color="auto"/>
                    <w:bottom w:val="none" w:sz="0" w:space="0" w:color="auto"/>
                    <w:right w:val="none" w:sz="0" w:space="0" w:color="auto"/>
                  </w:divBdr>
                  <w:divsChild>
                    <w:div w:id="2140762410">
                      <w:marLeft w:val="0"/>
                      <w:marRight w:val="0"/>
                      <w:marTop w:val="0"/>
                      <w:marBottom w:val="0"/>
                      <w:divBdr>
                        <w:top w:val="none" w:sz="0" w:space="0" w:color="auto"/>
                        <w:left w:val="none" w:sz="0" w:space="0" w:color="auto"/>
                        <w:bottom w:val="none" w:sz="0" w:space="0" w:color="auto"/>
                        <w:right w:val="none" w:sz="0" w:space="0" w:color="auto"/>
                      </w:divBdr>
                    </w:div>
                  </w:divsChild>
                </w:div>
                <w:div w:id="417792698">
                  <w:marLeft w:val="0"/>
                  <w:marRight w:val="0"/>
                  <w:marTop w:val="0"/>
                  <w:marBottom w:val="0"/>
                  <w:divBdr>
                    <w:top w:val="none" w:sz="0" w:space="0" w:color="auto"/>
                    <w:left w:val="none" w:sz="0" w:space="0" w:color="auto"/>
                    <w:bottom w:val="none" w:sz="0" w:space="0" w:color="auto"/>
                    <w:right w:val="none" w:sz="0" w:space="0" w:color="auto"/>
                  </w:divBdr>
                  <w:divsChild>
                    <w:div w:id="1990162154">
                      <w:marLeft w:val="0"/>
                      <w:marRight w:val="0"/>
                      <w:marTop w:val="0"/>
                      <w:marBottom w:val="0"/>
                      <w:divBdr>
                        <w:top w:val="none" w:sz="0" w:space="0" w:color="auto"/>
                        <w:left w:val="none" w:sz="0" w:space="0" w:color="auto"/>
                        <w:bottom w:val="none" w:sz="0" w:space="0" w:color="auto"/>
                        <w:right w:val="none" w:sz="0" w:space="0" w:color="auto"/>
                      </w:divBdr>
                    </w:div>
                  </w:divsChild>
                </w:div>
                <w:div w:id="420685296">
                  <w:marLeft w:val="0"/>
                  <w:marRight w:val="0"/>
                  <w:marTop w:val="0"/>
                  <w:marBottom w:val="0"/>
                  <w:divBdr>
                    <w:top w:val="none" w:sz="0" w:space="0" w:color="auto"/>
                    <w:left w:val="none" w:sz="0" w:space="0" w:color="auto"/>
                    <w:bottom w:val="none" w:sz="0" w:space="0" w:color="auto"/>
                    <w:right w:val="none" w:sz="0" w:space="0" w:color="auto"/>
                  </w:divBdr>
                  <w:divsChild>
                    <w:div w:id="2144227050">
                      <w:marLeft w:val="0"/>
                      <w:marRight w:val="0"/>
                      <w:marTop w:val="0"/>
                      <w:marBottom w:val="0"/>
                      <w:divBdr>
                        <w:top w:val="none" w:sz="0" w:space="0" w:color="auto"/>
                        <w:left w:val="none" w:sz="0" w:space="0" w:color="auto"/>
                        <w:bottom w:val="none" w:sz="0" w:space="0" w:color="auto"/>
                        <w:right w:val="none" w:sz="0" w:space="0" w:color="auto"/>
                      </w:divBdr>
                    </w:div>
                  </w:divsChild>
                </w:div>
                <w:div w:id="512457352">
                  <w:marLeft w:val="0"/>
                  <w:marRight w:val="0"/>
                  <w:marTop w:val="0"/>
                  <w:marBottom w:val="0"/>
                  <w:divBdr>
                    <w:top w:val="none" w:sz="0" w:space="0" w:color="auto"/>
                    <w:left w:val="none" w:sz="0" w:space="0" w:color="auto"/>
                    <w:bottom w:val="none" w:sz="0" w:space="0" w:color="auto"/>
                    <w:right w:val="none" w:sz="0" w:space="0" w:color="auto"/>
                  </w:divBdr>
                  <w:divsChild>
                    <w:div w:id="2078630676">
                      <w:marLeft w:val="0"/>
                      <w:marRight w:val="0"/>
                      <w:marTop w:val="0"/>
                      <w:marBottom w:val="0"/>
                      <w:divBdr>
                        <w:top w:val="none" w:sz="0" w:space="0" w:color="auto"/>
                        <w:left w:val="none" w:sz="0" w:space="0" w:color="auto"/>
                        <w:bottom w:val="none" w:sz="0" w:space="0" w:color="auto"/>
                        <w:right w:val="none" w:sz="0" w:space="0" w:color="auto"/>
                      </w:divBdr>
                    </w:div>
                  </w:divsChild>
                </w:div>
                <w:div w:id="531965901">
                  <w:marLeft w:val="0"/>
                  <w:marRight w:val="0"/>
                  <w:marTop w:val="0"/>
                  <w:marBottom w:val="0"/>
                  <w:divBdr>
                    <w:top w:val="none" w:sz="0" w:space="0" w:color="auto"/>
                    <w:left w:val="none" w:sz="0" w:space="0" w:color="auto"/>
                    <w:bottom w:val="none" w:sz="0" w:space="0" w:color="auto"/>
                    <w:right w:val="none" w:sz="0" w:space="0" w:color="auto"/>
                  </w:divBdr>
                  <w:divsChild>
                    <w:div w:id="1029911403">
                      <w:marLeft w:val="0"/>
                      <w:marRight w:val="0"/>
                      <w:marTop w:val="0"/>
                      <w:marBottom w:val="0"/>
                      <w:divBdr>
                        <w:top w:val="none" w:sz="0" w:space="0" w:color="auto"/>
                        <w:left w:val="none" w:sz="0" w:space="0" w:color="auto"/>
                        <w:bottom w:val="none" w:sz="0" w:space="0" w:color="auto"/>
                        <w:right w:val="none" w:sz="0" w:space="0" w:color="auto"/>
                      </w:divBdr>
                    </w:div>
                  </w:divsChild>
                </w:div>
                <w:div w:id="562566083">
                  <w:marLeft w:val="0"/>
                  <w:marRight w:val="0"/>
                  <w:marTop w:val="0"/>
                  <w:marBottom w:val="0"/>
                  <w:divBdr>
                    <w:top w:val="none" w:sz="0" w:space="0" w:color="auto"/>
                    <w:left w:val="none" w:sz="0" w:space="0" w:color="auto"/>
                    <w:bottom w:val="none" w:sz="0" w:space="0" w:color="auto"/>
                    <w:right w:val="none" w:sz="0" w:space="0" w:color="auto"/>
                  </w:divBdr>
                  <w:divsChild>
                    <w:div w:id="1598168951">
                      <w:marLeft w:val="0"/>
                      <w:marRight w:val="0"/>
                      <w:marTop w:val="0"/>
                      <w:marBottom w:val="0"/>
                      <w:divBdr>
                        <w:top w:val="none" w:sz="0" w:space="0" w:color="auto"/>
                        <w:left w:val="none" w:sz="0" w:space="0" w:color="auto"/>
                        <w:bottom w:val="none" w:sz="0" w:space="0" w:color="auto"/>
                        <w:right w:val="none" w:sz="0" w:space="0" w:color="auto"/>
                      </w:divBdr>
                    </w:div>
                  </w:divsChild>
                </w:div>
                <w:div w:id="563611731">
                  <w:marLeft w:val="0"/>
                  <w:marRight w:val="0"/>
                  <w:marTop w:val="0"/>
                  <w:marBottom w:val="0"/>
                  <w:divBdr>
                    <w:top w:val="none" w:sz="0" w:space="0" w:color="auto"/>
                    <w:left w:val="none" w:sz="0" w:space="0" w:color="auto"/>
                    <w:bottom w:val="none" w:sz="0" w:space="0" w:color="auto"/>
                    <w:right w:val="none" w:sz="0" w:space="0" w:color="auto"/>
                  </w:divBdr>
                  <w:divsChild>
                    <w:div w:id="1581210324">
                      <w:marLeft w:val="0"/>
                      <w:marRight w:val="0"/>
                      <w:marTop w:val="0"/>
                      <w:marBottom w:val="0"/>
                      <w:divBdr>
                        <w:top w:val="none" w:sz="0" w:space="0" w:color="auto"/>
                        <w:left w:val="none" w:sz="0" w:space="0" w:color="auto"/>
                        <w:bottom w:val="none" w:sz="0" w:space="0" w:color="auto"/>
                        <w:right w:val="none" w:sz="0" w:space="0" w:color="auto"/>
                      </w:divBdr>
                    </w:div>
                  </w:divsChild>
                </w:div>
                <w:div w:id="628122590">
                  <w:marLeft w:val="0"/>
                  <w:marRight w:val="0"/>
                  <w:marTop w:val="0"/>
                  <w:marBottom w:val="0"/>
                  <w:divBdr>
                    <w:top w:val="none" w:sz="0" w:space="0" w:color="auto"/>
                    <w:left w:val="none" w:sz="0" w:space="0" w:color="auto"/>
                    <w:bottom w:val="none" w:sz="0" w:space="0" w:color="auto"/>
                    <w:right w:val="none" w:sz="0" w:space="0" w:color="auto"/>
                  </w:divBdr>
                  <w:divsChild>
                    <w:div w:id="64038622">
                      <w:marLeft w:val="0"/>
                      <w:marRight w:val="0"/>
                      <w:marTop w:val="0"/>
                      <w:marBottom w:val="0"/>
                      <w:divBdr>
                        <w:top w:val="none" w:sz="0" w:space="0" w:color="auto"/>
                        <w:left w:val="none" w:sz="0" w:space="0" w:color="auto"/>
                        <w:bottom w:val="none" w:sz="0" w:space="0" w:color="auto"/>
                        <w:right w:val="none" w:sz="0" w:space="0" w:color="auto"/>
                      </w:divBdr>
                    </w:div>
                  </w:divsChild>
                </w:div>
                <w:div w:id="743651023">
                  <w:marLeft w:val="0"/>
                  <w:marRight w:val="0"/>
                  <w:marTop w:val="0"/>
                  <w:marBottom w:val="0"/>
                  <w:divBdr>
                    <w:top w:val="none" w:sz="0" w:space="0" w:color="auto"/>
                    <w:left w:val="none" w:sz="0" w:space="0" w:color="auto"/>
                    <w:bottom w:val="none" w:sz="0" w:space="0" w:color="auto"/>
                    <w:right w:val="none" w:sz="0" w:space="0" w:color="auto"/>
                  </w:divBdr>
                  <w:divsChild>
                    <w:div w:id="255405023">
                      <w:marLeft w:val="0"/>
                      <w:marRight w:val="0"/>
                      <w:marTop w:val="0"/>
                      <w:marBottom w:val="0"/>
                      <w:divBdr>
                        <w:top w:val="none" w:sz="0" w:space="0" w:color="auto"/>
                        <w:left w:val="none" w:sz="0" w:space="0" w:color="auto"/>
                        <w:bottom w:val="none" w:sz="0" w:space="0" w:color="auto"/>
                        <w:right w:val="none" w:sz="0" w:space="0" w:color="auto"/>
                      </w:divBdr>
                    </w:div>
                  </w:divsChild>
                </w:div>
                <w:div w:id="767509512">
                  <w:marLeft w:val="0"/>
                  <w:marRight w:val="0"/>
                  <w:marTop w:val="0"/>
                  <w:marBottom w:val="0"/>
                  <w:divBdr>
                    <w:top w:val="none" w:sz="0" w:space="0" w:color="auto"/>
                    <w:left w:val="none" w:sz="0" w:space="0" w:color="auto"/>
                    <w:bottom w:val="none" w:sz="0" w:space="0" w:color="auto"/>
                    <w:right w:val="none" w:sz="0" w:space="0" w:color="auto"/>
                  </w:divBdr>
                  <w:divsChild>
                    <w:div w:id="211619485">
                      <w:marLeft w:val="0"/>
                      <w:marRight w:val="0"/>
                      <w:marTop w:val="0"/>
                      <w:marBottom w:val="0"/>
                      <w:divBdr>
                        <w:top w:val="none" w:sz="0" w:space="0" w:color="auto"/>
                        <w:left w:val="none" w:sz="0" w:space="0" w:color="auto"/>
                        <w:bottom w:val="none" w:sz="0" w:space="0" w:color="auto"/>
                        <w:right w:val="none" w:sz="0" w:space="0" w:color="auto"/>
                      </w:divBdr>
                    </w:div>
                  </w:divsChild>
                </w:div>
                <w:div w:id="767851187">
                  <w:marLeft w:val="0"/>
                  <w:marRight w:val="0"/>
                  <w:marTop w:val="0"/>
                  <w:marBottom w:val="0"/>
                  <w:divBdr>
                    <w:top w:val="none" w:sz="0" w:space="0" w:color="auto"/>
                    <w:left w:val="none" w:sz="0" w:space="0" w:color="auto"/>
                    <w:bottom w:val="none" w:sz="0" w:space="0" w:color="auto"/>
                    <w:right w:val="none" w:sz="0" w:space="0" w:color="auto"/>
                  </w:divBdr>
                  <w:divsChild>
                    <w:div w:id="1067802402">
                      <w:marLeft w:val="0"/>
                      <w:marRight w:val="0"/>
                      <w:marTop w:val="0"/>
                      <w:marBottom w:val="0"/>
                      <w:divBdr>
                        <w:top w:val="none" w:sz="0" w:space="0" w:color="auto"/>
                        <w:left w:val="none" w:sz="0" w:space="0" w:color="auto"/>
                        <w:bottom w:val="none" w:sz="0" w:space="0" w:color="auto"/>
                        <w:right w:val="none" w:sz="0" w:space="0" w:color="auto"/>
                      </w:divBdr>
                    </w:div>
                  </w:divsChild>
                </w:div>
                <w:div w:id="788889434">
                  <w:marLeft w:val="0"/>
                  <w:marRight w:val="0"/>
                  <w:marTop w:val="0"/>
                  <w:marBottom w:val="0"/>
                  <w:divBdr>
                    <w:top w:val="none" w:sz="0" w:space="0" w:color="auto"/>
                    <w:left w:val="none" w:sz="0" w:space="0" w:color="auto"/>
                    <w:bottom w:val="none" w:sz="0" w:space="0" w:color="auto"/>
                    <w:right w:val="none" w:sz="0" w:space="0" w:color="auto"/>
                  </w:divBdr>
                  <w:divsChild>
                    <w:div w:id="1462384802">
                      <w:marLeft w:val="0"/>
                      <w:marRight w:val="0"/>
                      <w:marTop w:val="0"/>
                      <w:marBottom w:val="0"/>
                      <w:divBdr>
                        <w:top w:val="none" w:sz="0" w:space="0" w:color="auto"/>
                        <w:left w:val="none" w:sz="0" w:space="0" w:color="auto"/>
                        <w:bottom w:val="none" w:sz="0" w:space="0" w:color="auto"/>
                        <w:right w:val="none" w:sz="0" w:space="0" w:color="auto"/>
                      </w:divBdr>
                    </w:div>
                  </w:divsChild>
                </w:div>
                <w:div w:id="790899689">
                  <w:marLeft w:val="0"/>
                  <w:marRight w:val="0"/>
                  <w:marTop w:val="0"/>
                  <w:marBottom w:val="0"/>
                  <w:divBdr>
                    <w:top w:val="none" w:sz="0" w:space="0" w:color="auto"/>
                    <w:left w:val="none" w:sz="0" w:space="0" w:color="auto"/>
                    <w:bottom w:val="none" w:sz="0" w:space="0" w:color="auto"/>
                    <w:right w:val="none" w:sz="0" w:space="0" w:color="auto"/>
                  </w:divBdr>
                  <w:divsChild>
                    <w:div w:id="1907952208">
                      <w:marLeft w:val="0"/>
                      <w:marRight w:val="0"/>
                      <w:marTop w:val="0"/>
                      <w:marBottom w:val="0"/>
                      <w:divBdr>
                        <w:top w:val="none" w:sz="0" w:space="0" w:color="auto"/>
                        <w:left w:val="none" w:sz="0" w:space="0" w:color="auto"/>
                        <w:bottom w:val="none" w:sz="0" w:space="0" w:color="auto"/>
                        <w:right w:val="none" w:sz="0" w:space="0" w:color="auto"/>
                      </w:divBdr>
                    </w:div>
                  </w:divsChild>
                </w:div>
                <w:div w:id="805658300">
                  <w:marLeft w:val="0"/>
                  <w:marRight w:val="0"/>
                  <w:marTop w:val="0"/>
                  <w:marBottom w:val="0"/>
                  <w:divBdr>
                    <w:top w:val="none" w:sz="0" w:space="0" w:color="auto"/>
                    <w:left w:val="none" w:sz="0" w:space="0" w:color="auto"/>
                    <w:bottom w:val="none" w:sz="0" w:space="0" w:color="auto"/>
                    <w:right w:val="none" w:sz="0" w:space="0" w:color="auto"/>
                  </w:divBdr>
                  <w:divsChild>
                    <w:div w:id="1113747055">
                      <w:marLeft w:val="0"/>
                      <w:marRight w:val="0"/>
                      <w:marTop w:val="0"/>
                      <w:marBottom w:val="0"/>
                      <w:divBdr>
                        <w:top w:val="none" w:sz="0" w:space="0" w:color="auto"/>
                        <w:left w:val="none" w:sz="0" w:space="0" w:color="auto"/>
                        <w:bottom w:val="none" w:sz="0" w:space="0" w:color="auto"/>
                        <w:right w:val="none" w:sz="0" w:space="0" w:color="auto"/>
                      </w:divBdr>
                    </w:div>
                  </w:divsChild>
                </w:div>
                <w:div w:id="809706531">
                  <w:marLeft w:val="0"/>
                  <w:marRight w:val="0"/>
                  <w:marTop w:val="0"/>
                  <w:marBottom w:val="0"/>
                  <w:divBdr>
                    <w:top w:val="none" w:sz="0" w:space="0" w:color="auto"/>
                    <w:left w:val="none" w:sz="0" w:space="0" w:color="auto"/>
                    <w:bottom w:val="none" w:sz="0" w:space="0" w:color="auto"/>
                    <w:right w:val="none" w:sz="0" w:space="0" w:color="auto"/>
                  </w:divBdr>
                  <w:divsChild>
                    <w:div w:id="630133422">
                      <w:marLeft w:val="0"/>
                      <w:marRight w:val="0"/>
                      <w:marTop w:val="0"/>
                      <w:marBottom w:val="0"/>
                      <w:divBdr>
                        <w:top w:val="none" w:sz="0" w:space="0" w:color="auto"/>
                        <w:left w:val="none" w:sz="0" w:space="0" w:color="auto"/>
                        <w:bottom w:val="none" w:sz="0" w:space="0" w:color="auto"/>
                        <w:right w:val="none" w:sz="0" w:space="0" w:color="auto"/>
                      </w:divBdr>
                    </w:div>
                  </w:divsChild>
                </w:div>
                <w:div w:id="845440619">
                  <w:marLeft w:val="0"/>
                  <w:marRight w:val="0"/>
                  <w:marTop w:val="0"/>
                  <w:marBottom w:val="0"/>
                  <w:divBdr>
                    <w:top w:val="none" w:sz="0" w:space="0" w:color="auto"/>
                    <w:left w:val="none" w:sz="0" w:space="0" w:color="auto"/>
                    <w:bottom w:val="none" w:sz="0" w:space="0" w:color="auto"/>
                    <w:right w:val="none" w:sz="0" w:space="0" w:color="auto"/>
                  </w:divBdr>
                  <w:divsChild>
                    <w:div w:id="1478498544">
                      <w:marLeft w:val="0"/>
                      <w:marRight w:val="0"/>
                      <w:marTop w:val="0"/>
                      <w:marBottom w:val="0"/>
                      <w:divBdr>
                        <w:top w:val="none" w:sz="0" w:space="0" w:color="auto"/>
                        <w:left w:val="none" w:sz="0" w:space="0" w:color="auto"/>
                        <w:bottom w:val="none" w:sz="0" w:space="0" w:color="auto"/>
                        <w:right w:val="none" w:sz="0" w:space="0" w:color="auto"/>
                      </w:divBdr>
                    </w:div>
                  </w:divsChild>
                </w:div>
                <w:div w:id="861437415">
                  <w:marLeft w:val="0"/>
                  <w:marRight w:val="0"/>
                  <w:marTop w:val="0"/>
                  <w:marBottom w:val="0"/>
                  <w:divBdr>
                    <w:top w:val="none" w:sz="0" w:space="0" w:color="auto"/>
                    <w:left w:val="none" w:sz="0" w:space="0" w:color="auto"/>
                    <w:bottom w:val="none" w:sz="0" w:space="0" w:color="auto"/>
                    <w:right w:val="none" w:sz="0" w:space="0" w:color="auto"/>
                  </w:divBdr>
                  <w:divsChild>
                    <w:div w:id="1975721310">
                      <w:marLeft w:val="0"/>
                      <w:marRight w:val="0"/>
                      <w:marTop w:val="0"/>
                      <w:marBottom w:val="0"/>
                      <w:divBdr>
                        <w:top w:val="none" w:sz="0" w:space="0" w:color="auto"/>
                        <w:left w:val="none" w:sz="0" w:space="0" w:color="auto"/>
                        <w:bottom w:val="none" w:sz="0" w:space="0" w:color="auto"/>
                        <w:right w:val="none" w:sz="0" w:space="0" w:color="auto"/>
                      </w:divBdr>
                    </w:div>
                  </w:divsChild>
                </w:div>
                <w:div w:id="885214870">
                  <w:marLeft w:val="0"/>
                  <w:marRight w:val="0"/>
                  <w:marTop w:val="0"/>
                  <w:marBottom w:val="0"/>
                  <w:divBdr>
                    <w:top w:val="none" w:sz="0" w:space="0" w:color="auto"/>
                    <w:left w:val="none" w:sz="0" w:space="0" w:color="auto"/>
                    <w:bottom w:val="none" w:sz="0" w:space="0" w:color="auto"/>
                    <w:right w:val="none" w:sz="0" w:space="0" w:color="auto"/>
                  </w:divBdr>
                  <w:divsChild>
                    <w:div w:id="1013141598">
                      <w:marLeft w:val="0"/>
                      <w:marRight w:val="0"/>
                      <w:marTop w:val="0"/>
                      <w:marBottom w:val="0"/>
                      <w:divBdr>
                        <w:top w:val="none" w:sz="0" w:space="0" w:color="auto"/>
                        <w:left w:val="none" w:sz="0" w:space="0" w:color="auto"/>
                        <w:bottom w:val="none" w:sz="0" w:space="0" w:color="auto"/>
                        <w:right w:val="none" w:sz="0" w:space="0" w:color="auto"/>
                      </w:divBdr>
                    </w:div>
                  </w:divsChild>
                </w:div>
                <w:div w:id="968779624">
                  <w:marLeft w:val="0"/>
                  <w:marRight w:val="0"/>
                  <w:marTop w:val="0"/>
                  <w:marBottom w:val="0"/>
                  <w:divBdr>
                    <w:top w:val="none" w:sz="0" w:space="0" w:color="auto"/>
                    <w:left w:val="none" w:sz="0" w:space="0" w:color="auto"/>
                    <w:bottom w:val="none" w:sz="0" w:space="0" w:color="auto"/>
                    <w:right w:val="none" w:sz="0" w:space="0" w:color="auto"/>
                  </w:divBdr>
                  <w:divsChild>
                    <w:div w:id="393744650">
                      <w:marLeft w:val="0"/>
                      <w:marRight w:val="0"/>
                      <w:marTop w:val="0"/>
                      <w:marBottom w:val="0"/>
                      <w:divBdr>
                        <w:top w:val="none" w:sz="0" w:space="0" w:color="auto"/>
                        <w:left w:val="none" w:sz="0" w:space="0" w:color="auto"/>
                        <w:bottom w:val="none" w:sz="0" w:space="0" w:color="auto"/>
                        <w:right w:val="none" w:sz="0" w:space="0" w:color="auto"/>
                      </w:divBdr>
                    </w:div>
                  </w:divsChild>
                </w:div>
                <w:div w:id="977762663">
                  <w:marLeft w:val="0"/>
                  <w:marRight w:val="0"/>
                  <w:marTop w:val="0"/>
                  <w:marBottom w:val="0"/>
                  <w:divBdr>
                    <w:top w:val="none" w:sz="0" w:space="0" w:color="auto"/>
                    <w:left w:val="none" w:sz="0" w:space="0" w:color="auto"/>
                    <w:bottom w:val="none" w:sz="0" w:space="0" w:color="auto"/>
                    <w:right w:val="none" w:sz="0" w:space="0" w:color="auto"/>
                  </w:divBdr>
                  <w:divsChild>
                    <w:div w:id="611867195">
                      <w:marLeft w:val="0"/>
                      <w:marRight w:val="0"/>
                      <w:marTop w:val="0"/>
                      <w:marBottom w:val="0"/>
                      <w:divBdr>
                        <w:top w:val="none" w:sz="0" w:space="0" w:color="auto"/>
                        <w:left w:val="none" w:sz="0" w:space="0" w:color="auto"/>
                        <w:bottom w:val="none" w:sz="0" w:space="0" w:color="auto"/>
                        <w:right w:val="none" w:sz="0" w:space="0" w:color="auto"/>
                      </w:divBdr>
                    </w:div>
                  </w:divsChild>
                </w:div>
                <w:div w:id="982854990">
                  <w:marLeft w:val="0"/>
                  <w:marRight w:val="0"/>
                  <w:marTop w:val="0"/>
                  <w:marBottom w:val="0"/>
                  <w:divBdr>
                    <w:top w:val="none" w:sz="0" w:space="0" w:color="auto"/>
                    <w:left w:val="none" w:sz="0" w:space="0" w:color="auto"/>
                    <w:bottom w:val="none" w:sz="0" w:space="0" w:color="auto"/>
                    <w:right w:val="none" w:sz="0" w:space="0" w:color="auto"/>
                  </w:divBdr>
                  <w:divsChild>
                    <w:div w:id="1890529375">
                      <w:marLeft w:val="0"/>
                      <w:marRight w:val="0"/>
                      <w:marTop w:val="0"/>
                      <w:marBottom w:val="0"/>
                      <w:divBdr>
                        <w:top w:val="none" w:sz="0" w:space="0" w:color="auto"/>
                        <w:left w:val="none" w:sz="0" w:space="0" w:color="auto"/>
                        <w:bottom w:val="none" w:sz="0" w:space="0" w:color="auto"/>
                        <w:right w:val="none" w:sz="0" w:space="0" w:color="auto"/>
                      </w:divBdr>
                    </w:div>
                  </w:divsChild>
                </w:div>
                <w:div w:id="1025251472">
                  <w:marLeft w:val="0"/>
                  <w:marRight w:val="0"/>
                  <w:marTop w:val="0"/>
                  <w:marBottom w:val="0"/>
                  <w:divBdr>
                    <w:top w:val="none" w:sz="0" w:space="0" w:color="auto"/>
                    <w:left w:val="none" w:sz="0" w:space="0" w:color="auto"/>
                    <w:bottom w:val="none" w:sz="0" w:space="0" w:color="auto"/>
                    <w:right w:val="none" w:sz="0" w:space="0" w:color="auto"/>
                  </w:divBdr>
                  <w:divsChild>
                    <w:div w:id="348145774">
                      <w:marLeft w:val="0"/>
                      <w:marRight w:val="0"/>
                      <w:marTop w:val="0"/>
                      <w:marBottom w:val="0"/>
                      <w:divBdr>
                        <w:top w:val="none" w:sz="0" w:space="0" w:color="auto"/>
                        <w:left w:val="none" w:sz="0" w:space="0" w:color="auto"/>
                        <w:bottom w:val="none" w:sz="0" w:space="0" w:color="auto"/>
                        <w:right w:val="none" w:sz="0" w:space="0" w:color="auto"/>
                      </w:divBdr>
                    </w:div>
                  </w:divsChild>
                </w:div>
                <w:div w:id="1046830845">
                  <w:marLeft w:val="0"/>
                  <w:marRight w:val="0"/>
                  <w:marTop w:val="0"/>
                  <w:marBottom w:val="0"/>
                  <w:divBdr>
                    <w:top w:val="none" w:sz="0" w:space="0" w:color="auto"/>
                    <w:left w:val="none" w:sz="0" w:space="0" w:color="auto"/>
                    <w:bottom w:val="none" w:sz="0" w:space="0" w:color="auto"/>
                    <w:right w:val="none" w:sz="0" w:space="0" w:color="auto"/>
                  </w:divBdr>
                  <w:divsChild>
                    <w:div w:id="172113692">
                      <w:marLeft w:val="0"/>
                      <w:marRight w:val="0"/>
                      <w:marTop w:val="0"/>
                      <w:marBottom w:val="0"/>
                      <w:divBdr>
                        <w:top w:val="none" w:sz="0" w:space="0" w:color="auto"/>
                        <w:left w:val="none" w:sz="0" w:space="0" w:color="auto"/>
                        <w:bottom w:val="none" w:sz="0" w:space="0" w:color="auto"/>
                        <w:right w:val="none" w:sz="0" w:space="0" w:color="auto"/>
                      </w:divBdr>
                    </w:div>
                  </w:divsChild>
                </w:div>
                <w:div w:id="1062100353">
                  <w:marLeft w:val="0"/>
                  <w:marRight w:val="0"/>
                  <w:marTop w:val="0"/>
                  <w:marBottom w:val="0"/>
                  <w:divBdr>
                    <w:top w:val="none" w:sz="0" w:space="0" w:color="auto"/>
                    <w:left w:val="none" w:sz="0" w:space="0" w:color="auto"/>
                    <w:bottom w:val="none" w:sz="0" w:space="0" w:color="auto"/>
                    <w:right w:val="none" w:sz="0" w:space="0" w:color="auto"/>
                  </w:divBdr>
                  <w:divsChild>
                    <w:div w:id="2135832558">
                      <w:marLeft w:val="0"/>
                      <w:marRight w:val="0"/>
                      <w:marTop w:val="0"/>
                      <w:marBottom w:val="0"/>
                      <w:divBdr>
                        <w:top w:val="none" w:sz="0" w:space="0" w:color="auto"/>
                        <w:left w:val="none" w:sz="0" w:space="0" w:color="auto"/>
                        <w:bottom w:val="none" w:sz="0" w:space="0" w:color="auto"/>
                        <w:right w:val="none" w:sz="0" w:space="0" w:color="auto"/>
                      </w:divBdr>
                    </w:div>
                  </w:divsChild>
                </w:div>
                <w:div w:id="1083795308">
                  <w:marLeft w:val="0"/>
                  <w:marRight w:val="0"/>
                  <w:marTop w:val="0"/>
                  <w:marBottom w:val="0"/>
                  <w:divBdr>
                    <w:top w:val="none" w:sz="0" w:space="0" w:color="auto"/>
                    <w:left w:val="none" w:sz="0" w:space="0" w:color="auto"/>
                    <w:bottom w:val="none" w:sz="0" w:space="0" w:color="auto"/>
                    <w:right w:val="none" w:sz="0" w:space="0" w:color="auto"/>
                  </w:divBdr>
                  <w:divsChild>
                    <w:div w:id="816531910">
                      <w:marLeft w:val="0"/>
                      <w:marRight w:val="0"/>
                      <w:marTop w:val="0"/>
                      <w:marBottom w:val="0"/>
                      <w:divBdr>
                        <w:top w:val="none" w:sz="0" w:space="0" w:color="auto"/>
                        <w:left w:val="none" w:sz="0" w:space="0" w:color="auto"/>
                        <w:bottom w:val="none" w:sz="0" w:space="0" w:color="auto"/>
                        <w:right w:val="none" w:sz="0" w:space="0" w:color="auto"/>
                      </w:divBdr>
                    </w:div>
                  </w:divsChild>
                </w:div>
                <w:div w:id="1086002413">
                  <w:marLeft w:val="0"/>
                  <w:marRight w:val="0"/>
                  <w:marTop w:val="0"/>
                  <w:marBottom w:val="0"/>
                  <w:divBdr>
                    <w:top w:val="none" w:sz="0" w:space="0" w:color="auto"/>
                    <w:left w:val="none" w:sz="0" w:space="0" w:color="auto"/>
                    <w:bottom w:val="none" w:sz="0" w:space="0" w:color="auto"/>
                    <w:right w:val="none" w:sz="0" w:space="0" w:color="auto"/>
                  </w:divBdr>
                  <w:divsChild>
                    <w:div w:id="1023246243">
                      <w:marLeft w:val="0"/>
                      <w:marRight w:val="0"/>
                      <w:marTop w:val="0"/>
                      <w:marBottom w:val="0"/>
                      <w:divBdr>
                        <w:top w:val="none" w:sz="0" w:space="0" w:color="auto"/>
                        <w:left w:val="none" w:sz="0" w:space="0" w:color="auto"/>
                        <w:bottom w:val="none" w:sz="0" w:space="0" w:color="auto"/>
                        <w:right w:val="none" w:sz="0" w:space="0" w:color="auto"/>
                      </w:divBdr>
                    </w:div>
                  </w:divsChild>
                </w:div>
                <w:div w:id="1102649612">
                  <w:marLeft w:val="0"/>
                  <w:marRight w:val="0"/>
                  <w:marTop w:val="0"/>
                  <w:marBottom w:val="0"/>
                  <w:divBdr>
                    <w:top w:val="none" w:sz="0" w:space="0" w:color="auto"/>
                    <w:left w:val="none" w:sz="0" w:space="0" w:color="auto"/>
                    <w:bottom w:val="none" w:sz="0" w:space="0" w:color="auto"/>
                    <w:right w:val="none" w:sz="0" w:space="0" w:color="auto"/>
                  </w:divBdr>
                  <w:divsChild>
                    <w:div w:id="886571790">
                      <w:marLeft w:val="0"/>
                      <w:marRight w:val="0"/>
                      <w:marTop w:val="0"/>
                      <w:marBottom w:val="0"/>
                      <w:divBdr>
                        <w:top w:val="none" w:sz="0" w:space="0" w:color="auto"/>
                        <w:left w:val="none" w:sz="0" w:space="0" w:color="auto"/>
                        <w:bottom w:val="none" w:sz="0" w:space="0" w:color="auto"/>
                        <w:right w:val="none" w:sz="0" w:space="0" w:color="auto"/>
                      </w:divBdr>
                    </w:div>
                  </w:divsChild>
                </w:div>
                <w:div w:id="1130511730">
                  <w:marLeft w:val="0"/>
                  <w:marRight w:val="0"/>
                  <w:marTop w:val="0"/>
                  <w:marBottom w:val="0"/>
                  <w:divBdr>
                    <w:top w:val="none" w:sz="0" w:space="0" w:color="auto"/>
                    <w:left w:val="none" w:sz="0" w:space="0" w:color="auto"/>
                    <w:bottom w:val="none" w:sz="0" w:space="0" w:color="auto"/>
                    <w:right w:val="none" w:sz="0" w:space="0" w:color="auto"/>
                  </w:divBdr>
                  <w:divsChild>
                    <w:div w:id="614555806">
                      <w:marLeft w:val="0"/>
                      <w:marRight w:val="0"/>
                      <w:marTop w:val="0"/>
                      <w:marBottom w:val="0"/>
                      <w:divBdr>
                        <w:top w:val="none" w:sz="0" w:space="0" w:color="auto"/>
                        <w:left w:val="none" w:sz="0" w:space="0" w:color="auto"/>
                        <w:bottom w:val="none" w:sz="0" w:space="0" w:color="auto"/>
                        <w:right w:val="none" w:sz="0" w:space="0" w:color="auto"/>
                      </w:divBdr>
                    </w:div>
                  </w:divsChild>
                </w:div>
                <w:div w:id="1196507091">
                  <w:marLeft w:val="0"/>
                  <w:marRight w:val="0"/>
                  <w:marTop w:val="0"/>
                  <w:marBottom w:val="0"/>
                  <w:divBdr>
                    <w:top w:val="none" w:sz="0" w:space="0" w:color="auto"/>
                    <w:left w:val="none" w:sz="0" w:space="0" w:color="auto"/>
                    <w:bottom w:val="none" w:sz="0" w:space="0" w:color="auto"/>
                    <w:right w:val="none" w:sz="0" w:space="0" w:color="auto"/>
                  </w:divBdr>
                  <w:divsChild>
                    <w:div w:id="1458791426">
                      <w:marLeft w:val="0"/>
                      <w:marRight w:val="0"/>
                      <w:marTop w:val="0"/>
                      <w:marBottom w:val="0"/>
                      <w:divBdr>
                        <w:top w:val="none" w:sz="0" w:space="0" w:color="auto"/>
                        <w:left w:val="none" w:sz="0" w:space="0" w:color="auto"/>
                        <w:bottom w:val="none" w:sz="0" w:space="0" w:color="auto"/>
                        <w:right w:val="none" w:sz="0" w:space="0" w:color="auto"/>
                      </w:divBdr>
                    </w:div>
                  </w:divsChild>
                </w:div>
                <w:div w:id="1200240240">
                  <w:marLeft w:val="0"/>
                  <w:marRight w:val="0"/>
                  <w:marTop w:val="0"/>
                  <w:marBottom w:val="0"/>
                  <w:divBdr>
                    <w:top w:val="none" w:sz="0" w:space="0" w:color="auto"/>
                    <w:left w:val="none" w:sz="0" w:space="0" w:color="auto"/>
                    <w:bottom w:val="none" w:sz="0" w:space="0" w:color="auto"/>
                    <w:right w:val="none" w:sz="0" w:space="0" w:color="auto"/>
                  </w:divBdr>
                  <w:divsChild>
                    <w:div w:id="861825100">
                      <w:marLeft w:val="0"/>
                      <w:marRight w:val="0"/>
                      <w:marTop w:val="0"/>
                      <w:marBottom w:val="0"/>
                      <w:divBdr>
                        <w:top w:val="none" w:sz="0" w:space="0" w:color="auto"/>
                        <w:left w:val="none" w:sz="0" w:space="0" w:color="auto"/>
                        <w:bottom w:val="none" w:sz="0" w:space="0" w:color="auto"/>
                        <w:right w:val="none" w:sz="0" w:space="0" w:color="auto"/>
                      </w:divBdr>
                    </w:div>
                  </w:divsChild>
                </w:div>
                <w:div w:id="1245066799">
                  <w:marLeft w:val="0"/>
                  <w:marRight w:val="0"/>
                  <w:marTop w:val="0"/>
                  <w:marBottom w:val="0"/>
                  <w:divBdr>
                    <w:top w:val="none" w:sz="0" w:space="0" w:color="auto"/>
                    <w:left w:val="none" w:sz="0" w:space="0" w:color="auto"/>
                    <w:bottom w:val="none" w:sz="0" w:space="0" w:color="auto"/>
                    <w:right w:val="none" w:sz="0" w:space="0" w:color="auto"/>
                  </w:divBdr>
                  <w:divsChild>
                    <w:div w:id="1347705397">
                      <w:marLeft w:val="0"/>
                      <w:marRight w:val="0"/>
                      <w:marTop w:val="0"/>
                      <w:marBottom w:val="0"/>
                      <w:divBdr>
                        <w:top w:val="none" w:sz="0" w:space="0" w:color="auto"/>
                        <w:left w:val="none" w:sz="0" w:space="0" w:color="auto"/>
                        <w:bottom w:val="none" w:sz="0" w:space="0" w:color="auto"/>
                        <w:right w:val="none" w:sz="0" w:space="0" w:color="auto"/>
                      </w:divBdr>
                    </w:div>
                  </w:divsChild>
                </w:div>
                <w:div w:id="1249726428">
                  <w:marLeft w:val="0"/>
                  <w:marRight w:val="0"/>
                  <w:marTop w:val="0"/>
                  <w:marBottom w:val="0"/>
                  <w:divBdr>
                    <w:top w:val="none" w:sz="0" w:space="0" w:color="auto"/>
                    <w:left w:val="none" w:sz="0" w:space="0" w:color="auto"/>
                    <w:bottom w:val="none" w:sz="0" w:space="0" w:color="auto"/>
                    <w:right w:val="none" w:sz="0" w:space="0" w:color="auto"/>
                  </w:divBdr>
                  <w:divsChild>
                    <w:div w:id="659889166">
                      <w:marLeft w:val="0"/>
                      <w:marRight w:val="0"/>
                      <w:marTop w:val="0"/>
                      <w:marBottom w:val="0"/>
                      <w:divBdr>
                        <w:top w:val="none" w:sz="0" w:space="0" w:color="auto"/>
                        <w:left w:val="none" w:sz="0" w:space="0" w:color="auto"/>
                        <w:bottom w:val="none" w:sz="0" w:space="0" w:color="auto"/>
                        <w:right w:val="none" w:sz="0" w:space="0" w:color="auto"/>
                      </w:divBdr>
                    </w:div>
                  </w:divsChild>
                </w:div>
                <w:div w:id="1319655806">
                  <w:marLeft w:val="0"/>
                  <w:marRight w:val="0"/>
                  <w:marTop w:val="0"/>
                  <w:marBottom w:val="0"/>
                  <w:divBdr>
                    <w:top w:val="none" w:sz="0" w:space="0" w:color="auto"/>
                    <w:left w:val="none" w:sz="0" w:space="0" w:color="auto"/>
                    <w:bottom w:val="none" w:sz="0" w:space="0" w:color="auto"/>
                    <w:right w:val="none" w:sz="0" w:space="0" w:color="auto"/>
                  </w:divBdr>
                  <w:divsChild>
                    <w:div w:id="359550410">
                      <w:marLeft w:val="0"/>
                      <w:marRight w:val="0"/>
                      <w:marTop w:val="0"/>
                      <w:marBottom w:val="0"/>
                      <w:divBdr>
                        <w:top w:val="none" w:sz="0" w:space="0" w:color="auto"/>
                        <w:left w:val="none" w:sz="0" w:space="0" w:color="auto"/>
                        <w:bottom w:val="none" w:sz="0" w:space="0" w:color="auto"/>
                        <w:right w:val="none" w:sz="0" w:space="0" w:color="auto"/>
                      </w:divBdr>
                    </w:div>
                  </w:divsChild>
                </w:div>
                <w:div w:id="1319991182">
                  <w:marLeft w:val="0"/>
                  <w:marRight w:val="0"/>
                  <w:marTop w:val="0"/>
                  <w:marBottom w:val="0"/>
                  <w:divBdr>
                    <w:top w:val="none" w:sz="0" w:space="0" w:color="auto"/>
                    <w:left w:val="none" w:sz="0" w:space="0" w:color="auto"/>
                    <w:bottom w:val="none" w:sz="0" w:space="0" w:color="auto"/>
                    <w:right w:val="none" w:sz="0" w:space="0" w:color="auto"/>
                  </w:divBdr>
                  <w:divsChild>
                    <w:div w:id="367684971">
                      <w:marLeft w:val="0"/>
                      <w:marRight w:val="0"/>
                      <w:marTop w:val="0"/>
                      <w:marBottom w:val="0"/>
                      <w:divBdr>
                        <w:top w:val="none" w:sz="0" w:space="0" w:color="auto"/>
                        <w:left w:val="none" w:sz="0" w:space="0" w:color="auto"/>
                        <w:bottom w:val="none" w:sz="0" w:space="0" w:color="auto"/>
                        <w:right w:val="none" w:sz="0" w:space="0" w:color="auto"/>
                      </w:divBdr>
                    </w:div>
                  </w:divsChild>
                </w:div>
                <w:div w:id="1323041018">
                  <w:marLeft w:val="0"/>
                  <w:marRight w:val="0"/>
                  <w:marTop w:val="0"/>
                  <w:marBottom w:val="0"/>
                  <w:divBdr>
                    <w:top w:val="none" w:sz="0" w:space="0" w:color="auto"/>
                    <w:left w:val="none" w:sz="0" w:space="0" w:color="auto"/>
                    <w:bottom w:val="none" w:sz="0" w:space="0" w:color="auto"/>
                    <w:right w:val="none" w:sz="0" w:space="0" w:color="auto"/>
                  </w:divBdr>
                  <w:divsChild>
                    <w:div w:id="1624538113">
                      <w:marLeft w:val="0"/>
                      <w:marRight w:val="0"/>
                      <w:marTop w:val="0"/>
                      <w:marBottom w:val="0"/>
                      <w:divBdr>
                        <w:top w:val="none" w:sz="0" w:space="0" w:color="auto"/>
                        <w:left w:val="none" w:sz="0" w:space="0" w:color="auto"/>
                        <w:bottom w:val="none" w:sz="0" w:space="0" w:color="auto"/>
                        <w:right w:val="none" w:sz="0" w:space="0" w:color="auto"/>
                      </w:divBdr>
                    </w:div>
                  </w:divsChild>
                </w:div>
                <w:div w:id="1369178687">
                  <w:marLeft w:val="0"/>
                  <w:marRight w:val="0"/>
                  <w:marTop w:val="0"/>
                  <w:marBottom w:val="0"/>
                  <w:divBdr>
                    <w:top w:val="none" w:sz="0" w:space="0" w:color="auto"/>
                    <w:left w:val="none" w:sz="0" w:space="0" w:color="auto"/>
                    <w:bottom w:val="none" w:sz="0" w:space="0" w:color="auto"/>
                    <w:right w:val="none" w:sz="0" w:space="0" w:color="auto"/>
                  </w:divBdr>
                  <w:divsChild>
                    <w:div w:id="1704476388">
                      <w:marLeft w:val="0"/>
                      <w:marRight w:val="0"/>
                      <w:marTop w:val="0"/>
                      <w:marBottom w:val="0"/>
                      <w:divBdr>
                        <w:top w:val="none" w:sz="0" w:space="0" w:color="auto"/>
                        <w:left w:val="none" w:sz="0" w:space="0" w:color="auto"/>
                        <w:bottom w:val="none" w:sz="0" w:space="0" w:color="auto"/>
                        <w:right w:val="none" w:sz="0" w:space="0" w:color="auto"/>
                      </w:divBdr>
                    </w:div>
                  </w:divsChild>
                </w:div>
                <w:div w:id="1422993748">
                  <w:marLeft w:val="0"/>
                  <w:marRight w:val="0"/>
                  <w:marTop w:val="0"/>
                  <w:marBottom w:val="0"/>
                  <w:divBdr>
                    <w:top w:val="none" w:sz="0" w:space="0" w:color="auto"/>
                    <w:left w:val="none" w:sz="0" w:space="0" w:color="auto"/>
                    <w:bottom w:val="none" w:sz="0" w:space="0" w:color="auto"/>
                    <w:right w:val="none" w:sz="0" w:space="0" w:color="auto"/>
                  </w:divBdr>
                  <w:divsChild>
                    <w:div w:id="1818112032">
                      <w:marLeft w:val="0"/>
                      <w:marRight w:val="0"/>
                      <w:marTop w:val="0"/>
                      <w:marBottom w:val="0"/>
                      <w:divBdr>
                        <w:top w:val="none" w:sz="0" w:space="0" w:color="auto"/>
                        <w:left w:val="none" w:sz="0" w:space="0" w:color="auto"/>
                        <w:bottom w:val="none" w:sz="0" w:space="0" w:color="auto"/>
                        <w:right w:val="none" w:sz="0" w:space="0" w:color="auto"/>
                      </w:divBdr>
                    </w:div>
                  </w:divsChild>
                </w:div>
                <w:div w:id="1472745065">
                  <w:marLeft w:val="0"/>
                  <w:marRight w:val="0"/>
                  <w:marTop w:val="0"/>
                  <w:marBottom w:val="0"/>
                  <w:divBdr>
                    <w:top w:val="none" w:sz="0" w:space="0" w:color="auto"/>
                    <w:left w:val="none" w:sz="0" w:space="0" w:color="auto"/>
                    <w:bottom w:val="none" w:sz="0" w:space="0" w:color="auto"/>
                    <w:right w:val="none" w:sz="0" w:space="0" w:color="auto"/>
                  </w:divBdr>
                  <w:divsChild>
                    <w:div w:id="1365593019">
                      <w:marLeft w:val="0"/>
                      <w:marRight w:val="0"/>
                      <w:marTop w:val="0"/>
                      <w:marBottom w:val="0"/>
                      <w:divBdr>
                        <w:top w:val="none" w:sz="0" w:space="0" w:color="auto"/>
                        <w:left w:val="none" w:sz="0" w:space="0" w:color="auto"/>
                        <w:bottom w:val="none" w:sz="0" w:space="0" w:color="auto"/>
                        <w:right w:val="none" w:sz="0" w:space="0" w:color="auto"/>
                      </w:divBdr>
                    </w:div>
                  </w:divsChild>
                </w:div>
                <w:div w:id="1594704504">
                  <w:marLeft w:val="0"/>
                  <w:marRight w:val="0"/>
                  <w:marTop w:val="0"/>
                  <w:marBottom w:val="0"/>
                  <w:divBdr>
                    <w:top w:val="none" w:sz="0" w:space="0" w:color="auto"/>
                    <w:left w:val="none" w:sz="0" w:space="0" w:color="auto"/>
                    <w:bottom w:val="none" w:sz="0" w:space="0" w:color="auto"/>
                    <w:right w:val="none" w:sz="0" w:space="0" w:color="auto"/>
                  </w:divBdr>
                  <w:divsChild>
                    <w:div w:id="581647690">
                      <w:marLeft w:val="0"/>
                      <w:marRight w:val="0"/>
                      <w:marTop w:val="0"/>
                      <w:marBottom w:val="0"/>
                      <w:divBdr>
                        <w:top w:val="none" w:sz="0" w:space="0" w:color="auto"/>
                        <w:left w:val="none" w:sz="0" w:space="0" w:color="auto"/>
                        <w:bottom w:val="none" w:sz="0" w:space="0" w:color="auto"/>
                        <w:right w:val="none" w:sz="0" w:space="0" w:color="auto"/>
                      </w:divBdr>
                    </w:div>
                  </w:divsChild>
                </w:div>
                <w:div w:id="1621260813">
                  <w:marLeft w:val="0"/>
                  <w:marRight w:val="0"/>
                  <w:marTop w:val="0"/>
                  <w:marBottom w:val="0"/>
                  <w:divBdr>
                    <w:top w:val="none" w:sz="0" w:space="0" w:color="auto"/>
                    <w:left w:val="none" w:sz="0" w:space="0" w:color="auto"/>
                    <w:bottom w:val="none" w:sz="0" w:space="0" w:color="auto"/>
                    <w:right w:val="none" w:sz="0" w:space="0" w:color="auto"/>
                  </w:divBdr>
                  <w:divsChild>
                    <w:div w:id="734277144">
                      <w:marLeft w:val="0"/>
                      <w:marRight w:val="0"/>
                      <w:marTop w:val="0"/>
                      <w:marBottom w:val="0"/>
                      <w:divBdr>
                        <w:top w:val="none" w:sz="0" w:space="0" w:color="auto"/>
                        <w:left w:val="none" w:sz="0" w:space="0" w:color="auto"/>
                        <w:bottom w:val="none" w:sz="0" w:space="0" w:color="auto"/>
                        <w:right w:val="none" w:sz="0" w:space="0" w:color="auto"/>
                      </w:divBdr>
                    </w:div>
                  </w:divsChild>
                </w:div>
                <w:div w:id="1633709846">
                  <w:marLeft w:val="0"/>
                  <w:marRight w:val="0"/>
                  <w:marTop w:val="0"/>
                  <w:marBottom w:val="0"/>
                  <w:divBdr>
                    <w:top w:val="none" w:sz="0" w:space="0" w:color="auto"/>
                    <w:left w:val="none" w:sz="0" w:space="0" w:color="auto"/>
                    <w:bottom w:val="none" w:sz="0" w:space="0" w:color="auto"/>
                    <w:right w:val="none" w:sz="0" w:space="0" w:color="auto"/>
                  </w:divBdr>
                  <w:divsChild>
                    <w:div w:id="866214011">
                      <w:marLeft w:val="0"/>
                      <w:marRight w:val="0"/>
                      <w:marTop w:val="0"/>
                      <w:marBottom w:val="0"/>
                      <w:divBdr>
                        <w:top w:val="none" w:sz="0" w:space="0" w:color="auto"/>
                        <w:left w:val="none" w:sz="0" w:space="0" w:color="auto"/>
                        <w:bottom w:val="none" w:sz="0" w:space="0" w:color="auto"/>
                        <w:right w:val="none" w:sz="0" w:space="0" w:color="auto"/>
                      </w:divBdr>
                    </w:div>
                  </w:divsChild>
                </w:div>
                <w:div w:id="1642996988">
                  <w:marLeft w:val="0"/>
                  <w:marRight w:val="0"/>
                  <w:marTop w:val="0"/>
                  <w:marBottom w:val="0"/>
                  <w:divBdr>
                    <w:top w:val="none" w:sz="0" w:space="0" w:color="auto"/>
                    <w:left w:val="none" w:sz="0" w:space="0" w:color="auto"/>
                    <w:bottom w:val="none" w:sz="0" w:space="0" w:color="auto"/>
                    <w:right w:val="none" w:sz="0" w:space="0" w:color="auto"/>
                  </w:divBdr>
                  <w:divsChild>
                    <w:div w:id="417867471">
                      <w:marLeft w:val="0"/>
                      <w:marRight w:val="0"/>
                      <w:marTop w:val="0"/>
                      <w:marBottom w:val="0"/>
                      <w:divBdr>
                        <w:top w:val="none" w:sz="0" w:space="0" w:color="auto"/>
                        <w:left w:val="none" w:sz="0" w:space="0" w:color="auto"/>
                        <w:bottom w:val="none" w:sz="0" w:space="0" w:color="auto"/>
                        <w:right w:val="none" w:sz="0" w:space="0" w:color="auto"/>
                      </w:divBdr>
                    </w:div>
                  </w:divsChild>
                </w:div>
                <w:div w:id="1653480119">
                  <w:marLeft w:val="0"/>
                  <w:marRight w:val="0"/>
                  <w:marTop w:val="0"/>
                  <w:marBottom w:val="0"/>
                  <w:divBdr>
                    <w:top w:val="none" w:sz="0" w:space="0" w:color="auto"/>
                    <w:left w:val="none" w:sz="0" w:space="0" w:color="auto"/>
                    <w:bottom w:val="none" w:sz="0" w:space="0" w:color="auto"/>
                    <w:right w:val="none" w:sz="0" w:space="0" w:color="auto"/>
                  </w:divBdr>
                  <w:divsChild>
                    <w:div w:id="572928366">
                      <w:marLeft w:val="0"/>
                      <w:marRight w:val="0"/>
                      <w:marTop w:val="0"/>
                      <w:marBottom w:val="0"/>
                      <w:divBdr>
                        <w:top w:val="none" w:sz="0" w:space="0" w:color="auto"/>
                        <w:left w:val="none" w:sz="0" w:space="0" w:color="auto"/>
                        <w:bottom w:val="none" w:sz="0" w:space="0" w:color="auto"/>
                        <w:right w:val="none" w:sz="0" w:space="0" w:color="auto"/>
                      </w:divBdr>
                    </w:div>
                  </w:divsChild>
                </w:div>
                <w:div w:id="1713529162">
                  <w:marLeft w:val="0"/>
                  <w:marRight w:val="0"/>
                  <w:marTop w:val="0"/>
                  <w:marBottom w:val="0"/>
                  <w:divBdr>
                    <w:top w:val="none" w:sz="0" w:space="0" w:color="auto"/>
                    <w:left w:val="none" w:sz="0" w:space="0" w:color="auto"/>
                    <w:bottom w:val="none" w:sz="0" w:space="0" w:color="auto"/>
                    <w:right w:val="none" w:sz="0" w:space="0" w:color="auto"/>
                  </w:divBdr>
                  <w:divsChild>
                    <w:div w:id="864640803">
                      <w:marLeft w:val="0"/>
                      <w:marRight w:val="0"/>
                      <w:marTop w:val="0"/>
                      <w:marBottom w:val="0"/>
                      <w:divBdr>
                        <w:top w:val="none" w:sz="0" w:space="0" w:color="auto"/>
                        <w:left w:val="none" w:sz="0" w:space="0" w:color="auto"/>
                        <w:bottom w:val="none" w:sz="0" w:space="0" w:color="auto"/>
                        <w:right w:val="none" w:sz="0" w:space="0" w:color="auto"/>
                      </w:divBdr>
                    </w:div>
                  </w:divsChild>
                </w:div>
                <w:div w:id="1731810619">
                  <w:marLeft w:val="0"/>
                  <w:marRight w:val="0"/>
                  <w:marTop w:val="0"/>
                  <w:marBottom w:val="0"/>
                  <w:divBdr>
                    <w:top w:val="none" w:sz="0" w:space="0" w:color="auto"/>
                    <w:left w:val="none" w:sz="0" w:space="0" w:color="auto"/>
                    <w:bottom w:val="none" w:sz="0" w:space="0" w:color="auto"/>
                    <w:right w:val="none" w:sz="0" w:space="0" w:color="auto"/>
                  </w:divBdr>
                  <w:divsChild>
                    <w:div w:id="842622499">
                      <w:marLeft w:val="0"/>
                      <w:marRight w:val="0"/>
                      <w:marTop w:val="0"/>
                      <w:marBottom w:val="0"/>
                      <w:divBdr>
                        <w:top w:val="none" w:sz="0" w:space="0" w:color="auto"/>
                        <w:left w:val="none" w:sz="0" w:space="0" w:color="auto"/>
                        <w:bottom w:val="none" w:sz="0" w:space="0" w:color="auto"/>
                        <w:right w:val="none" w:sz="0" w:space="0" w:color="auto"/>
                      </w:divBdr>
                    </w:div>
                  </w:divsChild>
                </w:div>
                <w:div w:id="1752043680">
                  <w:marLeft w:val="0"/>
                  <w:marRight w:val="0"/>
                  <w:marTop w:val="0"/>
                  <w:marBottom w:val="0"/>
                  <w:divBdr>
                    <w:top w:val="none" w:sz="0" w:space="0" w:color="auto"/>
                    <w:left w:val="none" w:sz="0" w:space="0" w:color="auto"/>
                    <w:bottom w:val="none" w:sz="0" w:space="0" w:color="auto"/>
                    <w:right w:val="none" w:sz="0" w:space="0" w:color="auto"/>
                  </w:divBdr>
                  <w:divsChild>
                    <w:div w:id="892814794">
                      <w:marLeft w:val="0"/>
                      <w:marRight w:val="0"/>
                      <w:marTop w:val="0"/>
                      <w:marBottom w:val="0"/>
                      <w:divBdr>
                        <w:top w:val="none" w:sz="0" w:space="0" w:color="auto"/>
                        <w:left w:val="none" w:sz="0" w:space="0" w:color="auto"/>
                        <w:bottom w:val="none" w:sz="0" w:space="0" w:color="auto"/>
                        <w:right w:val="none" w:sz="0" w:space="0" w:color="auto"/>
                      </w:divBdr>
                    </w:div>
                  </w:divsChild>
                </w:div>
                <w:div w:id="1766686233">
                  <w:marLeft w:val="0"/>
                  <w:marRight w:val="0"/>
                  <w:marTop w:val="0"/>
                  <w:marBottom w:val="0"/>
                  <w:divBdr>
                    <w:top w:val="none" w:sz="0" w:space="0" w:color="auto"/>
                    <w:left w:val="none" w:sz="0" w:space="0" w:color="auto"/>
                    <w:bottom w:val="none" w:sz="0" w:space="0" w:color="auto"/>
                    <w:right w:val="none" w:sz="0" w:space="0" w:color="auto"/>
                  </w:divBdr>
                  <w:divsChild>
                    <w:div w:id="818495158">
                      <w:marLeft w:val="0"/>
                      <w:marRight w:val="0"/>
                      <w:marTop w:val="0"/>
                      <w:marBottom w:val="0"/>
                      <w:divBdr>
                        <w:top w:val="none" w:sz="0" w:space="0" w:color="auto"/>
                        <w:left w:val="none" w:sz="0" w:space="0" w:color="auto"/>
                        <w:bottom w:val="none" w:sz="0" w:space="0" w:color="auto"/>
                        <w:right w:val="none" w:sz="0" w:space="0" w:color="auto"/>
                      </w:divBdr>
                    </w:div>
                  </w:divsChild>
                </w:div>
                <w:div w:id="1808543789">
                  <w:marLeft w:val="0"/>
                  <w:marRight w:val="0"/>
                  <w:marTop w:val="0"/>
                  <w:marBottom w:val="0"/>
                  <w:divBdr>
                    <w:top w:val="none" w:sz="0" w:space="0" w:color="auto"/>
                    <w:left w:val="none" w:sz="0" w:space="0" w:color="auto"/>
                    <w:bottom w:val="none" w:sz="0" w:space="0" w:color="auto"/>
                    <w:right w:val="none" w:sz="0" w:space="0" w:color="auto"/>
                  </w:divBdr>
                  <w:divsChild>
                    <w:div w:id="1568615947">
                      <w:marLeft w:val="0"/>
                      <w:marRight w:val="0"/>
                      <w:marTop w:val="0"/>
                      <w:marBottom w:val="0"/>
                      <w:divBdr>
                        <w:top w:val="none" w:sz="0" w:space="0" w:color="auto"/>
                        <w:left w:val="none" w:sz="0" w:space="0" w:color="auto"/>
                        <w:bottom w:val="none" w:sz="0" w:space="0" w:color="auto"/>
                        <w:right w:val="none" w:sz="0" w:space="0" w:color="auto"/>
                      </w:divBdr>
                    </w:div>
                  </w:divsChild>
                </w:div>
                <w:div w:id="1861888631">
                  <w:marLeft w:val="0"/>
                  <w:marRight w:val="0"/>
                  <w:marTop w:val="0"/>
                  <w:marBottom w:val="0"/>
                  <w:divBdr>
                    <w:top w:val="none" w:sz="0" w:space="0" w:color="auto"/>
                    <w:left w:val="none" w:sz="0" w:space="0" w:color="auto"/>
                    <w:bottom w:val="none" w:sz="0" w:space="0" w:color="auto"/>
                    <w:right w:val="none" w:sz="0" w:space="0" w:color="auto"/>
                  </w:divBdr>
                  <w:divsChild>
                    <w:div w:id="737434683">
                      <w:marLeft w:val="0"/>
                      <w:marRight w:val="0"/>
                      <w:marTop w:val="0"/>
                      <w:marBottom w:val="0"/>
                      <w:divBdr>
                        <w:top w:val="none" w:sz="0" w:space="0" w:color="auto"/>
                        <w:left w:val="none" w:sz="0" w:space="0" w:color="auto"/>
                        <w:bottom w:val="none" w:sz="0" w:space="0" w:color="auto"/>
                        <w:right w:val="none" w:sz="0" w:space="0" w:color="auto"/>
                      </w:divBdr>
                    </w:div>
                  </w:divsChild>
                </w:div>
                <w:div w:id="1875843464">
                  <w:marLeft w:val="0"/>
                  <w:marRight w:val="0"/>
                  <w:marTop w:val="0"/>
                  <w:marBottom w:val="0"/>
                  <w:divBdr>
                    <w:top w:val="none" w:sz="0" w:space="0" w:color="auto"/>
                    <w:left w:val="none" w:sz="0" w:space="0" w:color="auto"/>
                    <w:bottom w:val="none" w:sz="0" w:space="0" w:color="auto"/>
                    <w:right w:val="none" w:sz="0" w:space="0" w:color="auto"/>
                  </w:divBdr>
                  <w:divsChild>
                    <w:div w:id="110367631">
                      <w:marLeft w:val="0"/>
                      <w:marRight w:val="0"/>
                      <w:marTop w:val="0"/>
                      <w:marBottom w:val="0"/>
                      <w:divBdr>
                        <w:top w:val="none" w:sz="0" w:space="0" w:color="auto"/>
                        <w:left w:val="none" w:sz="0" w:space="0" w:color="auto"/>
                        <w:bottom w:val="none" w:sz="0" w:space="0" w:color="auto"/>
                        <w:right w:val="none" w:sz="0" w:space="0" w:color="auto"/>
                      </w:divBdr>
                    </w:div>
                  </w:divsChild>
                </w:div>
                <w:div w:id="1977368808">
                  <w:marLeft w:val="0"/>
                  <w:marRight w:val="0"/>
                  <w:marTop w:val="0"/>
                  <w:marBottom w:val="0"/>
                  <w:divBdr>
                    <w:top w:val="none" w:sz="0" w:space="0" w:color="auto"/>
                    <w:left w:val="none" w:sz="0" w:space="0" w:color="auto"/>
                    <w:bottom w:val="none" w:sz="0" w:space="0" w:color="auto"/>
                    <w:right w:val="none" w:sz="0" w:space="0" w:color="auto"/>
                  </w:divBdr>
                  <w:divsChild>
                    <w:div w:id="80683814">
                      <w:marLeft w:val="0"/>
                      <w:marRight w:val="0"/>
                      <w:marTop w:val="0"/>
                      <w:marBottom w:val="0"/>
                      <w:divBdr>
                        <w:top w:val="none" w:sz="0" w:space="0" w:color="auto"/>
                        <w:left w:val="none" w:sz="0" w:space="0" w:color="auto"/>
                        <w:bottom w:val="none" w:sz="0" w:space="0" w:color="auto"/>
                        <w:right w:val="none" w:sz="0" w:space="0" w:color="auto"/>
                      </w:divBdr>
                    </w:div>
                  </w:divsChild>
                </w:div>
                <w:div w:id="1988243667">
                  <w:marLeft w:val="0"/>
                  <w:marRight w:val="0"/>
                  <w:marTop w:val="0"/>
                  <w:marBottom w:val="0"/>
                  <w:divBdr>
                    <w:top w:val="none" w:sz="0" w:space="0" w:color="auto"/>
                    <w:left w:val="none" w:sz="0" w:space="0" w:color="auto"/>
                    <w:bottom w:val="none" w:sz="0" w:space="0" w:color="auto"/>
                    <w:right w:val="none" w:sz="0" w:space="0" w:color="auto"/>
                  </w:divBdr>
                  <w:divsChild>
                    <w:div w:id="1666401128">
                      <w:marLeft w:val="0"/>
                      <w:marRight w:val="0"/>
                      <w:marTop w:val="0"/>
                      <w:marBottom w:val="0"/>
                      <w:divBdr>
                        <w:top w:val="none" w:sz="0" w:space="0" w:color="auto"/>
                        <w:left w:val="none" w:sz="0" w:space="0" w:color="auto"/>
                        <w:bottom w:val="none" w:sz="0" w:space="0" w:color="auto"/>
                        <w:right w:val="none" w:sz="0" w:space="0" w:color="auto"/>
                      </w:divBdr>
                    </w:div>
                  </w:divsChild>
                </w:div>
                <w:div w:id="2014648915">
                  <w:marLeft w:val="0"/>
                  <w:marRight w:val="0"/>
                  <w:marTop w:val="0"/>
                  <w:marBottom w:val="0"/>
                  <w:divBdr>
                    <w:top w:val="none" w:sz="0" w:space="0" w:color="auto"/>
                    <w:left w:val="none" w:sz="0" w:space="0" w:color="auto"/>
                    <w:bottom w:val="none" w:sz="0" w:space="0" w:color="auto"/>
                    <w:right w:val="none" w:sz="0" w:space="0" w:color="auto"/>
                  </w:divBdr>
                  <w:divsChild>
                    <w:div w:id="1164324740">
                      <w:marLeft w:val="0"/>
                      <w:marRight w:val="0"/>
                      <w:marTop w:val="0"/>
                      <w:marBottom w:val="0"/>
                      <w:divBdr>
                        <w:top w:val="none" w:sz="0" w:space="0" w:color="auto"/>
                        <w:left w:val="none" w:sz="0" w:space="0" w:color="auto"/>
                        <w:bottom w:val="none" w:sz="0" w:space="0" w:color="auto"/>
                        <w:right w:val="none" w:sz="0" w:space="0" w:color="auto"/>
                      </w:divBdr>
                    </w:div>
                  </w:divsChild>
                </w:div>
                <w:div w:id="2055962483">
                  <w:marLeft w:val="0"/>
                  <w:marRight w:val="0"/>
                  <w:marTop w:val="0"/>
                  <w:marBottom w:val="0"/>
                  <w:divBdr>
                    <w:top w:val="none" w:sz="0" w:space="0" w:color="auto"/>
                    <w:left w:val="none" w:sz="0" w:space="0" w:color="auto"/>
                    <w:bottom w:val="none" w:sz="0" w:space="0" w:color="auto"/>
                    <w:right w:val="none" w:sz="0" w:space="0" w:color="auto"/>
                  </w:divBdr>
                  <w:divsChild>
                    <w:div w:id="1462647432">
                      <w:marLeft w:val="0"/>
                      <w:marRight w:val="0"/>
                      <w:marTop w:val="0"/>
                      <w:marBottom w:val="0"/>
                      <w:divBdr>
                        <w:top w:val="none" w:sz="0" w:space="0" w:color="auto"/>
                        <w:left w:val="none" w:sz="0" w:space="0" w:color="auto"/>
                        <w:bottom w:val="none" w:sz="0" w:space="0" w:color="auto"/>
                        <w:right w:val="none" w:sz="0" w:space="0" w:color="auto"/>
                      </w:divBdr>
                    </w:div>
                  </w:divsChild>
                </w:div>
                <w:div w:id="2085100698">
                  <w:marLeft w:val="0"/>
                  <w:marRight w:val="0"/>
                  <w:marTop w:val="0"/>
                  <w:marBottom w:val="0"/>
                  <w:divBdr>
                    <w:top w:val="none" w:sz="0" w:space="0" w:color="auto"/>
                    <w:left w:val="none" w:sz="0" w:space="0" w:color="auto"/>
                    <w:bottom w:val="none" w:sz="0" w:space="0" w:color="auto"/>
                    <w:right w:val="none" w:sz="0" w:space="0" w:color="auto"/>
                  </w:divBdr>
                  <w:divsChild>
                    <w:div w:id="1987662053">
                      <w:marLeft w:val="0"/>
                      <w:marRight w:val="0"/>
                      <w:marTop w:val="0"/>
                      <w:marBottom w:val="0"/>
                      <w:divBdr>
                        <w:top w:val="none" w:sz="0" w:space="0" w:color="auto"/>
                        <w:left w:val="none" w:sz="0" w:space="0" w:color="auto"/>
                        <w:bottom w:val="none" w:sz="0" w:space="0" w:color="auto"/>
                        <w:right w:val="none" w:sz="0" w:space="0" w:color="auto"/>
                      </w:divBdr>
                    </w:div>
                  </w:divsChild>
                </w:div>
                <w:div w:id="2088725190">
                  <w:marLeft w:val="0"/>
                  <w:marRight w:val="0"/>
                  <w:marTop w:val="0"/>
                  <w:marBottom w:val="0"/>
                  <w:divBdr>
                    <w:top w:val="none" w:sz="0" w:space="0" w:color="auto"/>
                    <w:left w:val="none" w:sz="0" w:space="0" w:color="auto"/>
                    <w:bottom w:val="none" w:sz="0" w:space="0" w:color="auto"/>
                    <w:right w:val="none" w:sz="0" w:space="0" w:color="auto"/>
                  </w:divBdr>
                  <w:divsChild>
                    <w:div w:id="1731146275">
                      <w:marLeft w:val="0"/>
                      <w:marRight w:val="0"/>
                      <w:marTop w:val="0"/>
                      <w:marBottom w:val="0"/>
                      <w:divBdr>
                        <w:top w:val="none" w:sz="0" w:space="0" w:color="auto"/>
                        <w:left w:val="none" w:sz="0" w:space="0" w:color="auto"/>
                        <w:bottom w:val="none" w:sz="0" w:space="0" w:color="auto"/>
                        <w:right w:val="none" w:sz="0" w:space="0" w:color="auto"/>
                      </w:divBdr>
                    </w:div>
                  </w:divsChild>
                </w:div>
                <w:div w:id="2095011137">
                  <w:marLeft w:val="0"/>
                  <w:marRight w:val="0"/>
                  <w:marTop w:val="0"/>
                  <w:marBottom w:val="0"/>
                  <w:divBdr>
                    <w:top w:val="none" w:sz="0" w:space="0" w:color="auto"/>
                    <w:left w:val="none" w:sz="0" w:space="0" w:color="auto"/>
                    <w:bottom w:val="none" w:sz="0" w:space="0" w:color="auto"/>
                    <w:right w:val="none" w:sz="0" w:space="0" w:color="auto"/>
                  </w:divBdr>
                  <w:divsChild>
                    <w:div w:id="354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760823">
          <w:marLeft w:val="0"/>
          <w:marRight w:val="0"/>
          <w:marTop w:val="0"/>
          <w:marBottom w:val="0"/>
          <w:divBdr>
            <w:top w:val="none" w:sz="0" w:space="0" w:color="auto"/>
            <w:left w:val="none" w:sz="0" w:space="0" w:color="auto"/>
            <w:bottom w:val="none" w:sz="0" w:space="0" w:color="auto"/>
            <w:right w:val="none" w:sz="0" w:space="0" w:color="auto"/>
          </w:divBdr>
        </w:div>
      </w:divsChild>
    </w:div>
    <w:div w:id="382562989">
      <w:bodyDiv w:val="1"/>
      <w:marLeft w:val="0"/>
      <w:marRight w:val="0"/>
      <w:marTop w:val="0"/>
      <w:marBottom w:val="0"/>
      <w:divBdr>
        <w:top w:val="none" w:sz="0" w:space="0" w:color="auto"/>
        <w:left w:val="none" w:sz="0" w:space="0" w:color="auto"/>
        <w:bottom w:val="none" w:sz="0" w:space="0" w:color="auto"/>
        <w:right w:val="none" w:sz="0" w:space="0" w:color="auto"/>
      </w:divBdr>
    </w:div>
    <w:div w:id="396704060">
      <w:bodyDiv w:val="1"/>
      <w:marLeft w:val="0"/>
      <w:marRight w:val="0"/>
      <w:marTop w:val="0"/>
      <w:marBottom w:val="0"/>
      <w:divBdr>
        <w:top w:val="none" w:sz="0" w:space="0" w:color="auto"/>
        <w:left w:val="none" w:sz="0" w:space="0" w:color="auto"/>
        <w:bottom w:val="none" w:sz="0" w:space="0" w:color="auto"/>
        <w:right w:val="none" w:sz="0" w:space="0" w:color="auto"/>
      </w:divBdr>
    </w:div>
    <w:div w:id="414790927">
      <w:bodyDiv w:val="1"/>
      <w:marLeft w:val="0"/>
      <w:marRight w:val="0"/>
      <w:marTop w:val="0"/>
      <w:marBottom w:val="0"/>
      <w:divBdr>
        <w:top w:val="none" w:sz="0" w:space="0" w:color="auto"/>
        <w:left w:val="none" w:sz="0" w:space="0" w:color="auto"/>
        <w:bottom w:val="none" w:sz="0" w:space="0" w:color="auto"/>
        <w:right w:val="none" w:sz="0" w:space="0" w:color="auto"/>
      </w:divBdr>
    </w:div>
    <w:div w:id="415635293">
      <w:bodyDiv w:val="1"/>
      <w:marLeft w:val="0"/>
      <w:marRight w:val="0"/>
      <w:marTop w:val="0"/>
      <w:marBottom w:val="0"/>
      <w:divBdr>
        <w:top w:val="none" w:sz="0" w:space="0" w:color="auto"/>
        <w:left w:val="none" w:sz="0" w:space="0" w:color="auto"/>
        <w:bottom w:val="none" w:sz="0" w:space="0" w:color="auto"/>
        <w:right w:val="none" w:sz="0" w:space="0" w:color="auto"/>
      </w:divBdr>
    </w:div>
    <w:div w:id="424149603">
      <w:bodyDiv w:val="1"/>
      <w:marLeft w:val="0"/>
      <w:marRight w:val="0"/>
      <w:marTop w:val="0"/>
      <w:marBottom w:val="0"/>
      <w:divBdr>
        <w:top w:val="none" w:sz="0" w:space="0" w:color="auto"/>
        <w:left w:val="none" w:sz="0" w:space="0" w:color="auto"/>
        <w:bottom w:val="none" w:sz="0" w:space="0" w:color="auto"/>
        <w:right w:val="none" w:sz="0" w:space="0" w:color="auto"/>
      </w:divBdr>
    </w:div>
    <w:div w:id="455871817">
      <w:bodyDiv w:val="1"/>
      <w:marLeft w:val="0"/>
      <w:marRight w:val="0"/>
      <w:marTop w:val="0"/>
      <w:marBottom w:val="0"/>
      <w:divBdr>
        <w:top w:val="none" w:sz="0" w:space="0" w:color="auto"/>
        <w:left w:val="none" w:sz="0" w:space="0" w:color="auto"/>
        <w:bottom w:val="none" w:sz="0" w:space="0" w:color="auto"/>
        <w:right w:val="none" w:sz="0" w:space="0" w:color="auto"/>
      </w:divBdr>
    </w:div>
    <w:div w:id="468321326">
      <w:bodyDiv w:val="1"/>
      <w:marLeft w:val="0"/>
      <w:marRight w:val="0"/>
      <w:marTop w:val="0"/>
      <w:marBottom w:val="0"/>
      <w:divBdr>
        <w:top w:val="none" w:sz="0" w:space="0" w:color="auto"/>
        <w:left w:val="none" w:sz="0" w:space="0" w:color="auto"/>
        <w:bottom w:val="none" w:sz="0" w:space="0" w:color="auto"/>
        <w:right w:val="none" w:sz="0" w:space="0" w:color="auto"/>
      </w:divBdr>
    </w:div>
    <w:div w:id="473527618">
      <w:bodyDiv w:val="1"/>
      <w:marLeft w:val="0"/>
      <w:marRight w:val="0"/>
      <w:marTop w:val="0"/>
      <w:marBottom w:val="0"/>
      <w:divBdr>
        <w:top w:val="none" w:sz="0" w:space="0" w:color="auto"/>
        <w:left w:val="none" w:sz="0" w:space="0" w:color="auto"/>
        <w:bottom w:val="none" w:sz="0" w:space="0" w:color="auto"/>
        <w:right w:val="none" w:sz="0" w:space="0" w:color="auto"/>
      </w:divBdr>
    </w:div>
    <w:div w:id="479273613">
      <w:bodyDiv w:val="1"/>
      <w:marLeft w:val="0"/>
      <w:marRight w:val="0"/>
      <w:marTop w:val="0"/>
      <w:marBottom w:val="0"/>
      <w:divBdr>
        <w:top w:val="none" w:sz="0" w:space="0" w:color="auto"/>
        <w:left w:val="none" w:sz="0" w:space="0" w:color="auto"/>
        <w:bottom w:val="none" w:sz="0" w:space="0" w:color="auto"/>
        <w:right w:val="none" w:sz="0" w:space="0" w:color="auto"/>
      </w:divBdr>
      <w:divsChild>
        <w:div w:id="343827881">
          <w:marLeft w:val="0"/>
          <w:marRight w:val="0"/>
          <w:marTop w:val="0"/>
          <w:marBottom w:val="0"/>
          <w:divBdr>
            <w:top w:val="none" w:sz="0" w:space="0" w:color="auto"/>
            <w:left w:val="none" w:sz="0" w:space="0" w:color="auto"/>
            <w:bottom w:val="none" w:sz="0" w:space="0" w:color="auto"/>
            <w:right w:val="none" w:sz="0" w:space="0" w:color="auto"/>
          </w:divBdr>
        </w:div>
        <w:div w:id="1473323625">
          <w:marLeft w:val="0"/>
          <w:marRight w:val="0"/>
          <w:marTop w:val="0"/>
          <w:marBottom w:val="0"/>
          <w:divBdr>
            <w:top w:val="none" w:sz="0" w:space="0" w:color="auto"/>
            <w:left w:val="none" w:sz="0" w:space="0" w:color="auto"/>
            <w:bottom w:val="none" w:sz="0" w:space="0" w:color="auto"/>
            <w:right w:val="none" w:sz="0" w:space="0" w:color="auto"/>
          </w:divBdr>
        </w:div>
      </w:divsChild>
    </w:div>
    <w:div w:id="480192582">
      <w:bodyDiv w:val="1"/>
      <w:marLeft w:val="0"/>
      <w:marRight w:val="0"/>
      <w:marTop w:val="0"/>
      <w:marBottom w:val="0"/>
      <w:divBdr>
        <w:top w:val="none" w:sz="0" w:space="0" w:color="auto"/>
        <w:left w:val="none" w:sz="0" w:space="0" w:color="auto"/>
        <w:bottom w:val="none" w:sz="0" w:space="0" w:color="auto"/>
        <w:right w:val="none" w:sz="0" w:space="0" w:color="auto"/>
      </w:divBdr>
      <w:divsChild>
        <w:div w:id="1747729910">
          <w:marLeft w:val="0"/>
          <w:marRight w:val="0"/>
          <w:marTop w:val="0"/>
          <w:marBottom w:val="0"/>
          <w:divBdr>
            <w:top w:val="none" w:sz="0" w:space="0" w:color="auto"/>
            <w:left w:val="none" w:sz="0" w:space="0" w:color="auto"/>
            <w:bottom w:val="none" w:sz="0" w:space="0" w:color="auto"/>
            <w:right w:val="none" w:sz="0" w:space="0" w:color="auto"/>
          </w:divBdr>
          <w:divsChild>
            <w:div w:id="6459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236094">
      <w:bodyDiv w:val="1"/>
      <w:marLeft w:val="0"/>
      <w:marRight w:val="0"/>
      <w:marTop w:val="0"/>
      <w:marBottom w:val="0"/>
      <w:divBdr>
        <w:top w:val="none" w:sz="0" w:space="0" w:color="auto"/>
        <w:left w:val="none" w:sz="0" w:space="0" w:color="auto"/>
        <w:bottom w:val="none" w:sz="0" w:space="0" w:color="auto"/>
        <w:right w:val="none" w:sz="0" w:space="0" w:color="auto"/>
      </w:divBdr>
    </w:div>
    <w:div w:id="500000679">
      <w:bodyDiv w:val="1"/>
      <w:marLeft w:val="0"/>
      <w:marRight w:val="0"/>
      <w:marTop w:val="0"/>
      <w:marBottom w:val="0"/>
      <w:divBdr>
        <w:top w:val="none" w:sz="0" w:space="0" w:color="auto"/>
        <w:left w:val="none" w:sz="0" w:space="0" w:color="auto"/>
        <w:bottom w:val="none" w:sz="0" w:space="0" w:color="auto"/>
        <w:right w:val="none" w:sz="0" w:space="0" w:color="auto"/>
      </w:divBdr>
    </w:div>
    <w:div w:id="502667566">
      <w:bodyDiv w:val="1"/>
      <w:marLeft w:val="0"/>
      <w:marRight w:val="0"/>
      <w:marTop w:val="0"/>
      <w:marBottom w:val="0"/>
      <w:divBdr>
        <w:top w:val="none" w:sz="0" w:space="0" w:color="auto"/>
        <w:left w:val="none" w:sz="0" w:space="0" w:color="auto"/>
        <w:bottom w:val="none" w:sz="0" w:space="0" w:color="auto"/>
        <w:right w:val="none" w:sz="0" w:space="0" w:color="auto"/>
      </w:divBdr>
    </w:div>
    <w:div w:id="509880666">
      <w:bodyDiv w:val="1"/>
      <w:marLeft w:val="0"/>
      <w:marRight w:val="0"/>
      <w:marTop w:val="0"/>
      <w:marBottom w:val="0"/>
      <w:divBdr>
        <w:top w:val="none" w:sz="0" w:space="0" w:color="auto"/>
        <w:left w:val="none" w:sz="0" w:space="0" w:color="auto"/>
        <w:bottom w:val="none" w:sz="0" w:space="0" w:color="auto"/>
        <w:right w:val="none" w:sz="0" w:space="0" w:color="auto"/>
      </w:divBdr>
    </w:div>
    <w:div w:id="527454892">
      <w:bodyDiv w:val="1"/>
      <w:marLeft w:val="0"/>
      <w:marRight w:val="0"/>
      <w:marTop w:val="0"/>
      <w:marBottom w:val="0"/>
      <w:divBdr>
        <w:top w:val="none" w:sz="0" w:space="0" w:color="auto"/>
        <w:left w:val="none" w:sz="0" w:space="0" w:color="auto"/>
        <w:bottom w:val="none" w:sz="0" w:space="0" w:color="auto"/>
        <w:right w:val="none" w:sz="0" w:space="0" w:color="auto"/>
      </w:divBdr>
    </w:div>
    <w:div w:id="548617279">
      <w:bodyDiv w:val="1"/>
      <w:marLeft w:val="0"/>
      <w:marRight w:val="0"/>
      <w:marTop w:val="0"/>
      <w:marBottom w:val="0"/>
      <w:divBdr>
        <w:top w:val="none" w:sz="0" w:space="0" w:color="auto"/>
        <w:left w:val="none" w:sz="0" w:space="0" w:color="auto"/>
        <w:bottom w:val="none" w:sz="0" w:space="0" w:color="auto"/>
        <w:right w:val="none" w:sz="0" w:space="0" w:color="auto"/>
      </w:divBdr>
    </w:div>
    <w:div w:id="559025409">
      <w:bodyDiv w:val="1"/>
      <w:marLeft w:val="0"/>
      <w:marRight w:val="0"/>
      <w:marTop w:val="0"/>
      <w:marBottom w:val="0"/>
      <w:divBdr>
        <w:top w:val="none" w:sz="0" w:space="0" w:color="auto"/>
        <w:left w:val="none" w:sz="0" w:space="0" w:color="auto"/>
        <w:bottom w:val="none" w:sz="0" w:space="0" w:color="auto"/>
        <w:right w:val="none" w:sz="0" w:space="0" w:color="auto"/>
      </w:divBdr>
    </w:div>
    <w:div w:id="560756017">
      <w:bodyDiv w:val="1"/>
      <w:marLeft w:val="0"/>
      <w:marRight w:val="0"/>
      <w:marTop w:val="0"/>
      <w:marBottom w:val="0"/>
      <w:divBdr>
        <w:top w:val="none" w:sz="0" w:space="0" w:color="auto"/>
        <w:left w:val="none" w:sz="0" w:space="0" w:color="auto"/>
        <w:bottom w:val="none" w:sz="0" w:space="0" w:color="auto"/>
        <w:right w:val="none" w:sz="0" w:space="0" w:color="auto"/>
      </w:divBdr>
      <w:divsChild>
        <w:div w:id="66921398">
          <w:marLeft w:val="0"/>
          <w:marRight w:val="0"/>
          <w:marTop w:val="0"/>
          <w:marBottom w:val="0"/>
          <w:divBdr>
            <w:top w:val="none" w:sz="0" w:space="0" w:color="auto"/>
            <w:left w:val="none" w:sz="0" w:space="0" w:color="auto"/>
            <w:bottom w:val="none" w:sz="0" w:space="0" w:color="auto"/>
            <w:right w:val="none" w:sz="0" w:space="0" w:color="auto"/>
          </w:divBdr>
        </w:div>
        <w:div w:id="1290480422">
          <w:marLeft w:val="0"/>
          <w:marRight w:val="0"/>
          <w:marTop w:val="0"/>
          <w:marBottom w:val="0"/>
          <w:divBdr>
            <w:top w:val="none" w:sz="0" w:space="0" w:color="auto"/>
            <w:left w:val="none" w:sz="0" w:space="0" w:color="auto"/>
            <w:bottom w:val="none" w:sz="0" w:space="0" w:color="auto"/>
            <w:right w:val="none" w:sz="0" w:space="0" w:color="auto"/>
          </w:divBdr>
        </w:div>
        <w:div w:id="1808081626">
          <w:marLeft w:val="0"/>
          <w:marRight w:val="0"/>
          <w:marTop w:val="0"/>
          <w:marBottom w:val="0"/>
          <w:divBdr>
            <w:top w:val="none" w:sz="0" w:space="0" w:color="auto"/>
            <w:left w:val="none" w:sz="0" w:space="0" w:color="auto"/>
            <w:bottom w:val="none" w:sz="0" w:space="0" w:color="auto"/>
            <w:right w:val="none" w:sz="0" w:space="0" w:color="auto"/>
          </w:divBdr>
        </w:div>
        <w:div w:id="2125147970">
          <w:marLeft w:val="0"/>
          <w:marRight w:val="0"/>
          <w:marTop w:val="0"/>
          <w:marBottom w:val="0"/>
          <w:divBdr>
            <w:top w:val="none" w:sz="0" w:space="0" w:color="auto"/>
            <w:left w:val="none" w:sz="0" w:space="0" w:color="auto"/>
            <w:bottom w:val="none" w:sz="0" w:space="0" w:color="auto"/>
            <w:right w:val="none" w:sz="0" w:space="0" w:color="auto"/>
          </w:divBdr>
          <w:divsChild>
            <w:div w:id="9202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51878">
      <w:bodyDiv w:val="1"/>
      <w:marLeft w:val="0"/>
      <w:marRight w:val="0"/>
      <w:marTop w:val="0"/>
      <w:marBottom w:val="0"/>
      <w:divBdr>
        <w:top w:val="none" w:sz="0" w:space="0" w:color="auto"/>
        <w:left w:val="none" w:sz="0" w:space="0" w:color="auto"/>
        <w:bottom w:val="none" w:sz="0" w:space="0" w:color="auto"/>
        <w:right w:val="none" w:sz="0" w:space="0" w:color="auto"/>
      </w:divBdr>
    </w:div>
    <w:div w:id="590627542">
      <w:bodyDiv w:val="1"/>
      <w:marLeft w:val="0"/>
      <w:marRight w:val="0"/>
      <w:marTop w:val="0"/>
      <w:marBottom w:val="0"/>
      <w:divBdr>
        <w:top w:val="none" w:sz="0" w:space="0" w:color="auto"/>
        <w:left w:val="none" w:sz="0" w:space="0" w:color="auto"/>
        <w:bottom w:val="none" w:sz="0" w:space="0" w:color="auto"/>
        <w:right w:val="none" w:sz="0" w:space="0" w:color="auto"/>
      </w:divBdr>
      <w:divsChild>
        <w:div w:id="1349605386">
          <w:marLeft w:val="0"/>
          <w:marRight w:val="0"/>
          <w:marTop w:val="0"/>
          <w:marBottom w:val="0"/>
          <w:divBdr>
            <w:top w:val="none" w:sz="0" w:space="0" w:color="auto"/>
            <w:left w:val="none" w:sz="0" w:space="0" w:color="auto"/>
            <w:bottom w:val="none" w:sz="0" w:space="0" w:color="auto"/>
            <w:right w:val="none" w:sz="0" w:space="0" w:color="auto"/>
          </w:divBdr>
          <w:divsChild>
            <w:div w:id="7781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2360">
      <w:bodyDiv w:val="1"/>
      <w:marLeft w:val="0"/>
      <w:marRight w:val="0"/>
      <w:marTop w:val="0"/>
      <w:marBottom w:val="0"/>
      <w:divBdr>
        <w:top w:val="none" w:sz="0" w:space="0" w:color="auto"/>
        <w:left w:val="none" w:sz="0" w:space="0" w:color="auto"/>
        <w:bottom w:val="none" w:sz="0" w:space="0" w:color="auto"/>
        <w:right w:val="none" w:sz="0" w:space="0" w:color="auto"/>
      </w:divBdr>
    </w:div>
    <w:div w:id="646402479">
      <w:bodyDiv w:val="1"/>
      <w:marLeft w:val="0"/>
      <w:marRight w:val="0"/>
      <w:marTop w:val="0"/>
      <w:marBottom w:val="0"/>
      <w:divBdr>
        <w:top w:val="none" w:sz="0" w:space="0" w:color="auto"/>
        <w:left w:val="none" w:sz="0" w:space="0" w:color="auto"/>
        <w:bottom w:val="none" w:sz="0" w:space="0" w:color="auto"/>
        <w:right w:val="none" w:sz="0" w:space="0" w:color="auto"/>
      </w:divBdr>
      <w:divsChild>
        <w:div w:id="2129205090">
          <w:marLeft w:val="0"/>
          <w:marRight w:val="0"/>
          <w:marTop w:val="0"/>
          <w:marBottom w:val="0"/>
          <w:divBdr>
            <w:top w:val="none" w:sz="0" w:space="0" w:color="auto"/>
            <w:left w:val="none" w:sz="0" w:space="0" w:color="auto"/>
            <w:bottom w:val="none" w:sz="0" w:space="0" w:color="auto"/>
            <w:right w:val="none" w:sz="0" w:space="0" w:color="auto"/>
          </w:divBdr>
        </w:div>
      </w:divsChild>
    </w:div>
    <w:div w:id="654991422">
      <w:bodyDiv w:val="1"/>
      <w:marLeft w:val="0"/>
      <w:marRight w:val="0"/>
      <w:marTop w:val="0"/>
      <w:marBottom w:val="0"/>
      <w:divBdr>
        <w:top w:val="none" w:sz="0" w:space="0" w:color="auto"/>
        <w:left w:val="none" w:sz="0" w:space="0" w:color="auto"/>
        <w:bottom w:val="none" w:sz="0" w:space="0" w:color="auto"/>
        <w:right w:val="none" w:sz="0" w:space="0" w:color="auto"/>
      </w:divBdr>
    </w:div>
    <w:div w:id="657614364">
      <w:bodyDiv w:val="1"/>
      <w:marLeft w:val="0"/>
      <w:marRight w:val="0"/>
      <w:marTop w:val="0"/>
      <w:marBottom w:val="0"/>
      <w:divBdr>
        <w:top w:val="none" w:sz="0" w:space="0" w:color="auto"/>
        <w:left w:val="none" w:sz="0" w:space="0" w:color="auto"/>
        <w:bottom w:val="none" w:sz="0" w:space="0" w:color="auto"/>
        <w:right w:val="none" w:sz="0" w:space="0" w:color="auto"/>
      </w:divBdr>
    </w:div>
    <w:div w:id="680744207">
      <w:bodyDiv w:val="1"/>
      <w:marLeft w:val="0"/>
      <w:marRight w:val="0"/>
      <w:marTop w:val="0"/>
      <w:marBottom w:val="0"/>
      <w:divBdr>
        <w:top w:val="none" w:sz="0" w:space="0" w:color="auto"/>
        <w:left w:val="none" w:sz="0" w:space="0" w:color="auto"/>
        <w:bottom w:val="none" w:sz="0" w:space="0" w:color="auto"/>
        <w:right w:val="none" w:sz="0" w:space="0" w:color="auto"/>
      </w:divBdr>
    </w:div>
    <w:div w:id="683748408">
      <w:bodyDiv w:val="1"/>
      <w:marLeft w:val="0"/>
      <w:marRight w:val="0"/>
      <w:marTop w:val="0"/>
      <w:marBottom w:val="0"/>
      <w:divBdr>
        <w:top w:val="none" w:sz="0" w:space="0" w:color="auto"/>
        <w:left w:val="none" w:sz="0" w:space="0" w:color="auto"/>
        <w:bottom w:val="none" w:sz="0" w:space="0" w:color="auto"/>
        <w:right w:val="none" w:sz="0" w:space="0" w:color="auto"/>
      </w:divBdr>
    </w:div>
    <w:div w:id="697311777">
      <w:bodyDiv w:val="1"/>
      <w:marLeft w:val="0"/>
      <w:marRight w:val="0"/>
      <w:marTop w:val="0"/>
      <w:marBottom w:val="0"/>
      <w:divBdr>
        <w:top w:val="none" w:sz="0" w:space="0" w:color="auto"/>
        <w:left w:val="none" w:sz="0" w:space="0" w:color="auto"/>
        <w:bottom w:val="none" w:sz="0" w:space="0" w:color="auto"/>
        <w:right w:val="none" w:sz="0" w:space="0" w:color="auto"/>
      </w:divBdr>
      <w:divsChild>
        <w:div w:id="109396120">
          <w:marLeft w:val="0"/>
          <w:marRight w:val="0"/>
          <w:marTop w:val="0"/>
          <w:marBottom w:val="0"/>
          <w:divBdr>
            <w:top w:val="none" w:sz="0" w:space="0" w:color="auto"/>
            <w:left w:val="none" w:sz="0" w:space="0" w:color="auto"/>
            <w:bottom w:val="none" w:sz="0" w:space="0" w:color="auto"/>
            <w:right w:val="none" w:sz="0" w:space="0" w:color="auto"/>
          </w:divBdr>
        </w:div>
        <w:div w:id="1358849908">
          <w:marLeft w:val="0"/>
          <w:marRight w:val="0"/>
          <w:marTop w:val="0"/>
          <w:marBottom w:val="0"/>
          <w:divBdr>
            <w:top w:val="none" w:sz="0" w:space="0" w:color="auto"/>
            <w:left w:val="none" w:sz="0" w:space="0" w:color="auto"/>
            <w:bottom w:val="none" w:sz="0" w:space="0" w:color="auto"/>
            <w:right w:val="none" w:sz="0" w:space="0" w:color="auto"/>
          </w:divBdr>
        </w:div>
        <w:div w:id="2117096564">
          <w:marLeft w:val="0"/>
          <w:marRight w:val="0"/>
          <w:marTop w:val="0"/>
          <w:marBottom w:val="0"/>
          <w:divBdr>
            <w:top w:val="none" w:sz="0" w:space="0" w:color="auto"/>
            <w:left w:val="none" w:sz="0" w:space="0" w:color="auto"/>
            <w:bottom w:val="none" w:sz="0" w:space="0" w:color="auto"/>
            <w:right w:val="none" w:sz="0" w:space="0" w:color="auto"/>
          </w:divBdr>
        </w:div>
      </w:divsChild>
    </w:div>
    <w:div w:id="699210411">
      <w:bodyDiv w:val="1"/>
      <w:marLeft w:val="0"/>
      <w:marRight w:val="0"/>
      <w:marTop w:val="0"/>
      <w:marBottom w:val="0"/>
      <w:divBdr>
        <w:top w:val="none" w:sz="0" w:space="0" w:color="auto"/>
        <w:left w:val="none" w:sz="0" w:space="0" w:color="auto"/>
        <w:bottom w:val="none" w:sz="0" w:space="0" w:color="auto"/>
        <w:right w:val="none" w:sz="0" w:space="0" w:color="auto"/>
      </w:divBdr>
    </w:div>
    <w:div w:id="748229939">
      <w:bodyDiv w:val="1"/>
      <w:marLeft w:val="0"/>
      <w:marRight w:val="0"/>
      <w:marTop w:val="0"/>
      <w:marBottom w:val="0"/>
      <w:divBdr>
        <w:top w:val="none" w:sz="0" w:space="0" w:color="auto"/>
        <w:left w:val="none" w:sz="0" w:space="0" w:color="auto"/>
        <w:bottom w:val="none" w:sz="0" w:space="0" w:color="auto"/>
        <w:right w:val="none" w:sz="0" w:space="0" w:color="auto"/>
      </w:divBdr>
    </w:div>
    <w:div w:id="760373335">
      <w:bodyDiv w:val="1"/>
      <w:marLeft w:val="0"/>
      <w:marRight w:val="0"/>
      <w:marTop w:val="0"/>
      <w:marBottom w:val="0"/>
      <w:divBdr>
        <w:top w:val="none" w:sz="0" w:space="0" w:color="auto"/>
        <w:left w:val="none" w:sz="0" w:space="0" w:color="auto"/>
        <w:bottom w:val="none" w:sz="0" w:space="0" w:color="auto"/>
        <w:right w:val="none" w:sz="0" w:space="0" w:color="auto"/>
      </w:divBdr>
      <w:divsChild>
        <w:div w:id="8022230">
          <w:marLeft w:val="0"/>
          <w:marRight w:val="0"/>
          <w:marTop w:val="0"/>
          <w:marBottom w:val="0"/>
          <w:divBdr>
            <w:top w:val="none" w:sz="0" w:space="0" w:color="auto"/>
            <w:left w:val="none" w:sz="0" w:space="0" w:color="auto"/>
            <w:bottom w:val="none" w:sz="0" w:space="0" w:color="auto"/>
            <w:right w:val="none" w:sz="0" w:space="0" w:color="auto"/>
          </w:divBdr>
        </w:div>
        <w:div w:id="54089017">
          <w:marLeft w:val="0"/>
          <w:marRight w:val="0"/>
          <w:marTop w:val="0"/>
          <w:marBottom w:val="0"/>
          <w:divBdr>
            <w:top w:val="none" w:sz="0" w:space="0" w:color="auto"/>
            <w:left w:val="none" w:sz="0" w:space="0" w:color="auto"/>
            <w:bottom w:val="none" w:sz="0" w:space="0" w:color="auto"/>
            <w:right w:val="none" w:sz="0" w:space="0" w:color="auto"/>
          </w:divBdr>
        </w:div>
        <w:div w:id="65618803">
          <w:marLeft w:val="0"/>
          <w:marRight w:val="0"/>
          <w:marTop w:val="0"/>
          <w:marBottom w:val="0"/>
          <w:divBdr>
            <w:top w:val="none" w:sz="0" w:space="0" w:color="auto"/>
            <w:left w:val="none" w:sz="0" w:space="0" w:color="auto"/>
            <w:bottom w:val="none" w:sz="0" w:space="0" w:color="auto"/>
            <w:right w:val="none" w:sz="0" w:space="0" w:color="auto"/>
          </w:divBdr>
        </w:div>
        <w:div w:id="70465065">
          <w:marLeft w:val="0"/>
          <w:marRight w:val="0"/>
          <w:marTop w:val="0"/>
          <w:marBottom w:val="0"/>
          <w:divBdr>
            <w:top w:val="none" w:sz="0" w:space="0" w:color="auto"/>
            <w:left w:val="none" w:sz="0" w:space="0" w:color="auto"/>
            <w:bottom w:val="none" w:sz="0" w:space="0" w:color="auto"/>
            <w:right w:val="none" w:sz="0" w:space="0" w:color="auto"/>
          </w:divBdr>
        </w:div>
        <w:div w:id="74057946">
          <w:marLeft w:val="0"/>
          <w:marRight w:val="0"/>
          <w:marTop w:val="0"/>
          <w:marBottom w:val="0"/>
          <w:divBdr>
            <w:top w:val="none" w:sz="0" w:space="0" w:color="auto"/>
            <w:left w:val="none" w:sz="0" w:space="0" w:color="auto"/>
            <w:bottom w:val="none" w:sz="0" w:space="0" w:color="auto"/>
            <w:right w:val="none" w:sz="0" w:space="0" w:color="auto"/>
          </w:divBdr>
        </w:div>
        <w:div w:id="75516455">
          <w:marLeft w:val="0"/>
          <w:marRight w:val="0"/>
          <w:marTop w:val="0"/>
          <w:marBottom w:val="0"/>
          <w:divBdr>
            <w:top w:val="none" w:sz="0" w:space="0" w:color="auto"/>
            <w:left w:val="none" w:sz="0" w:space="0" w:color="auto"/>
            <w:bottom w:val="none" w:sz="0" w:space="0" w:color="auto"/>
            <w:right w:val="none" w:sz="0" w:space="0" w:color="auto"/>
          </w:divBdr>
        </w:div>
        <w:div w:id="78404139">
          <w:marLeft w:val="0"/>
          <w:marRight w:val="0"/>
          <w:marTop w:val="0"/>
          <w:marBottom w:val="0"/>
          <w:divBdr>
            <w:top w:val="none" w:sz="0" w:space="0" w:color="auto"/>
            <w:left w:val="none" w:sz="0" w:space="0" w:color="auto"/>
            <w:bottom w:val="none" w:sz="0" w:space="0" w:color="auto"/>
            <w:right w:val="none" w:sz="0" w:space="0" w:color="auto"/>
          </w:divBdr>
        </w:div>
        <w:div w:id="81537343">
          <w:marLeft w:val="0"/>
          <w:marRight w:val="0"/>
          <w:marTop w:val="0"/>
          <w:marBottom w:val="0"/>
          <w:divBdr>
            <w:top w:val="none" w:sz="0" w:space="0" w:color="auto"/>
            <w:left w:val="none" w:sz="0" w:space="0" w:color="auto"/>
            <w:bottom w:val="none" w:sz="0" w:space="0" w:color="auto"/>
            <w:right w:val="none" w:sz="0" w:space="0" w:color="auto"/>
          </w:divBdr>
        </w:div>
        <w:div w:id="84350887">
          <w:marLeft w:val="0"/>
          <w:marRight w:val="0"/>
          <w:marTop w:val="0"/>
          <w:marBottom w:val="0"/>
          <w:divBdr>
            <w:top w:val="none" w:sz="0" w:space="0" w:color="auto"/>
            <w:left w:val="none" w:sz="0" w:space="0" w:color="auto"/>
            <w:bottom w:val="none" w:sz="0" w:space="0" w:color="auto"/>
            <w:right w:val="none" w:sz="0" w:space="0" w:color="auto"/>
          </w:divBdr>
        </w:div>
        <w:div w:id="96141671">
          <w:marLeft w:val="0"/>
          <w:marRight w:val="0"/>
          <w:marTop w:val="0"/>
          <w:marBottom w:val="0"/>
          <w:divBdr>
            <w:top w:val="none" w:sz="0" w:space="0" w:color="auto"/>
            <w:left w:val="none" w:sz="0" w:space="0" w:color="auto"/>
            <w:bottom w:val="none" w:sz="0" w:space="0" w:color="auto"/>
            <w:right w:val="none" w:sz="0" w:space="0" w:color="auto"/>
          </w:divBdr>
        </w:div>
        <w:div w:id="100346618">
          <w:marLeft w:val="0"/>
          <w:marRight w:val="0"/>
          <w:marTop w:val="0"/>
          <w:marBottom w:val="0"/>
          <w:divBdr>
            <w:top w:val="none" w:sz="0" w:space="0" w:color="auto"/>
            <w:left w:val="none" w:sz="0" w:space="0" w:color="auto"/>
            <w:bottom w:val="none" w:sz="0" w:space="0" w:color="auto"/>
            <w:right w:val="none" w:sz="0" w:space="0" w:color="auto"/>
          </w:divBdr>
        </w:div>
        <w:div w:id="104010520">
          <w:marLeft w:val="0"/>
          <w:marRight w:val="0"/>
          <w:marTop w:val="0"/>
          <w:marBottom w:val="0"/>
          <w:divBdr>
            <w:top w:val="none" w:sz="0" w:space="0" w:color="auto"/>
            <w:left w:val="none" w:sz="0" w:space="0" w:color="auto"/>
            <w:bottom w:val="none" w:sz="0" w:space="0" w:color="auto"/>
            <w:right w:val="none" w:sz="0" w:space="0" w:color="auto"/>
          </w:divBdr>
        </w:div>
        <w:div w:id="110781829">
          <w:marLeft w:val="0"/>
          <w:marRight w:val="0"/>
          <w:marTop w:val="0"/>
          <w:marBottom w:val="0"/>
          <w:divBdr>
            <w:top w:val="none" w:sz="0" w:space="0" w:color="auto"/>
            <w:left w:val="none" w:sz="0" w:space="0" w:color="auto"/>
            <w:bottom w:val="none" w:sz="0" w:space="0" w:color="auto"/>
            <w:right w:val="none" w:sz="0" w:space="0" w:color="auto"/>
          </w:divBdr>
        </w:div>
        <w:div w:id="110980057">
          <w:marLeft w:val="0"/>
          <w:marRight w:val="0"/>
          <w:marTop w:val="0"/>
          <w:marBottom w:val="0"/>
          <w:divBdr>
            <w:top w:val="none" w:sz="0" w:space="0" w:color="auto"/>
            <w:left w:val="none" w:sz="0" w:space="0" w:color="auto"/>
            <w:bottom w:val="none" w:sz="0" w:space="0" w:color="auto"/>
            <w:right w:val="none" w:sz="0" w:space="0" w:color="auto"/>
          </w:divBdr>
        </w:div>
        <w:div w:id="111559196">
          <w:marLeft w:val="0"/>
          <w:marRight w:val="0"/>
          <w:marTop w:val="0"/>
          <w:marBottom w:val="0"/>
          <w:divBdr>
            <w:top w:val="none" w:sz="0" w:space="0" w:color="auto"/>
            <w:left w:val="none" w:sz="0" w:space="0" w:color="auto"/>
            <w:bottom w:val="none" w:sz="0" w:space="0" w:color="auto"/>
            <w:right w:val="none" w:sz="0" w:space="0" w:color="auto"/>
          </w:divBdr>
        </w:div>
        <w:div w:id="118957783">
          <w:marLeft w:val="0"/>
          <w:marRight w:val="0"/>
          <w:marTop w:val="0"/>
          <w:marBottom w:val="0"/>
          <w:divBdr>
            <w:top w:val="none" w:sz="0" w:space="0" w:color="auto"/>
            <w:left w:val="none" w:sz="0" w:space="0" w:color="auto"/>
            <w:bottom w:val="none" w:sz="0" w:space="0" w:color="auto"/>
            <w:right w:val="none" w:sz="0" w:space="0" w:color="auto"/>
          </w:divBdr>
        </w:div>
        <w:div w:id="142158946">
          <w:marLeft w:val="0"/>
          <w:marRight w:val="0"/>
          <w:marTop w:val="0"/>
          <w:marBottom w:val="0"/>
          <w:divBdr>
            <w:top w:val="none" w:sz="0" w:space="0" w:color="auto"/>
            <w:left w:val="none" w:sz="0" w:space="0" w:color="auto"/>
            <w:bottom w:val="none" w:sz="0" w:space="0" w:color="auto"/>
            <w:right w:val="none" w:sz="0" w:space="0" w:color="auto"/>
          </w:divBdr>
        </w:div>
        <w:div w:id="149373251">
          <w:marLeft w:val="0"/>
          <w:marRight w:val="0"/>
          <w:marTop w:val="0"/>
          <w:marBottom w:val="0"/>
          <w:divBdr>
            <w:top w:val="none" w:sz="0" w:space="0" w:color="auto"/>
            <w:left w:val="none" w:sz="0" w:space="0" w:color="auto"/>
            <w:bottom w:val="none" w:sz="0" w:space="0" w:color="auto"/>
            <w:right w:val="none" w:sz="0" w:space="0" w:color="auto"/>
          </w:divBdr>
        </w:div>
        <w:div w:id="150410500">
          <w:marLeft w:val="0"/>
          <w:marRight w:val="0"/>
          <w:marTop w:val="0"/>
          <w:marBottom w:val="0"/>
          <w:divBdr>
            <w:top w:val="none" w:sz="0" w:space="0" w:color="auto"/>
            <w:left w:val="none" w:sz="0" w:space="0" w:color="auto"/>
            <w:bottom w:val="none" w:sz="0" w:space="0" w:color="auto"/>
            <w:right w:val="none" w:sz="0" w:space="0" w:color="auto"/>
          </w:divBdr>
        </w:div>
        <w:div w:id="154418889">
          <w:marLeft w:val="0"/>
          <w:marRight w:val="0"/>
          <w:marTop w:val="0"/>
          <w:marBottom w:val="0"/>
          <w:divBdr>
            <w:top w:val="none" w:sz="0" w:space="0" w:color="auto"/>
            <w:left w:val="none" w:sz="0" w:space="0" w:color="auto"/>
            <w:bottom w:val="none" w:sz="0" w:space="0" w:color="auto"/>
            <w:right w:val="none" w:sz="0" w:space="0" w:color="auto"/>
          </w:divBdr>
        </w:div>
        <w:div w:id="165872088">
          <w:marLeft w:val="0"/>
          <w:marRight w:val="0"/>
          <w:marTop w:val="0"/>
          <w:marBottom w:val="0"/>
          <w:divBdr>
            <w:top w:val="none" w:sz="0" w:space="0" w:color="auto"/>
            <w:left w:val="none" w:sz="0" w:space="0" w:color="auto"/>
            <w:bottom w:val="none" w:sz="0" w:space="0" w:color="auto"/>
            <w:right w:val="none" w:sz="0" w:space="0" w:color="auto"/>
          </w:divBdr>
        </w:div>
        <w:div w:id="186023787">
          <w:marLeft w:val="0"/>
          <w:marRight w:val="0"/>
          <w:marTop w:val="0"/>
          <w:marBottom w:val="0"/>
          <w:divBdr>
            <w:top w:val="none" w:sz="0" w:space="0" w:color="auto"/>
            <w:left w:val="none" w:sz="0" w:space="0" w:color="auto"/>
            <w:bottom w:val="none" w:sz="0" w:space="0" w:color="auto"/>
            <w:right w:val="none" w:sz="0" w:space="0" w:color="auto"/>
          </w:divBdr>
        </w:div>
        <w:div w:id="211961853">
          <w:marLeft w:val="0"/>
          <w:marRight w:val="0"/>
          <w:marTop w:val="0"/>
          <w:marBottom w:val="0"/>
          <w:divBdr>
            <w:top w:val="none" w:sz="0" w:space="0" w:color="auto"/>
            <w:left w:val="none" w:sz="0" w:space="0" w:color="auto"/>
            <w:bottom w:val="none" w:sz="0" w:space="0" w:color="auto"/>
            <w:right w:val="none" w:sz="0" w:space="0" w:color="auto"/>
          </w:divBdr>
        </w:div>
        <w:div w:id="215168900">
          <w:marLeft w:val="0"/>
          <w:marRight w:val="0"/>
          <w:marTop w:val="0"/>
          <w:marBottom w:val="0"/>
          <w:divBdr>
            <w:top w:val="none" w:sz="0" w:space="0" w:color="auto"/>
            <w:left w:val="none" w:sz="0" w:space="0" w:color="auto"/>
            <w:bottom w:val="none" w:sz="0" w:space="0" w:color="auto"/>
            <w:right w:val="none" w:sz="0" w:space="0" w:color="auto"/>
          </w:divBdr>
        </w:div>
        <w:div w:id="223685371">
          <w:marLeft w:val="0"/>
          <w:marRight w:val="0"/>
          <w:marTop w:val="0"/>
          <w:marBottom w:val="0"/>
          <w:divBdr>
            <w:top w:val="none" w:sz="0" w:space="0" w:color="auto"/>
            <w:left w:val="none" w:sz="0" w:space="0" w:color="auto"/>
            <w:bottom w:val="none" w:sz="0" w:space="0" w:color="auto"/>
            <w:right w:val="none" w:sz="0" w:space="0" w:color="auto"/>
          </w:divBdr>
        </w:div>
        <w:div w:id="231739520">
          <w:marLeft w:val="0"/>
          <w:marRight w:val="0"/>
          <w:marTop w:val="0"/>
          <w:marBottom w:val="0"/>
          <w:divBdr>
            <w:top w:val="none" w:sz="0" w:space="0" w:color="auto"/>
            <w:left w:val="none" w:sz="0" w:space="0" w:color="auto"/>
            <w:bottom w:val="none" w:sz="0" w:space="0" w:color="auto"/>
            <w:right w:val="none" w:sz="0" w:space="0" w:color="auto"/>
          </w:divBdr>
        </w:div>
        <w:div w:id="231812844">
          <w:marLeft w:val="0"/>
          <w:marRight w:val="0"/>
          <w:marTop w:val="0"/>
          <w:marBottom w:val="0"/>
          <w:divBdr>
            <w:top w:val="none" w:sz="0" w:space="0" w:color="auto"/>
            <w:left w:val="none" w:sz="0" w:space="0" w:color="auto"/>
            <w:bottom w:val="none" w:sz="0" w:space="0" w:color="auto"/>
            <w:right w:val="none" w:sz="0" w:space="0" w:color="auto"/>
          </w:divBdr>
        </w:div>
        <w:div w:id="242180525">
          <w:marLeft w:val="0"/>
          <w:marRight w:val="0"/>
          <w:marTop w:val="0"/>
          <w:marBottom w:val="0"/>
          <w:divBdr>
            <w:top w:val="none" w:sz="0" w:space="0" w:color="auto"/>
            <w:left w:val="none" w:sz="0" w:space="0" w:color="auto"/>
            <w:bottom w:val="none" w:sz="0" w:space="0" w:color="auto"/>
            <w:right w:val="none" w:sz="0" w:space="0" w:color="auto"/>
          </w:divBdr>
        </w:div>
        <w:div w:id="245575327">
          <w:marLeft w:val="0"/>
          <w:marRight w:val="0"/>
          <w:marTop w:val="0"/>
          <w:marBottom w:val="0"/>
          <w:divBdr>
            <w:top w:val="none" w:sz="0" w:space="0" w:color="auto"/>
            <w:left w:val="none" w:sz="0" w:space="0" w:color="auto"/>
            <w:bottom w:val="none" w:sz="0" w:space="0" w:color="auto"/>
            <w:right w:val="none" w:sz="0" w:space="0" w:color="auto"/>
          </w:divBdr>
        </w:div>
        <w:div w:id="248736739">
          <w:marLeft w:val="0"/>
          <w:marRight w:val="0"/>
          <w:marTop w:val="0"/>
          <w:marBottom w:val="0"/>
          <w:divBdr>
            <w:top w:val="none" w:sz="0" w:space="0" w:color="auto"/>
            <w:left w:val="none" w:sz="0" w:space="0" w:color="auto"/>
            <w:bottom w:val="none" w:sz="0" w:space="0" w:color="auto"/>
            <w:right w:val="none" w:sz="0" w:space="0" w:color="auto"/>
          </w:divBdr>
        </w:div>
        <w:div w:id="250086512">
          <w:marLeft w:val="0"/>
          <w:marRight w:val="0"/>
          <w:marTop w:val="0"/>
          <w:marBottom w:val="0"/>
          <w:divBdr>
            <w:top w:val="none" w:sz="0" w:space="0" w:color="auto"/>
            <w:left w:val="none" w:sz="0" w:space="0" w:color="auto"/>
            <w:bottom w:val="none" w:sz="0" w:space="0" w:color="auto"/>
            <w:right w:val="none" w:sz="0" w:space="0" w:color="auto"/>
          </w:divBdr>
        </w:div>
        <w:div w:id="255864458">
          <w:marLeft w:val="0"/>
          <w:marRight w:val="0"/>
          <w:marTop w:val="0"/>
          <w:marBottom w:val="0"/>
          <w:divBdr>
            <w:top w:val="none" w:sz="0" w:space="0" w:color="auto"/>
            <w:left w:val="none" w:sz="0" w:space="0" w:color="auto"/>
            <w:bottom w:val="none" w:sz="0" w:space="0" w:color="auto"/>
            <w:right w:val="none" w:sz="0" w:space="0" w:color="auto"/>
          </w:divBdr>
        </w:div>
        <w:div w:id="259803275">
          <w:marLeft w:val="0"/>
          <w:marRight w:val="0"/>
          <w:marTop w:val="0"/>
          <w:marBottom w:val="0"/>
          <w:divBdr>
            <w:top w:val="none" w:sz="0" w:space="0" w:color="auto"/>
            <w:left w:val="none" w:sz="0" w:space="0" w:color="auto"/>
            <w:bottom w:val="none" w:sz="0" w:space="0" w:color="auto"/>
            <w:right w:val="none" w:sz="0" w:space="0" w:color="auto"/>
          </w:divBdr>
        </w:div>
        <w:div w:id="279921362">
          <w:marLeft w:val="0"/>
          <w:marRight w:val="0"/>
          <w:marTop w:val="0"/>
          <w:marBottom w:val="0"/>
          <w:divBdr>
            <w:top w:val="none" w:sz="0" w:space="0" w:color="auto"/>
            <w:left w:val="none" w:sz="0" w:space="0" w:color="auto"/>
            <w:bottom w:val="none" w:sz="0" w:space="0" w:color="auto"/>
            <w:right w:val="none" w:sz="0" w:space="0" w:color="auto"/>
          </w:divBdr>
        </w:div>
        <w:div w:id="293607908">
          <w:marLeft w:val="0"/>
          <w:marRight w:val="0"/>
          <w:marTop w:val="0"/>
          <w:marBottom w:val="0"/>
          <w:divBdr>
            <w:top w:val="none" w:sz="0" w:space="0" w:color="auto"/>
            <w:left w:val="none" w:sz="0" w:space="0" w:color="auto"/>
            <w:bottom w:val="none" w:sz="0" w:space="0" w:color="auto"/>
            <w:right w:val="none" w:sz="0" w:space="0" w:color="auto"/>
          </w:divBdr>
        </w:div>
        <w:div w:id="298386635">
          <w:marLeft w:val="0"/>
          <w:marRight w:val="0"/>
          <w:marTop w:val="0"/>
          <w:marBottom w:val="0"/>
          <w:divBdr>
            <w:top w:val="none" w:sz="0" w:space="0" w:color="auto"/>
            <w:left w:val="none" w:sz="0" w:space="0" w:color="auto"/>
            <w:bottom w:val="none" w:sz="0" w:space="0" w:color="auto"/>
            <w:right w:val="none" w:sz="0" w:space="0" w:color="auto"/>
          </w:divBdr>
        </w:div>
        <w:div w:id="314720795">
          <w:marLeft w:val="0"/>
          <w:marRight w:val="0"/>
          <w:marTop w:val="0"/>
          <w:marBottom w:val="0"/>
          <w:divBdr>
            <w:top w:val="none" w:sz="0" w:space="0" w:color="auto"/>
            <w:left w:val="none" w:sz="0" w:space="0" w:color="auto"/>
            <w:bottom w:val="none" w:sz="0" w:space="0" w:color="auto"/>
            <w:right w:val="none" w:sz="0" w:space="0" w:color="auto"/>
          </w:divBdr>
        </w:div>
        <w:div w:id="324171715">
          <w:marLeft w:val="0"/>
          <w:marRight w:val="0"/>
          <w:marTop w:val="0"/>
          <w:marBottom w:val="0"/>
          <w:divBdr>
            <w:top w:val="none" w:sz="0" w:space="0" w:color="auto"/>
            <w:left w:val="none" w:sz="0" w:space="0" w:color="auto"/>
            <w:bottom w:val="none" w:sz="0" w:space="0" w:color="auto"/>
            <w:right w:val="none" w:sz="0" w:space="0" w:color="auto"/>
          </w:divBdr>
        </w:div>
        <w:div w:id="332805516">
          <w:marLeft w:val="0"/>
          <w:marRight w:val="0"/>
          <w:marTop w:val="0"/>
          <w:marBottom w:val="0"/>
          <w:divBdr>
            <w:top w:val="none" w:sz="0" w:space="0" w:color="auto"/>
            <w:left w:val="none" w:sz="0" w:space="0" w:color="auto"/>
            <w:bottom w:val="none" w:sz="0" w:space="0" w:color="auto"/>
            <w:right w:val="none" w:sz="0" w:space="0" w:color="auto"/>
          </w:divBdr>
        </w:div>
        <w:div w:id="333647491">
          <w:marLeft w:val="0"/>
          <w:marRight w:val="0"/>
          <w:marTop w:val="0"/>
          <w:marBottom w:val="0"/>
          <w:divBdr>
            <w:top w:val="none" w:sz="0" w:space="0" w:color="auto"/>
            <w:left w:val="none" w:sz="0" w:space="0" w:color="auto"/>
            <w:bottom w:val="none" w:sz="0" w:space="0" w:color="auto"/>
            <w:right w:val="none" w:sz="0" w:space="0" w:color="auto"/>
          </w:divBdr>
        </w:div>
        <w:div w:id="356276428">
          <w:marLeft w:val="0"/>
          <w:marRight w:val="0"/>
          <w:marTop w:val="0"/>
          <w:marBottom w:val="0"/>
          <w:divBdr>
            <w:top w:val="none" w:sz="0" w:space="0" w:color="auto"/>
            <w:left w:val="none" w:sz="0" w:space="0" w:color="auto"/>
            <w:bottom w:val="none" w:sz="0" w:space="0" w:color="auto"/>
            <w:right w:val="none" w:sz="0" w:space="0" w:color="auto"/>
          </w:divBdr>
        </w:div>
        <w:div w:id="368916090">
          <w:marLeft w:val="0"/>
          <w:marRight w:val="0"/>
          <w:marTop w:val="0"/>
          <w:marBottom w:val="0"/>
          <w:divBdr>
            <w:top w:val="none" w:sz="0" w:space="0" w:color="auto"/>
            <w:left w:val="none" w:sz="0" w:space="0" w:color="auto"/>
            <w:bottom w:val="none" w:sz="0" w:space="0" w:color="auto"/>
            <w:right w:val="none" w:sz="0" w:space="0" w:color="auto"/>
          </w:divBdr>
        </w:div>
        <w:div w:id="369113133">
          <w:marLeft w:val="0"/>
          <w:marRight w:val="0"/>
          <w:marTop w:val="0"/>
          <w:marBottom w:val="0"/>
          <w:divBdr>
            <w:top w:val="none" w:sz="0" w:space="0" w:color="auto"/>
            <w:left w:val="none" w:sz="0" w:space="0" w:color="auto"/>
            <w:bottom w:val="none" w:sz="0" w:space="0" w:color="auto"/>
            <w:right w:val="none" w:sz="0" w:space="0" w:color="auto"/>
          </w:divBdr>
        </w:div>
        <w:div w:id="377777606">
          <w:marLeft w:val="0"/>
          <w:marRight w:val="0"/>
          <w:marTop w:val="0"/>
          <w:marBottom w:val="0"/>
          <w:divBdr>
            <w:top w:val="none" w:sz="0" w:space="0" w:color="auto"/>
            <w:left w:val="none" w:sz="0" w:space="0" w:color="auto"/>
            <w:bottom w:val="none" w:sz="0" w:space="0" w:color="auto"/>
            <w:right w:val="none" w:sz="0" w:space="0" w:color="auto"/>
          </w:divBdr>
        </w:div>
        <w:div w:id="385568864">
          <w:marLeft w:val="0"/>
          <w:marRight w:val="0"/>
          <w:marTop w:val="0"/>
          <w:marBottom w:val="0"/>
          <w:divBdr>
            <w:top w:val="none" w:sz="0" w:space="0" w:color="auto"/>
            <w:left w:val="none" w:sz="0" w:space="0" w:color="auto"/>
            <w:bottom w:val="none" w:sz="0" w:space="0" w:color="auto"/>
            <w:right w:val="none" w:sz="0" w:space="0" w:color="auto"/>
          </w:divBdr>
        </w:div>
        <w:div w:id="405348223">
          <w:marLeft w:val="0"/>
          <w:marRight w:val="0"/>
          <w:marTop w:val="0"/>
          <w:marBottom w:val="0"/>
          <w:divBdr>
            <w:top w:val="none" w:sz="0" w:space="0" w:color="auto"/>
            <w:left w:val="none" w:sz="0" w:space="0" w:color="auto"/>
            <w:bottom w:val="none" w:sz="0" w:space="0" w:color="auto"/>
            <w:right w:val="none" w:sz="0" w:space="0" w:color="auto"/>
          </w:divBdr>
        </w:div>
        <w:div w:id="411464963">
          <w:marLeft w:val="0"/>
          <w:marRight w:val="0"/>
          <w:marTop w:val="0"/>
          <w:marBottom w:val="0"/>
          <w:divBdr>
            <w:top w:val="none" w:sz="0" w:space="0" w:color="auto"/>
            <w:left w:val="none" w:sz="0" w:space="0" w:color="auto"/>
            <w:bottom w:val="none" w:sz="0" w:space="0" w:color="auto"/>
            <w:right w:val="none" w:sz="0" w:space="0" w:color="auto"/>
          </w:divBdr>
        </w:div>
        <w:div w:id="417486899">
          <w:marLeft w:val="0"/>
          <w:marRight w:val="0"/>
          <w:marTop w:val="0"/>
          <w:marBottom w:val="0"/>
          <w:divBdr>
            <w:top w:val="none" w:sz="0" w:space="0" w:color="auto"/>
            <w:left w:val="none" w:sz="0" w:space="0" w:color="auto"/>
            <w:bottom w:val="none" w:sz="0" w:space="0" w:color="auto"/>
            <w:right w:val="none" w:sz="0" w:space="0" w:color="auto"/>
          </w:divBdr>
        </w:div>
        <w:div w:id="417676439">
          <w:marLeft w:val="0"/>
          <w:marRight w:val="0"/>
          <w:marTop w:val="0"/>
          <w:marBottom w:val="0"/>
          <w:divBdr>
            <w:top w:val="none" w:sz="0" w:space="0" w:color="auto"/>
            <w:left w:val="none" w:sz="0" w:space="0" w:color="auto"/>
            <w:bottom w:val="none" w:sz="0" w:space="0" w:color="auto"/>
            <w:right w:val="none" w:sz="0" w:space="0" w:color="auto"/>
          </w:divBdr>
        </w:div>
        <w:div w:id="435639013">
          <w:marLeft w:val="0"/>
          <w:marRight w:val="0"/>
          <w:marTop w:val="0"/>
          <w:marBottom w:val="0"/>
          <w:divBdr>
            <w:top w:val="none" w:sz="0" w:space="0" w:color="auto"/>
            <w:left w:val="none" w:sz="0" w:space="0" w:color="auto"/>
            <w:bottom w:val="none" w:sz="0" w:space="0" w:color="auto"/>
            <w:right w:val="none" w:sz="0" w:space="0" w:color="auto"/>
          </w:divBdr>
        </w:div>
        <w:div w:id="465323122">
          <w:marLeft w:val="0"/>
          <w:marRight w:val="0"/>
          <w:marTop w:val="0"/>
          <w:marBottom w:val="0"/>
          <w:divBdr>
            <w:top w:val="none" w:sz="0" w:space="0" w:color="auto"/>
            <w:left w:val="none" w:sz="0" w:space="0" w:color="auto"/>
            <w:bottom w:val="none" w:sz="0" w:space="0" w:color="auto"/>
            <w:right w:val="none" w:sz="0" w:space="0" w:color="auto"/>
          </w:divBdr>
        </w:div>
        <w:div w:id="467747969">
          <w:marLeft w:val="0"/>
          <w:marRight w:val="0"/>
          <w:marTop w:val="0"/>
          <w:marBottom w:val="0"/>
          <w:divBdr>
            <w:top w:val="none" w:sz="0" w:space="0" w:color="auto"/>
            <w:left w:val="none" w:sz="0" w:space="0" w:color="auto"/>
            <w:bottom w:val="none" w:sz="0" w:space="0" w:color="auto"/>
            <w:right w:val="none" w:sz="0" w:space="0" w:color="auto"/>
          </w:divBdr>
        </w:div>
        <w:div w:id="476650151">
          <w:marLeft w:val="0"/>
          <w:marRight w:val="0"/>
          <w:marTop w:val="0"/>
          <w:marBottom w:val="0"/>
          <w:divBdr>
            <w:top w:val="none" w:sz="0" w:space="0" w:color="auto"/>
            <w:left w:val="none" w:sz="0" w:space="0" w:color="auto"/>
            <w:bottom w:val="none" w:sz="0" w:space="0" w:color="auto"/>
            <w:right w:val="none" w:sz="0" w:space="0" w:color="auto"/>
          </w:divBdr>
        </w:div>
        <w:div w:id="490603329">
          <w:marLeft w:val="0"/>
          <w:marRight w:val="0"/>
          <w:marTop w:val="0"/>
          <w:marBottom w:val="0"/>
          <w:divBdr>
            <w:top w:val="none" w:sz="0" w:space="0" w:color="auto"/>
            <w:left w:val="none" w:sz="0" w:space="0" w:color="auto"/>
            <w:bottom w:val="none" w:sz="0" w:space="0" w:color="auto"/>
            <w:right w:val="none" w:sz="0" w:space="0" w:color="auto"/>
          </w:divBdr>
        </w:div>
        <w:div w:id="502167705">
          <w:marLeft w:val="-75"/>
          <w:marRight w:val="0"/>
          <w:marTop w:val="30"/>
          <w:marBottom w:val="30"/>
          <w:divBdr>
            <w:top w:val="none" w:sz="0" w:space="0" w:color="auto"/>
            <w:left w:val="none" w:sz="0" w:space="0" w:color="auto"/>
            <w:bottom w:val="none" w:sz="0" w:space="0" w:color="auto"/>
            <w:right w:val="none" w:sz="0" w:space="0" w:color="auto"/>
          </w:divBdr>
          <w:divsChild>
            <w:div w:id="319577434">
              <w:marLeft w:val="0"/>
              <w:marRight w:val="0"/>
              <w:marTop w:val="0"/>
              <w:marBottom w:val="0"/>
              <w:divBdr>
                <w:top w:val="none" w:sz="0" w:space="0" w:color="auto"/>
                <w:left w:val="none" w:sz="0" w:space="0" w:color="auto"/>
                <w:bottom w:val="none" w:sz="0" w:space="0" w:color="auto"/>
                <w:right w:val="none" w:sz="0" w:space="0" w:color="auto"/>
              </w:divBdr>
              <w:divsChild>
                <w:div w:id="132019070">
                  <w:marLeft w:val="0"/>
                  <w:marRight w:val="0"/>
                  <w:marTop w:val="0"/>
                  <w:marBottom w:val="0"/>
                  <w:divBdr>
                    <w:top w:val="none" w:sz="0" w:space="0" w:color="auto"/>
                    <w:left w:val="none" w:sz="0" w:space="0" w:color="auto"/>
                    <w:bottom w:val="none" w:sz="0" w:space="0" w:color="auto"/>
                    <w:right w:val="none" w:sz="0" w:space="0" w:color="auto"/>
                  </w:divBdr>
                </w:div>
                <w:div w:id="636030193">
                  <w:marLeft w:val="0"/>
                  <w:marRight w:val="0"/>
                  <w:marTop w:val="0"/>
                  <w:marBottom w:val="0"/>
                  <w:divBdr>
                    <w:top w:val="none" w:sz="0" w:space="0" w:color="auto"/>
                    <w:left w:val="none" w:sz="0" w:space="0" w:color="auto"/>
                    <w:bottom w:val="none" w:sz="0" w:space="0" w:color="auto"/>
                    <w:right w:val="none" w:sz="0" w:space="0" w:color="auto"/>
                  </w:divBdr>
                </w:div>
                <w:div w:id="747725205">
                  <w:marLeft w:val="0"/>
                  <w:marRight w:val="0"/>
                  <w:marTop w:val="0"/>
                  <w:marBottom w:val="0"/>
                  <w:divBdr>
                    <w:top w:val="none" w:sz="0" w:space="0" w:color="auto"/>
                    <w:left w:val="none" w:sz="0" w:space="0" w:color="auto"/>
                    <w:bottom w:val="none" w:sz="0" w:space="0" w:color="auto"/>
                    <w:right w:val="none" w:sz="0" w:space="0" w:color="auto"/>
                  </w:divBdr>
                </w:div>
                <w:div w:id="1249775031">
                  <w:marLeft w:val="0"/>
                  <w:marRight w:val="0"/>
                  <w:marTop w:val="0"/>
                  <w:marBottom w:val="0"/>
                  <w:divBdr>
                    <w:top w:val="none" w:sz="0" w:space="0" w:color="auto"/>
                    <w:left w:val="none" w:sz="0" w:space="0" w:color="auto"/>
                    <w:bottom w:val="none" w:sz="0" w:space="0" w:color="auto"/>
                    <w:right w:val="none" w:sz="0" w:space="0" w:color="auto"/>
                  </w:divBdr>
                </w:div>
                <w:div w:id="1636914332">
                  <w:marLeft w:val="0"/>
                  <w:marRight w:val="0"/>
                  <w:marTop w:val="0"/>
                  <w:marBottom w:val="0"/>
                  <w:divBdr>
                    <w:top w:val="none" w:sz="0" w:space="0" w:color="auto"/>
                    <w:left w:val="none" w:sz="0" w:space="0" w:color="auto"/>
                    <w:bottom w:val="none" w:sz="0" w:space="0" w:color="auto"/>
                    <w:right w:val="none" w:sz="0" w:space="0" w:color="auto"/>
                  </w:divBdr>
                </w:div>
                <w:div w:id="1946882113">
                  <w:marLeft w:val="0"/>
                  <w:marRight w:val="0"/>
                  <w:marTop w:val="0"/>
                  <w:marBottom w:val="0"/>
                  <w:divBdr>
                    <w:top w:val="none" w:sz="0" w:space="0" w:color="auto"/>
                    <w:left w:val="none" w:sz="0" w:space="0" w:color="auto"/>
                    <w:bottom w:val="none" w:sz="0" w:space="0" w:color="auto"/>
                    <w:right w:val="none" w:sz="0" w:space="0" w:color="auto"/>
                  </w:divBdr>
                </w:div>
              </w:divsChild>
            </w:div>
            <w:div w:id="431978211">
              <w:marLeft w:val="0"/>
              <w:marRight w:val="0"/>
              <w:marTop w:val="0"/>
              <w:marBottom w:val="0"/>
              <w:divBdr>
                <w:top w:val="none" w:sz="0" w:space="0" w:color="auto"/>
                <w:left w:val="none" w:sz="0" w:space="0" w:color="auto"/>
                <w:bottom w:val="none" w:sz="0" w:space="0" w:color="auto"/>
                <w:right w:val="none" w:sz="0" w:space="0" w:color="auto"/>
              </w:divBdr>
              <w:divsChild>
                <w:div w:id="46148295">
                  <w:marLeft w:val="0"/>
                  <w:marRight w:val="0"/>
                  <w:marTop w:val="0"/>
                  <w:marBottom w:val="0"/>
                  <w:divBdr>
                    <w:top w:val="none" w:sz="0" w:space="0" w:color="auto"/>
                    <w:left w:val="none" w:sz="0" w:space="0" w:color="auto"/>
                    <w:bottom w:val="none" w:sz="0" w:space="0" w:color="auto"/>
                    <w:right w:val="none" w:sz="0" w:space="0" w:color="auto"/>
                  </w:divBdr>
                </w:div>
                <w:div w:id="82798479">
                  <w:marLeft w:val="0"/>
                  <w:marRight w:val="0"/>
                  <w:marTop w:val="0"/>
                  <w:marBottom w:val="0"/>
                  <w:divBdr>
                    <w:top w:val="none" w:sz="0" w:space="0" w:color="auto"/>
                    <w:left w:val="none" w:sz="0" w:space="0" w:color="auto"/>
                    <w:bottom w:val="none" w:sz="0" w:space="0" w:color="auto"/>
                    <w:right w:val="none" w:sz="0" w:space="0" w:color="auto"/>
                  </w:divBdr>
                </w:div>
                <w:div w:id="575944402">
                  <w:marLeft w:val="0"/>
                  <w:marRight w:val="0"/>
                  <w:marTop w:val="0"/>
                  <w:marBottom w:val="0"/>
                  <w:divBdr>
                    <w:top w:val="none" w:sz="0" w:space="0" w:color="auto"/>
                    <w:left w:val="none" w:sz="0" w:space="0" w:color="auto"/>
                    <w:bottom w:val="none" w:sz="0" w:space="0" w:color="auto"/>
                    <w:right w:val="none" w:sz="0" w:space="0" w:color="auto"/>
                  </w:divBdr>
                </w:div>
                <w:div w:id="601304229">
                  <w:marLeft w:val="0"/>
                  <w:marRight w:val="0"/>
                  <w:marTop w:val="0"/>
                  <w:marBottom w:val="0"/>
                  <w:divBdr>
                    <w:top w:val="none" w:sz="0" w:space="0" w:color="auto"/>
                    <w:left w:val="none" w:sz="0" w:space="0" w:color="auto"/>
                    <w:bottom w:val="none" w:sz="0" w:space="0" w:color="auto"/>
                    <w:right w:val="none" w:sz="0" w:space="0" w:color="auto"/>
                  </w:divBdr>
                </w:div>
                <w:div w:id="1262882414">
                  <w:marLeft w:val="0"/>
                  <w:marRight w:val="0"/>
                  <w:marTop w:val="0"/>
                  <w:marBottom w:val="0"/>
                  <w:divBdr>
                    <w:top w:val="none" w:sz="0" w:space="0" w:color="auto"/>
                    <w:left w:val="none" w:sz="0" w:space="0" w:color="auto"/>
                    <w:bottom w:val="none" w:sz="0" w:space="0" w:color="auto"/>
                    <w:right w:val="none" w:sz="0" w:space="0" w:color="auto"/>
                  </w:divBdr>
                </w:div>
                <w:div w:id="1469782591">
                  <w:marLeft w:val="0"/>
                  <w:marRight w:val="0"/>
                  <w:marTop w:val="0"/>
                  <w:marBottom w:val="0"/>
                  <w:divBdr>
                    <w:top w:val="none" w:sz="0" w:space="0" w:color="auto"/>
                    <w:left w:val="none" w:sz="0" w:space="0" w:color="auto"/>
                    <w:bottom w:val="none" w:sz="0" w:space="0" w:color="auto"/>
                    <w:right w:val="none" w:sz="0" w:space="0" w:color="auto"/>
                  </w:divBdr>
                </w:div>
              </w:divsChild>
            </w:div>
            <w:div w:id="484399884">
              <w:marLeft w:val="0"/>
              <w:marRight w:val="0"/>
              <w:marTop w:val="0"/>
              <w:marBottom w:val="0"/>
              <w:divBdr>
                <w:top w:val="none" w:sz="0" w:space="0" w:color="auto"/>
                <w:left w:val="none" w:sz="0" w:space="0" w:color="auto"/>
                <w:bottom w:val="none" w:sz="0" w:space="0" w:color="auto"/>
                <w:right w:val="none" w:sz="0" w:space="0" w:color="auto"/>
              </w:divBdr>
              <w:divsChild>
                <w:div w:id="154806903">
                  <w:marLeft w:val="0"/>
                  <w:marRight w:val="0"/>
                  <w:marTop w:val="0"/>
                  <w:marBottom w:val="0"/>
                  <w:divBdr>
                    <w:top w:val="none" w:sz="0" w:space="0" w:color="auto"/>
                    <w:left w:val="none" w:sz="0" w:space="0" w:color="auto"/>
                    <w:bottom w:val="none" w:sz="0" w:space="0" w:color="auto"/>
                    <w:right w:val="none" w:sz="0" w:space="0" w:color="auto"/>
                  </w:divBdr>
                </w:div>
                <w:div w:id="406803847">
                  <w:marLeft w:val="0"/>
                  <w:marRight w:val="0"/>
                  <w:marTop w:val="0"/>
                  <w:marBottom w:val="0"/>
                  <w:divBdr>
                    <w:top w:val="none" w:sz="0" w:space="0" w:color="auto"/>
                    <w:left w:val="none" w:sz="0" w:space="0" w:color="auto"/>
                    <w:bottom w:val="none" w:sz="0" w:space="0" w:color="auto"/>
                    <w:right w:val="none" w:sz="0" w:space="0" w:color="auto"/>
                  </w:divBdr>
                </w:div>
                <w:div w:id="818619991">
                  <w:marLeft w:val="0"/>
                  <w:marRight w:val="0"/>
                  <w:marTop w:val="0"/>
                  <w:marBottom w:val="0"/>
                  <w:divBdr>
                    <w:top w:val="none" w:sz="0" w:space="0" w:color="auto"/>
                    <w:left w:val="none" w:sz="0" w:space="0" w:color="auto"/>
                    <w:bottom w:val="none" w:sz="0" w:space="0" w:color="auto"/>
                    <w:right w:val="none" w:sz="0" w:space="0" w:color="auto"/>
                  </w:divBdr>
                </w:div>
                <w:div w:id="16850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8756">
          <w:marLeft w:val="0"/>
          <w:marRight w:val="0"/>
          <w:marTop w:val="0"/>
          <w:marBottom w:val="0"/>
          <w:divBdr>
            <w:top w:val="none" w:sz="0" w:space="0" w:color="auto"/>
            <w:left w:val="none" w:sz="0" w:space="0" w:color="auto"/>
            <w:bottom w:val="none" w:sz="0" w:space="0" w:color="auto"/>
            <w:right w:val="none" w:sz="0" w:space="0" w:color="auto"/>
          </w:divBdr>
        </w:div>
        <w:div w:id="525409320">
          <w:marLeft w:val="0"/>
          <w:marRight w:val="0"/>
          <w:marTop w:val="0"/>
          <w:marBottom w:val="0"/>
          <w:divBdr>
            <w:top w:val="none" w:sz="0" w:space="0" w:color="auto"/>
            <w:left w:val="none" w:sz="0" w:space="0" w:color="auto"/>
            <w:bottom w:val="none" w:sz="0" w:space="0" w:color="auto"/>
            <w:right w:val="none" w:sz="0" w:space="0" w:color="auto"/>
          </w:divBdr>
        </w:div>
        <w:div w:id="527378029">
          <w:marLeft w:val="0"/>
          <w:marRight w:val="0"/>
          <w:marTop w:val="0"/>
          <w:marBottom w:val="0"/>
          <w:divBdr>
            <w:top w:val="none" w:sz="0" w:space="0" w:color="auto"/>
            <w:left w:val="none" w:sz="0" w:space="0" w:color="auto"/>
            <w:bottom w:val="none" w:sz="0" w:space="0" w:color="auto"/>
            <w:right w:val="none" w:sz="0" w:space="0" w:color="auto"/>
          </w:divBdr>
        </w:div>
        <w:div w:id="537815050">
          <w:marLeft w:val="0"/>
          <w:marRight w:val="0"/>
          <w:marTop w:val="0"/>
          <w:marBottom w:val="0"/>
          <w:divBdr>
            <w:top w:val="none" w:sz="0" w:space="0" w:color="auto"/>
            <w:left w:val="none" w:sz="0" w:space="0" w:color="auto"/>
            <w:bottom w:val="none" w:sz="0" w:space="0" w:color="auto"/>
            <w:right w:val="none" w:sz="0" w:space="0" w:color="auto"/>
          </w:divBdr>
        </w:div>
        <w:div w:id="545607283">
          <w:marLeft w:val="0"/>
          <w:marRight w:val="0"/>
          <w:marTop w:val="0"/>
          <w:marBottom w:val="0"/>
          <w:divBdr>
            <w:top w:val="none" w:sz="0" w:space="0" w:color="auto"/>
            <w:left w:val="none" w:sz="0" w:space="0" w:color="auto"/>
            <w:bottom w:val="none" w:sz="0" w:space="0" w:color="auto"/>
            <w:right w:val="none" w:sz="0" w:space="0" w:color="auto"/>
          </w:divBdr>
        </w:div>
        <w:div w:id="560141218">
          <w:marLeft w:val="0"/>
          <w:marRight w:val="0"/>
          <w:marTop w:val="0"/>
          <w:marBottom w:val="0"/>
          <w:divBdr>
            <w:top w:val="none" w:sz="0" w:space="0" w:color="auto"/>
            <w:left w:val="none" w:sz="0" w:space="0" w:color="auto"/>
            <w:bottom w:val="none" w:sz="0" w:space="0" w:color="auto"/>
            <w:right w:val="none" w:sz="0" w:space="0" w:color="auto"/>
          </w:divBdr>
        </w:div>
        <w:div w:id="574246589">
          <w:marLeft w:val="0"/>
          <w:marRight w:val="0"/>
          <w:marTop w:val="0"/>
          <w:marBottom w:val="0"/>
          <w:divBdr>
            <w:top w:val="none" w:sz="0" w:space="0" w:color="auto"/>
            <w:left w:val="none" w:sz="0" w:space="0" w:color="auto"/>
            <w:bottom w:val="none" w:sz="0" w:space="0" w:color="auto"/>
            <w:right w:val="none" w:sz="0" w:space="0" w:color="auto"/>
          </w:divBdr>
        </w:div>
        <w:div w:id="587272240">
          <w:marLeft w:val="0"/>
          <w:marRight w:val="0"/>
          <w:marTop w:val="0"/>
          <w:marBottom w:val="0"/>
          <w:divBdr>
            <w:top w:val="none" w:sz="0" w:space="0" w:color="auto"/>
            <w:left w:val="none" w:sz="0" w:space="0" w:color="auto"/>
            <w:bottom w:val="none" w:sz="0" w:space="0" w:color="auto"/>
            <w:right w:val="none" w:sz="0" w:space="0" w:color="auto"/>
          </w:divBdr>
        </w:div>
        <w:div w:id="599796149">
          <w:marLeft w:val="0"/>
          <w:marRight w:val="0"/>
          <w:marTop w:val="0"/>
          <w:marBottom w:val="0"/>
          <w:divBdr>
            <w:top w:val="none" w:sz="0" w:space="0" w:color="auto"/>
            <w:left w:val="none" w:sz="0" w:space="0" w:color="auto"/>
            <w:bottom w:val="none" w:sz="0" w:space="0" w:color="auto"/>
            <w:right w:val="none" w:sz="0" w:space="0" w:color="auto"/>
          </w:divBdr>
        </w:div>
        <w:div w:id="603458544">
          <w:marLeft w:val="0"/>
          <w:marRight w:val="0"/>
          <w:marTop w:val="0"/>
          <w:marBottom w:val="0"/>
          <w:divBdr>
            <w:top w:val="none" w:sz="0" w:space="0" w:color="auto"/>
            <w:left w:val="none" w:sz="0" w:space="0" w:color="auto"/>
            <w:bottom w:val="none" w:sz="0" w:space="0" w:color="auto"/>
            <w:right w:val="none" w:sz="0" w:space="0" w:color="auto"/>
          </w:divBdr>
        </w:div>
        <w:div w:id="607078839">
          <w:marLeft w:val="0"/>
          <w:marRight w:val="0"/>
          <w:marTop w:val="0"/>
          <w:marBottom w:val="0"/>
          <w:divBdr>
            <w:top w:val="none" w:sz="0" w:space="0" w:color="auto"/>
            <w:left w:val="none" w:sz="0" w:space="0" w:color="auto"/>
            <w:bottom w:val="none" w:sz="0" w:space="0" w:color="auto"/>
            <w:right w:val="none" w:sz="0" w:space="0" w:color="auto"/>
          </w:divBdr>
        </w:div>
        <w:div w:id="609163960">
          <w:marLeft w:val="0"/>
          <w:marRight w:val="0"/>
          <w:marTop w:val="0"/>
          <w:marBottom w:val="0"/>
          <w:divBdr>
            <w:top w:val="none" w:sz="0" w:space="0" w:color="auto"/>
            <w:left w:val="none" w:sz="0" w:space="0" w:color="auto"/>
            <w:bottom w:val="none" w:sz="0" w:space="0" w:color="auto"/>
            <w:right w:val="none" w:sz="0" w:space="0" w:color="auto"/>
          </w:divBdr>
        </w:div>
        <w:div w:id="632947419">
          <w:marLeft w:val="0"/>
          <w:marRight w:val="0"/>
          <w:marTop w:val="0"/>
          <w:marBottom w:val="0"/>
          <w:divBdr>
            <w:top w:val="none" w:sz="0" w:space="0" w:color="auto"/>
            <w:left w:val="none" w:sz="0" w:space="0" w:color="auto"/>
            <w:bottom w:val="none" w:sz="0" w:space="0" w:color="auto"/>
            <w:right w:val="none" w:sz="0" w:space="0" w:color="auto"/>
          </w:divBdr>
        </w:div>
        <w:div w:id="633827536">
          <w:marLeft w:val="0"/>
          <w:marRight w:val="0"/>
          <w:marTop w:val="0"/>
          <w:marBottom w:val="0"/>
          <w:divBdr>
            <w:top w:val="none" w:sz="0" w:space="0" w:color="auto"/>
            <w:left w:val="none" w:sz="0" w:space="0" w:color="auto"/>
            <w:bottom w:val="none" w:sz="0" w:space="0" w:color="auto"/>
            <w:right w:val="none" w:sz="0" w:space="0" w:color="auto"/>
          </w:divBdr>
        </w:div>
        <w:div w:id="635188474">
          <w:marLeft w:val="0"/>
          <w:marRight w:val="0"/>
          <w:marTop w:val="0"/>
          <w:marBottom w:val="0"/>
          <w:divBdr>
            <w:top w:val="none" w:sz="0" w:space="0" w:color="auto"/>
            <w:left w:val="none" w:sz="0" w:space="0" w:color="auto"/>
            <w:bottom w:val="none" w:sz="0" w:space="0" w:color="auto"/>
            <w:right w:val="none" w:sz="0" w:space="0" w:color="auto"/>
          </w:divBdr>
        </w:div>
        <w:div w:id="639500674">
          <w:marLeft w:val="0"/>
          <w:marRight w:val="0"/>
          <w:marTop w:val="0"/>
          <w:marBottom w:val="0"/>
          <w:divBdr>
            <w:top w:val="none" w:sz="0" w:space="0" w:color="auto"/>
            <w:left w:val="none" w:sz="0" w:space="0" w:color="auto"/>
            <w:bottom w:val="none" w:sz="0" w:space="0" w:color="auto"/>
            <w:right w:val="none" w:sz="0" w:space="0" w:color="auto"/>
          </w:divBdr>
        </w:div>
        <w:div w:id="649674771">
          <w:marLeft w:val="0"/>
          <w:marRight w:val="0"/>
          <w:marTop w:val="0"/>
          <w:marBottom w:val="0"/>
          <w:divBdr>
            <w:top w:val="none" w:sz="0" w:space="0" w:color="auto"/>
            <w:left w:val="none" w:sz="0" w:space="0" w:color="auto"/>
            <w:bottom w:val="none" w:sz="0" w:space="0" w:color="auto"/>
            <w:right w:val="none" w:sz="0" w:space="0" w:color="auto"/>
          </w:divBdr>
        </w:div>
        <w:div w:id="656147449">
          <w:marLeft w:val="0"/>
          <w:marRight w:val="0"/>
          <w:marTop w:val="0"/>
          <w:marBottom w:val="0"/>
          <w:divBdr>
            <w:top w:val="none" w:sz="0" w:space="0" w:color="auto"/>
            <w:left w:val="none" w:sz="0" w:space="0" w:color="auto"/>
            <w:bottom w:val="none" w:sz="0" w:space="0" w:color="auto"/>
            <w:right w:val="none" w:sz="0" w:space="0" w:color="auto"/>
          </w:divBdr>
        </w:div>
        <w:div w:id="656688028">
          <w:marLeft w:val="0"/>
          <w:marRight w:val="0"/>
          <w:marTop w:val="0"/>
          <w:marBottom w:val="0"/>
          <w:divBdr>
            <w:top w:val="none" w:sz="0" w:space="0" w:color="auto"/>
            <w:left w:val="none" w:sz="0" w:space="0" w:color="auto"/>
            <w:bottom w:val="none" w:sz="0" w:space="0" w:color="auto"/>
            <w:right w:val="none" w:sz="0" w:space="0" w:color="auto"/>
          </w:divBdr>
        </w:div>
        <w:div w:id="659425253">
          <w:marLeft w:val="0"/>
          <w:marRight w:val="0"/>
          <w:marTop w:val="0"/>
          <w:marBottom w:val="0"/>
          <w:divBdr>
            <w:top w:val="none" w:sz="0" w:space="0" w:color="auto"/>
            <w:left w:val="none" w:sz="0" w:space="0" w:color="auto"/>
            <w:bottom w:val="none" w:sz="0" w:space="0" w:color="auto"/>
            <w:right w:val="none" w:sz="0" w:space="0" w:color="auto"/>
          </w:divBdr>
        </w:div>
        <w:div w:id="667515094">
          <w:marLeft w:val="0"/>
          <w:marRight w:val="0"/>
          <w:marTop w:val="0"/>
          <w:marBottom w:val="0"/>
          <w:divBdr>
            <w:top w:val="none" w:sz="0" w:space="0" w:color="auto"/>
            <w:left w:val="none" w:sz="0" w:space="0" w:color="auto"/>
            <w:bottom w:val="none" w:sz="0" w:space="0" w:color="auto"/>
            <w:right w:val="none" w:sz="0" w:space="0" w:color="auto"/>
          </w:divBdr>
        </w:div>
        <w:div w:id="672612778">
          <w:marLeft w:val="0"/>
          <w:marRight w:val="0"/>
          <w:marTop w:val="0"/>
          <w:marBottom w:val="0"/>
          <w:divBdr>
            <w:top w:val="none" w:sz="0" w:space="0" w:color="auto"/>
            <w:left w:val="none" w:sz="0" w:space="0" w:color="auto"/>
            <w:bottom w:val="none" w:sz="0" w:space="0" w:color="auto"/>
            <w:right w:val="none" w:sz="0" w:space="0" w:color="auto"/>
          </w:divBdr>
        </w:div>
        <w:div w:id="676156534">
          <w:marLeft w:val="0"/>
          <w:marRight w:val="0"/>
          <w:marTop w:val="0"/>
          <w:marBottom w:val="0"/>
          <w:divBdr>
            <w:top w:val="none" w:sz="0" w:space="0" w:color="auto"/>
            <w:left w:val="none" w:sz="0" w:space="0" w:color="auto"/>
            <w:bottom w:val="none" w:sz="0" w:space="0" w:color="auto"/>
            <w:right w:val="none" w:sz="0" w:space="0" w:color="auto"/>
          </w:divBdr>
        </w:div>
        <w:div w:id="720665455">
          <w:marLeft w:val="0"/>
          <w:marRight w:val="0"/>
          <w:marTop w:val="0"/>
          <w:marBottom w:val="0"/>
          <w:divBdr>
            <w:top w:val="none" w:sz="0" w:space="0" w:color="auto"/>
            <w:left w:val="none" w:sz="0" w:space="0" w:color="auto"/>
            <w:bottom w:val="none" w:sz="0" w:space="0" w:color="auto"/>
            <w:right w:val="none" w:sz="0" w:space="0" w:color="auto"/>
          </w:divBdr>
        </w:div>
        <w:div w:id="749890303">
          <w:marLeft w:val="0"/>
          <w:marRight w:val="0"/>
          <w:marTop w:val="0"/>
          <w:marBottom w:val="0"/>
          <w:divBdr>
            <w:top w:val="none" w:sz="0" w:space="0" w:color="auto"/>
            <w:left w:val="none" w:sz="0" w:space="0" w:color="auto"/>
            <w:bottom w:val="none" w:sz="0" w:space="0" w:color="auto"/>
            <w:right w:val="none" w:sz="0" w:space="0" w:color="auto"/>
          </w:divBdr>
        </w:div>
        <w:div w:id="769546886">
          <w:marLeft w:val="0"/>
          <w:marRight w:val="0"/>
          <w:marTop w:val="0"/>
          <w:marBottom w:val="0"/>
          <w:divBdr>
            <w:top w:val="none" w:sz="0" w:space="0" w:color="auto"/>
            <w:left w:val="none" w:sz="0" w:space="0" w:color="auto"/>
            <w:bottom w:val="none" w:sz="0" w:space="0" w:color="auto"/>
            <w:right w:val="none" w:sz="0" w:space="0" w:color="auto"/>
          </w:divBdr>
        </w:div>
        <w:div w:id="779421768">
          <w:marLeft w:val="0"/>
          <w:marRight w:val="0"/>
          <w:marTop w:val="0"/>
          <w:marBottom w:val="0"/>
          <w:divBdr>
            <w:top w:val="none" w:sz="0" w:space="0" w:color="auto"/>
            <w:left w:val="none" w:sz="0" w:space="0" w:color="auto"/>
            <w:bottom w:val="none" w:sz="0" w:space="0" w:color="auto"/>
            <w:right w:val="none" w:sz="0" w:space="0" w:color="auto"/>
          </w:divBdr>
        </w:div>
        <w:div w:id="779569241">
          <w:marLeft w:val="0"/>
          <w:marRight w:val="0"/>
          <w:marTop w:val="0"/>
          <w:marBottom w:val="0"/>
          <w:divBdr>
            <w:top w:val="none" w:sz="0" w:space="0" w:color="auto"/>
            <w:left w:val="none" w:sz="0" w:space="0" w:color="auto"/>
            <w:bottom w:val="none" w:sz="0" w:space="0" w:color="auto"/>
            <w:right w:val="none" w:sz="0" w:space="0" w:color="auto"/>
          </w:divBdr>
        </w:div>
        <w:div w:id="801004338">
          <w:marLeft w:val="0"/>
          <w:marRight w:val="0"/>
          <w:marTop w:val="0"/>
          <w:marBottom w:val="0"/>
          <w:divBdr>
            <w:top w:val="none" w:sz="0" w:space="0" w:color="auto"/>
            <w:left w:val="none" w:sz="0" w:space="0" w:color="auto"/>
            <w:bottom w:val="none" w:sz="0" w:space="0" w:color="auto"/>
            <w:right w:val="none" w:sz="0" w:space="0" w:color="auto"/>
          </w:divBdr>
        </w:div>
        <w:div w:id="819494622">
          <w:marLeft w:val="0"/>
          <w:marRight w:val="0"/>
          <w:marTop w:val="0"/>
          <w:marBottom w:val="0"/>
          <w:divBdr>
            <w:top w:val="none" w:sz="0" w:space="0" w:color="auto"/>
            <w:left w:val="none" w:sz="0" w:space="0" w:color="auto"/>
            <w:bottom w:val="none" w:sz="0" w:space="0" w:color="auto"/>
            <w:right w:val="none" w:sz="0" w:space="0" w:color="auto"/>
          </w:divBdr>
        </w:div>
        <w:div w:id="835612288">
          <w:marLeft w:val="0"/>
          <w:marRight w:val="0"/>
          <w:marTop w:val="0"/>
          <w:marBottom w:val="0"/>
          <w:divBdr>
            <w:top w:val="none" w:sz="0" w:space="0" w:color="auto"/>
            <w:left w:val="none" w:sz="0" w:space="0" w:color="auto"/>
            <w:bottom w:val="none" w:sz="0" w:space="0" w:color="auto"/>
            <w:right w:val="none" w:sz="0" w:space="0" w:color="auto"/>
          </w:divBdr>
        </w:div>
        <w:div w:id="837230461">
          <w:marLeft w:val="0"/>
          <w:marRight w:val="0"/>
          <w:marTop w:val="0"/>
          <w:marBottom w:val="0"/>
          <w:divBdr>
            <w:top w:val="none" w:sz="0" w:space="0" w:color="auto"/>
            <w:left w:val="none" w:sz="0" w:space="0" w:color="auto"/>
            <w:bottom w:val="none" w:sz="0" w:space="0" w:color="auto"/>
            <w:right w:val="none" w:sz="0" w:space="0" w:color="auto"/>
          </w:divBdr>
        </w:div>
        <w:div w:id="847525712">
          <w:marLeft w:val="0"/>
          <w:marRight w:val="0"/>
          <w:marTop w:val="0"/>
          <w:marBottom w:val="0"/>
          <w:divBdr>
            <w:top w:val="none" w:sz="0" w:space="0" w:color="auto"/>
            <w:left w:val="none" w:sz="0" w:space="0" w:color="auto"/>
            <w:bottom w:val="none" w:sz="0" w:space="0" w:color="auto"/>
            <w:right w:val="none" w:sz="0" w:space="0" w:color="auto"/>
          </w:divBdr>
        </w:div>
        <w:div w:id="858666554">
          <w:marLeft w:val="0"/>
          <w:marRight w:val="0"/>
          <w:marTop w:val="0"/>
          <w:marBottom w:val="0"/>
          <w:divBdr>
            <w:top w:val="none" w:sz="0" w:space="0" w:color="auto"/>
            <w:left w:val="none" w:sz="0" w:space="0" w:color="auto"/>
            <w:bottom w:val="none" w:sz="0" w:space="0" w:color="auto"/>
            <w:right w:val="none" w:sz="0" w:space="0" w:color="auto"/>
          </w:divBdr>
        </w:div>
        <w:div w:id="860316273">
          <w:marLeft w:val="0"/>
          <w:marRight w:val="0"/>
          <w:marTop w:val="0"/>
          <w:marBottom w:val="0"/>
          <w:divBdr>
            <w:top w:val="none" w:sz="0" w:space="0" w:color="auto"/>
            <w:left w:val="none" w:sz="0" w:space="0" w:color="auto"/>
            <w:bottom w:val="none" w:sz="0" w:space="0" w:color="auto"/>
            <w:right w:val="none" w:sz="0" w:space="0" w:color="auto"/>
          </w:divBdr>
        </w:div>
        <w:div w:id="868294569">
          <w:marLeft w:val="0"/>
          <w:marRight w:val="0"/>
          <w:marTop w:val="0"/>
          <w:marBottom w:val="0"/>
          <w:divBdr>
            <w:top w:val="none" w:sz="0" w:space="0" w:color="auto"/>
            <w:left w:val="none" w:sz="0" w:space="0" w:color="auto"/>
            <w:bottom w:val="none" w:sz="0" w:space="0" w:color="auto"/>
            <w:right w:val="none" w:sz="0" w:space="0" w:color="auto"/>
          </w:divBdr>
        </w:div>
        <w:div w:id="872696833">
          <w:marLeft w:val="0"/>
          <w:marRight w:val="0"/>
          <w:marTop w:val="0"/>
          <w:marBottom w:val="0"/>
          <w:divBdr>
            <w:top w:val="none" w:sz="0" w:space="0" w:color="auto"/>
            <w:left w:val="none" w:sz="0" w:space="0" w:color="auto"/>
            <w:bottom w:val="none" w:sz="0" w:space="0" w:color="auto"/>
            <w:right w:val="none" w:sz="0" w:space="0" w:color="auto"/>
          </w:divBdr>
        </w:div>
        <w:div w:id="873344819">
          <w:marLeft w:val="0"/>
          <w:marRight w:val="0"/>
          <w:marTop w:val="0"/>
          <w:marBottom w:val="0"/>
          <w:divBdr>
            <w:top w:val="none" w:sz="0" w:space="0" w:color="auto"/>
            <w:left w:val="none" w:sz="0" w:space="0" w:color="auto"/>
            <w:bottom w:val="none" w:sz="0" w:space="0" w:color="auto"/>
            <w:right w:val="none" w:sz="0" w:space="0" w:color="auto"/>
          </w:divBdr>
        </w:div>
        <w:div w:id="877012836">
          <w:marLeft w:val="0"/>
          <w:marRight w:val="0"/>
          <w:marTop w:val="0"/>
          <w:marBottom w:val="0"/>
          <w:divBdr>
            <w:top w:val="none" w:sz="0" w:space="0" w:color="auto"/>
            <w:left w:val="none" w:sz="0" w:space="0" w:color="auto"/>
            <w:bottom w:val="none" w:sz="0" w:space="0" w:color="auto"/>
            <w:right w:val="none" w:sz="0" w:space="0" w:color="auto"/>
          </w:divBdr>
        </w:div>
        <w:div w:id="881743967">
          <w:marLeft w:val="0"/>
          <w:marRight w:val="0"/>
          <w:marTop w:val="0"/>
          <w:marBottom w:val="0"/>
          <w:divBdr>
            <w:top w:val="none" w:sz="0" w:space="0" w:color="auto"/>
            <w:left w:val="none" w:sz="0" w:space="0" w:color="auto"/>
            <w:bottom w:val="none" w:sz="0" w:space="0" w:color="auto"/>
            <w:right w:val="none" w:sz="0" w:space="0" w:color="auto"/>
          </w:divBdr>
        </w:div>
        <w:div w:id="901645909">
          <w:marLeft w:val="0"/>
          <w:marRight w:val="0"/>
          <w:marTop w:val="0"/>
          <w:marBottom w:val="0"/>
          <w:divBdr>
            <w:top w:val="none" w:sz="0" w:space="0" w:color="auto"/>
            <w:left w:val="none" w:sz="0" w:space="0" w:color="auto"/>
            <w:bottom w:val="none" w:sz="0" w:space="0" w:color="auto"/>
            <w:right w:val="none" w:sz="0" w:space="0" w:color="auto"/>
          </w:divBdr>
        </w:div>
        <w:div w:id="907695015">
          <w:marLeft w:val="0"/>
          <w:marRight w:val="0"/>
          <w:marTop w:val="0"/>
          <w:marBottom w:val="0"/>
          <w:divBdr>
            <w:top w:val="none" w:sz="0" w:space="0" w:color="auto"/>
            <w:left w:val="none" w:sz="0" w:space="0" w:color="auto"/>
            <w:bottom w:val="none" w:sz="0" w:space="0" w:color="auto"/>
            <w:right w:val="none" w:sz="0" w:space="0" w:color="auto"/>
          </w:divBdr>
        </w:div>
        <w:div w:id="914700342">
          <w:marLeft w:val="0"/>
          <w:marRight w:val="0"/>
          <w:marTop w:val="0"/>
          <w:marBottom w:val="0"/>
          <w:divBdr>
            <w:top w:val="none" w:sz="0" w:space="0" w:color="auto"/>
            <w:left w:val="none" w:sz="0" w:space="0" w:color="auto"/>
            <w:bottom w:val="none" w:sz="0" w:space="0" w:color="auto"/>
            <w:right w:val="none" w:sz="0" w:space="0" w:color="auto"/>
          </w:divBdr>
        </w:div>
        <w:div w:id="916939369">
          <w:marLeft w:val="0"/>
          <w:marRight w:val="0"/>
          <w:marTop w:val="0"/>
          <w:marBottom w:val="0"/>
          <w:divBdr>
            <w:top w:val="none" w:sz="0" w:space="0" w:color="auto"/>
            <w:left w:val="none" w:sz="0" w:space="0" w:color="auto"/>
            <w:bottom w:val="none" w:sz="0" w:space="0" w:color="auto"/>
            <w:right w:val="none" w:sz="0" w:space="0" w:color="auto"/>
          </w:divBdr>
        </w:div>
        <w:div w:id="943076142">
          <w:marLeft w:val="0"/>
          <w:marRight w:val="0"/>
          <w:marTop w:val="0"/>
          <w:marBottom w:val="0"/>
          <w:divBdr>
            <w:top w:val="none" w:sz="0" w:space="0" w:color="auto"/>
            <w:left w:val="none" w:sz="0" w:space="0" w:color="auto"/>
            <w:bottom w:val="none" w:sz="0" w:space="0" w:color="auto"/>
            <w:right w:val="none" w:sz="0" w:space="0" w:color="auto"/>
          </w:divBdr>
        </w:div>
        <w:div w:id="946887156">
          <w:marLeft w:val="0"/>
          <w:marRight w:val="0"/>
          <w:marTop w:val="0"/>
          <w:marBottom w:val="0"/>
          <w:divBdr>
            <w:top w:val="none" w:sz="0" w:space="0" w:color="auto"/>
            <w:left w:val="none" w:sz="0" w:space="0" w:color="auto"/>
            <w:bottom w:val="none" w:sz="0" w:space="0" w:color="auto"/>
            <w:right w:val="none" w:sz="0" w:space="0" w:color="auto"/>
          </w:divBdr>
        </w:div>
        <w:div w:id="958876288">
          <w:marLeft w:val="0"/>
          <w:marRight w:val="0"/>
          <w:marTop w:val="0"/>
          <w:marBottom w:val="0"/>
          <w:divBdr>
            <w:top w:val="none" w:sz="0" w:space="0" w:color="auto"/>
            <w:left w:val="none" w:sz="0" w:space="0" w:color="auto"/>
            <w:bottom w:val="none" w:sz="0" w:space="0" w:color="auto"/>
            <w:right w:val="none" w:sz="0" w:space="0" w:color="auto"/>
          </w:divBdr>
        </w:div>
        <w:div w:id="960305139">
          <w:marLeft w:val="0"/>
          <w:marRight w:val="0"/>
          <w:marTop w:val="0"/>
          <w:marBottom w:val="0"/>
          <w:divBdr>
            <w:top w:val="none" w:sz="0" w:space="0" w:color="auto"/>
            <w:left w:val="none" w:sz="0" w:space="0" w:color="auto"/>
            <w:bottom w:val="none" w:sz="0" w:space="0" w:color="auto"/>
            <w:right w:val="none" w:sz="0" w:space="0" w:color="auto"/>
          </w:divBdr>
        </w:div>
        <w:div w:id="982388793">
          <w:marLeft w:val="0"/>
          <w:marRight w:val="0"/>
          <w:marTop w:val="0"/>
          <w:marBottom w:val="0"/>
          <w:divBdr>
            <w:top w:val="none" w:sz="0" w:space="0" w:color="auto"/>
            <w:left w:val="none" w:sz="0" w:space="0" w:color="auto"/>
            <w:bottom w:val="none" w:sz="0" w:space="0" w:color="auto"/>
            <w:right w:val="none" w:sz="0" w:space="0" w:color="auto"/>
          </w:divBdr>
        </w:div>
        <w:div w:id="1010909811">
          <w:marLeft w:val="0"/>
          <w:marRight w:val="0"/>
          <w:marTop w:val="0"/>
          <w:marBottom w:val="0"/>
          <w:divBdr>
            <w:top w:val="none" w:sz="0" w:space="0" w:color="auto"/>
            <w:left w:val="none" w:sz="0" w:space="0" w:color="auto"/>
            <w:bottom w:val="none" w:sz="0" w:space="0" w:color="auto"/>
            <w:right w:val="none" w:sz="0" w:space="0" w:color="auto"/>
          </w:divBdr>
        </w:div>
        <w:div w:id="1016077440">
          <w:marLeft w:val="0"/>
          <w:marRight w:val="0"/>
          <w:marTop w:val="0"/>
          <w:marBottom w:val="0"/>
          <w:divBdr>
            <w:top w:val="none" w:sz="0" w:space="0" w:color="auto"/>
            <w:left w:val="none" w:sz="0" w:space="0" w:color="auto"/>
            <w:bottom w:val="none" w:sz="0" w:space="0" w:color="auto"/>
            <w:right w:val="none" w:sz="0" w:space="0" w:color="auto"/>
          </w:divBdr>
        </w:div>
        <w:div w:id="1016230635">
          <w:marLeft w:val="0"/>
          <w:marRight w:val="0"/>
          <w:marTop w:val="0"/>
          <w:marBottom w:val="0"/>
          <w:divBdr>
            <w:top w:val="none" w:sz="0" w:space="0" w:color="auto"/>
            <w:left w:val="none" w:sz="0" w:space="0" w:color="auto"/>
            <w:bottom w:val="none" w:sz="0" w:space="0" w:color="auto"/>
            <w:right w:val="none" w:sz="0" w:space="0" w:color="auto"/>
          </w:divBdr>
        </w:div>
        <w:div w:id="1016620643">
          <w:marLeft w:val="0"/>
          <w:marRight w:val="0"/>
          <w:marTop w:val="0"/>
          <w:marBottom w:val="0"/>
          <w:divBdr>
            <w:top w:val="none" w:sz="0" w:space="0" w:color="auto"/>
            <w:left w:val="none" w:sz="0" w:space="0" w:color="auto"/>
            <w:bottom w:val="none" w:sz="0" w:space="0" w:color="auto"/>
            <w:right w:val="none" w:sz="0" w:space="0" w:color="auto"/>
          </w:divBdr>
        </w:div>
        <w:div w:id="1029376253">
          <w:marLeft w:val="0"/>
          <w:marRight w:val="0"/>
          <w:marTop w:val="0"/>
          <w:marBottom w:val="0"/>
          <w:divBdr>
            <w:top w:val="none" w:sz="0" w:space="0" w:color="auto"/>
            <w:left w:val="none" w:sz="0" w:space="0" w:color="auto"/>
            <w:bottom w:val="none" w:sz="0" w:space="0" w:color="auto"/>
            <w:right w:val="none" w:sz="0" w:space="0" w:color="auto"/>
          </w:divBdr>
        </w:div>
        <w:div w:id="1037118536">
          <w:marLeft w:val="0"/>
          <w:marRight w:val="0"/>
          <w:marTop w:val="0"/>
          <w:marBottom w:val="0"/>
          <w:divBdr>
            <w:top w:val="none" w:sz="0" w:space="0" w:color="auto"/>
            <w:left w:val="none" w:sz="0" w:space="0" w:color="auto"/>
            <w:bottom w:val="none" w:sz="0" w:space="0" w:color="auto"/>
            <w:right w:val="none" w:sz="0" w:space="0" w:color="auto"/>
          </w:divBdr>
        </w:div>
        <w:div w:id="1053235955">
          <w:marLeft w:val="0"/>
          <w:marRight w:val="0"/>
          <w:marTop w:val="0"/>
          <w:marBottom w:val="0"/>
          <w:divBdr>
            <w:top w:val="none" w:sz="0" w:space="0" w:color="auto"/>
            <w:left w:val="none" w:sz="0" w:space="0" w:color="auto"/>
            <w:bottom w:val="none" w:sz="0" w:space="0" w:color="auto"/>
            <w:right w:val="none" w:sz="0" w:space="0" w:color="auto"/>
          </w:divBdr>
        </w:div>
        <w:div w:id="1055276118">
          <w:marLeft w:val="0"/>
          <w:marRight w:val="0"/>
          <w:marTop w:val="0"/>
          <w:marBottom w:val="0"/>
          <w:divBdr>
            <w:top w:val="none" w:sz="0" w:space="0" w:color="auto"/>
            <w:left w:val="none" w:sz="0" w:space="0" w:color="auto"/>
            <w:bottom w:val="none" w:sz="0" w:space="0" w:color="auto"/>
            <w:right w:val="none" w:sz="0" w:space="0" w:color="auto"/>
          </w:divBdr>
        </w:div>
        <w:div w:id="1056390465">
          <w:marLeft w:val="0"/>
          <w:marRight w:val="0"/>
          <w:marTop w:val="0"/>
          <w:marBottom w:val="0"/>
          <w:divBdr>
            <w:top w:val="none" w:sz="0" w:space="0" w:color="auto"/>
            <w:left w:val="none" w:sz="0" w:space="0" w:color="auto"/>
            <w:bottom w:val="none" w:sz="0" w:space="0" w:color="auto"/>
            <w:right w:val="none" w:sz="0" w:space="0" w:color="auto"/>
          </w:divBdr>
        </w:div>
        <w:div w:id="1064062141">
          <w:marLeft w:val="0"/>
          <w:marRight w:val="0"/>
          <w:marTop w:val="0"/>
          <w:marBottom w:val="0"/>
          <w:divBdr>
            <w:top w:val="none" w:sz="0" w:space="0" w:color="auto"/>
            <w:left w:val="none" w:sz="0" w:space="0" w:color="auto"/>
            <w:bottom w:val="none" w:sz="0" w:space="0" w:color="auto"/>
            <w:right w:val="none" w:sz="0" w:space="0" w:color="auto"/>
          </w:divBdr>
        </w:div>
        <w:div w:id="1066806294">
          <w:marLeft w:val="0"/>
          <w:marRight w:val="0"/>
          <w:marTop w:val="0"/>
          <w:marBottom w:val="0"/>
          <w:divBdr>
            <w:top w:val="none" w:sz="0" w:space="0" w:color="auto"/>
            <w:left w:val="none" w:sz="0" w:space="0" w:color="auto"/>
            <w:bottom w:val="none" w:sz="0" w:space="0" w:color="auto"/>
            <w:right w:val="none" w:sz="0" w:space="0" w:color="auto"/>
          </w:divBdr>
        </w:div>
        <w:div w:id="1067262445">
          <w:marLeft w:val="0"/>
          <w:marRight w:val="0"/>
          <w:marTop w:val="0"/>
          <w:marBottom w:val="0"/>
          <w:divBdr>
            <w:top w:val="none" w:sz="0" w:space="0" w:color="auto"/>
            <w:left w:val="none" w:sz="0" w:space="0" w:color="auto"/>
            <w:bottom w:val="none" w:sz="0" w:space="0" w:color="auto"/>
            <w:right w:val="none" w:sz="0" w:space="0" w:color="auto"/>
          </w:divBdr>
        </w:div>
        <w:div w:id="1070881647">
          <w:marLeft w:val="0"/>
          <w:marRight w:val="0"/>
          <w:marTop w:val="0"/>
          <w:marBottom w:val="0"/>
          <w:divBdr>
            <w:top w:val="none" w:sz="0" w:space="0" w:color="auto"/>
            <w:left w:val="none" w:sz="0" w:space="0" w:color="auto"/>
            <w:bottom w:val="none" w:sz="0" w:space="0" w:color="auto"/>
            <w:right w:val="none" w:sz="0" w:space="0" w:color="auto"/>
          </w:divBdr>
        </w:div>
        <w:div w:id="1070999373">
          <w:marLeft w:val="0"/>
          <w:marRight w:val="0"/>
          <w:marTop w:val="0"/>
          <w:marBottom w:val="0"/>
          <w:divBdr>
            <w:top w:val="none" w:sz="0" w:space="0" w:color="auto"/>
            <w:left w:val="none" w:sz="0" w:space="0" w:color="auto"/>
            <w:bottom w:val="none" w:sz="0" w:space="0" w:color="auto"/>
            <w:right w:val="none" w:sz="0" w:space="0" w:color="auto"/>
          </w:divBdr>
        </w:div>
        <w:div w:id="1076517009">
          <w:marLeft w:val="0"/>
          <w:marRight w:val="0"/>
          <w:marTop w:val="0"/>
          <w:marBottom w:val="0"/>
          <w:divBdr>
            <w:top w:val="none" w:sz="0" w:space="0" w:color="auto"/>
            <w:left w:val="none" w:sz="0" w:space="0" w:color="auto"/>
            <w:bottom w:val="none" w:sz="0" w:space="0" w:color="auto"/>
            <w:right w:val="none" w:sz="0" w:space="0" w:color="auto"/>
          </w:divBdr>
        </w:div>
        <w:div w:id="1082213498">
          <w:marLeft w:val="0"/>
          <w:marRight w:val="0"/>
          <w:marTop w:val="0"/>
          <w:marBottom w:val="0"/>
          <w:divBdr>
            <w:top w:val="none" w:sz="0" w:space="0" w:color="auto"/>
            <w:left w:val="none" w:sz="0" w:space="0" w:color="auto"/>
            <w:bottom w:val="none" w:sz="0" w:space="0" w:color="auto"/>
            <w:right w:val="none" w:sz="0" w:space="0" w:color="auto"/>
          </w:divBdr>
        </w:div>
        <w:div w:id="1082529805">
          <w:marLeft w:val="0"/>
          <w:marRight w:val="0"/>
          <w:marTop w:val="0"/>
          <w:marBottom w:val="0"/>
          <w:divBdr>
            <w:top w:val="none" w:sz="0" w:space="0" w:color="auto"/>
            <w:left w:val="none" w:sz="0" w:space="0" w:color="auto"/>
            <w:bottom w:val="none" w:sz="0" w:space="0" w:color="auto"/>
            <w:right w:val="none" w:sz="0" w:space="0" w:color="auto"/>
          </w:divBdr>
        </w:div>
        <w:div w:id="1109083904">
          <w:marLeft w:val="0"/>
          <w:marRight w:val="0"/>
          <w:marTop w:val="0"/>
          <w:marBottom w:val="0"/>
          <w:divBdr>
            <w:top w:val="none" w:sz="0" w:space="0" w:color="auto"/>
            <w:left w:val="none" w:sz="0" w:space="0" w:color="auto"/>
            <w:bottom w:val="none" w:sz="0" w:space="0" w:color="auto"/>
            <w:right w:val="none" w:sz="0" w:space="0" w:color="auto"/>
          </w:divBdr>
        </w:div>
        <w:div w:id="1110517148">
          <w:marLeft w:val="0"/>
          <w:marRight w:val="0"/>
          <w:marTop w:val="0"/>
          <w:marBottom w:val="0"/>
          <w:divBdr>
            <w:top w:val="none" w:sz="0" w:space="0" w:color="auto"/>
            <w:left w:val="none" w:sz="0" w:space="0" w:color="auto"/>
            <w:bottom w:val="none" w:sz="0" w:space="0" w:color="auto"/>
            <w:right w:val="none" w:sz="0" w:space="0" w:color="auto"/>
          </w:divBdr>
        </w:div>
        <w:div w:id="1116559832">
          <w:marLeft w:val="0"/>
          <w:marRight w:val="0"/>
          <w:marTop w:val="0"/>
          <w:marBottom w:val="0"/>
          <w:divBdr>
            <w:top w:val="none" w:sz="0" w:space="0" w:color="auto"/>
            <w:left w:val="none" w:sz="0" w:space="0" w:color="auto"/>
            <w:bottom w:val="none" w:sz="0" w:space="0" w:color="auto"/>
            <w:right w:val="none" w:sz="0" w:space="0" w:color="auto"/>
          </w:divBdr>
        </w:div>
        <w:div w:id="1127351422">
          <w:marLeft w:val="0"/>
          <w:marRight w:val="0"/>
          <w:marTop w:val="0"/>
          <w:marBottom w:val="0"/>
          <w:divBdr>
            <w:top w:val="none" w:sz="0" w:space="0" w:color="auto"/>
            <w:left w:val="none" w:sz="0" w:space="0" w:color="auto"/>
            <w:bottom w:val="none" w:sz="0" w:space="0" w:color="auto"/>
            <w:right w:val="none" w:sz="0" w:space="0" w:color="auto"/>
          </w:divBdr>
        </w:div>
        <w:div w:id="1136878959">
          <w:marLeft w:val="0"/>
          <w:marRight w:val="0"/>
          <w:marTop w:val="0"/>
          <w:marBottom w:val="0"/>
          <w:divBdr>
            <w:top w:val="none" w:sz="0" w:space="0" w:color="auto"/>
            <w:left w:val="none" w:sz="0" w:space="0" w:color="auto"/>
            <w:bottom w:val="none" w:sz="0" w:space="0" w:color="auto"/>
            <w:right w:val="none" w:sz="0" w:space="0" w:color="auto"/>
          </w:divBdr>
        </w:div>
        <w:div w:id="1137912406">
          <w:marLeft w:val="0"/>
          <w:marRight w:val="0"/>
          <w:marTop w:val="0"/>
          <w:marBottom w:val="0"/>
          <w:divBdr>
            <w:top w:val="none" w:sz="0" w:space="0" w:color="auto"/>
            <w:left w:val="none" w:sz="0" w:space="0" w:color="auto"/>
            <w:bottom w:val="none" w:sz="0" w:space="0" w:color="auto"/>
            <w:right w:val="none" w:sz="0" w:space="0" w:color="auto"/>
          </w:divBdr>
        </w:div>
        <w:div w:id="1139029893">
          <w:marLeft w:val="0"/>
          <w:marRight w:val="0"/>
          <w:marTop w:val="0"/>
          <w:marBottom w:val="0"/>
          <w:divBdr>
            <w:top w:val="none" w:sz="0" w:space="0" w:color="auto"/>
            <w:left w:val="none" w:sz="0" w:space="0" w:color="auto"/>
            <w:bottom w:val="none" w:sz="0" w:space="0" w:color="auto"/>
            <w:right w:val="none" w:sz="0" w:space="0" w:color="auto"/>
          </w:divBdr>
        </w:div>
        <w:div w:id="1141852365">
          <w:marLeft w:val="0"/>
          <w:marRight w:val="0"/>
          <w:marTop w:val="0"/>
          <w:marBottom w:val="0"/>
          <w:divBdr>
            <w:top w:val="none" w:sz="0" w:space="0" w:color="auto"/>
            <w:left w:val="none" w:sz="0" w:space="0" w:color="auto"/>
            <w:bottom w:val="none" w:sz="0" w:space="0" w:color="auto"/>
            <w:right w:val="none" w:sz="0" w:space="0" w:color="auto"/>
          </w:divBdr>
        </w:div>
        <w:div w:id="1141924671">
          <w:marLeft w:val="0"/>
          <w:marRight w:val="0"/>
          <w:marTop w:val="0"/>
          <w:marBottom w:val="0"/>
          <w:divBdr>
            <w:top w:val="none" w:sz="0" w:space="0" w:color="auto"/>
            <w:left w:val="none" w:sz="0" w:space="0" w:color="auto"/>
            <w:bottom w:val="none" w:sz="0" w:space="0" w:color="auto"/>
            <w:right w:val="none" w:sz="0" w:space="0" w:color="auto"/>
          </w:divBdr>
        </w:div>
        <w:div w:id="1160732792">
          <w:marLeft w:val="0"/>
          <w:marRight w:val="0"/>
          <w:marTop w:val="0"/>
          <w:marBottom w:val="0"/>
          <w:divBdr>
            <w:top w:val="none" w:sz="0" w:space="0" w:color="auto"/>
            <w:left w:val="none" w:sz="0" w:space="0" w:color="auto"/>
            <w:bottom w:val="none" w:sz="0" w:space="0" w:color="auto"/>
            <w:right w:val="none" w:sz="0" w:space="0" w:color="auto"/>
          </w:divBdr>
        </w:div>
        <w:div w:id="1164126296">
          <w:marLeft w:val="0"/>
          <w:marRight w:val="0"/>
          <w:marTop w:val="0"/>
          <w:marBottom w:val="0"/>
          <w:divBdr>
            <w:top w:val="none" w:sz="0" w:space="0" w:color="auto"/>
            <w:left w:val="none" w:sz="0" w:space="0" w:color="auto"/>
            <w:bottom w:val="none" w:sz="0" w:space="0" w:color="auto"/>
            <w:right w:val="none" w:sz="0" w:space="0" w:color="auto"/>
          </w:divBdr>
        </w:div>
        <w:div w:id="1167331743">
          <w:marLeft w:val="0"/>
          <w:marRight w:val="0"/>
          <w:marTop w:val="0"/>
          <w:marBottom w:val="0"/>
          <w:divBdr>
            <w:top w:val="none" w:sz="0" w:space="0" w:color="auto"/>
            <w:left w:val="none" w:sz="0" w:space="0" w:color="auto"/>
            <w:bottom w:val="none" w:sz="0" w:space="0" w:color="auto"/>
            <w:right w:val="none" w:sz="0" w:space="0" w:color="auto"/>
          </w:divBdr>
        </w:div>
        <w:div w:id="1167597113">
          <w:marLeft w:val="0"/>
          <w:marRight w:val="0"/>
          <w:marTop w:val="0"/>
          <w:marBottom w:val="0"/>
          <w:divBdr>
            <w:top w:val="none" w:sz="0" w:space="0" w:color="auto"/>
            <w:left w:val="none" w:sz="0" w:space="0" w:color="auto"/>
            <w:bottom w:val="none" w:sz="0" w:space="0" w:color="auto"/>
            <w:right w:val="none" w:sz="0" w:space="0" w:color="auto"/>
          </w:divBdr>
        </w:div>
        <w:div w:id="1172640898">
          <w:marLeft w:val="0"/>
          <w:marRight w:val="0"/>
          <w:marTop w:val="0"/>
          <w:marBottom w:val="0"/>
          <w:divBdr>
            <w:top w:val="none" w:sz="0" w:space="0" w:color="auto"/>
            <w:left w:val="none" w:sz="0" w:space="0" w:color="auto"/>
            <w:bottom w:val="none" w:sz="0" w:space="0" w:color="auto"/>
            <w:right w:val="none" w:sz="0" w:space="0" w:color="auto"/>
          </w:divBdr>
        </w:div>
        <w:div w:id="1173840664">
          <w:marLeft w:val="0"/>
          <w:marRight w:val="0"/>
          <w:marTop w:val="0"/>
          <w:marBottom w:val="0"/>
          <w:divBdr>
            <w:top w:val="none" w:sz="0" w:space="0" w:color="auto"/>
            <w:left w:val="none" w:sz="0" w:space="0" w:color="auto"/>
            <w:bottom w:val="none" w:sz="0" w:space="0" w:color="auto"/>
            <w:right w:val="none" w:sz="0" w:space="0" w:color="auto"/>
          </w:divBdr>
        </w:div>
        <w:div w:id="1182278224">
          <w:marLeft w:val="0"/>
          <w:marRight w:val="0"/>
          <w:marTop w:val="0"/>
          <w:marBottom w:val="0"/>
          <w:divBdr>
            <w:top w:val="none" w:sz="0" w:space="0" w:color="auto"/>
            <w:left w:val="none" w:sz="0" w:space="0" w:color="auto"/>
            <w:bottom w:val="none" w:sz="0" w:space="0" w:color="auto"/>
            <w:right w:val="none" w:sz="0" w:space="0" w:color="auto"/>
          </w:divBdr>
        </w:div>
        <w:div w:id="1182667229">
          <w:marLeft w:val="0"/>
          <w:marRight w:val="0"/>
          <w:marTop w:val="0"/>
          <w:marBottom w:val="0"/>
          <w:divBdr>
            <w:top w:val="none" w:sz="0" w:space="0" w:color="auto"/>
            <w:left w:val="none" w:sz="0" w:space="0" w:color="auto"/>
            <w:bottom w:val="none" w:sz="0" w:space="0" w:color="auto"/>
            <w:right w:val="none" w:sz="0" w:space="0" w:color="auto"/>
          </w:divBdr>
        </w:div>
        <w:div w:id="1185054305">
          <w:marLeft w:val="0"/>
          <w:marRight w:val="0"/>
          <w:marTop w:val="0"/>
          <w:marBottom w:val="0"/>
          <w:divBdr>
            <w:top w:val="none" w:sz="0" w:space="0" w:color="auto"/>
            <w:left w:val="none" w:sz="0" w:space="0" w:color="auto"/>
            <w:bottom w:val="none" w:sz="0" w:space="0" w:color="auto"/>
            <w:right w:val="none" w:sz="0" w:space="0" w:color="auto"/>
          </w:divBdr>
        </w:div>
        <w:div w:id="1189023257">
          <w:marLeft w:val="0"/>
          <w:marRight w:val="0"/>
          <w:marTop w:val="0"/>
          <w:marBottom w:val="0"/>
          <w:divBdr>
            <w:top w:val="none" w:sz="0" w:space="0" w:color="auto"/>
            <w:left w:val="none" w:sz="0" w:space="0" w:color="auto"/>
            <w:bottom w:val="none" w:sz="0" w:space="0" w:color="auto"/>
            <w:right w:val="none" w:sz="0" w:space="0" w:color="auto"/>
          </w:divBdr>
        </w:div>
        <w:div w:id="1196622505">
          <w:marLeft w:val="0"/>
          <w:marRight w:val="0"/>
          <w:marTop w:val="0"/>
          <w:marBottom w:val="0"/>
          <w:divBdr>
            <w:top w:val="none" w:sz="0" w:space="0" w:color="auto"/>
            <w:left w:val="none" w:sz="0" w:space="0" w:color="auto"/>
            <w:bottom w:val="none" w:sz="0" w:space="0" w:color="auto"/>
            <w:right w:val="none" w:sz="0" w:space="0" w:color="auto"/>
          </w:divBdr>
        </w:div>
        <w:div w:id="1205946404">
          <w:marLeft w:val="0"/>
          <w:marRight w:val="0"/>
          <w:marTop w:val="0"/>
          <w:marBottom w:val="0"/>
          <w:divBdr>
            <w:top w:val="none" w:sz="0" w:space="0" w:color="auto"/>
            <w:left w:val="none" w:sz="0" w:space="0" w:color="auto"/>
            <w:bottom w:val="none" w:sz="0" w:space="0" w:color="auto"/>
            <w:right w:val="none" w:sz="0" w:space="0" w:color="auto"/>
          </w:divBdr>
        </w:div>
        <w:div w:id="1212615655">
          <w:marLeft w:val="0"/>
          <w:marRight w:val="0"/>
          <w:marTop w:val="0"/>
          <w:marBottom w:val="0"/>
          <w:divBdr>
            <w:top w:val="none" w:sz="0" w:space="0" w:color="auto"/>
            <w:left w:val="none" w:sz="0" w:space="0" w:color="auto"/>
            <w:bottom w:val="none" w:sz="0" w:space="0" w:color="auto"/>
            <w:right w:val="none" w:sz="0" w:space="0" w:color="auto"/>
          </w:divBdr>
        </w:div>
        <w:div w:id="1216233118">
          <w:marLeft w:val="0"/>
          <w:marRight w:val="0"/>
          <w:marTop w:val="0"/>
          <w:marBottom w:val="0"/>
          <w:divBdr>
            <w:top w:val="none" w:sz="0" w:space="0" w:color="auto"/>
            <w:left w:val="none" w:sz="0" w:space="0" w:color="auto"/>
            <w:bottom w:val="none" w:sz="0" w:space="0" w:color="auto"/>
            <w:right w:val="none" w:sz="0" w:space="0" w:color="auto"/>
          </w:divBdr>
        </w:div>
        <w:div w:id="1220942432">
          <w:marLeft w:val="0"/>
          <w:marRight w:val="0"/>
          <w:marTop w:val="0"/>
          <w:marBottom w:val="0"/>
          <w:divBdr>
            <w:top w:val="none" w:sz="0" w:space="0" w:color="auto"/>
            <w:left w:val="none" w:sz="0" w:space="0" w:color="auto"/>
            <w:bottom w:val="none" w:sz="0" w:space="0" w:color="auto"/>
            <w:right w:val="none" w:sz="0" w:space="0" w:color="auto"/>
          </w:divBdr>
        </w:div>
        <w:div w:id="1227692402">
          <w:marLeft w:val="0"/>
          <w:marRight w:val="0"/>
          <w:marTop w:val="0"/>
          <w:marBottom w:val="0"/>
          <w:divBdr>
            <w:top w:val="none" w:sz="0" w:space="0" w:color="auto"/>
            <w:left w:val="none" w:sz="0" w:space="0" w:color="auto"/>
            <w:bottom w:val="none" w:sz="0" w:space="0" w:color="auto"/>
            <w:right w:val="none" w:sz="0" w:space="0" w:color="auto"/>
          </w:divBdr>
        </w:div>
        <w:div w:id="1227839427">
          <w:marLeft w:val="0"/>
          <w:marRight w:val="0"/>
          <w:marTop w:val="0"/>
          <w:marBottom w:val="0"/>
          <w:divBdr>
            <w:top w:val="none" w:sz="0" w:space="0" w:color="auto"/>
            <w:left w:val="none" w:sz="0" w:space="0" w:color="auto"/>
            <w:bottom w:val="none" w:sz="0" w:space="0" w:color="auto"/>
            <w:right w:val="none" w:sz="0" w:space="0" w:color="auto"/>
          </w:divBdr>
        </w:div>
        <w:div w:id="1229345145">
          <w:marLeft w:val="0"/>
          <w:marRight w:val="0"/>
          <w:marTop w:val="0"/>
          <w:marBottom w:val="0"/>
          <w:divBdr>
            <w:top w:val="none" w:sz="0" w:space="0" w:color="auto"/>
            <w:left w:val="none" w:sz="0" w:space="0" w:color="auto"/>
            <w:bottom w:val="none" w:sz="0" w:space="0" w:color="auto"/>
            <w:right w:val="none" w:sz="0" w:space="0" w:color="auto"/>
          </w:divBdr>
        </w:div>
        <w:div w:id="1238323785">
          <w:marLeft w:val="0"/>
          <w:marRight w:val="0"/>
          <w:marTop w:val="0"/>
          <w:marBottom w:val="0"/>
          <w:divBdr>
            <w:top w:val="none" w:sz="0" w:space="0" w:color="auto"/>
            <w:left w:val="none" w:sz="0" w:space="0" w:color="auto"/>
            <w:bottom w:val="none" w:sz="0" w:space="0" w:color="auto"/>
            <w:right w:val="none" w:sz="0" w:space="0" w:color="auto"/>
          </w:divBdr>
        </w:div>
        <w:div w:id="1266420417">
          <w:marLeft w:val="0"/>
          <w:marRight w:val="0"/>
          <w:marTop w:val="0"/>
          <w:marBottom w:val="0"/>
          <w:divBdr>
            <w:top w:val="none" w:sz="0" w:space="0" w:color="auto"/>
            <w:left w:val="none" w:sz="0" w:space="0" w:color="auto"/>
            <w:bottom w:val="none" w:sz="0" w:space="0" w:color="auto"/>
            <w:right w:val="none" w:sz="0" w:space="0" w:color="auto"/>
          </w:divBdr>
        </w:div>
        <w:div w:id="1271860794">
          <w:marLeft w:val="0"/>
          <w:marRight w:val="0"/>
          <w:marTop w:val="0"/>
          <w:marBottom w:val="0"/>
          <w:divBdr>
            <w:top w:val="none" w:sz="0" w:space="0" w:color="auto"/>
            <w:left w:val="none" w:sz="0" w:space="0" w:color="auto"/>
            <w:bottom w:val="none" w:sz="0" w:space="0" w:color="auto"/>
            <w:right w:val="none" w:sz="0" w:space="0" w:color="auto"/>
          </w:divBdr>
        </w:div>
        <w:div w:id="1273628990">
          <w:marLeft w:val="0"/>
          <w:marRight w:val="0"/>
          <w:marTop w:val="0"/>
          <w:marBottom w:val="0"/>
          <w:divBdr>
            <w:top w:val="none" w:sz="0" w:space="0" w:color="auto"/>
            <w:left w:val="none" w:sz="0" w:space="0" w:color="auto"/>
            <w:bottom w:val="none" w:sz="0" w:space="0" w:color="auto"/>
            <w:right w:val="none" w:sz="0" w:space="0" w:color="auto"/>
          </w:divBdr>
        </w:div>
        <w:div w:id="1275673166">
          <w:marLeft w:val="0"/>
          <w:marRight w:val="0"/>
          <w:marTop w:val="0"/>
          <w:marBottom w:val="0"/>
          <w:divBdr>
            <w:top w:val="none" w:sz="0" w:space="0" w:color="auto"/>
            <w:left w:val="none" w:sz="0" w:space="0" w:color="auto"/>
            <w:bottom w:val="none" w:sz="0" w:space="0" w:color="auto"/>
            <w:right w:val="none" w:sz="0" w:space="0" w:color="auto"/>
          </w:divBdr>
        </w:div>
        <w:div w:id="1278610179">
          <w:marLeft w:val="0"/>
          <w:marRight w:val="0"/>
          <w:marTop w:val="0"/>
          <w:marBottom w:val="0"/>
          <w:divBdr>
            <w:top w:val="none" w:sz="0" w:space="0" w:color="auto"/>
            <w:left w:val="none" w:sz="0" w:space="0" w:color="auto"/>
            <w:bottom w:val="none" w:sz="0" w:space="0" w:color="auto"/>
            <w:right w:val="none" w:sz="0" w:space="0" w:color="auto"/>
          </w:divBdr>
        </w:div>
        <w:div w:id="1291477017">
          <w:marLeft w:val="0"/>
          <w:marRight w:val="0"/>
          <w:marTop w:val="0"/>
          <w:marBottom w:val="0"/>
          <w:divBdr>
            <w:top w:val="none" w:sz="0" w:space="0" w:color="auto"/>
            <w:left w:val="none" w:sz="0" w:space="0" w:color="auto"/>
            <w:bottom w:val="none" w:sz="0" w:space="0" w:color="auto"/>
            <w:right w:val="none" w:sz="0" w:space="0" w:color="auto"/>
          </w:divBdr>
        </w:div>
        <w:div w:id="1300458035">
          <w:marLeft w:val="0"/>
          <w:marRight w:val="0"/>
          <w:marTop w:val="0"/>
          <w:marBottom w:val="0"/>
          <w:divBdr>
            <w:top w:val="none" w:sz="0" w:space="0" w:color="auto"/>
            <w:left w:val="none" w:sz="0" w:space="0" w:color="auto"/>
            <w:bottom w:val="none" w:sz="0" w:space="0" w:color="auto"/>
            <w:right w:val="none" w:sz="0" w:space="0" w:color="auto"/>
          </w:divBdr>
        </w:div>
        <w:div w:id="1307515551">
          <w:marLeft w:val="0"/>
          <w:marRight w:val="0"/>
          <w:marTop w:val="0"/>
          <w:marBottom w:val="0"/>
          <w:divBdr>
            <w:top w:val="none" w:sz="0" w:space="0" w:color="auto"/>
            <w:left w:val="none" w:sz="0" w:space="0" w:color="auto"/>
            <w:bottom w:val="none" w:sz="0" w:space="0" w:color="auto"/>
            <w:right w:val="none" w:sz="0" w:space="0" w:color="auto"/>
          </w:divBdr>
        </w:div>
        <w:div w:id="1333798478">
          <w:marLeft w:val="0"/>
          <w:marRight w:val="0"/>
          <w:marTop w:val="0"/>
          <w:marBottom w:val="0"/>
          <w:divBdr>
            <w:top w:val="none" w:sz="0" w:space="0" w:color="auto"/>
            <w:left w:val="none" w:sz="0" w:space="0" w:color="auto"/>
            <w:bottom w:val="none" w:sz="0" w:space="0" w:color="auto"/>
            <w:right w:val="none" w:sz="0" w:space="0" w:color="auto"/>
          </w:divBdr>
        </w:div>
        <w:div w:id="1337919298">
          <w:marLeft w:val="0"/>
          <w:marRight w:val="0"/>
          <w:marTop w:val="0"/>
          <w:marBottom w:val="0"/>
          <w:divBdr>
            <w:top w:val="none" w:sz="0" w:space="0" w:color="auto"/>
            <w:left w:val="none" w:sz="0" w:space="0" w:color="auto"/>
            <w:bottom w:val="none" w:sz="0" w:space="0" w:color="auto"/>
            <w:right w:val="none" w:sz="0" w:space="0" w:color="auto"/>
          </w:divBdr>
        </w:div>
        <w:div w:id="1350258686">
          <w:marLeft w:val="0"/>
          <w:marRight w:val="0"/>
          <w:marTop w:val="0"/>
          <w:marBottom w:val="0"/>
          <w:divBdr>
            <w:top w:val="none" w:sz="0" w:space="0" w:color="auto"/>
            <w:left w:val="none" w:sz="0" w:space="0" w:color="auto"/>
            <w:bottom w:val="none" w:sz="0" w:space="0" w:color="auto"/>
            <w:right w:val="none" w:sz="0" w:space="0" w:color="auto"/>
          </w:divBdr>
        </w:div>
        <w:div w:id="1370836231">
          <w:marLeft w:val="0"/>
          <w:marRight w:val="0"/>
          <w:marTop w:val="0"/>
          <w:marBottom w:val="0"/>
          <w:divBdr>
            <w:top w:val="none" w:sz="0" w:space="0" w:color="auto"/>
            <w:left w:val="none" w:sz="0" w:space="0" w:color="auto"/>
            <w:bottom w:val="none" w:sz="0" w:space="0" w:color="auto"/>
            <w:right w:val="none" w:sz="0" w:space="0" w:color="auto"/>
          </w:divBdr>
        </w:div>
        <w:div w:id="1377315149">
          <w:marLeft w:val="0"/>
          <w:marRight w:val="0"/>
          <w:marTop w:val="0"/>
          <w:marBottom w:val="0"/>
          <w:divBdr>
            <w:top w:val="none" w:sz="0" w:space="0" w:color="auto"/>
            <w:left w:val="none" w:sz="0" w:space="0" w:color="auto"/>
            <w:bottom w:val="none" w:sz="0" w:space="0" w:color="auto"/>
            <w:right w:val="none" w:sz="0" w:space="0" w:color="auto"/>
          </w:divBdr>
        </w:div>
        <w:div w:id="1408070562">
          <w:marLeft w:val="0"/>
          <w:marRight w:val="0"/>
          <w:marTop w:val="0"/>
          <w:marBottom w:val="0"/>
          <w:divBdr>
            <w:top w:val="none" w:sz="0" w:space="0" w:color="auto"/>
            <w:left w:val="none" w:sz="0" w:space="0" w:color="auto"/>
            <w:bottom w:val="none" w:sz="0" w:space="0" w:color="auto"/>
            <w:right w:val="none" w:sz="0" w:space="0" w:color="auto"/>
          </w:divBdr>
        </w:div>
        <w:div w:id="1428190107">
          <w:marLeft w:val="0"/>
          <w:marRight w:val="0"/>
          <w:marTop w:val="0"/>
          <w:marBottom w:val="0"/>
          <w:divBdr>
            <w:top w:val="none" w:sz="0" w:space="0" w:color="auto"/>
            <w:left w:val="none" w:sz="0" w:space="0" w:color="auto"/>
            <w:bottom w:val="none" w:sz="0" w:space="0" w:color="auto"/>
            <w:right w:val="none" w:sz="0" w:space="0" w:color="auto"/>
          </w:divBdr>
        </w:div>
        <w:div w:id="1428963962">
          <w:marLeft w:val="-75"/>
          <w:marRight w:val="0"/>
          <w:marTop w:val="30"/>
          <w:marBottom w:val="30"/>
          <w:divBdr>
            <w:top w:val="none" w:sz="0" w:space="0" w:color="auto"/>
            <w:left w:val="none" w:sz="0" w:space="0" w:color="auto"/>
            <w:bottom w:val="none" w:sz="0" w:space="0" w:color="auto"/>
            <w:right w:val="none" w:sz="0" w:space="0" w:color="auto"/>
          </w:divBdr>
          <w:divsChild>
            <w:div w:id="1462770754">
              <w:marLeft w:val="0"/>
              <w:marRight w:val="0"/>
              <w:marTop w:val="0"/>
              <w:marBottom w:val="0"/>
              <w:divBdr>
                <w:top w:val="none" w:sz="0" w:space="0" w:color="auto"/>
                <w:left w:val="none" w:sz="0" w:space="0" w:color="auto"/>
                <w:bottom w:val="none" w:sz="0" w:space="0" w:color="auto"/>
                <w:right w:val="none" w:sz="0" w:space="0" w:color="auto"/>
              </w:divBdr>
              <w:divsChild>
                <w:div w:id="564685640">
                  <w:marLeft w:val="0"/>
                  <w:marRight w:val="0"/>
                  <w:marTop w:val="0"/>
                  <w:marBottom w:val="0"/>
                  <w:divBdr>
                    <w:top w:val="none" w:sz="0" w:space="0" w:color="auto"/>
                    <w:left w:val="none" w:sz="0" w:space="0" w:color="auto"/>
                    <w:bottom w:val="none" w:sz="0" w:space="0" w:color="auto"/>
                    <w:right w:val="none" w:sz="0" w:space="0" w:color="auto"/>
                  </w:divBdr>
                </w:div>
                <w:div w:id="1272974905">
                  <w:marLeft w:val="0"/>
                  <w:marRight w:val="0"/>
                  <w:marTop w:val="0"/>
                  <w:marBottom w:val="0"/>
                  <w:divBdr>
                    <w:top w:val="none" w:sz="0" w:space="0" w:color="auto"/>
                    <w:left w:val="none" w:sz="0" w:space="0" w:color="auto"/>
                    <w:bottom w:val="none" w:sz="0" w:space="0" w:color="auto"/>
                    <w:right w:val="none" w:sz="0" w:space="0" w:color="auto"/>
                  </w:divBdr>
                </w:div>
                <w:div w:id="2010980173">
                  <w:marLeft w:val="0"/>
                  <w:marRight w:val="0"/>
                  <w:marTop w:val="0"/>
                  <w:marBottom w:val="0"/>
                  <w:divBdr>
                    <w:top w:val="none" w:sz="0" w:space="0" w:color="auto"/>
                    <w:left w:val="none" w:sz="0" w:space="0" w:color="auto"/>
                    <w:bottom w:val="none" w:sz="0" w:space="0" w:color="auto"/>
                    <w:right w:val="none" w:sz="0" w:space="0" w:color="auto"/>
                  </w:divBdr>
                </w:div>
              </w:divsChild>
            </w:div>
            <w:div w:id="1508059686">
              <w:marLeft w:val="0"/>
              <w:marRight w:val="0"/>
              <w:marTop w:val="0"/>
              <w:marBottom w:val="0"/>
              <w:divBdr>
                <w:top w:val="none" w:sz="0" w:space="0" w:color="auto"/>
                <w:left w:val="none" w:sz="0" w:space="0" w:color="auto"/>
                <w:bottom w:val="none" w:sz="0" w:space="0" w:color="auto"/>
                <w:right w:val="none" w:sz="0" w:space="0" w:color="auto"/>
              </w:divBdr>
              <w:divsChild>
                <w:div w:id="6432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86353">
          <w:marLeft w:val="0"/>
          <w:marRight w:val="0"/>
          <w:marTop w:val="0"/>
          <w:marBottom w:val="0"/>
          <w:divBdr>
            <w:top w:val="none" w:sz="0" w:space="0" w:color="auto"/>
            <w:left w:val="none" w:sz="0" w:space="0" w:color="auto"/>
            <w:bottom w:val="none" w:sz="0" w:space="0" w:color="auto"/>
            <w:right w:val="none" w:sz="0" w:space="0" w:color="auto"/>
          </w:divBdr>
        </w:div>
        <w:div w:id="1429426205">
          <w:marLeft w:val="0"/>
          <w:marRight w:val="0"/>
          <w:marTop w:val="0"/>
          <w:marBottom w:val="0"/>
          <w:divBdr>
            <w:top w:val="none" w:sz="0" w:space="0" w:color="auto"/>
            <w:left w:val="none" w:sz="0" w:space="0" w:color="auto"/>
            <w:bottom w:val="none" w:sz="0" w:space="0" w:color="auto"/>
            <w:right w:val="none" w:sz="0" w:space="0" w:color="auto"/>
          </w:divBdr>
        </w:div>
        <w:div w:id="1437628770">
          <w:marLeft w:val="0"/>
          <w:marRight w:val="0"/>
          <w:marTop w:val="0"/>
          <w:marBottom w:val="0"/>
          <w:divBdr>
            <w:top w:val="none" w:sz="0" w:space="0" w:color="auto"/>
            <w:left w:val="none" w:sz="0" w:space="0" w:color="auto"/>
            <w:bottom w:val="none" w:sz="0" w:space="0" w:color="auto"/>
            <w:right w:val="none" w:sz="0" w:space="0" w:color="auto"/>
          </w:divBdr>
        </w:div>
        <w:div w:id="1462842050">
          <w:marLeft w:val="0"/>
          <w:marRight w:val="0"/>
          <w:marTop w:val="0"/>
          <w:marBottom w:val="0"/>
          <w:divBdr>
            <w:top w:val="none" w:sz="0" w:space="0" w:color="auto"/>
            <w:left w:val="none" w:sz="0" w:space="0" w:color="auto"/>
            <w:bottom w:val="none" w:sz="0" w:space="0" w:color="auto"/>
            <w:right w:val="none" w:sz="0" w:space="0" w:color="auto"/>
          </w:divBdr>
        </w:div>
        <w:div w:id="1463618094">
          <w:marLeft w:val="0"/>
          <w:marRight w:val="0"/>
          <w:marTop w:val="0"/>
          <w:marBottom w:val="0"/>
          <w:divBdr>
            <w:top w:val="none" w:sz="0" w:space="0" w:color="auto"/>
            <w:left w:val="none" w:sz="0" w:space="0" w:color="auto"/>
            <w:bottom w:val="none" w:sz="0" w:space="0" w:color="auto"/>
            <w:right w:val="none" w:sz="0" w:space="0" w:color="auto"/>
          </w:divBdr>
        </w:div>
        <w:div w:id="1466116648">
          <w:marLeft w:val="0"/>
          <w:marRight w:val="0"/>
          <w:marTop w:val="0"/>
          <w:marBottom w:val="0"/>
          <w:divBdr>
            <w:top w:val="none" w:sz="0" w:space="0" w:color="auto"/>
            <w:left w:val="none" w:sz="0" w:space="0" w:color="auto"/>
            <w:bottom w:val="none" w:sz="0" w:space="0" w:color="auto"/>
            <w:right w:val="none" w:sz="0" w:space="0" w:color="auto"/>
          </w:divBdr>
        </w:div>
        <w:div w:id="1477792533">
          <w:marLeft w:val="0"/>
          <w:marRight w:val="0"/>
          <w:marTop w:val="0"/>
          <w:marBottom w:val="0"/>
          <w:divBdr>
            <w:top w:val="none" w:sz="0" w:space="0" w:color="auto"/>
            <w:left w:val="none" w:sz="0" w:space="0" w:color="auto"/>
            <w:bottom w:val="none" w:sz="0" w:space="0" w:color="auto"/>
            <w:right w:val="none" w:sz="0" w:space="0" w:color="auto"/>
          </w:divBdr>
        </w:div>
        <w:div w:id="1484152671">
          <w:marLeft w:val="0"/>
          <w:marRight w:val="0"/>
          <w:marTop w:val="0"/>
          <w:marBottom w:val="0"/>
          <w:divBdr>
            <w:top w:val="none" w:sz="0" w:space="0" w:color="auto"/>
            <w:left w:val="none" w:sz="0" w:space="0" w:color="auto"/>
            <w:bottom w:val="none" w:sz="0" w:space="0" w:color="auto"/>
            <w:right w:val="none" w:sz="0" w:space="0" w:color="auto"/>
          </w:divBdr>
        </w:div>
        <w:div w:id="1486776600">
          <w:marLeft w:val="0"/>
          <w:marRight w:val="0"/>
          <w:marTop w:val="0"/>
          <w:marBottom w:val="0"/>
          <w:divBdr>
            <w:top w:val="none" w:sz="0" w:space="0" w:color="auto"/>
            <w:left w:val="none" w:sz="0" w:space="0" w:color="auto"/>
            <w:bottom w:val="none" w:sz="0" w:space="0" w:color="auto"/>
            <w:right w:val="none" w:sz="0" w:space="0" w:color="auto"/>
          </w:divBdr>
        </w:div>
        <w:div w:id="1487089211">
          <w:marLeft w:val="0"/>
          <w:marRight w:val="0"/>
          <w:marTop w:val="0"/>
          <w:marBottom w:val="0"/>
          <w:divBdr>
            <w:top w:val="none" w:sz="0" w:space="0" w:color="auto"/>
            <w:left w:val="none" w:sz="0" w:space="0" w:color="auto"/>
            <w:bottom w:val="none" w:sz="0" w:space="0" w:color="auto"/>
            <w:right w:val="none" w:sz="0" w:space="0" w:color="auto"/>
          </w:divBdr>
        </w:div>
        <w:div w:id="1490050452">
          <w:marLeft w:val="0"/>
          <w:marRight w:val="0"/>
          <w:marTop w:val="0"/>
          <w:marBottom w:val="0"/>
          <w:divBdr>
            <w:top w:val="none" w:sz="0" w:space="0" w:color="auto"/>
            <w:left w:val="none" w:sz="0" w:space="0" w:color="auto"/>
            <w:bottom w:val="none" w:sz="0" w:space="0" w:color="auto"/>
            <w:right w:val="none" w:sz="0" w:space="0" w:color="auto"/>
          </w:divBdr>
        </w:div>
        <w:div w:id="1493984800">
          <w:marLeft w:val="0"/>
          <w:marRight w:val="0"/>
          <w:marTop w:val="0"/>
          <w:marBottom w:val="0"/>
          <w:divBdr>
            <w:top w:val="none" w:sz="0" w:space="0" w:color="auto"/>
            <w:left w:val="none" w:sz="0" w:space="0" w:color="auto"/>
            <w:bottom w:val="none" w:sz="0" w:space="0" w:color="auto"/>
            <w:right w:val="none" w:sz="0" w:space="0" w:color="auto"/>
          </w:divBdr>
        </w:div>
        <w:div w:id="1499805683">
          <w:marLeft w:val="0"/>
          <w:marRight w:val="0"/>
          <w:marTop w:val="0"/>
          <w:marBottom w:val="0"/>
          <w:divBdr>
            <w:top w:val="none" w:sz="0" w:space="0" w:color="auto"/>
            <w:left w:val="none" w:sz="0" w:space="0" w:color="auto"/>
            <w:bottom w:val="none" w:sz="0" w:space="0" w:color="auto"/>
            <w:right w:val="none" w:sz="0" w:space="0" w:color="auto"/>
          </w:divBdr>
        </w:div>
        <w:div w:id="1500582292">
          <w:marLeft w:val="0"/>
          <w:marRight w:val="0"/>
          <w:marTop w:val="0"/>
          <w:marBottom w:val="0"/>
          <w:divBdr>
            <w:top w:val="none" w:sz="0" w:space="0" w:color="auto"/>
            <w:left w:val="none" w:sz="0" w:space="0" w:color="auto"/>
            <w:bottom w:val="none" w:sz="0" w:space="0" w:color="auto"/>
            <w:right w:val="none" w:sz="0" w:space="0" w:color="auto"/>
          </w:divBdr>
        </w:div>
        <w:div w:id="1503858212">
          <w:marLeft w:val="0"/>
          <w:marRight w:val="0"/>
          <w:marTop w:val="0"/>
          <w:marBottom w:val="0"/>
          <w:divBdr>
            <w:top w:val="none" w:sz="0" w:space="0" w:color="auto"/>
            <w:left w:val="none" w:sz="0" w:space="0" w:color="auto"/>
            <w:bottom w:val="none" w:sz="0" w:space="0" w:color="auto"/>
            <w:right w:val="none" w:sz="0" w:space="0" w:color="auto"/>
          </w:divBdr>
        </w:div>
        <w:div w:id="1513492074">
          <w:marLeft w:val="0"/>
          <w:marRight w:val="0"/>
          <w:marTop w:val="0"/>
          <w:marBottom w:val="0"/>
          <w:divBdr>
            <w:top w:val="none" w:sz="0" w:space="0" w:color="auto"/>
            <w:left w:val="none" w:sz="0" w:space="0" w:color="auto"/>
            <w:bottom w:val="none" w:sz="0" w:space="0" w:color="auto"/>
            <w:right w:val="none" w:sz="0" w:space="0" w:color="auto"/>
          </w:divBdr>
        </w:div>
        <w:div w:id="1513645380">
          <w:marLeft w:val="0"/>
          <w:marRight w:val="0"/>
          <w:marTop w:val="0"/>
          <w:marBottom w:val="0"/>
          <w:divBdr>
            <w:top w:val="none" w:sz="0" w:space="0" w:color="auto"/>
            <w:left w:val="none" w:sz="0" w:space="0" w:color="auto"/>
            <w:bottom w:val="none" w:sz="0" w:space="0" w:color="auto"/>
            <w:right w:val="none" w:sz="0" w:space="0" w:color="auto"/>
          </w:divBdr>
        </w:div>
        <w:div w:id="1514223799">
          <w:marLeft w:val="0"/>
          <w:marRight w:val="0"/>
          <w:marTop w:val="0"/>
          <w:marBottom w:val="0"/>
          <w:divBdr>
            <w:top w:val="none" w:sz="0" w:space="0" w:color="auto"/>
            <w:left w:val="none" w:sz="0" w:space="0" w:color="auto"/>
            <w:bottom w:val="none" w:sz="0" w:space="0" w:color="auto"/>
            <w:right w:val="none" w:sz="0" w:space="0" w:color="auto"/>
          </w:divBdr>
        </w:div>
        <w:div w:id="1519808163">
          <w:marLeft w:val="0"/>
          <w:marRight w:val="0"/>
          <w:marTop w:val="0"/>
          <w:marBottom w:val="0"/>
          <w:divBdr>
            <w:top w:val="none" w:sz="0" w:space="0" w:color="auto"/>
            <w:left w:val="none" w:sz="0" w:space="0" w:color="auto"/>
            <w:bottom w:val="none" w:sz="0" w:space="0" w:color="auto"/>
            <w:right w:val="none" w:sz="0" w:space="0" w:color="auto"/>
          </w:divBdr>
        </w:div>
        <w:div w:id="1542552738">
          <w:marLeft w:val="0"/>
          <w:marRight w:val="0"/>
          <w:marTop w:val="0"/>
          <w:marBottom w:val="0"/>
          <w:divBdr>
            <w:top w:val="none" w:sz="0" w:space="0" w:color="auto"/>
            <w:left w:val="none" w:sz="0" w:space="0" w:color="auto"/>
            <w:bottom w:val="none" w:sz="0" w:space="0" w:color="auto"/>
            <w:right w:val="none" w:sz="0" w:space="0" w:color="auto"/>
          </w:divBdr>
        </w:div>
        <w:div w:id="1550145272">
          <w:marLeft w:val="0"/>
          <w:marRight w:val="0"/>
          <w:marTop w:val="0"/>
          <w:marBottom w:val="0"/>
          <w:divBdr>
            <w:top w:val="none" w:sz="0" w:space="0" w:color="auto"/>
            <w:left w:val="none" w:sz="0" w:space="0" w:color="auto"/>
            <w:bottom w:val="none" w:sz="0" w:space="0" w:color="auto"/>
            <w:right w:val="none" w:sz="0" w:space="0" w:color="auto"/>
          </w:divBdr>
        </w:div>
        <w:div w:id="1551765858">
          <w:marLeft w:val="-75"/>
          <w:marRight w:val="0"/>
          <w:marTop w:val="30"/>
          <w:marBottom w:val="30"/>
          <w:divBdr>
            <w:top w:val="none" w:sz="0" w:space="0" w:color="auto"/>
            <w:left w:val="none" w:sz="0" w:space="0" w:color="auto"/>
            <w:bottom w:val="none" w:sz="0" w:space="0" w:color="auto"/>
            <w:right w:val="none" w:sz="0" w:space="0" w:color="auto"/>
          </w:divBdr>
          <w:divsChild>
            <w:div w:id="66733397">
              <w:marLeft w:val="0"/>
              <w:marRight w:val="0"/>
              <w:marTop w:val="0"/>
              <w:marBottom w:val="0"/>
              <w:divBdr>
                <w:top w:val="none" w:sz="0" w:space="0" w:color="auto"/>
                <w:left w:val="none" w:sz="0" w:space="0" w:color="auto"/>
                <w:bottom w:val="none" w:sz="0" w:space="0" w:color="auto"/>
                <w:right w:val="none" w:sz="0" w:space="0" w:color="auto"/>
              </w:divBdr>
              <w:divsChild>
                <w:div w:id="81610397">
                  <w:marLeft w:val="0"/>
                  <w:marRight w:val="0"/>
                  <w:marTop w:val="0"/>
                  <w:marBottom w:val="0"/>
                  <w:divBdr>
                    <w:top w:val="none" w:sz="0" w:space="0" w:color="auto"/>
                    <w:left w:val="none" w:sz="0" w:space="0" w:color="auto"/>
                    <w:bottom w:val="none" w:sz="0" w:space="0" w:color="auto"/>
                    <w:right w:val="none" w:sz="0" w:space="0" w:color="auto"/>
                  </w:divBdr>
                </w:div>
              </w:divsChild>
            </w:div>
            <w:div w:id="73163626">
              <w:marLeft w:val="0"/>
              <w:marRight w:val="0"/>
              <w:marTop w:val="0"/>
              <w:marBottom w:val="0"/>
              <w:divBdr>
                <w:top w:val="none" w:sz="0" w:space="0" w:color="auto"/>
                <w:left w:val="none" w:sz="0" w:space="0" w:color="auto"/>
                <w:bottom w:val="none" w:sz="0" w:space="0" w:color="auto"/>
                <w:right w:val="none" w:sz="0" w:space="0" w:color="auto"/>
              </w:divBdr>
              <w:divsChild>
                <w:div w:id="1792825300">
                  <w:marLeft w:val="0"/>
                  <w:marRight w:val="0"/>
                  <w:marTop w:val="0"/>
                  <w:marBottom w:val="0"/>
                  <w:divBdr>
                    <w:top w:val="none" w:sz="0" w:space="0" w:color="auto"/>
                    <w:left w:val="none" w:sz="0" w:space="0" w:color="auto"/>
                    <w:bottom w:val="none" w:sz="0" w:space="0" w:color="auto"/>
                    <w:right w:val="none" w:sz="0" w:space="0" w:color="auto"/>
                  </w:divBdr>
                </w:div>
              </w:divsChild>
            </w:div>
            <w:div w:id="86579434">
              <w:marLeft w:val="0"/>
              <w:marRight w:val="0"/>
              <w:marTop w:val="0"/>
              <w:marBottom w:val="0"/>
              <w:divBdr>
                <w:top w:val="none" w:sz="0" w:space="0" w:color="auto"/>
                <w:left w:val="none" w:sz="0" w:space="0" w:color="auto"/>
                <w:bottom w:val="none" w:sz="0" w:space="0" w:color="auto"/>
                <w:right w:val="none" w:sz="0" w:space="0" w:color="auto"/>
              </w:divBdr>
              <w:divsChild>
                <w:div w:id="1874272058">
                  <w:marLeft w:val="0"/>
                  <w:marRight w:val="0"/>
                  <w:marTop w:val="0"/>
                  <w:marBottom w:val="0"/>
                  <w:divBdr>
                    <w:top w:val="none" w:sz="0" w:space="0" w:color="auto"/>
                    <w:left w:val="none" w:sz="0" w:space="0" w:color="auto"/>
                    <w:bottom w:val="none" w:sz="0" w:space="0" w:color="auto"/>
                    <w:right w:val="none" w:sz="0" w:space="0" w:color="auto"/>
                  </w:divBdr>
                </w:div>
              </w:divsChild>
            </w:div>
            <w:div w:id="115027360">
              <w:marLeft w:val="0"/>
              <w:marRight w:val="0"/>
              <w:marTop w:val="0"/>
              <w:marBottom w:val="0"/>
              <w:divBdr>
                <w:top w:val="none" w:sz="0" w:space="0" w:color="auto"/>
                <w:left w:val="none" w:sz="0" w:space="0" w:color="auto"/>
                <w:bottom w:val="none" w:sz="0" w:space="0" w:color="auto"/>
                <w:right w:val="none" w:sz="0" w:space="0" w:color="auto"/>
              </w:divBdr>
              <w:divsChild>
                <w:div w:id="1817263315">
                  <w:marLeft w:val="0"/>
                  <w:marRight w:val="0"/>
                  <w:marTop w:val="0"/>
                  <w:marBottom w:val="0"/>
                  <w:divBdr>
                    <w:top w:val="none" w:sz="0" w:space="0" w:color="auto"/>
                    <w:left w:val="none" w:sz="0" w:space="0" w:color="auto"/>
                    <w:bottom w:val="none" w:sz="0" w:space="0" w:color="auto"/>
                    <w:right w:val="none" w:sz="0" w:space="0" w:color="auto"/>
                  </w:divBdr>
                </w:div>
              </w:divsChild>
            </w:div>
            <w:div w:id="185677957">
              <w:marLeft w:val="0"/>
              <w:marRight w:val="0"/>
              <w:marTop w:val="0"/>
              <w:marBottom w:val="0"/>
              <w:divBdr>
                <w:top w:val="none" w:sz="0" w:space="0" w:color="auto"/>
                <w:left w:val="none" w:sz="0" w:space="0" w:color="auto"/>
                <w:bottom w:val="none" w:sz="0" w:space="0" w:color="auto"/>
                <w:right w:val="none" w:sz="0" w:space="0" w:color="auto"/>
              </w:divBdr>
              <w:divsChild>
                <w:div w:id="658770585">
                  <w:marLeft w:val="0"/>
                  <w:marRight w:val="0"/>
                  <w:marTop w:val="0"/>
                  <w:marBottom w:val="0"/>
                  <w:divBdr>
                    <w:top w:val="none" w:sz="0" w:space="0" w:color="auto"/>
                    <w:left w:val="none" w:sz="0" w:space="0" w:color="auto"/>
                    <w:bottom w:val="none" w:sz="0" w:space="0" w:color="auto"/>
                    <w:right w:val="none" w:sz="0" w:space="0" w:color="auto"/>
                  </w:divBdr>
                </w:div>
              </w:divsChild>
            </w:div>
            <w:div w:id="188226590">
              <w:marLeft w:val="0"/>
              <w:marRight w:val="0"/>
              <w:marTop w:val="0"/>
              <w:marBottom w:val="0"/>
              <w:divBdr>
                <w:top w:val="none" w:sz="0" w:space="0" w:color="auto"/>
                <w:left w:val="none" w:sz="0" w:space="0" w:color="auto"/>
                <w:bottom w:val="none" w:sz="0" w:space="0" w:color="auto"/>
                <w:right w:val="none" w:sz="0" w:space="0" w:color="auto"/>
              </w:divBdr>
              <w:divsChild>
                <w:div w:id="346837502">
                  <w:marLeft w:val="0"/>
                  <w:marRight w:val="0"/>
                  <w:marTop w:val="0"/>
                  <w:marBottom w:val="0"/>
                  <w:divBdr>
                    <w:top w:val="none" w:sz="0" w:space="0" w:color="auto"/>
                    <w:left w:val="none" w:sz="0" w:space="0" w:color="auto"/>
                    <w:bottom w:val="none" w:sz="0" w:space="0" w:color="auto"/>
                    <w:right w:val="none" w:sz="0" w:space="0" w:color="auto"/>
                  </w:divBdr>
                </w:div>
              </w:divsChild>
            </w:div>
            <w:div w:id="199979344">
              <w:marLeft w:val="0"/>
              <w:marRight w:val="0"/>
              <w:marTop w:val="0"/>
              <w:marBottom w:val="0"/>
              <w:divBdr>
                <w:top w:val="none" w:sz="0" w:space="0" w:color="auto"/>
                <w:left w:val="none" w:sz="0" w:space="0" w:color="auto"/>
                <w:bottom w:val="none" w:sz="0" w:space="0" w:color="auto"/>
                <w:right w:val="none" w:sz="0" w:space="0" w:color="auto"/>
              </w:divBdr>
              <w:divsChild>
                <w:div w:id="2052921222">
                  <w:marLeft w:val="0"/>
                  <w:marRight w:val="0"/>
                  <w:marTop w:val="0"/>
                  <w:marBottom w:val="0"/>
                  <w:divBdr>
                    <w:top w:val="none" w:sz="0" w:space="0" w:color="auto"/>
                    <w:left w:val="none" w:sz="0" w:space="0" w:color="auto"/>
                    <w:bottom w:val="none" w:sz="0" w:space="0" w:color="auto"/>
                    <w:right w:val="none" w:sz="0" w:space="0" w:color="auto"/>
                  </w:divBdr>
                </w:div>
              </w:divsChild>
            </w:div>
            <w:div w:id="232981023">
              <w:marLeft w:val="0"/>
              <w:marRight w:val="0"/>
              <w:marTop w:val="0"/>
              <w:marBottom w:val="0"/>
              <w:divBdr>
                <w:top w:val="none" w:sz="0" w:space="0" w:color="auto"/>
                <w:left w:val="none" w:sz="0" w:space="0" w:color="auto"/>
                <w:bottom w:val="none" w:sz="0" w:space="0" w:color="auto"/>
                <w:right w:val="none" w:sz="0" w:space="0" w:color="auto"/>
              </w:divBdr>
              <w:divsChild>
                <w:div w:id="563494236">
                  <w:marLeft w:val="0"/>
                  <w:marRight w:val="0"/>
                  <w:marTop w:val="0"/>
                  <w:marBottom w:val="0"/>
                  <w:divBdr>
                    <w:top w:val="none" w:sz="0" w:space="0" w:color="auto"/>
                    <w:left w:val="none" w:sz="0" w:space="0" w:color="auto"/>
                    <w:bottom w:val="none" w:sz="0" w:space="0" w:color="auto"/>
                    <w:right w:val="none" w:sz="0" w:space="0" w:color="auto"/>
                  </w:divBdr>
                </w:div>
              </w:divsChild>
            </w:div>
            <w:div w:id="255599637">
              <w:marLeft w:val="0"/>
              <w:marRight w:val="0"/>
              <w:marTop w:val="0"/>
              <w:marBottom w:val="0"/>
              <w:divBdr>
                <w:top w:val="none" w:sz="0" w:space="0" w:color="auto"/>
                <w:left w:val="none" w:sz="0" w:space="0" w:color="auto"/>
                <w:bottom w:val="none" w:sz="0" w:space="0" w:color="auto"/>
                <w:right w:val="none" w:sz="0" w:space="0" w:color="auto"/>
              </w:divBdr>
              <w:divsChild>
                <w:div w:id="2129086833">
                  <w:marLeft w:val="0"/>
                  <w:marRight w:val="0"/>
                  <w:marTop w:val="0"/>
                  <w:marBottom w:val="0"/>
                  <w:divBdr>
                    <w:top w:val="none" w:sz="0" w:space="0" w:color="auto"/>
                    <w:left w:val="none" w:sz="0" w:space="0" w:color="auto"/>
                    <w:bottom w:val="none" w:sz="0" w:space="0" w:color="auto"/>
                    <w:right w:val="none" w:sz="0" w:space="0" w:color="auto"/>
                  </w:divBdr>
                </w:div>
              </w:divsChild>
            </w:div>
            <w:div w:id="263420807">
              <w:marLeft w:val="0"/>
              <w:marRight w:val="0"/>
              <w:marTop w:val="0"/>
              <w:marBottom w:val="0"/>
              <w:divBdr>
                <w:top w:val="none" w:sz="0" w:space="0" w:color="auto"/>
                <w:left w:val="none" w:sz="0" w:space="0" w:color="auto"/>
                <w:bottom w:val="none" w:sz="0" w:space="0" w:color="auto"/>
                <w:right w:val="none" w:sz="0" w:space="0" w:color="auto"/>
              </w:divBdr>
              <w:divsChild>
                <w:div w:id="565796047">
                  <w:marLeft w:val="0"/>
                  <w:marRight w:val="0"/>
                  <w:marTop w:val="0"/>
                  <w:marBottom w:val="0"/>
                  <w:divBdr>
                    <w:top w:val="none" w:sz="0" w:space="0" w:color="auto"/>
                    <w:left w:val="none" w:sz="0" w:space="0" w:color="auto"/>
                    <w:bottom w:val="none" w:sz="0" w:space="0" w:color="auto"/>
                    <w:right w:val="none" w:sz="0" w:space="0" w:color="auto"/>
                  </w:divBdr>
                </w:div>
              </w:divsChild>
            </w:div>
            <w:div w:id="278151785">
              <w:marLeft w:val="0"/>
              <w:marRight w:val="0"/>
              <w:marTop w:val="0"/>
              <w:marBottom w:val="0"/>
              <w:divBdr>
                <w:top w:val="none" w:sz="0" w:space="0" w:color="auto"/>
                <w:left w:val="none" w:sz="0" w:space="0" w:color="auto"/>
                <w:bottom w:val="none" w:sz="0" w:space="0" w:color="auto"/>
                <w:right w:val="none" w:sz="0" w:space="0" w:color="auto"/>
              </w:divBdr>
              <w:divsChild>
                <w:div w:id="1029188591">
                  <w:marLeft w:val="0"/>
                  <w:marRight w:val="0"/>
                  <w:marTop w:val="0"/>
                  <w:marBottom w:val="0"/>
                  <w:divBdr>
                    <w:top w:val="none" w:sz="0" w:space="0" w:color="auto"/>
                    <w:left w:val="none" w:sz="0" w:space="0" w:color="auto"/>
                    <w:bottom w:val="none" w:sz="0" w:space="0" w:color="auto"/>
                    <w:right w:val="none" w:sz="0" w:space="0" w:color="auto"/>
                  </w:divBdr>
                </w:div>
              </w:divsChild>
            </w:div>
            <w:div w:id="311058107">
              <w:marLeft w:val="0"/>
              <w:marRight w:val="0"/>
              <w:marTop w:val="0"/>
              <w:marBottom w:val="0"/>
              <w:divBdr>
                <w:top w:val="none" w:sz="0" w:space="0" w:color="auto"/>
                <w:left w:val="none" w:sz="0" w:space="0" w:color="auto"/>
                <w:bottom w:val="none" w:sz="0" w:space="0" w:color="auto"/>
                <w:right w:val="none" w:sz="0" w:space="0" w:color="auto"/>
              </w:divBdr>
              <w:divsChild>
                <w:div w:id="880677079">
                  <w:marLeft w:val="0"/>
                  <w:marRight w:val="0"/>
                  <w:marTop w:val="0"/>
                  <w:marBottom w:val="0"/>
                  <w:divBdr>
                    <w:top w:val="none" w:sz="0" w:space="0" w:color="auto"/>
                    <w:left w:val="none" w:sz="0" w:space="0" w:color="auto"/>
                    <w:bottom w:val="none" w:sz="0" w:space="0" w:color="auto"/>
                    <w:right w:val="none" w:sz="0" w:space="0" w:color="auto"/>
                  </w:divBdr>
                </w:div>
              </w:divsChild>
            </w:div>
            <w:div w:id="337008277">
              <w:marLeft w:val="0"/>
              <w:marRight w:val="0"/>
              <w:marTop w:val="0"/>
              <w:marBottom w:val="0"/>
              <w:divBdr>
                <w:top w:val="none" w:sz="0" w:space="0" w:color="auto"/>
                <w:left w:val="none" w:sz="0" w:space="0" w:color="auto"/>
                <w:bottom w:val="none" w:sz="0" w:space="0" w:color="auto"/>
                <w:right w:val="none" w:sz="0" w:space="0" w:color="auto"/>
              </w:divBdr>
              <w:divsChild>
                <w:div w:id="1941141690">
                  <w:marLeft w:val="0"/>
                  <w:marRight w:val="0"/>
                  <w:marTop w:val="0"/>
                  <w:marBottom w:val="0"/>
                  <w:divBdr>
                    <w:top w:val="none" w:sz="0" w:space="0" w:color="auto"/>
                    <w:left w:val="none" w:sz="0" w:space="0" w:color="auto"/>
                    <w:bottom w:val="none" w:sz="0" w:space="0" w:color="auto"/>
                    <w:right w:val="none" w:sz="0" w:space="0" w:color="auto"/>
                  </w:divBdr>
                </w:div>
              </w:divsChild>
            </w:div>
            <w:div w:id="408504574">
              <w:marLeft w:val="0"/>
              <w:marRight w:val="0"/>
              <w:marTop w:val="0"/>
              <w:marBottom w:val="0"/>
              <w:divBdr>
                <w:top w:val="none" w:sz="0" w:space="0" w:color="auto"/>
                <w:left w:val="none" w:sz="0" w:space="0" w:color="auto"/>
                <w:bottom w:val="none" w:sz="0" w:space="0" w:color="auto"/>
                <w:right w:val="none" w:sz="0" w:space="0" w:color="auto"/>
              </w:divBdr>
              <w:divsChild>
                <w:div w:id="1966038830">
                  <w:marLeft w:val="0"/>
                  <w:marRight w:val="0"/>
                  <w:marTop w:val="0"/>
                  <w:marBottom w:val="0"/>
                  <w:divBdr>
                    <w:top w:val="none" w:sz="0" w:space="0" w:color="auto"/>
                    <w:left w:val="none" w:sz="0" w:space="0" w:color="auto"/>
                    <w:bottom w:val="none" w:sz="0" w:space="0" w:color="auto"/>
                    <w:right w:val="none" w:sz="0" w:space="0" w:color="auto"/>
                  </w:divBdr>
                </w:div>
              </w:divsChild>
            </w:div>
            <w:div w:id="457145365">
              <w:marLeft w:val="0"/>
              <w:marRight w:val="0"/>
              <w:marTop w:val="0"/>
              <w:marBottom w:val="0"/>
              <w:divBdr>
                <w:top w:val="none" w:sz="0" w:space="0" w:color="auto"/>
                <w:left w:val="none" w:sz="0" w:space="0" w:color="auto"/>
                <w:bottom w:val="none" w:sz="0" w:space="0" w:color="auto"/>
                <w:right w:val="none" w:sz="0" w:space="0" w:color="auto"/>
              </w:divBdr>
              <w:divsChild>
                <w:div w:id="184565361">
                  <w:marLeft w:val="0"/>
                  <w:marRight w:val="0"/>
                  <w:marTop w:val="0"/>
                  <w:marBottom w:val="0"/>
                  <w:divBdr>
                    <w:top w:val="none" w:sz="0" w:space="0" w:color="auto"/>
                    <w:left w:val="none" w:sz="0" w:space="0" w:color="auto"/>
                    <w:bottom w:val="none" w:sz="0" w:space="0" w:color="auto"/>
                    <w:right w:val="none" w:sz="0" w:space="0" w:color="auto"/>
                  </w:divBdr>
                </w:div>
              </w:divsChild>
            </w:div>
            <w:div w:id="463546809">
              <w:marLeft w:val="0"/>
              <w:marRight w:val="0"/>
              <w:marTop w:val="0"/>
              <w:marBottom w:val="0"/>
              <w:divBdr>
                <w:top w:val="none" w:sz="0" w:space="0" w:color="auto"/>
                <w:left w:val="none" w:sz="0" w:space="0" w:color="auto"/>
                <w:bottom w:val="none" w:sz="0" w:space="0" w:color="auto"/>
                <w:right w:val="none" w:sz="0" w:space="0" w:color="auto"/>
              </w:divBdr>
              <w:divsChild>
                <w:div w:id="1396665345">
                  <w:marLeft w:val="0"/>
                  <w:marRight w:val="0"/>
                  <w:marTop w:val="0"/>
                  <w:marBottom w:val="0"/>
                  <w:divBdr>
                    <w:top w:val="none" w:sz="0" w:space="0" w:color="auto"/>
                    <w:left w:val="none" w:sz="0" w:space="0" w:color="auto"/>
                    <w:bottom w:val="none" w:sz="0" w:space="0" w:color="auto"/>
                    <w:right w:val="none" w:sz="0" w:space="0" w:color="auto"/>
                  </w:divBdr>
                </w:div>
              </w:divsChild>
            </w:div>
            <w:div w:id="467938778">
              <w:marLeft w:val="0"/>
              <w:marRight w:val="0"/>
              <w:marTop w:val="0"/>
              <w:marBottom w:val="0"/>
              <w:divBdr>
                <w:top w:val="none" w:sz="0" w:space="0" w:color="auto"/>
                <w:left w:val="none" w:sz="0" w:space="0" w:color="auto"/>
                <w:bottom w:val="none" w:sz="0" w:space="0" w:color="auto"/>
                <w:right w:val="none" w:sz="0" w:space="0" w:color="auto"/>
              </w:divBdr>
              <w:divsChild>
                <w:div w:id="1065109576">
                  <w:marLeft w:val="0"/>
                  <w:marRight w:val="0"/>
                  <w:marTop w:val="0"/>
                  <w:marBottom w:val="0"/>
                  <w:divBdr>
                    <w:top w:val="none" w:sz="0" w:space="0" w:color="auto"/>
                    <w:left w:val="none" w:sz="0" w:space="0" w:color="auto"/>
                    <w:bottom w:val="none" w:sz="0" w:space="0" w:color="auto"/>
                    <w:right w:val="none" w:sz="0" w:space="0" w:color="auto"/>
                  </w:divBdr>
                </w:div>
              </w:divsChild>
            </w:div>
            <w:div w:id="470056904">
              <w:marLeft w:val="0"/>
              <w:marRight w:val="0"/>
              <w:marTop w:val="0"/>
              <w:marBottom w:val="0"/>
              <w:divBdr>
                <w:top w:val="none" w:sz="0" w:space="0" w:color="auto"/>
                <w:left w:val="none" w:sz="0" w:space="0" w:color="auto"/>
                <w:bottom w:val="none" w:sz="0" w:space="0" w:color="auto"/>
                <w:right w:val="none" w:sz="0" w:space="0" w:color="auto"/>
              </w:divBdr>
              <w:divsChild>
                <w:div w:id="824122647">
                  <w:marLeft w:val="0"/>
                  <w:marRight w:val="0"/>
                  <w:marTop w:val="0"/>
                  <w:marBottom w:val="0"/>
                  <w:divBdr>
                    <w:top w:val="none" w:sz="0" w:space="0" w:color="auto"/>
                    <w:left w:val="none" w:sz="0" w:space="0" w:color="auto"/>
                    <w:bottom w:val="none" w:sz="0" w:space="0" w:color="auto"/>
                    <w:right w:val="none" w:sz="0" w:space="0" w:color="auto"/>
                  </w:divBdr>
                </w:div>
              </w:divsChild>
            </w:div>
            <w:div w:id="499392505">
              <w:marLeft w:val="0"/>
              <w:marRight w:val="0"/>
              <w:marTop w:val="0"/>
              <w:marBottom w:val="0"/>
              <w:divBdr>
                <w:top w:val="none" w:sz="0" w:space="0" w:color="auto"/>
                <w:left w:val="none" w:sz="0" w:space="0" w:color="auto"/>
                <w:bottom w:val="none" w:sz="0" w:space="0" w:color="auto"/>
                <w:right w:val="none" w:sz="0" w:space="0" w:color="auto"/>
              </w:divBdr>
              <w:divsChild>
                <w:div w:id="1431319957">
                  <w:marLeft w:val="0"/>
                  <w:marRight w:val="0"/>
                  <w:marTop w:val="0"/>
                  <w:marBottom w:val="0"/>
                  <w:divBdr>
                    <w:top w:val="none" w:sz="0" w:space="0" w:color="auto"/>
                    <w:left w:val="none" w:sz="0" w:space="0" w:color="auto"/>
                    <w:bottom w:val="none" w:sz="0" w:space="0" w:color="auto"/>
                    <w:right w:val="none" w:sz="0" w:space="0" w:color="auto"/>
                  </w:divBdr>
                </w:div>
              </w:divsChild>
            </w:div>
            <w:div w:id="515775846">
              <w:marLeft w:val="0"/>
              <w:marRight w:val="0"/>
              <w:marTop w:val="0"/>
              <w:marBottom w:val="0"/>
              <w:divBdr>
                <w:top w:val="none" w:sz="0" w:space="0" w:color="auto"/>
                <w:left w:val="none" w:sz="0" w:space="0" w:color="auto"/>
                <w:bottom w:val="none" w:sz="0" w:space="0" w:color="auto"/>
                <w:right w:val="none" w:sz="0" w:space="0" w:color="auto"/>
              </w:divBdr>
              <w:divsChild>
                <w:div w:id="222370115">
                  <w:marLeft w:val="0"/>
                  <w:marRight w:val="0"/>
                  <w:marTop w:val="0"/>
                  <w:marBottom w:val="0"/>
                  <w:divBdr>
                    <w:top w:val="none" w:sz="0" w:space="0" w:color="auto"/>
                    <w:left w:val="none" w:sz="0" w:space="0" w:color="auto"/>
                    <w:bottom w:val="none" w:sz="0" w:space="0" w:color="auto"/>
                    <w:right w:val="none" w:sz="0" w:space="0" w:color="auto"/>
                  </w:divBdr>
                </w:div>
              </w:divsChild>
            </w:div>
            <w:div w:id="615645762">
              <w:marLeft w:val="0"/>
              <w:marRight w:val="0"/>
              <w:marTop w:val="0"/>
              <w:marBottom w:val="0"/>
              <w:divBdr>
                <w:top w:val="none" w:sz="0" w:space="0" w:color="auto"/>
                <w:left w:val="none" w:sz="0" w:space="0" w:color="auto"/>
                <w:bottom w:val="none" w:sz="0" w:space="0" w:color="auto"/>
                <w:right w:val="none" w:sz="0" w:space="0" w:color="auto"/>
              </w:divBdr>
              <w:divsChild>
                <w:div w:id="1782214381">
                  <w:marLeft w:val="0"/>
                  <w:marRight w:val="0"/>
                  <w:marTop w:val="0"/>
                  <w:marBottom w:val="0"/>
                  <w:divBdr>
                    <w:top w:val="none" w:sz="0" w:space="0" w:color="auto"/>
                    <w:left w:val="none" w:sz="0" w:space="0" w:color="auto"/>
                    <w:bottom w:val="none" w:sz="0" w:space="0" w:color="auto"/>
                    <w:right w:val="none" w:sz="0" w:space="0" w:color="auto"/>
                  </w:divBdr>
                </w:div>
              </w:divsChild>
            </w:div>
            <w:div w:id="663900409">
              <w:marLeft w:val="0"/>
              <w:marRight w:val="0"/>
              <w:marTop w:val="0"/>
              <w:marBottom w:val="0"/>
              <w:divBdr>
                <w:top w:val="none" w:sz="0" w:space="0" w:color="auto"/>
                <w:left w:val="none" w:sz="0" w:space="0" w:color="auto"/>
                <w:bottom w:val="none" w:sz="0" w:space="0" w:color="auto"/>
                <w:right w:val="none" w:sz="0" w:space="0" w:color="auto"/>
              </w:divBdr>
              <w:divsChild>
                <w:div w:id="1304848382">
                  <w:marLeft w:val="0"/>
                  <w:marRight w:val="0"/>
                  <w:marTop w:val="0"/>
                  <w:marBottom w:val="0"/>
                  <w:divBdr>
                    <w:top w:val="none" w:sz="0" w:space="0" w:color="auto"/>
                    <w:left w:val="none" w:sz="0" w:space="0" w:color="auto"/>
                    <w:bottom w:val="none" w:sz="0" w:space="0" w:color="auto"/>
                    <w:right w:val="none" w:sz="0" w:space="0" w:color="auto"/>
                  </w:divBdr>
                </w:div>
              </w:divsChild>
            </w:div>
            <w:div w:id="736127968">
              <w:marLeft w:val="0"/>
              <w:marRight w:val="0"/>
              <w:marTop w:val="0"/>
              <w:marBottom w:val="0"/>
              <w:divBdr>
                <w:top w:val="none" w:sz="0" w:space="0" w:color="auto"/>
                <w:left w:val="none" w:sz="0" w:space="0" w:color="auto"/>
                <w:bottom w:val="none" w:sz="0" w:space="0" w:color="auto"/>
                <w:right w:val="none" w:sz="0" w:space="0" w:color="auto"/>
              </w:divBdr>
              <w:divsChild>
                <w:div w:id="1193377301">
                  <w:marLeft w:val="0"/>
                  <w:marRight w:val="0"/>
                  <w:marTop w:val="0"/>
                  <w:marBottom w:val="0"/>
                  <w:divBdr>
                    <w:top w:val="none" w:sz="0" w:space="0" w:color="auto"/>
                    <w:left w:val="none" w:sz="0" w:space="0" w:color="auto"/>
                    <w:bottom w:val="none" w:sz="0" w:space="0" w:color="auto"/>
                    <w:right w:val="none" w:sz="0" w:space="0" w:color="auto"/>
                  </w:divBdr>
                </w:div>
              </w:divsChild>
            </w:div>
            <w:div w:id="813067608">
              <w:marLeft w:val="0"/>
              <w:marRight w:val="0"/>
              <w:marTop w:val="0"/>
              <w:marBottom w:val="0"/>
              <w:divBdr>
                <w:top w:val="none" w:sz="0" w:space="0" w:color="auto"/>
                <w:left w:val="none" w:sz="0" w:space="0" w:color="auto"/>
                <w:bottom w:val="none" w:sz="0" w:space="0" w:color="auto"/>
                <w:right w:val="none" w:sz="0" w:space="0" w:color="auto"/>
              </w:divBdr>
              <w:divsChild>
                <w:div w:id="429355544">
                  <w:marLeft w:val="0"/>
                  <w:marRight w:val="0"/>
                  <w:marTop w:val="0"/>
                  <w:marBottom w:val="0"/>
                  <w:divBdr>
                    <w:top w:val="none" w:sz="0" w:space="0" w:color="auto"/>
                    <w:left w:val="none" w:sz="0" w:space="0" w:color="auto"/>
                    <w:bottom w:val="none" w:sz="0" w:space="0" w:color="auto"/>
                    <w:right w:val="none" w:sz="0" w:space="0" w:color="auto"/>
                  </w:divBdr>
                </w:div>
              </w:divsChild>
            </w:div>
            <w:div w:id="858006762">
              <w:marLeft w:val="0"/>
              <w:marRight w:val="0"/>
              <w:marTop w:val="0"/>
              <w:marBottom w:val="0"/>
              <w:divBdr>
                <w:top w:val="none" w:sz="0" w:space="0" w:color="auto"/>
                <w:left w:val="none" w:sz="0" w:space="0" w:color="auto"/>
                <w:bottom w:val="none" w:sz="0" w:space="0" w:color="auto"/>
                <w:right w:val="none" w:sz="0" w:space="0" w:color="auto"/>
              </w:divBdr>
              <w:divsChild>
                <w:div w:id="1905485485">
                  <w:marLeft w:val="0"/>
                  <w:marRight w:val="0"/>
                  <w:marTop w:val="0"/>
                  <w:marBottom w:val="0"/>
                  <w:divBdr>
                    <w:top w:val="none" w:sz="0" w:space="0" w:color="auto"/>
                    <w:left w:val="none" w:sz="0" w:space="0" w:color="auto"/>
                    <w:bottom w:val="none" w:sz="0" w:space="0" w:color="auto"/>
                    <w:right w:val="none" w:sz="0" w:space="0" w:color="auto"/>
                  </w:divBdr>
                </w:div>
              </w:divsChild>
            </w:div>
            <w:div w:id="878123204">
              <w:marLeft w:val="0"/>
              <w:marRight w:val="0"/>
              <w:marTop w:val="0"/>
              <w:marBottom w:val="0"/>
              <w:divBdr>
                <w:top w:val="none" w:sz="0" w:space="0" w:color="auto"/>
                <w:left w:val="none" w:sz="0" w:space="0" w:color="auto"/>
                <w:bottom w:val="none" w:sz="0" w:space="0" w:color="auto"/>
                <w:right w:val="none" w:sz="0" w:space="0" w:color="auto"/>
              </w:divBdr>
              <w:divsChild>
                <w:div w:id="2077892505">
                  <w:marLeft w:val="0"/>
                  <w:marRight w:val="0"/>
                  <w:marTop w:val="0"/>
                  <w:marBottom w:val="0"/>
                  <w:divBdr>
                    <w:top w:val="none" w:sz="0" w:space="0" w:color="auto"/>
                    <w:left w:val="none" w:sz="0" w:space="0" w:color="auto"/>
                    <w:bottom w:val="none" w:sz="0" w:space="0" w:color="auto"/>
                    <w:right w:val="none" w:sz="0" w:space="0" w:color="auto"/>
                  </w:divBdr>
                </w:div>
              </w:divsChild>
            </w:div>
            <w:div w:id="899287124">
              <w:marLeft w:val="0"/>
              <w:marRight w:val="0"/>
              <w:marTop w:val="0"/>
              <w:marBottom w:val="0"/>
              <w:divBdr>
                <w:top w:val="none" w:sz="0" w:space="0" w:color="auto"/>
                <w:left w:val="none" w:sz="0" w:space="0" w:color="auto"/>
                <w:bottom w:val="none" w:sz="0" w:space="0" w:color="auto"/>
                <w:right w:val="none" w:sz="0" w:space="0" w:color="auto"/>
              </w:divBdr>
              <w:divsChild>
                <w:div w:id="684403122">
                  <w:marLeft w:val="0"/>
                  <w:marRight w:val="0"/>
                  <w:marTop w:val="0"/>
                  <w:marBottom w:val="0"/>
                  <w:divBdr>
                    <w:top w:val="none" w:sz="0" w:space="0" w:color="auto"/>
                    <w:left w:val="none" w:sz="0" w:space="0" w:color="auto"/>
                    <w:bottom w:val="none" w:sz="0" w:space="0" w:color="auto"/>
                    <w:right w:val="none" w:sz="0" w:space="0" w:color="auto"/>
                  </w:divBdr>
                </w:div>
              </w:divsChild>
            </w:div>
            <w:div w:id="944264176">
              <w:marLeft w:val="0"/>
              <w:marRight w:val="0"/>
              <w:marTop w:val="0"/>
              <w:marBottom w:val="0"/>
              <w:divBdr>
                <w:top w:val="none" w:sz="0" w:space="0" w:color="auto"/>
                <w:left w:val="none" w:sz="0" w:space="0" w:color="auto"/>
                <w:bottom w:val="none" w:sz="0" w:space="0" w:color="auto"/>
                <w:right w:val="none" w:sz="0" w:space="0" w:color="auto"/>
              </w:divBdr>
              <w:divsChild>
                <w:div w:id="1263952080">
                  <w:marLeft w:val="0"/>
                  <w:marRight w:val="0"/>
                  <w:marTop w:val="0"/>
                  <w:marBottom w:val="0"/>
                  <w:divBdr>
                    <w:top w:val="none" w:sz="0" w:space="0" w:color="auto"/>
                    <w:left w:val="none" w:sz="0" w:space="0" w:color="auto"/>
                    <w:bottom w:val="none" w:sz="0" w:space="0" w:color="auto"/>
                    <w:right w:val="none" w:sz="0" w:space="0" w:color="auto"/>
                  </w:divBdr>
                </w:div>
              </w:divsChild>
            </w:div>
            <w:div w:id="983198443">
              <w:marLeft w:val="0"/>
              <w:marRight w:val="0"/>
              <w:marTop w:val="0"/>
              <w:marBottom w:val="0"/>
              <w:divBdr>
                <w:top w:val="none" w:sz="0" w:space="0" w:color="auto"/>
                <w:left w:val="none" w:sz="0" w:space="0" w:color="auto"/>
                <w:bottom w:val="none" w:sz="0" w:space="0" w:color="auto"/>
                <w:right w:val="none" w:sz="0" w:space="0" w:color="auto"/>
              </w:divBdr>
              <w:divsChild>
                <w:div w:id="340932346">
                  <w:marLeft w:val="0"/>
                  <w:marRight w:val="0"/>
                  <w:marTop w:val="0"/>
                  <w:marBottom w:val="0"/>
                  <w:divBdr>
                    <w:top w:val="none" w:sz="0" w:space="0" w:color="auto"/>
                    <w:left w:val="none" w:sz="0" w:space="0" w:color="auto"/>
                    <w:bottom w:val="none" w:sz="0" w:space="0" w:color="auto"/>
                    <w:right w:val="none" w:sz="0" w:space="0" w:color="auto"/>
                  </w:divBdr>
                </w:div>
              </w:divsChild>
            </w:div>
            <w:div w:id="985742645">
              <w:marLeft w:val="0"/>
              <w:marRight w:val="0"/>
              <w:marTop w:val="0"/>
              <w:marBottom w:val="0"/>
              <w:divBdr>
                <w:top w:val="none" w:sz="0" w:space="0" w:color="auto"/>
                <w:left w:val="none" w:sz="0" w:space="0" w:color="auto"/>
                <w:bottom w:val="none" w:sz="0" w:space="0" w:color="auto"/>
                <w:right w:val="none" w:sz="0" w:space="0" w:color="auto"/>
              </w:divBdr>
              <w:divsChild>
                <w:div w:id="1745762096">
                  <w:marLeft w:val="0"/>
                  <w:marRight w:val="0"/>
                  <w:marTop w:val="0"/>
                  <w:marBottom w:val="0"/>
                  <w:divBdr>
                    <w:top w:val="none" w:sz="0" w:space="0" w:color="auto"/>
                    <w:left w:val="none" w:sz="0" w:space="0" w:color="auto"/>
                    <w:bottom w:val="none" w:sz="0" w:space="0" w:color="auto"/>
                    <w:right w:val="none" w:sz="0" w:space="0" w:color="auto"/>
                  </w:divBdr>
                </w:div>
              </w:divsChild>
            </w:div>
            <w:div w:id="986787581">
              <w:marLeft w:val="0"/>
              <w:marRight w:val="0"/>
              <w:marTop w:val="0"/>
              <w:marBottom w:val="0"/>
              <w:divBdr>
                <w:top w:val="none" w:sz="0" w:space="0" w:color="auto"/>
                <w:left w:val="none" w:sz="0" w:space="0" w:color="auto"/>
                <w:bottom w:val="none" w:sz="0" w:space="0" w:color="auto"/>
                <w:right w:val="none" w:sz="0" w:space="0" w:color="auto"/>
              </w:divBdr>
              <w:divsChild>
                <w:div w:id="1456215166">
                  <w:marLeft w:val="0"/>
                  <w:marRight w:val="0"/>
                  <w:marTop w:val="0"/>
                  <w:marBottom w:val="0"/>
                  <w:divBdr>
                    <w:top w:val="none" w:sz="0" w:space="0" w:color="auto"/>
                    <w:left w:val="none" w:sz="0" w:space="0" w:color="auto"/>
                    <w:bottom w:val="none" w:sz="0" w:space="0" w:color="auto"/>
                    <w:right w:val="none" w:sz="0" w:space="0" w:color="auto"/>
                  </w:divBdr>
                </w:div>
              </w:divsChild>
            </w:div>
            <w:div w:id="993801552">
              <w:marLeft w:val="0"/>
              <w:marRight w:val="0"/>
              <w:marTop w:val="0"/>
              <w:marBottom w:val="0"/>
              <w:divBdr>
                <w:top w:val="none" w:sz="0" w:space="0" w:color="auto"/>
                <w:left w:val="none" w:sz="0" w:space="0" w:color="auto"/>
                <w:bottom w:val="none" w:sz="0" w:space="0" w:color="auto"/>
                <w:right w:val="none" w:sz="0" w:space="0" w:color="auto"/>
              </w:divBdr>
              <w:divsChild>
                <w:div w:id="734855990">
                  <w:marLeft w:val="0"/>
                  <w:marRight w:val="0"/>
                  <w:marTop w:val="0"/>
                  <w:marBottom w:val="0"/>
                  <w:divBdr>
                    <w:top w:val="none" w:sz="0" w:space="0" w:color="auto"/>
                    <w:left w:val="none" w:sz="0" w:space="0" w:color="auto"/>
                    <w:bottom w:val="none" w:sz="0" w:space="0" w:color="auto"/>
                    <w:right w:val="none" w:sz="0" w:space="0" w:color="auto"/>
                  </w:divBdr>
                </w:div>
              </w:divsChild>
            </w:div>
            <w:div w:id="994913725">
              <w:marLeft w:val="0"/>
              <w:marRight w:val="0"/>
              <w:marTop w:val="0"/>
              <w:marBottom w:val="0"/>
              <w:divBdr>
                <w:top w:val="none" w:sz="0" w:space="0" w:color="auto"/>
                <w:left w:val="none" w:sz="0" w:space="0" w:color="auto"/>
                <w:bottom w:val="none" w:sz="0" w:space="0" w:color="auto"/>
                <w:right w:val="none" w:sz="0" w:space="0" w:color="auto"/>
              </w:divBdr>
              <w:divsChild>
                <w:div w:id="1812208787">
                  <w:marLeft w:val="0"/>
                  <w:marRight w:val="0"/>
                  <w:marTop w:val="0"/>
                  <w:marBottom w:val="0"/>
                  <w:divBdr>
                    <w:top w:val="none" w:sz="0" w:space="0" w:color="auto"/>
                    <w:left w:val="none" w:sz="0" w:space="0" w:color="auto"/>
                    <w:bottom w:val="none" w:sz="0" w:space="0" w:color="auto"/>
                    <w:right w:val="none" w:sz="0" w:space="0" w:color="auto"/>
                  </w:divBdr>
                </w:div>
              </w:divsChild>
            </w:div>
            <w:div w:id="1006640797">
              <w:marLeft w:val="0"/>
              <w:marRight w:val="0"/>
              <w:marTop w:val="0"/>
              <w:marBottom w:val="0"/>
              <w:divBdr>
                <w:top w:val="none" w:sz="0" w:space="0" w:color="auto"/>
                <w:left w:val="none" w:sz="0" w:space="0" w:color="auto"/>
                <w:bottom w:val="none" w:sz="0" w:space="0" w:color="auto"/>
                <w:right w:val="none" w:sz="0" w:space="0" w:color="auto"/>
              </w:divBdr>
              <w:divsChild>
                <w:div w:id="370151410">
                  <w:marLeft w:val="0"/>
                  <w:marRight w:val="0"/>
                  <w:marTop w:val="0"/>
                  <w:marBottom w:val="0"/>
                  <w:divBdr>
                    <w:top w:val="none" w:sz="0" w:space="0" w:color="auto"/>
                    <w:left w:val="none" w:sz="0" w:space="0" w:color="auto"/>
                    <w:bottom w:val="none" w:sz="0" w:space="0" w:color="auto"/>
                    <w:right w:val="none" w:sz="0" w:space="0" w:color="auto"/>
                  </w:divBdr>
                </w:div>
              </w:divsChild>
            </w:div>
            <w:div w:id="1066533657">
              <w:marLeft w:val="0"/>
              <w:marRight w:val="0"/>
              <w:marTop w:val="0"/>
              <w:marBottom w:val="0"/>
              <w:divBdr>
                <w:top w:val="none" w:sz="0" w:space="0" w:color="auto"/>
                <w:left w:val="none" w:sz="0" w:space="0" w:color="auto"/>
                <w:bottom w:val="none" w:sz="0" w:space="0" w:color="auto"/>
                <w:right w:val="none" w:sz="0" w:space="0" w:color="auto"/>
              </w:divBdr>
              <w:divsChild>
                <w:div w:id="1498112492">
                  <w:marLeft w:val="0"/>
                  <w:marRight w:val="0"/>
                  <w:marTop w:val="0"/>
                  <w:marBottom w:val="0"/>
                  <w:divBdr>
                    <w:top w:val="none" w:sz="0" w:space="0" w:color="auto"/>
                    <w:left w:val="none" w:sz="0" w:space="0" w:color="auto"/>
                    <w:bottom w:val="none" w:sz="0" w:space="0" w:color="auto"/>
                    <w:right w:val="none" w:sz="0" w:space="0" w:color="auto"/>
                  </w:divBdr>
                </w:div>
              </w:divsChild>
            </w:div>
            <w:div w:id="1091858292">
              <w:marLeft w:val="0"/>
              <w:marRight w:val="0"/>
              <w:marTop w:val="0"/>
              <w:marBottom w:val="0"/>
              <w:divBdr>
                <w:top w:val="none" w:sz="0" w:space="0" w:color="auto"/>
                <w:left w:val="none" w:sz="0" w:space="0" w:color="auto"/>
                <w:bottom w:val="none" w:sz="0" w:space="0" w:color="auto"/>
                <w:right w:val="none" w:sz="0" w:space="0" w:color="auto"/>
              </w:divBdr>
              <w:divsChild>
                <w:div w:id="190070797">
                  <w:marLeft w:val="0"/>
                  <w:marRight w:val="0"/>
                  <w:marTop w:val="0"/>
                  <w:marBottom w:val="0"/>
                  <w:divBdr>
                    <w:top w:val="none" w:sz="0" w:space="0" w:color="auto"/>
                    <w:left w:val="none" w:sz="0" w:space="0" w:color="auto"/>
                    <w:bottom w:val="none" w:sz="0" w:space="0" w:color="auto"/>
                    <w:right w:val="none" w:sz="0" w:space="0" w:color="auto"/>
                  </w:divBdr>
                </w:div>
              </w:divsChild>
            </w:div>
            <w:div w:id="1112289021">
              <w:marLeft w:val="0"/>
              <w:marRight w:val="0"/>
              <w:marTop w:val="0"/>
              <w:marBottom w:val="0"/>
              <w:divBdr>
                <w:top w:val="none" w:sz="0" w:space="0" w:color="auto"/>
                <w:left w:val="none" w:sz="0" w:space="0" w:color="auto"/>
                <w:bottom w:val="none" w:sz="0" w:space="0" w:color="auto"/>
                <w:right w:val="none" w:sz="0" w:space="0" w:color="auto"/>
              </w:divBdr>
              <w:divsChild>
                <w:div w:id="974605729">
                  <w:marLeft w:val="0"/>
                  <w:marRight w:val="0"/>
                  <w:marTop w:val="0"/>
                  <w:marBottom w:val="0"/>
                  <w:divBdr>
                    <w:top w:val="none" w:sz="0" w:space="0" w:color="auto"/>
                    <w:left w:val="none" w:sz="0" w:space="0" w:color="auto"/>
                    <w:bottom w:val="none" w:sz="0" w:space="0" w:color="auto"/>
                    <w:right w:val="none" w:sz="0" w:space="0" w:color="auto"/>
                  </w:divBdr>
                </w:div>
              </w:divsChild>
            </w:div>
            <w:div w:id="1122186362">
              <w:marLeft w:val="0"/>
              <w:marRight w:val="0"/>
              <w:marTop w:val="0"/>
              <w:marBottom w:val="0"/>
              <w:divBdr>
                <w:top w:val="none" w:sz="0" w:space="0" w:color="auto"/>
                <w:left w:val="none" w:sz="0" w:space="0" w:color="auto"/>
                <w:bottom w:val="none" w:sz="0" w:space="0" w:color="auto"/>
                <w:right w:val="none" w:sz="0" w:space="0" w:color="auto"/>
              </w:divBdr>
              <w:divsChild>
                <w:div w:id="33310203">
                  <w:marLeft w:val="0"/>
                  <w:marRight w:val="0"/>
                  <w:marTop w:val="0"/>
                  <w:marBottom w:val="0"/>
                  <w:divBdr>
                    <w:top w:val="none" w:sz="0" w:space="0" w:color="auto"/>
                    <w:left w:val="none" w:sz="0" w:space="0" w:color="auto"/>
                    <w:bottom w:val="none" w:sz="0" w:space="0" w:color="auto"/>
                    <w:right w:val="none" w:sz="0" w:space="0" w:color="auto"/>
                  </w:divBdr>
                </w:div>
              </w:divsChild>
            </w:div>
            <w:div w:id="1200819339">
              <w:marLeft w:val="0"/>
              <w:marRight w:val="0"/>
              <w:marTop w:val="0"/>
              <w:marBottom w:val="0"/>
              <w:divBdr>
                <w:top w:val="none" w:sz="0" w:space="0" w:color="auto"/>
                <w:left w:val="none" w:sz="0" w:space="0" w:color="auto"/>
                <w:bottom w:val="none" w:sz="0" w:space="0" w:color="auto"/>
                <w:right w:val="none" w:sz="0" w:space="0" w:color="auto"/>
              </w:divBdr>
              <w:divsChild>
                <w:div w:id="520166247">
                  <w:marLeft w:val="0"/>
                  <w:marRight w:val="0"/>
                  <w:marTop w:val="0"/>
                  <w:marBottom w:val="0"/>
                  <w:divBdr>
                    <w:top w:val="none" w:sz="0" w:space="0" w:color="auto"/>
                    <w:left w:val="none" w:sz="0" w:space="0" w:color="auto"/>
                    <w:bottom w:val="none" w:sz="0" w:space="0" w:color="auto"/>
                    <w:right w:val="none" w:sz="0" w:space="0" w:color="auto"/>
                  </w:divBdr>
                </w:div>
              </w:divsChild>
            </w:div>
            <w:div w:id="1210723447">
              <w:marLeft w:val="0"/>
              <w:marRight w:val="0"/>
              <w:marTop w:val="0"/>
              <w:marBottom w:val="0"/>
              <w:divBdr>
                <w:top w:val="none" w:sz="0" w:space="0" w:color="auto"/>
                <w:left w:val="none" w:sz="0" w:space="0" w:color="auto"/>
                <w:bottom w:val="none" w:sz="0" w:space="0" w:color="auto"/>
                <w:right w:val="none" w:sz="0" w:space="0" w:color="auto"/>
              </w:divBdr>
              <w:divsChild>
                <w:div w:id="1787964321">
                  <w:marLeft w:val="0"/>
                  <w:marRight w:val="0"/>
                  <w:marTop w:val="0"/>
                  <w:marBottom w:val="0"/>
                  <w:divBdr>
                    <w:top w:val="none" w:sz="0" w:space="0" w:color="auto"/>
                    <w:left w:val="none" w:sz="0" w:space="0" w:color="auto"/>
                    <w:bottom w:val="none" w:sz="0" w:space="0" w:color="auto"/>
                    <w:right w:val="none" w:sz="0" w:space="0" w:color="auto"/>
                  </w:divBdr>
                </w:div>
              </w:divsChild>
            </w:div>
            <w:div w:id="1247806227">
              <w:marLeft w:val="0"/>
              <w:marRight w:val="0"/>
              <w:marTop w:val="0"/>
              <w:marBottom w:val="0"/>
              <w:divBdr>
                <w:top w:val="none" w:sz="0" w:space="0" w:color="auto"/>
                <w:left w:val="none" w:sz="0" w:space="0" w:color="auto"/>
                <w:bottom w:val="none" w:sz="0" w:space="0" w:color="auto"/>
                <w:right w:val="none" w:sz="0" w:space="0" w:color="auto"/>
              </w:divBdr>
              <w:divsChild>
                <w:div w:id="1427189909">
                  <w:marLeft w:val="0"/>
                  <w:marRight w:val="0"/>
                  <w:marTop w:val="0"/>
                  <w:marBottom w:val="0"/>
                  <w:divBdr>
                    <w:top w:val="none" w:sz="0" w:space="0" w:color="auto"/>
                    <w:left w:val="none" w:sz="0" w:space="0" w:color="auto"/>
                    <w:bottom w:val="none" w:sz="0" w:space="0" w:color="auto"/>
                    <w:right w:val="none" w:sz="0" w:space="0" w:color="auto"/>
                  </w:divBdr>
                </w:div>
              </w:divsChild>
            </w:div>
            <w:div w:id="1270045871">
              <w:marLeft w:val="0"/>
              <w:marRight w:val="0"/>
              <w:marTop w:val="0"/>
              <w:marBottom w:val="0"/>
              <w:divBdr>
                <w:top w:val="none" w:sz="0" w:space="0" w:color="auto"/>
                <w:left w:val="none" w:sz="0" w:space="0" w:color="auto"/>
                <w:bottom w:val="none" w:sz="0" w:space="0" w:color="auto"/>
                <w:right w:val="none" w:sz="0" w:space="0" w:color="auto"/>
              </w:divBdr>
              <w:divsChild>
                <w:div w:id="697509719">
                  <w:marLeft w:val="0"/>
                  <w:marRight w:val="0"/>
                  <w:marTop w:val="0"/>
                  <w:marBottom w:val="0"/>
                  <w:divBdr>
                    <w:top w:val="none" w:sz="0" w:space="0" w:color="auto"/>
                    <w:left w:val="none" w:sz="0" w:space="0" w:color="auto"/>
                    <w:bottom w:val="none" w:sz="0" w:space="0" w:color="auto"/>
                    <w:right w:val="none" w:sz="0" w:space="0" w:color="auto"/>
                  </w:divBdr>
                </w:div>
              </w:divsChild>
            </w:div>
            <w:div w:id="1296250273">
              <w:marLeft w:val="0"/>
              <w:marRight w:val="0"/>
              <w:marTop w:val="0"/>
              <w:marBottom w:val="0"/>
              <w:divBdr>
                <w:top w:val="none" w:sz="0" w:space="0" w:color="auto"/>
                <w:left w:val="none" w:sz="0" w:space="0" w:color="auto"/>
                <w:bottom w:val="none" w:sz="0" w:space="0" w:color="auto"/>
                <w:right w:val="none" w:sz="0" w:space="0" w:color="auto"/>
              </w:divBdr>
              <w:divsChild>
                <w:div w:id="1642033599">
                  <w:marLeft w:val="0"/>
                  <w:marRight w:val="0"/>
                  <w:marTop w:val="0"/>
                  <w:marBottom w:val="0"/>
                  <w:divBdr>
                    <w:top w:val="none" w:sz="0" w:space="0" w:color="auto"/>
                    <w:left w:val="none" w:sz="0" w:space="0" w:color="auto"/>
                    <w:bottom w:val="none" w:sz="0" w:space="0" w:color="auto"/>
                    <w:right w:val="none" w:sz="0" w:space="0" w:color="auto"/>
                  </w:divBdr>
                </w:div>
              </w:divsChild>
            </w:div>
            <w:div w:id="1347560958">
              <w:marLeft w:val="0"/>
              <w:marRight w:val="0"/>
              <w:marTop w:val="0"/>
              <w:marBottom w:val="0"/>
              <w:divBdr>
                <w:top w:val="none" w:sz="0" w:space="0" w:color="auto"/>
                <w:left w:val="none" w:sz="0" w:space="0" w:color="auto"/>
                <w:bottom w:val="none" w:sz="0" w:space="0" w:color="auto"/>
                <w:right w:val="none" w:sz="0" w:space="0" w:color="auto"/>
              </w:divBdr>
              <w:divsChild>
                <w:div w:id="1463183403">
                  <w:marLeft w:val="0"/>
                  <w:marRight w:val="0"/>
                  <w:marTop w:val="0"/>
                  <w:marBottom w:val="0"/>
                  <w:divBdr>
                    <w:top w:val="none" w:sz="0" w:space="0" w:color="auto"/>
                    <w:left w:val="none" w:sz="0" w:space="0" w:color="auto"/>
                    <w:bottom w:val="none" w:sz="0" w:space="0" w:color="auto"/>
                    <w:right w:val="none" w:sz="0" w:space="0" w:color="auto"/>
                  </w:divBdr>
                </w:div>
              </w:divsChild>
            </w:div>
            <w:div w:id="1349991698">
              <w:marLeft w:val="0"/>
              <w:marRight w:val="0"/>
              <w:marTop w:val="0"/>
              <w:marBottom w:val="0"/>
              <w:divBdr>
                <w:top w:val="none" w:sz="0" w:space="0" w:color="auto"/>
                <w:left w:val="none" w:sz="0" w:space="0" w:color="auto"/>
                <w:bottom w:val="none" w:sz="0" w:space="0" w:color="auto"/>
                <w:right w:val="none" w:sz="0" w:space="0" w:color="auto"/>
              </w:divBdr>
              <w:divsChild>
                <w:div w:id="1384210474">
                  <w:marLeft w:val="0"/>
                  <w:marRight w:val="0"/>
                  <w:marTop w:val="0"/>
                  <w:marBottom w:val="0"/>
                  <w:divBdr>
                    <w:top w:val="none" w:sz="0" w:space="0" w:color="auto"/>
                    <w:left w:val="none" w:sz="0" w:space="0" w:color="auto"/>
                    <w:bottom w:val="none" w:sz="0" w:space="0" w:color="auto"/>
                    <w:right w:val="none" w:sz="0" w:space="0" w:color="auto"/>
                  </w:divBdr>
                </w:div>
              </w:divsChild>
            </w:div>
            <w:div w:id="1446608740">
              <w:marLeft w:val="0"/>
              <w:marRight w:val="0"/>
              <w:marTop w:val="0"/>
              <w:marBottom w:val="0"/>
              <w:divBdr>
                <w:top w:val="none" w:sz="0" w:space="0" w:color="auto"/>
                <w:left w:val="none" w:sz="0" w:space="0" w:color="auto"/>
                <w:bottom w:val="none" w:sz="0" w:space="0" w:color="auto"/>
                <w:right w:val="none" w:sz="0" w:space="0" w:color="auto"/>
              </w:divBdr>
              <w:divsChild>
                <w:div w:id="59254485">
                  <w:marLeft w:val="0"/>
                  <w:marRight w:val="0"/>
                  <w:marTop w:val="0"/>
                  <w:marBottom w:val="0"/>
                  <w:divBdr>
                    <w:top w:val="none" w:sz="0" w:space="0" w:color="auto"/>
                    <w:left w:val="none" w:sz="0" w:space="0" w:color="auto"/>
                    <w:bottom w:val="none" w:sz="0" w:space="0" w:color="auto"/>
                    <w:right w:val="none" w:sz="0" w:space="0" w:color="auto"/>
                  </w:divBdr>
                </w:div>
              </w:divsChild>
            </w:div>
            <w:div w:id="1494643736">
              <w:marLeft w:val="0"/>
              <w:marRight w:val="0"/>
              <w:marTop w:val="0"/>
              <w:marBottom w:val="0"/>
              <w:divBdr>
                <w:top w:val="none" w:sz="0" w:space="0" w:color="auto"/>
                <w:left w:val="none" w:sz="0" w:space="0" w:color="auto"/>
                <w:bottom w:val="none" w:sz="0" w:space="0" w:color="auto"/>
                <w:right w:val="none" w:sz="0" w:space="0" w:color="auto"/>
              </w:divBdr>
              <w:divsChild>
                <w:div w:id="1266574298">
                  <w:marLeft w:val="0"/>
                  <w:marRight w:val="0"/>
                  <w:marTop w:val="0"/>
                  <w:marBottom w:val="0"/>
                  <w:divBdr>
                    <w:top w:val="none" w:sz="0" w:space="0" w:color="auto"/>
                    <w:left w:val="none" w:sz="0" w:space="0" w:color="auto"/>
                    <w:bottom w:val="none" w:sz="0" w:space="0" w:color="auto"/>
                    <w:right w:val="none" w:sz="0" w:space="0" w:color="auto"/>
                  </w:divBdr>
                </w:div>
              </w:divsChild>
            </w:div>
            <w:div w:id="1511723995">
              <w:marLeft w:val="0"/>
              <w:marRight w:val="0"/>
              <w:marTop w:val="0"/>
              <w:marBottom w:val="0"/>
              <w:divBdr>
                <w:top w:val="none" w:sz="0" w:space="0" w:color="auto"/>
                <w:left w:val="none" w:sz="0" w:space="0" w:color="auto"/>
                <w:bottom w:val="none" w:sz="0" w:space="0" w:color="auto"/>
                <w:right w:val="none" w:sz="0" w:space="0" w:color="auto"/>
              </w:divBdr>
              <w:divsChild>
                <w:div w:id="417410814">
                  <w:marLeft w:val="0"/>
                  <w:marRight w:val="0"/>
                  <w:marTop w:val="0"/>
                  <w:marBottom w:val="0"/>
                  <w:divBdr>
                    <w:top w:val="none" w:sz="0" w:space="0" w:color="auto"/>
                    <w:left w:val="none" w:sz="0" w:space="0" w:color="auto"/>
                    <w:bottom w:val="none" w:sz="0" w:space="0" w:color="auto"/>
                    <w:right w:val="none" w:sz="0" w:space="0" w:color="auto"/>
                  </w:divBdr>
                </w:div>
              </w:divsChild>
            </w:div>
            <w:div w:id="1616137578">
              <w:marLeft w:val="0"/>
              <w:marRight w:val="0"/>
              <w:marTop w:val="0"/>
              <w:marBottom w:val="0"/>
              <w:divBdr>
                <w:top w:val="none" w:sz="0" w:space="0" w:color="auto"/>
                <w:left w:val="none" w:sz="0" w:space="0" w:color="auto"/>
                <w:bottom w:val="none" w:sz="0" w:space="0" w:color="auto"/>
                <w:right w:val="none" w:sz="0" w:space="0" w:color="auto"/>
              </w:divBdr>
              <w:divsChild>
                <w:div w:id="950863228">
                  <w:marLeft w:val="0"/>
                  <w:marRight w:val="0"/>
                  <w:marTop w:val="0"/>
                  <w:marBottom w:val="0"/>
                  <w:divBdr>
                    <w:top w:val="none" w:sz="0" w:space="0" w:color="auto"/>
                    <w:left w:val="none" w:sz="0" w:space="0" w:color="auto"/>
                    <w:bottom w:val="none" w:sz="0" w:space="0" w:color="auto"/>
                    <w:right w:val="none" w:sz="0" w:space="0" w:color="auto"/>
                  </w:divBdr>
                </w:div>
              </w:divsChild>
            </w:div>
            <w:div w:id="1747263873">
              <w:marLeft w:val="0"/>
              <w:marRight w:val="0"/>
              <w:marTop w:val="0"/>
              <w:marBottom w:val="0"/>
              <w:divBdr>
                <w:top w:val="none" w:sz="0" w:space="0" w:color="auto"/>
                <w:left w:val="none" w:sz="0" w:space="0" w:color="auto"/>
                <w:bottom w:val="none" w:sz="0" w:space="0" w:color="auto"/>
                <w:right w:val="none" w:sz="0" w:space="0" w:color="auto"/>
              </w:divBdr>
              <w:divsChild>
                <w:div w:id="1228956305">
                  <w:marLeft w:val="0"/>
                  <w:marRight w:val="0"/>
                  <w:marTop w:val="0"/>
                  <w:marBottom w:val="0"/>
                  <w:divBdr>
                    <w:top w:val="none" w:sz="0" w:space="0" w:color="auto"/>
                    <w:left w:val="none" w:sz="0" w:space="0" w:color="auto"/>
                    <w:bottom w:val="none" w:sz="0" w:space="0" w:color="auto"/>
                    <w:right w:val="none" w:sz="0" w:space="0" w:color="auto"/>
                  </w:divBdr>
                </w:div>
              </w:divsChild>
            </w:div>
            <w:div w:id="1769235601">
              <w:marLeft w:val="0"/>
              <w:marRight w:val="0"/>
              <w:marTop w:val="0"/>
              <w:marBottom w:val="0"/>
              <w:divBdr>
                <w:top w:val="none" w:sz="0" w:space="0" w:color="auto"/>
                <w:left w:val="none" w:sz="0" w:space="0" w:color="auto"/>
                <w:bottom w:val="none" w:sz="0" w:space="0" w:color="auto"/>
                <w:right w:val="none" w:sz="0" w:space="0" w:color="auto"/>
              </w:divBdr>
              <w:divsChild>
                <w:div w:id="1429472082">
                  <w:marLeft w:val="0"/>
                  <w:marRight w:val="0"/>
                  <w:marTop w:val="0"/>
                  <w:marBottom w:val="0"/>
                  <w:divBdr>
                    <w:top w:val="none" w:sz="0" w:space="0" w:color="auto"/>
                    <w:left w:val="none" w:sz="0" w:space="0" w:color="auto"/>
                    <w:bottom w:val="none" w:sz="0" w:space="0" w:color="auto"/>
                    <w:right w:val="none" w:sz="0" w:space="0" w:color="auto"/>
                  </w:divBdr>
                </w:div>
              </w:divsChild>
            </w:div>
            <w:div w:id="1792431782">
              <w:marLeft w:val="0"/>
              <w:marRight w:val="0"/>
              <w:marTop w:val="0"/>
              <w:marBottom w:val="0"/>
              <w:divBdr>
                <w:top w:val="none" w:sz="0" w:space="0" w:color="auto"/>
                <w:left w:val="none" w:sz="0" w:space="0" w:color="auto"/>
                <w:bottom w:val="none" w:sz="0" w:space="0" w:color="auto"/>
                <w:right w:val="none" w:sz="0" w:space="0" w:color="auto"/>
              </w:divBdr>
              <w:divsChild>
                <w:div w:id="1735540880">
                  <w:marLeft w:val="0"/>
                  <w:marRight w:val="0"/>
                  <w:marTop w:val="0"/>
                  <w:marBottom w:val="0"/>
                  <w:divBdr>
                    <w:top w:val="none" w:sz="0" w:space="0" w:color="auto"/>
                    <w:left w:val="none" w:sz="0" w:space="0" w:color="auto"/>
                    <w:bottom w:val="none" w:sz="0" w:space="0" w:color="auto"/>
                    <w:right w:val="none" w:sz="0" w:space="0" w:color="auto"/>
                  </w:divBdr>
                </w:div>
              </w:divsChild>
            </w:div>
            <w:div w:id="1825244901">
              <w:marLeft w:val="0"/>
              <w:marRight w:val="0"/>
              <w:marTop w:val="0"/>
              <w:marBottom w:val="0"/>
              <w:divBdr>
                <w:top w:val="none" w:sz="0" w:space="0" w:color="auto"/>
                <w:left w:val="none" w:sz="0" w:space="0" w:color="auto"/>
                <w:bottom w:val="none" w:sz="0" w:space="0" w:color="auto"/>
                <w:right w:val="none" w:sz="0" w:space="0" w:color="auto"/>
              </w:divBdr>
              <w:divsChild>
                <w:div w:id="345908853">
                  <w:marLeft w:val="0"/>
                  <w:marRight w:val="0"/>
                  <w:marTop w:val="0"/>
                  <w:marBottom w:val="0"/>
                  <w:divBdr>
                    <w:top w:val="none" w:sz="0" w:space="0" w:color="auto"/>
                    <w:left w:val="none" w:sz="0" w:space="0" w:color="auto"/>
                    <w:bottom w:val="none" w:sz="0" w:space="0" w:color="auto"/>
                    <w:right w:val="none" w:sz="0" w:space="0" w:color="auto"/>
                  </w:divBdr>
                </w:div>
              </w:divsChild>
            </w:div>
            <w:div w:id="1840463956">
              <w:marLeft w:val="0"/>
              <w:marRight w:val="0"/>
              <w:marTop w:val="0"/>
              <w:marBottom w:val="0"/>
              <w:divBdr>
                <w:top w:val="none" w:sz="0" w:space="0" w:color="auto"/>
                <w:left w:val="none" w:sz="0" w:space="0" w:color="auto"/>
                <w:bottom w:val="none" w:sz="0" w:space="0" w:color="auto"/>
                <w:right w:val="none" w:sz="0" w:space="0" w:color="auto"/>
              </w:divBdr>
              <w:divsChild>
                <w:div w:id="1363289474">
                  <w:marLeft w:val="0"/>
                  <w:marRight w:val="0"/>
                  <w:marTop w:val="0"/>
                  <w:marBottom w:val="0"/>
                  <w:divBdr>
                    <w:top w:val="none" w:sz="0" w:space="0" w:color="auto"/>
                    <w:left w:val="none" w:sz="0" w:space="0" w:color="auto"/>
                    <w:bottom w:val="none" w:sz="0" w:space="0" w:color="auto"/>
                    <w:right w:val="none" w:sz="0" w:space="0" w:color="auto"/>
                  </w:divBdr>
                </w:div>
              </w:divsChild>
            </w:div>
            <w:div w:id="1844930519">
              <w:marLeft w:val="0"/>
              <w:marRight w:val="0"/>
              <w:marTop w:val="0"/>
              <w:marBottom w:val="0"/>
              <w:divBdr>
                <w:top w:val="none" w:sz="0" w:space="0" w:color="auto"/>
                <w:left w:val="none" w:sz="0" w:space="0" w:color="auto"/>
                <w:bottom w:val="none" w:sz="0" w:space="0" w:color="auto"/>
                <w:right w:val="none" w:sz="0" w:space="0" w:color="auto"/>
              </w:divBdr>
              <w:divsChild>
                <w:div w:id="1316840384">
                  <w:marLeft w:val="0"/>
                  <w:marRight w:val="0"/>
                  <w:marTop w:val="0"/>
                  <w:marBottom w:val="0"/>
                  <w:divBdr>
                    <w:top w:val="none" w:sz="0" w:space="0" w:color="auto"/>
                    <w:left w:val="none" w:sz="0" w:space="0" w:color="auto"/>
                    <w:bottom w:val="none" w:sz="0" w:space="0" w:color="auto"/>
                    <w:right w:val="none" w:sz="0" w:space="0" w:color="auto"/>
                  </w:divBdr>
                </w:div>
              </w:divsChild>
            </w:div>
            <w:div w:id="1870602389">
              <w:marLeft w:val="0"/>
              <w:marRight w:val="0"/>
              <w:marTop w:val="0"/>
              <w:marBottom w:val="0"/>
              <w:divBdr>
                <w:top w:val="none" w:sz="0" w:space="0" w:color="auto"/>
                <w:left w:val="none" w:sz="0" w:space="0" w:color="auto"/>
                <w:bottom w:val="none" w:sz="0" w:space="0" w:color="auto"/>
                <w:right w:val="none" w:sz="0" w:space="0" w:color="auto"/>
              </w:divBdr>
              <w:divsChild>
                <w:div w:id="1171676186">
                  <w:marLeft w:val="0"/>
                  <w:marRight w:val="0"/>
                  <w:marTop w:val="0"/>
                  <w:marBottom w:val="0"/>
                  <w:divBdr>
                    <w:top w:val="none" w:sz="0" w:space="0" w:color="auto"/>
                    <w:left w:val="none" w:sz="0" w:space="0" w:color="auto"/>
                    <w:bottom w:val="none" w:sz="0" w:space="0" w:color="auto"/>
                    <w:right w:val="none" w:sz="0" w:space="0" w:color="auto"/>
                  </w:divBdr>
                </w:div>
              </w:divsChild>
            </w:div>
            <w:div w:id="1881622231">
              <w:marLeft w:val="0"/>
              <w:marRight w:val="0"/>
              <w:marTop w:val="0"/>
              <w:marBottom w:val="0"/>
              <w:divBdr>
                <w:top w:val="none" w:sz="0" w:space="0" w:color="auto"/>
                <w:left w:val="none" w:sz="0" w:space="0" w:color="auto"/>
                <w:bottom w:val="none" w:sz="0" w:space="0" w:color="auto"/>
                <w:right w:val="none" w:sz="0" w:space="0" w:color="auto"/>
              </w:divBdr>
              <w:divsChild>
                <w:div w:id="1854489948">
                  <w:marLeft w:val="0"/>
                  <w:marRight w:val="0"/>
                  <w:marTop w:val="0"/>
                  <w:marBottom w:val="0"/>
                  <w:divBdr>
                    <w:top w:val="none" w:sz="0" w:space="0" w:color="auto"/>
                    <w:left w:val="none" w:sz="0" w:space="0" w:color="auto"/>
                    <w:bottom w:val="none" w:sz="0" w:space="0" w:color="auto"/>
                    <w:right w:val="none" w:sz="0" w:space="0" w:color="auto"/>
                  </w:divBdr>
                </w:div>
              </w:divsChild>
            </w:div>
            <w:div w:id="1959022307">
              <w:marLeft w:val="0"/>
              <w:marRight w:val="0"/>
              <w:marTop w:val="0"/>
              <w:marBottom w:val="0"/>
              <w:divBdr>
                <w:top w:val="none" w:sz="0" w:space="0" w:color="auto"/>
                <w:left w:val="none" w:sz="0" w:space="0" w:color="auto"/>
                <w:bottom w:val="none" w:sz="0" w:space="0" w:color="auto"/>
                <w:right w:val="none" w:sz="0" w:space="0" w:color="auto"/>
              </w:divBdr>
              <w:divsChild>
                <w:div w:id="1250575134">
                  <w:marLeft w:val="0"/>
                  <w:marRight w:val="0"/>
                  <w:marTop w:val="0"/>
                  <w:marBottom w:val="0"/>
                  <w:divBdr>
                    <w:top w:val="none" w:sz="0" w:space="0" w:color="auto"/>
                    <w:left w:val="none" w:sz="0" w:space="0" w:color="auto"/>
                    <w:bottom w:val="none" w:sz="0" w:space="0" w:color="auto"/>
                    <w:right w:val="none" w:sz="0" w:space="0" w:color="auto"/>
                  </w:divBdr>
                </w:div>
              </w:divsChild>
            </w:div>
            <w:div w:id="1991205835">
              <w:marLeft w:val="0"/>
              <w:marRight w:val="0"/>
              <w:marTop w:val="0"/>
              <w:marBottom w:val="0"/>
              <w:divBdr>
                <w:top w:val="none" w:sz="0" w:space="0" w:color="auto"/>
                <w:left w:val="none" w:sz="0" w:space="0" w:color="auto"/>
                <w:bottom w:val="none" w:sz="0" w:space="0" w:color="auto"/>
                <w:right w:val="none" w:sz="0" w:space="0" w:color="auto"/>
              </w:divBdr>
              <w:divsChild>
                <w:div w:id="606888953">
                  <w:marLeft w:val="0"/>
                  <w:marRight w:val="0"/>
                  <w:marTop w:val="0"/>
                  <w:marBottom w:val="0"/>
                  <w:divBdr>
                    <w:top w:val="none" w:sz="0" w:space="0" w:color="auto"/>
                    <w:left w:val="none" w:sz="0" w:space="0" w:color="auto"/>
                    <w:bottom w:val="none" w:sz="0" w:space="0" w:color="auto"/>
                    <w:right w:val="none" w:sz="0" w:space="0" w:color="auto"/>
                  </w:divBdr>
                </w:div>
              </w:divsChild>
            </w:div>
            <w:div w:id="2034912257">
              <w:marLeft w:val="0"/>
              <w:marRight w:val="0"/>
              <w:marTop w:val="0"/>
              <w:marBottom w:val="0"/>
              <w:divBdr>
                <w:top w:val="none" w:sz="0" w:space="0" w:color="auto"/>
                <w:left w:val="none" w:sz="0" w:space="0" w:color="auto"/>
                <w:bottom w:val="none" w:sz="0" w:space="0" w:color="auto"/>
                <w:right w:val="none" w:sz="0" w:space="0" w:color="auto"/>
              </w:divBdr>
              <w:divsChild>
                <w:div w:id="1744335216">
                  <w:marLeft w:val="0"/>
                  <w:marRight w:val="0"/>
                  <w:marTop w:val="0"/>
                  <w:marBottom w:val="0"/>
                  <w:divBdr>
                    <w:top w:val="none" w:sz="0" w:space="0" w:color="auto"/>
                    <w:left w:val="none" w:sz="0" w:space="0" w:color="auto"/>
                    <w:bottom w:val="none" w:sz="0" w:space="0" w:color="auto"/>
                    <w:right w:val="none" w:sz="0" w:space="0" w:color="auto"/>
                  </w:divBdr>
                </w:div>
              </w:divsChild>
            </w:div>
            <w:div w:id="2043089326">
              <w:marLeft w:val="0"/>
              <w:marRight w:val="0"/>
              <w:marTop w:val="0"/>
              <w:marBottom w:val="0"/>
              <w:divBdr>
                <w:top w:val="none" w:sz="0" w:space="0" w:color="auto"/>
                <w:left w:val="none" w:sz="0" w:space="0" w:color="auto"/>
                <w:bottom w:val="none" w:sz="0" w:space="0" w:color="auto"/>
                <w:right w:val="none" w:sz="0" w:space="0" w:color="auto"/>
              </w:divBdr>
              <w:divsChild>
                <w:div w:id="2116896125">
                  <w:marLeft w:val="0"/>
                  <w:marRight w:val="0"/>
                  <w:marTop w:val="0"/>
                  <w:marBottom w:val="0"/>
                  <w:divBdr>
                    <w:top w:val="none" w:sz="0" w:space="0" w:color="auto"/>
                    <w:left w:val="none" w:sz="0" w:space="0" w:color="auto"/>
                    <w:bottom w:val="none" w:sz="0" w:space="0" w:color="auto"/>
                    <w:right w:val="none" w:sz="0" w:space="0" w:color="auto"/>
                  </w:divBdr>
                </w:div>
              </w:divsChild>
            </w:div>
            <w:div w:id="2093771060">
              <w:marLeft w:val="0"/>
              <w:marRight w:val="0"/>
              <w:marTop w:val="0"/>
              <w:marBottom w:val="0"/>
              <w:divBdr>
                <w:top w:val="none" w:sz="0" w:space="0" w:color="auto"/>
                <w:left w:val="none" w:sz="0" w:space="0" w:color="auto"/>
                <w:bottom w:val="none" w:sz="0" w:space="0" w:color="auto"/>
                <w:right w:val="none" w:sz="0" w:space="0" w:color="auto"/>
              </w:divBdr>
              <w:divsChild>
                <w:div w:id="804541192">
                  <w:marLeft w:val="0"/>
                  <w:marRight w:val="0"/>
                  <w:marTop w:val="0"/>
                  <w:marBottom w:val="0"/>
                  <w:divBdr>
                    <w:top w:val="none" w:sz="0" w:space="0" w:color="auto"/>
                    <w:left w:val="none" w:sz="0" w:space="0" w:color="auto"/>
                    <w:bottom w:val="none" w:sz="0" w:space="0" w:color="auto"/>
                    <w:right w:val="none" w:sz="0" w:space="0" w:color="auto"/>
                  </w:divBdr>
                </w:div>
              </w:divsChild>
            </w:div>
            <w:div w:id="2098624477">
              <w:marLeft w:val="0"/>
              <w:marRight w:val="0"/>
              <w:marTop w:val="0"/>
              <w:marBottom w:val="0"/>
              <w:divBdr>
                <w:top w:val="none" w:sz="0" w:space="0" w:color="auto"/>
                <w:left w:val="none" w:sz="0" w:space="0" w:color="auto"/>
                <w:bottom w:val="none" w:sz="0" w:space="0" w:color="auto"/>
                <w:right w:val="none" w:sz="0" w:space="0" w:color="auto"/>
              </w:divBdr>
              <w:divsChild>
                <w:div w:id="1937519019">
                  <w:marLeft w:val="0"/>
                  <w:marRight w:val="0"/>
                  <w:marTop w:val="0"/>
                  <w:marBottom w:val="0"/>
                  <w:divBdr>
                    <w:top w:val="none" w:sz="0" w:space="0" w:color="auto"/>
                    <w:left w:val="none" w:sz="0" w:space="0" w:color="auto"/>
                    <w:bottom w:val="none" w:sz="0" w:space="0" w:color="auto"/>
                    <w:right w:val="none" w:sz="0" w:space="0" w:color="auto"/>
                  </w:divBdr>
                </w:div>
              </w:divsChild>
            </w:div>
            <w:div w:id="2110157237">
              <w:marLeft w:val="0"/>
              <w:marRight w:val="0"/>
              <w:marTop w:val="0"/>
              <w:marBottom w:val="0"/>
              <w:divBdr>
                <w:top w:val="none" w:sz="0" w:space="0" w:color="auto"/>
                <w:left w:val="none" w:sz="0" w:space="0" w:color="auto"/>
                <w:bottom w:val="none" w:sz="0" w:space="0" w:color="auto"/>
                <w:right w:val="none" w:sz="0" w:space="0" w:color="auto"/>
              </w:divBdr>
              <w:divsChild>
                <w:div w:id="643631518">
                  <w:marLeft w:val="0"/>
                  <w:marRight w:val="0"/>
                  <w:marTop w:val="0"/>
                  <w:marBottom w:val="0"/>
                  <w:divBdr>
                    <w:top w:val="none" w:sz="0" w:space="0" w:color="auto"/>
                    <w:left w:val="none" w:sz="0" w:space="0" w:color="auto"/>
                    <w:bottom w:val="none" w:sz="0" w:space="0" w:color="auto"/>
                    <w:right w:val="none" w:sz="0" w:space="0" w:color="auto"/>
                  </w:divBdr>
                </w:div>
              </w:divsChild>
            </w:div>
            <w:div w:id="2121366867">
              <w:marLeft w:val="0"/>
              <w:marRight w:val="0"/>
              <w:marTop w:val="0"/>
              <w:marBottom w:val="0"/>
              <w:divBdr>
                <w:top w:val="none" w:sz="0" w:space="0" w:color="auto"/>
                <w:left w:val="none" w:sz="0" w:space="0" w:color="auto"/>
                <w:bottom w:val="none" w:sz="0" w:space="0" w:color="auto"/>
                <w:right w:val="none" w:sz="0" w:space="0" w:color="auto"/>
              </w:divBdr>
              <w:divsChild>
                <w:div w:id="1998412573">
                  <w:marLeft w:val="0"/>
                  <w:marRight w:val="0"/>
                  <w:marTop w:val="0"/>
                  <w:marBottom w:val="0"/>
                  <w:divBdr>
                    <w:top w:val="none" w:sz="0" w:space="0" w:color="auto"/>
                    <w:left w:val="none" w:sz="0" w:space="0" w:color="auto"/>
                    <w:bottom w:val="none" w:sz="0" w:space="0" w:color="auto"/>
                    <w:right w:val="none" w:sz="0" w:space="0" w:color="auto"/>
                  </w:divBdr>
                </w:div>
              </w:divsChild>
            </w:div>
            <w:div w:id="2143381709">
              <w:marLeft w:val="0"/>
              <w:marRight w:val="0"/>
              <w:marTop w:val="0"/>
              <w:marBottom w:val="0"/>
              <w:divBdr>
                <w:top w:val="none" w:sz="0" w:space="0" w:color="auto"/>
                <w:left w:val="none" w:sz="0" w:space="0" w:color="auto"/>
                <w:bottom w:val="none" w:sz="0" w:space="0" w:color="auto"/>
                <w:right w:val="none" w:sz="0" w:space="0" w:color="auto"/>
              </w:divBdr>
              <w:divsChild>
                <w:div w:id="15696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744936">
          <w:marLeft w:val="0"/>
          <w:marRight w:val="0"/>
          <w:marTop w:val="0"/>
          <w:marBottom w:val="0"/>
          <w:divBdr>
            <w:top w:val="none" w:sz="0" w:space="0" w:color="auto"/>
            <w:left w:val="none" w:sz="0" w:space="0" w:color="auto"/>
            <w:bottom w:val="none" w:sz="0" w:space="0" w:color="auto"/>
            <w:right w:val="none" w:sz="0" w:space="0" w:color="auto"/>
          </w:divBdr>
        </w:div>
        <w:div w:id="1589001245">
          <w:marLeft w:val="0"/>
          <w:marRight w:val="0"/>
          <w:marTop w:val="0"/>
          <w:marBottom w:val="0"/>
          <w:divBdr>
            <w:top w:val="none" w:sz="0" w:space="0" w:color="auto"/>
            <w:left w:val="none" w:sz="0" w:space="0" w:color="auto"/>
            <w:bottom w:val="none" w:sz="0" w:space="0" w:color="auto"/>
            <w:right w:val="none" w:sz="0" w:space="0" w:color="auto"/>
          </w:divBdr>
        </w:div>
        <w:div w:id="1595629271">
          <w:marLeft w:val="0"/>
          <w:marRight w:val="0"/>
          <w:marTop w:val="0"/>
          <w:marBottom w:val="0"/>
          <w:divBdr>
            <w:top w:val="none" w:sz="0" w:space="0" w:color="auto"/>
            <w:left w:val="none" w:sz="0" w:space="0" w:color="auto"/>
            <w:bottom w:val="none" w:sz="0" w:space="0" w:color="auto"/>
            <w:right w:val="none" w:sz="0" w:space="0" w:color="auto"/>
          </w:divBdr>
        </w:div>
        <w:div w:id="1596550738">
          <w:marLeft w:val="0"/>
          <w:marRight w:val="0"/>
          <w:marTop w:val="0"/>
          <w:marBottom w:val="0"/>
          <w:divBdr>
            <w:top w:val="none" w:sz="0" w:space="0" w:color="auto"/>
            <w:left w:val="none" w:sz="0" w:space="0" w:color="auto"/>
            <w:bottom w:val="none" w:sz="0" w:space="0" w:color="auto"/>
            <w:right w:val="none" w:sz="0" w:space="0" w:color="auto"/>
          </w:divBdr>
        </w:div>
        <w:div w:id="1621567429">
          <w:marLeft w:val="0"/>
          <w:marRight w:val="0"/>
          <w:marTop w:val="0"/>
          <w:marBottom w:val="0"/>
          <w:divBdr>
            <w:top w:val="none" w:sz="0" w:space="0" w:color="auto"/>
            <w:left w:val="none" w:sz="0" w:space="0" w:color="auto"/>
            <w:bottom w:val="none" w:sz="0" w:space="0" w:color="auto"/>
            <w:right w:val="none" w:sz="0" w:space="0" w:color="auto"/>
          </w:divBdr>
        </w:div>
        <w:div w:id="1629051437">
          <w:marLeft w:val="0"/>
          <w:marRight w:val="0"/>
          <w:marTop w:val="0"/>
          <w:marBottom w:val="0"/>
          <w:divBdr>
            <w:top w:val="none" w:sz="0" w:space="0" w:color="auto"/>
            <w:left w:val="none" w:sz="0" w:space="0" w:color="auto"/>
            <w:bottom w:val="none" w:sz="0" w:space="0" w:color="auto"/>
            <w:right w:val="none" w:sz="0" w:space="0" w:color="auto"/>
          </w:divBdr>
        </w:div>
        <w:div w:id="1633292802">
          <w:marLeft w:val="0"/>
          <w:marRight w:val="0"/>
          <w:marTop w:val="0"/>
          <w:marBottom w:val="0"/>
          <w:divBdr>
            <w:top w:val="none" w:sz="0" w:space="0" w:color="auto"/>
            <w:left w:val="none" w:sz="0" w:space="0" w:color="auto"/>
            <w:bottom w:val="none" w:sz="0" w:space="0" w:color="auto"/>
            <w:right w:val="none" w:sz="0" w:space="0" w:color="auto"/>
          </w:divBdr>
        </w:div>
        <w:div w:id="1648782674">
          <w:marLeft w:val="0"/>
          <w:marRight w:val="0"/>
          <w:marTop w:val="0"/>
          <w:marBottom w:val="0"/>
          <w:divBdr>
            <w:top w:val="none" w:sz="0" w:space="0" w:color="auto"/>
            <w:left w:val="none" w:sz="0" w:space="0" w:color="auto"/>
            <w:bottom w:val="none" w:sz="0" w:space="0" w:color="auto"/>
            <w:right w:val="none" w:sz="0" w:space="0" w:color="auto"/>
          </w:divBdr>
        </w:div>
        <w:div w:id="1650328170">
          <w:marLeft w:val="0"/>
          <w:marRight w:val="0"/>
          <w:marTop w:val="0"/>
          <w:marBottom w:val="0"/>
          <w:divBdr>
            <w:top w:val="none" w:sz="0" w:space="0" w:color="auto"/>
            <w:left w:val="none" w:sz="0" w:space="0" w:color="auto"/>
            <w:bottom w:val="none" w:sz="0" w:space="0" w:color="auto"/>
            <w:right w:val="none" w:sz="0" w:space="0" w:color="auto"/>
          </w:divBdr>
        </w:div>
        <w:div w:id="1657301780">
          <w:marLeft w:val="0"/>
          <w:marRight w:val="0"/>
          <w:marTop w:val="0"/>
          <w:marBottom w:val="0"/>
          <w:divBdr>
            <w:top w:val="none" w:sz="0" w:space="0" w:color="auto"/>
            <w:left w:val="none" w:sz="0" w:space="0" w:color="auto"/>
            <w:bottom w:val="none" w:sz="0" w:space="0" w:color="auto"/>
            <w:right w:val="none" w:sz="0" w:space="0" w:color="auto"/>
          </w:divBdr>
        </w:div>
        <w:div w:id="1706758347">
          <w:marLeft w:val="0"/>
          <w:marRight w:val="0"/>
          <w:marTop w:val="0"/>
          <w:marBottom w:val="0"/>
          <w:divBdr>
            <w:top w:val="none" w:sz="0" w:space="0" w:color="auto"/>
            <w:left w:val="none" w:sz="0" w:space="0" w:color="auto"/>
            <w:bottom w:val="none" w:sz="0" w:space="0" w:color="auto"/>
            <w:right w:val="none" w:sz="0" w:space="0" w:color="auto"/>
          </w:divBdr>
        </w:div>
        <w:div w:id="1716849835">
          <w:marLeft w:val="0"/>
          <w:marRight w:val="0"/>
          <w:marTop w:val="0"/>
          <w:marBottom w:val="0"/>
          <w:divBdr>
            <w:top w:val="none" w:sz="0" w:space="0" w:color="auto"/>
            <w:left w:val="none" w:sz="0" w:space="0" w:color="auto"/>
            <w:bottom w:val="none" w:sz="0" w:space="0" w:color="auto"/>
            <w:right w:val="none" w:sz="0" w:space="0" w:color="auto"/>
          </w:divBdr>
        </w:div>
        <w:div w:id="1719819861">
          <w:marLeft w:val="0"/>
          <w:marRight w:val="0"/>
          <w:marTop w:val="0"/>
          <w:marBottom w:val="0"/>
          <w:divBdr>
            <w:top w:val="none" w:sz="0" w:space="0" w:color="auto"/>
            <w:left w:val="none" w:sz="0" w:space="0" w:color="auto"/>
            <w:bottom w:val="none" w:sz="0" w:space="0" w:color="auto"/>
            <w:right w:val="none" w:sz="0" w:space="0" w:color="auto"/>
          </w:divBdr>
        </w:div>
        <w:div w:id="1722359375">
          <w:marLeft w:val="0"/>
          <w:marRight w:val="0"/>
          <w:marTop w:val="0"/>
          <w:marBottom w:val="0"/>
          <w:divBdr>
            <w:top w:val="none" w:sz="0" w:space="0" w:color="auto"/>
            <w:left w:val="none" w:sz="0" w:space="0" w:color="auto"/>
            <w:bottom w:val="none" w:sz="0" w:space="0" w:color="auto"/>
            <w:right w:val="none" w:sz="0" w:space="0" w:color="auto"/>
          </w:divBdr>
        </w:div>
        <w:div w:id="1728068926">
          <w:marLeft w:val="0"/>
          <w:marRight w:val="0"/>
          <w:marTop w:val="0"/>
          <w:marBottom w:val="0"/>
          <w:divBdr>
            <w:top w:val="none" w:sz="0" w:space="0" w:color="auto"/>
            <w:left w:val="none" w:sz="0" w:space="0" w:color="auto"/>
            <w:bottom w:val="none" w:sz="0" w:space="0" w:color="auto"/>
            <w:right w:val="none" w:sz="0" w:space="0" w:color="auto"/>
          </w:divBdr>
        </w:div>
        <w:div w:id="1729959011">
          <w:marLeft w:val="0"/>
          <w:marRight w:val="0"/>
          <w:marTop w:val="0"/>
          <w:marBottom w:val="0"/>
          <w:divBdr>
            <w:top w:val="none" w:sz="0" w:space="0" w:color="auto"/>
            <w:left w:val="none" w:sz="0" w:space="0" w:color="auto"/>
            <w:bottom w:val="none" w:sz="0" w:space="0" w:color="auto"/>
            <w:right w:val="none" w:sz="0" w:space="0" w:color="auto"/>
          </w:divBdr>
        </w:div>
        <w:div w:id="1739981300">
          <w:marLeft w:val="0"/>
          <w:marRight w:val="0"/>
          <w:marTop w:val="0"/>
          <w:marBottom w:val="0"/>
          <w:divBdr>
            <w:top w:val="none" w:sz="0" w:space="0" w:color="auto"/>
            <w:left w:val="none" w:sz="0" w:space="0" w:color="auto"/>
            <w:bottom w:val="none" w:sz="0" w:space="0" w:color="auto"/>
            <w:right w:val="none" w:sz="0" w:space="0" w:color="auto"/>
          </w:divBdr>
        </w:div>
        <w:div w:id="1755006190">
          <w:marLeft w:val="0"/>
          <w:marRight w:val="0"/>
          <w:marTop w:val="0"/>
          <w:marBottom w:val="0"/>
          <w:divBdr>
            <w:top w:val="none" w:sz="0" w:space="0" w:color="auto"/>
            <w:left w:val="none" w:sz="0" w:space="0" w:color="auto"/>
            <w:bottom w:val="none" w:sz="0" w:space="0" w:color="auto"/>
            <w:right w:val="none" w:sz="0" w:space="0" w:color="auto"/>
          </w:divBdr>
        </w:div>
        <w:div w:id="1764911677">
          <w:marLeft w:val="0"/>
          <w:marRight w:val="0"/>
          <w:marTop w:val="0"/>
          <w:marBottom w:val="0"/>
          <w:divBdr>
            <w:top w:val="none" w:sz="0" w:space="0" w:color="auto"/>
            <w:left w:val="none" w:sz="0" w:space="0" w:color="auto"/>
            <w:bottom w:val="none" w:sz="0" w:space="0" w:color="auto"/>
            <w:right w:val="none" w:sz="0" w:space="0" w:color="auto"/>
          </w:divBdr>
        </w:div>
        <w:div w:id="1773429876">
          <w:marLeft w:val="0"/>
          <w:marRight w:val="0"/>
          <w:marTop w:val="0"/>
          <w:marBottom w:val="0"/>
          <w:divBdr>
            <w:top w:val="none" w:sz="0" w:space="0" w:color="auto"/>
            <w:left w:val="none" w:sz="0" w:space="0" w:color="auto"/>
            <w:bottom w:val="none" w:sz="0" w:space="0" w:color="auto"/>
            <w:right w:val="none" w:sz="0" w:space="0" w:color="auto"/>
          </w:divBdr>
        </w:div>
        <w:div w:id="1775782664">
          <w:marLeft w:val="0"/>
          <w:marRight w:val="0"/>
          <w:marTop w:val="0"/>
          <w:marBottom w:val="0"/>
          <w:divBdr>
            <w:top w:val="none" w:sz="0" w:space="0" w:color="auto"/>
            <w:left w:val="none" w:sz="0" w:space="0" w:color="auto"/>
            <w:bottom w:val="none" w:sz="0" w:space="0" w:color="auto"/>
            <w:right w:val="none" w:sz="0" w:space="0" w:color="auto"/>
          </w:divBdr>
        </w:div>
        <w:div w:id="1776515659">
          <w:marLeft w:val="0"/>
          <w:marRight w:val="0"/>
          <w:marTop w:val="0"/>
          <w:marBottom w:val="0"/>
          <w:divBdr>
            <w:top w:val="none" w:sz="0" w:space="0" w:color="auto"/>
            <w:left w:val="none" w:sz="0" w:space="0" w:color="auto"/>
            <w:bottom w:val="none" w:sz="0" w:space="0" w:color="auto"/>
            <w:right w:val="none" w:sz="0" w:space="0" w:color="auto"/>
          </w:divBdr>
        </w:div>
        <w:div w:id="1776944075">
          <w:marLeft w:val="0"/>
          <w:marRight w:val="0"/>
          <w:marTop w:val="0"/>
          <w:marBottom w:val="0"/>
          <w:divBdr>
            <w:top w:val="none" w:sz="0" w:space="0" w:color="auto"/>
            <w:left w:val="none" w:sz="0" w:space="0" w:color="auto"/>
            <w:bottom w:val="none" w:sz="0" w:space="0" w:color="auto"/>
            <w:right w:val="none" w:sz="0" w:space="0" w:color="auto"/>
          </w:divBdr>
        </w:div>
        <w:div w:id="1781798843">
          <w:marLeft w:val="0"/>
          <w:marRight w:val="0"/>
          <w:marTop w:val="0"/>
          <w:marBottom w:val="0"/>
          <w:divBdr>
            <w:top w:val="none" w:sz="0" w:space="0" w:color="auto"/>
            <w:left w:val="none" w:sz="0" w:space="0" w:color="auto"/>
            <w:bottom w:val="none" w:sz="0" w:space="0" w:color="auto"/>
            <w:right w:val="none" w:sz="0" w:space="0" w:color="auto"/>
          </w:divBdr>
        </w:div>
        <w:div w:id="1782068611">
          <w:marLeft w:val="0"/>
          <w:marRight w:val="0"/>
          <w:marTop w:val="0"/>
          <w:marBottom w:val="0"/>
          <w:divBdr>
            <w:top w:val="none" w:sz="0" w:space="0" w:color="auto"/>
            <w:left w:val="none" w:sz="0" w:space="0" w:color="auto"/>
            <w:bottom w:val="none" w:sz="0" w:space="0" w:color="auto"/>
            <w:right w:val="none" w:sz="0" w:space="0" w:color="auto"/>
          </w:divBdr>
        </w:div>
        <w:div w:id="1785728285">
          <w:marLeft w:val="0"/>
          <w:marRight w:val="0"/>
          <w:marTop w:val="0"/>
          <w:marBottom w:val="0"/>
          <w:divBdr>
            <w:top w:val="none" w:sz="0" w:space="0" w:color="auto"/>
            <w:left w:val="none" w:sz="0" w:space="0" w:color="auto"/>
            <w:bottom w:val="none" w:sz="0" w:space="0" w:color="auto"/>
            <w:right w:val="none" w:sz="0" w:space="0" w:color="auto"/>
          </w:divBdr>
        </w:div>
        <w:div w:id="1791897089">
          <w:marLeft w:val="0"/>
          <w:marRight w:val="0"/>
          <w:marTop w:val="0"/>
          <w:marBottom w:val="0"/>
          <w:divBdr>
            <w:top w:val="none" w:sz="0" w:space="0" w:color="auto"/>
            <w:left w:val="none" w:sz="0" w:space="0" w:color="auto"/>
            <w:bottom w:val="none" w:sz="0" w:space="0" w:color="auto"/>
            <w:right w:val="none" w:sz="0" w:space="0" w:color="auto"/>
          </w:divBdr>
        </w:div>
        <w:div w:id="1809781715">
          <w:marLeft w:val="0"/>
          <w:marRight w:val="0"/>
          <w:marTop w:val="0"/>
          <w:marBottom w:val="0"/>
          <w:divBdr>
            <w:top w:val="none" w:sz="0" w:space="0" w:color="auto"/>
            <w:left w:val="none" w:sz="0" w:space="0" w:color="auto"/>
            <w:bottom w:val="none" w:sz="0" w:space="0" w:color="auto"/>
            <w:right w:val="none" w:sz="0" w:space="0" w:color="auto"/>
          </w:divBdr>
        </w:div>
        <w:div w:id="1819957495">
          <w:marLeft w:val="0"/>
          <w:marRight w:val="0"/>
          <w:marTop w:val="0"/>
          <w:marBottom w:val="0"/>
          <w:divBdr>
            <w:top w:val="none" w:sz="0" w:space="0" w:color="auto"/>
            <w:left w:val="none" w:sz="0" w:space="0" w:color="auto"/>
            <w:bottom w:val="none" w:sz="0" w:space="0" w:color="auto"/>
            <w:right w:val="none" w:sz="0" w:space="0" w:color="auto"/>
          </w:divBdr>
        </w:div>
        <w:div w:id="1820268433">
          <w:marLeft w:val="0"/>
          <w:marRight w:val="0"/>
          <w:marTop w:val="0"/>
          <w:marBottom w:val="0"/>
          <w:divBdr>
            <w:top w:val="none" w:sz="0" w:space="0" w:color="auto"/>
            <w:left w:val="none" w:sz="0" w:space="0" w:color="auto"/>
            <w:bottom w:val="none" w:sz="0" w:space="0" w:color="auto"/>
            <w:right w:val="none" w:sz="0" w:space="0" w:color="auto"/>
          </w:divBdr>
        </w:div>
        <w:div w:id="1821655857">
          <w:marLeft w:val="0"/>
          <w:marRight w:val="0"/>
          <w:marTop w:val="0"/>
          <w:marBottom w:val="0"/>
          <w:divBdr>
            <w:top w:val="none" w:sz="0" w:space="0" w:color="auto"/>
            <w:left w:val="none" w:sz="0" w:space="0" w:color="auto"/>
            <w:bottom w:val="none" w:sz="0" w:space="0" w:color="auto"/>
            <w:right w:val="none" w:sz="0" w:space="0" w:color="auto"/>
          </w:divBdr>
        </w:div>
        <w:div w:id="1828861416">
          <w:marLeft w:val="0"/>
          <w:marRight w:val="0"/>
          <w:marTop w:val="0"/>
          <w:marBottom w:val="0"/>
          <w:divBdr>
            <w:top w:val="none" w:sz="0" w:space="0" w:color="auto"/>
            <w:left w:val="none" w:sz="0" w:space="0" w:color="auto"/>
            <w:bottom w:val="none" w:sz="0" w:space="0" w:color="auto"/>
            <w:right w:val="none" w:sz="0" w:space="0" w:color="auto"/>
          </w:divBdr>
        </w:div>
        <w:div w:id="1829664045">
          <w:marLeft w:val="0"/>
          <w:marRight w:val="0"/>
          <w:marTop w:val="0"/>
          <w:marBottom w:val="0"/>
          <w:divBdr>
            <w:top w:val="none" w:sz="0" w:space="0" w:color="auto"/>
            <w:left w:val="none" w:sz="0" w:space="0" w:color="auto"/>
            <w:bottom w:val="none" w:sz="0" w:space="0" w:color="auto"/>
            <w:right w:val="none" w:sz="0" w:space="0" w:color="auto"/>
          </w:divBdr>
        </w:div>
        <w:div w:id="1843353330">
          <w:marLeft w:val="0"/>
          <w:marRight w:val="0"/>
          <w:marTop w:val="0"/>
          <w:marBottom w:val="0"/>
          <w:divBdr>
            <w:top w:val="none" w:sz="0" w:space="0" w:color="auto"/>
            <w:left w:val="none" w:sz="0" w:space="0" w:color="auto"/>
            <w:bottom w:val="none" w:sz="0" w:space="0" w:color="auto"/>
            <w:right w:val="none" w:sz="0" w:space="0" w:color="auto"/>
          </w:divBdr>
        </w:div>
        <w:div w:id="1857234071">
          <w:marLeft w:val="0"/>
          <w:marRight w:val="0"/>
          <w:marTop w:val="0"/>
          <w:marBottom w:val="0"/>
          <w:divBdr>
            <w:top w:val="none" w:sz="0" w:space="0" w:color="auto"/>
            <w:left w:val="none" w:sz="0" w:space="0" w:color="auto"/>
            <w:bottom w:val="none" w:sz="0" w:space="0" w:color="auto"/>
            <w:right w:val="none" w:sz="0" w:space="0" w:color="auto"/>
          </w:divBdr>
        </w:div>
        <w:div w:id="1857452207">
          <w:marLeft w:val="0"/>
          <w:marRight w:val="0"/>
          <w:marTop w:val="0"/>
          <w:marBottom w:val="0"/>
          <w:divBdr>
            <w:top w:val="none" w:sz="0" w:space="0" w:color="auto"/>
            <w:left w:val="none" w:sz="0" w:space="0" w:color="auto"/>
            <w:bottom w:val="none" w:sz="0" w:space="0" w:color="auto"/>
            <w:right w:val="none" w:sz="0" w:space="0" w:color="auto"/>
          </w:divBdr>
        </w:div>
        <w:div w:id="1866212294">
          <w:marLeft w:val="0"/>
          <w:marRight w:val="0"/>
          <w:marTop w:val="0"/>
          <w:marBottom w:val="0"/>
          <w:divBdr>
            <w:top w:val="none" w:sz="0" w:space="0" w:color="auto"/>
            <w:left w:val="none" w:sz="0" w:space="0" w:color="auto"/>
            <w:bottom w:val="none" w:sz="0" w:space="0" w:color="auto"/>
            <w:right w:val="none" w:sz="0" w:space="0" w:color="auto"/>
          </w:divBdr>
        </w:div>
        <w:div w:id="1869683997">
          <w:marLeft w:val="0"/>
          <w:marRight w:val="0"/>
          <w:marTop w:val="0"/>
          <w:marBottom w:val="0"/>
          <w:divBdr>
            <w:top w:val="none" w:sz="0" w:space="0" w:color="auto"/>
            <w:left w:val="none" w:sz="0" w:space="0" w:color="auto"/>
            <w:bottom w:val="none" w:sz="0" w:space="0" w:color="auto"/>
            <w:right w:val="none" w:sz="0" w:space="0" w:color="auto"/>
          </w:divBdr>
        </w:div>
        <w:div w:id="1878198501">
          <w:marLeft w:val="0"/>
          <w:marRight w:val="0"/>
          <w:marTop w:val="0"/>
          <w:marBottom w:val="0"/>
          <w:divBdr>
            <w:top w:val="none" w:sz="0" w:space="0" w:color="auto"/>
            <w:left w:val="none" w:sz="0" w:space="0" w:color="auto"/>
            <w:bottom w:val="none" w:sz="0" w:space="0" w:color="auto"/>
            <w:right w:val="none" w:sz="0" w:space="0" w:color="auto"/>
          </w:divBdr>
        </w:div>
        <w:div w:id="1903709817">
          <w:marLeft w:val="0"/>
          <w:marRight w:val="0"/>
          <w:marTop w:val="0"/>
          <w:marBottom w:val="0"/>
          <w:divBdr>
            <w:top w:val="none" w:sz="0" w:space="0" w:color="auto"/>
            <w:left w:val="none" w:sz="0" w:space="0" w:color="auto"/>
            <w:bottom w:val="none" w:sz="0" w:space="0" w:color="auto"/>
            <w:right w:val="none" w:sz="0" w:space="0" w:color="auto"/>
          </w:divBdr>
        </w:div>
        <w:div w:id="1904639150">
          <w:marLeft w:val="0"/>
          <w:marRight w:val="0"/>
          <w:marTop w:val="0"/>
          <w:marBottom w:val="0"/>
          <w:divBdr>
            <w:top w:val="none" w:sz="0" w:space="0" w:color="auto"/>
            <w:left w:val="none" w:sz="0" w:space="0" w:color="auto"/>
            <w:bottom w:val="none" w:sz="0" w:space="0" w:color="auto"/>
            <w:right w:val="none" w:sz="0" w:space="0" w:color="auto"/>
          </w:divBdr>
        </w:div>
        <w:div w:id="1914776238">
          <w:marLeft w:val="0"/>
          <w:marRight w:val="0"/>
          <w:marTop w:val="0"/>
          <w:marBottom w:val="0"/>
          <w:divBdr>
            <w:top w:val="none" w:sz="0" w:space="0" w:color="auto"/>
            <w:left w:val="none" w:sz="0" w:space="0" w:color="auto"/>
            <w:bottom w:val="none" w:sz="0" w:space="0" w:color="auto"/>
            <w:right w:val="none" w:sz="0" w:space="0" w:color="auto"/>
          </w:divBdr>
        </w:div>
        <w:div w:id="1917592784">
          <w:marLeft w:val="0"/>
          <w:marRight w:val="0"/>
          <w:marTop w:val="0"/>
          <w:marBottom w:val="0"/>
          <w:divBdr>
            <w:top w:val="none" w:sz="0" w:space="0" w:color="auto"/>
            <w:left w:val="none" w:sz="0" w:space="0" w:color="auto"/>
            <w:bottom w:val="none" w:sz="0" w:space="0" w:color="auto"/>
            <w:right w:val="none" w:sz="0" w:space="0" w:color="auto"/>
          </w:divBdr>
        </w:div>
        <w:div w:id="1924751609">
          <w:marLeft w:val="0"/>
          <w:marRight w:val="0"/>
          <w:marTop w:val="0"/>
          <w:marBottom w:val="0"/>
          <w:divBdr>
            <w:top w:val="none" w:sz="0" w:space="0" w:color="auto"/>
            <w:left w:val="none" w:sz="0" w:space="0" w:color="auto"/>
            <w:bottom w:val="none" w:sz="0" w:space="0" w:color="auto"/>
            <w:right w:val="none" w:sz="0" w:space="0" w:color="auto"/>
          </w:divBdr>
        </w:div>
        <w:div w:id="1932157226">
          <w:marLeft w:val="0"/>
          <w:marRight w:val="0"/>
          <w:marTop w:val="0"/>
          <w:marBottom w:val="0"/>
          <w:divBdr>
            <w:top w:val="none" w:sz="0" w:space="0" w:color="auto"/>
            <w:left w:val="none" w:sz="0" w:space="0" w:color="auto"/>
            <w:bottom w:val="none" w:sz="0" w:space="0" w:color="auto"/>
            <w:right w:val="none" w:sz="0" w:space="0" w:color="auto"/>
          </w:divBdr>
        </w:div>
        <w:div w:id="1934245124">
          <w:marLeft w:val="0"/>
          <w:marRight w:val="0"/>
          <w:marTop w:val="0"/>
          <w:marBottom w:val="0"/>
          <w:divBdr>
            <w:top w:val="none" w:sz="0" w:space="0" w:color="auto"/>
            <w:left w:val="none" w:sz="0" w:space="0" w:color="auto"/>
            <w:bottom w:val="none" w:sz="0" w:space="0" w:color="auto"/>
            <w:right w:val="none" w:sz="0" w:space="0" w:color="auto"/>
          </w:divBdr>
        </w:div>
        <w:div w:id="1934431327">
          <w:marLeft w:val="0"/>
          <w:marRight w:val="0"/>
          <w:marTop w:val="0"/>
          <w:marBottom w:val="0"/>
          <w:divBdr>
            <w:top w:val="none" w:sz="0" w:space="0" w:color="auto"/>
            <w:left w:val="none" w:sz="0" w:space="0" w:color="auto"/>
            <w:bottom w:val="none" w:sz="0" w:space="0" w:color="auto"/>
            <w:right w:val="none" w:sz="0" w:space="0" w:color="auto"/>
          </w:divBdr>
        </w:div>
        <w:div w:id="1953705032">
          <w:marLeft w:val="0"/>
          <w:marRight w:val="0"/>
          <w:marTop w:val="0"/>
          <w:marBottom w:val="0"/>
          <w:divBdr>
            <w:top w:val="none" w:sz="0" w:space="0" w:color="auto"/>
            <w:left w:val="none" w:sz="0" w:space="0" w:color="auto"/>
            <w:bottom w:val="none" w:sz="0" w:space="0" w:color="auto"/>
            <w:right w:val="none" w:sz="0" w:space="0" w:color="auto"/>
          </w:divBdr>
        </w:div>
        <w:div w:id="1965577457">
          <w:marLeft w:val="0"/>
          <w:marRight w:val="0"/>
          <w:marTop w:val="0"/>
          <w:marBottom w:val="0"/>
          <w:divBdr>
            <w:top w:val="none" w:sz="0" w:space="0" w:color="auto"/>
            <w:left w:val="none" w:sz="0" w:space="0" w:color="auto"/>
            <w:bottom w:val="none" w:sz="0" w:space="0" w:color="auto"/>
            <w:right w:val="none" w:sz="0" w:space="0" w:color="auto"/>
          </w:divBdr>
        </w:div>
        <w:div w:id="1975913609">
          <w:marLeft w:val="0"/>
          <w:marRight w:val="0"/>
          <w:marTop w:val="0"/>
          <w:marBottom w:val="0"/>
          <w:divBdr>
            <w:top w:val="none" w:sz="0" w:space="0" w:color="auto"/>
            <w:left w:val="none" w:sz="0" w:space="0" w:color="auto"/>
            <w:bottom w:val="none" w:sz="0" w:space="0" w:color="auto"/>
            <w:right w:val="none" w:sz="0" w:space="0" w:color="auto"/>
          </w:divBdr>
        </w:div>
        <w:div w:id="1976374161">
          <w:marLeft w:val="0"/>
          <w:marRight w:val="0"/>
          <w:marTop w:val="0"/>
          <w:marBottom w:val="0"/>
          <w:divBdr>
            <w:top w:val="none" w:sz="0" w:space="0" w:color="auto"/>
            <w:left w:val="none" w:sz="0" w:space="0" w:color="auto"/>
            <w:bottom w:val="none" w:sz="0" w:space="0" w:color="auto"/>
            <w:right w:val="none" w:sz="0" w:space="0" w:color="auto"/>
          </w:divBdr>
        </w:div>
        <w:div w:id="1980763189">
          <w:marLeft w:val="0"/>
          <w:marRight w:val="0"/>
          <w:marTop w:val="0"/>
          <w:marBottom w:val="0"/>
          <w:divBdr>
            <w:top w:val="none" w:sz="0" w:space="0" w:color="auto"/>
            <w:left w:val="none" w:sz="0" w:space="0" w:color="auto"/>
            <w:bottom w:val="none" w:sz="0" w:space="0" w:color="auto"/>
            <w:right w:val="none" w:sz="0" w:space="0" w:color="auto"/>
          </w:divBdr>
        </w:div>
        <w:div w:id="1982467217">
          <w:marLeft w:val="0"/>
          <w:marRight w:val="0"/>
          <w:marTop w:val="0"/>
          <w:marBottom w:val="0"/>
          <w:divBdr>
            <w:top w:val="none" w:sz="0" w:space="0" w:color="auto"/>
            <w:left w:val="none" w:sz="0" w:space="0" w:color="auto"/>
            <w:bottom w:val="none" w:sz="0" w:space="0" w:color="auto"/>
            <w:right w:val="none" w:sz="0" w:space="0" w:color="auto"/>
          </w:divBdr>
        </w:div>
        <w:div w:id="1984235601">
          <w:marLeft w:val="0"/>
          <w:marRight w:val="0"/>
          <w:marTop w:val="0"/>
          <w:marBottom w:val="0"/>
          <w:divBdr>
            <w:top w:val="none" w:sz="0" w:space="0" w:color="auto"/>
            <w:left w:val="none" w:sz="0" w:space="0" w:color="auto"/>
            <w:bottom w:val="none" w:sz="0" w:space="0" w:color="auto"/>
            <w:right w:val="none" w:sz="0" w:space="0" w:color="auto"/>
          </w:divBdr>
        </w:div>
        <w:div w:id="1984656674">
          <w:marLeft w:val="0"/>
          <w:marRight w:val="0"/>
          <w:marTop w:val="0"/>
          <w:marBottom w:val="0"/>
          <w:divBdr>
            <w:top w:val="none" w:sz="0" w:space="0" w:color="auto"/>
            <w:left w:val="none" w:sz="0" w:space="0" w:color="auto"/>
            <w:bottom w:val="none" w:sz="0" w:space="0" w:color="auto"/>
            <w:right w:val="none" w:sz="0" w:space="0" w:color="auto"/>
          </w:divBdr>
        </w:div>
        <w:div w:id="1990359750">
          <w:marLeft w:val="0"/>
          <w:marRight w:val="0"/>
          <w:marTop w:val="0"/>
          <w:marBottom w:val="0"/>
          <w:divBdr>
            <w:top w:val="none" w:sz="0" w:space="0" w:color="auto"/>
            <w:left w:val="none" w:sz="0" w:space="0" w:color="auto"/>
            <w:bottom w:val="none" w:sz="0" w:space="0" w:color="auto"/>
            <w:right w:val="none" w:sz="0" w:space="0" w:color="auto"/>
          </w:divBdr>
        </w:div>
        <w:div w:id="2005670143">
          <w:marLeft w:val="0"/>
          <w:marRight w:val="0"/>
          <w:marTop w:val="0"/>
          <w:marBottom w:val="0"/>
          <w:divBdr>
            <w:top w:val="none" w:sz="0" w:space="0" w:color="auto"/>
            <w:left w:val="none" w:sz="0" w:space="0" w:color="auto"/>
            <w:bottom w:val="none" w:sz="0" w:space="0" w:color="auto"/>
            <w:right w:val="none" w:sz="0" w:space="0" w:color="auto"/>
          </w:divBdr>
        </w:div>
        <w:div w:id="2022579989">
          <w:marLeft w:val="0"/>
          <w:marRight w:val="0"/>
          <w:marTop w:val="0"/>
          <w:marBottom w:val="0"/>
          <w:divBdr>
            <w:top w:val="none" w:sz="0" w:space="0" w:color="auto"/>
            <w:left w:val="none" w:sz="0" w:space="0" w:color="auto"/>
            <w:bottom w:val="none" w:sz="0" w:space="0" w:color="auto"/>
            <w:right w:val="none" w:sz="0" w:space="0" w:color="auto"/>
          </w:divBdr>
        </w:div>
        <w:div w:id="2024893559">
          <w:marLeft w:val="0"/>
          <w:marRight w:val="0"/>
          <w:marTop w:val="0"/>
          <w:marBottom w:val="0"/>
          <w:divBdr>
            <w:top w:val="none" w:sz="0" w:space="0" w:color="auto"/>
            <w:left w:val="none" w:sz="0" w:space="0" w:color="auto"/>
            <w:bottom w:val="none" w:sz="0" w:space="0" w:color="auto"/>
            <w:right w:val="none" w:sz="0" w:space="0" w:color="auto"/>
          </w:divBdr>
        </w:div>
        <w:div w:id="2036031004">
          <w:marLeft w:val="0"/>
          <w:marRight w:val="0"/>
          <w:marTop w:val="0"/>
          <w:marBottom w:val="0"/>
          <w:divBdr>
            <w:top w:val="none" w:sz="0" w:space="0" w:color="auto"/>
            <w:left w:val="none" w:sz="0" w:space="0" w:color="auto"/>
            <w:bottom w:val="none" w:sz="0" w:space="0" w:color="auto"/>
            <w:right w:val="none" w:sz="0" w:space="0" w:color="auto"/>
          </w:divBdr>
        </w:div>
        <w:div w:id="2103137562">
          <w:marLeft w:val="0"/>
          <w:marRight w:val="0"/>
          <w:marTop w:val="0"/>
          <w:marBottom w:val="0"/>
          <w:divBdr>
            <w:top w:val="none" w:sz="0" w:space="0" w:color="auto"/>
            <w:left w:val="none" w:sz="0" w:space="0" w:color="auto"/>
            <w:bottom w:val="none" w:sz="0" w:space="0" w:color="auto"/>
            <w:right w:val="none" w:sz="0" w:space="0" w:color="auto"/>
          </w:divBdr>
        </w:div>
        <w:div w:id="2104834997">
          <w:marLeft w:val="0"/>
          <w:marRight w:val="0"/>
          <w:marTop w:val="0"/>
          <w:marBottom w:val="0"/>
          <w:divBdr>
            <w:top w:val="none" w:sz="0" w:space="0" w:color="auto"/>
            <w:left w:val="none" w:sz="0" w:space="0" w:color="auto"/>
            <w:bottom w:val="none" w:sz="0" w:space="0" w:color="auto"/>
            <w:right w:val="none" w:sz="0" w:space="0" w:color="auto"/>
          </w:divBdr>
        </w:div>
        <w:div w:id="2114740491">
          <w:marLeft w:val="0"/>
          <w:marRight w:val="0"/>
          <w:marTop w:val="0"/>
          <w:marBottom w:val="0"/>
          <w:divBdr>
            <w:top w:val="none" w:sz="0" w:space="0" w:color="auto"/>
            <w:left w:val="none" w:sz="0" w:space="0" w:color="auto"/>
            <w:bottom w:val="none" w:sz="0" w:space="0" w:color="auto"/>
            <w:right w:val="none" w:sz="0" w:space="0" w:color="auto"/>
          </w:divBdr>
        </w:div>
        <w:div w:id="2124836331">
          <w:marLeft w:val="0"/>
          <w:marRight w:val="0"/>
          <w:marTop w:val="0"/>
          <w:marBottom w:val="0"/>
          <w:divBdr>
            <w:top w:val="none" w:sz="0" w:space="0" w:color="auto"/>
            <w:left w:val="none" w:sz="0" w:space="0" w:color="auto"/>
            <w:bottom w:val="none" w:sz="0" w:space="0" w:color="auto"/>
            <w:right w:val="none" w:sz="0" w:space="0" w:color="auto"/>
          </w:divBdr>
        </w:div>
        <w:div w:id="2130928964">
          <w:marLeft w:val="0"/>
          <w:marRight w:val="0"/>
          <w:marTop w:val="0"/>
          <w:marBottom w:val="0"/>
          <w:divBdr>
            <w:top w:val="none" w:sz="0" w:space="0" w:color="auto"/>
            <w:left w:val="none" w:sz="0" w:space="0" w:color="auto"/>
            <w:bottom w:val="none" w:sz="0" w:space="0" w:color="auto"/>
            <w:right w:val="none" w:sz="0" w:space="0" w:color="auto"/>
          </w:divBdr>
        </w:div>
        <w:div w:id="2140873232">
          <w:marLeft w:val="0"/>
          <w:marRight w:val="0"/>
          <w:marTop w:val="0"/>
          <w:marBottom w:val="0"/>
          <w:divBdr>
            <w:top w:val="none" w:sz="0" w:space="0" w:color="auto"/>
            <w:left w:val="none" w:sz="0" w:space="0" w:color="auto"/>
            <w:bottom w:val="none" w:sz="0" w:space="0" w:color="auto"/>
            <w:right w:val="none" w:sz="0" w:space="0" w:color="auto"/>
          </w:divBdr>
        </w:div>
        <w:div w:id="2147120911">
          <w:marLeft w:val="0"/>
          <w:marRight w:val="0"/>
          <w:marTop w:val="0"/>
          <w:marBottom w:val="0"/>
          <w:divBdr>
            <w:top w:val="none" w:sz="0" w:space="0" w:color="auto"/>
            <w:left w:val="none" w:sz="0" w:space="0" w:color="auto"/>
            <w:bottom w:val="none" w:sz="0" w:space="0" w:color="auto"/>
            <w:right w:val="none" w:sz="0" w:space="0" w:color="auto"/>
          </w:divBdr>
        </w:div>
      </w:divsChild>
    </w:div>
    <w:div w:id="774445194">
      <w:bodyDiv w:val="1"/>
      <w:marLeft w:val="0"/>
      <w:marRight w:val="0"/>
      <w:marTop w:val="0"/>
      <w:marBottom w:val="0"/>
      <w:divBdr>
        <w:top w:val="none" w:sz="0" w:space="0" w:color="auto"/>
        <w:left w:val="none" w:sz="0" w:space="0" w:color="auto"/>
        <w:bottom w:val="none" w:sz="0" w:space="0" w:color="auto"/>
        <w:right w:val="none" w:sz="0" w:space="0" w:color="auto"/>
      </w:divBdr>
      <w:divsChild>
        <w:div w:id="241070406">
          <w:marLeft w:val="360"/>
          <w:marRight w:val="0"/>
          <w:marTop w:val="0"/>
          <w:marBottom w:val="120"/>
          <w:divBdr>
            <w:top w:val="none" w:sz="0" w:space="0" w:color="auto"/>
            <w:left w:val="none" w:sz="0" w:space="0" w:color="auto"/>
            <w:bottom w:val="none" w:sz="0" w:space="0" w:color="auto"/>
            <w:right w:val="none" w:sz="0" w:space="0" w:color="auto"/>
          </w:divBdr>
        </w:div>
      </w:divsChild>
    </w:div>
    <w:div w:id="781653993">
      <w:bodyDiv w:val="1"/>
      <w:marLeft w:val="0"/>
      <w:marRight w:val="0"/>
      <w:marTop w:val="0"/>
      <w:marBottom w:val="0"/>
      <w:divBdr>
        <w:top w:val="none" w:sz="0" w:space="0" w:color="auto"/>
        <w:left w:val="none" w:sz="0" w:space="0" w:color="auto"/>
        <w:bottom w:val="none" w:sz="0" w:space="0" w:color="auto"/>
        <w:right w:val="none" w:sz="0" w:space="0" w:color="auto"/>
      </w:divBdr>
    </w:div>
    <w:div w:id="789325251">
      <w:bodyDiv w:val="1"/>
      <w:marLeft w:val="0"/>
      <w:marRight w:val="0"/>
      <w:marTop w:val="0"/>
      <w:marBottom w:val="0"/>
      <w:divBdr>
        <w:top w:val="none" w:sz="0" w:space="0" w:color="auto"/>
        <w:left w:val="none" w:sz="0" w:space="0" w:color="auto"/>
        <w:bottom w:val="none" w:sz="0" w:space="0" w:color="auto"/>
        <w:right w:val="none" w:sz="0" w:space="0" w:color="auto"/>
      </w:divBdr>
    </w:div>
    <w:div w:id="797573422">
      <w:bodyDiv w:val="1"/>
      <w:marLeft w:val="0"/>
      <w:marRight w:val="0"/>
      <w:marTop w:val="0"/>
      <w:marBottom w:val="0"/>
      <w:divBdr>
        <w:top w:val="none" w:sz="0" w:space="0" w:color="auto"/>
        <w:left w:val="none" w:sz="0" w:space="0" w:color="auto"/>
        <w:bottom w:val="none" w:sz="0" w:space="0" w:color="auto"/>
        <w:right w:val="none" w:sz="0" w:space="0" w:color="auto"/>
      </w:divBdr>
      <w:divsChild>
        <w:div w:id="1979411508">
          <w:marLeft w:val="547"/>
          <w:marRight w:val="0"/>
          <w:marTop w:val="0"/>
          <w:marBottom w:val="0"/>
          <w:divBdr>
            <w:top w:val="none" w:sz="0" w:space="0" w:color="auto"/>
            <w:left w:val="none" w:sz="0" w:space="0" w:color="auto"/>
            <w:bottom w:val="none" w:sz="0" w:space="0" w:color="auto"/>
            <w:right w:val="none" w:sz="0" w:space="0" w:color="auto"/>
          </w:divBdr>
        </w:div>
      </w:divsChild>
    </w:div>
    <w:div w:id="821890952">
      <w:bodyDiv w:val="1"/>
      <w:marLeft w:val="0"/>
      <w:marRight w:val="0"/>
      <w:marTop w:val="0"/>
      <w:marBottom w:val="0"/>
      <w:divBdr>
        <w:top w:val="none" w:sz="0" w:space="0" w:color="auto"/>
        <w:left w:val="none" w:sz="0" w:space="0" w:color="auto"/>
        <w:bottom w:val="none" w:sz="0" w:space="0" w:color="auto"/>
        <w:right w:val="none" w:sz="0" w:space="0" w:color="auto"/>
      </w:divBdr>
      <w:divsChild>
        <w:div w:id="136263680">
          <w:marLeft w:val="0"/>
          <w:marRight w:val="0"/>
          <w:marTop w:val="0"/>
          <w:marBottom w:val="0"/>
          <w:divBdr>
            <w:top w:val="none" w:sz="0" w:space="0" w:color="auto"/>
            <w:left w:val="none" w:sz="0" w:space="0" w:color="auto"/>
            <w:bottom w:val="none" w:sz="0" w:space="0" w:color="auto"/>
            <w:right w:val="none" w:sz="0" w:space="0" w:color="auto"/>
          </w:divBdr>
        </w:div>
        <w:div w:id="1563326205">
          <w:marLeft w:val="0"/>
          <w:marRight w:val="0"/>
          <w:marTop w:val="0"/>
          <w:marBottom w:val="0"/>
          <w:divBdr>
            <w:top w:val="none" w:sz="0" w:space="0" w:color="auto"/>
            <w:left w:val="none" w:sz="0" w:space="0" w:color="auto"/>
            <w:bottom w:val="none" w:sz="0" w:space="0" w:color="auto"/>
            <w:right w:val="none" w:sz="0" w:space="0" w:color="auto"/>
          </w:divBdr>
        </w:div>
        <w:div w:id="1688361520">
          <w:marLeft w:val="0"/>
          <w:marRight w:val="0"/>
          <w:marTop w:val="0"/>
          <w:marBottom w:val="0"/>
          <w:divBdr>
            <w:top w:val="none" w:sz="0" w:space="0" w:color="auto"/>
            <w:left w:val="none" w:sz="0" w:space="0" w:color="auto"/>
            <w:bottom w:val="none" w:sz="0" w:space="0" w:color="auto"/>
            <w:right w:val="none" w:sz="0" w:space="0" w:color="auto"/>
          </w:divBdr>
        </w:div>
        <w:div w:id="1689286292">
          <w:marLeft w:val="0"/>
          <w:marRight w:val="0"/>
          <w:marTop w:val="0"/>
          <w:marBottom w:val="0"/>
          <w:divBdr>
            <w:top w:val="none" w:sz="0" w:space="0" w:color="auto"/>
            <w:left w:val="none" w:sz="0" w:space="0" w:color="auto"/>
            <w:bottom w:val="none" w:sz="0" w:space="0" w:color="auto"/>
            <w:right w:val="none" w:sz="0" w:space="0" w:color="auto"/>
          </w:divBdr>
        </w:div>
        <w:div w:id="1735009862">
          <w:marLeft w:val="0"/>
          <w:marRight w:val="0"/>
          <w:marTop w:val="0"/>
          <w:marBottom w:val="0"/>
          <w:divBdr>
            <w:top w:val="none" w:sz="0" w:space="0" w:color="auto"/>
            <w:left w:val="none" w:sz="0" w:space="0" w:color="auto"/>
            <w:bottom w:val="none" w:sz="0" w:space="0" w:color="auto"/>
            <w:right w:val="none" w:sz="0" w:space="0" w:color="auto"/>
          </w:divBdr>
        </w:div>
        <w:div w:id="2076659971">
          <w:marLeft w:val="0"/>
          <w:marRight w:val="0"/>
          <w:marTop w:val="0"/>
          <w:marBottom w:val="0"/>
          <w:divBdr>
            <w:top w:val="none" w:sz="0" w:space="0" w:color="auto"/>
            <w:left w:val="none" w:sz="0" w:space="0" w:color="auto"/>
            <w:bottom w:val="none" w:sz="0" w:space="0" w:color="auto"/>
            <w:right w:val="none" w:sz="0" w:space="0" w:color="auto"/>
          </w:divBdr>
        </w:div>
      </w:divsChild>
    </w:div>
    <w:div w:id="828133329">
      <w:bodyDiv w:val="1"/>
      <w:marLeft w:val="0"/>
      <w:marRight w:val="0"/>
      <w:marTop w:val="0"/>
      <w:marBottom w:val="0"/>
      <w:divBdr>
        <w:top w:val="none" w:sz="0" w:space="0" w:color="auto"/>
        <w:left w:val="none" w:sz="0" w:space="0" w:color="auto"/>
        <w:bottom w:val="none" w:sz="0" w:space="0" w:color="auto"/>
        <w:right w:val="none" w:sz="0" w:space="0" w:color="auto"/>
      </w:divBdr>
    </w:div>
    <w:div w:id="835269976">
      <w:bodyDiv w:val="1"/>
      <w:marLeft w:val="0"/>
      <w:marRight w:val="0"/>
      <w:marTop w:val="0"/>
      <w:marBottom w:val="0"/>
      <w:divBdr>
        <w:top w:val="none" w:sz="0" w:space="0" w:color="auto"/>
        <w:left w:val="none" w:sz="0" w:space="0" w:color="auto"/>
        <w:bottom w:val="none" w:sz="0" w:space="0" w:color="auto"/>
        <w:right w:val="none" w:sz="0" w:space="0" w:color="auto"/>
      </w:divBdr>
      <w:divsChild>
        <w:div w:id="4943388">
          <w:marLeft w:val="0"/>
          <w:marRight w:val="0"/>
          <w:marTop w:val="0"/>
          <w:marBottom w:val="0"/>
          <w:divBdr>
            <w:top w:val="none" w:sz="0" w:space="0" w:color="auto"/>
            <w:left w:val="none" w:sz="0" w:space="0" w:color="auto"/>
            <w:bottom w:val="none" w:sz="0" w:space="0" w:color="auto"/>
            <w:right w:val="none" w:sz="0" w:space="0" w:color="auto"/>
          </w:divBdr>
        </w:div>
        <w:div w:id="5448988">
          <w:marLeft w:val="0"/>
          <w:marRight w:val="0"/>
          <w:marTop w:val="0"/>
          <w:marBottom w:val="0"/>
          <w:divBdr>
            <w:top w:val="none" w:sz="0" w:space="0" w:color="auto"/>
            <w:left w:val="none" w:sz="0" w:space="0" w:color="auto"/>
            <w:bottom w:val="none" w:sz="0" w:space="0" w:color="auto"/>
            <w:right w:val="none" w:sz="0" w:space="0" w:color="auto"/>
          </w:divBdr>
        </w:div>
        <w:div w:id="7955023">
          <w:marLeft w:val="0"/>
          <w:marRight w:val="0"/>
          <w:marTop w:val="0"/>
          <w:marBottom w:val="0"/>
          <w:divBdr>
            <w:top w:val="none" w:sz="0" w:space="0" w:color="auto"/>
            <w:left w:val="none" w:sz="0" w:space="0" w:color="auto"/>
            <w:bottom w:val="none" w:sz="0" w:space="0" w:color="auto"/>
            <w:right w:val="none" w:sz="0" w:space="0" w:color="auto"/>
          </w:divBdr>
        </w:div>
        <w:div w:id="9334998">
          <w:marLeft w:val="0"/>
          <w:marRight w:val="0"/>
          <w:marTop w:val="0"/>
          <w:marBottom w:val="0"/>
          <w:divBdr>
            <w:top w:val="none" w:sz="0" w:space="0" w:color="auto"/>
            <w:left w:val="none" w:sz="0" w:space="0" w:color="auto"/>
            <w:bottom w:val="none" w:sz="0" w:space="0" w:color="auto"/>
            <w:right w:val="none" w:sz="0" w:space="0" w:color="auto"/>
          </w:divBdr>
        </w:div>
        <w:div w:id="20673051">
          <w:marLeft w:val="0"/>
          <w:marRight w:val="0"/>
          <w:marTop w:val="0"/>
          <w:marBottom w:val="0"/>
          <w:divBdr>
            <w:top w:val="none" w:sz="0" w:space="0" w:color="auto"/>
            <w:left w:val="none" w:sz="0" w:space="0" w:color="auto"/>
            <w:bottom w:val="none" w:sz="0" w:space="0" w:color="auto"/>
            <w:right w:val="none" w:sz="0" w:space="0" w:color="auto"/>
          </w:divBdr>
        </w:div>
        <w:div w:id="53084485">
          <w:marLeft w:val="0"/>
          <w:marRight w:val="0"/>
          <w:marTop w:val="0"/>
          <w:marBottom w:val="0"/>
          <w:divBdr>
            <w:top w:val="none" w:sz="0" w:space="0" w:color="auto"/>
            <w:left w:val="none" w:sz="0" w:space="0" w:color="auto"/>
            <w:bottom w:val="none" w:sz="0" w:space="0" w:color="auto"/>
            <w:right w:val="none" w:sz="0" w:space="0" w:color="auto"/>
          </w:divBdr>
        </w:div>
        <w:div w:id="58751150">
          <w:marLeft w:val="0"/>
          <w:marRight w:val="0"/>
          <w:marTop w:val="0"/>
          <w:marBottom w:val="0"/>
          <w:divBdr>
            <w:top w:val="none" w:sz="0" w:space="0" w:color="auto"/>
            <w:left w:val="none" w:sz="0" w:space="0" w:color="auto"/>
            <w:bottom w:val="none" w:sz="0" w:space="0" w:color="auto"/>
            <w:right w:val="none" w:sz="0" w:space="0" w:color="auto"/>
          </w:divBdr>
        </w:div>
        <w:div w:id="68116005">
          <w:marLeft w:val="0"/>
          <w:marRight w:val="0"/>
          <w:marTop w:val="0"/>
          <w:marBottom w:val="0"/>
          <w:divBdr>
            <w:top w:val="none" w:sz="0" w:space="0" w:color="auto"/>
            <w:left w:val="none" w:sz="0" w:space="0" w:color="auto"/>
            <w:bottom w:val="none" w:sz="0" w:space="0" w:color="auto"/>
            <w:right w:val="none" w:sz="0" w:space="0" w:color="auto"/>
          </w:divBdr>
        </w:div>
        <w:div w:id="73091031">
          <w:marLeft w:val="0"/>
          <w:marRight w:val="0"/>
          <w:marTop w:val="0"/>
          <w:marBottom w:val="0"/>
          <w:divBdr>
            <w:top w:val="none" w:sz="0" w:space="0" w:color="auto"/>
            <w:left w:val="none" w:sz="0" w:space="0" w:color="auto"/>
            <w:bottom w:val="none" w:sz="0" w:space="0" w:color="auto"/>
            <w:right w:val="none" w:sz="0" w:space="0" w:color="auto"/>
          </w:divBdr>
        </w:div>
        <w:div w:id="74789390">
          <w:marLeft w:val="0"/>
          <w:marRight w:val="0"/>
          <w:marTop w:val="0"/>
          <w:marBottom w:val="0"/>
          <w:divBdr>
            <w:top w:val="none" w:sz="0" w:space="0" w:color="auto"/>
            <w:left w:val="none" w:sz="0" w:space="0" w:color="auto"/>
            <w:bottom w:val="none" w:sz="0" w:space="0" w:color="auto"/>
            <w:right w:val="none" w:sz="0" w:space="0" w:color="auto"/>
          </w:divBdr>
        </w:div>
        <w:div w:id="81070937">
          <w:marLeft w:val="0"/>
          <w:marRight w:val="0"/>
          <w:marTop w:val="0"/>
          <w:marBottom w:val="0"/>
          <w:divBdr>
            <w:top w:val="none" w:sz="0" w:space="0" w:color="auto"/>
            <w:left w:val="none" w:sz="0" w:space="0" w:color="auto"/>
            <w:bottom w:val="none" w:sz="0" w:space="0" w:color="auto"/>
            <w:right w:val="none" w:sz="0" w:space="0" w:color="auto"/>
          </w:divBdr>
        </w:div>
        <w:div w:id="86734495">
          <w:marLeft w:val="0"/>
          <w:marRight w:val="0"/>
          <w:marTop w:val="0"/>
          <w:marBottom w:val="0"/>
          <w:divBdr>
            <w:top w:val="none" w:sz="0" w:space="0" w:color="auto"/>
            <w:left w:val="none" w:sz="0" w:space="0" w:color="auto"/>
            <w:bottom w:val="none" w:sz="0" w:space="0" w:color="auto"/>
            <w:right w:val="none" w:sz="0" w:space="0" w:color="auto"/>
          </w:divBdr>
        </w:div>
        <w:div w:id="87653610">
          <w:marLeft w:val="0"/>
          <w:marRight w:val="0"/>
          <w:marTop w:val="0"/>
          <w:marBottom w:val="0"/>
          <w:divBdr>
            <w:top w:val="none" w:sz="0" w:space="0" w:color="auto"/>
            <w:left w:val="none" w:sz="0" w:space="0" w:color="auto"/>
            <w:bottom w:val="none" w:sz="0" w:space="0" w:color="auto"/>
            <w:right w:val="none" w:sz="0" w:space="0" w:color="auto"/>
          </w:divBdr>
        </w:div>
        <w:div w:id="95292208">
          <w:marLeft w:val="0"/>
          <w:marRight w:val="0"/>
          <w:marTop w:val="0"/>
          <w:marBottom w:val="0"/>
          <w:divBdr>
            <w:top w:val="none" w:sz="0" w:space="0" w:color="auto"/>
            <w:left w:val="none" w:sz="0" w:space="0" w:color="auto"/>
            <w:bottom w:val="none" w:sz="0" w:space="0" w:color="auto"/>
            <w:right w:val="none" w:sz="0" w:space="0" w:color="auto"/>
          </w:divBdr>
        </w:div>
        <w:div w:id="97339289">
          <w:marLeft w:val="0"/>
          <w:marRight w:val="0"/>
          <w:marTop w:val="0"/>
          <w:marBottom w:val="0"/>
          <w:divBdr>
            <w:top w:val="none" w:sz="0" w:space="0" w:color="auto"/>
            <w:left w:val="none" w:sz="0" w:space="0" w:color="auto"/>
            <w:bottom w:val="none" w:sz="0" w:space="0" w:color="auto"/>
            <w:right w:val="none" w:sz="0" w:space="0" w:color="auto"/>
          </w:divBdr>
        </w:div>
        <w:div w:id="97988716">
          <w:marLeft w:val="0"/>
          <w:marRight w:val="0"/>
          <w:marTop w:val="0"/>
          <w:marBottom w:val="0"/>
          <w:divBdr>
            <w:top w:val="none" w:sz="0" w:space="0" w:color="auto"/>
            <w:left w:val="none" w:sz="0" w:space="0" w:color="auto"/>
            <w:bottom w:val="none" w:sz="0" w:space="0" w:color="auto"/>
            <w:right w:val="none" w:sz="0" w:space="0" w:color="auto"/>
          </w:divBdr>
        </w:div>
        <w:div w:id="108476533">
          <w:marLeft w:val="0"/>
          <w:marRight w:val="0"/>
          <w:marTop w:val="0"/>
          <w:marBottom w:val="0"/>
          <w:divBdr>
            <w:top w:val="none" w:sz="0" w:space="0" w:color="auto"/>
            <w:left w:val="none" w:sz="0" w:space="0" w:color="auto"/>
            <w:bottom w:val="none" w:sz="0" w:space="0" w:color="auto"/>
            <w:right w:val="none" w:sz="0" w:space="0" w:color="auto"/>
          </w:divBdr>
        </w:div>
        <w:div w:id="113453598">
          <w:marLeft w:val="0"/>
          <w:marRight w:val="0"/>
          <w:marTop w:val="0"/>
          <w:marBottom w:val="0"/>
          <w:divBdr>
            <w:top w:val="none" w:sz="0" w:space="0" w:color="auto"/>
            <w:left w:val="none" w:sz="0" w:space="0" w:color="auto"/>
            <w:bottom w:val="none" w:sz="0" w:space="0" w:color="auto"/>
            <w:right w:val="none" w:sz="0" w:space="0" w:color="auto"/>
          </w:divBdr>
        </w:div>
        <w:div w:id="115834344">
          <w:marLeft w:val="0"/>
          <w:marRight w:val="0"/>
          <w:marTop w:val="0"/>
          <w:marBottom w:val="0"/>
          <w:divBdr>
            <w:top w:val="none" w:sz="0" w:space="0" w:color="auto"/>
            <w:left w:val="none" w:sz="0" w:space="0" w:color="auto"/>
            <w:bottom w:val="none" w:sz="0" w:space="0" w:color="auto"/>
            <w:right w:val="none" w:sz="0" w:space="0" w:color="auto"/>
          </w:divBdr>
        </w:div>
        <w:div w:id="146676890">
          <w:marLeft w:val="0"/>
          <w:marRight w:val="0"/>
          <w:marTop w:val="0"/>
          <w:marBottom w:val="0"/>
          <w:divBdr>
            <w:top w:val="none" w:sz="0" w:space="0" w:color="auto"/>
            <w:left w:val="none" w:sz="0" w:space="0" w:color="auto"/>
            <w:bottom w:val="none" w:sz="0" w:space="0" w:color="auto"/>
            <w:right w:val="none" w:sz="0" w:space="0" w:color="auto"/>
          </w:divBdr>
        </w:div>
        <w:div w:id="170996779">
          <w:marLeft w:val="0"/>
          <w:marRight w:val="0"/>
          <w:marTop w:val="0"/>
          <w:marBottom w:val="0"/>
          <w:divBdr>
            <w:top w:val="none" w:sz="0" w:space="0" w:color="auto"/>
            <w:left w:val="none" w:sz="0" w:space="0" w:color="auto"/>
            <w:bottom w:val="none" w:sz="0" w:space="0" w:color="auto"/>
            <w:right w:val="none" w:sz="0" w:space="0" w:color="auto"/>
          </w:divBdr>
        </w:div>
        <w:div w:id="181825511">
          <w:marLeft w:val="0"/>
          <w:marRight w:val="0"/>
          <w:marTop w:val="0"/>
          <w:marBottom w:val="0"/>
          <w:divBdr>
            <w:top w:val="none" w:sz="0" w:space="0" w:color="auto"/>
            <w:left w:val="none" w:sz="0" w:space="0" w:color="auto"/>
            <w:bottom w:val="none" w:sz="0" w:space="0" w:color="auto"/>
            <w:right w:val="none" w:sz="0" w:space="0" w:color="auto"/>
          </w:divBdr>
        </w:div>
        <w:div w:id="188228466">
          <w:marLeft w:val="0"/>
          <w:marRight w:val="0"/>
          <w:marTop w:val="0"/>
          <w:marBottom w:val="0"/>
          <w:divBdr>
            <w:top w:val="none" w:sz="0" w:space="0" w:color="auto"/>
            <w:left w:val="none" w:sz="0" w:space="0" w:color="auto"/>
            <w:bottom w:val="none" w:sz="0" w:space="0" w:color="auto"/>
            <w:right w:val="none" w:sz="0" w:space="0" w:color="auto"/>
          </w:divBdr>
        </w:div>
        <w:div w:id="199124626">
          <w:marLeft w:val="0"/>
          <w:marRight w:val="0"/>
          <w:marTop w:val="0"/>
          <w:marBottom w:val="0"/>
          <w:divBdr>
            <w:top w:val="none" w:sz="0" w:space="0" w:color="auto"/>
            <w:left w:val="none" w:sz="0" w:space="0" w:color="auto"/>
            <w:bottom w:val="none" w:sz="0" w:space="0" w:color="auto"/>
            <w:right w:val="none" w:sz="0" w:space="0" w:color="auto"/>
          </w:divBdr>
        </w:div>
        <w:div w:id="214044269">
          <w:marLeft w:val="0"/>
          <w:marRight w:val="0"/>
          <w:marTop w:val="0"/>
          <w:marBottom w:val="0"/>
          <w:divBdr>
            <w:top w:val="none" w:sz="0" w:space="0" w:color="auto"/>
            <w:left w:val="none" w:sz="0" w:space="0" w:color="auto"/>
            <w:bottom w:val="none" w:sz="0" w:space="0" w:color="auto"/>
            <w:right w:val="none" w:sz="0" w:space="0" w:color="auto"/>
          </w:divBdr>
        </w:div>
        <w:div w:id="216746508">
          <w:marLeft w:val="0"/>
          <w:marRight w:val="0"/>
          <w:marTop w:val="0"/>
          <w:marBottom w:val="0"/>
          <w:divBdr>
            <w:top w:val="none" w:sz="0" w:space="0" w:color="auto"/>
            <w:left w:val="none" w:sz="0" w:space="0" w:color="auto"/>
            <w:bottom w:val="none" w:sz="0" w:space="0" w:color="auto"/>
            <w:right w:val="none" w:sz="0" w:space="0" w:color="auto"/>
          </w:divBdr>
        </w:div>
        <w:div w:id="218053420">
          <w:marLeft w:val="0"/>
          <w:marRight w:val="0"/>
          <w:marTop w:val="0"/>
          <w:marBottom w:val="0"/>
          <w:divBdr>
            <w:top w:val="none" w:sz="0" w:space="0" w:color="auto"/>
            <w:left w:val="none" w:sz="0" w:space="0" w:color="auto"/>
            <w:bottom w:val="none" w:sz="0" w:space="0" w:color="auto"/>
            <w:right w:val="none" w:sz="0" w:space="0" w:color="auto"/>
          </w:divBdr>
        </w:div>
        <w:div w:id="230234555">
          <w:marLeft w:val="0"/>
          <w:marRight w:val="0"/>
          <w:marTop w:val="0"/>
          <w:marBottom w:val="0"/>
          <w:divBdr>
            <w:top w:val="none" w:sz="0" w:space="0" w:color="auto"/>
            <w:left w:val="none" w:sz="0" w:space="0" w:color="auto"/>
            <w:bottom w:val="none" w:sz="0" w:space="0" w:color="auto"/>
            <w:right w:val="none" w:sz="0" w:space="0" w:color="auto"/>
          </w:divBdr>
        </w:div>
        <w:div w:id="231896712">
          <w:marLeft w:val="0"/>
          <w:marRight w:val="0"/>
          <w:marTop w:val="0"/>
          <w:marBottom w:val="0"/>
          <w:divBdr>
            <w:top w:val="none" w:sz="0" w:space="0" w:color="auto"/>
            <w:left w:val="none" w:sz="0" w:space="0" w:color="auto"/>
            <w:bottom w:val="none" w:sz="0" w:space="0" w:color="auto"/>
            <w:right w:val="none" w:sz="0" w:space="0" w:color="auto"/>
          </w:divBdr>
        </w:div>
        <w:div w:id="233512959">
          <w:marLeft w:val="-75"/>
          <w:marRight w:val="0"/>
          <w:marTop w:val="30"/>
          <w:marBottom w:val="30"/>
          <w:divBdr>
            <w:top w:val="none" w:sz="0" w:space="0" w:color="auto"/>
            <w:left w:val="none" w:sz="0" w:space="0" w:color="auto"/>
            <w:bottom w:val="none" w:sz="0" w:space="0" w:color="auto"/>
            <w:right w:val="none" w:sz="0" w:space="0" w:color="auto"/>
          </w:divBdr>
          <w:divsChild>
            <w:div w:id="10226424">
              <w:marLeft w:val="0"/>
              <w:marRight w:val="0"/>
              <w:marTop w:val="0"/>
              <w:marBottom w:val="0"/>
              <w:divBdr>
                <w:top w:val="none" w:sz="0" w:space="0" w:color="auto"/>
                <w:left w:val="none" w:sz="0" w:space="0" w:color="auto"/>
                <w:bottom w:val="none" w:sz="0" w:space="0" w:color="auto"/>
                <w:right w:val="none" w:sz="0" w:space="0" w:color="auto"/>
              </w:divBdr>
              <w:divsChild>
                <w:div w:id="1755204887">
                  <w:marLeft w:val="0"/>
                  <w:marRight w:val="0"/>
                  <w:marTop w:val="0"/>
                  <w:marBottom w:val="0"/>
                  <w:divBdr>
                    <w:top w:val="none" w:sz="0" w:space="0" w:color="auto"/>
                    <w:left w:val="none" w:sz="0" w:space="0" w:color="auto"/>
                    <w:bottom w:val="none" w:sz="0" w:space="0" w:color="auto"/>
                    <w:right w:val="none" w:sz="0" w:space="0" w:color="auto"/>
                  </w:divBdr>
                </w:div>
              </w:divsChild>
            </w:div>
            <w:div w:id="109516520">
              <w:marLeft w:val="0"/>
              <w:marRight w:val="0"/>
              <w:marTop w:val="0"/>
              <w:marBottom w:val="0"/>
              <w:divBdr>
                <w:top w:val="none" w:sz="0" w:space="0" w:color="auto"/>
                <w:left w:val="none" w:sz="0" w:space="0" w:color="auto"/>
                <w:bottom w:val="none" w:sz="0" w:space="0" w:color="auto"/>
                <w:right w:val="none" w:sz="0" w:space="0" w:color="auto"/>
              </w:divBdr>
              <w:divsChild>
                <w:div w:id="525363661">
                  <w:marLeft w:val="0"/>
                  <w:marRight w:val="0"/>
                  <w:marTop w:val="0"/>
                  <w:marBottom w:val="0"/>
                  <w:divBdr>
                    <w:top w:val="none" w:sz="0" w:space="0" w:color="auto"/>
                    <w:left w:val="none" w:sz="0" w:space="0" w:color="auto"/>
                    <w:bottom w:val="none" w:sz="0" w:space="0" w:color="auto"/>
                    <w:right w:val="none" w:sz="0" w:space="0" w:color="auto"/>
                  </w:divBdr>
                </w:div>
              </w:divsChild>
            </w:div>
            <w:div w:id="137112067">
              <w:marLeft w:val="0"/>
              <w:marRight w:val="0"/>
              <w:marTop w:val="0"/>
              <w:marBottom w:val="0"/>
              <w:divBdr>
                <w:top w:val="none" w:sz="0" w:space="0" w:color="auto"/>
                <w:left w:val="none" w:sz="0" w:space="0" w:color="auto"/>
                <w:bottom w:val="none" w:sz="0" w:space="0" w:color="auto"/>
                <w:right w:val="none" w:sz="0" w:space="0" w:color="auto"/>
              </w:divBdr>
              <w:divsChild>
                <w:div w:id="117652935">
                  <w:marLeft w:val="0"/>
                  <w:marRight w:val="0"/>
                  <w:marTop w:val="0"/>
                  <w:marBottom w:val="0"/>
                  <w:divBdr>
                    <w:top w:val="none" w:sz="0" w:space="0" w:color="auto"/>
                    <w:left w:val="none" w:sz="0" w:space="0" w:color="auto"/>
                    <w:bottom w:val="none" w:sz="0" w:space="0" w:color="auto"/>
                    <w:right w:val="none" w:sz="0" w:space="0" w:color="auto"/>
                  </w:divBdr>
                </w:div>
              </w:divsChild>
            </w:div>
            <w:div w:id="151407540">
              <w:marLeft w:val="0"/>
              <w:marRight w:val="0"/>
              <w:marTop w:val="0"/>
              <w:marBottom w:val="0"/>
              <w:divBdr>
                <w:top w:val="none" w:sz="0" w:space="0" w:color="auto"/>
                <w:left w:val="none" w:sz="0" w:space="0" w:color="auto"/>
                <w:bottom w:val="none" w:sz="0" w:space="0" w:color="auto"/>
                <w:right w:val="none" w:sz="0" w:space="0" w:color="auto"/>
              </w:divBdr>
              <w:divsChild>
                <w:div w:id="1489900532">
                  <w:marLeft w:val="0"/>
                  <w:marRight w:val="0"/>
                  <w:marTop w:val="0"/>
                  <w:marBottom w:val="0"/>
                  <w:divBdr>
                    <w:top w:val="none" w:sz="0" w:space="0" w:color="auto"/>
                    <w:left w:val="none" w:sz="0" w:space="0" w:color="auto"/>
                    <w:bottom w:val="none" w:sz="0" w:space="0" w:color="auto"/>
                    <w:right w:val="none" w:sz="0" w:space="0" w:color="auto"/>
                  </w:divBdr>
                </w:div>
              </w:divsChild>
            </w:div>
            <w:div w:id="187258493">
              <w:marLeft w:val="0"/>
              <w:marRight w:val="0"/>
              <w:marTop w:val="0"/>
              <w:marBottom w:val="0"/>
              <w:divBdr>
                <w:top w:val="none" w:sz="0" w:space="0" w:color="auto"/>
                <w:left w:val="none" w:sz="0" w:space="0" w:color="auto"/>
                <w:bottom w:val="none" w:sz="0" w:space="0" w:color="auto"/>
                <w:right w:val="none" w:sz="0" w:space="0" w:color="auto"/>
              </w:divBdr>
              <w:divsChild>
                <w:div w:id="669136380">
                  <w:marLeft w:val="0"/>
                  <w:marRight w:val="0"/>
                  <w:marTop w:val="0"/>
                  <w:marBottom w:val="0"/>
                  <w:divBdr>
                    <w:top w:val="none" w:sz="0" w:space="0" w:color="auto"/>
                    <w:left w:val="none" w:sz="0" w:space="0" w:color="auto"/>
                    <w:bottom w:val="none" w:sz="0" w:space="0" w:color="auto"/>
                    <w:right w:val="none" w:sz="0" w:space="0" w:color="auto"/>
                  </w:divBdr>
                </w:div>
              </w:divsChild>
            </w:div>
            <w:div w:id="218709715">
              <w:marLeft w:val="0"/>
              <w:marRight w:val="0"/>
              <w:marTop w:val="0"/>
              <w:marBottom w:val="0"/>
              <w:divBdr>
                <w:top w:val="none" w:sz="0" w:space="0" w:color="auto"/>
                <w:left w:val="none" w:sz="0" w:space="0" w:color="auto"/>
                <w:bottom w:val="none" w:sz="0" w:space="0" w:color="auto"/>
                <w:right w:val="none" w:sz="0" w:space="0" w:color="auto"/>
              </w:divBdr>
              <w:divsChild>
                <w:div w:id="1167592219">
                  <w:marLeft w:val="0"/>
                  <w:marRight w:val="0"/>
                  <w:marTop w:val="0"/>
                  <w:marBottom w:val="0"/>
                  <w:divBdr>
                    <w:top w:val="none" w:sz="0" w:space="0" w:color="auto"/>
                    <w:left w:val="none" w:sz="0" w:space="0" w:color="auto"/>
                    <w:bottom w:val="none" w:sz="0" w:space="0" w:color="auto"/>
                    <w:right w:val="none" w:sz="0" w:space="0" w:color="auto"/>
                  </w:divBdr>
                </w:div>
              </w:divsChild>
            </w:div>
            <w:div w:id="247664473">
              <w:marLeft w:val="0"/>
              <w:marRight w:val="0"/>
              <w:marTop w:val="0"/>
              <w:marBottom w:val="0"/>
              <w:divBdr>
                <w:top w:val="none" w:sz="0" w:space="0" w:color="auto"/>
                <w:left w:val="none" w:sz="0" w:space="0" w:color="auto"/>
                <w:bottom w:val="none" w:sz="0" w:space="0" w:color="auto"/>
                <w:right w:val="none" w:sz="0" w:space="0" w:color="auto"/>
              </w:divBdr>
              <w:divsChild>
                <w:div w:id="781608127">
                  <w:marLeft w:val="0"/>
                  <w:marRight w:val="0"/>
                  <w:marTop w:val="0"/>
                  <w:marBottom w:val="0"/>
                  <w:divBdr>
                    <w:top w:val="none" w:sz="0" w:space="0" w:color="auto"/>
                    <w:left w:val="none" w:sz="0" w:space="0" w:color="auto"/>
                    <w:bottom w:val="none" w:sz="0" w:space="0" w:color="auto"/>
                    <w:right w:val="none" w:sz="0" w:space="0" w:color="auto"/>
                  </w:divBdr>
                </w:div>
              </w:divsChild>
            </w:div>
            <w:div w:id="261695145">
              <w:marLeft w:val="0"/>
              <w:marRight w:val="0"/>
              <w:marTop w:val="0"/>
              <w:marBottom w:val="0"/>
              <w:divBdr>
                <w:top w:val="none" w:sz="0" w:space="0" w:color="auto"/>
                <w:left w:val="none" w:sz="0" w:space="0" w:color="auto"/>
                <w:bottom w:val="none" w:sz="0" w:space="0" w:color="auto"/>
                <w:right w:val="none" w:sz="0" w:space="0" w:color="auto"/>
              </w:divBdr>
              <w:divsChild>
                <w:div w:id="332413496">
                  <w:marLeft w:val="0"/>
                  <w:marRight w:val="0"/>
                  <w:marTop w:val="0"/>
                  <w:marBottom w:val="0"/>
                  <w:divBdr>
                    <w:top w:val="none" w:sz="0" w:space="0" w:color="auto"/>
                    <w:left w:val="none" w:sz="0" w:space="0" w:color="auto"/>
                    <w:bottom w:val="none" w:sz="0" w:space="0" w:color="auto"/>
                    <w:right w:val="none" w:sz="0" w:space="0" w:color="auto"/>
                  </w:divBdr>
                </w:div>
              </w:divsChild>
            </w:div>
            <w:div w:id="272254342">
              <w:marLeft w:val="0"/>
              <w:marRight w:val="0"/>
              <w:marTop w:val="0"/>
              <w:marBottom w:val="0"/>
              <w:divBdr>
                <w:top w:val="none" w:sz="0" w:space="0" w:color="auto"/>
                <w:left w:val="none" w:sz="0" w:space="0" w:color="auto"/>
                <w:bottom w:val="none" w:sz="0" w:space="0" w:color="auto"/>
                <w:right w:val="none" w:sz="0" w:space="0" w:color="auto"/>
              </w:divBdr>
              <w:divsChild>
                <w:div w:id="957638113">
                  <w:marLeft w:val="0"/>
                  <w:marRight w:val="0"/>
                  <w:marTop w:val="0"/>
                  <w:marBottom w:val="0"/>
                  <w:divBdr>
                    <w:top w:val="none" w:sz="0" w:space="0" w:color="auto"/>
                    <w:left w:val="none" w:sz="0" w:space="0" w:color="auto"/>
                    <w:bottom w:val="none" w:sz="0" w:space="0" w:color="auto"/>
                    <w:right w:val="none" w:sz="0" w:space="0" w:color="auto"/>
                  </w:divBdr>
                </w:div>
              </w:divsChild>
            </w:div>
            <w:div w:id="272398761">
              <w:marLeft w:val="0"/>
              <w:marRight w:val="0"/>
              <w:marTop w:val="0"/>
              <w:marBottom w:val="0"/>
              <w:divBdr>
                <w:top w:val="none" w:sz="0" w:space="0" w:color="auto"/>
                <w:left w:val="none" w:sz="0" w:space="0" w:color="auto"/>
                <w:bottom w:val="none" w:sz="0" w:space="0" w:color="auto"/>
                <w:right w:val="none" w:sz="0" w:space="0" w:color="auto"/>
              </w:divBdr>
              <w:divsChild>
                <w:div w:id="881285954">
                  <w:marLeft w:val="0"/>
                  <w:marRight w:val="0"/>
                  <w:marTop w:val="0"/>
                  <w:marBottom w:val="0"/>
                  <w:divBdr>
                    <w:top w:val="none" w:sz="0" w:space="0" w:color="auto"/>
                    <w:left w:val="none" w:sz="0" w:space="0" w:color="auto"/>
                    <w:bottom w:val="none" w:sz="0" w:space="0" w:color="auto"/>
                    <w:right w:val="none" w:sz="0" w:space="0" w:color="auto"/>
                  </w:divBdr>
                </w:div>
              </w:divsChild>
            </w:div>
            <w:div w:id="290211456">
              <w:marLeft w:val="0"/>
              <w:marRight w:val="0"/>
              <w:marTop w:val="0"/>
              <w:marBottom w:val="0"/>
              <w:divBdr>
                <w:top w:val="none" w:sz="0" w:space="0" w:color="auto"/>
                <w:left w:val="none" w:sz="0" w:space="0" w:color="auto"/>
                <w:bottom w:val="none" w:sz="0" w:space="0" w:color="auto"/>
                <w:right w:val="none" w:sz="0" w:space="0" w:color="auto"/>
              </w:divBdr>
              <w:divsChild>
                <w:div w:id="691225328">
                  <w:marLeft w:val="0"/>
                  <w:marRight w:val="0"/>
                  <w:marTop w:val="0"/>
                  <w:marBottom w:val="0"/>
                  <w:divBdr>
                    <w:top w:val="none" w:sz="0" w:space="0" w:color="auto"/>
                    <w:left w:val="none" w:sz="0" w:space="0" w:color="auto"/>
                    <w:bottom w:val="none" w:sz="0" w:space="0" w:color="auto"/>
                    <w:right w:val="none" w:sz="0" w:space="0" w:color="auto"/>
                  </w:divBdr>
                </w:div>
              </w:divsChild>
            </w:div>
            <w:div w:id="299187097">
              <w:marLeft w:val="0"/>
              <w:marRight w:val="0"/>
              <w:marTop w:val="0"/>
              <w:marBottom w:val="0"/>
              <w:divBdr>
                <w:top w:val="none" w:sz="0" w:space="0" w:color="auto"/>
                <w:left w:val="none" w:sz="0" w:space="0" w:color="auto"/>
                <w:bottom w:val="none" w:sz="0" w:space="0" w:color="auto"/>
                <w:right w:val="none" w:sz="0" w:space="0" w:color="auto"/>
              </w:divBdr>
              <w:divsChild>
                <w:div w:id="1282567730">
                  <w:marLeft w:val="0"/>
                  <w:marRight w:val="0"/>
                  <w:marTop w:val="0"/>
                  <w:marBottom w:val="0"/>
                  <w:divBdr>
                    <w:top w:val="none" w:sz="0" w:space="0" w:color="auto"/>
                    <w:left w:val="none" w:sz="0" w:space="0" w:color="auto"/>
                    <w:bottom w:val="none" w:sz="0" w:space="0" w:color="auto"/>
                    <w:right w:val="none" w:sz="0" w:space="0" w:color="auto"/>
                  </w:divBdr>
                </w:div>
              </w:divsChild>
            </w:div>
            <w:div w:id="301547831">
              <w:marLeft w:val="0"/>
              <w:marRight w:val="0"/>
              <w:marTop w:val="0"/>
              <w:marBottom w:val="0"/>
              <w:divBdr>
                <w:top w:val="none" w:sz="0" w:space="0" w:color="auto"/>
                <w:left w:val="none" w:sz="0" w:space="0" w:color="auto"/>
                <w:bottom w:val="none" w:sz="0" w:space="0" w:color="auto"/>
                <w:right w:val="none" w:sz="0" w:space="0" w:color="auto"/>
              </w:divBdr>
              <w:divsChild>
                <w:div w:id="880744700">
                  <w:marLeft w:val="0"/>
                  <w:marRight w:val="0"/>
                  <w:marTop w:val="0"/>
                  <w:marBottom w:val="0"/>
                  <w:divBdr>
                    <w:top w:val="none" w:sz="0" w:space="0" w:color="auto"/>
                    <w:left w:val="none" w:sz="0" w:space="0" w:color="auto"/>
                    <w:bottom w:val="none" w:sz="0" w:space="0" w:color="auto"/>
                    <w:right w:val="none" w:sz="0" w:space="0" w:color="auto"/>
                  </w:divBdr>
                </w:div>
              </w:divsChild>
            </w:div>
            <w:div w:id="337804743">
              <w:marLeft w:val="0"/>
              <w:marRight w:val="0"/>
              <w:marTop w:val="0"/>
              <w:marBottom w:val="0"/>
              <w:divBdr>
                <w:top w:val="none" w:sz="0" w:space="0" w:color="auto"/>
                <w:left w:val="none" w:sz="0" w:space="0" w:color="auto"/>
                <w:bottom w:val="none" w:sz="0" w:space="0" w:color="auto"/>
                <w:right w:val="none" w:sz="0" w:space="0" w:color="auto"/>
              </w:divBdr>
              <w:divsChild>
                <w:div w:id="1615093574">
                  <w:marLeft w:val="0"/>
                  <w:marRight w:val="0"/>
                  <w:marTop w:val="0"/>
                  <w:marBottom w:val="0"/>
                  <w:divBdr>
                    <w:top w:val="none" w:sz="0" w:space="0" w:color="auto"/>
                    <w:left w:val="none" w:sz="0" w:space="0" w:color="auto"/>
                    <w:bottom w:val="none" w:sz="0" w:space="0" w:color="auto"/>
                    <w:right w:val="none" w:sz="0" w:space="0" w:color="auto"/>
                  </w:divBdr>
                </w:div>
              </w:divsChild>
            </w:div>
            <w:div w:id="339743212">
              <w:marLeft w:val="0"/>
              <w:marRight w:val="0"/>
              <w:marTop w:val="0"/>
              <w:marBottom w:val="0"/>
              <w:divBdr>
                <w:top w:val="none" w:sz="0" w:space="0" w:color="auto"/>
                <w:left w:val="none" w:sz="0" w:space="0" w:color="auto"/>
                <w:bottom w:val="none" w:sz="0" w:space="0" w:color="auto"/>
                <w:right w:val="none" w:sz="0" w:space="0" w:color="auto"/>
              </w:divBdr>
              <w:divsChild>
                <w:div w:id="2081830830">
                  <w:marLeft w:val="0"/>
                  <w:marRight w:val="0"/>
                  <w:marTop w:val="0"/>
                  <w:marBottom w:val="0"/>
                  <w:divBdr>
                    <w:top w:val="none" w:sz="0" w:space="0" w:color="auto"/>
                    <w:left w:val="none" w:sz="0" w:space="0" w:color="auto"/>
                    <w:bottom w:val="none" w:sz="0" w:space="0" w:color="auto"/>
                    <w:right w:val="none" w:sz="0" w:space="0" w:color="auto"/>
                  </w:divBdr>
                </w:div>
              </w:divsChild>
            </w:div>
            <w:div w:id="358168664">
              <w:marLeft w:val="0"/>
              <w:marRight w:val="0"/>
              <w:marTop w:val="0"/>
              <w:marBottom w:val="0"/>
              <w:divBdr>
                <w:top w:val="none" w:sz="0" w:space="0" w:color="auto"/>
                <w:left w:val="none" w:sz="0" w:space="0" w:color="auto"/>
                <w:bottom w:val="none" w:sz="0" w:space="0" w:color="auto"/>
                <w:right w:val="none" w:sz="0" w:space="0" w:color="auto"/>
              </w:divBdr>
              <w:divsChild>
                <w:div w:id="1532496954">
                  <w:marLeft w:val="0"/>
                  <w:marRight w:val="0"/>
                  <w:marTop w:val="0"/>
                  <w:marBottom w:val="0"/>
                  <w:divBdr>
                    <w:top w:val="none" w:sz="0" w:space="0" w:color="auto"/>
                    <w:left w:val="none" w:sz="0" w:space="0" w:color="auto"/>
                    <w:bottom w:val="none" w:sz="0" w:space="0" w:color="auto"/>
                    <w:right w:val="none" w:sz="0" w:space="0" w:color="auto"/>
                  </w:divBdr>
                </w:div>
              </w:divsChild>
            </w:div>
            <w:div w:id="360060539">
              <w:marLeft w:val="0"/>
              <w:marRight w:val="0"/>
              <w:marTop w:val="0"/>
              <w:marBottom w:val="0"/>
              <w:divBdr>
                <w:top w:val="none" w:sz="0" w:space="0" w:color="auto"/>
                <w:left w:val="none" w:sz="0" w:space="0" w:color="auto"/>
                <w:bottom w:val="none" w:sz="0" w:space="0" w:color="auto"/>
                <w:right w:val="none" w:sz="0" w:space="0" w:color="auto"/>
              </w:divBdr>
              <w:divsChild>
                <w:div w:id="1483355253">
                  <w:marLeft w:val="0"/>
                  <w:marRight w:val="0"/>
                  <w:marTop w:val="0"/>
                  <w:marBottom w:val="0"/>
                  <w:divBdr>
                    <w:top w:val="none" w:sz="0" w:space="0" w:color="auto"/>
                    <w:left w:val="none" w:sz="0" w:space="0" w:color="auto"/>
                    <w:bottom w:val="none" w:sz="0" w:space="0" w:color="auto"/>
                    <w:right w:val="none" w:sz="0" w:space="0" w:color="auto"/>
                  </w:divBdr>
                </w:div>
              </w:divsChild>
            </w:div>
            <w:div w:id="372509589">
              <w:marLeft w:val="0"/>
              <w:marRight w:val="0"/>
              <w:marTop w:val="0"/>
              <w:marBottom w:val="0"/>
              <w:divBdr>
                <w:top w:val="none" w:sz="0" w:space="0" w:color="auto"/>
                <w:left w:val="none" w:sz="0" w:space="0" w:color="auto"/>
                <w:bottom w:val="none" w:sz="0" w:space="0" w:color="auto"/>
                <w:right w:val="none" w:sz="0" w:space="0" w:color="auto"/>
              </w:divBdr>
              <w:divsChild>
                <w:div w:id="1208419869">
                  <w:marLeft w:val="0"/>
                  <w:marRight w:val="0"/>
                  <w:marTop w:val="0"/>
                  <w:marBottom w:val="0"/>
                  <w:divBdr>
                    <w:top w:val="none" w:sz="0" w:space="0" w:color="auto"/>
                    <w:left w:val="none" w:sz="0" w:space="0" w:color="auto"/>
                    <w:bottom w:val="none" w:sz="0" w:space="0" w:color="auto"/>
                    <w:right w:val="none" w:sz="0" w:space="0" w:color="auto"/>
                  </w:divBdr>
                </w:div>
              </w:divsChild>
            </w:div>
            <w:div w:id="394552284">
              <w:marLeft w:val="0"/>
              <w:marRight w:val="0"/>
              <w:marTop w:val="0"/>
              <w:marBottom w:val="0"/>
              <w:divBdr>
                <w:top w:val="none" w:sz="0" w:space="0" w:color="auto"/>
                <w:left w:val="none" w:sz="0" w:space="0" w:color="auto"/>
                <w:bottom w:val="none" w:sz="0" w:space="0" w:color="auto"/>
                <w:right w:val="none" w:sz="0" w:space="0" w:color="auto"/>
              </w:divBdr>
              <w:divsChild>
                <w:div w:id="1213884137">
                  <w:marLeft w:val="0"/>
                  <w:marRight w:val="0"/>
                  <w:marTop w:val="0"/>
                  <w:marBottom w:val="0"/>
                  <w:divBdr>
                    <w:top w:val="none" w:sz="0" w:space="0" w:color="auto"/>
                    <w:left w:val="none" w:sz="0" w:space="0" w:color="auto"/>
                    <w:bottom w:val="none" w:sz="0" w:space="0" w:color="auto"/>
                    <w:right w:val="none" w:sz="0" w:space="0" w:color="auto"/>
                  </w:divBdr>
                </w:div>
              </w:divsChild>
            </w:div>
            <w:div w:id="411898737">
              <w:marLeft w:val="0"/>
              <w:marRight w:val="0"/>
              <w:marTop w:val="0"/>
              <w:marBottom w:val="0"/>
              <w:divBdr>
                <w:top w:val="none" w:sz="0" w:space="0" w:color="auto"/>
                <w:left w:val="none" w:sz="0" w:space="0" w:color="auto"/>
                <w:bottom w:val="none" w:sz="0" w:space="0" w:color="auto"/>
                <w:right w:val="none" w:sz="0" w:space="0" w:color="auto"/>
              </w:divBdr>
              <w:divsChild>
                <w:div w:id="1865093449">
                  <w:marLeft w:val="0"/>
                  <w:marRight w:val="0"/>
                  <w:marTop w:val="0"/>
                  <w:marBottom w:val="0"/>
                  <w:divBdr>
                    <w:top w:val="none" w:sz="0" w:space="0" w:color="auto"/>
                    <w:left w:val="none" w:sz="0" w:space="0" w:color="auto"/>
                    <w:bottom w:val="none" w:sz="0" w:space="0" w:color="auto"/>
                    <w:right w:val="none" w:sz="0" w:space="0" w:color="auto"/>
                  </w:divBdr>
                </w:div>
              </w:divsChild>
            </w:div>
            <w:div w:id="446118797">
              <w:marLeft w:val="0"/>
              <w:marRight w:val="0"/>
              <w:marTop w:val="0"/>
              <w:marBottom w:val="0"/>
              <w:divBdr>
                <w:top w:val="none" w:sz="0" w:space="0" w:color="auto"/>
                <w:left w:val="none" w:sz="0" w:space="0" w:color="auto"/>
                <w:bottom w:val="none" w:sz="0" w:space="0" w:color="auto"/>
                <w:right w:val="none" w:sz="0" w:space="0" w:color="auto"/>
              </w:divBdr>
              <w:divsChild>
                <w:div w:id="1552158261">
                  <w:marLeft w:val="0"/>
                  <w:marRight w:val="0"/>
                  <w:marTop w:val="0"/>
                  <w:marBottom w:val="0"/>
                  <w:divBdr>
                    <w:top w:val="none" w:sz="0" w:space="0" w:color="auto"/>
                    <w:left w:val="none" w:sz="0" w:space="0" w:color="auto"/>
                    <w:bottom w:val="none" w:sz="0" w:space="0" w:color="auto"/>
                    <w:right w:val="none" w:sz="0" w:space="0" w:color="auto"/>
                  </w:divBdr>
                </w:div>
              </w:divsChild>
            </w:div>
            <w:div w:id="564754107">
              <w:marLeft w:val="0"/>
              <w:marRight w:val="0"/>
              <w:marTop w:val="0"/>
              <w:marBottom w:val="0"/>
              <w:divBdr>
                <w:top w:val="none" w:sz="0" w:space="0" w:color="auto"/>
                <w:left w:val="none" w:sz="0" w:space="0" w:color="auto"/>
                <w:bottom w:val="none" w:sz="0" w:space="0" w:color="auto"/>
                <w:right w:val="none" w:sz="0" w:space="0" w:color="auto"/>
              </w:divBdr>
              <w:divsChild>
                <w:div w:id="415902137">
                  <w:marLeft w:val="0"/>
                  <w:marRight w:val="0"/>
                  <w:marTop w:val="0"/>
                  <w:marBottom w:val="0"/>
                  <w:divBdr>
                    <w:top w:val="none" w:sz="0" w:space="0" w:color="auto"/>
                    <w:left w:val="none" w:sz="0" w:space="0" w:color="auto"/>
                    <w:bottom w:val="none" w:sz="0" w:space="0" w:color="auto"/>
                    <w:right w:val="none" w:sz="0" w:space="0" w:color="auto"/>
                  </w:divBdr>
                </w:div>
              </w:divsChild>
            </w:div>
            <w:div w:id="592399841">
              <w:marLeft w:val="0"/>
              <w:marRight w:val="0"/>
              <w:marTop w:val="0"/>
              <w:marBottom w:val="0"/>
              <w:divBdr>
                <w:top w:val="none" w:sz="0" w:space="0" w:color="auto"/>
                <w:left w:val="none" w:sz="0" w:space="0" w:color="auto"/>
                <w:bottom w:val="none" w:sz="0" w:space="0" w:color="auto"/>
                <w:right w:val="none" w:sz="0" w:space="0" w:color="auto"/>
              </w:divBdr>
              <w:divsChild>
                <w:div w:id="1164779890">
                  <w:marLeft w:val="0"/>
                  <w:marRight w:val="0"/>
                  <w:marTop w:val="0"/>
                  <w:marBottom w:val="0"/>
                  <w:divBdr>
                    <w:top w:val="none" w:sz="0" w:space="0" w:color="auto"/>
                    <w:left w:val="none" w:sz="0" w:space="0" w:color="auto"/>
                    <w:bottom w:val="none" w:sz="0" w:space="0" w:color="auto"/>
                    <w:right w:val="none" w:sz="0" w:space="0" w:color="auto"/>
                  </w:divBdr>
                </w:div>
              </w:divsChild>
            </w:div>
            <w:div w:id="634677875">
              <w:marLeft w:val="0"/>
              <w:marRight w:val="0"/>
              <w:marTop w:val="0"/>
              <w:marBottom w:val="0"/>
              <w:divBdr>
                <w:top w:val="none" w:sz="0" w:space="0" w:color="auto"/>
                <w:left w:val="none" w:sz="0" w:space="0" w:color="auto"/>
                <w:bottom w:val="none" w:sz="0" w:space="0" w:color="auto"/>
                <w:right w:val="none" w:sz="0" w:space="0" w:color="auto"/>
              </w:divBdr>
              <w:divsChild>
                <w:div w:id="1049646804">
                  <w:marLeft w:val="0"/>
                  <w:marRight w:val="0"/>
                  <w:marTop w:val="0"/>
                  <w:marBottom w:val="0"/>
                  <w:divBdr>
                    <w:top w:val="none" w:sz="0" w:space="0" w:color="auto"/>
                    <w:left w:val="none" w:sz="0" w:space="0" w:color="auto"/>
                    <w:bottom w:val="none" w:sz="0" w:space="0" w:color="auto"/>
                    <w:right w:val="none" w:sz="0" w:space="0" w:color="auto"/>
                  </w:divBdr>
                </w:div>
              </w:divsChild>
            </w:div>
            <w:div w:id="672294984">
              <w:marLeft w:val="0"/>
              <w:marRight w:val="0"/>
              <w:marTop w:val="0"/>
              <w:marBottom w:val="0"/>
              <w:divBdr>
                <w:top w:val="none" w:sz="0" w:space="0" w:color="auto"/>
                <w:left w:val="none" w:sz="0" w:space="0" w:color="auto"/>
                <w:bottom w:val="none" w:sz="0" w:space="0" w:color="auto"/>
                <w:right w:val="none" w:sz="0" w:space="0" w:color="auto"/>
              </w:divBdr>
              <w:divsChild>
                <w:div w:id="1720933847">
                  <w:marLeft w:val="0"/>
                  <w:marRight w:val="0"/>
                  <w:marTop w:val="0"/>
                  <w:marBottom w:val="0"/>
                  <w:divBdr>
                    <w:top w:val="none" w:sz="0" w:space="0" w:color="auto"/>
                    <w:left w:val="none" w:sz="0" w:space="0" w:color="auto"/>
                    <w:bottom w:val="none" w:sz="0" w:space="0" w:color="auto"/>
                    <w:right w:val="none" w:sz="0" w:space="0" w:color="auto"/>
                  </w:divBdr>
                </w:div>
              </w:divsChild>
            </w:div>
            <w:div w:id="750784324">
              <w:marLeft w:val="0"/>
              <w:marRight w:val="0"/>
              <w:marTop w:val="0"/>
              <w:marBottom w:val="0"/>
              <w:divBdr>
                <w:top w:val="none" w:sz="0" w:space="0" w:color="auto"/>
                <w:left w:val="none" w:sz="0" w:space="0" w:color="auto"/>
                <w:bottom w:val="none" w:sz="0" w:space="0" w:color="auto"/>
                <w:right w:val="none" w:sz="0" w:space="0" w:color="auto"/>
              </w:divBdr>
              <w:divsChild>
                <w:div w:id="1259367112">
                  <w:marLeft w:val="0"/>
                  <w:marRight w:val="0"/>
                  <w:marTop w:val="0"/>
                  <w:marBottom w:val="0"/>
                  <w:divBdr>
                    <w:top w:val="none" w:sz="0" w:space="0" w:color="auto"/>
                    <w:left w:val="none" w:sz="0" w:space="0" w:color="auto"/>
                    <w:bottom w:val="none" w:sz="0" w:space="0" w:color="auto"/>
                    <w:right w:val="none" w:sz="0" w:space="0" w:color="auto"/>
                  </w:divBdr>
                </w:div>
              </w:divsChild>
            </w:div>
            <w:div w:id="760375923">
              <w:marLeft w:val="0"/>
              <w:marRight w:val="0"/>
              <w:marTop w:val="0"/>
              <w:marBottom w:val="0"/>
              <w:divBdr>
                <w:top w:val="none" w:sz="0" w:space="0" w:color="auto"/>
                <w:left w:val="none" w:sz="0" w:space="0" w:color="auto"/>
                <w:bottom w:val="none" w:sz="0" w:space="0" w:color="auto"/>
                <w:right w:val="none" w:sz="0" w:space="0" w:color="auto"/>
              </w:divBdr>
              <w:divsChild>
                <w:div w:id="1478492411">
                  <w:marLeft w:val="0"/>
                  <w:marRight w:val="0"/>
                  <w:marTop w:val="0"/>
                  <w:marBottom w:val="0"/>
                  <w:divBdr>
                    <w:top w:val="none" w:sz="0" w:space="0" w:color="auto"/>
                    <w:left w:val="none" w:sz="0" w:space="0" w:color="auto"/>
                    <w:bottom w:val="none" w:sz="0" w:space="0" w:color="auto"/>
                    <w:right w:val="none" w:sz="0" w:space="0" w:color="auto"/>
                  </w:divBdr>
                </w:div>
              </w:divsChild>
            </w:div>
            <w:div w:id="797918087">
              <w:marLeft w:val="0"/>
              <w:marRight w:val="0"/>
              <w:marTop w:val="0"/>
              <w:marBottom w:val="0"/>
              <w:divBdr>
                <w:top w:val="none" w:sz="0" w:space="0" w:color="auto"/>
                <w:left w:val="none" w:sz="0" w:space="0" w:color="auto"/>
                <w:bottom w:val="none" w:sz="0" w:space="0" w:color="auto"/>
                <w:right w:val="none" w:sz="0" w:space="0" w:color="auto"/>
              </w:divBdr>
              <w:divsChild>
                <w:div w:id="1125545566">
                  <w:marLeft w:val="0"/>
                  <w:marRight w:val="0"/>
                  <w:marTop w:val="0"/>
                  <w:marBottom w:val="0"/>
                  <w:divBdr>
                    <w:top w:val="none" w:sz="0" w:space="0" w:color="auto"/>
                    <w:left w:val="none" w:sz="0" w:space="0" w:color="auto"/>
                    <w:bottom w:val="none" w:sz="0" w:space="0" w:color="auto"/>
                    <w:right w:val="none" w:sz="0" w:space="0" w:color="auto"/>
                  </w:divBdr>
                </w:div>
              </w:divsChild>
            </w:div>
            <w:div w:id="817262972">
              <w:marLeft w:val="0"/>
              <w:marRight w:val="0"/>
              <w:marTop w:val="0"/>
              <w:marBottom w:val="0"/>
              <w:divBdr>
                <w:top w:val="none" w:sz="0" w:space="0" w:color="auto"/>
                <w:left w:val="none" w:sz="0" w:space="0" w:color="auto"/>
                <w:bottom w:val="none" w:sz="0" w:space="0" w:color="auto"/>
                <w:right w:val="none" w:sz="0" w:space="0" w:color="auto"/>
              </w:divBdr>
              <w:divsChild>
                <w:div w:id="121774557">
                  <w:marLeft w:val="0"/>
                  <w:marRight w:val="0"/>
                  <w:marTop w:val="0"/>
                  <w:marBottom w:val="0"/>
                  <w:divBdr>
                    <w:top w:val="none" w:sz="0" w:space="0" w:color="auto"/>
                    <w:left w:val="none" w:sz="0" w:space="0" w:color="auto"/>
                    <w:bottom w:val="none" w:sz="0" w:space="0" w:color="auto"/>
                    <w:right w:val="none" w:sz="0" w:space="0" w:color="auto"/>
                  </w:divBdr>
                </w:div>
              </w:divsChild>
            </w:div>
            <w:div w:id="847259100">
              <w:marLeft w:val="0"/>
              <w:marRight w:val="0"/>
              <w:marTop w:val="0"/>
              <w:marBottom w:val="0"/>
              <w:divBdr>
                <w:top w:val="none" w:sz="0" w:space="0" w:color="auto"/>
                <w:left w:val="none" w:sz="0" w:space="0" w:color="auto"/>
                <w:bottom w:val="none" w:sz="0" w:space="0" w:color="auto"/>
                <w:right w:val="none" w:sz="0" w:space="0" w:color="auto"/>
              </w:divBdr>
              <w:divsChild>
                <w:div w:id="619653000">
                  <w:marLeft w:val="0"/>
                  <w:marRight w:val="0"/>
                  <w:marTop w:val="0"/>
                  <w:marBottom w:val="0"/>
                  <w:divBdr>
                    <w:top w:val="none" w:sz="0" w:space="0" w:color="auto"/>
                    <w:left w:val="none" w:sz="0" w:space="0" w:color="auto"/>
                    <w:bottom w:val="none" w:sz="0" w:space="0" w:color="auto"/>
                    <w:right w:val="none" w:sz="0" w:space="0" w:color="auto"/>
                  </w:divBdr>
                </w:div>
              </w:divsChild>
            </w:div>
            <w:div w:id="863403368">
              <w:marLeft w:val="0"/>
              <w:marRight w:val="0"/>
              <w:marTop w:val="0"/>
              <w:marBottom w:val="0"/>
              <w:divBdr>
                <w:top w:val="none" w:sz="0" w:space="0" w:color="auto"/>
                <w:left w:val="none" w:sz="0" w:space="0" w:color="auto"/>
                <w:bottom w:val="none" w:sz="0" w:space="0" w:color="auto"/>
                <w:right w:val="none" w:sz="0" w:space="0" w:color="auto"/>
              </w:divBdr>
              <w:divsChild>
                <w:div w:id="633222179">
                  <w:marLeft w:val="0"/>
                  <w:marRight w:val="0"/>
                  <w:marTop w:val="0"/>
                  <w:marBottom w:val="0"/>
                  <w:divBdr>
                    <w:top w:val="none" w:sz="0" w:space="0" w:color="auto"/>
                    <w:left w:val="none" w:sz="0" w:space="0" w:color="auto"/>
                    <w:bottom w:val="none" w:sz="0" w:space="0" w:color="auto"/>
                    <w:right w:val="none" w:sz="0" w:space="0" w:color="auto"/>
                  </w:divBdr>
                </w:div>
              </w:divsChild>
            </w:div>
            <w:div w:id="893590469">
              <w:marLeft w:val="0"/>
              <w:marRight w:val="0"/>
              <w:marTop w:val="0"/>
              <w:marBottom w:val="0"/>
              <w:divBdr>
                <w:top w:val="none" w:sz="0" w:space="0" w:color="auto"/>
                <w:left w:val="none" w:sz="0" w:space="0" w:color="auto"/>
                <w:bottom w:val="none" w:sz="0" w:space="0" w:color="auto"/>
                <w:right w:val="none" w:sz="0" w:space="0" w:color="auto"/>
              </w:divBdr>
              <w:divsChild>
                <w:div w:id="959148181">
                  <w:marLeft w:val="0"/>
                  <w:marRight w:val="0"/>
                  <w:marTop w:val="0"/>
                  <w:marBottom w:val="0"/>
                  <w:divBdr>
                    <w:top w:val="none" w:sz="0" w:space="0" w:color="auto"/>
                    <w:left w:val="none" w:sz="0" w:space="0" w:color="auto"/>
                    <w:bottom w:val="none" w:sz="0" w:space="0" w:color="auto"/>
                    <w:right w:val="none" w:sz="0" w:space="0" w:color="auto"/>
                  </w:divBdr>
                </w:div>
              </w:divsChild>
            </w:div>
            <w:div w:id="894123906">
              <w:marLeft w:val="0"/>
              <w:marRight w:val="0"/>
              <w:marTop w:val="0"/>
              <w:marBottom w:val="0"/>
              <w:divBdr>
                <w:top w:val="none" w:sz="0" w:space="0" w:color="auto"/>
                <w:left w:val="none" w:sz="0" w:space="0" w:color="auto"/>
                <w:bottom w:val="none" w:sz="0" w:space="0" w:color="auto"/>
                <w:right w:val="none" w:sz="0" w:space="0" w:color="auto"/>
              </w:divBdr>
              <w:divsChild>
                <w:div w:id="853541779">
                  <w:marLeft w:val="0"/>
                  <w:marRight w:val="0"/>
                  <w:marTop w:val="0"/>
                  <w:marBottom w:val="0"/>
                  <w:divBdr>
                    <w:top w:val="none" w:sz="0" w:space="0" w:color="auto"/>
                    <w:left w:val="none" w:sz="0" w:space="0" w:color="auto"/>
                    <w:bottom w:val="none" w:sz="0" w:space="0" w:color="auto"/>
                    <w:right w:val="none" w:sz="0" w:space="0" w:color="auto"/>
                  </w:divBdr>
                </w:div>
              </w:divsChild>
            </w:div>
            <w:div w:id="901865898">
              <w:marLeft w:val="0"/>
              <w:marRight w:val="0"/>
              <w:marTop w:val="0"/>
              <w:marBottom w:val="0"/>
              <w:divBdr>
                <w:top w:val="none" w:sz="0" w:space="0" w:color="auto"/>
                <w:left w:val="none" w:sz="0" w:space="0" w:color="auto"/>
                <w:bottom w:val="none" w:sz="0" w:space="0" w:color="auto"/>
                <w:right w:val="none" w:sz="0" w:space="0" w:color="auto"/>
              </w:divBdr>
              <w:divsChild>
                <w:div w:id="698700233">
                  <w:marLeft w:val="0"/>
                  <w:marRight w:val="0"/>
                  <w:marTop w:val="0"/>
                  <w:marBottom w:val="0"/>
                  <w:divBdr>
                    <w:top w:val="none" w:sz="0" w:space="0" w:color="auto"/>
                    <w:left w:val="none" w:sz="0" w:space="0" w:color="auto"/>
                    <w:bottom w:val="none" w:sz="0" w:space="0" w:color="auto"/>
                    <w:right w:val="none" w:sz="0" w:space="0" w:color="auto"/>
                  </w:divBdr>
                </w:div>
              </w:divsChild>
            </w:div>
            <w:div w:id="959602804">
              <w:marLeft w:val="0"/>
              <w:marRight w:val="0"/>
              <w:marTop w:val="0"/>
              <w:marBottom w:val="0"/>
              <w:divBdr>
                <w:top w:val="none" w:sz="0" w:space="0" w:color="auto"/>
                <w:left w:val="none" w:sz="0" w:space="0" w:color="auto"/>
                <w:bottom w:val="none" w:sz="0" w:space="0" w:color="auto"/>
                <w:right w:val="none" w:sz="0" w:space="0" w:color="auto"/>
              </w:divBdr>
              <w:divsChild>
                <w:div w:id="1288467185">
                  <w:marLeft w:val="0"/>
                  <w:marRight w:val="0"/>
                  <w:marTop w:val="0"/>
                  <w:marBottom w:val="0"/>
                  <w:divBdr>
                    <w:top w:val="none" w:sz="0" w:space="0" w:color="auto"/>
                    <w:left w:val="none" w:sz="0" w:space="0" w:color="auto"/>
                    <w:bottom w:val="none" w:sz="0" w:space="0" w:color="auto"/>
                    <w:right w:val="none" w:sz="0" w:space="0" w:color="auto"/>
                  </w:divBdr>
                </w:div>
              </w:divsChild>
            </w:div>
            <w:div w:id="969046820">
              <w:marLeft w:val="0"/>
              <w:marRight w:val="0"/>
              <w:marTop w:val="0"/>
              <w:marBottom w:val="0"/>
              <w:divBdr>
                <w:top w:val="none" w:sz="0" w:space="0" w:color="auto"/>
                <w:left w:val="none" w:sz="0" w:space="0" w:color="auto"/>
                <w:bottom w:val="none" w:sz="0" w:space="0" w:color="auto"/>
                <w:right w:val="none" w:sz="0" w:space="0" w:color="auto"/>
              </w:divBdr>
              <w:divsChild>
                <w:div w:id="1303543001">
                  <w:marLeft w:val="0"/>
                  <w:marRight w:val="0"/>
                  <w:marTop w:val="0"/>
                  <w:marBottom w:val="0"/>
                  <w:divBdr>
                    <w:top w:val="none" w:sz="0" w:space="0" w:color="auto"/>
                    <w:left w:val="none" w:sz="0" w:space="0" w:color="auto"/>
                    <w:bottom w:val="none" w:sz="0" w:space="0" w:color="auto"/>
                    <w:right w:val="none" w:sz="0" w:space="0" w:color="auto"/>
                  </w:divBdr>
                </w:div>
              </w:divsChild>
            </w:div>
            <w:div w:id="1022131353">
              <w:marLeft w:val="0"/>
              <w:marRight w:val="0"/>
              <w:marTop w:val="0"/>
              <w:marBottom w:val="0"/>
              <w:divBdr>
                <w:top w:val="none" w:sz="0" w:space="0" w:color="auto"/>
                <w:left w:val="none" w:sz="0" w:space="0" w:color="auto"/>
                <w:bottom w:val="none" w:sz="0" w:space="0" w:color="auto"/>
                <w:right w:val="none" w:sz="0" w:space="0" w:color="auto"/>
              </w:divBdr>
              <w:divsChild>
                <w:div w:id="64308364">
                  <w:marLeft w:val="0"/>
                  <w:marRight w:val="0"/>
                  <w:marTop w:val="0"/>
                  <w:marBottom w:val="0"/>
                  <w:divBdr>
                    <w:top w:val="none" w:sz="0" w:space="0" w:color="auto"/>
                    <w:left w:val="none" w:sz="0" w:space="0" w:color="auto"/>
                    <w:bottom w:val="none" w:sz="0" w:space="0" w:color="auto"/>
                    <w:right w:val="none" w:sz="0" w:space="0" w:color="auto"/>
                  </w:divBdr>
                </w:div>
              </w:divsChild>
            </w:div>
            <w:div w:id="1065378154">
              <w:marLeft w:val="0"/>
              <w:marRight w:val="0"/>
              <w:marTop w:val="0"/>
              <w:marBottom w:val="0"/>
              <w:divBdr>
                <w:top w:val="none" w:sz="0" w:space="0" w:color="auto"/>
                <w:left w:val="none" w:sz="0" w:space="0" w:color="auto"/>
                <w:bottom w:val="none" w:sz="0" w:space="0" w:color="auto"/>
                <w:right w:val="none" w:sz="0" w:space="0" w:color="auto"/>
              </w:divBdr>
              <w:divsChild>
                <w:div w:id="1354645110">
                  <w:marLeft w:val="0"/>
                  <w:marRight w:val="0"/>
                  <w:marTop w:val="0"/>
                  <w:marBottom w:val="0"/>
                  <w:divBdr>
                    <w:top w:val="none" w:sz="0" w:space="0" w:color="auto"/>
                    <w:left w:val="none" w:sz="0" w:space="0" w:color="auto"/>
                    <w:bottom w:val="none" w:sz="0" w:space="0" w:color="auto"/>
                    <w:right w:val="none" w:sz="0" w:space="0" w:color="auto"/>
                  </w:divBdr>
                </w:div>
              </w:divsChild>
            </w:div>
            <w:div w:id="1093671218">
              <w:marLeft w:val="0"/>
              <w:marRight w:val="0"/>
              <w:marTop w:val="0"/>
              <w:marBottom w:val="0"/>
              <w:divBdr>
                <w:top w:val="none" w:sz="0" w:space="0" w:color="auto"/>
                <w:left w:val="none" w:sz="0" w:space="0" w:color="auto"/>
                <w:bottom w:val="none" w:sz="0" w:space="0" w:color="auto"/>
                <w:right w:val="none" w:sz="0" w:space="0" w:color="auto"/>
              </w:divBdr>
              <w:divsChild>
                <w:div w:id="535894606">
                  <w:marLeft w:val="0"/>
                  <w:marRight w:val="0"/>
                  <w:marTop w:val="0"/>
                  <w:marBottom w:val="0"/>
                  <w:divBdr>
                    <w:top w:val="none" w:sz="0" w:space="0" w:color="auto"/>
                    <w:left w:val="none" w:sz="0" w:space="0" w:color="auto"/>
                    <w:bottom w:val="none" w:sz="0" w:space="0" w:color="auto"/>
                    <w:right w:val="none" w:sz="0" w:space="0" w:color="auto"/>
                  </w:divBdr>
                </w:div>
              </w:divsChild>
            </w:div>
            <w:div w:id="1145508435">
              <w:marLeft w:val="0"/>
              <w:marRight w:val="0"/>
              <w:marTop w:val="0"/>
              <w:marBottom w:val="0"/>
              <w:divBdr>
                <w:top w:val="none" w:sz="0" w:space="0" w:color="auto"/>
                <w:left w:val="none" w:sz="0" w:space="0" w:color="auto"/>
                <w:bottom w:val="none" w:sz="0" w:space="0" w:color="auto"/>
                <w:right w:val="none" w:sz="0" w:space="0" w:color="auto"/>
              </w:divBdr>
              <w:divsChild>
                <w:div w:id="776758130">
                  <w:marLeft w:val="0"/>
                  <w:marRight w:val="0"/>
                  <w:marTop w:val="0"/>
                  <w:marBottom w:val="0"/>
                  <w:divBdr>
                    <w:top w:val="none" w:sz="0" w:space="0" w:color="auto"/>
                    <w:left w:val="none" w:sz="0" w:space="0" w:color="auto"/>
                    <w:bottom w:val="none" w:sz="0" w:space="0" w:color="auto"/>
                    <w:right w:val="none" w:sz="0" w:space="0" w:color="auto"/>
                  </w:divBdr>
                </w:div>
              </w:divsChild>
            </w:div>
            <w:div w:id="1209687279">
              <w:marLeft w:val="0"/>
              <w:marRight w:val="0"/>
              <w:marTop w:val="0"/>
              <w:marBottom w:val="0"/>
              <w:divBdr>
                <w:top w:val="none" w:sz="0" w:space="0" w:color="auto"/>
                <w:left w:val="none" w:sz="0" w:space="0" w:color="auto"/>
                <w:bottom w:val="none" w:sz="0" w:space="0" w:color="auto"/>
                <w:right w:val="none" w:sz="0" w:space="0" w:color="auto"/>
              </w:divBdr>
              <w:divsChild>
                <w:div w:id="1584799511">
                  <w:marLeft w:val="0"/>
                  <w:marRight w:val="0"/>
                  <w:marTop w:val="0"/>
                  <w:marBottom w:val="0"/>
                  <w:divBdr>
                    <w:top w:val="none" w:sz="0" w:space="0" w:color="auto"/>
                    <w:left w:val="none" w:sz="0" w:space="0" w:color="auto"/>
                    <w:bottom w:val="none" w:sz="0" w:space="0" w:color="auto"/>
                    <w:right w:val="none" w:sz="0" w:space="0" w:color="auto"/>
                  </w:divBdr>
                </w:div>
              </w:divsChild>
            </w:div>
            <w:div w:id="1210536441">
              <w:marLeft w:val="0"/>
              <w:marRight w:val="0"/>
              <w:marTop w:val="0"/>
              <w:marBottom w:val="0"/>
              <w:divBdr>
                <w:top w:val="none" w:sz="0" w:space="0" w:color="auto"/>
                <w:left w:val="none" w:sz="0" w:space="0" w:color="auto"/>
                <w:bottom w:val="none" w:sz="0" w:space="0" w:color="auto"/>
                <w:right w:val="none" w:sz="0" w:space="0" w:color="auto"/>
              </w:divBdr>
              <w:divsChild>
                <w:div w:id="339704112">
                  <w:marLeft w:val="0"/>
                  <w:marRight w:val="0"/>
                  <w:marTop w:val="0"/>
                  <w:marBottom w:val="0"/>
                  <w:divBdr>
                    <w:top w:val="none" w:sz="0" w:space="0" w:color="auto"/>
                    <w:left w:val="none" w:sz="0" w:space="0" w:color="auto"/>
                    <w:bottom w:val="none" w:sz="0" w:space="0" w:color="auto"/>
                    <w:right w:val="none" w:sz="0" w:space="0" w:color="auto"/>
                  </w:divBdr>
                </w:div>
              </w:divsChild>
            </w:div>
            <w:div w:id="1309826698">
              <w:marLeft w:val="0"/>
              <w:marRight w:val="0"/>
              <w:marTop w:val="0"/>
              <w:marBottom w:val="0"/>
              <w:divBdr>
                <w:top w:val="none" w:sz="0" w:space="0" w:color="auto"/>
                <w:left w:val="none" w:sz="0" w:space="0" w:color="auto"/>
                <w:bottom w:val="none" w:sz="0" w:space="0" w:color="auto"/>
                <w:right w:val="none" w:sz="0" w:space="0" w:color="auto"/>
              </w:divBdr>
              <w:divsChild>
                <w:div w:id="1374309787">
                  <w:marLeft w:val="0"/>
                  <w:marRight w:val="0"/>
                  <w:marTop w:val="0"/>
                  <w:marBottom w:val="0"/>
                  <w:divBdr>
                    <w:top w:val="none" w:sz="0" w:space="0" w:color="auto"/>
                    <w:left w:val="none" w:sz="0" w:space="0" w:color="auto"/>
                    <w:bottom w:val="none" w:sz="0" w:space="0" w:color="auto"/>
                    <w:right w:val="none" w:sz="0" w:space="0" w:color="auto"/>
                  </w:divBdr>
                </w:div>
              </w:divsChild>
            </w:div>
            <w:div w:id="1346786745">
              <w:marLeft w:val="0"/>
              <w:marRight w:val="0"/>
              <w:marTop w:val="0"/>
              <w:marBottom w:val="0"/>
              <w:divBdr>
                <w:top w:val="none" w:sz="0" w:space="0" w:color="auto"/>
                <w:left w:val="none" w:sz="0" w:space="0" w:color="auto"/>
                <w:bottom w:val="none" w:sz="0" w:space="0" w:color="auto"/>
                <w:right w:val="none" w:sz="0" w:space="0" w:color="auto"/>
              </w:divBdr>
              <w:divsChild>
                <w:div w:id="2064332389">
                  <w:marLeft w:val="0"/>
                  <w:marRight w:val="0"/>
                  <w:marTop w:val="0"/>
                  <w:marBottom w:val="0"/>
                  <w:divBdr>
                    <w:top w:val="none" w:sz="0" w:space="0" w:color="auto"/>
                    <w:left w:val="none" w:sz="0" w:space="0" w:color="auto"/>
                    <w:bottom w:val="none" w:sz="0" w:space="0" w:color="auto"/>
                    <w:right w:val="none" w:sz="0" w:space="0" w:color="auto"/>
                  </w:divBdr>
                </w:div>
              </w:divsChild>
            </w:div>
            <w:div w:id="1363549797">
              <w:marLeft w:val="0"/>
              <w:marRight w:val="0"/>
              <w:marTop w:val="0"/>
              <w:marBottom w:val="0"/>
              <w:divBdr>
                <w:top w:val="none" w:sz="0" w:space="0" w:color="auto"/>
                <w:left w:val="none" w:sz="0" w:space="0" w:color="auto"/>
                <w:bottom w:val="none" w:sz="0" w:space="0" w:color="auto"/>
                <w:right w:val="none" w:sz="0" w:space="0" w:color="auto"/>
              </w:divBdr>
              <w:divsChild>
                <w:div w:id="1711220804">
                  <w:marLeft w:val="0"/>
                  <w:marRight w:val="0"/>
                  <w:marTop w:val="0"/>
                  <w:marBottom w:val="0"/>
                  <w:divBdr>
                    <w:top w:val="none" w:sz="0" w:space="0" w:color="auto"/>
                    <w:left w:val="none" w:sz="0" w:space="0" w:color="auto"/>
                    <w:bottom w:val="none" w:sz="0" w:space="0" w:color="auto"/>
                    <w:right w:val="none" w:sz="0" w:space="0" w:color="auto"/>
                  </w:divBdr>
                </w:div>
              </w:divsChild>
            </w:div>
            <w:div w:id="1373380815">
              <w:marLeft w:val="0"/>
              <w:marRight w:val="0"/>
              <w:marTop w:val="0"/>
              <w:marBottom w:val="0"/>
              <w:divBdr>
                <w:top w:val="none" w:sz="0" w:space="0" w:color="auto"/>
                <w:left w:val="none" w:sz="0" w:space="0" w:color="auto"/>
                <w:bottom w:val="none" w:sz="0" w:space="0" w:color="auto"/>
                <w:right w:val="none" w:sz="0" w:space="0" w:color="auto"/>
              </w:divBdr>
              <w:divsChild>
                <w:div w:id="1894929676">
                  <w:marLeft w:val="0"/>
                  <w:marRight w:val="0"/>
                  <w:marTop w:val="0"/>
                  <w:marBottom w:val="0"/>
                  <w:divBdr>
                    <w:top w:val="none" w:sz="0" w:space="0" w:color="auto"/>
                    <w:left w:val="none" w:sz="0" w:space="0" w:color="auto"/>
                    <w:bottom w:val="none" w:sz="0" w:space="0" w:color="auto"/>
                    <w:right w:val="none" w:sz="0" w:space="0" w:color="auto"/>
                  </w:divBdr>
                </w:div>
              </w:divsChild>
            </w:div>
            <w:div w:id="1400592989">
              <w:marLeft w:val="0"/>
              <w:marRight w:val="0"/>
              <w:marTop w:val="0"/>
              <w:marBottom w:val="0"/>
              <w:divBdr>
                <w:top w:val="none" w:sz="0" w:space="0" w:color="auto"/>
                <w:left w:val="none" w:sz="0" w:space="0" w:color="auto"/>
                <w:bottom w:val="none" w:sz="0" w:space="0" w:color="auto"/>
                <w:right w:val="none" w:sz="0" w:space="0" w:color="auto"/>
              </w:divBdr>
              <w:divsChild>
                <w:div w:id="2101439668">
                  <w:marLeft w:val="0"/>
                  <w:marRight w:val="0"/>
                  <w:marTop w:val="0"/>
                  <w:marBottom w:val="0"/>
                  <w:divBdr>
                    <w:top w:val="none" w:sz="0" w:space="0" w:color="auto"/>
                    <w:left w:val="none" w:sz="0" w:space="0" w:color="auto"/>
                    <w:bottom w:val="none" w:sz="0" w:space="0" w:color="auto"/>
                    <w:right w:val="none" w:sz="0" w:space="0" w:color="auto"/>
                  </w:divBdr>
                </w:div>
              </w:divsChild>
            </w:div>
            <w:div w:id="1440104111">
              <w:marLeft w:val="0"/>
              <w:marRight w:val="0"/>
              <w:marTop w:val="0"/>
              <w:marBottom w:val="0"/>
              <w:divBdr>
                <w:top w:val="none" w:sz="0" w:space="0" w:color="auto"/>
                <w:left w:val="none" w:sz="0" w:space="0" w:color="auto"/>
                <w:bottom w:val="none" w:sz="0" w:space="0" w:color="auto"/>
                <w:right w:val="none" w:sz="0" w:space="0" w:color="auto"/>
              </w:divBdr>
              <w:divsChild>
                <w:div w:id="1977491317">
                  <w:marLeft w:val="0"/>
                  <w:marRight w:val="0"/>
                  <w:marTop w:val="0"/>
                  <w:marBottom w:val="0"/>
                  <w:divBdr>
                    <w:top w:val="none" w:sz="0" w:space="0" w:color="auto"/>
                    <w:left w:val="none" w:sz="0" w:space="0" w:color="auto"/>
                    <w:bottom w:val="none" w:sz="0" w:space="0" w:color="auto"/>
                    <w:right w:val="none" w:sz="0" w:space="0" w:color="auto"/>
                  </w:divBdr>
                </w:div>
              </w:divsChild>
            </w:div>
            <w:div w:id="1441756755">
              <w:marLeft w:val="0"/>
              <w:marRight w:val="0"/>
              <w:marTop w:val="0"/>
              <w:marBottom w:val="0"/>
              <w:divBdr>
                <w:top w:val="none" w:sz="0" w:space="0" w:color="auto"/>
                <w:left w:val="none" w:sz="0" w:space="0" w:color="auto"/>
                <w:bottom w:val="none" w:sz="0" w:space="0" w:color="auto"/>
                <w:right w:val="none" w:sz="0" w:space="0" w:color="auto"/>
              </w:divBdr>
              <w:divsChild>
                <w:div w:id="679430141">
                  <w:marLeft w:val="0"/>
                  <w:marRight w:val="0"/>
                  <w:marTop w:val="0"/>
                  <w:marBottom w:val="0"/>
                  <w:divBdr>
                    <w:top w:val="none" w:sz="0" w:space="0" w:color="auto"/>
                    <w:left w:val="none" w:sz="0" w:space="0" w:color="auto"/>
                    <w:bottom w:val="none" w:sz="0" w:space="0" w:color="auto"/>
                    <w:right w:val="none" w:sz="0" w:space="0" w:color="auto"/>
                  </w:divBdr>
                </w:div>
              </w:divsChild>
            </w:div>
            <w:div w:id="1516648902">
              <w:marLeft w:val="0"/>
              <w:marRight w:val="0"/>
              <w:marTop w:val="0"/>
              <w:marBottom w:val="0"/>
              <w:divBdr>
                <w:top w:val="none" w:sz="0" w:space="0" w:color="auto"/>
                <w:left w:val="none" w:sz="0" w:space="0" w:color="auto"/>
                <w:bottom w:val="none" w:sz="0" w:space="0" w:color="auto"/>
                <w:right w:val="none" w:sz="0" w:space="0" w:color="auto"/>
              </w:divBdr>
              <w:divsChild>
                <w:div w:id="1612277546">
                  <w:marLeft w:val="0"/>
                  <w:marRight w:val="0"/>
                  <w:marTop w:val="0"/>
                  <w:marBottom w:val="0"/>
                  <w:divBdr>
                    <w:top w:val="none" w:sz="0" w:space="0" w:color="auto"/>
                    <w:left w:val="none" w:sz="0" w:space="0" w:color="auto"/>
                    <w:bottom w:val="none" w:sz="0" w:space="0" w:color="auto"/>
                    <w:right w:val="none" w:sz="0" w:space="0" w:color="auto"/>
                  </w:divBdr>
                </w:div>
              </w:divsChild>
            </w:div>
            <w:div w:id="1590850552">
              <w:marLeft w:val="0"/>
              <w:marRight w:val="0"/>
              <w:marTop w:val="0"/>
              <w:marBottom w:val="0"/>
              <w:divBdr>
                <w:top w:val="none" w:sz="0" w:space="0" w:color="auto"/>
                <w:left w:val="none" w:sz="0" w:space="0" w:color="auto"/>
                <w:bottom w:val="none" w:sz="0" w:space="0" w:color="auto"/>
                <w:right w:val="none" w:sz="0" w:space="0" w:color="auto"/>
              </w:divBdr>
              <w:divsChild>
                <w:div w:id="939794540">
                  <w:marLeft w:val="0"/>
                  <w:marRight w:val="0"/>
                  <w:marTop w:val="0"/>
                  <w:marBottom w:val="0"/>
                  <w:divBdr>
                    <w:top w:val="none" w:sz="0" w:space="0" w:color="auto"/>
                    <w:left w:val="none" w:sz="0" w:space="0" w:color="auto"/>
                    <w:bottom w:val="none" w:sz="0" w:space="0" w:color="auto"/>
                    <w:right w:val="none" w:sz="0" w:space="0" w:color="auto"/>
                  </w:divBdr>
                </w:div>
              </w:divsChild>
            </w:div>
            <w:div w:id="1645885956">
              <w:marLeft w:val="0"/>
              <w:marRight w:val="0"/>
              <w:marTop w:val="0"/>
              <w:marBottom w:val="0"/>
              <w:divBdr>
                <w:top w:val="none" w:sz="0" w:space="0" w:color="auto"/>
                <w:left w:val="none" w:sz="0" w:space="0" w:color="auto"/>
                <w:bottom w:val="none" w:sz="0" w:space="0" w:color="auto"/>
                <w:right w:val="none" w:sz="0" w:space="0" w:color="auto"/>
              </w:divBdr>
              <w:divsChild>
                <w:div w:id="237861822">
                  <w:marLeft w:val="0"/>
                  <w:marRight w:val="0"/>
                  <w:marTop w:val="0"/>
                  <w:marBottom w:val="0"/>
                  <w:divBdr>
                    <w:top w:val="none" w:sz="0" w:space="0" w:color="auto"/>
                    <w:left w:val="none" w:sz="0" w:space="0" w:color="auto"/>
                    <w:bottom w:val="none" w:sz="0" w:space="0" w:color="auto"/>
                    <w:right w:val="none" w:sz="0" w:space="0" w:color="auto"/>
                  </w:divBdr>
                </w:div>
              </w:divsChild>
            </w:div>
            <w:div w:id="1650594106">
              <w:marLeft w:val="0"/>
              <w:marRight w:val="0"/>
              <w:marTop w:val="0"/>
              <w:marBottom w:val="0"/>
              <w:divBdr>
                <w:top w:val="none" w:sz="0" w:space="0" w:color="auto"/>
                <w:left w:val="none" w:sz="0" w:space="0" w:color="auto"/>
                <w:bottom w:val="none" w:sz="0" w:space="0" w:color="auto"/>
                <w:right w:val="none" w:sz="0" w:space="0" w:color="auto"/>
              </w:divBdr>
              <w:divsChild>
                <w:div w:id="146938407">
                  <w:marLeft w:val="0"/>
                  <w:marRight w:val="0"/>
                  <w:marTop w:val="0"/>
                  <w:marBottom w:val="0"/>
                  <w:divBdr>
                    <w:top w:val="none" w:sz="0" w:space="0" w:color="auto"/>
                    <w:left w:val="none" w:sz="0" w:space="0" w:color="auto"/>
                    <w:bottom w:val="none" w:sz="0" w:space="0" w:color="auto"/>
                    <w:right w:val="none" w:sz="0" w:space="0" w:color="auto"/>
                  </w:divBdr>
                </w:div>
              </w:divsChild>
            </w:div>
            <w:div w:id="1704790263">
              <w:marLeft w:val="0"/>
              <w:marRight w:val="0"/>
              <w:marTop w:val="0"/>
              <w:marBottom w:val="0"/>
              <w:divBdr>
                <w:top w:val="none" w:sz="0" w:space="0" w:color="auto"/>
                <w:left w:val="none" w:sz="0" w:space="0" w:color="auto"/>
                <w:bottom w:val="none" w:sz="0" w:space="0" w:color="auto"/>
                <w:right w:val="none" w:sz="0" w:space="0" w:color="auto"/>
              </w:divBdr>
              <w:divsChild>
                <w:div w:id="61023270">
                  <w:marLeft w:val="0"/>
                  <w:marRight w:val="0"/>
                  <w:marTop w:val="0"/>
                  <w:marBottom w:val="0"/>
                  <w:divBdr>
                    <w:top w:val="none" w:sz="0" w:space="0" w:color="auto"/>
                    <w:left w:val="none" w:sz="0" w:space="0" w:color="auto"/>
                    <w:bottom w:val="none" w:sz="0" w:space="0" w:color="auto"/>
                    <w:right w:val="none" w:sz="0" w:space="0" w:color="auto"/>
                  </w:divBdr>
                </w:div>
              </w:divsChild>
            </w:div>
            <w:div w:id="1722288320">
              <w:marLeft w:val="0"/>
              <w:marRight w:val="0"/>
              <w:marTop w:val="0"/>
              <w:marBottom w:val="0"/>
              <w:divBdr>
                <w:top w:val="none" w:sz="0" w:space="0" w:color="auto"/>
                <w:left w:val="none" w:sz="0" w:space="0" w:color="auto"/>
                <w:bottom w:val="none" w:sz="0" w:space="0" w:color="auto"/>
                <w:right w:val="none" w:sz="0" w:space="0" w:color="auto"/>
              </w:divBdr>
              <w:divsChild>
                <w:div w:id="149180528">
                  <w:marLeft w:val="0"/>
                  <w:marRight w:val="0"/>
                  <w:marTop w:val="0"/>
                  <w:marBottom w:val="0"/>
                  <w:divBdr>
                    <w:top w:val="none" w:sz="0" w:space="0" w:color="auto"/>
                    <w:left w:val="none" w:sz="0" w:space="0" w:color="auto"/>
                    <w:bottom w:val="none" w:sz="0" w:space="0" w:color="auto"/>
                    <w:right w:val="none" w:sz="0" w:space="0" w:color="auto"/>
                  </w:divBdr>
                </w:div>
              </w:divsChild>
            </w:div>
            <w:div w:id="1771656303">
              <w:marLeft w:val="0"/>
              <w:marRight w:val="0"/>
              <w:marTop w:val="0"/>
              <w:marBottom w:val="0"/>
              <w:divBdr>
                <w:top w:val="none" w:sz="0" w:space="0" w:color="auto"/>
                <w:left w:val="none" w:sz="0" w:space="0" w:color="auto"/>
                <w:bottom w:val="none" w:sz="0" w:space="0" w:color="auto"/>
                <w:right w:val="none" w:sz="0" w:space="0" w:color="auto"/>
              </w:divBdr>
              <w:divsChild>
                <w:div w:id="1470974894">
                  <w:marLeft w:val="0"/>
                  <w:marRight w:val="0"/>
                  <w:marTop w:val="0"/>
                  <w:marBottom w:val="0"/>
                  <w:divBdr>
                    <w:top w:val="none" w:sz="0" w:space="0" w:color="auto"/>
                    <w:left w:val="none" w:sz="0" w:space="0" w:color="auto"/>
                    <w:bottom w:val="none" w:sz="0" w:space="0" w:color="auto"/>
                    <w:right w:val="none" w:sz="0" w:space="0" w:color="auto"/>
                  </w:divBdr>
                </w:div>
              </w:divsChild>
            </w:div>
            <w:div w:id="1858494918">
              <w:marLeft w:val="0"/>
              <w:marRight w:val="0"/>
              <w:marTop w:val="0"/>
              <w:marBottom w:val="0"/>
              <w:divBdr>
                <w:top w:val="none" w:sz="0" w:space="0" w:color="auto"/>
                <w:left w:val="none" w:sz="0" w:space="0" w:color="auto"/>
                <w:bottom w:val="none" w:sz="0" w:space="0" w:color="auto"/>
                <w:right w:val="none" w:sz="0" w:space="0" w:color="auto"/>
              </w:divBdr>
              <w:divsChild>
                <w:div w:id="685131387">
                  <w:marLeft w:val="0"/>
                  <w:marRight w:val="0"/>
                  <w:marTop w:val="0"/>
                  <w:marBottom w:val="0"/>
                  <w:divBdr>
                    <w:top w:val="none" w:sz="0" w:space="0" w:color="auto"/>
                    <w:left w:val="none" w:sz="0" w:space="0" w:color="auto"/>
                    <w:bottom w:val="none" w:sz="0" w:space="0" w:color="auto"/>
                    <w:right w:val="none" w:sz="0" w:space="0" w:color="auto"/>
                  </w:divBdr>
                </w:div>
              </w:divsChild>
            </w:div>
            <w:div w:id="1886062204">
              <w:marLeft w:val="0"/>
              <w:marRight w:val="0"/>
              <w:marTop w:val="0"/>
              <w:marBottom w:val="0"/>
              <w:divBdr>
                <w:top w:val="none" w:sz="0" w:space="0" w:color="auto"/>
                <w:left w:val="none" w:sz="0" w:space="0" w:color="auto"/>
                <w:bottom w:val="none" w:sz="0" w:space="0" w:color="auto"/>
                <w:right w:val="none" w:sz="0" w:space="0" w:color="auto"/>
              </w:divBdr>
              <w:divsChild>
                <w:div w:id="1288272644">
                  <w:marLeft w:val="0"/>
                  <w:marRight w:val="0"/>
                  <w:marTop w:val="0"/>
                  <w:marBottom w:val="0"/>
                  <w:divBdr>
                    <w:top w:val="none" w:sz="0" w:space="0" w:color="auto"/>
                    <w:left w:val="none" w:sz="0" w:space="0" w:color="auto"/>
                    <w:bottom w:val="none" w:sz="0" w:space="0" w:color="auto"/>
                    <w:right w:val="none" w:sz="0" w:space="0" w:color="auto"/>
                  </w:divBdr>
                </w:div>
              </w:divsChild>
            </w:div>
            <w:div w:id="1895236764">
              <w:marLeft w:val="0"/>
              <w:marRight w:val="0"/>
              <w:marTop w:val="0"/>
              <w:marBottom w:val="0"/>
              <w:divBdr>
                <w:top w:val="none" w:sz="0" w:space="0" w:color="auto"/>
                <w:left w:val="none" w:sz="0" w:space="0" w:color="auto"/>
                <w:bottom w:val="none" w:sz="0" w:space="0" w:color="auto"/>
                <w:right w:val="none" w:sz="0" w:space="0" w:color="auto"/>
              </w:divBdr>
              <w:divsChild>
                <w:div w:id="88283194">
                  <w:marLeft w:val="0"/>
                  <w:marRight w:val="0"/>
                  <w:marTop w:val="0"/>
                  <w:marBottom w:val="0"/>
                  <w:divBdr>
                    <w:top w:val="none" w:sz="0" w:space="0" w:color="auto"/>
                    <w:left w:val="none" w:sz="0" w:space="0" w:color="auto"/>
                    <w:bottom w:val="none" w:sz="0" w:space="0" w:color="auto"/>
                    <w:right w:val="none" w:sz="0" w:space="0" w:color="auto"/>
                  </w:divBdr>
                </w:div>
              </w:divsChild>
            </w:div>
            <w:div w:id="1960640986">
              <w:marLeft w:val="0"/>
              <w:marRight w:val="0"/>
              <w:marTop w:val="0"/>
              <w:marBottom w:val="0"/>
              <w:divBdr>
                <w:top w:val="none" w:sz="0" w:space="0" w:color="auto"/>
                <w:left w:val="none" w:sz="0" w:space="0" w:color="auto"/>
                <w:bottom w:val="none" w:sz="0" w:space="0" w:color="auto"/>
                <w:right w:val="none" w:sz="0" w:space="0" w:color="auto"/>
              </w:divBdr>
              <w:divsChild>
                <w:div w:id="1839802951">
                  <w:marLeft w:val="0"/>
                  <w:marRight w:val="0"/>
                  <w:marTop w:val="0"/>
                  <w:marBottom w:val="0"/>
                  <w:divBdr>
                    <w:top w:val="none" w:sz="0" w:space="0" w:color="auto"/>
                    <w:left w:val="none" w:sz="0" w:space="0" w:color="auto"/>
                    <w:bottom w:val="none" w:sz="0" w:space="0" w:color="auto"/>
                    <w:right w:val="none" w:sz="0" w:space="0" w:color="auto"/>
                  </w:divBdr>
                </w:div>
              </w:divsChild>
            </w:div>
            <w:div w:id="2061128238">
              <w:marLeft w:val="0"/>
              <w:marRight w:val="0"/>
              <w:marTop w:val="0"/>
              <w:marBottom w:val="0"/>
              <w:divBdr>
                <w:top w:val="none" w:sz="0" w:space="0" w:color="auto"/>
                <w:left w:val="none" w:sz="0" w:space="0" w:color="auto"/>
                <w:bottom w:val="none" w:sz="0" w:space="0" w:color="auto"/>
                <w:right w:val="none" w:sz="0" w:space="0" w:color="auto"/>
              </w:divBdr>
              <w:divsChild>
                <w:div w:id="1700666783">
                  <w:marLeft w:val="0"/>
                  <w:marRight w:val="0"/>
                  <w:marTop w:val="0"/>
                  <w:marBottom w:val="0"/>
                  <w:divBdr>
                    <w:top w:val="none" w:sz="0" w:space="0" w:color="auto"/>
                    <w:left w:val="none" w:sz="0" w:space="0" w:color="auto"/>
                    <w:bottom w:val="none" w:sz="0" w:space="0" w:color="auto"/>
                    <w:right w:val="none" w:sz="0" w:space="0" w:color="auto"/>
                  </w:divBdr>
                </w:div>
              </w:divsChild>
            </w:div>
            <w:div w:id="2070304699">
              <w:marLeft w:val="0"/>
              <w:marRight w:val="0"/>
              <w:marTop w:val="0"/>
              <w:marBottom w:val="0"/>
              <w:divBdr>
                <w:top w:val="none" w:sz="0" w:space="0" w:color="auto"/>
                <w:left w:val="none" w:sz="0" w:space="0" w:color="auto"/>
                <w:bottom w:val="none" w:sz="0" w:space="0" w:color="auto"/>
                <w:right w:val="none" w:sz="0" w:space="0" w:color="auto"/>
              </w:divBdr>
              <w:divsChild>
                <w:div w:id="1025055852">
                  <w:marLeft w:val="0"/>
                  <w:marRight w:val="0"/>
                  <w:marTop w:val="0"/>
                  <w:marBottom w:val="0"/>
                  <w:divBdr>
                    <w:top w:val="none" w:sz="0" w:space="0" w:color="auto"/>
                    <w:left w:val="none" w:sz="0" w:space="0" w:color="auto"/>
                    <w:bottom w:val="none" w:sz="0" w:space="0" w:color="auto"/>
                    <w:right w:val="none" w:sz="0" w:space="0" w:color="auto"/>
                  </w:divBdr>
                </w:div>
              </w:divsChild>
            </w:div>
            <w:div w:id="2072726256">
              <w:marLeft w:val="0"/>
              <w:marRight w:val="0"/>
              <w:marTop w:val="0"/>
              <w:marBottom w:val="0"/>
              <w:divBdr>
                <w:top w:val="none" w:sz="0" w:space="0" w:color="auto"/>
                <w:left w:val="none" w:sz="0" w:space="0" w:color="auto"/>
                <w:bottom w:val="none" w:sz="0" w:space="0" w:color="auto"/>
                <w:right w:val="none" w:sz="0" w:space="0" w:color="auto"/>
              </w:divBdr>
              <w:divsChild>
                <w:div w:id="1938056869">
                  <w:marLeft w:val="0"/>
                  <w:marRight w:val="0"/>
                  <w:marTop w:val="0"/>
                  <w:marBottom w:val="0"/>
                  <w:divBdr>
                    <w:top w:val="none" w:sz="0" w:space="0" w:color="auto"/>
                    <w:left w:val="none" w:sz="0" w:space="0" w:color="auto"/>
                    <w:bottom w:val="none" w:sz="0" w:space="0" w:color="auto"/>
                    <w:right w:val="none" w:sz="0" w:space="0" w:color="auto"/>
                  </w:divBdr>
                </w:div>
              </w:divsChild>
            </w:div>
            <w:div w:id="2124566611">
              <w:marLeft w:val="0"/>
              <w:marRight w:val="0"/>
              <w:marTop w:val="0"/>
              <w:marBottom w:val="0"/>
              <w:divBdr>
                <w:top w:val="none" w:sz="0" w:space="0" w:color="auto"/>
                <w:left w:val="none" w:sz="0" w:space="0" w:color="auto"/>
                <w:bottom w:val="none" w:sz="0" w:space="0" w:color="auto"/>
                <w:right w:val="none" w:sz="0" w:space="0" w:color="auto"/>
              </w:divBdr>
              <w:divsChild>
                <w:div w:id="1004746929">
                  <w:marLeft w:val="0"/>
                  <w:marRight w:val="0"/>
                  <w:marTop w:val="0"/>
                  <w:marBottom w:val="0"/>
                  <w:divBdr>
                    <w:top w:val="none" w:sz="0" w:space="0" w:color="auto"/>
                    <w:left w:val="none" w:sz="0" w:space="0" w:color="auto"/>
                    <w:bottom w:val="none" w:sz="0" w:space="0" w:color="auto"/>
                    <w:right w:val="none" w:sz="0" w:space="0" w:color="auto"/>
                  </w:divBdr>
                </w:div>
              </w:divsChild>
            </w:div>
            <w:div w:id="2126147195">
              <w:marLeft w:val="0"/>
              <w:marRight w:val="0"/>
              <w:marTop w:val="0"/>
              <w:marBottom w:val="0"/>
              <w:divBdr>
                <w:top w:val="none" w:sz="0" w:space="0" w:color="auto"/>
                <w:left w:val="none" w:sz="0" w:space="0" w:color="auto"/>
                <w:bottom w:val="none" w:sz="0" w:space="0" w:color="auto"/>
                <w:right w:val="none" w:sz="0" w:space="0" w:color="auto"/>
              </w:divBdr>
              <w:divsChild>
                <w:div w:id="2004888362">
                  <w:marLeft w:val="0"/>
                  <w:marRight w:val="0"/>
                  <w:marTop w:val="0"/>
                  <w:marBottom w:val="0"/>
                  <w:divBdr>
                    <w:top w:val="none" w:sz="0" w:space="0" w:color="auto"/>
                    <w:left w:val="none" w:sz="0" w:space="0" w:color="auto"/>
                    <w:bottom w:val="none" w:sz="0" w:space="0" w:color="auto"/>
                    <w:right w:val="none" w:sz="0" w:space="0" w:color="auto"/>
                  </w:divBdr>
                </w:div>
              </w:divsChild>
            </w:div>
            <w:div w:id="2135980396">
              <w:marLeft w:val="0"/>
              <w:marRight w:val="0"/>
              <w:marTop w:val="0"/>
              <w:marBottom w:val="0"/>
              <w:divBdr>
                <w:top w:val="none" w:sz="0" w:space="0" w:color="auto"/>
                <w:left w:val="none" w:sz="0" w:space="0" w:color="auto"/>
                <w:bottom w:val="none" w:sz="0" w:space="0" w:color="auto"/>
                <w:right w:val="none" w:sz="0" w:space="0" w:color="auto"/>
              </w:divBdr>
              <w:divsChild>
                <w:div w:id="2377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9168">
          <w:marLeft w:val="0"/>
          <w:marRight w:val="0"/>
          <w:marTop w:val="0"/>
          <w:marBottom w:val="0"/>
          <w:divBdr>
            <w:top w:val="none" w:sz="0" w:space="0" w:color="auto"/>
            <w:left w:val="none" w:sz="0" w:space="0" w:color="auto"/>
            <w:bottom w:val="none" w:sz="0" w:space="0" w:color="auto"/>
            <w:right w:val="none" w:sz="0" w:space="0" w:color="auto"/>
          </w:divBdr>
        </w:div>
        <w:div w:id="268902922">
          <w:marLeft w:val="0"/>
          <w:marRight w:val="0"/>
          <w:marTop w:val="0"/>
          <w:marBottom w:val="0"/>
          <w:divBdr>
            <w:top w:val="none" w:sz="0" w:space="0" w:color="auto"/>
            <w:left w:val="none" w:sz="0" w:space="0" w:color="auto"/>
            <w:bottom w:val="none" w:sz="0" w:space="0" w:color="auto"/>
            <w:right w:val="none" w:sz="0" w:space="0" w:color="auto"/>
          </w:divBdr>
        </w:div>
        <w:div w:id="272565385">
          <w:marLeft w:val="0"/>
          <w:marRight w:val="0"/>
          <w:marTop w:val="0"/>
          <w:marBottom w:val="0"/>
          <w:divBdr>
            <w:top w:val="none" w:sz="0" w:space="0" w:color="auto"/>
            <w:left w:val="none" w:sz="0" w:space="0" w:color="auto"/>
            <w:bottom w:val="none" w:sz="0" w:space="0" w:color="auto"/>
            <w:right w:val="none" w:sz="0" w:space="0" w:color="auto"/>
          </w:divBdr>
        </w:div>
        <w:div w:id="279074797">
          <w:marLeft w:val="0"/>
          <w:marRight w:val="0"/>
          <w:marTop w:val="0"/>
          <w:marBottom w:val="0"/>
          <w:divBdr>
            <w:top w:val="none" w:sz="0" w:space="0" w:color="auto"/>
            <w:left w:val="none" w:sz="0" w:space="0" w:color="auto"/>
            <w:bottom w:val="none" w:sz="0" w:space="0" w:color="auto"/>
            <w:right w:val="none" w:sz="0" w:space="0" w:color="auto"/>
          </w:divBdr>
        </w:div>
        <w:div w:id="280188378">
          <w:marLeft w:val="0"/>
          <w:marRight w:val="0"/>
          <w:marTop w:val="0"/>
          <w:marBottom w:val="0"/>
          <w:divBdr>
            <w:top w:val="none" w:sz="0" w:space="0" w:color="auto"/>
            <w:left w:val="none" w:sz="0" w:space="0" w:color="auto"/>
            <w:bottom w:val="none" w:sz="0" w:space="0" w:color="auto"/>
            <w:right w:val="none" w:sz="0" w:space="0" w:color="auto"/>
          </w:divBdr>
        </w:div>
        <w:div w:id="283198552">
          <w:marLeft w:val="0"/>
          <w:marRight w:val="0"/>
          <w:marTop w:val="0"/>
          <w:marBottom w:val="0"/>
          <w:divBdr>
            <w:top w:val="none" w:sz="0" w:space="0" w:color="auto"/>
            <w:left w:val="none" w:sz="0" w:space="0" w:color="auto"/>
            <w:bottom w:val="none" w:sz="0" w:space="0" w:color="auto"/>
            <w:right w:val="none" w:sz="0" w:space="0" w:color="auto"/>
          </w:divBdr>
        </w:div>
        <w:div w:id="286474470">
          <w:marLeft w:val="0"/>
          <w:marRight w:val="0"/>
          <w:marTop w:val="0"/>
          <w:marBottom w:val="0"/>
          <w:divBdr>
            <w:top w:val="none" w:sz="0" w:space="0" w:color="auto"/>
            <w:left w:val="none" w:sz="0" w:space="0" w:color="auto"/>
            <w:bottom w:val="none" w:sz="0" w:space="0" w:color="auto"/>
            <w:right w:val="none" w:sz="0" w:space="0" w:color="auto"/>
          </w:divBdr>
        </w:div>
        <w:div w:id="298385974">
          <w:marLeft w:val="0"/>
          <w:marRight w:val="0"/>
          <w:marTop w:val="0"/>
          <w:marBottom w:val="0"/>
          <w:divBdr>
            <w:top w:val="none" w:sz="0" w:space="0" w:color="auto"/>
            <w:left w:val="none" w:sz="0" w:space="0" w:color="auto"/>
            <w:bottom w:val="none" w:sz="0" w:space="0" w:color="auto"/>
            <w:right w:val="none" w:sz="0" w:space="0" w:color="auto"/>
          </w:divBdr>
        </w:div>
        <w:div w:id="307974763">
          <w:marLeft w:val="0"/>
          <w:marRight w:val="0"/>
          <w:marTop w:val="0"/>
          <w:marBottom w:val="0"/>
          <w:divBdr>
            <w:top w:val="none" w:sz="0" w:space="0" w:color="auto"/>
            <w:left w:val="none" w:sz="0" w:space="0" w:color="auto"/>
            <w:bottom w:val="none" w:sz="0" w:space="0" w:color="auto"/>
            <w:right w:val="none" w:sz="0" w:space="0" w:color="auto"/>
          </w:divBdr>
        </w:div>
        <w:div w:id="310906036">
          <w:marLeft w:val="0"/>
          <w:marRight w:val="0"/>
          <w:marTop w:val="0"/>
          <w:marBottom w:val="0"/>
          <w:divBdr>
            <w:top w:val="none" w:sz="0" w:space="0" w:color="auto"/>
            <w:left w:val="none" w:sz="0" w:space="0" w:color="auto"/>
            <w:bottom w:val="none" w:sz="0" w:space="0" w:color="auto"/>
            <w:right w:val="none" w:sz="0" w:space="0" w:color="auto"/>
          </w:divBdr>
        </w:div>
        <w:div w:id="313604469">
          <w:marLeft w:val="0"/>
          <w:marRight w:val="0"/>
          <w:marTop w:val="0"/>
          <w:marBottom w:val="0"/>
          <w:divBdr>
            <w:top w:val="none" w:sz="0" w:space="0" w:color="auto"/>
            <w:left w:val="none" w:sz="0" w:space="0" w:color="auto"/>
            <w:bottom w:val="none" w:sz="0" w:space="0" w:color="auto"/>
            <w:right w:val="none" w:sz="0" w:space="0" w:color="auto"/>
          </w:divBdr>
        </w:div>
        <w:div w:id="314845603">
          <w:marLeft w:val="0"/>
          <w:marRight w:val="0"/>
          <w:marTop w:val="0"/>
          <w:marBottom w:val="0"/>
          <w:divBdr>
            <w:top w:val="none" w:sz="0" w:space="0" w:color="auto"/>
            <w:left w:val="none" w:sz="0" w:space="0" w:color="auto"/>
            <w:bottom w:val="none" w:sz="0" w:space="0" w:color="auto"/>
            <w:right w:val="none" w:sz="0" w:space="0" w:color="auto"/>
          </w:divBdr>
        </w:div>
        <w:div w:id="319964707">
          <w:marLeft w:val="0"/>
          <w:marRight w:val="0"/>
          <w:marTop w:val="0"/>
          <w:marBottom w:val="0"/>
          <w:divBdr>
            <w:top w:val="none" w:sz="0" w:space="0" w:color="auto"/>
            <w:left w:val="none" w:sz="0" w:space="0" w:color="auto"/>
            <w:bottom w:val="none" w:sz="0" w:space="0" w:color="auto"/>
            <w:right w:val="none" w:sz="0" w:space="0" w:color="auto"/>
          </w:divBdr>
        </w:div>
        <w:div w:id="322197102">
          <w:marLeft w:val="0"/>
          <w:marRight w:val="0"/>
          <w:marTop w:val="0"/>
          <w:marBottom w:val="0"/>
          <w:divBdr>
            <w:top w:val="none" w:sz="0" w:space="0" w:color="auto"/>
            <w:left w:val="none" w:sz="0" w:space="0" w:color="auto"/>
            <w:bottom w:val="none" w:sz="0" w:space="0" w:color="auto"/>
            <w:right w:val="none" w:sz="0" w:space="0" w:color="auto"/>
          </w:divBdr>
        </w:div>
        <w:div w:id="324624128">
          <w:marLeft w:val="0"/>
          <w:marRight w:val="0"/>
          <w:marTop w:val="0"/>
          <w:marBottom w:val="0"/>
          <w:divBdr>
            <w:top w:val="none" w:sz="0" w:space="0" w:color="auto"/>
            <w:left w:val="none" w:sz="0" w:space="0" w:color="auto"/>
            <w:bottom w:val="none" w:sz="0" w:space="0" w:color="auto"/>
            <w:right w:val="none" w:sz="0" w:space="0" w:color="auto"/>
          </w:divBdr>
        </w:div>
        <w:div w:id="329067959">
          <w:marLeft w:val="0"/>
          <w:marRight w:val="0"/>
          <w:marTop w:val="0"/>
          <w:marBottom w:val="0"/>
          <w:divBdr>
            <w:top w:val="none" w:sz="0" w:space="0" w:color="auto"/>
            <w:left w:val="none" w:sz="0" w:space="0" w:color="auto"/>
            <w:bottom w:val="none" w:sz="0" w:space="0" w:color="auto"/>
            <w:right w:val="none" w:sz="0" w:space="0" w:color="auto"/>
          </w:divBdr>
        </w:div>
        <w:div w:id="332683448">
          <w:marLeft w:val="0"/>
          <w:marRight w:val="0"/>
          <w:marTop w:val="0"/>
          <w:marBottom w:val="0"/>
          <w:divBdr>
            <w:top w:val="none" w:sz="0" w:space="0" w:color="auto"/>
            <w:left w:val="none" w:sz="0" w:space="0" w:color="auto"/>
            <w:bottom w:val="none" w:sz="0" w:space="0" w:color="auto"/>
            <w:right w:val="none" w:sz="0" w:space="0" w:color="auto"/>
          </w:divBdr>
        </w:div>
        <w:div w:id="336076285">
          <w:marLeft w:val="0"/>
          <w:marRight w:val="0"/>
          <w:marTop w:val="0"/>
          <w:marBottom w:val="0"/>
          <w:divBdr>
            <w:top w:val="none" w:sz="0" w:space="0" w:color="auto"/>
            <w:left w:val="none" w:sz="0" w:space="0" w:color="auto"/>
            <w:bottom w:val="none" w:sz="0" w:space="0" w:color="auto"/>
            <w:right w:val="none" w:sz="0" w:space="0" w:color="auto"/>
          </w:divBdr>
        </w:div>
        <w:div w:id="336078730">
          <w:marLeft w:val="0"/>
          <w:marRight w:val="0"/>
          <w:marTop w:val="0"/>
          <w:marBottom w:val="0"/>
          <w:divBdr>
            <w:top w:val="none" w:sz="0" w:space="0" w:color="auto"/>
            <w:left w:val="none" w:sz="0" w:space="0" w:color="auto"/>
            <w:bottom w:val="none" w:sz="0" w:space="0" w:color="auto"/>
            <w:right w:val="none" w:sz="0" w:space="0" w:color="auto"/>
          </w:divBdr>
        </w:div>
        <w:div w:id="338194907">
          <w:marLeft w:val="0"/>
          <w:marRight w:val="0"/>
          <w:marTop w:val="0"/>
          <w:marBottom w:val="0"/>
          <w:divBdr>
            <w:top w:val="none" w:sz="0" w:space="0" w:color="auto"/>
            <w:left w:val="none" w:sz="0" w:space="0" w:color="auto"/>
            <w:bottom w:val="none" w:sz="0" w:space="0" w:color="auto"/>
            <w:right w:val="none" w:sz="0" w:space="0" w:color="auto"/>
          </w:divBdr>
        </w:div>
        <w:div w:id="364797170">
          <w:marLeft w:val="0"/>
          <w:marRight w:val="0"/>
          <w:marTop w:val="0"/>
          <w:marBottom w:val="0"/>
          <w:divBdr>
            <w:top w:val="none" w:sz="0" w:space="0" w:color="auto"/>
            <w:left w:val="none" w:sz="0" w:space="0" w:color="auto"/>
            <w:bottom w:val="none" w:sz="0" w:space="0" w:color="auto"/>
            <w:right w:val="none" w:sz="0" w:space="0" w:color="auto"/>
          </w:divBdr>
        </w:div>
        <w:div w:id="378744748">
          <w:marLeft w:val="0"/>
          <w:marRight w:val="0"/>
          <w:marTop w:val="0"/>
          <w:marBottom w:val="0"/>
          <w:divBdr>
            <w:top w:val="none" w:sz="0" w:space="0" w:color="auto"/>
            <w:left w:val="none" w:sz="0" w:space="0" w:color="auto"/>
            <w:bottom w:val="none" w:sz="0" w:space="0" w:color="auto"/>
            <w:right w:val="none" w:sz="0" w:space="0" w:color="auto"/>
          </w:divBdr>
        </w:div>
        <w:div w:id="384371566">
          <w:marLeft w:val="0"/>
          <w:marRight w:val="0"/>
          <w:marTop w:val="0"/>
          <w:marBottom w:val="0"/>
          <w:divBdr>
            <w:top w:val="none" w:sz="0" w:space="0" w:color="auto"/>
            <w:left w:val="none" w:sz="0" w:space="0" w:color="auto"/>
            <w:bottom w:val="none" w:sz="0" w:space="0" w:color="auto"/>
            <w:right w:val="none" w:sz="0" w:space="0" w:color="auto"/>
          </w:divBdr>
        </w:div>
        <w:div w:id="395132869">
          <w:marLeft w:val="0"/>
          <w:marRight w:val="0"/>
          <w:marTop w:val="0"/>
          <w:marBottom w:val="0"/>
          <w:divBdr>
            <w:top w:val="none" w:sz="0" w:space="0" w:color="auto"/>
            <w:left w:val="none" w:sz="0" w:space="0" w:color="auto"/>
            <w:bottom w:val="none" w:sz="0" w:space="0" w:color="auto"/>
            <w:right w:val="none" w:sz="0" w:space="0" w:color="auto"/>
          </w:divBdr>
        </w:div>
        <w:div w:id="429739095">
          <w:marLeft w:val="0"/>
          <w:marRight w:val="0"/>
          <w:marTop w:val="0"/>
          <w:marBottom w:val="0"/>
          <w:divBdr>
            <w:top w:val="none" w:sz="0" w:space="0" w:color="auto"/>
            <w:left w:val="none" w:sz="0" w:space="0" w:color="auto"/>
            <w:bottom w:val="none" w:sz="0" w:space="0" w:color="auto"/>
            <w:right w:val="none" w:sz="0" w:space="0" w:color="auto"/>
          </w:divBdr>
        </w:div>
        <w:div w:id="433136956">
          <w:marLeft w:val="0"/>
          <w:marRight w:val="0"/>
          <w:marTop w:val="0"/>
          <w:marBottom w:val="0"/>
          <w:divBdr>
            <w:top w:val="none" w:sz="0" w:space="0" w:color="auto"/>
            <w:left w:val="none" w:sz="0" w:space="0" w:color="auto"/>
            <w:bottom w:val="none" w:sz="0" w:space="0" w:color="auto"/>
            <w:right w:val="none" w:sz="0" w:space="0" w:color="auto"/>
          </w:divBdr>
        </w:div>
        <w:div w:id="438451566">
          <w:marLeft w:val="0"/>
          <w:marRight w:val="0"/>
          <w:marTop w:val="0"/>
          <w:marBottom w:val="0"/>
          <w:divBdr>
            <w:top w:val="none" w:sz="0" w:space="0" w:color="auto"/>
            <w:left w:val="none" w:sz="0" w:space="0" w:color="auto"/>
            <w:bottom w:val="none" w:sz="0" w:space="0" w:color="auto"/>
            <w:right w:val="none" w:sz="0" w:space="0" w:color="auto"/>
          </w:divBdr>
        </w:div>
        <w:div w:id="438836614">
          <w:marLeft w:val="0"/>
          <w:marRight w:val="0"/>
          <w:marTop w:val="0"/>
          <w:marBottom w:val="0"/>
          <w:divBdr>
            <w:top w:val="none" w:sz="0" w:space="0" w:color="auto"/>
            <w:left w:val="none" w:sz="0" w:space="0" w:color="auto"/>
            <w:bottom w:val="none" w:sz="0" w:space="0" w:color="auto"/>
            <w:right w:val="none" w:sz="0" w:space="0" w:color="auto"/>
          </w:divBdr>
        </w:div>
        <w:div w:id="446968722">
          <w:marLeft w:val="0"/>
          <w:marRight w:val="0"/>
          <w:marTop w:val="0"/>
          <w:marBottom w:val="0"/>
          <w:divBdr>
            <w:top w:val="none" w:sz="0" w:space="0" w:color="auto"/>
            <w:left w:val="none" w:sz="0" w:space="0" w:color="auto"/>
            <w:bottom w:val="none" w:sz="0" w:space="0" w:color="auto"/>
            <w:right w:val="none" w:sz="0" w:space="0" w:color="auto"/>
          </w:divBdr>
        </w:div>
        <w:div w:id="449009112">
          <w:marLeft w:val="0"/>
          <w:marRight w:val="0"/>
          <w:marTop w:val="0"/>
          <w:marBottom w:val="0"/>
          <w:divBdr>
            <w:top w:val="none" w:sz="0" w:space="0" w:color="auto"/>
            <w:left w:val="none" w:sz="0" w:space="0" w:color="auto"/>
            <w:bottom w:val="none" w:sz="0" w:space="0" w:color="auto"/>
            <w:right w:val="none" w:sz="0" w:space="0" w:color="auto"/>
          </w:divBdr>
        </w:div>
        <w:div w:id="459110241">
          <w:marLeft w:val="0"/>
          <w:marRight w:val="0"/>
          <w:marTop w:val="0"/>
          <w:marBottom w:val="0"/>
          <w:divBdr>
            <w:top w:val="none" w:sz="0" w:space="0" w:color="auto"/>
            <w:left w:val="none" w:sz="0" w:space="0" w:color="auto"/>
            <w:bottom w:val="none" w:sz="0" w:space="0" w:color="auto"/>
            <w:right w:val="none" w:sz="0" w:space="0" w:color="auto"/>
          </w:divBdr>
        </w:div>
        <w:div w:id="470294836">
          <w:marLeft w:val="0"/>
          <w:marRight w:val="0"/>
          <w:marTop w:val="0"/>
          <w:marBottom w:val="0"/>
          <w:divBdr>
            <w:top w:val="none" w:sz="0" w:space="0" w:color="auto"/>
            <w:left w:val="none" w:sz="0" w:space="0" w:color="auto"/>
            <w:bottom w:val="none" w:sz="0" w:space="0" w:color="auto"/>
            <w:right w:val="none" w:sz="0" w:space="0" w:color="auto"/>
          </w:divBdr>
        </w:div>
        <w:div w:id="472136531">
          <w:marLeft w:val="0"/>
          <w:marRight w:val="0"/>
          <w:marTop w:val="0"/>
          <w:marBottom w:val="0"/>
          <w:divBdr>
            <w:top w:val="none" w:sz="0" w:space="0" w:color="auto"/>
            <w:left w:val="none" w:sz="0" w:space="0" w:color="auto"/>
            <w:bottom w:val="none" w:sz="0" w:space="0" w:color="auto"/>
            <w:right w:val="none" w:sz="0" w:space="0" w:color="auto"/>
          </w:divBdr>
        </w:div>
        <w:div w:id="474642102">
          <w:marLeft w:val="0"/>
          <w:marRight w:val="0"/>
          <w:marTop w:val="0"/>
          <w:marBottom w:val="0"/>
          <w:divBdr>
            <w:top w:val="none" w:sz="0" w:space="0" w:color="auto"/>
            <w:left w:val="none" w:sz="0" w:space="0" w:color="auto"/>
            <w:bottom w:val="none" w:sz="0" w:space="0" w:color="auto"/>
            <w:right w:val="none" w:sz="0" w:space="0" w:color="auto"/>
          </w:divBdr>
        </w:div>
        <w:div w:id="484442357">
          <w:marLeft w:val="0"/>
          <w:marRight w:val="0"/>
          <w:marTop w:val="0"/>
          <w:marBottom w:val="0"/>
          <w:divBdr>
            <w:top w:val="none" w:sz="0" w:space="0" w:color="auto"/>
            <w:left w:val="none" w:sz="0" w:space="0" w:color="auto"/>
            <w:bottom w:val="none" w:sz="0" w:space="0" w:color="auto"/>
            <w:right w:val="none" w:sz="0" w:space="0" w:color="auto"/>
          </w:divBdr>
        </w:div>
        <w:div w:id="485903140">
          <w:marLeft w:val="0"/>
          <w:marRight w:val="0"/>
          <w:marTop w:val="0"/>
          <w:marBottom w:val="0"/>
          <w:divBdr>
            <w:top w:val="none" w:sz="0" w:space="0" w:color="auto"/>
            <w:left w:val="none" w:sz="0" w:space="0" w:color="auto"/>
            <w:bottom w:val="none" w:sz="0" w:space="0" w:color="auto"/>
            <w:right w:val="none" w:sz="0" w:space="0" w:color="auto"/>
          </w:divBdr>
        </w:div>
        <w:div w:id="486751804">
          <w:marLeft w:val="0"/>
          <w:marRight w:val="0"/>
          <w:marTop w:val="0"/>
          <w:marBottom w:val="0"/>
          <w:divBdr>
            <w:top w:val="none" w:sz="0" w:space="0" w:color="auto"/>
            <w:left w:val="none" w:sz="0" w:space="0" w:color="auto"/>
            <w:bottom w:val="none" w:sz="0" w:space="0" w:color="auto"/>
            <w:right w:val="none" w:sz="0" w:space="0" w:color="auto"/>
          </w:divBdr>
        </w:div>
        <w:div w:id="507984295">
          <w:marLeft w:val="0"/>
          <w:marRight w:val="0"/>
          <w:marTop w:val="0"/>
          <w:marBottom w:val="0"/>
          <w:divBdr>
            <w:top w:val="none" w:sz="0" w:space="0" w:color="auto"/>
            <w:left w:val="none" w:sz="0" w:space="0" w:color="auto"/>
            <w:bottom w:val="none" w:sz="0" w:space="0" w:color="auto"/>
            <w:right w:val="none" w:sz="0" w:space="0" w:color="auto"/>
          </w:divBdr>
        </w:div>
        <w:div w:id="523445490">
          <w:marLeft w:val="0"/>
          <w:marRight w:val="0"/>
          <w:marTop w:val="0"/>
          <w:marBottom w:val="0"/>
          <w:divBdr>
            <w:top w:val="none" w:sz="0" w:space="0" w:color="auto"/>
            <w:left w:val="none" w:sz="0" w:space="0" w:color="auto"/>
            <w:bottom w:val="none" w:sz="0" w:space="0" w:color="auto"/>
            <w:right w:val="none" w:sz="0" w:space="0" w:color="auto"/>
          </w:divBdr>
        </w:div>
        <w:div w:id="538475864">
          <w:marLeft w:val="0"/>
          <w:marRight w:val="0"/>
          <w:marTop w:val="0"/>
          <w:marBottom w:val="0"/>
          <w:divBdr>
            <w:top w:val="none" w:sz="0" w:space="0" w:color="auto"/>
            <w:left w:val="none" w:sz="0" w:space="0" w:color="auto"/>
            <w:bottom w:val="none" w:sz="0" w:space="0" w:color="auto"/>
            <w:right w:val="none" w:sz="0" w:space="0" w:color="auto"/>
          </w:divBdr>
        </w:div>
        <w:div w:id="546333125">
          <w:marLeft w:val="0"/>
          <w:marRight w:val="0"/>
          <w:marTop w:val="0"/>
          <w:marBottom w:val="0"/>
          <w:divBdr>
            <w:top w:val="none" w:sz="0" w:space="0" w:color="auto"/>
            <w:left w:val="none" w:sz="0" w:space="0" w:color="auto"/>
            <w:bottom w:val="none" w:sz="0" w:space="0" w:color="auto"/>
            <w:right w:val="none" w:sz="0" w:space="0" w:color="auto"/>
          </w:divBdr>
        </w:div>
        <w:div w:id="552276817">
          <w:marLeft w:val="0"/>
          <w:marRight w:val="0"/>
          <w:marTop w:val="0"/>
          <w:marBottom w:val="0"/>
          <w:divBdr>
            <w:top w:val="none" w:sz="0" w:space="0" w:color="auto"/>
            <w:left w:val="none" w:sz="0" w:space="0" w:color="auto"/>
            <w:bottom w:val="none" w:sz="0" w:space="0" w:color="auto"/>
            <w:right w:val="none" w:sz="0" w:space="0" w:color="auto"/>
          </w:divBdr>
        </w:div>
        <w:div w:id="555164016">
          <w:marLeft w:val="-75"/>
          <w:marRight w:val="0"/>
          <w:marTop w:val="30"/>
          <w:marBottom w:val="30"/>
          <w:divBdr>
            <w:top w:val="none" w:sz="0" w:space="0" w:color="auto"/>
            <w:left w:val="none" w:sz="0" w:space="0" w:color="auto"/>
            <w:bottom w:val="none" w:sz="0" w:space="0" w:color="auto"/>
            <w:right w:val="none" w:sz="0" w:space="0" w:color="auto"/>
          </w:divBdr>
          <w:divsChild>
            <w:div w:id="1477337359">
              <w:marLeft w:val="0"/>
              <w:marRight w:val="0"/>
              <w:marTop w:val="0"/>
              <w:marBottom w:val="0"/>
              <w:divBdr>
                <w:top w:val="none" w:sz="0" w:space="0" w:color="auto"/>
                <w:left w:val="none" w:sz="0" w:space="0" w:color="auto"/>
                <w:bottom w:val="none" w:sz="0" w:space="0" w:color="auto"/>
                <w:right w:val="none" w:sz="0" w:space="0" w:color="auto"/>
              </w:divBdr>
              <w:divsChild>
                <w:div w:id="712769846">
                  <w:marLeft w:val="0"/>
                  <w:marRight w:val="0"/>
                  <w:marTop w:val="0"/>
                  <w:marBottom w:val="0"/>
                  <w:divBdr>
                    <w:top w:val="none" w:sz="0" w:space="0" w:color="auto"/>
                    <w:left w:val="none" w:sz="0" w:space="0" w:color="auto"/>
                    <w:bottom w:val="none" w:sz="0" w:space="0" w:color="auto"/>
                    <w:right w:val="none" w:sz="0" w:space="0" w:color="auto"/>
                  </w:divBdr>
                </w:div>
                <w:div w:id="1495951368">
                  <w:marLeft w:val="0"/>
                  <w:marRight w:val="0"/>
                  <w:marTop w:val="0"/>
                  <w:marBottom w:val="0"/>
                  <w:divBdr>
                    <w:top w:val="none" w:sz="0" w:space="0" w:color="auto"/>
                    <w:left w:val="none" w:sz="0" w:space="0" w:color="auto"/>
                    <w:bottom w:val="none" w:sz="0" w:space="0" w:color="auto"/>
                    <w:right w:val="none" w:sz="0" w:space="0" w:color="auto"/>
                  </w:divBdr>
                </w:div>
                <w:div w:id="2138377519">
                  <w:marLeft w:val="0"/>
                  <w:marRight w:val="0"/>
                  <w:marTop w:val="0"/>
                  <w:marBottom w:val="0"/>
                  <w:divBdr>
                    <w:top w:val="none" w:sz="0" w:space="0" w:color="auto"/>
                    <w:left w:val="none" w:sz="0" w:space="0" w:color="auto"/>
                    <w:bottom w:val="none" w:sz="0" w:space="0" w:color="auto"/>
                    <w:right w:val="none" w:sz="0" w:space="0" w:color="auto"/>
                  </w:divBdr>
                </w:div>
              </w:divsChild>
            </w:div>
            <w:div w:id="1645306300">
              <w:marLeft w:val="0"/>
              <w:marRight w:val="0"/>
              <w:marTop w:val="0"/>
              <w:marBottom w:val="0"/>
              <w:divBdr>
                <w:top w:val="none" w:sz="0" w:space="0" w:color="auto"/>
                <w:left w:val="none" w:sz="0" w:space="0" w:color="auto"/>
                <w:bottom w:val="none" w:sz="0" w:space="0" w:color="auto"/>
                <w:right w:val="none" w:sz="0" w:space="0" w:color="auto"/>
              </w:divBdr>
              <w:divsChild>
                <w:div w:id="5765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3663">
          <w:marLeft w:val="0"/>
          <w:marRight w:val="0"/>
          <w:marTop w:val="0"/>
          <w:marBottom w:val="0"/>
          <w:divBdr>
            <w:top w:val="none" w:sz="0" w:space="0" w:color="auto"/>
            <w:left w:val="none" w:sz="0" w:space="0" w:color="auto"/>
            <w:bottom w:val="none" w:sz="0" w:space="0" w:color="auto"/>
            <w:right w:val="none" w:sz="0" w:space="0" w:color="auto"/>
          </w:divBdr>
        </w:div>
        <w:div w:id="570696756">
          <w:marLeft w:val="0"/>
          <w:marRight w:val="0"/>
          <w:marTop w:val="0"/>
          <w:marBottom w:val="0"/>
          <w:divBdr>
            <w:top w:val="none" w:sz="0" w:space="0" w:color="auto"/>
            <w:left w:val="none" w:sz="0" w:space="0" w:color="auto"/>
            <w:bottom w:val="none" w:sz="0" w:space="0" w:color="auto"/>
            <w:right w:val="none" w:sz="0" w:space="0" w:color="auto"/>
          </w:divBdr>
        </w:div>
        <w:div w:id="579949335">
          <w:marLeft w:val="0"/>
          <w:marRight w:val="0"/>
          <w:marTop w:val="0"/>
          <w:marBottom w:val="0"/>
          <w:divBdr>
            <w:top w:val="none" w:sz="0" w:space="0" w:color="auto"/>
            <w:left w:val="none" w:sz="0" w:space="0" w:color="auto"/>
            <w:bottom w:val="none" w:sz="0" w:space="0" w:color="auto"/>
            <w:right w:val="none" w:sz="0" w:space="0" w:color="auto"/>
          </w:divBdr>
        </w:div>
        <w:div w:id="584728097">
          <w:marLeft w:val="0"/>
          <w:marRight w:val="0"/>
          <w:marTop w:val="0"/>
          <w:marBottom w:val="0"/>
          <w:divBdr>
            <w:top w:val="none" w:sz="0" w:space="0" w:color="auto"/>
            <w:left w:val="none" w:sz="0" w:space="0" w:color="auto"/>
            <w:bottom w:val="none" w:sz="0" w:space="0" w:color="auto"/>
            <w:right w:val="none" w:sz="0" w:space="0" w:color="auto"/>
          </w:divBdr>
        </w:div>
        <w:div w:id="586112871">
          <w:marLeft w:val="0"/>
          <w:marRight w:val="0"/>
          <w:marTop w:val="0"/>
          <w:marBottom w:val="0"/>
          <w:divBdr>
            <w:top w:val="none" w:sz="0" w:space="0" w:color="auto"/>
            <w:left w:val="none" w:sz="0" w:space="0" w:color="auto"/>
            <w:bottom w:val="none" w:sz="0" w:space="0" w:color="auto"/>
            <w:right w:val="none" w:sz="0" w:space="0" w:color="auto"/>
          </w:divBdr>
        </w:div>
        <w:div w:id="608394203">
          <w:marLeft w:val="0"/>
          <w:marRight w:val="0"/>
          <w:marTop w:val="0"/>
          <w:marBottom w:val="0"/>
          <w:divBdr>
            <w:top w:val="none" w:sz="0" w:space="0" w:color="auto"/>
            <w:left w:val="none" w:sz="0" w:space="0" w:color="auto"/>
            <w:bottom w:val="none" w:sz="0" w:space="0" w:color="auto"/>
            <w:right w:val="none" w:sz="0" w:space="0" w:color="auto"/>
          </w:divBdr>
        </w:div>
        <w:div w:id="615909010">
          <w:marLeft w:val="0"/>
          <w:marRight w:val="0"/>
          <w:marTop w:val="0"/>
          <w:marBottom w:val="0"/>
          <w:divBdr>
            <w:top w:val="none" w:sz="0" w:space="0" w:color="auto"/>
            <w:left w:val="none" w:sz="0" w:space="0" w:color="auto"/>
            <w:bottom w:val="none" w:sz="0" w:space="0" w:color="auto"/>
            <w:right w:val="none" w:sz="0" w:space="0" w:color="auto"/>
          </w:divBdr>
        </w:div>
        <w:div w:id="643504908">
          <w:marLeft w:val="0"/>
          <w:marRight w:val="0"/>
          <w:marTop w:val="0"/>
          <w:marBottom w:val="0"/>
          <w:divBdr>
            <w:top w:val="none" w:sz="0" w:space="0" w:color="auto"/>
            <w:left w:val="none" w:sz="0" w:space="0" w:color="auto"/>
            <w:bottom w:val="none" w:sz="0" w:space="0" w:color="auto"/>
            <w:right w:val="none" w:sz="0" w:space="0" w:color="auto"/>
          </w:divBdr>
        </w:div>
        <w:div w:id="649599584">
          <w:marLeft w:val="0"/>
          <w:marRight w:val="0"/>
          <w:marTop w:val="0"/>
          <w:marBottom w:val="0"/>
          <w:divBdr>
            <w:top w:val="none" w:sz="0" w:space="0" w:color="auto"/>
            <w:left w:val="none" w:sz="0" w:space="0" w:color="auto"/>
            <w:bottom w:val="none" w:sz="0" w:space="0" w:color="auto"/>
            <w:right w:val="none" w:sz="0" w:space="0" w:color="auto"/>
          </w:divBdr>
        </w:div>
        <w:div w:id="650208828">
          <w:marLeft w:val="0"/>
          <w:marRight w:val="0"/>
          <w:marTop w:val="0"/>
          <w:marBottom w:val="0"/>
          <w:divBdr>
            <w:top w:val="none" w:sz="0" w:space="0" w:color="auto"/>
            <w:left w:val="none" w:sz="0" w:space="0" w:color="auto"/>
            <w:bottom w:val="none" w:sz="0" w:space="0" w:color="auto"/>
            <w:right w:val="none" w:sz="0" w:space="0" w:color="auto"/>
          </w:divBdr>
        </w:div>
        <w:div w:id="669987667">
          <w:marLeft w:val="0"/>
          <w:marRight w:val="0"/>
          <w:marTop w:val="0"/>
          <w:marBottom w:val="0"/>
          <w:divBdr>
            <w:top w:val="none" w:sz="0" w:space="0" w:color="auto"/>
            <w:left w:val="none" w:sz="0" w:space="0" w:color="auto"/>
            <w:bottom w:val="none" w:sz="0" w:space="0" w:color="auto"/>
            <w:right w:val="none" w:sz="0" w:space="0" w:color="auto"/>
          </w:divBdr>
        </w:div>
        <w:div w:id="673461065">
          <w:marLeft w:val="0"/>
          <w:marRight w:val="0"/>
          <w:marTop w:val="0"/>
          <w:marBottom w:val="0"/>
          <w:divBdr>
            <w:top w:val="none" w:sz="0" w:space="0" w:color="auto"/>
            <w:left w:val="none" w:sz="0" w:space="0" w:color="auto"/>
            <w:bottom w:val="none" w:sz="0" w:space="0" w:color="auto"/>
            <w:right w:val="none" w:sz="0" w:space="0" w:color="auto"/>
          </w:divBdr>
        </w:div>
        <w:div w:id="674767202">
          <w:marLeft w:val="0"/>
          <w:marRight w:val="0"/>
          <w:marTop w:val="0"/>
          <w:marBottom w:val="0"/>
          <w:divBdr>
            <w:top w:val="none" w:sz="0" w:space="0" w:color="auto"/>
            <w:left w:val="none" w:sz="0" w:space="0" w:color="auto"/>
            <w:bottom w:val="none" w:sz="0" w:space="0" w:color="auto"/>
            <w:right w:val="none" w:sz="0" w:space="0" w:color="auto"/>
          </w:divBdr>
        </w:div>
        <w:div w:id="679087773">
          <w:marLeft w:val="0"/>
          <w:marRight w:val="0"/>
          <w:marTop w:val="0"/>
          <w:marBottom w:val="0"/>
          <w:divBdr>
            <w:top w:val="none" w:sz="0" w:space="0" w:color="auto"/>
            <w:left w:val="none" w:sz="0" w:space="0" w:color="auto"/>
            <w:bottom w:val="none" w:sz="0" w:space="0" w:color="auto"/>
            <w:right w:val="none" w:sz="0" w:space="0" w:color="auto"/>
          </w:divBdr>
        </w:div>
        <w:div w:id="694162340">
          <w:marLeft w:val="0"/>
          <w:marRight w:val="0"/>
          <w:marTop w:val="0"/>
          <w:marBottom w:val="0"/>
          <w:divBdr>
            <w:top w:val="none" w:sz="0" w:space="0" w:color="auto"/>
            <w:left w:val="none" w:sz="0" w:space="0" w:color="auto"/>
            <w:bottom w:val="none" w:sz="0" w:space="0" w:color="auto"/>
            <w:right w:val="none" w:sz="0" w:space="0" w:color="auto"/>
          </w:divBdr>
        </w:div>
        <w:div w:id="715206021">
          <w:marLeft w:val="0"/>
          <w:marRight w:val="0"/>
          <w:marTop w:val="0"/>
          <w:marBottom w:val="0"/>
          <w:divBdr>
            <w:top w:val="none" w:sz="0" w:space="0" w:color="auto"/>
            <w:left w:val="none" w:sz="0" w:space="0" w:color="auto"/>
            <w:bottom w:val="none" w:sz="0" w:space="0" w:color="auto"/>
            <w:right w:val="none" w:sz="0" w:space="0" w:color="auto"/>
          </w:divBdr>
        </w:div>
        <w:div w:id="725225392">
          <w:marLeft w:val="0"/>
          <w:marRight w:val="0"/>
          <w:marTop w:val="0"/>
          <w:marBottom w:val="0"/>
          <w:divBdr>
            <w:top w:val="none" w:sz="0" w:space="0" w:color="auto"/>
            <w:left w:val="none" w:sz="0" w:space="0" w:color="auto"/>
            <w:bottom w:val="none" w:sz="0" w:space="0" w:color="auto"/>
            <w:right w:val="none" w:sz="0" w:space="0" w:color="auto"/>
          </w:divBdr>
        </w:div>
        <w:div w:id="725225582">
          <w:marLeft w:val="0"/>
          <w:marRight w:val="0"/>
          <w:marTop w:val="0"/>
          <w:marBottom w:val="0"/>
          <w:divBdr>
            <w:top w:val="none" w:sz="0" w:space="0" w:color="auto"/>
            <w:left w:val="none" w:sz="0" w:space="0" w:color="auto"/>
            <w:bottom w:val="none" w:sz="0" w:space="0" w:color="auto"/>
            <w:right w:val="none" w:sz="0" w:space="0" w:color="auto"/>
          </w:divBdr>
        </w:div>
        <w:div w:id="725876814">
          <w:marLeft w:val="0"/>
          <w:marRight w:val="0"/>
          <w:marTop w:val="0"/>
          <w:marBottom w:val="0"/>
          <w:divBdr>
            <w:top w:val="none" w:sz="0" w:space="0" w:color="auto"/>
            <w:left w:val="none" w:sz="0" w:space="0" w:color="auto"/>
            <w:bottom w:val="none" w:sz="0" w:space="0" w:color="auto"/>
            <w:right w:val="none" w:sz="0" w:space="0" w:color="auto"/>
          </w:divBdr>
        </w:div>
        <w:div w:id="732848582">
          <w:marLeft w:val="0"/>
          <w:marRight w:val="0"/>
          <w:marTop w:val="0"/>
          <w:marBottom w:val="0"/>
          <w:divBdr>
            <w:top w:val="none" w:sz="0" w:space="0" w:color="auto"/>
            <w:left w:val="none" w:sz="0" w:space="0" w:color="auto"/>
            <w:bottom w:val="none" w:sz="0" w:space="0" w:color="auto"/>
            <w:right w:val="none" w:sz="0" w:space="0" w:color="auto"/>
          </w:divBdr>
        </w:div>
        <w:div w:id="732890966">
          <w:marLeft w:val="0"/>
          <w:marRight w:val="0"/>
          <w:marTop w:val="0"/>
          <w:marBottom w:val="0"/>
          <w:divBdr>
            <w:top w:val="none" w:sz="0" w:space="0" w:color="auto"/>
            <w:left w:val="none" w:sz="0" w:space="0" w:color="auto"/>
            <w:bottom w:val="none" w:sz="0" w:space="0" w:color="auto"/>
            <w:right w:val="none" w:sz="0" w:space="0" w:color="auto"/>
          </w:divBdr>
        </w:div>
        <w:div w:id="737018204">
          <w:marLeft w:val="0"/>
          <w:marRight w:val="0"/>
          <w:marTop w:val="0"/>
          <w:marBottom w:val="0"/>
          <w:divBdr>
            <w:top w:val="none" w:sz="0" w:space="0" w:color="auto"/>
            <w:left w:val="none" w:sz="0" w:space="0" w:color="auto"/>
            <w:bottom w:val="none" w:sz="0" w:space="0" w:color="auto"/>
            <w:right w:val="none" w:sz="0" w:space="0" w:color="auto"/>
          </w:divBdr>
        </w:div>
        <w:div w:id="738525366">
          <w:marLeft w:val="0"/>
          <w:marRight w:val="0"/>
          <w:marTop w:val="0"/>
          <w:marBottom w:val="0"/>
          <w:divBdr>
            <w:top w:val="none" w:sz="0" w:space="0" w:color="auto"/>
            <w:left w:val="none" w:sz="0" w:space="0" w:color="auto"/>
            <w:bottom w:val="none" w:sz="0" w:space="0" w:color="auto"/>
            <w:right w:val="none" w:sz="0" w:space="0" w:color="auto"/>
          </w:divBdr>
        </w:div>
        <w:div w:id="748113914">
          <w:marLeft w:val="0"/>
          <w:marRight w:val="0"/>
          <w:marTop w:val="0"/>
          <w:marBottom w:val="0"/>
          <w:divBdr>
            <w:top w:val="none" w:sz="0" w:space="0" w:color="auto"/>
            <w:left w:val="none" w:sz="0" w:space="0" w:color="auto"/>
            <w:bottom w:val="none" w:sz="0" w:space="0" w:color="auto"/>
            <w:right w:val="none" w:sz="0" w:space="0" w:color="auto"/>
          </w:divBdr>
        </w:div>
        <w:div w:id="766729507">
          <w:marLeft w:val="0"/>
          <w:marRight w:val="0"/>
          <w:marTop w:val="0"/>
          <w:marBottom w:val="0"/>
          <w:divBdr>
            <w:top w:val="none" w:sz="0" w:space="0" w:color="auto"/>
            <w:left w:val="none" w:sz="0" w:space="0" w:color="auto"/>
            <w:bottom w:val="none" w:sz="0" w:space="0" w:color="auto"/>
            <w:right w:val="none" w:sz="0" w:space="0" w:color="auto"/>
          </w:divBdr>
        </w:div>
        <w:div w:id="766845842">
          <w:marLeft w:val="0"/>
          <w:marRight w:val="0"/>
          <w:marTop w:val="0"/>
          <w:marBottom w:val="0"/>
          <w:divBdr>
            <w:top w:val="none" w:sz="0" w:space="0" w:color="auto"/>
            <w:left w:val="none" w:sz="0" w:space="0" w:color="auto"/>
            <w:bottom w:val="none" w:sz="0" w:space="0" w:color="auto"/>
            <w:right w:val="none" w:sz="0" w:space="0" w:color="auto"/>
          </w:divBdr>
        </w:div>
        <w:div w:id="771897745">
          <w:marLeft w:val="0"/>
          <w:marRight w:val="0"/>
          <w:marTop w:val="0"/>
          <w:marBottom w:val="0"/>
          <w:divBdr>
            <w:top w:val="none" w:sz="0" w:space="0" w:color="auto"/>
            <w:left w:val="none" w:sz="0" w:space="0" w:color="auto"/>
            <w:bottom w:val="none" w:sz="0" w:space="0" w:color="auto"/>
            <w:right w:val="none" w:sz="0" w:space="0" w:color="auto"/>
          </w:divBdr>
        </w:div>
        <w:div w:id="773481085">
          <w:marLeft w:val="0"/>
          <w:marRight w:val="0"/>
          <w:marTop w:val="0"/>
          <w:marBottom w:val="0"/>
          <w:divBdr>
            <w:top w:val="none" w:sz="0" w:space="0" w:color="auto"/>
            <w:left w:val="none" w:sz="0" w:space="0" w:color="auto"/>
            <w:bottom w:val="none" w:sz="0" w:space="0" w:color="auto"/>
            <w:right w:val="none" w:sz="0" w:space="0" w:color="auto"/>
          </w:divBdr>
        </w:div>
        <w:div w:id="776561255">
          <w:marLeft w:val="0"/>
          <w:marRight w:val="0"/>
          <w:marTop w:val="0"/>
          <w:marBottom w:val="0"/>
          <w:divBdr>
            <w:top w:val="none" w:sz="0" w:space="0" w:color="auto"/>
            <w:left w:val="none" w:sz="0" w:space="0" w:color="auto"/>
            <w:bottom w:val="none" w:sz="0" w:space="0" w:color="auto"/>
            <w:right w:val="none" w:sz="0" w:space="0" w:color="auto"/>
          </w:divBdr>
        </w:div>
        <w:div w:id="783381589">
          <w:marLeft w:val="0"/>
          <w:marRight w:val="0"/>
          <w:marTop w:val="0"/>
          <w:marBottom w:val="0"/>
          <w:divBdr>
            <w:top w:val="none" w:sz="0" w:space="0" w:color="auto"/>
            <w:left w:val="none" w:sz="0" w:space="0" w:color="auto"/>
            <w:bottom w:val="none" w:sz="0" w:space="0" w:color="auto"/>
            <w:right w:val="none" w:sz="0" w:space="0" w:color="auto"/>
          </w:divBdr>
        </w:div>
        <w:div w:id="805467264">
          <w:marLeft w:val="0"/>
          <w:marRight w:val="0"/>
          <w:marTop w:val="0"/>
          <w:marBottom w:val="0"/>
          <w:divBdr>
            <w:top w:val="none" w:sz="0" w:space="0" w:color="auto"/>
            <w:left w:val="none" w:sz="0" w:space="0" w:color="auto"/>
            <w:bottom w:val="none" w:sz="0" w:space="0" w:color="auto"/>
            <w:right w:val="none" w:sz="0" w:space="0" w:color="auto"/>
          </w:divBdr>
        </w:div>
        <w:div w:id="811941294">
          <w:marLeft w:val="0"/>
          <w:marRight w:val="0"/>
          <w:marTop w:val="0"/>
          <w:marBottom w:val="0"/>
          <w:divBdr>
            <w:top w:val="none" w:sz="0" w:space="0" w:color="auto"/>
            <w:left w:val="none" w:sz="0" w:space="0" w:color="auto"/>
            <w:bottom w:val="none" w:sz="0" w:space="0" w:color="auto"/>
            <w:right w:val="none" w:sz="0" w:space="0" w:color="auto"/>
          </w:divBdr>
        </w:div>
        <w:div w:id="814448216">
          <w:marLeft w:val="0"/>
          <w:marRight w:val="0"/>
          <w:marTop w:val="0"/>
          <w:marBottom w:val="0"/>
          <w:divBdr>
            <w:top w:val="none" w:sz="0" w:space="0" w:color="auto"/>
            <w:left w:val="none" w:sz="0" w:space="0" w:color="auto"/>
            <w:bottom w:val="none" w:sz="0" w:space="0" w:color="auto"/>
            <w:right w:val="none" w:sz="0" w:space="0" w:color="auto"/>
          </w:divBdr>
        </w:div>
        <w:div w:id="821389132">
          <w:marLeft w:val="0"/>
          <w:marRight w:val="0"/>
          <w:marTop w:val="0"/>
          <w:marBottom w:val="0"/>
          <w:divBdr>
            <w:top w:val="none" w:sz="0" w:space="0" w:color="auto"/>
            <w:left w:val="none" w:sz="0" w:space="0" w:color="auto"/>
            <w:bottom w:val="none" w:sz="0" w:space="0" w:color="auto"/>
            <w:right w:val="none" w:sz="0" w:space="0" w:color="auto"/>
          </w:divBdr>
        </w:div>
        <w:div w:id="822769703">
          <w:marLeft w:val="0"/>
          <w:marRight w:val="0"/>
          <w:marTop w:val="0"/>
          <w:marBottom w:val="0"/>
          <w:divBdr>
            <w:top w:val="none" w:sz="0" w:space="0" w:color="auto"/>
            <w:left w:val="none" w:sz="0" w:space="0" w:color="auto"/>
            <w:bottom w:val="none" w:sz="0" w:space="0" w:color="auto"/>
            <w:right w:val="none" w:sz="0" w:space="0" w:color="auto"/>
          </w:divBdr>
        </w:div>
        <w:div w:id="832335909">
          <w:marLeft w:val="0"/>
          <w:marRight w:val="0"/>
          <w:marTop w:val="0"/>
          <w:marBottom w:val="0"/>
          <w:divBdr>
            <w:top w:val="none" w:sz="0" w:space="0" w:color="auto"/>
            <w:left w:val="none" w:sz="0" w:space="0" w:color="auto"/>
            <w:bottom w:val="none" w:sz="0" w:space="0" w:color="auto"/>
            <w:right w:val="none" w:sz="0" w:space="0" w:color="auto"/>
          </w:divBdr>
        </w:div>
        <w:div w:id="844322414">
          <w:marLeft w:val="0"/>
          <w:marRight w:val="0"/>
          <w:marTop w:val="0"/>
          <w:marBottom w:val="0"/>
          <w:divBdr>
            <w:top w:val="none" w:sz="0" w:space="0" w:color="auto"/>
            <w:left w:val="none" w:sz="0" w:space="0" w:color="auto"/>
            <w:bottom w:val="none" w:sz="0" w:space="0" w:color="auto"/>
            <w:right w:val="none" w:sz="0" w:space="0" w:color="auto"/>
          </w:divBdr>
        </w:div>
        <w:div w:id="854269074">
          <w:marLeft w:val="0"/>
          <w:marRight w:val="0"/>
          <w:marTop w:val="0"/>
          <w:marBottom w:val="0"/>
          <w:divBdr>
            <w:top w:val="none" w:sz="0" w:space="0" w:color="auto"/>
            <w:left w:val="none" w:sz="0" w:space="0" w:color="auto"/>
            <w:bottom w:val="none" w:sz="0" w:space="0" w:color="auto"/>
            <w:right w:val="none" w:sz="0" w:space="0" w:color="auto"/>
          </w:divBdr>
        </w:div>
        <w:div w:id="880485216">
          <w:marLeft w:val="0"/>
          <w:marRight w:val="0"/>
          <w:marTop w:val="0"/>
          <w:marBottom w:val="0"/>
          <w:divBdr>
            <w:top w:val="none" w:sz="0" w:space="0" w:color="auto"/>
            <w:left w:val="none" w:sz="0" w:space="0" w:color="auto"/>
            <w:bottom w:val="none" w:sz="0" w:space="0" w:color="auto"/>
            <w:right w:val="none" w:sz="0" w:space="0" w:color="auto"/>
          </w:divBdr>
        </w:div>
        <w:div w:id="884490500">
          <w:marLeft w:val="0"/>
          <w:marRight w:val="0"/>
          <w:marTop w:val="0"/>
          <w:marBottom w:val="0"/>
          <w:divBdr>
            <w:top w:val="none" w:sz="0" w:space="0" w:color="auto"/>
            <w:left w:val="none" w:sz="0" w:space="0" w:color="auto"/>
            <w:bottom w:val="none" w:sz="0" w:space="0" w:color="auto"/>
            <w:right w:val="none" w:sz="0" w:space="0" w:color="auto"/>
          </w:divBdr>
        </w:div>
        <w:div w:id="893273310">
          <w:marLeft w:val="0"/>
          <w:marRight w:val="0"/>
          <w:marTop w:val="0"/>
          <w:marBottom w:val="0"/>
          <w:divBdr>
            <w:top w:val="none" w:sz="0" w:space="0" w:color="auto"/>
            <w:left w:val="none" w:sz="0" w:space="0" w:color="auto"/>
            <w:bottom w:val="none" w:sz="0" w:space="0" w:color="auto"/>
            <w:right w:val="none" w:sz="0" w:space="0" w:color="auto"/>
          </w:divBdr>
        </w:div>
        <w:div w:id="893396908">
          <w:marLeft w:val="0"/>
          <w:marRight w:val="0"/>
          <w:marTop w:val="0"/>
          <w:marBottom w:val="0"/>
          <w:divBdr>
            <w:top w:val="none" w:sz="0" w:space="0" w:color="auto"/>
            <w:left w:val="none" w:sz="0" w:space="0" w:color="auto"/>
            <w:bottom w:val="none" w:sz="0" w:space="0" w:color="auto"/>
            <w:right w:val="none" w:sz="0" w:space="0" w:color="auto"/>
          </w:divBdr>
        </w:div>
        <w:div w:id="902448169">
          <w:marLeft w:val="0"/>
          <w:marRight w:val="0"/>
          <w:marTop w:val="0"/>
          <w:marBottom w:val="0"/>
          <w:divBdr>
            <w:top w:val="none" w:sz="0" w:space="0" w:color="auto"/>
            <w:left w:val="none" w:sz="0" w:space="0" w:color="auto"/>
            <w:bottom w:val="none" w:sz="0" w:space="0" w:color="auto"/>
            <w:right w:val="none" w:sz="0" w:space="0" w:color="auto"/>
          </w:divBdr>
        </w:div>
        <w:div w:id="914820424">
          <w:marLeft w:val="0"/>
          <w:marRight w:val="0"/>
          <w:marTop w:val="0"/>
          <w:marBottom w:val="0"/>
          <w:divBdr>
            <w:top w:val="none" w:sz="0" w:space="0" w:color="auto"/>
            <w:left w:val="none" w:sz="0" w:space="0" w:color="auto"/>
            <w:bottom w:val="none" w:sz="0" w:space="0" w:color="auto"/>
            <w:right w:val="none" w:sz="0" w:space="0" w:color="auto"/>
          </w:divBdr>
        </w:div>
        <w:div w:id="920406608">
          <w:marLeft w:val="0"/>
          <w:marRight w:val="0"/>
          <w:marTop w:val="0"/>
          <w:marBottom w:val="0"/>
          <w:divBdr>
            <w:top w:val="none" w:sz="0" w:space="0" w:color="auto"/>
            <w:left w:val="none" w:sz="0" w:space="0" w:color="auto"/>
            <w:bottom w:val="none" w:sz="0" w:space="0" w:color="auto"/>
            <w:right w:val="none" w:sz="0" w:space="0" w:color="auto"/>
          </w:divBdr>
        </w:div>
        <w:div w:id="923760037">
          <w:marLeft w:val="0"/>
          <w:marRight w:val="0"/>
          <w:marTop w:val="0"/>
          <w:marBottom w:val="0"/>
          <w:divBdr>
            <w:top w:val="none" w:sz="0" w:space="0" w:color="auto"/>
            <w:left w:val="none" w:sz="0" w:space="0" w:color="auto"/>
            <w:bottom w:val="none" w:sz="0" w:space="0" w:color="auto"/>
            <w:right w:val="none" w:sz="0" w:space="0" w:color="auto"/>
          </w:divBdr>
        </w:div>
        <w:div w:id="936791060">
          <w:marLeft w:val="0"/>
          <w:marRight w:val="0"/>
          <w:marTop w:val="0"/>
          <w:marBottom w:val="0"/>
          <w:divBdr>
            <w:top w:val="none" w:sz="0" w:space="0" w:color="auto"/>
            <w:left w:val="none" w:sz="0" w:space="0" w:color="auto"/>
            <w:bottom w:val="none" w:sz="0" w:space="0" w:color="auto"/>
            <w:right w:val="none" w:sz="0" w:space="0" w:color="auto"/>
          </w:divBdr>
        </w:div>
        <w:div w:id="937909185">
          <w:marLeft w:val="0"/>
          <w:marRight w:val="0"/>
          <w:marTop w:val="0"/>
          <w:marBottom w:val="0"/>
          <w:divBdr>
            <w:top w:val="none" w:sz="0" w:space="0" w:color="auto"/>
            <w:left w:val="none" w:sz="0" w:space="0" w:color="auto"/>
            <w:bottom w:val="none" w:sz="0" w:space="0" w:color="auto"/>
            <w:right w:val="none" w:sz="0" w:space="0" w:color="auto"/>
          </w:divBdr>
        </w:div>
        <w:div w:id="948243211">
          <w:marLeft w:val="0"/>
          <w:marRight w:val="0"/>
          <w:marTop w:val="0"/>
          <w:marBottom w:val="0"/>
          <w:divBdr>
            <w:top w:val="none" w:sz="0" w:space="0" w:color="auto"/>
            <w:left w:val="none" w:sz="0" w:space="0" w:color="auto"/>
            <w:bottom w:val="none" w:sz="0" w:space="0" w:color="auto"/>
            <w:right w:val="none" w:sz="0" w:space="0" w:color="auto"/>
          </w:divBdr>
        </w:div>
        <w:div w:id="972906525">
          <w:marLeft w:val="0"/>
          <w:marRight w:val="0"/>
          <w:marTop w:val="0"/>
          <w:marBottom w:val="0"/>
          <w:divBdr>
            <w:top w:val="none" w:sz="0" w:space="0" w:color="auto"/>
            <w:left w:val="none" w:sz="0" w:space="0" w:color="auto"/>
            <w:bottom w:val="none" w:sz="0" w:space="0" w:color="auto"/>
            <w:right w:val="none" w:sz="0" w:space="0" w:color="auto"/>
          </w:divBdr>
        </w:div>
        <w:div w:id="976648683">
          <w:marLeft w:val="0"/>
          <w:marRight w:val="0"/>
          <w:marTop w:val="0"/>
          <w:marBottom w:val="0"/>
          <w:divBdr>
            <w:top w:val="none" w:sz="0" w:space="0" w:color="auto"/>
            <w:left w:val="none" w:sz="0" w:space="0" w:color="auto"/>
            <w:bottom w:val="none" w:sz="0" w:space="0" w:color="auto"/>
            <w:right w:val="none" w:sz="0" w:space="0" w:color="auto"/>
          </w:divBdr>
        </w:div>
        <w:div w:id="979072999">
          <w:marLeft w:val="0"/>
          <w:marRight w:val="0"/>
          <w:marTop w:val="0"/>
          <w:marBottom w:val="0"/>
          <w:divBdr>
            <w:top w:val="none" w:sz="0" w:space="0" w:color="auto"/>
            <w:left w:val="none" w:sz="0" w:space="0" w:color="auto"/>
            <w:bottom w:val="none" w:sz="0" w:space="0" w:color="auto"/>
            <w:right w:val="none" w:sz="0" w:space="0" w:color="auto"/>
          </w:divBdr>
        </w:div>
        <w:div w:id="991062273">
          <w:marLeft w:val="0"/>
          <w:marRight w:val="0"/>
          <w:marTop w:val="0"/>
          <w:marBottom w:val="0"/>
          <w:divBdr>
            <w:top w:val="none" w:sz="0" w:space="0" w:color="auto"/>
            <w:left w:val="none" w:sz="0" w:space="0" w:color="auto"/>
            <w:bottom w:val="none" w:sz="0" w:space="0" w:color="auto"/>
            <w:right w:val="none" w:sz="0" w:space="0" w:color="auto"/>
          </w:divBdr>
        </w:div>
        <w:div w:id="1006589550">
          <w:marLeft w:val="0"/>
          <w:marRight w:val="0"/>
          <w:marTop w:val="0"/>
          <w:marBottom w:val="0"/>
          <w:divBdr>
            <w:top w:val="none" w:sz="0" w:space="0" w:color="auto"/>
            <w:left w:val="none" w:sz="0" w:space="0" w:color="auto"/>
            <w:bottom w:val="none" w:sz="0" w:space="0" w:color="auto"/>
            <w:right w:val="none" w:sz="0" w:space="0" w:color="auto"/>
          </w:divBdr>
        </w:div>
        <w:div w:id="1016617948">
          <w:marLeft w:val="0"/>
          <w:marRight w:val="0"/>
          <w:marTop w:val="0"/>
          <w:marBottom w:val="0"/>
          <w:divBdr>
            <w:top w:val="none" w:sz="0" w:space="0" w:color="auto"/>
            <w:left w:val="none" w:sz="0" w:space="0" w:color="auto"/>
            <w:bottom w:val="none" w:sz="0" w:space="0" w:color="auto"/>
            <w:right w:val="none" w:sz="0" w:space="0" w:color="auto"/>
          </w:divBdr>
        </w:div>
        <w:div w:id="1016808312">
          <w:marLeft w:val="0"/>
          <w:marRight w:val="0"/>
          <w:marTop w:val="0"/>
          <w:marBottom w:val="0"/>
          <w:divBdr>
            <w:top w:val="none" w:sz="0" w:space="0" w:color="auto"/>
            <w:left w:val="none" w:sz="0" w:space="0" w:color="auto"/>
            <w:bottom w:val="none" w:sz="0" w:space="0" w:color="auto"/>
            <w:right w:val="none" w:sz="0" w:space="0" w:color="auto"/>
          </w:divBdr>
        </w:div>
        <w:div w:id="1046753543">
          <w:marLeft w:val="0"/>
          <w:marRight w:val="0"/>
          <w:marTop w:val="0"/>
          <w:marBottom w:val="0"/>
          <w:divBdr>
            <w:top w:val="none" w:sz="0" w:space="0" w:color="auto"/>
            <w:left w:val="none" w:sz="0" w:space="0" w:color="auto"/>
            <w:bottom w:val="none" w:sz="0" w:space="0" w:color="auto"/>
            <w:right w:val="none" w:sz="0" w:space="0" w:color="auto"/>
          </w:divBdr>
        </w:div>
        <w:div w:id="1059203939">
          <w:marLeft w:val="0"/>
          <w:marRight w:val="0"/>
          <w:marTop w:val="0"/>
          <w:marBottom w:val="0"/>
          <w:divBdr>
            <w:top w:val="none" w:sz="0" w:space="0" w:color="auto"/>
            <w:left w:val="none" w:sz="0" w:space="0" w:color="auto"/>
            <w:bottom w:val="none" w:sz="0" w:space="0" w:color="auto"/>
            <w:right w:val="none" w:sz="0" w:space="0" w:color="auto"/>
          </w:divBdr>
        </w:div>
        <w:div w:id="1076784140">
          <w:marLeft w:val="0"/>
          <w:marRight w:val="0"/>
          <w:marTop w:val="0"/>
          <w:marBottom w:val="0"/>
          <w:divBdr>
            <w:top w:val="none" w:sz="0" w:space="0" w:color="auto"/>
            <w:left w:val="none" w:sz="0" w:space="0" w:color="auto"/>
            <w:bottom w:val="none" w:sz="0" w:space="0" w:color="auto"/>
            <w:right w:val="none" w:sz="0" w:space="0" w:color="auto"/>
          </w:divBdr>
        </w:div>
        <w:div w:id="1081947610">
          <w:marLeft w:val="0"/>
          <w:marRight w:val="0"/>
          <w:marTop w:val="0"/>
          <w:marBottom w:val="0"/>
          <w:divBdr>
            <w:top w:val="none" w:sz="0" w:space="0" w:color="auto"/>
            <w:left w:val="none" w:sz="0" w:space="0" w:color="auto"/>
            <w:bottom w:val="none" w:sz="0" w:space="0" w:color="auto"/>
            <w:right w:val="none" w:sz="0" w:space="0" w:color="auto"/>
          </w:divBdr>
        </w:div>
        <w:div w:id="1089696834">
          <w:marLeft w:val="0"/>
          <w:marRight w:val="0"/>
          <w:marTop w:val="0"/>
          <w:marBottom w:val="0"/>
          <w:divBdr>
            <w:top w:val="none" w:sz="0" w:space="0" w:color="auto"/>
            <w:left w:val="none" w:sz="0" w:space="0" w:color="auto"/>
            <w:bottom w:val="none" w:sz="0" w:space="0" w:color="auto"/>
            <w:right w:val="none" w:sz="0" w:space="0" w:color="auto"/>
          </w:divBdr>
        </w:div>
        <w:div w:id="1090590111">
          <w:marLeft w:val="-75"/>
          <w:marRight w:val="0"/>
          <w:marTop w:val="30"/>
          <w:marBottom w:val="30"/>
          <w:divBdr>
            <w:top w:val="none" w:sz="0" w:space="0" w:color="auto"/>
            <w:left w:val="none" w:sz="0" w:space="0" w:color="auto"/>
            <w:bottom w:val="none" w:sz="0" w:space="0" w:color="auto"/>
            <w:right w:val="none" w:sz="0" w:space="0" w:color="auto"/>
          </w:divBdr>
          <w:divsChild>
            <w:div w:id="1317764057">
              <w:marLeft w:val="0"/>
              <w:marRight w:val="0"/>
              <w:marTop w:val="0"/>
              <w:marBottom w:val="0"/>
              <w:divBdr>
                <w:top w:val="none" w:sz="0" w:space="0" w:color="auto"/>
                <w:left w:val="none" w:sz="0" w:space="0" w:color="auto"/>
                <w:bottom w:val="none" w:sz="0" w:space="0" w:color="auto"/>
                <w:right w:val="none" w:sz="0" w:space="0" w:color="auto"/>
              </w:divBdr>
              <w:divsChild>
                <w:div w:id="250745555">
                  <w:marLeft w:val="0"/>
                  <w:marRight w:val="0"/>
                  <w:marTop w:val="0"/>
                  <w:marBottom w:val="0"/>
                  <w:divBdr>
                    <w:top w:val="none" w:sz="0" w:space="0" w:color="auto"/>
                    <w:left w:val="none" w:sz="0" w:space="0" w:color="auto"/>
                    <w:bottom w:val="none" w:sz="0" w:space="0" w:color="auto"/>
                    <w:right w:val="none" w:sz="0" w:space="0" w:color="auto"/>
                  </w:divBdr>
                </w:div>
                <w:div w:id="258683313">
                  <w:marLeft w:val="0"/>
                  <w:marRight w:val="0"/>
                  <w:marTop w:val="0"/>
                  <w:marBottom w:val="0"/>
                  <w:divBdr>
                    <w:top w:val="none" w:sz="0" w:space="0" w:color="auto"/>
                    <w:left w:val="none" w:sz="0" w:space="0" w:color="auto"/>
                    <w:bottom w:val="none" w:sz="0" w:space="0" w:color="auto"/>
                    <w:right w:val="none" w:sz="0" w:space="0" w:color="auto"/>
                  </w:divBdr>
                </w:div>
                <w:div w:id="922909875">
                  <w:marLeft w:val="0"/>
                  <w:marRight w:val="0"/>
                  <w:marTop w:val="0"/>
                  <w:marBottom w:val="0"/>
                  <w:divBdr>
                    <w:top w:val="none" w:sz="0" w:space="0" w:color="auto"/>
                    <w:left w:val="none" w:sz="0" w:space="0" w:color="auto"/>
                    <w:bottom w:val="none" w:sz="0" w:space="0" w:color="auto"/>
                    <w:right w:val="none" w:sz="0" w:space="0" w:color="auto"/>
                  </w:divBdr>
                </w:div>
                <w:div w:id="1639650565">
                  <w:marLeft w:val="0"/>
                  <w:marRight w:val="0"/>
                  <w:marTop w:val="0"/>
                  <w:marBottom w:val="0"/>
                  <w:divBdr>
                    <w:top w:val="none" w:sz="0" w:space="0" w:color="auto"/>
                    <w:left w:val="none" w:sz="0" w:space="0" w:color="auto"/>
                    <w:bottom w:val="none" w:sz="0" w:space="0" w:color="auto"/>
                    <w:right w:val="none" w:sz="0" w:space="0" w:color="auto"/>
                  </w:divBdr>
                </w:div>
                <w:div w:id="1671130969">
                  <w:marLeft w:val="0"/>
                  <w:marRight w:val="0"/>
                  <w:marTop w:val="0"/>
                  <w:marBottom w:val="0"/>
                  <w:divBdr>
                    <w:top w:val="none" w:sz="0" w:space="0" w:color="auto"/>
                    <w:left w:val="none" w:sz="0" w:space="0" w:color="auto"/>
                    <w:bottom w:val="none" w:sz="0" w:space="0" w:color="auto"/>
                    <w:right w:val="none" w:sz="0" w:space="0" w:color="auto"/>
                  </w:divBdr>
                </w:div>
                <w:div w:id="2047635196">
                  <w:marLeft w:val="0"/>
                  <w:marRight w:val="0"/>
                  <w:marTop w:val="0"/>
                  <w:marBottom w:val="0"/>
                  <w:divBdr>
                    <w:top w:val="none" w:sz="0" w:space="0" w:color="auto"/>
                    <w:left w:val="none" w:sz="0" w:space="0" w:color="auto"/>
                    <w:bottom w:val="none" w:sz="0" w:space="0" w:color="auto"/>
                    <w:right w:val="none" w:sz="0" w:space="0" w:color="auto"/>
                  </w:divBdr>
                </w:div>
              </w:divsChild>
            </w:div>
            <w:div w:id="1476678001">
              <w:marLeft w:val="0"/>
              <w:marRight w:val="0"/>
              <w:marTop w:val="0"/>
              <w:marBottom w:val="0"/>
              <w:divBdr>
                <w:top w:val="none" w:sz="0" w:space="0" w:color="auto"/>
                <w:left w:val="none" w:sz="0" w:space="0" w:color="auto"/>
                <w:bottom w:val="none" w:sz="0" w:space="0" w:color="auto"/>
                <w:right w:val="none" w:sz="0" w:space="0" w:color="auto"/>
              </w:divBdr>
              <w:divsChild>
                <w:div w:id="31418195">
                  <w:marLeft w:val="0"/>
                  <w:marRight w:val="0"/>
                  <w:marTop w:val="0"/>
                  <w:marBottom w:val="0"/>
                  <w:divBdr>
                    <w:top w:val="none" w:sz="0" w:space="0" w:color="auto"/>
                    <w:left w:val="none" w:sz="0" w:space="0" w:color="auto"/>
                    <w:bottom w:val="none" w:sz="0" w:space="0" w:color="auto"/>
                    <w:right w:val="none" w:sz="0" w:space="0" w:color="auto"/>
                  </w:divBdr>
                </w:div>
                <w:div w:id="657029531">
                  <w:marLeft w:val="0"/>
                  <w:marRight w:val="0"/>
                  <w:marTop w:val="0"/>
                  <w:marBottom w:val="0"/>
                  <w:divBdr>
                    <w:top w:val="none" w:sz="0" w:space="0" w:color="auto"/>
                    <w:left w:val="none" w:sz="0" w:space="0" w:color="auto"/>
                    <w:bottom w:val="none" w:sz="0" w:space="0" w:color="auto"/>
                    <w:right w:val="none" w:sz="0" w:space="0" w:color="auto"/>
                  </w:divBdr>
                </w:div>
                <w:div w:id="1032655052">
                  <w:marLeft w:val="0"/>
                  <w:marRight w:val="0"/>
                  <w:marTop w:val="0"/>
                  <w:marBottom w:val="0"/>
                  <w:divBdr>
                    <w:top w:val="none" w:sz="0" w:space="0" w:color="auto"/>
                    <w:left w:val="none" w:sz="0" w:space="0" w:color="auto"/>
                    <w:bottom w:val="none" w:sz="0" w:space="0" w:color="auto"/>
                    <w:right w:val="none" w:sz="0" w:space="0" w:color="auto"/>
                  </w:divBdr>
                </w:div>
                <w:div w:id="1723139604">
                  <w:marLeft w:val="0"/>
                  <w:marRight w:val="0"/>
                  <w:marTop w:val="0"/>
                  <w:marBottom w:val="0"/>
                  <w:divBdr>
                    <w:top w:val="none" w:sz="0" w:space="0" w:color="auto"/>
                    <w:left w:val="none" w:sz="0" w:space="0" w:color="auto"/>
                    <w:bottom w:val="none" w:sz="0" w:space="0" w:color="auto"/>
                    <w:right w:val="none" w:sz="0" w:space="0" w:color="auto"/>
                  </w:divBdr>
                </w:div>
                <w:div w:id="1879121222">
                  <w:marLeft w:val="0"/>
                  <w:marRight w:val="0"/>
                  <w:marTop w:val="0"/>
                  <w:marBottom w:val="0"/>
                  <w:divBdr>
                    <w:top w:val="none" w:sz="0" w:space="0" w:color="auto"/>
                    <w:left w:val="none" w:sz="0" w:space="0" w:color="auto"/>
                    <w:bottom w:val="none" w:sz="0" w:space="0" w:color="auto"/>
                    <w:right w:val="none" w:sz="0" w:space="0" w:color="auto"/>
                  </w:divBdr>
                </w:div>
                <w:div w:id="2141222559">
                  <w:marLeft w:val="0"/>
                  <w:marRight w:val="0"/>
                  <w:marTop w:val="0"/>
                  <w:marBottom w:val="0"/>
                  <w:divBdr>
                    <w:top w:val="none" w:sz="0" w:space="0" w:color="auto"/>
                    <w:left w:val="none" w:sz="0" w:space="0" w:color="auto"/>
                    <w:bottom w:val="none" w:sz="0" w:space="0" w:color="auto"/>
                    <w:right w:val="none" w:sz="0" w:space="0" w:color="auto"/>
                  </w:divBdr>
                </w:div>
              </w:divsChild>
            </w:div>
            <w:div w:id="1882399588">
              <w:marLeft w:val="0"/>
              <w:marRight w:val="0"/>
              <w:marTop w:val="0"/>
              <w:marBottom w:val="0"/>
              <w:divBdr>
                <w:top w:val="none" w:sz="0" w:space="0" w:color="auto"/>
                <w:left w:val="none" w:sz="0" w:space="0" w:color="auto"/>
                <w:bottom w:val="none" w:sz="0" w:space="0" w:color="auto"/>
                <w:right w:val="none" w:sz="0" w:space="0" w:color="auto"/>
              </w:divBdr>
              <w:divsChild>
                <w:div w:id="74936428">
                  <w:marLeft w:val="0"/>
                  <w:marRight w:val="0"/>
                  <w:marTop w:val="0"/>
                  <w:marBottom w:val="0"/>
                  <w:divBdr>
                    <w:top w:val="none" w:sz="0" w:space="0" w:color="auto"/>
                    <w:left w:val="none" w:sz="0" w:space="0" w:color="auto"/>
                    <w:bottom w:val="none" w:sz="0" w:space="0" w:color="auto"/>
                    <w:right w:val="none" w:sz="0" w:space="0" w:color="auto"/>
                  </w:divBdr>
                </w:div>
                <w:div w:id="184369740">
                  <w:marLeft w:val="0"/>
                  <w:marRight w:val="0"/>
                  <w:marTop w:val="0"/>
                  <w:marBottom w:val="0"/>
                  <w:divBdr>
                    <w:top w:val="none" w:sz="0" w:space="0" w:color="auto"/>
                    <w:left w:val="none" w:sz="0" w:space="0" w:color="auto"/>
                    <w:bottom w:val="none" w:sz="0" w:space="0" w:color="auto"/>
                    <w:right w:val="none" w:sz="0" w:space="0" w:color="auto"/>
                  </w:divBdr>
                </w:div>
                <w:div w:id="215437591">
                  <w:marLeft w:val="0"/>
                  <w:marRight w:val="0"/>
                  <w:marTop w:val="0"/>
                  <w:marBottom w:val="0"/>
                  <w:divBdr>
                    <w:top w:val="none" w:sz="0" w:space="0" w:color="auto"/>
                    <w:left w:val="none" w:sz="0" w:space="0" w:color="auto"/>
                    <w:bottom w:val="none" w:sz="0" w:space="0" w:color="auto"/>
                    <w:right w:val="none" w:sz="0" w:space="0" w:color="auto"/>
                  </w:divBdr>
                </w:div>
                <w:div w:id="16332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6634">
          <w:marLeft w:val="0"/>
          <w:marRight w:val="0"/>
          <w:marTop w:val="0"/>
          <w:marBottom w:val="0"/>
          <w:divBdr>
            <w:top w:val="none" w:sz="0" w:space="0" w:color="auto"/>
            <w:left w:val="none" w:sz="0" w:space="0" w:color="auto"/>
            <w:bottom w:val="none" w:sz="0" w:space="0" w:color="auto"/>
            <w:right w:val="none" w:sz="0" w:space="0" w:color="auto"/>
          </w:divBdr>
        </w:div>
        <w:div w:id="1124348679">
          <w:marLeft w:val="0"/>
          <w:marRight w:val="0"/>
          <w:marTop w:val="0"/>
          <w:marBottom w:val="0"/>
          <w:divBdr>
            <w:top w:val="none" w:sz="0" w:space="0" w:color="auto"/>
            <w:left w:val="none" w:sz="0" w:space="0" w:color="auto"/>
            <w:bottom w:val="none" w:sz="0" w:space="0" w:color="auto"/>
            <w:right w:val="none" w:sz="0" w:space="0" w:color="auto"/>
          </w:divBdr>
        </w:div>
        <w:div w:id="1127817081">
          <w:marLeft w:val="0"/>
          <w:marRight w:val="0"/>
          <w:marTop w:val="0"/>
          <w:marBottom w:val="0"/>
          <w:divBdr>
            <w:top w:val="none" w:sz="0" w:space="0" w:color="auto"/>
            <w:left w:val="none" w:sz="0" w:space="0" w:color="auto"/>
            <w:bottom w:val="none" w:sz="0" w:space="0" w:color="auto"/>
            <w:right w:val="none" w:sz="0" w:space="0" w:color="auto"/>
          </w:divBdr>
        </w:div>
        <w:div w:id="1148475615">
          <w:marLeft w:val="0"/>
          <w:marRight w:val="0"/>
          <w:marTop w:val="0"/>
          <w:marBottom w:val="0"/>
          <w:divBdr>
            <w:top w:val="none" w:sz="0" w:space="0" w:color="auto"/>
            <w:left w:val="none" w:sz="0" w:space="0" w:color="auto"/>
            <w:bottom w:val="none" w:sz="0" w:space="0" w:color="auto"/>
            <w:right w:val="none" w:sz="0" w:space="0" w:color="auto"/>
          </w:divBdr>
        </w:div>
        <w:div w:id="1163007589">
          <w:marLeft w:val="0"/>
          <w:marRight w:val="0"/>
          <w:marTop w:val="0"/>
          <w:marBottom w:val="0"/>
          <w:divBdr>
            <w:top w:val="none" w:sz="0" w:space="0" w:color="auto"/>
            <w:left w:val="none" w:sz="0" w:space="0" w:color="auto"/>
            <w:bottom w:val="none" w:sz="0" w:space="0" w:color="auto"/>
            <w:right w:val="none" w:sz="0" w:space="0" w:color="auto"/>
          </w:divBdr>
        </w:div>
        <w:div w:id="1176305823">
          <w:marLeft w:val="0"/>
          <w:marRight w:val="0"/>
          <w:marTop w:val="0"/>
          <w:marBottom w:val="0"/>
          <w:divBdr>
            <w:top w:val="none" w:sz="0" w:space="0" w:color="auto"/>
            <w:left w:val="none" w:sz="0" w:space="0" w:color="auto"/>
            <w:bottom w:val="none" w:sz="0" w:space="0" w:color="auto"/>
            <w:right w:val="none" w:sz="0" w:space="0" w:color="auto"/>
          </w:divBdr>
        </w:div>
        <w:div w:id="1182280016">
          <w:marLeft w:val="0"/>
          <w:marRight w:val="0"/>
          <w:marTop w:val="0"/>
          <w:marBottom w:val="0"/>
          <w:divBdr>
            <w:top w:val="none" w:sz="0" w:space="0" w:color="auto"/>
            <w:left w:val="none" w:sz="0" w:space="0" w:color="auto"/>
            <w:bottom w:val="none" w:sz="0" w:space="0" w:color="auto"/>
            <w:right w:val="none" w:sz="0" w:space="0" w:color="auto"/>
          </w:divBdr>
        </w:div>
        <w:div w:id="1196694478">
          <w:marLeft w:val="0"/>
          <w:marRight w:val="0"/>
          <w:marTop w:val="0"/>
          <w:marBottom w:val="0"/>
          <w:divBdr>
            <w:top w:val="none" w:sz="0" w:space="0" w:color="auto"/>
            <w:left w:val="none" w:sz="0" w:space="0" w:color="auto"/>
            <w:bottom w:val="none" w:sz="0" w:space="0" w:color="auto"/>
            <w:right w:val="none" w:sz="0" w:space="0" w:color="auto"/>
          </w:divBdr>
        </w:div>
        <w:div w:id="1196696552">
          <w:marLeft w:val="0"/>
          <w:marRight w:val="0"/>
          <w:marTop w:val="0"/>
          <w:marBottom w:val="0"/>
          <w:divBdr>
            <w:top w:val="none" w:sz="0" w:space="0" w:color="auto"/>
            <w:left w:val="none" w:sz="0" w:space="0" w:color="auto"/>
            <w:bottom w:val="none" w:sz="0" w:space="0" w:color="auto"/>
            <w:right w:val="none" w:sz="0" w:space="0" w:color="auto"/>
          </w:divBdr>
        </w:div>
        <w:div w:id="1198346656">
          <w:marLeft w:val="0"/>
          <w:marRight w:val="0"/>
          <w:marTop w:val="0"/>
          <w:marBottom w:val="0"/>
          <w:divBdr>
            <w:top w:val="none" w:sz="0" w:space="0" w:color="auto"/>
            <w:left w:val="none" w:sz="0" w:space="0" w:color="auto"/>
            <w:bottom w:val="none" w:sz="0" w:space="0" w:color="auto"/>
            <w:right w:val="none" w:sz="0" w:space="0" w:color="auto"/>
          </w:divBdr>
        </w:div>
        <w:div w:id="1202404347">
          <w:marLeft w:val="0"/>
          <w:marRight w:val="0"/>
          <w:marTop w:val="0"/>
          <w:marBottom w:val="0"/>
          <w:divBdr>
            <w:top w:val="none" w:sz="0" w:space="0" w:color="auto"/>
            <w:left w:val="none" w:sz="0" w:space="0" w:color="auto"/>
            <w:bottom w:val="none" w:sz="0" w:space="0" w:color="auto"/>
            <w:right w:val="none" w:sz="0" w:space="0" w:color="auto"/>
          </w:divBdr>
        </w:div>
        <w:div w:id="1204248287">
          <w:marLeft w:val="0"/>
          <w:marRight w:val="0"/>
          <w:marTop w:val="0"/>
          <w:marBottom w:val="0"/>
          <w:divBdr>
            <w:top w:val="none" w:sz="0" w:space="0" w:color="auto"/>
            <w:left w:val="none" w:sz="0" w:space="0" w:color="auto"/>
            <w:bottom w:val="none" w:sz="0" w:space="0" w:color="auto"/>
            <w:right w:val="none" w:sz="0" w:space="0" w:color="auto"/>
          </w:divBdr>
        </w:div>
        <w:div w:id="1211767567">
          <w:marLeft w:val="0"/>
          <w:marRight w:val="0"/>
          <w:marTop w:val="0"/>
          <w:marBottom w:val="0"/>
          <w:divBdr>
            <w:top w:val="none" w:sz="0" w:space="0" w:color="auto"/>
            <w:left w:val="none" w:sz="0" w:space="0" w:color="auto"/>
            <w:bottom w:val="none" w:sz="0" w:space="0" w:color="auto"/>
            <w:right w:val="none" w:sz="0" w:space="0" w:color="auto"/>
          </w:divBdr>
        </w:div>
        <w:div w:id="1221863891">
          <w:marLeft w:val="0"/>
          <w:marRight w:val="0"/>
          <w:marTop w:val="0"/>
          <w:marBottom w:val="0"/>
          <w:divBdr>
            <w:top w:val="none" w:sz="0" w:space="0" w:color="auto"/>
            <w:left w:val="none" w:sz="0" w:space="0" w:color="auto"/>
            <w:bottom w:val="none" w:sz="0" w:space="0" w:color="auto"/>
            <w:right w:val="none" w:sz="0" w:space="0" w:color="auto"/>
          </w:divBdr>
        </w:div>
        <w:div w:id="1225725524">
          <w:marLeft w:val="0"/>
          <w:marRight w:val="0"/>
          <w:marTop w:val="0"/>
          <w:marBottom w:val="0"/>
          <w:divBdr>
            <w:top w:val="none" w:sz="0" w:space="0" w:color="auto"/>
            <w:left w:val="none" w:sz="0" w:space="0" w:color="auto"/>
            <w:bottom w:val="none" w:sz="0" w:space="0" w:color="auto"/>
            <w:right w:val="none" w:sz="0" w:space="0" w:color="auto"/>
          </w:divBdr>
        </w:div>
        <w:div w:id="1237594537">
          <w:marLeft w:val="0"/>
          <w:marRight w:val="0"/>
          <w:marTop w:val="0"/>
          <w:marBottom w:val="0"/>
          <w:divBdr>
            <w:top w:val="none" w:sz="0" w:space="0" w:color="auto"/>
            <w:left w:val="none" w:sz="0" w:space="0" w:color="auto"/>
            <w:bottom w:val="none" w:sz="0" w:space="0" w:color="auto"/>
            <w:right w:val="none" w:sz="0" w:space="0" w:color="auto"/>
          </w:divBdr>
        </w:div>
        <w:div w:id="1251692762">
          <w:marLeft w:val="0"/>
          <w:marRight w:val="0"/>
          <w:marTop w:val="0"/>
          <w:marBottom w:val="0"/>
          <w:divBdr>
            <w:top w:val="none" w:sz="0" w:space="0" w:color="auto"/>
            <w:left w:val="none" w:sz="0" w:space="0" w:color="auto"/>
            <w:bottom w:val="none" w:sz="0" w:space="0" w:color="auto"/>
            <w:right w:val="none" w:sz="0" w:space="0" w:color="auto"/>
          </w:divBdr>
        </w:div>
        <w:div w:id="1257906205">
          <w:marLeft w:val="0"/>
          <w:marRight w:val="0"/>
          <w:marTop w:val="0"/>
          <w:marBottom w:val="0"/>
          <w:divBdr>
            <w:top w:val="none" w:sz="0" w:space="0" w:color="auto"/>
            <w:left w:val="none" w:sz="0" w:space="0" w:color="auto"/>
            <w:bottom w:val="none" w:sz="0" w:space="0" w:color="auto"/>
            <w:right w:val="none" w:sz="0" w:space="0" w:color="auto"/>
          </w:divBdr>
        </w:div>
        <w:div w:id="1264337878">
          <w:marLeft w:val="0"/>
          <w:marRight w:val="0"/>
          <w:marTop w:val="0"/>
          <w:marBottom w:val="0"/>
          <w:divBdr>
            <w:top w:val="none" w:sz="0" w:space="0" w:color="auto"/>
            <w:left w:val="none" w:sz="0" w:space="0" w:color="auto"/>
            <w:bottom w:val="none" w:sz="0" w:space="0" w:color="auto"/>
            <w:right w:val="none" w:sz="0" w:space="0" w:color="auto"/>
          </w:divBdr>
        </w:div>
        <w:div w:id="1273703555">
          <w:marLeft w:val="0"/>
          <w:marRight w:val="0"/>
          <w:marTop w:val="0"/>
          <w:marBottom w:val="0"/>
          <w:divBdr>
            <w:top w:val="none" w:sz="0" w:space="0" w:color="auto"/>
            <w:left w:val="none" w:sz="0" w:space="0" w:color="auto"/>
            <w:bottom w:val="none" w:sz="0" w:space="0" w:color="auto"/>
            <w:right w:val="none" w:sz="0" w:space="0" w:color="auto"/>
          </w:divBdr>
        </w:div>
        <w:div w:id="1281763223">
          <w:marLeft w:val="0"/>
          <w:marRight w:val="0"/>
          <w:marTop w:val="0"/>
          <w:marBottom w:val="0"/>
          <w:divBdr>
            <w:top w:val="none" w:sz="0" w:space="0" w:color="auto"/>
            <w:left w:val="none" w:sz="0" w:space="0" w:color="auto"/>
            <w:bottom w:val="none" w:sz="0" w:space="0" w:color="auto"/>
            <w:right w:val="none" w:sz="0" w:space="0" w:color="auto"/>
          </w:divBdr>
        </w:div>
        <w:div w:id="1289971930">
          <w:marLeft w:val="0"/>
          <w:marRight w:val="0"/>
          <w:marTop w:val="0"/>
          <w:marBottom w:val="0"/>
          <w:divBdr>
            <w:top w:val="none" w:sz="0" w:space="0" w:color="auto"/>
            <w:left w:val="none" w:sz="0" w:space="0" w:color="auto"/>
            <w:bottom w:val="none" w:sz="0" w:space="0" w:color="auto"/>
            <w:right w:val="none" w:sz="0" w:space="0" w:color="auto"/>
          </w:divBdr>
        </w:div>
        <w:div w:id="1293750443">
          <w:marLeft w:val="0"/>
          <w:marRight w:val="0"/>
          <w:marTop w:val="0"/>
          <w:marBottom w:val="0"/>
          <w:divBdr>
            <w:top w:val="none" w:sz="0" w:space="0" w:color="auto"/>
            <w:left w:val="none" w:sz="0" w:space="0" w:color="auto"/>
            <w:bottom w:val="none" w:sz="0" w:space="0" w:color="auto"/>
            <w:right w:val="none" w:sz="0" w:space="0" w:color="auto"/>
          </w:divBdr>
        </w:div>
        <w:div w:id="1294143281">
          <w:marLeft w:val="0"/>
          <w:marRight w:val="0"/>
          <w:marTop w:val="0"/>
          <w:marBottom w:val="0"/>
          <w:divBdr>
            <w:top w:val="none" w:sz="0" w:space="0" w:color="auto"/>
            <w:left w:val="none" w:sz="0" w:space="0" w:color="auto"/>
            <w:bottom w:val="none" w:sz="0" w:space="0" w:color="auto"/>
            <w:right w:val="none" w:sz="0" w:space="0" w:color="auto"/>
          </w:divBdr>
        </w:div>
        <w:div w:id="1317034512">
          <w:marLeft w:val="0"/>
          <w:marRight w:val="0"/>
          <w:marTop w:val="0"/>
          <w:marBottom w:val="0"/>
          <w:divBdr>
            <w:top w:val="none" w:sz="0" w:space="0" w:color="auto"/>
            <w:left w:val="none" w:sz="0" w:space="0" w:color="auto"/>
            <w:bottom w:val="none" w:sz="0" w:space="0" w:color="auto"/>
            <w:right w:val="none" w:sz="0" w:space="0" w:color="auto"/>
          </w:divBdr>
        </w:div>
        <w:div w:id="1327633450">
          <w:marLeft w:val="0"/>
          <w:marRight w:val="0"/>
          <w:marTop w:val="0"/>
          <w:marBottom w:val="0"/>
          <w:divBdr>
            <w:top w:val="none" w:sz="0" w:space="0" w:color="auto"/>
            <w:left w:val="none" w:sz="0" w:space="0" w:color="auto"/>
            <w:bottom w:val="none" w:sz="0" w:space="0" w:color="auto"/>
            <w:right w:val="none" w:sz="0" w:space="0" w:color="auto"/>
          </w:divBdr>
        </w:div>
        <w:div w:id="1332951032">
          <w:marLeft w:val="0"/>
          <w:marRight w:val="0"/>
          <w:marTop w:val="0"/>
          <w:marBottom w:val="0"/>
          <w:divBdr>
            <w:top w:val="none" w:sz="0" w:space="0" w:color="auto"/>
            <w:left w:val="none" w:sz="0" w:space="0" w:color="auto"/>
            <w:bottom w:val="none" w:sz="0" w:space="0" w:color="auto"/>
            <w:right w:val="none" w:sz="0" w:space="0" w:color="auto"/>
          </w:divBdr>
        </w:div>
        <w:div w:id="1334458808">
          <w:marLeft w:val="0"/>
          <w:marRight w:val="0"/>
          <w:marTop w:val="0"/>
          <w:marBottom w:val="0"/>
          <w:divBdr>
            <w:top w:val="none" w:sz="0" w:space="0" w:color="auto"/>
            <w:left w:val="none" w:sz="0" w:space="0" w:color="auto"/>
            <w:bottom w:val="none" w:sz="0" w:space="0" w:color="auto"/>
            <w:right w:val="none" w:sz="0" w:space="0" w:color="auto"/>
          </w:divBdr>
        </w:div>
        <w:div w:id="1348940777">
          <w:marLeft w:val="0"/>
          <w:marRight w:val="0"/>
          <w:marTop w:val="0"/>
          <w:marBottom w:val="0"/>
          <w:divBdr>
            <w:top w:val="none" w:sz="0" w:space="0" w:color="auto"/>
            <w:left w:val="none" w:sz="0" w:space="0" w:color="auto"/>
            <w:bottom w:val="none" w:sz="0" w:space="0" w:color="auto"/>
            <w:right w:val="none" w:sz="0" w:space="0" w:color="auto"/>
          </w:divBdr>
        </w:div>
        <w:div w:id="1361273200">
          <w:marLeft w:val="0"/>
          <w:marRight w:val="0"/>
          <w:marTop w:val="0"/>
          <w:marBottom w:val="0"/>
          <w:divBdr>
            <w:top w:val="none" w:sz="0" w:space="0" w:color="auto"/>
            <w:left w:val="none" w:sz="0" w:space="0" w:color="auto"/>
            <w:bottom w:val="none" w:sz="0" w:space="0" w:color="auto"/>
            <w:right w:val="none" w:sz="0" w:space="0" w:color="auto"/>
          </w:divBdr>
        </w:div>
        <w:div w:id="1370757902">
          <w:marLeft w:val="0"/>
          <w:marRight w:val="0"/>
          <w:marTop w:val="0"/>
          <w:marBottom w:val="0"/>
          <w:divBdr>
            <w:top w:val="none" w:sz="0" w:space="0" w:color="auto"/>
            <w:left w:val="none" w:sz="0" w:space="0" w:color="auto"/>
            <w:bottom w:val="none" w:sz="0" w:space="0" w:color="auto"/>
            <w:right w:val="none" w:sz="0" w:space="0" w:color="auto"/>
          </w:divBdr>
        </w:div>
        <w:div w:id="1374499523">
          <w:marLeft w:val="0"/>
          <w:marRight w:val="0"/>
          <w:marTop w:val="0"/>
          <w:marBottom w:val="0"/>
          <w:divBdr>
            <w:top w:val="none" w:sz="0" w:space="0" w:color="auto"/>
            <w:left w:val="none" w:sz="0" w:space="0" w:color="auto"/>
            <w:bottom w:val="none" w:sz="0" w:space="0" w:color="auto"/>
            <w:right w:val="none" w:sz="0" w:space="0" w:color="auto"/>
          </w:divBdr>
        </w:div>
        <w:div w:id="1376659245">
          <w:marLeft w:val="0"/>
          <w:marRight w:val="0"/>
          <w:marTop w:val="0"/>
          <w:marBottom w:val="0"/>
          <w:divBdr>
            <w:top w:val="none" w:sz="0" w:space="0" w:color="auto"/>
            <w:left w:val="none" w:sz="0" w:space="0" w:color="auto"/>
            <w:bottom w:val="none" w:sz="0" w:space="0" w:color="auto"/>
            <w:right w:val="none" w:sz="0" w:space="0" w:color="auto"/>
          </w:divBdr>
        </w:div>
        <w:div w:id="1418013004">
          <w:marLeft w:val="0"/>
          <w:marRight w:val="0"/>
          <w:marTop w:val="0"/>
          <w:marBottom w:val="0"/>
          <w:divBdr>
            <w:top w:val="none" w:sz="0" w:space="0" w:color="auto"/>
            <w:left w:val="none" w:sz="0" w:space="0" w:color="auto"/>
            <w:bottom w:val="none" w:sz="0" w:space="0" w:color="auto"/>
            <w:right w:val="none" w:sz="0" w:space="0" w:color="auto"/>
          </w:divBdr>
        </w:div>
        <w:div w:id="1426610199">
          <w:marLeft w:val="0"/>
          <w:marRight w:val="0"/>
          <w:marTop w:val="0"/>
          <w:marBottom w:val="0"/>
          <w:divBdr>
            <w:top w:val="none" w:sz="0" w:space="0" w:color="auto"/>
            <w:left w:val="none" w:sz="0" w:space="0" w:color="auto"/>
            <w:bottom w:val="none" w:sz="0" w:space="0" w:color="auto"/>
            <w:right w:val="none" w:sz="0" w:space="0" w:color="auto"/>
          </w:divBdr>
        </w:div>
        <w:div w:id="1439370664">
          <w:marLeft w:val="0"/>
          <w:marRight w:val="0"/>
          <w:marTop w:val="0"/>
          <w:marBottom w:val="0"/>
          <w:divBdr>
            <w:top w:val="none" w:sz="0" w:space="0" w:color="auto"/>
            <w:left w:val="none" w:sz="0" w:space="0" w:color="auto"/>
            <w:bottom w:val="none" w:sz="0" w:space="0" w:color="auto"/>
            <w:right w:val="none" w:sz="0" w:space="0" w:color="auto"/>
          </w:divBdr>
        </w:div>
        <w:div w:id="1447652782">
          <w:marLeft w:val="0"/>
          <w:marRight w:val="0"/>
          <w:marTop w:val="0"/>
          <w:marBottom w:val="0"/>
          <w:divBdr>
            <w:top w:val="none" w:sz="0" w:space="0" w:color="auto"/>
            <w:left w:val="none" w:sz="0" w:space="0" w:color="auto"/>
            <w:bottom w:val="none" w:sz="0" w:space="0" w:color="auto"/>
            <w:right w:val="none" w:sz="0" w:space="0" w:color="auto"/>
          </w:divBdr>
        </w:div>
        <w:div w:id="1460567937">
          <w:marLeft w:val="0"/>
          <w:marRight w:val="0"/>
          <w:marTop w:val="0"/>
          <w:marBottom w:val="0"/>
          <w:divBdr>
            <w:top w:val="none" w:sz="0" w:space="0" w:color="auto"/>
            <w:left w:val="none" w:sz="0" w:space="0" w:color="auto"/>
            <w:bottom w:val="none" w:sz="0" w:space="0" w:color="auto"/>
            <w:right w:val="none" w:sz="0" w:space="0" w:color="auto"/>
          </w:divBdr>
        </w:div>
        <w:div w:id="1469325690">
          <w:marLeft w:val="0"/>
          <w:marRight w:val="0"/>
          <w:marTop w:val="0"/>
          <w:marBottom w:val="0"/>
          <w:divBdr>
            <w:top w:val="none" w:sz="0" w:space="0" w:color="auto"/>
            <w:left w:val="none" w:sz="0" w:space="0" w:color="auto"/>
            <w:bottom w:val="none" w:sz="0" w:space="0" w:color="auto"/>
            <w:right w:val="none" w:sz="0" w:space="0" w:color="auto"/>
          </w:divBdr>
        </w:div>
        <w:div w:id="1472867218">
          <w:marLeft w:val="0"/>
          <w:marRight w:val="0"/>
          <w:marTop w:val="0"/>
          <w:marBottom w:val="0"/>
          <w:divBdr>
            <w:top w:val="none" w:sz="0" w:space="0" w:color="auto"/>
            <w:left w:val="none" w:sz="0" w:space="0" w:color="auto"/>
            <w:bottom w:val="none" w:sz="0" w:space="0" w:color="auto"/>
            <w:right w:val="none" w:sz="0" w:space="0" w:color="auto"/>
          </w:divBdr>
        </w:div>
        <w:div w:id="1485580426">
          <w:marLeft w:val="0"/>
          <w:marRight w:val="0"/>
          <w:marTop w:val="0"/>
          <w:marBottom w:val="0"/>
          <w:divBdr>
            <w:top w:val="none" w:sz="0" w:space="0" w:color="auto"/>
            <w:left w:val="none" w:sz="0" w:space="0" w:color="auto"/>
            <w:bottom w:val="none" w:sz="0" w:space="0" w:color="auto"/>
            <w:right w:val="none" w:sz="0" w:space="0" w:color="auto"/>
          </w:divBdr>
        </w:div>
        <w:div w:id="1485972349">
          <w:marLeft w:val="0"/>
          <w:marRight w:val="0"/>
          <w:marTop w:val="0"/>
          <w:marBottom w:val="0"/>
          <w:divBdr>
            <w:top w:val="none" w:sz="0" w:space="0" w:color="auto"/>
            <w:left w:val="none" w:sz="0" w:space="0" w:color="auto"/>
            <w:bottom w:val="none" w:sz="0" w:space="0" w:color="auto"/>
            <w:right w:val="none" w:sz="0" w:space="0" w:color="auto"/>
          </w:divBdr>
        </w:div>
        <w:div w:id="1494175626">
          <w:marLeft w:val="0"/>
          <w:marRight w:val="0"/>
          <w:marTop w:val="0"/>
          <w:marBottom w:val="0"/>
          <w:divBdr>
            <w:top w:val="none" w:sz="0" w:space="0" w:color="auto"/>
            <w:left w:val="none" w:sz="0" w:space="0" w:color="auto"/>
            <w:bottom w:val="none" w:sz="0" w:space="0" w:color="auto"/>
            <w:right w:val="none" w:sz="0" w:space="0" w:color="auto"/>
          </w:divBdr>
        </w:div>
        <w:div w:id="1495223565">
          <w:marLeft w:val="0"/>
          <w:marRight w:val="0"/>
          <w:marTop w:val="0"/>
          <w:marBottom w:val="0"/>
          <w:divBdr>
            <w:top w:val="none" w:sz="0" w:space="0" w:color="auto"/>
            <w:left w:val="none" w:sz="0" w:space="0" w:color="auto"/>
            <w:bottom w:val="none" w:sz="0" w:space="0" w:color="auto"/>
            <w:right w:val="none" w:sz="0" w:space="0" w:color="auto"/>
          </w:divBdr>
        </w:div>
        <w:div w:id="1500003500">
          <w:marLeft w:val="0"/>
          <w:marRight w:val="0"/>
          <w:marTop w:val="0"/>
          <w:marBottom w:val="0"/>
          <w:divBdr>
            <w:top w:val="none" w:sz="0" w:space="0" w:color="auto"/>
            <w:left w:val="none" w:sz="0" w:space="0" w:color="auto"/>
            <w:bottom w:val="none" w:sz="0" w:space="0" w:color="auto"/>
            <w:right w:val="none" w:sz="0" w:space="0" w:color="auto"/>
          </w:divBdr>
        </w:div>
        <w:div w:id="1501774224">
          <w:marLeft w:val="0"/>
          <w:marRight w:val="0"/>
          <w:marTop w:val="0"/>
          <w:marBottom w:val="0"/>
          <w:divBdr>
            <w:top w:val="none" w:sz="0" w:space="0" w:color="auto"/>
            <w:left w:val="none" w:sz="0" w:space="0" w:color="auto"/>
            <w:bottom w:val="none" w:sz="0" w:space="0" w:color="auto"/>
            <w:right w:val="none" w:sz="0" w:space="0" w:color="auto"/>
          </w:divBdr>
        </w:div>
        <w:div w:id="1506894488">
          <w:marLeft w:val="0"/>
          <w:marRight w:val="0"/>
          <w:marTop w:val="0"/>
          <w:marBottom w:val="0"/>
          <w:divBdr>
            <w:top w:val="none" w:sz="0" w:space="0" w:color="auto"/>
            <w:left w:val="none" w:sz="0" w:space="0" w:color="auto"/>
            <w:bottom w:val="none" w:sz="0" w:space="0" w:color="auto"/>
            <w:right w:val="none" w:sz="0" w:space="0" w:color="auto"/>
          </w:divBdr>
        </w:div>
        <w:div w:id="1511682367">
          <w:marLeft w:val="0"/>
          <w:marRight w:val="0"/>
          <w:marTop w:val="0"/>
          <w:marBottom w:val="0"/>
          <w:divBdr>
            <w:top w:val="none" w:sz="0" w:space="0" w:color="auto"/>
            <w:left w:val="none" w:sz="0" w:space="0" w:color="auto"/>
            <w:bottom w:val="none" w:sz="0" w:space="0" w:color="auto"/>
            <w:right w:val="none" w:sz="0" w:space="0" w:color="auto"/>
          </w:divBdr>
        </w:div>
        <w:div w:id="1513716647">
          <w:marLeft w:val="0"/>
          <w:marRight w:val="0"/>
          <w:marTop w:val="0"/>
          <w:marBottom w:val="0"/>
          <w:divBdr>
            <w:top w:val="none" w:sz="0" w:space="0" w:color="auto"/>
            <w:left w:val="none" w:sz="0" w:space="0" w:color="auto"/>
            <w:bottom w:val="none" w:sz="0" w:space="0" w:color="auto"/>
            <w:right w:val="none" w:sz="0" w:space="0" w:color="auto"/>
          </w:divBdr>
        </w:div>
        <w:div w:id="1539320243">
          <w:marLeft w:val="0"/>
          <w:marRight w:val="0"/>
          <w:marTop w:val="0"/>
          <w:marBottom w:val="0"/>
          <w:divBdr>
            <w:top w:val="none" w:sz="0" w:space="0" w:color="auto"/>
            <w:left w:val="none" w:sz="0" w:space="0" w:color="auto"/>
            <w:bottom w:val="none" w:sz="0" w:space="0" w:color="auto"/>
            <w:right w:val="none" w:sz="0" w:space="0" w:color="auto"/>
          </w:divBdr>
        </w:div>
        <w:div w:id="1542667718">
          <w:marLeft w:val="0"/>
          <w:marRight w:val="0"/>
          <w:marTop w:val="0"/>
          <w:marBottom w:val="0"/>
          <w:divBdr>
            <w:top w:val="none" w:sz="0" w:space="0" w:color="auto"/>
            <w:left w:val="none" w:sz="0" w:space="0" w:color="auto"/>
            <w:bottom w:val="none" w:sz="0" w:space="0" w:color="auto"/>
            <w:right w:val="none" w:sz="0" w:space="0" w:color="auto"/>
          </w:divBdr>
        </w:div>
        <w:div w:id="1543518301">
          <w:marLeft w:val="0"/>
          <w:marRight w:val="0"/>
          <w:marTop w:val="0"/>
          <w:marBottom w:val="0"/>
          <w:divBdr>
            <w:top w:val="none" w:sz="0" w:space="0" w:color="auto"/>
            <w:left w:val="none" w:sz="0" w:space="0" w:color="auto"/>
            <w:bottom w:val="none" w:sz="0" w:space="0" w:color="auto"/>
            <w:right w:val="none" w:sz="0" w:space="0" w:color="auto"/>
          </w:divBdr>
        </w:div>
        <w:div w:id="1555190134">
          <w:marLeft w:val="0"/>
          <w:marRight w:val="0"/>
          <w:marTop w:val="0"/>
          <w:marBottom w:val="0"/>
          <w:divBdr>
            <w:top w:val="none" w:sz="0" w:space="0" w:color="auto"/>
            <w:left w:val="none" w:sz="0" w:space="0" w:color="auto"/>
            <w:bottom w:val="none" w:sz="0" w:space="0" w:color="auto"/>
            <w:right w:val="none" w:sz="0" w:space="0" w:color="auto"/>
          </w:divBdr>
        </w:div>
        <w:div w:id="1578514545">
          <w:marLeft w:val="0"/>
          <w:marRight w:val="0"/>
          <w:marTop w:val="0"/>
          <w:marBottom w:val="0"/>
          <w:divBdr>
            <w:top w:val="none" w:sz="0" w:space="0" w:color="auto"/>
            <w:left w:val="none" w:sz="0" w:space="0" w:color="auto"/>
            <w:bottom w:val="none" w:sz="0" w:space="0" w:color="auto"/>
            <w:right w:val="none" w:sz="0" w:space="0" w:color="auto"/>
          </w:divBdr>
        </w:div>
        <w:div w:id="1580093608">
          <w:marLeft w:val="0"/>
          <w:marRight w:val="0"/>
          <w:marTop w:val="0"/>
          <w:marBottom w:val="0"/>
          <w:divBdr>
            <w:top w:val="none" w:sz="0" w:space="0" w:color="auto"/>
            <w:left w:val="none" w:sz="0" w:space="0" w:color="auto"/>
            <w:bottom w:val="none" w:sz="0" w:space="0" w:color="auto"/>
            <w:right w:val="none" w:sz="0" w:space="0" w:color="auto"/>
          </w:divBdr>
        </w:div>
        <w:div w:id="1591236614">
          <w:marLeft w:val="0"/>
          <w:marRight w:val="0"/>
          <w:marTop w:val="0"/>
          <w:marBottom w:val="0"/>
          <w:divBdr>
            <w:top w:val="none" w:sz="0" w:space="0" w:color="auto"/>
            <w:left w:val="none" w:sz="0" w:space="0" w:color="auto"/>
            <w:bottom w:val="none" w:sz="0" w:space="0" w:color="auto"/>
            <w:right w:val="none" w:sz="0" w:space="0" w:color="auto"/>
          </w:divBdr>
        </w:div>
        <w:div w:id="1599216383">
          <w:marLeft w:val="0"/>
          <w:marRight w:val="0"/>
          <w:marTop w:val="0"/>
          <w:marBottom w:val="0"/>
          <w:divBdr>
            <w:top w:val="none" w:sz="0" w:space="0" w:color="auto"/>
            <w:left w:val="none" w:sz="0" w:space="0" w:color="auto"/>
            <w:bottom w:val="none" w:sz="0" w:space="0" w:color="auto"/>
            <w:right w:val="none" w:sz="0" w:space="0" w:color="auto"/>
          </w:divBdr>
        </w:div>
        <w:div w:id="1609584907">
          <w:marLeft w:val="0"/>
          <w:marRight w:val="0"/>
          <w:marTop w:val="0"/>
          <w:marBottom w:val="0"/>
          <w:divBdr>
            <w:top w:val="none" w:sz="0" w:space="0" w:color="auto"/>
            <w:left w:val="none" w:sz="0" w:space="0" w:color="auto"/>
            <w:bottom w:val="none" w:sz="0" w:space="0" w:color="auto"/>
            <w:right w:val="none" w:sz="0" w:space="0" w:color="auto"/>
          </w:divBdr>
        </w:div>
        <w:div w:id="1628854129">
          <w:marLeft w:val="0"/>
          <w:marRight w:val="0"/>
          <w:marTop w:val="0"/>
          <w:marBottom w:val="0"/>
          <w:divBdr>
            <w:top w:val="none" w:sz="0" w:space="0" w:color="auto"/>
            <w:left w:val="none" w:sz="0" w:space="0" w:color="auto"/>
            <w:bottom w:val="none" w:sz="0" w:space="0" w:color="auto"/>
            <w:right w:val="none" w:sz="0" w:space="0" w:color="auto"/>
          </w:divBdr>
        </w:div>
        <w:div w:id="1633052039">
          <w:marLeft w:val="0"/>
          <w:marRight w:val="0"/>
          <w:marTop w:val="0"/>
          <w:marBottom w:val="0"/>
          <w:divBdr>
            <w:top w:val="none" w:sz="0" w:space="0" w:color="auto"/>
            <w:left w:val="none" w:sz="0" w:space="0" w:color="auto"/>
            <w:bottom w:val="none" w:sz="0" w:space="0" w:color="auto"/>
            <w:right w:val="none" w:sz="0" w:space="0" w:color="auto"/>
          </w:divBdr>
        </w:div>
        <w:div w:id="1655793140">
          <w:marLeft w:val="0"/>
          <w:marRight w:val="0"/>
          <w:marTop w:val="0"/>
          <w:marBottom w:val="0"/>
          <w:divBdr>
            <w:top w:val="none" w:sz="0" w:space="0" w:color="auto"/>
            <w:left w:val="none" w:sz="0" w:space="0" w:color="auto"/>
            <w:bottom w:val="none" w:sz="0" w:space="0" w:color="auto"/>
            <w:right w:val="none" w:sz="0" w:space="0" w:color="auto"/>
          </w:divBdr>
        </w:div>
        <w:div w:id="1660305414">
          <w:marLeft w:val="0"/>
          <w:marRight w:val="0"/>
          <w:marTop w:val="0"/>
          <w:marBottom w:val="0"/>
          <w:divBdr>
            <w:top w:val="none" w:sz="0" w:space="0" w:color="auto"/>
            <w:left w:val="none" w:sz="0" w:space="0" w:color="auto"/>
            <w:bottom w:val="none" w:sz="0" w:space="0" w:color="auto"/>
            <w:right w:val="none" w:sz="0" w:space="0" w:color="auto"/>
          </w:divBdr>
        </w:div>
        <w:div w:id="1662544786">
          <w:marLeft w:val="0"/>
          <w:marRight w:val="0"/>
          <w:marTop w:val="0"/>
          <w:marBottom w:val="0"/>
          <w:divBdr>
            <w:top w:val="none" w:sz="0" w:space="0" w:color="auto"/>
            <w:left w:val="none" w:sz="0" w:space="0" w:color="auto"/>
            <w:bottom w:val="none" w:sz="0" w:space="0" w:color="auto"/>
            <w:right w:val="none" w:sz="0" w:space="0" w:color="auto"/>
          </w:divBdr>
        </w:div>
        <w:div w:id="1662656451">
          <w:marLeft w:val="0"/>
          <w:marRight w:val="0"/>
          <w:marTop w:val="0"/>
          <w:marBottom w:val="0"/>
          <w:divBdr>
            <w:top w:val="none" w:sz="0" w:space="0" w:color="auto"/>
            <w:left w:val="none" w:sz="0" w:space="0" w:color="auto"/>
            <w:bottom w:val="none" w:sz="0" w:space="0" w:color="auto"/>
            <w:right w:val="none" w:sz="0" w:space="0" w:color="auto"/>
          </w:divBdr>
        </w:div>
        <w:div w:id="1662999972">
          <w:marLeft w:val="0"/>
          <w:marRight w:val="0"/>
          <w:marTop w:val="0"/>
          <w:marBottom w:val="0"/>
          <w:divBdr>
            <w:top w:val="none" w:sz="0" w:space="0" w:color="auto"/>
            <w:left w:val="none" w:sz="0" w:space="0" w:color="auto"/>
            <w:bottom w:val="none" w:sz="0" w:space="0" w:color="auto"/>
            <w:right w:val="none" w:sz="0" w:space="0" w:color="auto"/>
          </w:divBdr>
        </w:div>
        <w:div w:id="1679500549">
          <w:marLeft w:val="0"/>
          <w:marRight w:val="0"/>
          <w:marTop w:val="0"/>
          <w:marBottom w:val="0"/>
          <w:divBdr>
            <w:top w:val="none" w:sz="0" w:space="0" w:color="auto"/>
            <w:left w:val="none" w:sz="0" w:space="0" w:color="auto"/>
            <w:bottom w:val="none" w:sz="0" w:space="0" w:color="auto"/>
            <w:right w:val="none" w:sz="0" w:space="0" w:color="auto"/>
          </w:divBdr>
        </w:div>
        <w:div w:id="1702122248">
          <w:marLeft w:val="0"/>
          <w:marRight w:val="0"/>
          <w:marTop w:val="0"/>
          <w:marBottom w:val="0"/>
          <w:divBdr>
            <w:top w:val="none" w:sz="0" w:space="0" w:color="auto"/>
            <w:left w:val="none" w:sz="0" w:space="0" w:color="auto"/>
            <w:bottom w:val="none" w:sz="0" w:space="0" w:color="auto"/>
            <w:right w:val="none" w:sz="0" w:space="0" w:color="auto"/>
          </w:divBdr>
        </w:div>
        <w:div w:id="1702125361">
          <w:marLeft w:val="0"/>
          <w:marRight w:val="0"/>
          <w:marTop w:val="0"/>
          <w:marBottom w:val="0"/>
          <w:divBdr>
            <w:top w:val="none" w:sz="0" w:space="0" w:color="auto"/>
            <w:left w:val="none" w:sz="0" w:space="0" w:color="auto"/>
            <w:bottom w:val="none" w:sz="0" w:space="0" w:color="auto"/>
            <w:right w:val="none" w:sz="0" w:space="0" w:color="auto"/>
          </w:divBdr>
        </w:div>
        <w:div w:id="1702901893">
          <w:marLeft w:val="0"/>
          <w:marRight w:val="0"/>
          <w:marTop w:val="0"/>
          <w:marBottom w:val="0"/>
          <w:divBdr>
            <w:top w:val="none" w:sz="0" w:space="0" w:color="auto"/>
            <w:left w:val="none" w:sz="0" w:space="0" w:color="auto"/>
            <w:bottom w:val="none" w:sz="0" w:space="0" w:color="auto"/>
            <w:right w:val="none" w:sz="0" w:space="0" w:color="auto"/>
          </w:divBdr>
        </w:div>
        <w:div w:id="1703819075">
          <w:marLeft w:val="0"/>
          <w:marRight w:val="0"/>
          <w:marTop w:val="0"/>
          <w:marBottom w:val="0"/>
          <w:divBdr>
            <w:top w:val="none" w:sz="0" w:space="0" w:color="auto"/>
            <w:left w:val="none" w:sz="0" w:space="0" w:color="auto"/>
            <w:bottom w:val="none" w:sz="0" w:space="0" w:color="auto"/>
            <w:right w:val="none" w:sz="0" w:space="0" w:color="auto"/>
          </w:divBdr>
        </w:div>
        <w:div w:id="1709211039">
          <w:marLeft w:val="0"/>
          <w:marRight w:val="0"/>
          <w:marTop w:val="0"/>
          <w:marBottom w:val="0"/>
          <w:divBdr>
            <w:top w:val="none" w:sz="0" w:space="0" w:color="auto"/>
            <w:left w:val="none" w:sz="0" w:space="0" w:color="auto"/>
            <w:bottom w:val="none" w:sz="0" w:space="0" w:color="auto"/>
            <w:right w:val="none" w:sz="0" w:space="0" w:color="auto"/>
          </w:divBdr>
        </w:div>
        <w:div w:id="1709717060">
          <w:marLeft w:val="0"/>
          <w:marRight w:val="0"/>
          <w:marTop w:val="0"/>
          <w:marBottom w:val="0"/>
          <w:divBdr>
            <w:top w:val="none" w:sz="0" w:space="0" w:color="auto"/>
            <w:left w:val="none" w:sz="0" w:space="0" w:color="auto"/>
            <w:bottom w:val="none" w:sz="0" w:space="0" w:color="auto"/>
            <w:right w:val="none" w:sz="0" w:space="0" w:color="auto"/>
          </w:divBdr>
        </w:div>
        <w:div w:id="1714192255">
          <w:marLeft w:val="0"/>
          <w:marRight w:val="0"/>
          <w:marTop w:val="0"/>
          <w:marBottom w:val="0"/>
          <w:divBdr>
            <w:top w:val="none" w:sz="0" w:space="0" w:color="auto"/>
            <w:left w:val="none" w:sz="0" w:space="0" w:color="auto"/>
            <w:bottom w:val="none" w:sz="0" w:space="0" w:color="auto"/>
            <w:right w:val="none" w:sz="0" w:space="0" w:color="auto"/>
          </w:divBdr>
        </w:div>
        <w:div w:id="1716350449">
          <w:marLeft w:val="0"/>
          <w:marRight w:val="0"/>
          <w:marTop w:val="0"/>
          <w:marBottom w:val="0"/>
          <w:divBdr>
            <w:top w:val="none" w:sz="0" w:space="0" w:color="auto"/>
            <w:left w:val="none" w:sz="0" w:space="0" w:color="auto"/>
            <w:bottom w:val="none" w:sz="0" w:space="0" w:color="auto"/>
            <w:right w:val="none" w:sz="0" w:space="0" w:color="auto"/>
          </w:divBdr>
        </w:div>
        <w:div w:id="1723669985">
          <w:marLeft w:val="0"/>
          <w:marRight w:val="0"/>
          <w:marTop w:val="0"/>
          <w:marBottom w:val="0"/>
          <w:divBdr>
            <w:top w:val="none" w:sz="0" w:space="0" w:color="auto"/>
            <w:left w:val="none" w:sz="0" w:space="0" w:color="auto"/>
            <w:bottom w:val="none" w:sz="0" w:space="0" w:color="auto"/>
            <w:right w:val="none" w:sz="0" w:space="0" w:color="auto"/>
          </w:divBdr>
        </w:div>
        <w:div w:id="1731268540">
          <w:marLeft w:val="0"/>
          <w:marRight w:val="0"/>
          <w:marTop w:val="0"/>
          <w:marBottom w:val="0"/>
          <w:divBdr>
            <w:top w:val="none" w:sz="0" w:space="0" w:color="auto"/>
            <w:left w:val="none" w:sz="0" w:space="0" w:color="auto"/>
            <w:bottom w:val="none" w:sz="0" w:space="0" w:color="auto"/>
            <w:right w:val="none" w:sz="0" w:space="0" w:color="auto"/>
          </w:divBdr>
        </w:div>
        <w:div w:id="1743864806">
          <w:marLeft w:val="0"/>
          <w:marRight w:val="0"/>
          <w:marTop w:val="0"/>
          <w:marBottom w:val="0"/>
          <w:divBdr>
            <w:top w:val="none" w:sz="0" w:space="0" w:color="auto"/>
            <w:left w:val="none" w:sz="0" w:space="0" w:color="auto"/>
            <w:bottom w:val="none" w:sz="0" w:space="0" w:color="auto"/>
            <w:right w:val="none" w:sz="0" w:space="0" w:color="auto"/>
          </w:divBdr>
        </w:div>
        <w:div w:id="1747796951">
          <w:marLeft w:val="0"/>
          <w:marRight w:val="0"/>
          <w:marTop w:val="0"/>
          <w:marBottom w:val="0"/>
          <w:divBdr>
            <w:top w:val="none" w:sz="0" w:space="0" w:color="auto"/>
            <w:left w:val="none" w:sz="0" w:space="0" w:color="auto"/>
            <w:bottom w:val="none" w:sz="0" w:space="0" w:color="auto"/>
            <w:right w:val="none" w:sz="0" w:space="0" w:color="auto"/>
          </w:divBdr>
        </w:div>
        <w:div w:id="1757625631">
          <w:marLeft w:val="0"/>
          <w:marRight w:val="0"/>
          <w:marTop w:val="0"/>
          <w:marBottom w:val="0"/>
          <w:divBdr>
            <w:top w:val="none" w:sz="0" w:space="0" w:color="auto"/>
            <w:left w:val="none" w:sz="0" w:space="0" w:color="auto"/>
            <w:bottom w:val="none" w:sz="0" w:space="0" w:color="auto"/>
            <w:right w:val="none" w:sz="0" w:space="0" w:color="auto"/>
          </w:divBdr>
        </w:div>
        <w:div w:id="1763719712">
          <w:marLeft w:val="0"/>
          <w:marRight w:val="0"/>
          <w:marTop w:val="0"/>
          <w:marBottom w:val="0"/>
          <w:divBdr>
            <w:top w:val="none" w:sz="0" w:space="0" w:color="auto"/>
            <w:left w:val="none" w:sz="0" w:space="0" w:color="auto"/>
            <w:bottom w:val="none" w:sz="0" w:space="0" w:color="auto"/>
            <w:right w:val="none" w:sz="0" w:space="0" w:color="auto"/>
          </w:divBdr>
        </w:div>
        <w:div w:id="1769811637">
          <w:marLeft w:val="0"/>
          <w:marRight w:val="0"/>
          <w:marTop w:val="0"/>
          <w:marBottom w:val="0"/>
          <w:divBdr>
            <w:top w:val="none" w:sz="0" w:space="0" w:color="auto"/>
            <w:left w:val="none" w:sz="0" w:space="0" w:color="auto"/>
            <w:bottom w:val="none" w:sz="0" w:space="0" w:color="auto"/>
            <w:right w:val="none" w:sz="0" w:space="0" w:color="auto"/>
          </w:divBdr>
        </w:div>
        <w:div w:id="1781759128">
          <w:marLeft w:val="0"/>
          <w:marRight w:val="0"/>
          <w:marTop w:val="0"/>
          <w:marBottom w:val="0"/>
          <w:divBdr>
            <w:top w:val="none" w:sz="0" w:space="0" w:color="auto"/>
            <w:left w:val="none" w:sz="0" w:space="0" w:color="auto"/>
            <w:bottom w:val="none" w:sz="0" w:space="0" w:color="auto"/>
            <w:right w:val="none" w:sz="0" w:space="0" w:color="auto"/>
          </w:divBdr>
        </w:div>
        <w:div w:id="1782333129">
          <w:marLeft w:val="0"/>
          <w:marRight w:val="0"/>
          <w:marTop w:val="0"/>
          <w:marBottom w:val="0"/>
          <w:divBdr>
            <w:top w:val="none" w:sz="0" w:space="0" w:color="auto"/>
            <w:left w:val="none" w:sz="0" w:space="0" w:color="auto"/>
            <w:bottom w:val="none" w:sz="0" w:space="0" w:color="auto"/>
            <w:right w:val="none" w:sz="0" w:space="0" w:color="auto"/>
          </w:divBdr>
        </w:div>
        <w:div w:id="1783911314">
          <w:marLeft w:val="0"/>
          <w:marRight w:val="0"/>
          <w:marTop w:val="0"/>
          <w:marBottom w:val="0"/>
          <w:divBdr>
            <w:top w:val="none" w:sz="0" w:space="0" w:color="auto"/>
            <w:left w:val="none" w:sz="0" w:space="0" w:color="auto"/>
            <w:bottom w:val="none" w:sz="0" w:space="0" w:color="auto"/>
            <w:right w:val="none" w:sz="0" w:space="0" w:color="auto"/>
          </w:divBdr>
        </w:div>
        <w:div w:id="1793788180">
          <w:marLeft w:val="0"/>
          <w:marRight w:val="0"/>
          <w:marTop w:val="0"/>
          <w:marBottom w:val="0"/>
          <w:divBdr>
            <w:top w:val="none" w:sz="0" w:space="0" w:color="auto"/>
            <w:left w:val="none" w:sz="0" w:space="0" w:color="auto"/>
            <w:bottom w:val="none" w:sz="0" w:space="0" w:color="auto"/>
            <w:right w:val="none" w:sz="0" w:space="0" w:color="auto"/>
          </w:divBdr>
        </w:div>
        <w:div w:id="1795561905">
          <w:marLeft w:val="0"/>
          <w:marRight w:val="0"/>
          <w:marTop w:val="0"/>
          <w:marBottom w:val="0"/>
          <w:divBdr>
            <w:top w:val="none" w:sz="0" w:space="0" w:color="auto"/>
            <w:left w:val="none" w:sz="0" w:space="0" w:color="auto"/>
            <w:bottom w:val="none" w:sz="0" w:space="0" w:color="auto"/>
            <w:right w:val="none" w:sz="0" w:space="0" w:color="auto"/>
          </w:divBdr>
        </w:div>
        <w:div w:id="1795981081">
          <w:marLeft w:val="0"/>
          <w:marRight w:val="0"/>
          <w:marTop w:val="0"/>
          <w:marBottom w:val="0"/>
          <w:divBdr>
            <w:top w:val="none" w:sz="0" w:space="0" w:color="auto"/>
            <w:left w:val="none" w:sz="0" w:space="0" w:color="auto"/>
            <w:bottom w:val="none" w:sz="0" w:space="0" w:color="auto"/>
            <w:right w:val="none" w:sz="0" w:space="0" w:color="auto"/>
          </w:divBdr>
        </w:div>
        <w:div w:id="1838956317">
          <w:marLeft w:val="0"/>
          <w:marRight w:val="0"/>
          <w:marTop w:val="0"/>
          <w:marBottom w:val="0"/>
          <w:divBdr>
            <w:top w:val="none" w:sz="0" w:space="0" w:color="auto"/>
            <w:left w:val="none" w:sz="0" w:space="0" w:color="auto"/>
            <w:bottom w:val="none" w:sz="0" w:space="0" w:color="auto"/>
            <w:right w:val="none" w:sz="0" w:space="0" w:color="auto"/>
          </w:divBdr>
        </w:div>
        <w:div w:id="1843661400">
          <w:marLeft w:val="0"/>
          <w:marRight w:val="0"/>
          <w:marTop w:val="0"/>
          <w:marBottom w:val="0"/>
          <w:divBdr>
            <w:top w:val="none" w:sz="0" w:space="0" w:color="auto"/>
            <w:left w:val="none" w:sz="0" w:space="0" w:color="auto"/>
            <w:bottom w:val="none" w:sz="0" w:space="0" w:color="auto"/>
            <w:right w:val="none" w:sz="0" w:space="0" w:color="auto"/>
          </w:divBdr>
        </w:div>
        <w:div w:id="1854415601">
          <w:marLeft w:val="0"/>
          <w:marRight w:val="0"/>
          <w:marTop w:val="0"/>
          <w:marBottom w:val="0"/>
          <w:divBdr>
            <w:top w:val="none" w:sz="0" w:space="0" w:color="auto"/>
            <w:left w:val="none" w:sz="0" w:space="0" w:color="auto"/>
            <w:bottom w:val="none" w:sz="0" w:space="0" w:color="auto"/>
            <w:right w:val="none" w:sz="0" w:space="0" w:color="auto"/>
          </w:divBdr>
        </w:div>
        <w:div w:id="1880824210">
          <w:marLeft w:val="0"/>
          <w:marRight w:val="0"/>
          <w:marTop w:val="0"/>
          <w:marBottom w:val="0"/>
          <w:divBdr>
            <w:top w:val="none" w:sz="0" w:space="0" w:color="auto"/>
            <w:left w:val="none" w:sz="0" w:space="0" w:color="auto"/>
            <w:bottom w:val="none" w:sz="0" w:space="0" w:color="auto"/>
            <w:right w:val="none" w:sz="0" w:space="0" w:color="auto"/>
          </w:divBdr>
        </w:div>
        <w:div w:id="1890914180">
          <w:marLeft w:val="0"/>
          <w:marRight w:val="0"/>
          <w:marTop w:val="0"/>
          <w:marBottom w:val="0"/>
          <w:divBdr>
            <w:top w:val="none" w:sz="0" w:space="0" w:color="auto"/>
            <w:left w:val="none" w:sz="0" w:space="0" w:color="auto"/>
            <w:bottom w:val="none" w:sz="0" w:space="0" w:color="auto"/>
            <w:right w:val="none" w:sz="0" w:space="0" w:color="auto"/>
          </w:divBdr>
        </w:div>
        <w:div w:id="1916088838">
          <w:marLeft w:val="0"/>
          <w:marRight w:val="0"/>
          <w:marTop w:val="0"/>
          <w:marBottom w:val="0"/>
          <w:divBdr>
            <w:top w:val="none" w:sz="0" w:space="0" w:color="auto"/>
            <w:left w:val="none" w:sz="0" w:space="0" w:color="auto"/>
            <w:bottom w:val="none" w:sz="0" w:space="0" w:color="auto"/>
            <w:right w:val="none" w:sz="0" w:space="0" w:color="auto"/>
          </w:divBdr>
        </w:div>
        <w:div w:id="1929004050">
          <w:marLeft w:val="0"/>
          <w:marRight w:val="0"/>
          <w:marTop w:val="0"/>
          <w:marBottom w:val="0"/>
          <w:divBdr>
            <w:top w:val="none" w:sz="0" w:space="0" w:color="auto"/>
            <w:left w:val="none" w:sz="0" w:space="0" w:color="auto"/>
            <w:bottom w:val="none" w:sz="0" w:space="0" w:color="auto"/>
            <w:right w:val="none" w:sz="0" w:space="0" w:color="auto"/>
          </w:divBdr>
        </w:div>
        <w:div w:id="1966109102">
          <w:marLeft w:val="0"/>
          <w:marRight w:val="0"/>
          <w:marTop w:val="0"/>
          <w:marBottom w:val="0"/>
          <w:divBdr>
            <w:top w:val="none" w:sz="0" w:space="0" w:color="auto"/>
            <w:left w:val="none" w:sz="0" w:space="0" w:color="auto"/>
            <w:bottom w:val="none" w:sz="0" w:space="0" w:color="auto"/>
            <w:right w:val="none" w:sz="0" w:space="0" w:color="auto"/>
          </w:divBdr>
        </w:div>
        <w:div w:id="1966351273">
          <w:marLeft w:val="0"/>
          <w:marRight w:val="0"/>
          <w:marTop w:val="0"/>
          <w:marBottom w:val="0"/>
          <w:divBdr>
            <w:top w:val="none" w:sz="0" w:space="0" w:color="auto"/>
            <w:left w:val="none" w:sz="0" w:space="0" w:color="auto"/>
            <w:bottom w:val="none" w:sz="0" w:space="0" w:color="auto"/>
            <w:right w:val="none" w:sz="0" w:space="0" w:color="auto"/>
          </w:divBdr>
        </w:div>
        <w:div w:id="1969777469">
          <w:marLeft w:val="0"/>
          <w:marRight w:val="0"/>
          <w:marTop w:val="0"/>
          <w:marBottom w:val="0"/>
          <w:divBdr>
            <w:top w:val="none" w:sz="0" w:space="0" w:color="auto"/>
            <w:left w:val="none" w:sz="0" w:space="0" w:color="auto"/>
            <w:bottom w:val="none" w:sz="0" w:space="0" w:color="auto"/>
            <w:right w:val="none" w:sz="0" w:space="0" w:color="auto"/>
          </w:divBdr>
        </w:div>
        <w:div w:id="1974872459">
          <w:marLeft w:val="0"/>
          <w:marRight w:val="0"/>
          <w:marTop w:val="0"/>
          <w:marBottom w:val="0"/>
          <w:divBdr>
            <w:top w:val="none" w:sz="0" w:space="0" w:color="auto"/>
            <w:left w:val="none" w:sz="0" w:space="0" w:color="auto"/>
            <w:bottom w:val="none" w:sz="0" w:space="0" w:color="auto"/>
            <w:right w:val="none" w:sz="0" w:space="0" w:color="auto"/>
          </w:divBdr>
        </w:div>
        <w:div w:id="1987466133">
          <w:marLeft w:val="0"/>
          <w:marRight w:val="0"/>
          <w:marTop w:val="0"/>
          <w:marBottom w:val="0"/>
          <w:divBdr>
            <w:top w:val="none" w:sz="0" w:space="0" w:color="auto"/>
            <w:left w:val="none" w:sz="0" w:space="0" w:color="auto"/>
            <w:bottom w:val="none" w:sz="0" w:space="0" w:color="auto"/>
            <w:right w:val="none" w:sz="0" w:space="0" w:color="auto"/>
          </w:divBdr>
        </w:div>
        <w:div w:id="1988970019">
          <w:marLeft w:val="0"/>
          <w:marRight w:val="0"/>
          <w:marTop w:val="0"/>
          <w:marBottom w:val="0"/>
          <w:divBdr>
            <w:top w:val="none" w:sz="0" w:space="0" w:color="auto"/>
            <w:left w:val="none" w:sz="0" w:space="0" w:color="auto"/>
            <w:bottom w:val="none" w:sz="0" w:space="0" w:color="auto"/>
            <w:right w:val="none" w:sz="0" w:space="0" w:color="auto"/>
          </w:divBdr>
        </w:div>
        <w:div w:id="2005237029">
          <w:marLeft w:val="0"/>
          <w:marRight w:val="0"/>
          <w:marTop w:val="0"/>
          <w:marBottom w:val="0"/>
          <w:divBdr>
            <w:top w:val="none" w:sz="0" w:space="0" w:color="auto"/>
            <w:left w:val="none" w:sz="0" w:space="0" w:color="auto"/>
            <w:bottom w:val="none" w:sz="0" w:space="0" w:color="auto"/>
            <w:right w:val="none" w:sz="0" w:space="0" w:color="auto"/>
          </w:divBdr>
        </w:div>
        <w:div w:id="2011983279">
          <w:marLeft w:val="0"/>
          <w:marRight w:val="0"/>
          <w:marTop w:val="0"/>
          <w:marBottom w:val="0"/>
          <w:divBdr>
            <w:top w:val="none" w:sz="0" w:space="0" w:color="auto"/>
            <w:left w:val="none" w:sz="0" w:space="0" w:color="auto"/>
            <w:bottom w:val="none" w:sz="0" w:space="0" w:color="auto"/>
            <w:right w:val="none" w:sz="0" w:space="0" w:color="auto"/>
          </w:divBdr>
        </w:div>
        <w:div w:id="2027977293">
          <w:marLeft w:val="0"/>
          <w:marRight w:val="0"/>
          <w:marTop w:val="0"/>
          <w:marBottom w:val="0"/>
          <w:divBdr>
            <w:top w:val="none" w:sz="0" w:space="0" w:color="auto"/>
            <w:left w:val="none" w:sz="0" w:space="0" w:color="auto"/>
            <w:bottom w:val="none" w:sz="0" w:space="0" w:color="auto"/>
            <w:right w:val="none" w:sz="0" w:space="0" w:color="auto"/>
          </w:divBdr>
        </w:div>
        <w:div w:id="2032802843">
          <w:marLeft w:val="0"/>
          <w:marRight w:val="0"/>
          <w:marTop w:val="0"/>
          <w:marBottom w:val="0"/>
          <w:divBdr>
            <w:top w:val="none" w:sz="0" w:space="0" w:color="auto"/>
            <w:left w:val="none" w:sz="0" w:space="0" w:color="auto"/>
            <w:bottom w:val="none" w:sz="0" w:space="0" w:color="auto"/>
            <w:right w:val="none" w:sz="0" w:space="0" w:color="auto"/>
          </w:divBdr>
        </w:div>
        <w:div w:id="2050565868">
          <w:marLeft w:val="0"/>
          <w:marRight w:val="0"/>
          <w:marTop w:val="0"/>
          <w:marBottom w:val="0"/>
          <w:divBdr>
            <w:top w:val="none" w:sz="0" w:space="0" w:color="auto"/>
            <w:left w:val="none" w:sz="0" w:space="0" w:color="auto"/>
            <w:bottom w:val="none" w:sz="0" w:space="0" w:color="auto"/>
            <w:right w:val="none" w:sz="0" w:space="0" w:color="auto"/>
          </w:divBdr>
        </w:div>
        <w:div w:id="2051831343">
          <w:marLeft w:val="0"/>
          <w:marRight w:val="0"/>
          <w:marTop w:val="0"/>
          <w:marBottom w:val="0"/>
          <w:divBdr>
            <w:top w:val="none" w:sz="0" w:space="0" w:color="auto"/>
            <w:left w:val="none" w:sz="0" w:space="0" w:color="auto"/>
            <w:bottom w:val="none" w:sz="0" w:space="0" w:color="auto"/>
            <w:right w:val="none" w:sz="0" w:space="0" w:color="auto"/>
          </w:divBdr>
        </w:div>
        <w:div w:id="2053577206">
          <w:marLeft w:val="0"/>
          <w:marRight w:val="0"/>
          <w:marTop w:val="0"/>
          <w:marBottom w:val="0"/>
          <w:divBdr>
            <w:top w:val="none" w:sz="0" w:space="0" w:color="auto"/>
            <w:left w:val="none" w:sz="0" w:space="0" w:color="auto"/>
            <w:bottom w:val="none" w:sz="0" w:space="0" w:color="auto"/>
            <w:right w:val="none" w:sz="0" w:space="0" w:color="auto"/>
          </w:divBdr>
        </w:div>
        <w:div w:id="2054960072">
          <w:marLeft w:val="0"/>
          <w:marRight w:val="0"/>
          <w:marTop w:val="0"/>
          <w:marBottom w:val="0"/>
          <w:divBdr>
            <w:top w:val="none" w:sz="0" w:space="0" w:color="auto"/>
            <w:left w:val="none" w:sz="0" w:space="0" w:color="auto"/>
            <w:bottom w:val="none" w:sz="0" w:space="0" w:color="auto"/>
            <w:right w:val="none" w:sz="0" w:space="0" w:color="auto"/>
          </w:divBdr>
        </w:div>
        <w:div w:id="2055231398">
          <w:marLeft w:val="0"/>
          <w:marRight w:val="0"/>
          <w:marTop w:val="0"/>
          <w:marBottom w:val="0"/>
          <w:divBdr>
            <w:top w:val="none" w:sz="0" w:space="0" w:color="auto"/>
            <w:left w:val="none" w:sz="0" w:space="0" w:color="auto"/>
            <w:bottom w:val="none" w:sz="0" w:space="0" w:color="auto"/>
            <w:right w:val="none" w:sz="0" w:space="0" w:color="auto"/>
          </w:divBdr>
        </w:div>
        <w:div w:id="2071035899">
          <w:marLeft w:val="0"/>
          <w:marRight w:val="0"/>
          <w:marTop w:val="0"/>
          <w:marBottom w:val="0"/>
          <w:divBdr>
            <w:top w:val="none" w:sz="0" w:space="0" w:color="auto"/>
            <w:left w:val="none" w:sz="0" w:space="0" w:color="auto"/>
            <w:bottom w:val="none" w:sz="0" w:space="0" w:color="auto"/>
            <w:right w:val="none" w:sz="0" w:space="0" w:color="auto"/>
          </w:divBdr>
        </w:div>
        <w:div w:id="2086492703">
          <w:marLeft w:val="0"/>
          <w:marRight w:val="0"/>
          <w:marTop w:val="0"/>
          <w:marBottom w:val="0"/>
          <w:divBdr>
            <w:top w:val="none" w:sz="0" w:space="0" w:color="auto"/>
            <w:left w:val="none" w:sz="0" w:space="0" w:color="auto"/>
            <w:bottom w:val="none" w:sz="0" w:space="0" w:color="auto"/>
            <w:right w:val="none" w:sz="0" w:space="0" w:color="auto"/>
          </w:divBdr>
        </w:div>
        <w:div w:id="2087457428">
          <w:marLeft w:val="0"/>
          <w:marRight w:val="0"/>
          <w:marTop w:val="0"/>
          <w:marBottom w:val="0"/>
          <w:divBdr>
            <w:top w:val="none" w:sz="0" w:space="0" w:color="auto"/>
            <w:left w:val="none" w:sz="0" w:space="0" w:color="auto"/>
            <w:bottom w:val="none" w:sz="0" w:space="0" w:color="auto"/>
            <w:right w:val="none" w:sz="0" w:space="0" w:color="auto"/>
          </w:divBdr>
        </w:div>
        <w:div w:id="2096172753">
          <w:marLeft w:val="0"/>
          <w:marRight w:val="0"/>
          <w:marTop w:val="0"/>
          <w:marBottom w:val="0"/>
          <w:divBdr>
            <w:top w:val="none" w:sz="0" w:space="0" w:color="auto"/>
            <w:left w:val="none" w:sz="0" w:space="0" w:color="auto"/>
            <w:bottom w:val="none" w:sz="0" w:space="0" w:color="auto"/>
            <w:right w:val="none" w:sz="0" w:space="0" w:color="auto"/>
          </w:divBdr>
        </w:div>
        <w:div w:id="2102333477">
          <w:marLeft w:val="0"/>
          <w:marRight w:val="0"/>
          <w:marTop w:val="0"/>
          <w:marBottom w:val="0"/>
          <w:divBdr>
            <w:top w:val="none" w:sz="0" w:space="0" w:color="auto"/>
            <w:left w:val="none" w:sz="0" w:space="0" w:color="auto"/>
            <w:bottom w:val="none" w:sz="0" w:space="0" w:color="auto"/>
            <w:right w:val="none" w:sz="0" w:space="0" w:color="auto"/>
          </w:divBdr>
        </w:div>
        <w:div w:id="2114399123">
          <w:marLeft w:val="0"/>
          <w:marRight w:val="0"/>
          <w:marTop w:val="0"/>
          <w:marBottom w:val="0"/>
          <w:divBdr>
            <w:top w:val="none" w:sz="0" w:space="0" w:color="auto"/>
            <w:left w:val="none" w:sz="0" w:space="0" w:color="auto"/>
            <w:bottom w:val="none" w:sz="0" w:space="0" w:color="auto"/>
            <w:right w:val="none" w:sz="0" w:space="0" w:color="auto"/>
          </w:divBdr>
        </w:div>
        <w:div w:id="2124107577">
          <w:marLeft w:val="0"/>
          <w:marRight w:val="0"/>
          <w:marTop w:val="0"/>
          <w:marBottom w:val="0"/>
          <w:divBdr>
            <w:top w:val="none" w:sz="0" w:space="0" w:color="auto"/>
            <w:left w:val="none" w:sz="0" w:space="0" w:color="auto"/>
            <w:bottom w:val="none" w:sz="0" w:space="0" w:color="auto"/>
            <w:right w:val="none" w:sz="0" w:space="0" w:color="auto"/>
          </w:divBdr>
        </w:div>
        <w:div w:id="2135637969">
          <w:marLeft w:val="0"/>
          <w:marRight w:val="0"/>
          <w:marTop w:val="0"/>
          <w:marBottom w:val="0"/>
          <w:divBdr>
            <w:top w:val="none" w:sz="0" w:space="0" w:color="auto"/>
            <w:left w:val="none" w:sz="0" w:space="0" w:color="auto"/>
            <w:bottom w:val="none" w:sz="0" w:space="0" w:color="auto"/>
            <w:right w:val="none" w:sz="0" w:space="0" w:color="auto"/>
          </w:divBdr>
        </w:div>
        <w:div w:id="2136099314">
          <w:marLeft w:val="0"/>
          <w:marRight w:val="0"/>
          <w:marTop w:val="0"/>
          <w:marBottom w:val="0"/>
          <w:divBdr>
            <w:top w:val="none" w:sz="0" w:space="0" w:color="auto"/>
            <w:left w:val="none" w:sz="0" w:space="0" w:color="auto"/>
            <w:bottom w:val="none" w:sz="0" w:space="0" w:color="auto"/>
            <w:right w:val="none" w:sz="0" w:space="0" w:color="auto"/>
          </w:divBdr>
        </w:div>
        <w:div w:id="2147117169">
          <w:marLeft w:val="0"/>
          <w:marRight w:val="0"/>
          <w:marTop w:val="0"/>
          <w:marBottom w:val="0"/>
          <w:divBdr>
            <w:top w:val="none" w:sz="0" w:space="0" w:color="auto"/>
            <w:left w:val="none" w:sz="0" w:space="0" w:color="auto"/>
            <w:bottom w:val="none" w:sz="0" w:space="0" w:color="auto"/>
            <w:right w:val="none" w:sz="0" w:space="0" w:color="auto"/>
          </w:divBdr>
        </w:div>
      </w:divsChild>
    </w:div>
    <w:div w:id="837579503">
      <w:bodyDiv w:val="1"/>
      <w:marLeft w:val="0"/>
      <w:marRight w:val="0"/>
      <w:marTop w:val="0"/>
      <w:marBottom w:val="0"/>
      <w:divBdr>
        <w:top w:val="none" w:sz="0" w:space="0" w:color="auto"/>
        <w:left w:val="none" w:sz="0" w:space="0" w:color="auto"/>
        <w:bottom w:val="none" w:sz="0" w:space="0" w:color="auto"/>
        <w:right w:val="none" w:sz="0" w:space="0" w:color="auto"/>
      </w:divBdr>
    </w:div>
    <w:div w:id="848523080">
      <w:bodyDiv w:val="1"/>
      <w:marLeft w:val="0"/>
      <w:marRight w:val="0"/>
      <w:marTop w:val="0"/>
      <w:marBottom w:val="0"/>
      <w:divBdr>
        <w:top w:val="none" w:sz="0" w:space="0" w:color="auto"/>
        <w:left w:val="none" w:sz="0" w:space="0" w:color="auto"/>
        <w:bottom w:val="none" w:sz="0" w:space="0" w:color="auto"/>
        <w:right w:val="none" w:sz="0" w:space="0" w:color="auto"/>
      </w:divBdr>
    </w:div>
    <w:div w:id="854616128">
      <w:bodyDiv w:val="1"/>
      <w:marLeft w:val="0"/>
      <w:marRight w:val="0"/>
      <w:marTop w:val="0"/>
      <w:marBottom w:val="0"/>
      <w:divBdr>
        <w:top w:val="none" w:sz="0" w:space="0" w:color="auto"/>
        <w:left w:val="none" w:sz="0" w:space="0" w:color="auto"/>
        <w:bottom w:val="none" w:sz="0" w:space="0" w:color="auto"/>
        <w:right w:val="none" w:sz="0" w:space="0" w:color="auto"/>
      </w:divBdr>
    </w:div>
    <w:div w:id="887230447">
      <w:bodyDiv w:val="1"/>
      <w:marLeft w:val="0"/>
      <w:marRight w:val="0"/>
      <w:marTop w:val="0"/>
      <w:marBottom w:val="0"/>
      <w:divBdr>
        <w:top w:val="none" w:sz="0" w:space="0" w:color="auto"/>
        <w:left w:val="none" w:sz="0" w:space="0" w:color="auto"/>
        <w:bottom w:val="none" w:sz="0" w:space="0" w:color="auto"/>
        <w:right w:val="none" w:sz="0" w:space="0" w:color="auto"/>
      </w:divBdr>
    </w:div>
    <w:div w:id="903221613">
      <w:bodyDiv w:val="1"/>
      <w:marLeft w:val="0"/>
      <w:marRight w:val="0"/>
      <w:marTop w:val="0"/>
      <w:marBottom w:val="0"/>
      <w:divBdr>
        <w:top w:val="none" w:sz="0" w:space="0" w:color="auto"/>
        <w:left w:val="none" w:sz="0" w:space="0" w:color="auto"/>
        <w:bottom w:val="none" w:sz="0" w:space="0" w:color="auto"/>
        <w:right w:val="none" w:sz="0" w:space="0" w:color="auto"/>
      </w:divBdr>
    </w:div>
    <w:div w:id="910774083">
      <w:bodyDiv w:val="1"/>
      <w:marLeft w:val="0"/>
      <w:marRight w:val="0"/>
      <w:marTop w:val="0"/>
      <w:marBottom w:val="0"/>
      <w:divBdr>
        <w:top w:val="none" w:sz="0" w:space="0" w:color="auto"/>
        <w:left w:val="none" w:sz="0" w:space="0" w:color="auto"/>
        <w:bottom w:val="none" w:sz="0" w:space="0" w:color="auto"/>
        <w:right w:val="none" w:sz="0" w:space="0" w:color="auto"/>
      </w:divBdr>
    </w:div>
    <w:div w:id="934903093">
      <w:bodyDiv w:val="1"/>
      <w:marLeft w:val="0"/>
      <w:marRight w:val="0"/>
      <w:marTop w:val="0"/>
      <w:marBottom w:val="0"/>
      <w:divBdr>
        <w:top w:val="none" w:sz="0" w:space="0" w:color="auto"/>
        <w:left w:val="none" w:sz="0" w:space="0" w:color="auto"/>
        <w:bottom w:val="none" w:sz="0" w:space="0" w:color="auto"/>
        <w:right w:val="none" w:sz="0" w:space="0" w:color="auto"/>
      </w:divBdr>
    </w:div>
    <w:div w:id="1013264567">
      <w:bodyDiv w:val="1"/>
      <w:marLeft w:val="0"/>
      <w:marRight w:val="0"/>
      <w:marTop w:val="0"/>
      <w:marBottom w:val="0"/>
      <w:divBdr>
        <w:top w:val="none" w:sz="0" w:space="0" w:color="auto"/>
        <w:left w:val="none" w:sz="0" w:space="0" w:color="auto"/>
        <w:bottom w:val="none" w:sz="0" w:space="0" w:color="auto"/>
        <w:right w:val="none" w:sz="0" w:space="0" w:color="auto"/>
      </w:divBdr>
    </w:div>
    <w:div w:id="1014654513">
      <w:bodyDiv w:val="1"/>
      <w:marLeft w:val="0"/>
      <w:marRight w:val="0"/>
      <w:marTop w:val="0"/>
      <w:marBottom w:val="0"/>
      <w:divBdr>
        <w:top w:val="none" w:sz="0" w:space="0" w:color="auto"/>
        <w:left w:val="none" w:sz="0" w:space="0" w:color="auto"/>
        <w:bottom w:val="none" w:sz="0" w:space="0" w:color="auto"/>
        <w:right w:val="none" w:sz="0" w:space="0" w:color="auto"/>
      </w:divBdr>
      <w:divsChild>
        <w:div w:id="237205635">
          <w:marLeft w:val="0"/>
          <w:marRight w:val="0"/>
          <w:marTop w:val="0"/>
          <w:marBottom w:val="0"/>
          <w:divBdr>
            <w:top w:val="none" w:sz="0" w:space="0" w:color="auto"/>
            <w:left w:val="none" w:sz="0" w:space="0" w:color="auto"/>
            <w:bottom w:val="none" w:sz="0" w:space="0" w:color="auto"/>
            <w:right w:val="none" w:sz="0" w:space="0" w:color="auto"/>
          </w:divBdr>
        </w:div>
        <w:div w:id="998844734">
          <w:marLeft w:val="0"/>
          <w:marRight w:val="0"/>
          <w:marTop w:val="0"/>
          <w:marBottom w:val="0"/>
          <w:divBdr>
            <w:top w:val="none" w:sz="0" w:space="0" w:color="auto"/>
            <w:left w:val="none" w:sz="0" w:space="0" w:color="auto"/>
            <w:bottom w:val="none" w:sz="0" w:space="0" w:color="auto"/>
            <w:right w:val="none" w:sz="0" w:space="0" w:color="auto"/>
          </w:divBdr>
        </w:div>
        <w:div w:id="1661735338">
          <w:marLeft w:val="0"/>
          <w:marRight w:val="0"/>
          <w:marTop w:val="0"/>
          <w:marBottom w:val="0"/>
          <w:divBdr>
            <w:top w:val="none" w:sz="0" w:space="0" w:color="auto"/>
            <w:left w:val="none" w:sz="0" w:space="0" w:color="auto"/>
            <w:bottom w:val="none" w:sz="0" w:space="0" w:color="auto"/>
            <w:right w:val="none" w:sz="0" w:space="0" w:color="auto"/>
          </w:divBdr>
        </w:div>
      </w:divsChild>
    </w:div>
    <w:div w:id="1017122776">
      <w:bodyDiv w:val="1"/>
      <w:marLeft w:val="0"/>
      <w:marRight w:val="0"/>
      <w:marTop w:val="0"/>
      <w:marBottom w:val="0"/>
      <w:divBdr>
        <w:top w:val="none" w:sz="0" w:space="0" w:color="auto"/>
        <w:left w:val="none" w:sz="0" w:space="0" w:color="auto"/>
        <w:bottom w:val="none" w:sz="0" w:space="0" w:color="auto"/>
        <w:right w:val="none" w:sz="0" w:space="0" w:color="auto"/>
      </w:divBdr>
    </w:div>
    <w:div w:id="1023288111">
      <w:bodyDiv w:val="1"/>
      <w:marLeft w:val="0"/>
      <w:marRight w:val="0"/>
      <w:marTop w:val="0"/>
      <w:marBottom w:val="0"/>
      <w:divBdr>
        <w:top w:val="none" w:sz="0" w:space="0" w:color="auto"/>
        <w:left w:val="none" w:sz="0" w:space="0" w:color="auto"/>
        <w:bottom w:val="none" w:sz="0" w:space="0" w:color="auto"/>
        <w:right w:val="none" w:sz="0" w:space="0" w:color="auto"/>
      </w:divBdr>
    </w:div>
    <w:div w:id="1053119507">
      <w:bodyDiv w:val="1"/>
      <w:marLeft w:val="0"/>
      <w:marRight w:val="0"/>
      <w:marTop w:val="0"/>
      <w:marBottom w:val="0"/>
      <w:divBdr>
        <w:top w:val="none" w:sz="0" w:space="0" w:color="auto"/>
        <w:left w:val="none" w:sz="0" w:space="0" w:color="auto"/>
        <w:bottom w:val="none" w:sz="0" w:space="0" w:color="auto"/>
        <w:right w:val="none" w:sz="0" w:space="0" w:color="auto"/>
      </w:divBdr>
    </w:div>
    <w:div w:id="1055928687">
      <w:bodyDiv w:val="1"/>
      <w:marLeft w:val="0"/>
      <w:marRight w:val="0"/>
      <w:marTop w:val="0"/>
      <w:marBottom w:val="0"/>
      <w:divBdr>
        <w:top w:val="none" w:sz="0" w:space="0" w:color="auto"/>
        <w:left w:val="none" w:sz="0" w:space="0" w:color="auto"/>
        <w:bottom w:val="none" w:sz="0" w:space="0" w:color="auto"/>
        <w:right w:val="none" w:sz="0" w:space="0" w:color="auto"/>
      </w:divBdr>
    </w:div>
    <w:div w:id="1071998652">
      <w:bodyDiv w:val="1"/>
      <w:marLeft w:val="0"/>
      <w:marRight w:val="0"/>
      <w:marTop w:val="0"/>
      <w:marBottom w:val="0"/>
      <w:divBdr>
        <w:top w:val="none" w:sz="0" w:space="0" w:color="auto"/>
        <w:left w:val="none" w:sz="0" w:space="0" w:color="auto"/>
        <w:bottom w:val="none" w:sz="0" w:space="0" w:color="auto"/>
        <w:right w:val="none" w:sz="0" w:space="0" w:color="auto"/>
      </w:divBdr>
    </w:div>
    <w:div w:id="1079182336">
      <w:bodyDiv w:val="1"/>
      <w:marLeft w:val="0"/>
      <w:marRight w:val="0"/>
      <w:marTop w:val="0"/>
      <w:marBottom w:val="0"/>
      <w:divBdr>
        <w:top w:val="none" w:sz="0" w:space="0" w:color="auto"/>
        <w:left w:val="none" w:sz="0" w:space="0" w:color="auto"/>
        <w:bottom w:val="none" w:sz="0" w:space="0" w:color="auto"/>
        <w:right w:val="none" w:sz="0" w:space="0" w:color="auto"/>
      </w:divBdr>
    </w:div>
    <w:div w:id="1083332547">
      <w:bodyDiv w:val="1"/>
      <w:marLeft w:val="0"/>
      <w:marRight w:val="0"/>
      <w:marTop w:val="0"/>
      <w:marBottom w:val="0"/>
      <w:divBdr>
        <w:top w:val="none" w:sz="0" w:space="0" w:color="auto"/>
        <w:left w:val="none" w:sz="0" w:space="0" w:color="auto"/>
        <w:bottom w:val="none" w:sz="0" w:space="0" w:color="auto"/>
        <w:right w:val="none" w:sz="0" w:space="0" w:color="auto"/>
      </w:divBdr>
    </w:div>
    <w:div w:id="1094548603">
      <w:bodyDiv w:val="1"/>
      <w:marLeft w:val="0"/>
      <w:marRight w:val="0"/>
      <w:marTop w:val="0"/>
      <w:marBottom w:val="0"/>
      <w:divBdr>
        <w:top w:val="none" w:sz="0" w:space="0" w:color="auto"/>
        <w:left w:val="none" w:sz="0" w:space="0" w:color="auto"/>
        <w:bottom w:val="none" w:sz="0" w:space="0" w:color="auto"/>
        <w:right w:val="none" w:sz="0" w:space="0" w:color="auto"/>
      </w:divBdr>
    </w:div>
    <w:div w:id="1107191141">
      <w:bodyDiv w:val="1"/>
      <w:marLeft w:val="0"/>
      <w:marRight w:val="0"/>
      <w:marTop w:val="0"/>
      <w:marBottom w:val="0"/>
      <w:divBdr>
        <w:top w:val="none" w:sz="0" w:space="0" w:color="auto"/>
        <w:left w:val="none" w:sz="0" w:space="0" w:color="auto"/>
        <w:bottom w:val="none" w:sz="0" w:space="0" w:color="auto"/>
        <w:right w:val="none" w:sz="0" w:space="0" w:color="auto"/>
      </w:divBdr>
    </w:div>
    <w:div w:id="1121418510">
      <w:bodyDiv w:val="1"/>
      <w:marLeft w:val="0"/>
      <w:marRight w:val="0"/>
      <w:marTop w:val="0"/>
      <w:marBottom w:val="0"/>
      <w:divBdr>
        <w:top w:val="none" w:sz="0" w:space="0" w:color="auto"/>
        <w:left w:val="none" w:sz="0" w:space="0" w:color="auto"/>
        <w:bottom w:val="none" w:sz="0" w:space="0" w:color="auto"/>
        <w:right w:val="none" w:sz="0" w:space="0" w:color="auto"/>
      </w:divBdr>
    </w:div>
    <w:div w:id="1135172833">
      <w:bodyDiv w:val="1"/>
      <w:marLeft w:val="0"/>
      <w:marRight w:val="0"/>
      <w:marTop w:val="0"/>
      <w:marBottom w:val="0"/>
      <w:divBdr>
        <w:top w:val="none" w:sz="0" w:space="0" w:color="auto"/>
        <w:left w:val="none" w:sz="0" w:space="0" w:color="auto"/>
        <w:bottom w:val="none" w:sz="0" w:space="0" w:color="auto"/>
        <w:right w:val="none" w:sz="0" w:space="0" w:color="auto"/>
      </w:divBdr>
    </w:div>
    <w:div w:id="1143694257">
      <w:bodyDiv w:val="1"/>
      <w:marLeft w:val="0"/>
      <w:marRight w:val="0"/>
      <w:marTop w:val="0"/>
      <w:marBottom w:val="0"/>
      <w:divBdr>
        <w:top w:val="none" w:sz="0" w:space="0" w:color="auto"/>
        <w:left w:val="none" w:sz="0" w:space="0" w:color="auto"/>
        <w:bottom w:val="none" w:sz="0" w:space="0" w:color="auto"/>
        <w:right w:val="none" w:sz="0" w:space="0" w:color="auto"/>
      </w:divBdr>
    </w:div>
    <w:div w:id="1147555726">
      <w:bodyDiv w:val="1"/>
      <w:marLeft w:val="0"/>
      <w:marRight w:val="0"/>
      <w:marTop w:val="0"/>
      <w:marBottom w:val="0"/>
      <w:divBdr>
        <w:top w:val="none" w:sz="0" w:space="0" w:color="auto"/>
        <w:left w:val="none" w:sz="0" w:space="0" w:color="auto"/>
        <w:bottom w:val="none" w:sz="0" w:space="0" w:color="auto"/>
        <w:right w:val="none" w:sz="0" w:space="0" w:color="auto"/>
      </w:divBdr>
    </w:div>
    <w:div w:id="1158351230">
      <w:bodyDiv w:val="1"/>
      <w:marLeft w:val="0"/>
      <w:marRight w:val="0"/>
      <w:marTop w:val="0"/>
      <w:marBottom w:val="0"/>
      <w:divBdr>
        <w:top w:val="none" w:sz="0" w:space="0" w:color="auto"/>
        <w:left w:val="none" w:sz="0" w:space="0" w:color="auto"/>
        <w:bottom w:val="none" w:sz="0" w:space="0" w:color="auto"/>
        <w:right w:val="none" w:sz="0" w:space="0" w:color="auto"/>
      </w:divBdr>
    </w:div>
    <w:div w:id="1162966584">
      <w:bodyDiv w:val="1"/>
      <w:marLeft w:val="0"/>
      <w:marRight w:val="0"/>
      <w:marTop w:val="0"/>
      <w:marBottom w:val="0"/>
      <w:divBdr>
        <w:top w:val="none" w:sz="0" w:space="0" w:color="auto"/>
        <w:left w:val="none" w:sz="0" w:space="0" w:color="auto"/>
        <w:bottom w:val="none" w:sz="0" w:space="0" w:color="auto"/>
        <w:right w:val="none" w:sz="0" w:space="0" w:color="auto"/>
      </w:divBdr>
    </w:div>
    <w:div w:id="1163395491">
      <w:bodyDiv w:val="1"/>
      <w:marLeft w:val="0"/>
      <w:marRight w:val="0"/>
      <w:marTop w:val="0"/>
      <w:marBottom w:val="0"/>
      <w:divBdr>
        <w:top w:val="none" w:sz="0" w:space="0" w:color="auto"/>
        <w:left w:val="none" w:sz="0" w:space="0" w:color="auto"/>
        <w:bottom w:val="none" w:sz="0" w:space="0" w:color="auto"/>
        <w:right w:val="none" w:sz="0" w:space="0" w:color="auto"/>
      </w:divBdr>
    </w:div>
    <w:div w:id="1175724697">
      <w:bodyDiv w:val="1"/>
      <w:marLeft w:val="0"/>
      <w:marRight w:val="0"/>
      <w:marTop w:val="0"/>
      <w:marBottom w:val="0"/>
      <w:divBdr>
        <w:top w:val="none" w:sz="0" w:space="0" w:color="auto"/>
        <w:left w:val="none" w:sz="0" w:space="0" w:color="auto"/>
        <w:bottom w:val="none" w:sz="0" w:space="0" w:color="auto"/>
        <w:right w:val="none" w:sz="0" w:space="0" w:color="auto"/>
      </w:divBdr>
    </w:div>
    <w:div w:id="1180775662">
      <w:bodyDiv w:val="1"/>
      <w:marLeft w:val="0"/>
      <w:marRight w:val="0"/>
      <w:marTop w:val="0"/>
      <w:marBottom w:val="0"/>
      <w:divBdr>
        <w:top w:val="none" w:sz="0" w:space="0" w:color="auto"/>
        <w:left w:val="none" w:sz="0" w:space="0" w:color="auto"/>
        <w:bottom w:val="none" w:sz="0" w:space="0" w:color="auto"/>
        <w:right w:val="none" w:sz="0" w:space="0" w:color="auto"/>
      </w:divBdr>
    </w:div>
    <w:div w:id="1194080218">
      <w:bodyDiv w:val="1"/>
      <w:marLeft w:val="0"/>
      <w:marRight w:val="0"/>
      <w:marTop w:val="0"/>
      <w:marBottom w:val="0"/>
      <w:divBdr>
        <w:top w:val="none" w:sz="0" w:space="0" w:color="auto"/>
        <w:left w:val="none" w:sz="0" w:space="0" w:color="auto"/>
        <w:bottom w:val="none" w:sz="0" w:space="0" w:color="auto"/>
        <w:right w:val="none" w:sz="0" w:space="0" w:color="auto"/>
      </w:divBdr>
    </w:div>
    <w:div w:id="1202984982">
      <w:bodyDiv w:val="1"/>
      <w:marLeft w:val="0"/>
      <w:marRight w:val="0"/>
      <w:marTop w:val="0"/>
      <w:marBottom w:val="0"/>
      <w:divBdr>
        <w:top w:val="none" w:sz="0" w:space="0" w:color="auto"/>
        <w:left w:val="none" w:sz="0" w:space="0" w:color="auto"/>
        <w:bottom w:val="none" w:sz="0" w:space="0" w:color="auto"/>
        <w:right w:val="none" w:sz="0" w:space="0" w:color="auto"/>
      </w:divBdr>
      <w:divsChild>
        <w:div w:id="1138523920">
          <w:marLeft w:val="0"/>
          <w:marRight w:val="0"/>
          <w:marTop w:val="0"/>
          <w:marBottom w:val="0"/>
          <w:divBdr>
            <w:top w:val="none" w:sz="0" w:space="0" w:color="auto"/>
            <w:left w:val="none" w:sz="0" w:space="0" w:color="auto"/>
            <w:bottom w:val="none" w:sz="0" w:space="0" w:color="auto"/>
            <w:right w:val="none" w:sz="0" w:space="0" w:color="auto"/>
          </w:divBdr>
        </w:div>
      </w:divsChild>
    </w:div>
    <w:div w:id="1259018923">
      <w:bodyDiv w:val="1"/>
      <w:marLeft w:val="0"/>
      <w:marRight w:val="0"/>
      <w:marTop w:val="0"/>
      <w:marBottom w:val="0"/>
      <w:divBdr>
        <w:top w:val="none" w:sz="0" w:space="0" w:color="auto"/>
        <w:left w:val="none" w:sz="0" w:space="0" w:color="auto"/>
        <w:bottom w:val="none" w:sz="0" w:space="0" w:color="auto"/>
        <w:right w:val="none" w:sz="0" w:space="0" w:color="auto"/>
      </w:divBdr>
    </w:div>
    <w:div w:id="1276132430">
      <w:bodyDiv w:val="1"/>
      <w:marLeft w:val="0"/>
      <w:marRight w:val="0"/>
      <w:marTop w:val="0"/>
      <w:marBottom w:val="0"/>
      <w:divBdr>
        <w:top w:val="none" w:sz="0" w:space="0" w:color="auto"/>
        <w:left w:val="none" w:sz="0" w:space="0" w:color="auto"/>
        <w:bottom w:val="none" w:sz="0" w:space="0" w:color="auto"/>
        <w:right w:val="none" w:sz="0" w:space="0" w:color="auto"/>
      </w:divBdr>
      <w:divsChild>
        <w:div w:id="9068418">
          <w:marLeft w:val="0"/>
          <w:marRight w:val="0"/>
          <w:marTop w:val="0"/>
          <w:marBottom w:val="0"/>
          <w:divBdr>
            <w:top w:val="none" w:sz="0" w:space="0" w:color="auto"/>
            <w:left w:val="none" w:sz="0" w:space="0" w:color="auto"/>
            <w:bottom w:val="none" w:sz="0" w:space="0" w:color="auto"/>
            <w:right w:val="none" w:sz="0" w:space="0" w:color="auto"/>
          </w:divBdr>
        </w:div>
        <w:div w:id="612057940">
          <w:marLeft w:val="0"/>
          <w:marRight w:val="0"/>
          <w:marTop w:val="0"/>
          <w:marBottom w:val="0"/>
          <w:divBdr>
            <w:top w:val="none" w:sz="0" w:space="0" w:color="auto"/>
            <w:left w:val="none" w:sz="0" w:space="0" w:color="auto"/>
            <w:bottom w:val="none" w:sz="0" w:space="0" w:color="auto"/>
            <w:right w:val="none" w:sz="0" w:space="0" w:color="auto"/>
          </w:divBdr>
        </w:div>
        <w:div w:id="2040037333">
          <w:marLeft w:val="0"/>
          <w:marRight w:val="0"/>
          <w:marTop w:val="0"/>
          <w:marBottom w:val="0"/>
          <w:divBdr>
            <w:top w:val="none" w:sz="0" w:space="0" w:color="auto"/>
            <w:left w:val="none" w:sz="0" w:space="0" w:color="auto"/>
            <w:bottom w:val="none" w:sz="0" w:space="0" w:color="auto"/>
            <w:right w:val="none" w:sz="0" w:space="0" w:color="auto"/>
          </w:divBdr>
        </w:div>
      </w:divsChild>
    </w:div>
    <w:div w:id="1291521475">
      <w:bodyDiv w:val="1"/>
      <w:marLeft w:val="0"/>
      <w:marRight w:val="0"/>
      <w:marTop w:val="0"/>
      <w:marBottom w:val="0"/>
      <w:divBdr>
        <w:top w:val="none" w:sz="0" w:space="0" w:color="auto"/>
        <w:left w:val="none" w:sz="0" w:space="0" w:color="auto"/>
        <w:bottom w:val="none" w:sz="0" w:space="0" w:color="auto"/>
        <w:right w:val="none" w:sz="0" w:space="0" w:color="auto"/>
      </w:divBdr>
      <w:divsChild>
        <w:div w:id="589848454">
          <w:marLeft w:val="0"/>
          <w:marRight w:val="0"/>
          <w:marTop w:val="0"/>
          <w:marBottom w:val="0"/>
          <w:divBdr>
            <w:top w:val="none" w:sz="0" w:space="0" w:color="auto"/>
            <w:left w:val="none" w:sz="0" w:space="0" w:color="auto"/>
            <w:bottom w:val="none" w:sz="0" w:space="0" w:color="auto"/>
            <w:right w:val="none" w:sz="0" w:space="0" w:color="auto"/>
          </w:divBdr>
        </w:div>
        <w:div w:id="666176486">
          <w:marLeft w:val="0"/>
          <w:marRight w:val="0"/>
          <w:marTop w:val="0"/>
          <w:marBottom w:val="0"/>
          <w:divBdr>
            <w:top w:val="none" w:sz="0" w:space="0" w:color="auto"/>
            <w:left w:val="none" w:sz="0" w:space="0" w:color="auto"/>
            <w:bottom w:val="none" w:sz="0" w:space="0" w:color="auto"/>
            <w:right w:val="none" w:sz="0" w:space="0" w:color="auto"/>
          </w:divBdr>
        </w:div>
        <w:div w:id="1558321188">
          <w:marLeft w:val="0"/>
          <w:marRight w:val="0"/>
          <w:marTop w:val="0"/>
          <w:marBottom w:val="0"/>
          <w:divBdr>
            <w:top w:val="none" w:sz="0" w:space="0" w:color="auto"/>
            <w:left w:val="none" w:sz="0" w:space="0" w:color="auto"/>
            <w:bottom w:val="none" w:sz="0" w:space="0" w:color="auto"/>
            <w:right w:val="none" w:sz="0" w:space="0" w:color="auto"/>
          </w:divBdr>
        </w:div>
      </w:divsChild>
    </w:div>
    <w:div w:id="1293943132">
      <w:bodyDiv w:val="1"/>
      <w:marLeft w:val="0"/>
      <w:marRight w:val="0"/>
      <w:marTop w:val="0"/>
      <w:marBottom w:val="0"/>
      <w:divBdr>
        <w:top w:val="none" w:sz="0" w:space="0" w:color="auto"/>
        <w:left w:val="none" w:sz="0" w:space="0" w:color="auto"/>
        <w:bottom w:val="none" w:sz="0" w:space="0" w:color="auto"/>
        <w:right w:val="none" w:sz="0" w:space="0" w:color="auto"/>
      </w:divBdr>
    </w:div>
    <w:div w:id="1295062270">
      <w:bodyDiv w:val="1"/>
      <w:marLeft w:val="0"/>
      <w:marRight w:val="0"/>
      <w:marTop w:val="0"/>
      <w:marBottom w:val="0"/>
      <w:divBdr>
        <w:top w:val="none" w:sz="0" w:space="0" w:color="auto"/>
        <w:left w:val="none" w:sz="0" w:space="0" w:color="auto"/>
        <w:bottom w:val="none" w:sz="0" w:space="0" w:color="auto"/>
        <w:right w:val="none" w:sz="0" w:space="0" w:color="auto"/>
      </w:divBdr>
    </w:div>
    <w:div w:id="1315913373">
      <w:bodyDiv w:val="1"/>
      <w:marLeft w:val="0"/>
      <w:marRight w:val="0"/>
      <w:marTop w:val="0"/>
      <w:marBottom w:val="0"/>
      <w:divBdr>
        <w:top w:val="none" w:sz="0" w:space="0" w:color="auto"/>
        <w:left w:val="none" w:sz="0" w:space="0" w:color="auto"/>
        <w:bottom w:val="none" w:sz="0" w:space="0" w:color="auto"/>
        <w:right w:val="none" w:sz="0" w:space="0" w:color="auto"/>
      </w:divBdr>
    </w:div>
    <w:div w:id="1322852286">
      <w:bodyDiv w:val="1"/>
      <w:marLeft w:val="0"/>
      <w:marRight w:val="0"/>
      <w:marTop w:val="0"/>
      <w:marBottom w:val="0"/>
      <w:divBdr>
        <w:top w:val="none" w:sz="0" w:space="0" w:color="auto"/>
        <w:left w:val="none" w:sz="0" w:space="0" w:color="auto"/>
        <w:bottom w:val="none" w:sz="0" w:space="0" w:color="auto"/>
        <w:right w:val="none" w:sz="0" w:space="0" w:color="auto"/>
      </w:divBdr>
    </w:div>
    <w:div w:id="1336034926">
      <w:bodyDiv w:val="1"/>
      <w:marLeft w:val="0"/>
      <w:marRight w:val="0"/>
      <w:marTop w:val="0"/>
      <w:marBottom w:val="0"/>
      <w:divBdr>
        <w:top w:val="none" w:sz="0" w:space="0" w:color="auto"/>
        <w:left w:val="none" w:sz="0" w:space="0" w:color="auto"/>
        <w:bottom w:val="none" w:sz="0" w:space="0" w:color="auto"/>
        <w:right w:val="none" w:sz="0" w:space="0" w:color="auto"/>
      </w:divBdr>
    </w:div>
    <w:div w:id="1340617472">
      <w:bodyDiv w:val="1"/>
      <w:marLeft w:val="0"/>
      <w:marRight w:val="0"/>
      <w:marTop w:val="0"/>
      <w:marBottom w:val="0"/>
      <w:divBdr>
        <w:top w:val="none" w:sz="0" w:space="0" w:color="auto"/>
        <w:left w:val="none" w:sz="0" w:space="0" w:color="auto"/>
        <w:bottom w:val="none" w:sz="0" w:space="0" w:color="auto"/>
        <w:right w:val="none" w:sz="0" w:space="0" w:color="auto"/>
      </w:divBdr>
    </w:div>
    <w:div w:id="1344012954">
      <w:bodyDiv w:val="1"/>
      <w:marLeft w:val="0"/>
      <w:marRight w:val="0"/>
      <w:marTop w:val="0"/>
      <w:marBottom w:val="0"/>
      <w:divBdr>
        <w:top w:val="none" w:sz="0" w:space="0" w:color="auto"/>
        <w:left w:val="none" w:sz="0" w:space="0" w:color="auto"/>
        <w:bottom w:val="none" w:sz="0" w:space="0" w:color="auto"/>
        <w:right w:val="none" w:sz="0" w:space="0" w:color="auto"/>
      </w:divBdr>
    </w:div>
    <w:div w:id="1344673126">
      <w:bodyDiv w:val="1"/>
      <w:marLeft w:val="0"/>
      <w:marRight w:val="0"/>
      <w:marTop w:val="0"/>
      <w:marBottom w:val="0"/>
      <w:divBdr>
        <w:top w:val="none" w:sz="0" w:space="0" w:color="auto"/>
        <w:left w:val="none" w:sz="0" w:space="0" w:color="auto"/>
        <w:bottom w:val="none" w:sz="0" w:space="0" w:color="auto"/>
        <w:right w:val="none" w:sz="0" w:space="0" w:color="auto"/>
      </w:divBdr>
      <w:divsChild>
        <w:div w:id="334118534">
          <w:marLeft w:val="0"/>
          <w:marRight w:val="0"/>
          <w:marTop w:val="0"/>
          <w:marBottom w:val="0"/>
          <w:divBdr>
            <w:top w:val="none" w:sz="0" w:space="0" w:color="auto"/>
            <w:left w:val="none" w:sz="0" w:space="0" w:color="auto"/>
            <w:bottom w:val="none" w:sz="0" w:space="0" w:color="auto"/>
            <w:right w:val="none" w:sz="0" w:space="0" w:color="auto"/>
          </w:divBdr>
        </w:div>
        <w:div w:id="712386819">
          <w:marLeft w:val="0"/>
          <w:marRight w:val="0"/>
          <w:marTop w:val="0"/>
          <w:marBottom w:val="0"/>
          <w:divBdr>
            <w:top w:val="none" w:sz="0" w:space="0" w:color="auto"/>
            <w:left w:val="none" w:sz="0" w:space="0" w:color="auto"/>
            <w:bottom w:val="none" w:sz="0" w:space="0" w:color="auto"/>
            <w:right w:val="none" w:sz="0" w:space="0" w:color="auto"/>
          </w:divBdr>
        </w:div>
        <w:div w:id="1805853981">
          <w:marLeft w:val="0"/>
          <w:marRight w:val="0"/>
          <w:marTop w:val="0"/>
          <w:marBottom w:val="0"/>
          <w:divBdr>
            <w:top w:val="none" w:sz="0" w:space="0" w:color="auto"/>
            <w:left w:val="none" w:sz="0" w:space="0" w:color="auto"/>
            <w:bottom w:val="none" w:sz="0" w:space="0" w:color="auto"/>
            <w:right w:val="none" w:sz="0" w:space="0" w:color="auto"/>
          </w:divBdr>
        </w:div>
      </w:divsChild>
    </w:div>
    <w:div w:id="1364592763">
      <w:bodyDiv w:val="1"/>
      <w:marLeft w:val="0"/>
      <w:marRight w:val="0"/>
      <w:marTop w:val="0"/>
      <w:marBottom w:val="0"/>
      <w:divBdr>
        <w:top w:val="none" w:sz="0" w:space="0" w:color="auto"/>
        <w:left w:val="none" w:sz="0" w:space="0" w:color="auto"/>
        <w:bottom w:val="none" w:sz="0" w:space="0" w:color="auto"/>
        <w:right w:val="none" w:sz="0" w:space="0" w:color="auto"/>
      </w:divBdr>
    </w:div>
    <w:div w:id="1376468678">
      <w:bodyDiv w:val="1"/>
      <w:marLeft w:val="0"/>
      <w:marRight w:val="0"/>
      <w:marTop w:val="0"/>
      <w:marBottom w:val="0"/>
      <w:divBdr>
        <w:top w:val="none" w:sz="0" w:space="0" w:color="auto"/>
        <w:left w:val="none" w:sz="0" w:space="0" w:color="auto"/>
        <w:bottom w:val="none" w:sz="0" w:space="0" w:color="auto"/>
        <w:right w:val="none" w:sz="0" w:space="0" w:color="auto"/>
      </w:divBdr>
    </w:div>
    <w:div w:id="1388337399">
      <w:bodyDiv w:val="1"/>
      <w:marLeft w:val="0"/>
      <w:marRight w:val="0"/>
      <w:marTop w:val="0"/>
      <w:marBottom w:val="0"/>
      <w:divBdr>
        <w:top w:val="none" w:sz="0" w:space="0" w:color="auto"/>
        <w:left w:val="none" w:sz="0" w:space="0" w:color="auto"/>
        <w:bottom w:val="none" w:sz="0" w:space="0" w:color="auto"/>
        <w:right w:val="none" w:sz="0" w:space="0" w:color="auto"/>
      </w:divBdr>
      <w:divsChild>
        <w:div w:id="1152520819">
          <w:marLeft w:val="446"/>
          <w:marRight w:val="0"/>
          <w:marTop w:val="62"/>
          <w:marBottom w:val="0"/>
          <w:divBdr>
            <w:top w:val="none" w:sz="0" w:space="0" w:color="auto"/>
            <w:left w:val="none" w:sz="0" w:space="0" w:color="auto"/>
            <w:bottom w:val="none" w:sz="0" w:space="0" w:color="auto"/>
            <w:right w:val="none" w:sz="0" w:space="0" w:color="auto"/>
          </w:divBdr>
        </w:div>
      </w:divsChild>
    </w:div>
    <w:div w:id="1405180540">
      <w:bodyDiv w:val="1"/>
      <w:marLeft w:val="0"/>
      <w:marRight w:val="0"/>
      <w:marTop w:val="0"/>
      <w:marBottom w:val="0"/>
      <w:divBdr>
        <w:top w:val="none" w:sz="0" w:space="0" w:color="auto"/>
        <w:left w:val="none" w:sz="0" w:space="0" w:color="auto"/>
        <w:bottom w:val="none" w:sz="0" w:space="0" w:color="auto"/>
        <w:right w:val="none" w:sz="0" w:space="0" w:color="auto"/>
      </w:divBdr>
      <w:divsChild>
        <w:div w:id="512962185">
          <w:marLeft w:val="0"/>
          <w:marRight w:val="0"/>
          <w:marTop w:val="0"/>
          <w:marBottom w:val="0"/>
          <w:divBdr>
            <w:top w:val="none" w:sz="0" w:space="0" w:color="auto"/>
            <w:left w:val="none" w:sz="0" w:space="0" w:color="auto"/>
            <w:bottom w:val="none" w:sz="0" w:space="0" w:color="auto"/>
            <w:right w:val="none" w:sz="0" w:space="0" w:color="auto"/>
          </w:divBdr>
        </w:div>
        <w:div w:id="539632424">
          <w:marLeft w:val="0"/>
          <w:marRight w:val="0"/>
          <w:marTop w:val="0"/>
          <w:marBottom w:val="0"/>
          <w:divBdr>
            <w:top w:val="none" w:sz="0" w:space="0" w:color="auto"/>
            <w:left w:val="none" w:sz="0" w:space="0" w:color="auto"/>
            <w:bottom w:val="none" w:sz="0" w:space="0" w:color="auto"/>
            <w:right w:val="none" w:sz="0" w:space="0" w:color="auto"/>
          </w:divBdr>
        </w:div>
        <w:div w:id="633026922">
          <w:marLeft w:val="0"/>
          <w:marRight w:val="0"/>
          <w:marTop w:val="0"/>
          <w:marBottom w:val="0"/>
          <w:divBdr>
            <w:top w:val="none" w:sz="0" w:space="0" w:color="auto"/>
            <w:left w:val="none" w:sz="0" w:space="0" w:color="auto"/>
            <w:bottom w:val="none" w:sz="0" w:space="0" w:color="auto"/>
            <w:right w:val="none" w:sz="0" w:space="0" w:color="auto"/>
          </w:divBdr>
        </w:div>
        <w:div w:id="905064602">
          <w:marLeft w:val="0"/>
          <w:marRight w:val="0"/>
          <w:marTop w:val="0"/>
          <w:marBottom w:val="0"/>
          <w:divBdr>
            <w:top w:val="none" w:sz="0" w:space="0" w:color="auto"/>
            <w:left w:val="none" w:sz="0" w:space="0" w:color="auto"/>
            <w:bottom w:val="none" w:sz="0" w:space="0" w:color="auto"/>
            <w:right w:val="none" w:sz="0" w:space="0" w:color="auto"/>
          </w:divBdr>
        </w:div>
        <w:div w:id="968360254">
          <w:marLeft w:val="0"/>
          <w:marRight w:val="0"/>
          <w:marTop w:val="0"/>
          <w:marBottom w:val="0"/>
          <w:divBdr>
            <w:top w:val="none" w:sz="0" w:space="0" w:color="auto"/>
            <w:left w:val="none" w:sz="0" w:space="0" w:color="auto"/>
            <w:bottom w:val="none" w:sz="0" w:space="0" w:color="auto"/>
            <w:right w:val="none" w:sz="0" w:space="0" w:color="auto"/>
          </w:divBdr>
        </w:div>
        <w:div w:id="1365909008">
          <w:marLeft w:val="0"/>
          <w:marRight w:val="0"/>
          <w:marTop w:val="0"/>
          <w:marBottom w:val="0"/>
          <w:divBdr>
            <w:top w:val="none" w:sz="0" w:space="0" w:color="auto"/>
            <w:left w:val="none" w:sz="0" w:space="0" w:color="auto"/>
            <w:bottom w:val="none" w:sz="0" w:space="0" w:color="auto"/>
            <w:right w:val="none" w:sz="0" w:space="0" w:color="auto"/>
          </w:divBdr>
        </w:div>
        <w:div w:id="1595868449">
          <w:marLeft w:val="0"/>
          <w:marRight w:val="0"/>
          <w:marTop w:val="0"/>
          <w:marBottom w:val="0"/>
          <w:divBdr>
            <w:top w:val="none" w:sz="0" w:space="0" w:color="auto"/>
            <w:left w:val="none" w:sz="0" w:space="0" w:color="auto"/>
            <w:bottom w:val="none" w:sz="0" w:space="0" w:color="auto"/>
            <w:right w:val="none" w:sz="0" w:space="0" w:color="auto"/>
          </w:divBdr>
        </w:div>
        <w:div w:id="1746800470">
          <w:marLeft w:val="0"/>
          <w:marRight w:val="0"/>
          <w:marTop w:val="0"/>
          <w:marBottom w:val="0"/>
          <w:divBdr>
            <w:top w:val="none" w:sz="0" w:space="0" w:color="auto"/>
            <w:left w:val="none" w:sz="0" w:space="0" w:color="auto"/>
            <w:bottom w:val="none" w:sz="0" w:space="0" w:color="auto"/>
            <w:right w:val="none" w:sz="0" w:space="0" w:color="auto"/>
          </w:divBdr>
        </w:div>
      </w:divsChild>
    </w:div>
    <w:div w:id="1414858235">
      <w:bodyDiv w:val="1"/>
      <w:marLeft w:val="0"/>
      <w:marRight w:val="0"/>
      <w:marTop w:val="0"/>
      <w:marBottom w:val="0"/>
      <w:divBdr>
        <w:top w:val="none" w:sz="0" w:space="0" w:color="auto"/>
        <w:left w:val="none" w:sz="0" w:space="0" w:color="auto"/>
        <w:bottom w:val="none" w:sz="0" w:space="0" w:color="auto"/>
        <w:right w:val="none" w:sz="0" w:space="0" w:color="auto"/>
      </w:divBdr>
    </w:div>
    <w:div w:id="1434785423">
      <w:bodyDiv w:val="1"/>
      <w:marLeft w:val="0"/>
      <w:marRight w:val="0"/>
      <w:marTop w:val="0"/>
      <w:marBottom w:val="0"/>
      <w:divBdr>
        <w:top w:val="none" w:sz="0" w:space="0" w:color="auto"/>
        <w:left w:val="none" w:sz="0" w:space="0" w:color="auto"/>
        <w:bottom w:val="none" w:sz="0" w:space="0" w:color="auto"/>
        <w:right w:val="none" w:sz="0" w:space="0" w:color="auto"/>
      </w:divBdr>
    </w:div>
    <w:div w:id="1438982104">
      <w:bodyDiv w:val="1"/>
      <w:marLeft w:val="0"/>
      <w:marRight w:val="0"/>
      <w:marTop w:val="0"/>
      <w:marBottom w:val="0"/>
      <w:divBdr>
        <w:top w:val="none" w:sz="0" w:space="0" w:color="auto"/>
        <w:left w:val="none" w:sz="0" w:space="0" w:color="auto"/>
        <w:bottom w:val="none" w:sz="0" w:space="0" w:color="auto"/>
        <w:right w:val="none" w:sz="0" w:space="0" w:color="auto"/>
      </w:divBdr>
    </w:div>
    <w:div w:id="1444156870">
      <w:bodyDiv w:val="1"/>
      <w:marLeft w:val="0"/>
      <w:marRight w:val="0"/>
      <w:marTop w:val="0"/>
      <w:marBottom w:val="0"/>
      <w:divBdr>
        <w:top w:val="none" w:sz="0" w:space="0" w:color="auto"/>
        <w:left w:val="none" w:sz="0" w:space="0" w:color="auto"/>
        <w:bottom w:val="none" w:sz="0" w:space="0" w:color="auto"/>
        <w:right w:val="none" w:sz="0" w:space="0" w:color="auto"/>
      </w:divBdr>
    </w:div>
    <w:div w:id="1447115214">
      <w:bodyDiv w:val="1"/>
      <w:marLeft w:val="0"/>
      <w:marRight w:val="0"/>
      <w:marTop w:val="0"/>
      <w:marBottom w:val="0"/>
      <w:divBdr>
        <w:top w:val="none" w:sz="0" w:space="0" w:color="auto"/>
        <w:left w:val="none" w:sz="0" w:space="0" w:color="auto"/>
        <w:bottom w:val="none" w:sz="0" w:space="0" w:color="auto"/>
        <w:right w:val="none" w:sz="0" w:space="0" w:color="auto"/>
      </w:divBdr>
      <w:divsChild>
        <w:div w:id="648246225">
          <w:marLeft w:val="446"/>
          <w:marRight w:val="0"/>
          <w:marTop w:val="62"/>
          <w:marBottom w:val="0"/>
          <w:divBdr>
            <w:top w:val="none" w:sz="0" w:space="0" w:color="auto"/>
            <w:left w:val="none" w:sz="0" w:space="0" w:color="auto"/>
            <w:bottom w:val="none" w:sz="0" w:space="0" w:color="auto"/>
            <w:right w:val="none" w:sz="0" w:space="0" w:color="auto"/>
          </w:divBdr>
        </w:div>
      </w:divsChild>
    </w:div>
    <w:div w:id="1516267107">
      <w:bodyDiv w:val="1"/>
      <w:marLeft w:val="0"/>
      <w:marRight w:val="0"/>
      <w:marTop w:val="0"/>
      <w:marBottom w:val="0"/>
      <w:divBdr>
        <w:top w:val="none" w:sz="0" w:space="0" w:color="auto"/>
        <w:left w:val="none" w:sz="0" w:space="0" w:color="auto"/>
        <w:bottom w:val="none" w:sz="0" w:space="0" w:color="auto"/>
        <w:right w:val="none" w:sz="0" w:space="0" w:color="auto"/>
      </w:divBdr>
    </w:div>
    <w:div w:id="1516580867">
      <w:bodyDiv w:val="1"/>
      <w:marLeft w:val="0"/>
      <w:marRight w:val="0"/>
      <w:marTop w:val="0"/>
      <w:marBottom w:val="0"/>
      <w:divBdr>
        <w:top w:val="none" w:sz="0" w:space="0" w:color="auto"/>
        <w:left w:val="none" w:sz="0" w:space="0" w:color="auto"/>
        <w:bottom w:val="none" w:sz="0" w:space="0" w:color="auto"/>
        <w:right w:val="none" w:sz="0" w:space="0" w:color="auto"/>
      </w:divBdr>
    </w:div>
    <w:div w:id="1527909600">
      <w:bodyDiv w:val="1"/>
      <w:marLeft w:val="0"/>
      <w:marRight w:val="0"/>
      <w:marTop w:val="0"/>
      <w:marBottom w:val="0"/>
      <w:divBdr>
        <w:top w:val="none" w:sz="0" w:space="0" w:color="auto"/>
        <w:left w:val="none" w:sz="0" w:space="0" w:color="auto"/>
        <w:bottom w:val="none" w:sz="0" w:space="0" w:color="auto"/>
        <w:right w:val="none" w:sz="0" w:space="0" w:color="auto"/>
      </w:divBdr>
    </w:div>
    <w:div w:id="1583954730">
      <w:bodyDiv w:val="1"/>
      <w:marLeft w:val="0"/>
      <w:marRight w:val="0"/>
      <w:marTop w:val="0"/>
      <w:marBottom w:val="0"/>
      <w:divBdr>
        <w:top w:val="none" w:sz="0" w:space="0" w:color="auto"/>
        <w:left w:val="none" w:sz="0" w:space="0" w:color="auto"/>
        <w:bottom w:val="none" w:sz="0" w:space="0" w:color="auto"/>
        <w:right w:val="none" w:sz="0" w:space="0" w:color="auto"/>
      </w:divBdr>
    </w:div>
    <w:div w:id="1589460088">
      <w:bodyDiv w:val="1"/>
      <w:marLeft w:val="0"/>
      <w:marRight w:val="0"/>
      <w:marTop w:val="0"/>
      <w:marBottom w:val="0"/>
      <w:divBdr>
        <w:top w:val="none" w:sz="0" w:space="0" w:color="auto"/>
        <w:left w:val="none" w:sz="0" w:space="0" w:color="auto"/>
        <w:bottom w:val="none" w:sz="0" w:space="0" w:color="auto"/>
        <w:right w:val="none" w:sz="0" w:space="0" w:color="auto"/>
      </w:divBdr>
    </w:div>
    <w:div w:id="1615095745">
      <w:bodyDiv w:val="1"/>
      <w:marLeft w:val="0"/>
      <w:marRight w:val="0"/>
      <w:marTop w:val="0"/>
      <w:marBottom w:val="0"/>
      <w:divBdr>
        <w:top w:val="none" w:sz="0" w:space="0" w:color="auto"/>
        <w:left w:val="none" w:sz="0" w:space="0" w:color="auto"/>
        <w:bottom w:val="none" w:sz="0" w:space="0" w:color="auto"/>
        <w:right w:val="none" w:sz="0" w:space="0" w:color="auto"/>
      </w:divBdr>
    </w:div>
    <w:div w:id="1622760299">
      <w:bodyDiv w:val="1"/>
      <w:marLeft w:val="0"/>
      <w:marRight w:val="0"/>
      <w:marTop w:val="0"/>
      <w:marBottom w:val="0"/>
      <w:divBdr>
        <w:top w:val="none" w:sz="0" w:space="0" w:color="auto"/>
        <w:left w:val="none" w:sz="0" w:space="0" w:color="auto"/>
        <w:bottom w:val="none" w:sz="0" w:space="0" w:color="auto"/>
        <w:right w:val="none" w:sz="0" w:space="0" w:color="auto"/>
      </w:divBdr>
    </w:div>
    <w:div w:id="1628394382">
      <w:bodyDiv w:val="1"/>
      <w:marLeft w:val="0"/>
      <w:marRight w:val="0"/>
      <w:marTop w:val="0"/>
      <w:marBottom w:val="0"/>
      <w:divBdr>
        <w:top w:val="none" w:sz="0" w:space="0" w:color="auto"/>
        <w:left w:val="none" w:sz="0" w:space="0" w:color="auto"/>
        <w:bottom w:val="none" w:sz="0" w:space="0" w:color="auto"/>
        <w:right w:val="none" w:sz="0" w:space="0" w:color="auto"/>
      </w:divBdr>
    </w:div>
    <w:div w:id="1639608702">
      <w:bodyDiv w:val="1"/>
      <w:marLeft w:val="0"/>
      <w:marRight w:val="0"/>
      <w:marTop w:val="0"/>
      <w:marBottom w:val="0"/>
      <w:divBdr>
        <w:top w:val="none" w:sz="0" w:space="0" w:color="auto"/>
        <w:left w:val="none" w:sz="0" w:space="0" w:color="auto"/>
        <w:bottom w:val="none" w:sz="0" w:space="0" w:color="auto"/>
        <w:right w:val="none" w:sz="0" w:space="0" w:color="auto"/>
      </w:divBdr>
    </w:div>
    <w:div w:id="1645889403">
      <w:bodyDiv w:val="1"/>
      <w:marLeft w:val="0"/>
      <w:marRight w:val="0"/>
      <w:marTop w:val="0"/>
      <w:marBottom w:val="0"/>
      <w:divBdr>
        <w:top w:val="none" w:sz="0" w:space="0" w:color="auto"/>
        <w:left w:val="none" w:sz="0" w:space="0" w:color="auto"/>
        <w:bottom w:val="none" w:sz="0" w:space="0" w:color="auto"/>
        <w:right w:val="none" w:sz="0" w:space="0" w:color="auto"/>
      </w:divBdr>
    </w:div>
    <w:div w:id="1654677626">
      <w:bodyDiv w:val="1"/>
      <w:marLeft w:val="0"/>
      <w:marRight w:val="0"/>
      <w:marTop w:val="0"/>
      <w:marBottom w:val="0"/>
      <w:divBdr>
        <w:top w:val="none" w:sz="0" w:space="0" w:color="auto"/>
        <w:left w:val="none" w:sz="0" w:space="0" w:color="auto"/>
        <w:bottom w:val="none" w:sz="0" w:space="0" w:color="auto"/>
        <w:right w:val="none" w:sz="0" w:space="0" w:color="auto"/>
      </w:divBdr>
    </w:div>
    <w:div w:id="1656958208">
      <w:bodyDiv w:val="1"/>
      <w:marLeft w:val="0"/>
      <w:marRight w:val="0"/>
      <w:marTop w:val="0"/>
      <w:marBottom w:val="0"/>
      <w:divBdr>
        <w:top w:val="none" w:sz="0" w:space="0" w:color="auto"/>
        <w:left w:val="none" w:sz="0" w:space="0" w:color="auto"/>
        <w:bottom w:val="none" w:sz="0" w:space="0" w:color="auto"/>
        <w:right w:val="none" w:sz="0" w:space="0" w:color="auto"/>
      </w:divBdr>
    </w:div>
    <w:div w:id="1690597506">
      <w:bodyDiv w:val="1"/>
      <w:marLeft w:val="0"/>
      <w:marRight w:val="0"/>
      <w:marTop w:val="0"/>
      <w:marBottom w:val="0"/>
      <w:divBdr>
        <w:top w:val="none" w:sz="0" w:space="0" w:color="auto"/>
        <w:left w:val="none" w:sz="0" w:space="0" w:color="auto"/>
        <w:bottom w:val="none" w:sz="0" w:space="0" w:color="auto"/>
        <w:right w:val="none" w:sz="0" w:space="0" w:color="auto"/>
      </w:divBdr>
    </w:div>
    <w:div w:id="1692414212">
      <w:bodyDiv w:val="1"/>
      <w:marLeft w:val="0"/>
      <w:marRight w:val="0"/>
      <w:marTop w:val="0"/>
      <w:marBottom w:val="0"/>
      <w:divBdr>
        <w:top w:val="none" w:sz="0" w:space="0" w:color="auto"/>
        <w:left w:val="none" w:sz="0" w:space="0" w:color="auto"/>
        <w:bottom w:val="none" w:sz="0" w:space="0" w:color="auto"/>
        <w:right w:val="none" w:sz="0" w:space="0" w:color="auto"/>
      </w:divBdr>
    </w:div>
    <w:div w:id="1695496317">
      <w:bodyDiv w:val="1"/>
      <w:marLeft w:val="0"/>
      <w:marRight w:val="0"/>
      <w:marTop w:val="0"/>
      <w:marBottom w:val="0"/>
      <w:divBdr>
        <w:top w:val="none" w:sz="0" w:space="0" w:color="auto"/>
        <w:left w:val="none" w:sz="0" w:space="0" w:color="auto"/>
        <w:bottom w:val="none" w:sz="0" w:space="0" w:color="auto"/>
        <w:right w:val="none" w:sz="0" w:space="0" w:color="auto"/>
      </w:divBdr>
    </w:div>
    <w:div w:id="1703285100">
      <w:bodyDiv w:val="1"/>
      <w:marLeft w:val="0"/>
      <w:marRight w:val="0"/>
      <w:marTop w:val="0"/>
      <w:marBottom w:val="0"/>
      <w:divBdr>
        <w:top w:val="none" w:sz="0" w:space="0" w:color="auto"/>
        <w:left w:val="none" w:sz="0" w:space="0" w:color="auto"/>
        <w:bottom w:val="none" w:sz="0" w:space="0" w:color="auto"/>
        <w:right w:val="none" w:sz="0" w:space="0" w:color="auto"/>
      </w:divBdr>
    </w:div>
    <w:div w:id="1747612539">
      <w:bodyDiv w:val="1"/>
      <w:marLeft w:val="0"/>
      <w:marRight w:val="0"/>
      <w:marTop w:val="0"/>
      <w:marBottom w:val="0"/>
      <w:divBdr>
        <w:top w:val="none" w:sz="0" w:space="0" w:color="auto"/>
        <w:left w:val="none" w:sz="0" w:space="0" w:color="auto"/>
        <w:bottom w:val="none" w:sz="0" w:space="0" w:color="auto"/>
        <w:right w:val="none" w:sz="0" w:space="0" w:color="auto"/>
      </w:divBdr>
    </w:div>
    <w:div w:id="1748070486">
      <w:bodyDiv w:val="1"/>
      <w:marLeft w:val="0"/>
      <w:marRight w:val="0"/>
      <w:marTop w:val="0"/>
      <w:marBottom w:val="0"/>
      <w:divBdr>
        <w:top w:val="none" w:sz="0" w:space="0" w:color="auto"/>
        <w:left w:val="none" w:sz="0" w:space="0" w:color="auto"/>
        <w:bottom w:val="none" w:sz="0" w:space="0" w:color="auto"/>
        <w:right w:val="none" w:sz="0" w:space="0" w:color="auto"/>
      </w:divBdr>
    </w:div>
    <w:div w:id="1768501266">
      <w:bodyDiv w:val="1"/>
      <w:marLeft w:val="0"/>
      <w:marRight w:val="0"/>
      <w:marTop w:val="0"/>
      <w:marBottom w:val="0"/>
      <w:divBdr>
        <w:top w:val="none" w:sz="0" w:space="0" w:color="auto"/>
        <w:left w:val="none" w:sz="0" w:space="0" w:color="auto"/>
        <w:bottom w:val="none" w:sz="0" w:space="0" w:color="auto"/>
        <w:right w:val="none" w:sz="0" w:space="0" w:color="auto"/>
      </w:divBdr>
    </w:div>
    <w:div w:id="1773864541">
      <w:bodyDiv w:val="1"/>
      <w:marLeft w:val="0"/>
      <w:marRight w:val="0"/>
      <w:marTop w:val="0"/>
      <w:marBottom w:val="0"/>
      <w:divBdr>
        <w:top w:val="none" w:sz="0" w:space="0" w:color="auto"/>
        <w:left w:val="none" w:sz="0" w:space="0" w:color="auto"/>
        <w:bottom w:val="none" w:sz="0" w:space="0" w:color="auto"/>
        <w:right w:val="none" w:sz="0" w:space="0" w:color="auto"/>
      </w:divBdr>
      <w:divsChild>
        <w:div w:id="1237210184">
          <w:marLeft w:val="0"/>
          <w:marRight w:val="0"/>
          <w:marTop w:val="0"/>
          <w:marBottom w:val="0"/>
          <w:divBdr>
            <w:top w:val="none" w:sz="0" w:space="0" w:color="auto"/>
            <w:left w:val="none" w:sz="0" w:space="0" w:color="auto"/>
            <w:bottom w:val="none" w:sz="0" w:space="0" w:color="auto"/>
            <w:right w:val="none" w:sz="0" w:space="0" w:color="auto"/>
          </w:divBdr>
        </w:div>
      </w:divsChild>
    </w:div>
    <w:div w:id="1792892983">
      <w:bodyDiv w:val="1"/>
      <w:marLeft w:val="0"/>
      <w:marRight w:val="0"/>
      <w:marTop w:val="0"/>
      <w:marBottom w:val="0"/>
      <w:divBdr>
        <w:top w:val="none" w:sz="0" w:space="0" w:color="auto"/>
        <w:left w:val="none" w:sz="0" w:space="0" w:color="auto"/>
        <w:bottom w:val="none" w:sz="0" w:space="0" w:color="auto"/>
        <w:right w:val="none" w:sz="0" w:space="0" w:color="auto"/>
      </w:divBdr>
    </w:div>
    <w:div w:id="1800954472">
      <w:bodyDiv w:val="1"/>
      <w:marLeft w:val="0"/>
      <w:marRight w:val="0"/>
      <w:marTop w:val="0"/>
      <w:marBottom w:val="0"/>
      <w:divBdr>
        <w:top w:val="none" w:sz="0" w:space="0" w:color="auto"/>
        <w:left w:val="none" w:sz="0" w:space="0" w:color="auto"/>
        <w:bottom w:val="none" w:sz="0" w:space="0" w:color="auto"/>
        <w:right w:val="none" w:sz="0" w:space="0" w:color="auto"/>
      </w:divBdr>
    </w:div>
    <w:div w:id="1823110262">
      <w:bodyDiv w:val="1"/>
      <w:marLeft w:val="0"/>
      <w:marRight w:val="0"/>
      <w:marTop w:val="0"/>
      <w:marBottom w:val="0"/>
      <w:divBdr>
        <w:top w:val="none" w:sz="0" w:space="0" w:color="auto"/>
        <w:left w:val="none" w:sz="0" w:space="0" w:color="auto"/>
        <w:bottom w:val="none" w:sz="0" w:space="0" w:color="auto"/>
        <w:right w:val="none" w:sz="0" w:space="0" w:color="auto"/>
      </w:divBdr>
    </w:div>
    <w:div w:id="1827357250">
      <w:bodyDiv w:val="1"/>
      <w:marLeft w:val="0"/>
      <w:marRight w:val="0"/>
      <w:marTop w:val="0"/>
      <w:marBottom w:val="0"/>
      <w:divBdr>
        <w:top w:val="none" w:sz="0" w:space="0" w:color="auto"/>
        <w:left w:val="none" w:sz="0" w:space="0" w:color="auto"/>
        <w:bottom w:val="none" w:sz="0" w:space="0" w:color="auto"/>
        <w:right w:val="none" w:sz="0" w:space="0" w:color="auto"/>
      </w:divBdr>
    </w:div>
    <w:div w:id="1830290360">
      <w:bodyDiv w:val="1"/>
      <w:marLeft w:val="0"/>
      <w:marRight w:val="0"/>
      <w:marTop w:val="0"/>
      <w:marBottom w:val="0"/>
      <w:divBdr>
        <w:top w:val="none" w:sz="0" w:space="0" w:color="auto"/>
        <w:left w:val="none" w:sz="0" w:space="0" w:color="auto"/>
        <w:bottom w:val="none" w:sz="0" w:space="0" w:color="auto"/>
        <w:right w:val="none" w:sz="0" w:space="0" w:color="auto"/>
      </w:divBdr>
    </w:div>
    <w:div w:id="1865246120">
      <w:bodyDiv w:val="1"/>
      <w:marLeft w:val="0"/>
      <w:marRight w:val="0"/>
      <w:marTop w:val="0"/>
      <w:marBottom w:val="0"/>
      <w:divBdr>
        <w:top w:val="none" w:sz="0" w:space="0" w:color="auto"/>
        <w:left w:val="none" w:sz="0" w:space="0" w:color="auto"/>
        <w:bottom w:val="none" w:sz="0" w:space="0" w:color="auto"/>
        <w:right w:val="none" w:sz="0" w:space="0" w:color="auto"/>
      </w:divBdr>
    </w:div>
    <w:div w:id="1885942974">
      <w:bodyDiv w:val="1"/>
      <w:marLeft w:val="0"/>
      <w:marRight w:val="0"/>
      <w:marTop w:val="0"/>
      <w:marBottom w:val="0"/>
      <w:divBdr>
        <w:top w:val="none" w:sz="0" w:space="0" w:color="auto"/>
        <w:left w:val="none" w:sz="0" w:space="0" w:color="auto"/>
        <w:bottom w:val="none" w:sz="0" w:space="0" w:color="auto"/>
        <w:right w:val="none" w:sz="0" w:space="0" w:color="auto"/>
      </w:divBdr>
    </w:div>
    <w:div w:id="1925333510">
      <w:bodyDiv w:val="1"/>
      <w:marLeft w:val="0"/>
      <w:marRight w:val="0"/>
      <w:marTop w:val="0"/>
      <w:marBottom w:val="0"/>
      <w:divBdr>
        <w:top w:val="none" w:sz="0" w:space="0" w:color="auto"/>
        <w:left w:val="none" w:sz="0" w:space="0" w:color="auto"/>
        <w:bottom w:val="none" w:sz="0" w:space="0" w:color="auto"/>
        <w:right w:val="none" w:sz="0" w:space="0" w:color="auto"/>
      </w:divBdr>
      <w:divsChild>
        <w:div w:id="763570175">
          <w:marLeft w:val="0"/>
          <w:marRight w:val="0"/>
          <w:marTop w:val="0"/>
          <w:marBottom w:val="0"/>
          <w:divBdr>
            <w:top w:val="none" w:sz="0" w:space="0" w:color="auto"/>
            <w:left w:val="none" w:sz="0" w:space="0" w:color="auto"/>
            <w:bottom w:val="none" w:sz="0" w:space="0" w:color="auto"/>
            <w:right w:val="none" w:sz="0" w:space="0" w:color="auto"/>
          </w:divBdr>
        </w:div>
        <w:div w:id="1247568485">
          <w:marLeft w:val="0"/>
          <w:marRight w:val="0"/>
          <w:marTop w:val="0"/>
          <w:marBottom w:val="0"/>
          <w:divBdr>
            <w:top w:val="none" w:sz="0" w:space="0" w:color="auto"/>
            <w:left w:val="none" w:sz="0" w:space="0" w:color="auto"/>
            <w:bottom w:val="none" w:sz="0" w:space="0" w:color="auto"/>
            <w:right w:val="none" w:sz="0" w:space="0" w:color="auto"/>
          </w:divBdr>
          <w:divsChild>
            <w:div w:id="42678475">
              <w:marLeft w:val="0"/>
              <w:marRight w:val="0"/>
              <w:marTop w:val="0"/>
              <w:marBottom w:val="0"/>
              <w:divBdr>
                <w:top w:val="none" w:sz="0" w:space="0" w:color="auto"/>
                <w:left w:val="none" w:sz="0" w:space="0" w:color="auto"/>
                <w:bottom w:val="none" w:sz="0" w:space="0" w:color="auto"/>
                <w:right w:val="none" w:sz="0" w:space="0" w:color="auto"/>
              </w:divBdr>
            </w:div>
            <w:div w:id="187742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8843">
      <w:bodyDiv w:val="1"/>
      <w:marLeft w:val="0"/>
      <w:marRight w:val="0"/>
      <w:marTop w:val="0"/>
      <w:marBottom w:val="0"/>
      <w:divBdr>
        <w:top w:val="none" w:sz="0" w:space="0" w:color="auto"/>
        <w:left w:val="none" w:sz="0" w:space="0" w:color="auto"/>
        <w:bottom w:val="none" w:sz="0" w:space="0" w:color="auto"/>
        <w:right w:val="none" w:sz="0" w:space="0" w:color="auto"/>
      </w:divBdr>
      <w:divsChild>
        <w:div w:id="509805498">
          <w:marLeft w:val="0"/>
          <w:marRight w:val="0"/>
          <w:marTop w:val="0"/>
          <w:marBottom w:val="0"/>
          <w:divBdr>
            <w:top w:val="none" w:sz="0" w:space="0" w:color="auto"/>
            <w:left w:val="none" w:sz="0" w:space="0" w:color="auto"/>
            <w:bottom w:val="none" w:sz="0" w:space="0" w:color="auto"/>
            <w:right w:val="none" w:sz="0" w:space="0" w:color="auto"/>
          </w:divBdr>
        </w:div>
      </w:divsChild>
    </w:div>
    <w:div w:id="1969626850">
      <w:bodyDiv w:val="1"/>
      <w:marLeft w:val="0"/>
      <w:marRight w:val="0"/>
      <w:marTop w:val="0"/>
      <w:marBottom w:val="0"/>
      <w:divBdr>
        <w:top w:val="none" w:sz="0" w:space="0" w:color="auto"/>
        <w:left w:val="none" w:sz="0" w:space="0" w:color="auto"/>
        <w:bottom w:val="none" w:sz="0" w:space="0" w:color="auto"/>
        <w:right w:val="none" w:sz="0" w:space="0" w:color="auto"/>
      </w:divBdr>
    </w:div>
    <w:div w:id="1976718467">
      <w:bodyDiv w:val="1"/>
      <w:marLeft w:val="0"/>
      <w:marRight w:val="0"/>
      <w:marTop w:val="0"/>
      <w:marBottom w:val="0"/>
      <w:divBdr>
        <w:top w:val="none" w:sz="0" w:space="0" w:color="auto"/>
        <w:left w:val="none" w:sz="0" w:space="0" w:color="auto"/>
        <w:bottom w:val="none" w:sz="0" w:space="0" w:color="auto"/>
        <w:right w:val="none" w:sz="0" w:space="0" w:color="auto"/>
      </w:divBdr>
    </w:div>
    <w:div w:id="1983391383">
      <w:bodyDiv w:val="1"/>
      <w:marLeft w:val="0"/>
      <w:marRight w:val="0"/>
      <w:marTop w:val="0"/>
      <w:marBottom w:val="0"/>
      <w:divBdr>
        <w:top w:val="none" w:sz="0" w:space="0" w:color="auto"/>
        <w:left w:val="none" w:sz="0" w:space="0" w:color="auto"/>
        <w:bottom w:val="none" w:sz="0" w:space="0" w:color="auto"/>
        <w:right w:val="none" w:sz="0" w:space="0" w:color="auto"/>
      </w:divBdr>
    </w:div>
    <w:div w:id="2019306583">
      <w:bodyDiv w:val="1"/>
      <w:marLeft w:val="0"/>
      <w:marRight w:val="0"/>
      <w:marTop w:val="0"/>
      <w:marBottom w:val="0"/>
      <w:divBdr>
        <w:top w:val="none" w:sz="0" w:space="0" w:color="auto"/>
        <w:left w:val="none" w:sz="0" w:space="0" w:color="auto"/>
        <w:bottom w:val="none" w:sz="0" w:space="0" w:color="auto"/>
        <w:right w:val="none" w:sz="0" w:space="0" w:color="auto"/>
      </w:divBdr>
    </w:div>
    <w:div w:id="2022009228">
      <w:bodyDiv w:val="1"/>
      <w:marLeft w:val="0"/>
      <w:marRight w:val="0"/>
      <w:marTop w:val="0"/>
      <w:marBottom w:val="0"/>
      <w:divBdr>
        <w:top w:val="none" w:sz="0" w:space="0" w:color="auto"/>
        <w:left w:val="none" w:sz="0" w:space="0" w:color="auto"/>
        <w:bottom w:val="none" w:sz="0" w:space="0" w:color="auto"/>
        <w:right w:val="none" w:sz="0" w:space="0" w:color="auto"/>
      </w:divBdr>
    </w:div>
    <w:div w:id="2041975063">
      <w:bodyDiv w:val="1"/>
      <w:marLeft w:val="0"/>
      <w:marRight w:val="0"/>
      <w:marTop w:val="0"/>
      <w:marBottom w:val="0"/>
      <w:divBdr>
        <w:top w:val="none" w:sz="0" w:space="0" w:color="auto"/>
        <w:left w:val="none" w:sz="0" w:space="0" w:color="auto"/>
        <w:bottom w:val="none" w:sz="0" w:space="0" w:color="auto"/>
        <w:right w:val="none" w:sz="0" w:space="0" w:color="auto"/>
      </w:divBdr>
    </w:div>
    <w:div w:id="2059740819">
      <w:bodyDiv w:val="1"/>
      <w:marLeft w:val="0"/>
      <w:marRight w:val="0"/>
      <w:marTop w:val="0"/>
      <w:marBottom w:val="0"/>
      <w:divBdr>
        <w:top w:val="none" w:sz="0" w:space="0" w:color="auto"/>
        <w:left w:val="none" w:sz="0" w:space="0" w:color="auto"/>
        <w:bottom w:val="none" w:sz="0" w:space="0" w:color="auto"/>
        <w:right w:val="none" w:sz="0" w:space="0" w:color="auto"/>
      </w:divBdr>
    </w:div>
    <w:div w:id="2061399505">
      <w:bodyDiv w:val="1"/>
      <w:marLeft w:val="0"/>
      <w:marRight w:val="0"/>
      <w:marTop w:val="0"/>
      <w:marBottom w:val="0"/>
      <w:divBdr>
        <w:top w:val="none" w:sz="0" w:space="0" w:color="auto"/>
        <w:left w:val="none" w:sz="0" w:space="0" w:color="auto"/>
        <w:bottom w:val="none" w:sz="0" w:space="0" w:color="auto"/>
        <w:right w:val="none" w:sz="0" w:space="0" w:color="auto"/>
      </w:divBdr>
    </w:div>
    <w:div w:id="2084833241">
      <w:bodyDiv w:val="1"/>
      <w:marLeft w:val="0"/>
      <w:marRight w:val="0"/>
      <w:marTop w:val="0"/>
      <w:marBottom w:val="0"/>
      <w:divBdr>
        <w:top w:val="none" w:sz="0" w:space="0" w:color="auto"/>
        <w:left w:val="none" w:sz="0" w:space="0" w:color="auto"/>
        <w:bottom w:val="none" w:sz="0" w:space="0" w:color="auto"/>
        <w:right w:val="none" w:sz="0" w:space="0" w:color="auto"/>
      </w:divBdr>
    </w:div>
    <w:div w:id="2117167055">
      <w:bodyDiv w:val="1"/>
      <w:marLeft w:val="0"/>
      <w:marRight w:val="0"/>
      <w:marTop w:val="0"/>
      <w:marBottom w:val="0"/>
      <w:divBdr>
        <w:top w:val="none" w:sz="0" w:space="0" w:color="auto"/>
        <w:left w:val="none" w:sz="0" w:space="0" w:color="auto"/>
        <w:bottom w:val="none" w:sz="0" w:space="0" w:color="auto"/>
        <w:right w:val="none" w:sz="0" w:space="0" w:color="auto"/>
      </w:divBdr>
    </w:div>
    <w:div w:id="213582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8.jpeg"/><Relationship Id="rId39" Type="http://schemas.openxmlformats.org/officeDocument/2006/relationships/hyperlink" Target="http://doi.org/10.3368/jhr.54.4.0317.8619R1" TargetMode="External"/><Relationship Id="rId21" Type="http://schemas.openxmlformats.org/officeDocument/2006/relationships/footer" Target="footer3.xml"/><Relationship Id="rId34" Type="http://schemas.openxmlformats.org/officeDocument/2006/relationships/image" Target="cid:image004.png@01D9A456.3AA9A780"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education.gov.au/quality-initial-teacher-education-review/consultations/teacher-education-expert-panel-discussion-paper-submiss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reativecommons.org/licenses/by/4.0/legalcode" TargetMode="External"/><Relationship Id="rId32" Type="http://schemas.openxmlformats.org/officeDocument/2006/relationships/image" Target="media/image11.jpeg"/><Relationship Id="rId37" Type="http://schemas.openxmlformats.org/officeDocument/2006/relationships/image" Target="media/image15.jpeg"/><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creativecommons.org/licenses/by/4.0/" TargetMode="External"/><Relationship Id="rId28" Type="http://schemas.openxmlformats.org/officeDocument/2006/relationships/hyperlink" Target="https://www.education.gov.au/teaching-and-school-leadership/teacher-education-ministerial-advisory-group" TargetMode="External"/><Relationship Id="rId36"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0.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6.jpeg"/><Relationship Id="rId27" Type="http://schemas.openxmlformats.org/officeDocument/2006/relationships/hyperlink" Target="https://www.education.gov.au/quality-initial-teacher-education-review/" TargetMode="External"/><Relationship Id="rId30" Type="http://schemas.openxmlformats.org/officeDocument/2006/relationships/image" Target="media/image9.jpeg"/><Relationship Id="rId35" Type="http://schemas.openxmlformats.org/officeDocument/2006/relationships/image" Target="media/image13.jpeg"/><Relationship Id="rId43"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6.png"/><Relationship Id="rId20" Type="http://schemas.openxmlformats.org/officeDocument/2006/relationships/header" Target="header3.xml"/><Relationship Id="rId41"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17.jpg"/></Relationships>
</file>

<file path=word/_rels/footnotes.xml.rels><?xml version="1.0" encoding="UTF-8" standalone="yes"?>
<Relationships xmlns="http://schemas.openxmlformats.org/package/2006/relationships"><Relationship Id="rId1" Type="http://schemas.openxmlformats.org/officeDocument/2006/relationships/hyperlink" Target="https://www.edresearch.edu.au/using-evidence/standards-evidence" TargetMode="External"/></Relationships>
</file>

<file path=word/theme/theme1.xml><?xml version="1.0" encoding="utf-8"?>
<a:theme xmlns:a="http://schemas.openxmlformats.org/drawingml/2006/main" name="Office Theme">
  <a:themeElements>
    <a:clrScheme name="TEEP">
      <a:dk1>
        <a:sysClr val="windowText" lastClr="000000"/>
      </a:dk1>
      <a:lt1>
        <a:sysClr val="window" lastClr="FFFFFF"/>
      </a:lt1>
      <a:dk2>
        <a:srgbClr val="004F9E"/>
      </a:dk2>
      <a:lt2>
        <a:srgbClr val="002C3E"/>
      </a:lt2>
      <a:accent1>
        <a:srgbClr val="EBAB12"/>
      </a:accent1>
      <a:accent2>
        <a:srgbClr val="FECF52"/>
      </a:accent2>
      <a:accent3>
        <a:srgbClr val="FFFFFF"/>
      </a:accent3>
      <a:accent4>
        <a:srgbClr val="FFFFFF"/>
      </a:accent4>
      <a:accent5>
        <a:srgbClr val="FFFFFF"/>
      </a:accent5>
      <a:accent6>
        <a:srgbClr val="FFFFFF"/>
      </a:accent6>
      <a:hlink>
        <a:srgbClr val="004F9E"/>
      </a:hlink>
      <a:folHlink>
        <a:srgbClr val="002C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7" ma:contentTypeDescription="Create a new document." ma:contentTypeScope="" ma:versionID="a8b25f215a92fa7f0786f7eaa7201ed4">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992ec9a50f19bc39c835078269919093"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SharedWithUsers xmlns="8caa48d6-bac7-4de2-9192-623c90410bed">
      <UserInfo>
        <DisplayName>WATSON,Genevieve</DisplayName>
        <AccountId>197</AccountId>
        <AccountType/>
      </UserInfo>
    </SharedWithUsers>
  </documentManagement>
</p:properties>
</file>

<file path=customXml/itemProps1.xml><?xml version="1.0" encoding="utf-8"?>
<ds:datastoreItem xmlns:ds="http://schemas.openxmlformats.org/officeDocument/2006/customXml" ds:itemID="{0BE6ADAC-E256-47D1-959D-BA6683B44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439A9EA-DBE6-46AD-BF5B-6CFBF7E5C5B2}">
  <ds:schemaRefs>
    <ds:schemaRef ds:uri="http://schemas.microsoft.com/sharepoint/v3/contenttype/forms"/>
  </ds:schemaRefs>
</ds:datastoreItem>
</file>

<file path=customXml/itemProps4.xml><?xml version="1.0" encoding="utf-8"?>
<ds:datastoreItem xmlns:ds="http://schemas.openxmlformats.org/officeDocument/2006/customXml" ds:itemID="{91E361EE-24DF-40FA-8E7F-5F320762BF49}">
  <ds:schemaRefs>
    <ds:schemaRef ds:uri="http://purl.org/dc/elements/1.1/"/>
    <ds:schemaRef ds:uri="72d48ace-a41b-4367-83ff-bc8f447feadc"/>
    <ds:schemaRef ds:uri="http://schemas.microsoft.com/office/2006/documentManagement/types"/>
    <ds:schemaRef ds:uri="http://schemas.microsoft.com/office/infopath/2007/PartnerControls"/>
    <ds:schemaRef ds:uri="8caa48d6-bac7-4de2-9192-623c90410bed"/>
    <ds:schemaRef ds:uri="http://purl.org/dc/dcmitype/"/>
    <ds:schemaRef ds:uri="http://schemas.microsoft.com/office/2006/metadata/properties"/>
    <ds:schemaRef ds:uri="http://schemas.openxmlformats.org/package/2006/metadata/core-properties"/>
    <ds:schemaRef ds:uri="http://www.w3.org/XML/1998/namespace"/>
    <ds:schemaRef ds:uri="http://purl.org/dc/te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128</Pages>
  <Words>45303</Words>
  <Characters>258232</Characters>
  <Application>Microsoft Office Word</Application>
  <DocSecurity>0</DocSecurity>
  <Lines>2151</Lines>
  <Paragraphs>605</Paragraphs>
  <ScaleCrop>false</ScaleCrop>
  <HeadingPairs>
    <vt:vector size="2" baseType="variant">
      <vt:variant>
        <vt:lpstr>Title</vt:lpstr>
      </vt:variant>
      <vt:variant>
        <vt:i4>1</vt:i4>
      </vt:variant>
    </vt:vector>
  </HeadingPairs>
  <TitlesOfParts>
    <vt:vector size="1" baseType="lpstr">
      <vt:lpstr>Teacher Expert Education Panel Report 2023</vt:lpstr>
    </vt:vector>
  </TitlesOfParts>
  <Company/>
  <LinksUpToDate>false</LinksUpToDate>
  <CharactersWithSpaces>302930</CharactersWithSpaces>
  <SharedDoc>false</SharedDoc>
  <HLinks>
    <vt:vector size="114" baseType="variant">
      <vt:variant>
        <vt:i4>6815849</vt:i4>
      </vt:variant>
      <vt:variant>
        <vt:i4>102</vt:i4>
      </vt:variant>
      <vt:variant>
        <vt:i4>0</vt:i4>
      </vt:variant>
      <vt:variant>
        <vt:i4>5</vt:i4>
      </vt:variant>
      <vt:variant>
        <vt:lpwstr>http://doi.org/10.3368/jhr.54.4.0317.8619R1</vt:lpwstr>
      </vt:variant>
      <vt:variant>
        <vt:lpwstr/>
      </vt:variant>
      <vt:variant>
        <vt:i4>3604589</vt:i4>
      </vt:variant>
      <vt:variant>
        <vt:i4>87</vt:i4>
      </vt:variant>
      <vt:variant>
        <vt:i4>0</vt:i4>
      </vt:variant>
      <vt:variant>
        <vt:i4>5</vt:i4>
      </vt:variant>
      <vt:variant>
        <vt:lpwstr>https://www.education.gov.au/quality-initial-teacher-education-review/consultations/teacher-education-expert-panel-discussion-paper-submissions</vt:lpwstr>
      </vt:variant>
      <vt:variant>
        <vt:lpwstr/>
      </vt:variant>
      <vt:variant>
        <vt:i4>5767171</vt:i4>
      </vt:variant>
      <vt:variant>
        <vt:i4>84</vt:i4>
      </vt:variant>
      <vt:variant>
        <vt:i4>0</vt:i4>
      </vt:variant>
      <vt:variant>
        <vt:i4>5</vt:i4>
      </vt:variant>
      <vt:variant>
        <vt:lpwstr>https://www.education.gov.au/teaching-and-school-leadership/teacher-education-ministerial-advisory-group</vt:lpwstr>
      </vt:variant>
      <vt:variant>
        <vt:lpwstr/>
      </vt:variant>
      <vt:variant>
        <vt:i4>8126587</vt:i4>
      </vt:variant>
      <vt:variant>
        <vt:i4>81</vt:i4>
      </vt:variant>
      <vt:variant>
        <vt:i4>0</vt:i4>
      </vt:variant>
      <vt:variant>
        <vt:i4>5</vt:i4>
      </vt:variant>
      <vt:variant>
        <vt:lpwstr>https://www.education.gov.au/quality-initial-teacher-education-review/</vt:lpwstr>
      </vt:variant>
      <vt:variant>
        <vt:lpwstr/>
      </vt:variant>
      <vt:variant>
        <vt:i4>1572920</vt:i4>
      </vt:variant>
      <vt:variant>
        <vt:i4>71</vt:i4>
      </vt:variant>
      <vt:variant>
        <vt:i4>0</vt:i4>
      </vt:variant>
      <vt:variant>
        <vt:i4>5</vt:i4>
      </vt:variant>
      <vt:variant>
        <vt:lpwstr/>
      </vt:variant>
      <vt:variant>
        <vt:lpwstr>_Toc139366698</vt:lpwstr>
      </vt:variant>
      <vt:variant>
        <vt:i4>1572920</vt:i4>
      </vt:variant>
      <vt:variant>
        <vt:i4>65</vt:i4>
      </vt:variant>
      <vt:variant>
        <vt:i4>0</vt:i4>
      </vt:variant>
      <vt:variant>
        <vt:i4>5</vt:i4>
      </vt:variant>
      <vt:variant>
        <vt:lpwstr/>
      </vt:variant>
      <vt:variant>
        <vt:lpwstr>_Toc139366697</vt:lpwstr>
      </vt:variant>
      <vt:variant>
        <vt:i4>1507384</vt:i4>
      </vt:variant>
      <vt:variant>
        <vt:i4>59</vt:i4>
      </vt:variant>
      <vt:variant>
        <vt:i4>0</vt:i4>
      </vt:variant>
      <vt:variant>
        <vt:i4>5</vt:i4>
      </vt:variant>
      <vt:variant>
        <vt:lpwstr/>
      </vt:variant>
      <vt:variant>
        <vt:lpwstr>_Toc139366667</vt:lpwstr>
      </vt:variant>
      <vt:variant>
        <vt:i4>1310776</vt:i4>
      </vt:variant>
      <vt:variant>
        <vt:i4>53</vt:i4>
      </vt:variant>
      <vt:variant>
        <vt:i4>0</vt:i4>
      </vt:variant>
      <vt:variant>
        <vt:i4>5</vt:i4>
      </vt:variant>
      <vt:variant>
        <vt:lpwstr/>
      </vt:variant>
      <vt:variant>
        <vt:lpwstr>_Toc139366658</vt:lpwstr>
      </vt:variant>
      <vt:variant>
        <vt:i4>1310776</vt:i4>
      </vt:variant>
      <vt:variant>
        <vt:i4>47</vt:i4>
      </vt:variant>
      <vt:variant>
        <vt:i4>0</vt:i4>
      </vt:variant>
      <vt:variant>
        <vt:i4>5</vt:i4>
      </vt:variant>
      <vt:variant>
        <vt:lpwstr/>
      </vt:variant>
      <vt:variant>
        <vt:lpwstr>_Toc139366650</vt:lpwstr>
      </vt:variant>
      <vt:variant>
        <vt:i4>1179704</vt:i4>
      </vt:variant>
      <vt:variant>
        <vt:i4>41</vt:i4>
      </vt:variant>
      <vt:variant>
        <vt:i4>0</vt:i4>
      </vt:variant>
      <vt:variant>
        <vt:i4>5</vt:i4>
      </vt:variant>
      <vt:variant>
        <vt:lpwstr/>
      </vt:variant>
      <vt:variant>
        <vt:lpwstr>_Toc139366638</vt:lpwstr>
      </vt:variant>
      <vt:variant>
        <vt:i4>1245240</vt:i4>
      </vt:variant>
      <vt:variant>
        <vt:i4>35</vt:i4>
      </vt:variant>
      <vt:variant>
        <vt:i4>0</vt:i4>
      </vt:variant>
      <vt:variant>
        <vt:i4>5</vt:i4>
      </vt:variant>
      <vt:variant>
        <vt:lpwstr/>
      </vt:variant>
      <vt:variant>
        <vt:lpwstr>_Toc139366629</vt:lpwstr>
      </vt:variant>
      <vt:variant>
        <vt:i4>1245240</vt:i4>
      </vt:variant>
      <vt:variant>
        <vt:i4>29</vt:i4>
      </vt:variant>
      <vt:variant>
        <vt:i4>0</vt:i4>
      </vt:variant>
      <vt:variant>
        <vt:i4>5</vt:i4>
      </vt:variant>
      <vt:variant>
        <vt:lpwstr/>
      </vt:variant>
      <vt:variant>
        <vt:lpwstr>_Toc139366624</vt:lpwstr>
      </vt:variant>
      <vt:variant>
        <vt:i4>1245240</vt:i4>
      </vt:variant>
      <vt:variant>
        <vt:i4>23</vt:i4>
      </vt:variant>
      <vt:variant>
        <vt:i4>0</vt:i4>
      </vt:variant>
      <vt:variant>
        <vt:i4>5</vt:i4>
      </vt:variant>
      <vt:variant>
        <vt:lpwstr/>
      </vt:variant>
      <vt:variant>
        <vt:lpwstr>_Toc139366623</vt:lpwstr>
      </vt:variant>
      <vt:variant>
        <vt:i4>1114168</vt:i4>
      </vt:variant>
      <vt:variant>
        <vt:i4>17</vt:i4>
      </vt:variant>
      <vt:variant>
        <vt:i4>0</vt:i4>
      </vt:variant>
      <vt:variant>
        <vt:i4>5</vt:i4>
      </vt:variant>
      <vt:variant>
        <vt:lpwstr/>
      </vt:variant>
      <vt:variant>
        <vt:lpwstr>_Toc139366605</vt:lpwstr>
      </vt:variant>
      <vt:variant>
        <vt:i4>1114168</vt:i4>
      </vt:variant>
      <vt:variant>
        <vt:i4>14</vt:i4>
      </vt:variant>
      <vt:variant>
        <vt:i4>0</vt:i4>
      </vt:variant>
      <vt:variant>
        <vt:i4>5</vt:i4>
      </vt:variant>
      <vt:variant>
        <vt:lpwstr/>
      </vt:variant>
      <vt:variant>
        <vt:lpwstr>_Toc139366604</vt:lpwstr>
      </vt:variant>
      <vt:variant>
        <vt:i4>1114168</vt:i4>
      </vt:variant>
      <vt:variant>
        <vt:i4>8</vt:i4>
      </vt:variant>
      <vt:variant>
        <vt:i4>0</vt:i4>
      </vt:variant>
      <vt:variant>
        <vt:i4>5</vt:i4>
      </vt:variant>
      <vt:variant>
        <vt:lpwstr/>
      </vt:variant>
      <vt:variant>
        <vt:lpwstr>_Toc139366603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6881386</vt:i4>
      </vt:variant>
      <vt:variant>
        <vt:i4>0</vt:i4>
      </vt:variant>
      <vt:variant>
        <vt:i4>0</vt:i4>
      </vt:variant>
      <vt:variant>
        <vt:i4>5</vt:i4>
      </vt:variant>
      <vt:variant>
        <vt:lpwstr>https://www.edresearch.edu.au/using-evidence/standards-evidence</vt:lpwstr>
      </vt:variant>
      <vt:variant>
        <vt:lpwstr>aero-s-standards-of-evidence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Expert Education Panel Report 2023</dc:title>
  <dc:subject/>
  <dc:creator/>
  <cp:keywords/>
  <dc:description/>
  <cp:lastModifiedBy/>
  <cp:revision>1</cp:revision>
  <cp:lastPrinted>2023-06-09T01:35:00Z</cp:lastPrinted>
  <dcterms:created xsi:type="dcterms:W3CDTF">2023-07-05T22:31:00Z</dcterms:created>
  <dcterms:modified xsi:type="dcterms:W3CDTF">2023-07-05T22:31:00Z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