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852D" w14:textId="5DBCC545" w:rsidR="00AB1E9A" w:rsidRPr="0007525C" w:rsidRDefault="00AB1E9A" w:rsidP="005034CE">
      <w:pPr>
        <w:spacing w:before="4000" w:after="300" w:line="300" w:lineRule="exact"/>
        <w:ind w:left="709" w:hanging="709"/>
        <w:jc w:val="center"/>
        <w:rPr>
          <w:rFonts w:eastAsiaTheme="majorEastAsia" w:cstheme="minorHAnsi"/>
          <w:b/>
          <w:color w:val="000000" w:themeColor="text1"/>
          <w:spacing w:val="5"/>
          <w:kern w:val="28"/>
          <w:sz w:val="36"/>
          <w:szCs w:val="36"/>
        </w:rPr>
      </w:pPr>
      <w:r w:rsidRPr="0007525C">
        <w:rPr>
          <w:rFonts w:eastAsiaTheme="majorEastAsia" w:cstheme="minorHAnsi"/>
          <w:b/>
          <w:color w:val="000000" w:themeColor="text1"/>
          <w:spacing w:val="5"/>
          <w:kern w:val="28"/>
          <w:sz w:val="36"/>
          <w:szCs w:val="36"/>
        </w:rPr>
        <w:t>Non-</w:t>
      </w:r>
      <w:r w:rsidR="00175DFF" w:rsidRPr="0007525C">
        <w:rPr>
          <w:rFonts w:eastAsiaTheme="majorEastAsia" w:cstheme="minorHAnsi"/>
          <w:b/>
          <w:color w:val="000000" w:themeColor="text1"/>
          <w:spacing w:val="5"/>
          <w:kern w:val="28"/>
          <w:sz w:val="36"/>
          <w:szCs w:val="36"/>
        </w:rPr>
        <w:t>G</w:t>
      </w:r>
      <w:r w:rsidR="00786258" w:rsidRPr="0007525C">
        <w:rPr>
          <w:rFonts w:eastAsiaTheme="majorEastAsia" w:cstheme="minorHAnsi"/>
          <w:b/>
          <w:color w:val="000000" w:themeColor="text1"/>
          <w:spacing w:val="5"/>
          <w:kern w:val="28"/>
          <w:sz w:val="36"/>
          <w:szCs w:val="36"/>
        </w:rPr>
        <w:t xml:space="preserve">overnment Reform Support </w:t>
      </w:r>
      <w:r w:rsidR="005034CE" w:rsidRPr="0007525C">
        <w:rPr>
          <w:rFonts w:eastAsiaTheme="majorEastAsia" w:cstheme="minorHAnsi"/>
          <w:b/>
          <w:color w:val="000000" w:themeColor="text1"/>
          <w:spacing w:val="5"/>
          <w:kern w:val="28"/>
          <w:sz w:val="36"/>
          <w:szCs w:val="36"/>
        </w:rPr>
        <w:t>Fund</w:t>
      </w:r>
    </w:p>
    <w:p w14:paraId="77C753C2" w14:textId="0DA9D6FC" w:rsidR="00C13252" w:rsidRPr="0007525C" w:rsidRDefault="00C13252" w:rsidP="00C13252">
      <w:pPr>
        <w:spacing w:after="300" w:line="240" w:lineRule="auto"/>
        <w:ind w:left="709" w:hanging="709"/>
        <w:jc w:val="center"/>
        <w:rPr>
          <w:rFonts w:eastAsiaTheme="majorEastAsia" w:cstheme="minorHAnsi"/>
          <w:b/>
          <w:color w:val="000000" w:themeColor="text1"/>
          <w:spacing w:val="5"/>
          <w:kern w:val="28"/>
          <w:sz w:val="36"/>
          <w:szCs w:val="36"/>
        </w:rPr>
      </w:pPr>
    </w:p>
    <w:p w14:paraId="5616DA3C" w14:textId="5DC946B1" w:rsidR="00C13252" w:rsidRPr="0007525C" w:rsidRDefault="00C13252" w:rsidP="00C13252">
      <w:pPr>
        <w:spacing w:after="300" w:line="240" w:lineRule="auto"/>
        <w:ind w:left="709" w:hanging="709"/>
        <w:jc w:val="center"/>
        <w:rPr>
          <w:rFonts w:eastAsiaTheme="majorEastAsia" w:cstheme="minorHAnsi"/>
          <w:b/>
          <w:color w:val="000000" w:themeColor="text1"/>
          <w:spacing w:val="5"/>
          <w:kern w:val="28"/>
          <w:sz w:val="36"/>
          <w:szCs w:val="36"/>
        </w:rPr>
      </w:pPr>
    </w:p>
    <w:p w14:paraId="4FC00595" w14:textId="17EE4C2B" w:rsidR="00AB1E9A" w:rsidRDefault="00383BEA" w:rsidP="00C13252">
      <w:pPr>
        <w:spacing w:after="300" w:line="240" w:lineRule="auto"/>
        <w:ind w:left="709" w:hanging="709"/>
        <w:jc w:val="center"/>
        <w:rPr>
          <w:rFonts w:eastAsiaTheme="majorEastAsia" w:cstheme="minorHAnsi"/>
          <w:b/>
          <w:color w:val="000000" w:themeColor="text1"/>
          <w:spacing w:val="5"/>
          <w:kern w:val="28"/>
          <w:sz w:val="36"/>
          <w:szCs w:val="36"/>
        </w:rPr>
      </w:pPr>
      <w:r w:rsidRPr="0007525C">
        <w:rPr>
          <w:rFonts w:eastAsiaTheme="majorEastAsia" w:cstheme="minorHAnsi"/>
          <w:b/>
          <w:color w:val="000000" w:themeColor="text1"/>
          <w:spacing w:val="5"/>
          <w:kern w:val="28"/>
          <w:sz w:val="36"/>
          <w:szCs w:val="36"/>
        </w:rPr>
        <w:t>20</w:t>
      </w:r>
      <w:r w:rsidR="00040B1D" w:rsidRPr="0007525C">
        <w:rPr>
          <w:rFonts w:eastAsiaTheme="majorEastAsia" w:cstheme="minorHAnsi"/>
          <w:b/>
          <w:color w:val="000000" w:themeColor="text1"/>
          <w:spacing w:val="5"/>
          <w:kern w:val="28"/>
          <w:sz w:val="36"/>
          <w:szCs w:val="36"/>
        </w:rPr>
        <w:t>2</w:t>
      </w:r>
      <w:r w:rsidR="001A706E" w:rsidRPr="0007525C">
        <w:rPr>
          <w:rFonts w:eastAsiaTheme="majorEastAsia" w:cstheme="minorHAnsi"/>
          <w:b/>
          <w:color w:val="000000" w:themeColor="text1"/>
          <w:spacing w:val="5"/>
          <w:kern w:val="28"/>
          <w:sz w:val="36"/>
          <w:szCs w:val="36"/>
        </w:rPr>
        <w:t>3</w:t>
      </w:r>
      <w:r w:rsidR="005034CE" w:rsidRPr="0007525C">
        <w:rPr>
          <w:rFonts w:eastAsiaTheme="majorEastAsia" w:cstheme="minorHAnsi"/>
          <w:b/>
          <w:color w:val="000000" w:themeColor="text1"/>
          <w:spacing w:val="5"/>
          <w:kern w:val="28"/>
          <w:sz w:val="36"/>
          <w:szCs w:val="36"/>
        </w:rPr>
        <w:t xml:space="preserve"> Workplan</w:t>
      </w:r>
    </w:p>
    <w:p w14:paraId="057E8FB1" w14:textId="77777777" w:rsidR="00B40D19" w:rsidRDefault="00B40D19" w:rsidP="00C13252">
      <w:pPr>
        <w:spacing w:after="300" w:line="240" w:lineRule="auto"/>
        <w:ind w:left="709" w:hanging="709"/>
        <w:jc w:val="center"/>
        <w:rPr>
          <w:rFonts w:eastAsiaTheme="majorEastAsia" w:cstheme="minorHAnsi"/>
          <w:b/>
          <w:color w:val="000000" w:themeColor="text1"/>
          <w:spacing w:val="5"/>
          <w:kern w:val="28"/>
          <w:sz w:val="36"/>
          <w:szCs w:val="36"/>
        </w:rPr>
      </w:pPr>
    </w:p>
    <w:p w14:paraId="3CF3F2E7" w14:textId="77777777" w:rsidR="00B40D19" w:rsidRPr="0007525C" w:rsidRDefault="00B40D19" w:rsidP="00C13252">
      <w:pPr>
        <w:spacing w:after="300" w:line="240" w:lineRule="auto"/>
        <w:ind w:left="709" w:hanging="709"/>
        <w:jc w:val="center"/>
        <w:rPr>
          <w:rFonts w:eastAsiaTheme="majorEastAsia" w:cstheme="minorHAnsi"/>
          <w:b/>
          <w:color w:val="000000" w:themeColor="text1"/>
          <w:spacing w:val="5"/>
          <w:kern w:val="28"/>
          <w:sz w:val="36"/>
          <w:szCs w:val="36"/>
        </w:rPr>
      </w:pPr>
    </w:p>
    <w:p w14:paraId="07D89256" w14:textId="0A81A3FB" w:rsidR="00AB1E9A" w:rsidRPr="0007525C" w:rsidRDefault="00FB40C2" w:rsidP="00B40D19">
      <w:pPr>
        <w:spacing w:after="300" w:line="240" w:lineRule="auto"/>
        <w:ind w:left="709" w:hanging="709"/>
        <w:jc w:val="center"/>
        <w:rPr>
          <w:rFonts w:cstheme="minorHAnsi"/>
          <w:b/>
          <w:color w:val="000000" w:themeColor="text1"/>
          <w:u w:val="single"/>
        </w:rPr>
      </w:pPr>
      <w:r w:rsidRPr="0007525C">
        <w:rPr>
          <w:rFonts w:eastAsiaTheme="majorEastAsia" w:cstheme="minorHAnsi"/>
          <w:b/>
          <w:color w:val="000000" w:themeColor="text1"/>
          <w:spacing w:val="5"/>
          <w:kern w:val="28"/>
          <w:sz w:val="36"/>
          <w:szCs w:val="36"/>
        </w:rPr>
        <w:t>Association of Independent Schools of South Australia</w:t>
      </w:r>
      <w:r w:rsidR="00AB1E9A" w:rsidRPr="0007525C">
        <w:rPr>
          <w:rFonts w:cstheme="minorHAnsi"/>
          <w:b/>
          <w:color w:val="000000" w:themeColor="text1"/>
          <w:u w:val="single"/>
        </w:rPr>
        <w:br w:type="page"/>
      </w:r>
    </w:p>
    <w:p w14:paraId="0D8BEABD" w14:textId="0589DB99" w:rsidR="005034CE" w:rsidRPr="0007525C" w:rsidRDefault="005034CE" w:rsidP="005034CE">
      <w:pPr>
        <w:rPr>
          <w:rFonts w:cstheme="minorHAnsi"/>
          <w:color w:val="000000" w:themeColor="text1"/>
        </w:rPr>
        <w:sectPr w:rsidR="005034CE" w:rsidRPr="0007525C" w:rsidSect="00272B4A">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pgNumType w:start="1"/>
          <w:cols w:space="708"/>
          <w:titlePg/>
          <w:docGrid w:linePitch="360"/>
        </w:sectPr>
      </w:pPr>
    </w:p>
    <w:p w14:paraId="1F226F6D" w14:textId="77777777" w:rsidR="00AC0B33" w:rsidRPr="0007525C" w:rsidRDefault="00AC0B33" w:rsidP="00AC0B33">
      <w:pPr>
        <w:jc w:val="center"/>
        <w:rPr>
          <w:rFonts w:cstheme="minorHAnsi"/>
          <w:b/>
          <w:color w:val="000000" w:themeColor="text1"/>
          <w:u w:val="single"/>
        </w:rPr>
      </w:pPr>
      <w:r w:rsidRPr="0007525C">
        <w:rPr>
          <w:rFonts w:cstheme="minorHAnsi"/>
          <w:b/>
          <w:color w:val="000000" w:themeColor="text1"/>
          <w:u w:val="single"/>
        </w:rPr>
        <w:lastRenderedPageBreak/>
        <w:t>Non–Government Reform Support Fund</w:t>
      </w:r>
    </w:p>
    <w:p w14:paraId="07196152" w14:textId="77777777" w:rsidR="00AC0B33" w:rsidRPr="0007525C" w:rsidRDefault="00AC0B33" w:rsidP="00AC0B33">
      <w:pPr>
        <w:jc w:val="center"/>
        <w:rPr>
          <w:rFonts w:cstheme="minorHAnsi"/>
          <w:b/>
          <w:color w:val="000000" w:themeColor="text1"/>
          <w:u w:val="single"/>
        </w:rPr>
      </w:pPr>
      <w:r w:rsidRPr="0007525C">
        <w:rPr>
          <w:rFonts w:cstheme="minorHAnsi"/>
          <w:b/>
          <w:color w:val="000000" w:themeColor="text1"/>
          <w:u w:val="single"/>
        </w:rPr>
        <w:t>Association of Independent Schools of South Australia – Workplan 2023</w:t>
      </w:r>
    </w:p>
    <w:p w14:paraId="73B74D85" w14:textId="77777777" w:rsidR="00AC0B33" w:rsidRPr="0007525C" w:rsidRDefault="00AC0B33" w:rsidP="00AC0B33">
      <w:pPr>
        <w:rPr>
          <w:rFonts w:cstheme="minorHAnsi"/>
          <w:b/>
          <w:color w:val="000000" w:themeColor="text1"/>
          <w:u w:val="single"/>
        </w:rPr>
      </w:pPr>
      <w:r w:rsidRPr="0007525C">
        <w:rPr>
          <w:rFonts w:cstheme="minorHAnsi"/>
          <w:b/>
          <w:color w:val="000000" w:themeColor="text1"/>
          <w:u w:val="single"/>
        </w:rPr>
        <w:t>Summary of Workplan for 2023</w:t>
      </w:r>
    </w:p>
    <w:p w14:paraId="5A25D323" w14:textId="77777777" w:rsidR="00AC0B33" w:rsidRPr="0007525C" w:rsidRDefault="00AC0B33" w:rsidP="00AC0B33">
      <w:pPr>
        <w:spacing w:before="120" w:after="120" w:line="240" w:lineRule="auto"/>
        <w:rPr>
          <w:rFonts w:cstheme="minorHAnsi"/>
          <w:color w:val="000000" w:themeColor="text1"/>
        </w:rPr>
      </w:pPr>
      <w:r w:rsidRPr="0007525C">
        <w:rPr>
          <w:rFonts w:cstheme="minorHAnsi"/>
          <w:color w:val="000000" w:themeColor="text1"/>
        </w:rPr>
        <w:t>This workplan outlines the planned activity of the Association of Independent Schools of South Australia (AISSA) in 2023 to support the implementation of national policy initiatives as described in the National School Reform Agreement and key state commitments outlined in the South Australian Bilateral Agreement. This workplan describes essential activity that could not take place without the Non-Government Reform Support Funding.  The dynamic nature of schools, along with current and emerging national and state priorities, situates this important work as ongoing.</w:t>
      </w:r>
    </w:p>
    <w:p w14:paraId="7821CE3D" w14:textId="77777777" w:rsidR="00AC0B33" w:rsidRPr="0007525C" w:rsidRDefault="00AC0B33" w:rsidP="00AC0B33">
      <w:pPr>
        <w:spacing w:before="120" w:after="120" w:line="240" w:lineRule="auto"/>
        <w:rPr>
          <w:rFonts w:cstheme="minorHAnsi"/>
          <w:color w:val="000000" w:themeColor="text1"/>
        </w:rPr>
      </w:pPr>
      <w:r w:rsidRPr="0007525C">
        <w:rPr>
          <w:rFonts w:cstheme="minorHAnsi"/>
          <w:color w:val="000000" w:themeColor="text1"/>
        </w:rPr>
        <w:t xml:space="preserve">In 2023 the AISSA will continue to work alongside schools to build best practice so that staff successfully engage with the practical and legislative aspects of the Nationally Consistent Collection of Data (NCCD) and the Disability Standards for Education (DSE). The NCCD provides a key mechanism for schools to strengthen their beliefs and practices in support of equitable access to schooling for students with diverse needs and a tailored approach will support staff to increase their understanding and skills in inclusive practices. Schools are continuously strengthening practices to improve outcomes for students with diverse needs and it is anticipated that support will continue to be required in the future, particularly when a new student with diverse needs enrols in a school, during transition times, and in planning for post school options. </w:t>
      </w:r>
    </w:p>
    <w:p w14:paraId="43F1E2E9" w14:textId="27CC2B88" w:rsidR="00AC0B33" w:rsidRPr="0007525C" w:rsidRDefault="00AC0B33" w:rsidP="00AC0B33">
      <w:pPr>
        <w:spacing w:before="120" w:after="120" w:line="240" w:lineRule="auto"/>
        <w:rPr>
          <w:rFonts w:cstheme="minorHAnsi"/>
          <w:color w:val="000000" w:themeColor="text1"/>
        </w:rPr>
      </w:pPr>
      <w:r w:rsidRPr="0007525C">
        <w:rPr>
          <w:rFonts w:cstheme="minorHAnsi"/>
          <w:color w:val="000000" w:themeColor="text1"/>
        </w:rPr>
        <w:t xml:space="preserve">Each year, the National Assessment Program continues to evolve and in 2023 support will be provided so that schools can successfully complete NAPLAN during Term </w:t>
      </w:r>
      <w:r w:rsidR="7A369CFE" w:rsidRPr="0007525C">
        <w:rPr>
          <w:rFonts w:cstheme="minorHAnsi"/>
          <w:color w:val="000000" w:themeColor="text1"/>
        </w:rPr>
        <w:t>1.</w:t>
      </w:r>
      <w:r w:rsidRPr="0007525C">
        <w:rPr>
          <w:rFonts w:cstheme="minorHAnsi"/>
          <w:color w:val="000000" w:themeColor="text1"/>
        </w:rPr>
        <w:t xml:space="preserve"> Information and communication will be shared to ensure schools are informed about the introduction of opt-in sample assessments, commencing with the Civics and Citizenship assessment in 2024.</w:t>
      </w:r>
    </w:p>
    <w:p w14:paraId="319ADC16" w14:textId="028C6145" w:rsidR="00AC0B33" w:rsidRPr="0007525C" w:rsidRDefault="00AC0B33" w:rsidP="00AC0B33">
      <w:pPr>
        <w:spacing w:before="120" w:after="120" w:line="240" w:lineRule="auto"/>
        <w:rPr>
          <w:rFonts w:cstheme="minorHAnsi"/>
          <w:color w:val="000000" w:themeColor="text1"/>
        </w:rPr>
      </w:pPr>
      <w:r w:rsidRPr="0007525C">
        <w:rPr>
          <w:rFonts w:cstheme="minorHAnsi"/>
          <w:color w:val="000000" w:themeColor="text1"/>
        </w:rPr>
        <w:t xml:space="preserve">The voluntary nature of Board membership for the majority of Independent school positions ongoing professional learning opportunities as central to the success and longevity of the sector.  2023 will see the re-introduction of the AISSA Governance </w:t>
      </w:r>
      <w:r w:rsidR="3CCC16DC" w:rsidRPr="0007525C">
        <w:rPr>
          <w:rFonts w:cstheme="minorHAnsi"/>
          <w:color w:val="000000" w:themeColor="text1"/>
        </w:rPr>
        <w:t>C</w:t>
      </w:r>
      <w:r w:rsidRPr="0007525C">
        <w:rPr>
          <w:rFonts w:cstheme="minorHAnsi"/>
          <w:color w:val="000000" w:themeColor="text1"/>
        </w:rPr>
        <w:t>onference, together with a suite of workshops that will be undertaken via a videoconferencing platform, so as to maximise accessibility and participation.</w:t>
      </w:r>
    </w:p>
    <w:p w14:paraId="1CFA10DC" w14:textId="125DF0B2" w:rsidR="00AC0B33" w:rsidRPr="0007525C" w:rsidRDefault="00AC0B33" w:rsidP="2A75AE5E">
      <w:pPr>
        <w:spacing w:before="120" w:after="120" w:line="240" w:lineRule="auto"/>
        <w:rPr>
          <w:rFonts w:cstheme="minorHAnsi"/>
          <w:color w:val="000000" w:themeColor="text1"/>
        </w:rPr>
      </w:pPr>
      <w:r w:rsidRPr="0007525C">
        <w:rPr>
          <w:rFonts w:cstheme="minorHAnsi"/>
          <w:color w:val="000000" w:themeColor="text1"/>
        </w:rPr>
        <w:t>The work of the Leadership Institute will build the capacity of current and emerging leaders including Principals new to Independent schools and Deputy Principals. Women in leadership positions will be invited to work with a professional companion who is an experienced school leader, to experience personalised leadership development. School Impact Hubs will see leaders explore alternative approaches to recognition of learning, explore local and global partnership opportunities and create cultures that welcome innovation, change and renewal. The availability of an AISSA Educational Consultant to work alongside leadership teams, along with case study contributions to the High Impact School Improvement Tool, is designed to progress both the school</w:t>
      </w:r>
      <w:r w:rsidR="0511FA31" w:rsidRPr="0007525C">
        <w:rPr>
          <w:rFonts w:cstheme="minorHAnsi"/>
          <w:color w:val="000000" w:themeColor="text1"/>
        </w:rPr>
        <w:t>s’</w:t>
      </w:r>
      <w:r w:rsidRPr="0007525C">
        <w:rPr>
          <w:rFonts w:cstheme="minorHAnsi"/>
          <w:color w:val="000000" w:themeColor="text1"/>
        </w:rPr>
        <w:t xml:space="preserve"> strategic directions and national and state obligations.</w:t>
      </w:r>
    </w:p>
    <w:p w14:paraId="40658BBB" w14:textId="67A9E2D3" w:rsidR="00AC0B33" w:rsidRPr="0007525C" w:rsidRDefault="00AC0B33" w:rsidP="00AC0B33">
      <w:pPr>
        <w:spacing w:before="120" w:after="120" w:line="240" w:lineRule="auto"/>
        <w:rPr>
          <w:rFonts w:cstheme="minorHAnsi"/>
          <w:color w:val="000000" w:themeColor="text1"/>
        </w:rPr>
      </w:pPr>
      <w:r w:rsidRPr="0007525C">
        <w:rPr>
          <w:rFonts w:cstheme="minorHAnsi"/>
          <w:color w:val="000000" w:themeColor="text1"/>
        </w:rPr>
        <w:t xml:space="preserve">Importantly, this workplan documents the first year of a state-wide commitment from 2023 – 2026 to implement the revised Australian Curriculum. Significant revision of the Australian Curriculum requires schools </w:t>
      </w:r>
      <w:r w:rsidR="71C0B572" w:rsidRPr="0007525C">
        <w:rPr>
          <w:rFonts w:cstheme="minorHAnsi"/>
          <w:color w:val="000000" w:themeColor="text1"/>
        </w:rPr>
        <w:t xml:space="preserve">to </w:t>
      </w:r>
      <w:r w:rsidRPr="0007525C">
        <w:rPr>
          <w:rFonts w:cstheme="minorHAnsi"/>
          <w:color w:val="000000" w:themeColor="text1"/>
        </w:rPr>
        <w:t>engage with a refreshed interface containing new structures and connections for learning. Correspondingly, the</w:t>
      </w:r>
      <w:r w:rsidRPr="0007525C">
        <w:rPr>
          <w:rFonts w:cstheme="minorHAnsi"/>
          <w:color w:val="000000" w:themeColor="text1"/>
          <w:lang w:val="en-US"/>
        </w:rPr>
        <w:t xml:space="preserve"> AISSA will provide ongoing and sequenced opportunities for building leadership skills in leading curriculum familiarisation over this period, to best enable implementation tailored to each school’s context.</w:t>
      </w:r>
    </w:p>
    <w:p w14:paraId="12AE6D89" w14:textId="77777777" w:rsidR="00AC0B33" w:rsidRPr="0007525C" w:rsidRDefault="00AC0B33" w:rsidP="00AC0B33">
      <w:pPr>
        <w:spacing w:before="120" w:after="120" w:line="240" w:lineRule="auto"/>
        <w:rPr>
          <w:rFonts w:cstheme="minorHAnsi"/>
          <w:bCs/>
          <w:color w:val="000000" w:themeColor="text1"/>
        </w:rPr>
      </w:pPr>
      <w:r w:rsidRPr="0007525C">
        <w:rPr>
          <w:rFonts w:cstheme="minorHAnsi"/>
          <w:bCs/>
          <w:color w:val="000000" w:themeColor="text1"/>
        </w:rPr>
        <w:t>Across all activities, mechanisms will draw on a range of measures and modes to seek feedback, determine success and nuance future activity. For some programs, such as the Governance webinar series, this will be undertaken at the conclusion of each activity. For others, such as the Leadership Institute, Early Career Teacher Program and Australian Curriculum Implementation programs, ongoing formative feedback ensures that learning impact, the building of teacher quality and in-school implementation can be maximised.</w:t>
      </w:r>
    </w:p>
    <w:p w14:paraId="6F5FA464" w14:textId="47818021" w:rsidR="00AB1E9A" w:rsidRPr="005F642D" w:rsidRDefault="00AC0B33" w:rsidP="0049630A">
      <w:pPr>
        <w:spacing w:before="120" w:after="120" w:line="240" w:lineRule="auto"/>
        <w:rPr>
          <w:rFonts w:cstheme="minorHAnsi"/>
          <w:bCs/>
          <w:color w:val="000000" w:themeColor="text1"/>
        </w:rPr>
      </w:pPr>
      <w:r w:rsidRPr="0007525C">
        <w:rPr>
          <w:rFonts w:cstheme="minorHAnsi"/>
          <w:color w:val="000000" w:themeColor="text1"/>
        </w:rPr>
        <w:lastRenderedPageBreak/>
        <w:t xml:space="preserve">High levels of cross sector collaboration in South Australia, demonstrated by a range of formal and informal </w:t>
      </w:r>
      <w:r w:rsidRPr="0007525C">
        <w:rPr>
          <w:rFonts w:cstheme="minorHAnsi"/>
          <w:bCs/>
          <w:color w:val="000000" w:themeColor="text1"/>
        </w:rPr>
        <w:t>working groups, partnerships and processes, supports the achievement of identified initiatives. While activity described in this workplan continues to be complementary to the work described in the Bilateral Agreement, the priority of Australian Curriculum implementation has positioned the beginning of new ongoing support for school leaders and teachers in parallel to activities of the South Australian Department for Education and Catholic Education South Australia. The funding received through the Reform Support Fund continues to be an essential resource moving forward for both new and continuing priorities, to build the capacity of schools for continued growth and strengthening of the structures, practices and the environments that underpin quality schooling.</w:t>
      </w:r>
      <w:r w:rsidR="0049630A" w:rsidRPr="0007525C">
        <w:rPr>
          <w:rFonts w:cstheme="minorHAnsi"/>
          <w:bCs/>
          <w:color w:val="000000" w:themeColor="text1"/>
        </w:rPr>
        <w:br w:type="page"/>
      </w:r>
    </w:p>
    <w:p w14:paraId="62F89000" w14:textId="77777777" w:rsidR="00382310" w:rsidRPr="0007525C" w:rsidRDefault="00382310" w:rsidP="005113B7">
      <w:pPr>
        <w:ind w:left="-567"/>
        <w:rPr>
          <w:rFonts w:cstheme="minorHAnsi"/>
          <w:b/>
          <w:color w:val="000000" w:themeColor="text1"/>
          <w:u w:val="single"/>
        </w:rPr>
      </w:pPr>
      <w:r w:rsidRPr="0007525C">
        <w:rPr>
          <w:rFonts w:cstheme="minorHAnsi"/>
          <w:b/>
          <w:color w:val="000000" w:themeColor="text1"/>
          <w:u w:val="single"/>
        </w:rPr>
        <w:lastRenderedPageBreak/>
        <w:t>Summary of budget</w:t>
      </w:r>
    </w:p>
    <w:tbl>
      <w:tblPr>
        <w:tblStyle w:val="TableGrid"/>
        <w:tblW w:w="10348" w:type="dxa"/>
        <w:jc w:val="center"/>
        <w:tblLook w:val="04A0" w:firstRow="1" w:lastRow="0" w:firstColumn="1" w:lastColumn="0" w:noHBand="0" w:noVBand="1"/>
      </w:tblPr>
      <w:tblGrid>
        <w:gridCol w:w="2835"/>
        <w:gridCol w:w="3402"/>
        <w:gridCol w:w="1418"/>
        <w:gridCol w:w="1417"/>
        <w:gridCol w:w="1276"/>
      </w:tblGrid>
      <w:tr w:rsidR="0007525C" w:rsidRPr="0007525C" w14:paraId="5D0587A9" w14:textId="77777777" w:rsidTr="005113B7">
        <w:trPr>
          <w:trHeight w:val="946"/>
          <w:jc w:val="center"/>
        </w:trPr>
        <w:tc>
          <w:tcPr>
            <w:tcW w:w="2835" w:type="dxa"/>
            <w:hideMark/>
          </w:tcPr>
          <w:p w14:paraId="22E967A6" w14:textId="77777777" w:rsidR="000E2FCA" w:rsidRPr="0007525C" w:rsidRDefault="000E2FCA" w:rsidP="005F642D">
            <w:pPr>
              <w:jc w:val="center"/>
              <w:rPr>
                <w:rFonts w:eastAsia="Times New Roman" w:cstheme="minorHAnsi"/>
                <w:b/>
                <w:bCs/>
                <w:color w:val="000000" w:themeColor="text1"/>
                <w:lang w:eastAsia="en-AU"/>
              </w:rPr>
            </w:pPr>
            <w:r w:rsidRPr="0007525C">
              <w:rPr>
                <w:rFonts w:eastAsia="Times New Roman" w:cstheme="minorHAnsi"/>
                <w:b/>
                <w:bCs/>
                <w:color w:val="000000" w:themeColor="text1"/>
                <w:lang w:eastAsia="en-AU"/>
              </w:rPr>
              <w:t>Project</w:t>
            </w:r>
          </w:p>
        </w:tc>
        <w:tc>
          <w:tcPr>
            <w:tcW w:w="3402" w:type="dxa"/>
            <w:hideMark/>
          </w:tcPr>
          <w:p w14:paraId="6F3A0C1D" w14:textId="77777777" w:rsidR="000E2FCA" w:rsidRPr="0007525C" w:rsidRDefault="000E2FCA" w:rsidP="000E2FCA">
            <w:pPr>
              <w:jc w:val="center"/>
              <w:rPr>
                <w:rFonts w:eastAsia="Times New Roman" w:cstheme="minorHAnsi"/>
                <w:b/>
                <w:bCs/>
                <w:color w:val="000000" w:themeColor="text1"/>
                <w:lang w:eastAsia="en-AU"/>
              </w:rPr>
            </w:pPr>
            <w:r w:rsidRPr="0007525C">
              <w:rPr>
                <w:rFonts w:eastAsia="Times New Roman" w:cstheme="minorHAnsi"/>
                <w:b/>
                <w:bCs/>
                <w:color w:val="000000" w:themeColor="text1"/>
                <w:lang w:eastAsia="en-AU"/>
              </w:rPr>
              <w:t>Activities</w:t>
            </w:r>
          </w:p>
        </w:tc>
        <w:tc>
          <w:tcPr>
            <w:tcW w:w="1418" w:type="dxa"/>
            <w:hideMark/>
          </w:tcPr>
          <w:p w14:paraId="20EFB94F" w14:textId="77777777" w:rsidR="000E2FCA" w:rsidRPr="0007525C" w:rsidRDefault="000E2FCA" w:rsidP="000E2FCA">
            <w:pPr>
              <w:jc w:val="center"/>
              <w:rPr>
                <w:rFonts w:eastAsia="Times New Roman" w:cstheme="minorHAnsi"/>
                <w:b/>
                <w:bCs/>
                <w:color w:val="000000" w:themeColor="text1"/>
                <w:lang w:eastAsia="en-AU"/>
              </w:rPr>
            </w:pPr>
            <w:r w:rsidRPr="0007525C">
              <w:rPr>
                <w:rFonts w:eastAsia="Times New Roman" w:cstheme="minorHAnsi"/>
                <w:b/>
                <w:bCs/>
                <w:color w:val="000000" w:themeColor="text1"/>
                <w:lang w:eastAsia="en-AU"/>
              </w:rPr>
              <w:t>Reform</w:t>
            </w:r>
            <w:r w:rsidRPr="0007525C">
              <w:rPr>
                <w:rFonts w:eastAsia="Times New Roman" w:cstheme="minorHAnsi"/>
                <w:b/>
                <w:bCs/>
                <w:color w:val="000000" w:themeColor="text1"/>
                <w:lang w:eastAsia="en-AU"/>
              </w:rPr>
              <w:br/>
              <w:t>support</w:t>
            </w:r>
            <w:r w:rsidRPr="0007525C">
              <w:rPr>
                <w:rFonts w:eastAsia="Times New Roman" w:cstheme="minorHAnsi"/>
                <w:b/>
                <w:bCs/>
                <w:color w:val="000000" w:themeColor="text1"/>
                <w:lang w:eastAsia="en-AU"/>
              </w:rPr>
              <w:br/>
              <w:t>funding</w:t>
            </w:r>
            <w:r w:rsidRPr="0007525C">
              <w:rPr>
                <w:rFonts w:eastAsia="Times New Roman" w:cstheme="minorHAnsi"/>
                <w:b/>
                <w:bCs/>
                <w:color w:val="000000" w:themeColor="text1"/>
                <w:lang w:eastAsia="en-AU"/>
              </w:rPr>
              <w:br/>
              <w:t>(ex GST)</w:t>
            </w:r>
          </w:p>
        </w:tc>
        <w:tc>
          <w:tcPr>
            <w:tcW w:w="1417" w:type="dxa"/>
            <w:hideMark/>
          </w:tcPr>
          <w:p w14:paraId="27A4E072" w14:textId="77777777" w:rsidR="000E2FCA" w:rsidRPr="0007525C" w:rsidRDefault="000E2FCA" w:rsidP="000E2FCA">
            <w:pPr>
              <w:jc w:val="center"/>
              <w:rPr>
                <w:rFonts w:eastAsia="Times New Roman" w:cstheme="minorHAnsi"/>
                <w:b/>
                <w:bCs/>
                <w:color w:val="000000" w:themeColor="text1"/>
                <w:lang w:eastAsia="en-AU"/>
              </w:rPr>
            </w:pPr>
            <w:r w:rsidRPr="0007525C">
              <w:rPr>
                <w:rFonts w:eastAsia="Times New Roman" w:cstheme="minorHAnsi"/>
                <w:b/>
                <w:bCs/>
                <w:color w:val="000000" w:themeColor="text1"/>
                <w:lang w:eastAsia="en-AU"/>
              </w:rPr>
              <w:t>Funding from other sources (ex GST)</w:t>
            </w:r>
          </w:p>
        </w:tc>
        <w:tc>
          <w:tcPr>
            <w:tcW w:w="1276" w:type="dxa"/>
            <w:hideMark/>
          </w:tcPr>
          <w:p w14:paraId="7B433998" w14:textId="77777777" w:rsidR="000E2FCA" w:rsidRPr="0007525C" w:rsidRDefault="000E2FCA" w:rsidP="000E2FCA">
            <w:pPr>
              <w:jc w:val="center"/>
              <w:rPr>
                <w:rFonts w:eastAsia="Times New Roman" w:cstheme="minorHAnsi"/>
                <w:b/>
                <w:bCs/>
                <w:color w:val="000000" w:themeColor="text1"/>
                <w:lang w:eastAsia="en-AU"/>
              </w:rPr>
            </w:pPr>
            <w:r w:rsidRPr="0007525C">
              <w:rPr>
                <w:rFonts w:eastAsia="Times New Roman" w:cstheme="minorHAnsi"/>
                <w:b/>
                <w:bCs/>
                <w:color w:val="000000" w:themeColor="text1"/>
                <w:lang w:eastAsia="en-AU"/>
              </w:rPr>
              <w:t>Total</w:t>
            </w:r>
            <w:r w:rsidRPr="0007525C">
              <w:rPr>
                <w:rFonts w:eastAsia="Times New Roman" w:cstheme="minorHAnsi"/>
                <w:b/>
                <w:bCs/>
                <w:color w:val="000000" w:themeColor="text1"/>
                <w:lang w:eastAsia="en-AU"/>
              </w:rPr>
              <w:br/>
              <w:t>project</w:t>
            </w:r>
            <w:r w:rsidRPr="0007525C">
              <w:rPr>
                <w:rFonts w:eastAsia="Times New Roman" w:cstheme="minorHAnsi"/>
                <w:b/>
                <w:bCs/>
                <w:color w:val="000000" w:themeColor="text1"/>
                <w:lang w:eastAsia="en-AU"/>
              </w:rPr>
              <w:br/>
              <w:t xml:space="preserve">funding </w:t>
            </w:r>
            <w:r w:rsidRPr="0007525C">
              <w:rPr>
                <w:rFonts w:eastAsia="Times New Roman" w:cstheme="minorHAnsi"/>
                <w:b/>
                <w:bCs/>
                <w:color w:val="000000" w:themeColor="text1"/>
                <w:lang w:eastAsia="en-AU"/>
              </w:rPr>
              <w:br/>
              <w:t>(ex GST)</w:t>
            </w:r>
          </w:p>
        </w:tc>
      </w:tr>
      <w:tr w:rsidR="0007525C" w:rsidRPr="0007525C" w14:paraId="3F6532C2" w14:textId="77777777" w:rsidTr="005113B7">
        <w:trPr>
          <w:trHeight w:val="517"/>
          <w:jc w:val="center"/>
        </w:trPr>
        <w:tc>
          <w:tcPr>
            <w:tcW w:w="2835" w:type="dxa"/>
            <w:hideMark/>
          </w:tcPr>
          <w:p w14:paraId="38323995" w14:textId="77777777" w:rsidR="00D5690D" w:rsidRPr="0007525C" w:rsidRDefault="00D5690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NCCD</w:t>
            </w:r>
          </w:p>
        </w:tc>
        <w:tc>
          <w:tcPr>
            <w:tcW w:w="3402" w:type="dxa"/>
            <w:hideMark/>
          </w:tcPr>
          <w:p w14:paraId="79D7E523"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Improving NCCD</w:t>
            </w:r>
          </w:p>
        </w:tc>
        <w:tc>
          <w:tcPr>
            <w:tcW w:w="1418" w:type="dxa"/>
            <w:hideMark/>
          </w:tcPr>
          <w:p w14:paraId="6A7E7203" w14:textId="0ADE8C7E"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$244,042</w:t>
            </w:r>
          </w:p>
        </w:tc>
        <w:tc>
          <w:tcPr>
            <w:tcW w:w="1417" w:type="dxa"/>
            <w:hideMark/>
          </w:tcPr>
          <w:p w14:paraId="0FE8D880" w14:textId="6ED9C086"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$22,989</w:t>
            </w:r>
          </w:p>
        </w:tc>
        <w:tc>
          <w:tcPr>
            <w:tcW w:w="1276" w:type="dxa"/>
            <w:hideMark/>
          </w:tcPr>
          <w:p w14:paraId="72C66031" w14:textId="69B7C14C"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$267,031</w:t>
            </w:r>
          </w:p>
        </w:tc>
      </w:tr>
      <w:tr w:rsidR="0007525C" w:rsidRPr="0007525C" w14:paraId="0DBB7255" w14:textId="77777777" w:rsidTr="005113B7">
        <w:trPr>
          <w:trHeight w:val="567"/>
          <w:jc w:val="center"/>
        </w:trPr>
        <w:tc>
          <w:tcPr>
            <w:tcW w:w="2835" w:type="dxa"/>
            <w:hideMark/>
          </w:tcPr>
          <w:p w14:paraId="2859192A" w14:textId="77777777" w:rsidR="00D5690D" w:rsidRPr="0007525C" w:rsidRDefault="00D5690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NAPLAN</w:t>
            </w:r>
          </w:p>
        </w:tc>
        <w:tc>
          <w:tcPr>
            <w:tcW w:w="3402" w:type="dxa"/>
            <w:hideMark/>
          </w:tcPr>
          <w:p w14:paraId="7D272E2E"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Assisting schools administer NAPLAN</w:t>
            </w:r>
          </w:p>
        </w:tc>
        <w:tc>
          <w:tcPr>
            <w:tcW w:w="1418" w:type="dxa"/>
            <w:hideMark/>
          </w:tcPr>
          <w:p w14:paraId="63239751" w14:textId="37B4C8D1"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$93,319</w:t>
            </w:r>
          </w:p>
        </w:tc>
        <w:tc>
          <w:tcPr>
            <w:tcW w:w="1417" w:type="dxa"/>
            <w:hideMark/>
          </w:tcPr>
          <w:p w14:paraId="6770DAF6" w14:textId="7647AB54"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$9,190</w:t>
            </w:r>
          </w:p>
        </w:tc>
        <w:tc>
          <w:tcPr>
            <w:tcW w:w="1276" w:type="dxa"/>
            <w:hideMark/>
          </w:tcPr>
          <w:p w14:paraId="6F8CF5B7" w14:textId="19C0E240"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$102,509</w:t>
            </w:r>
          </w:p>
        </w:tc>
      </w:tr>
      <w:tr w:rsidR="0007525C" w:rsidRPr="0007525C" w14:paraId="41DD24B6" w14:textId="77777777" w:rsidTr="005113B7">
        <w:trPr>
          <w:trHeight w:val="1122"/>
          <w:jc w:val="center"/>
        </w:trPr>
        <w:tc>
          <w:tcPr>
            <w:tcW w:w="2835" w:type="dxa"/>
            <w:hideMark/>
          </w:tcPr>
          <w:p w14:paraId="6B1DDC4D" w14:textId="5518FD43" w:rsidR="00D5690D" w:rsidRPr="0007525C" w:rsidRDefault="00D5690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Improving Governance</w:t>
            </w:r>
            <w:r w:rsidRPr="0007525C">
              <w:rPr>
                <w:rFonts w:eastAsia="Times New Roman" w:cstheme="minorHAnsi"/>
                <w:b/>
                <w:bCs/>
                <w:color w:val="000000" w:themeColor="text1"/>
                <w:lang w:eastAsia="en-AU"/>
              </w:rPr>
              <w:br/>
              <w:t>and Financial</w:t>
            </w:r>
            <w:r w:rsidRPr="0007525C">
              <w:rPr>
                <w:rFonts w:eastAsia="Times New Roman" w:cstheme="minorHAnsi"/>
                <w:b/>
                <w:bCs/>
                <w:color w:val="000000" w:themeColor="text1"/>
                <w:lang w:eastAsia="en-AU"/>
              </w:rPr>
              <w:br/>
              <w:t>Management</w:t>
            </w:r>
          </w:p>
        </w:tc>
        <w:tc>
          <w:tcPr>
            <w:tcW w:w="3402" w:type="dxa"/>
            <w:hideMark/>
          </w:tcPr>
          <w:p w14:paraId="7399635D"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Improving governance and financial management</w:t>
            </w:r>
          </w:p>
        </w:tc>
        <w:tc>
          <w:tcPr>
            <w:tcW w:w="1418" w:type="dxa"/>
            <w:hideMark/>
          </w:tcPr>
          <w:p w14:paraId="5E85EE7B" w14:textId="7F101F29"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$46,130</w:t>
            </w:r>
          </w:p>
        </w:tc>
        <w:tc>
          <w:tcPr>
            <w:tcW w:w="1417" w:type="dxa"/>
            <w:hideMark/>
          </w:tcPr>
          <w:p w14:paraId="531ABCB9" w14:textId="13B53CC4"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$7,236</w:t>
            </w:r>
          </w:p>
        </w:tc>
        <w:tc>
          <w:tcPr>
            <w:tcW w:w="1276" w:type="dxa"/>
            <w:hideMark/>
          </w:tcPr>
          <w:p w14:paraId="43C6EF75" w14:textId="448815CD"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$53,366</w:t>
            </w:r>
          </w:p>
        </w:tc>
      </w:tr>
      <w:tr w:rsidR="005F642D" w:rsidRPr="0007525C" w14:paraId="707E1B8C" w14:textId="77777777" w:rsidTr="005113B7">
        <w:trPr>
          <w:trHeight w:val="1113"/>
          <w:jc w:val="center"/>
        </w:trPr>
        <w:tc>
          <w:tcPr>
            <w:tcW w:w="2835" w:type="dxa"/>
            <w:hideMark/>
          </w:tcPr>
          <w:p w14:paraId="5BD61F59" w14:textId="77777777" w:rsidR="005F642D" w:rsidRPr="0007525C" w:rsidRDefault="005F642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Reform Direction A</w:t>
            </w:r>
            <w:r w:rsidRPr="0007525C">
              <w:rPr>
                <w:rFonts w:eastAsia="Times New Roman" w:cstheme="minorHAnsi"/>
                <w:b/>
                <w:bCs/>
                <w:color w:val="000000" w:themeColor="text1"/>
                <w:lang w:eastAsia="en-AU"/>
              </w:rPr>
              <w:br/>
              <w:t>Improving Student Learning and Achievement</w:t>
            </w:r>
          </w:p>
        </w:tc>
        <w:tc>
          <w:tcPr>
            <w:tcW w:w="3402" w:type="dxa"/>
            <w:hideMark/>
          </w:tcPr>
          <w:p w14:paraId="407D933E" w14:textId="77777777" w:rsidR="005F642D" w:rsidRPr="0007525C" w:rsidRDefault="005F642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High Impact School Improvement Tool</w:t>
            </w:r>
          </w:p>
        </w:tc>
        <w:tc>
          <w:tcPr>
            <w:tcW w:w="1418" w:type="dxa"/>
            <w:hideMark/>
          </w:tcPr>
          <w:p w14:paraId="2C86794E" w14:textId="65B2960C"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$198,212</w:t>
            </w:r>
          </w:p>
        </w:tc>
        <w:tc>
          <w:tcPr>
            <w:tcW w:w="1417" w:type="dxa"/>
            <w:hideMark/>
          </w:tcPr>
          <w:p w14:paraId="3DE87FA0" w14:textId="3BDA7DD7"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$33,339</w:t>
            </w:r>
          </w:p>
        </w:tc>
        <w:tc>
          <w:tcPr>
            <w:tcW w:w="1276" w:type="dxa"/>
            <w:hideMark/>
          </w:tcPr>
          <w:p w14:paraId="1B74F23F" w14:textId="3BBD3E25"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$231,551</w:t>
            </w:r>
          </w:p>
        </w:tc>
      </w:tr>
      <w:tr w:rsidR="005F642D" w:rsidRPr="0007525C" w14:paraId="51A7A91F" w14:textId="77777777" w:rsidTr="005113B7">
        <w:trPr>
          <w:trHeight w:val="1143"/>
          <w:jc w:val="center"/>
        </w:trPr>
        <w:tc>
          <w:tcPr>
            <w:tcW w:w="2835" w:type="dxa"/>
            <w:hideMark/>
          </w:tcPr>
          <w:p w14:paraId="30F3C0B2" w14:textId="77777777" w:rsidR="005F642D" w:rsidRPr="0007525C" w:rsidRDefault="005F642D" w:rsidP="005F642D">
            <w:pPr>
              <w:rPr>
                <w:rFonts w:eastAsia="Times New Roman" w:cstheme="minorHAnsi"/>
                <w:b/>
                <w:bCs/>
                <w:color w:val="000000" w:themeColor="text1"/>
                <w:lang w:eastAsia="en-AU"/>
              </w:rPr>
            </w:pPr>
          </w:p>
        </w:tc>
        <w:tc>
          <w:tcPr>
            <w:tcW w:w="3402" w:type="dxa"/>
            <w:hideMark/>
          </w:tcPr>
          <w:p w14:paraId="123449CE" w14:textId="77777777" w:rsidR="005F642D" w:rsidRPr="0007525C" w:rsidRDefault="005F642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Supporting Implementation of the Australian Curriculum v9.0</w:t>
            </w:r>
          </w:p>
        </w:tc>
        <w:tc>
          <w:tcPr>
            <w:tcW w:w="1418" w:type="dxa"/>
            <w:hideMark/>
          </w:tcPr>
          <w:p w14:paraId="7B000ED7" w14:textId="0CF79122"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$111,109</w:t>
            </w:r>
          </w:p>
        </w:tc>
        <w:tc>
          <w:tcPr>
            <w:tcW w:w="1417" w:type="dxa"/>
            <w:hideMark/>
          </w:tcPr>
          <w:p w14:paraId="4C465859" w14:textId="37CE9337"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$14,683</w:t>
            </w:r>
          </w:p>
        </w:tc>
        <w:tc>
          <w:tcPr>
            <w:tcW w:w="1276" w:type="dxa"/>
            <w:hideMark/>
          </w:tcPr>
          <w:p w14:paraId="41B82D1E" w14:textId="128540A6" w:rsidR="005F642D" w:rsidRPr="0007525C" w:rsidRDefault="005F642D" w:rsidP="00D5690D">
            <w:pPr>
              <w:jc w:val="center"/>
              <w:rPr>
                <w:rFonts w:eastAsia="Times New Roman" w:cstheme="minorHAnsi"/>
                <w:color w:val="000000" w:themeColor="text1"/>
                <w:lang w:eastAsia="en-AU"/>
              </w:rPr>
            </w:pPr>
            <w:r w:rsidRPr="0007525C">
              <w:rPr>
                <w:rFonts w:cstheme="minorHAnsi"/>
                <w:color w:val="000000" w:themeColor="text1"/>
              </w:rPr>
              <w:t>$125,792</w:t>
            </w:r>
          </w:p>
        </w:tc>
      </w:tr>
      <w:tr w:rsidR="0007525C" w:rsidRPr="0007525C" w14:paraId="0E7BA1F2" w14:textId="77777777" w:rsidTr="005113B7">
        <w:trPr>
          <w:trHeight w:val="1066"/>
          <w:jc w:val="center"/>
        </w:trPr>
        <w:tc>
          <w:tcPr>
            <w:tcW w:w="2835" w:type="dxa"/>
            <w:hideMark/>
          </w:tcPr>
          <w:p w14:paraId="280FE035" w14:textId="77777777" w:rsidR="00D5690D" w:rsidRPr="0007525C" w:rsidRDefault="00D5690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Reform Direction B</w:t>
            </w:r>
            <w:r w:rsidRPr="0007525C">
              <w:rPr>
                <w:rFonts w:eastAsia="Times New Roman" w:cstheme="minorHAnsi"/>
                <w:b/>
                <w:bCs/>
                <w:color w:val="000000" w:themeColor="text1"/>
                <w:lang w:eastAsia="en-AU"/>
              </w:rPr>
              <w:br/>
              <w:t>Supporting teaching, school leadership and school improvement</w:t>
            </w:r>
          </w:p>
        </w:tc>
        <w:tc>
          <w:tcPr>
            <w:tcW w:w="3402" w:type="dxa"/>
            <w:hideMark/>
          </w:tcPr>
          <w:p w14:paraId="041911D9"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 xml:space="preserve">The AISSA Leadership Institute </w:t>
            </w:r>
          </w:p>
        </w:tc>
        <w:tc>
          <w:tcPr>
            <w:tcW w:w="1418" w:type="dxa"/>
            <w:hideMark/>
          </w:tcPr>
          <w:p w14:paraId="50CE54F9" w14:textId="359F5B8C"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$223,852</w:t>
            </w:r>
          </w:p>
        </w:tc>
        <w:tc>
          <w:tcPr>
            <w:tcW w:w="1417" w:type="dxa"/>
            <w:hideMark/>
          </w:tcPr>
          <w:p w14:paraId="169EB591" w14:textId="1E31DE7D"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$67,219</w:t>
            </w:r>
          </w:p>
        </w:tc>
        <w:tc>
          <w:tcPr>
            <w:tcW w:w="1276" w:type="dxa"/>
            <w:hideMark/>
          </w:tcPr>
          <w:p w14:paraId="61A83EBC" w14:textId="4D113F8D"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$291,071</w:t>
            </w:r>
          </w:p>
        </w:tc>
      </w:tr>
      <w:tr w:rsidR="0007525C" w:rsidRPr="0007525C" w14:paraId="15F7B0F0" w14:textId="77777777" w:rsidTr="005113B7">
        <w:trPr>
          <w:trHeight w:val="995"/>
          <w:jc w:val="center"/>
        </w:trPr>
        <w:tc>
          <w:tcPr>
            <w:tcW w:w="2835" w:type="dxa"/>
            <w:hideMark/>
          </w:tcPr>
          <w:p w14:paraId="380066C1" w14:textId="77777777" w:rsidR="00D5690D" w:rsidRPr="0007525C" w:rsidRDefault="00D5690D" w:rsidP="005F642D">
            <w:pPr>
              <w:rPr>
                <w:rFonts w:eastAsia="Times New Roman" w:cstheme="minorHAnsi"/>
                <w:b/>
                <w:bCs/>
                <w:color w:val="000000" w:themeColor="text1"/>
                <w:lang w:eastAsia="en-AU"/>
              </w:rPr>
            </w:pPr>
          </w:p>
        </w:tc>
        <w:tc>
          <w:tcPr>
            <w:tcW w:w="3402" w:type="dxa"/>
            <w:hideMark/>
          </w:tcPr>
          <w:p w14:paraId="0272C98B"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Early Career Teacher Development</w:t>
            </w:r>
          </w:p>
        </w:tc>
        <w:tc>
          <w:tcPr>
            <w:tcW w:w="1418" w:type="dxa"/>
            <w:hideMark/>
          </w:tcPr>
          <w:p w14:paraId="08AA7B4B" w14:textId="4299C7C2"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$41,763</w:t>
            </w:r>
          </w:p>
        </w:tc>
        <w:tc>
          <w:tcPr>
            <w:tcW w:w="1417" w:type="dxa"/>
            <w:hideMark/>
          </w:tcPr>
          <w:p w14:paraId="0F489CA8" w14:textId="7DADB3F9"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$17,798</w:t>
            </w:r>
          </w:p>
        </w:tc>
        <w:tc>
          <w:tcPr>
            <w:tcW w:w="1276" w:type="dxa"/>
            <w:hideMark/>
          </w:tcPr>
          <w:p w14:paraId="6FAE8A2C" w14:textId="6D0C322C"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$59,561</w:t>
            </w:r>
          </w:p>
        </w:tc>
      </w:tr>
      <w:tr w:rsidR="0007525C" w:rsidRPr="0007525C" w14:paraId="56EBA54F" w14:textId="77777777" w:rsidTr="005113B7">
        <w:trPr>
          <w:trHeight w:val="1237"/>
          <w:jc w:val="center"/>
        </w:trPr>
        <w:tc>
          <w:tcPr>
            <w:tcW w:w="2835" w:type="dxa"/>
            <w:hideMark/>
          </w:tcPr>
          <w:p w14:paraId="5A4B951E" w14:textId="77777777" w:rsidR="00D5690D" w:rsidRPr="0007525C" w:rsidRDefault="00D5690D" w:rsidP="005F642D">
            <w:pPr>
              <w:rPr>
                <w:rFonts w:eastAsia="Times New Roman" w:cstheme="minorHAnsi"/>
                <w:b/>
                <w:bCs/>
                <w:color w:val="000000" w:themeColor="text1"/>
                <w:lang w:eastAsia="en-AU"/>
              </w:rPr>
            </w:pPr>
            <w:r w:rsidRPr="0007525C">
              <w:rPr>
                <w:rFonts w:eastAsia="Times New Roman" w:cstheme="minorHAnsi"/>
                <w:b/>
                <w:bCs/>
                <w:color w:val="000000" w:themeColor="text1"/>
                <w:lang w:eastAsia="en-AU"/>
              </w:rPr>
              <w:t>Reform Direction C</w:t>
            </w:r>
            <w:r w:rsidRPr="0007525C">
              <w:rPr>
                <w:rFonts w:eastAsia="Times New Roman" w:cstheme="minorHAnsi"/>
                <w:b/>
                <w:bCs/>
                <w:color w:val="000000" w:themeColor="text1"/>
                <w:lang w:eastAsia="en-AU"/>
              </w:rPr>
              <w:br/>
              <w:t>Enhancing the national evidence base</w:t>
            </w:r>
          </w:p>
        </w:tc>
        <w:tc>
          <w:tcPr>
            <w:tcW w:w="3402" w:type="dxa"/>
            <w:hideMark/>
          </w:tcPr>
          <w:p w14:paraId="20A48701"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National improvement &amp; school improvement</w:t>
            </w:r>
          </w:p>
        </w:tc>
        <w:tc>
          <w:tcPr>
            <w:tcW w:w="1418" w:type="dxa"/>
            <w:hideMark/>
          </w:tcPr>
          <w:p w14:paraId="62DBE271" w14:textId="44C439D7"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$362,983</w:t>
            </w:r>
          </w:p>
        </w:tc>
        <w:tc>
          <w:tcPr>
            <w:tcW w:w="1417" w:type="dxa"/>
            <w:hideMark/>
          </w:tcPr>
          <w:p w14:paraId="288AE1EB" w14:textId="0EC31D83"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$57,582</w:t>
            </w:r>
          </w:p>
        </w:tc>
        <w:tc>
          <w:tcPr>
            <w:tcW w:w="1276" w:type="dxa"/>
            <w:hideMark/>
          </w:tcPr>
          <w:p w14:paraId="7309B82E" w14:textId="08ADE7DC"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$420,565</w:t>
            </w:r>
          </w:p>
        </w:tc>
      </w:tr>
      <w:tr w:rsidR="0007525C" w:rsidRPr="0007525C" w14:paraId="4BA69455" w14:textId="77777777" w:rsidTr="005113B7">
        <w:trPr>
          <w:trHeight w:val="732"/>
          <w:jc w:val="center"/>
        </w:trPr>
        <w:tc>
          <w:tcPr>
            <w:tcW w:w="2835" w:type="dxa"/>
            <w:hideMark/>
          </w:tcPr>
          <w:p w14:paraId="2931B76B" w14:textId="77777777" w:rsidR="00D5690D" w:rsidRPr="0007525C" w:rsidRDefault="00D5690D" w:rsidP="005F642D">
            <w:pPr>
              <w:rPr>
                <w:rFonts w:eastAsia="Times New Roman" w:cstheme="minorHAnsi"/>
                <w:color w:val="000000" w:themeColor="text1"/>
                <w:lang w:eastAsia="en-AU"/>
              </w:rPr>
            </w:pPr>
            <w:r w:rsidRPr="0007525C">
              <w:rPr>
                <w:rFonts w:eastAsia="Times New Roman" w:cstheme="minorHAnsi"/>
                <w:color w:val="000000" w:themeColor="text1"/>
                <w:lang w:eastAsia="en-AU"/>
              </w:rPr>
              <w:t> </w:t>
            </w:r>
          </w:p>
        </w:tc>
        <w:tc>
          <w:tcPr>
            <w:tcW w:w="3402" w:type="dxa"/>
            <w:hideMark/>
          </w:tcPr>
          <w:p w14:paraId="7356570A" w14:textId="77777777" w:rsidR="00D5690D" w:rsidRPr="0007525C" w:rsidRDefault="00D5690D" w:rsidP="00D5690D">
            <w:pPr>
              <w:rPr>
                <w:rFonts w:eastAsia="Times New Roman" w:cstheme="minorHAnsi"/>
                <w:color w:val="000000" w:themeColor="text1"/>
                <w:lang w:eastAsia="en-AU"/>
              </w:rPr>
            </w:pPr>
            <w:r w:rsidRPr="0007525C">
              <w:rPr>
                <w:rFonts w:eastAsia="Times New Roman" w:cstheme="minorHAnsi"/>
                <w:color w:val="000000" w:themeColor="text1"/>
                <w:lang w:eastAsia="en-AU"/>
              </w:rPr>
              <w:t>Administration of projects</w:t>
            </w:r>
          </w:p>
        </w:tc>
        <w:tc>
          <w:tcPr>
            <w:tcW w:w="1418" w:type="dxa"/>
            <w:hideMark/>
          </w:tcPr>
          <w:p w14:paraId="52560C4C" w14:textId="51020384"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$132,590</w:t>
            </w:r>
          </w:p>
        </w:tc>
        <w:tc>
          <w:tcPr>
            <w:tcW w:w="1417" w:type="dxa"/>
            <w:hideMark/>
          </w:tcPr>
          <w:p w14:paraId="4A22AE94" w14:textId="23D93CD9"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$0</w:t>
            </w:r>
          </w:p>
        </w:tc>
        <w:tc>
          <w:tcPr>
            <w:tcW w:w="1276" w:type="dxa"/>
            <w:hideMark/>
          </w:tcPr>
          <w:p w14:paraId="2F903DFB" w14:textId="7F04F616" w:rsidR="00D5690D" w:rsidRPr="0007525C" w:rsidRDefault="00D5690D" w:rsidP="00D5690D">
            <w:pPr>
              <w:jc w:val="center"/>
              <w:rPr>
                <w:rFonts w:eastAsia="Times New Roman" w:cstheme="minorHAnsi"/>
                <w:color w:val="000000" w:themeColor="text1"/>
                <w:lang w:eastAsia="en-AU"/>
              </w:rPr>
            </w:pPr>
            <w:r w:rsidRPr="0007525C">
              <w:rPr>
                <w:rFonts w:cstheme="minorHAnsi"/>
                <w:color w:val="000000" w:themeColor="text1"/>
              </w:rPr>
              <w:t>$132,590</w:t>
            </w:r>
          </w:p>
        </w:tc>
      </w:tr>
      <w:tr w:rsidR="0007525C" w:rsidRPr="0007525C" w14:paraId="5B9670E2" w14:textId="77777777" w:rsidTr="005113B7">
        <w:trPr>
          <w:trHeight w:val="698"/>
          <w:jc w:val="center"/>
        </w:trPr>
        <w:tc>
          <w:tcPr>
            <w:tcW w:w="2835" w:type="dxa"/>
            <w:hideMark/>
          </w:tcPr>
          <w:p w14:paraId="50956C07" w14:textId="77777777" w:rsidR="00D5690D" w:rsidRPr="0007525C" w:rsidRDefault="00D5690D" w:rsidP="005F642D">
            <w:pPr>
              <w:rPr>
                <w:rFonts w:eastAsia="Times New Roman" w:cstheme="minorHAnsi"/>
                <w:color w:val="000000" w:themeColor="text1"/>
                <w:lang w:eastAsia="en-AU"/>
              </w:rPr>
            </w:pPr>
          </w:p>
        </w:tc>
        <w:tc>
          <w:tcPr>
            <w:tcW w:w="3402" w:type="dxa"/>
            <w:hideMark/>
          </w:tcPr>
          <w:p w14:paraId="0F5E18A5" w14:textId="77777777" w:rsidR="00D5690D" w:rsidRPr="0007525C" w:rsidRDefault="00D5690D" w:rsidP="00D5690D">
            <w:pPr>
              <w:ind w:firstLineChars="100" w:firstLine="221"/>
              <w:jc w:val="right"/>
              <w:rPr>
                <w:rFonts w:eastAsia="Times New Roman" w:cstheme="minorHAnsi"/>
                <w:b/>
                <w:bCs/>
                <w:color w:val="000000" w:themeColor="text1"/>
                <w:lang w:eastAsia="en-AU"/>
              </w:rPr>
            </w:pPr>
            <w:r w:rsidRPr="0007525C">
              <w:rPr>
                <w:rFonts w:eastAsia="Times New Roman" w:cstheme="minorHAnsi"/>
                <w:b/>
                <w:bCs/>
                <w:color w:val="000000" w:themeColor="text1"/>
                <w:lang w:eastAsia="en-AU"/>
              </w:rPr>
              <w:t>Total funding for 2023 (ex GST)</w:t>
            </w:r>
          </w:p>
        </w:tc>
        <w:tc>
          <w:tcPr>
            <w:tcW w:w="1418" w:type="dxa"/>
            <w:hideMark/>
          </w:tcPr>
          <w:p w14:paraId="27E42C16" w14:textId="4AE4C53D" w:rsidR="00D5690D" w:rsidRPr="0007525C" w:rsidRDefault="00D5690D" w:rsidP="00D5690D">
            <w:pPr>
              <w:jc w:val="center"/>
              <w:rPr>
                <w:rFonts w:eastAsia="Times New Roman" w:cstheme="minorHAnsi"/>
                <w:b/>
                <w:bCs/>
                <w:color w:val="000000" w:themeColor="text1"/>
                <w:lang w:eastAsia="en-AU"/>
              </w:rPr>
            </w:pPr>
            <w:r w:rsidRPr="0007525C">
              <w:rPr>
                <w:rFonts w:cstheme="minorHAnsi"/>
                <w:color w:val="000000" w:themeColor="text1"/>
              </w:rPr>
              <w:t>$1,454,000</w:t>
            </w:r>
          </w:p>
        </w:tc>
        <w:tc>
          <w:tcPr>
            <w:tcW w:w="1417" w:type="dxa"/>
            <w:hideMark/>
          </w:tcPr>
          <w:p w14:paraId="777C2008" w14:textId="61C29C35" w:rsidR="00D5690D" w:rsidRPr="0007525C" w:rsidRDefault="00D5690D" w:rsidP="00D5690D">
            <w:pPr>
              <w:jc w:val="center"/>
              <w:rPr>
                <w:rFonts w:eastAsia="Times New Roman" w:cstheme="minorHAnsi"/>
                <w:b/>
                <w:bCs/>
                <w:color w:val="000000" w:themeColor="text1"/>
                <w:lang w:eastAsia="en-AU"/>
              </w:rPr>
            </w:pPr>
            <w:r w:rsidRPr="0007525C">
              <w:rPr>
                <w:rFonts w:cstheme="minorHAnsi"/>
                <w:color w:val="000000" w:themeColor="text1"/>
              </w:rPr>
              <w:t>$230,036</w:t>
            </w:r>
          </w:p>
        </w:tc>
        <w:tc>
          <w:tcPr>
            <w:tcW w:w="1276" w:type="dxa"/>
            <w:hideMark/>
          </w:tcPr>
          <w:p w14:paraId="6FE5BD27" w14:textId="5DD201B2" w:rsidR="00D5690D" w:rsidRPr="0007525C" w:rsidRDefault="00D5690D" w:rsidP="00D5690D">
            <w:pPr>
              <w:jc w:val="center"/>
              <w:rPr>
                <w:rFonts w:eastAsia="Times New Roman" w:cstheme="minorHAnsi"/>
                <w:b/>
                <w:bCs/>
                <w:color w:val="000000" w:themeColor="text1"/>
                <w:lang w:eastAsia="en-AU"/>
              </w:rPr>
            </w:pPr>
            <w:r w:rsidRPr="0007525C">
              <w:rPr>
                <w:rFonts w:cstheme="minorHAnsi"/>
                <w:color w:val="000000" w:themeColor="text1"/>
              </w:rPr>
              <w:t>$1,684,036</w:t>
            </w:r>
          </w:p>
        </w:tc>
      </w:tr>
    </w:tbl>
    <w:p w14:paraId="4D5D82B9" w14:textId="2F88F311" w:rsidR="00382310" w:rsidRPr="0007525C" w:rsidRDefault="00382310">
      <w:pPr>
        <w:rPr>
          <w:rFonts w:cstheme="minorHAnsi"/>
          <w:color w:val="000000" w:themeColor="text1"/>
        </w:rPr>
      </w:pPr>
      <w:r w:rsidRPr="0007525C">
        <w:rPr>
          <w:rFonts w:cstheme="minorHAnsi"/>
          <w:color w:val="000000" w:themeColor="text1"/>
        </w:rPr>
        <w:br w:type="page"/>
      </w:r>
    </w:p>
    <w:p w14:paraId="0228F4A1" w14:textId="77777777" w:rsidR="00E9201A" w:rsidRDefault="00E9201A" w:rsidP="00AB1E9A">
      <w:pPr>
        <w:rPr>
          <w:rFonts w:cstheme="minorHAnsi"/>
          <w:b/>
          <w:color w:val="000000" w:themeColor="text1"/>
        </w:rPr>
        <w:sectPr w:rsidR="00E9201A" w:rsidSect="00FA47E5">
          <w:footerReference w:type="default" r:id="rId17"/>
          <w:headerReference w:type="first" r:id="rId18"/>
          <w:footerReference w:type="first" r:id="rId19"/>
          <w:pgSz w:w="11906" w:h="16838"/>
          <w:pgMar w:top="1418" w:right="1274" w:bottom="567" w:left="1418" w:header="708" w:footer="708" w:gutter="0"/>
          <w:cols w:space="708"/>
          <w:docGrid w:linePitch="360"/>
        </w:sectPr>
      </w:pPr>
    </w:p>
    <w:p w14:paraId="543FC6E9" w14:textId="6BDC808A" w:rsidR="00E9201A" w:rsidRDefault="00E9201A" w:rsidP="00326632">
      <w:pPr>
        <w:ind w:left="-426"/>
        <w:rPr>
          <w:rFonts w:cstheme="minorHAnsi"/>
          <w:b/>
          <w:color w:val="000000" w:themeColor="text1"/>
        </w:rPr>
      </w:pPr>
      <w:r w:rsidRPr="0007525C">
        <w:rPr>
          <w:rFonts w:cstheme="minorHAnsi"/>
          <w:b/>
          <w:color w:val="000000" w:themeColor="text1"/>
        </w:rPr>
        <w:lastRenderedPageBreak/>
        <w:t>National Policy (from NERA): NCCD</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4790"/>
        <w:gridCol w:w="2268"/>
        <w:gridCol w:w="3118"/>
        <w:gridCol w:w="2835"/>
      </w:tblGrid>
      <w:tr w:rsidR="00E9201A" w:rsidRPr="0007525C" w14:paraId="226CD495" w14:textId="77777777" w:rsidTr="00326632">
        <w:trPr>
          <w:cantSplit/>
        </w:trPr>
        <w:tc>
          <w:tcPr>
            <w:tcW w:w="1868" w:type="dxa"/>
          </w:tcPr>
          <w:p w14:paraId="75AE52C8" w14:textId="77777777" w:rsidR="00E9201A" w:rsidRPr="0007525C" w:rsidRDefault="00E9201A" w:rsidP="00850252">
            <w:pPr>
              <w:spacing w:before="120" w:after="120"/>
              <w:jc w:val="center"/>
              <w:rPr>
                <w:rFonts w:cstheme="minorHAnsi"/>
                <w:b/>
                <w:color w:val="000000" w:themeColor="text1"/>
              </w:rPr>
            </w:pPr>
            <w:r w:rsidRPr="0007525C">
              <w:rPr>
                <w:rFonts w:cstheme="minorHAnsi"/>
                <w:b/>
                <w:color w:val="000000" w:themeColor="text1"/>
              </w:rPr>
              <w:t>Project title</w:t>
            </w:r>
          </w:p>
        </w:tc>
        <w:tc>
          <w:tcPr>
            <w:tcW w:w="4790" w:type="dxa"/>
          </w:tcPr>
          <w:p w14:paraId="3BAAA7CF" w14:textId="77777777" w:rsidR="00E9201A" w:rsidRPr="0007525C" w:rsidRDefault="00E9201A" w:rsidP="00850252">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2268" w:type="dxa"/>
          </w:tcPr>
          <w:p w14:paraId="1CF4926F" w14:textId="77777777" w:rsidR="00E9201A" w:rsidRPr="0007525C" w:rsidRDefault="00E9201A" w:rsidP="00850252">
            <w:pPr>
              <w:spacing w:before="120" w:after="120"/>
              <w:jc w:val="center"/>
              <w:rPr>
                <w:rFonts w:cstheme="minorHAnsi"/>
                <w:b/>
                <w:color w:val="000000" w:themeColor="text1"/>
              </w:rPr>
            </w:pPr>
            <w:r w:rsidRPr="0007525C">
              <w:rPr>
                <w:rFonts w:cstheme="minorHAnsi"/>
                <w:b/>
                <w:color w:val="000000" w:themeColor="text1"/>
              </w:rPr>
              <w:t>Indicative budget</w:t>
            </w:r>
          </w:p>
        </w:tc>
        <w:tc>
          <w:tcPr>
            <w:tcW w:w="3118" w:type="dxa"/>
          </w:tcPr>
          <w:p w14:paraId="6DA264D1" w14:textId="77777777" w:rsidR="00E9201A" w:rsidRPr="0007525C" w:rsidRDefault="00E9201A" w:rsidP="00850252">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835" w:type="dxa"/>
          </w:tcPr>
          <w:p w14:paraId="0A02A47C" w14:textId="77777777" w:rsidR="00E9201A" w:rsidRPr="0007525C" w:rsidRDefault="00E9201A" w:rsidP="00850252">
            <w:pPr>
              <w:spacing w:before="120" w:after="120"/>
              <w:jc w:val="center"/>
              <w:rPr>
                <w:rFonts w:cstheme="minorHAnsi"/>
                <w:b/>
                <w:color w:val="000000" w:themeColor="text1"/>
              </w:rPr>
            </w:pPr>
            <w:r w:rsidRPr="0007525C">
              <w:rPr>
                <w:rFonts w:cstheme="minorHAnsi"/>
                <w:b/>
                <w:color w:val="000000" w:themeColor="text1"/>
              </w:rPr>
              <w:t>Indicators of success</w:t>
            </w:r>
          </w:p>
        </w:tc>
      </w:tr>
      <w:tr w:rsidR="00E9201A" w:rsidRPr="0007525C" w14:paraId="3F16E1AD" w14:textId="77777777" w:rsidTr="00326632">
        <w:trPr>
          <w:cantSplit/>
          <w:trHeight w:val="5564"/>
        </w:trPr>
        <w:tc>
          <w:tcPr>
            <w:tcW w:w="1868" w:type="dxa"/>
          </w:tcPr>
          <w:p w14:paraId="4424200F" w14:textId="77777777" w:rsidR="00E9201A" w:rsidRPr="0007525C" w:rsidRDefault="00E9201A" w:rsidP="00850252">
            <w:pPr>
              <w:rPr>
                <w:rFonts w:cstheme="minorHAnsi"/>
                <w:b/>
                <w:color w:val="000000" w:themeColor="text1"/>
              </w:rPr>
            </w:pPr>
            <w:r w:rsidRPr="0007525C">
              <w:rPr>
                <w:rFonts w:cstheme="minorHAnsi"/>
                <w:b/>
                <w:color w:val="000000" w:themeColor="text1"/>
              </w:rPr>
              <w:t>Improve the quality of information on the Nationally Consistent Collection of Data on School Students with Disability and to improve the efficiency and integrity of the data collection</w:t>
            </w:r>
          </w:p>
        </w:tc>
        <w:tc>
          <w:tcPr>
            <w:tcW w:w="4790" w:type="dxa"/>
          </w:tcPr>
          <w:p w14:paraId="38EEC7AD"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 xml:space="preserve">Successful engagement with the practical and legislative aspects of the </w:t>
            </w:r>
            <w:r w:rsidRPr="0007525C">
              <w:rPr>
                <w:rFonts w:cstheme="minorHAnsi"/>
                <w:bCs/>
                <w:color w:val="000000" w:themeColor="text1"/>
              </w:rPr>
              <w:t>Nationally Consistent Collection of Data on School Students with Disability (NCCD</w:t>
            </w:r>
            <w:r w:rsidRPr="0007525C">
              <w:rPr>
                <w:rFonts w:cstheme="minorHAnsi"/>
                <w:b/>
                <w:color w:val="000000" w:themeColor="text1"/>
              </w:rPr>
              <w:t xml:space="preserve">) </w:t>
            </w:r>
            <w:r w:rsidRPr="0007525C">
              <w:rPr>
                <w:rFonts w:cstheme="minorHAnsi"/>
                <w:color w:val="000000" w:themeColor="text1"/>
              </w:rPr>
              <w:t xml:space="preserve">and Disability Standards for Education (DSE) relies upon best practice in the field of inclusion of students with disability. </w:t>
            </w:r>
          </w:p>
          <w:p w14:paraId="3B6F04BA"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 xml:space="preserve">The AISSA will continue to support schools to consider how relevant school structures and practices may best underpin and ensure intentional planning, consultation and documentation that lead to strengthening student outcomes. </w:t>
            </w:r>
          </w:p>
          <w:p w14:paraId="2D1514FC"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Through a tailored delivery approach that references ongoing evaluative feedback, school leaders, including Inclusive Education Consultants, will be supported to best engage with new and emerging themes and practices, be supported to review practice, plan for improvement, and build capacity to lead other school staff in best practice.</w:t>
            </w:r>
          </w:p>
          <w:p w14:paraId="1CD2D0FB"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Schools are continuously strengthening practices to improve outcomes for students with diverse needs and there is an anticipated need that support will be required in the future, especially at times when a new student with diverse needs enrols in a school, during transition times, and in planning for post school options.</w:t>
            </w:r>
          </w:p>
        </w:tc>
        <w:tc>
          <w:tcPr>
            <w:tcW w:w="2268" w:type="dxa"/>
          </w:tcPr>
          <w:p w14:paraId="5EA7E0F5"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Reform support funding: $244,042</w:t>
            </w:r>
          </w:p>
          <w:p w14:paraId="696E048C"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Other funding: $22,989</w:t>
            </w:r>
          </w:p>
          <w:p w14:paraId="3CB15E21" w14:textId="77777777" w:rsidR="00E9201A" w:rsidRPr="0007525C" w:rsidRDefault="00E9201A" w:rsidP="00850252">
            <w:pPr>
              <w:spacing w:before="120" w:after="120"/>
              <w:rPr>
                <w:rFonts w:cstheme="minorHAnsi"/>
                <w:color w:val="000000" w:themeColor="text1"/>
              </w:rPr>
            </w:pPr>
            <w:r w:rsidRPr="0007525C">
              <w:rPr>
                <w:rFonts w:cstheme="minorHAnsi"/>
                <w:color w:val="000000" w:themeColor="text1"/>
              </w:rPr>
              <w:t>FTE: 1.46</w:t>
            </w:r>
          </w:p>
          <w:p w14:paraId="7B74E7B5" w14:textId="77777777" w:rsidR="00E9201A" w:rsidRPr="0007525C" w:rsidRDefault="00E9201A" w:rsidP="00850252">
            <w:pPr>
              <w:spacing w:before="120" w:after="120"/>
              <w:rPr>
                <w:rFonts w:cstheme="minorHAnsi"/>
                <w:color w:val="000000" w:themeColor="text1"/>
              </w:rPr>
            </w:pPr>
            <w:r w:rsidRPr="0007525C" w:rsidDel="00F803CF">
              <w:rPr>
                <w:rFonts w:cstheme="minorHAnsi"/>
                <w:i/>
                <w:color w:val="000000" w:themeColor="text1"/>
              </w:rPr>
              <w:t xml:space="preserve"> </w:t>
            </w:r>
          </w:p>
        </w:tc>
        <w:tc>
          <w:tcPr>
            <w:tcW w:w="3118" w:type="dxa"/>
          </w:tcPr>
          <w:p w14:paraId="4EEA1525" w14:textId="77777777" w:rsidR="00E9201A" w:rsidRPr="0007525C" w:rsidRDefault="00E9201A" w:rsidP="00850252">
            <w:pPr>
              <w:pStyle w:val="ListParagraph"/>
              <w:numPr>
                <w:ilvl w:val="0"/>
                <w:numId w:val="34"/>
              </w:numPr>
              <w:spacing w:before="120" w:after="120"/>
              <w:rPr>
                <w:rFonts w:cstheme="minorHAnsi"/>
                <w:color w:val="000000" w:themeColor="text1"/>
              </w:rPr>
            </w:pPr>
            <w:r w:rsidRPr="0007525C">
              <w:rPr>
                <w:rFonts w:cstheme="minorHAnsi"/>
                <w:color w:val="000000" w:themeColor="text1"/>
              </w:rPr>
              <w:t>The NCCD provides a mechanism for schools to strengthen their beliefs and practices in support of equitable access to schooling for students with diverse needs.</w:t>
            </w:r>
          </w:p>
          <w:p w14:paraId="053A192B" w14:textId="77777777" w:rsidR="00E9201A" w:rsidRPr="0007525C" w:rsidRDefault="00E9201A" w:rsidP="00850252">
            <w:pPr>
              <w:pStyle w:val="ListParagraph"/>
              <w:numPr>
                <w:ilvl w:val="0"/>
                <w:numId w:val="34"/>
              </w:numPr>
              <w:spacing w:before="120" w:after="120"/>
              <w:rPr>
                <w:rFonts w:cstheme="minorHAnsi"/>
                <w:color w:val="000000" w:themeColor="text1"/>
              </w:rPr>
            </w:pPr>
            <w:r w:rsidRPr="0007525C">
              <w:rPr>
                <w:rFonts w:cstheme="minorHAnsi"/>
                <w:color w:val="000000" w:themeColor="text1"/>
              </w:rPr>
              <w:t>A tailored approach will support staff to increase their understanding and skills in inclusive practices.</w:t>
            </w:r>
          </w:p>
          <w:p w14:paraId="20E4293D" w14:textId="77777777" w:rsidR="00E9201A" w:rsidRPr="0007525C" w:rsidRDefault="00E9201A" w:rsidP="00850252">
            <w:pPr>
              <w:pStyle w:val="ListParagraph"/>
              <w:numPr>
                <w:ilvl w:val="0"/>
                <w:numId w:val="34"/>
              </w:numPr>
              <w:spacing w:before="120" w:after="120"/>
              <w:rPr>
                <w:rFonts w:cstheme="minorHAnsi"/>
                <w:color w:val="000000" w:themeColor="text1"/>
              </w:rPr>
            </w:pPr>
            <w:r w:rsidRPr="0007525C">
              <w:rPr>
                <w:rFonts w:cstheme="minorHAnsi"/>
                <w:color w:val="000000" w:themeColor="text1"/>
              </w:rPr>
              <w:t>Continued whole of school staff engagement with the DSE e-learning modules.</w:t>
            </w:r>
          </w:p>
          <w:p w14:paraId="6C0EDFDA" w14:textId="77777777" w:rsidR="00E9201A" w:rsidRPr="0007525C" w:rsidRDefault="00E9201A" w:rsidP="00850252">
            <w:pPr>
              <w:pStyle w:val="ListParagraph"/>
              <w:numPr>
                <w:ilvl w:val="0"/>
                <w:numId w:val="34"/>
              </w:numPr>
              <w:spacing w:before="120" w:after="120"/>
              <w:rPr>
                <w:rFonts w:cstheme="minorHAnsi"/>
                <w:color w:val="000000" w:themeColor="text1"/>
              </w:rPr>
            </w:pPr>
            <w:r w:rsidRPr="0007525C">
              <w:rPr>
                <w:rFonts w:cstheme="minorHAnsi"/>
                <w:color w:val="000000" w:themeColor="text1"/>
              </w:rPr>
              <w:t>Engagement with relevant professional learning resources and tools on the NCCD Portal including the Reflection Tool.</w:t>
            </w:r>
          </w:p>
          <w:p w14:paraId="11AE8E1B" w14:textId="77777777" w:rsidR="00E9201A" w:rsidRPr="0007525C" w:rsidRDefault="00E9201A" w:rsidP="00850252">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A sub-group of schools will be assisted to review their delivery of inclusive education, curriculum development and pedagogical approaches within their unique school communities.</w:t>
            </w:r>
          </w:p>
        </w:tc>
        <w:tc>
          <w:tcPr>
            <w:tcW w:w="2835" w:type="dxa"/>
          </w:tcPr>
          <w:p w14:paraId="708E6877" w14:textId="77777777" w:rsidR="00E9201A" w:rsidRPr="0007525C" w:rsidRDefault="00E9201A" w:rsidP="00850252">
            <w:pPr>
              <w:pStyle w:val="ListParagraph"/>
              <w:numPr>
                <w:ilvl w:val="0"/>
                <w:numId w:val="34"/>
              </w:numPr>
              <w:spacing w:before="120" w:after="120"/>
              <w:rPr>
                <w:rFonts w:cstheme="minorHAnsi"/>
                <w:color w:val="000000" w:themeColor="text1"/>
              </w:rPr>
            </w:pPr>
            <w:r w:rsidRPr="0007525C">
              <w:rPr>
                <w:rFonts w:cstheme="minorHAnsi"/>
                <w:color w:val="000000" w:themeColor="text1"/>
              </w:rPr>
              <w:t>50% of schools will be supported to improve the efficiency and integrity of the data collection.</w:t>
            </w:r>
          </w:p>
          <w:p w14:paraId="224A8216" w14:textId="77777777" w:rsidR="00E9201A" w:rsidRPr="0007525C" w:rsidRDefault="00E9201A" w:rsidP="00850252">
            <w:pPr>
              <w:pStyle w:val="ListParagraph"/>
              <w:spacing w:before="120" w:after="120"/>
              <w:ind w:left="360"/>
              <w:rPr>
                <w:rFonts w:cstheme="minorHAnsi"/>
                <w:color w:val="000000" w:themeColor="text1"/>
              </w:rPr>
            </w:pPr>
          </w:p>
          <w:p w14:paraId="1F6D4C5A" w14:textId="77777777" w:rsidR="00E9201A" w:rsidRPr="0007525C" w:rsidRDefault="00E9201A" w:rsidP="00850252">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School review of inclusive practice and delivery of service will be undertaken. This will involve schools new to the improvement cycle and/or schools on a continuous cycle of improvement in the area of Inclusive Education.</w:t>
            </w:r>
          </w:p>
        </w:tc>
      </w:tr>
    </w:tbl>
    <w:p w14:paraId="46BEDE69" w14:textId="2DBEB03D" w:rsidR="00E9201A" w:rsidRPr="0007525C" w:rsidRDefault="00E9201A" w:rsidP="00AB1E9A">
      <w:pPr>
        <w:rPr>
          <w:rFonts w:cstheme="minorHAnsi"/>
          <w:color w:val="000000" w:themeColor="text1"/>
        </w:rPr>
        <w:sectPr w:rsidR="00E9201A" w:rsidRPr="0007525C" w:rsidSect="00326632">
          <w:pgSz w:w="16838" w:h="11906" w:orient="landscape"/>
          <w:pgMar w:top="1440" w:right="1440" w:bottom="1440" w:left="1440" w:header="709" w:footer="709" w:gutter="0"/>
          <w:cols w:space="708"/>
          <w:docGrid w:linePitch="360"/>
        </w:sectPr>
      </w:pP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4790"/>
        <w:gridCol w:w="2268"/>
        <w:gridCol w:w="3118"/>
        <w:gridCol w:w="2835"/>
      </w:tblGrid>
      <w:tr w:rsidR="0007525C" w:rsidRPr="0007525C" w14:paraId="3E8F6051" w14:textId="77777777" w:rsidTr="00326632">
        <w:trPr>
          <w:cantSplit/>
        </w:trPr>
        <w:tc>
          <w:tcPr>
            <w:tcW w:w="1868" w:type="dxa"/>
          </w:tcPr>
          <w:p w14:paraId="60B1D1AF" w14:textId="77777777" w:rsidR="005B181D" w:rsidRPr="0007525C" w:rsidRDefault="005B181D" w:rsidP="00E9201A">
            <w:pPr>
              <w:spacing w:before="120" w:after="120"/>
              <w:jc w:val="center"/>
              <w:rPr>
                <w:rFonts w:cstheme="minorHAnsi"/>
                <w:b/>
                <w:color w:val="000000" w:themeColor="text1"/>
              </w:rPr>
            </w:pPr>
            <w:r w:rsidRPr="0007525C">
              <w:rPr>
                <w:rFonts w:cstheme="minorHAnsi"/>
                <w:b/>
                <w:color w:val="000000" w:themeColor="text1"/>
              </w:rPr>
              <w:lastRenderedPageBreak/>
              <w:t>Project title</w:t>
            </w:r>
          </w:p>
        </w:tc>
        <w:tc>
          <w:tcPr>
            <w:tcW w:w="4790" w:type="dxa"/>
          </w:tcPr>
          <w:p w14:paraId="20C61698" w14:textId="77777777" w:rsidR="005B181D" w:rsidRPr="0007525C" w:rsidRDefault="005B181D" w:rsidP="00E9201A">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2268" w:type="dxa"/>
          </w:tcPr>
          <w:p w14:paraId="221991BD" w14:textId="6B248271" w:rsidR="005B181D" w:rsidRPr="0007525C" w:rsidRDefault="005B181D" w:rsidP="00E9201A">
            <w:pPr>
              <w:spacing w:before="120" w:after="120"/>
              <w:jc w:val="center"/>
              <w:rPr>
                <w:rFonts w:cstheme="minorHAnsi"/>
                <w:b/>
                <w:color w:val="000000" w:themeColor="text1"/>
              </w:rPr>
            </w:pPr>
            <w:r w:rsidRPr="0007525C">
              <w:rPr>
                <w:rFonts w:cstheme="minorHAnsi"/>
                <w:b/>
                <w:color w:val="000000" w:themeColor="text1"/>
              </w:rPr>
              <w:t>Indicative budget</w:t>
            </w:r>
          </w:p>
        </w:tc>
        <w:tc>
          <w:tcPr>
            <w:tcW w:w="3118" w:type="dxa"/>
          </w:tcPr>
          <w:p w14:paraId="685E5075" w14:textId="72AD2368" w:rsidR="005B181D" w:rsidRPr="0007525C" w:rsidRDefault="005B181D" w:rsidP="00E9201A">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835" w:type="dxa"/>
          </w:tcPr>
          <w:p w14:paraId="05418B73" w14:textId="77777777" w:rsidR="005B181D" w:rsidRPr="0007525C" w:rsidRDefault="005B181D" w:rsidP="00E9201A">
            <w:pPr>
              <w:spacing w:before="120" w:after="120"/>
              <w:jc w:val="center"/>
              <w:rPr>
                <w:rFonts w:cstheme="minorHAnsi"/>
                <w:b/>
                <w:color w:val="000000" w:themeColor="text1"/>
              </w:rPr>
            </w:pPr>
            <w:r w:rsidRPr="0007525C">
              <w:rPr>
                <w:rFonts w:cstheme="minorHAnsi"/>
                <w:b/>
                <w:color w:val="000000" w:themeColor="text1"/>
              </w:rPr>
              <w:t>Indicators of success</w:t>
            </w:r>
          </w:p>
        </w:tc>
      </w:tr>
      <w:tr w:rsidR="00E9201A" w:rsidRPr="0007525C" w14:paraId="4034D6BD" w14:textId="77777777" w:rsidTr="00326632">
        <w:trPr>
          <w:cantSplit/>
          <w:trHeight w:val="5564"/>
        </w:trPr>
        <w:tc>
          <w:tcPr>
            <w:tcW w:w="1868" w:type="dxa"/>
          </w:tcPr>
          <w:p w14:paraId="781AFFDC" w14:textId="72215831" w:rsidR="00294299" w:rsidRPr="0007525C" w:rsidRDefault="00294299" w:rsidP="00E9201A">
            <w:pPr>
              <w:rPr>
                <w:rFonts w:cstheme="minorHAnsi"/>
                <w:b/>
                <w:color w:val="000000" w:themeColor="text1"/>
              </w:rPr>
            </w:pPr>
            <w:r w:rsidRPr="0007525C">
              <w:rPr>
                <w:rFonts w:cstheme="minorHAnsi"/>
                <w:b/>
                <w:color w:val="000000" w:themeColor="text1"/>
              </w:rPr>
              <w:t>Improve the quality of information on the Nationally Consistent Collection of Data on School Students with Disability and to improve the efficiency and integrity of the data collection</w:t>
            </w:r>
          </w:p>
        </w:tc>
        <w:tc>
          <w:tcPr>
            <w:tcW w:w="4790" w:type="dxa"/>
          </w:tcPr>
          <w:p w14:paraId="4D8C3F5D" w14:textId="77777777" w:rsidR="00294299" w:rsidRPr="0007525C" w:rsidRDefault="00294299" w:rsidP="00E9201A">
            <w:pPr>
              <w:spacing w:before="120" w:after="120"/>
              <w:rPr>
                <w:rFonts w:cstheme="minorHAnsi"/>
                <w:color w:val="000000" w:themeColor="text1"/>
              </w:rPr>
            </w:pPr>
            <w:r w:rsidRPr="0007525C">
              <w:rPr>
                <w:rFonts w:cstheme="minorHAnsi"/>
                <w:color w:val="000000" w:themeColor="text1"/>
              </w:rPr>
              <w:t xml:space="preserve">Successful engagement with the practical and legislative aspects of the </w:t>
            </w:r>
            <w:r w:rsidRPr="0007525C">
              <w:rPr>
                <w:rFonts w:cstheme="minorHAnsi"/>
                <w:bCs/>
                <w:color w:val="000000" w:themeColor="text1"/>
              </w:rPr>
              <w:t>Nationally Consistent Collection of Data on School Students with Disability (NCCD</w:t>
            </w:r>
            <w:r w:rsidRPr="0007525C">
              <w:rPr>
                <w:rFonts w:cstheme="minorHAnsi"/>
                <w:b/>
                <w:color w:val="000000" w:themeColor="text1"/>
              </w:rPr>
              <w:t xml:space="preserve">) </w:t>
            </w:r>
            <w:r w:rsidRPr="0007525C">
              <w:rPr>
                <w:rFonts w:cstheme="minorHAnsi"/>
                <w:color w:val="000000" w:themeColor="text1"/>
              </w:rPr>
              <w:t xml:space="preserve">and Disability Standards for Education (DSE) relies upon best practice in the field of inclusion of students with disability. </w:t>
            </w:r>
          </w:p>
          <w:p w14:paraId="1867A9DB" w14:textId="515CDF59" w:rsidR="00294299" w:rsidRPr="0007525C" w:rsidRDefault="6958E7C3" w:rsidP="00E9201A">
            <w:pPr>
              <w:spacing w:before="120" w:after="120"/>
              <w:rPr>
                <w:rFonts w:cstheme="minorHAnsi"/>
                <w:color w:val="000000" w:themeColor="text1"/>
              </w:rPr>
            </w:pPr>
            <w:r w:rsidRPr="0007525C">
              <w:rPr>
                <w:rFonts w:cstheme="minorHAnsi"/>
                <w:color w:val="000000" w:themeColor="text1"/>
              </w:rPr>
              <w:t xml:space="preserve">The AISSA will continue to support schools to consider how relevant school structures and practices may best underpin and ensure intentional planning, consultation and documentation that lead to strengthening student outcomes. </w:t>
            </w:r>
          </w:p>
          <w:p w14:paraId="5BEBEC95" w14:textId="77777777" w:rsidR="00294299" w:rsidRPr="0007525C" w:rsidRDefault="00294299" w:rsidP="00E9201A">
            <w:pPr>
              <w:spacing w:before="120" w:after="120"/>
              <w:rPr>
                <w:rFonts w:cstheme="minorHAnsi"/>
                <w:color w:val="000000" w:themeColor="text1"/>
              </w:rPr>
            </w:pPr>
            <w:r w:rsidRPr="0007525C">
              <w:rPr>
                <w:rFonts w:cstheme="minorHAnsi"/>
                <w:color w:val="000000" w:themeColor="text1"/>
              </w:rPr>
              <w:t>Through a tailored delivery approach that references ongoing evaluative feedback, school leaders, including Inclusive Education Consultants, will be supported to best engage with new and emerging themes and practices, be supported to review practice, plan for improvement, and build capacity to lead other school staff in best practice.</w:t>
            </w:r>
          </w:p>
          <w:p w14:paraId="3ED6A41E" w14:textId="04DFE88C" w:rsidR="00294299" w:rsidRPr="0007525C" w:rsidRDefault="00294299" w:rsidP="00E9201A">
            <w:pPr>
              <w:spacing w:before="120" w:after="120"/>
              <w:rPr>
                <w:rFonts w:cstheme="minorHAnsi"/>
                <w:color w:val="000000" w:themeColor="text1"/>
              </w:rPr>
            </w:pPr>
            <w:r w:rsidRPr="0007525C">
              <w:rPr>
                <w:rFonts w:cstheme="minorHAnsi"/>
                <w:color w:val="000000" w:themeColor="text1"/>
              </w:rPr>
              <w:t>Schools are continuously strengthening practices to improve outcomes for students with diverse needs and there is an anticipated need that support will be required in the future, especially at times when a new student with diverse needs enrols in a school, during transition times, and in planning for post school options.</w:t>
            </w:r>
          </w:p>
        </w:tc>
        <w:tc>
          <w:tcPr>
            <w:tcW w:w="2268" w:type="dxa"/>
          </w:tcPr>
          <w:p w14:paraId="4B62DCDA" w14:textId="5C4D796E" w:rsidR="00294299" w:rsidRPr="0007525C" w:rsidRDefault="00294299" w:rsidP="00E9201A">
            <w:pPr>
              <w:spacing w:before="120" w:after="120"/>
              <w:rPr>
                <w:rFonts w:cstheme="minorHAnsi"/>
                <w:color w:val="000000" w:themeColor="text1"/>
              </w:rPr>
            </w:pPr>
            <w:r w:rsidRPr="0007525C">
              <w:rPr>
                <w:rFonts w:cstheme="minorHAnsi"/>
                <w:color w:val="000000" w:themeColor="text1"/>
              </w:rPr>
              <w:t>Reform support funding: $2</w:t>
            </w:r>
            <w:r w:rsidR="00413BA4" w:rsidRPr="0007525C">
              <w:rPr>
                <w:rFonts w:cstheme="minorHAnsi"/>
                <w:color w:val="000000" w:themeColor="text1"/>
              </w:rPr>
              <w:t>44</w:t>
            </w:r>
            <w:r w:rsidRPr="0007525C">
              <w:rPr>
                <w:rFonts w:cstheme="minorHAnsi"/>
                <w:color w:val="000000" w:themeColor="text1"/>
              </w:rPr>
              <w:t>,</w:t>
            </w:r>
            <w:r w:rsidR="00413BA4" w:rsidRPr="0007525C">
              <w:rPr>
                <w:rFonts w:cstheme="minorHAnsi"/>
                <w:color w:val="000000" w:themeColor="text1"/>
              </w:rPr>
              <w:t>042</w:t>
            </w:r>
          </w:p>
          <w:p w14:paraId="2ABF7BC0" w14:textId="69A8E882" w:rsidR="00294299" w:rsidRPr="0007525C" w:rsidRDefault="00294299" w:rsidP="00E9201A">
            <w:pPr>
              <w:spacing w:before="120" w:after="120"/>
              <w:rPr>
                <w:rFonts w:cstheme="minorHAnsi"/>
                <w:color w:val="000000" w:themeColor="text1"/>
              </w:rPr>
            </w:pPr>
            <w:r w:rsidRPr="0007525C">
              <w:rPr>
                <w:rFonts w:cstheme="minorHAnsi"/>
                <w:color w:val="000000" w:themeColor="text1"/>
              </w:rPr>
              <w:t>Other funding: $</w:t>
            </w:r>
            <w:r w:rsidR="00413BA4" w:rsidRPr="0007525C">
              <w:rPr>
                <w:rFonts w:cstheme="minorHAnsi"/>
                <w:color w:val="000000" w:themeColor="text1"/>
              </w:rPr>
              <w:t>22,989</w:t>
            </w:r>
          </w:p>
          <w:p w14:paraId="0EFB4573" w14:textId="60D8BA5C" w:rsidR="00294299" w:rsidRPr="0007525C" w:rsidRDefault="00294299" w:rsidP="00E9201A">
            <w:pPr>
              <w:spacing w:before="120" w:after="120"/>
              <w:rPr>
                <w:rFonts w:cstheme="minorHAnsi"/>
                <w:color w:val="000000" w:themeColor="text1"/>
              </w:rPr>
            </w:pPr>
            <w:r w:rsidRPr="0007525C">
              <w:rPr>
                <w:rFonts w:cstheme="minorHAnsi"/>
                <w:color w:val="000000" w:themeColor="text1"/>
              </w:rPr>
              <w:t>FTE: 1.46</w:t>
            </w:r>
          </w:p>
          <w:p w14:paraId="2A4545C6" w14:textId="70FBD651" w:rsidR="00294299" w:rsidRPr="0007525C" w:rsidRDefault="00294299" w:rsidP="00E9201A">
            <w:pPr>
              <w:spacing w:before="120" w:after="120"/>
              <w:rPr>
                <w:rFonts w:cstheme="minorHAnsi"/>
                <w:color w:val="000000" w:themeColor="text1"/>
              </w:rPr>
            </w:pPr>
            <w:r w:rsidRPr="0007525C" w:rsidDel="00F803CF">
              <w:rPr>
                <w:rFonts w:cstheme="minorHAnsi"/>
                <w:i/>
                <w:color w:val="000000" w:themeColor="text1"/>
              </w:rPr>
              <w:t xml:space="preserve"> </w:t>
            </w:r>
          </w:p>
        </w:tc>
        <w:tc>
          <w:tcPr>
            <w:tcW w:w="3118" w:type="dxa"/>
          </w:tcPr>
          <w:p w14:paraId="70601BF7" w14:textId="77777777" w:rsidR="00294299" w:rsidRPr="0007525C" w:rsidRDefault="00294299" w:rsidP="00E9201A">
            <w:pPr>
              <w:pStyle w:val="ListParagraph"/>
              <w:numPr>
                <w:ilvl w:val="0"/>
                <w:numId w:val="34"/>
              </w:numPr>
              <w:spacing w:before="120" w:after="120"/>
              <w:rPr>
                <w:rFonts w:cstheme="minorHAnsi"/>
                <w:color w:val="000000" w:themeColor="text1"/>
              </w:rPr>
            </w:pPr>
            <w:r w:rsidRPr="0007525C">
              <w:rPr>
                <w:rFonts w:cstheme="minorHAnsi"/>
                <w:color w:val="000000" w:themeColor="text1"/>
              </w:rPr>
              <w:t>The NCCD provides a mechanism for schools to strengthen their beliefs and practices in support of equitable access to schooling for students with diverse needs.</w:t>
            </w:r>
          </w:p>
          <w:p w14:paraId="321DBD0E" w14:textId="77777777" w:rsidR="00294299" w:rsidRPr="0007525C" w:rsidRDefault="00294299" w:rsidP="00E9201A">
            <w:pPr>
              <w:pStyle w:val="ListParagraph"/>
              <w:numPr>
                <w:ilvl w:val="0"/>
                <w:numId w:val="34"/>
              </w:numPr>
              <w:spacing w:before="120" w:after="120"/>
              <w:rPr>
                <w:rFonts w:cstheme="minorHAnsi"/>
                <w:color w:val="000000" w:themeColor="text1"/>
              </w:rPr>
            </w:pPr>
            <w:r w:rsidRPr="0007525C">
              <w:rPr>
                <w:rFonts w:cstheme="minorHAnsi"/>
                <w:color w:val="000000" w:themeColor="text1"/>
              </w:rPr>
              <w:t>A tailored approach will support staff to increase their understanding and skills in inclusive practices.</w:t>
            </w:r>
          </w:p>
          <w:p w14:paraId="39EA9256" w14:textId="16F4FBD0" w:rsidR="00294299" w:rsidRPr="0007525C" w:rsidRDefault="00294299" w:rsidP="00E9201A">
            <w:pPr>
              <w:pStyle w:val="ListParagraph"/>
              <w:numPr>
                <w:ilvl w:val="0"/>
                <w:numId w:val="34"/>
              </w:numPr>
              <w:spacing w:before="120" w:after="120"/>
              <w:rPr>
                <w:rFonts w:cstheme="minorHAnsi"/>
                <w:color w:val="000000" w:themeColor="text1"/>
              </w:rPr>
            </w:pPr>
            <w:r w:rsidRPr="0007525C">
              <w:rPr>
                <w:rFonts w:cstheme="minorHAnsi"/>
                <w:color w:val="000000" w:themeColor="text1"/>
              </w:rPr>
              <w:t>Continued whole of school staff engagement with the DSE e-learning modules</w:t>
            </w:r>
            <w:r w:rsidR="00960666" w:rsidRPr="0007525C">
              <w:rPr>
                <w:rFonts w:cstheme="minorHAnsi"/>
                <w:color w:val="000000" w:themeColor="text1"/>
              </w:rPr>
              <w:t>.</w:t>
            </w:r>
          </w:p>
          <w:p w14:paraId="76FCB552" w14:textId="77777777" w:rsidR="00294299" w:rsidRPr="0007525C" w:rsidRDefault="00294299" w:rsidP="00E9201A">
            <w:pPr>
              <w:pStyle w:val="ListParagraph"/>
              <w:numPr>
                <w:ilvl w:val="0"/>
                <w:numId w:val="34"/>
              </w:numPr>
              <w:spacing w:before="120" w:after="120"/>
              <w:rPr>
                <w:rFonts w:cstheme="minorHAnsi"/>
                <w:color w:val="000000" w:themeColor="text1"/>
              </w:rPr>
            </w:pPr>
            <w:r w:rsidRPr="0007525C">
              <w:rPr>
                <w:rFonts w:cstheme="minorHAnsi"/>
                <w:color w:val="000000" w:themeColor="text1"/>
              </w:rPr>
              <w:t>Engagement with relevant professional learning resources and tools on the NCCD Portal including the Reflection Tool.</w:t>
            </w:r>
          </w:p>
          <w:p w14:paraId="0F7AEA69" w14:textId="57C500F3" w:rsidR="00294299" w:rsidRPr="0007525C" w:rsidRDefault="00294299" w:rsidP="00E9201A">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A sub-group of schools will be assisted to review their delivery of inclusive education, curriculum development and pedagogical approaches within their unique school communities.</w:t>
            </w:r>
          </w:p>
        </w:tc>
        <w:tc>
          <w:tcPr>
            <w:tcW w:w="2835" w:type="dxa"/>
          </w:tcPr>
          <w:p w14:paraId="295126D4" w14:textId="77777777" w:rsidR="00294299" w:rsidRPr="0007525C" w:rsidRDefault="00294299" w:rsidP="00E9201A">
            <w:pPr>
              <w:pStyle w:val="ListParagraph"/>
              <w:numPr>
                <w:ilvl w:val="0"/>
                <w:numId w:val="34"/>
              </w:numPr>
              <w:spacing w:before="120" w:after="120"/>
              <w:rPr>
                <w:rFonts w:cstheme="minorHAnsi"/>
                <w:color w:val="000000" w:themeColor="text1"/>
              </w:rPr>
            </w:pPr>
            <w:r w:rsidRPr="0007525C">
              <w:rPr>
                <w:rFonts w:cstheme="minorHAnsi"/>
                <w:color w:val="000000" w:themeColor="text1"/>
              </w:rPr>
              <w:t>50% of schools will be supported to improve the efficiency and integrity of the data collection.</w:t>
            </w:r>
          </w:p>
          <w:p w14:paraId="294B5148" w14:textId="77777777" w:rsidR="00294299" w:rsidRPr="0007525C" w:rsidRDefault="00294299" w:rsidP="00E9201A">
            <w:pPr>
              <w:pStyle w:val="ListParagraph"/>
              <w:spacing w:before="120" w:after="120"/>
              <w:ind w:left="360"/>
              <w:rPr>
                <w:rFonts w:cstheme="minorHAnsi"/>
                <w:color w:val="000000" w:themeColor="text1"/>
              </w:rPr>
            </w:pPr>
          </w:p>
          <w:p w14:paraId="291FB378" w14:textId="497A0ED2" w:rsidR="00294299" w:rsidRPr="0007525C" w:rsidRDefault="00294299" w:rsidP="00E9201A">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School review of inclusive practice and delivery of service will be undertaken. This will involve schools new to the improvement cycle and/or schools on a continuous cycle of improvement in the area of Inclusive Education.</w:t>
            </w:r>
          </w:p>
        </w:tc>
      </w:tr>
    </w:tbl>
    <w:p w14:paraId="461EE9D3" w14:textId="52CDE39E" w:rsidR="004263E6" w:rsidRPr="0007525C" w:rsidRDefault="004263E6" w:rsidP="00326632">
      <w:pPr>
        <w:jc w:val="center"/>
        <w:rPr>
          <w:rFonts w:cstheme="minorHAnsi"/>
          <w:b/>
          <w:color w:val="000000" w:themeColor="text1"/>
        </w:rPr>
      </w:pPr>
    </w:p>
    <w:p w14:paraId="6BE90D94" w14:textId="66BAE671" w:rsidR="0007525C" w:rsidRPr="0007525C" w:rsidRDefault="004263E6" w:rsidP="00326632">
      <w:pPr>
        <w:ind w:left="-426"/>
        <w:rPr>
          <w:rFonts w:cstheme="minorHAnsi"/>
          <w:b/>
          <w:color w:val="000000" w:themeColor="text1"/>
        </w:rPr>
      </w:pPr>
      <w:r w:rsidRPr="0007525C">
        <w:rPr>
          <w:rFonts w:cstheme="minorHAnsi"/>
          <w:b/>
          <w:color w:val="000000" w:themeColor="text1"/>
        </w:rPr>
        <w:br w:type="page"/>
      </w:r>
      <w:r w:rsidR="0007525C" w:rsidRPr="0007525C">
        <w:rPr>
          <w:rFonts w:cstheme="minorHAnsi"/>
          <w:b/>
          <w:color w:val="000000" w:themeColor="text1"/>
        </w:rPr>
        <w:lastRenderedPageBreak/>
        <w:t>National Policy (from NERA): NAPLAN</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6491"/>
        <w:gridCol w:w="1559"/>
        <w:gridCol w:w="2410"/>
        <w:gridCol w:w="2551"/>
      </w:tblGrid>
      <w:tr w:rsidR="0007525C" w:rsidRPr="0007525C" w14:paraId="1BC03F69" w14:textId="77777777" w:rsidTr="00326632">
        <w:trPr>
          <w:cantSplit/>
        </w:trPr>
        <w:tc>
          <w:tcPr>
            <w:tcW w:w="1868" w:type="dxa"/>
          </w:tcPr>
          <w:p w14:paraId="75F6B727"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Project title</w:t>
            </w:r>
          </w:p>
        </w:tc>
        <w:tc>
          <w:tcPr>
            <w:tcW w:w="6491" w:type="dxa"/>
          </w:tcPr>
          <w:p w14:paraId="14DD38EC"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559" w:type="dxa"/>
          </w:tcPr>
          <w:p w14:paraId="05DD82FD"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Indicative budget</w:t>
            </w:r>
          </w:p>
        </w:tc>
        <w:tc>
          <w:tcPr>
            <w:tcW w:w="2410" w:type="dxa"/>
          </w:tcPr>
          <w:p w14:paraId="1DF6E1CE"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551" w:type="dxa"/>
          </w:tcPr>
          <w:p w14:paraId="234150AA"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Indicators of success</w:t>
            </w:r>
          </w:p>
        </w:tc>
      </w:tr>
      <w:tr w:rsidR="0007525C" w:rsidRPr="0007525C" w14:paraId="43CCD739" w14:textId="77777777" w:rsidTr="00326632">
        <w:trPr>
          <w:cantSplit/>
          <w:trHeight w:val="5564"/>
        </w:trPr>
        <w:tc>
          <w:tcPr>
            <w:tcW w:w="1868" w:type="dxa"/>
          </w:tcPr>
          <w:p w14:paraId="394D54B8" w14:textId="2B9D29B1" w:rsidR="000A59B9" w:rsidRPr="0007525C" w:rsidRDefault="0A9DF1EB" w:rsidP="0007525C">
            <w:pPr>
              <w:rPr>
                <w:rFonts w:cstheme="minorHAnsi"/>
                <w:b/>
                <w:bCs/>
                <w:color w:val="000000" w:themeColor="text1"/>
              </w:rPr>
            </w:pPr>
            <w:r w:rsidRPr="0007525C">
              <w:rPr>
                <w:rFonts w:cstheme="minorHAnsi"/>
                <w:b/>
                <w:bCs/>
                <w:color w:val="000000" w:themeColor="text1"/>
              </w:rPr>
              <w:t>Strengthening NAPLAN, including through bringing the test window forward to term 1 from 2023 and offering schools the opportunity to opt-in to assessment of student</w:t>
            </w:r>
            <w:r w:rsidR="588B5F5F" w:rsidRPr="0007525C">
              <w:rPr>
                <w:rFonts w:cstheme="minorHAnsi"/>
                <w:b/>
                <w:bCs/>
                <w:color w:val="000000" w:themeColor="text1"/>
              </w:rPr>
              <w:t>s’</w:t>
            </w:r>
            <w:r w:rsidRPr="0007525C">
              <w:rPr>
                <w:rFonts w:cstheme="minorHAnsi"/>
                <w:b/>
                <w:bCs/>
                <w:color w:val="000000" w:themeColor="text1"/>
              </w:rPr>
              <w:t xml:space="preserve"> ability in Science, Digital Literacy and Civics and Citizenship</w:t>
            </w:r>
          </w:p>
        </w:tc>
        <w:tc>
          <w:tcPr>
            <w:tcW w:w="6491" w:type="dxa"/>
          </w:tcPr>
          <w:p w14:paraId="395B0B46" w14:textId="77777777" w:rsidR="000A59B9" w:rsidRPr="0007525C" w:rsidRDefault="000A59B9" w:rsidP="0007525C">
            <w:pPr>
              <w:spacing w:before="120" w:after="120"/>
              <w:rPr>
                <w:rFonts w:cstheme="minorHAnsi"/>
                <w:color w:val="000000" w:themeColor="text1"/>
              </w:rPr>
            </w:pPr>
            <w:r w:rsidRPr="0007525C">
              <w:rPr>
                <w:rFonts w:cstheme="minorHAnsi"/>
                <w:color w:val="000000" w:themeColor="text1"/>
              </w:rPr>
              <w:t>The AISSA plays a pivotal role in supporting Independent schools in SA to successfully meet their national obligations to offer participation in the NAPLAN to students at years 3, 5, 7 and 9.  In 2022 all Independent schools participated in NAPLAN online and years 3 and 5 students in Steiner schools successfully undertook NAPLAN using alternate format materials.</w:t>
            </w:r>
          </w:p>
          <w:p w14:paraId="74CC4136" w14:textId="77777777" w:rsidR="000A59B9" w:rsidRPr="0007525C" w:rsidRDefault="000A59B9" w:rsidP="0007525C">
            <w:pPr>
              <w:spacing w:before="120" w:after="120"/>
              <w:rPr>
                <w:rFonts w:cstheme="minorHAnsi"/>
                <w:color w:val="000000" w:themeColor="text1"/>
              </w:rPr>
            </w:pPr>
            <w:r w:rsidRPr="0007525C">
              <w:rPr>
                <w:rFonts w:cstheme="minorHAnsi"/>
                <w:color w:val="000000" w:themeColor="text1"/>
              </w:rPr>
              <w:t>In support of successfully moving NAPLAN from May to March, a cohesive cross-sector strategy will continue to take place, in addition to sector-specific activity.  Regular cross sector meetings and consistency of school communications across the three sectors will greatly assist with this.</w:t>
            </w:r>
          </w:p>
          <w:p w14:paraId="5AEEAB14" w14:textId="77777777" w:rsidR="000A59B9" w:rsidRPr="0007525C" w:rsidRDefault="000A59B9" w:rsidP="0007525C">
            <w:pPr>
              <w:spacing w:before="120" w:after="120"/>
              <w:rPr>
                <w:rFonts w:cstheme="minorHAnsi"/>
                <w:color w:val="000000" w:themeColor="text1"/>
              </w:rPr>
            </w:pPr>
            <w:r w:rsidRPr="0007525C">
              <w:rPr>
                <w:rFonts w:cstheme="minorHAnsi"/>
                <w:color w:val="000000" w:themeColor="text1"/>
              </w:rPr>
              <w:t>The AISSA NAPLAN team will play a key role in providing guidance to Independent schools on change leadership, Assessment Platform training, help desk support and advice that supports inclusive practices for students with disability.</w:t>
            </w:r>
          </w:p>
          <w:p w14:paraId="66B7EBCF" w14:textId="1125FEDA" w:rsidR="000A59B9" w:rsidRPr="0007525C" w:rsidRDefault="000A59B9" w:rsidP="0007525C">
            <w:pPr>
              <w:spacing w:before="120" w:after="120"/>
              <w:rPr>
                <w:rFonts w:cstheme="minorHAnsi"/>
                <w:color w:val="000000" w:themeColor="text1"/>
              </w:rPr>
            </w:pPr>
            <w:r w:rsidRPr="0007525C">
              <w:rPr>
                <w:rFonts w:cstheme="minorHAnsi"/>
                <w:color w:val="000000" w:themeColor="text1"/>
              </w:rPr>
              <w:t>The AISSA will also liaise between the SA Testing Administration Authority (TAA) and Independent schools to facilitate successful participation in National Assessment Program Field Trails, International and Sample Assessments. In 2023 this will include Trends in International Mathematics and Science Study (TIMMS): Main Study and the sample assessment Science Literacy Main Study.  Additionally, the AISSA will provide information and communications to schools about the introduction of opt-in sample assessments in general and for the Civics and Citizenship assessment in 2024.</w:t>
            </w:r>
          </w:p>
        </w:tc>
        <w:tc>
          <w:tcPr>
            <w:tcW w:w="1559" w:type="dxa"/>
          </w:tcPr>
          <w:p w14:paraId="78B451E8" w14:textId="51B627BA" w:rsidR="000A59B9" w:rsidRPr="0007525C" w:rsidRDefault="000A59B9" w:rsidP="0007525C">
            <w:pPr>
              <w:spacing w:before="120" w:after="120"/>
              <w:rPr>
                <w:rFonts w:cstheme="minorHAnsi"/>
                <w:color w:val="000000" w:themeColor="text1"/>
              </w:rPr>
            </w:pPr>
            <w:r w:rsidRPr="0007525C">
              <w:rPr>
                <w:rFonts w:cstheme="minorHAnsi"/>
                <w:color w:val="000000" w:themeColor="text1"/>
              </w:rPr>
              <w:t>Reform support funding: $</w:t>
            </w:r>
            <w:r w:rsidR="006542D6" w:rsidRPr="0007525C">
              <w:rPr>
                <w:rFonts w:cstheme="minorHAnsi"/>
                <w:color w:val="000000" w:themeColor="text1"/>
              </w:rPr>
              <w:t>93</w:t>
            </w:r>
            <w:r w:rsidRPr="0007525C">
              <w:rPr>
                <w:rFonts w:cstheme="minorHAnsi"/>
                <w:color w:val="000000" w:themeColor="text1"/>
              </w:rPr>
              <w:t>,</w:t>
            </w:r>
            <w:r w:rsidR="006542D6" w:rsidRPr="0007525C">
              <w:rPr>
                <w:rFonts w:cstheme="minorHAnsi"/>
                <w:color w:val="000000" w:themeColor="text1"/>
              </w:rPr>
              <w:t>319</w:t>
            </w:r>
          </w:p>
          <w:p w14:paraId="38B72CD7" w14:textId="777084B7" w:rsidR="000A59B9" w:rsidRPr="0007525C" w:rsidRDefault="000A59B9" w:rsidP="0007525C">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9</w:t>
            </w:r>
            <w:r w:rsidRPr="0007525C">
              <w:rPr>
                <w:rFonts w:cstheme="minorHAnsi"/>
                <w:color w:val="000000" w:themeColor="text1"/>
              </w:rPr>
              <w:t>,</w:t>
            </w:r>
            <w:r w:rsidR="006542D6" w:rsidRPr="0007525C">
              <w:rPr>
                <w:rFonts w:cstheme="minorHAnsi"/>
                <w:color w:val="000000" w:themeColor="text1"/>
              </w:rPr>
              <w:t>190</w:t>
            </w:r>
          </w:p>
          <w:p w14:paraId="663FFBCF" w14:textId="5FC4AE9E" w:rsidR="000A59B9" w:rsidRPr="0007525C" w:rsidRDefault="000A59B9" w:rsidP="0007525C">
            <w:pPr>
              <w:spacing w:before="120" w:after="120"/>
              <w:rPr>
                <w:rFonts w:cstheme="minorHAnsi"/>
                <w:color w:val="000000" w:themeColor="text1"/>
              </w:rPr>
            </w:pPr>
            <w:r w:rsidRPr="0007525C">
              <w:rPr>
                <w:rFonts w:cstheme="minorHAnsi"/>
                <w:color w:val="000000" w:themeColor="text1"/>
              </w:rPr>
              <w:t>FTE: 0.56</w:t>
            </w:r>
          </w:p>
          <w:p w14:paraId="2E614E19" w14:textId="0672AF1B" w:rsidR="000A59B9" w:rsidRPr="0007525C" w:rsidRDefault="000A59B9" w:rsidP="0007525C">
            <w:pPr>
              <w:spacing w:before="120" w:after="120"/>
              <w:rPr>
                <w:rFonts w:cstheme="minorHAnsi"/>
                <w:color w:val="000000" w:themeColor="text1"/>
              </w:rPr>
            </w:pPr>
          </w:p>
        </w:tc>
        <w:tc>
          <w:tcPr>
            <w:tcW w:w="2410" w:type="dxa"/>
          </w:tcPr>
          <w:p w14:paraId="1B184A5E" w14:textId="77777777" w:rsidR="000A59B9" w:rsidRPr="0007525C" w:rsidRDefault="000A59B9"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Students and staff across Independent schools will successfully transition to a term one NAPLAN event in 2023.</w:t>
            </w:r>
          </w:p>
          <w:p w14:paraId="65FDEF4B" w14:textId="445AD585" w:rsidR="000A59B9" w:rsidRPr="0007525C" w:rsidRDefault="000A59B9"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Schools will be informed about the purpose and opportunity to opt-in to sample assessments.</w:t>
            </w:r>
          </w:p>
        </w:tc>
        <w:tc>
          <w:tcPr>
            <w:tcW w:w="2551" w:type="dxa"/>
          </w:tcPr>
          <w:p w14:paraId="13330704" w14:textId="77777777" w:rsidR="000A59B9" w:rsidRPr="0007525C" w:rsidRDefault="000A59B9"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All Independent schools with students from Years 3, 5, 7 and 9 successfully participate in NAPLAN in March.</w:t>
            </w:r>
          </w:p>
          <w:p w14:paraId="27A0DD1A" w14:textId="77777777" w:rsidR="000A59B9" w:rsidRPr="0007525C" w:rsidRDefault="000A59B9" w:rsidP="0007525C">
            <w:pPr>
              <w:pStyle w:val="ListParagraph"/>
              <w:spacing w:before="120" w:after="120"/>
              <w:ind w:left="360"/>
              <w:rPr>
                <w:rFonts w:cstheme="minorHAnsi"/>
                <w:color w:val="000000" w:themeColor="text1"/>
              </w:rPr>
            </w:pPr>
          </w:p>
          <w:p w14:paraId="614EEE35" w14:textId="77777777" w:rsidR="000A59B9" w:rsidRPr="0007525C" w:rsidRDefault="000A59B9"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 xml:space="preserve">Years 3 and 5 students from Steiner schools successfully undertake NAPLAN in March using alternate format materials. </w:t>
            </w:r>
          </w:p>
          <w:p w14:paraId="2C155733" w14:textId="77777777" w:rsidR="000A59B9" w:rsidRPr="0007525C" w:rsidRDefault="000A59B9" w:rsidP="0007525C">
            <w:pPr>
              <w:pStyle w:val="ListParagraph"/>
              <w:rPr>
                <w:rFonts w:cstheme="minorHAnsi"/>
                <w:color w:val="000000" w:themeColor="text1"/>
              </w:rPr>
            </w:pPr>
          </w:p>
          <w:p w14:paraId="690D719F" w14:textId="49BF013D" w:rsidR="000A59B9" w:rsidRPr="0007525C" w:rsidRDefault="000A59B9" w:rsidP="0007525C">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Information about the opt-in sample assessments, commencing with the Civics and Citizenship assessment in 2024 has been provided to schools.</w:t>
            </w:r>
          </w:p>
        </w:tc>
      </w:tr>
    </w:tbl>
    <w:p w14:paraId="6712AA67" w14:textId="77777777" w:rsidR="00326632" w:rsidRDefault="00326632">
      <w:pPr>
        <w:rPr>
          <w:rFonts w:cstheme="minorHAnsi"/>
          <w:b/>
          <w:color w:val="000000" w:themeColor="text1"/>
        </w:rPr>
      </w:pPr>
    </w:p>
    <w:p w14:paraId="6B771783" w14:textId="4D378C6A" w:rsidR="004263E6" w:rsidRPr="0007525C" w:rsidRDefault="0007525C" w:rsidP="00326632">
      <w:pPr>
        <w:ind w:left="-426"/>
        <w:rPr>
          <w:rFonts w:cstheme="minorHAnsi"/>
          <w:b/>
          <w:color w:val="000000" w:themeColor="text1"/>
        </w:rPr>
      </w:pPr>
      <w:r w:rsidRPr="0007525C">
        <w:rPr>
          <w:rFonts w:cstheme="minorHAnsi"/>
          <w:b/>
          <w:color w:val="000000" w:themeColor="text1"/>
        </w:rPr>
        <w:lastRenderedPageBreak/>
        <w:t>National Policy (from NERA): Governance</w:t>
      </w:r>
      <w:r w:rsidRPr="0007525C">
        <w:rPr>
          <w:rFonts w:cstheme="minorHAnsi"/>
          <w:b/>
          <w:color w:val="000000" w:themeColor="text1"/>
        </w:rPr>
        <w:t xml:space="preserve"> </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6632"/>
        <w:gridCol w:w="1701"/>
        <w:gridCol w:w="2410"/>
        <w:gridCol w:w="2268"/>
      </w:tblGrid>
      <w:tr w:rsidR="0007525C" w:rsidRPr="0007525C" w14:paraId="74DD340C" w14:textId="77777777" w:rsidTr="00326632">
        <w:trPr>
          <w:cantSplit/>
        </w:trPr>
        <w:tc>
          <w:tcPr>
            <w:tcW w:w="1868" w:type="dxa"/>
          </w:tcPr>
          <w:p w14:paraId="1B0CEF2F"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Project title</w:t>
            </w:r>
          </w:p>
        </w:tc>
        <w:tc>
          <w:tcPr>
            <w:tcW w:w="6632" w:type="dxa"/>
          </w:tcPr>
          <w:p w14:paraId="5A40A2DB"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701" w:type="dxa"/>
          </w:tcPr>
          <w:p w14:paraId="7CB4A204"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Indicative budget</w:t>
            </w:r>
          </w:p>
        </w:tc>
        <w:tc>
          <w:tcPr>
            <w:tcW w:w="2410" w:type="dxa"/>
          </w:tcPr>
          <w:p w14:paraId="38B87A53"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268" w:type="dxa"/>
          </w:tcPr>
          <w:p w14:paraId="18399A32" w14:textId="77777777" w:rsidR="004263E6" w:rsidRPr="0007525C" w:rsidRDefault="004263E6" w:rsidP="0007525C">
            <w:pPr>
              <w:spacing w:before="120" w:after="120"/>
              <w:jc w:val="center"/>
              <w:rPr>
                <w:rFonts w:cstheme="minorHAnsi"/>
                <w:b/>
                <w:color w:val="000000" w:themeColor="text1"/>
              </w:rPr>
            </w:pPr>
            <w:r w:rsidRPr="0007525C">
              <w:rPr>
                <w:rFonts w:cstheme="minorHAnsi"/>
                <w:b/>
                <w:color w:val="000000" w:themeColor="text1"/>
              </w:rPr>
              <w:t>Indicators of success</w:t>
            </w:r>
          </w:p>
        </w:tc>
      </w:tr>
      <w:tr w:rsidR="0007525C" w:rsidRPr="0007525C" w14:paraId="304B0303" w14:textId="77777777" w:rsidTr="00326632">
        <w:trPr>
          <w:cantSplit/>
          <w:trHeight w:val="5564"/>
        </w:trPr>
        <w:tc>
          <w:tcPr>
            <w:tcW w:w="1868" w:type="dxa"/>
          </w:tcPr>
          <w:p w14:paraId="65229FED" w14:textId="3600B302" w:rsidR="00516149" w:rsidRPr="0007525C" w:rsidRDefault="00516149" w:rsidP="0007525C">
            <w:pPr>
              <w:rPr>
                <w:rFonts w:cstheme="minorHAnsi"/>
                <w:b/>
                <w:color w:val="000000" w:themeColor="text1"/>
              </w:rPr>
            </w:pPr>
            <w:r w:rsidRPr="0007525C">
              <w:rPr>
                <w:rFonts w:cstheme="minorHAnsi"/>
                <w:b/>
                <w:color w:val="000000" w:themeColor="text1"/>
              </w:rPr>
              <w:t>Improving governance and financial management practices in non-government schools to strengthen financial viability, improve business decision making and build resilience to mitigate unforeseen circumstances.</w:t>
            </w:r>
          </w:p>
        </w:tc>
        <w:tc>
          <w:tcPr>
            <w:tcW w:w="6632" w:type="dxa"/>
          </w:tcPr>
          <w:p w14:paraId="1ECCAB1E" w14:textId="77777777" w:rsidR="00516149" w:rsidRPr="0007525C" w:rsidRDefault="00516149" w:rsidP="0007525C">
            <w:pPr>
              <w:spacing w:before="120" w:after="120"/>
              <w:rPr>
                <w:rFonts w:cstheme="minorHAnsi"/>
                <w:color w:val="000000" w:themeColor="text1"/>
              </w:rPr>
            </w:pPr>
            <w:r w:rsidRPr="0007525C">
              <w:rPr>
                <w:rFonts w:cstheme="minorHAnsi"/>
                <w:color w:val="000000" w:themeColor="text1"/>
              </w:rPr>
              <w:t xml:space="preserve">The AISSA understands that high quality governance is critical to the growth and longevity of schools across the Independent sector.  An Independent School Board is responsible for leading schools strategically into the future utilising quality governance practices. </w:t>
            </w:r>
          </w:p>
          <w:p w14:paraId="2CCD702C" w14:textId="77777777" w:rsidR="00516149" w:rsidRPr="0007525C" w:rsidRDefault="00516149" w:rsidP="0007525C">
            <w:pPr>
              <w:spacing w:before="120" w:after="120"/>
              <w:rPr>
                <w:rFonts w:cstheme="minorHAnsi"/>
                <w:color w:val="000000" w:themeColor="text1"/>
              </w:rPr>
            </w:pPr>
            <w:r w:rsidRPr="0007525C">
              <w:rPr>
                <w:rFonts w:cstheme="minorHAnsi"/>
                <w:color w:val="000000" w:themeColor="text1"/>
              </w:rPr>
              <w:t xml:space="preserve">2023 will see the resumption of the AISSA Governance Conference. The conference focus will be on the research commissioned by AISSA in 2021 on ‘Barriers to Choosing an Independent School’. This will enable Boards to accurately explore value propositions and their relevance in ensuring the viability and long- term sustainability of the school.    </w:t>
            </w:r>
          </w:p>
          <w:p w14:paraId="60550C64" w14:textId="77777777" w:rsidR="00516149" w:rsidRPr="0007525C" w:rsidRDefault="00516149" w:rsidP="0007525C">
            <w:pPr>
              <w:spacing w:before="120" w:after="120"/>
              <w:rPr>
                <w:rFonts w:cstheme="minorHAnsi"/>
                <w:color w:val="000000" w:themeColor="text1"/>
              </w:rPr>
            </w:pPr>
            <w:r w:rsidRPr="0007525C">
              <w:rPr>
                <w:rFonts w:cstheme="minorHAnsi"/>
                <w:color w:val="000000" w:themeColor="text1"/>
              </w:rPr>
              <w:t>Additionally, a range of professional learning sessions for board members and school leaders will be offered to enable boards to stay informed, remain responsive to the current climate and keep abreast of contemporary issues and challenges. This series may include topics such as:</w:t>
            </w:r>
          </w:p>
          <w:p w14:paraId="39C95250" w14:textId="77777777" w:rsidR="00516149" w:rsidRPr="0007525C" w:rsidRDefault="00516149" w:rsidP="0007525C">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 xml:space="preserve">Cybersecurity </w:t>
            </w:r>
          </w:p>
          <w:p w14:paraId="7B6795CF" w14:textId="77777777" w:rsidR="00516149" w:rsidRPr="0007525C" w:rsidRDefault="00516149" w:rsidP="0007525C">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 xml:space="preserve">Contemporary Processes for Principal Appointments, Induction, Review and Support  </w:t>
            </w:r>
          </w:p>
          <w:p w14:paraId="4FEB22BB" w14:textId="77777777" w:rsidR="00516149" w:rsidRPr="0007525C" w:rsidRDefault="00516149" w:rsidP="0007525C">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Principal wellbeing.</w:t>
            </w:r>
          </w:p>
          <w:p w14:paraId="7C5E32C4" w14:textId="168FAA6A" w:rsidR="00516149" w:rsidRPr="0007525C" w:rsidRDefault="34871E7D" w:rsidP="0007525C">
            <w:pPr>
              <w:spacing w:before="120" w:after="120"/>
              <w:rPr>
                <w:rFonts w:cstheme="minorHAnsi"/>
                <w:color w:val="000000" w:themeColor="text1"/>
              </w:rPr>
            </w:pPr>
            <w:r w:rsidRPr="0007525C">
              <w:rPr>
                <w:rFonts w:cstheme="minorHAnsi"/>
                <w:color w:val="000000" w:themeColor="text1"/>
              </w:rPr>
              <w:t xml:space="preserve">These sessions will continue to be delivered as interactive webinars as this delivery mode has been shown to maximise accessibility and participation for all board members in both metropolitan and regional locations. Post-activity feedback surveys provide valuable insight into program strengths and </w:t>
            </w:r>
            <w:r w:rsidR="3C5F0C6F" w:rsidRPr="0007525C">
              <w:rPr>
                <w:rFonts w:cstheme="minorHAnsi"/>
                <w:color w:val="000000" w:themeColor="text1"/>
              </w:rPr>
              <w:t xml:space="preserve">the </w:t>
            </w:r>
            <w:r w:rsidRPr="0007525C">
              <w:rPr>
                <w:rFonts w:cstheme="minorHAnsi"/>
                <w:color w:val="000000" w:themeColor="text1"/>
              </w:rPr>
              <w:t>future needs of school boards. Bespoke support is also made available to individual boards as requested by the school.</w:t>
            </w:r>
          </w:p>
        </w:tc>
        <w:tc>
          <w:tcPr>
            <w:tcW w:w="1701" w:type="dxa"/>
          </w:tcPr>
          <w:p w14:paraId="5C2588A8" w14:textId="004A6668" w:rsidR="00516149" w:rsidRPr="0007525C" w:rsidRDefault="00516149" w:rsidP="0007525C">
            <w:pPr>
              <w:spacing w:before="120" w:after="120"/>
              <w:rPr>
                <w:rFonts w:cstheme="minorHAnsi"/>
                <w:color w:val="000000" w:themeColor="text1"/>
              </w:rPr>
            </w:pPr>
            <w:r w:rsidRPr="0007525C">
              <w:rPr>
                <w:rFonts w:cstheme="minorHAnsi"/>
                <w:color w:val="000000" w:themeColor="text1"/>
              </w:rPr>
              <w:t>Reform support funding: $4</w:t>
            </w:r>
            <w:r w:rsidR="006542D6" w:rsidRPr="0007525C">
              <w:rPr>
                <w:rFonts w:cstheme="minorHAnsi"/>
                <w:color w:val="000000" w:themeColor="text1"/>
              </w:rPr>
              <w:t>6</w:t>
            </w:r>
            <w:r w:rsidRPr="0007525C">
              <w:rPr>
                <w:rFonts w:cstheme="minorHAnsi"/>
                <w:color w:val="000000" w:themeColor="text1"/>
              </w:rPr>
              <w:t>,</w:t>
            </w:r>
            <w:r w:rsidR="006542D6" w:rsidRPr="0007525C">
              <w:rPr>
                <w:rFonts w:cstheme="minorHAnsi"/>
                <w:color w:val="000000" w:themeColor="text1"/>
              </w:rPr>
              <w:t>130</w:t>
            </w:r>
          </w:p>
          <w:p w14:paraId="26F87611" w14:textId="0D62045E" w:rsidR="00516149" w:rsidRPr="0007525C" w:rsidRDefault="00516149" w:rsidP="0007525C">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7</w:t>
            </w:r>
            <w:r w:rsidRPr="0007525C">
              <w:rPr>
                <w:rFonts w:cstheme="minorHAnsi"/>
                <w:color w:val="000000" w:themeColor="text1"/>
              </w:rPr>
              <w:t>,</w:t>
            </w:r>
            <w:r w:rsidR="006542D6" w:rsidRPr="0007525C">
              <w:rPr>
                <w:rFonts w:cstheme="minorHAnsi"/>
                <w:color w:val="000000" w:themeColor="text1"/>
              </w:rPr>
              <w:t>236</w:t>
            </w:r>
          </w:p>
          <w:p w14:paraId="24D62645" w14:textId="1877340F" w:rsidR="00516149" w:rsidRPr="0007525C" w:rsidRDefault="00516149" w:rsidP="0007525C">
            <w:pPr>
              <w:spacing w:before="120" w:after="120"/>
              <w:rPr>
                <w:rFonts w:cstheme="minorHAnsi"/>
                <w:color w:val="000000" w:themeColor="text1"/>
              </w:rPr>
            </w:pPr>
            <w:r w:rsidRPr="0007525C">
              <w:rPr>
                <w:rFonts w:cstheme="minorHAnsi"/>
                <w:color w:val="000000" w:themeColor="text1"/>
              </w:rPr>
              <w:t>FTE: 0.28</w:t>
            </w:r>
          </w:p>
          <w:p w14:paraId="42E2E6ED" w14:textId="2CD0AA64" w:rsidR="00516149" w:rsidRPr="0007525C" w:rsidRDefault="00516149" w:rsidP="0007525C">
            <w:pPr>
              <w:spacing w:before="120" w:after="120"/>
              <w:rPr>
                <w:rFonts w:cstheme="minorHAnsi"/>
                <w:color w:val="000000" w:themeColor="text1"/>
              </w:rPr>
            </w:pPr>
          </w:p>
        </w:tc>
        <w:tc>
          <w:tcPr>
            <w:tcW w:w="2410" w:type="dxa"/>
          </w:tcPr>
          <w:p w14:paraId="1C452E6A" w14:textId="3F26024B" w:rsidR="00516149" w:rsidRPr="0007525C" w:rsidRDefault="34871E7D"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Boards are better equipped to navigate uncertainty and understand the need to be agile, resilient, and adaptive to the</w:t>
            </w:r>
            <w:r w:rsidR="43AFDC57" w:rsidRPr="0007525C">
              <w:rPr>
                <w:rFonts w:cstheme="minorHAnsi"/>
                <w:color w:val="000000" w:themeColor="text1"/>
              </w:rPr>
              <w:t>ir</w:t>
            </w:r>
            <w:r w:rsidRPr="0007525C">
              <w:rPr>
                <w:rFonts w:cstheme="minorHAnsi"/>
                <w:color w:val="000000" w:themeColor="text1"/>
              </w:rPr>
              <w:t xml:space="preserve"> ever-changing context.   </w:t>
            </w:r>
          </w:p>
          <w:p w14:paraId="15C1E472" w14:textId="495D12B5" w:rsidR="00516149" w:rsidRPr="0007525C" w:rsidRDefault="00516149" w:rsidP="0007525C">
            <w:pPr>
              <w:pStyle w:val="ListParagraph"/>
              <w:numPr>
                <w:ilvl w:val="0"/>
                <w:numId w:val="34"/>
              </w:numPr>
              <w:spacing w:before="120" w:after="120"/>
              <w:rPr>
                <w:rFonts w:cstheme="minorHAnsi"/>
                <w:color w:val="000000" w:themeColor="text1"/>
              </w:rPr>
            </w:pPr>
            <w:r w:rsidRPr="0007525C">
              <w:rPr>
                <w:rFonts w:cstheme="minorHAnsi"/>
                <w:color w:val="000000" w:themeColor="text1"/>
              </w:rPr>
              <w:t>Increased awareness of contemporary and effective governance and financial management obligations.</w:t>
            </w:r>
          </w:p>
        </w:tc>
        <w:tc>
          <w:tcPr>
            <w:tcW w:w="2268" w:type="dxa"/>
          </w:tcPr>
          <w:p w14:paraId="3AD59F3F" w14:textId="7749138E" w:rsidR="00516149" w:rsidRPr="0007525C" w:rsidRDefault="00516149" w:rsidP="0007525C">
            <w:pPr>
              <w:pStyle w:val="ListParagraph"/>
              <w:numPr>
                <w:ilvl w:val="0"/>
                <w:numId w:val="34"/>
              </w:numPr>
              <w:rPr>
                <w:rFonts w:cstheme="minorHAnsi"/>
                <w:color w:val="000000" w:themeColor="text1"/>
              </w:rPr>
            </w:pPr>
            <w:r w:rsidRPr="0007525C">
              <w:rPr>
                <w:rFonts w:cstheme="minorHAnsi"/>
                <w:color w:val="000000" w:themeColor="text1"/>
              </w:rPr>
              <w:t xml:space="preserve">60% of Board members participating in professional learning report improved understanding of financial, legal and effective governance practices. </w:t>
            </w:r>
          </w:p>
        </w:tc>
      </w:tr>
    </w:tbl>
    <w:p w14:paraId="3F6C7BC6" w14:textId="61411760" w:rsidR="005034CE" w:rsidRPr="0007525C" w:rsidRDefault="0007525C" w:rsidP="00326632">
      <w:pPr>
        <w:ind w:left="-426"/>
        <w:rPr>
          <w:rFonts w:cstheme="minorHAnsi"/>
          <w:b/>
          <w:color w:val="000000" w:themeColor="text1"/>
        </w:rPr>
      </w:pPr>
      <w:r w:rsidRPr="0007525C">
        <w:rPr>
          <w:rFonts w:cstheme="minorHAnsi"/>
          <w:b/>
          <w:color w:val="000000" w:themeColor="text1"/>
        </w:rPr>
        <w:lastRenderedPageBreak/>
        <w:t>State Initiative (from bilateral): Reform Direction A – Supporting students, student learning and student achievement</w:t>
      </w:r>
      <w:r w:rsidRPr="0007525C">
        <w:rPr>
          <w:rFonts w:cstheme="minorHAnsi"/>
          <w:b/>
          <w:color w:val="000000" w:themeColor="text1"/>
        </w:rPr>
        <w:t xml:space="preserve"> </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5073"/>
        <w:gridCol w:w="1985"/>
        <w:gridCol w:w="3118"/>
        <w:gridCol w:w="2835"/>
      </w:tblGrid>
      <w:tr w:rsidR="0007525C" w:rsidRPr="0007525C" w14:paraId="50B5E499" w14:textId="77777777" w:rsidTr="00326632">
        <w:trPr>
          <w:cantSplit/>
        </w:trPr>
        <w:tc>
          <w:tcPr>
            <w:tcW w:w="1868" w:type="dxa"/>
          </w:tcPr>
          <w:p w14:paraId="3DAEFA44" w14:textId="77777777" w:rsidR="009C72A9" w:rsidRPr="0007525C" w:rsidRDefault="009C72A9" w:rsidP="00326632">
            <w:pPr>
              <w:spacing w:before="120" w:after="120"/>
              <w:jc w:val="center"/>
              <w:rPr>
                <w:rFonts w:cstheme="minorHAnsi"/>
                <w:b/>
                <w:color w:val="000000" w:themeColor="text1"/>
              </w:rPr>
            </w:pPr>
            <w:r w:rsidRPr="0007525C">
              <w:rPr>
                <w:rFonts w:cstheme="minorHAnsi"/>
                <w:b/>
                <w:color w:val="000000" w:themeColor="text1"/>
              </w:rPr>
              <w:t>Project title</w:t>
            </w:r>
          </w:p>
        </w:tc>
        <w:tc>
          <w:tcPr>
            <w:tcW w:w="5073" w:type="dxa"/>
          </w:tcPr>
          <w:p w14:paraId="7CC3CB79" w14:textId="77777777" w:rsidR="009C72A9" w:rsidRPr="0007525C" w:rsidRDefault="009C72A9" w:rsidP="00326632">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985" w:type="dxa"/>
          </w:tcPr>
          <w:p w14:paraId="7E61E79A" w14:textId="77777777" w:rsidR="009C72A9" w:rsidRPr="0007525C" w:rsidRDefault="009C72A9" w:rsidP="00326632">
            <w:pPr>
              <w:spacing w:before="120" w:after="120"/>
              <w:jc w:val="center"/>
              <w:rPr>
                <w:rFonts w:cstheme="minorHAnsi"/>
                <w:b/>
                <w:color w:val="000000" w:themeColor="text1"/>
              </w:rPr>
            </w:pPr>
            <w:r w:rsidRPr="0007525C">
              <w:rPr>
                <w:rFonts w:cstheme="minorHAnsi"/>
                <w:b/>
                <w:color w:val="000000" w:themeColor="text1"/>
              </w:rPr>
              <w:t>Indicative budget</w:t>
            </w:r>
          </w:p>
        </w:tc>
        <w:tc>
          <w:tcPr>
            <w:tcW w:w="3118" w:type="dxa"/>
          </w:tcPr>
          <w:p w14:paraId="0CFEE886" w14:textId="77777777" w:rsidR="009C72A9" w:rsidRPr="0007525C" w:rsidRDefault="009C72A9" w:rsidP="00326632">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835" w:type="dxa"/>
          </w:tcPr>
          <w:p w14:paraId="2A2B0D9C" w14:textId="77777777" w:rsidR="009C72A9" w:rsidRPr="0007525C" w:rsidRDefault="009C72A9" w:rsidP="00326632">
            <w:pPr>
              <w:spacing w:before="120" w:after="120"/>
              <w:jc w:val="center"/>
              <w:rPr>
                <w:rFonts w:cstheme="minorHAnsi"/>
                <w:b/>
                <w:color w:val="000000" w:themeColor="text1"/>
              </w:rPr>
            </w:pPr>
            <w:r w:rsidRPr="0007525C">
              <w:rPr>
                <w:rFonts w:cstheme="minorHAnsi"/>
                <w:b/>
                <w:color w:val="000000" w:themeColor="text1"/>
              </w:rPr>
              <w:t>Indicators of success</w:t>
            </w:r>
          </w:p>
        </w:tc>
      </w:tr>
      <w:tr w:rsidR="0007525C" w:rsidRPr="0007525C" w14:paraId="4F3563BE" w14:textId="77777777" w:rsidTr="00326632">
        <w:trPr>
          <w:cantSplit/>
          <w:trHeight w:val="5564"/>
        </w:trPr>
        <w:tc>
          <w:tcPr>
            <w:tcW w:w="1868" w:type="dxa"/>
          </w:tcPr>
          <w:p w14:paraId="12ADAACE" w14:textId="77777777" w:rsidR="0049505E" w:rsidRPr="0007525C" w:rsidRDefault="0049505E" w:rsidP="00326632">
            <w:pPr>
              <w:rPr>
                <w:rFonts w:cstheme="minorHAnsi"/>
                <w:b/>
                <w:color w:val="000000" w:themeColor="text1"/>
              </w:rPr>
            </w:pPr>
            <w:r w:rsidRPr="0007525C">
              <w:rPr>
                <w:rFonts w:cstheme="minorHAnsi"/>
                <w:b/>
                <w:color w:val="000000" w:themeColor="text1"/>
              </w:rPr>
              <w:t>Improving Student Learning and Achievement</w:t>
            </w:r>
          </w:p>
          <w:p w14:paraId="2B7E628D" w14:textId="77777777" w:rsidR="0049505E" w:rsidRPr="0007525C" w:rsidRDefault="0049505E" w:rsidP="00326632">
            <w:pPr>
              <w:rPr>
                <w:rFonts w:cstheme="minorHAnsi"/>
                <w:b/>
                <w:color w:val="000000" w:themeColor="text1"/>
              </w:rPr>
            </w:pPr>
          </w:p>
          <w:p w14:paraId="6D0FB3FF" w14:textId="2A977A2A" w:rsidR="0049505E" w:rsidRPr="0007525C" w:rsidRDefault="0049505E" w:rsidP="00326632">
            <w:pPr>
              <w:rPr>
                <w:rFonts w:cstheme="minorHAnsi"/>
                <w:bCs/>
                <w:color w:val="000000" w:themeColor="text1"/>
              </w:rPr>
            </w:pPr>
            <w:r w:rsidRPr="0007525C">
              <w:rPr>
                <w:rFonts w:cstheme="minorHAnsi"/>
                <w:bCs/>
                <w:color w:val="000000" w:themeColor="text1"/>
              </w:rPr>
              <w:t>Evidence informed improvement practices that meet the cultural and contextual needs of students in Independent schools are provided through the use of the High Impact School Improvement Tool</w:t>
            </w:r>
          </w:p>
        </w:tc>
        <w:tc>
          <w:tcPr>
            <w:tcW w:w="5073" w:type="dxa"/>
          </w:tcPr>
          <w:p w14:paraId="784A14E2" w14:textId="77777777" w:rsidR="0049505E" w:rsidRPr="0007525C" w:rsidRDefault="0049505E" w:rsidP="00326632">
            <w:pPr>
              <w:spacing w:before="120" w:after="120"/>
              <w:rPr>
                <w:rFonts w:cstheme="minorHAnsi"/>
                <w:color w:val="000000" w:themeColor="text1"/>
              </w:rPr>
            </w:pPr>
            <w:r w:rsidRPr="0007525C">
              <w:rPr>
                <w:rFonts w:cstheme="minorHAnsi"/>
                <w:color w:val="000000" w:themeColor="text1"/>
              </w:rPr>
              <w:t>In 2023 AISSA will build on the work of previous years that has supported Principals and their leadership teams to undertake a structured process to build capacity for innovation and improvement.</w:t>
            </w:r>
          </w:p>
          <w:p w14:paraId="4D10266D" w14:textId="77777777" w:rsidR="0049505E" w:rsidRPr="0007525C" w:rsidRDefault="0049505E" w:rsidP="00326632">
            <w:pPr>
              <w:spacing w:before="120" w:after="120"/>
              <w:rPr>
                <w:rFonts w:cstheme="minorHAnsi"/>
                <w:color w:val="000000" w:themeColor="text1"/>
              </w:rPr>
            </w:pPr>
            <w:r w:rsidRPr="0007525C">
              <w:rPr>
                <w:rFonts w:cstheme="minorHAnsi"/>
                <w:color w:val="000000" w:themeColor="text1"/>
              </w:rPr>
              <w:t xml:space="preserve">Using the AISSA High Impact School Improvement Tool (HISIT), consultants will work alongside school teams to undertake a self- assessment that enables each school to design and deliver a pathway forward and to measure impact in one of the key domains of the tool. </w:t>
            </w:r>
          </w:p>
          <w:p w14:paraId="7F9EF50B" w14:textId="77777777" w:rsidR="0049505E" w:rsidRPr="0007525C" w:rsidRDefault="0049505E" w:rsidP="00326632">
            <w:pPr>
              <w:spacing w:before="120" w:after="120"/>
              <w:rPr>
                <w:rFonts w:cstheme="minorHAnsi"/>
                <w:color w:val="000000" w:themeColor="text1"/>
              </w:rPr>
            </w:pPr>
            <w:r w:rsidRPr="0007525C">
              <w:rPr>
                <w:rFonts w:cstheme="minorHAnsi"/>
                <w:color w:val="000000" w:themeColor="text1"/>
              </w:rPr>
              <w:t xml:space="preserve">This is the first year in a new two-year program designed to support school evaluative processes and planning perspectives critical for future implementation priorities. </w:t>
            </w:r>
          </w:p>
          <w:p w14:paraId="102B91D9" w14:textId="77777777" w:rsidR="0049505E" w:rsidRPr="0007525C" w:rsidRDefault="0049505E" w:rsidP="00326632">
            <w:pPr>
              <w:spacing w:before="120" w:after="120"/>
              <w:rPr>
                <w:rFonts w:cstheme="minorHAnsi"/>
                <w:color w:val="000000" w:themeColor="text1"/>
              </w:rPr>
            </w:pPr>
            <w:r w:rsidRPr="0007525C">
              <w:rPr>
                <w:rFonts w:cstheme="minorHAnsi"/>
                <w:color w:val="000000" w:themeColor="text1"/>
              </w:rPr>
              <w:t>In preparation for 2023, the Wellbeing domain of the HISIT will be reviewed by Professor Donna Cross and the Inclusive Education domain by Lauren Swancutt, both leading professionals in their fields.</w:t>
            </w:r>
          </w:p>
          <w:p w14:paraId="0E79257E" w14:textId="6C593028" w:rsidR="0049505E" w:rsidRPr="0007525C" w:rsidRDefault="0049505E" w:rsidP="00326632">
            <w:pPr>
              <w:spacing w:before="120" w:after="120"/>
              <w:rPr>
                <w:rFonts w:cstheme="minorHAnsi"/>
                <w:color w:val="000000" w:themeColor="text1"/>
              </w:rPr>
            </w:pPr>
            <w:r w:rsidRPr="0007525C">
              <w:rPr>
                <w:rFonts w:cstheme="minorHAnsi"/>
                <w:color w:val="000000" w:themeColor="text1"/>
              </w:rPr>
              <w:t>It is anticipated this program will continue to build the professional capital of the Independent sector and lead to the enrichment of the HISIT as schools provide further case studies recording the diversity of the innovation and improvement processes undertaken. Ongoing evaluative feedback from participating schools will help build the success of this initiative.</w:t>
            </w:r>
          </w:p>
        </w:tc>
        <w:tc>
          <w:tcPr>
            <w:tcW w:w="1985" w:type="dxa"/>
          </w:tcPr>
          <w:p w14:paraId="6C68E069" w14:textId="39E67914" w:rsidR="0049505E" w:rsidRPr="0007525C" w:rsidRDefault="0049505E" w:rsidP="00326632">
            <w:pPr>
              <w:spacing w:before="120" w:after="120"/>
              <w:rPr>
                <w:rFonts w:cstheme="minorHAnsi"/>
                <w:color w:val="000000" w:themeColor="text1"/>
              </w:rPr>
            </w:pPr>
            <w:r w:rsidRPr="0007525C">
              <w:rPr>
                <w:rFonts w:cstheme="minorHAnsi"/>
                <w:color w:val="000000" w:themeColor="text1"/>
              </w:rPr>
              <w:t>Reform support funding: $</w:t>
            </w:r>
            <w:r w:rsidR="006542D6" w:rsidRPr="0007525C">
              <w:rPr>
                <w:rFonts w:cstheme="minorHAnsi"/>
                <w:color w:val="000000" w:themeColor="text1"/>
              </w:rPr>
              <w:t>198</w:t>
            </w:r>
            <w:r w:rsidRPr="0007525C">
              <w:rPr>
                <w:rFonts w:cstheme="minorHAnsi"/>
                <w:color w:val="000000" w:themeColor="text1"/>
              </w:rPr>
              <w:t>,</w:t>
            </w:r>
            <w:r w:rsidR="006542D6" w:rsidRPr="0007525C">
              <w:rPr>
                <w:rFonts w:cstheme="minorHAnsi"/>
                <w:color w:val="000000" w:themeColor="text1"/>
              </w:rPr>
              <w:t>212</w:t>
            </w:r>
          </w:p>
          <w:p w14:paraId="0E76087F" w14:textId="43EF1478" w:rsidR="0049505E" w:rsidRPr="0007525C" w:rsidRDefault="0049505E" w:rsidP="00326632">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33</w:t>
            </w:r>
            <w:r w:rsidRPr="0007525C">
              <w:rPr>
                <w:rFonts w:cstheme="minorHAnsi"/>
                <w:color w:val="000000" w:themeColor="text1"/>
              </w:rPr>
              <w:t>,</w:t>
            </w:r>
            <w:r w:rsidR="006542D6" w:rsidRPr="0007525C">
              <w:rPr>
                <w:rFonts w:cstheme="minorHAnsi"/>
                <w:color w:val="000000" w:themeColor="text1"/>
              </w:rPr>
              <w:t>339</w:t>
            </w:r>
          </w:p>
          <w:p w14:paraId="6130966C" w14:textId="07DC415D" w:rsidR="0049505E" w:rsidRPr="0007525C" w:rsidRDefault="0049505E" w:rsidP="00326632">
            <w:pPr>
              <w:spacing w:before="120" w:after="120"/>
              <w:rPr>
                <w:rFonts w:cstheme="minorHAnsi"/>
                <w:color w:val="000000" w:themeColor="text1"/>
              </w:rPr>
            </w:pPr>
            <w:r w:rsidRPr="0007525C">
              <w:rPr>
                <w:rFonts w:cstheme="minorHAnsi"/>
                <w:color w:val="000000" w:themeColor="text1"/>
              </w:rPr>
              <w:t>FTE: 1.18</w:t>
            </w:r>
          </w:p>
          <w:p w14:paraId="0F94D732" w14:textId="5163600E" w:rsidR="0049505E" w:rsidRPr="0007525C" w:rsidRDefault="0049505E" w:rsidP="00326632">
            <w:pPr>
              <w:spacing w:before="120" w:after="120"/>
              <w:rPr>
                <w:rFonts w:cstheme="minorHAnsi"/>
                <w:color w:val="000000" w:themeColor="text1"/>
              </w:rPr>
            </w:pPr>
          </w:p>
        </w:tc>
        <w:tc>
          <w:tcPr>
            <w:tcW w:w="3118" w:type="dxa"/>
          </w:tcPr>
          <w:p w14:paraId="03A12EFB" w14:textId="77777777" w:rsidR="0049505E" w:rsidRPr="0007525C" w:rsidRDefault="0049505E" w:rsidP="00326632">
            <w:pPr>
              <w:pStyle w:val="ListParagraph"/>
              <w:numPr>
                <w:ilvl w:val="0"/>
                <w:numId w:val="34"/>
              </w:numPr>
              <w:spacing w:before="120" w:after="120"/>
              <w:rPr>
                <w:rFonts w:cstheme="minorHAnsi"/>
                <w:color w:val="000000" w:themeColor="text1"/>
              </w:rPr>
            </w:pPr>
            <w:r w:rsidRPr="0007525C">
              <w:rPr>
                <w:rFonts w:cstheme="minorHAnsi"/>
                <w:color w:val="000000" w:themeColor="text1"/>
              </w:rPr>
              <w:t>Schools will strengthen their capacity to evaluate their practice and undertake innovation and improvement initiatives, as relevant to their context.</w:t>
            </w:r>
          </w:p>
          <w:p w14:paraId="5C1055DB" w14:textId="2C21F028" w:rsidR="0049505E" w:rsidRPr="0007525C" w:rsidRDefault="0049505E" w:rsidP="00326632">
            <w:pPr>
              <w:pStyle w:val="ListParagraph"/>
              <w:numPr>
                <w:ilvl w:val="0"/>
                <w:numId w:val="34"/>
              </w:numPr>
              <w:spacing w:before="120" w:after="120"/>
              <w:rPr>
                <w:rFonts w:cstheme="minorHAnsi"/>
                <w:color w:val="000000" w:themeColor="text1"/>
              </w:rPr>
            </w:pPr>
            <w:r w:rsidRPr="0007525C">
              <w:rPr>
                <w:rFonts w:cstheme="minorHAnsi"/>
                <w:color w:val="000000" w:themeColor="text1"/>
              </w:rPr>
              <w:t>Case studies of school improvement initiatives are added to the HISIT, and available to all schools via the AISSA website.</w:t>
            </w:r>
          </w:p>
        </w:tc>
        <w:tc>
          <w:tcPr>
            <w:tcW w:w="2835" w:type="dxa"/>
          </w:tcPr>
          <w:p w14:paraId="50FA434B" w14:textId="77777777" w:rsidR="0049505E" w:rsidRPr="0007525C" w:rsidRDefault="0049505E" w:rsidP="00326632">
            <w:pPr>
              <w:pStyle w:val="ListParagraph"/>
              <w:numPr>
                <w:ilvl w:val="0"/>
                <w:numId w:val="34"/>
              </w:numPr>
              <w:spacing w:before="120" w:after="120"/>
              <w:rPr>
                <w:rFonts w:cstheme="minorHAnsi"/>
                <w:color w:val="000000" w:themeColor="text1"/>
              </w:rPr>
            </w:pPr>
            <w:r w:rsidRPr="0007525C">
              <w:rPr>
                <w:rFonts w:cstheme="minorHAnsi"/>
                <w:color w:val="000000" w:themeColor="text1"/>
              </w:rPr>
              <w:t>All participating schools will evaluate their practice in one domain of the HISIT.</w:t>
            </w:r>
          </w:p>
          <w:p w14:paraId="2BF475E1" w14:textId="77777777" w:rsidR="0049505E" w:rsidRPr="0007525C" w:rsidRDefault="0049505E" w:rsidP="00326632">
            <w:pPr>
              <w:pStyle w:val="ListParagraph"/>
              <w:spacing w:before="120" w:after="120"/>
              <w:ind w:left="360"/>
              <w:rPr>
                <w:rFonts w:cstheme="minorHAnsi"/>
                <w:color w:val="000000" w:themeColor="text1"/>
              </w:rPr>
            </w:pPr>
          </w:p>
          <w:p w14:paraId="5C5B0636" w14:textId="77777777" w:rsidR="0049505E" w:rsidRPr="0007525C" w:rsidRDefault="0049505E" w:rsidP="00326632">
            <w:pPr>
              <w:pStyle w:val="ListParagraph"/>
              <w:numPr>
                <w:ilvl w:val="0"/>
                <w:numId w:val="34"/>
              </w:numPr>
              <w:spacing w:before="120" w:after="120"/>
              <w:rPr>
                <w:rFonts w:cstheme="minorHAnsi"/>
                <w:color w:val="000000" w:themeColor="text1"/>
              </w:rPr>
            </w:pPr>
            <w:r w:rsidRPr="0007525C">
              <w:rPr>
                <w:rFonts w:cstheme="minorHAnsi"/>
                <w:color w:val="000000" w:themeColor="text1"/>
              </w:rPr>
              <w:t>Number of schools participating in this initiative.</w:t>
            </w:r>
          </w:p>
          <w:p w14:paraId="2B0A3EC7" w14:textId="77777777" w:rsidR="0049505E" w:rsidRPr="0007525C" w:rsidRDefault="0049505E" w:rsidP="00326632">
            <w:pPr>
              <w:pStyle w:val="ListParagraph"/>
              <w:rPr>
                <w:rFonts w:cstheme="minorHAnsi"/>
                <w:color w:val="000000" w:themeColor="text1"/>
              </w:rPr>
            </w:pPr>
          </w:p>
          <w:p w14:paraId="0566AE32" w14:textId="024B4E24" w:rsidR="0049505E" w:rsidRPr="0007525C" w:rsidRDefault="0049505E" w:rsidP="00326632">
            <w:pPr>
              <w:pStyle w:val="ListParagraph"/>
              <w:numPr>
                <w:ilvl w:val="0"/>
                <w:numId w:val="34"/>
              </w:numPr>
              <w:spacing w:before="120" w:after="120"/>
              <w:rPr>
                <w:rFonts w:cstheme="minorHAnsi"/>
                <w:color w:val="000000" w:themeColor="text1"/>
              </w:rPr>
            </w:pPr>
            <w:r w:rsidRPr="0007525C">
              <w:rPr>
                <w:rFonts w:cstheme="minorHAnsi"/>
                <w:color w:val="000000" w:themeColor="text1"/>
              </w:rPr>
              <w:t>Number of case studies published on the AISSA website.</w:t>
            </w:r>
          </w:p>
        </w:tc>
      </w:tr>
    </w:tbl>
    <w:p w14:paraId="781B2F03" w14:textId="77777777" w:rsidR="00957ECA" w:rsidRDefault="00957ECA">
      <w:pPr>
        <w:rPr>
          <w:rFonts w:cstheme="minorHAnsi"/>
          <w:b/>
          <w:color w:val="000000" w:themeColor="text1"/>
        </w:rPr>
      </w:pPr>
    </w:p>
    <w:p w14:paraId="684B4ED7" w14:textId="34994C91" w:rsidR="005034CE" w:rsidRPr="0007525C" w:rsidRDefault="00E9201A" w:rsidP="00957ECA">
      <w:pPr>
        <w:ind w:left="-426"/>
        <w:rPr>
          <w:rFonts w:cstheme="minorHAnsi"/>
          <w:b/>
          <w:color w:val="000000" w:themeColor="text1"/>
        </w:rPr>
      </w:pPr>
      <w:r w:rsidRPr="0007525C">
        <w:rPr>
          <w:rFonts w:cstheme="minorHAnsi"/>
          <w:b/>
          <w:color w:val="000000" w:themeColor="text1"/>
        </w:rPr>
        <w:lastRenderedPageBreak/>
        <w:t>State Initiative (from bilateral):  Reform Direction A – Supporting students, student learning and student achievement</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6349"/>
        <w:gridCol w:w="1701"/>
        <w:gridCol w:w="2410"/>
        <w:gridCol w:w="2551"/>
      </w:tblGrid>
      <w:tr w:rsidR="0007525C" w:rsidRPr="0007525C" w14:paraId="3F38A514" w14:textId="77777777" w:rsidTr="00957ECA">
        <w:trPr>
          <w:cantSplit/>
        </w:trPr>
        <w:tc>
          <w:tcPr>
            <w:tcW w:w="1868" w:type="dxa"/>
          </w:tcPr>
          <w:p w14:paraId="0BDC1743" w14:textId="77777777" w:rsidR="009C72A9" w:rsidRPr="0007525C" w:rsidRDefault="009C72A9" w:rsidP="00E9201A">
            <w:pPr>
              <w:spacing w:before="120" w:after="120"/>
              <w:jc w:val="center"/>
              <w:rPr>
                <w:rFonts w:cstheme="minorHAnsi"/>
                <w:b/>
                <w:color w:val="000000" w:themeColor="text1"/>
              </w:rPr>
            </w:pPr>
            <w:r w:rsidRPr="0007525C">
              <w:rPr>
                <w:rFonts w:cstheme="minorHAnsi"/>
                <w:b/>
                <w:color w:val="000000" w:themeColor="text1"/>
              </w:rPr>
              <w:t>Project title</w:t>
            </w:r>
          </w:p>
        </w:tc>
        <w:tc>
          <w:tcPr>
            <w:tcW w:w="6349" w:type="dxa"/>
          </w:tcPr>
          <w:p w14:paraId="15752867" w14:textId="77777777" w:rsidR="009C72A9" w:rsidRPr="0007525C" w:rsidRDefault="009C72A9" w:rsidP="00E9201A">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701" w:type="dxa"/>
          </w:tcPr>
          <w:p w14:paraId="4A9BC0B3" w14:textId="77777777" w:rsidR="009C72A9" w:rsidRPr="0007525C" w:rsidRDefault="009C72A9" w:rsidP="00E9201A">
            <w:pPr>
              <w:spacing w:before="120" w:after="120"/>
              <w:jc w:val="center"/>
              <w:rPr>
                <w:rFonts w:cstheme="minorHAnsi"/>
                <w:b/>
                <w:color w:val="000000" w:themeColor="text1"/>
              </w:rPr>
            </w:pPr>
            <w:r w:rsidRPr="0007525C">
              <w:rPr>
                <w:rFonts w:cstheme="minorHAnsi"/>
                <w:b/>
                <w:color w:val="000000" w:themeColor="text1"/>
              </w:rPr>
              <w:t>Indicative budget</w:t>
            </w:r>
          </w:p>
        </w:tc>
        <w:tc>
          <w:tcPr>
            <w:tcW w:w="2410" w:type="dxa"/>
          </w:tcPr>
          <w:p w14:paraId="543C5F3A" w14:textId="77777777" w:rsidR="009C72A9" w:rsidRPr="0007525C" w:rsidRDefault="009C72A9" w:rsidP="00E9201A">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551" w:type="dxa"/>
          </w:tcPr>
          <w:p w14:paraId="2B1E29DC" w14:textId="77777777" w:rsidR="009C72A9" w:rsidRPr="0007525C" w:rsidRDefault="009C72A9" w:rsidP="00E9201A">
            <w:pPr>
              <w:spacing w:before="120" w:after="120"/>
              <w:jc w:val="center"/>
              <w:rPr>
                <w:rFonts w:cstheme="minorHAnsi"/>
                <w:b/>
                <w:color w:val="000000" w:themeColor="text1"/>
              </w:rPr>
            </w:pPr>
            <w:r w:rsidRPr="0007525C">
              <w:rPr>
                <w:rFonts w:cstheme="minorHAnsi"/>
                <w:b/>
                <w:color w:val="000000" w:themeColor="text1"/>
              </w:rPr>
              <w:t>Indicators of success</w:t>
            </w:r>
          </w:p>
        </w:tc>
      </w:tr>
      <w:tr w:rsidR="0007525C" w:rsidRPr="0007525C" w14:paraId="3A194376" w14:textId="77777777" w:rsidTr="00957ECA">
        <w:trPr>
          <w:cantSplit/>
          <w:trHeight w:val="5564"/>
        </w:trPr>
        <w:tc>
          <w:tcPr>
            <w:tcW w:w="1868" w:type="dxa"/>
          </w:tcPr>
          <w:p w14:paraId="027F9117" w14:textId="77777777" w:rsidR="00E3214B" w:rsidRPr="0007525C" w:rsidRDefault="00E3214B" w:rsidP="00E9201A">
            <w:pPr>
              <w:rPr>
                <w:rFonts w:cstheme="minorHAnsi"/>
                <w:b/>
                <w:color w:val="000000" w:themeColor="text1"/>
              </w:rPr>
            </w:pPr>
            <w:r w:rsidRPr="0007525C">
              <w:rPr>
                <w:rFonts w:cstheme="minorHAnsi"/>
                <w:b/>
                <w:color w:val="000000" w:themeColor="text1"/>
              </w:rPr>
              <w:t>Implementation of the Australian Curriculum v9.0</w:t>
            </w:r>
          </w:p>
          <w:p w14:paraId="2AB5106C" w14:textId="77777777" w:rsidR="00E3214B" w:rsidRPr="0007525C" w:rsidRDefault="00E3214B" w:rsidP="00E9201A">
            <w:pPr>
              <w:rPr>
                <w:rFonts w:cstheme="minorHAnsi"/>
                <w:bCs/>
                <w:color w:val="000000" w:themeColor="text1"/>
              </w:rPr>
            </w:pPr>
          </w:p>
          <w:p w14:paraId="7B21C708" w14:textId="71CD8839" w:rsidR="00E3214B" w:rsidRPr="0007525C" w:rsidRDefault="00E3214B" w:rsidP="00E9201A">
            <w:pPr>
              <w:rPr>
                <w:rFonts w:cstheme="minorHAnsi"/>
                <w:bCs/>
                <w:color w:val="000000" w:themeColor="text1"/>
              </w:rPr>
            </w:pPr>
            <w:r w:rsidRPr="0007525C">
              <w:rPr>
                <w:rFonts w:cstheme="minorHAnsi"/>
                <w:bCs/>
                <w:color w:val="000000" w:themeColor="text1"/>
              </w:rPr>
              <w:t>Quality student learning experiences are fostered through the implementation of the revised Australian Curriculum.</w:t>
            </w:r>
          </w:p>
        </w:tc>
        <w:tc>
          <w:tcPr>
            <w:tcW w:w="6349" w:type="dxa"/>
          </w:tcPr>
          <w:p w14:paraId="4049DDAB" w14:textId="77777777" w:rsidR="00E3214B" w:rsidRPr="0007525C" w:rsidRDefault="00E3214B" w:rsidP="00E9201A">
            <w:pPr>
              <w:spacing w:before="120" w:after="120"/>
              <w:rPr>
                <w:rFonts w:cstheme="minorHAnsi"/>
                <w:color w:val="000000" w:themeColor="text1"/>
              </w:rPr>
            </w:pPr>
            <w:r w:rsidRPr="0007525C">
              <w:rPr>
                <w:rFonts w:cstheme="minorHAnsi"/>
                <w:color w:val="000000" w:themeColor="text1"/>
              </w:rPr>
              <w:t xml:space="preserve">The Australian Curriculum has seen significant revision. In support of this key national resource to build quality learning experiences for students, the AISSA will embark on the first year of a longer-term strategy to support SA Independent schools with familiarisation and successful implementation of version 9 of the Australian Curriculum (AC v.9).  </w:t>
            </w:r>
          </w:p>
          <w:p w14:paraId="6CC9B3E6" w14:textId="77777777" w:rsidR="00E3214B" w:rsidRPr="0007525C" w:rsidRDefault="00E3214B" w:rsidP="00E9201A">
            <w:pPr>
              <w:spacing w:before="120" w:after="120"/>
              <w:rPr>
                <w:rFonts w:cstheme="minorHAnsi"/>
                <w:color w:val="000000" w:themeColor="text1"/>
              </w:rPr>
            </w:pPr>
            <w:r w:rsidRPr="0007525C">
              <w:rPr>
                <w:rFonts w:cstheme="minorHAnsi"/>
                <w:color w:val="000000" w:themeColor="text1"/>
              </w:rPr>
              <w:t xml:space="preserve">This is an important initiative that will see targeted support provided to all schools from 2023-2026. A model that builds the capacity of learning leaders to lead </w:t>
            </w:r>
            <w:r w:rsidRPr="0007525C">
              <w:rPr>
                <w:rFonts w:cstheme="minorHAnsi"/>
                <w:color w:val="000000" w:themeColor="text1"/>
                <w:lang w:val="en-US"/>
              </w:rPr>
              <w:t xml:space="preserve">familiarisation processes within their schools </w:t>
            </w:r>
            <w:r w:rsidRPr="0007525C">
              <w:rPr>
                <w:rFonts w:cstheme="minorHAnsi"/>
                <w:color w:val="000000" w:themeColor="text1"/>
              </w:rPr>
              <w:t>will be used</w:t>
            </w:r>
            <w:r w:rsidRPr="0007525C">
              <w:rPr>
                <w:rFonts w:cstheme="minorHAnsi"/>
                <w:color w:val="000000" w:themeColor="text1"/>
                <w:lang w:val="en-US"/>
              </w:rPr>
              <w:t>.</w:t>
            </w:r>
          </w:p>
          <w:p w14:paraId="11076309" w14:textId="77777777" w:rsidR="00E3214B" w:rsidRPr="0007525C" w:rsidRDefault="00E3214B" w:rsidP="00E9201A">
            <w:pPr>
              <w:spacing w:before="120" w:after="120"/>
              <w:rPr>
                <w:rFonts w:cstheme="minorHAnsi"/>
                <w:color w:val="000000" w:themeColor="text1"/>
                <w:lang w:val="en-US"/>
              </w:rPr>
            </w:pPr>
            <w:r w:rsidRPr="0007525C">
              <w:rPr>
                <w:rFonts w:cstheme="minorHAnsi"/>
                <w:color w:val="000000" w:themeColor="text1"/>
                <w:lang w:val="en-US"/>
              </w:rPr>
              <w:t xml:space="preserve">Key personnel will be school leaders and teachers in primary, middle and secondary school contexts who have responsibility for curriculum implementation and improving teaching, learning, assessment and reporting practices. </w:t>
            </w:r>
          </w:p>
          <w:p w14:paraId="38482185" w14:textId="34EDBF01" w:rsidR="00E3214B" w:rsidRPr="0007525C" w:rsidRDefault="00E3214B" w:rsidP="00E9201A">
            <w:pPr>
              <w:spacing w:before="120" w:after="120"/>
              <w:rPr>
                <w:rFonts w:cstheme="minorHAnsi"/>
                <w:color w:val="000000" w:themeColor="text1"/>
                <w:lang w:val="en-US"/>
              </w:rPr>
            </w:pPr>
            <w:r w:rsidRPr="0007525C">
              <w:rPr>
                <w:rFonts w:cstheme="minorHAnsi"/>
                <w:color w:val="000000" w:themeColor="text1"/>
                <w:lang w:val="en-US"/>
              </w:rPr>
              <w:t>In 2023, the first phase of this initiative will involve the provision of a professional learning suite across all eight Australian Curriculum Learning Areas through face to face and online professional learning. Online ‘health check’ opportunities will provide continued support and learning for participants. Participant and school feedback will provide valuable mechanisms for improvement of practice in schools and the shaping of this program during 2023 and subsequent years.</w:t>
            </w:r>
          </w:p>
          <w:p w14:paraId="59DD64C8" w14:textId="3360FBE3" w:rsidR="00E3214B" w:rsidRPr="0007525C" w:rsidRDefault="00E3214B" w:rsidP="00E9201A">
            <w:pPr>
              <w:spacing w:before="120" w:after="120"/>
              <w:rPr>
                <w:rFonts w:cstheme="minorHAnsi"/>
                <w:color w:val="000000" w:themeColor="text1"/>
                <w:lang w:val="en-US"/>
              </w:rPr>
            </w:pPr>
            <w:r w:rsidRPr="0007525C">
              <w:rPr>
                <w:rFonts w:cstheme="minorHAnsi"/>
                <w:color w:val="000000" w:themeColor="text1"/>
                <w:lang w:val="en-US"/>
              </w:rPr>
              <w:t>This strategy works in parallel to approaches for curriculum familiarisation and implementation by the government and Catholic sectors from 2023 - 2026.</w:t>
            </w:r>
          </w:p>
        </w:tc>
        <w:tc>
          <w:tcPr>
            <w:tcW w:w="1701" w:type="dxa"/>
          </w:tcPr>
          <w:p w14:paraId="2543C4FB" w14:textId="1E5E00CE" w:rsidR="00E3214B" w:rsidRPr="0007525C" w:rsidRDefault="00E3214B" w:rsidP="00E9201A">
            <w:pPr>
              <w:spacing w:before="120" w:after="120"/>
              <w:rPr>
                <w:rFonts w:cstheme="minorHAnsi"/>
                <w:color w:val="000000" w:themeColor="text1"/>
              </w:rPr>
            </w:pPr>
            <w:r w:rsidRPr="0007525C">
              <w:rPr>
                <w:rFonts w:cstheme="minorHAnsi"/>
                <w:color w:val="000000" w:themeColor="text1"/>
              </w:rPr>
              <w:t>Reform support funding: $1</w:t>
            </w:r>
            <w:r w:rsidR="006542D6" w:rsidRPr="0007525C">
              <w:rPr>
                <w:rFonts w:cstheme="minorHAnsi"/>
                <w:color w:val="000000" w:themeColor="text1"/>
              </w:rPr>
              <w:t>11</w:t>
            </w:r>
            <w:r w:rsidRPr="0007525C">
              <w:rPr>
                <w:rFonts w:cstheme="minorHAnsi"/>
                <w:color w:val="000000" w:themeColor="text1"/>
              </w:rPr>
              <w:t>,</w:t>
            </w:r>
            <w:r w:rsidR="006542D6" w:rsidRPr="0007525C">
              <w:rPr>
                <w:rFonts w:cstheme="minorHAnsi"/>
                <w:color w:val="000000" w:themeColor="text1"/>
              </w:rPr>
              <w:t>109</w:t>
            </w:r>
          </w:p>
          <w:p w14:paraId="33E898F7" w14:textId="10FE57B6" w:rsidR="00E3214B" w:rsidRPr="0007525C" w:rsidRDefault="00E3214B" w:rsidP="00E9201A">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14,683</w:t>
            </w:r>
          </w:p>
          <w:p w14:paraId="7D411604" w14:textId="0139B216" w:rsidR="00E3214B" w:rsidRPr="0007525C" w:rsidRDefault="00E3214B" w:rsidP="00E9201A">
            <w:pPr>
              <w:spacing w:before="120" w:after="120"/>
              <w:rPr>
                <w:rFonts w:cstheme="minorHAnsi"/>
                <w:color w:val="000000" w:themeColor="text1"/>
              </w:rPr>
            </w:pPr>
            <w:r w:rsidRPr="0007525C">
              <w:rPr>
                <w:rFonts w:cstheme="minorHAnsi"/>
                <w:color w:val="000000" w:themeColor="text1"/>
              </w:rPr>
              <w:t>FTE: 0.66</w:t>
            </w:r>
          </w:p>
          <w:p w14:paraId="7AADA5DC" w14:textId="6490E23A" w:rsidR="00E3214B" w:rsidRPr="0007525C" w:rsidRDefault="00E3214B" w:rsidP="00E9201A">
            <w:pPr>
              <w:spacing w:before="120" w:after="120"/>
              <w:rPr>
                <w:rFonts w:cstheme="minorHAnsi"/>
                <w:color w:val="000000" w:themeColor="text1"/>
              </w:rPr>
            </w:pPr>
          </w:p>
        </w:tc>
        <w:tc>
          <w:tcPr>
            <w:tcW w:w="2410" w:type="dxa"/>
          </w:tcPr>
          <w:p w14:paraId="72C0F170" w14:textId="3C93CDBB" w:rsidR="00E3214B" w:rsidRPr="0007525C" w:rsidRDefault="00E3214B" w:rsidP="00E9201A">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Leaders will develop contemporary leadership skills and capabilities that will enable them to navigate uncertainty, innovate and lead with confidence.</w:t>
            </w:r>
          </w:p>
        </w:tc>
        <w:tc>
          <w:tcPr>
            <w:tcW w:w="2551" w:type="dxa"/>
          </w:tcPr>
          <w:p w14:paraId="3AD5E0AE" w14:textId="2871B8E9" w:rsidR="00E3214B" w:rsidRPr="0007525C" w:rsidRDefault="00E3214B" w:rsidP="00E9201A">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60% of participants report an improved understanding and confidence to effectively lead school operations and change in a rapidly changing education landscape.</w:t>
            </w:r>
          </w:p>
        </w:tc>
      </w:tr>
    </w:tbl>
    <w:p w14:paraId="6045F16A" w14:textId="665E9119" w:rsidR="005034CE" w:rsidRPr="0007525C" w:rsidRDefault="00E9201A" w:rsidP="008B4BE8">
      <w:pPr>
        <w:ind w:left="-426"/>
        <w:rPr>
          <w:rFonts w:cstheme="minorHAnsi"/>
          <w:b/>
          <w:color w:val="000000" w:themeColor="text1"/>
        </w:rPr>
      </w:pPr>
      <w:r w:rsidRPr="0007525C">
        <w:rPr>
          <w:rFonts w:cstheme="minorHAnsi"/>
          <w:b/>
          <w:color w:val="000000" w:themeColor="text1"/>
        </w:rPr>
        <w:lastRenderedPageBreak/>
        <w:t>State Initiative (from bilateral):  Reform Direction B – Supporting teaching, school leadership and school improvement</w:t>
      </w:r>
      <w:r w:rsidRPr="0007525C">
        <w:rPr>
          <w:rFonts w:cstheme="minorHAnsi"/>
          <w:b/>
          <w:color w:val="000000" w:themeColor="text1"/>
        </w:rPr>
        <w:t xml:space="preserve"> </w:t>
      </w:r>
    </w:p>
    <w:tbl>
      <w:tblPr>
        <w:tblStyle w:val="TableGrid"/>
        <w:tblW w:w="14879" w:type="dxa"/>
        <w:jc w:val="center"/>
        <w:tblLook w:val="04A0" w:firstRow="1" w:lastRow="0" w:firstColumn="1" w:lastColumn="0" w:noHBand="0" w:noVBand="1"/>
      </w:tblPr>
      <w:tblGrid>
        <w:gridCol w:w="2019"/>
        <w:gridCol w:w="4922"/>
        <w:gridCol w:w="1985"/>
        <w:gridCol w:w="3118"/>
        <w:gridCol w:w="2835"/>
      </w:tblGrid>
      <w:tr w:rsidR="0007525C" w:rsidRPr="0007525C" w14:paraId="0D88BD02" w14:textId="77777777" w:rsidTr="008B4BE8">
        <w:trPr>
          <w:tblHeader/>
          <w:jc w:val="center"/>
        </w:trPr>
        <w:tc>
          <w:tcPr>
            <w:tcW w:w="2019" w:type="dxa"/>
          </w:tcPr>
          <w:p w14:paraId="05861E55" w14:textId="77777777" w:rsidR="009549D7" w:rsidRPr="0007525C" w:rsidRDefault="009549D7" w:rsidP="0031572E">
            <w:pPr>
              <w:spacing w:before="120" w:after="120"/>
              <w:jc w:val="center"/>
              <w:rPr>
                <w:rFonts w:cstheme="minorHAnsi"/>
                <w:b/>
                <w:color w:val="000000" w:themeColor="text1"/>
              </w:rPr>
            </w:pPr>
            <w:r w:rsidRPr="0007525C">
              <w:rPr>
                <w:rFonts w:cstheme="minorHAnsi"/>
                <w:b/>
                <w:color w:val="000000" w:themeColor="text1"/>
              </w:rPr>
              <w:t>Project title</w:t>
            </w:r>
          </w:p>
        </w:tc>
        <w:tc>
          <w:tcPr>
            <w:tcW w:w="4922" w:type="dxa"/>
          </w:tcPr>
          <w:p w14:paraId="0546517D" w14:textId="77777777" w:rsidR="009549D7" w:rsidRPr="0007525C" w:rsidRDefault="009549D7" w:rsidP="0031572E">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985" w:type="dxa"/>
          </w:tcPr>
          <w:p w14:paraId="75B0DB22" w14:textId="77777777" w:rsidR="009549D7" w:rsidRPr="0007525C" w:rsidRDefault="009549D7" w:rsidP="0031572E">
            <w:pPr>
              <w:spacing w:before="120" w:after="120"/>
              <w:jc w:val="center"/>
              <w:rPr>
                <w:rFonts w:cstheme="minorHAnsi"/>
                <w:b/>
                <w:color w:val="000000" w:themeColor="text1"/>
              </w:rPr>
            </w:pPr>
            <w:r w:rsidRPr="0007525C">
              <w:rPr>
                <w:rFonts w:cstheme="minorHAnsi"/>
                <w:b/>
                <w:color w:val="000000" w:themeColor="text1"/>
              </w:rPr>
              <w:t>Indicative budget</w:t>
            </w:r>
          </w:p>
        </w:tc>
        <w:tc>
          <w:tcPr>
            <w:tcW w:w="3118" w:type="dxa"/>
          </w:tcPr>
          <w:p w14:paraId="1CD3A66F" w14:textId="77777777" w:rsidR="009549D7" w:rsidRPr="0007525C" w:rsidRDefault="009549D7" w:rsidP="0031572E">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835" w:type="dxa"/>
          </w:tcPr>
          <w:p w14:paraId="7EA4A632" w14:textId="77777777" w:rsidR="009549D7" w:rsidRPr="0007525C" w:rsidRDefault="009549D7" w:rsidP="0031572E">
            <w:pPr>
              <w:spacing w:before="120" w:after="120"/>
              <w:jc w:val="center"/>
              <w:rPr>
                <w:rFonts w:cstheme="minorHAnsi"/>
                <w:b/>
                <w:color w:val="000000" w:themeColor="text1"/>
              </w:rPr>
            </w:pPr>
            <w:r w:rsidRPr="0007525C">
              <w:rPr>
                <w:rFonts w:cstheme="minorHAnsi"/>
                <w:b/>
                <w:color w:val="000000" w:themeColor="text1"/>
              </w:rPr>
              <w:t>Indicators of success</w:t>
            </w:r>
          </w:p>
        </w:tc>
      </w:tr>
      <w:tr w:rsidR="0007525C" w:rsidRPr="0007525C" w14:paraId="580A77D5" w14:textId="77777777" w:rsidTr="008B4BE8">
        <w:trPr>
          <w:trHeight w:val="5564"/>
          <w:tblHeader/>
          <w:jc w:val="center"/>
        </w:trPr>
        <w:tc>
          <w:tcPr>
            <w:tcW w:w="2019" w:type="dxa"/>
          </w:tcPr>
          <w:p w14:paraId="35EFD12D" w14:textId="77777777" w:rsidR="00C82A3D" w:rsidRPr="0007525C" w:rsidRDefault="00C82A3D" w:rsidP="00C82A3D">
            <w:pPr>
              <w:rPr>
                <w:rFonts w:cstheme="minorHAnsi"/>
                <w:b/>
                <w:color w:val="000000" w:themeColor="text1"/>
              </w:rPr>
            </w:pPr>
            <w:bookmarkStart w:id="0" w:name="_Hlk119670666"/>
            <w:r w:rsidRPr="0007525C">
              <w:rPr>
                <w:rFonts w:cstheme="minorHAnsi"/>
                <w:b/>
                <w:color w:val="000000" w:themeColor="text1"/>
              </w:rPr>
              <w:t>Leadership Institute</w:t>
            </w:r>
          </w:p>
          <w:p w14:paraId="4C386FFB" w14:textId="77777777" w:rsidR="00C82A3D" w:rsidRPr="0007525C" w:rsidRDefault="00C82A3D" w:rsidP="00C82A3D">
            <w:pPr>
              <w:rPr>
                <w:rFonts w:cstheme="minorHAnsi"/>
                <w:b/>
                <w:color w:val="000000" w:themeColor="text1"/>
              </w:rPr>
            </w:pPr>
            <w:r w:rsidRPr="0007525C">
              <w:rPr>
                <w:rFonts w:cstheme="minorHAnsi"/>
                <w:b/>
                <w:color w:val="000000" w:themeColor="text1"/>
              </w:rPr>
              <w:t>The AISSA Leadership Institute supports governing councils, leaders and leadership teams to govern and lead in a rapidly changing education landscape</w:t>
            </w:r>
          </w:p>
          <w:p w14:paraId="0094E9D9" w14:textId="77777777" w:rsidR="00C82A3D" w:rsidRPr="0007525C" w:rsidRDefault="00C82A3D" w:rsidP="00C82A3D">
            <w:pPr>
              <w:rPr>
                <w:rFonts w:cstheme="minorHAnsi"/>
                <w:b/>
                <w:color w:val="000000" w:themeColor="text1"/>
              </w:rPr>
            </w:pPr>
          </w:p>
          <w:p w14:paraId="51C7BE7B" w14:textId="6BDBE4B9" w:rsidR="00C82A3D" w:rsidRPr="0007525C" w:rsidRDefault="00C82A3D" w:rsidP="00C82A3D">
            <w:pPr>
              <w:rPr>
                <w:rFonts w:cstheme="minorHAnsi"/>
                <w:b/>
                <w:color w:val="000000" w:themeColor="text1"/>
              </w:rPr>
            </w:pPr>
            <w:r w:rsidRPr="0007525C">
              <w:rPr>
                <w:rFonts w:cstheme="minorHAnsi"/>
                <w:bCs/>
                <w:color w:val="000000" w:themeColor="text1"/>
              </w:rPr>
              <w:t>Building leadership capacity and capability</w:t>
            </w:r>
          </w:p>
        </w:tc>
        <w:tc>
          <w:tcPr>
            <w:tcW w:w="4922" w:type="dxa"/>
          </w:tcPr>
          <w:p w14:paraId="695749A5" w14:textId="77777777" w:rsidR="00C82A3D" w:rsidRPr="0007525C" w:rsidRDefault="00C82A3D" w:rsidP="00C82A3D">
            <w:pPr>
              <w:spacing w:before="120" w:after="120"/>
              <w:rPr>
                <w:rFonts w:cstheme="minorHAnsi"/>
                <w:color w:val="000000" w:themeColor="text1"/>
              </w:rPr>
            </w:pPr>
            <w:r w:rsidRPr="0007525C">
              <w:rPr>
                <w:rFonts w:cstheme="minorHAnsi"/>
                <w:color w:val="000000" w:themeColor="text1"/>
              </w:rPr>
              <w:t>The AISSA Leadership Institute builds the leadership capacity and capability of leaders at all levels to effectively lead in these volatile, uncertain, complex, ambiguous (VUCA) times.</w:t>
            </w:r>
          </w:p>
          <w:p w14:paraId="54B13B52" w14:textId="77777777" w:rsidR="00C82A3D" w:rsidRPr="0007525C" w:rsidRDefault="00C82A3D" w:rsidP="00C82A3D">
            <w:pPr>
              <w:spacing w:before="120" w:after="120"/>
              <w:rPr>
                <w:rFonts w:cstheme="minorHAnsi"/>
                <w:color w:val="000000" w:themeColor="text1"/>
              </w:rPr>
            </w:pPr>
            <w:r w:rsidRPr="0007525C">
              <w:rPr>
                <w:rFonts w:cstheme="minorHAnsi"/>
                <w:color w:val="000000" w:themeColor="text1"/>
              </w:rPr>
              <w:t>Contemporary and quality programs will be offered to the range of leaders, including aspiring, middle and senior leaders. This will include a networking hub for principals new to the Independent sector, as well as separate hub for Deputy Principals. A Women in Leadership program will provide an opportunity for women to connect with and learn from other successful women, from both inside and outside of education.</w:t>
            </w:r>
          </w:p>
          <w:p w14:paraId="2E3DA6B6" w14:textId="77777777" w:rsidR="00C82A3D" w:rsidRPr="0007525C" w:rsidRDefault="00C82A3D" w:rsidP="00C82A3D">
            <w:pPr>
              <w:spacing w:before="120" w:after="120"/>
              <w:rPr>
                <w:rFonts w:cstheme="minorHAnsi"/>
                <w:bCs/>
                <w:color w:val="000000" w:themeColor="text1"/>
              </w:rPr>
            </w:pPr>
            <w:r w:rsidRPr="0007525C">
              <w:rPr>
                <w:rFonts w:cstheme="minorHAnsi"/>
                <w:color w:val="000000" w:themeColor="text1"/>
              </w:rPr>
              <w:t xml:space="preserve">School Impact Hubs will continue to support school leaders to explore alternative approaches to recognition of learning </w:t>
            </w:r>
            <w:r w:rsidRPr="0007525C">
              <w:rPr>
                <w:rFonts w:cstheme="minorHAnsi"/>
                <w:bCs/>
                <w:color w:val="000000" w:themeColor="text1"/>
              </w:rPr>
              <w:t xml:space="preserve">that can capture the dynamic complexity of learning and its artefacts.  Impact Hubs will explore local and global partnerships and will focus on the ways leaders can create a culture that welcomes innovation, change and renewal, in addition to strategies to build culture and gain commitment from staff. </w:t>
            </w:r>
          </w:p>
          <w:p w14:paraId="76E35CD5" w14:textId="3B107399" w:rsidR="00C82A3D" w:rsidRPr="0007525C" w:rsidRDefault="00C82A3D" w:rsidP="00C82A3D">
            <w:pPr>
              <w:spacing w:before="120" w:after="120"/>
              <w:rPr>
                <w:rFonts w:cstheme="minorHAnsi"/>
                <w:bCs/>
                <w:color w:val="000000" w:themeColor="text1"/>
              </w:rPr>
            </w:pPr>
            <w:r w:rsidRPr="0007525C">
              <w:rPr>
                <w:rFonts w:cstheme="minorHAnsi"/>
                <w:bCs/>
                <w:color w:val="000000" w:themeColor="text1"/>
              </w:rPr>
              <w:t xml:space="preserve">Feedback and qualitative school data are used to share school successes and inform current and future program directions. </w:t>
            </w:r>
          </w:p>
        </w:tc>
        <w:tc>
          <w:tcPr>
            <w:tcW w:w="1985" w:type="dxa"/>
          </w:tcPr>
          <w:p w14:paraId="1F9E1C9A" w14:textId="7215D0C9" w:rsidR="00C82A3D" w:rsidRPr="0007525C" w:rsidRDefault="00C82A3D" w:rsidP="00C82A3D">
            <w:pPr>
              <w:spacing w:before="120" w:after="120"/>
              <w:rPr>
                <w:rFonts w:cstheme="minorHAnsi"/>
                <w:color w:val="000000" w:themeColor="text1"/>
              </w:rPr>
            </w:pPr>
            <w:r w:rsidRPr="0007525C">
              <w:rPr>
                <w:rFonts w:cstheme="minorHAnsi"/>
                <w:color w:val="000000" w:themeColor="text1"/>
              </w:rPr>
              <w:t>Reform support funding: $2</w:t>
            </w:r>
            <w:r w:rsidR="006542D6" w:rsidRPr="0007525C">
              <w:rPr>
                <w:rFonts w:cstheme="minorHAnsi"/>
                <w:color w:val="000000" w:themeColor="text1"/>
              </w:rPr>
              <w:t>23</w:t>
            </w:r>
            <w:r w:rsidRPr="0007525C">
              <w:rPr>
                <w:rFonts w:cstheme="minorHAnsi"/>
                <w:color w:val="000000" w:themeColor="text1"/>
              </w:rPr>
              <w:t>,</w:t>
            </w:r>
            <w:r w:rsidR="006542D6" w:rsidRPr="0007525C">
              <w:rPr>
                <w:rFonts w:cstheme="minorHAnsi"/>
                <w:color w:val="000000" w:themeColor="text1"/>
              </w:rPr>
              <w:t>852</w:t>
            </w:r>
          </w:p>
          <w:p w14:paraId="2A170B43" w14:textId="433115AA" w:rsidR="00C82A3D" w:rsidRPr="0007525C" w:rsidRDefault="00C82A3D" w:rsidP="00C82A3D">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67</w:t>
            </w:r>
            <w:r w:rsidRPr="0007525C">
              <w:rPr>
                <w:rFonts w:cstheme="minorHAnsi"/>
                <w:color w:val="000000" w:themeColor="text1"/>
              </w:rPr>
              <w:t>,</w:t>
            </w:r>
            <w:r w:rsidR="006542D6" w:rsidRPr="0007525C">
              <w:rPr>
                <w:rFonts w:cstheme="minorHAnsi"/>
                <w:color w:val="000000" w:themeColor="text1"/>
              </w:rPr>
              <w:t>219</w:t>
            </w:r>
          </w:p>
          <w:p w14:paraId="3B5EC669" w14:textId="0650C9E5" w:rsidR="00C82A3D" w:rsidRPr="0007525C" w:rsidRDefault="00C82A3D" w:rsidP="00C82A3D">
            <w:pPr>
              <w:spacing w:before="120" w:after="120"/>
              <w:rPr>
                <w:rFonts w:cstheme="minorHAnsi"/>
                <w:color w:val="000000" w:themeColor="text1"/>
              </w:rPr>
            </w:pPr>
            <w:r w:rsidRPr="0007525C">
              <w:rPr>
                <w:rFonts w:cstheme="minorHAnsi"/>
                <w:color w:val="000000" w:themeColor="text1"/>
              </w:rPr>
              <w:t>FTE: 1.33</w:t>
            </w:r>
          </w:p>
          <w:p w14:paraId="48224A64" w14:textId="6472B532" w:rsidR="00C82A3D" w:rsidRPr="0007525C" w:rsidRDefault="00C82A3D" w:rsidP="00C82A3D">
            <w:pPr>
              <w:spacing w:before="120" w:after="120"/>
              <w:rPr>
                <w:rFonts w:cstheme="minorHAnsi"/>
                <w:color w:val="000000" w:themeColor="text1"/>
              </w:rPr>
            </w:pPr>
          </w:p>
        </w:tc>
        <w:tc>
          <w:tcPr>
            <w:tcW w:w="3118" w:type="dxa"/>
          </w:tcPr>
          <w:p w14:paraId="668CC833" w14:textId="31991013" w:rsidR="00C82A3D" w:rsidRPr="0007525C" w:rsidRDefault="00C82A3D" w:rsidP="00C82A3D">
            <w:pPr>
              <w:pStyle w:val="ListParagraph"/>
              <w:numPr>
                <w:ilvl w:val="0"/>
                <w:numId w:val="35"/>
              </w:numPr>
              <w:spacing w:before="120" w:after="120"/>
              <w:contextualSpacing w:val="0"/>
              <w:rPr>
                <w:rFonts w:cstheme="minorHAnsi"/>
                <w:color w:val="000000" w:themeColor="text1"/>
              </w:rPr>
            </w:pPr>
            <w:r w:rsidRPr="0007525C">
              <w:rPr>
                <w:rFonts w:cstheme="minorHAnsi"/>
                <w:color w:val="000000" w:themeColor="text1"/>
              </w:rPr>
              <w:t>Leaders will develop contemporary leadership skills and capabilities that will enable them to navigate uncertainty, innovate and lead with confidence.</w:t>
            </w:r>
          </w:p>
        </w:tc>
        <w:tc>
          <w:tcPr>
            <w:tcW w:w="2835" w:type="dxa"/>
          </w:tcPr>
          <w:p w14:paraId="2C3A6A3D" w14:textId="25608F0B" w:rsidR="00C82A3D" w:rsidRPr="0007525C" w:rsidRDefault="00C82A3D" w:rsidP="00C82A3D">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60% of participants report an improved understanding and confidence to effectively lead school operations and change in a rapidly changing education landscape.</w:t>
            </w:r>
          </w:p>
        </w:tc>
      </w:tr>
      <w:bookmarkEnd w:id="0"/>
    </w:tbl>
    <w:p w14:paraId="0BAA8579" w14:textId="77777777" w:rsidR="00E9201A" w:rsidRDefault="00E9201A">
      <w:pPr>
        <w:rPr>
          <w:rFonts w:cstheme="minorHAnsi"/>
          <w:b/>
          <w:color w:val="000000" w:themeColor="text1"/>
        </w:rPr>
      </w:pPr>
    </w:p>
    <w:p w14:paraId="085F8222" w14:textId="13F68C77" w:rsidR="005034CE" w:rsidRPr="0007525C" w:rsidRDefault="00E9201A" w:rsidP="008B4BE8">
      <w:pPr>
        <w:ind w:left="-426"/>
        <w:rPr>
          <w:rFonts w:cstheme="minorHAnsi"/>
          <w:b/>
          <w:color w:val="000000" w:themeColor="text1"/>
        </w:rPr>
      </w:pPr>
      <w:r w:rsidRPr="0007525C">
        <w:rPr>
          <w:rFonts w:cstheme="minorHAnsi"/>
          <w:b/>
          <w:color w:val="000000" w:themeColor="text1"/>
        </w:rPr>
        <w:lastRenderedPageBreak/>
        <w:t>State Initiative (from bilateral):  Reform Direction B – Supporting teaching, school leadership and school improvement</w:t>
      </w:r>
      <w:r w:rsidRPr="0007525C">
        <w:rPr>
          <w:rFonts w:cstheme="minorHAnsi"/>
          <w:b/>
          <w:color w:val="000000" w:themeColor="text1"/>
        </w:rPr>
        <w:t xml:space="preserve"> </w:t>
      </w:r>
    </w:p>
    <w:tbl>
      <w:tblPr>
        <w:tblStyle w:val="TableGrid"/>
        <w:tblpPr w:leftFromText="180" w:rightFromText="180" w:vertAnchor="text" w:tblpXSpec="center" w:tblpY="1"/>
        <w:tblOverlap w:val="never"/>
        <w:tblW w:w="14879" w:type="dxa"/>
        <w:tblLook w:val="04A0" w:firstRow="1" w:lastRow="0" w:firstColumn="1" w:lastColumn="0" w:noHBand="0" w:noVBand="1"/>
      </w:tblPr>
      <w:tblGrid>
        <w:gridCol w:w="1868"/>
        <w:gridCol w:w="5357"/>
        <w:gridCol w:w="1701"/>
        <w:gridCol w:w="3118"/>
        <w:gridCol w:w="2835"/>
      </w:tblGrid>
      <w:tr w:rsidR="0007525C" w:rsidRPr="0007525C" w14:paraId="1626EF40" w14:textId="77777777" w:rsidTr="008B4BE8">
        <w:trPr>
          <w:cantSplit/>
        </w:trPr>
        <w:tc>
          <w:tcPr>
            <w:tcW w:w="1868" w:type="dxa"/>
          </w:tcPr>
          <w:p w14:paraId="38628664" w14:textId="77777777" w:rsidR="005335D2" w:rsidRPr="0007525C" w:rsidRDefault="005335D2" w:rsidP="00E9201A">
            <w:pPr>
              <w:spacing w:before="120" w:after="120"/>
              <w:jc w:val="center"/>
              <w:rPr>
                <w:rFonts w:cstheme="minorHAnsi"/>
                <w:b/>
                <w:color w:val="000000" w:themeColor="text1"/>
              </w:rPr>
            </w:pPr>
            <w:r w:rsidRPr="0007525C">
              <w:rPr>
                <w:rFonts w:cstheme="minorHAnsi"/>
                <w:b/>
                <w:color w:val="000000" w:themeColor="text1"/>
              </w:rPr>
              <w:t>Project title</w:t>
            </w:r>
          </w:p>
        </w:tc>
        <w:tc>
          <w:tcPr>
            <w:tcW w:w="5357" w:type="dxa"/>
          </w:tcPr>
          <w:p w14:paraId="36CA6BE4" w14:textId="77777777" w:rsidR="005335D2" w:rsidRPr="0007525C" w:rsidRDefault="005335D2" w:rsidP="00E9201A">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1701" w:type="dxa"/>
          </w:tcPr>
          <w:p w14:paraId="0E99E133" w14:textId="77777777" w:rsidR="005335D2" w:rsidRPr="0007525C" w:rsidRDefault="005335D2" w:rsidP="00E9201A">
            <w:pPr>
              <w:spacing w:before="120" w:after="120"/>
              <w:jc w:val="center"/>
              <w:rPr>
                <w:rFonts w:cstheme="minorHAnsi"/>
                <w:b/>
                <w:color w:val="000000" w:themeColor="text1"/>
              </w:rPr>
            </w:pPr>
            <w:r w:rsidRPr="0007525C">
              <w:rPr>
                <w:rFonts w:cstheme="minorHAnsi"/>
                <w:b/>
                <w:color w:val="000000" w:themeColor="text1"/>
              </w:rPr>
              <w:t>Indicative budget</w:t>
            </w:r>
          </w:p>
        </w:tc>
        <w:tc>
          <w:tcPr>
            <w:tcW w:w="3118" w:type="dxa"/>
          </w:tcPr>
          <w:p w14:paraId="40610D10" w14:textId="77777777" w:rsidR="005335D2" w:rsidRPr="0007525C" w:rsidRDefault="005335D2" w:rsidP="00E9201A">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2835" w:type="dxa"/>
          </w:tcPr>
          <w:p w14:paraId="663EE6BE" w14:textId="77777777" w:rsidR="005335D2" w:rsidRPr="0007525C" w:rsidRDefault="005335D2" w:rsidP="00E9201A">
            <w:pPr>
              <w:spacing w:before="120" w:after="120"/>
              <w:jc w:val="center"/>
              <w:rPr>
                <w:rFonts w:cstheme="minorHAnsi"/>
                <w:b/>
                <w:color w:val="000000" w:themeColor="text1"/>
              </w:rPr>
            </w:pPr>
            <w:r w:rsidRPr="0007525C">
              <w:rPr>
                <w:rFonts w:cstheme="minorHAnsi"/>
                <w:b/>
                <w:color w:val="000000" w:themeColor="text1"/>
              </w:rPr>
              <w:t>Indicators of success</w:t>
            </w:r>
          </w:p>
        </w:tc>
      </w:tr>
      <w:tr w:rsidR="00E9201A" w:rsidRPr="0007525C" w14:paraId="4DEFCD28" w14:textId="77777777" w:rsidTr="008B4BE8">
        <w:trPr>
          <w:cantSplit/>
          <w:trHeight w:val="5564"/>
        </w:trPr>
        <w:tc>
          <w:tcPr>
            <w:tcW w:w="1868" w:type="dxa"/>
          </w:tcPr>
          <w:p w14:paraId="76DB171D" w14:textId="5F9683ED" w:rsidR="0055211C" w:rsidRPr="0007525C" w:rsidRDefault="0055211C" w:rsidP="00E9201A">
            <w:pPr>
              <w:rPr>
                <w:rFonts w:cstheme="minorHAnsi"/>
                <w:b/>
                <w:color w:val="000000" w:themeColor="text1"/>
              </w:rPr>
            </w:pPr>
            <w:r w:rsidRPr="0007525C">
              <w:rPr>
                <w:rFonts w:cstheme="minorHAnsi"/>
                <w:b/>
                <w:color w:val="000000" w:themeColor="text1"/>
              </w:rPr>
              <w:t>Early Career and Mentor Teacher Development</w:t>
            </w:r>
          </w:p>
          <w:p w14:paraId="4E12A2BA" w14:textId="77777777" w:rsidR="0055211C" w:rsidRPr="0007525C" w:rsidRDefault="0055211C" w:rsidP="00E9201A">
            <w:pPr>
              <w:rPr>
                <w:rFonts w:cstheme="minorHAnsi"/>
                <w:b/>
                <w:color w:val="000000" w:themeColor="text1"/>
              </w:rPr>
            </w:pPr>
          </w:p>
          <w:p w14:paraId="6EB53720" w14:textId="3BF9A8B1" w:rsidR="0055211C" w:rsidRPr="0007525C" w:rsidRDefault="0055211C" w:rsidP="00E9201A">
            <w:pPr>
              <w:rPr>
                <w:rFonts w:cstheme="minorHAnsi"/>
                <w:bCs/>
                <w:color w:val="000000" w:themeColor="text1"/>
              </w:rPr>
            </w:pPr>
            <w:r w:rsidRPr="0007525C">
              <w:rPr>
                <w:rFonts w:cstheme="minorHAnsi"/>
                <w:bCs/>
                <w:color w:val="000000" w:themeColor="text1"/>
              </w:rPr>
              <w:t>Inducting early career teachers to the profession through the provision of professional learning and mentoring</w:t>
            </w:r>
          </w:p>
        </w:tc>
        <w:tc>
          <w:tcPr>
            <w:tcW w:w="5357" w:type="dxa"/>
          </w:tcPr>
          <w:p w14:paraId="0C150B80" w14:textId="77777777" w:rsidR="0055211C" w:rsidRPr="0007525C" w:rsidRDefault="0055211C" w:rsidP="00E9201A">
            <w:pPr>
              <w:spacing w:before="120" w:after="120"/>
              <w:rPr>
                <w:rFonts w:cstheme="minorHAnsi"/>
                <w:color w:val="000000" w:themeColor="text1"/>
              </w:rPr>
            </w:pPr>
            <w:r w:rsidRPr="0007525C">
              <w:rPr>
                <w:rFonts w:cstheme="minorHAnsi"/>
                <w:color w:val="000000" w:themeColor="text1"/>
              </w:rPr>
              <w:t>The quality of support early career teachers receive is critical in helping them cope with the demands of the job, build morale and increase their knowledge.</w:t>
            </w:r>
          </w:p>
          <w:p w14:paraId="1E66D4B1" w14:textId="77777777" w:rsidR="0055211C" w:rsidRPr="0007525C" w:rsidRDefault="0055211C" w:rsidP="00E9201A">
            <w:pPr>
              <w:spacing w:before="120" w:after="120"/>
              <w:rPr>
                <w:rFonts w:cstheme="minorHAnsi"/>
                <w:color w:val="000000" w:themeColor="text1"/>
              </w:rPr>
            </w:pPr>
            <w:r w:rsidRPr="0007525C">
              <w:rPr>
                <w:rFonts w:cstheme="minorHAnsi"/>
                <w:color w:val="000000" w:themeColor="text1"/>
              </w:rPr>
              <w:t>This program will bring together early career and mentor teachers to provide opportunities for collaborative learning and practice-focused mentoring.</w:t>
            </w:r>
          </w:p>
          <w:p w14:paraId="69FA3DB3" w14:textId="41AB1ECA" w:rsidR="0055211C" w:rsidRPr="0007525C" w:rsidRDefault="0055211C" w:rsidP="00E9201A">
            <w:pPr>
              <w:spacing w:before="120" w:after="120"/>
              <w:rPr>
                <w:rFonts w:cstheme="minorHAnsi"/>
                <w:color w:val="000000" w:themeColor="text1"/>
              </w:rPr>
            </w:pPr>
            <w:r w:rsidRPr="0007525C">
              <w:rPr>
                <w:rFonts w:cstheme="minorHAnsi"/>
                <w:color w:val="000000" w:themeColor="text1"/>
              </w:rPr>
              <w:t xml:space="preserve">Referencing the </w:t>
            </w:r>
            <w:r w:rsidR="00A01324" w:rsidRPr="0007525C">
              <w:rPr>
                <w:rFonts w:cstheme="minorHAnsi"/>
                <w:color w:val="000000" w:themeColor="text1"/>
              </w:rPr>
              <w:t>quadrants,</w:t>
            </w:r>
            <w:r w:rsidRPr="0007525C">
              <w:rPr>
                <w:rFonts w:cstheme="minorHAnsi"/>
                <w:color w:val="000000" w:themeColor="text1"/>
              </w:rPr>
              <w:t xml:space="preserve"> the Australian Institute for Teaching and School Leadership (AITSL) has identified as critical to successful induction – Professional Practices; Professional Identity; Wellbeing; and Orientation, this program will present an invaluable opportunity for reciprocal professional relationships to grow and flourish.</w:t>
            </w:r>
          </w:p>
          <w:p w14:paraId="401DED18" w14:textId="77777777" w:rsidR="0055211C" w:rsidRPr="0007525C" w:rsidRDefault="0055211C" w:rsidP="00E9201A">
            <w:pPr>
              <w:spacing w:before="120" w:after="120"/>
              <w:rPr>
                <w:rFonts w:cstheme="minorHAnsi"/>
                <w:color w:val="000000" w:themeColor="text1"/>
              </w:rPr>
            </w:pPr>
            <w:r w:rsidRPr="0007525C">
              <w:rPr>
                <w:rFonts w:cstheme="minorHAnsi"/>
                <w:color w:val="000000" w:themeColor="text1"/>
              </w:rPr>
              <w:t>Specific foci will include fostering environments for reciprocal and dialogical conversations; developing positive student relationships and learning environments, building teacher confidence to growing cultural capacity; and exploring enacting curriculum frameworks including the new Early Years Learning Framework, the Australian Curriculum v9.0 and teaching and learning in the senior years.</w:t>
            </w:r>
          </w:p>
          <w:p w14:paraId="3910AE67" w14:textId="287DF004" w:rsidR="0055211C" w:rsidRPr="0007525C" w:rsidRDefault="0055211C" w:rsidP="00E9201A">
            <w:pPr>
              <w:spacing w:before="120" w:after="120"/>
              <w:rPr>
                <w:rFonts w:cstheme="minorHAnsi"/>
                <w:color w:val="000000" w:themeColor="text1"/>
              </w:rPr>
            </w:pPr>
            <w:r w:rsidRPr="0007525C">
              <w:rPr>
                <w:rFonts w:cstheme="minorHAnsi"/>
                <w:color w:val="000000" w:themeColor="text1"/>
              </w:rPr>
              <w:t>This program supports the building of practice-focused mentoring, professional relationships, teacher resilience and wellbeing. Within the broad program framework, participant feedback through surveys and exit tickets will allow sessions to be nuanced to meet teacher need.</w:t>
            </w:r>
          </w:p>
        </w:tc>
        <w:tc>
          <w:tcPr>
            <w:tcW w:w="1701" w:type="dxa"/>
          </w:tcPr>
          <w:p w14:paraId="000DA1A1" w14:textId="4C64906E" w:rsidR="0055211C" w:rsidRPr="0007525C" w:rsidRDefault="0055211C" w:rsidP="00E9201A">
            <w:pPr>
              <w:spacing w:before="120" w:after="120"/>
              <w:rPr>
                <w:rFonts w:cstheme="minorHAnsi"/>
                <w:color w:val="000000" w:themeColor="text1"/>
              </w:rPr>
            </w:pPr>
            <w:r w:rsidRPr="0007525C">
              <w:rPr>
                <w:rFonts w:cstheme="minorHAnsi"/>
                <w:color w:val="000000" w:themeColor="text1"/>
              </w:rPr>
              <w:t>Reform support funding: $4</w:t>
            </w:r>
            <w:r w:rsidR="006542D6" w:rsidRPr="0007525C">
              <w:rPr>
                <w:rFonts w:cstheme="minorHAnsi"/>
                <w:color w:val="000000" w:themeColor="text1"/>
              </w:rPr>
              <w:t>1</w:t>
            </w:r>
            <w:r w:rsidRPr="0007525C">
              <w:rPr>
                <w:rFonts w:cstheme="minorHAnsi"/>
                <w:color w:val="000000" w:themeColor="text1"/>
              </w:rPr>
              <w:t>,</w:t>
            </w:r>
            <w:r w:rsidR="006542D6" w:rsidRPr="0007525C">
              <w:rPr>
                <w:rFonts w:cstheme="minorHAnsi"/>
                <w:color w:val="000000" w:themeColor="text1"/>
              </w:rPr>
              <w:t>763</w:t>
            </w:r>
          </w:p>
          <w:p w14:paraId="25FE52EA" w14:textId="0BB558EF" w:rsidR="0055211C" w:rsidRPr="0007525C" w:rsidRDefault="0055211C" w:rsidP="00E9201A">
            <w:pPr>
              <w:spacing w:before="120" w:after="120"/>
              <w:rPr>
                <w:rFonts w:cstheme="minorHAnsi"/>
                <w:color w:val="000000" w:themeColor="text1"/>
              </w:rPr>
            </w:pPr>
            <w:r w:rsidRPr="0007525C">
              <w:rPr>
                <w:rFonts w:cstheme="minorHAnsi"/>
                <w:color w:val="000000" w:themeColor="text1"/>
              </w:rPr>
              <w:t>Other funding: $1</w:t>
            </w:r>
            <w:r w:rsidR="006542D6" w:rsidRPr="0007525C">
              <w:rPr>
                <w:rFonts w:cstheme="minorHAnsi"/>
                <w:color w:val="000000" w:themeColor="text1"/>
              </w:rPr>
              <w:t>7</w:t>
            </w:r>
            <w:r w:rsidRPr="0007525C">
              <w:rPr>
                <w:rFonts w:cstheme="minorHAnsi"/>
                <w:color w:val="000000" w:themeColor="text1"/>
              </w:rPr>
              <w:t>,</w:t>
            </w:r>
            <w:r w:rsidR="006542D6" w:rsidRPr="0007525C">
              <w:rPr>
                <w:rFonts w:cstheme="minorHAnsi"/>
                <w:color w:val="000000" w:themeColor="text1"/>
              </w:rPr>
              <w:t>798</w:t>
            </w:r>
          </w:p>
          <w:p w14:paraId="28BFA20B" w14:textId="601F79C7" w:rsidR="0055211C" w:rsidRPr="0007525C" w:rsidRDefault="0055211C" w:rsidP="00E9201A">
            <w:pPr>
              <w:spacing w:before="120" w:after="120"/>
              <w:rPr>
                <w:rFonts w:cstheme="minorHAnsi"/>
                <w:color w:val="000000" w:themeColor="text1"/>
              </w:rPr>
            </w:pPr>
            <w:r w:rsidRPr="0007525C">
              <w:rPr>
                <w:rFonts w:cstheme="minorHAnsi"/>
                <w:color w:val="000000" w:themeColor="text1"/>
              </w:rPr>
              <w:t>FTE: 0.25</w:t>
            </w:r>
          </w:p>
          <w:p w14:paraId="50675B24" w14:textId="23FEC664" w:rsidR="0055211C" w:rsidRPr="0007525C" w:rsidRDefault="0055211C" w:rsidP="00E9201A">
            <w:pPr>
              <w:spacing w:before="120" w:after="120"/>
              <w:rPr>
                <w:rFonts w:cstheme="minorHAnsi"/>
                <w:color w:val="000000" w:themeColor="text1"/>
              </w:rPr>
            </w:pPr>
          </w:p>
        </w:tc>
        <w:tc>
          <w:tcPr>
            <w:tcW w:w="3118" w:type="dxa"/>
          </w:tcPr>
          <w:p w14:paraId="2535C876" w14:textId="77777777" w:rsidR="0055211C" w:rsidRPr="0007525C" w:rsidRDefault="0055211C" w:rsidP="00E9201A">
            <w:pPr>
              <w:pStyle w:val="ListParagraph"/>
              <w:numPr>
                <w:ilvl w:val="0"/>
                <w:numId w:val="34"/>
              </w:numPr>
              <w:rPr>
                <w:rFonts w:cstheme="minorHAnsi"/>
                <w:color w:val="000000" w:themeColor="text1"/>
              </w:rPr>
            </w:pPr>
            <w:r w:rsidRPr="0007525C">
              <w:rPr>
                <w:rFonts w:cstheme="minorHAnsi"/>
                <w:color w:val="000000" w:themeColor="text1"/>
              </w:rPr>
              <w:t>Early career teachers will feel supported and successful in:</w:t>
            </w:r>
          </w:p>
          <w:p w14:paraId="1B58185B" w14:textId="77777777" w:rsidR="0055211C" w:rsidRPr="0007525C" w:rsidRDefault="0055211C" w:rsidP="00E9201A">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establishing positive learning environments</w:t>
            </w:r>
          </w:p>
          <w:p w14:paraId="1DAB2B76" w14:textId="77777777" w:rsidR="0055211C" w:rsidRPr="0007525C" w:rsidRDefault="0055211C" w:rsidP="00E9201A">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the crafting and implementation of effective teaching</w:t>
            </w:r>
          </w:p>
          <w:p w14:paraId="4AAEFD85" w14:textId="77777777" w:rsidR="0055211C" w:rsidRPr="0007525C" w:rsidRDefault="0055211C" w:rsidP="00E9201A">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their identity and participation as professionals in their school community and</w:t>
            </w:r>
          </w:p>
          <w:p w14:paraId="3640C53D" w14:textId="77777777" w:rsidR="0055211C" w:rsidRPr="0007525C" w:rsidRDefault="0055211C" w:rsidP="00E9201A">
            <w:pPr>
              <w:pStyle w:val="ListParagraph"/>
              <w:numPr>
                <w:ilvl w:val="0"/>
                <w:numId w:val="38"/>
              </w:numPr>
              <w:spacing w:before="120" w:after="120"/>
              <w:ind w:left="430" w:hanging="283"/>
              <w:rPr>
                <w:rFonts w:cstheme="minorHAnsi"/>
                <w:color w:val="000000" w:themeColor="text1"/>
              </w:rPr>
            </w:pPr>
            <w:r w:rsidRPr="0007525C">
              <w:rPr>
                <w:rFonts w:cstheme="minorHAnsi"/>
                <w:color w:val="000000" w:themeColor="text1"/>
              </w:rPr>
              <w:t>gathering evidence of their practice aligned to the Proficient career stage to meet the requirements for full registration with the SA TRB.</w:t>
            </w:r>
          </w:p>
          <w:p w14:paraId="6DDB7A8B" w14:textId="77777777" w:rsidR="0055211C" w:rsidRPr="0007525C" w:rsidRDefault="0055211C" w:rsidP="00E9201A">
            <w:pPr>
              <w:pStyle w:val="ListParagraph"/>
              <w:numPr>
                <w:ilvl w:val="0"/>
                <w:numId w:val="34"/>
              </w:numPr>
              <w:rPr>
                <w:rFonts w:cstheme="minorHAnsi"/>
                <w:color w:val="000000" w:themeColor="text1"/>
              </w:rPr>
            </w:pPr>
            <w:r w:rsidRPr="0007525C">
              <w:rPr>
                <w:rFonts w:cstheme="minorHAnsi"/>
                <w:color w:val="000000" w:themeColor="text1"/>
              </w:rPr>
              <w:t>Mentors will grow in their practice-focused mentoring skills and confidence to support and guide their early career teacher.</w:t>
            </w:r>
          </w:p>
          <w:p w14:paraId="28204381" w14:textId="0004156A" w:rsidR="0055211C" w:rsidRPr="0007525C" w:rsidRDefault="0055211C" w:rsidP="00E9201A">
            <w:pPr>
              <w:pStyle w:val="ListParagraph"/>
              <w:numPr>
                <w:ilvl w:val="0"/>
                <w:numId w:val="34"/>
              </w:numPr>
              <w:rPr>
                <w:rFonts w:cstheme="minorHAnsi"/>
                <w:color w:val="000000" w:themeColor="text1"/>
              </w:rPr>
            </w:pPr>
            <w:r w:rsidRPr="0007525C">
              <w:rPr>
                <w:rFonts w:cstheme="minorHAnsi"/>
                <w:color w:val="000000" w:themeColor="text1"/>
              </w:rPr>
              <w:t>Reciprocal professional relationships will grow between the early career teacher and their mentor.</w:t>
            </w:r>
          </w:p>
        </w:tc>
        <w:tc>
          <w:tcPr>
            <w:tcW w:w="2835" w:type="dxa"/>
          </w:tcPr>
          <w:p w14:paraId="09D1BA96" w14:textId="7F4CA8FA" w:rsidR="0055211C" w:rsidRPr="0007525C" w:rsidRDefault="0055211C" w:rsidP="00E9201A">
            <w:pPr>
              <w:pStyle w:val="ListParagraph"/>
              <w:numPr>
                <w:ilvl w:val="0"/>
                <w:numId w:val="34"/>
              </w:numPr>
              <w:rPr>
                <w:rFonts w:cstheme="minorHAnsi"/>
                <w:color w:val="000000" w:themeColor="text1"/>
              </w:rPr>
            </w:pPr>
            <w:r w:rsidRPr="0007525C">
              <w:rPr>
                <w:rFonts w:cstheme="minorHAnsi"/>
                <w:color w:val="000000" w:themeColor="text1"/>
              </w:rPr>
              <w:t>60% of early career teachers participating in the Early Career Teacher Program will report enhanced understanding and confidence as a beginning teacher.</w:t>
            </w:r>
          </w:p>
        </w:tc>
      </w:tr>
    </w:tbl>
    <w:p w14:paraId="6A3D2B59" w14:textId="0C0FCE71" w:rsidR="005335D2" w:rsidRPr="0007525C" w:rsidRDefault="00E9201A" w:rsidP="008B4BE8">
      <w:pPr>
        <w:ind w:left="-426"/>
        <w:rPr>
          <w:rFonts w:cstheme="minorHAnsi"/>
          <w:b/>
          <w:color w:val="000000" w:themeColor="text1"/>
        </w:rPr>
      </w:pPr>
      <w:r w:rsidRPr="0007525C">
        <w:rPr>
          <w:rFonts w:cstheme="minorHAnsi"/>
          <w:b/>
          <w:color w:val="000000" w:themeColor="text1"/>
        </w:rPr>
        <w:lastRenderedPageBreak/>
        <w:t>State Initiative (from bilateral):  Reform Direction C – Enhancing the national evidence base</w:t>
      </w:r>
    </w:p>
    <w:tbl>
      <w:tblPr>
        <w:tblStyle w:val="TableGrid"/>
        <w:tblW w:w="14879" w:type="dxa"/>
        <w:jc w:val="center"/>
        <w:tblLook w:val="04A0" w:firstRow="1" w:lastRow="0" w:firstColumn="1" w:lastColumn="0" w:noHBand="0" w:noVBand="1"/>
      </w:tblPr>
      <w:tblGrid>
        <w:gridCol w:w="1868"/>
        <w:gridCol w:w="3797"/>
        <w:gridCol w:w="2127"/>
        <w:gridCol w:w="3685"/>
        <w:gridCol w:w="3402"/>
      </w:tblGrid>
      <w:tr w:rsidR="0007525C" w:rsidRPr="0007525C" w14:paraId="3B4CBB1C" w14:textId="77777777" w:rsidTr="008B4BE8">
        <w:trPr>
          <w:tblHeader/>
          <w:jc w:val="center"/>
        </w:trPr>
        <w:tc>
          <w:tcPr>
            <w:tcW w:w="1868" w:type="dxa"/>
          </w:tcPr>
          <w:p w14:paraId="099F62AF" w14:textId="77777777" w:rsidR="005335D2" w:rsidRPr="0007525C" w:rsidRDefault="005335D2" w:rsidP="0031572E">
            <w:pPr>
              <w:spacing w:before="120" w:after="120"/>
              <w:jc w:val="center"/>
              <w:rPr>
                <w:rFonts w:cstheme="minorHAnsi"/>
                <w:b/>
                <w:color w:val="000000" w:themeColor="text1"/>
              </w:rPr>
            </w:pPr>
            <w:r w:rsidRPr="0007525C">
              <w:rPr>
                <w:rFonts w:cstheme="minorHAnsi"/>
                <w:b/>
                <w:color w:val="000000" w:themeColor="text1"/>
              </w:rPr>
              <w:t>Project title</w:t>
            </w:r>
          </w:p>
        </w:tc>
        <w:tc>
          <w:tcPr>
            <w:tcW w:w="3797" w:type="dxa"/>
          </w:tcPr>
          <w:p w14:paraId="42998806" w14:textId="77777777" w:rsidR="005335D2" w:rsidRPr="0007525C" w:rsidRDefault="005335D2" w:rsidP="0031572E">
            <w:pPr>
              <w:spacing w:before="120" w:after="120"/>
              <w:jc w:val="center"/>
              <w:rPr>
                <w:rFonts w:cstheme="minorHAnsi"/>
                <w:b/>
                <w:color w:val="000000" w:themeColor="text1"/>
              </w:rPr>
            </w:pPr>
            <w:r w:rsidRPr="0007525C">
              <w:rPr>
                <w:rFonts w:cstheme="minorHAnsi"/>
                <w:b/>
                <w:color w:val="000000" w:themeColor="text1"/>
              </w:rPr>
              <w:t>Project description and activities</w:t>
            </w:r>
          </w:p>
        </w:tc>
        <w:tc>
          <w:tcPr>
            <w:tcW w:w="2127" w:type="dxa"/>
          </w:tcPr>
          <w:p w14:paraId="17042DB7" w14:textId="77777777" w:rsidR="005335D2" w:rsidRPr="0007525C" w:rsidRDefault="005335D2" w:rsidP="0031572E">
            <w:pPr>
              <w:spacing w:before="120" w:after="120"/>
              <w:jc w:val="center"/>
              <w:rPr>
                <w:rFonts w:cstheme="minorHAnsi"/>
                <w:b/>
                <w:color w:val="000000" w:themeColor="text1"/>
              </w:rPr>
            </w:pPr>
            <w:r w:rsidRPr="0007525C">
              <w:rPr>
                <w:rFonts w:cstheme="minorHAnsi"/>
                <w:b/>
                <w:color w:val="000000" w:themeColor="text1"/>
              </w:rPr>
              <w:t>Indicative budget</w:t>
            </w:r>
          </w:p>
        </w:tc>
        <w:tc>
          <w:tcPr>
            <w:tcW w:w="3685" w:type="dxa"/>
          </w:tcPr>
          <w:p w14:paraId="165A8FAA" w14:textId="77777777" w:rsidR="005335D2" w:rsidRPr="0007525C" w:rsidRDefault="005335D2" w:rsidP="0031572E">
            <w:pPr>
              <w:spacing w:before="120" w:after="120"/>
              <w:jc w:val="center"/>
              <w:rPr>
                <w:rFonts w:cstheme="minorHAnsi"/>
                <w:b/>
                <w:color w:val="000000" w:themeColor="text1"/>
              </w:rPr>
            </w:pPr>
            <w:r w:rsidRPr="0007525C">
              <w:rPr>
                <w:rFonts w:cstheme="minorHAnsi"/>
                <w:b/>
                <w:color w:val="000000" w:themeColor="text1"/>
              </w:rPr>
              <w:t>Expected outcomes/Overall achievements</w:t>
            </w:r>
          </w:p>
        </w:tc>
        <w:tc>
          <w:tcPr>
            <w:tcW w:w="3402" w:type="dxa"/>
          </w:tcPr>
          <w:p w14:paraId="2B46197E" w14:textId="77777777" w:rsidR="005335D2" w:rsidRPr="0007525C" w:rsidRDefault="005335D2" w:rsidP="0031572E">
            <w:pPr>
              <w:spacing w:before="120" w:after="120"/>
              <w:jc w:val="center"/>
              <w:rPr>
                <w:rFonts w:cstheme="minorHAnsi"/>
                <w:b/>
                <w:color w:val="000000" w:themeColor="text1"/>
              </w:rPr>
            </w:pPr>
            <w:r w:rsidRPr="0007525C">
              <w:rPr>
                <w:rFonts w:cstheme="minorHAnsi"/>
                <w:b/>
                <w:color w:val="000000" w:themeColor="text1"/>
              </w:rPr>
              <w:t>Indicators of success</w:t>
            </w:r>
          </w:p>
        </w:tc>
      </w:tr>
      <w:tr w:rsidR="008B4BE8" w:rsidRPr="0007525C" w14:paraId="76CAE722" w14:textId="77777777" w:rsidTr="008B4BE8">
        <w:trPr>
          <w:trHeight w:val="5564"/>
          <w:tblHeader/>
          <w:jc w:val="center"/>
        </w:trPr>
        <w:tc>
          <w:tcPr>
            <w:tcW w:w="1868" w:type="dxa"/>
          </w:tcPr>
          <w:p w14:paraId="22E045E5" w14:textId="77777777" w:rsidR="00851C36" w:rsidRPr="0007525C" w:rsidRDefault="00851C36" w:rsidP="00851C36">
            <w:pPr>
              <w:rPr>
                <w:rFonts w:cstheme="minorHAnsi"/>
                <w:b/>
                <w:color w:val="000000" w:themeColor="text1"/>
              </w:rPr>
            </w:pPr>
            <w:r w:rsidRPr="0007525C">
              <w:rPr>
                <w:rFonts w:cstheme="minorHAnsi"/>
                <w:b/>
                <w:color w:val="000000" w:themeColor="text1"/>
              </w:rPr>
              <w:t>School Improvement Model</w:t>
            </w:r>
          </w:p>
          <w:p w14:paraId="10E62422" w14:textId="77777777" w:rsidR="00851C36" w:rsidRPr="0007525C" w:rsidRDefault="00851C36" w:rsidP="00851C36">
            <w:pPr>
              <w:rPr>
                <w:rFonts w:cstheme="minorHAnsi"/>
                <w:b/>
                <w:color w:val="000000" w:themeColor="text1"/>
              </w:rPr>
            </w:pPr>
          </w:p>
          <w:p w14:paraId="09B2EDD4" w14:textId="6804D9D5" w:rsidR="00851C36" w:rsidRPr="0007525C" w:rsidRDefault="00851C36" w:rsidP="00851C36">
            <w:pPr>
              <w:rPr>
                <w:rFonts w:cstheme="minorHAnsi"/>
                <w:bCs/>
                <w:color w:val="000000" w:themeColor="text1"/>
              </w:rPr>
            </w:pPr>
            <w:r w:rsidRPr="0007525C">
              <w:rPr>
                <w:rFonts w:cstheme="minorHAnsi"/>
                <w:bCs/>
                <w:color w:val="000000" w:themeColor="text1"/>
              </w:rPr>
              <w:t>Each Independent school is supported to meet both national obligations and strategic school improvement initiatives, through the provision of expert support and advice</w:t>
            </w:r>
          </w:p>
        </w:tc>
        <w:tc>
          <w:tcPr>
            <w:tcW w:w="3797" w:type="dxa"/>
          </w:tcPr>
          <w:p w14:paraId="519B8BC3" w14:textId="77777777" w:rsidR="00851C36" w:rsidRPr="0007525C" w:rsidRDefault="00851C36" w:rsidP="00851C36">
            <w:pPr>
              <w:spacing w:before="120" w:after="120"/>
              <w:rPr>
                <w:rFonts w:cstheme="minorHAnsi"/>
                <w:bCs/>
                <w:color w:val="000000" w:themeColor="text1"/>
              </w:rPr>
            </w:pPr>
            <w:r w:rsidRPr="0007525C">
              <w:rPr>
                <w:rFonts w:cstheme="minorHAnsi"/>
                <w:bCs/>
                <w:color w:val="000000" w:themeColor="text1"/>
              </w:rPr>
              <w:t>The AISSA Senior Educational Consultant Team will continue in the long-established and strategic approach of working with individual leadership teams. This approach fosters excellence in strategic, instructional and transformational leadership attributes, to progress both the school’s strategic directions and national and state obligations.</w:t>
            </w:r>
          </w:p>
          <w:p w14:paraId="305A8A86" w14:textId="4C8D1789" w:rsidR="00851C36" w:rsidRPr="0007525C" w:rsidRDefault="00851C36" w:rsidP="00851C36">
            <w:pPr>
              <w:spacing w:before="120" w:after="120"/>
              <w:rPr>
                <w:rFonts w:cstheme="minorHAnsi"/>
                <w:color w:val="000000" w:themeColor="text1"/>
              </w:rPr>
            </w:pPr>
            <w:r w:rsidRPr="0007525C">
              <w:rPr>
                <w:rFonts w:cstheme="minorHAnsi"/>
                <w:color w:val="000000" w:themeColor="text1"/>
              </w:rPr>
              <w:t xml:space="preserve">This is undertaken through a </w:t>
            </w:r>
            <w:r w:rsidRPr="0007525C">
              <w:rPr>
                <w:rFonts w:cstheme="minorHAnsi"/>
                <w:iCs/>
                <w:color w:val="000000" w:themeColor="text1"/>
                <w:lang w:val="en-US"/>
              </w:rPr>
              <w:t xml:space="preserve">range of bespoke services including </w:t>
            </w:r>
            <w:r w:rsidRPr="0007525C">
              <w:rPr>
                <w:rFonts w:cstheme="minorHAnsi"/>
                <w:color w:val="000000" w:themeColor="text1"/>
                <w:lang w:val="en-US"/>
              </w:rPr>
              <w:t>school visits and meetings, as well as the development of resources and supporting documents. Support is tailored to meet the unique context of each site</w:t>
            </w:r>
            <w:r w:rsidR="00E043B6" w:rsidRPr="0007525C">
              <w:rPr>
                <w:rFonts w:cstheme="minorHAnsi"/>
                <w:color w:val="000000" w:themeColor="text1"/>
                <w:lang w:val="en-US"/>
              </w:rPr>
              <w:t>.</w:t>
            </w:r>
          </w:p>
        </w:tc>
        <w:tc>
          <w:tcPr>
            <w:tcW w:w="2127" w:type="dxa"/>
          </w:tcPr>
          <w:p w14:paraId="079DE507" w14:textId="27BE12C1" w:rsidR="00851C36" w:rsidRPr="0007525C" w:rsidRDefault="00851C36" w:rsidP="00851C36">
            <w:pPr>
              <w:spacing w:before="120" w:after="120"/>
              <w:rPr>
                <w:rFonts w:cstheme="minorHAnsi"/>
                <w:color w:val="000000" w:themeColor="text1"/>
              </w:rPr>
            </w:pPr>
            <w:r w:rsidRPr="0007525C">
              <w:rPr>
                <w:rFonts w:cstheme="minorHAnsi"/>
                <w:color w:val="000000" w:themeColor="text1"/>
              </w:rPr>
              <w:t>Reform support funding: $3</w:t>
            </w:r>
            <w:r w:rsidR="006542D6" w:rsidRPr="0007525C">
              <w:rPr>
                <w:rFonts w:cstheme="minorHAnsi"/>
                <w:color w:val="000000" w:themeColor="text1"/>
              </w:rPr>
              <w:t>62</w:t>
            </w:r>
            <w:r w:rsidRPr="0007525C">
              <w:rPr>
                <w:rFonts w:cstheme="minorHAnsi"/>
                <w:color w:val="000000" w:themeColor="text1"/>
              </w:rPr>
              <w:t>,</w:t>
            </w:r>
            <w:r w:rsidR="006542D6" w:rsidRPr="0007525C">
              <w:rPr>
                <w:rFonts w:cstheme="minorHAnsi"/>
                <w:color w:val="000000" w:themeColor="text1"/>
              </w:rPr>
              <w:t>983</w:t>
            </w:r>
          </w:p>
          <w:p w14:paraId="4F67E76D" w14:textId="02028256" w:rsidR="00851C36" w:rsidRPr="0007525C" w:rsidRDefault="00851C36" w:rsidP="00851C36">
            <w:pPr>
              <w:spacing w:before="120" w:after="120"/>
              <w:rPr>
                <w:rFonts w:cstheme="minorHAnsi"/>
                <w:color w:val="000000" w:themeColor="text1"/>
              </w:rPr>
            </w:pPr>
            <w:r w:rsidRPr="0007525C">
              <w:rPr>
                <w:rFonts w:cstheme="minorHAnsi"/>
                <w:color w:val="000000" w:themeColor="text1"/>
              </w:rPr>
              <w:t>Other funding: $</w:t>
            </w:r>
            <w:r w:rsidR="006542D6" w:rsidRPr="0007525C">
              <w:rPr>
                <w:rFonts w:cstheme="minorHAnsi"/>
                <w:color w:val="000000" w:themeColor="text1"/>
              </w:rPr>
              <w:t>5</w:t>
            </w:r>
            <w:r w:rsidRPr="0007525C">
              <w:rPr>
                <w:rFonts w:cstheme="minorHAnsi"/>
                <w:color w:val="000000" w:themeColor="text1"/>
              </w:rPr>
              <w:t>7,</w:t>
            </w:r>
            <w:r w:rsidR="006542D6" w:rsidRPr="0007525C">
              <w:rPr>
                <w:rFonts w:cstheme="minorHAnsi"/>
                <w:color w:val="000000" w:themeColor="text1"/>
              </w:rPr>
              <w:t>582</w:t>
            </w:r>
          </w:p>
          <w:p w14:paraId="60262F0A" w14:textId="77BB8C79" w:rsidR="00851C36" w:rsidRPr="0007525C" w:rsidRDefault="00851C36" w:rsidP="00851C36">
            <w:pPr>
              <w:spacing w:before="120" w:after="120"/>
              <w:rPr>
                <w:rFonts w:cstheme="minorHAnsi"/>
                <w:color w:val="000000" w:themeColor="text1"/>
              </w:rPr>
            </w:pPr>
            <w:r w:rsidRPr="0007525C">
              <w:rPr>
                <w:rFonts w:cstheme="minorHAnsi"/>
                <w:color w:val="000000" w:themeColor="text1"/>
              </w:rPr>
              <w:t>FTE: 2.16</w:t>
            </w:r>
          </w:p>
          <w:p w14:paraId="388AE05B" w14:textId="6F7F744F" w:rsidR="00851C36" w:rsidRPr="0007525C" w:rsidRDefault="00851C36" w:rsidP="00851C36">
            <w:pPr>
              <w:spacing w:before="120" w:after="120"/>
              <w:rPr>
                <w:rFonts w:cstheme="minorHAnsi"/>
                <w:color w:val="000000" w:themeColor="text1"/>
              </w:rPr>
            </w:pPr>
          </w:p>
        </w:tc>
        <w:tc>
          <w:tcPr>
            <w:tcW w:w="3685" w:type="dxa"/>
          </w:tcPr>
          <w:p w14:paraId="42CDCF30" w14:textId="63522A4B" w:rsidR="00851C36" w:rsidRPr="0007525C" w:rsidRDefault="00851C36" w:rsidP="00851C36">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Schools continue to strengthen their structures, practices and the environments that underpin quality schooling.</w:t>
            </w:r>
          </w:p>
        </w:tc>
        <w:tc>
          <w:tcPr>
            <w:tcW w:w="3402" w:type="dxa"/>
          </w:tcPr>
          <w:p w14:paraId="3ED11978" w14:textId="03463592" w:rsidR="00851C36" w:rsidRPr="0007525C" w:rsidRDefault="00851C36" w:rsidP="00851C36">
            <w:pPr>
              <w:pStyle w:val="ListParagraph"/>
              <w:numPr>
                <w:ilvl w:val="0"/>
                <w:numId w:val="34"/>
              </w:numPr>
              <w:spacing w:before="120" w:after="120"/>
              <w:contextualSpacing w:val="0"/>
              <w:rPr>
                <w:rFonts w:cstheme="minorHAnsi"/>
                <w:color w:val="000000" w:themeColor="text1"/>
              </w:rPr>
            </w:pPr>
            <w:r w:rsidRPr="0007525C">
              <w:rPr>
                <w:rFonts w:cstheme="minorHAnsi"/>
                <w:color w:val="000000" w:themeColor="text1"/>
              </w:rPr>
              <w:t>90% of schools have been supported with school improvement initiatives.</w:t>
            </w:r>
          </w:p>
        </w:tc>
      </w:tr>
    </w:tbl>
    <w:p w14:paraId="00E0E11D" w14:textId="77777777" w:rsidR="005335D2" w:rsidRPr="0007525C" w:rsidRDefault="005335D2">
      <w:pPr>
        <w:rPr>
          <w:rFonts w:cstheme="minorHAnsi"/>
          <w:b/>
          <w:color w:val="000000" w:themeColor="text1"/>
        </w:rPr>
      </w:pPr>
    </w:p>
    <w:sectPr w:rsidR="005335D2" w:rsidRPr="0007525C" w:rsidSect="00326632">
      <w:footerReference w:type="default" r:id="rId20"/>
      <w:footerReference w:type="first" r:id="rId2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63054" w14:textId="77777777" w:rsidR="00D146FA" w:rsidRDefault="00D146FA" w:rsidP="00AB1E9A">
      <w:pPr>
        <w:spacing w:after="0" w:line="240" w:lineRule="auto"/>
      </w:pPr>
      <w:r>
        <w:separator/>
      </w:r>
    </w:p>
  </w:endnote>
  <w:endnote w:type="continuationSeparator" w:id="0">
    <w:p w14:paraId="1BC91E3F" w14:textId="77777777" w:rsidR="00D146FA" w:rsidRDefault="00D146FA"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FFF7" w14:textId="77777777" w:rsidR="009E1C84" w:rsidRDefault="009E1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3FA6" w14:textId="38DE4E6C" w:rsidR="0099394D" w:rsidRDefault="0099394D" w:rsidP="0099394D">
    <w:pPr>
      <w:pStyle w:val="Footer"/>
    </w:pPr>
    <w:r>
      <w:t>NGRSF 2023 Workplan</w:t>
    </w:r>
    <w:r>
      <w:tab/>
    </w:r>
    <w:r>
      <w:tab/>
    </w:r>
    <w:sdt>
      <w:sdtPr>
        <w:id w:val="625332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8D7" w14:textId="77777777" w:rsidR="006E6333" w:rsidRPr="00454019" w:rsidRDefault="000B0D08" w:rsidP="009310E3">
    <w:pPr>
      <w:pStyle w:val="Footer"/>
      <w:tabs>
        <w:tab w:val="clear" w:pos="4513"/>
        <w:tab w:val="clear" w:pos="9026"/>
        <w:tab w:val="left" w:pos="61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9FC" w14:textId="24C251C9" w:rsidR="0099394D" w:rsidRDefault="0099394D" w:rsidP="0099394D">
    <w:pPr>
      <w:pStyle w:val="Footer"/>
    </w:pPr>
    <w:r>
      <w:t>NGRSF 2023 Workplan</w:t>
    </w:r>
    <w:r>
      <w:tab/>
    </w:r>
    <w:r>
      <w:tab/>
    </w:r>
    <w:sdt>
      <w:sdtPr>
        <w:id w:val="-9054549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D70" w14:textId="77777777" w:rsidR="006E6333" w:rsidRPr="00454019" w:rsidRDefault="00A01324" w:rsidP="004540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A1D0" w14:textId="77777777" w:rsidR="0099394D" w:rsidRDefault="0099394D" w:rsidP="0099394D">
    <w:pPr>
      <w:pStyle w:val="Footer"/>
    </w:pPr>
    <w:r>
      <w:t>NGRSF 2023 Workplan</w:t>
    </w:r>
    <w:r>
      <w:tab/>
    </w:r>
    <w:r>
      <w:tab/>
    </w:r>
    <w:r>
      <w:tab/>
    </w:r>
    <w:r>
      <w:tab/>
    </w:r>
    <w:r>
      <w:tab/>
    </w:r>
    <w:r>
      <w:tab/>
    </w:r>
    <w:r>
      <w:tab/>
    </w:r>
    <w:r>
      <w:tab/>
    </w:r>
    <w:sdt>
      <w:sdtPr>
        <w:id w:val="-15929288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78E7" w14:textId="77777777" w:rsidR="006E6333" w:rsidRPr="00454019" w:rsidRDefault="00A01324"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1E5E" w14:textId="77777777" w:rsidR="00D146FA" w:rsidRDefault="00D146FA" w:rsidP="00AB1E9A">
      <w:pPr>
        <w:spacing w:after="0" w:line="240" w:lineRule="auto"/>
      </w:pPr>
      <w:r>
        <w:separator/>
      </w:r>
    </w:p>
  </w:footnote>
  <w:footnote w:type="continuationSeparator" w:id="0">
    <w:p w14:paraId="7B558639" w14:textId="77777777" w:rsidR="00D146FA" w:rsidRDefault="00D146FA" w:rsidP="00AB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AF4E" w14:textId="77777777" w:rsidR="009E1C84" w:rsidRDefault="009E1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50F2" w14:textId="77777777" w:rsidR="009E1C84" w:rsidRDefault="009E1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427C" w14:textId="30F7F6C0" w:rsidR="00D87BDB" w:rsidRDefault="00D87B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5D8B" w14:textId="77777777" w:rsidR="006E6333" w:rsidRDefault="00A01324">
    <w:pPr>
      <w:pStyle w:val="Header"/>
    </w:pPr>
    <w:sdt>
      <w:sdtPr>
        <w:id w:val="36179282"/>
        <w:docPartObj>
          <w:docPartGallery w:val="Watermarks"/>
          <w:docPartUnique/>
        </w:docPartObj>
      </w:sdtPr>
      <w:sdtEndPr/>
      <w:sdtContent>
        <w:r w:rsidR="00AB1E9A">
          <w:rPr>
            <w:noProof/>
            <w:lang w:eastAsia="en-AU"/>
          </w:rPr>
          <mc:AlternateContent>
            <mc:Choice Requires="wps">
              <w:drawing>
                <wp:anchor distT="0" distB="0" distL="114300" distR="114300" simplePos="0" relativeHeight="251657216" behindDoc="1" locked="0" layoutInCell="0" allowOverlap="1" wp14:anchorId="1F9F3926" wp14:editId="5BAF0AA8">
                  <wp:simplePos x="0" y="0"/>
                  <wp:positionH relativeFrom="margin">
                    <wp:align>center</wp:align>
                  </wp:positionH>
                  <wp:positionV relativeFrom="margin">
                    <wp:align>center</wp:align>
                  </wp:positionV>
                  <wp:extent cx="5237480" cy="3142615"/>
                  <wp:effectExtent l="0" t="1143000" r="0" b="657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9F3926" id="_x0000_t202" coordsize="21600,21600" o:spt="202" path="m,l,21600r21600,l21600,xe">
                  <v:stroke joinstyle="miter"/>
                  <v:path gradientshapeok="t" o:connecttype="rect"/>
                </v:shapetype>
                <v:shape id="Text Box 2" o:spid="_x0000_s1026" type="#_x0000_t202" alt="&quot;&quot;"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5AECFE2" w14:textId="77777777" w:rsidR="00AB1E9A" w:rsidRDefault="00AB1E9A" w:rsidP="00AB1E9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5"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6" w15:restartNumberingAfterBreak="0">
    <w:nsid w:val="1FDE4E99"/>
    <w:multiLevelType w:val="hybridMultilevel"/>
    <w:tmpl w:val="B198B052"/>
    <w:lvl w:ilvl="0" w:tplc="C4F0BFA0">
      <w:start w:val="1"/>
      <w:numFmt w:val="bullet"/>
      <w:lvlText w:val=""/>
      <w:lvlJc w:val="left"/>
      <w:pPr>
        <w:ind w:left="360" w:hanging="360"/>
      </w:pPr>
      <w:rPr>
        <w:rFonts w:ascii="Symbol" w:hAnsi="Symbol"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D80455"/>
    <w:multiLevelType w:val="hybridMultilevel"/>
    <w:tmpl w:val="D35CEBF0"/>
    <w:lvl w:ilvl="0" w:tplc="8090911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0"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1"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1A46B0"/>
    <w:multiLevelType w:val="hybridMultilevel"/>
    <w:tmpl w:val="489009C4"/>
    <w:lvl w:ilvl="0" w:tplc="159E9392">
      <w:start w:val="1"/>
      <w:numFmt w:val="bullet"/>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C177A54"/>
    <w:multiLevelType w:val="hybridMultilevel"/>
    <w:tmpl w:val="544AFC38"/>
    <w:lvl w:ilvl="0" w:tplc="159E9392">
      <w:start w:val="1"/>
      <w:numFmt w:val="bullet"/>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9C66310"/>
    <w:multiLevelType w:val="hybridMultilevel"/>
    <w:tmpl w:val="60FABF76"/>
    <w:lvl w:ilvl="0" w:tplc="672EC532">
      <w:start w:val="1"/>
      <w:numFmt w:val="bullet"/>
      <w:lvlText w:val=""/>
      <w:lvlJc w:val="left"/>
      <w:pPr>
        <w:ind w:left="360" w:hanging="360"/>
      </w:pPr>
      <w:rPr>
        <w:rFonts w:ascii="Symbol" w:hAnsi="Symbol" w:hint="default"/>
        <w:color w:val="auto"/>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9612E8"/>
    <w:multiLevelType w:val="hybridMultilevel"/>
    <w:tmpl w:val="286899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AB60EB"/>
    <w:multiLevelType w:val="hybridMultilevel"/>
    <w:tmpl w:val="A52E88FA"/>
    <w:lvl w:ilvl="0" w:tplc="0C090001">
      <w:start w:val="1"/>
      <w:numFmt w:val="bullet"/>
      <w:lvlText w:val=""/>
      <w:lvlJc w:val="left"/>
      <w:pPr>
        <w:ind w:left="1080" w:hanging="720"/>
      </w:pPr>
      <w:rPr>
        <w:rFonts w:ascii="Symbol" w:hAnsi="Symbol"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315EB9"/>
    <w:multiLevelType w:val="hybridMultilevel"/>
    <w:tmpl w:val="2E0E41A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0"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2" w15:restartNumberingAfterBreak="0">
    <w:nsid w:val="5A194004"/>
    <w:multiLevelType w:val="hybridMultilevel"/>
    <w:tmpl w:val="4312992A"/>
    <w:lvl w:ilvl="0" w:tplc="0C090001">
      <w:start w:val="1"/>
      <w:numFmt w:val="bullet"/>
      <w:lvlText w:val=""/>
      <w:lvlJc w:val="left"/>
      <w:pPr>
        <w:ind w:left="720" w:hanging="360"/>
      </w:pPr>
      <w:rPr>
        <w:rFonts w:ascii="Symbol" w:hAnsi="Symbol" w:hint="default"/>
        <w:b w:val="0"/>
        <w:i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4" w15:restartNumberingAfterBreak="0">
    <w:nsid w:val="5DC77000"/>
    <w:multiLevelType w:val="hybridMultilevel"/>
    <w:tmpl w:val="39221EF4"/>
    <w:lvl w:ilvl="0" w:tplc="D84C6186">
      <w:start w:val="1"/>
      <w:numFmt w:val="decimal"/>
      <w:lvlText w:val="%1."/>
      <w:lvlJc w:val="left"/>
      <w:pPr>
        <w:ind w:left="720" w:hanging="360"/>
      </w:pPr>
      <w:rPr>
        <w:rFonts w:asciiTheme="minorHAnsi" w:hAnsiTheme="minorHAnsi" w:cstheme="minorHAnsi" w:hint="default"/>
        <w:b w:val="0"/>
        <w:i w:val="0"/>
        <w:color w:val="auto"/>
      </w:rPr>
    </w:lvl>
    <w:lvl w:ilvl="1" w:tplc="A358EB94">
      <w:start w:val="1"/>
      <w:numFmt w:val="lowerLetter"/>
      <w:lvlText w:val="(%2)"/>
      <w:lvlJc w:val="left"/>
      <w:pPr>
        <w:ind w:left="1232" w:hanging="360"/>
      </w:pPr>
      <w:rPr>
        <w:rFonts w:hint="default"/>
        <w:i w:val="0"/>
      </w:rPr>
    </w:lvl>
    <w:lvl w:ilvl="2" w:tplc="3934E8A2">
      <w:start w:val="3"/>
      <w:numFmt w:val="bullet"/>
      <w:lvlText w:val="-"/>
      <w:lvlJc w:val="left"/>
      <w:pPr>
        <w:ind w:left="1952" w:hanging="180"/>
      </w:pPr>
      <w:rPr>
        <w:rFonts w:ascii="Times New Roman" w:eastAsia="Times New Roman" w:hAnsi="Times New Roman" w:hint="default"/>
      </w:rPr>
    </w:lvl>
    <w:lvl w:ilvl="3" w:tplc="0C09000F">
      <w:start w:val="1"/>
      <w:numFmt w:val="decimal"/>
      <w:lvlText w:val="%4."/>
      <w:lvlJc w:val="left"/>
      <w:pPr>
        <w:ind w:left="2672" w:hanging="360"/>
      </w:pPr>
    </w:lvl>
    <w:lvl w:ilvl="4" w:tplc="0C090019" w:tentative="1">
      <w:start w:val="1"/>
      <w:numFmt w:val="lowerLetter"/>
      <w:lvlText w:val="%5."/>
      <w:lvlJc w:val="left"/>
      <w:pPr>
        <w:ind w:left="3392" w:hanging="360"/>
      </w:pPr>
    </w:lvl>
    <w:lvl w:ilvl="5" w:tplc="0C09001B" w:tentative="1">
      <w:start w:val="1"/>
      <w:numFmt w:val="lowerRoman"/>
      <w:lvlText w:val="%6."/>
      <w:lvlJc w:val="right"/>
      <w:pPr>
        <w:ind w:left="4112" w:hanging="180"/>
      </w:pPr>
    </w:lvl>
    <w:lvl w:ilvl="6" w:tplc="0C09000F" w:tentative="1">
      <w:start w:val="1"/>
      <w:numFmt w:val="decimal"/>
      <w:lvlText w:val="%7."/>
      <w:lvlJc w:val="left"/>
      <w:pPr>
        <w:ind w:left="4832" w:hanging="360"/>
      </w:pPr>
    </w:lvl>
    <w:lvl w:ilvl="7" w:tplc="0C090019" w:tentative="1">
      <w:start w:val="1"/>
      <w:numFmt w:val="lowerLetter"/>
      <w:lvlText w:val="%8."/>
      <w:lvlJc w:val="left"/>
      <w:pPr>
        <w:ind w:left="5552" w:hanging="360"/>
      </w:pPr>
    </w:lvl>
    <w:lvl w:ilvl="8" w:tplc="0C09001B" w:tentative="1">
      <w:start w:val="1"/>
      <w:numFmt w:val="lowerRoman"/>
      <w:lvlText w:val="%9."/>
      <w:lvlJc w:val="right"/>
      <w:pPr>
        <w:ind w:left="6272" w:hanging="180"/>
      </w:pPr>
    </w:lvl>
  </w:abstractNum>
  <w:abstractNum w:abstractNumId="25"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7"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28"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9"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985042"/>
    <w:multiLevelType w:val="hybridMultilevel"/>
    <w:tmpl w:val="7AD267B0"/>
    <w:lvl w:ilvl="0" w:tplc="8BBC4E64">
      <w:start w:val="1"/>
      <w:numFmt w:val="bullet"/>
      <w:lvlText w:val=""/>
      <w:lvlJc w:val="left"/>
      <w:pPr>
        <w:ind w:left="360" w:hanging="360"/>
      </w:pPr>
      <w:rPr>
        <w:rFonts w:ascii="Symbol" w:hAnsi="Symbol" w:hint="default"/>
        <w:color w:val="auto"/>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BCC3E01"/>
    <w:multiLevelType w:val="hybridMultilevel"/>
    <w:tmpl w:val="F500B2F4"/>
    <w:lvl w:ilvl="0" w:tplc="0C090001">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7020CD"/>
    <w:multiLevelType w:val="hybridMultilevel"/>
    <w:tmpl w:val="1BB66B02"/>
    <w:lvl w:ilvl="0" w:tplc="80909116">
      <w:start w:val="1"/>
      <w:numFmt w:val="bullet"/>
      <w:lvlText w:val="-"/>
      <w:lvlJc w:val="left"/>
      <w:pPr>
        <w:ind w:left="720" w:hanging="360"/>
      </w:pPr>
      <w:rPr>
        <w:rFonts w:ascii="Arial" w:hAnsi="Arial" w:hint="default"/>
        <w:b w:val="0"/>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A73F33"/>
    <w:multiLevelType w:val="hybridMultilevel"/>
    <w:tmpl w:val="D7A0A3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9DF2090"/>
    <w:multiLevelType w:val="hybridMultilevel"/>
    <w:tmpl w:val="CFF43910"/>
    <w:lvl w:ilvl="0" w:tplc="159E9392">
      <w:start w:val="1"/>
      <w:numFmt w:val="bullet"/>
      <w:lvlText w:val=""/>
      <w:lvlJc w:val="left"/>
      <w:pPr>
        <w:ind w:left="360" w:hanging="360"/>
      </w:pPr>
      <w:rPr>
        <w:rFonts w:ascii="Symbol" w:hAnsi="Symbol" w:hint="default"/>
        <w:color w:val="0070C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7" w15:restartNumberingAfterBreak="0">
    <w:nsid w:val="7EC34424"/>
    <w:multiLevelType w:val="hybridMultilevel"/>
    <w:tmpl w:val="3F3C5D12"/>
    <w:lvl w:ilvl="0" w:tplc="174E7FA4">
      <w:start w:val="1"/>
      <w:numFmt w:val="lowerRoman"/>
      <w:lvlText w:val="(%1)"/>
      <w:lvlJc w:val="left"/>
      <w:pPr>
        <w:ind w:left="1080" w:hanging="720"/>
      </w:pPr>
      <w:rPr>
        <w:rFonts w:hint="default"/>
        <w:b w:val="0"/>
        <w:bCs/>
        <w:color w:val="FF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0457835">
    <w:abstractNumId w:val="23"/>
  </w:num>
  <w:num w:numId="2" w16cid:durableId="1232733345">
    <w:abstractNumId w:val="36"/>
  </w:num>
  <w:num w:numId="3" w16cid:durableId="406002358">
    <w:abstractNumId w:val="5"/>
  </w:num>
  <w:num w:numId="4" w16cid:durableId="1533617736">
    <w:abstractNumId w:val="9"/>
  </w:num>
  <w:num w:numId="5" w16cid:durableId="902957358">
    <w:abstractNumId w:val="4"/>
  </w:num>
  <w:num w:numId="6" w16cid:durableId="2092384200">
    <w:abstractNumId w:val="27"/>
  </w:num>
  <w:num w:numId="7" w16cid:durableId="53745767">
    <w:abstractNumId w:val="20"/>
  </w:num>
  <w:num w:numId="8" w16cid:durableId="1453094716">
    <w:abstractNumId w:val="37"/>
  </w:num>
  <w:num w:numId="9" w16cid:durableId="1167863280">
    <w:abstractNumId w:val="6"/>
  </w:num>
  <w:num w:numId="10" w16cid:durableId="1259213755">
    <w:abstractNumId w:val="3"/>
  </w:num>
  <w:num w:numId="11" w16cid:durableId="2056079953">
    <w:abstractNumId w:val="24"/>
  </w:num>
  <w:num w:numId="12" w16cid:durableId="544029264">
    <w:abstractNumId w:val="26"/>
  </w:num>
  <w:num w:numId="13" w16cid:durableId="749472827">
    <w:abstractNumId w:val="2"/>
  </w:num>
  <w:num w:numId="14" w16cid:durableId="639072140">
    <w:abstractNumId w:val="21"/>
  </w:num>
  <w:num w:numId="15" w16cid:durableId="1559434000">
    <w:abstractNumId w:val="10"/>
  </w:num>
  <w:num w:numId="16" w16cid:durableId="1273904522">
    <w:abstractNumId w:val="8"/>
  </w:num>
  <w:num w:numId="17" w16cid:durableId="537855028">
    <w:abstractNumId w:val="16"/>
  </w:num>
  <w:num w:numId="18" w16cid:durableId="1732652350">
    <w:abstractNumId w:val="0"/>
  </w:num>
  <w:num w:numId="19" w16cid:durableId="1435397942">
    <w:abstractNumId w:val="1"/>
  </w:num>
  <w:num w:numId="20" w16cid:durableId="474378813">
    <w:abstractNumId w:val="28"/>
  </w:num>
  <w:num w:numId="21" w16cid:durableId="491407935">
    <w:abstractNumId w:val="19"/>
  </w:num>
  <w:num w:numId="22" w16cid:durableId="2037273206">
    <w:abstractNumId w:val="25"/>
  </w:num>
  <w:num w:numId="23" w16cid:durableId="893156417">
    <w:abstractNumId w:val="33"/>
  </w:num>
  <w:num w:numId="24" w16cid:durableId="1114248627">
    <w:abstractNumId w:val="11"/>
  </w:num>
  <w:num w:numId="25" w16cid:durableId="1615408434">
    <w:abstractNumId w:val="29"/>
  </w:num>
  <w:num w:numId="26" w16cid:durableId="1999922752">
    <w:abstractNumId w:val="18"/>
  </w:num>
  <w:num w:numId="27" w16cid:durableId="1730807869">
    <w:abstractNumId w:val="15"/>
  </w:num>
  <w:num w:numId="28" w16cid:durableId="1537738708">
    <w:abstractNumId w:val="34"/>
  </w:num>
  <w:num w:numId="29" w16cid:durableId="664359251">
    <w:abstractNumId w:val="17"/>
  </w:num>
  <w:num w:numId="30" w16cid:durableId="1371952712">
    <w:abstractNumId w:val="31"/>
  </w:num>
  <w:num w:numId="31" w16cid:durableId="703407351">
    <w:abstractNumId w:val="35"/>
  </w:num>
  <w:num w:numId="32" w16cid:durableId="491217624">
    <w:abstractNumId w:val="12"/>
  </w:num>
  <w:num w:numId="33" w16cid:durableId="257836228">
    <w:abstractNumId w:val="13"/>
  </w:num>
  <w:num w:numId="34" w16cid:durableId="1822504200">
    <w:abstractNumId w:val="14"/>
  </w:num>
  <w:num w:numId="35" w16cid:durableId="1902062427">
    <w:abstractNumId w:val="30"/>
  </w:num>
  <w:num w:numId="36" w16cid:durableId="1325352656">
    <w:abstractNumId w:val="22"/>
  </w:num>
  <w:num w:numId="37" w16cid:durableId="275841205">
    <w:abstractNumId w:val="32"/>
  </w:num>
  <w:num w:numId="38" w16cid:durableId="2147309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2BEA"/>
    <w:rsid w:val="00020F4E"/>
    <w:rsid w:val="00033660"/>
    <w:rsid w:val="00040B1D"/>
    <w:rsid w:val="0004108C"/>
    <w:rsid w:val="000419A2"/>
    <w:rsid w:val="000422C7"/>
    <w:rsid w:val="00054CFC"/>
    <w:rsid w:val="00063CFB"/>
    <w:rsid w:val="0007525C"/>
    <w:rsid w:val="00081EB3"/>
    <w:rsid w:val="000A0A44"/>
    <w:rsid w:val="000A59B9"/>
    <w:rsid w:val="000B0D08"/>
    <w:rsid w:val="000C2A25"/>
    <w:rsid w:val="000D255F"/>
    <w:rsid w:val="000E2FCA"/>
    <w:rsid w:val="000E6CD1"/>
    <w:rsid w:val="001171C5"/>
    <w:rsid w:val="0012437A"/>
    <w:rsid w:val="00142040"/>
    <w:rsid w:val="00152C0E"/>
    <w:rsid w:val="00155163"/>
    <w:rsid w:val="00157914"/>
    <w:rsid w:val="00175DFF"/>
    <w:rsid w:val="00187C62"/>
    <w:rsid w:val="001904AE"/>
    <w:rsid w:val="001A3C5B"/>
    <w:rsid w:val="001A706E"/>
    <w:rsid w:val="001B598A"/>
    <w:rsid w:val="001B6118"/>
    <w:rsid w:val="001D1431"/>
    <w:rsid w:val="0020133F"/>
    <w:rsid w:val="00201EFF"/>
    <w:rsid w:val="00217AE9"/>
    <w:rsid w:val="002205B6"/>
    <w:rsid w:val="00240482"/>
    <w:rsid w:val="0026179F"/>
    <w:rsid w:val="0026189C"/>
    <w:rsid w:val="0026626B"/>
    <w:rsid w:val="00266C6C"/>
    <w:rsid w:val="00267562"/>
    <w:rsid w:val="00271AF8"/>
    <w:rsid w:val="002867DD"/>
    <w:rsid w:val="00294299"/>
    <w:rsid w:val="002A3FAE"/>
    <w:rsid w:val="002B46A1"/>
    <w:rsid w:val="002B5FC4"/>
    <w:rsid w:val="002C127A"/>
    <w:rsid w:val="002C291D"/>
    <w:rsid w:val="002D1448"/>
    <w:rsid w:val="00301DFE"/>
    <w:rsid w:val="00326632"/>
    <w:rsid w:val="00333BB5"/>
    <w:rsid w:val="00334D67"/>
    <w:rsid w:val="0034313B"/>
    <w:rsid w:val="0034753B"/>
    <w:rsid w:val="00350EB0"/>
    <w:rsid w:val="00382310"/>
    <w:rsid w:val="00383BEA"/>
    <w:rsid w:val="003846BB"/>
    <w:rsid w:val="003B717C"/>
    <w:rsid w:val="003B7B60"/>
    <w:rsid w:val="003C4179"/>
    <w:rsid w:val="003D6A78"/>
    <w:rsid w:val="003E59E8"/>
    <w:rsid w:val="003F4E9C"/>
    <w:rsid w:val="00413BA4"/>
    <w:rsid w:val="004178BB"/>
    <w:rsid w:val="004263E6"/>
    <w:rsid w:val="004268CA"/>
    <w:rsid w:val="00427B6F"/>
    <w:rsid w:val="00437760"/>
    <w:rsid w:val="00473435"/>
    <w:rsid w:val="0049505E"/>
    <w:rsid w:val="0049630A"/>
    <w:rsid w:val="004A3117"/>
    <w:rsid w:val="004A62CC"/>
    <w:rsid w:val="004B487F"/>
    <w:rsid w:val="004B755E"/>
    <w:rsid w:val="004D430F"/>
    <w:rsid w:val="004F1262"/>
    <w:rsid w:val="005034CE"/>
    <w:rsid w:val="005113B7"/>
    <w:rsid w:val="005151DF"/>
    <w:rsid w:val="00516149"/>
    <w:rsid w:val="005228A6"/>
    <w:rsid w:val="0052652A"/>
    <w:rsid w:val="00526EB9"/>
    <w:rsid w:val="005335D2"/>
    <w:rsid w:val="0055211C"/>
    <w:rsid w:val="0055403D"/>
    <w:rsid w:val="00577EAF"/>
    <w:rsid w:val="005B181D"/>
    <w:rsid w:val="005D7824"/>
    <w:rsid w:val="005F642D"/>
    <w:rsid w:val="0061461B"/>
    <w:rsid w:val="00620CAF"/>
    <w:rsid w:val="00630444"/>
    <w:rsid w:val="00632129"/>
    <w:rsid w:val="00653CAE"/>
    <w:rsid w:val="006542D6"/>
    <w:rsid w:val="006565E4"/>
    <w:rsid w:val="006755B5"/>
    <w:rsid w:val="00681A40"/>
    <w:rsid w:val="006D16C5"/>
    <w:rsid w:val="006D7425"/>
    <w:rsid w:val="00742EE8"/>
    <w:rsid w:val="0074404B"/>
    <w:rsid w:val="00770828"/>
    <w:rsid w:val="007800CD"/>
    <w:rsid w:val="00784652"/>
    <w:rsid w:val="00786258"/>
    <w:rsid w:val="007A0F00"/>
    <w:rsid w:val="007E0D97"/>
    <w:rsid w:val="007F4372"/>
    <w:rsid w:val="007F506A"/>
    <w:rsid w:val="00800358"/>
    <w:rsid w:val="0080047F"/>
    <w:rsid w:val="00802BAD"/>
    <w:rsid w:val="00815B58"/>
    <w:rsid w:val="00817B96"/>
    <w:rsid w:val="008200BD"/>
    <w:rsid w:val="0082110B"/>
    <w:rsid w:val="00826E8F"/>
    <w:rsid w:val="00842A17"/>
    <w:rsid w:val="00851C36"/>
    <w:rsid w:val="0085339B"/>
    <w:rsid w:val="00882156"/>
    <w:rsid w:val="008B4BE8"/>
    <w:rsid w:val="008B7B00"/>
    <w:rsid w:val="008D2E06"/>
    <w:rsid w:val="008E53A6"/>
    <w:rsid w:val="008F03E1"/>
    <w:rsid w:val="008F209F"/>
    <w:rsid w:val="008F79C8"/>
    <w:rsid w:val="0094635A"/>
    <w:rsid w:val="009549D7"/>
    <w:rsid w:val="00957ECA"/>
    <w:rsid w:val="00960666"/>
    <w:rsid w:val="00993166"/>
    <w:rsid w:val="0099394D"/>
    <w:rsid w:val="009B5199"/>
    <w:rsid w:val="009C72A9"/>
    <w:rsid w:val="009D06AC"/>
    <w:rsid w:val="009D2D37"/>
    <w:rsid w:val="009D7C42"/>
    <w:rsid w:val="009E1C84"/>
    <w:rsid w:val="00A01324"/>
    <w:rsid w:val="00A501B9"/>
    <w:rsid w:val="00A51B79"/>
    <w:rsid w:val="00A51C25"/>
    <w:rsid w:val="00A65D01"/>
    <w:rsid w:val="00A8030F"/>
    <w:rsid w:val="00A84FDB"/>
    <w:rsid w:val="00A902B8"/>
    <w:rsid w:val="00A97FC9"/>
    <w:rsid w:val="00AA12B0"/>
    <w:rsid w:val="00AB1A48"/>
    <w:rsid w:val="00AB1E9A"/>
    <w:rsid w:val="00AC0B33"/>
    <w:rsid w:val="00AC6684"/>
    <w:rsid w:val="00AD114D"/>
    <w:rsid w:val="00AF15E3"/>
    <w:rsid w:val="00B17C13"/>
    <w:rsid w:val="00B24B02"/>
    <w:rsid w:val="00B317EC"/>
    <w:rsid w:val="00B40D19"/>
    <w:rsid w:val="00B62796"/>
    <w:rsid w:val="00B66400"/>
    <w:rsid w:val="00B91711"/>
    <w:rsid w:val="00BB035C"/>
    <w:rsid w:val="00BB3A96"/>
    <w:rsid w:val="00BC0A16"/>
    <w:rsid w:val="00BE5C9D"/>
    <w:rsid w:val="00BF687C"/>
    <w:rsid w:val="00C0086E"/>
    <w:rsid w:val="00C03CEF"/>
    <w:rsid w:val="00C06A49"/>
    <w:rsid w:val="00C13252"/>
    <w:rsid w:val="00C23879"/>
    <w:rsid w:val="00C257F0"/>
    <w:rsid w:val="00C25E2A"/>
    <w:rsid w:val="00C334B1"/>
    <w:rsid w:val="00C6632C"/>
    <w:rsid w:val="00C763E1"/>
    <w:rsid w:val="00C77A03"/>
    <w:rsid w:val="00C82A3D"/>
    <w:rsid w:val="00C9084A"/>
    <w:rsid w:val="00C93011"/>
    <w:rsid w:val="00CA093A"/>
    <w:rsid w:val="00CC1212"/>
    <w:rsid w:val="00CC6E3A"/>
    <w:rsid w:val="00CD567A"/>
    <w:rsid w:val="00CD795C"/>
    <w:rsid w:val="00CE6886"/>
    <w:rsid w:val="00D01729"/>
    <w:rsid w:val="00D02106"/>
    <w:rsid w:val="00D03554"/>
    <w:rsid w:val="00D05F81"/>
    <w:rsid w:val="00D12E12"/>
    <w:rsid w:val="00D146FA"/>
    <w:rsid w:val="00D33239"/>
    <w:rsid w:val="00D4485F"/>
    <w:rsid w:val="00D452C3"/>
    <w:rsid w:val="00D526A6"/>
    <w:rsid w:val="00D56132"/>
    <w:rsid w:val="00D5690D"/>
    <w:rsid w:val="00D62314"/>
    <w:rsid w:val="00D87BDB"/>
    <w:rsid w:val="00DB3A00"/>
    <w:rsid w:val="00DC44B6"/>
    <w:rsid w:val="00DD559A"/>
    <w:rsid w:val="00E043B6"/>
    <w:rsid w:val="00E15218"/>
    <w:rsid w:val="00E3214B"/>
    <w:rsid w:val="00E430CC"/>
    <w:rsid w:val="00E46599"/>
    <w:rsid w:val="00E7272B"/>
    <w:rsid w:val="00E87FC7"/>
    <w:rsid w:val="00E9201A"/>
    <w:rsid w:val="00E9726A"/>
    <w:rsid w:val="00EA1A4A"/>
    <w:rsid w:val="00EA7A34"/>
    <w:rsid w:val="00EB38B6"/>
    <w:rsid w:val="00EE11F1"/>
    <w:rsid w:val="00F27EAD"/>
    <w:rsid w:val="00F6543E"/>
    <w:rsid w:val="00F67677"/>
    <w:rsid w:val="00F75702"/>
    <w:rsid w:val="00F7681B"/>
    <w:rsid w:val="00F77D98"/>
    <w:rsid w:val="00F96B08"/>
    <w:rsid w:val="00F9762C"/>
    <w:rsid w:val="00FA47E5"/>
    <w:rsid w:val="00FA7010"/>
    <w:rsid w:val="00FB0CA2"/>
    <w:rsid w:val="00FB12D5"/>
    <w:rsid w:val="00FB40C2"/>
    <w:rsid w:val="00FC4B05"/>
    <w:rsid w:val="00FD3C9C"/>
    <w:rsid w:val="00FE4710"/>
    <w:rsid w:val="00FF350B"/>
    <w:rsid w:val="0511FA31"/>
    <w:rsid w:val="0A9DF1EB"/>
    <w:rsid w:val="2192250D"/>
    <w:rsid w:val="2A75AE5E"/>
    <w:rsid w:val="34871E7D"/>
    <w:rsid w:val="3C5F0C6F"/>
    <w:rsid w:val="3CCC16DC"/>
    <w:rsid w:val="43AFDC57"/>
    <w:rsid w:val="4861AE90"/>
    <w:rsid w:val="51E2B691"/>
    <w:rsid w:val="588B5F5F"/>
    <w:rsid w:val="5C935BFE"/>
    <w:rsid w:val="6958E7C3"/>
    <w:rsid w:val="6989A69D"/>
    <w:rsid w:val="6F2312E8"/>
    <w:rsid w:val="71C0B572"/>
    <w:rsid w:val="7A369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A6BB"/>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50604">
      <w:bodyDiv w:val="1"/>
      <w:marLeft w:val="0"/>
      <w:marRight w:val="0"/>
      <w:marTop w:val="0"/>
      <w:marBottom w:val="0"/>
      <w:divBdr>
        <w:top w:val="none" w:sz="0" w:space="0" w:color="auto"/>
        <w:left w:val="none" w:sz="0" w:space="0" w:color="auto"/>
        <w:bottom w:val="none" w:sz="0" w:space="0" w:color="auto"/>
        <w:right w:val="none" w:sz="0" w:space="0" w:color="auto"/>
      </w:divBdr>
    </w:div>
    <w:div w:id="3084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7c9846-b409-431d-9ec7-76b30568bf70">
      <Value>435</Value>
      <Value>162</Value>
      <Value>14</Value>
    </TaxCatchAll>
    <lcf76f155ced4ddcb4097134ff3c332f xmlns="811bef87-b317-4239-89d2-1f3b6fba65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5" ma:contentTypeDescription="Create a new document." ma:contentTypeScope="" ma:versionID="c7366316ea0349a62570a7f12c949c0e">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771781f412e5e9816128404a881dbf1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37A63-46D0-4DB0-8D2D-8F77E3E8EB1E}">
  <ds:schemaRefs>
    <ds:schemaRef ds:uri="http://schemas.openxmlformats.org/officeDocument/2006/bibliography"/>
  </ds:schemaRefs>
</ds:datastoreItem>
</file>

<file path=customXml/itemProps2.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3.xml><?xml version="1.0" encoding="utf-8"?>
<ds:datastoreItem xmlns:ds="http://schemas.openxmlformats.org/officeDocument/2006/customXml" ds:itemID="{37107FAD-4374-4456-93FD-DD6E8CA41441}">
  <ds:schemaRefs>
    <ds:schemaRef ds:uri="811bef87-b317-4239-89d2-1f3b6fba6559"/>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e7c9846-b409-431d-9ec7-76b30568bf70"/>
    <ds:schemaRef ds:uri="http://www.w3.org/XML/1998/namespace"/>
    <ds:schemaRef ds:uri="http://purl.org/dc/terms/"/>
  </ds:schemaRefs>
</ds:datastoreItem>
</file>

<file path=customXml/itemProps4.xml><?xml version="1.0" encoding="utf-8"?>
<ds:datastoreItem xmlns:ds="http://schemas.openxmlformats.org/officeDocument/2006/customXml" ds:itemID="{34A3151C-E65C-49B1-9150-8E2FE2617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3563</Words>
  <Characters>22703</Characters>
  <Application>Microsoft Office Word</Application>
  <DocSecurity>0</DocSecurity>
  <Lines>1081</Lines>
  <Paragraphs>416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15</cp:revision>
  <cp:lastPrinted>2023-01-09T01:50:00Z</cp:lastPrinted>
  <dcterms:created xsi:type="dcterms:W3CDTF">2023-01-10T00:25:00Z</dcterms:created>
  <dcterms:modified xsi:type="dcterms:W3CDTF">2023-06-13T04:39:00Z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MSIP_Label_79d889eb-932f-4752-8739-64d25806ef64_Enabled">
    <vt:lpwstr>true</vt:lpwstr>
  </property>
  <property fmtid="{D5CDD505-2E9C-101B-9397-08002B2CF9AE}" pid="4" name="MSIP_Label_79d889eb-932f-4752-8739-64d25806ef64_SetDate">
    <vt:lpwstr>2022-05-19T04:10:08Z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11978cda-8e8d-42c1-8fcf-dbc56bc7bf3a</vt:lpwstr>
  </property>
  <property fmtid="{D5CDD505-2E9C-101B-9397-08002B2CF9AE}" pid="9" name="MSIP_Label_79d889eb-932f-4752-8739-64d25806ef64_ContentBits">
    <vt:lpwstr>0</vt:lpwstr>
  </property>
  <property fmtid="{D5CDD505-2E9C-101B-9397-08002B2CF9AE}" pid="10" name="Business Service">
    <vt:lpwstr>14</vt:lpwstr>
  </property>
  <property fmtid="{D5CDD505-2E9C-101B-9397-08002B2CF9AE}" pid="11" name="Topic">
    <vt:lpwstr>435</vt:lpwstr>
  </property>
  <property fmtid="{D5CDD505-2E9C-101B-9397-08002B2CF9AE}" pid="12" name="o0a9506388434e00ba942b05ff43e33c">
    <vt:lpwstr/>
  </property>
  <property fmtid="{D5CDD505-2E9C-101B-9397-08002B2CF9AE}" pid="13" name="Document_x0020_Set_x0020_Type">
    <vt:lpwstr/>
  </property>
  <property fmtid="{D5CDD505-2E9C-101B-9397-08002B2CF9AE}" pid="14" name="Sub Topic">
    <vt:lpwstr/>
  </property>
  <property fmtid="{D5CDD505-2E9C-101B-9397-08002B2CF9AE}" pid="15" name="Document Type">
    <vt:lpwstr>162;#Report|1ad5adb8-064d-4105-9351-466cdd9fc667</vt:lpwstr>
  </property>
  <property fmtid="{D5CDD505-2E9C-101B-9397-08002B2CF9AE}" pid="16" name="Document Set Type">
    <vt:lpwstr/>
  </property>
</Properties>
</file>