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76CB9" w14:textId="4674CA68" w:rsidR="00B923FD" w:rsidRDefault="00221D8F" w:rsidP="00B923FD">
      <w:r w:rsidRPr="00CA4815">
        <w:rPr>
          <w:b/>
          <w:noProof/>
          <w:color w:val="2B579A"/>
          <w:shd w:val="clear" w:color="auto" w:fill="E6E6E6"/>
        </w:rPr>
        <w:drawing>
          <wp:anchor distT="0" distB="0" distL="114300" distR="114300" simplePos="0" relativeHeight="251658240" behindDoc="1" locked="1" layoutInCell="1" allowOverlap="1" wp14:anchorId="4A1B45CD" wp14:editId="0F4B91A0">
            <wp:simplePos x="0" y="0"/>
            <wp:positionH relativeFrom="page">
              <wp:align>left</wp:align>
            </wp:positionH>
            <wp:positionV relativeFrom="page">
              <wp:align>top</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32B25D70" w14:textId="77777777" w:rsidR="00B923FD" w:rsidRDefault="00B923FD" w:rsidP="00EB4C2F">
      <w:pPr>
        <w:pStyle w:val="Subtitle"/>
      </w:pPr>
    </w:p>
    <w:p w14:paraId="1CE6D350" w14:textId="3FA69F5C" w:rsidR="007F27CE" w:rsidRDefault="00B923FD" w:rsidP="007F27CE">
      <w:pPr>
        <w:jc w:val="right"/>
        <w:rPr>
          <w:rFonts w:ascii="Segoe UI" w:hAnsi="Segoe UI" w:cs="Segoe UI"/>
          <w:color w:val="FFFFFF" w:themeColor="background1"/>
          <w:sz w:val="50"/>
          <w:szCs w:val="50"/>
        </w:rPr>
      </w:pPr>
      <w:r w:rsidRPr="007F27CE">
        <w:rPr>
          <w:rFonts w:ascii="Segoe UI" w:hAnsi="Segoe UI" w:cs="Segoe UI"/>
          <w:color w:val="FFFFFF" w:themeColor="background1"/>
          <w:sz w:val="50"/>
          <w:szCs w:val="50"/>
        </w:rPr>
        <w:t xml:space="preserve">Teacher Education </w:t>
      </w:r>
      <w:r w:rsidR="009D4557" w:rsidRPr="007F27CE">
        <w:rPr>
          <w:rFonts w:ascii="Segoe UI" w:hAnsi="Segoe UI" w:cs="Segoe UI"/>
          <w:color w:val="FFFFFF" w:themeColor="background1"/>
          <w:sz w:val="50"/>
          <w:szCs w:val="50"/>
        </w:rPr>
        <w:t xml:space="preserve">Expert </w:t>
      </w:r>
      <w:r w:rsidRPr="007F27CE">
        <w:rPr>
          <w:rFonts w:ascii="Segoe UI" w:hAnsi="Segoe UI" w:cs="Segoe UI"/>
          <w:color w:val="FFFFFF" w:themeColor="background1"/>
          <w:sz w:val="50"/>
          <w:szCs w:val="50"/>
        </w:rPr>
        <w:t>Panel</w:t>
      </w:r>
      <w:r w:rsidR="001C268B" w:rsidRPr="007F27CE">
        <w:rPr>
          <w:rFonts w:ascii="Segoe UI" w:hAnsi="Segoe UI" w:cs="Segoe UI"/>
          <w:color w:val="FFFFFF" w:themeColor="background1"/>
          <w:sz w:val="50"/>
          <w:szCs w:val="50"/>
        </w:rPr>
        <w:br/>
      </w:r>
    </w:p>
    <w:p w14:paraId="0600EC06" w14:textId="44EEEC2A" w:rsidR="00107D87" w:rsidRPr="007F27CE" w:rsidRDefault="2DD9DC9A" w:rsidP="007F27CE">
      <w:pPr>
        <w:jc w:val="right"/>
        <w:rPr>
          <w:rFonts w:ascii="Segoe UI" w:hAnsi="Segoe UI" w:cs="Segoe UI"/>
          <w:color w:val="FFFFFF" w:themeColor="background1"/>
          <w:sz w:val="50"/>
          <w:szCs w:val="50"/>
        </w:rPr>
        <w:sectPr w:rsidR="00107D87" w:rsidRPr="007F27CE" w:rsidSect="00221D8F">
          <w:headerReference w:type="even" r:id="rId12"/>
          <w:headerReference w:type="default" r:id="rId13"/>
          <w:footerReference w:type="even" r:id="rId14"/>
          <w:footerReference w:type="default" r:id="rId15"/>
          <w:headerReference w:type="first" r:id="rId16"/>
          <w:footerReference w:type="first" r:id="rId17"/>
          <w:pgSz w:w="11906" w:h="16838"/>
          <w:pgMar w:top="1814" w:right="1440" w:bottom="1440" w:left="1440" w:header="709" w:footer="709" w:gutter="0"/>
          <w:cols w:space="708"/>
          <w:docGrid w:linePitch="360"/>
        </w:sectPr>
      </w:pPr>
      <w:r w:rsidRPr="007F27CE">
        <w:rPr>
          <w:rFonts w:ascii="Segoe UI" w:hAnsi="Segoe UI" w:cs="Segoe UI"/>
          <w:color w:val="FFFFFF" w:themeColor="background1"/>
          <w:sz w:val="50"/>
          <w:szCs w:val="50"/>
        </w:rPr>
        <w:t xml:space="preserve"> </w:t>
      </w:r>
      <w:r w:rsidR="3775AF90" w:rsidRPr="007F27CE">
        <w:rPr>
          <w:rFonts w:ascii="Segoe UI" w:hAnsi="Segoe UI" w:cs="Segoe UI"/>
          <w:color w:val="FFFFFF" w:themeColor="background1"/>
          <w:sz w:val="50"/>
          <w:szCs w:val="50"/>
        </w:rPr>
        <w:t>Discussion</w:t>
      </w:r>
      <w:r w:rsidR="008B4553" w:rsidRPr="007F27CE">
        <w:rPr>
          <w:rFonts w:ascii="Segoe UI" w:hAnsi="Segoe UI" w:cs="Segoe UI"/>
          <w:color w:val="FFFFFF" w:themeColor="background1"/>
          <w:sz w:val="50"/>
          <w:szCs w:val="50"/>
        </w:rPr>
        <w:t xml:space="preserve"> Paper</w:t>
      </w:r>
    </w:p>
    <w:sdt>
      <w:sdtPr>
        <w:id w:val="627238239"/>
        <w:docPartObj>
          <w:docPartGallery w:val="Table of Contents"/>
          <w:docPartUnique/>
        </w:docPartObj>
      </w:sdtPr>
      <w:sdtEndPr/>
      <w:sdtContent>
        <w:p w14:paraId="1E9CE53F" w14:textId="635CBA3C" w:rsidR="00143685" w:rsidRDefault="00355C83">
          <w:pPr>
            <w:pStyle w:val="TOC1"/>
            <w:rPr>
              <w:rFonts w:eastAsiaTheme="minorEastAsia"/>
              <w:noProof/>
              <w:lang w:eastAsia="en-AU"/>
            </w:rPr>
          </w:pPr>
          <w:r>
            <w:fldChar w:fldCharType="begin"/>
          </w:r>
          <w:r>
            <w:instrText xml:space="preserve"> TOC \o "1-3" \h \z \u </w:instrText>
          </w:r>
          <w:r>
            <w:fldChar w:fldCharType="separate"/>
          </w:r>
          <w:hyperlink w:anchor="_Toc130217426" w:history="1">
            <w:r w:rsidR="00143685" w:rsidRPr="00832A39">
              <w:rPr>
                <w:rStyle w:val="Hyperlink"/>
                <w:rFonts w:asciiTheme="majorHAnsi" w:eastAsia="Times New Roman" w:hAnsiTheme="majorHAnsi"/>
                <w:b/>
                <w:noProof/>
                <w:lang w:eastAsia="en-AU"/>
              </w:rPr>
              <w:t>Introduction</w:t>
            </w:r>
            <w:r w:rsidR="00143685">
              <w:rPr>
                <w:noProof/>
                <w:webHidden/>
              </w:rPr>
              <w:tab/>
            </w:r>
            <w:r w:rsidR="00143685">
              <w:rPr>
                <w:noProof/>
                <w:webHidden/>
              </w:rPr>
              <w:fldChar w:fldCharType="begin"/>
            </w:r>
            <w:r w:rsidR="00143685">
              <w:rPr>
                <w:noProof/>
                <w:webHidden/>
              </w:rPr>
              <w:instrText xml:space="preserve"> PAGEREF _Toc130217426 \h </w:instrText>
            </w:r>
            <w:r w:rsidR="00143685">
              <w:rPr>
                <w:noProof/>
                <w:webHidden/>
              </w:rPr>
            </w:r>
            <w:r w:rsidR="00143685">
              <w:rPr>
                <w:noProof/>
                <w:webHidden/>
              </w:rPr>
              <w:fldChar w:fldCharType="separate"/>
            </w:r>
            <w:r w:rsidR="00665C13">
              <w:rPr>
                <w:noProof/>
                <w:webHidden/>
              </w:rPr>
              <w:t>4</w:t>
            </w:r>
            <w:r w:rsidR="00143685">
              <w:rPr>
                <w:noProof/>
                <w:webHidden/>
              </w:rPr>
              <w:fldChar w:fldCharType="end"/>
            </w:r>
          </w:hyperlink>
        </w:p>
        <w:p w14:paraId="04135D75" w14:textId="7791D7EF" w:rsidR="00143685" w:rsidRDefault="00665C13">
          <w:pPr>
            <w:pStyle w:val="TOC1"/>
            <w:rPr>
              <w:rFonts w:eastAsiaTheme="minorEastAsia"/>
              <w:noProof/>
              <w:lang w:eastAsia="en-AU"/>
            </w:rPr>
          </w:pPr>
          <w:hyperlink w:anchor="_Toc130217427" w:history="1">
            <w:r w:rsidR="00143685" w:rsidRPr="00832A39">
              <w:rPr>
                <w:rStyle w:val="Hyperlink"/>
                <w:rFonts w:asciiTheme="majorHAnsi" w:eastAsia="Times New Roman" w:hAnsiTheme="majorHAnsi"/>
                <w:b/>
                <w:noProof/>
                <w:lang w:eastAsia="en-AU"/>
              </w:rPr>
              <w:t>Reform Area 1: Strengthen ITE programs to deliver effective, classroom ready graduates</w:t>
            </w:r>
            <w:r w:rsidR="00143685">
              <w:rPr>
                <w:noProof/>
                <w:webHidden/>
              </w:rPr>
              <w:tab/>
            </w:r>
            <w:r w:rsidR="00143685">
              <w:rPr>
                <w:noProof/>
                <w:webHidden/>
              </w:rPr>
              <w:fldChar w:fldCharType="begin"/>
            </w:r>
            <w:r w:rsidR="00143685">
              <w:rPr>
                <w:noProof/>
                <w:webHidden/>
              </w:rPr>
              <w:instrText xml:space="preserve"> PAGEREF _Toc130217427 \h </w:instrText>
            </w:r>
            <w:r w:rsidR="00143685">
              <w:rPr>
                <w:noProof/>
                <w:webHidden/>
              </w:rPr>
            </w:r>
            <w:r w:rsidR="00143685">
              <w:rPr>
                <w:noProof/>
                <w:webHidden/>
              </w:rPr>
              <w:fldChar w:fldCharType="separate"/>
            </w:r>
            <w:r>
              <w:rPr>
                <w:noProof/>
                <w:webHidden/>
              </w:rPr>
              <w:t>5</w:t>
            </w:r>
            <w:r w:rsidR="00143685">
              <w:rPr>
                <w:noProof/>
                <w:webHidden/>
              </w:rPr>
              <w:fldChar w:fldCharType="end"/>
            </w:r>
          </w:hyperlink>
        </w:p>
        <w:p w14:paraId="75F5147D" w14:textId="2DC81FDA" w:rsidR="00143685" w:rsidRDefault="00665C13">
          <w:pPr>
            <w:pStyle w:val="TOC2"/>
            <w:tabs>
              <w:tab w:val="right" w:leader="dot" w:pos="9016"/>
            </w:tabs>
            <w:rPr>
              <w:rFonts w:eastAsiaTheme="minorEastAsia"/>
              <w:noProof/>
              <w:lang w:eastAsia="en-AU"/>
            </w:rPr>
          </w:pPr>
          <w:hyperlink w:anchor="_Toc130217428" w:history="1">
            <w:r w:rsidR="00143685" w:rsidRPr="00832A39">
              <w:rPr>
                <w:rStyle w:val="Hyperlink"/>
                <w:noProof/>
              </w:rPr>
              <w:t>Key findings</w:t>
            </w:r>
            <w:r w:rsidR="00143685">
              <w:rPr>
                <w:noProof/>
                <w:webHidden/>
              </w:rPr>
              <w:tab/>
            </w:r>
            <w:r w:rsidR="00143685">
              <w:rPr>
                <w:noProof/>
                <w:webHidden/>
              </w:rPr>
              <w:fldChar w:fldCharType="begin"/>
            </w:r>
            <w:r w:rsidR="00143685">
              <w:rPr>
                <w:noProof/>
                <w:webHidden/>
              </w:rPr>
              <w:instrText xml:space="preserve"> PAGEREF _Toc130217428 \h </w:instrText>
            </w:r>
            <w:r w:rsidR="00143685">
              <w:rPr>
                <w:noProof/>
                <w:webHidden/>
              </w:rPr>
            </w:r>
            <w:r w:rsidR="00143685">
              <w:rPr>
                <w:noProof/>
                <w:webHidden/>
              </w:rPr>
              <w:fldChar w:fldCharType="separate"/>
            </w:r>
            <w:r>
              <w:rPr>
                <w:noProof/>
                <w:webHidden/>
              </w:rPr>
              <w:t>5</w:t>
            </w:r>
            <w:r w:rsidR="00143685">
              <w:rPr>
                <w:noProof/>
                <w:webHidden/>
              </w:rPr>
              <w:fldChar w:fldCharType="end"/>
            </w:r>
          </w:hyperlink>
        </w:p>
        <w:p w14:paraId="561FE815" w14:textId="0A0624BC" w:rsidR="00143685" w:rsidRDefault="00665C13">
          <w:pPr>
            <w:pStyle w:val="TOC3"/>
            <w:tabs>
              <w:tab w:val="right" w:leader="dot" w:pos="9016"/>
            </w:tabs>
            <w:rPr>
              <w:rFonts w:eastAsiaTheme="minorEastAsia"/>
              <w:noProof/>
              <w:lang w:eastAsia="en-AU"/>
            </w:rPr>
          </w:pPr>
          <w:hyperlink w:anchor="_Toc130217429" w:history="1">
            <w:r w:rsidR="00143685" w:rsidRPr="00832A39">
              <w:rPr>
                <w:rStyle w:val="Hyperlink"/>
                <w:rFonts w:eastAsia="Times New Roman"/>
                <w:noProof/>
                <w:lang w:eastAsia="en-AU"/>
              </w:rPr>
              <w:t>1.1 Determining which evidence-based teaching practices to prioritise in ITE programs</w:t>
            </w:r>
            <w:r w:rsidR="00143685">
              <w:rPr>
                <w:noProof/>
                <w:webHidden/>
              </w:rPr>
              <w:tab/>
            </w:r>
            <w:r w:rsidR="00143685">
              <w:rPr>
                <w:noProof/>
                <w:webHidden/>
              </w:rPr>
              <w:fldChar w:fldCharType="begin"/>
            </w:r>
            <w:r w:rsidR="00143685">
              <w:rPr>
                <w:noProof/>
                <w:webHidden/>
              </w:rPr>
              <w:instrText xml:space="preserve"> PAGEREF _Toc130217429 \h </w:instrText>
            </w:r>
            <w:r w:rsidR="00143685">
              <w:rPr>
                <w:noProof/>
                <w:webHidden/>
              </w:rPr>
            </w:r>
            <w:r w:rsidR="00143685">
              <w:rPr>
                <w:noProof/>
                <w:webHidden/>
              </w:rPr>
              <w:fldChar w:fldCharType="separate"/>
            </w:r>
            <w:r>
              <w:rPr>
                <w:noProof/>
                <w:webHidden/>
              </w:rPr>
              <w:t>5</w:t>
            </w:r>
            <w:r w:rsidR="00143685">
              <w:rPr>
                <w:noProof/>
                <w:webHidden/>
              </w:rPr>
              <w:fldChar w:fldCharType="end"/>
            </w:r>
          </w:hyperlink>
        </w:p>
        <w:p w14:paraId="21176464" w14:textId="4F836D95" w:rsidR="00143685" w:rsidRDefault="00665C13">
          <w:pPr>
            <w:pStyle w:val="TOC3"/>
            <w:tabs>
              <w:tab w:val="right" w:leader="dot" w:pos="9016"/>
            </w:tabs>
            <w:rPr>
              <w:rFonts w:eastAsiaTheme="minorEastAsia"/>
              <w:noProof/>
              <w:lang w:eastAsia="en-AU"/>
            </w:rPr>
          </w:pPr>
          <w:hyperlink w:anchor="_Toc130217430" w:history="1">
            <w:r w:rsidR="00143685" w:rsidRPr="00832A39">
              <w:rPr>
                <w:rStyle w:val="Hyperlink"/>
                <w:rFonts w:eastAsia="Times New Roman"/>
                <w:noProof/>
                <w:lang w:eastAsia="en-AU"/>
              </w:rPr>
              <w:t>1.2 Core Content</w:t>
            </w:r>
            <w:r w:rsidR="00143685">
              <w:rPr>
                <w:noProof/>
                <w:webHidden/>
              </w:rPr>
              <w:tab/>
            </w:r>
            <w:r w:rsidR="00143685">
              <w:rPr>
                <w:noProof/>
                <w:webHidden/>
              </w:rPr>
              <w:fldChar w:fldCharType="begin"/>
            </w:r>
            <w:r w:rsidR="00143685">
              <w:rPr>
                <w:noProof/>
                <w:webHidden/>
              </w:rPr>
              <w:instrText xml:space="preserve"> PAGEREF _Toc130217430 \h </w:instrText>
            </w:r>
            <w:r w:rsidR="00143685">
              <w:rPr>
                <w:noProof/>
                <w:webHidden/>
              </w:rPr>
            </w:r>
            <w:r w:rsidR="00143685">
              <w:rPr>
                <w:noProof/>
                <w:webHidden/>
              </w:rPr>
              <w:fldChar w:fldCharType="separate"/>
            </w:r>
            <w:r>
              <w:rPr>
                <w:noProof/>
                <w:webHidden/>
              </w:rPr>
              <w:t>6</w:t>
            </w:r>
            <w:r w:rsidR="00143685">
              <w:rPr>
                <w:noProof/>
                <w:webHidden/>
              </w:rPr>
              <w:fldChar w:fldCharType="end"/>
            </w:r>
          </w:hyperlink>
        </w:p>
        <w:p w14:paraId="19732659" w14:textId="778D728F" w:rsidR="00143685" w:rsidRDefault="00665C13">
          <w:pPr>
            <w:pStyle w:val="TOC2"/>
            <w:tabs>
              <w:tab w:val="right" w:leader="dot" w:pos="9016"/>
            </w:tabs>
            <w:rPr>
              <w:rFonts w:eastAsiaTheme="minorEastAsia"/>
              <w:noProof/>
              <w:lang w:eastAsia="en-AU"/>
            </w:rPr>
          </w:pPr>
          <w:hyperlink w:anchor="_Toc130217431" w:history="1">
            <w:r w:rsidR="00143685" w:rsidRPr="00832A39">
              <w:rPr>
                <w:rStyle w:val="Hyperlink"/>
                <w:rFonts w:eastAsia="Times New Roman" w:cstheme="majorHAnsi"/>
                <w:noProof/>
                <w:lang w:eastAsia="en-AU"/>
              </w:rPr>
              <w:t>Discussion</w:t>
            </w:r>
            <w:r w:rsidR="00143685">
              <w:rPr>
                <w:noProof/>
                <w:webHidden/>
              </w:rPr>
              <w:tab/>
            </w:r>
            <w:r w:rsidR="00143685">
              <w:rPr>
                <w:noProof/>
                <w:webHidden/>
              </w:rPr>
              <w:fldChar w:fldCharType="begin"/>
            </w:r>
            <w:r w:rsidR="00143685">
              <w:rPr>
                <w:noProof/>
                <w:webHidden/>
              </w:rPr>
              <w:instrText xml:space="preserve"> PAGEREF _Toc130217431 \h </w:instrText>
            </w:r>
            <w:r w:rsidR="00143685">
              <w:rPr>
                <w:noProof/>
                <w:webHidden/>
              </w:rPr>
            </w:r>
            <w:r w:rsidR="00143685">
              <w:rPr>
                <w:noProof/>
                <w:webHidden/>
              </w:rPr>
              <w:fldChar w:fldCharType="separate"/>
            </w:r>
            <w:r>
              <w:rPr>
                <w:noProof/>
                <w:webHidden/>
              </w:rPr>
              <w:t>21</w:t>
            </w:r>
            <w:r w:rsidR="00143685">
              <w:rPr>
                <w:noProof/>
                <w:webHidden/>
              </w:rPr>
              <w:fldChar w:fldCharType="end"/>
            </w:r>
          </w:hyperlink>
        </w:p>
        <w:p w14:paraId="7192EBE3" w14:textId="68109E5E" w:rsidR="00143685" w:rsidRDefault="00665C13">
          <w:pPr>
            <w:pStyle w:val="TOC3"/>
            <w:tabs>
              <w:tab w:val="right" w:leader="dot" w:pos="9016"/>
            </w:tabs>
            <w:rPr>
              <w:rFonts w:eastAsiaTheme="minorEastAsia"/>
              <w:noProof/>
              <w:lang w:eastAsia="en-AU"/>
            </w:rPr>
          </w:pPr>
          <w:hyperlink w:anchor="_Toc130217432" w:history="1">
            <w:r w:rsidR="00143685" w:rsidRPr="00832A39">
              <w:rPr>
                <w:rStyle w:val="Hyperlink"/>
                <w:rFonts w:eastAsia="Times New Roman"/>
                <w:noProof/>
                <w:lang w:eastAsia="en-AU"/>
              </w:rPr>
              <w:t>1.3 Opportunities</w:t>
            </w:r>
            <w:r w:rsidR="00143685">
              <w:rPr>
                <w:noProof/>
                <w:webHidden/>
              </w:rPr>
              <w:tab/>
            </w:r>
            <w:r w:rsidR="00143685">
              <w:rPr>
                <w:noProof/>
                <w:webHidden/>
              </w:rPr>
              <w:fldChar w:fldCharType="begin"/>
            </w:r>
            <w:r w:rsidR="00143685">
              <w:rPr>
                <w:noProof/>
                <w:webHidden/>
              </w:rPr>
              <w:instrText xml:space="preserve"> PAGEREF _Toc130217432 \h </w:instrText>
            </w:r>
            <w:r w:rsidR="00143685">
              <w:rPr>
                <w:noProof/>
                <w:webHidden/>
              </w:rPr>
            </w:r>
            <w:r w:rsidR="00143685">
              <w:rPr>
                <w:noProof/>
                <w:webHidden/>
              </w:rPr>
              <w:fldChar w:fldCharType="separate"/>
            </w:r>
            <w:r>
              <w:rPr>
                <w:noProof/>
                <w:webHidden/>
              </w:rPr>
              <w:t>21</w:t>
            </w:r>
            <w:r w:rsidR="00143685">
              <w:rPr>
                <w:noProof/>
                <w:webHidden/>
              </w:rPr>
              <w:fldChar w:fldCharType="end"/>
            </w:r>
          </w:hyperlink>
        </w:p>
        <w:p w14:paraId="2C704F37" w14:textId="4FD134F3" w:rsidR="00143685" w:rsidRDefault="00665C13">
          <w:pPr>
            <w:pStyle w:val="TOC3"/>
            <w:tabs>
              <w:tab w:val="right" w:leader="dot" w:pos="9016"/>
            </w:tabs>
            <w:rPr>
              <w:rFonts w:eastAsiaTheme="minorEastAsia"/>
              <w:noProof/>
              <w:lang w:eastAsia="en-AU"/>
            </w:rPr>
          </w:pPr>
          <w:hyperlink w:anchor="_Toc130217433" w:history="1">
            <w:r w:rsidR="00143685" w:rsidRPr="00832A39">
              <w:rPr>
                <w:rStyle w:val="Hyperlink"/>
                <w:rFonts w:eastAsia="Times New Roman"/>
                <w:noProof/>
                <w:lang w:eastAsia="en-AU"/>
              </w:rPr>
              <w:t>1.4 Considerations</w:t>
            </w:r>
            <w:r w:rsidR="00143685">
              <w:rPr>
                <w:noProof/>
                <w:webHidden/>
              </w:rPr>
              <w:tab/>
            </w:r>
            <w:r w:rsidR="00143685">
              <w:rPr>
                <w:noProof/>
                <w:webHidden/>
              </w:rPr>
              <w:fldChar w:fldCharType="begin"/>
            </w:r>
            <w:r w:rsidR="00143685">
              <w:rPr>
                <w:noProof/>
                <w:webHidden/>
              </w:rPr>
              <w:instrText xml:space="preserve"> PAGEREF _Toc130217433 \h </w:instrText>
            </w:r>
            <w:r w:rsidR="00143685">
              <w:rPr>
                <w:noProof/>
                <w:webHidden/>
              </w:rPr>
            </w:r>
            <w:r w:rsidR="00143685">
              <w:rPr>
                <w:noProof/>
                <w:webHidden/>
              </w:rPr>
              <w:fldChar w:fldCharType="separate"/>
            </w:r>
            <w:r>
              <w:rPr>
                <w:noProof/>
                <w:webHidden/>
              </w:rPr>
              <w:t>22</w:t>
            </w:r>
            <w:r w:rsidR="00143685">
              <w:rPr>
                <w:noProof/>
                <w:webHidden/>
              </w:rPr>
              <w:fldChar w:fldCharType="end"/>
            </w:r>
          </w:hyperlink>
        </w:p>
        <w:p w14:paraId="6B9BAC3F" w14:textId="3A720D81" w:rsidR="00143685" w:rsidRDefault="00665C13">
          <w:pPr>
            <w:pStyle w:val="TOC1"/>
            <w:rPr>
              <w:rFonts w:eastAsiaTheme="minorEastAsia"/>
              <w:noProof/>
              <w:lang w:eastAsia="en-AU"/>
            </w:rPr>
          </w:pPr>
          <w:hyperlink w:anchor="_Toc130217434" w:history="1">
            <w:r w:rsidR="00143685" w:rsidRPr="00832A39">
              <w:rPr>
                <w:rStyle w:val="Hyperlink"/>
                <w:rFonts w:asciiTheme="majorHAnsi" w:eastAsia="Times New Roman" w:hAnsiTheme="majorHAnsi"/>
                <w:b/>
                <w:noProof/>
                <w:lang w:eastAsia="en-AU"/>
              </w:rPr>
              <w:t>Reform Area 2: Strengthen the link between performance and funding of initial teacher education</w:t>
            </w:r>
            <w:r w:rsidR="00143685">
              <w:rPr>
                <w:noProof/>
                <w:webHidden/>
              </w:rPr>
              <w:tab/>
            </w:r>
            <w:r w:rsidR="00143685">
              <w:rPr>
                <w:noProof/>
                <w:webHidden/>
              </w:rPr>
              <w:fldChar w:fldCharType="begin"/>
            </w:r>
            <w:r w:rsidR="00143685">
              <w:rPr>
                <w:noProof/>
                <w:webHidden/>
              </w:rPr>
              <w:instrText xml:space="preserve"> PAGEREF _Toc130217434 \h </w:instrText>
            </w:r>
            <w:r w:rsidR="00143685">
              <w:rPr>
                <w:noProof/>
                <w:webHidden/>
              </w:rPr>
            </w:r>
            <w:r w:rsidR="00143685">
              <w:rPr>
                <w:noProof/>
                <w:webHidden/>
              </w:rPr>
              <w:fldChar w:fldCharType="separate"/>
            </w:r>
            <w:r>
              <w:rPr>
                <w:noProof/>
                <w:webHidden/>
              </w:rPr>
              <w:t>24</w:t>
            </w:r>
            <w:r w:rsidR="00143685">
              <w:rPr>
                <w:noProof/>
                <w:webHidden/>
              </w:rPr>
              <w:fldChar w:fldCharType="end"/>
            </w:r>
          </w:hyperlink>
        </w:p>
        <w:p w14:paraId="4E2BE0BA" w14:textId="0810C7B6" w:rsidR="00143685" w:rsidRDefault="00665C13">
          <w:pPr>
            <w:pStyle w:val="TOC2"/>
            <w:tabs>
              <w:tab w:val="right" w:leader="dot" w:pos="9016"/>
            </w:tabs>
            <w:rPr>
              <w:rFonts w:eastAsiaTheme="minorEastAsia"/>
              <w:noProof/>
              <w:lang w:eastAsia="en-AU"/>
            </w:rPr>
          </w:pPr>
          <w:hyperlink w:anchor="_Toc130217435" w:history="1">
            <w:r w:rsidR="00143685" w:rsidRPr="00832A39">
              <w:rPr>
                <w:rStyle w:val="Hyperlink"/>
                <w:noProof/>
              </w:rPr>
              <w:t>Part I – Establishing performance measures for ITE</w:t>
            </w:r>
            <w:r w:rsidR="00143685">
              <w:rPr>
                <w:noProof/>
                <w:webHidden/>
              </w:rPr>
              <w:tab/>
            </w:r>
            <w:r w:rsidR="00143685">
              <w:rPr>
                <w:noProof/>
                <w:webHidden/>
              </w:rPr>
              <w:fldChar w:fldCharType="begin"/>
            </w:r>
            <w:r w:rsidR="00143685">
              <w:rPr>
                <w:noProof/>
                <w:webHidden/>
              </w:rPr>
              <w:instrText xml:space="preserve"> PAGEREF _Toc130217435 \h </w:instrText>
            </w:r>
            <w:r w:rsidR="00143685">
              <w:rPr>
                <w:noProof/>
                <w:webHidden/>
              </w:rPr>
            </w:r>
            <w:r w:rsidR="00143685">
              <w:rPr>
                <w:noProof/>
                <w:webHidden/>
              </w:rPr>
              <w:fldChar w:fldCharType="separate"/>
            </w:r>
            <w:r>
              <w:rPr>
                <w:noProof/>
                <w:webHidden/>
              </w:rPr>
              <w:t>24</w:t>
            </w:r>
            <w:r w:rsidR="00143685">
              <w:rPr>
                <w:noProof/>
                <w:webHidden/>
              </w:rPr>
              <w:fldChar w:fldCharType="end"/>
            </w:r>
          </w:hyperlink>
        </w:p>
        <w:p w14:paraId="04591285" w14:textId="191528A0" w:rsidR="00143685" w:rsidRDefault="00665C13">
          <w:pPr>
            <w:pStyle w:val="TOC2"/>
            <w:tabs>
              <w:tab w:val="right" w:leader="dot" w:pos="9016"/>
            </w:tabs>
            <w:rPr>
              <w:rFonts w:eastAsiaTheme="minorEastAsia"/>
              <w:noProof/>
              <w:lang w:eastAsia="en-AU"/>
            </w:rPr>
          </w:pPr>
          <w:hyperlink w:anchor="_Toc130217436" w:history="1">
            <w:r w:rsidR="00143685" w:rsidRPr="00832A39">
              <w:rPr>
                <w:rStyle w:val="Hyperlink"/>
                <w:rFonts w:eastAsia="Times New Roman" w:cstheme="majorHAnsi"/>
                <w:noProof/>
                <w:lang w:eastAsia="en-AU"/>
              </w:rPr>
              <w:t>Key findings</w:t>
            </w:r>
            <w:r w:rsidR="00143685">
              <w:rPr>
                <w:noProof/>
                <w:webHidden/>
              </w:rPr>
              <w:tab/>
            </w:r>
            <w:r w:rsidR="00143685">
              <w:rPr>
                <w:noProof/>
                <w:webHidden/>
              </w:rPr>
              <w:fldChar w:fldCharType="begin"/>
            </w:r>
            <w:r w:rsidR="00143685">
              <w:rPr>
                <w:noProof/>
                <w:webHidden/>
              </w:rPr>
              <w:instrText xml:space="preserve"> PAGEREF _Toc130217436 \h </w:instrText>
            </w:r>
            <w:r w:rsidR="00143685">
              <w:rPr>
                <w:noProof/>
                <w:webHidden/>
              </w:rPr>
            </w:r>
            <w:r w:rsidR="00143685">
              <w:rPr>
                <w:noProof/>
                <w:webHidden/>
              </w:rPr>
              <w:fldChar w:fldCharType="separate"/>
            </w:r>
            <w:r>
              <w:rPr>
                <w:noProof/>
                <w:webHidden/>
              </w:rPr>
              <w:t>25</w:t>
            </w:r>
            <w:r w:rsidR="00143685">
              <w:rPr>
                <w:noProof/>
                <w:webHidden/>
              </w:rPr>
              <w:fldChar w:fldCharType="end"/>
            </w:r>
          </w:hyperlink>
        </w:p>
        <w:p w14:paraId="68282EB6" w14:textId="13D5A943" w:rsidR="00143685" w:rsidRDefault="00665C13">
          <w:pPr>
            <w:pStyle w:val="TOC3"/>
            <w:tabs>
              <w:tab w:val="right" w:leader="dot" w:pos="9016"/>
            </w:tabs>
            <w:rPr>
              <w:rFonts w:eastAsiaTheme="minorEastAsia"/>
              <w:noProof/>
              <w:lang w:eastAsia="en-AU"/>
            </w:rPr>
          </w:pPr>
          <w:hyperlink w:anchor="_Toc130217437" w:history="1">
            <w:r w:rsidR="00143685" w:rsidRPr="00832A39">
              <w:rPr>
                <w:rStyle w:val="Hyperlink"/>
                <w:rFonts w:eastAsia="Times New Roman"/>
                <w:noProof/>
                <w:lang w:eastAsia="en-AU"/>
              </w:rPr>
              <w:t>2.1 The purpose of measuring performance</w:t>
            </w:r>
            <w:r w:rsidR="00143685">
              <w:rPr>
                <w:noProof/>
                <w:webHidden/>
              </w:rPr>
              <w:tab/>
            </w:r>
            <w:r w:rsidR="00143685">
              <w:rPr>
                <w:noProof/>
                <w:webHidden/>
              </w:rPr>
              <w:fldChar w:fldCharType="begin"/>
            </w:r>
            <w:r w:rsidR="00143685">
              <w:rPr>
                <w:noProof/>
                <w:webHidden/>
              </w:rPr>
              <w:instrText xml:space="preserve"> PAGEREF _Toc130217437 \h </w:instrText>
            </w:r>
            <w:r w:rsidR="00143685">
              <w:rPr>
                <w:noProof/>
                <w:webHidden/>
              </w:rPr>
            </w:r>
            <w:r w:rsidR="00143685">
              <w:rPr>
                <w:noProof/>
                <w:webHidden/>
              </w:rPr>
              <w:fldChar w:fldCharType="separate"/>
            </w:r>
            <w:r>
              <w:rPr>
                <w:noProof/>
                <w:webHidden/>
              </w:rPr>
              <w:t>25</w:t>
            </w:r>
            <w:r w:rsidR="00143685">
              <w:rPr>
                <w:noProof/>
                <w:webHidden/>
              </w:rPr>
              <w:fldChar w:fldCharType="end"/>
            </w:r>
          </w:hyperlink>
        </w:p>
        <w:p w14:paraId="6894F75F" w14:textId="3D7BB5A3" w:rsidR="00143685" w:rsidRDefault="00665C13">
          <w:pPr>
            <w:pStyle w:val="TOC3"/>
            <w:tabs>
              <w:tab w:val="right" w:leader="dot" w:pos="9016"/>
            </w:tabs>
            <w:rPr>
              <w:rFonts w:eastAsiaTheme="minorEastAsia"/>
              <w:noProof/>
              <w:lang w:eastAsia="en-AU"/>
            </w:rPr>
          </w:pPr>
          <w:hyperlink w:anchor="_Toc130217438" w:history="1">
            <w:r w:rsidR="00143685" w:rsidRPr="00832A39">
              <w:rPr>
                <w:rStyle w:val="Hyperlink"/>
                <w:rFonts w:eastAsia="Times New Roman"/>
                <w:noProof/>
                <w:lang w:eastAsia="en-AU"/>
              </w:rPr>
              <w:t>2.2 Indicators for measuring performance</w:t>
            </w:r>
            <w:r w:rsidR="00143685">
              <w:rPr>
                <w:noProof/>
                <w:webHidden/>
              </w:rPr>
              <w:tab/>
            </w:r>
            <w:r w:rsidR="00143685">
              <w:rPr>
                <w:noProof/>
                <w:webHidden/>
              </w:rPr>
              <w:fldChar w:fldCharType="begin"/>
            </w:r>
            <w:r w:rsidR="00143685">
              <w:rPr>
                <w:noProof/>
                <w:webHidden/>
              </w:rPr>
              <w:instrText xml:space="preserve"> PAGEREF _Toc130217438 \h </w:instrText>
            </w:r>
            <w:r w:rsidR="00143685">
              <w:rPr>
                <w:noProof/>
                <w:webHidden/>
              </w:rPr>
            </w:r>
            <w:r w:rsidR="00143685">
              <w:rPr>
                <w:noProof/>
                <w:webHidden/>
              </w:rPr>
              <w:fldChar w:fldCharType="separate"/>
            </w:r>
            <w:r>
              <w:rPr>
                <w:noProof/>
                <w:webHidden/>
              </w:rPr>
              <w:t>26</w:t>
            </w:r>
            <w:r w:rsidR="00143685">
              <w:rPr>
                <w:noProof/>
                <w:webHidden/>
              </w:rPr>
              <w:fldChar w:fldCharType="end"/>
            </w:r>
          </w:hyperlink>
        </w:p>
        <w:p w14:paraId="35E2EFFF" w14:textId="24B80057" w:rsidR="00143685" w:rsidRDefault="00665C13">
          <w:pPr>
            <w:pStyle w:val="TOC3"/>
            <w:tabs>
              <w:tab w:val="right" w:leader="dot" w:pos="9016"/>
            </w:tabs>
            <w:rPr>
              <w:rFonts w:eastAsiaTheme="minorEastAsia"/>
              <w:noProof/>
              <w:lang w:eastAsia="en-AU"/>
            </w:rPr>
          </w:pPr>
          <w:hyperlink w:anchor="_Toc130217439" w:history="1">
            <w:r w:rsidR="00143685" w:rsidRPr="00832A39">
              <w:rPr>
                <w:rStyle w:val="Hyperlink"/>
                <w:rFonts w:eastAsia="Times New Roman"/>
                <w:noProof/>
                <w:lang w:eastAsia="en-AU"/>
              </w:rPr>
              <w:t>2.3 Measuring Performance and Reporting</w:t>
            </w:r>
            <w:r w:rsidR="00143685">
              <w:rPr>
                <w:noProof/>
                <w:webHidden/>
              </w:rPr>
              <w:tab/>
            </w:r>
            <w:r w:rsidR="00143685">
              <w:rPr>
                <w:noProof/>
                <w:webHidden/>
              </w:rPr>
              <w:fldChar w:fldCharType="begin"/>
            </w:r>
            <w:r w:rsidR="00143685">
              <w:rPr>
                <w:noProof/>
                <w:webHidden/>
              </w:rPr>
              <w:instrText xml:space="preserve"> PAGEREF _Toc130217439 \h </w:instrText>
            </w:r>
            <w:r w:rsidR="00143685">
              <w:rPr>
                <w:noProof/>
                <w:webHidden/>
              </w:rPr>
            </w:r>
            <w:r w:rsidR="00143685">
              <w:rPr>
                <w:noProof/>
                <w:webHidden/>
              </w:rPr>
              <w:fldChar w:fldCharType="separate"/>
            </w:r>
            <w:r>
              <w:rPr>
                <w:noProof/>
                <w:webHidden/>
              </w:rPr>
              <w:t>37</w:t>
            </w:r>
            <w:r w:rsidR="00143685">
              <w:rPr>
                <w:noProof/>
                <w:webHidden/>
              </w:rPr>
              <w:fldChar w:fldCharType="end"/>
            </w:r>
          </w:hyperlink>
        </w:p>
        <w:p w14:paraId="5E1DE679" w14:textId="73796E95" w:rsidR="00143685" w:rsidRDefault="00665C13">
          <w:pPr>
            <w:pStyle w:val="TOC2"/>
            <w:tabs>
              <w:tab w:val="right" w:leader="dot" w:pos="9016"/>
            </w:tabs>
            <w:rPr>
              <w:rFonts w:eastAsiaTheme="minorEastAsia"/>
              <w:noProof/>
              <w:lang w:eastAsia="en-AU"/>
            </w:rPr>
          </w:pPr>
          <w:hyperlink w:anchor="_Toc130217440" w:history="1">
            <w:r w:rsidR="00143685" w:rsidRPr="00832A39">
              <w:rPr>
                <w:rStyle w:val="Hyperlink"/>
                <w:noProof/>
              </w:rPr>
              <w:t>Part II – Linking quality to funding</w:t>
            </w:r>
            <w:r w:rsidR="00143685">
              <w:rPr>
                <w:noProof/>
                <w:webHidden/>
              </w:rPr>
              <w:tab/>
            </w:r>
            <w:r w:rsidR="00143685">
              <w:rPr>
                <w:noProof/>
                <w:webHidden/>
              </w:rPr>
              <w:fldChar w:fldCharType="begin"/>
            </w:r>
            <w:r w:rsidR="00143685">
              <w:rPr>
                <w:noProof/>
                <w:webHidden/>
              </w:rPr>
              <w:instrText xml:space="preserve"> PAGEREF _Toc130217440 \h </w:instrText>
            </w:r>
            <w:r w:rsidR="00143685">
              <w:rPr>
                <w:noProof/>
                <w:webHidden/>
              </w:rPr>
            </w:r>
            <w:r w:rsidR="00143685">
              <w:rPr>
                <w:noProof/>
                <w:webHidden/>
              </w:rPr>
              <w:fldChar w:fldCharType="separate"/>
            </w:r>
            <w:r>
              <w:rPr>
                <w:noProof/>
                <w:webHidden/>
              </w:rPr>
              <w:t>39</w:t>
            </w:r>
            <w:r w:rsidR="00143685">
              <w:rPr>
                <w:noProof/>
                <w:webHidden/>
              </w:rPr>
              <w:fldChar w:fldCharType="end"/>
            </w:r>
          </w:hyperlink>
        </w:p>
        <w:p w14:paraId="3C1F8BD2" w14:textId="13C440F1" w:rsidR="00143685" w:rsidRDefault="00665C13">
          <w:pPr>
            <w:pStyle w:val="TOC2"/>
            <w:tabs>
              <w:tab w:val="right" w:leader="dot" w:pos="9016"/>
            </w:tabs>
            <w:rPr>
              <w:rFonts w:eastAsiaTheme="minorEastAsia"/>
              <w:noProof/>
              <w:lang w:eastAsia="en-AU"/>
            </w:rPr>
          </w:pPr>
          <w:hyperlink w:anchor="_Toc130217441" w:history="1">
            <w:r w:rsidR="00143685" w:rsidRPr="00832A39">
              <w:rPr>
                <w:rStyle w:val="Hyperlink"/>
                <w:rFonts w:eastAsia="Times New Roman" w:cstheme="majorHAnsi"/>
                <w:noProof/>
                <w:lang w:eastAsia="en-AU"/>
              </w:rPr>
              <w:t>Key findings</w:t>
            </w:r>
            <w:r w:rsidR="00143685">
              <w:rPr>
                <w:noProof/>
                <w:webHidden/>
              </w:rPr>
              <w:tab/>
            </w:r>
            <w:r w:rsidR="00143685">
              <w:rPr>
                <w:noProof/>
                <w:webHidden/>
              </w:rPr>
              <w:fldChar w:fldCharType="begin"/>
            </w:r>
            <w:r w:rsidR="00143685">
              <w:rPr>
                <w:noProof/>
                <w:webHidden/>
              </w:rPr>
              <w:instrText xml:space="preserve"> PAGEREF _Toc130217441 \h </w:instrText>
            </w:r>
            <w:r w:rsidR="00143685">
              <w:rPr>
                <w:noProof/>
                <w:webHidden/>
              </w:rPr>
            </w:r>
            <w:r w:rsidR="00143685">
              <w:rPr>
                <w:noProof/>
                <w:webHidden/>
              </w:rPr>
              <w:fldChar w:fldCharType="separate"/>
            </w:r>
            <w:r>
              <w:rPr>
                <w:noProof/>
                <w:webHidden/>
              </w:rPr>
              <w:t>40</w:t>
            </w:r>
            <w:r w:rsidR="00143685">
              <w:rPr>
                <w:noProof/>
                <w:webHidden/>
              </w:rPr>
              <w:fldChar w:fldCharType="end"/>
            </w:r>
          </w:hyperlink>
        </w:p>
        <w:p w14:paraId="2143C54B" w14:textId="65900F68" w:rsidR="00143685" w:rsidRDefault="00665C13">
          <w:pPr>
            <w:pStyle w:val="TOC3"/>
            <w:tabs>
              <w:tab w:val="right" w:leader="dot" w:pos="9016"/>
            </w:tabs>
            <w:rPr>
              <w:rFonts w:eastAsiaTheme="minorEastAsia"/>
              <w:noProof/>
              <w:lang w:eastAsia="en-AU"/>
            </w:rPr>
          </w:pPr>
          <w:hyperlink w:anchor="_Toc130217442" w:history="1">
            <w:r w:rsidR="00143685" w:rsidRPr="00832A39">
              <w:rPr>
                <w:rStyle w:val="Hyperlink"/>
                <w:rFonts w:eastAsia="Times New Roman"/>
                <w:noProof/>
                <w:lang w:eastAsia="en-AU"/>
              </w:rPr>
              <w:t>2.4 Funding arrangements for higher education</w:t>
            </w:r>
            <w:r w:rsidR="00143685">
              <w:rPr>
                <w:noProof/>
                <w:webHidden/>
              </w:rPr>
              <w:tab/>
            </w:r>
            <w:r w:rsidR="00143685">
              <w:rPr>
                <w:noProof/>
                <w:webHidden/>
              </w:rPr>
              <w:fldChar w:fldCharType="begin"/>
            </w:r>
            <w:r w:rsidR="00143685">
              <w:rPr>
                <w:noProof/>
                <w:webHidden/>
              </w:rPr>
              <w:instrText xml:space="preserve"> PAGEREF _Toc130217442 \h </w:instrText>
            </w:r>
            <w:r w:rsidR="00143685">
              <w:rPr>
                <w:noProof/>
                <w:webHidden/>
              </w:rPr>
            </w:r>
            <w:r w:rsidR="00143685">
              <w:rPr>
                <w:noProof/>
                <w:webHidden/>
              </w:rPr>
              <w:fldChar w:fldCharType="separate"/>
            </w:r>
            <w:r>
              <w:rPr>
                <w:noProof/>
                <w:webHidden/>
              </w:rPr>
              <w:t>40</w:t>
            </w:r>
            <w:r w:rsidR="00143685">
              <w:rPr>
                <w:noProof/>
                <w:webHidden/>
              </w:rPr>
              <w:fldChar w:fldCharType="end"/>
            </w:r>
          </w:hyperlink>
        </w:p>
        <w:p w14:paraId="3FF48518" w14:textId="7C464433" w:rsidR="00143685" w:rsidRDefault="00665C13">
          <w:pPr>
            <w:pStyle w:val="TOC3"/>
            <w:tabs>
              <w:tab w:val="right" w:leader="dot" w:pos="9016"/>
            </w:tabs>
            <w:rPr>
              <w:rFonts w:eastAsiaTheme="minorEastAsia"/>
              <w:noProof/>
              <w:lang w:eastAsia="en-AU"/>
            </w:rPr>
          </w:pPr>
          <w:hyperlink w:anchor="_Toc130217443" w:history="1">
            <w:r w:rsidR="00143685" w:rsidRPr="00832A39">
              <w:rPr>
                <w:rStyle w:val="Hyperlink"/>
                <w:rFonts w:eastAsia="Times New Roman"/>
                <w:noProof/>
                <w:lang w:eastAsia="en-AU"/>
              </w:rPr>
              <w:t>2.5 Incentives to improve quality</w:t>
            </w:r>
            <w:r w:rsidR="00143685">
              <w:rPr>
                <w:noProof/>
                <w:webHidden/>
              </w:rPr>
              <w:tab/>
            </w:r>
            <w:r w:rsidR="00143685">
              <w:rPr>
                <w:noProof/>
                <w:webHidden/>
              </w:rPr>
              <w:fldChar w:fldCharType="begin"/>
            </w:r>
            <w:r w:rsidR="00143685">
              <w:rPr>
                <w:noProof/>
                <w:webHidden/>
              </w:rPr>
              <w:instrText xml:space="preserve"> PAGEREF _Toc130217443 \h </w:instrText>
            </w:r>
            <w:r w:rsidR="00143685">
              <w:rPr>
                <w:noProof/>
                <w:webHidden/>
              </w:rPr>
            </w:r>
            <w:r w:rsidR="00143685">
              <w:rPr>
                <w:noProof/>
                <w:webHidden/>
              </w:rPr>
              <w:fldChar w:fldCharType="separate"/>
            </w:r>
            <w:r>
              <w:rPr>
                <w:noProof/>
                <w:webHidden/>
              </w:rPr>
              <w:t>42</w:t>
            </w:r>
            <w:r w:rsidR="00143685">
              <w:rPr>
                <w:noProof/>
                <w:webHidden/>
              </w:rPr>
              <w:fldChar w:fldCharType="end"/>
            </w:r>
          </w:hyperlink>
        </w:p>
        <w:p w14:paraId="22A2C210" w14:textId="30295DA6" w:rsidR="00143685" w:rsidRDefault="00665C13">
          <w:pPr>
            <w:pStyle w:val="TOC3"/>
            <w:tabs>
              <w:tab w:val="right" w:leader="dot" w:pos="9016"/>
            </w:tabs>
            <w:rPr>
              <w:rFonts w:eastAsiaTheme="minorEastAsia"/>
              <w:noProof/>
              <w:lang w:eastAsia="en-AU"/>
            </w:rPr>
          </w:pPr>
          <w:hyperlink w:anchor="_Toc130217444" w:history="1">
            <w:r w:rsidR="00143685" w:rsidRPr="00832A39">
              <w:rPr>
                <w:rStyle w:val="Hyperlink"/>
                <w:rFonts w:eastAsia="Times New Roman"/>
                <w:noProof/>
                <w:lang w:eastAsia="en-AU"/>
              </w:rPr>
              <w:t>2.6 Funding options</w:t>
            </w:r>
            <w:r w:rsidR="00143685">
              <w:rPr>
                <w:noProof/>
                <w:webHidden/>
              </w:rPr>
              <w:tab/>
            </w:r>
            <w:r w:rsidR="00143685">
              <w:rPr>
                <w:noProof/>
                <w:webHidden/>
              </w:rPr>
              <w:fldChar w:fldCharType="begin"/>
            </w:r>
            <w:r w:rsidR="00143685">
              <w:rPr>
                <w:noProof/>
                <w:webHidden/>
              </w:rPr>
              <w:instrText xml:space="preserve"> PAGEREF _Toc130217444 \h </w:instrText>
            </w:r>
            <w:r w:rsidR="00143685">
              <w:rPr>
                <w:noProof/>
                <w:webHidden/>
              </w:rPr>
            </w:r>
            <w:r w:rsidR="00143685">
              <w:rPr>
                <w:noProof/>
                <w:webHidden/>
              </w:rPr>
              <w:fldChar w:fldCharType="separate"/>
            </w:r>
            <w:r>
              <w:rPr>
                <w:noProof/>
                <w:webHidden/>
              </w:rPr>
              <w:t>45</w:t>
            </w:r>
            <w:r w:rsidR="00143685">
              <w:rPr>
                <w:noProof/>
                <w:webHidden/>
              </w:rPr>
              <w:fldChar w:fldCharType="end"/>
            </w:r>
          </w:hyperlink>
        </w:p>
        <w:p w14:paraId="58FB9935" w14:textId="4D35A33E" w:rsidR="00143685" w:rsidRDefault="00665C13">
          <w:pPr>
            <w:pStyle w:val="TOC2"/>
            <w:tabs>
              <w:tab w:val="right" w:leader="dot" w:pos="9016"/>
            </w:tabs>
            <w:rPr>
              <w:rFonts w:eastAsiaTheme="minorEastAsia"/>
              <w:noProof/>
              <w:lang w:eastAsia="en-AU"/>
            </w:rPr>
          </w:pPr>
          <w:hyperlink w:anchor="_Toc130217445" w:history="1">
            <w:r w:rsidR="00143685" w:rsidRPr="00832A39">
              <w:rPr>
                <w:rStyle w:val="Hyperlink"/>
                <w:rFonts w:eastAsia="Times New Roman" w:cstheme="majorHAnsi"/>
                <w:noProof/>
                <w:lang w:eastAsia="en-AU"/>
              </w:rPr>
              <w:t>Discussion</w:t>
            </w:r>
            <w:r w:rsidR="00143685">
              <w:rPr>
                <w:noProof/>
                <w:webHidden/>
              </w:rPr>
              <w:tab/>
            </w:r>
            <w:r w:rsidR="00143685">
              <w:rPr>
                <w:noProof/>
                <w:webHidden/>
              </w:rPr>
              <w:fldChar w:fldCharType="begin"/>
            </w:r>
            <w:r w:rsidR="00143685">
              <w:rPr>
                <w:noProof/>
                <w:webHidden/>
              </w:rPr>
              <w:instrText xml:space="preserve"> PAGEREF _Toc130217445 \h </w:instrText>
            </w:r>
            <w:r w:rsidR="00143685">
              <w:rPr>
                <w:noProof/>
                <w:webHidden/>
              </w:rPr>
            </w:r>
            <w:r w:rsidR="00143685">
              <w:rPr>
                <w:noProof/>
                <w:webHidden/>
              </w:rPr>
              <w:fldChar w:fldCharType="separate"/>
            </w:r>
            <w:r>
              <w:rPr>
                <w:noProof/>
                <w:webHidden/>
              </w:rPr>
              <w:t>47</w:t>
            </w:r>
            <w:r w:rsidR="00143685">
              <w:rPr>
                <w:noProof/>
                <w:webHidden/>
              </w:rPr>
              <w:fldChar w:fldCharType="end"/>
            </w:r>
          </w:hyperlink>
        </w:p>
        <w:p w14:paraId="47316556" w14:textId="14250B9A" w:rsidR="00143685" w:rsidRDefault="00665C13">
          <w:pPr>
            <w:pStyle w:val="TOC3"/>
            <w:tabs>
              <w:tab w:val="right" w:leader="dot" w:pos="9016"/>
            </w:tabs>
            <w:rPr>
              <w:rFonts w:eastAsiaTheme="minorEastAsia"/>
              <w:noProof/>
              <w:lang w:eastAsia="en-AU"/>
            </w:rPr>
          </w:pPr>
          <w:hyperlink w:anchor="_Toc130217446" w:history="1">
            <w:r w:rsidR="00143685" w:rsidRPr="00832A39">
              <w:rPr>
                <w:rStyle w:val="Hyperlink"/>
                <w:rFonts w:eastAsia="Times New Roman"/>
                <w:noProof/>
                <w:lang w:eastAsia="en-AU"/>
              </w:rPr>
              <w:t>2.7 Opportunities</w:t>
            </w:r>
            <w:r w:rsidR="00143685">
              <w:rPr>
                <w:noProof/>
                <w:webHidden/>
              </w:rPr>
              <w:tab/>
            </w:r>
            <w:r w:rsidR="00143685">
              <w:rPr>
                <w:noProof/>
                <w:webHidden/>
              </w:rPr>
              <w:fldChar w:fldCharType="begin"/>
            </w:r>
            <w:r w:rsidR="00143685">
              <w:rPr>
                <w:noProof/>
                <w:webHidden/>
              </w:rPr>
              <w:instrText xml:space="preserve"> PAGEREF _Toc130217446 \h </w:instrText>
            </w:r>
            <w:r w:rsidR="00143685">
              <w:rPr>
                <w:noProof/>
                <w:webHidden/>
              </w:rPr>
            </w:r>
            <w:r w:rsidR="00143685">
              <w:rPr>
                <w:noProof/>
                <w:webHidden/>
              </w:rPr>
              <w:fldChar w:fldCharType="separate"/>
            </w:r>
            <w:r>
              <w:rPr>
                <w:noProof/>
                <w:webHidden/>
              </w:rPr>
              <w:t>47</w:t>
            </w:r>
            <w:r w:rsidR="00143685">
              <w:rPr>
                <w:noProof/>
                <w:webHidden/>
              </w:rPr>
              <w:fldChar w:fldCharType="end"/>
            </w:r>
          </w:hyperlink>
        </w:p>
        <w:p w14:paraId="4D098156" w14:textId="27FFF635" w:rsidR="00143685" w:rsidRDefault="00665C13">
          <w:pPr>
            <w:pStyle w:val="TOC3"/>
            <w:tabs>
              <w:tab w:val="right" w:leader="dot" w:pos="9016"/>
            </w:tabs>
            <w:rPr>
              <w:rFonts w:eastAsiaTheme="minorEastAsia"/>
              <w:noProof/>
              <w:lang w:eastAsia="en-AU"/>
            </w:rPr>
          </w:pPr>
          <w:hyperlink w:anchor="_Toc130217447" w:history="1">
            <w:r w:rsidR="00143685" w:rsidRPr="00832A39">
              <w:rPr>
                <w:rStyle w:val="Hyperlink"/>
                <w:rFonts w:eastAsia="Times New Roman"/>
                <w:noProof/>
                <w:lang w:eastAsia="en-AU"/>
              </w:rPr>
              <w:t>2.8 Considerations</w:t>
            </w:r>
            <w:r w:rsidR="00143685">
              <w:rPr>
                <w:noProof/>
                <w:webHidden/>
              </w:rPr>
              <w:tab/>
            </w:r>
            <w:r w:rsidR="00143685">
              <w:rPr>
                <w:noProof/>
                <w:webHidden/>
              </w:rPr>
              <w:fldChar w:fldCharType="begin"/>
            </w:r>
            <w:r w:rsidR="00143685">
              <w:rPr>
                <w:noProof/>
                <w:webHidden/>
              </w:rPr>
              <w:instrText xml:space="preserve"> PAGEREF _Toc130217447 \h </w:instrText>
            </w:r>
            <w:r w:rsidR="00143685">
              <w:rPr>
                <w:noProof/>
                <w:webHidden/>
              </w:rPr>
            </w:r>
            <w:r w:rsidR="00143685">
              <w:rPr>
                <w:noProof/>
                <w:webHidden/>
              </w:rPr>
              <w:fldChar w:fldCharType="separate"/>
            </w:r>
            <w:r>
              <w:rPr>
                <w:noProof/>
                <w:webHidden/>
              </w:rPr>
              <w:t>48</w:t>
            </w:r>
            <w:r w:rsidR="00143685">
              <w:rPr>
                <w:noProof/>
                <w:webHidden/>
              </w:rPr>
              <w:fldChar w:fldCharType="end"/>
            </w:r>
          </w:hyperlink>
        </w:p>
        <w:p w14:paraId="00B3AC11" w14:textId="6F4E324E" w:rsidR="00143685" w:rsidRDefault="00665C13">
          <w:pPr>
            <w:pStyle w:val="TOC1"/>
            <w:rPr>
              <w:rFonts w:eastAsiaTheme="minorEastAsia"/>
              <w:noProof/>
              <w:lang w:eastAsia="en-AU"/>
            </w:rPr>
          </w:pPr>
          <w:hyperlink w:anchor="_Toc130217448" w:history="1">
            <w:r w:rsidR="00143685" w:rsidRPr="00832A39">
              <w:rPr>
                <w:rStyle w:val="Hyperlink"/>
                <w:rFonts w:asciiTheme="majorHAnsi" w:eastAsia="Times New Roman" w:hAnsiTheme="majorHAnsi"/>
                <w:b/>
                <w:bCs/>
                <w:noProof/>
                <w:lang w:eastAsia="en-AU"/>
              </w:rPr>
              <w:t>Reform Area 3: Improving the quality of practical experience in teaching</w:t>
            </w:r>
            <w:r w:rsidR="00143685">
              <w:rPr>
                <w:noProof/>
                <w:webHidden/>
              </w:rPr>
              <w:tab/>
            </w:r>
            <w:r w:rsidR="00143685">
              <w:rPr>
                <w:noProof/>
                <w:webHidden/>
              </w:rPr>
              <w:fldChar w:fldCharType="begin"/>
            </w:r>
            <w:r w:rsidR="00143685">
              <w:rPr>
                <w:noProof/>
                <w:webHidden/>
              </w:rPr>
              <w:instrText xml:space="preserve"> PAGEREF _Toc130217448 \h </w:instrText>
            </w:r>
            <w:r w:rsidR="00143685">
              <w:rPr>
                <w:noProof/>
                <w:webHidden/>
              </w:rPr>
            </w:r>
            <w:r w:rsidR="00143685">
              <w:rPr>
                <w:noProof/>
                <w:webHidden/>
              </w:rPr>
              <w:fldChar w:fldCharType="separate"/>
            </w:r>
            <w:r>
              <w:rPr>
                <w:noProof/>
                <w:webHidden/>
              </w:rPr>
              <w:t>49</w:t>
            </w:r>
            <w:r w:rsidR="00143685">
              <w:rPr>
                <w:noProof/>
                <w:webHidden/>
              </w:rPr>
              <w:fldChar w:fldCharType="end"/>
            </w:r>
          </w:hyperlink>
        </w:p>
        <w:p w14:paraId="07DCCA44" w14:textId="0A7D3267" w:rsidR="00143685" w:rsidRDefault="00665C13">
          <w:pPr>
            <w:pStyle w:val="TOC2"/>
            <w:tabs>
              <w:tab w:val="right" w:leader="dot" w:pos="9016"/>
            </w:tabs>
            <w:rPr>
              <w:rFonts w:eastAsiaTheme="minorEastAsia"/>
              <w:noProof/>
              <w:lang w:eastAsia="en-AU"/>
            </w:rPr>
          </w:pPr>
          <w:hyperlink w:anchor="_Toc130217449" w:history="1">
            <w:r w:rsidR="00143685" w:rsidRPr="00832A39">
              <w:rPr>
                <w:rStyle w:val="Hyperlink"/>
                <w:rFonts w:eastAsia="Times New Roman"/>
                <w:noProof/>
                <w:lang w:eastAsia="en-AU"/>
              </w:rPr>
              <w:t>Key findings</w:t>
            </w:r>
            <w:r w:rsidR="00143685">
              <w:rPr>
                <w:noProof/>
                <w:webHidden/>
              </w:rPr>
              <w:tab/>
            </w:r>
            <w:r w:rsidR="00143685">
              <w:rPr>
                <w:noProof/>
                <w:webHidden/>
              </w:rPr>
              <w:fldChar w:fldCharType="begin"/>
            </w:r>
            <w:r w:rsidR="00143685">
              <w:rPr>
                <w:noProof/>
                <w:webHidden/>
              </w:rPr>
              <w:instrText xml:space="preserve"> PAGEREF _Toc130217449 \h </w:instrText>
            </w:r>
            <w:r w:rsidR="00143685">
              <w:rPr>
                <w:noProof/>
                <w:webHidden/>
              </w:rPr>
            </w:r>
            <w:r w:rsidR="00143685">
              <w:rPr>
                <w:noProof/>
                <w:webHidden/>
              </w:rPr>
              <w:fldChar w:fldCharType="separate"/>
            </w:r>
            <w:r>
              <w:rPr>
                <w:noProof/>
                <w:webHidden/>
              </w:rPr>
              <w:t>49</w:t>
            </w:r>
            <w:r w:rsidR="00143685">
              <w:rPr>
                <w:noProof/>
                <w:webHidden/>
              </w:rPr>
              <w:fldChar w:fldCharType="end"/>
            </w:r>
          </w:hyperlink>
        </w:p>
        <w:p w14:paraId="3C484E1F" w14:textId="175C7961" w:rsidR="00143685" w:rsidRDefault="00665C13">
          <w:pPr>
            <w:pStyle w:val="TOC3"/>
            <w:tabs>
              <w:tab w:val="right" w:leader="dot" w:pos="9016"/>
            </w:tabs>
            <w:rPr>
              <w:rFonts w:eastAsiaTheme="minorEastAsia"/>
              <w:noProof/>
              <w:lang w:eastAsia="en-AU"/>
            </w:rPr>
          </w:pPr>
          <w:hyperlink w:anchor="_Toc130217450" w:history="1">
            <w:r w:rsidR="00143685" w:rsidRPr="00832A39">
              <w:rPr>
                <w:rStyle w:val="Hyperlink"/>
                <w:rFonts w:eastAsia="Times New Roman"/>
                <w:noProof/>
                <w:lang w:eastAsia="en-AU"/>
              </w:rPr>
              <w:t>3.1 Current arrangements for delivering practical experience</w:t>
            </w:r>
            <w:r w:rsidR="00143685">
              <w:rPr>
                <w:noProof/>
                <w:webHidden/>
              </w:rPr>
              <w:tab/>
            </w:r>
            <w:r w:rsidR="00143685">
              <w:rPr>
                <w:noProof/>
                <w:webHidden/>
              </w:rPr>
              <w:fldChar w:fldCharType="begin"/>
            </w:r>
            <w:r w:rsidR="00143685">
              <w:rPr>
                <w:noProof/>
                <w:webHidden/>
              </w:rPr>
              <w:instrText xml:space="preserve"> PAGEREF _Toc130217450 \h </w:instrText>
            </w:r>
            <w:r w:rsidR="00143685">
              <w:rPr>
                <w:noProof/>
                <w:webHidden/>
              </w:rPr>
            </w:r>
            <w:r w:rsidR="00143685">
              <w:rPr>
                <w:noProof/>
                <w:webHidden/>
              </w:rPr>
              <w:fldChar w:fldCharType="separate"/>
            </w:r>
            <w:r>
              <w:rPr>
                <w:noProof/>
                <w:webHidden/>
              </w:rPr>
              <w:t>49</w:t>
            </w:r>
            <w:r w:rsidR="00143685">
              <w:rPr>
                <w:noProof/>
                <w:webHidden/>
              </w:rPr>
              <w:fldChar w:fldCharType="end"/>
            </w:r>
          </w:hyperlink>
        </w:p>
        <w:p w14:paraId="3CE9E22D" w14:textId="62F37854" w:rsidR="00143685" w:rsidRDefault="00665C13">
          <w:pPr>
            <w:pStyle w:val="TOC3"/>
            <w:tabs>
              <w:tab w:val="right" w:leader="dot" w:pos="9016"/>
            </w:tabs>
            <w:rPr>
              <w:rFonts w:eastAsiaTheme="minorEastAsia"/>
              <w:noProof/>
              <w:lang w:eastAsia="en-AU"/>
            </w:rPr>
          </w:pPr>
          <w:hyperlink w:anchor="_Toc130217451" w:history="1">
            <w:r w:rsidR="00143685" w:rsidRPr="00832A39">
              <w:rPr>
                <w:rStyle w:val="Hyperlink"/>
                <w:rFonts w:eastAsia="Times New Roman"/>
                <w:noProof/>
                <w:lang w:eastAsia="en-AU"/>
              </w:rPr>
              <w:t>3.2 Characteristics of high-quality practical experience placements</w:t>
            </w:r>
            <w:r w:rsidR="00143685">
              <w:rPr>
                <w:noProof/>
                <w:webHidden/>
              </w:rPr>
              <w:tab/>
            </w:r>
            <w:r w:rsidR="00143685">
              <w:rPr>
                <w:noProof/>
                <w:webHidden/>
              </w:rPr>
              <w:fldChar w:fldCharType="begin"/>
            </w:r>
            <w:r w:rsidR="00143685">
              <w:rPr>
                <w:noProof/>
                <w:webHidden/>
              </w:rPr>
              <w:instrText xml:space="preserve"> PAGEREF _Toc130217451 \h </w:instrText>
            </w:r>
            <w:r w:rsidR="00143685">
              <w:rPr>
                <w:noProof/>
                <w:webHidden/>
              </w:rPr>
            </w:r>
            <w:r w:rsidR="00143685">
              <w:rPr>
                <w:noProof/>
                <w:webHidden/>
              </w:rPr>
              <w:fldChar w:fldCharType="separate"/>
            </w:r>
            <w:r>
              <w:rPr>
                <w:noProof/>
                <w:webHidden/>
              </w:rPr>
              <w:t>49</w:t>
            </w:r>
            <w:r w:rsidR="00143685">
              <w:rPr>
                <w:noProof/>
                <w:webHidden/>
              </w:rPr>
              <w:fldChar w:fldCharType="end"/>
            </w:r>
          </w:hyperlink>
        </w:p>
        <w:p w14:paraId="7396B182" w14:textId="35629E15" w:rsidR="00143685" w:rsidRDefault="00665C13">
          <w:pPr>
            <w:pStyle w:val="TOC3"/>
            <w:tabs>
              <w:tab w:val="right" w:leader="dot" w:pos="9016"/>
            </w:tabs>
            <w:rPr>
              <w:rFonts w:eastAsiaTheme="minorEastAsia"/>
              <w:noProof/>
              <w:lang w:eastAsia="en-AU"/>
            </w:rPr>
          </w:pPr>
          <w:hyperlink w:anchor="_Toc130217452" w:history="1">
            <w:r w:rsidR="00143685" w:rsidRPr="00832A39">
              <w:rPr>
                <w:rStyle w:val="Hyperlink"/>
                <w:rFonts w:eastAsia="Times New Roman"/>
                <w:noProof/>
                <w:lang w:eastAsia="en-AU"/>
              </w:rPr>
              <w:t>3.3 Key challenges to delivering high-quality practical experience</w:t>
            </w:r>
            <w:r w:rsidR="00143685">
              <w:rPr>
                <w:noProof/>
                <w:webHidden/>
              </w:rPr>
              <w:tab/>
            </w:r>
            <w:r w:rsidR="00143685">
              <w:rPr>
                <w:noProof/>
                <w:webHidden/>
              </w:rPr>
              <w:fldChar w:fldCharType="begin"/>
            </w:r>
            <w:r w:rsidR="00143685">
              <w:rPr>
                <w:noProof/>
                <w:webHidden/>
              </w:rPr>
              <w:instrText xml:space="preserve"> PAGEREF _Toc130217452 \h </w:instrText>
            </w:r>
            <w:r w:rsidR="00143685">
              <w:rPr>
                <w:noProof/>
                <w:webHidden/>
              </w:rPr>
            </w:r>
            <w:r w:rsidR="00143685">
              <w:rPr>
                <w:noProof/>
                <w:webHidden/>
              </w:rPr>
              <w:fldChar w:fldCharType="separate"/>
            </w:r>
            <w:r>
              <w:rPr>
                <w:noProof/>
                <w:webHidden/>
              </w:rPr>
              <w:t>53</w:t>
            </w:r>
            <w:r w:rsidR="00143685">
              <w:rPr>
                <w:noProof/>
                <w:webHidden/>
              </w:rPr>
              <w:fldChar w:fldCharType="end"/>
            </w:r>
          </w:hyperlink>
        </w:p>
        <w:p w14:paraId="7724CE45" w14:textId="6827BD6E" w:rsidR="00143685" w:rsidRDefault="00665C13">
          <w:pPr>
            <w:pStyle w:val="TOC2"/>
            <w:tabs>
              <w:tab w:val="right" w:leader="dot" w:pos="9016"/>
            </w:tabs>
            <w:rPr>
              <w:rFonts w:eastAsiaTheme="minorEastAsia"/>
              <w:noProof/>
              <w:lang w:eastAsia="en-AU"/>
            </w:rPr>
          </w:pPr>
          <w:hyperlink w:anchor="_Toc130217453" w:history="1">
            <w:r w:rsidR="00143685" w:rsidRPr="00832A39">
              <w:rPr>
                <w:rStyle w:val="Hyperlink"/>
                <w:rFonts w:eastAsia="Times New Roman"/>
                <w:noProof/>
                <w:lang w:eastAsia="en-AU"/>
              </w:rPr>
              <w:t>Discussion</w:t>
            </w:r>
            <w:r w:rsidR="00143685">
              <w:rPr>
                <w:noProof/>
                <w:webHidden/>
              </w:rPr>
              <w:tab/>
            </w:r>
            <w:r w:rsidR="00143685">
              <w:rPr>
                <w:noProof/>
                <w:webHidden/>
              </w:rPr>
              <w:fldChar w:fldCharType="begin"/>
            </w:r>
            <w:r w:rsidR="00143685">
              <w:rPr>
                <w:noProof/>
                <w:webHidden/>
              </w:rPr>
              <w:instrText xml:space="preserve"> PAGEREF _Toc130217453 \h </w:instrText>
            </w:r>
            <w:r w:rsidR="00143685">
              <w:rPr>
                <w:noProof/>
                <w:webHidden/>
              </w:rPr>
            </w:r>
            <w:r w:rsidR="00143685">
              <w:rPr>
                <w:noProof/>
                <w:webHidden/>
              </w:rPr>
              <w:fldChar w:fldCharType="separate"/>
            </w:r>
            <w:r>
              <w:rPr>
                <w:noProof/>
                <w:webHidden/>
              </w:rPr>
              <w:t>56</w:t>
            </w:r>
            <w:r w:rsidR="00143685">
              <w:rPr>
                <w:noProof/>
                <w:webHidden/>
              </w:rPr>
              <w:fldChar w:fldCharType="end"/>
            </w:r>
          </w:hyperlink>
        </w:p>
        <w:p w14:paraId="5A0A2B9E" w14:textId="75387613" w:rsidR="00143685" w:rsidRDefault="00665C13">
          <w:pPr>
            <w:pStyle w:val="TOC3"/>
            <w:tabs>
              <w:tab w:val="right" w:leader="dot" w:pos="9016"/>
            </w:tabs>
            <w:rPr>
              <w:rFonts w:eastAsiaTheme="minorEastAsia"/>
              <w:noProof/>
              <w:lang w:eastAsia="en-AU"/>
            </w:rPr>
          </w:pPr>
          <w:hyperlink w:anchor="_Toc130217454" w:history="1">
            <w:r w:rsidR="00143685" w:rsidRPr="00832A39">
              <w:rPr>
                <w:rStyle w:val="Hyperlink"/>
                <w:rFonts w:eastAsia="Times New Roman"/>
                <w:noProof/>
                <w:lang w:eastAsia="en-AU"/>
              </w:rPr>
              <w:t>3.4 Opportunities</w:t>
            </w:r>
            <w:r w:rsidR="00143685">
              <w:rPr>
                <w:noProof/>
                <w:webHidden/>
              </w:rPr>
              <w:tab/>
            </w:r>
            <w:r w:rsidR="00143685">
              <w:rPr>
                <w:noProof/>
                <w:webHidden/>
              </w:rPr>
              <w:fldChar w:fldCharType="begin"/>
            </w:r>
            <w:r w:rsidR="00143685">
              <w:rPr>
                <w:noProof/>
                <w:webHidden/>
              </w:rPr>
              <w:instrText xml:space="preserve"> PAGEREF _Toc130217454 \h </w:instrText>
            </w:r>
            <w:r w:rsidR="00143685">
              <w:rPr>
                <w:noProof/>
                <w:webHidden/>
              </w:rPr>
            </w:r>
            <w:r w:rsidR="00143685">
              <w:rPr>
                <w:noProof/>
                <w:webHidden/>
              </w:rPr>
              <w:fldChar w:fldCharType="separate"/>
            </w:r>
            <w:r>
              <w:rPr>
                <w:noProof/>
                <w:webHidden/>
              </w:rPr>
              <w:t>56</w:t>
            </w:r>
            <w:r w:rsidR="00143685">
              <w:rPr>
                <w:noProof/>
                <w:webHidden/>
              </w:rPr>
              <w:fldChar w:fldCharType="end"/>
            </w:r>
          </w:hyperlink>
        </w:p>
        <w:p w14:paraId="533844A8" w14:textId="0B1408CD" w:rsidR="00143685" w:rsidRDefault="00665C13">
          <w:pPr>
            <w:pStyle w:val="TOC3"/>
            <w:tabs>
              <w:tab w:val="right" w:leader="dot" w:pos="9016"/>
            </w:tabs>
            <w:rPr>
              <w:rFonts w:eastAsiaTheme="minorEastAsia"/>
              <w:noProof/>
              <w:lang w:eastAsia="en-AU"/>
            </w:rPr>
          </w:pPr>
          <w:hyperlink w:anchor="_Toc130217455" w:history="1">
            <w:r w:rsidR="00143685" w:rsidRPr="00832A39">
              <w:rPr>
                <w:rStyle w:val="Hyperlink"/>
                <w:rFonts w:eastAsia="Times New Roman"/>
                <w:noProof/>
                <w:lang w:eastAsia="en-AU"/>
              </w:rPr>
              <w:t>3.5 Considerations</w:t>
            </w:r>
            <w:r w:rsidR="00143685">
              <w:rPr>
                <w:noProof/>
                <w:webHidden/>
              </w:rPr>
              <w:tab/>
            </w:r>
            <w:r w:rsidR="00143685">
              <w:rPr>
                <w:noProof/>
                <w:webHidden/>
              </w:rPr>
              <w:fldChar w:fldCharType="begin"/>
            </w:r>
            <w:r w:rsidR="00143685">
              <w:rPr>
                <w:noProof/>
                <w:webHidden/>
              </w:rPr>
              <w:instrText xml:space="preserve"> PAGEREF _Toc130217455 \h </w:instrText>
            </w:r>
            <w:r w:rsidR="00143685">
              <w:rPr>
                <w:noProof/>
                <w:webHidden/>
              </w:rPr>
            </w:r>
            <w:r w:rsidR="00143685">
              <w:rPr>
                <w:noProof/>
                <w:webHidden/>
              </w:rPr>
              <w:fldChar w:fldCharType="separate"/>
            </w:r>
            <w:r>
              <w:rPr>
                <w:noProof/>
                <w:webHidden/>
              </w:rPr>
              <w:t>57</w:t>
            </w:r>
            <w:r w:rsidR="00143685">
              <w:rPr>
                <w:noProof/>
                <w:webHidden/>
              </w:rPr>
              <w:fldChar w:fldCharType="end"/>
            </w:r>
          </w:hyperlink>
        </w:p>
        <w:p w14:paraId="30AECF54" w14:textId="5F369190" w:rsidR="00143685" w:rsidRDefault="00665C13">
          <w:pPr>
            <w:pStyle w:val="TOC1"/>
            <w:rPr>
              <w:rFonts w:eastAsiaTheme="minorEastAsia"/>
              <w:noProof/>
              <w:lang w:eastAsia="en-AU"/>
            </w:rPr>
          </w:pPr>
          <w:hyperlink w:anchor="_Toc130217456" w:history="1">
            <w:r w:rsidR="00143685" w:rsidRPr="00832A39">
              <w:rPr>
                <w:rStyle w:val="Hyperlink"/>
                <w:rFonts w:asciiTheme="majorHAnsi" w:eastAsia="Times New Roman" w:hAnsiTheme="majorHAnsi"/>
                <w:b/>
                <w:bCs/>
                <w:noProof/>
                <w:lang w:eastAsia="en-AU"/>
              </w:rPr>
              <w:t>Reform Area 4: Improve postgraduate ITE for mid-career entrants</w:t>
            </w:r>
            <w:r w:rsidR="00143685">
              <w:rPr>
                <w:noProof/>
                <w:webHidden/>
              </w:rPr>
              <w:tab/>
            </w:r>
            <w:r w:rsidR="00143685">
              <w:rPr>
                <w:noProof/>
                <w:webHidden/>
              </w:rPr>
              <w:fldChar w:fldCharType="begin"/>
            </w:r>
            <w:r w:rsidR="00143685">
              <w:rPr>
                <w:noProof/>
                <w:webHidden/>
              </w:rPr>
              <w:instrText xml:space="preserve"> PAGEREF _Toc130217456 \h </w:instrText>
            </w:r>
            <w:r w:rsidR="00143685">
              <w:rPr>
                <w:noProof/>
                <w:webHidden/>
              </w:rPr>
            </w:r>
            <w:r w:rsidR="00143685">
              <w:rPr>
                <w:noProof/>
                <w:webHidden/>
              </w:rPr>
              <w:fldChar w:fldCharType="separate"/>
            </w:r>
            <w:r>
              <w:rPr>
                <w:noProof/>
                <w:webHidden/>
              </w:rPr>
              <w:t>58</w:t>
            </w:r>
            <w:r w:rsidR="00143685">
              <w:rPr>
                <w:noProof/>
                <w:webHidden/>
              </w:rPr>
              <w:fldChar w:fldCharType="end"/>
            </w:r>
          </w:hyperlink>
        </w:p>
        <w:p w14:paraId="3D548B61" w14:textId="4D88506F" w:rsidR="00143685" w:rsidRDefault="00665C13">
          <w:pPr>
            <w:pStyle w:val="TOC2"/>
            <w:tabs>
              <w:tab w:val="right" w:leader="dot" w:pos="9016"/>
            </w:tabs>
            <w:rPr>
              <w:rFonts w:eastAsiaTheme="minorEastAsia"/>
              <w:noProof/>
              <w:lang w:eastAsia="en-AU"/>
            </w:rPr>
          </w:pPr>
          <w:hyperlink w:anchor="_Toc130217457" w:history="1">
            <w:r w:rsidR="00143685" w:rsidRPr="00832A39">
              <w:rPr>
                <w:rStyle w:val="Hyperlink"/>
                <w:rFonts w:eastAsia="Times New Roman"/>
                <w:noProof/>
                <w:lang w:eastAsia="en-AU"/>
              </w:rPr>
              <w:t>Key findings</w:t>
            </w:r>
            <w:r w:rsidR="00143685">
              <w:rPr>
                <w:noProof/>
                <w:webHidden/>
              </w:rPr>
              <w:tab/>
            </w:r>
            <w:r w:rsidR="00143685">
              <w:rPr>
                <w:noProof/>
                <w:webHidden/>
              </w:rPr>
              <w:fldChar w:fldCharType="begin"/>
            </w:r>
            <w:r w:rsidR="00143685">
              <w:rPr>
                <w:noProof/>
                <w:webHidden/>
              </w:rPr>
              <w:instrText xml:space="preserve"> PAGEREF _Toc130217457 \h </w:instrText>
            </w:r>
            <w:r w:rsidR="00143685">
              <w:rPr>
                <w:noProof/>
                <w:webHidden/>
              </w:rPr>
            </w:r>
            <w:r w:rsidR="00143685">
              <w:rPr>
                <w:noProof/>
                <w:webHidden/>
              </w:rPr>
              <w:fldChar w:fldCharType="separate"/>
            </w:r>
            <w:r>
              <w:rPr>
                <w:noProof/>
                <w:webHidden/>
              </w:rPr>
              <w:t>58</w:t>
            </w:r>
            <w:r w:rsidR="00143685">
              <w:rPr>
                <w:noProof/>
                <w:webHidden/>
              </w:rPr>
              <w:fldChar w:fldCharType="end"/>
            </w:r>
          </w:hyperlink>
        </w:p>
        <w:p w14:paraId="6F73D51D" w14:textId="0850988C" w:rsidR="00143685" w:rsidRDefault="00665C13">
          <w:pPr>
            <w:pStyle w:val="TOC3"/>
            <w:tabs>
              <w:tab w:val="right" w:leader="dot" w:pos="9016"/>
            </w:tabs>
            <w:rPr>
              <w:rFonts w:eastAsiaTheme="minorEastAsia"/>
              <w:noProof/>
              <w:lang w:eastAsia="en-AU"/>
            </w:rPr>
          </w:pPr>
          <w:hyperlink w:anchor="_Toc130217458" w:history="1">
            <w:r w:rsidR="00143685" w:rsidRPr="00832A39">
              <w:rPr>
                <w:rStyle w:val="Hyperlink"/>
                <w:rFonts w:eastAsia="Times New Roman"/>
                <w:noProof/>
                <w:lang w:eastAsia="en-AU"/>
              </w:rPr>
              <w:t>4.1 Characteristics of mid-career cohorts</w:t>
            </w:r>
            <w:r w:rsidR="00143685">
              <w:rPr>
                <w:noProof/>
                <w:webHidden/>
              </w:rPr>
              <w:tab/>
            </w:r>
            <w:r w:rsidR="00143685">
              <w:rPr>
                <w:noProof/>
                <w:webHidden/>
              </w:rPr>
              <w:fldChar w:fldCharType="begin"/>
            </w:r>
            <w:r w:rsidR="00143685">
              <w:rPr>
                <w:noProof/>
                <w:webHidden/>
              </w:rPr>
              <w:instrText xml:space="preserve"> PAGEREF _Toc130217458 \h </w:instrText>
            </w:r>
            <w:r w:rsidR="00143685">
              <w:rPr>
                <w:noProof/>
                <w:webHidden/>
              </w:rPr>
            </w:r>
            <w:r w:rsidR="00143685">
              <w:rPr>
                <w:noProof/>
                <w:webHidden/>
              </w:rPr>
              <w:fldChar w:fldCharType="separate"/>
            </w:r>
            <w:r>
              <w:rPr>
                <w:noProof/>
                <w:webHidden/>
              </w:rPr>
              <w:t>58</w:t>
            </w:r>
            <w:r w:rsidR="00143685">
              <w:rPr>
                <w:noProof/>
                <w:webHidden/>
              </w:rPr>
              <w:fldChar w:fldCharType="end"/>
            </w:r>
          </w:hyperlink>
        </w:p>
        <w:p w14:paraId="49C3A150" w14:textId="63BDC487" w:rsidR="00143685" w:rsidRDefault="00665C13">
          <w:pPr>
            <w:pStyle w:val="TOC3"/>
            <w:tabs>
              <w:tab w:val="right" w:leader="dot" w:pos="9016"/>
            </w:tabs>
            <w:rPr>
              <w:rFonts w:eastAsiaTheme="minorEastAsia"/>
              <w:noProof/>
              <w:lang w:eastAsia="en-AU"/>
            </w:rPr>
          </w:pPr>
          <w:hyperlink w:anchor="_Toc130217459" w:history="1">
            <w:r w:rsidR="00143685" w:rsidRPr="00832A39">
              <w:rPr>
                <w:rStyle w:val="Hyperlink"/>
                <w:rFonts w:eastAsia="Times New Roman"/>
                <w:noProof/>
                <w:lang w:eastAsia="en-AU"/>
              </w:rPr>
              <w:t>4.2 Barriers to engaging mid-career cohorts into teaching</w:t>
            </w:r>
            <w:r w:rsidR="00143685">
              <w:rPr>
                <w:noProof/>
                <w:webHidden/>
              </w:rPr>
              <w:tab/>
            </w:r>
            <w:r w:rsidR="00143685">
              <w:rPr>
                <w:noProof/>
                <w:webHidden/>
              </w:rPr>
              <w:fldChar w:fldCharType="begin"/>
            </w:r>
            <w:r w:rsidR="00143685">
              <w:rPr>
                <w:noProof/>
                <w:webHidden/>
              </w:rPr>
              <w:instrText xml:space="preserve"> PAGEREF _Toc130217459 \h </w:instrText>
            </w:r>
            <w:r w:rsidR="00143685">
              <w:rPr>
                <w:noProof/>
                <w:webHidden/>
              </w:rPr>
            </w:r>
            <w:r w:rsidR="00143685">
              <w:rPr>
                <w:noProof/>
                <w:webHidden/>
              </w:rPr>
              <w:fldChar w:fldCharType="separate"/>
            </w:r>
            <w:r>
              <w:rPr>
                <w:noProof/>
                <w:webHidden/>
              </w:rPr>
              <w:t>58</w:t>
            </w:r>
            <w:r w:rsidR="00143685">
              <w:rPr>
                <w:noProof/>
                <w:webHidden/>
              </w:rPr>
              <w:fldChar w:fldCharType="end"/>
            </w:r>
          </w:hyperlink>
        </w:p>
        <w:p w14:paraId="71104391" w14:textId="091DD6CA" w:rsidR="00143685" w:rsidRDefault="00665C13">
          <w:pPr>
            <w:pStyle w:val="TOC3"/>
            <w:tabs>
              <w:tab w:val="right" w:leader="dot" w:pos="9016"/>
            </w:tabs>
            <w:rPr>
              <w:rFonts w:eastAsiaTheme="minorEastAsia"/>
              <w:noProof/>
              <w:lang w:eastAsia="en-AU"/>
            </w:rPr>
          </w:pPr>
          <w:hyperlink w:anchor="_Toc130217460" w:history="1">
            <w:r w:rsidR="00143685" w:rsidRPr="00832A39">
              <w:rPr>
                <w:rStyle w:val="Hyperlink"/>
                <w:rFonts w:eastAsia="Times New Roman"/>
                <w:noProof/>
                <w:lang w:eastAsia="en-AU"/>
              </w:rPr>
              <w:t>4.3 Mid-career pathways across Australia</w:t>
            </w:r>
            <w:r w:rsidR="00143685">
              <w:rPr>
                <w:noProof/>
                <w:webHidden/>
              </w:rPr>
              <w:tab/>
            </w:r>
            <w:r w:rsidR="00143685">
              <w:rPr>
                <w:noProof/>
                <w:webHidden/>
              </w:rPr>
              <w:fldChar w:fldCharType="begin"/>
            </w:r>
            <w:r w:rsidR="00143685">
              <w:rPr>
                <w:noProof/>
                <w:webHidden/>
              </w:rPr>
              <w:instrText xml:space="preserve"> PAGEREF _Toc130217460 \h </w:instrText>
            </w:r>
            <w:r w:rsidR="00143685">
              <w:rPr>
                <w:noProof/>
                <w:webHidden/>
              </w:rPr>
            </w:r>
            <w:r w:rsidR="00143685">
              <w:rPr>
                <w:noProof/>
                <w:webHidden/>
              </w:rPr>
              <w:fldChar w:fldCharType="separate"/>
            </w:r>
            <w:r>
              <w:rPr>
                <w:noProof/>
                <w:webHidden/>
              </w:rPr>
              <w:t>60</w:t>
            </w:r>
            <w:r w:rsidR="00143685">
              <w:rPr>
                <w:noProof/>
                <w:webHidden/>
              </w:rPr>
              <w:fldChar w:fldCharType="end"/>
            </w:r>
          </w:hyperlink>
        </w:p>
        <w:p w14:paraId="17FCF2C9" w14:textId="3563AECF" w:rsidR="00143685" w:rsidRDefault="00665C13">
          <w:pPr>
            <w:pStyle w:val="TOC3"/>
            <w:tabs>
              <w:tab w:val="right" w:leader="dot" w:pos="9016"/>
            </w:tabs>
            <w:rPr>
              <w:rFonts w:eastAsiaTheme="minorEastAsia"/>
              <w:noProof/>
              <w:lang w:eastAsia="en-AU"/>
            </w:rPr>
          </w:pPr>
          <w:hyperlink w:anchor="_Toc130217461" w:history="1">
            <w:r w:rsidR="00143685" w:rsidRPr="00832A39">
              <w:rPr>
                <w:rStyle w:val="Hyperlink"/>
                <w:rFonts w:eastAsia="Times New Roman"/>
                <w:noProof/>
                <w:lang w:eastAsia="en-AU"/>
              </w:rPr>
              <w:t>4.4 Barriers to delivering mid-career pathways</w:t>
            </w:r>
            <w:r w:rsidR="00143685">
              <w:rPr>
                <w:noProof/>
                <w:webHidden/>
              </w:rPr>
              <w:tab/>
            </w:r>
            <w:r w:rsidR="00143685">
              <w:rPr>
                <w:noProof/>
                <w:webHidden/>
              </w:rPr>
              <w:fldChar w:fldCharType="begin"/>
            </w:r>
            <w:r w:rsidR="00143685">
              <w:rPr>
                <w:noProof/>
                <w:webHidden/>
              </w:rPr>
              <w:instrText xml:space="preserve"> PAGEREF _Toc130217461 \h </w:instrText>
            </w:r>
            <w:r w:rsidR="00143685">
              <w:rPr>
                <w:noProof/>
                <w:webHidden/>
              </w:rPr>
            </w:r>
            <w:r w:rsidR="00143685">
              <w:rPr>
                <w:noProof/>
                <w:webHidden/>
              </w:rPr>
              <w:fldChar w:fldCharType="separate"/>
            </w:r>
            <w:r>
              <w:rPr>
                <w:noProof/>
                <w:webHidden/>
              </w:rPr>
              <w:t>62</w:t>
            </w:r>
            <w:r w:rsidR="00143685">
              <w:rPr>
                <w:noProof/>
                <w:webHidden/>
              </w:rPr>
              <w:fldChar w:fldCharType="end"/>
            </w:r>
          </w:hyperlink>
        </w:p>
        <w:p w14:paraId="5DFACC14" w14:textId="533F01E1" w:rsidR="00143685" w:rsidRDefault="00665C13">
          <w:pPr>
            <w:pStyle w:val="TOC2"/>
            <w:tabs>
              <w:tab w:val="right" w:leader="dot" w:pos="9016"/>
            </w:tabs>
            <w:rPr>
              <w:rFonts w:eastAsiaTheme="minorEastAsia"/>
              <w:noProof/>
              <w:lang w:eastAsia="en-AU"/>
            </w:rPr>
          </w:pPr>
          <w:hyperlink w:anchor="_Toc130217462" w:history="1">
            <w:r w:rsidR="00143685" w:rsidRPr="00832A39">
              <w:rPr>
                <w:rStyle w:val="Hyperlink"/>
                <w:rFonts w:eastAsia="Times New Roman"/>
                <w:noProof/>
                <w:lang w:eastAsia="en-AU"/>
              </w:rPr>
              <w:t>Discussion</w:t>
            </w:r>
            <w:r w:rsidR="00143685">
              <w:rPr>
                <w:noProof/>
                <w:webHidden/>
              </w:rPr>
              <w:tab/>
            </w:r>
            <w:r w:rsidR="00143685">
              <w:rPr>
                <w:noProof/>
                <w:webHidden/>
              </w:rPr>
              <w:fldChar w:fldCharType="begin"/>
            </w:r>
            <w:r w:rsidR="00143685">
              <w:rPr>
                <w:noProof/>
                <w:webHidden/>
              </w:rPr>
              <w:instrText xml:space="preserve"> PAGEREF _Toc130217462 \h </w:instrText>
            </w:r>
            <w:r w:rsidR="00143685">
              <w:rPr>
                <w:noProof/>
                <w:webHidden/>
              </w:rPr>
            </w:r>
            <w:r w:rsidR="00143685">
              <w:rPr>
                <w:noProof/>
                <w:webHidden/>
              </w:rPr>
              <w:fldChar w:fldCharType="separate"/>
            </w:r>
            <w:r>
              <w:rPr>
                <w:noProof/>
                <w:webHidden/>
              </w:rPr>
              <w:t>63</w:t>
            </w:r>
            <w:r w:rsidR="00143685">
              <w:rPr>
                <w:noProof/>
                <w:webHidden/>
              </w:rPr>
              <w:fldChar w:fldCharType="end"/>
            </w:r>
          </w:hyperlink>
        </w:p>
        <w:p w14:paraId="79740AE8" w14:textId="05C53E8D" w:rsidR="00143685" w:rsidRDefault="00665C13">
          <w:pPr>
            <w:pStyle w:val="TOC3"/>
            <w:tabs>
              <w:tab w:val="right" w:leader="dot" w:pos="9016"/>
            </w:tabs>
            <w:rPr>
              <w:rFonts w:eastAsiaTheme="minorEastAsia"/>
              <w:noProof/>
              <w:lang w:eastAsia="en-AU"/>
            </w:rPr>
          </w:pPr>
          <w:hyperlink w:anchor="_Toc130217463" w:history="1">
            <w:r w:rsidR="00143685" w:rsidRPr="00832A39">
              <w:rPr>
                <w:rStyle w:val="Hyperlink"/>
                <w:rFonts w:eastAsia="Times New Roman"/>
                <w:noProof/>
                <w:lang w:eastAsia="en-AU"/>
              </w:rPr>
              <w:t>4.5 Opportunities</w:t>
            </w:r>
            <w:r w:rsidR="00143685">
              <w:rPr>
                <w:noProof/>
                <w:webHidden/>
              </w:rPr>
              <w:tab/>
            </w:r>
            <w:r w:rsidR="00143685">
              <w:rPr>
                <w:noProof/>
                <w:webHidden/>
              </w:rPr>
              <w:fldChar w:fldCharType="begin"/>
            </w:r>
            <w:r w:rsidR="00143685">
              <w:rPr>
                <w:noProof/>
                <w:webHidden/>
              </w:rPr>
              <w:instrText xml:space="preserve"> PAGEREF _Toc130217463 \h </w:instrText>
            </w:r>
            <w:r w:rsidR="00143685">
              <w:rPr>
                <w:noProof/>
                <w:webHidden/>
              </w:rPr>
            </w:r>
            <w:r w:rsidR="00143685">
              <w:rPr>
                <w:noProof/>
                <w:webHidden/>
              </w:rPr>
              <w:fldChar w:fldCharType="separate"/>
            </w:r>
            <w:r>
              <w:rPr>
                <w:noProof/>
                <w:webHidden/>
              </w:rPr>
              <w:t>63</w:t>
            </w:r>
            <w:r w:rsidR="00143685">
              <w:rPr>
                <w:noProof/>
                <w:webHidden/>
              </w:rPr>
              <w:fldChar w:fldCharType="end"/>
            </w:r>
          </w:hyperlink>
        </w:p>
        <w:p w14:paraId="73D358D8" w14:textId="6467F861" w:rsidR="00143685" w:rsidRDefault="00665C13">
          <w:pPr>
            <w:pStyle w:val="TOC3"/>
            <w:tabs>
              <w:tab w:val="right" w:leader="dot" w:pos="9016"/>
            </w:tabs>
            <w:rPr>
              <w:rFonts w:eastAsiaTheme="minorEastAsia"/>
              <w:noProof/>
              <w:lang w:eastAsia="en-AU"/>
            </w:rPr>
          </w:pPr>
          <w:hyperlink w:anchor="_Toc130217464" w:history="1">
            <w:r w:rsidR="00143685" w:rsidRPr="00832A39">
              <w:rPr>
                <w:rStyle w:val="Hyperlink"/>
                <w:rFonts w:eastAsia="Times New Roman"/>
                <w:noProof/>
                <w:lang w:eastAsia="en-AU"/>
              </w:rPr>
              <w:t>4.6 Considerations</w:t>
            </w:r>
            <w:r w:rsidR="00143685">
              <w:rPr>
                <w:noProof/>
                <w:webHidden/>
              </w:rPr>
              <w:tab/>
            </w:r>
            <w:r w:rsidR="00143685">
              <w:rPr>
                <w:noProof/>
                <w:webHidden/>
              </w:rPr>
              <w:fldChar w:fldCharType="begin"/>
            </w:r>
            <w:r w:rsidR="00143685">
              <w:rPr>
                <w:noProof/>
                <w:webHidden/>
              </w:rPr>
              <w:instrText xml:space="preserve"> PAGEREF _Toc130217464 \h </w:instrText>
            </w:r>
            <w:r w:rsidR="00143685">
              <w:rPr>
                <w:noProof/>
                <w:webHidden/>
              </w:rPr>
            </w:r>
            <w:r w:rsidR="00143685">
              <w:rPr>
                <w:noProof/>
                <w:webHidden/>
              </w:rPr>
              <w:fldChar w:fldCharType="separate"/>
            </w:r>
            <w:r>
              <w:rPr>
                <w:noProof/>
                <w:webHidden/>
              </w:rPr>
              <w:t>63</w:t>
            </w:r>
            <w:r w:rsidR="00143685">
              <w:rPr>
                <w:noProof/>
                <w:webHidden/>
              </w:rPr>
              <w:fldChar w:fldCharType="end"/>
            </w:r>
          </w:hyperlink>
        </w:p>
        <w:p w14:paraId="0E044C56" w14:textId="26A7A655" w:rsidR="00143685" w:rsidRDefault="00665C13">
          <w:pPr>
            <w:pStyle w:val="TOC1"/>
            <w:rPr>
              <w:rFonts w:eastAsiaTheme="minorEastAsia"/>
              <w:noProof/>
              <w:lang w:eastAsia="en-AU"/>
            </w:rPr>
          </w:pPr>
          <w:hyperlink w:anchor="_Toc130217465" w:history="1">
            <w:r w:rsidR="00143685" w:rsidRPr="00832A39">
              <w:rPr>
                <w:rStyle w:val="Hyperlink"/>
                <w:rFonts w:asciiTheme="majorHAnsi" w:eastAsia="Times New Roman" w:hAnsiTheme="majorHAnsi" w:cstheme="majorHAnsi"/>
                <w:b/>
                <w:noProof/>
                <w:lang w:eastAsia="en-AU"/>
              </w:rPr>
              <w:t>References</w:t>
            </w:r>
            <w:r w:rsidR="00143685">
              <w:rPr>
                <w:noProof/>
                <w:webHidden/>
              </w:rPr>
              <w:tab/>
            </w:r>
            <w:r w:rsidR="00143685">
              <w:rPr>
                <w:noProof/>
                <w:webHidden/>
              </w:rPr>
              <w:fldChar w:fldCharType="begin"/>
            </w:r>
            <w:r w:rsidR="00143685">
              <w:rPr>
                <w:noProof/>
                <w:webHidden/>
              </w:rPr>
              <w:instrText xml:space="preserve"> PAGEREF _Toc130217465 \h </w:instrText>
            </w:r>
            <w:r w:rsidR="00143685">
              <w:rPr>
                <w:noProof/>
                <w:webHidden/>
              </w:rPr>
            </w:r>
            <w:r w:rsidR="00143685">
              <w:rPr>
                <w:noProof/>
                <w:webHidden/>
              </w:rPr>
              <w:fldChar w:fldCharType="separate"/>
            </w:r>
            <w:r>
              <w:rPr>
                <w:noProof/>
                <w:webHidden/>
              </w:rPr>
              <w:t>65</w:t>
            </w:r>
            <w:r w:rsidR="00143685">
              <w:rPr>
                <w:noProof/>
                <w:webHidden/>
              </w:rPr>
              <w:fldChar w:fldCharType="end"/>
            </w:r>
          </w:hyperlink>
        </w:p>
        <w:p w14:paraId="2FE80E73" w14:textId="55F12814" w:rsidR="47C32BB2" w:rsidRDefault="00355C83" w:rsidP="00BE5A87">
          <w:pPr>
            <w:pStyle w:val="TOC1"/>
            <w:rPr>
              <w:rStyle w:val="Hyperlink"/>
            </w:rPr>
          </w:pPr>
          <w:r>
            <w:fldChar w:fldCharType="end"/>
          </w:r>
        </w:p>
      </w:sdtContent>
    </w:sdt>
    <w:p w14:paraId="41BEB593" w14:textId="75C8E23C" w:rsidR="00C63835" w:rsidRDefault="00C63835"/>
    <w:p w14:paraId="14A4183F" w14:textId="148AF665" w:rsidR="007B2CA1" w:rsidRDefault="007B2CA1">
      <w:r>
        <w:br w:type="page"/>
      </w:r>
    </w:p>
    <w:p w14:paraId="39D5AF0E" w14:textId="78A956BA" w:rsidR="00B707E9" w:rsidRPr="00EC6B48" w:rsidRDefault="00B707E9" w:rsidP="0034398A">
      <w:pPr>
        <w:pStyle w:val="Heading1"/>
        <w:spacing w:before="0" w:after="240" w:line="240" w:lineRule="auto"/>
        <w:jc w:val="left"/>
        <w:rPr>
          <w:rFonts w:asciiTheme="majorHAnsi" w:eastAsia="Times New Roman" w:hAnsiTheme="majorHAnsi"/>
          <w:b/>
          <w:color w:val="002C3E" w:themeColor="background2"/>
          <w:sz w:val="44"/>
          <w:szCs w:val="44"/>
          <w:lang w:eastAsia="en-AU"/>
        </w:rPr>
      </w:pPr>
      <w:bookmarkStart w:id="0" w:name="_Toc127978370"/>
      <w:bookmarkStart w:id="1" w:name="_Toc128649070"/>
      <w:bookmarkStart w:id="2" w:name="_Toc130217426"/>
      <w:r w:rsidRPr="47C32BB2">
        <w:rPr>
          <w:rFonts w:asciiTheme="majorHAnsi" w:eastAsia="Times New Roman" w:hAnsiTheme="majorHAnsi"/>
          <w:b/>
          <w:color w:val="002C3E" w:themeColor="background2"/>
          <w:sz w:val="44"/>
          <w:szCs w:val="44"/>
          <w:lang w:eastAsia="en-AU"/>
        </w:rPr>
        <w:lastRenderedPageBreak/>
        <w:t>Introduction</w:t>
      </w:r>
      <w:bookmarkEnd w:id="0"/>
      <w:bookmarkEnd w:id="1"/>
      <w:bookmarkEnd w:id="2"/>
      <w:r w:rsidRPr="47C32BB2">
        <w:rPr>
          <w:rFonts w:asciiTheme="majorHAnsi" w:eastAsia="Times New Roman" w:hAnsiTheme="majorHAnsi"/>
          <w:b/>
          <w:color w:val="002C3E" w:themeColor="background2"/>
          <w:sz w:val="44"/>
          <w:szCs w:val="44"/>
          <w:lang w:eastAsia="en-AU"/>
        </w:rPr>
        <w:t> </w:t>
      </w:r>
    </w:p>
    <w:p w14:paraId="27E4923A" w14:textId="564ED04E" w:rsidR="00420A51" w:rsidRDefault="49A929FC" w:rsidP="58EEFCE8">
      <w:pPr>
        <w:spacing w:after="120" w:line="240" w:lineRule="auto"/>
        <w:textAlignment w:val="baseline"/>
        <w:rPr>
          <w:sz w:val="24"/>
          <w:szCs w:val="24"/>
        </w:rPr>
      </w:pPr>
      <w:r w:rsidRPr="004963DE">
        <w:rPr>
          <w:rFonts w:ascii="Calibri" w:eastAsia="Times New Roman" w:hAnsi="Calibri" w:cs="Calibri"/>
          <w:color w:val="000000"/>
          <w:sz w:val="24"/>
          <w:szCs w:val="24"/>
          <w:shd w:val="clear" w:color="auto" w:fill="FFFFFF"/>
          <w:lang w:eastAsia="en-AU"/>
        </w:rPr>
        <w:t>Initial Teacher Education (</w:t>
      </w:r>
      <w:r w:rsidR="00B707E9" w:rsidRPr="004963DE">
        <w:rPr>
          <w:rFonts w:ascii="Calibri" w:eastAsia="Times New Roman" w:hAnsi="Calibri" w:cs="Calibri"/>
          <w:color w:val="000000"/>
          <w:sz w:val="24"/>
          <w:szCs w:val="24"/>
          <w:shd w:val="clear" w:color="auto" w:fill="FFFFFF"/>
          <w:lang w:eastAsia="en-AU"/>
        </w:rPr>
        <w:t>ITE</w:t>
      </w:r>
      <w:r w:rsidR="381EDE4B" w:rsidRPr="004963DE">
        <w:rPr>
          <w:rFonts w:ascii="Calibri" w:eastAsia="Times New Roman" w:hAnsi="Calibri" w:cs="Calibri"/>
          <w:color w:val="000000"/>
          <w:sz w:val="24"/>
          <w:szCs w:val="24"/>
          <w:shd w:val="clear" w:color="auto" w:fill="FFFFFF"/>
          <w:lang w:eastAsia="en-AU"/>
        </w:rPr>
        <w:t>)</w:t>
      </w:r>
      <w:r w:rsidR="00B707E9" w:rsidRPr="004963DE">
        <w:rPr>
          <w:rFonts w:ascii="Calibri" w:eastAsia="Times New Roman" w:hAnsi="Calibri" w:cs="Calibri"/>
          <w:color w:val="000000"/>
          <w:sz w:val="24"/>
          <w:szCs w:val="24"/>
          <w:shd w:val="clear" w:color="auto" w:fill="FFFFFF"/>
          <w:lang w:eastAsia="en-AU"/>
        </w:rPr>
        <w:t xml:space="preserve"> has been the subject of </w:t>
      </w:r>
      <w:r w:rsidR="00B12F86" w:rsidRPr="004963DE">
        <w:rPr>
          <w:rFonts w:ascii="Calibri" w:eastAsia="Times New Roman" w:hAnsi="Calibri" w:cs="Calibri"/>
          <w:color w:val="000000"/>
          <w:sz w:val="24"/>
          <w:szCs w:val="24"/>
          <w:shd w:val="clear" w:color="auto" w:fill="FFFFFF"/>
          <w:lang w:eastAsia="en-AU"/>
        </w:rPr>
        <w:t xml:space="preserve">significant national reform and </w:t>
      </w:r>
      <w:r w:rsidR="00B707E9" w:rsidRPr="004963DE">
        <w:rPr>
          <w:rFonts w:ascii="Calibri" w:eastAsia="Times New Roman" w:hAnsi="Calibri" w:cs="Calibri"/>
          <w:color w:val="000000"/>
          <w:sz w:val="24"/>
          <w:szCs w:val="24"/>
          <w:shd w:val="clear" w:color="auto" w:fill="FFFFFF"/>
          <w:lang w:eastAsia="en-AU"/>
        </w:rPr>
        <w:t>review</w:t>
      </w:r>
      <w:r w:rsidR="002505B8" w:rsidRPr="004963DE">
        <w:rPr>
          <w:rFonts w:ascii="Calibri" w:eastAsia="Times New Roman" w:hAnsi="Calibri" w:cs="Calibri"/>
          <w:color w:val="000000"/>
          <w:sz w:val="24"/>
          <w:szCs w:val="24"/>
          <w:shd w:val="clear" w:color="auto" w:fill="FFFFFF"/>
          <w:lang w:eastAsia="en-AU"/>
        </w:rPr>
        <w:t xml:space="preserve">. </w:t>
      </w:r>
      <w:r w:rsidR="009510A9" w:rsidRPr="004963DE">
        <w:rPr>
          <w:rFonts w:ascii="Calibri" w:eastAsia="Times New Roman" w:hAnsi="Calibri" w:cs="Calibri"/>
          <w:color w:val="000000"/>
          <w:sz w:val="24"/>
          <w:szCs w:val="24"/>
          <w:shd w:val="clear" w:color="auto" w:fill="FFFFFF"/>
          <w:lang w:eastAsia="en-AU"/>
        </w:rPr>
        <w:t xml:space="preserve">Reforms </w:t>
      </w:r>
      <w:r w:rsidR="005353A3" w:rsidRPr="004963DE">
        <w:rPr>
          <w:rFonts w:ascii="Calibri" w:eastAsia="Times New Roman" w:hAnsi="Calibri" w:cs="Calibri"/>
          <w:color w:val="000000"/>
          <w:sz w:val="24"/>
          <w:szCs w:val="24"/>
          <w:shd w:val="clear" w:color="auto" w:fill="FFFFFF"/>
          <w:lang w:eastAsia="en-AU"/>
        </w:rPr>
        <w:t>identified by</w:t>
      </w:r>
      <w:r w:rsidR="009510A9" w:rsidRPr="004963DE">
        <w:rPr>
          <w:rFonts w:ascii="Calibri" w:eastAsia="Times New Roman" w:hAnsi="Calibri" w:cs="Calibri"/>
          <w:color w:val="000000"/>
          <w:sz w:val="24"/>
          <w:szCs w:val="24"/>
          <w:shd w:val="clear" w:color="auto" w:fill="FFFFFF"/>
          <w:lang w:eastAsia="en-AU"/>
        </w:rPr>
        <w:t xml:space="preserve"> t</w:t>
      </w:r>
      <w:r w:rsidR="002505B8" w:rsidRPr="004963DE">
        <w:rPr>
          <w:sz w:val="24"/>
          <w:szCs w:val="24"/>
        </w:rPr>
        <w:t xml:space="preserve">he </w:t>
      </w:r>
      <w:hyperlink r:id="rId18" w:tgtFrame="_blank" w:history="1">
        <w:r w:rsidR="00B44C2F" w:rsidRPr="004963DE">
          <w:rPr>
            <w:rFonts w:ascii="Calibri" w:eastAsia="Times New Roman" w:hAnsi="Calibri" w:cs="Calibri"/>
            <w:color w:val="0563C1"/>
            <w:sz w:val="24"/>
            <w:szCs w:val="24"/>
            <w:u w:val="single"/>
            <w:shd w:val="clear" w:color="auto" w:fill="FFFFFF"/>
            <w:lang w:eastAsia="en-AU"/>
          </w:rPr>
          <w:t>Teacher Education Ministerial Advisory Group (TEMAG)</w:t>
        </w:r>
      </w:hyperlink>
      <w:r w:rsidR="4919C4BC" w:rsidRPr="004963DE">
        <w:rPr>
          <w:sz w:val="24"/>
          <w:szCs w:val="24"/>
        </w:rPr>
        <w:t xml:space="preserve"> </w:t>
      </w:r>
      <w:r w:rsidR="715484C8" w:rsidRPr="004963DE">
        <w:rPr>
          <w:sz w:val="24"/>
          <w:szCs w:val="24"/>
        </w:rPr>
        <w:t xml:space="preserve">in 2014 </w:t>
      </w:r>
      <w:r w:rsidR="62C58DEC" w:rsidRPr="58EEFCE8">
        <w:rPr>
          <w:sz w:val="24"/>
          <w:szCs w:val="24"/>
        </w:rPr>
        <w:t xml:space="preserve">(TEMAG 2014) </w:t>
      </w:r>
      <w:r w:rsidR="4919C4BC" w:rsidRPr="004963DE">
        <w:rPr>
          <w:sz w:val="24"/>
          <w:szCs w:val="24"/>
        </w:rPr>
        <w:t xml:space="preserve">have been </w:t>
      </w:r>
      <w:r w:rsidR="48AD0B0E" w:rsidRPr="004963DE">
        <w:rPr>
          <w:sz w:val="24"/>
          <w:szCs w:val="24"/>
        </w:rPr>
        <w:t>progressively implemented since 2015</w:t>
      </w:r>
      <w:r w:rsidR="1165EC8D" w:rsidRPr="004963DE">
        <w:rPr>
          <w:sz w:val="24"/>
          <w:szCs w:val="24"/>
        </w:rPr>
        <w:t xml:space="preserve"> and </w:t>
      </w:r>
      <w:r w:rsidR="458920CA">
        <w:rPr>
          <w:sz w:val="24"/>
          <w:szCs w:val="24"/>
        </w:rPr>
        <w:t xml:space="preserve">have </w:t>
      </w:r>
      <w:r w:rsidR="7BA1EBCB">
        <w:rPr>
          <w:sz w:val="24"/>
          <w:szCs w:val="24"/>
        </w:rPr>
        <w:t xml:space="preserve">led to significant progress in </w:t>
      </w:r>
      <w:r w:rsidR="7BA1EBCB" w:rsidRPr="008D4A4D">
        <w:rPr>
          <w:sz w:val="24"/>
          <w:szCs w:val="24"/>
        </w:rPr>
        <w:t>raising standards in the selection and preparation of teachers</w:t>
      </w:r>
      <w:r w:rsidR="141E48D5">
        <w:rPr>
          <w:sz w:val="24"/>
          <w:szCs w:val="24"/>
        </w:rPr>
        <w:t xml:space="preserve">. </w:t>
      </w:r>
    </w:p>
    <w:p w14:paraId="081B649B" w14:textId="6F48D4D0" w:rsidR="001E2CA1" w:rsidRDefault="00462F24" w:rsidP="007F434B">
      <w:pPr>
        <w:spacing w:after="0" w:line="240" w:lineRule="auto"/>
        <w:textAlignment w:val="baseline"/>
        <w:rPr>
          <w:rFonts w:ascii="Calibri" w:eastAsia="Times New Roman" w:hAnsi="Calibri" w:cs="Calibri"/>
          <w:color w:val="000000"/>
          <w:sz w:val="24"/>
          <w:szCs w:val="24"/>
          <w:shd w:val="clear" w:color="auto" w:fill="FFFFFF"/>
          <w:lang w:eastAsia="en-AU"/>
        </w:rPr>
      </w:pPr>
      <w:r>
        <w:rPr>
          <w:sz w:val="24"/>
          <w:szCs w:val="24"/>
        </w:rPr>
        <w:t>Despite these efforts, t</w:t>
      </w:r>
      <w:r w:rsidR="00B44C2F" w:rsidRPr="004963DE">
        <w:rPr>
          <w:sz w:val="24"/>
          <w:szCs w:val="24"/>
        </w:rPr>
        <w:t xml:space="preserve">he 2022 </w:t>
      </w:r>
      <w:hyperlink r:id="rId19" w:tgtFrame="_blank" w:history="1">
        <w:r w:rsidR="00B707E9" w:rsidRPr="004963DE">
          <w:rPr>
            <w:rFonts w:ascii="Calibri" w:eastAsia="Times New Roman" w:hAnsi="Calibri" w:cs="Calibri"/>
            <w:color w:val="0563C1"/>
            <w:sz w:val="24"/>
            <w:szCs w:val="24"/>
            <w:u w:val="single"/>
            <w:shd w:val="clear" w:color="auto" w:fill="FFFFFF"/>
            <w:lang w:eastAsia="en-AU"/>
          </w:rPr>
          <w:t>Quality Initial Teacher Education (QITE) Review</w:t>
        </w:r>
      </w:hyperlink>
      <w:r w:rsidR="00F77751">
        <w:rPr>
          <w:rFonts w:ascii="Calibri" w:eastAsia="Times New Roman" w:hAnsi="Calibri" w:cs="Calibri"/>
          <w:color w:val="000000"/>
          <w:sz w:val="24"/>
          <w:szCs w:val="24"/>
          <w:shd w:val="clear" w:color="auto" w:fill="FFFFFF"/>
          <w:lang w:eastAsia="en-AU"/>
        </w:rPr>
        <w:t xml:space="preserve"> </w:t>
      </w:r>
      <w:r w:rsidR="00E850CA">
        <w:rPr>
          <w:rFonts w:ascii="Calibri" w:eastAsia="Times New Roman" w:hAnsi="Calibri" w:cs="Calibri"/>
          <w:color w:val="000000"/>
          <w:sz w:val="24"/>
          <w:szCs w:val="24"/>
          <w:shd w:val="clear" w:color="auto" w:fill="FFFFFF"/>
          <w:lang w:eastAsia="en-AU"/>
        </w:rPr>
        <w:t>identified the need for</w:t>
      </w:r>
      <w:r>
        <w:rPr>
          <w:rFonts w:ascii="Calibri" w:eastAsia="Times New Roman" w:hAnsi="Calibri" w:cs="Calibri"/>
          <w:color w:val="000000"/>
          <w:sz w:val="24"/>
          <w:szCs w:val="24"/>
          <w:shd w:val="clear" w:color="auto" w:fill="FFFFFF"/>
          <w:lang w:eastAsia="en-AU"/>
        </w:rPr>
        <w:t xml:space="preserve"> further</w:t>
      </w:r>
      <w:r w:rsidR="00E850CA">
        <w:rPr>
          <w:rFonts w:ascii="Calibri" w:eastAsia="Times New Roman" w:hAnsi="Calibri" w:cs="Calibri"/>
          <w:color w:val="000000"/>
          <w:sz w:val="24"/>
          <w:szCs w:val="24"/>
          <w:shd w:val="clear" w:color="auto" w:fill="FFFFFF"/>
          <w:lang w:eastAsia="en-AU"/>
        </w:rPr>
        <w:t xml:space="preserve"> reform to </w:t>
      </w:r>
      <w:r w:rsidR="009F171F">
        <w:rPr>
          <w:rFonts w:ascii="Calibri" w:eastAsia="Times New Roman" w:hAnsi="Calibri" w:cs="Calibri"/>
          <w:color w:val="000000"/>
          <w:sz w:val="24"/>
          <w:szCs w:val="24"/>
          <w:shd w:val="clear" w:color="auto" w:fill="FFFFFF"/>
          <w:lang w:eastAsia="en-AU"/>
        </w:rPr>
        <w:t>attract high</w:t>
      </w:r>
      <w:r w:rsidR="009777C6">
        <w:rPr>
          <w:rFonts w:ascii="Calibri" w:eastAsia="Times New Roman" w:hAnsi="Calibri" w:cs="Calibri"/>
          <w:color w:val="000000"/>
          <w:sz w:val="24"/>
          <w:szCs w:val="24"/>
          <w:shd w:val="clear" w:color="auto" w:fill="FFFFFF"/>
          <w:lang w:eastAsia="en-AU"/>
        </w:rPr>
        <w:t>-</w:t>
      </w:r>
      <w:r w:rsidR="009F171F">
        <w:rPr>
          <w:rFonts w:ascii="Calibri" w:eastAsia="Times New Roman" w:hAnsi="Calibri" w:cs="Calibri"/>
          <w:color w:val="000000"/>
          <w:sz w:val="24"/>
          <w:szCs w:val="24"/>
          <w:shd w:val="clear" w:color="auto" w:fill="FFFFFF"/>
          <w:lang w:eastAsia="en-AU"/>
        </w:rPr>
        <w:t>quality divers</w:t>
      </w:r>
      <w:r w:rsidR="007D2F7D">
        <w:rPr>
          <w:rFonts w:ascii="Calibri" w:eastAsia="Times New Roman" w:hAnsi="Calibri" w:cs="Calibri"/>
          <w:color w:val="000000"/>
          <w:sz w:val="24"/>
          <w:szCs w:val="24"/>
          <w:shd w:val="clear" w:color="auto" w:fill="FFFFFF"/>
          <w:lang w:eastAsia="en-AU"/>
        </w:rPr>
        <w:t>e</w:t>
      </w:r>
      <w:r w:rsidR="009F171F">
        <w:rPr>
          <w:rFonts w:ascii="Calibri" w:eastAsia="Times New Roman" w:hAnsi="Calibri" w:cs="Calibri"/>
          <w:color w:val="000000"/>
          <w:sz w:val="24"/>
          <w:szCs w:val="24"/>
          <w:shd w:val="clear" w:color="auto" w:fill="FFFFFF"/>
          <w:lang w:eastAsia="en-AU"/>
        </w:rPr>
        <w:t xml:space="preserve"> candidates, </w:t>
      </w:r>
      <w:r w:rsidR="420FBC34">
        <w:rPr>
          <w:rFonts w:ascii="Calibri" w:eastAsia="Times New Roman" w:hAnsi="Calibri" w:cs="Calibri"/>
          <w:color w:val="000000"/>
          <w:sz w:val="24"/>
          <w:szCs w:val="24"/>
          <w:shd w:val="clear" w:color="auto" w:fill="FFFFFF"/>
          <w:lang w:eastAsia="en-AU"/>
        </w:rPr>
        <w:t xml:space="preserve">to </w:t>
      </w:r>
      <w:r w:rsidR="004010F0">
        <w:rPr>
          <w:rFonts w:ascii="Calibri" w:eastAsia="Times New Roman" w:hAnsi="Calibri" w:cs="Calibri"/>
          <w:color w:val="000000"/>
          <w:sz w:val="24"/>
          <w:szCs w:val="24"/>
          <w:shd w:val="clear" w:color="auto" w:fill="FFFFFF"/>
          <w:lang w:eastAsia="en-AU"/>
        </w:rPr>
        <w:t xml:space="preserve">ensure </w:t>
      </w:r>
      <w:r w:rsidR="002C4CC6">
        <w:rPr>
          <w:rFonts w:ascii="Calibri" w:eastAsia="Times New Roman" w:hAnsi="Calibri" w:cs="Calibri"/>
          <w:color w:val="000000"/>
          <w:sz w:val="24"/>
          <w:szCs w:val="24"/>
          <w:shd w:val="clear" w:color="auto" w:fill="FFFFFF"/>
          <w:lang w:eastAsia="en-AU"/>
        </w:rPr>
        <w:t xml:space="preserve">their </w:t>
      </w:r>
      <w:r w:rsidR="004010F0">
        <w:rPr>
          <w:rFonts w:ascii="Calibri" w:eastAsia="Times New Roman" w:hAnsi="Calibri" w:cs="Calibri"/>
          <w:color w:val="000000"/>
          <w:sz w:val="24"/>
          <w:szCs w:val="24"/>
          <w:shd w:val="clear" w:color="auto" w:fill="FFFFFF"/>
          <w:lang w:eastAsia="en-AU"/>
        </w:rPr>
        <w:t>preparation is evidence-based and practical and induct them well into the profession.</w:t>
      </w:r>
      <w:r w:rsidR="009D4349">
        <w:rPr>
          <w:rFonts w:ascii="Calibri" w:eastAsia="Times New Roman" w:hAnsi="Calibri" w:cs="Calibri"/>
          <w:color w:val="000000"/>
          <w:sz w:val="24"/>
          <w:szCs w:val="24"/>
          <w:shd w:val="clear" w:color="auto" w:fill="FFFFFF"/>
          <w:lang w:eastAsia="en-AU"/>
        </w:rPr>
        <w:t xml:space="preserve"> </w:t>
      </w:r>
      <w:r w:rsidR="002C4CC6">
        <w:rPr>
          <w:rFonts w:ascii="Calibri" w:eastAsia="Times New Roman" w:hAnsi="Calibri" w:cs="Calibri"/>
          <w:color w:val="000000"/>
          <w:sz w:val="24"/>
          <w:szCs w:val="24"/>
          <w:shd w:val="clear" w:color="auto" w:fill="FFFFFF"/>
          <w:lang w:eastAsia="en-AU"/>
        </w:rPr>
        <w:t>The QITE Review</w:t>
      </w:r>
      <w:r w:rsidR="009D4349">
        <w:rPr>
          <w:rFonts w:ascii="Calibri" w:eastAsia="Times New Roman" w:hAnsi="Calibri" w:cs="Calibri"/>
          <w:color w:val="000000"/>
          <w:sz w:val="24"/>
          <w:szCs w:val="24"/>
          <w:shd w:val="clear" w:color="auto" w:fill="FFFFFF"/>
          <w:lang w:eastAsia="en-AU"/>
        </w:rPr>
        <w:t xml:space="preserve"> </w:t>
      </w:r>
      <w:r w:rsidR="00575485">
        <w:rPr>
          <w:rFonts w:ascii="Calibri" w:eastAsia="Times New Roman" w:hAnsi="Calibri" w:cs="Calibri"/>
          <w:color w:val="000000"/>
          <w:sz w:val="24"/>
          <w:szCs w:val="24"/>
          <w:shd w:val="clear" w:color="auto" w:fill="FFFFFF"/>
          <w:lang w:eastAsia="en-AU"/>
        </w:rPr>
        <w:t>made</w:t>
      </w:r>
      <w:r w:rsidR="009D4349">
        <w:rPr>
          <w:rFonts w:ascii="Calibri" w:eastAsia="Times New Roman" w:hAnsi="Calibri" w:cs="Calibri"/>
          <w:color w:val="000000"/>
          <w:sz w:val="24"/>
          <w:szCs w:val="24"/>
          <w:shd w:val="clear" w:color="auto" w:fill="FFFFFF"/>
          <w:lang w:eastAsia="en-AU"/>
        </w:rPr>
        <w:t xml:space="preserve"> </w:t>
      </w:r>
      <w:r w:rsidR="00A65910">
        <w:rPr>
          <w:rFonts w:ascii="Calibri" w:eastAsia="Times New Roman" w:hAnsi="Calibri" w:cs="Calibri"/>
          <w:color w:val="000000"/>
          <w:sz w:val="24"/>
          <w:szCs w:val="24"/>
          <w:shd w:val="clear" w:color="auto" w:fill="FFFFFF"/>
          <w:lang w:eastAsia="en-AU"/>
        </w:rPr>
        <w:t xml:space="preserve">17 recommendations and </w:t>
      </w:r>
      <w:r w:rsidR="003719D4">
        <w:rPr>
          <w:rFonts w:ascii="Calibri" w:eastAsia="Times New Roman" w:hAnsi="Calibri" w:cs="Calibri"/>
          <w:color w:val="000000"/>
          <w:sz w:val="24"/>
          <w:szCs w:val="24"/>
          <w:shd w:val="clear" w:color="auto" w:fill="FFFFFF"/>
          <w:lang w:eastAsia="en-AU"/>
        </w:rPr>
        <w:t xml:space="preserve">seven findings to build on the significant </w:t>
      </w:r>
      <w:r w:rsidR="00434DAC">
        <w:rPr>
          <w:rFonts w:ascii="Calibri" w:eastAsia="Times New Roman" w:hAnsi="Calibri" w:cs="Calibri"/>
          <w:color w:val="000000"/>
          <w:sz w:val="24"/>
          <w:szCs w:val="24"/>
          <w:shd w:val="clear" w:color="auto" w:fill="FFFFFF"/>
          <w:lang w:eastAsia="en-AU"/>
        </w:rPr>
        <w:t xml:space="preserve">reforms arising from </w:t>
      </w:r>
      <w:r w:rsidR="008378F9">
        <w:rPr>
          <w:rFonts w:ascii="Calibri" w:eastAsia="Times New Roman" w:hAnsi="Calibri" w:cs="Calibri"/>
          <w:color w:val="000000"/>
          <w:sz w:val="24"/>
          <w:szCs w:val="24"/>
          <w:shd w:val="clear" w:color="auto" w:fill="FFFFFF"/>
          <w:lang w:eastAsia="en-AU"/>
        </w:rPr>
        <w:t>the TEMAG review</w:t>
      </w:r>
      <w:r w:rsidR="00127B90">
        <w:rPr>
          <w:rFonts w:ascii="Calibri" w:eastAsia="Times New Roman" w:hAnsi="Calibri" w:cs="Calibri"/>
          <w:color w:val="000000"/>
          <w:sz w:val="24"/>
          <w:szCs w:val="24"/>
          <w:shd w:val="clear" w:color="auto" w:fill="FFFFFF"/>
          <w:lang w:eastAsia="en-AU"/>
        </w:rPr>
        <w:t>.</w:t>
      </w:r>
      <w:r w:rsidR="004010F0">
        <w:rPr>
          <w:rFonts w:ascii="Calibri" w:eastAsia="Times New Roman" w:hAnsi="Calibri" w:cs="Calibri"/>
          <w:color w:val="000000"/>
          <w:sz w:val="24"/>
          <w:szCs w:val="24"/>
          <w:shd w:val="clear" w:color="auto" w:fill="FFFFFF"/>
          <w:lang w:eastAsia="en-AU"/>
        </w:rPr>
        <w:t xml:space="preserve"> </w:t>
      </w:r>
      <w:r w:rsidR="00A10360" w:rsidRPr="0032738D">
        <w:rPr>
          <w:rFonts w:ascii="Calibri" w:eastAsia="Times New Roman" w:hAnsi="Calibri" w:cs="Calibri"/>
          <w:color w:val="000000"/>
          <w:sz w:val="24"/>
          <w:szCs w:val="24"/>
          <w:shd w:val="clear" w:color="auto" w:fill="FFFFFF"/>
          <w:lang w:eastAsia="en-AU"/>
        </w:rPr>
        <w:t xml:space="preserve">In </w:t>
      </w:r>
      <w:r w:rsidR="00753690">
        <w:rPr>
          <w:rFonts w:ascii="Calibri" w:eastAsia="Times New Roman" w:hAnsi="Calibri" w:cs="Calibri"/>
          <w:color w:val="000000"/>
          <w:sz w:val="24"/>
          <w:szCs w:val="24"/>
          <w:shd w:val="clear" w:color="auto" w:fill="FFFFFF"/>
          <w:lang w:eastAsia="en-AU"/>
        </w:rPr>
        <w:t>response</w:t>
      </w:r>
      <w:r w:rsidR="00A10360" w:rsidRPr="0032738D">
        <w:rPr>
          <w:rFonts w:ascii="Calibri" w:eastAsia="Times New Roman" w:hAnsi="Calibri" w:cs="Calibri"/>
          <w:color w:val="000000"/>
          <w:sz w:val="24"/>
          <w:szCs w:val="24"/>
          <w:shd w:val="clear" w:color="auto" w:fill="FFFFFF"/>
          <w:lang w:eastAsia="en-AU"/>
        </w:rPr>
        <w:t>, t</w:t>
      </w:r>
      <w:r w:rsidR="00A602F3" w:rsidRPr="0032738D">
        <w:rPr>
          <w:rFonts w:ascii="Calibri" w:eastAsia="Times New Roman" w:hAnsi="Calibri" w:cs="Calibri"/>
          <w:color w:val="000000"/>
          <w:sz w:val="24"/>
          <w:szCs w:val="24"/>
          <w:shd w:val="clear" w:color="auto" w:fill="FFFFFF"/>
          <w:lang w:eastAsia="en-AU"/>
        </w:rPr>
        <w:t>he Australian Government established the</w:t>
      </w:r>
      <w:r w:rsidR="00A602F3" w:rsidRPr="004963DE">
        <w:rPr>
          <w:rFonts w:ascii="Calibri" w:eastAsia="Times New Roman" w:hAnsi="Calibri" w:cs="Calibri"/>
          <w:color w:val="000000"/>
          <w:sz w:val="24"/>
          <w:szCs w:val="24"/>
          <w:shd w:val="clear" w:color="auto" w:fill="FFFFFF"/>
          <w:lang w:eastAsia="en-AU"/>
        </w:rPr>
        <w:t xml:space="preserve"> </w:t>
      </w:r>
      <w:hyperlink r:id="rId20" w:tgtFrame="_blank" w:history="1">
        <w:r w:rsidR="00A602F3" w:rsidRPr="004963DE">
          <w:rPr>
            <w:rFonts w:ascii="Calibri" w:eastAsia="Times New Roman" w:hAnsi="Calibri" w:cs="Calibri"/>
            <w:color w:val="0563C1"/>
            <w:sz w:val="24"/>
            <w:szCs w:val="24"/>
            <w:u w:val="single"/>
            <w:shd w:val="clear" w:color="auto" w:fill="FFFFFF"/>
            <w:lang w:eastAsia="en-AU"/>
          </w:rPr>
          <w:t>Teacher Education Expert Panel</w:t>
        </w:r>
      </w:hyperlink>
      <w:r w:rsidR="00A602F3" w:rsidRPr="004963DE">
        <w:rPr>
          <w:rFonts w:ascii="Calibri" w:eastAsia="Times New Roman" w:hAnsi="Calibri" w:cs="Calibri"/>
          <w:color w:val="000000"/>
          <w:sz w:val="24"/>
          <w:szCs w:val="24"/>
          <w:shd w:val="clear" w:color="auto" w:fill="FFFFFF"/>
          <w:lang w:eastAsia="en-AU"/>
        </w:rPr>
        <w:t xml:space="preserve"> </w:t>
      </w:r>
      <w:r w:rsidR="00A602F3" w:rsidRPr="0032738D">
        <w:rPr>
          <w:rFonts w:ascii="Calibri" w:eastAsia="Times New Roman" w:hAnsi="Calibri" w:cs="Calibri"/>
          <w:color w:val="000000"/>
          <w:sz w:val="24"/>
          <w:szCs w:val="24"/>
          <w:shd w:val="clear" w:color="auto" w:fill="FFFFFF"/>
          <w:lang w:eastAsia="en-AU"/>
        </w:rPr>
        <w:t xml:space="preserve">(the Panel) </w:t>
      </w:r>
      <w:r w:rsidR="00753690">
        <w:rPr>
          <w:rFonts w:ascii="Calibri" w:eastAsia="Times New Roman" w:hAnsi="Calibri" w:cs="Calibri"/>
          <w:color w:val="000000"/>
          <w:sz w:val="24"/>
          <w:szCs w:val="24"/>
          <w:shd w:val="clear" w:color="auto" w:fill="FFFFFF"/>
          <w:lang w:eastAsia="en-AU"/>
        </w:rPr>
        <w:t xml:space="preserve">in </w:t>
      </w:r>
      <w:r w:rsidR="00650CB8">
        <w:rPr>
          <w:rFonts w:ascii="Calibri" w:eastAsia="Times New Roman" w:hAnsi="Calibri" w:cs="Calibri"/>
          <w:color w:val="000000"/>
          <w:sz w:val="24"/>
          <w:szCs w:val="24"/>
          <w:shd w:val="clear" w:color="auto" w:fill="FFFFFF"/>
          <w:lang w:eastAsia="en-AU"/>
        </w:rPr>
        <w:t>September</w:t>
      </w:r>
      <w:r w:rsidR="00DB6AD6">
        <w:rPr>
          <w:rFonts w:ascii="Calibri" w:eastAsia="Times New Roman" w:hAnsi="Calibri" w:cs="Calibri"/>
          <w:color w:val="000000"/>
          <w:sz w:val="24"/>
          <w:szCs w:val="24"/>
          <w:shd w:val="clear" w:color="auto" w:fill="FFFFFF"/>
          <w:lang w:eastAsia="en-AU"/>
        </w:rPr>
        <w:t xml:space="preserve"> 2022 </w:t>
      </w:r>
      <w:r w:rsidR="00A602F3" w:rsidRPr="0032738D">
        <w:rPr>
          <w:rFonts w:ascii="Calibri" w:eastAsia="Times New Roman" w:hAnsi="Calibri" w:cs="Calibri"/>
          <w:color w:val="000000"/>
          <w:sz w:val="24"/>
          <w:szCs w:val="24"/>
          <w:shd w:val="clear" w:color="auto" w:fill="FFFFFF"/>
          <w:lang w:eastAsia="en-AU"/>
        </w:rPr>
        <w:t xml:space="preserve">to provide advice on implementing </w:t>
      </w:r>
      <w:r w:rsidR="00127B90">
        <w:rPr>
          <w:rFonts w:ascii="Calibri" w:eastAsia="Times New Roman" w:hAnsi="Calibri" w:cs="Calibri"/>
          <w:color w:val="000000"/>
          <w:sz w:val="24"/>
          <w:szCs w:val="24"/>
          <w:shd w:val="clear" w:color="auto" w:fill="FFFFFF"/>
          <w:lang w:eastAsia="en-AU"/>
        </w:rPr>
        <w:t xml:space="preserve">two of these </w:t>
      </w:r>
      <w:r w:rsidR="00A602F3" w:rsidRPr="0032738D">
        <w:rPr>
          <w:rFonts w:ascii="Calibri" w:eastAsia="Times New Roman" w:hAnsi="Calibri" w:cs="Calibri"/>
          <w:color w:val="000000"/>
          <w:sz w:val="24"/>
          <w:szCs w:val="24"/>
          <w:shd w:val="clear" w:color="auto" w:fill="FFFFFF"/>
          <w:lang w:eastAsia="en-AU"/>
        </w:rPr>
        <w:t>recommendation</w:t>
      </w:r>
      <w:r w:rsidR="006676B7" w:rsidRPr="0032738D">
        <w:rPr>
          <w:rFonts w:ascii="Calibri" w:eastAsia="Times New Roman" w:hAnsi="Calibri" w:cs="Calibri"/>
          <w:color w:val="000000"/>
          <w:sz w:val="24"/>
          <w:szCs w:val="24"/>
          <w:shd w:val="clear" w:color="auto" w:fill="FFFFFF"/>
          <w:lang w:eastAsia="en-AU"/>
        </w:rPr>
        <w:t>s</w:t>
      </w:r>
      <w:r w:rsidR="00A602F3" w:rsidRPr="0032738D">
        <w:rPr>
          <w:rFonts w:ascii="Calibri" w:eastAsia="Times New Roman" w:hAnsi="Calibri" w:cs="Calibri"/>
          <w:color w:val="000000"/>
          <w:sz w:val="24"/>
          <w:szCs w:val="24"/>
          <w:shd w:val="clear" w:color="auto" w:fill="FFFFFF"/>
          <w:lang w:eastAsia="en-AU"/>
        </w:rPr>
        <w:t xml:space="preserve"> and</w:t>
      </w:r>
      <w:r w:rsidR="00B707E9" w:rsidRPr="0032738D">
        <w:rPr>
          <w:rFonts w:ascii="Calibri" w:eastAsia="Times New Roman" w:hAnsi="Calibri" w:cs="Calibri"/>
          <w:color w:val="000000"/>
          <w:sz w:val="24"/>
          <w:szCs w:val="24"/>
          <w:shd w:val="clear" w:color="auto" w:fill="FFFFFF"/>
          <w:lang w:eastAsia="en-AU"/>
        </w:rPr>
        <w:t xml:space="preserve"> key issues raised at</w:t>
      </w:r>
      <w:r w:rsidR="00B707E9" w:rsidRPr="004963DE">
        <w:rPr>
          <w:rFonts w:ascii="Calibri" w:eastAsia="Times New Roman" w:hAnsi="Calibri" w:cs="Calibri"/>
          <w:color w:val="000000"/>
          <w:sz w:val="24"/>
          <w:szCs w:val="24"/>
          <w:shd w:val="clear" w:color="auto" w:fill="FFFFFF"/>
          <w:lang w:eastAsia="en-AU"/>
        </w:rPr>
        <w:t xml:space="preserve"> the </w:t>
      </w:r>
      <w:hyperlink r:id="rId21" w:tgtFrame="_blank" w:history="1">
        <w:r w:rsidR="00B707E9" w:rsidRPr="00AE2883">
          <w:rPr>
            <w:rFonts w:ascii="Calibri" w:eastAsia="Times New Roman" w:hAnsi="Calibri" w:cs="Calibri"/>
            <w:color w:val="000000"/>
            <w:sz w:val="24"/>
            <w:szCs w:val="24"/>
            <w:shd w:val="clear" w:color="auto" w:fill="FFFFFF"/>
            <w:lang w:eastAsia="en-AU"/>
          </w:rPr>
          <w:t>Teacher Workforce Shortage Roundtable</w:t>
        </w:r>
      </w:hyperlink>
      <w:r w:rsidR="001E2CA1" w:rsidRPr="00AE2883">
        <w:rPr>
          <w:rFonts w:ascii="Calibri" w:eastAsia="Times New Roman" w:hAnsi="Calibri" w:cs="Calibri"/>
          <w:color w:val="000000"/>
          <w:sz w:val="24"/>
          <w:szCs w:val="24"/>
          <w:shd w:val="clear" w:color="auto" w:fill="FFFFFF"/>
          <w:lang w:eastAsia="en-AU"/>
        </w:rPr>
        <w:t>.</w:t>
      </w:r>
      <w:r w:rsidR="301FE5A2" w:rsidRPr="00AE2883">
        <w:rPr>
          <w:rFonts w:ascii="Calibri" w:eastAsia="Times New Roman" w:hAnsi="Calibri" w:cs="Calibri"/>
          <w:color w:val="000000"/>
          <w:sz w:val="24"/>
          <w:szCs w:val="24"/>
          <w:shd w:val="clear" w:color="auto" w:fill="FFFFFF"/>
          <w:lang w:eastAsia="en-AU"/>
        </w:rPr>
        <w:t xml:space="preserve"> </w:t>
      </w:r>
      <w:r w:rsidR="00A267C7">
        <w:rPr>
          <w:rFonts w:ascii="Calibri" w:eastAsia="Times New Roman" w:hAnsi="Calibri" w:cs="Calibri"/>
          <w:color w:val="000000"/>
          <w:sz w:val="24"/>
          <w:szCs w:val="24"/>
          <w:shd w:val="clear" w:color="auto" w:fill="FFFFFF"/>
          <w:lang w:eastAsia="en-AU"/>
        </w:rPr>
        <w:t xml:space="preserve">The </w:t>
      </w:r>
      <w:hyperlink r:id="rId22" w:history="1">
        <w:r w:rsidR="00A267C7" w:rsidRPr="00727170">
          <w:rPr>
            <w:rStyle w:val="Hyperlink"/>
            <w:rFonts w:ascii="Calibri" w:eastAsia="Times New Roman" w:hAnsi="Calibri" w:cs="Calibri"/>
            <w:sz w:val="24"/>
            <w:szCs w:val="24"/>
            <w:shd w:val="clear" w:color="auto" w:fill="FFFFFF"/>
            <w:lang w:eastAsia="en-AU"/>
          </w:rPr>
          <w:t>Terms of Reference</w:t>
        </w:r>
      </w:hyperlink>
      <w:r w:rsidR="00A267C7">
        <w:rPr>
          <w:rFonts w:ascii="Calibri" w:eastAsia="Times New Roman" w:hAnsi="Calibri" w:cs="Calibri"/>
          <w:color w:val="000000"/>
          <w:sz w:val="24"/>
          <w:szCs w:val="24"/>
          <w:shd w:val="clear" w:color="auto" w:fill="FFFFFF"/>
          <w:lang w:eastAsia="en-AU"/>
        </w:rPr>
        <w:t xml:space="preserve"> (</w:t>
      </w:r>
      <w:proofErr w:type="spellStart"/>
      <w:r w:rsidR="00A267C7">
        <w:rPr>
          <w:rFonts w:ascii="Calibri" w:eastAsia="Times New Roman" w:hAnsi="Calibri" w:cs="Calibri"/>
          <w:color w:val="000000"/>
          <w:sz w:val="24"/>
          <w:szCs w:val="24"/>
          <w:shd w:val="clear" w:color="auto" w:fill="FFFFFF"/>
          <w:lang w:eastAsia="en-AU"/>
        </w:rPr>
        <w:t>ToR</w:t>
      </w:r>
      <w:proofErr w:type="spellEnd"/>
      <w:r w:rsidR="00A267C7">
        <w:rPr>
          <w:rFonts w:ascii="Calibri" w:eastAsia="Times New Roman" w:hAnsi="Calibri" w:cs="Calibri"/>
          <w:color w:val="000000"/>
          <w:sz w:val="24"/>
          <w:szCs w:val="24"/>
          <w:shd w:val="clear" w:color="auto" w:fill="FFFFFF"/>
          <w:lang w:eastAsia="en-AU"/>
        </w:rPr>
        <w:t xml:space="preserve">) </w:t>
      </w:r>
      <w:r w:rsidR="003905D0">
        <w:rPr>
          <w:rFonts w:ascii="Calibri" w:eastAsia="Times New Roman" w:hAnsi="Calibri" w:cs="Calibri"/>
          <w:color w:val="000000"/>
          <w:sz w:val="24"/>
          <w:szCs w:val="24"/>
          <w:shd w:val="clear" w:color="auto" w:fill="FFFFFF"/>
          <w:lang w:eastAsia="en-AU"/>
        </w:rPr>
        <w:t>includes</w:t>
      </w:r>
      <w:r w:rsidR="00A267C7">
        <w:rPr>
          <w:rFonts w:ascii="Calibri" w:eastAsia="Times New Roman" w:hAnsi="Calibri" w:cs="Calibri"/>
          <w:color w:val="000000"/>
          <w:sz w:val="24"/>
          <w:szCs w:val="24"/>
          <w:shd w:val="clear" w:color="auto" w:fill="FFFFFF"/>
          <w:lang w:eastAsia="en-AU"/>
        </w:rPr>
        <w:t xml:space="preserve"> providing advice on reforms to</w:t>
      </w:r>
      <w:r w:rsidR="003905D0">
        <w:rPr>
          <w:rFonts w:ascii="Calibri" w:eastAsia="Times New Roman" w:hAnsi="Calibri" w:cs="Calibri"/>
          <w:color w:val="000000"/>
          <w:sz w:val="24"/>
          <w:szCs w:val="24"/>
          <w:shd w:val="clear" w:color="auto" w:fill="FFFFFF"/>
          <w:lang w:eastAsia="en-AU"/>
        </w:rPr>
        <w:t>:</w:t>
      </w:r>
    </w:p>
    <w:p w14:paraId="7E552102" w14:textId="3FC46AD3" w:rsidR="00A267C7" w:rsidRPr="003B224B" w:rsidRDefault="003B224B" w:rsidP="00D5108D">
      <w:pPr>
        <w:pStyle w:val="ListParagraph"/>
        <w:numPr>
          <w:ilvl w:val="0"/>
          <w:numId w:val="43"/>
        </w:numPr>
        <w:spacing w:after="120"/>
        <w:rPr>
          <w:rFonts w:ascii="Calibri" w:eastAsia="Times New Roman" w:hAnsi="Calibri" w:cs="Calibri"/>
          <w:color w:val="000000"/>
          <w:shd w:val="clear" w:color="auto" w:fill="FFFFFF"/>
          <w:lang w:eastAsia="en-AU"/>
        </w:rPr>
      </w:pPr>
      <w:r>
        <w:rPr>
          <w:rFonts w:ascii="Calibri" w:eastAsia="Times New Roman" w:hAnsi="Calibri" w:cs="Calibri"/>
          <w:color w:val="000000"/>
          <w:shd w:val="clear" w:color="auto" w:fill="FFFFFF"/>
          <w:lang w:eastAsia="en-AU"/>
        </w:rPr>
        <w:t>s</w:t>
      </w:r>
      <w:r w:rsidR="00A267C7" w:rsidRPr="003B224B">
        <w:rPr>
          <w:rFonts w:ascii="Calibri" w:eastAsia="Times New Roman" w:hAnsi="Calibri" w:cs="Calibri"/>
          <w:color w:val="000000"/>
          <w:shd w:val="clear" w:color="auto" w:fill="FFFFFF"/>
          <w:lang w:eastAsia="en-AU"/>
        </w:rPr>
        <w:t>trengthen ITE programs to deliver confident</w:t>
      </w:r>
      <w:r w:rsidR="00EE7FB6">
        <w:rPr>
          <w:rFonts w:ascii="Calibri" w:eastAsia="Times New Roman" w:hAnsi="Calibri" w:cs="Calibri"/>
          <w:color w:val="000000"/>
          <w:shd w:val="clear" w:color="auto" w:fill="FFFFFF"/>
          <w:lang w:eastAsia="en-AU"/>
        </w:rPr>
        <w:t>,</w:t>
      </w:r>
      <w:r w:rsidR="00A267C7" w:rsidRPr="003B224B">
        <w:rPr>
          <w:rFonts w:ascii="Calibri" w:eastAsia="Times New Roman" w:hAnsi="Calibri" w:cs="Calibri"/>
          <w:color w:val="000000"/>
          <w:shd w:val="clear" w:color="auto" w:fill="FFFFFF"/>
          <w:lang w:eastAsia="en-AU"/>
        </w:rPr>
        <w:t xml:space="preserve"> effective, classroom ready graduates </w:t>
      </w:r>
    </w:p>
    <w:p w14:paraId="22E04583" w14:textId="7AE7F352" w:rsidR="00A267C7" w:rsidRPr="003B224B" w:rsidRDefault="003B224B" w:rsidP="00D5108D">
      <w:pPr>
        <w:pStyle w:val="ListParagraph"/>
        <w:numPr>
          <w:ilvl w:val="0"/>
          <w:numId w:val="43"/>
        </w:numPr>
        <w:spacing w:after="120"/>
        <w:rPr>
          <w:rFonts w:ascii="Calibri" w:eastAsia="Times New Roman" w:hAnsi="Calibri" w:cs="Calibri"/>
          <w:color w:val="000000"/>
          <w:shd w:val="clear" w:color="auto" w:fill="FFFFFF"/>
          <w:lang w:eastAsia="en-AU"/>
        </w:rPr>
      </w:pPr>
      <w:r>
        <w:rPr>
          <w:rFonts w:ascii="Calibri" w:eastAsia="Times New Roman" w:hAnsi="Calibri" w:cs="Calibri"/>
          <w:color w:val="000000"/>
          <w:shd w:val="clear" w:color="auto" w:fill="FFFFFF"/>
          <w:lang w:eastAsia="en-AU"/>
        </w:rPr>
        <w:t>s</w:t>
      </w:r>
      <w:r w:rsidR="00A267C7" w:rsidRPr="003B224B">
        <w:rPr>
          <w:rFonts w:ascii="Calibri" w:eastAsia="Times New Roman" w:hAnsi="Calibri" w:cs="Calibri"/>
          <w:color w:val="000000"/>
          <w:shd w:val="clear" w:color="auto" w:fill="FFFFFF"/>
          <w:lang w:eastAsia="en-AU"/>
        </w:rPr>
        <w:t xml:space="preserve">trengthen the link between performance and funding of ITE </w:t>
      </w:r>
    </w:p>
    <w:p w14:paraId="10D768C4" w14:textId="4038CC89" w:rsidR="00A267C7" w:rsidRPr="003B224B" w:rsidRDefault="003B224B" w:rsidP="00D5108D">
      <w:pPr>
        <w:pStyle w:val="ListParagraph"/>
        <w:numPr>
          <w:ilvl w:val="0"/>
          <w:numId w:val="43"/>
        </w:numPr>
        <w:spacing w:after="120"/>
        <w:rPr>
          <w:rFonts w:ascii="Calibri" w:eastAsia="Times New Roman" w:hAnsi="Calibri" w:cs="Calibri"/>
          <w:color w:val="000000"/>
          <w:shd w:val="clear" w:color="auto" w:fill="FFFFFF"/>
          <w:lang w:eastAsia="en-AU"/>
        </w:rPr>
      </w:pPr>
      <w:r>
        <w:rPr>
          <w:rFonts w:ascii="Calibri" w:eastAsia="Times New Roman" w:hAnsi="Calibri" w:cs="Calibri"/>
          <w:color w:val="000000"/>
          <w:shd w:val="clear" w:color="auto" w:fill="FFFFFF"/>
          <w:lang w:eastAsia="en-AU"/>
        </w:rPr>
        <w:t>i</w:t>
      </w:r>
      <w:r w:rsidR="00A267C7" w:rsidRPr="003B224B">
        <w:rPr>
          <w:rFonts w:ascii="Calibri" w:eastAsia="Times New Roman" w:hAnsi="Calibri" w:cs="Calibri"/>
          <w:color w:val="000000"/>
          <w:shd w:val="clear" w:color="auto" w:fill="FFFFFF"/>
          <w:lang w:eastAsia="en-AU"/>
        </w:rPr>
        <w:t xml:space="preserve">mprove the quality of practical experience in teaching </w:t>
      </w:r>
    </w:p>
    <w:p w14:paraId="32DAE731" w14:textId="6D42E416" w:rsidR="00A267C7" w:rsidRPr="003B224B" w:rsidRDefault="003B224B" w:rsidP="00D5108D">
      <w:pPr>
        <w:pStyle w:val="ListParagraph"/>
        <w:numPr>
          <w:ilvl w:val="0"/>
          <w:numId w:val="43"/>
        </w:numPr>
        <w:spacing w:after="120"/>
        <w:rPr>
          <w:rFonts w:ascii="Calibri" w:eastAsia="Times New Roman" w:hAnsi="Calibri" w:cs="Calibri"/>
          <w:color w:val="000000"/>
          <w:shd w:val="clear" w:color="auto" w:fill="FFFFFF"/>
          <w:lang w:eastAsia="en-AU"/>
        </w:rPr>
      </w:pPr>
      <w:r>
        <w:rPr>
          <w:rFonts w:ascii="Calibri" w:eastAsia="Times New Roman" w:hAnsi="Calibri" w:cs="Calibri"/>
          <w:color w:val="000000"/>
          <w:shd w:val="clear" w:color="auto" w:fill="FFFFFF"/>
          <w:lang w:eastAsia="en-AU"/>
        </w:rPr>
        <w:t>i</w:t>
      </w:r>
      <w:r w:rsidR="00A267C7" w:rsidRPr="003B224B">
        <w:rPr>
          <w:rFonts w:ascii="Calibri" w:eastAsia="Times New Roman" w:hAnsi="Calibri" w:cs="Calibri"/>
          <w:color w:val="000000"/>
          <w:shd w:val="clear" w:color="auto" w:fill="FFFFFF"/>
          <w:lang w:eastAsia="en-AU"/>
        </w:rPr>
        <w:t xml:space="preserve">mprove postgraduate </w:t>
      </w:r>
      <w:r w:rsidR="006B5A9C" w:rsidRPr="003B224B">
        <w:rPr>
          <w:rFonts w:ascii="Calibri" w:eastAsia="Times New Roman" w:hAnsi="Calibri" w:cs="Calibri"/>
          <w:color w:val="000000"/>
          <w:shd w:val="clear" w:color="auto" w:fill="FFFFFF"/>
          <w:lang w:eastAsia="en-AU"/>
        </w:rPr>
        <w:t>ITE</w:t>
      </w:r>
      <w:r w:rsidR="00A267C7" w:rsidRPr="003B224B">
        <w:rPr>
          <w:rFonts w:ascii="Calibri" w:eastAsia="Times New Roman" w:hAnsi="Calibri" w:cs="Calibri"/>
          <w:color w:val="000000"/>
          <w:shd w:val="clear" w:color="auto" w:fill="FFFFFF"/>
          <w:lang w:eastAsia="en-AU"/>
        </w:rPr>
        <w:t xml:space="preserve"> for mid-career entrants</w:t>
      </w:r>
      <w:r w:rsidR="00EE7FB6">
        <w:rPr>
          <w:rFonts w:ascii="Calibri" w:eastAsia="Times New Roman" w:hAnsi="Calibri" w:cs="Calibri"/>
          <w:color w:val="000000"/>
          <w:shd w:val="clear" w:color="auto" w:fill="FFFFFF"/>
          <w:lang w:eastAsia="en-AU"/>
        </w:rPr>
        <w:t>.</w:t>
      </w:r>
    </w:p>
    <w:p w14:paraId="1963B0CA" w14:textId="2C453876" w:rsidR="00F96046" w:rsidRDefault="569A8652" w:rsidP="00F96046">
      <w:pPr>
        <w:spacing w:after="120" w:line="240" w:lineRule="auto"/>
        <w:rPr>
          <w:sz w:val="24"/>
          <w:szCs w:val="24"/>
        </w:rPr>
      </w:pPr>
      <w:r w:rsidRPr="009D6AC4">
        <w:rPr>
          <w:sz w:val="24"/>
          <w:szCs w:val="24"/>
        </w:rPr>
        <w:t>The Panel</w:t>
      </w:r>
      <w:r w:rsidR="680C7CE7">
        <w:rPr>
          <w:sz w:val="24"/>
          <w:szCs w:val="24"/>
        </w:rPr>
        <w:t xml:space="preserve"> is focussed on </w:t>
      </w:r>
      <w:r w:rsidR="00C74C42">
        <w:rPr>
          <w:sz w:val="24"/>
          <w:szCs w:val="24"/>
        </w:rPr>
        <w:t>providing advice on these reforms</w:t>
      </w:r>
      <w:r w:rsidR="029E6638">
        <w:rPr>
          <w:sz w:val="24"/>
          <w:szCs w:val="24"/>
        </w:rPr>
        <w:t xml:space="preserve"> </w:t>
      </w:r>
      <w:r w:rsidR="00B5356D">
        <w:rPr>
          <w:sz w:val="24"/>
          <w:szCs w:val="24"/>
        </w:rPr>
        <w:t xml:space="preserve">and </w:t>
      </w:r>
      <w:r w:rsidR="00B5356D" w:rsidRPr="58EEFCE8">
        <w:rPr>
          <w:sz w:val="24"/>
          <w:szCs w:val="24"/>
        </w:rPr>
        <w:t>determin</w:t>
      </w:r>
      <w:r w:rsidR="00C74C42">
        <w:rPr>
          <w:sz w:val="24"/>
          <w:szCs w:val="24"/>
        </w:rPr>
        <w:t>ing</w:t>
      </w:r>
      <w:r w:rsidR="00B5356D" w:rsidRPr="58EEFCE8">
        <w:rPr>
          <w:sz w:val="24"/>
          <w:szCs w:val="24"/>
        </w:rPr>
        <w:t xml:space="preserve"> </w:t>
      </w:r>
      <w:r w:rsidR="00B5356D" w:rsidRPr="41C32AB3">
        <w:rPr>
          <w:sz w:val="24"/>
          <w:szCs w:val="24"/>
        </w:rPr>
        <w:t xml:space="preserve">what is </w:t>
      </w:r>
      <w:r w:rsidR="00B5356D" w:rsidRPr="6DCBC978">
        <w:rPr>
          <w:sz w:val="24"/>
          <w:szCs w:val="24"/>
        </w:rPr>
        <w:t xml:space="preserve">required to </w:t>
      </w:r>
      <w:r w:rsidR="00B5356D" w:rsidRPr="5D2483CA">
        <w:rPr>
          <w:sz w:val="24"/>
          <w:szCs w:val="24"/>
        </w:rPr>
        <w:t xml:space="preserve">successfully </w:t>
      </w:r>
      <w:r w:rsidR="00B5356D">
        <w:rPr>
          <w:sz w:val="24"/>
          <w:szCs w:val="24"/>
        </w:rPr>
        <w:t xml:space="preserve">and consistently </w:t>
      </w:r>
      <w:r w:rsidR="00B5356D" w:rsidRPr="6DCBC978">
        <w:rPr>
          <w:sz w:val="24"/>
          <w:szCs w:val="24"/>
        </w:rPr>
        <w:t>deliver</w:t>
      </w:r>
      <w:r w:rsidR="00B5356D" w:rsidRPr="5D2483CA">
        <w:rPr>
          <w:sz w:val="24"/>
          <w:szCs w:val="24"/>
        </w:rPr>
        <w:t xml:space="preserve"> the</w:t>
      </w:r>
      <w:r w:rsidR="00B5356D">
        <w:rPr>
          <w:sz w:val="24"/>
          <w:szCs w:val="24"/>
        </w:rPr>
        <w:t>se</w:t>
      </w:r>
      <w:r w:rsidR="00B5356D" w:rsidRPr="5D2483CA">
        <w:rPr>
          <w:sz w:val="24"/>
          <w:szCs w:val="24"/>
        </w:rPr>
        <w:t xml:space="preserve"> </w:t>
      </w:r>
      <w:r w:rsidR="00B5356D" w:rsidRPr="41C32AB3">
        <w:rPr>
          <w:sz w:val="24"/>
          <w:szCs w:val="24"/>
        </w:rPr>
        <w:t>reforms</w:t>
      </w:r>
      <w:r w:rsidR="00B5356D">
        <w:rPr>
          <w:sz w:val="24"/>
          <w:szCs w:val="24"/>
        </w:rPr>
        <w:t xml:space="preserve"> across jurisdictions</w:t>
      </w:r>
      <w:r w:rsidR="00C74C42">
        <w:rPr>
          <w:sz w:val="24"/>
          <w:szCs w:val="24"/>
        </w:rPr>
        <w:t>, such as changes to the authorising environment</w:t>
      </w:r>
      <w:r w:rsidR="00B5356D" w:rsidRPr="6DCBC978">
        <w:rPr>
          <w:sz w:val="24"/>
          <w:szCs w:val="24"/>
        </w:rPr>
        <w:t>.</w:t>
      </w:r>
      <w:r w:rsidR="00B5356D">
        <w:rPr>
          <w:sz w:val="24"/>
          <w:szCs w:val="24"/>
        </w:rPr>
        <w:t xml:space="preserve"> </w:t>
      </w:r>
      <w:r w:rsidR="00F17748">
        <w:rPr>
          <w:sz w:val="24"/>
          <w:szCs w:val="24"/>
        </w:rPr>
        <w:t>The Panel</w:t>
      </w:r>
      <w:r w:rsidR="029E6638">
        <w:rPr>
          <w:sz w:val="24"/>
          <w:szCs w:val="24"/>
        </w:rPr>
        <w:t xml:space="preserve"> is</w:t>
      </w:r>
      <w:r w:rsidR="55E382E5">
        <w:rPr>
          <w:sz w:val="24"/>
          <w:szCs w:val="24"/>
        </w:rPr>
        <w:t xml:space="preserve"> mindful of the </w:t>
      </w:r>
      <w:r w:rsidR="402FCAEB">
        <w:rPr>
          <w:sz w:val="24"/>
          <w:szCs w:val="24"/>
        </w:rPr>
        <w:t xml:space="preserve">complex regulatory and funding </w:t>
      </w:r>
      <w:r w:rsidR="55E382E5">
        <w:rPr>
          <w:sz w:val="24"/>
          <w:szCs w:val="24"/>
        </w:rPr>
        <w:t>environment in which ITE</w:t>
      </w:r>
      <w:r w:rsidR="757AE082">
        <w:rPr>
          <w:sz w:val="24"/>
          <w:szCs w:val="24"/>
        </w:rPr>
        <w:t xml:space="preserve"> </w:t>
      </w:r>
      <w:r w:rsidR="3B5344F9">
        <w:rPr>
          <w:sz w:val="24"/>
          <w:szCs w:val="24"/>
        </w:rPr>
        <w:t>is</w:t>
      </w:r>
      <w:r w:rsidR="757AE082">
        <w:rPr>
          <w:sz w:val="24"/>
          <w:szCs w:val="24"/>
        </w:rPr>
        <w:t xml:space="preserve"> situated</w:t>
      </w:r>
      <w:r w:rsidR="00B16661">
        <w:rPr>
          <w:sz w:val="24"/>
          <w:szCs w:val="24"/>
        </w:rPr>
        <w:t xml:space="preserve">, </w:t>
      </w:r>
      <w:r w:rsidR="00AE08B2">
        <w:rPr>
          <w:sz w:val="24"/>
          <w:szCs w:val="24"/>
        </w:rPr>
        <w:t xml:space="preserve">with </w:t>
      </w:r>
      <w:r w:rsidR="002164E4">
        <w:rPr>
          <w:sz w:val="24"/>
          <w:szCs w:val="24"/>
        </w:rPr>
        <w:t xml:space="preserve">the </w:t>
      </w:r>
      <w:r w:rsidR="00AE08B2" w:rsidRPr="002D666B">
        <w:rPr>
          <w:sz w:val="24"/>
          <w:szCs w:val="24"/>
        </w:rPr>
        <w:t>Australian Government fund</w:t>
      </w:r>
      <w:r w:rsidR="002164E4" w:rsidRPr="002D666B">
        <w:rPr>
          <w:sz w:val="24"/>
          <w:szCs w:val="24"/>
        </w:rPr>
        <w:t xml:space="preserve">ing </w:t>
      </w:r>
      <w:r w:rsidR="00AE08B2" w:rsidRPr="002D666B">
        <w:rPr>
          <w:sz w:val="24"/>
          <w:szCs w:val="24"/>
        </w:rPr>
        <w:t>ITE</w:t>
      </w:r>
      <w:r w:rsidR="002164E4" w:rsidRPr="002D666B">
        <w:rPr>
          <w:sz w:val="24"/>
          <w:szCs w:val="24"/>
        </w:rPr>
        <w:t>, states and territories accrediting</w:t>
      </w:r>
      <w:r w:rsidR="00AE08B2" w:rsidRPr="002D666B">
        <w:rPr>
          <w:sz w:val="24"/>
          <w:szCs w:val="24"/>
        </w:rPr>
        <w:t xml:space="preserve"> ITE </w:t>
      </w:r>
      <w:r w:rsidR="002164E4" w:rsidRPr="002D666B">
        <w:rPr>
          <w:sz w:val="24"/>
          <w:szCs w:val="24"/>
        </w:rPr>
        <w:t>programs through</w:t>
      </w:r>
      <w:r w:rsidR="00AE08B2" w:rsidRPr="002D666B">
        <w:rPr>
          <w:sz w:val="24"/>
          <w:szCs w:val="24"/>
        </w:rPr>
        <w:t xml:space="preserve"> Teacher Regulatory Authorities (TRAs</w:t>
      </w:r>
      <w:r w:rsidR="002164E4" w:rsidRPr="002D666B">
        <w:rPr>
          <w:sz w:val="24"/>
          <w:szCs w:val="24"/>
        </w:rPr>
        <w:t>),</w:t>
      </w:r>
      <w:r w:rsidR="00AE08B2" w:rsidRPr="002D666B">
        <w:rPr>
          <w:sz w:val="24"/>
          <w:szCs w:val="24"/>
        </w:rPr>
        <w:t xml:space="preserve"> higher education providers deliver</w:t>
      </w:r>
      <w:r w:rsidR="002164E4" w:rsidRPr="002D666B">
        <w:rPr>
          <w:sz w:val="24"/>
          <w:szCs w:val="24"/>
        </w:rPr>
        <w:t>ing</w:t>
      </w:r>
      <w:r w:rsidR="00AE08B2" w:rsidRPr="002D666B">
        <w:rPr>
          <w:sz w:val="24"/>
          <w:szCs w:val="24"/>
        </w:rPr>
        <w:t xml:space="preserve"> more than 350 </w:t>
      </w:r>
      <w:r w:rsidR="002164E4" w:rsidRPr="002D666B">
        <w:rPr>
          <w:sz w:val="24"/>
          <w:szCs w:val="24"/>
        </w:rPr>
        <w:t xml:space="preserve">ITE </w:t>
      </w:r>
      <w:r w:rsidR="00AE08B2" w:rsidRPr="002D666B">
        <w:rPr>
          <w:sz w:val="24"/>
          <w:szCs w:val="24"/>
        </w:rPr>
        <w:t>programs</w:t>
      </w:r>
      <w:r w:rsidR="002164E4" w:rsidRPr="002D666B">
        <w:rPr>
          <w:sz w:val="24"/>
          <w:szCs w:val="24"/>
        </w:rPr>
        <w:t xml:space="preserve"> and</w:t>
      </w:r>
      <w:r w:rsidR="00AE08B2" w:rsidRPr="002D666B">
        <w:rPr>
          <w:sz w:val="24"/>
          <w:szCs w:val="24"/>
        </w:rPr>
        <w:t xml:space="preserve"> school</w:t>
      </w:r>
      <w:r w:rsidR="004B7E40">
        <w:rPr>
          <w:sz w:val="24"/>
          <w:szCs w:val="24"/>
        </w:rPr>
        <w:t>s</w:t>
      </w:r>
      <w:r w:rsidR="005A0BED" w:rsidRPr="002D666B">
        <w:rPr>
          <w:sz w:val="24"/>
          <w:szCs w:val="24"/>
        </w:rPr>
        <w:t xml:space="preserve"> supporting ITE students through </w:t>
      </w:r>
      <w:r w:rsidR="001A6B39">
        <w:rPr>
          <w:sz w:val="24"/>
          <w:szCs w:val="24"/>
        </w:rPr>
        <w:t>practical experience</w:t>
      </w:r>
      <w:r w:rsidR="00AE08B2" w:rsidRPr="002D666B">
        <w:rPr>
          <w:sz w:val="24"/>
          <w:szCs w:val="24"/>
        </w:rPr>
        <w:t xml:space="preserve"> </w:t>
      </w:r>
      <w:r w:rsidR="00DD1D7E" w:rsidRPr="002D666B">
        <w:rPr>
          <w:sz w:val="24"/>
          <w:szCs w:val="24"/>
        </w:rPr>
        <w:t>and on entry into the classroom.</w:t>
      </w:r>
      <w:r w:rsidRPr="009D6AC4">
        <w:rPr>
          <w:sz w:val="24"/>
          <w:szCs w:val="24"/>
        </w:rPr>
        <w:t xml:space="preserve"> </w:t>
      </w:r>
      <w:r w:rsidR="001F00BC">
        <w:rPr>
          <w:sz w:val="24"/>
          <w:szCs w:val="24"/>
        </w:rPr>
        <w:t>Improving ITE cannot be addressed by any one jurisdiction alone; s</w:t>
      </w:r>
      <w:r w:rsidR="001F00BC" w:rsidRPr="00DA7C05">
        <w:rPr>
          <w:sz w:val="24"/>
          <w:szCs w:val="24"/>
        </w:rPr>
        <w:t>uccessfully</w:t>
      </w:r>
      <w:r w:rsidR="001F00BC">
        <w:rPr>
          <w:sz w:val="24"/>
          <w:szCs w:val="24"/>
        </w:rPr>
        <w:t xml:space="preserve"> i</w:t>
      </w:r>
      <w:r w:rsidR="001F00BC" w:rsidRPr="00DA7C05">
        <w:rPr>
          <w:sz w:val="24"/>
          <w:szCs w:val="24"/>
        </w:rPr>
        <w:t xml:space="preserve">mplementing any proposed </w:t>
      </w:r>
      <w:r w:rsidR="001F00BC">
        <w:rPr>
          <w:sz w:val="24"/>
          <w:szCs w:val="24"/>
        </w:rPr>
        <w:t>reforms</w:t>
      </w:r>
      <w:r w:rsidR="001F00BC" w:rsidRPr="00DA7C05">
        <w:rPr>
          <w:sz w:val="24"/>
          <w:szCs w:val="24"/>
        </w:rPr>
        <w:t xml:space="preserve"> to i</w:t>
      </w:r>
      <w:r w:rsidR="001F00BC" w:rsidRPr="002D666B">
        <w:rPr>
          <w:sz w:val="24"/>
          <w:szCs w:val="24"/>
        </w:rPr>
        <w:t>mprov</w:t>
      </w:r>
      <w:r w:rsidR="001F00BC">
        <w:rPr>
          <w:sz w:val="24"/>
          <w:szCs w:val="24"/>
        </w:rPr>
        <w:t>e</w:t>
      </w:r>
      <w:r w:rsidR="001F00BC" w:rsidRPr="002D666B">
        <w:rPr>
          <w:sz w:val="24"/>
          <w:szCs w:val="24"/>
        </w:rPr>
        <w:t xml:space="preserve"> quality in ITE will be a shared responsibility</w:t>
      </w:r>
      <w:r w:rsidR="001F00BC">
        <w:rPr>
          <w:sz w:val="24"/>
          <w:szCs w:val="24"/>
        </w:rPr>
        <w:t>.</w:t>
      </w:r>
    </w:p>
    <w:p w14:paraId="557FAB69" w14:textId="35AF4288" w:rsidR="00D43FAD" w:rsidRPr="00B327B0" w:rsidRDefault="00D43FAD" w:rsidP="007F434B">
      <w:pPr>
        <w:spacing w:line="240" w:lineRule="auto"/>
        <w:rPr>
          <w:rFonts w:ascii="Calibri" w:eastAsia="Times New Roman" w:hAnsi="Calibri" w:cs="Calibri"/>
          <w:color w:val="000000"/>
          <w:sz w:val="24"/>
          <w:szCs w:val="24"/>
          <w:shd w:val="clear" w:color="auto" w:fill="FFFFFF"/>
          <w:lang w:eastAsia="en-AU"/>
        </w:rPr>
      </w:pPr>
      <w:r w:rsidRPr="00B327B0">
        <w:rPr>
          <w:rFonts w:ascii="Calibri" w:eastAsia="Times New Roman" w:hAnsi="Calibri" w:cs="Calibri"/>
          <w:color w:val="000000"/>
          <w:sz w:val="24"/>
          <w:szCs w:val="24"/>
          <w:shd w:val="clear" w:color="auto" w:fill="FFFFFF"/>
          <w:lang w:eastAsia="en-AU"/>
        </w:rPr>
        <w:t xml:space="preserve">To </w:t>
      </w:r>
      <w:r w:rsidR="0073267C">
        <w:rPr>
          <w:rFonts w:ascii="Calibri" w:eastAsia="Times New Roman" w:hAnsi="Calibri" w:cs="Calibri"/>
          <w:color w:val="000000"/>
          <w:sz w:val="24"/>
          <w:szCs w:val="24"/>
          <w:shd w:val="clear" w:color="auto" w:fill="FFFFFF"/>
          <w:lang w:eastAsia="en-AU"/>
        </w:rPr>
        <w:t>support</w:t>
      </w:r>
      <w:r w:rsidRPr="00B327B0">
        <w:rPr>
          <w:rFonts w:ascii="Calibri" w:eastAsia="Times New Roman" w:hAnsi="Calibri" w:cs="Calibri"/>
          <w:color w:val="000000"/>
          <w:sz w:val="24"/>
          <w:szCs w:val="24"/>
          <w:shd w:val="clear" w:color="auto" w:fill="FFFFFF"/>
          <w:lang w:eastAsia="en-AU"/>
        </w:rPr>
        <w:t xml:space="preserve"> </w:t>
      </w:r>
      <w:r w:rsidR="00137D6B">
        <w:rPr>
          <w:rFonts w:ascii="Calibri" w:eastAsia="Times New Roman" w:hAnsi="Calibri" w:cs="Calibri"/>
          <w:color w:val="000000"/>
          <w:sz w:val="24"/>
          <w:szCs w:val="24"/>
          <w:shd w:val="clear" w:color="auto" w:fill="FFFFFF"/>
          <w:lang w:eastAsia="en-AU"/>
        </w:rPr>
        <w:t>the</w:t>
      </w:r>
      <w:r w:rsidR="00E10DA8">
        <w:rPr>
          <w:rFonts w:ascii="Calibri" w:eastAsia="Times New Roman" w:hAnsi="Calibri" w:cs="Calibri"/>
          <w:color w:val="000000"/>
          <w:sz w:val="24"/>
          <w:szCs w:val="24"/>
          <w:shd w:val="clear" w:color="auto" w:fill="FFFFFF"/>
          <w:lang w:eastAsia="en-AU"/>
        </w:rPr>
        <w:t xml:space="preserve"> succ</w:t>
      </w:r>
      <w:r w:rsidR="00567C1F">
        <w:rPr>
          <w:rFonts w:ascii="Calibri" w:eastAsia="Times New Roman" w:hAnsi="Calibri" w:cs="Calibri"/>
          <w:color w:val="000000"/>
          <w:sz w:val="24"/>
          <w:szCs w:val="24"/>
          <w:shd w:val="clear" w:color="auto" w:fill="FFFFFF"/>
          <w:lang w:eastAsia="en-AU"/>
        </w:rPr>
        <w:t xml:space="preserve">essful </w:t>
      </w:r>
      <w:r w:rsidR="00137D6B">
        <w:rPr>
          <w:rFonts w:ascii="Calibri" w:eastAsia="Times New Roman" w:hAnsi="Calibri" w:cs="Calibri"/>
          <w:color w:val="000000"/>
          <w:sz w:val="24"/>
          <w:szCs w:val="24"/>
          <w:shd w:val="clear" w:color="auto" w:fill="FFFFFF"/>
          <w:lang w:eastAsia="en-AU"/>
        </w:rPr>
        <w:t xml:space="preserve">implementation of </w:t>
      </w:r>
      <w:r w:rsidR="00903E01">
        <w:rPr>
          <w:rFonts w:ascii="Calibri" w:eastAsia="Times New Roman" w:hAnsi="Calibri" w:cs="Calibri"/>
          <w:color w:val="000000"/>
          <w:sz w:val="24"/>
          <w:szCs w:val="24"/>
          <w:shd w:val="clear" w:color="auto" w:fill="FFFFFF"/>
          <w:lang w:eastAsia="en-AU"/>
        </w:rPr>
        <w:t>the QITE Review</w:t>
      </w:r>
      <w:r w:rsidR="00137D6B">
        <w:rPr>
          <w:rFonts w:ascii="Calibri" w:eastAsia="Times New Roman" w:hAnsi="Calibri" w:cs="Calibri"/>
          <w:color w:val="000000"/>
          <w:sz w:val="24"/>
          <w:szCs w:val="24"/>
          <w:shd w:val="clear" w:color="auto" w:fill="FFFFFF"/>
          <w:lang w:eastAsia="en-AU"/>
        </w:rPr>
        <w:t xml:space="preserve"> recommendations</w:t>
      </w:r>
      <w:r w:rsidR="00567C1F">
        <w:rPr>
          <w:rFonts w:ascii="Calibri" w:eastAsia="Times New Roman" w:hAnsi="Calibri" w:cs="Calibri"/>
          <w:color w:val="000000"/>
          <w:sz w:val="24"/>
          <w:szCs w:val="24"/>
          <w:shd w:val="clear" w:color="auto" w:fill="FFFFFF"/>
          <w:lang w:eastAsia="en-AU"/>
        </w:rPr>
        <w:t xml:space="preserve">, </w:t>
      </w:r>
      <w:r w:rsidRPr="00B327B0">
        <w:rPr>
          <w:rFonts w:ascii="Calibri" w:eastAsia="Times New Roman" w:hAnsi="Calibri" w:cs="Calibri"/>
          <w:color w:val="000000"/>
          <w:sz w:val="24"/>
          <w:szCs w:val="24"/>
          <w:shd w:val="clear" w:color="auto" w:fill="FFFFFF"/>
          <w:lang w:eastAsia="en-AU"/>
        </w:rPr>
        <w:t>the Panel has undertaken in</w:t>
      </w:r>
      <w:r w:rsidR="028C54D1" w:rsidRPr="00B327B0">
        <w:rPr>
          <w:rFonts w:ascii="Calibri" w:eastAsia="Times New Roman" w:hAnsi="Calibri" w:cs="Calibri"/>
          <w:color w:val="000000"/>
          <w:sz w:val="24"/>
          <w:szCs w:val="24"/>
          <w:shd w:val="clear" w:color="auto" w:fill="FFFFFF"/>
          <w:lang w:eastAsia="en-AU"/>
        </w:rPr>
        <w:t>-</w:t>
      </w:r>
      <w:r w:rsidRPr="00B327B0">
        <w:rPr>
          <w:rFonts w:ascii="Calibri" w:eastAsia="Times New Roman" w:hAnsi="Calibri" w:cs="Calibri"/>
          <w:color w:val="000000"/>
          <w:sz w:val="24"/>
          <w:szCs w:val="24"/>
          <w:shd w:val="clear" w:color="auto" w:fill="FFFFFF"/>
          <w:lang w:eastAsia="en-AU"/>
        </w:rPr>
        <w:t>depth work to identify opportunities for reform</w:t>
      </w:r>
      <w:r w:rsidR="00260376">
        <w:rPr>
          <w:rFonts w:ascii="Calibri" w:eastAsia="Times New Roman" w:hAnsi="Calibri" w:cs="Calibri"/>
          <w:color w:val="000000"/>
          <w:sz w:val="24"/>
          <w:szCs w:val="24"/>
          <w:shd w:val="clear" w:color="auto" w:fill="FFFFFF"/>
          <w:lang w:eastAsia="en-AU"/>
        </w:rPr>
        <w:t xml:space="preserve"> and will be engaging in targeted consultation </w:t>
      </w:r>
      <w:r w:rsidR="00341DEB">
        <w:rPr>
          <w:rFonts w:ascii="Calibri" w:eastAsia="Times New Roman" w:hAnsi="Calibri" w:cs="Calibri"/>
          <w:color w:val="000000"/>
          <w:sz w:val="24"/>
          <w:szCs w:val="24"/>
          <w:shd w:val="clear" w:color="auto" w:fill="FFFFFF"/>
          <w:lang w:eastAsia="en-AU"/>
        </w:rPr>
        <w:t>to inform its advice</w:t>
      </w:r>
      <w:r w:rsidRPr="00B327B0">
        <w:rPr>
          <w:rFonts w:ascii="Calibri" w:eastAsia="Times New Roman" w:hAnsi="Calibri" w:cs="Calibri"/>
          <w:color w:val="000000"/>
          <w:sz w:val="24"/>
          <w:szCs w:val="24"/>
          <w:shd w:val="clear" w:color="auto" w:fill="FFFFFF"/>
          <w:lang w:eastAsia="en-AU"/>
        </w:rPr>
        <w:t>.</w:t>
      </w:r>
      <w:r w:rsidR="00335485">
        <w:rPr>
          <w:rFonts w:ascii="Calibri" w:eastAsia="Times New Roman" w:hAnsi="Calibri" w:cs="Calibri"/>
          <w:color w:val="000000"/>
          <w:sz w:val="24"/>
          <w:szCs w:val="24"/>
          <w:shd w:val="clear" w:color="auto" w:fill="FFFFFF"/>
          <w:lang w:eastAsia="en-AU"/>
        </w:rPr>
        <w:t xml:space="preserve"> This </w:t>
      </w:r>
      <w:r w:rsidR="00377FE4">
        <w:rPr>
          <w:rFonts w:ascii="Calibri" w:eastAsia="Times New Roman" w:hAnsi="Calibri" w:cs="Calibri"/>
          <w:color w:val="000000"/>
          <w:sz w:val="24"/>
          <w:szCs w:val="24"/>
          <w:shd w:val="clear" w:color="auto" w:fill="FFFFFF"/>
          <w:lang w:eastAsia="en-AU"/>
        </w:rPr>
        <w:t>Discussion</w:t>
      </w:r>
      <w:r w:rsidR="00335485">
        <w:rPr>
          <w:rFonts w:ascii="Calibri" w:eastAsia="Times New Roman" w:hAnsi="Calibri" w:cs="Calibri"/>
          <w:color w:val="000000"/>
          <w:sz w:val="24"/>
          <w:szCs w:val="24"/>
          <w:shd w:val="clear" w:color="auto" w:fill="FFFFFF"/>
          <w:lang w:eastAsia="en-AU"/>
        </w:rPr>
        <w:t xml:space="preserve"> Paper</w:t>
      </w:r>
      <w:r w:rsidR="005600F4">
        <w:rPr>
          <w:rFonts w:ascii="Calibri" w:eastAsia="Times New Roman" w:hAnsi="Calibri" w:cs="Calibri"/>
          <w:color w:val="000000"/>
          <w:sz w:val="24"/>
          <w:szCs w:val="24"/>
          <w:shd w:val="clear" w:color="auto" w:fill="FFFFFF"/>
          <w:lang w:eastAsia="en-AU"/>
        </w:rPr>
        <w:t xml:space="preserve"> sets out the key findings of this work, opportunities and considerations for delivering on these reform areas and </w:t>
      </w:r>
      <w:r w:rsidR="00341DEB">
        <w:rPr>
          <w:rFonts w:ascii="Calibri" w:eastAsia="Times New Roman" w:hAnsi="Calibri" w:cs="Calibri"/>
          <w:color w:val="000000"/>
          <w:sz w:val="24"/>
          <w:szCs w:val="24"/>
          <w:shd w:val="clear" w:color="auto" w:fill="FFFFFF"/>
          <w:lang w:eastAsia="en-AU"/>
        </w:rPr>
        <w:t>discuss</w:t>
      </w:r>
      <w:r w:rsidR="00793F1D">
        <w:rPr>
          <w:rFonts w:ascii="Calibri" w:eastAsia="Times New Roman" w:hAnsi="Calibri" w:cs="Calibri"/>
          <w:color w:val="000000"/>
          <w:sz w:val="24"/>
          <w:szCs w:val="24"/>
          <w:shd w:val="clear" w:color="auto" w:fill="FFFFFF"/>
          <w:lang w:eastAsia="en-AU"/>
        </w:rPr>
        <w:t>ion</w:t>
      </w:r>
      <w:r w:rsidR="00341DEB">
        <w:rPr>
          <w:rFonts w:ascii="Calibri" w:eastAsia="Times New Roman" w:hAnsi="Calibri" w:cs="Calibri"/>
          <w:color w:val="000000"/>
          <w:sz w:val="24"/>
          <w:szCs w:val="24"/>
          <w:shd w:val="clear" w:color="auto" w:fill="FFFFFF"/>
          <w:lang w:eastAsia="en-AU"/>
        </w:rPr>
        <w:t xml:space="preserve"> </w:t>
      </w:r>
      <w:r w:rsidR="00D970BB">
        <w:rPr>
          <w:rFonts w:ascii="Calibri" w:eastAsia="Times New Roman" w:hAnsi="Calibri" w:cs="Calibri"/>
          <w:color w:val="000000"/>
          <w:sz w:val="24"/>
          <w:szCs w:val="24"/>
          <w:shd w:val="clear" w:color="auto" w:fill="FFFFFF"/>
          <w:lang w:eastAsia="en-AU"/>
        </w:rPr>
        <w:t>questions</w:t>
      </w:r>
      <w:r w:rsidR="0074522D">
        <w:rPr>
          <w:rFonts w:ascii="Calibri" w:eastAsia="Times New Roman" w:hAnsi="Calibri" w:cs="Calibri"/>
          <w:color w:val="000000"/>
          <w:sz w:val="24"/>
          <w:szCs w:val="24"/>
          <w:shd w:val="clear" w:color="auto" w:fill="FFFFFF"/>
          <w:lang w:eastAsia="en-AU"/>
        </w:rPr>
        <w:t xml:space="preserve"> to inform its advice</w:t>
      </w:r>
      <w:r w:rsidR="00F14E04">
        <w:rPr>
          <w:rFonts w:ascii="Calibri" w:eastAsia="Times New Roman" w:hAnsi="Calibri" w:cs="Calibri"/>
          <w:color w:val="000000"/>
          <w:sz w:val="24"/>
          <w:szCs w:val="24"/>
          <w:shd w:val="clear" w:color="auto" w:fill="FFFFFF"/>
          <w:lang w:eastAsia="en-AU"/>
        </w:rPr>
        <w:t>.</w:t>
      </w:r>
      <w:r w:rsidRPr="00B327B0">
        <w:rPr>
          <w:rFonts w:ascii="Calibri" w:eastAsia="Times New Roman" w:hAnsi="Calibri" w:cs="Calibri"/>
          <w:color w:val="000000"/>
          <w:sz w:val="24"/>
          <w:szCs w:val="24"/>
          <w:shd w:val="clear" w:color="auto" w:fill="FFFFFF"/>
          <w:lang w:eastAsia="en-AU"/>
        </w:rPr>
        <w:t> </w:t>
      </w:r>
      <w:r w:rsidRPr="009D6AC4">
        <w:rPr>
          <w:rFonts w:ascii="Calibri" w:eastAsia="Times New Roman" w:hAnsi="Calibri" w:cs="Calibri"/>
          <w:color w:val="000000"/>
          <w:sz w:val="24"/>
          <w:szCs w:val="24"/>
          <w:shd w:val="clear" w:color="auto" w:fill="FFFFFF"/>
          <w:lang w:eastAsia="en-AU"/>
        </w:rPr>
        <w:t xml:space="preserve">The Panel will provide advice on these reform areas to the Education Ministers Meeting through the Australian Government Minister for Education by June 2023. </w:t>
      </w:r>
    </w:p>
    <w:p w14:paraId="3C622450" w14:textId="23B03CEC" w:rsidR="00292C9A" w:rsidRDefault="00292C9A" w:rsidP="00753690">
      <w:pPr>
        <w:spacing w:after="120" w:line="240" w:lineRule="auto"/>
        <w:textAlignment w:val="baseline"/>
        <w:rPr>
          <w:sz w:val="24"/>
          <w:szCs w:val="24"/>
        </w:rPr>
      </w:pPr>
    </w:p>
    <w:p w14:paraId="144292D2" w14:textId="23B03CEC" w:rsidR="002D22C7" w:rsidRDefault="002D22C7" w:rsidP="00292C9A">
      <w:pPr>
        <w:spacing w:after="120" w:line="240" w:lineRule="auto"/>
        <w:jc w:val="right"/>
        <w:textAlignment w:val="baseline"/>
        <w:rPr>
          <w:sz w:val="24"/>
          <w:szCs w:val="24"/>
          <w:u w:val="single"/>
        </w:rPr>
      </w:pPr>
    </w:p>
    <w:p w14:paraId="52C4A56E" w14:textId="77777777" w:rsidR="00343C01" w:rsidRDefault="00343C01">
      <w:pPr>
        <w:spacing w:after="160"/>
        <w:rPr>
          <w:rFonts w:asciiTheme="majorHAnsi" w:eastAsia="Times New Roman" w:hAnsiTheme="majorHAnsi" w:cstheme="majorHAnsi"/>
          <w:b/>
          <w:color w:val="002C3E" w:themeColor="background2"/>
          <w:sz w:val="44"/>
          <w:szCs w:val="44"/>
          <w:lang w:eastAsia="en-AU"/>
        </w:rPr>
      </w:pPr>
      <w:r>
        <w:rPr>
          <w:rFonts w:asciiTheme="majorHAnsi" w:eastAsia="Times New Roman" w:hAnsiTheme="majorHAnsi" w:cstheme="majorHAnsi"/>
          <w:b/>
          <w:color w:val="002C3E" w:themeColor="background2"/>
          <w:sz w:val="44"/>
          <w:szCs w:val="44"/>
          <w:lang w:eastAsia="en-AU"/>
        </w:rPr>
        <w:br w:type="page"/>
      </w:r>
    </w:p>
    <w:p w14:paraId="2ECBE57A" w14:textId="5631D4ED" w:rsidR="00D92F7A" w:rsidRPr="00956A28" w:rsidRDefault="00B707E9" w:rsidP="00956A28">
      <w:pPr>
        <w:pStyle w:val="Heading1"/>
        <w:spacing w:before="0" w:after="240" w:line="240" w:lineRule="auto"/>
        <w:jc w:val="left"/>
        <w:rPr>
          <w:rFonts w:asciiTheme="majorHAnsi" w:eastAsia="Times New Roman" w:hAnsiTheme="majorHAnsi"/>
          <w:b/>
          <w:color w:val="002C3E" w:themeColor="background2"/>
          <w:sz w:val="44"/>
          <w:szCs w:val="44"/>
          <w:lang w:eastAsia="en-AU"/>
        </w:rPr>
      </w:pPr>
      <w:bookmarkStart w:id="3" w:name="_Toc127978371"/>
      <w:bookmarkStart w:id="4" w:name="_Toc128649071"/>
      <w:bookmarkStart w:id="5" w:name="_Toc130217427"/>
      <w:r w:rsidRPr="47C32BB2">
        <w:rPr>
          <w:rFonts w:asciiTheme="majorHAnsi" w:eastAsia="Times New Roman" w:hAnsiTheme="majorHAnsi"/>
          <w:b/>
          <w:color w:val="002C3E" w:themeColor="background2"/>
          <w:sz w:val="44"/>
          <w:szCs w:val="44"/>
          <w:lang w:eastAsia="en-AU"/>
        </w:rPr>
        <w:lastRenderedPageBreak/>
        <w:t>Reform Area 1: Strengthen ITE programs to deliver effective, classroom ready graduates</w:t>
      </w:r>
      <w:bookmarkEnd w:id="3"/>
      <w:bookmarkEnd w:id="4"/>
      <w:bookmarkEnd w:id="5"/>
      <w:r w:rsidRPr="47C32BB2">
        <w:rPr>
          <w:rFonts w:asciiTheme="majorHAnsi" w:eastAsia="Times New Roman" w:hAnsiTheme="majorHAnsi"/>
          <w:b/>
          <w:color w:val="002C3E" w:themeColor="background2"/>
          <w:sz w:val="44"/>
          <w:szCs w:val="44"/>
          <w:lang w:eastAsia="en-AU"/>
        </w:rPr>
        <w:t> </w:t>
      </w:r>
      <w:r w:rsidR="00C23C5F">
        <w:rPr>
          <w:bCs/>
          <w:color w:val="004F9E" w:themeColor="text2"/>
        </w:rPr>
        <w:t xml:space="preserve"> </w:t>
      </w:r>
    </w:p>
    <w:p w14:paraId="7EA4CD3B" w14:textId="6916B57B" w:rsidR="00673AC8" w:rsidRPr="00126C2B" w:rsidRDefault="00673AC8" w:rsidP="00673AC8">
      <w:pPr>
        <w:spacing w:after="120" w:line="240" w:lineRule="auto"/>
        <w:textAlignment w:val="baseline"/>
        <w:rPr>
          <w:rFonts w:ascii="Calibri" w:eastAsia="Times New Roman" w:hAnsi="Calibri" w:cs="Calibri"/>
          <w:lang w:eastAsia="en-AU"/>
        </w:rPr>
      </w:pPr>
      <w:r w:rsidRPr="00126C2B">
        <w:rPr>
          <w:rFonts w:ascii="Calibri" w:eastAsia="Times New Roman" w:hAnsi="Calibri" w:cs="Calibri"/>
          <w:lang w:eastAsia="en-AU"/>
        </w:rPr>
        <w:t xml:space="preserve">The QITE Review </w:t>
      </w:r>
      <w:r w:rsidR="00DC64C6">
        <w:rPr>
          <w:rFonts w:ascii="Calibri" w:eastAsia="Times New Roman" w:hAnsi="Calibri" w:cs="Calibri"/>
          <w:lang w:eastAsia="en-AU"/>
        </w:rPr>
        <w:t>(Recommendation 7)</w:t>
      </w:r>
      <w:r w:rsidRPr="00126C2B">
        <w:rPr>
          <w:rFonts w:ascii="Calibri" w:eastAsia="Times New Roman" w:hAnsi="Calibri" w:cs="Calibri"/>
          <w:lang w:eastAsia="en-AU"/>
        </w:rPr>
        <w:t xml:space="preserve"> found that many ITE graduates are underprepared to teach in several key areas, </w:t>
      </w:r>
      <w:r>
        <w:rPr>
          <w:rFonts w:ascii="Calibri" w:eastAsia="Times New Roman" w:hAnsi="Calibri" w:cs="Calibri"/>
          <w:lang w:eastAsia="en-AU"/>
        </w:rPr>
        <w:t>particularly in the areas of</w:t>
      </w:r>
      <w:r w:rsidRPr="00126C2B">
        <w:rPr>
          <w:rFonts w:ascii="Calibri" w:eastAsia="Times New Roman" w:hAnsi="Calibri" w:cs="Calibri"/>
          <w:lang w:eastAsia="en-AU"/>
        </w:rPr>
        <w:t xml:space="preserve"> the teaching of reading, cultural responsiveness, supporting diverse learners, classroom management and family/carer engagement. </w:t>
      </w:r>
      <w:r>
        <w:rPr>
          <w:rFonts w:ascii="Calibri" w:eastAsia="Times New Roman" w:hAnsi="Calibri" w:cs="Calibri"/>
          <w:lang w:eastAsia="en-AU"/>
        </w:rPr>
        <w:t>T</w:t>
      </w:r>
      <w:r w:rsidRPr="00126C2B">
        <w:rPr>
          <w:rFonts w:ascii="Calibri" w:eastAsia="Times New Roman" w:hAnsi="Calibri" w:cs="Calibri"/>
          <w:lang w:eastAsia="en-AU"/>
        </w:rPr>
        <w:t xml:space="preserve">he </w:t>
      </w:r>
      <w:r>
        <w:rPr>
          <w:rFonts w:ascii="Calibri" w:eastAsia="Times New Roman" w:hAnsi="Calibri" w:cs="Calibri"/>
          <w:lang w:eastAsia="en-AU"/>
        </w:rPr>
        <w:t xml:space="preserve">QITE </w:t>
      </w:r>
      <w:r w:rsidRPr="00126C2B">
        <w:rPr>
          <w:rFonts w:ascii="Calibri" w:eastAsia="Times New Roman" w:hAnsi="Calibri" w:cs="Calibri"/>
          <w:lang w:eastAsia="en-AU"/>
        </w:rPr>
        <w:t xml:space="preserve">Review </w:t>
      </w:r>
      <w:r>
        <w:rPr>
          <w:rFonts w:ascii="Calibri" w:eastAsia="Times New Roman" w:hAnsi="Calibri" w:cs="Calibri"/>
          <w:lang w:eastAsia="en-AU"/>
        </w:rPr>
        <w:t xml:space="preserve">also </w:t>
      </w:r>
      <w:r w:rsidRPr="00126C2B">
        <w:rPr>
          <w:rFonts w:ascii="Calibri" w:eastAsia="Times New Roman" w:hAnsi="Calibri" w:cs="Calibri"/>
          <w:lang w:eastAsia="en-AU"/>
        </w:rPr>
        <w:t xml:space="preserve">found that ITE students felt their preparedness to teach </w:t>
      </w:r>
      <w:r w:rsidR="00D86492">
        <w:rPr>
          <w:rFonts w:ascii="Calibri" w:eastAsia="Times New Roman" w:hAnsi="Calibri" w:cs="Calibri"/>
          <w:lang w:eastAsia="en-AU"/>
        </w:rPr>
        <w:t xml:space="preserve">in general </w:t>
      </w:r>
      <w:r w:rsidRPr="00126C2B">
        <w:rPr>
          <w:rFonts w:ascii="Calibri" w:eastAsia="Times New Roman" w:hAnsi="Calibri" w:cs="Calibri"/>
          <w:lang w:eastAsia="en-AU"/>
        </w:rPr>
        <w:t>would be bolstered by a focus on evidence-based</w:t>
      </w:r>
      <w:r w:rsidR="00D86450">
        <w:rPr>
          <w:rFonts w:ascii="Calibri" w:eastAsia="Times New Roman" w:hAnsi="Calibri" w:cs="Calibri"/>
          <w:lang w:eastAsia="en-AU"/>
        </w:rPr>
        <w:t xml:space="preserve"> teaching</w:t>
      </w:r>
      <w:r w:rsidRPr="00126C2B">
        <w:rPr>
          <w:rFonts w:ascii="Calibri" w:eastAsia="Times New Roman" w:hAnsi="Calibri" w:cs="Calibri"/>
          <w:lang w:eastAsia="en-AU"/>
        </w:rPr>
        <w:t xml:space="preserve"> strategies.</w:t>
      </w:r>
    </w:p>
    <w:p w14:paraId="3C663E47" w14:textId="2DE5F8AE" w:rsidR="00673AC8" w:rsidRDefault="00673AC8" w:rsidP="00673AC8">
      <w:pPr>
        <w:spacing w:after="120" w:line="240" w:lineRule="auto"/>
        <w:textAlignment w:val="baseline"/>
        <w:rPr>
          <w:rFonts w:ascii="Calibri" w:eastAsia="Times New Roman" w:hAnsi="Calibri" w:cs="Calibri"/>
          <w:lang w:eastAsia="en-AU"/>
        </w:rPr>
      </w:pPr>
      <w:r w:rsidRPr="0D2EA92C">
        <w:rPr>
          <w:rFonts w:ascii="Calibri" w:eastAsia="Times New Roman" w:hAnsi="Calibri" w:cs="Calibri"/>
          <w:lang w:eastAsia="en-AU"/>
        </w:rPr>
        <w:t xml:space="preserve">The </w:t>
      </w:r>
      <w:r w:rsidR="00CA0E1A" w:rsidRPr="001A74A6">
        <w:rPr>
          <w:rFonts w:ascii="Calibri" w:eastAsia="Times New Roman" w:hAnsi="Calibri" w:cs="Calibri"/>
          <w:i/>
          <w:iCs/>
          <w:lang w:eastAsia="en-AU"/>
        </w:rPr>
        <w:t>Accreditation of initial teacher education programs in Australia</w:t>
      </w:r>
      <w:r w:rsidR="00CA0E1A">
        <w:rPr>
          <w:rFonts w:ascii="Calibri" w:eastAsia="Times New Roman" w:hAnsi="Calibri" w:cs="Calibri"/>
          <w:i/>
          <w:iCs/>
          <w:lang w:eastAsia="en-AU"/>
        </w:rPr>
        <w:t>:</w:t>
      </w:r>
      <w:r w:rsidR="00CA0E1A" w:rsidRPr="001A74A6">
        <w:rPr>
          <w:rFonts w:ascii="Calibri" w:eastAsia="Times New Roman" w:hAnsi="Calibri" w:cs="Calibri"/>
          <w:i/>
          <w:iCs/>
          <w:lang w:eastAsia="en-AU"/>
        </w:rPr>
        <w:t xml:space="preserve"> Standards and Procedures</w:t>
      </w:r>
      <w:r w:rsidR="00CA0E1A" w:rsidRPr="0D2EA92C">
        <w:rPr>
          <w:rFonts w:ascii="Calibri" w:eastAsia="Times New Roman" w:hAnsi="Calibri" w:cs="Calibri"/>
          <w:lang w:eastAsia="en-AU"/>
        </w:rPr>
        <w:t xml:space="preserve"> </w:t>
      </w:r>
      <w:r w:rsidR="00CA0E1A">
        <w:rPr>
          <w:rFonts w:ascii="Calibri" w:eastAsia="Times New Roman" w:hAnsi="Calibri" w:cs="Calibri"/>
          <w:lang w:eastAsia="en-AU"/>
        </w:rPr>
        <w:t>(</w:t>
      </w:r>
      <w:r w:rsidRPr="0D2EA92C">
        <w:rPr>
          <w:rFonts w:ascii="Calibri" w:eastAsia="Times New Roman" w:hAnsi="Calibri" w:cs="Calibri"/>
          <w:lang w:eastAsia="en-AU"/>
        </w:rPr>
        <w:t>Accreditation Standards and Procedures</w:t>
      </w:r>
      <w:r w:rsidR="00CA0E1A">
        <w:rPr>
          <w:rFonts w:ascii="Calibri" w:eastAsia="Times New Roman" w:hAnsi="Calibri" w:cs="Calibri"/>
          <w:lang w:eastAsia="en-AU"/>
        </w:rPr>
        <w:t>)</w:t>
      </w:r>
      <w:r w:rsidRPr="0D2EA92C">
        <w:rPr>
          <w:rFonts w:ascii="Calibri" w:eastAsia="Times New Roman" w:hAnsi="Calibri" w:cs="Calibri"/>
          <w:lang w:eastAsia="en-AU"/>
        </w:rPr>
        <w:t xml:space="preserve"> set out the requirements that an ITE program must meet in order to meet the requirements of the </w:t>
      </w:r>
      <w:r w:rsidR="00341113" w:rsidRPr="0D2EA92C">
        <w:rPr>
          <w:rFonts w:ascii="Calibri" w:eastAsia="Times New Roman" w:hAnsi="Calibri" w:cs="Calibri"/>
          <w:lang w:eastAsia="en-AU"/>
        </w:rPr>
        <w:t>Teacher Standards</w:t>
      </w:r>
      <w:r w:rsidRPr="0D2EA92C">
        <w:rPr>
          <w:rFonts w:ascii="Calibri" w:eastAsia="Times New Roman" w:hAnsi="Calibri" w:cs="Calibri"/>
          <w:lang w:eastAsia="en-AU"/>
        </w:rPr>
        <w:t>.</w:t>
      </w:r>
      <w:r w:rsidR="00697387">
        <w:rPr>
          <w:rFonts w:ascii="Calibri" w:eastAsia="Times New Roman" w:hAnsi="Calibri" w:cs="Calibri"/>
          <w:lang w:eastAsia="en-AU"/>
        </w:rPr>
        <w:t xml:space="preserve"> </w:t>
      </w:r>
      <w:r w:rsidRPr="0D2EA92C">
        <w:rPr>
          <w:rFonts w:ascii="Calibri" w:eastAsia="Times New Roman" w:hAnsi="Calibri" w:cs="Calibri"/>
          <w:lang w:eastAsia="en-AU"/>
        </w:rPr>
        <w:t>However, the Accreditation Standards and Procedures do not require ITE students to learn specific evidenced-based practices</w:t>
      </w:r>
      <w:r w:rsidR="008F4231" w:rsidRPr="0D2EA92C">
        <w:rPr>
          <w:rFonts w:ascii="Calibri" w:eastAsia="Times New Roman" w:hAnsi="Calibri" w:cs="Calibri"/>
          <w:lang w:eastAsia="en-AU"/>
        </w:rPr>
        <w:t xml:space="preserve"> </w:t>
      </w:r>
      <w:r w:rsidRPr="0D2EA92C">
        <w:rPr>
          <w:rFonts w:ascii="Calibri" w:eastAsia="Times New Roman" w:hAnsi="Calibri" w:cs="Calibri"/>
          <w:lang w:eastAsia="en-AU"/>
        </w:rPr>
        <w:t>except in the area of early reading instruction. </w:t>
      </w:r>
    </w:p>
    <w:p w14:paraId="1844B7DE" w14:textId="191414E1" w:rsidR="00B707E9" w:rsidRPr="00126C2B" w:rsidRDefault="00C74A32" w:rsidP="00C74A32">
      <w:pPr>
        <w:spacing w:after="120" w:line="240" w:lineRule="auto"/>
        <w:textAlignment w:val="baseline"/>
        <w:rPr>
          <w:rFonts w:ascii="Calibri" w:eastAsia="Times New Roman" w:hAnsi="Calibri" w:cs="Calibri"/>
          <w:lang w:eastAsia="en-AU"/>
        </w:rPr>
      </w:pPr>
      <w:r w:rsidRPr="00126C2B">
        <w:rPr>
          <w:rFonts w:ascii="Calibri" w:eastAsia="Times New Roman" w:hAnsi="Calibri" w:cs="Calibri"/>
          <w:lang w:eastAsia="en-AU"/>
        </w:rPr>
        <w:t xml:space="preserve">The Panel has been asked to provide advice on amending the Accreditation Standards and Procedures to ensure ITE </w:t>
      </w:r>
      <w:r>
        <w:rPr>
          <w:rFonts w:ascii="Calibri" w:eastAsia="Times New Roman" w:hAnsi="Calibri" w:cs="Calibri"/>
          <w:lang w:eastAsia="en-AU"/>
        </w:rPr>
        <w:t>students</w:t>
      </w:r>
      <w:r w:rsidRPr="00126C2B">
        <w:rPr>
          <w:rFonts w:ascii="Calibri" w:eastAsia="Times New Roman" w:hAnsi="Calibri" w:cs="Calibri"/>
          <w:lang w:eastAsia="en-AU"/>
        </w:rPr>
        <w:t xml:space="preserve"> are taught sufficient evidence-based practices to meet the </w:t>
      </w:r>
      <w:r w:rsidRPr="00126C2B">
        <w:rPr>
          <w:rFonts w:ascii="Calibri" w:eastAsia="Times New Roman" w:hAnsi="Calibri" w:cs="Calibri"/>
          <w:i/>
          <w:iCs/>
          <w:lang w:eastAsia="en-AU"/>
        </w:rPr>
        <w:t>Australian Professional Standards for Teachers</w:t>
      </w:r>
      <w:r>
        <w:rPr>
          <w:rFonts w:ascii="Calibri" w:eastAsia="Times New Roman" w:hAnsi="Calibri" w:cs="Calibri"/>
          <w:lang w:eastAsia="en-AU"/>
        </w:rPr>
        <w:t xml:space="preserve"> (</w:t>
      </w:r>
      <w:r w:rsidRPr="000A3558">
        <w:rPr>
          <w:rFonts w:ascii="Calibri" w:eastAsia="Times New Roman" w:hAnsi="Calibri" w:cs="Calibri"/>
          <w:lang w:eastAsia="en-AU"/>
        </w:rPr>
        <w:t>Teacher Standards</w:t>
      </w:r>
      <w:r>
        <w:rPr>
          <w:rFonts w:ascii="Calibri" w:eastAsia="Times New Roman" w:hAnsi="Calibri" w:cs="Calibri"/>
          <w:lang w:eastAsia="en-AU"/>
        </w:rPr>
        <w:t>)</w:t>
      </w:r>
      <w:r w:rsidRPr="00126C2B">
        <w:rPr>
          <w:rFonts w:ascii="Calibri" w:eastAsia="Times New Roman" w:hAnsi="Calibri" w:cs="Calibri"/>
          <w:lang w:eastAsia="en-AU"/>
        </w:rPr>
        <w:t xml:space="preserve"> and </w:t>
      </w:r>
      <w:r>
        <w:rPr>
          <w:rFonts w:ascii="Calibri" w:eastAsia="Times New Roman" w:hAnsi="Calibri" w:cs="Calibri"/>
          <w:lang w:eastAsia="en-AU"/>
        </w:rPr>
        <w:t>support</w:t>
      </w:r>
      <w:r w:rsidRPr="00126C2B">
        <w:rPr>
          <w:rFonts w:ascii="Calibri" w:eastAsia="Times New Roman" w:hAnsi="Calibri" w:cs="Calibri"/>
          <w:lang w:eastAsia="en-AU"/>
        </w:rPr>
        <w:t xml:space="preserve"> them to lead a classroom</w:t>
      </w:r>
      <w:r w:rsidRPr="73847246">
        <w:rPr>
          <w:rFonts w:ascii="Calibri" w:eastAsia="Times New Roman" w:hAnsi="Calibri" w:cs="Calibri"/>
          <w:lang w:eastAsia="en-AU"/>
        </w:rPr>
        <w:t>.</w:t>
      </w:r>
      <w:r w:rsidR="00A26ACE">
        <w:rPr>
          <w:rFonts w:ascii="Calibri" w:eastAsia="Times New Roman" w:hAnsi="Calibri" w:cs="Calibri"/>
          <w:lang w:eastAsia="en-AU"/>
        </w:rPr>
        <w:t xml:space="preserve"> </w:t>
      </w:r>
      <w:r w:rsidR="00B707E9" w:rsidRPr="00126C2B">
        <w:rPr>
          <w:rFonts w:ascii="Calibri" w:eastAsia="Times New Roman" w:hAnsi="Calibri" w:cs="Calibri"/>
          <w:lang w:eastAsia="en-AU"/>
        </w:rPr>
        <w:t>To aid the Panel, the Australian Education Research Organisation (AERO) w</w:t>
      </w:r>
      <w:r w:rsidR="00A65960" w:rsidRPr="00126C2B">
        <w:rPr>
          <w:rFonts w:ascii="Calibri" w:eastAsia="Times New Roman" w:hAnsi="Calibri" w:cs="Calibri"/>
          <w:lang w:eastAsia="en-AU"/>
        </w:rPr>
        <w:t xml:space="preserve">as engaged </w:t>
      </w:r>
      <w:r w:rsidR="00B707E9" w:rsidRPr="00126C2B">
        <w:rPr>
          <w:rFonts w:ascii="Calibri" w:eastAsia="Times New Roman" w:hAnsi="Calibri" w:cs="Calibri"/>
          <w:lang w:eastAsia="en-AU"/>
        </w:rPr>
        <w:t xml:space="preserve">to identify </w:t>
      </w:r>
      <w:r w:rsidR="008440F5" w:rsidRPr="00126C2B">
        <w:rPr>
          <w:rFonts w:ascii="Calibri" w:eastAsia="Times New Roman" w:hAnsi="Calibri" w:cs="Calibri"/>
          <w:lang w:eastAsia="en-AU"/>
        </w:rPr>
        <w:t xml:space="preserve">the </w:t>
      </w:r>
      <w:r w:rsidR="00B707E9" w:rsidRPr="00126C2B">
        <w:rPr>
          <w:rFonts w:ascii="Calibri" w:eastAsia="Times New Roman" w:hAnsi="Calibri" w:cs="Calibri"/>
          <w:lang w:eastAsia="en-AU"/>
        </w:rPr>
        <w:t xml:space="preserve">evidence-based practices which have </w:t>
      </w:r>
      <w:r w:rsidR="00A65960" w:rsidRPr="00126C2B">
        <w:rPr>
          <w:rFonts w:ascii="Calibri" w:eastAsia="Times New Roman" w:hAnsi="Calibri" w:cs="Calibri"/>
          <w:lang w:eastAsia="en-AU"/>
        </w:rPr>
        <w:t>the</w:t>
      </w:r>
      <w:r w:rsidR="008440F5" w:rsidRPr="00126C2B">
        <w:rPr>
          <w:rFonts w:ascii="Calibri" w:eastAsia="Times New Roman" w:hAnsi="Calibri" w:cs="Calibri"/>
          <w:lang w:eastAsia="en-AU"/>
        </w:rPr>
        <w:t xml:space="preserve"> </w:t>
      </w:r>
      <w:r w:rsidR="00B707E9" w:rsidRPr="00126C2B">
        <w:rPr>
          <w:rFonts w:ascii="Calibri" w:eastAsia="Times New Roman" w:hAnsi="Calibri" w:cs="Calibri"/>
          <w:lang w:eastAsia="en-AU"/>
        </w:rPr>
        <w:t>greatest impact on student learning that ITE students should learn and be able to demonstrate</w:t>
      </w:r>
      <w:r w:rsidR="007626B7">
        <w:rPr>
          <w:rFonts w:ascii="Calibri" w:eastAsia="Times New Roman" w:hAnsi="Calibri" w:cs="Calibri"/>
          <w:lang w:eastAsia="en-AU"/>
        </w:rPr>
        <w:t xml:space="preserve"> to inform amendments to the Accreditation Standards and Procedures</w:t>
      </w:r>
      <w:r w:rsidR="00043D8F">
        <w:rPr>
          <w:rFonts w:ascii="Calibri" w:eastAsia="Times New Roman" w:hAnsi="Calibri" w:cs="Calibri"/>
          <w:lang w:eastAsia="en-AU"/>
        </w:rPr>
        <w:t>.</w:t>
      </w:r>
      <w:r w:rsidR="005211A6">
        <w:rPr>
          <w:rFonts w:ascii="Calibri" w:eastAsia="Times New Roman" w:hAnsi="Calibri" w:cs="Calibri"/>
          <w:lang w:eastAsia="en-AU"/>
        </w:rPr>
        <w:t xml:space="preserve"> </w:t>
      </w:r>
      <w:r w:rsidR="005211A6">
        <w:t xml:space="preserve">AERO was also supported by Dr Catherine </w:t>
      </w:r>
      <w:r w:rsidR="005211A6" w:rsidRPr="005211A6">
        <w:t>Pearn</w:t>
      </w:r>
      <w:r w:rsidR="005211A6">
        <w:t>, Senior Lecturer at the Melbourne Graduate School of Education, in reviewing and synthesising effective practices in numeracy.</w:t>
      </w:r>
    </w:p>
    <w:p w14:paraId="51C7B890" w14:textId="561ACAD4" w:rsidR="00B707E9" w:rsidRPr="00302790" w:rsidRDefault="00B707E9" w:rsidP="00AA45C1">
      <w:pPr>
        <w:pStyle w:val="Heading2"/>
        <w:spacing w:before="0" w:line="240" w:lineRule="auto"/>
        <w:rPr>
          <w:color w:val="002C3E" w:themeColor="background2"/>
          <w:sz w:val="36"/>
          <w:szCs w:val="36"/>
        </w:rPr>
      </w:pPr>
      <w:bookmarkStart w:id="6" w:name="_Toc127978372"/>
      <w:bookmarkStart w:id="7" w:name="_Toc128649072"/>
      <w:bookmarkStart w:id="8" w:name="_Toc130217428"/>
      <w:r w:rsidRPr="47C32BB2">
        <w:rPr>
          <w:color w:val="002C3E" w:themeColor="background2"/>
          <w:sz w:val="36"/>
          <w:szCs w:val="36"/>
        </w:rPr>
        <w:t>Key findings</w:t>
      </w:r>
      <w:bookmarkEnd w:id="6"/>
      <w:bookmarkEnd w:id="7"/>
      <w:bookmarkEnd w:id="8"/>
      <w:r w:rsidRPr="47C32BB2">
        <w:rPr>
          <w:color w:val="002C3E" w:themeColor="background2"/>
          <w:sz w:val="36"/>
          <w:szCs w:val="36"/>
        </w:rPr>
        <w:t> </w:t>
      </w:r>
    </w:p>
    <w:p w14:paraId="09EA55E5" w14:textId="59E5AB1B" w:rsidR="00C72274" w:rsidRPr="008F49A1" w:rsidRDefault="001E46C9" w:rsidP="00DB0012">
      <w:pPr>
        <w:pStyle w:val="Heading3"/>
        <w:spacing w:before="0" w:after="120" w:line="240" w:lineRule="auto"/>
        <w:rPr>
          <w:rFonts w:eastAsia="Times New Roman"/>
          <w:szCs w:val="32"/>
          <w:lang w:eastAsia="en-AU"/>
        </w:rPr>
      </w:pPr>
      <w:bookmarkStart w:id="9" w:name="_Toc127978373"/>
      <w:bookmarkStart w:id="10" w:name="_Toc128649073"/>
      <w:bookmarkStart w:id="11" w:name="_Toc130217429"/>
      <w:r w:rsidRPr="008F49A1">
        <w:rPr>
          <w:rFonts w:eastAsia="Times New Roman"/>
          <w:szCs w:val="32"/>
          <w:lang w:eastAsia="en-AU"/>
        </w:rPr>
        <w:t xml:space="preserve">1.1 </w:t>
      </w:r>
      <w:r w:rsidR="00286603" w:rsidRPr="008F49A1">
        <w:rPr>
          <w:rFonts w:eastAsia="Times New Roman"/>
          <w:szCs w:val="32"/>
          <w:lang w:eastAsia="en-AU"/>
        </w:rPr>
        <w:t xml:space="preserve">Determining </w:t>
      </w:r>
      <w:r w:rsidR="00147B1D" w:rsidRPr="008F49A1">
        <w:rPr>
          <w:rFonts w:eastAsia="Times New Roman"/>
          <w:szCs w:val="32"/>
          <w:lang w:eastAsia="en-AU"/>
        </w:rPr>
        <w:t>which</w:t>
      </w:r>
      <w:r w:rsidR="00982BAD" w:rsidRPr="008F49A1">
        <w:rPr>
          <w:rFonts w:eastAsia="Times New Roman"/>
          <w:szCs w:val="32"/>
          <w:lang w:eastAsia="en-AU"/>
        </w:rPr>
        <w:t xml:space="preserve"> </w:t>
      </w:r>
      <w:r w:rsidR="007A3F7B" w:rsidRPr="008F49A1">
        <w:rPr>
          <w:rFonts w:eastAsia="Times New Roman"/>
          <w:szCs w:val="32"/>
          <w:lang w:eastAsia="en-AU"/>
        </w:rPr>
        <w:t>evidence-based teaching practices</w:t>
      </w:r>
      <w:r w:rsidR="00982BAD" w:rsidRPr="008F49A1">
        <w:rPr>
          <w:rFonts w:eastAsia="Times New Roman"/>
          <w:szCs w:val="32"/>
          <w:lang w:eastAsia="en-AU"/>
        </w:rPr>
        <w:t xml:space="preserve"> </w:t>
      </w:r>
      <w:r w:rsidR="00147B1D" w:rsidRPr="008F49A1">
        <w:rPr>
          <w:rFonts w:eastAsia="Times New Roman"/>
          <w:szCs w:val="32"/>
          <w:lang w:eastAsia="en-AU"/>
        </w:rPr>
        <w:t xml:space="preserve">to prioritise in ITE </w:t>
      </w:r>
      <w:bookmarkEnd w:id="9"/>
      <w:r w:rsidR="007D34B3" w:rsidRPr="008F49A1">
        <w:rPr>
          <w:rFonts w:eastAsia="Times New Roman"/>
          <w:szCs w:val="32"/>
          <w:lang w:eastAsia="en-AU"/>
        </w:rPr>
        <w:t>programs</w:t>
      </w:r>
      <w:bookmarkEnd w:id="10"/>
      <w:bookmarkEnd w:id="11"/>
    </w:p>
    <w:p w14:paraId="439AEB3D" w14:textId="46B1663D" w:rsidR="007E6074" w:rsidRDefault="00EA2D46" w:rsidP="00144220">
      <w:pPr>
        <w:spacing w:line="240" w:lineRule="auto"/>
        <w:rPr>
          <w:color w:val="221F20"/>
          <w:shd w:val="clear" w:color="auto" w:fill="FFFFFF"/>
        </w:rPr>
      </w:pPr>
      <w:r>
        <w:rPr>
          <w:color w:val="221F20"/>
          <w:shd w:val="clear" w:color="auto" w:fill="FFFFFF"/>
        </w:rPr>
        <w:t xml:space="preserve">In considering </w:t>
      </w:r>
      <w:r w:rsidR="009E410B">
        <w:rPr>
          <w:color w:val="221F20"/>
          <w:shd w:val="clear" w:color="auto" w:fill="FFFFFF"/>
        </w:rPr>
        <w:t xml:space="preserve">Reform Area 1, </w:t>
      </w:r>
      <w:r w:rsidR="007E210A" w:rsidRPr="001007DB">
        <w:rPr>
          <w:color w:val="221F20"/>
          <w:shd w:val="clear" w:color="auto" w:fill="FFFFFF"/>
        </w:rPr>
        <w:t>AERO</w:t>
      </w:r>
      <w:r w:rsidR="00B31B3D" w:rsidRPr="001007DB">
        <w:rPr>
          <w:color w:val="221F20"/>
          <w:shd w:val="clear" w:color="auto" w:fill="FFFFFF"/>
        </w:rPr>
        <w:t xml:space="preserve"> reviewed and </w:t>
      </w:r>
      <w:r w:rsidR="00143AC2" w:rsidRPr="001007DB">
        <w:rPr>
          <w:color w:val="221F20"/>
          <w:shd w:val="clear" w:color="auto" w:fill="FFFFFF"/>
        </w:rPr>
        <w:t>synthesis</w:t>
      </w:r>
      <w:r w:rsidR="007E210A" w:rsidRPr="001007DB">
        <w:rPr>
          <w:color w:val="221F20"/>
          <w:shd w:val="clear" w:color="auto" w:fill="FFFFFF"/>
        </w:rPr>
        <w:t>ed</w:t>
      </w:r>
      <w:r w:rsidR="00143AC2" w:rsidRPr="001007DB">
        <w:rPr>
          <w:color w:val="221F20"/>
          <w:shd w:val="clear" w:color="auto" w:fill="FFFFFF"/>
        </w:rPr>
        <w:t xml:space="preserve"> the most rigorous and relevant evidence-based practices </w:t>
      </w:r>
      <w:r w:rsidR="007E6074">
        <w:rPr>
          <w:color w:val="221F20"/>
          <w:shd w:val="clear" w:color="auto" w:fill="FFFFFF"/>
        </w:rPr>
        <w:t xml:space="preserve">in education </w:t>
      </w:r>
      <w:r w:rsidR="00143AC2" w:rsidRPr="001007DB">
        <w:rPr>
          <w:color w:val="221F20"/>
          <w:shd w:val="clear" w:color="auto" w:fill="FFFFFF"/>
        </w:rPr>
        <w:t xml:space="preserve">from meta-analyses, systematic reviews, and literature reviews. </w:t>
      </w:r>
    </w:p>
    <w:p w14:paraId="3198983F" w14:textId="02374359" w:rsidR="00571BBC" w:rsidRPr="00571BBC" w:rsidRDefault="00571BBC" w:rsidP="00571BBC">
      <w:pPr>
        <w:shd w:val="clear" w:color="auto" w:fill="FEEBB9" w:themeFill="accent2" w:themeFillTint="66"/>
        <w:spacing w:line="240" w:lineRule="auto"/>
        <w:rPr>
          <w:rFonts w:eastAsia="Times New Roman"/>
          <w:color w:val="000000" w:themeColor="text1"/>
          <w:lang w:eastAsia="en-AU"/>
        </w:rPr>
      </w:pPr>
      <w:r w:rsidRPr="00571BBC">
        <w:rPr>
          <w:rFonts w:eastAsia="Times New Roman"/>
          <w:b/>
          <w:bCs/>
          <w:color w:val="000000" w:themeColor="text1"/>
          <w:lang w:eastAsia="en-AU"/>
        </w:rPr>
        <w:t>Evidence-based practices in education</w:t>
      </w:r>
      <w:r w:rsidRPr="00571BBC">
        <w:rPr>
          <w:rFonts w:eastAsia="Times New Roman"/>
          <w:color w:val="000000" w:themeColor="text1"/>
          <w:lang w:eastAsia="en-AU"/>
        </w:rPr>
        <w:t xml:space="preserve"> are those practices supported by research evidence as to their effectiveness. This means they have broad consensus from rigorously conducted evaluations that they work in many cases across various contexts, for different subgroups of students and in various locations. Additionally, there are evidence-based practices on approaches to teaching subject-specific content, such as reading and numeracy, that can complement generic evidence-based pedagogical approaches.</w:t>
      </w:r>
    </w:p>
    <w:p w14:paraId="1B06EF7B" w14:textId="4E2F3B10" w:rsidR="006A6B79" w:rsidRPr="003C490A" w:rsidRDefault="009C4AAD" w:rsidP="003C490A">
      <w:pPr>
        <w:spacing w:line="240" w:lineRule="auto"/>
      </w:pPr>
      <w:r>
        <w:rPr>
          <w:color w:val="221F20"/>
          <w:shd w:val="clear" w:color="auto" w:fill="FFFFFF"/>
        </w:rPr>
        <w:t xml:space="preserve">During its research, </w:t>
      </w:r>
      <w:r w:rsidR="007E6074">
        <w:rPr>
          <w:color w:val="221F20"/>
          <w:shd w:val="clear" w:color="auto" w:fill="FFFFFF"/>
        </w:rPr>
        <w:t>A</w:t>
      </w:r>
      <w:r w:rsidR="003F21E4" w:rsidRPr="001007DB">
        <w:rPr>
          <w:color w:val="221F20"/>
          <w:shd w:val="clear" w:color="auto" w:fill="FFFFFF"/>
        </w:rPr>
        <w:t xml:space="preserve">ERO rated these sources of information against its </w:t>
      </w:r>
      <w:r w:rsidR="00576F19">
        <w:rPr>
          <w:color w:val="221F20"/>
          <w:shd w:val="clear" w:color="auto" w:fill="FFFFFF"/>
        </w:rPr>
        <w:t>‘</w:t>
      </w:r>
      <w:hyperlink r:id="rId23" w:anchor=":~:text=AERO%27s%20Standards%20of%20evidence%20prioritise,be%20effective%20in%20their%20context." w:history="1">
        <w:r w:rsidR="00576F19" w:rsidRPr="00DB4F16">
          <w:rPr>
            <w:rStyle w:val="Hyperlink"/>
            <w:shd w:val="clear" w:color="auto" w:fill="FFFFFF"/>
          </w:rPr>
          <w:t>s</w:t>
        </w:r>
        <w:r w:rsidR="003F21E4" w:rsidRPr="00DB4F16">
          <w:rPr>
            <w:rStyle w:val="Hyperlink"/>
            <w:shd w:val="clear" w:color="auto" w:fill="FFFFFF"/>
          </w:rPr>
          <w:t>tandards of evidence</w:t>
        </w:r>
      </w:hyperlink>
      <w:r w:rsidR="003F21E4" w:rsidRPr="001007DB">
        <w:rPr>
          <w:color w:val="221F20"/>
          <w:shd w:val="clear" w:color="auto" w:fill="FFFFFF"/>
        </w:rPr>
        <w:t>’</w:t>
      </w:r>
      <w:r w:rsidR="009173BF">
        <w:rPr>
          <w:color w:val="221F20"/>
          <w:shd w:val="clear" w:color="auto" w:fill="FFFFFF"/>
        </w:rPr>
        <w:t xml:space="preserve"> of what constitutes rigorous and </w:t>
      </w:r>
      <w:r w:rsidR="00BB1DD7">
        <w:rPr>
          <w:color w:val="221F20"/>
          <w:shd w:val="clear" w:color="auto" w:fill="FFFFFF"/>
        </w:rPr>
        <w:t>relevant evidence,</w:t>
      </w:r>
      <w:r w:rsidR="003F21E4" w:rsidRPr="001007DB">
        <w:rPr>
          <w:color w:val="221F20"/>
          <w:shd w:val="clear" w:color="auto" w:fill="FFFFFF"/>
        </w:rPr>
        <w:t xml:space="preserve"> focusing on evidence generated in an Australian context where possible</w:t>
      </w:r>
      <w:r w:rsidR="00A704EC">
        <w:rPr>
          <w:color w:val="221F20"/>
          <w:shd w:val="clear" w:color="auto" w:fill="FFFFFF"/>
        </w:rPr>
        <w:t xml:space="preserve"> and </w:t>
      </w:r>
      <w:r w:rsidR="00C57FF9">
        <w:rPr>
          <w:color w:val="221F20"/>
          <w:shd w:val="clear" w:color="auto" w:fill="FFFFFF"/>
        </w:rPr>
        <w:t xml:space="preserve">identified practices </w:t>
      </w:r>
      <w:r w:rsidR="003C490A">
        <w:t>t</w:t>
      </w:r>
      <w:r w:rsidR="00C265EE">
        <w:rPr>
          <w:rFonts w:ascii="Calibri" w:hAnsi="Calibri" w:cs="Calibri"/>
        </w:rPr>
        <w:t xml:space="preserve">hat have </w:t>
      </w:r>
      <w:r w:rsidR="00252A77">
        <w:rPr>
          <w:rFonts w:ascii="Calibri" w:hAnsi="Calibri" w:cs="Calibri"/>
        </w:rPr>
        <w:t>b</w:t>
      </w:r>
      <w:r w:rsidR="0090744E" w:rsidRPr="009022F6">
        <w:rPr>
          <w:rFonts w:ascii="Calibri" w:hAnsi="Calibri" w:cs="Calibri"/>
        </w:rPr>
        <w:t>een shown to be effective across a variety of contexts including primary and secondary, across different subjects and for students with additional learning needs. This is to promote the teaching of practices that suit the largest range of learners possible and to support graduate teachers in being classroom</w:t>
      </w:r>
      <w:r w:rsidR="00CC5F7D">
        <w:rPr>
          <w:rFonts w:ascii="Calibri" w:hAnsi="Calibri" w:cs="Calibri"/>
        </w:rPr>
        <w:t xml:space="preserve"> </w:t>
      </w:r>
      <w:r w:rsidR="0090744E" w:rsidRPr="009022F6">
        <w:rPr>
          <w:rFonts w:ascii="Calibri" w:hAnsi="Calibri" w:cs="Calibri"/>
        </w:rPr>
        <w:t xml:space="preserve">ready, whatever that classroom may look like. As such, they form the essential foundations for </w:t>
      </w:r>
      <w:r w:rsidR="0090744E" w:rsidRPr="009022F6">
        <w:rPr>
          <w:rFonts w:ascii="Calibri" w:hAnsi="Calibri" w:cs="Calibri"/>
          <w:i/>
        </w:rPr>
        <w:t>all</w:t>
      </w:r>
      <w:r w:rsidR="0090744E" w:rsidRPr="009022F6">
        <w:rPr>
          <w:rFonts w:ascii="Calibri" w:hAnsi="Calibri" w:cs="Calibri"/>
        </w:rPr>
        <w:t xml:space="preserve"> teachers, regardless of specialisation or age range of students.  While the </w:t>
      </w:r>
      <w:r w:rsidR="0090744E" w:rsidRPr="009022F6">
        <w:rPr>
          <w:rFonts w:ascii="Calibri" w:hAnsi="Calibri" w:cs="Calibri"/>
          <w:i/>
        </w:rPr>
        <w:t>practices</w:t>
      </w:r>
      <w:r w:rsidR="0090744E" w:rsidRPr="009022F6">
        <w:rPr>
          <w:rFonts w:ascii="Calibri" w:hAnsi="Calibri" w:cs="Calibri"/>
        </w:rPr>
        <w:t xml:space="preserve"> have been deemed relevant for both primary and secondary contexts, some of the illustrative </w:t>
      </w:r>
      <w:r w:rsidR="0090744E" w:rsidRPr="009022F6">
        <w:rPr>
          <w:rFonts w:ascii="Calibri" w:hAnsi="Calibri" w:cs="Calibri"/>
          <w:i/>
        </w:rPr>
        <w:t>examples</w:t>
      </w:r>
      <w:r w:rsidR="0090744E" w:rsidRPr="009022F6">
        <w:rPr>
          <w:rFonts w:ascii="Calibri" w:hAnsi="Calibri" w:cs="Calibri"/>
        </w:rPr>
        <w:t xml:space="preserve"> of the practices offered may not apply to all contexts.</w:t>
      </w:r>
    </w:p>
    <w:p w14:paraId="15265944" w14:textId="4FE4B952" w:rsidR="008328EF" w:rsidRPr="004A642D" w:rsidRDefault="001E46C9" w:rsidP="00DB0012">
      <w:pPr>
        <w:pStyle w:val="Heading3"/>
        <w:spacing w:before="0" w:after="120" w:line="240" w:lineRule="auto"/>
        <w:rPr>
          <w:rFonts w:ascii="Calibri" w:hAnsi="Calibri" w:cs="Calibri"/>
          <w:sz w:val="26"/>
          <w:szCs w:val="26"/>
        </w:rPr>
      </w:pPr>
      <w:bookmarkStart w:id="12" w:name="_Toc127978374"/>
      <w:bookmarkStart w:id="13" w:name="_Toc128649074"/>
      <w:bookmarkStart w:id="14" w:name="_Toc130217430"/>
      <w:r>
        <w:rPr>
          <w:rFonts w:eastAsia="Times New Roman"/>
          <w:lang w:eastAsia="en-AU"/>
        </w:rPr>
        <w:lastRenderedPageBreak/>
        <w:t xml:space="preserve">1.2 </w:t>
      </w:r>
      <w:r w:rsidR="00032BE2" w:rsidRPr="002B41A9">
        <w:rPr>
          <w:rFonts w:eastAsia="Times New Roman"/>
          <w:lang w:eastAsia="en-AU"/>
        </w:rPr>
        <w:t>Core Content</w:t>
      </w:r>
      <w:bookmarkEnd w:id="12"/>
      <w:bookmarkEnd w:id="13"/>
      <w:bookmarkEnd w:id="14"/>
    </w:p>
    <w:p w14:paraId="405471E0" w14:textId="341EB38E" w:rsidR="008B47E4" w:rsidRDefault="00B707E9" w:rsidP="4E2AAAA3">
      <w:pPr>
        <w:keepNext/>
        <w:spacing w:after="120" w:line="240" w:lineRule="auto"/>
        <w:rPr>
          <w:rFonts w:ascii="Calibri" w:eastAsia="Times New Roman" w:hAnsi="Calibri" w:cs="Calibri"/>
          <w:lang w:eastAsia="en-AU"/>
        </w:rPr>
      </w:pPr>
      <w:r w:rsidRPr="00B318F9">
        <w:rPr>
          <w:rFonts w:ascii="Calibri" w:eastAsia="Times New Roman" w:hAnsi="Calibri" w:cs="Calibri"/>
          <w:lang w:eastAsia="en-AU"/>
        </w:rPr>
        <w:t xml:space="preserve">To support ITE students in meeting the </w:t>
      </w:r>
      <w:r w:rsidR="00B22DC2" w:rsidRPr="00B318F9">
        <w:rPr>
          <w:rFonts w:ascii="Calibri" w:eastAsia="Times New Roman" w:hAnsi="Calibri" w:cs="Calibri"/>
          <w:lang w:eastAsia="en-AU"/>
        </w:rPr>
        <w:t>T</w:t>
      </w:r>
      <w:r w:rsidRPr="00B318F9">
        <w:rPr>
          <w:rFonts w:ascii="Calibri" w:eastAsia="Times New Roman" w:hAnsi="Calibri" w:cs="Calibri"/>
          <w:lang w:eastAsia="en-AU"/>
        </w:rPr>
        <w:t>each</w:t>
      </w:r>
      <w:r w:rsidR="004A250C">
        <w:rPr>
          <w:rFonts w:ascii="Calibri" w:eastAsia="Times New Roman" w:hAnsi="Calibri" w:cs="Calibri"/>
          <w:lang w:eastAsia="en-AU"/>
        </w:rPr>
        <w:t>er</w:t>
      </w:r>
      <w:r w:rsidRPr="00B318F9">
        <w:rPr>
          <w:rFonts w:ascii="Calibri" w:eastAsia="Times New Roman" w:hAnsi="Calibri" w:cs="Calibri"/>
          <w:lang w:eastAsia="en-AU"/>
        </w:rPr>
        <w:t xml:space="preserve"> </w:t>
      </w:r>
      <w:r w:rsidR="00B22DC2" w:rsidRPr="00B318F9">
        <w:rPr>
          <w:rFonts w:ascii="Calibri" w:eastAsia="Times New Roman" w:hAnsi="Calibri" w:cs="Calibri"/>
          <w:lang w:eastAsia="en-AU"/>
        </w:rPr>
        <w:t>S</w:t>
      </w:r>
      <w:r w:rsidRPr="00B318F9">
        <w:rPr>
          <w:rFonts w:ascii="Calibri" w:eastAsia="Times New Roman" w:hAnsi="Calibri" w:cs="Calibri"/>
          <w:lang w:eastAsia="en-AU"/>
        </w:rPr>
        <w:t>tandards</w:t>
      </w:r>
      <w:r w:rsidR="00803B7B" w:rsidRPr="00B318F9">
        <w:rPr>
          <w:rFonts w:ascii="Calibri" w:eastAsia="Times New Roman" w:hAnsi="Calibri" w:cs="Calibri"/>
          <w:lang w:eastAsia="en-AU"/>
        </w:rPr>
        <w:t xml:space="preserve"> </w:t>
      </w:r>
      <w:r w:rsidR="003C490A">
        <w:rPr>
          <w:rFonts w:ascii="Calibri" w:eastAsia="Times New Roman" w:hAnsi="Calibri" w:cs="Calibri"/>
          <w:lang w:eastAsia="en-AU"/>
        </w:rPr>
        <w:t>to lead a classroom</w:t>
      </w:r>
      <w:r w:rsidRPr="00B707E9">
        <w:rPr>
          <w:rFonts w:ascii="Calibri" w:eastAsia="Times New Roman" w:hAnsi="Calibri" w:cs="Calibri"/>
          <w:lang w:eastAsia="en-AU"/>
        </w:rPr>
        <w:t xml:space="preserve">, </w:t>
      </w:r>
      <w:r w:rsidR="009400C2">
        <w:rPr>
          <w:rFonts w:ascii="Calibri" w:eastAsia="Times New Roman" w:hAnsi="Calibri" w:cs="Calibri"/>
          <w:lang w:eastAsia="en-AU"/>
        </w:rPr>
        <w:t>the re</w:t>
      </w:r>
      <w:r w:rsidR="006938EA">
        <w:rPr>
          <w:rFonts w:ascii="Calibri" w:eastAsia="Times New Roman" w:hAnsi="Calibri" w:cs="Calibri"/>
          <w:lang w:eastAsia="en-AU"/>
        </w:rPr>
        <w:t>search ident</w:t>
      </w:r>
      <w:r w:rsidR="00697A4F">
        <w:rPr>
          <w:rFonts w:ascii="Calibri" w:eastAsia="Times New Roman" w:hAnsi="Calibri" w:cs="Calibri"/>
          <w:lang w:eastAsia="en-AU"/>
        </w:rPr>
        <w:t>if</w:t>
      </w:r>
      <w:r w:rsidR="006938EA">
        <w:rPr>
          <w:rFonts w:ascii="Calibri" w:eastAsia="Times New Roman" w:hAnsi="Calibri" w:cs="Calibri"/>
          <w:lang w:eastAsia="en-AU"/>
        </w:rPr>
        <w:t>ies</w:t>
      </w:r>
      <w:r w:rsidRPr="00B707E9">
        <w:rPr>
          <w:rFonts w:ascii="Calibri" w:eastAsia="Times New Roman" w:hAnsi="Calibri" w:cs="Calibri"/>
          <w:lang w:eastAsia="en-AU"/>
        </w:rPr>
        <w:t xml:space="preserve"> </w:t>
      </w:r>
      <w:r w:rsidR="00B70628">
        <w:rPr>
          <w:rFonts w:ascii="Calibri" w:eastAsia="Times New Roman" w:hAnsi="Calibri" w:cs="Calibri"/>
          <w:lang w:eastAsia="en-AU"/>
        </w:rPr>
        <w:t xml:space="preserve">four </w:t>
      </w:r>
      <w:r w:rsidRPr="00B707E9">
        <w:rPr>
          <w:rFonts w:ascii="Calibri" w:eastAsia="Times New Roman" w:hAnsi="Calibri" w:cs="Calibri"/>
          <w:lang w:eastAsia="en-AU"/>
        </w:rPr>
        <w:t xml:space="preserve">types of </w:t>
      </w:r>
      <w:r w:rsidR="394A0745" w:rsidRPr="21DD76E0">
        <w:rPr>
          <w:rFonts w:ascii="Calibri" w:eastAsia="Times New Roman" w:hAnsi="Calibri" w:cs="Calibri"/>
          <w:lang w:eastAsia="en-AU"/>
        </w:rPr>
        <w:t xml:space="preserve">core </w:t>
      </w:r>
      <w:r w:rsidRPr="00B707E9">
        <w:rPr>
          <w:rFonts w:ascii="Calibri" w:eastAsia="Times New Roman" w:hAnsi="Calibri" w:cs="Calibri"/>
          <w:lang w:eastAsia="en-AU"/>
        </w:rPr>
        <w:t xml:space="preserve">content </w:t>
      </w:r>
      <w:r w:rsidR="006938EA">
        <w:rPr>
          <w:rFonts w:ascii="Calibri" w:eastAsia="Times New Roman" w:hAnsi="Calibri" w:cs="Calibri"/>
          <w:lang w:eastAsia="en-AU"/>
        </w:rPr>
        <w:t xml:space="preserve">that </w:t>
      </w:r>
      <w:r w:rsidR="006B726C">
        <w:rPr>
          <w:rFonts w:ascii="Calibri" w:eastAsia="Times New Roman" w:hAnsi="Calibri" w:cs="Calibri"/>
          <w:lang w:eastAsia="en-AU"/>
        </w:rPr>
        <w:t xml:space="preserve">are supported by the most rigorous and relevant evidence and </w:t>
      </w:r>
      <w:r w:rsidRPr="00B707E9">
        <w:rPr>
          <w:rFonts w:ascii="Calibri" w:eastAsia="Times New Roman" w:hAnsi="Calibri" w:cs="Calibri"/>
          <w:lang w:eastAsia="en-AU"/>
        </w:rPr>
        <w:t xml:space="preserve">should be </w:t>
      </w:r>
      <w:r w:rsidR="001706E4">
        <w:rPr>
          <w:rFonts w:ascii="Calibri" w:eastAsia="Times New Roman" w:hAnsi="Calibri" w:cs="Calibri"/>
          <w:lang w:eastAsia="en-AU"/>
        </w:rPr>
        <w:t>prioritised</w:t>
      </w:r>
      <w:r w:rsidRPr="00B707E9">
        <w:rPr>
          <w:rFonts w:ascii="Calibri" w:eastAsia="Times New Roman" w:hAnsi="Calibri" w:cs="Calibri"/>
          <w:lang w:eastAsia="en-AU"/>
        </w:rPr>
        <w:t xml:space="preserve"> in all ITE </w:t>
      </w:r>
      <w:r w:rsidR="007D34B3">
        <w:rPr>
          <w:rFonts w:ascii="Calibri" w:eastAsia="Times New Roman" w:hAnsi="Calibri" w:cs="Calibri"/>
          <w:lang w:eastAsia="en-AU"/>
        </w:rPr>
        <w:t>programs</w:t>
      </w:r>
      <w:r w:rsidRPr="00B707E9">
        <w:rPr>
          <w:rFonts w:ascii="Calibri" w:eastAsia="Times New Roman" w:hAnsi="Calibri" w:cs="Calibri"/>
          <w:lang w:eastAsia="en-AU"/>
        </w:rPr>
        <w:t>:</w:t>
      </w:r>
    </w:p>
    <w:p w14:paraId="3EBCD299" w14:textId="546BB850" w:rsidR="00B70628" w:rsidRPr="0027396B" w:rsidRDefault="00E31C1C" w:rsidP="00D5108D">
      <w:pPr>
        <w:pStyle w:val="ListParagraph"/>
        <w:keepNext/>
        <w:numPr>
          <w:ilvl w:val="0"/>
          <w:numId w:val="36"/>
        </w:numPr>
        <w:spacing w:after="120"/>
        <w:rPr>
          <w:rFonts w:ascii="Calibri" w:eastAsia="Times New Roman" w:hAnsi="Calibri" w:cs="Calibri"/>
          <w:sz w:val="22"/>
          <w:szCs w:val="22"/>
          <w:lang w:eastAsia="en-AU"/>
        </w:rPr>
      </w:pPr>
      <w:r w:rsidRPr="0027396B">
        <w:rPr>
          <w:rFonts w:ascii="Calibri" w:eastAsia="Times New Roman" w:hAnsi="Calibri" w:cs="Calibri"/>
          <w:b/>
          <w:bCs/>
          <w:sz w:val="22"/>
          <w:szCs w:val="22"/>
          <w:lang w:eastAsia="en-AU"/>
        </w:rPr>
        <w:t xml:space="preserve">The </w:t>
      </w:r>
      <w:r w:rsidR="00B707E9" w:rsidRPr="0027396B">
        <w:rPr>
          <w:rFonts w:ascii="Calibri" w:eastAsia="Times New Roman" w:hAnsi="Calibri" w:cs="Calibri"/>
          <w:b/>
          <w:bCs/>
          <w:sz w:val="22"/>
          <w:szCs w:val="22"/>
          <w:lang w:eastAsia="en-AU"/>
        </w:rPr>
        <w:t>brain and learning</w:t>
      </w:r>
      <w:r w:rsidR="00E64C2F">
        <w:rPr>
          <w:rFonts w:ascii="Calibri" w:eastAsia="Times New Roman" w:hAnsi="Calibri" w:cs="Calibri"/>
          <w:b/>
          <w:bCs/>
          <w:sz w:val="22"/>
          <w:szCs w:val="22"/>
          <w:lang w:eastAsia="en-AU"/>
        </w:rPr>
        <w:t>:</w:t>
      </w:r>
      <w:r w:rsidR="00957037">
        <w:rPr>
          <w:rFonts w:ascii="Calibri" w:eastAsia="Times New Roman" w:hAnsi="Calibri" w:cs="Calibri"/>
          <w:b/>
          <w:bCs/>
          <w:sz w:val="22"/>
          <w:szCs w:val="22"/>
          <w:lang w:eastAsia="en-AU"/>
        </w:rPr>
        <w:t xml:space="preserve"> </w:t>
      </w:r>
      <w:r w:rsidR="00E64C2F" w:rsidRPr="00E64C2F">
        <w:rPr>
          <w:rFonts w:ascii="Calibri" w:eastAsia="Times New Roman" w:hAnsi="Calibri" w:cs="Calibri"/>
          <w:sz w:val="22"/>
          <w:szCs w:val="22"/>
          <w:lang w:eastAsia="en-AU"/>
        </w:rPr>
        <w:t>provides</w:t>
      </w:r>
      <w:r w:rsidR="00957037" w:rsidRPr="00957037">
        <w:rPr>
          <w:rFonts w:ascii="Calibri" w:eastAsia="Times New Roman" w:hAnsi="Calibri" w:cs="Calibri"/>
          <w:sz w:val="22"/>
          <w:szCs w:val="22"/>
          <w:lang w:eastAsia="en-AU"/>
        </w:rPr>
        <w:t xml:space="preserve"> teachers </w:t>
      </w:r>
      <w:r w:rsidR="006124A1">
        <w:rPr>
          <w:rFonts w:ascii="Calibri" w:eastAsia="Times New Roman" w:hAnsi="Calibri" w:cs="Calibri"/>
          <w:sz w:val="22"/>
          <w:szCs w:val="22"/>
          <w:lang w:eastAsia="en-AU"/>
        </w:rPr>
        <w:t xml:space="preserve">with </w:t>
      </w:r>
      <w:r w:rsidR="00957037" w:rsidRPr="00957037">
        <w:rPr>
          <w:rFonts w:ascii="Calibri" w:eastAsia="Times New Roman" w:hAnsi="Calibri" w:cs="Calibri"/>
          <w:sz w:val="22"/>
          <w:szCs w:val="22"/>
          <w:lang w:eastAsia="en-AU"/>
        </w:rPr>
        <w:t>a foundational understanding of why specific instructional practices work, and how to implement the</w:t>
      </w:r>
      <w:r w:rsidR="006124A1">
        <w:rPr>
          <w:rFonts w:ascii="Calibri" w:eastAsia="Times New Roman" w:hAnsi="Calibri" w:cs="Calibri"/>
          <w:sz w:val="22"/>
          <w:szCs w:val="22"/>
          <w:lang w:eastAsia="en-AU"/>
        </w:rPr>
        <w:t>se</w:t>
      </w:r>
      <w:r w:rsidR="00957037" w:rsidRPr="00957037">
        <w:rPr>
          <w:rFonts w:ascii="Calibri" w:eastAsia="Times New Roman" w:hAnsi="Calibri" w:cs="Calibri"/>
          <w:sz w:val="22"/>
          <w:szCs w:val="22"/>
          <w:lang w:eastAsia="en-AU"/>
        </w:rPr>
        <w:t xml:space="preserve"> practice</w:t>
      </w:r>
      <w:r w:rsidR="006124A1">
        <w:rPr>
          <w:rFonts w:ascii="Calibri" w:eastAsia="Times New Roman" w:hAnsi="Calibri" w:cs="Calibri"/>
          <w:sz w:val="22"/>
          <w:szCs w:val="22"/>
          <w:lang w:eastAsia="en-AU"/>
        </w:rPr>
        <w:t>s</w:t>
      </w:r>
      <w:r w:rsidR="00957037" w:rsidRPr="00957037">
        <w:rPr>
          <w:rFonts w:ascii="Calibri" w:eastAsia="Times New Roman" w:hAnsi="Calibri" w:cs="Calibri"/>
          <w:sz w:val="22"/>
          <w:szCs w:val="22"/>
          <w:lang w:eastAsia="en-AU"/>
        </w:rPr>
        <w:t xml:space="preserve"> with fidelity</w:t>
      </w:r>
      <w:r w:rsidR="00AE29D0">
        <w:rPr>
          <w:rFonts w:ascii="Calibri" w:eastAsia="Times New Roman" w:hAnsi="Calibri" w:cs="Calibri"/>
          <w:sz w:val="22"/>
          <w:szCs w:val="22"/>
          <w:lang w:eastAsia="en-AU"/>
        </w:rPr>
        <w:t>.</w:t>
      </w:r>
    </w:p>
    <w:p w14:paraId="1F753C73" w14:textId="438AB1E6" w:rsidR="00B70628" w:rsidRPr="0027396B" w:rsidRDefault="00E31C1C" w:rsidP="00D5108D">
      <w:pPr>
        <w:pStyle w:val="ListParagraph"/>
        <w:keepNext/>
        <w:numPr>
          <w:ilvl w:val="0"/>
          <w:numId w:val="36"/>
        </w:numPr>
        <w:spacing w:after="120"/>
        <w:rPr>
          <w:rFonts w:ascii="Calibri" w:eastAsia="Times New Roman" w:hAnsi="Calibri" w:cs="Calibri"/>
          <w:b/>
          <w:bCs/>
          <w:sz w:val="22"/>
          <w:szCs w:val="22"/>
          <w:lang w:eastAsia="en-AU"/>
        </w:rPr>
      </w:pPr>
      <w:r w:rsidRPr="0027396B">
        <w:rPr>
          <w:rFonts w:ascii="Calibri" w:eastAsia="Times New Roman" w:hAnsi="Calibri" w:cs="Calibri"/>
          <w:b/>
          <w:bCs/>
          <w:sz w:val="22"/>
          <w:szCs w:val="22"/>
          <w:lang w:eastAsia="en-AU"/>
        </w:rPr>
        <w:t>E</w:t>
      </w:r>
      <w:r w:rsidR="00B707E9" w:rsidRPr="0027396B">
        <w:rPr>
          <w:rFonts w:ascii="Calibri" w:eastAsia="Times New Roman" w:hAnsi="Calibri" w:cs="Calibri"/>
          <w:b/>
          <w:bCs/>
          <w:sz w:val="22"/>
          <w:szCs w:val="22"/>
          <w:lang w:eastAsia="en-AU"/>
        </w:rPr>
        <w:t>ffective pedagogical practices</w:t>
      </w:r>
      <w:r w:rsidR="00823D07">
        <w:rPr>
          <w:rFonts w:ascii="Calibri" w:eastAsia="Times New Roman" w:hAnsi="Calibri" w:cs="Calibri"/>
          <w:b/>
          <w:bCs/>
          <w:sz w:val="22"/>
          <w:szCs w:val="22"/>
          <w:lang w:eastAsia="en-AU"/>
        </w:rPr>
        <w:t>:</w:t>
      </w:r>
      <w:r w:rsidR="00B9448D" w:rsidRPr="004C6DFD">
        <w:rPr>
          <w:rFonts w:ascii="Calibri" w:eastAsia="Times New Roman" w:hAnsi="Calibri" w:cs="Calibri"/>
          <w:sz w:val="22"/>
          <w:szCs w:val="22"/>
          <w:lang w:eastAsia="en-AU"/>
        </w:rPr>
        <w:t xml:space="preserve"> </w:t>
      </w:r>
      <w:r w:rsidR="007D0E61" w:rsidRPr="007D0E61">
        <w:rPr>
          <w:sz w:val="22"/>
          <w:szCs w:val="22"/>
        </w:rPr>
        <w:t>explicit modelling, scaffolding and formative assessment practices</w:t>
      </w:r>
      <w:r w:rsidR="007D0E61" w:rsidRPr="00497B48">
        <w:t xml:space="preserve"> </w:t>
      </w:r>
      <w:r w:rsidR="00823D07">
        <w:rPr>
          <w:rFonts w:ascii="Calibri" w:eastAsia="Times New Roman" w:hAnsi="Calibri" w:cs="Calibri"/>
          <w:sz w:val="22"/>
          <w:szCs w:val="22"/>
          <w:lang w:eastAsia="en-AU"/>
        </w:rPr>
        <w:t>that</w:t>
      </w:r>
      <w:r w:rsidR="00B9448D" w:rsidRPr="004C6DFD">
        <w:rPr>
          <w:rFonts w:ascii="Calibri" w:eastAsia="Times New Roman" w:hAnsi="Calibri" w:cs="Calibri"/>
          <w:sz w:val="22"/>
          <w:szCs w:val="22"/>
          <w:lang w:eastAsia="en-AU"/>
        </w:rPr>
        <w:t xml:space="preserve"> support student learning because they are responsive to how the brain processes, stores, and retrieves information</w:t>
      </w:r>
      <w:r w:rsidR="00AE29D0">
        <w:rPr>
          <w:rFonts w:ascii="Calibri" w:eastAsia="Times New Roman" w:hAnsi="Calibri" w:cs="Calibri"/>
          <w:sz w:val="22"/>
          <w:szCs w:val="22"/>
          <w:lang w:eastAsia="en-AU"/>
        </w:rPr>
        <w:t>.</w:t>
      </w:r>
    </w:p>
    <w:p w14:paraId="2E8B7B2F" w14:textId="089B99E6" w:rsidR="008B47E4" w:rsidRPr="004A2CCA" w:rsidRDefault="00E31C1C" w:rsidP="00D5108D">
      <w:pPr>
        <w:pStyle w:val="ListParagraph"/>
        <w:keepNext/>
        <w:numPr>
          <w:ilvl w:val="0"/>
          <w:numId w:val="36"/>
        </w:numPr>
        <w:spacing w:after="120"/>
        <w:rPr>
          <w:rFonts w:ascii="Calibri" w:eastAsia="Times New Roman" w:hAnsi="Calibri" w:cs="Calibri"/>
          <w:sz w:val="22"/>
          <w:szCs w:val="22"/>
          <w:lang w:eastAsia="en-AU"/>
        </w:rPr>
      </w:pPr>
      <w:r w:rsidRPr="001020B5">
        <w:rPr>
          <w:rFonts w:ascii="Calibri" w:eastAsia="Times New Roman" w:hAnsi="Calibri" w:cs="Calibri"/>
          <w:b/>
          <w:bCs/>
          <w:sz w:val="22"/>
          <w:szCs w:val="22"/>
          <w:lang w:eastAsia="en-AU"/>
        </w:rPr>
        <w:t>C</w:t>
      </w:r>
      <w:r w:rsidR="121C94CD" w:rsidRPr="001020B5">
        <w:rPr>
          <w:rFonts w:ascii="Calibri" w:eastAsia="Times New Roman" w:hAnsi="Calibri" w:cs="Calibri"/>
          <w:b/>
          <w:bCs/>
          <w:sz w:val="22"/>
          <w:szCs w:val="22"/>
          <w:lang w:eastAsia="en-AU"/>
        </w:rPr>
        <w:t>lassroom management</w:t>
      </w:r>
      <w:r w:rsidR="001020B5" w:rsidRPr="001020B5">
        <w:rPr>
          <w:rFonts w:ascii="Calibri" w:eastAsia="Times New Roman" w:hAnsi="Calibri" w:cs="Calibri"/>
          <w:b/>
          <w:bCs/>
          <w:sz w:val="22"/>
          <w:szCs w:val="22"/>
          <w:lang w:eastAsia="en-AU"/>
        </w:rPr>
        <w:t>:</w:t>
      </w:r>
      <w:r w:rsidR="001020B5">
        <w:rPr>
          <w:rFonts w:ascii="Calibri" w:eastAsia="Times New Roman" w:hAnsi="Calibri" w:cs="Calibri"/>
          <w:sz w:val="22"/>
          <w:szCs w:val="22"/>
          <w:lang w:eastAsia="en-AU"/>
        </w:rPr>
        <w:t xml:space="preserve"> </w:t>
      </w:r>
      <w:r w:rsidR="00B9448D" w:rsidRPr="001020B5">
        <w:rPr>
          <w:rFonts w:ascii="Calibri" w:eastAsia="Times New Roman" w:hAnsi="Calibri" w:cs="Calibri"/>
          <w:sz w:val="22"/>
          <w:szCs w:val="22"/>
          <w:lang w:eastAsia="en-AU"/>
        </w:rPr>
        <w:t xml:space="preserve">practices </w:t>
      </w:r>
      <w:r w:rsidR="004A2CCA">
        <w:rPr>
          <w:rFonts w:ascii="Calibri" w:eastAsia="Times New Roman" w:hAnsi="Calibri" w:cs="Calibri"/>
          <w:sz w:val="22"/>
          <w:szCs w:val="22"/>
          <w:lang w:eastAsia="en-AU"/>
        </w:rPr>
        <w:t>that support</w:t>
      </w:r>
      <w:r w:rsidR="001020B5" w:rsidRPr="001020B5">
        <w:rPr>
          <w:rFonts w:ascii="Calibri" w:eastAsia="Times New Roman" w:hAnsi="Calibri" w:cs="Calibri"/>
          <w:sz w:val="22"/>
          <w:szCs w:val="22"/>
          <w:lang w:eastAsia="en-AU"/>
        </w:rPr>
        <w:t xml:space="preserve"> fostering environments where students spend the most amount of time on learning</w:t>
      </w:r>
      <w:r w:rsidR="00AE29D0">
        <w:rPr>
          <w:rFonts w:ascii="Calibri" w:eastAsia="Times New Roman" w:hAnsi="Calibri" w:cs="Calibri"/>
          <w:sz w:val="22"/>
          <w:szCs w:val="22"/>
          <w:lang w:eastAsia="en-AU"/>
        </w:rPr>
        <w:t>.</w:t>
      </w:r>
    </w:p>
    <w:p w14:paraId="0B90C33D" w14:textId="7DB12592" w:rsidR="001020B5" w:rsidRPr="008204A8" w:rsidRDefault="00E31C1C" w:rsidP="00D5108D">
      <w:pPr>
        <w:pStyle w:val="ListParagraph"/>
        <w:keepNext/>
        <w:numPr>
          <w:ilvl w:val="0"/>
          <w:numId w:val="36"/>
        </w:numPr>
        <w:spacing w:after="120"/>
        <w:rPr>
          <w:rFonts w:ascii="Calibri" w:eastAsia="Times New Roman" w:hAnsi="Calibri" w:cs="Calibri"/>
          <w:sz w:val="22"/>
          <w:szCs w:val="22"/>
          <w:lang w:eastAsia="en-AU"/>
        </w:rPr>
      </w:pPr>
      <w:r>
        <w:rPr>
          <w:rFonts w:ascii="Calibri" w:eastAsia="Times New Roman" w:hAnsi="Calibri" w:cs="Calibri"/>
          <w:b/>
          <w:bCs/>
          <w:sz w:val="22"/>
          <w:szCs w:val="22"/>
          <w:lang w:eastAsia="en-AU"/>
        </w:rPr>
        <w:t>E</w:t>
      </w:r>
      <w:r w:rsidR="121C94CD" w:rsidRPr="28BDA523">
        <w:rPr>
          <w:rFonts w:ascii="Calibri" w:eastAsia="Times New Roman" w:hAnsi="Calibri" w:cs="Calibri"/>
          <w:b/>
          <w:bCs/>
          <w:sz w:val="22"/>
          <w:szCs w:val="22"/>
          <w:lang w:eastAsia="en-AU"/>
        </w:rPr>
        <w:t>nabling factors for learning</w:t>
      </w:r>
      <w:r w:rsidR="78E14E36" w:rsidRPr="28BDA523">
        <w:rPr>
          <w:rFonts w:ascii="Calibri" w:eastAsia="Times New Roman" w:hAnsi="Calibri" w:cs="Calibri"/>
          <w:sz w:val="22"/>
          <w:szCs w:val="22"/>
          <w:lang w:eastAsia="en-AU"/>
        </w:rPr>
        <w:t xml:space="preserve"> (</w:t>
      </w:r>
      <w:r w:rsidR="00833812">
        <w:rPr>
          <w:rFonts w:ascii="Calibri" w:eastAsia="Times New Roman" w:hAnsi="Calibri" w:cs="Calibri"/>
          <w:sz w:val="22"/>
          <w:szCs w:val="22"/>
          <w:lang w:eastAsia="en-AU"/>
        </w:rPr>
        <w:t>First Nations</w:t>
      </w:r>
      <w:r w:rsidR="00C2118F">
        <w:rPr>
          <w:rFonts w:ascii="Calibri" w:eastAsia="Times New Roman" w:hAnsi="Calibri" w:cs="Calibri"/>
          <w:sz w:val="22"/>
          <w:szCs w:val="22"/>
          <w:lang w:eastAsia="en-AU"/>
        </w:rPr>
        <w:t xml:space="preserve"> peoples</w:t>
      </w:r>
      <w:r w:rsidR="00261586">
        <w:rPr>
          <w:rFonts w:ascii="Calibri" w:eastAsia="Times New Roman" w:hAnsi="Calibri" w:cs="Calibri"/>
          <w:sz w:val="22"/>
          <w:szCs w:val="22"/>
          <w:lang w:eastAsia="en-AU"/>
        </w:rPr>
        <w:t>, their</w:t>
      </w:r>
      <w:r w:rsidR="00C2118F">
        <w:rPr>
          <w:rFonts w:ascii="Calibri" w:eastAsia="Times New Roman" w:hAnsi="Calibri" w:cs="Calibri"/>
          <w:sz w:val="22"/>
          <w:szCs w:val="22"/>
          <w:lang w:eastAsia="en-AU"/>
        </w:rPr>
        <w:t xml:space="preserve"> </w:t>
      </w:r>
      <w:r w:rsidR="00261586">
        <w:rPr>
          <w:rFonts w:ascii="Calibri" w:eastAsia="Times New Roman" w:hAnsi="Calibri" w:cs="Calibri"/>
          <w:sz w:val="22"/>
          <w:szCs w:val="22"/>
          <w:lang w:eastAsia="en-AU"/>
        </w:rPr>
        <w:t>cultures and perspectives</w:t>
      </w:r>
      <w:r w:rsidR="00EF2B78">
        <w:rPr>
          <w:rFonts w:ascii="Calibri" w:eastAsia="Times New Roman" w:hAnsi="Calibri" w:cs="Calibri"/>
          <w:sz w:val="22"/>
          <w:szCs w:val="22"/>
          <w:lang w:eastAsia="en-AU"/>
        </w:rPr>
        <w:t>;</w:t>
      </w:r>
      <w:r w:rsidR="0084277F">
        <w:rPr>
          <w:rFonts w:ascii="Calibri" w:eastAsia="Times New Roman" w:hAnsi="Calibri" w:cs="Calibri"/>
          <w:sz w:val="22"/>
          <w:szCs w:val="22"/>
          <w:lang w:eastAsia="en-AU"/>
        </w:rPr>
        <w:t xml:space="preserve"> </w:t>
      </w:r>
      <w:r w:rsidR="78E14E36" w:rsidRPr="28BDA523">
        <w:rPr>
          <w:rFonts w:ascii="Calibri" w:eastAsia="Times New Roman" w:hAnsi="Calibri" w:cs="Calibri"/>
          <w:sz w:val="22"/>
          <w:szCs w:val="22"/>
          <w:lang w:eastAsia="en-AU"/>
        </w:rPr>
        <w:t>cultural responsiveness</w:t>
      </w:r>
      <w:r w:rsidR="00EF2B78">
        <w:rPr>
          <w:rFonts w:ascii="Calibri" w:eastAsia="Times New Roman" w:hAnsi="Calibri" w:cs="Calibri"/>
          <w:sz w:val="22"/>
          <w:szCs w:val="22"/>
          <w:lang w:eastAsia="en-AU"/>
        </w:rPr>
        <w:t>;</w:t>
      </w:r>
      <w:r w:rsidR="78E14E36" w:rsidRPr="28BDA523">
        <w:rPr>
          <w:rFonts w:ascii="Calibri" w:eastAsia="Times New Roman" w:hAnsi="Calibri" w:cs="Calibri"/>
          <w:sz w:val="22"/>
          <w:szCs w:val="22"/>
          <w:lang w:eastAsia="en-AU"/>
        </w:rPr>
        <w:t xml:space="preserve"> </w:t>
      </w:r>
      <w:r w:rsidR="5A2EB9FB" w:rsidRPr="28BDA523">
        <w:rPr>
          <w:rFonts w:ascii="Calibri" w:eastAsia="Times New Roman" w:hAnsi="Calibri" w:cs="Calibri"/>
          <w:sz w:val="22"/>
          <w:szCs w:val="22"/>
          <w:lang w:eastAsia="en-AU"/>
        </w:rPr>
        <w:t>family engagement</w:t>
      </w:r>
      <w:r w:rsidR="00EF2B78">
        <w:rPr>
          <w:rFonts w:ascii="Calibri" w:eastAsia="Times New Roman" w:hAnsi="Calibri" w:cs="Calibri"/>
          <w:sz w:val="22"/>
          <w:szCs w:val="22"/>
          <w:lang w:eastAsia="en-AU"/>
        </w:rPr>
        <w:t>;</w:t>
      </w:r>
      <w:r w:rsidR="1B97344C" w:rsidRPr="28BDA523">
        <w:rPr>
          <w:rFonts w:ascii="Calibri" w:eastAsia="Times New Roman" w:hAnsi="Calibri" w:cs="Calibri"/>
          <w:sz w:val="22"/>
          <w:szCs w:val="22"/>
          <w:lang w:eastAsia="en-AU"/>
        </w:rPr>
        <w:t xml:space="preserve"> and</w:t>
      </w:r>
      <w:r w:rsidR="5A2EB9FB" w:rsidRPr="28BDA523">
        <w:rPr>
          <w:rFonts w:ascii="Calibri" w:eastAsia="Times New Roman" w:hAnsi="Calibri" w:cs="Calibri"/>
          <w:sz w:val="22"/>
          <w:szCs w:val="22"/>
          <w:lang w:eastAsia="en-AU"/>
        </w:rPr>
        <w:t xml:space="preserve"> diverse learners)</w:t>
      </w:r>
      <w:r w:rsidR="00481C24">
        <w:rPr>
          <w:rFonts w:ascii="Calibri" w:eastAsia="Times New Roman" w:hAnsi="Calibri" w:cs="Calibri"/>
          <w:sz w:val="22"/>
          <w:szCs w:val="22"/>
          <w:lang w:eastAsia="en-AU"/>
        </w:rPr>
        <w:t xml:space="preserve">: </w:t>
      </w:r>
      <w:r w:rsidR="68AB8CC6" w:rsidRPr="28BDA523">
        <w:rPr>
          <w:rFonts w:ascii="Calibri" w:eastAsia="Times New Roman" w:hAnsi="Calibri" w:cs="Calibri"/>
          <w:sz w:val="22"/>
          <w:szCs w:val="22"/>
          <w:lang w:eastAsia="en-AU"/>
        </w:rPr>
        <w:t>ensure</w:t>
      </w:r>
      <w:r w:rsidR="001F1335">
        <w:rPr>
          <w:rFonts w:ascii="Calibri" w:eastAsia="Times New Roman" w:hAnsi="Calibri" w:cs="Calibri"/>
          <w:sz w:val="22"/>
          <w:szCs w:val="22"/>
          <w:lang w:eastAsia="en-AU"/>
        </w:rPr>
        <w:t>s</w:t>
      </w:r>
      <w:r w:rsidR="68AB8CC6" w:rsidRPr="28BDA523">
        <w:rPr>
          <w:rFonts w:ascii="Calibri" w:eastAsia="Times New Roman" w:hAnsi="Calibri" w:cs="Calibri"/>
          <w:sz w:val="22"/>
          <w:szCs w:val="22"/>
          <w:lang w:eastAsia="en-AU"/>
        </w:rPr>
        <w:t xml:space="preserve"> that </w:t>
      </w:r>
      <w:r>
        <w:rPr>
          <w:rFonts w:ascii="Calibri" w:eastAsia="Times New Roman" w:hAnsi="Calibri" w:cs="Calibri"/>
          <w:sz w:val="22"/>
          <w:szCs w:val="22"/>
          <w:lang w:eastAsia="en-AU"/>
        </w:rPr>
        <w:t>content is</w:t>
      </w:r>
      <w:r w:rsidR="68AB8CC6" w:rsidRPr="28BDA523">
        <w:rPr>
          <w:rFonts w:ascii="Calibri" w:eastAsia="Times New Roman" w:hAnsi="Calibri" w:cs="Calibri"/>
          <w:sz w:val="22"/>
          <w:szCs w:val="22"/>
          <w:lang w:eastAsia="en-AU"/>
        </w:rPr>
        <w:t xml:space="preserve"> being </w:t>
      </w:r>
      <w:r w:rsidR="6A75B655" w:rsidRPr="28BDA523">
        <w:rPr>
          <w:rFonts w:ascii="Calibri" w:eastAsia="Times New Roman" w:hAnsi="Calibri" w:cs="Calibri"/>
          <w:sz w:val="22"/>
          <w:szCs w:val="22"/>
          <w:lang w:eastAsia="en-AU"/>
        </w:rPr>
        <w:t>delivered</w:t>
      </w:r>
      <w:r w:rsidR="68AB8CC6" w:rsidRPr="28BDA523">
        <w:rPr>
          <w:rFonts w:ascii="Calibri" w:eastAsia="Times New Roman" w:hAnsi="Calibri" w:cs="Calibri"/>
          <w:sz w:val="22"/>
          <w:szCs w:val="22"/>
          <w:lang w:eastAsia="en-AU"/>
        </w:rPr>
        <w:t xml:space="preserve"> in ways that are contextually appropriate and respon</w:t>
      </w:r>
      <w:r w:rsidR="00A16D6E">
        <w:rPr>
          <w:rFonts w:ascii="Calibri" w:eastAsia="Times New Roman" w:hAnsi="Calibri" w:cs="Calibri"/>
          <w:sz w:val="22"/>
          <w:szCs w:val="22"/>
          <w:lang w:eastAsia="en-AU"/>
        </w:rPr>
        <w:t>sive</w:t>
      </w:r>
      <w:r w:rsidR="68AB8CC6" w:rsidRPr="28BDA523">
        <w:rPr>
          <w:rFonts w:ascii="Calibri" w:eastAsia="Times New Roman" w:hAnsi="Calibri" w:cs="Calibri"/>
          <w:sz w:val="22"/>
          <w:szCs w:val="22"/>
          <w:lang w:eastAsia="en-AU"/>
        </w:rPr>
        <w:t xml:space="preserve"> to student need</w:t>
      </w:r>
      <w:r w:rsidR="00AE29D0">
        <w:rPr>
          <w:rFonts w:ascii="Calibri" w:eastAsia="Times New Roman" w:hAnsi="Calibri" w:cs="Calibri"/>
          <w:sz w:val="22"/>
          <w:szCs w:val="22"/>
          <w:lang w:eastAsia="en-AU"/>
        </w:rPr>
        <w:t>.</w:t>
      </w:r>
      <w:r w:rsidR="121C94CD" w:rsidRPr="28BDA523">
        <w:rPr>
          <w:rFonts w:ascii="Calibri" w:eastAsia="Times New Roman" w:hAnsi="Calibri" w:cs="Calibri"/>
          <w:sz w:val="22"/>
          <w:szCs w:val="22"/>
          <w:lang w:eastAsia="en-AU"/>
        </w:rPr>
        <w:t xml:space="preserve"> </w:t>
      </w:r>
    </w:p>
    <w:p w14:paraId="3A47FEF1" w14:textId="367002EC" w:rsidR="002054C6" w:rsidRDefault="002054C6" w:rsidP="008F6257">
      <w:pPr>
        <w:spacing w:after="120" w:line="240" w:lineRule="auto"/>
        <w:rPr>
          <w:rFonts w:ascii="Calibri" w:eastAsia="Times New Roman" w:hAnsi="Calibri" w:cs="Calibri"/>
          <w:lang w:eastAsia="en-AU"/>
        </w:rPr>
      </w:pPr>
      <w:r w:rsidRPr="1BC1D9CB">
        <w:rPr>
          <w:rFonts w:ascii="Calibri" w:eastAsia="Times New Roman" w:hAnsi="Calibri" w:cs="Calibri"/>
          <w:lang w:eastAsia="en-AU"/>
        </w:rPr>
        <w:t xml:space="preserve">This content </w:t>
      </w:r>
      <w:r w:rsidR="003F1AAA" w:rsidRPr="1BC1D9CB">
        <w:rPr>
          <w:rFonts w:ascii="Calibri" w:eastAsia="Times New Roman" w:hAnsi="Calibri" w:cs="Calibri"/>
          <w:lang w:eastAsia="en-AU"/>
        </w:rPr>
        <w:t xml:space="preserve">should be </w:t>
      </w:r>
      <w:r w:rsidR="00F6652F" w:rsidRPr="1BC1D9CB">
        <w:rPr>
          <w:rFonts w:ascii="Calibri" w:eastAsia="Times New Roman" w:hAnsi="Calibri" w:cs="Calibri"/>
          <w:lang w:eastAsia="en-AU"/>
        </w:rPr>
        <w:t>considered</w:t>
      </w:r>
      <w:r w:rsidRPr="1BC1D9CB">
        <w:rPr>
          <w:rFonts w:ascii="Calibri" w:eastAsia="Times New Roman" w:hAnsi="Calibri" w:cs="Calibri"/>
          <w:lang w:eastAsia="en-AU"/>
        </w:rPr>
        <w:t xml:space="preserve"> core content </w:t>
      </w:r>
      <w:r w:rsidR="00E703CC" w:rsidRPr="1BC1D9CB">
        <w:rPr>
          <w:rFonts w:ascii="Calibri" w:eastAsia="Times New Roman" w:hAnsi="Calibri" w:cs="Calibri"/>
          <w:lang w:eastAsia="en-AU"/>
        </w:rPr>
        <w:t>in all ITE programs</w:t>
      </w:r>
      <w:r w:rsidR="00B93282" w:rsidRPr="1BC1D9CB">
        <w:rPr>
          <w:rFonts w:ascii="Calibri" w:eastAsia="Times New Roman" w:hAnsi="Calibri" w:cs="Calibri"/>
          <w:lang w:eastAsia="en-AU"/>
        </w:rPr>
        <w:t>, noting</w:t>
      </w:r>
      <w:r w:rsidR="00E703CC" w:rsidRPr="1BC1D9CB">
        <w:rPr>
          <w:rFonts w:ascii="Calibri" w:eastAsia="Times New Roman" w:hAnsi="Calibri" w:cs="Calibri"/>
          <w:lang w:eastAsia="en-AU"/>
        </w:rPr>
        <w:t xml:space="preserve"> it </w:t>
      </w:r>
      <w:r w:rsidRPr="1BC1D9CB">
        <w:rPr>
          <w:rFonts w:ascii="Calibri" w:eastAsia="Times New Roman" w:hAnsi="Calibri" w:cs="Calibri"/>
          <w:lang w:eastAsia="en-AU"/>
        </w:rPr>
        <w:t xml:space="preserve">does not seek to meet all Graduate </w:t>
      </w:r>
      <w:r w:rsidR="71D2A480" w:rsidRPr="41090E0D">
        <w:rPr>
          <w:rFonts w:ascii="Calibri" w:eastAsia="Times New Roman" w:hAnsi="Calibri" w:cs="Calibri"/>
          <w:lang w:eastAsia="en-AU"/>
        </w:rPr>
        <w:t>Teach</w:t>
      </w:r>
      <w:r w:rsidR="004A250C">
        <w:rPr>
          <w:rFonts w:ascii="Calibri" w:eastAsia="Times New Roman" w:hAnsi="Calibri" w:cs="Calibri"/>
          <w:lang w:eastAsia="en-AU"/>
        </w:rPr>
        <w:t>er</w:t>
      </w:r>
      <w:r w:rsidR="71D2A480" w:rsidRPr="1BC1D9CB">
        <w:rPr>
          <w:rFonts w:ascii="Calibri" w:eastAsia="Times New Roman" w:hAnsi="Calibri" w:cs="Calibri"/>
          <w:lang w:eastAsia="en-AU"/>
        </w:rPr>
        <w:t xml:space="preserve"> Standards</w:t>
      </w:r>
      <w:r w:rsidRPr="1BC1D9CB">
        <w:rPr>
          <w:rFonts w:ascii="Calibri" w:eastAsia="Times New Roman" w:hAnsi="Calibri" w:cs="Calibri"/>
          <w:lang w:eastAsia="en-AU"/>
        </w:rPr>
        <w:t xml:space="preserve"> </w:t>
      </w:r>
      <w:r w:rsidR="00CF0034" w:rsidRPr="1BC1D9CB">
        <w:rPr>
          <w:rFonts w:ascii="Calibri" w:eastAsia="Times New Roman" w:hAnsi="Calibri" w:cs="Calibri"/>
          <w:lang w:eastAsia="en-AU"/>
        </w:rPr>
        <w:t>n</w:t>
      </w:r>
      <w:r w:rsidRPr="1BC1D9CB">
        <w:rPr>
          <w:rFonts w:ascii="Calibri" w:eastAsia="Times New Roman" w:hAnsi="Calibri" w:cs="Calibri"/>
          <w:lang w:eastAsia="en-AU"/>
        </w:rPr>
        <w:t xml:space="preserve">or attempt to address the subject-specific content </w:t>
      </w:r>
      <w:r w:rsidR="0F46624D" w:rsidRPr="1BC1D9CB">
        <w:rPr>
          <w:rFonts w:ascii="Calibri" w:eastAsia="Times New Roman" w:hAnsi="Calibri" w:cs="Calibri"/>
          <w:lang w:eastAsia="en-AU"/>
        </w:rPr>
        <w:t>or</w:t>
      </w:r>
      <w:r w:rsidRPr="1BC1D9CB">
        <w:rPr>
          <w:rFonts w:ascii="Calibri" w:eastAsia="Times New Roman" w:hAnsi="Calibri" w:cs="Calibri"/>
          <w:lang w:eastAsia="en-AU"/>
        </w:rPr>
        <w:t xml:space="preserve"> the related knowledge of the curriculum. Rather, it aims to prioritise the knowledge and practices which are essential for all </w:t>
      </w:r>
      <w:r w:rsidR="00AB05EA" w:rsidRPr="1BC1D9CB">
        <w:rPr>
          <w:rFonts w:ascii="Calibri" w:eastAsia="Times New Roman" w:hAnsi="Calibri" w:cs="Calibri"/>
          <w:lang w:eastAsia="en-AU"/>
        </w:rPr>
        <w:t>ITE students</w:t>
      </w:r>
      <w:r w:rsidRPr="1BC1D9CB">
        <w:rPr>
          <w:rFonts w:ascii="Calibri" w:eastAsia="Times New Roman" w:hAnsi="Calibri" w:cs="Calibri"/>
          <w:lang w:eastAsia="en-AU"/>
        </w:rPr>
        <w:t xml:space="preserve">, regardless of specialisation or stage of learning </w:t>
      </w:r>
      <w:r w:rsidR="00CB75ED" w:rsidRPr="1BC1D9CB">
        <w:rPr>
          <w:rFonts w:ascii="Calibri" w:eastAsia="Times New Roman" w:hAnsi="Calibri" w:cs="Calibri"/>
          <w:lang w:eastAsia="en-AU"/>
        </w:rPr>
        <w:t>given their</w:t>
      </w:r>
      <w:r w:rsidRPr="1BC1D9CB">
        <w:rPr>
          <w:rFonts w:ascii="Calibri" w:eastAsia="Times New Roman" w:hAnsi="Calibri" w:cs="Calibri"/>
          <w:lang w:eastAsia="en-AU"/>
        </w:rPr>
        <w:t xml:space="preserve"> impact on student learning. </w:t>
      </w:r>
      <w:r w:rsidR="00A9766B">
        <w:t xml:space="preserve">It remains appropriate for individual providers to use their expertise </w:t>
      </w:r>
      <w:r w:rsidR="00D136CC">
        <w:t xml:space="preserve">in teacher education </w:t>
      </w:r>
      <w:r w:rsidR="00A9766B">
        <w:t>to design appropriate curricula</w:t>
      </w:r>
      <w:r w:rsidR="00320C9C">
        <w:t xml:space="preserve"> for </w:t>
      </w:r>
      <w:r w:rsidR="00BB4B16">
        <w:t xml:space="preserve">their ITE </w:t>
      </w:r>
      <w:bookmarkStart w:id="15" w:name="_Hlk129014511"/>
      <w:r w:rsidR="00D269FA">
        <w:t>program</w:t>
      </w:r>
      <w:bookmarkEnd w:id="15"/>
      <w:r w:rsidR="00A9766B">
        <w:t xml:space="preserve">. </w:t>
      </w:r>
    </w:p>
    <w:p w14:paraId="3DE7BDDF" w14:textId="1310C07D" w:rsidR="002054C6" w:rsidRPr="00440EF4" w:rsidRDefault="001D6D80" w:rsidP="008F6257">
      <w:pPr>
        <w:spacing w:after="120" w:line="240" w:lineRule="auto"/>
        <w:textAlignment w:val="baseline"/>
      </w:pPr>
      <w:r w:rsidRPr="00B707E9">
        <w:rPr>
          <w:rFonts w:ascii="Calibri" w:eastAsia="Times New Roman" w:hAnsi="Calibri" w:cs="Calibri"/>
          <w:lang w:eastAsia="en-AU"/>
        </w:rPr>
        <w:t>Figure 1</w:t>
      </w:r>
      <w:r>
        <w:rPr>
          <w:rFonts w:ascii="Calibri" w:eastAsia="Times New Roman" w:hAnsi="Calibri" w:cs="Calibri"/>
          <w:lang w:eastAsia="en-AU"/>
        </w:rPr>
        <w:t>.1</w:t>
      </w:r>
      <w:r w:rsidRPr="00B707E9">
        <w:rPr>
          <w:rFonts w:ascii="Calibri" w:eastAsia="Times New Roman" w:hAnsi="Calibri" w:cs="Calibri"/>
          <w:lang w:eastAsia="en-AU"/>
        </w:rPr>
        <w:t xml:space="preserve"> </w:t>
      </w:r>
      <w:r>
        <w:rPr>
          <w:rFonts w:ascii="Calibri" w:eastAsia="Times New Roman" w:hAnsi="Calibri" w:cs="Calibri"/>
          <w:lang w:eastAsia="en-AU"/>
        </w:rPr>
        <w:t>below</w:t>
      </w:r>
      <w:r w:rsidRPr="00B707E9">
        <w:rPr>
          <w:rFonts w:ascii="Calibri" w:eastAsia="Times New Roman" w:hAnsi="Calibri" w:cs="Calibri"/>
          <w:lang w:eastAsia="en-AU"/>
        </w:rPr>
        <w:t xml:space="preserve"> outlines the proposed evidence-based practices that should be </w:t>
      </w:r>
      <w:r>
        <w:rPr>
          <w:rFonts w:ascii="Calibri" w:eastAsia="Times New Roman" w:hAnsi="Calibri" w:cs="Calibri"/>
          <w:lang w:eastAsia="en-AU"/>
        </w:rPr>
        <w:t xml:space="preserve">prioritised </w:t>
      </w:r>
      <w:r w:rsidR="003D54D8">
        <w:rPr>
          <w:rFonts w:ascii="Calibri" w:eastAsia="Times New Roman" w:hAnsi="Calibri" w:cs="Calibri"/>
          <w:lang w:eastAsia="en-AU"/>
        </w:rPr>
        <w:t>as core co</w:t>
      </w:r>
      <w:r w:rsidR="00962F0E">
        <w:rPr>
          <w:rFonts w:ascii="Calibri" w:eastAsia="Times New Roman" w:hAnsi="Calibri" w:cs="Calibri"/>
          <w:lang w:eastAsia="en-AU"/>
        </w:rPr>
        <w:t>ntent</w:t>
      </w:r>
      <w:r w:rsidR="003D54D8">
        <w:rPr>
          <w:rFonts w:ascii="Calibri" w:eastAsia="Times New Roman" w:hAnsi="Calibri" w:cs="Calibri"/>
          <w:lang w:eastAsia="en-AU"/>
        </w:rPr>
        <w:t xml:space="preserve"> </w:t>
      </w:r>
      <w:r>
        <w:rPr>
          <w:rFonts w:ascii="Calibri" w:eastAsia="Times New Roman" w:hAnsi="Calibri" w:cs="Calibri"/>
          <w:lang w:eastAsia="en-AU"/>
        </w:rPr>
        <w:t>in</w:t>
      </w:r>
      <w:r w:rsidRPr="00B707E9">
        <w:rPr>
          <w:rFonts w:ascii="Calibri" w:eastAsia="Times New Roman" w:hAnsi="Calibri" w:cs="Calibri"/>
          <w:lang w:eastAsia="en-AU"/>
        </w:rPr>
        <w:t xml:space="preserve"> ITE </w:t>
      </w:r>
      <w:r w:rsidR="00A32BE6">
        <w:rPr>
          <w:rFonts w:ascii="Calibri" w:eastAsia="Times New Roman" w:hAnsi="Calibri" w:cs="Calibri"/>
          <w:lang w:eastAsia="en-AU"/>
        </w:rPr>
        <w:t>programs</w:t>
      </w:r>
      <w:r w:rsidR="002E7230">
        <w:rPr>
          <w:rFonts w:ascii="Calibri" w:eastAsia="Times New Roman" w:hAnsi="Calibri" w:cs="Calibri"/>
          <w:lang w:eastAsia="en-AU"/>
        </w:rPr>
        <w:t>.</w:t>
      </w:r>
      <w:r w:rsidR="004A014E">
        <w:rPr>
          <w:rFonts w:ascii="Calibri" w:eastAsia="Times New Roman" w:hAnsi="Calibri" w:cs="Calibri"/>
          <w:lang w:eastAsia="en-AU"/>
        </w:rPr>
        <w:t xml:space="preserve"> </w:t>
      </w:r>
      <w:r w:rsidR="004532AC">
        <w:rPr>
          <w:rFonts w:ascii="Calibri" w:eastAsia="Times New Roman" w:hAnsi="Calibri" w:cs="Calibri"/>
          <w:lang w:eastAsia="en-AU"/>
        </w:rPr>
        <w:t>It sets out</w:t>
      </w:r>
      <w:r w:rsidR="00AD573D">
        <w:rPr>
          <w:rFonts w:ascii="Calibri" w:eastAsia="Times New Roman" w:hAnsi="Calibri" w:cs="Calibri"/>
          <w:lang w:eastAsia="en-AU"/>
        </w:rPr>
        <w:t xml:space="preserve"> what teachers should </w:t>
      </w:r>
      <w:r w:rsidR="00441D47">
        <w:rPr>
          <w:rFonts w:ascii="Calibri" w:eastAsia="Times New Roman" w:hAnsi="Calibri" w:cs="Calibri"/>
          <w:lang w:eastAsia="en-AU"/>
        </w:rPr>
        <w:t xml:space="preserve">learn and </w:t>
      </w:r>
      <w:r w:rsidR="002054C6">
        <w:t xml:space="preserve">demonstrate and how </w:t>
      </w:r>
      <w:r w:rsidR="00840672">
        <w:t xml:space="preserve">these </w:t>
      </w:r>
      <w:r w:rsidR="4BD3E525">
        <w:t>pract</w:t>
      </w:r>
      <w:r w:rsidR="1C0FA0F5">
        <w:t>ices are an element in meeting</w:t>
      </w:r>
      <w:r w:rsidR="002054C6">
        <w:t xml:space="preserve"> the </w:t>
      </w:r>
      <w:r w:rsidR="002054C6" w:rsidRPr="00F93813">
        <w:t>Graduate</w:t>
      </w:r>
      <w:r w:rsidR="002054C6">
        <w:t xml:space="preserve"> </w:t>
      </w:r>
      <w:r w:rsidR="410F4171">
        <w:t>Teach</w:t>
      </w:r>
      <w:r w:rsidR="004A250C">
        <w:t>er</w:t>
      </w:r>
      <w:r w:rsidR="410F4171">
        <w:t xml:space="preserve"> Standards</w:t>
      </w:r>
      <w:r w:rsidR="002054C6">
        <w:t xml:space="preserve">. </w:t>
      </w:r>
    </w:p>
    <w:p w14:paraId="689467DB" w14:textId="77777777" w:rsidR="00CE74A2" w:rsidRDefault="00CE74A2">
      <w:pPr>
        <w:spacing w:after="160"/>
        <w:rPr>
          <w:b/>
          <w:iCs/>
          <w:color w:val="000000" w:themeColor="text1"/>
        </w:rPr>
      </w:pPr>
      <w:r>
        <w:rPr>
          <w:color w:val="000000" w:themeColor="text1"/>
        </w:rPr>
        <w:br w:type="page"/>
      </w:r>
    </w:p>
    <w:p w14:paraId="4EB3F2C5" w14:textId="21CFA0D7" w:rsidR="00775536" w:rsidRPr="00D65282" w:rsidRDefault="00031C56" w:rsidP="00775536">
      <w:pPr>
        <w:spacing w:after="0" w:line="240" w:lineRule="auto"/>
        <w:rPr>
          <w:rFonts w:ascii="Calibri" w:eastAsia="Calibri" w:hAnsi="Calibri" w:cs="Times New Roman"/>
          <w:b/>
          <w:iCs/>
          <w:color w:val="002C3E"/>
        </w:rPr>
      </w:pPr>
      <w:r>
        <w:rPr>
          <w:noProof/>
        </w:rPr>
        <w:lastRenderedPageBreak/>
        <mc:AlternateContent>
          <mc:Choice Requires="wpg">
            <w:drawing>
              <wp:anchor distT="0" distB="0" distL="114300" distR="114300" simplePos="0" relativeHeight="251658250" behindDoc="0" locked="0" layoutInCell="1" allowOverlap="1" wp14:anchorId="355A13AD" wp14:editId="7A2ACFD2">
                <wp:simplePos x="0" y="0"/>
                <wp:positionH relativeFrom="column">
                  <wp:posOffset>-490654</wp:posOffset>
                </wp:positionH>
                <wp:positionV relativeFrom="paragraph">
                  <wp:posOffset>367990</wp:posOffset>
                </wp:positionV>
                <wp:extent cx="6508859" cy="7751956"/>
                <wp:effectExtent l="0" t="0" r="6350" b="0"/>
                <wp:wrapNone/>
                <wp:docPr id="31" name="Group 31"/>
                <wp:cNvGraphicFramePr/>
                <a:graphic xmlns:a="http://schemas.openxmlformats.org/drawingml/2006/main">
                  <a:graphicData uri="http://schemas.microsoft.com/office/word/2010/wordprocessingGroup">
                    <wpg:wgp>
                      <wpg:cNvGrpSpPr/>
                      <wpg:grpSpPr>
                        <a:xfrm>
                          <a:off x="0" y="0"/>
                          <a:ext cx="6508859" cy="7751956"/>
                          <a:chOff x="0" y="0"/>
                          <a:chExt cx="6508859" cy="7751956"/>
                        </a:xfrm>
                      </wpg:grpSpPr>
                      <wps:wsp>
                        <wps:cNvPr id="204" name="Rectangle 204"/>
                        <wps:cNvSpPr/>
                        <wps:spPr>
                          <a:xfrm>
                            <a:off x="5609064" y="0"/>
                            <a:ext cx="899795" cy="1430788"/>
                          </a:xfrm>
                          <a:prstGeom prst="rect">
                            <a:avLst/>
                          </a:prstGeom>
                          <a:solidFill>
                            <a:srgbClr val="004F9E">
                              <a:lumMod val="40000"/>
                              <a:lumOff val="60000"/>
                            </a:srgbClr>
                          </a:solidFill>
                          <a:ln w="12700" cap="flat" cmpd="sng" algn="ctr">
                            <a:noFill/>
                            <a:prstDash val="solid"/>
                            <a:miter lim="800000"/>
                          </a:ln>
                          <a:effectLst/>
                        </wps:spPr>
                        <wps:txbx>
                          <w:txbxContent>
                            <w:p w14:paraId="7ECA0FE2" w14:textId="2EC50306" w:rsidR="00775536" w:rsidRPr="00B315FE" w:rsidRDefault="00352A4D" w:rsidP="00775536">
                              <w:pPr>
                                <w:rPr>
                                  <w:color w:val="012528"/>
                                  <w:sz w:val="16"/>
                                  <w:szCs w:val="16"/>
                                </w:rPr>
                              </w:pPr>
                              <w:r>
                                <w:rPr>
                                  <w:color w:val="012528"/>
                                  <w:sz w:val="16"/>
                                  <w:szCs w:val="16"/>
                                </w:rPr>
                                <w:t>Teach</w:t>
                              </w:r>
                              <w:r w:rsidR="004D3925">
                                <w:rPr>
                                  <w:color w:val="012528"/>
                                  <w:sz w:val="16"/>
                                  <w:szCs w:val="16"/>
                                </w:rPr>
                                <w:t>er</w:t>
                              </w:r>
                              <w:r w:rsidR="00775536" w:rsidRPr="00B315FE">
                                <w:rPr>
                                  <w:color w:val="012528"/>
                                  <w:sz w:val="16"/>
                                  <w:szCs w:val="16"/>
                                </w:rPr>
                                <w:t xml:space="preserve"> Standards:</w:t>
                              </w:r>
                              <w:r w:rsidR="00775536" w:rsidRPr="00B315FE">
                                <w:rPr>
                                  <w:color w:val="012528"/>
                                  <w:sz w:val="16"/>
                                  <w:szCs w:val="16"/>
                                </w:rPr>
                                <w:br/>
                                <w:t>1.1, 1.2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angle 42"/>
                        <wps:cNvSpPr/>
                        <wps:spPr>
                          <a:xfrm>
                            <a:off x="5597913" y="1516566"/>
                            <a:ext cx="899795" cy="1826549"/>
                          </a:xfrm>
                          <a:prstGeom prst="rect">
                            <a:avLst/>
                          </a:prstGeom>
                          <a:solidFill>
                            <a:srgbClr val="004F9E">
                              <a:lumMod val="40000"/>
                              <a:lumOff val="60000"/>
                            </a:srgbClr>
                          </a:solidFill>
                          <a:ln w="12700" cap="flat" cmpd="sng" algn="ctr">
                            <a:noFill/>
                            <a:prstDash val="solid"/>
                            <a:miter lim="800000"/>
                          </a:ln>
                          <a:effectLst/>
                        </wps:spPr>
                        <wps:txbx>
                          <w:txbxContent>
                            <w:p w14:paraId="2D756BE5" w14:textId="7312F7CD" w:rsidR="00775536" w:rsidRPr="00B315FE" w:rsidRDefault="00352A4D" w:rsidP="00775536">
                              <w:pPr>
                                <w:spacing w:after="120"/>
                                <w:rPr>
                                  <w:color w:val="012528"/>
                                  <w:sz w:val="16"/>
                                  <w:szCs w:val="16"/>
                                </w:rPr>
                              </w:pPr>
                              <w:r>
                                <w:rPr>
                                  <w:color w:val="012528"/>
                                  <w:sz w:val="16"/>
                                  <w:szCs w:val="16"/>
                                </w:rPr>
                                <w:t>Teach</w:t>
                              </w:r>
                              <w:r w:rsidR="004D3925">
                                <w:rPr>
                                  <w:color w:val="012528"/>
                                  <w:sz w:val="16"/>
                                  <w:szCs w:val="16"/>
                                </w:rPr>
                                <w:t>er</w:t>
                              </w:r>
                              <w:r w:rsidRPr="00B315FE">
                                <w:rPr>
                                  <w:color w:val="012528"/>
                                  <w:sz w:val="16"/>
                                  <w:szCs w:val="16"/>
                                </w:rPr>
                                <w:t xml:space="preserve"> </w:t>
                              </w:r>
                              <w:r w:rsidR="00775536" w:rsidRPr="00B315FE">
                                <w:rPr>
                                  <w:color w:val="012528"/>
                                  <w:sz w:val="16"/>
                                  <w:szCs w:val="16"/>
                                </w:rPr>
                                <w:t>Standards:</w:t>
                              </w:r>
                              <w:r w:rsidR="00775536" w:rsidRPr="00B315FE">
                                <w:rPr>
                                  <w:color w:val="012528"/>
                                  <w:sz w:val="16"/>
                                  <w:szCs w:val="16"/>
                                </w:rPr>
                                <w:br/>
                                <w:t>1.5, 1.6</w:t>
                              </w:r>
                            </w:p>
                            <w:p w14:paraId="0CB8F43B" w14:textId="77777777" w:rsidR="00775536" w:rsidRPr="00B315FE" w:rsidRDefault="00775536" w:rsidP="00775536">
                              <w:pPr>
                                <w:spacing w:after="120"/>
                                <w:rPr>
                                  <w:color w:val="012528"/>
                                  <w:sz w:val="16"/>
                                  <w:szCs w:val="16"/>
                                </w:rPr>
                              </w:pPr>
                              <w:r w:rsidRPr="00B315FE">
                                <w:rPr>
                                  <w:color w:val="012528"/>
                                  <w:sz w:val="16"/>
                                  <w:szCs w:val="16"/>
                                </w:rPr>
                                <w:t>2.1, 2.2, 2.3, 2.5</w:t>
                              </w:r>
                            </w:p>
                            <w:p w14:paraId="2E7E2C37" w14:textId="77777777" w:rsidR="00775536" w:rsidRPr="00B315FE" w:rsidRDefault="00775536" w:rsidP="00775536">
                              <w:pPr>
                                <w:spacing w:after="120"/>
                                <w:rPr>
                                  <w:color w:val="012528"/>
                                  <w:sz w:val="16"/>
                                  <w:szCs w:val="16"/>
                                </w:rPr>
                              </w:pPr>
                              <w:r w:rsidRPr="00B315FE">
                                <w:rPr>
                                  <w:color w:val="012528"/>
                                  <w:sz w:val="16"/>
                                  <w:szCs w:val="16"/>
                                </w:rPr>
                                <w:t>3.1, 3.2, 3.3, 3.4, 3.5, 3.6</w:t>
                              </w:r>
                            </w:p>
                            <w:p w14:paraId="3972F6F9" w14:textId="77777777" w:rsidR="00775536" w:rsidRPr="00B315FE" w:rsidRDefault="00775536" w:rsidP="00775536">
                              <w:pPr>
                                <w:spacing w:after="120"/>
                                <w:rPr>
                                  <w:color w:val="012528"/>
                                  <w:sz w:val="16"/>
                                  <w:szCs w:val="16"/>
                                </w:rPr>
                              </w:pPr>
                              <w:r w:rsidRPr="00B315FE">
                                <w:rPr>
                                  <w:color w:val="012528"/>
                                  <w:sz w:val="16"/>
                                  <w:szCs w:val="16"/>
                                </w:rPr>
                                <w:t>4.1, 4.2</w:t>
                              </w:r>
                            </w:p>
                            <w:p w14:paraId="0A7982C1" w14:textId="77777777" w:rsidR="00775536" w:rsidRPr="00B315FE" w:rsidRDefault="00775536" w:rsidP="00775536">
                              <w:pPr>
                                <w:spacing w:after="120"/>
                                <w:rPr>
                                  <w:color w:val="012528"/>
                                  <w:sz w:val="16"/>
                                  <w:szCs w:val="16"/>
                                </w:rPr>
                              </w:pPr>
                              <w:r w:rsidRPr="00B315FE">
                                <w:rPr>
                                  <w:color w:val="012528"/>
                                  <w:sz w:val="16"/>
                                  <w:szCs w:val="16"/>
                                </w:rPr>
                                <w:t>5.1, 5.2, 5.3, 5.4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Rectangle 41"/>
                        <wps:cNvSpPr/>
                        <wps:spPr>
                          <a:xfrm>
                            <a:off x="5609064" y="3434576"/>
                            <a:ext cx="899795" cy="2044065"/>
                          </a:xfrm>
                          <a:prstGeom prst="rect">
                            <a:avLst/>
                          </a:prstGeom>
                          <a:solidFill>
                            <a:srgbClr val="004F9E">
                              <a:lumMod val="40000"/>
                              <a:lumOff val="60000"/>
                            </a:srgbClr>
                          </a:solidFill>
                          <a:ln w="12700" cap="flat" cmpd="sng" algn="ctr">
                            <a:noFill/>
                            <a:prstDash val="solid"/>
                            <a:miter lim="800000"/>
                          </a:ln>
                          <a:effectLst/>
                        </wps:spPr>
                        <wps:txbx>
                          <w:txbxContent>
                            <w:p w14:paraId="36D54241" w14:textId="1E068B04" w:rsidR="00775536" w:rsidRDefault="00352A4D" w:rsidP="00775536">
                              <w:pPr>
                                <w:spacing w:after="120"/>
                                <w:rPr>
                                  <w:color w:val="012528"/>
                                  <w:sz w:val="16"/>
                                  <w:szCs w:val="16"/>
                                </w:rPr>
                              </w:pPr>
                              <w:r>
                                <w:rPr>
                                  <w:color w:val="012528"/>
                                  <w:sz w:val="16"/>
                                  <w:szCs w:val="16"/>
                                </w:rPr>
                                <w:t>Teach</w:t>
                              </w:r>
                              <w:r w:rsidR="004D3925">
                                <w:rPr>
                                  <w:color w:val="012528"/>
                                  <w:sz w:val="16"/>
                                  <w:szCs w:val="16"/>
                                </w:rPr>
                                <w:t>er</w:t>
                              </w:r>
                              <w:r w:rsidRPr="00B315FE">
                                <w:rPr>
                                  <w:color w:val="012528"/>
                                  <w:sz w:val="16"/>
                                  <w:szCs w:val="16"/>
                                </w:rPr>
                                <w:t xml:space="preserve"> </w:t>
                              </w:r>
                              <w:r w:rsidR="00775536" w:rsidRPr="00B315FE">
                                <w:rPr>
                                  <w:color w:val="012528"/>
                                  <w:sz w:val="16"/>
                                  <w:szCs w:val="16"/>
                                </w:rPr>
                                <w:t>Standards:</w:t>
                              </w:r>
                              <w:r w:rsidR="00775536" w:rsidRPr="00B315FE">
                                <w:rPr>
                                  <w:color w:val="012528"/>
                                  <w:sz w:val="16"/>
                                  <w:szCs w:val="16"/>
                                </w:rPr>
                                <w:br/>
                                <w:t>1.2</w:t>
                              </w:r>
                            </w:p>
                            <w:p w14:paraId="2E5B895D" w14:textId="77777777" w:rsidR="00775536" w:rsidRPr="00B315FE" w:rsidRDefault="00775536" w:rsidP="00775536">
                              <w:pPr>
                                <w:spacing w:after="120"/>
                                <w:rPr>
                                  <w:color w:val="012528"/>
                                  <w:sz w:val="16"/>
                                  <w:szCs w:val="16"/>
                                </w:rPr>
                              </w:pPr>
                              <w:r w:rsidRPr="00B315FE">
                                <w:rPr>
                                  <w:color w:val="012528"/>
                                  <w:sz w:val="16"/>
                                  <w:szCs w:val="16"/>
                                </w:rPr>
                                <w:t>3.1, 3.5</w:t>
                              </w:r>
                            </w:p>
                            <w:p w14:paraId="08B16EC9" w14:textId="77777777" w:rsidR="00775536" w:rsidRDefault="00775536" w:rsidP="00775536">
                              <w:pPr>
                                <w:spacing w:after="120"/>
                                <w:rPr>
                                  <w:color w:val="012528"/>
                                  <w:sz w:val="16"/>
                                  <w:szCs w:val="16"/>
                                </w:rPr>
                              </w:pPr>
                              <w:r w:rsidRPr="00B315FE">
                                <w:rPr>
                                  <w:color w:val="012528"/>
                                  <w:sz w:val="16"/>
                                  <w:szCs w:val="16"/>
                                </w:rPr>
                                <w:t>4.1, 4.2, 4.3, 4.4</w:t>
                              </w:r>
                            </w:p>
                            <w:p w14:paraId="19F3B8C3" w14:textId="77777777" w:rsidR="00775536" w:rsidRPr="00B315FE" w:rsidRDefault="00775536" w:rsidP="00775536">
                              <w:pPr>
                                <w:spacing w:after="120"/>
                                <w:rPr>
                                  <w:color w:val="012528"/>
                                  <w:sz w:val="16"/>
                                  <w:szCs w:val="16"/>
                                </w:rPr>
                              </w:pPr>
                              <w:r w:rsidRPr="00B315FE">
                                <w:rPr>
                                  <w:color w:val="012528"/>
                                  <w:sz w:val="16"/>
                                  <w:szCs w:val="16"/>
                                </w:rPr>
                                <w:t>1.1, 1.3, 1.4, 1.5, 1.6</w:t>
                              </w:r>
                            </w:p>
                            <w:p w14:paraId="3603DCF8" w14:textId="77777777" w:rsidR="00775536" w:rsidRPr="00B315FE" w:rsidRDefault="00775536" w:rsidP="00775536">
                              <w:pPr>
                                <w:spacing w:after="120"/>
                                <w:rPr>
                                  <w:color w:val="012528"/>
                                  <w:sz w:val="16"/>
                                  <w:szCs w:val="16"/>
                                </w:rPr>
                              </w:pPr>
                              <w:r w:rsidRPr="00B315FE">
                                <w:rPr>
                                  <w:color w:val="012528"/>
                                  <w:sz w:val="16"/>
                                  <w:szCs w:val="16"/>
                                </w:rPr>
                                <w:t>2.4</w:t>
                              </w:r>
                            </w:p>
                            <w:p w14:paraId="4D40DE8D" w14:textId="77777777" w:rsidR="00775536" w:rsidRPr="00B315FE" w:rsidRDefault="00775536" w:rsidP="00775536">
                              <w:pPr>
                                <w:rPr>
                                  <w:color w:val="012528"/>
                                  <w:sz w:val="16"/>
                                  <w:szCs w:val="16"/>
                                </w:rPr>
                              </w:pPr>
                              <w:r w:rsidRPr="00B315FE">
                                <w:rPr>
                                  <w:color w:val="012528"/>
                                  <w:sz w:val="16"/>
                                  <w:szCs w:val="16"/>
                                </w:rPr>
                                <w:t>3.7</w:t>
                              </w:r>
                            </w:p>
                            <w:p w14:paraId="4CA69380" w14:textId="77777777" w:rsidR="00775536" w:rsidRPr="00B315FE" w:rsidRDefault="00775536" w:rsidP="00775536">
                              <w:pPr>
                                <w:rPr>
                                  <w:color w:val="012528"/>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ectangle 40"/>
                        <wps:cNvSpPr/>
                        <wps:spPr>
                          <a:xfrm>
                            <a:off x="5609064" y="5542156"/>
                            <a:ext cx="899795" cy="1925456"/>
                          </a:xfrm>
                          <a:prstGeom prst="rect">
                            <a:avLst/>
                          </a:prstGeom>
                          <a:solidFill>
                            <a:srgbClr val="004F9E">
                              <a:lumMod val="40000"/>
                              <a:lumOff val="60000"/>
                            </a:srgbClr>
                          </a:solidFill>
                          <a:ln w="12700" cap="flat" cmpd="sng" algn="ctr">
                            <a:noFill/>
                            <a:prstDash val="solid"/>
                            <a:miter lim="800000"/>
                          </a:ln>
                          <a:effectLst/>
                        </wps:spPr>
                        <wps:txbx>
                          <w:txbxContent>
                            <w:p w14:paraId="0A071B6A" w14:textId="053C5342" w:rsidR="00775536" w:rsidRPr="00B315FE" w:rsidRDefault="00352A4D" w:rsidP="00775536">
                              <w:pPr>
                                <w:spacing w:after="0"/>
                                <w:rPr>
                                  <w:color w:val="012528"/>
                                  <w:sz w:val="16"/>
                                  <w:szCs w:val="16"/>
                                </w:rPr>
                              </w:pPr>
                              <w:r>
                                <w:rPr>
                                  <w:color w:val="012528"/>
                                  <w:sz w:val="16"/>
                                  <w:szCs w:val="16"/>
                                </w:rPr>
                                <w:t>Teach</w:t>
                              </w:r>
                              <w:r w:rsidR="004D3925">
                                <w:rPr>
                                  <w:color w:val="012528"/>
                                  <w:sz w:val="16"/>
                                  <w:szCs w:val="16"/>
                                </w:rPr>
                                <w:t>er</w:t>
                              </w:r>
                              <w:r w:rsidRPr="00B315FE">
                                <w:rPr>
                                  <w:color w:val="012528"/>
                                  <w:sz w:val="16"/>
                                  <w:szCs w:val="16"/>
                                </w:rPr>
                                <w:t xml:space="preserve"> </w:t>
                              </w:r>
                              <w:r w:rsidR="00775536" w:rsidRPr="00B315FE">
                                <w:rPr>
                                  <w:color w:val="012528"/>
                                  <w:sz w:val="16"/>
                                  <w:szCs w:val="16"/>
                                </w:rPr>
                                <w:t>Standards:</w:t>
                              </w:r>
                            </w:p>
                            <w:p w14:paraId="4DB3595F" w14:textId="77777777" w:rsidR="00775536" w:rsidRPr="00B315FE" w:rsidRDefault="00775536" w:rsidP="00775536">
                              <w:pPr>
                                <w:rPr>
                                  <w:color w:val="012528"/>
                                  <w:sz w:val="16"/>
                                  <w:szCs w:val="16"/>
                                </w:rPr>
                              </w:pPr>
                              <w:r w:rsidRPr="00B315FE">
                                <w:rPr>
                                  <w:color w:val="012528"/>
                                  <w:sz w:val="16"/>
                                  <w:szCs w:val="16"/>
                                </w:rPr>
                                <w:t>4.1, 4.4</w:t>
                              </w:r>
                            </w:p>
                            <w:p w14:paraId="74785D43" w14:textId="77777777" w:rsidR="00775536" w:rsidRPr="00B315FE" w:rsidRDefault="00775536" w:rsidP="00775536">
                              <w:pPr>
                                <w:rPr>
                                  <w:color w:val="012528"/>
                                  <w:sz w:val="16"/>
                                  <w:szCs w:val="16"/>
                                </w:rPr>
                              </w:pPr>
                              <w:r w:rsidRPr="00B315FE">
                                <w:rPr>
                                  <w:color w:val="012528"/>
                                  <w:sz w:val="16"/>
                                  <w:szCs w:val="16"/>
                                </w:rPr>
                                <w:t>7.1, 7.3, 7.4</w:t>
                              </w:r>
                            </w:p>
                            <w:p w14:paraId="489EC5AE" w14:textId="77777777" w:rsidR="00775536" w:rsidRDefault="00775536" w:rsidP="00775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0" y="11151"/>
                            <a:ext cx="5545455" cy="5497195"/>
                            <a:chOff x="0" y="-74703"/>
                            <a:chExt cx="6537079" cy="5522416"/>
                          </a:xfrm>
                        </wpg:grpSpPr>
                        <wpg:grpSp>
                          <wpg:cNvPr id="44" name="Group 44"/>
                          <wpg:cNvGrpSpPr/>
                          <wpg:grpSpPr>
                            <a:xfrm>
                              <a:off x="0" y="-74703"/>
                              <a:ext cx="6537079" cy="5522416"/>
                              <a:chOff x="0" y="-74706"/>
                              <a:chExt cx="6537848" cy="5522634"/>
                            </a:xfrm>
                          </wpg:grpSpPr>
                          <wps:wsp>
                            <wps:cNvPr id="45" name="Rectangle 26"/>
                            <wps:cNvSpPr/>
                            <wps:spPr>
                              <a:xfrm>
                                <a:off x="322119" y="-71450"/>
                                <a:ext cx="6215729" cy="1428353"/>
                              </a:xfrm>
                              <a:prstGeom prst="rect">
                                <a:avLst/>
                              </a:prstGeom>
                              <a:solidFill>
                                <a:srgbClr val="004F9E">
                                  <a:lumMod val="20000"/>
                                  <a:lumOff val="80000"/>
                                </a:srgbClr>
                              </a:solidFill>
                              <a:ln w="12700" cap="flat" cmpd="sng" algn="ctr">
                                <a:noFill/>
                                <a:prstDash val="solid"/>
                                <a:miter lim="800000"/>
                              </a:ln>
                              <a:effectLst/>
                            </wps:spPr>
                            <wps:txbx>
                              <w:txbxContent>
                                <w:p w14:paraId="07766487" w14:textId="77777777" w:rsidR="00775536" w:rsidRPr="00D65282" w:rsidRDefault="00775536" w:rsidP="00775536">
                                  <w:pPr>
                                    <w:ind w:left="284" w:right="5430"/>
                                    <w:rPr>
                                      <w:rFonts w:cs="Calibri"/>
                                      <w:b/>
                                      <w:bCs/>
                                      <w:szCs w:val="20"/>
                                    </w:rPr>
                                  </w:pPr>
                                  <w:r w:rsidRPr="00D65282">
                                    <w:rPr>
                                      <w:rFonts w:cs="Calibri"/>
                                      <w:b/>
                                      <w:bCs/>
                                      <w:szCs w:val="20"/>
                                    </w:rPr>
                                    <w:t>The brain</w:t>
                                  </w:r>
                                  <w:r w:rsidRPr="00D65282">
                                    <w:rPr>
                                      <w:rFonts w:cs="Calibri"/>
                                      <w:b/>
                                      <w:bCs/>
                                      <w:szCs w:val="20"/>
                                    </w:rPr>
                                    <w:br/>
                                    <w:t>and</w:t>
                                  </w:r>
                                  <w:r w:rsidRPr="00D65282">
                                    <w:rPr>
                                      <w:rFonts w:cs="Calibri"/>
                                      <w:b/>
                                      <w:bCs/>
                                      <w:szCs w:val="20"/>
                                    </w:rPr>
                                    <w:br/>
                                    <w:t>learning</w:t>
                                  </w:r>
                                </w:p>
                              </w:txbxContent>
                            </wps:txbx>
                            <wps:bodyPr rtlCol="0" anchor="ctr"/>
                          </wps:wsp>
                          <wps:wsp>
                            <wps:cNvPr id="46" name="Rectangle 27"/>
                            <wps:cNvSpPr/>
                            <wps:spPr>
                              <a:xfrm>
                                <a:off x="2210571" y="-74706"/>
                                <a:ext cx="3325179" cy="1821280"/>
                              </a:xfrm>
                              <a:prstGeom prst="rect">
                                <a:avLst/>
                              </a:prstGeom>
                            </wps:spPr>
                            <wps:txbx>
                              <w:txbxContent>
                                <w:p w14:paraId="63FB4A4F" w14:textId="77777777" w:rsidR="00775536" w:rsidRPr="00D65282" w:rsidRDefault="00775536" w:rsidP="00D5108D">
                                  <w:pPr>
                                    <w:pStyle w:val="ListParagraph"/>
                                    <w:numPr>
                                      <w:ilvl w:val="0"/>
                                      <w:numId w:val="44"/>
                                    </w:numPr>
                                    <w:suppressAutoHyphens/>
                                    <w:spacing w:line="276" w:lineRule="auto"/>
                                    <w:rPr>
                                      <w:rFonts w:cs="Calibri"/>
                                      <w:b/>
                                      <w:sz w:val="18"/>
                                      <w:szCs w:val="16"/>
                                    </w:rPr>
                                  </w:pPr>
                                  <w:r w:rsidRPr="00D65282">
                                    <w:rPr>
                                      <w:rFonts w:cs="Calibri"/>
                                      <w:b/>
                                      <w:sz w:val="18"/>
                                      <w:szCs w:val="16"/>
                                    </w:rPr>
                                    <w:t xml:space="preserve">Novice vs expert learners </w:t>
                                  </w:r>
                                </w:p>
                                <w:p w14:paraId="3A5EAC8A" w14:textId="77777777" w:rsidR="00775536" w:rsidRPr="00D65282" w:rsidRDefault="00775536" w:rsidP="00D5108D">
                                  <w:pPr>
                                    <w:pStyle w:val="ListParagraph"/>
                                    <w:numPr>
                                      <w:ilvl w:val="0"/>
                                      <w:numId w:val="44"/>
                                    </w:numPr>
                                    <w:suppressAutoHyphens/>
                                    <w:spacing w:line="276" w:lineRule="auto"/>
                                    <w:rPr>
                                      <w:rFonts w:cs="Calibri"/>
                                      <w:b/>
                                      <w:sz w:val="18"/>
                                      <w:szCs w:val="16"/>
                                    </w:rPr>
                                  </w:pPr>
                                  <w:r w:rsidRPr="00D65282">
                                    <w:rPr>
                                      <w:rFonts w:cs="Calibri"/>
                                      <w:b/>
                                      <w:sz w:val="18"/>
                                      <w:szCs w:val="16"/>
                                    </w:rPr>
                                    <w:t xml:space="preserve">How the brain learns and retains information </w:t>
                                  </w:r>
                                </w:p>
                                <w:p w14:paraId="5D0DFCED" w14:textId="77777777" w:rsidR="00775536" w:rsidRPr="00D65282" w:rsidRDefault="00775536" w:rsidP="00D5108D">
                                  <w:pPr>
                                    <w:pStyle w:val="ListParagraph"/>
                                    <w:numPr>
                                      <w:ilvl w:val="1"/>
                                      <w:numId w:val="44"/>
                                    </w:numPr>
                                    <w:suppressAutoHyphens/>
                                    <w:spacing w:line="276" w:lineRule="auto"/>
                                    <w:rPr>
                                      <w:rFonts w:cs="Calibri"/>
                                      <w:sz w:val="16"/>
                                      <w:szCs w:val="14"/>
                                    </w:rPr>
                                  </w:pPr>
                                  <w:r w:rsidRPr="00D65282">
                                    <w:rPr>
                                      <w:rFonts w:cs="Calibri"/>
                                      <w:sz w:val="16"/>
                                      <w:szCs w:val="14"/>
                                    </w:rPr>
                                    <w:t xml:space="preserve">Short- and long-term memory </w:t>
                                  </w:r>
                                </w:p>
                                <w:p w14:paraId="7CAD0548" w14:textId="77777777" w:rsidR="00775536" w:rsidRPr="00D65282" w:rsidRDefault="00775536" w:rsidP="00D5108D">
                                  <w:pPr>
                                    <w:pStyle w:val="ListParagraph"/>
                                    <w:numPr>
                                      <w:ilvl w:val="1"/>
                                      <w:numId w:val="44"/>
                                    </w:numPr>
                                    <w:suppressAutoHyphens/>
                                    <w:spacing w:line="276" w:lineRule="auto"/>
                                    <w:rPr>
                                      <w:rFonts w:cs="Calibri"/>
                                      <w:sz w:val="16"/>
                                      <w:szCs w:val="14"/>
                                    </w:rPr>
                                  </w:pPr>
                                  <w:r w:rsidRPr="00D65282">
                                    <w:rPr>
                                      <w:rFonts w:cs="Calibri"/>
                                      <w:sz w:val="16"/>
                                      <w:szCs w:val="14"/>
                                    </w:rPr>
                                    <w:t>Cognitive load</w:t>
                                  </w:r>
                                </w:p>
                                <w:p w14:paraId="14B09EA9" w14:textId="77777777" w:rsidR="00775536" w:rsidRPr="00D65282" w:rsidRDefault="00775536" w:rsidP="00D5108D">
                                  <w:pPr>
                                    <w:pStyle w:val="ListParagraph"/>
                                    <w:numPr>
                                      <w:ilvl w:val="0"/>
                                      <w:numId w:val="44"/>
                                    </w:numPr>
                                    <w:suppressAutoHyphens/>
                                    <w:spacing w:line="276" w:lineRule="auto"/>
                                    <w:rPr>
                                      <w:rFonts w:cs="Calibri"/>
                                      <w:b/>
                                      <w:sz w:val="18"/>
                                      <w:szCs w:val="16"/>
                                    </w:rPr>
                                  </w:pPr>
                                  <w:r w:rsidRPr="00D65282">
                                    <w:rPr>
                                      <w:rFonts w:cs="Calibri"/>
                                      <w:b/>
                                      <w:sz w:val="18"/>
                                      <w:szCs w:val="16"/>
                                    </w:rPr>
                                    <w:t xml:space="preserve">How the brain masters knowledge </w:t>
                                  </w:r>
                                </w:p>
                                <w:p w14:paraId="56C3647A" w14:textId="77777777" w:rsidR="00775536" w:rsidRPr="00D65282" w:rsidRDefault="00775536" w:rsidP="00D5108D">
                                  <w:pPr>
                                    <w:pStyle w:val="ListParagraph"/>
                                    <w:numPr>
                                      <w:ilvl w:val="1"/>
                                      <w:numId w:val="44"/>
                                    </w:numPr>
                                    <w:suppressAutoHyphens/>
                                    <w:spacing w:line="276" w:lineRule="auto"/>
                                    <w:rPr>
                                      <w:rFonts w:cs="Calibri"/>
                                      <w:sz w:val="16"/>
                                      <w:szCs w:val="14"/>
                                    </w:rPr>
                                  </w:pPr>
                                  <w:r w:rsidRPr="00D65282">
                                    <w:rPr>
                                      <w:rFonts w:cs="Calibri"/>
                                      <w:sz w:val="16"/>
                                      <w:szCs w:val="14"/>
                                    </w:rPr>
                                    <w:t>Retrieval and application in familiar and unfamiliar contexts</w:t>
                                  </w:r>
                                </w:p>
                                <w:p w14:paraId="20F2872C" w14:textId="77777777" w:rsidR="00775536" w:rsidRPr="00D65282" w:rsidRDefault="00B56382" w:rsidP="00D5108D">
                                  <w:pPr>
                                    <w:pStyle w:val="ListParagraph"/>
                                    <w:numPr>
                                      <w:ilvl w:val="0"/>
                                      <w:numId w:val="44"/>
                                    </w:numPr>
                                    <w:suppressAutoHyphens/>
                                    <w:spacing w:line="276" w:lineRule="auto"/>
                                    <w:rPr>
                                      <w:rFonts w:cs="Calibri"/>
                                      <w:b/>
                                      <w:sz w:val="18"/>
                                      <w:szCs w:val="16"/>
                                    </w:rPr>
                                  </w:pPr>
                                  <w:r>
                                    <w:rPr>
                                      <w:rFonts w:cs="Calibri"/>
                                      <w:b/>
                                      <w:sz w:val="18"/>
                                      <w:szCs w:val="16"/>
                                    </w:rPr>
                                    <w:t>A note on</w:t>
                                  </w:r>
                                  <w:r w:rsidR="00775536" w:rsidRPr="00D65282">
                                    <w:rPr>
                                      <w:rFonts w:cs="Calibri"/>
                                      <w:b/>
                                      <w:sz w:val="18"/>
                                      <w:szCs w:val="16"/>
                                    </w:rPr>
                                    <w:t xml:space="preserve"> neuromyths</w:t>
                                  </w:r>
                                </w:p>
                                <w:p w14:paraId="13385736" w14:textId="77777777" w:rsidR="00775536" w:rsidRPr="00D65282" w:rsidRDefault="00775536" w:rsidP="00D5108D">
                                  <w:pPr>
                                    <w:pStyle w:val="ListParagraph"/>
                                    <w:numPr>
                                      <w:ilvl w:val="1"/>
                                      <w:numId w:val="44"/>
                                    </w:numPr>
                                    <w:suppressAutoHyphens/>
                                    <w:spacing w:line="276" w:lineRule="auto"/>
                                    <w:rPr>
                                      <w:rFonts w:cs="Calibri"/>
                                      <w:sz w:val="16"/>
                                      <w:szCs w:val="14"/>
                                    </w:rPr>
                                  </w:pPr>
                                  <w:r w:rsidRPr="00D65282">
                                    <w:rPr>
                                      <w:rFonts w:cs="Calibri"/>
                                      <w:sz w:val="16"/>
                                      <w:szCs w:val="14"/>
                                    </w:rPr>
                                    <w:t>Misconceptions of brain research</w:t>
                                  </w:r>
                                </w:p>
                                <w:p w14:paraId="73767D3E" w14:textId="77777777" w:rsidR="00775536" w:rsidRPr="00D65282" w:rsidRDefault="00775536" w:rsidP="00775536">
                                  <w:pPr>
                                    <w:suppressAutoHyphens/>
                                    <w:spacing w:line="276" w:lineRule="auto"/>
                                    <w:ind w:left="720"/>
                                    <w:rPr>
                                      <w:rFonts w:cs="Calibri"/>
                                      <w:b/>
                                      <w:sz w:val="18"/>
                                      <w:szCs w:val="16"/>
                                    </w:rPr>
                                  </w:pPr>
                                </w:p>
                                <w:p w14:paraId="23AFB06E" w14:textId="77777777" w:rsidR="00775536" w:rsidRDefault="00775536" w:rsidP="00775536">
                                  <w:pPr>
                                    <w:suppressAutoHyphens/>
                                    <w:spacing w:line="276" w:lineRule="auto"/>
                                    <w:rPr>
                                      <w:b/>
                                      <w:sz w:val="16"/>
                                      <w:szCs w:val="14"/>
                                    </w:rPr>
                                  </w:pPr>
                                </w:p>
                                <w:p w14:paraId="26103E02" w14:textId="77777777" w:rsidR="00775536" w:rsidRPr="002652C6" w:rsidRDefault="00775536" w:rsidP="00775536">
                                  <w:pPr>
                                    <w:suppressAutoHyphens/>
                                    <w:spacing w:line="276" w:lineRule="auto"/>
                                    <w:rPr>
                                      <w:b/>
                                      <w:i/>
                                      <w:sz w:val="16"/>
                                      <w:szCs w:val="14"/>
                                    </w:rPr>
                                  </w:pPr>
                                  <w:r>
                                    <w:rPr>
                                      <w:b/>
                                      <w:i/>
                                      <w:iCs/>
                                      <w:sz w:val="16"/>
                                      <w:szCs w:val="14"/>
                                    </w:rPr>
                                    <w:t xml:space="preserve">Why? </w:t>
                                  </w:r>
                                </w:p>
                              </w:txbxContent>
                            </wps:txbx>
                            <wps:bodyPr wrap="square">
                              <a:noAutofit/>
                            </wps:bodyPr>
                          </wps:wsp>
                          <wps:wsp>
                            <wps:cNvPr id="47" name="Rectangle 51"/>
                            <wps:cNvSpPr/>
                            <wps:spPr>
                              <a:xfrm>
                                <a:off x="316654" y="1436980"/>
                                <a:ext cx="6221194" cy="1835049"/>
                              </a:xfrm>
                              <a:prstGeom prst="rect">
                                <a:avLst/>
                              </a:prstGeom>
                              <a:solidFill>
                                <a:srgbClr val="004F9E">
                                  <a:lumMod val="20000"/>
                                  <a:lumOff val="80000"/>
                                </a:srgbClr>
                              </a:solidFill>
                              <a:ln w="12700" cap="flat" cmpd="sng" algn="ctr">
                                <a:noFill/>
                                <a:prstDash val="solid"/>
                                <a:miter lim="800000"/>
                              </a:ln>
                              <a:effectLst/>
                            </wps:spPr>
                            <wps:txbx>
                              <w:txbxContent>
                                <w:p w14:paraId="5827A898" w14:textId="77777777" w:rsidR="00775536" w:rsidRPr="00D65282" w:rsidRDefault="00775536" w:rsidP="00775536">
                                  <w:pPr>
                                    <w:spacing w:after="0"/>
                                    <w:ind w:left="284" w:right="5320"/>
                                    <w:rPr>
                                      <w:rFonts w:cs="Calibri"/>
                                      <w:b/>
                                      <w:bCs/>
                                      <w:szCs w:val="24"/>
                                    </w:rPr>
                                  </w:pPr>
                                  <w:r w:rsidRPr="00D65282">
                                    <w:rPr>
                                      <w:rFonts w:cs="Calibri"/>
                                      <w:b/>
                                      <w:bCs/>
                                      <w:szCs w:val="24"/>
                                    </w:rPr>
                                    <w:t xml:space="preserve">Effective </w:t>
                                  </w:r>
                                </w:p>
                                <w:p w14:paraId="047BAF35" w14:textId="77777777" w:rsidR="00775536" w:rsidRPr="00D65282" w:rsidRDefault="00775536" w:rsidP="00775536">
                                  <w:pPr>
                                    <w:spacing w:after="0"/>
                                    <w:ind w:left="284" w:right="5320"/>
                                    <w:rPr>
                                      <w:rFonts w:cs="Calibri"/>
                                      <w:b/>
                                      <w:bCs/>
                                      <w:szCs w:val="24"/>
                                    </w:rPr>
                                  </w:pPr>
                                  <w:r w:rsidRPr="00D65282">
                                    <w:rPr>
                                      <w:rFonts w:cs="Calibri"/>
                                      <w:b/>
                                      <w:bCs/>
                                      <w:szCs w:val="24"/>
                                    </w:rPr>
                                    <w:t xml:space="preserve">pedagogical </w:t>
                                  </w:r>
                                </w:p>
                                <w:p w14:paraId="17FD2B85" w14:textId="77777777" w:rsidR="00775536" w:rsidRPr="00D65282" w:rsidRDefault="00775536" w:rsidP="00775536">
                                  <w:pPr>
                                    <w:spacing w:after="0"/>
                                    <w:ind w:left="284" w:right="5320"/>
                                    <w:rPr>
                                      <w:rFonts w:cs="Calibri"/>
                                      <w:b/>
                                      <w:bCs/>
                                      <w:szCs w:val="24"/>
                                    </w:rPr>
                                  </w:pPr>
                                  <w:r w:rsidRPr="00D65282">
                                    <w:rPr>
                                      <w:rFonts w:cs="Calibri"/>
                                      <w:b/>
                                      <w:bCs/>
                                      <w:szCs w:val="24"/>
                                    </w:rPr>
                                    <w:t>practices</w:t>
                                  </w:r>
                                </w:p>
                              </w:txbxContent>
                            </wps:txbx>
                            <wps:bodyPr wrap="square" rtlCol="0" anchor="ctr"/>
                          </wps:wsp>
                          <wps:wsp>
                            <wps:cNvPr id="48" name="Rectangle 56"/>
                            <wps:cNvSpPr/>
                            <wps:spPr>
                              <a:xfrm>
                                <a:off x="301336" y="3376715"/>
                                <a:ext cx="6236511" cy="2037399"/>
                              </a:xfrm>
                              <a:prstGeom prst="rect">
                                <a:avLst/>
                              </a:prstGeom>
                              <a:solidFill>
                                <a:srgbClr val="004F9E">
                                  <a:lumMod val="20000"/>
                                  <a:lumOff val="80000"/>
                                </a:srgbClr>
                              </a:solidFill>
                              <a:ln w="12700" cap="flat" cmpd="sng" algn="ctr">
                                <a:noFill/>
                                <a:prstDash val="solid"/>
                                <a:miter lim="800000"/>
                              </a:ln>
                              <a:effectLst/>
                            </wps:spPr>
                            <wps:txbx>
                              <w:txbxContent>
                                <w:p w14:paraId="667B47AF" w14:textId="77777777" w:rsidR="00775536" w:rsidRPr="00D65282" w:rsidRDefault="00775536" w:rsidP="00775536">
                                  <w:pPr>
                                    <w:ind w:left="284" w:right="5332"/>
                                    <w:rPr>
                                      <w:rFonts w:cs="Calibri"/>
                                      <w:b/>
                                      <w:bCs/>
                                      <w:szCs w:val="20"/>
                                    </w:rPr>
                                  </w:pPr>
                                  <w:r w:rsidRPr="00D65282">
                                    <w:rPr>
                                      <w:rFonts w:cs="Calibri"/>
                                      <w:b/>
                                      <w:bCs/>
                                      <w:szCs w:val="20"/>
                                    </w:rPr>
                                    <w:t>Classroom</w:t>
                                  </w:r>
                                  <w:r w:rsidRPr="00D65282">
                                    <w:rPr>
                                      <w:rFonts w:cs="Calibri"/>
                                      <w:b/>
                                      <w:bCs/>
                                      <w:szCs w:val="20"/>
                                    </w:rPr>
                                    <w:br/>
                                    <w:t>management</w:t>
                                  </w:r>
                                </w:p>
                              </w:txbxContent>
                            </wps:txbx>
                            <wps:bodyPr wrap="square" rtlCol="0" anchor="ctr"/>
                          </wps:wsp>
                          <wpg:grpSp>
                            <wpg:cNvPr id="59" name="Group 59"/>
                            <wpg:cNvGrpSpPr/>
                            <wpg:grpSpPr>
                              <a:xfrm>
                                <a:off x="0" y="438008"/>
                                <a:ext cx="498752" cy="4097037"/>
                                <a:chOff x="304801" y="427871"/>
                                <a:chExt cx="498752" cy="4097037"/>
                              </a:xfrm>
                            </wpg:grpSpPr>
                            <wps:wsp>
                              <wps:cNvPr id="60" name="Oval 28"/>
                              <wps:cNvSpPr/>
                              <wps:spPr>
                                <a:xfrm>
                                  <a:off x="314025" y="427871"/>
                                  <a:ext cx="483051" cy="483470"/>
                                </a:xfrm>
                                <a:prstGeom prst="ellipse">
                                  <a:avLst/>
                                </a:prstGeom>
                                <a:solidFill>
                                  <a:srgbClr val="FFFFFF"/>
                                </a:solidFill>
                                <a:ln w="17145" cap="flat" cmpd="sng" algn="ctr">
                                  <a:solidFill>
                                    <a:srgbClr val="012528"/>
                                  </a:solidFill>
                                  <a:prstDash val="solid"/>
                                  <a:miter lim="800000"/>
                                </a:ln>
                                <a:effectLst/>
                              </wps:spPr>
                              <wps:bodyPr rtlCol="0" anchor="ctr"/>
                            </wps:wsp>
                            <wps:wsp>
                              <wps:cNvPr id="62" name="Oval 62"/>
                              <wps:cNvSpPr/>
                              <wps:spPr>
                                <a:xfrm>
                                  <a:off x="314026" y="1912911"/>
                                  <a:ext cx="489527" cy="489953"/>
                                </a:xfrm>
                                <a:prstGeom prst="ellipse">
                                  <a:avLst/>
                                </a:prstGeom>
                                <a:solidFill>
                                  <a:srgbClr val="FFFFFF"/>
                                </a:solidFill>
                                <a:ln w="17145" cap="flat" cmpd="sng" algn="ctr">
                                  <a:solidFill>
                                    <a:srgbClr val="012528"/>
                                  </a:solidFill>
                                  <a:prstDash val="solid"/>
                                  <a:miter lim="800000"/>
                                </a:ln>
                                <a:effectLst/>
                              </wps:spPr>
                              <wps:bodyPr rtlCol="0" anchor="ctr"/>
                            </wps:wsp>
                            <wps:wsp>
                              <wps:cNvPr id="63" name="Oval 63"/>
                              <wps:cNvSpPr/>
                              <wps:spPr>
                                <a:xfrm>
                                  <a:off x="304801" y="4034955"/>
                                  <a:ext cx="489527" cy="489953"/>
                                </a:xfrm>
                                <a:prstGeom prst="ellipse">
                                  <a:avLst/>
                                </a:prstGeom>
                                <a:solidFill>
                                  <a:srgbClr val="FFFFFF"/>
                                </a:solidFill>
                                <a:ln w="17145" cap="flat" cmpd="sng" algn="ctr">
                                  <a:solidFill>
                                    <a:srgbClr val="012528"/>
                                  </a:solidFill>
                                  <a:prstDash val="solid"/>
                                  <a:miter lim="800000"/>
                                </a:ln>
                                <a:effectLst/>
                              </wps:spPr>
                              <wps:bodyPr rtlCol="0" anchor="ctr"/>
                            </wps:wsp>
                          </wpg:grpSp>
                          <wps:wsp>
                            <wps:cNvPr id="192" name="Text Box 2"/>
                            <wps:cNvSpPr txBox="1">
                              <a:spLocks noChangeArrowheads="1"/>
                            </wps:cNvSpPr>
                            <wps:spPr bwMode="auto">
                              <a:xfrm>
                                <a:off x="93502" y="539855"/>
                                <a:ext cx="235437" cy="438614"/>
                              </a:xfrm>
                              <a:prstGeom prst="rect">
                                <a:avLst/>
                              </a:prstGeom>
                              <a:noFill/>
                              <a:ln w="9525">
                                <a:noFill/>
                                <a:miter lim="800000"/>
                                <a:headEnd/>
                                <a:tailEnd/>
                              </a:ln>
                            </wps:spPr>
                            <wps:txbx>
                              <w:txbxContent>
                                <w:p w14:paraId="2279F186" w14:textId="77777777" w:rsidR="00775536" w:rsidRDefault="00775536" w:rsidP="00775536">
                                  <w:r>
                                    <w:t>1</w:t>
                                  </w:r>
                                </w:p>
                              </w:txbxContent>
                            </wps:txbx>
                            <wps:bodyPr rot="0" vert="horz" wrap="square" lIns="91440" tIns="45720" rIns="91440" bIns="45720" anchor="t" anchorCtr="0">
                              <a:noAutofit/>
                            </wps:bodyPr>
                          </wps:wsp>
                          <wps:wsp>
                            <wps:cNvPr id="193" name="Text Box 2"/>
                            <wps:cNvSpPr txBox="1">
                              <a:spLocks noChangeArrowheads="1"/>
                            </wps:cNvSpPr>
                            <wps:spPr bwMode="auto">
                              <a:xfrm>
                                <a:off x="98291" y="2022233"/>
                                <a:ext cx="236073" cy="438614"/>
                              </a:xfrm>
                              <a:prstGeom prst="rect">
                                <a:avLst/>
                              </a:prstGeom>
                              <a:noFill/>
                              <a:ln w="9525">
                                <a:noFill/>
                                <a:miter lim="800000"/>
                                <a:headEnd/>
                                <a:tailEnd/>
                              </a:ln>
                            </wps:spPr>
                            <wps:txbx>
                              <w:txbxContent>
                                <w:p w14:paraId="3B335934" w14:textId="77777777" w:rsidR="00775536" w:rsidRDefault="00775536" w:rsidP="00775536">
                                  <w:r>
                                    <w:t>2</w:t>
                                  </w:r>
                                </w:p>
                              </w:txbxContent>
                            </wps:txbx>
                            <wps:bodyPr rot="0" vert="horz" wrap="square" lIns="91440" tIns="45720" rIns="91440" bIns="45720" anchor="t" anchorCtr="0">
                              <a:noAutofit/>
                            </wps:bodyPr>
                          </wps:wsp>
                          <wps:wsp>
                            <wps:cNvPr id="194" name="Text Box 2"/>
                            <wps:cNvSpPr txBox="1">
                              <a:spLocks noChangeArrowheads="1"/>
                            </wps:cNvSpPr>
                            <wps:spPr bwMode="auto">
                              <a:xfrm>
                                <a:off x="98291" y="4146376"/>
                                <a:ext cx="236073" cy="438614"/>
                              </a:xfrm>
                              <a:prstGeom prst="rect">
                                <a:avLst/>
                              </a:prstGeom>
                              <a:noFill/>
                              <a:ln w="9525">
                                <a:noFill/>
                                <a:miter lim="800000"/>
                                <a:headEnd/>
                                <a:tailEnd/>
                              </a:ln>
                            </wps:spPr>
                            <wps:txbx>
                              <w:txbxContent>
                                <w:p w14:paraId="3BF1EA38" w14:textId="77777777" w:rsidR="00775536" w:rsidRDefault="00775536" w:rsidP="00775536">
                                  <w:r>
                                    <w:t>3</w:t>
                                  </w:r>
                                </w:p>
                              </w:txbxContent>
                            </wps:txbx>
                            <wps:bodyPr rot="0" vert="horz" wrap="square" lIns="91440" tIns="45720" rIns="91440" bIns="45720" anchor="t" anchorCtr="0">
                              <a:noAutofit/>
                            </wps:bodyPr>
                          </wps:wsp>
                          <wps:wsp>
                            <wps:cNvPr id="195" name="Rectangle 27"/>
                            <wps:cNvSpPr/>
                            <wps:spPr>
                              <a:xfrm>
                                <a:off x="2206035" y="1415297"/>
                                <a:ext cx="4331813" cy="1902750"/>
                              </a:xfrm>
                              <a:prstGeom prst="rect">
                                <a:avLst/>
                              </a:prstGeom>
                            </wps:spPr>
                            <wps:txbx>
                              <w:txbxContent>
                                <w:p w14:paraId="4AB34760" w14:textId="77777777" w:rsidR="00775536" w:rsidRPr="00D65282" w:rsidRDefault="00775536" w:rsidP="00D5108D">
                                  <w:pPr>
                                    <w:pStyle w:val="ListParagraph"/>
                                    <w:numPr>
                                      <w:ilvl w:val="0"/>
                                      <w:numId w:val="44"/>
                                    </w:numPr>
                                    <w:suppressAutoHyphens/>
                                    <w:spacing w:before="100" w:beforeAutospacing="1" w:line="276" w:lineRule="auto"/>
                                    <w:rPr>
                                      <w:rFonts w:cs="Calibri"/>
                                      <w:b/>
                                      <w:sz w:val="18"/>
                                      <w:szCs w:val="16"/>
                                    </w:rPr>
                                  </w:pPr>
                                  <w:r w:rsidRPr="00D65282">
                                    <w:rPr>
                                      <w:rFonts w:cs="Calibri"/>
                                      <w:b/>
                                      <w:sz w:val="18"/>
                                      <w:szCs w:val="16"/>
                                    </w:rPr>
                                    <w:t>Most effective pedagogical practice</w:t>
                                  </w:r>
                                </w:p>
                                <w:p w14:paraId="5AC61054"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 xml:space="preserve">Planning and sequencing </w:t>
                                  </w:r>
                                </w:p>
                                <w:p w14:paraId="7B6D5A47"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Explicit modelling and scaffolding</w:t>
                                  </w:r>
                                </w:p>
                                <w:p w14:paraId="2D2D47FC"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Assessment and feedback</w:t>
                                  </w:r>
                                </w:p>
                                <w:p w14:paraId="3D2F617E" w14:textId="77777777" w:rsidR="00775536" w:rsidRPr="00D65282" w:rsidRDefault="00775536" w:rsidP="00D5108D">
                                  <w:pPr>
                                    <w:pStyle w:val="ListParagraph"/>
                                    <w:numPr>
                                      <w:ilvl w:val="0"/>
                                      <w:numId w:val="44"/>
                                    </w:numPr>
                                    <w:suppressAutoHyphens/>
                                    <w:spacing w:before="100" w:beforeAutospacing="1" w:line="276" w:lineRule="auto"/>
                                    <w:rPr>
                                      <w:rFonts w:cs="Calibri"/>
                                      <w:b/>
                                      <w:sz w:val="18"/>
                                      <w:szCs w:val="16"/>
                                    </w:rPr>
                                  </w:pPr>
                                  <w:r w:rsidRPr="00D65282">
                                    <w:rPr>
                                      <w:rFonts w:cs="Calibri"/>
                                      <w:b/>
                                      <w:sz w:val="18"/>
                                      <w:szCs w:val="16"/>
                                    </w:rPr>
                                    <w:t>Effective practices in subject areas</w:t>
                                  </w:r>
                                </w:p>
                                <w:p w14:paraId="5DBBFB88"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Literacy: Early reading/phonics</w:t>
                                  </w:r>
                                </w:p>
                                <w:p w14:paraId="0FAD8BAB"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Numeracy: Explicit mathematics instruction</w:t>
                                  </w:r>
                                </w:p>
                                <w:p w14:paraId="0FD3CAE2"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 xml:space="preserve">Explicit teaching of reading and writing in other </w:t>
                                  </w:r>
                                  <w:r w:rsidR="005314C4">
                                    <w:rPr>
                                      <w:rFonts w:cs="Calibri"/>
                                      <w:sz w:val="16"/>
                                      <w:szCs w:val="14"/>
                                    </w:rPr>
                                    <w:t>Key Learning Areas</w:t>
                                  </w:r>
                                </w:p>
                                <w:p w14:paraId="4B1AF693" w14:textId="77777777" w:rsidR="00775536" w:rsidRPr="00D65282" w:rsidRDefault="00775536" w:rsidP="00D5108D">
                                  <w:pPr>
                                    <w:pStyle w:val="ListParagraph"/>
                                    <w:numPr>
                                      <w:ilvl w:val="0"/>
                                      <w:numId w:val="44"/>
                                    </w:numPr>
                                    <w:suppressAutoHyphens/>
                                    <w:spacing w:before="100" w:beforeAutospacing="1" w:line="276" w:lineRule="auto"/>
                                    <w:rPr>
                                      <w:rFonts w:cs="Calibri"/>
                                      <w:b/>
                                      <w:sz w:val="18"/>
                                      <w:szCs w:val="16"/>
                                    </w:rPr>
                                  </w:pPr>
                                  <w:r w:rsidRPr="00D65282">
                                    <w:rPr>
                                      <w:rFonts w:cs="Calibri"/>
                                      <w:b/>
                                      <w:sz w:val="18"/>
                                      <w:szCs w:val="16"/>
                                    </w:rPr>
                                    <w:t>Multi-tiered systems of support (MTSS)</w:t>
                                  </w:r>
                                </w:p>
                                <w:p w14:paraId="64724143" w14:textId="77777777" w:rsidR="00775536" w:rsidRPr="00D65282" w:rsidRDefault="00775536" w:rsidP="00D5108D">
                                  <w:pPr>
                                    <w:pStyle w:val="ListParagraph"/>
                                    <w:numPr>
                                      <w:ilvl w:val="1"/>
                                      <w:numId w:val="44"/>
                                    </w:numPr>
                                    <w:suppressAutoHyphens/>
                                    <w:spacing w:before="100" w:beforeAutospacing="1" w:line="276" w:lineRule="auto"/>
                                    <w:rPr>
                                      <w:rFonts w:cs="Calibri"/>
                                      <w:bCs/>
                                      <w:sz w:val="16"/>
                                      <w:szCs w:val="16"/>
                                    </w:rPr>
                                  </w:pPr>
                                  <w:r w:rsidRPr="00D65282">
                                    <w:rPr>
                                      <w:rFonts w:cs="Calibri"/>
                                      <w:bCs/>
                                      <w:sz w:val="16"/>
                                      <w:szCs w:val="16"/>
                                    </w:rPr>
                                    <w:t>Increasing frequency and intensity of effective pedagogical practice</w:t>
                                  </w:r>
                                </w:p>
                                <w:p w14:paraId="0E3E9BB5" w14:textId="77777777" w:rsidR="00775536" w:rsidRPr="00307FF7" w:rsidRDefault="00775536" w:rsidP="00775536">
                                  <w:pPr>
                                    <w:pStyle w:val="ListParagraph"/>
                                    <w:suppressAutoHyphens/>
                                    <w:spacing w:before="100" w:beforeAutospacing="1" w:line="276" w:lineRule="auto"/>
                                    <w:ind w:left="1440"/>
                                    <w:rPr>
                                      <w:rFonts w:ascii="Montserrat SemiBold" w:hAnsi="Montserrat SemiBold"/>
                                      <w:sz w:val="14"/>
                                      <w:szCs w:val="12"/>
                                    </w:rPr>
                                  </w:pPr>
                                </w:p>
                              </w:txbxContent>
                            </wps:txbx>
                            <wps:bodyPr wrap="square">
                              <a:noAutofit/>
                            </wps:bodyPr>
                          </wps:wsp>
                          <wps:wsp>
                            <wps:cNvPr id="196" name="Rectangle 27"/>
                            <wps:cNvSpPr/>
                            <wps:spPr>
                              <a:xfrm>
                                <a:off x="2178892" y="3383576"/>
                                <a:ext cx="4241085" cy="2064352"/>
                              </a:xfrm>
                              <a:prstGeom prst="rect">
                                <a:avLst/>
                              </a:prstGeom>
                            </wps:spPr>
                            <wps:txbx>
                              <w:txbxContent>
                                <w:p w14:paraId="12E8259B" w14:textId="77777777" w:rsidR="00775536" w:rsidRPr="006B2082" w:rsidRDefault="00775536" w:rsidP="006B2082">
                                  <w:pPr>
                                    <w:pStyle w:val="ListParagraph"/>
                                    <w:numPr>
                                      <w:ilvl w:val="0"/>
                                      <w:numId w:val="44"/>
                                    </w:numPr>
                                    <w:suppressAutoHyphens/>
                                    <w:spacing w:before="100" w:beforeAutospacing="1" w:line="276" w:lineRule="auto"/>
                                    <w:rPr>
                                      <w:rFonts w:cs="Calibri"/>
                                      <w:b/>
                                      <w:sz w:val="18"/>
                                      <w:szCs w:val="16"/>
                                    </w:rPr>
                                  </w:pPr>
                                  <w:r w:rsidRPr="00D65282">
                                    <w:rPr>
                                      <w:rFonts w:cs="Calibri"/>
                                      <w:b/>
                                      <w:sz w:val="18"/>
                                      <w:szCs w:val="16"/>
                                    </w:rPr>
                                    <w:t>Rules and routines</w:t>
                                  </w:r>
                                </w:p>
                                <w:p w14:paraId="6EF75D49" w14:textId="77777777" w:rsidR="00775536" w:rsidRPr="00BE4233" w:rsidRDefault="00775536" w:rsidP="006B2082">
                                  <w:pPr>
                                    <w:numPr>
                                      <w:ilvl w:val="1"/>
                                      <w:numId w:val="44"/>
                                    </w:numPr>
                                    <w:suppressAutoHyphens/>
                                    <w:spacing w:before="100" w:beforeAutospacing="1" w:after="0" w:line="276" w:lineRule="auto"/>
                                    <w:contextualSpacing/>
                                    <w:rPr>
                                      <w:rFonts w:cs="Calibri"/>
                                      <w:sz w:val="16"/>
                                      <w:szCs w:val="14"/>
                                    </w:rPr>
                                  </w:pPr>
                                  <w:r w:rsidRPr="00BE4233">
                                    <w:rPr>
                                      <w:rFonts w:cs="Calibri"/>
                                      <w:sz w:val="16"/>
                                      <w:szCs w:val="14"/>
                                    </w:rPr>
                                    <w:t>Establishing rules and routines</w:t>
                                  </w:r>
                                </w:p>
                                <w:p w14:paraId="22C29948" w14:textId="77777777" w:rsidR="00775536" w:rsidRPr="00BE4233" w:rsidRDefault="00775536" w:rsidP="006B2082">
                                  <w:pPr>
                                    <w:numPr>
                                      <w:ilvl w:val="1"/>
                                      <w:numId w:val="44"/>
                                    </w:numPr>
                                    <w:suppressAutoHyphens/>
                                    <w:spacing w:before="100" w:beforeAutospacing="1" w:after="0" w:line="276" w:lineRule="auto"/>
                                    <w:contextualSpacing/>
                                    <w:rPr>
                                      <w:rFonts w:cs="Calibri"/>
                                      <w:sz w:val="16"/>
                                      <w:szCs w:val="14"/>
                                    </w:rPr>
                                  </w:pPr>
                                  <w:r w:rsidRPr="00BE4233">
                                    <w:rPr>
                                      <w:rFonts w:cs="Calibri"/>
                                      <w:sz w:val="16"/>
                                      <w:szCs w:val="14"/>
                                    </w:rPr>
                                    <w:t>Teaching rules and routines explicitly</w:t>
                                  </w:r>
                                </w:p>
                                <w:p w14:paraId="1E7F1807" w14:textId="77777777" w:rsidR="00775536" w:rsidRPr="00BE4233" w:rsidRDefault="00775536" w:rsidP="006B2082">
                                  <w:pPr>
                                    <w:numPr>
                                      <w:ilvl w:val="1"/>
                                      <w:numId w:val="44"/>
                                    </w:numPr>
                                    <w:suppressAutoHyphens/>
                                    <w:spacing w:before="100" w:beforeAutospacing="1" w:after="0" w:line="276" w:lineRule="auto"/>
                                    <w:contextualSpacing/>
                                    <w:rPr>
                                      <w:rFonts w:cs="Calibri"/>
                                      <w:sz w:val="16"/>
                                      <w:szCs w:val="14"/>
                                    </w:rPr>
                                  </w:pPr>
                                  <w:r w:rsidRPr="00BE4233">
                                    <w:rPr>
                                      <w:rFonts w:cs="Calibri"/>
                                      <w:sz w:val="16"/>
                                      <w:szCs w:val="14"/>
                                    </w:rPr>
                                    <w:t>Practicing rules and routines</w:t>
                                  </w:r>
                                </w:p>
                                <w:p w14:paraId="0CC99937" w14:textId="77777777" w:rsidR="00775536" w:rsidRPr="00D65282" w:rsidRDefault="00775536" w:rsidP="00D5108D">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Proactive practices</w:t>
                                  </w:r>
                                </w:p>
                                <w:p w14:paraId="2D079033"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High expectations</w:t>
                                  </w:r>
                                </w:p>
                                <w:p w14:paraId="1633B75E"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Goal setting</w:t>
                                  </w:r>
                                </w:p>
                                <w:p w14:paraId="590E4586"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High-quality and explicit teaching</w:t>
                                  </w:r>
                                </w:p>
                                <w:p w14:paraId="138DFE3F"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Predictable environment</w:t>
                                  </w:r>
                                </w:p>
                                <w:p w14:paraId="495F8530" w14:textId="77777777" w:rsidR="00775536" w:rsidRPr="00D65282" w:rsidRDefault="00775536" w:rsidP="00D5108D">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Managing behaviour</w:t>
                                  </w:r>
                                </w:p>
                                <w:p w14:paraId="70855528"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Pre-plan and use calm, consistent, proportional responses</w:t>
                                  </w:r>
                                </w:p>
                                <w:p w14:paraId="4620CDC0"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 xml:space="preserve">Modelling desired behaviour </w:t>
                                  </w:r>
                                </w:p>
                                <w:p w14:paraId="73822014"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Responding to persistent misbehaviour</w:t>
                                  </w:r>
                                </w:p>
                              </w:txbxContent>
                            </wps:txbx>
                            <wps:bodyPr wrap="square">
                              <a:noAutofit/>
                            </wps:bodyPr>
                          </wps:wsp>
                        </wpg:grpSp>
                        <wpg:grpSp>
                          <wpg:cNvPr id="197" name="Group 197"/>
                          <wpg:cNvGrpSpPr/>
                          <wpg:grpSpPr>
                            <a:xfrm>
                              <a:off x="1589809" y="261350"/>
                              <a:ext cx="824865" cy="4147905"/>
                              <a:chOff x="0" y="261374"/>
                              <a:chExt cx="825211" cy="4148238"/>
                            </a:xfrm>
                          </wpg:grpSpPr>
                          <wps:wsp>
                            <wps:cNvPr id="198" name="Oval 198"/>
                            <wps:cNvSpPr/>
                            <wps:spPr>
                              <a:xfrm>
                                <a:off x="9236" y="261374"/>
                                <a:ext cx="805180" cy="805180"/>
                              </a:xfrm>
                              <a:prstGeom prst="ellipse">
                                <a:avLst/>
                              </a:prstGeom>
                              <a:solidFill>
                                <a:srgbClr val="FFFFFF"/>
                              </a:solidFill>
                              <a:ln w="17145" cap="flat" cmpd="sng" algn="ctr">
                                <a:solidFill>
                                  <a:srgbClr val="00838E"/>
                                </a:solidFill>
                                <a:prstDash val="solid"/>
                                <a:miter lim="800000"/>
                              </a:ln>
                              <a:effectLst/>
                            </wps:spPr>
                            <wps:bodyPr rtlCol="0" anchor="ctr"/>
                          </wps:wsp>
                          <wps:wsp>
                            <wps:cNvPr id="199" name="Oval 199"/>
                            <wps:cNvSpPr/>
                            <wps:spPr>
                              <a:xfrm>
                                <a:off x="9236" y="1746646"/>
                                <a:ext cx="815975" cy="815975"/>
                              </a:xfrm>
                              <a:prstGeom prst="ellipse">
                                <a:avLst/>
                              </a:prstGeom>
                              <a:solidFill>
                                <a:srgbClr val="FFFFFF"/>
                              </a:solidFill>
                              <a:ln w="17145" cap="flat" cmpd="sng" algn="ctr">
                                <a:solidFill>
                                  <a:srgbClr val="00838E"/>
                                </a:solidFill>
                                <a:prstDash val="solid"/>
                                <a:miter lim="800000"/>
                              </a:ln>
                              <a:effectLst/>
                            </wps:spPr>
                            <wps:bodyPr rtlCol="0" anchor="ctr"/>
                          </wps:wsp>
                          <pic:pic xmlns:pic="http://schemas.openxmlformats.org/drawingml/2006/picture">
                            <pic:nvPicPr>
                              <pic:cNvPr id="200" name="Graphic 200" descr="Brain outline"/>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49900" y="337067"/>
                                <a:ext cx="698500" cy="698500"/>
                              </a:xfrm>
                              <a:prstGeom prst="rect">
                                <a:avLst/>
                              </a:prstGeom>
                            </pic:spPr>
                          </pic:pic>
                          <pic:pic xmlns:pic="http://schemas.openxmlformats.org/drawingml/2006/picture">
                            <pic:nvPicPr>
                              <pic:cNvPr id="201" name="Graphic 201" descr="Teacher outline"/>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38545" y="1886981"/>
                                <a:ext cx="557530" cy="557530"/>
                              </a:xfrm>
                              <a:prstGeom prst="rect">
                                <a:avLst/>
                              </a:prstGeom>
                            </pic:spPr>
                          </pic:pic>
                          <wps:wsp>
                            <wps:cNvPr id="202" name="Oval 202"/>
                            <wps:cNvSpPr/>
                            <wps:spPr>
                              <a:xfrm>
                                <a:off x="0" y="3593637"/>
                                <a:ext cx="815975" cy="815975"/>
                              </a:xfrm>
                              <a:prstGeom prst="ellipse">
                                <a:avLst/>
                              </a:prstGeom>
                              <a:solidFill>
                                <a:srgbClr val="FFFFFF"/>
                              </a:solidFill>
                              <a:ln w="17145" cap="flat" cmpd="sng" algn="ctr">
                                <a:solidFill>
                                  <a:srgbClr val="00838E"/>
                                </a:solidFill>
                                <a:prstDash val="solid"/>
                                <a:miter lim="800000"/>
                              </a:ln>
                              <a:effectLst/>
                            </wps:spPr>
                            <wps:bodyPr rtlCol="0" anchor="ctr"/>
                          </wps:wsp>
                          <pic:pic xmlns:pic="http://schemas.openxmlformats.org/drawingml/2006/picture">
                            <pic:nvPicPr>
                              <pic:cNvPr id="203" name="Graphic 203" descr="Connections outline"/>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138545" y="3704476"/>
                                <a:ext cx="549910" cy="549910"/>
                              </a:xfrm>
                              <a:prstGeom prst="rect">
                                <a:avLst/>
                              </a:prstGeom>
                            </pic:spPr>
                          </pic:pic>
                        </wpg:grpSp>
                      </wpg:grpSp>
                      <wpg:grpSp>
                        <wpg:cNvPr id="205" name="Group 205"/>
                        <wpg:cNvGrpSpPr/>
                        <wpg:grpSpPr>
                          <a:xfrm>
                            <a:off x="44605" y="5542156"/>
                            <a:ext cx="5501640" cy="2209800"/>
                            <a:chOff x="-289247" y="791578"/>
                            <a:chExt cx="5475998" cy="1436653"/>
                          </a:xfrm>
                        </wpg:grpSpPr>
                        <wps:wsp>
                          <wps:cNvPr id="211" name="Rectangle 26"/>
                          <wps:cNvSpPr/>
                          <wps:spPr>
                            <a:xfrm>
                              <a:off x="-80529" y="791578"/>
                              <a:ext cx="5267280" cy="1251793"/>
                            </a:xfrm>
                            <a:prstGeom prst="rect">
                              <a:avLst/>
                            </a:prstGeom>
                            <a:solidFill>
                              <a:srgbClr val="004F9E">
                                <a:lumMod val="20000"/>
                                <a:lumOff val="80000"/>
                              </a:srgbClr>
                            </a:solidFill>
                            <a:ln w="12700" cap="flat" cmpd="sng" algn="ctr">
                              <a:noFill/>
                              <a:prstDash val="solid"/>
                              <a:miter lim="800000"/>
                            </a:ln>
                            <a:effectLst/>
                          </wps:spPr>
                          <wps:txbx>
                            <w:txbxContent>
                              <w:p w14:paraId="46EC0FE3" w14:textId="77777777" w:rsidR="00775536" w:rsidRPr="00D65282" w:rsidRDefault="00775536" w:rsidP="00775536">
                                <w:pPr>
                                  <w:spacing w:after="0"/>
                                  <w:ind w:left="284" w:right="5630"/>
                                  <w:rPr>
                                    <w:rFonts w:cs="Calibri"/>
                                    <w:b/>
                                    <w:bCs/>
                                    <w:szCs w:val="20"/>
                                  </w:rPr>
                                </w:pPr>
                                <w:r w:rsidRPr="00D65282">
                                  <w:rPr>
                                    <w:rFonts w:cs="Calibri"/>
                                    <w:b/>
                                    <w:bCs/>
                                    <w:szCs w:val="20"/>
                                  </w:rPr>
                                  <w:t xml:space="preserve">Enabling </w:t>
                                </w:r>
                              </w:p>
                              <w:p w14:paraId="692A4756" w14:textId="77777777" w:rsidR="00775536" w:rsidRPr="00D65282" w:rsidRDefault="00775536" w:rsidP="00775536">
                                <w:pPr>
                                  <w:spacing w:after="0"/>
                                  <w:ind w:left="284" w:right="5630"/>
                                  <w:rPr>
                                    <w:rFonts w:cs="Calibri"/>
                                    <w:b/>
                                    <w:bCs/>
                                    <w:szCs w:val="20"/>
                                  </w:rPr>
                                </w:pPr>
                                <w:r w:rsidRPr="00D65282">
                                  <w:rPr>
                                    <w:rFonts w:cs="Calibri"/>
                                    <w:b/>
                                    <w:bCs/>
                                    <w:szCs w:val="20"/>
                                  </w:rPr>
                                  <w:t xml:space="preserve">factors for </w:t>
                                </w:r>
                              </w:p>
                              <w:p w14:paraId="15FFA036" w14:textId="77777777" w:rsidR="00775536" w:rsidRPr="00D65282" w:rsidRDefault="00775536" w:rsidP="00775536">
                                <w:pPr>
                                  <w:spacing w:after="0"/>
                                  <w:ind w:left="284" w:right="5630"/>
                                  <w:rPr>
                                    <w:rFonts w:cs="Calibri"/>
                                    <w:b/>
                                    <w:bCs/>
                                    <w:szCs w:val="20"/>
                                  </w:rPr>
                                </w:pPr>
                                <w:r w:rsidRPr="00D65282">
                                  <w:rPr>
                                    <w:rFonts w:cs="Calibri"/>
                                    <w:b/>
                                    <w:bCs/>
                                    <w:szCs w:val="20"/>
                                  </w:rPr>
                                  <w:t>learning</w:t>
                                </w:r>
                              </w:p>
                            </w:txbxContent>
                          </wps:txbx>
                          <wps:bodyPr rtlCol="0" anchor="ctr"/>
                        </wps:wsp>
                        <wps:wsp>
                          <wps:cNvPr id="212" name="Rectangle 27"/>
                          <wps:cNvSpPr/>
                          <wps:spPr>
                            <a:xfrm>
                              <a:off x="1529896" y="806485"/>
                              <a:ext cx="3380544" cy="1421746"/>
                            </a:xfrm>
                            <a:prstGeom prst="rect">
                              <a:avLst/>
                            </a:prstGeom>
                          </wps:spPr>
                          <wps:txbx>
                            <w:txbxContent>
                              <w:p w14:paraId="0AB1F5A9" w14:textId="6AD36E92" w:rsidR="00352A4D" w:rsidRDefault="00352A4D" w:rsidP="002024A6">
                                <w:pPr>
                                  <w:pStyle w:val="ListParagraph"/>
                                  <w:numPr>
                                    <w:ilvl w:val="0"/>
                                    <w:numId w:val="44"/>
                                  </w:numPr>
                                  <w:suppressAutoHyphens/>
                                  <w:spacing w:before="100" w:beforeAutospacing="1" w:after="100" w:afterAutospacing="1" w:line="276" w:lineRule="auto"/>
                                  <w:rPr>
                                    <w:rFonts w:cs="Calibri"/>
                                    <w:b/>
                                    <w:sz w:val="18"/>
                                    <w:szCs w:val="16"/>
                                  </w:rPr>
                                </w:pPr>
                                <w:r>
                                  <w:rPr>
                                    <w:rFonts w:cs="Calibri"/>
                                    <w:b/>
                                    <w:sz w:val="18"/>
                                    <w:szCs w:val="16"/>
                                  </w:rPr>
                                  <w:t>First Nations</w:t>
                                </w:r>
                                <w:r w:rsidRPr="00D65282">
                                  <w:rPr>
                                    <w:rFonts w:cs="Calibri"/>
                                    <w:b/>
                                    <w:sz w:val="18"/>
                                    <w:szCs w:val="16"/>
                                  </w:rPr>
                                  <w:t xml:space="preserve"> </w:t>
                                </w:r>
                                <w:r w:rsidR="00AB471A">
                                  <w:rPr>
                                    <w:rFonts w:cs="Calibri"/>
                                    <w:b/>
                                    <w:sz w:val="18"/>
                                    <w:szCs w:val="16"/>
                                  </w:rPr>
                                  <w:t>peoples</w:t>
                                </w:r>
                                <w:r w:rsidR="0015783A">
                                  <w:rPr>
                                    <w:rFonts w:cs="Calibri"/>
                                    <w:b/>
                                    <w:sz w:val="18"/>
                                    <w:szCs w:val="16"/>
                                  </w:rPr>
                                  <w:t>, their cultures and perspectives</w:t>
                                </w:r>
                              </w:p>
                              <w:p w14:paraId="682A1727" w14:textId="54C8402C" w:rsidR="00A87CA6" w:rsidRPr="00D65282" w:rsidRDefault="00A87CA6" w:rsidP="00A87CA6">
                                <w:pPr>
                                  <w:pStyle w:val="ListParagraph"/>
                                  <w:numPr>
                                    <w:ilvl w:val="1"/>
                                    <w:numId w:val="44"/>
                                  </w:numPr>
                                  <w:suppressAutoHyphens/>
                                  <w:spacing w:before="100" w:beforeAutospacing="1" w:after="100" w:afterAutospacing="1" w:line="276" w:lineRule="auto"/>
                                  <w:rPr>
                                    <w:rFonts w:cs="Calibri"/>
                                    <w:bCs/>
                                    <w:sz w:val="16"/>
                                    <w:szCs w:val="16"/>
                                  </w:rPr>
                                </w:pPr>
                                <w:r w:rsidRPr="00D65282">
                                  <w:rPr>
                                    <w:rFonts w:cs="Calibri"/>
                                    <w:bCs/>
                                    <w:sz w:val="16"/>
                                    <w:szCs w:val="16"/>
                                  </w:rPr>
                                  <w:t>First Nations</w:t>
                                </w:r>
                                <w:r w:rsidR="003545AF">
                                  <w:rPr>
                                    <w:rFonts w:cs="Calibri"/>
                                    <w:bCs/>
                                    <w:sz w:val="16"/>
                                    <w:szCs w:val="16"/>
                                  </w:rPr>
                                  <w:t xml:space="preserve"> histories, cultures and perspectives</w:t>
                                </w:r>
                              </w:p>
                              <w:p w14:paraId="4121BFA9" w14:textId="77777777" w:rsidR="00775536" w:rsidRPr="00D65282" w:rsidRDefault="00775536" w:rsidP="002024A6">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Cultural responsiveness</w:t>
                                </w:r>
                              </w:p>
                              <w:p w14:paraId="46C28452" w14:textId="77777777" w:rsidR="00775536" w:rsidRPr="00D65282" w:rsidRDefault="00775536" w:rsidP="002024A6">
                                <w:pPr>
                                  <w:pStyle w:val="ListParagraph"/>
                                  <w:numPr>
                                    <w:ilvl w:val="1"/>
                                    <w:numId w:val="44"/>
                                  </w:numPr>
                                  <w:suppressAutoHyphens/>
                                  <w:spacing w:before="100" w:beforeAutospacing="1" w:after="100" w:afterAutospacing="1" w:line="276" w:lineRule="auto"/>
                                  <w:rPr>
                                    <w:rFonts w:cs="Calibri"/>
                                    <w:bCs/>
                                    <w:sz w:val="16"/>
                                    <w:szCs w:val="16"/>
                                  </w:rPr>
                                </w:pPr>
                                <w:r w:rsidRPr="00D65282">
                                  <w:rPr>
                                    <w:rFonts w:cs="Calibri"/>
                                    <w:bCs/>
                                    <w:sz w:val="16"/>
                                    <w:szCs w:val="16"/>
                                  </w:rPr>
                                  <w:t>Self-reflection (positionality)</w:t>
                                </w:r>
                              </w:p>
                              <w:p w14:paraId="541C535E" w14:textId="77777777" w:rsidR="00011211" w:rsidRPr="00352A4D" w:rsidRDefault="00775536" w:rsidP="00352A4D">
                                <w:pPr>
                                  <w:pStyle w:val="ListParagraph"/>
                                  <w:numPr>
                                    <w:ilvl w:val="1"/>
                                    <w:numId w:val="44"/>
                                  </w:numPr>
                                  <w:suppressAutoHyphens/>
                                  <w:spacing w:before="100" w:beforeAutospacing="1" w:after="100" w:afterAutospacing="1" w:line="276" w:lineRule="auto"/>
                                  <w:rPr>
                                    <w:rFonts w:cs="Calibri"/>
                                    <w:b/>
                                    <w:sz w:val="18"/>
                                    <w:szCs w:val="16"/>
                                  </w:rPr>
                                </w:pPr>
                                <w:r w:rsidRPr="00D65282">
                                  <w:rPr>
                                    <w:rFonts w:cs="Calibri"/>
                                    <w:bCs/>
                                    <w:sz w:val="16"/>
                                    <w:szCs w:val="16"/>
                                  </w:rPr>
                                  <w:t>Culturally responsive practices</w:t>
                                </w:r>
                              </w:p>
                              <w:p w14:paraId="5DB71C88" w14:textId="77777777" w:rsidR="001B7591" w:rsidRPr="006B2082" w:rsidRDefault="00775536" w:rsidP="005359E4">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Family engagement</w:t>
                                </w:r>
                              </w:p>
                              <w:p w14:paraId="54CE7003" w14:textId="77777777" w:rsidR="00775536" w:rsidRPr="00D65282" w:rsidRDefault="00775536" w:rsidP="002024A6">
                                <w:pPr>
                                  <w:pStyle w:val="ListParagraph"/>
                                  <w:numPr>
                                    <w:ilvl w:val="1"/>
                                    <w:numId w:val="44"/>
                                  </w:numPr>
                                  <w:suppressAutoHyphens/>
                                  <w:spacing w:before="100" w:beforeAutospacing="1" w:after="100" w:afterAutospacing="1" w:line="276" w:lineRule="auto"/>
                                  <w:rPr>
                                    <w:rFonts w:cs="Calibri"/>
                                    <w:bCs/>
                                    <w:sz w:val="16"/>
                                    <w:szCs w:val="16"/>
                                  </w:rPr>
                                </w:pPr>
                                <w:r w:rsidRPr="00D65282">
                                  <w:rPr>
                                    <w:rFonts w:cs="Calibri"/>
                                    <w:bCs/>
                                    <w:sz w:val="16"/>
                                    <w:szCs w:val="16"/>
                                  </w:rPr>
                                  <w:t>Primary practices</w:t>
                                </w:r>
                              </w:p>
                              <w:p w14:paraId="0EABFE6E" w14:textId="77777777" w:rsidR="00775536" w:rsidRPr="00D65282" w:rsidRDefault="00775536" w:rsidP="002024A6">
                                <w:pPr>
                                  <w:pStyle w:val="ListParagraph"/>
                                  <w:numPr>
                                    <w:ilvl w:val="1"/>
                                    <w:numId w:val="44"/>
                                  </w:numPr>
                                  <w:suppressAutoHyphens/>
                                  <w:spacing w:before="100" w:beforeAutospacing="1" w:after="100" w:afterAutospacing="1" w:line="276" w:lineRule="auto"/>
                                  <w:rPr>
                                    <w:rFonts w:cs="Calibri"/>
                                    <w:b/>
                                    <w:sz w:val="18"/>
                                    <w:szCs w:val="16"/>
                                  </w:rPr>
                                </w:pPr>
                                <w:r w:rsidRPr="00D65282">
                                  <w:rPr>
                                    <w:rFonts w:cs="Calibri"/>
                                    <w:bCs/>
                                    <w:sz w:val="16"/>
                                    <w:szCs w:val="16"/>
                                  </w:rPr>
                                  <w:t>Secondary practices</w:t>
                                </w:r>
                              </w:p>
                              <w:p w14:paraId="774C858B" w14:textId="77777777" w:rsidR="00775536" w:rsidRPr="00D65282" w:rsidRDefault="00775536" w:rsidP="002024A6">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Diverse learning needs</w:t>
                                </w:r>
                              </w:p>
                              <w:p w14:paraId="4DAC1F8E" w14:textId="77777777" w:rsidR="00775536" w:rsidRPr="00D65282" w:rsidRDefault="00775536" w:rsidP="002024A6">
                                <w:pPr>
                                  <w:pStyle w:val="ListParagraph"/>
                                  <w:numPr>
                                    <w:ilvl w:val="1"/>
                                    <w:numId w:val="44"/>
                                  </w:numPr>
                                  <w:suppressAutoHyphens/>
                                  <w:spacing w:before="100" w:beforeAutospacing="1" w:after="100" w:afterAutospacing="1" w:line="276" w:lineRule="auto"/>
                                  <w:rPr>
                                    <w:rFonts w:cs="Calibri"/>
                                    <w:bCs/>
                                    <w:sz w:val="16"/>
                                    <w:szCs w:val="16"/>
                                  </w:rPr>
                                </w:pPr>
                                <w:r w:rsidRPr="00D65282">
                                  <w:rPr>
                                    <w:rFonts w:cs="Calibri"/>
                                    <w:bCs/>
                                    <w:sz w:val="16"/>
                                    <w:szCs w:val="16"/>
                                  </w:rPr>
                                  <w:t>Suitability of effective pedagogical practices for diverse needs</w:t>
                                </w:r>
                              </w:p>
                            </w:txbxContent>
                          </wps:txbx>
                          <wps:bodyPr wrap="square">
                            <a:noAutofit/>
                          </wps:bodyPr>
                        </wps:wsp>
                        <wps:wsp>
                          <wps:cNvPr id="213" name="Oval 28"/>
                          <wps:cNvSpPr/>
                          <wps:spPr>
                            <a:xfrm>
                              <a:off x="-289247" y="1216858"/>
                              <a:ext cx="415738" cy="395831"/>
                            </a:xfrm>
                            <a:prstGeom prst="ellipse">
                              <a:avLst/>
                            </a:prstGeom>
                            <a:solidFill>
                              <a:srgbClr val="FFFFFF"/>
                            </a:solidFill>
                            <a:ln w="17145" cap="flat" cmpd="sng" algn="ctr">
                              <a:solidFill>
                                <a:srgbClr val="012528"/>
                              </a:solidFill>
                              <a:prstDash val="solid"/>
                              <a:miter lim="800000"/>
                            </a:ln>
                            <a:effectLst/>
                          </wps:spPr>
                          <wps:bodyPr rtlCol="0" anchor="ctr"/>
                        </wps:wsp>
                        <wps:wsp>
                          <wps:cNvPr id="214" name="Text Box 2"/>
                          <wps:cNvSpPr txBox="1">
                            <a:spLocks noChangeArrowheads="1"/>
                          </wps:cNvSpPr>
                          <wps:spPr bwMode="auto">
                            <a:xfrm>
                              <a:off x="-223552" y="1309747"/>
                              <a:ext cx="235585" cy="506730"/>
                            </a:xfrm>
                            <a:prstGeom prst="rect">
                              <a:avLst/>
                            </a:prstGeom>
                            <a:noFill/>
                            <a:ln w="9525">
                              <a:noFill/>
                              <a:miter lim="800000"/>
                              <a:headEnd/>
                              <a:tailEnd/>
                            </a:ln>
                          </wps:spPr>
                          <wps:txbx>
                            <w:txbxContent>
                              <w:p w14:paraId="5F436061" w14:textId="77777777" w:rsidR="00775536" w:rsidRDefault="00775536" w:rsidP="00775536">
                                <w:r>
                                  <w:t>4</w:t>
                                </w:r>
                              </w:p>
                            </w:txbxContent>
                          </wps:txbx>
                          <wps:bodyPr rot="0" vert="horz" wrap="square" lIns="91440" tIns="45720" rIns="91440" bIns="45720" anchor="t" anchorCtr="0">
                            <a:noAutofit/>
                          </wps:bodyPr>
                        </wps:wsp>
                      </wpg:grpSp>
                      <wps:wsp>
                        <wps:cNvPr id="15" name="Oval 15"/>
                        <wps:cNvSpPr/>
                        <wps:spPr>
                          <a:xfrm>
                            <a:off x="1304693" y="6066264"/>
                            <a:ext cx="683260" cy="803910"/>
                          </a:xfrm>
                          <a:prstGeom prst="ellipse">
                            <a:avLst/>
                          </a:prstGeom>
                          <a:solidFill>
                            <a:srgbClr val="FFFFFF"/>
                          </a:solidFill>
                          <a:ln w="17145" cap="flat" cmpd="sng" algn="ctr">
                            <a:solidFill>
                              <a:srgbClr val="00838E"/>
                            </a:solidFill>
                            <a:prstDash val="solid"/>
                            <a:miter lim="800000"/>
                          </a:ln>
                          <a:effectLst/>
                        </wps:spPr>
                        <wps:bodyPr rtlCol="0" anchor="ctr"/>
                      </wps:wsp>
                      <pic:pic xmlns:pic="http://schemas.openxmlformats.org/drawingml/2006/picture">
                        <pic:nvPicPr>
                          <pic:cNvPr id="18" name="Picture 17" descr="Chevron arrows outline"/>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360449" y="6188927"/>
                            <a:ext cx="605155" cy="606425"/>
                          </a:xfrm>
                          <a:prstGeom prst="rect">
                            <a:avLst/>
                          </a:prstGeom>
                        </pic:spPr>
                      </pic:pic>
                    </wpg:wgp>
                  </a:graphicData>
                </a:graphic>
              </wp:anchor>
            </w:drawing>
          </mc:Choice>
          <mc:Fallback>
            <w:pict>
              <v:group w14:anchorId="355A13AD" id="Group 31" o:spid="_x0000_s1026" style="position:absolute;margin-left:-38.65pt;margin-top:29pt;width:512.5pt;height:610.4pt;z-index:251658250" coordsize="65088,775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">
                <v:rect id="Rectangle 204" o:spid="_x0000_s1027" style="position:absolute;left:56090;width:8998;height:1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" fillcolor="#72b9ff" stroked="f" strokeweight="1pt">
                  <v:textbox>
                    <w:txbxContent>
                      <w:p w14:paraId="7ECA0FE2" w14:textId="2EC50306" w:rsidR="00775536" w:rsidRPr="00B315FE" w:rsidRDefault="00352A4D" w:rsidP="00775536">
                        <w:pPr>
                          <w:rPr>
                            <w:color w:val="012528"/>
                            <w:sz w:val="16"/>
                            <w:szCs w:val="16"/>
                          </w:rPr>
                        </w:pPr>
                        <w:r>
                          <w:rPr>
                            <w:color w:val="012528"/>
                            <w:sz w:val="16"/>
                            <w:szCs w:val="16"/>
                          </w:rPr>
                          <w:t>Teach</w:t>
                        </w:r>
                        <w:r w:rsidR="004D3925">
                          <w:rPr>
                            <w:color w:val="012528"/>
                            <w:sz w:val="16"/>
                            <w:szCs w:val="16"/>
                          </w:rPr>
                          <w:t>er</w:t>
                        </w:r>
                        <w:r w:rsidR="00775536" w:rsidRPr="00B315FE">
                          <w:rPr>
                            <w:color w:val="012528"/>
                            <w:sz w:val="16"/>
                            <w:szCs w:val="16"/>
                          </w:rPr>
                          <w:t xml:space="preserve"> Standards:</w:t>
                        </w:r>
                        <w:r w:rsidR="00775536" w:rsidRPr="00B315FE">
                          <w:rPr>
                            <w:color w:val="012528"/>
                            <w:sz w:val="16"/>
                            <w:szCs w:val="16"/>
                          </w:rPr>
                          <w:br/>
                          <w:t>1.1, 1.2</w:t>
                        </w:r>
                      </w:p>
                    </w:txbxContent>
                  </v:textbox>
                </v:rect>
                <v:rect id="Rectangle 42" o:spid="_x0000_s1028" style="position:absolute;left:55979;top:15165;width:8998;height:18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" fillcolor="#72b9ff" stroked="f" strokeweight="1pt">
                  <v:textbox>
                    <w:txbxContent>
                      <w:p w14:paraId="2D756BE5" w14:textId="7312F7CD" w:rsidR="00775536" w:rsidRPr="00B315FE" w:rsidRDefault="00352A4D" w:rsidP="00775536">
                        <w:pPr>
                          <w:spacing w:after="120"/>
                          <w:rPr>
                            <w:color w:val="012528"/>
                            <w:sz w:val="16"/>
                            <w:szCs w:val="16"/>
                          </w:rPr>
                        </w:pPr>
                        <w:r>
                          <w:rPr>
                            <w:color w:val="012528"/>
                            <w:sz w:val="16"/>
                            <w:szCs w:val="16"/>
                          </w:rPr>
                          <w:t>Teach</w:t>
                        </w:r>
                        <w:r w:rsidR="004D3925">
                          <w:rPr>
                            <w:color w:val="012528"/>
                            <w:sz w:val="16"/>
                            <w:szCs w:val="16"/>
                          </w:rPr>
                          <w:t>er</w:t>
                        </w:r>
                        <w:r w:rsidRPr="00B315FE">
                          <w:rPr>
                            <w:color w:val="012528"/>
                            <w:sz w:val="16"/>
                            <w:szCs w:val="16"/>
                          </w:rPr>
                          <w:t xml:space="preserve"> </w:t>
                        </w:r>
                        <w:r w:rsidR="00775536" w:rsidRPr="00B315FE">
                          <w:rPr>
                            <w:color w:val="012528"/>
                            <w:sz w:val="16"/>
                            <w:szCs w:val="16"/>
                          </w:rPr>
                          <w:t>Standards:</w:t>
                        </w:r>
                        <w:r w:rsidR="00775536" w:rsidRPr="00B315FE">
                          <w:rPr>
                            <w:color w:val="012528"/>
                            <w:sz w:val="16"/>
                            <w:szCs w:val="16"/>
                          </w:rPr>
                          <w:br/>
                          <w:t>1.5, 1.6</w:t>
                        </w:r>
                      </w:p>
                      <w:p w14:paraId="0CB8F43B" w14:textId="77777777" w:rsidR="00775536" w:rsidRPr="00B315FE" w:rsidRDefault="00775536" w:rsidP="00775536">
                        <w:pPr>
                          <w:spacing w:after="120"/>
                          <w:rPr>
                            <w:color w:val="012528"/>
                            <w:sz w:val="16"/>
                            <w:szCs w:val="16"/>
                          </w:rPr>
                        </w:pPr>
                        <w:r w:rsidRPr="00B315FE">
                          <w:rPr>
                            <w:color w:val="012528"/>
                            <w:sz w:val="16"/>
                            <w:szCs w:val="16"/>
                          </w:rPr>
                          <w:t>2.1, 2.2, 2.3, 2.5</w:t>
                        </w:r>
                      </w:p>
                      <w:p w14:paraId="2E7E2C37" w14:textId="77777777" w:rsidR="00775536" w:rsidRPr="00B315FE" w:rsidRDefault="00775536" w:rsidP="00775536">
                        <w:pPr>
                          <w:spacing w:after="120"/>
                          <w:rPr>
                            <w:color w:val="012528"/>
                            <w:sz w:val="16"/>
                            <w:szCs w:val="16"/>
                          </w:rPr>
                        </w:pPr>
                        <w:r w:rsidRPr="00B315FE">
                          <w:rPr>
                            <w:color w:val="012528"/>
                            <w:sz w:val="16"/>
                            <w:szCs w:val="16"/>
                          </w:rPr>
                          <w:t>3.1, 3.2, 3.3, 3.4, 3.5, 3.6</w:t>
                        </w:r>
                      </w:p>
                      <w:p w14:paraId="3972F6F9" w14:textId="77777777" w:rsidR="00775536" w:rsidRPr="00B315FE" w:rsidRDefault="00775536" w:rsidP="00775536">
                        <w:pPr>
                          <w:spacing w:after="120"/>
                          <w:rPr>
                            <w:color w:val="012528"/>
                            <w:sz w:val="16"/>
                            <w:szCs w:val="16"/>
                          </w:rPr>
                        </w:pPr>
                        <w:r w:rsidRPr="00B315FE">
                          <w:rPr>
                            <w:color w:val="012528"/>
                            <w:sz w:val="16"/>
                            <w:szCs w:val="16"/>
                          </w:rPr>
                          <w:t>4.1, 4.2</w:t>
                        </w:r>
                      </w:p>
                      <w:p w14:paraId="0A7982C1" w14:textId="77777777" w:rsidR="00775536" w:rsidRPr="00B315FE" w:rsidRDefault="00775536" w:rsidP="00775536">
                        <w:pPr>
                          <w:spacing w:after="120"/>
                          <w:rPr>
                            <w:color w:val="012528"/>
                            <w:sz w:val="16"/>
                            <w:szCs w:val="16"/>
                          </w:rPr>
                        </w:pPr>
                        <w:r w:rsidRPr="00B315FE">
                          <w:rPr>
                            <w:color w:val="012528"/>
                            <w:sz w:val="16"/>
                            <w:szCs w:val="16"/>
                          </w:rPr>
                          <w:t>5.1, 5.2, 5.3, 5.4</w:t>
                        </w:r>
                      </w:p>
                    </w:txbxContent>
                  </v:textbox>
                </v:rect>
                <v:rect id="Rectangle 41" o:spid="_x0000_s1029" style="position:absolute;left:56090;top:34345;width:8998;height:20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" fillcolor="#72b9ff" stroked="f" strokeweight="1pt">
                  <v:textbox>
                    <w:txbxContent>
                      <w:p w14:paraId="36D54241" w14:textId="1E068B04" w:rsidR="00775536" w:rsidRDefault="00352A4D" w:rsidP="00775536">
                        <w:pPr>
                          <w:spacing w:after="120"/>
                          <w:rPr>
                            <w:color w:val="012528"/>
                            <w:sz w:val="16"/>
                            <w:szCs w:val="16"/>
                          </w:rPr>
                        </w:pPr>
                        <w:r>
                          <w:rPr>
                            <w:color w:val="012528"/>
                            <w:sz w:val="16"/>
                            <w:szCs w:val="16"/>
                          </w:rPr>
                          <w:t>Teach</w:t>
                        </w:r>
                        <w:r w:rsidR="004D3925">
                          <w:rPr>
                            <w:color w:val="012528"/>
                            <w:sz w:val="16"/>
                            <w:szCs w:val="16"/>
                          </w:rPr>
                          <w:t>er</w:t>
                        </w:r>
                        <w:r w:rsidRPr="00B315FE">
                          <w:rPr>
                            <w:color w:val="012528"/>
                            <w:sz w:val="16"/>
                            <w:szCs w:val="16"/>
                          </w:rPr>
                          <w:t xml:space="preserve"> </w:t>
                        </w:r>
                        <w:r w:rsidR="00775536" w:rsidRPr="00B315FE">
                          <w:rPr>
                            <w:color w:val="012528"/>
                            <w:sz w:val="16"/>
                            <w:szCs w:val="16"/>
                          </w:rPr>
                          <w:t>Standards:</w:t>
                        </w:r>
                        <w:r w:rsidR="00775536" w:rsidRPr="00B315FE">
                          <w:rPr>
                            <w:color w:val="012528"/>
                            <w:sz w:val="16"/>
                            <w:szCs w:val="16"/>
                          </w:rPr>
                          <w:br/>
                          <w:t>1.2</w:t>
                        </w:r>
                      </w:p>
                      <w:p w14:paraId="2E5B895D" w14:textId="77777777" w:rsidR="00775536" w:rsidRPr="00B315FE" w:rsidRDefault="00775536" w:rsidP="00775536">
                        <w:pPr>
                          <w:spacing w:after="120"/>
                          <w:rPr>
                            <w:color w:val="012528"/>
                            <w:sz w:val="16"/>
                            <w:szCs w:val="16"/>
                          </w:rPr>
                        </w:pPr>
                        <w:r w:rsidRPr="00B315FE">
                          <w:rPr>
                            <w:color w:val="012528"/>
                            <w:sz w:val="16"/>
                            <w:szCs w:val="16"/>
                          </w:rPr>
                          <w:t>3.1, 3.5</w:t>
                        </w:r>
                      </w:p>
                      <w:p w14:paraId="08B16EC9" w14:textId="77777777" w:rsidR="00775536" w:rsidRDefault="00775536" w:rsidP="00775536">
                        <w:pPr>
                          <w:spacing w:after="120"/>
                          <w:rPr>
                            <w:color w:val="012528"/>
                            <w:sz w:val="16"/>
                            <w:szCs w:val="16"/>
                          </w:rPr>
                        </w:pPr>
                        <w:r w:rsidRPr="00B315FE">
                          <w:rPr>
                            <w:color w:val="012528"/>
                            <w:sz w:val="16"/>
                            <w:szCs w:val="16"/>
                          </w:rPr>
                          <w:t>4.1, 4.2, 4.3, 4.4</w:t>
                        </w:r>
                      </w:p>
                      <w:p w14:paraId="19F3B8C3" w14:textId="77777777" w:rsidR="00775536" w:rsidRPr="00B315FE" w:rsidRDefault="00775536" w:rsidP="00775536">
                        <w:pPr>
                          <w:spacing w:after="120"/>
                          <w:rPr>
                            <w:color w:val="012528"/>
                            <w:sz w:val="16"/>
                            <w:szCs w:val="16"/>
                          </w:rPr>
                        </w:pPr>
                        <w:r w:rsidRPr="00B315FE">
                          <w:rPr>
                            <w:color w:val="012528"/>
                            <w:sz w:val="16"/>
                            <w:szCs w:val="16"/>
                          </w:rPr>
                          <w:t>1.1, 1.3, 1.4, 1.5, 1.6</w:t>
                        </w:r>
                      </w:p>
                      <w:p w14:paraId="3603DCF8" w14:textId="77777777" w:rsidR="00775536" w:rsidRPr="00B315FE" w:rsidRDefault="00775536" w:rsidP="00775536">
                        <w:pPr>
                          <w:spacing w:after="120"/>
                          <w:rPr>
                            <w:color w:val="012528"/>
                            <w:sz w:val="16"/>
                            <w:szCs w:val="16"/>
                          </w:rPr>
                        </w:pPr>
                        <w:r w:rsidRPr="00B315FE">
                          <w:rPr>
                            <w:color w:val="012528"/>
                            <w:sz w:val="16"/>
                            <w:szCs w:val="16"/>
                          </w:rPr>
                          <w:t>2.4</w:t>
                        </w:r>
                      </w:p>
                      <w:p w14:paraId="4D40DE8D" w14:textId="77777777" w:rsidR="00775536" w:rsidRPr="00B315FE" w:rsidRDefault="00775536" w:rsidP="00775536">
                        <w:pPr>
                          <w:rPr>
                            <w:color w:val="012528"/>
                            <w:sz w:val="16"/>
                            <w:szCs w:val="16"/>
                          </w:rPr>
                        </w:pPr>
                        <w:r w:rsidRPr="00B315FE">
                          <w:rPr>
                            <w:color w:val="012528"/>
                            <w:sz w:val="16"/>
                            <w:szCs w:val="16"/>
                          </w:rPr>
                          <w:t>3.7</w:t>
                        </w:r>
                      </w:p>
                      <w:p w14:paraId="4CA69380" w14:textId="77777777" w:rsidR="00775536" w:rsidRPr="00B315FE" w:rsidRDefault="00775536" w:rsidP="00775536">
                        <w:pPr>
                          <w:rPr>
                            <w:color w:val="012528"/>
                            <w:sz w:val="16"/>
                            <w:szCs w:val="16"/>
                          </w:rPr>
                        </w:pPr>
                      </w:p>
                    </w:txbxContent>
                  </v:textbox>
                </v:rect>
                <v:rect id="Rectangle 40" o:spid="_x0000_s1030" style="position:absolute;left:56090;top:55421;width:8998;height:1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" fillcolor="#72b9ff" stroked="f" strokeweight="1pt">
                  <v:textbox>
                    <w:txbxContent>
                      <w:p w14:paraId="0A071B6A" w14:textId="053C5342" w:rsidR="00775536" w:rsidRPr="00B315FE" w:rsidRDefault="00352A4D" w:rsidP="00775536">
                        <w:pPr>
                          <w:spacing w:after="0"/>
                          <w:rPr>
                            <w:color w:val="012528"/>
                            <w:sz w:val="16"/>
                            <w:szCs w:val="16"/>
                          </w:rPr>
                        </w:pPr>
                        <w:r>
                          <w:rPr>
                            <w:color w:val="012528"/>
                            <w:sz w:val="16"/>
                            <w:szCs w:val="16"/>
                          </w:rPr>
                          <w:t>Teach</w:t>
                        </w:r>
                        <w:r w:rsidR="004D3925">
                          <w:rPr>
                            <w:color w:val="012528"/>
                            <w:sz w:val="16"/>
                            <w:szCs w:val="16"/>
                          </w:rPr>
                          <w:t>er</w:t>
                        </w:r>
                        <w:r w:rsidRPr="00B315FE">
                          <w:rPr>
                            <w:color w:val="012528"/>
                            <w:sz w:val="16"/>
                            <w:szCs w:val="16"/>
                          </w:rPr>
                          <w:t xml:space="preserve"> </w:t>
                        </w:r>
                        <w:r w:rsidR="00775536" w:rsidRPr="00B315FE">
                          <w:rPr>
                            <w:color w:val="012528"/>
                            <w:sz w:val="16"/>
                            <w:szCs w:val="16"/>
                          </w:rPr>
                          <w:t>Standards:</w:t>
                        </w:r>
                      </w:p>
                      <w:p w14:paraId="4DB3595F" w14:textId="77777777" w:rsidR="00775536" w:rsidRPr="00B315FE" w:rsidRDefault="00775536" w:rsidP="00775536">
                        <w:pPr>
                          <w:rPr>
                            <w:color w:val="012528"/>
                            <w:sz w:val="16"/>
                            <w:szCs w:val="16"/>
                          </w:rPr>
                        </w:pPr>
                        <w:r w:rsidRPr="00B315FE">
                          <w:rPr>
                            <w:color w:val="012528"/>
                            <w:sz w:val="16"/>
                            <w:szCs w:val="16"/>
                          </w:rPr>
                          <w:t>4.1, 4.4</w:t>
                        </w:r>
                      </w:p>
                      <w:p w14:paraId="74785D43" w14:textId="77777777" w:rsidR="00775536" w:rsidRPr="00B315FE" w:rsidRDefault="00775536" w:rsidP="00775536">
                        <w:pPr>
                          <w:rPr>
                            <w:color w:val="012528"/>
                            <w:sz w:val="16"/>
                            <w:szCs w:val="16"/>
                          </w:rPr>
                        </w:pPr>
                        <w:r w:rsidRPr="00B315FE">
                          <w:rPr>
                            <w:color w:val="012528"/>
                            <w:sz w:val="16"/>
                            <w:szCs w:val="16"/>
                          </w:rPr>
                          <w:t>7.1, 7.3, 7.4</w:t>
                        </w:r>
                      </w:p>
                      <w:p w14:paraId="489EC5AE" w14:textId="77777777" w:rsidR="00775536" w:rsidRDefault="00775536" w:rsidP="00775536"/>
                    </w:txbxContent>
                  </v:textbox>
                </v:rect>
                <v:group id="Group 43" o:spid="_x0000_s1031" style="position:absolute;top:111;width:55454;height:54972" coordorigin=",-747" coordsize="65370,5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32" style="position:absolute;top:-747;width:65370;height:55224" coordorigin=",-747" coordsize="65378,5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6" o:spid="_x0000_s1033" style="position:absolute;left:3221;top:-714;width:62157;height:14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" fillcolor="#b9dcff" stroked="f" strokeweight="1pt">
                      <v:textbox>
                        <w:txbxContent>
                          <w:p w14:paraId="07766487" w14:textId="77777777" w:rsidR="00775536" w:rsidRPr="00D65282" w:rsidRDefault="00775536" w:rsidP="00775536">
                            <w:pPr>
                              <w:ind w:left="284" w:right="5430"/>
                              <w:rPr>
                                <w:rFonts w:cs="Calibri"/>
                                <w:b/>
                                <w:bCs/>
                                <w:szCs w:val="20"/>
                              </w:rPr>
                            </w:pPr>
                            <w:r w:rsidRPr="00D65282">
                              <w:rPr>
                                <w:rFonts w:cs="Calibri"/>
                                <w:b/>
                                <w:bCs/>
                                <w:szCs w:val="20"/>
                              </w:rPr>
                              <w:t>The brain</w:t>
                            </w:r>
                            <w:r w:rsidRPr="00D65282">
                              <w:rPr>
                                <w:rFonts w:cs="Calibri"/>
                                <w:b/>
                                <w:bCs/>
                                <w:szCs w:val="20"/>
                              </w:rPr>
                              <w:br/>
                              <w:t>and</w:t>
                            </w:r>
                            <w:r w:rsidRPr="00D65282">
                              <w:rPr>
                                <w:rFonts w:cs="Calibri"/>
                                <w:b/>
                                <w:bCs/>
                                <w:szCs w:val="20"/>
                              </w:rPr>
                              <w:br/>
                              <w:t>learning</w:t>
                            </w:r>
                          </w:p>
                        </w:txbxContent>
                      </v:textbox>
                    </v:rect>
                    <v:rect id="Rectangle 27" o:spid="_x0000_s1034" style="position:absolute;left:22105;top:-747;width:33252;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textbox>
                        <w:txbxContent>
                          <w:p w14:paraId="63FB4A4F" w14:textId="77777777" w:rsidR="00775536" w:rsidRPr="00D65282" w:rsidRDefault="00775536" w:rsidP="00D5108D">
                            <w:pPr>
                              <w:pStyle w:val="ListParagraph"/>
                              <w:numPr>
                                <w:ilvl w:val="0"/>
                                <w:numId w:val="44"/>
                              </w:numPr>
                              <w:suppressAutoHyphens/>
                              <w:spacing w:line="276" w:lineRule="auto"/>
                              <w:rPr>
                                <w:rFonts w:cs="Calibri"/>
                                <w:b/>
                                <w:sz w:val="18"/>
                                <w:szCs w:val="16"/>
                              </w:rPr>
                            </w:pPr>
                            <w:r w:rsidRPr="00D65282">
                              <w:rPr>
                                <w:rFonts w:cs="Calibri"/>
                                <w:b/>
                                <w:sz w:val="18"/>
                                <w:szCs w:val="16"/>
                              </w:rPr>
                              <w:t xml:space="preserve">Novice vs expert learners </w:t>
                            </w:r>
                          </w:p>
                          <w:p w14:paraId="3A5EAC8A" w14:textId="77777777" w:rsidR="00775536" w:rsidRPr="00D65282" w:rsidRDefault="00775536" w:rsidP="00D5108D">
                            <w:pPr>
                              <w:pStyle w:val="ListParagraph"/>
                              <w:numPr>
                                <w:ilvl w:val="0"/>
                                <w:numId w:val="44"/>
                              </w:numPr>
                              <w:suppressAutoHyphens/>
                              <w:spacing w:line="276" w:lineRule="auto"/>
                              <w:rPr>
                                <w:rFonts w:cs="Calibri"/>
                                <w:b/>
                                <w:sz w:val="18"/>
                                <w:szCs w:val="16"/>
                              </w:rPr>
                            </w:pPr>
                            <w:r w:rsidRPr="00D65282">
                              <w:rPr>
                                <w:rFonts w:cs="Calibri"/>
                                <w:b/>
                                <w:sz w:val="18"/>
                                <w:szCs w:val="16"/>
                              </w:rPr>
                              <w:t xml:space="preserve">How the brain learns and retains information </w:t>
                            </w:r>
                          </w:p>
                          <w:p w14:paraId="5D0DFCED" w14:textId="77777777" w:rsidR="00775536" w:rsidRPr="00D65282" w:rsidRDefault="00775536" w:rsidP="00D5108D">
                            <w:pPr>
                              <w:pStyle w:val="ListParagraph"/>
                              <w:numPr>
                                <w:ilvl w:val="1"/>
                                <w:numId w:val="44"/>
                              </w:numPr>
                              <w:suppressAutoHyphens/>
                              <w:spacing w:line="276" w:lineRule="auto"/>
                              <w:rPr>
                                <w:rFonts w:cs="Calibri"/>
                                <w:sz w:val="16"/>
                                <w:szCs w:val="14"/>
                              </w:rPr>
                            </w:pPr>
                            <w:r w:rsidRPr="00D65282">
                              <w:rPr>
                                <w:rFonts w:cs="Calibri"/>
                                <w:sz w:val="16"/>
                                <w:szCs w:val="14"/>
                              </w:rPr>
                              <w:t xml:space="preserve">Short- and long-term memory </w:t>
                            </w:r>
                          </w:p>
                          <w:p w14:paraId="7CAD0548" w14:textId="77777777" w:rsidR="00775536" w:rsidRPr="00D65282" w:rsidRDefault="00775536" w:rsidP="00D5108D">
                            <w:pPr>
                              <w:pStyle w:val="ListParagraph"/>
                              <w:numPr>
                                <w:ilvl w:val="1"/>
                                <w:numId w:val="44"/>
                              </w:numPr>
                              <w:suppressAutoHyphens/>
                              <w:spacing w:line="276" w:lineRule="auto"/>
                              <w:rPr>
                                <w:rFonts w:cs="Calibri"/>
                                <w:sz w:val="16"/>
                                <w:szCs w:val="14"/>
                              </w:rPr>
                            </w:pPr>
                            <w:r w:rsidRPr="00D65282">
                              <w:rPr>
                                <w:rFonts w:cs="Calibri"/>
                                <w:sz w:val="16"/>
                                <w:szCs w:val="14"/>
                              </w:rPr>
                              <w:t>Cognitive load</w:t>
                            </w:r>
                          </w:p>
                          <w:p w14:paraId="14B09EA9" w14:textId="77777777" w:rsidR="00775536" w:rsidRPr="00D65282" w:rsidRDefault="00775536" w:rsidP="00D5108D">
                            <w:pPr>
                              <w:pStyle w:val="ListParagraph"/>
                              <w:numPr>
                                <w:ilvl w:val="0"/>
                                <w:numId w:val="44"/>
                              </w:numPr>
                              <w:suppressAutoHyphens/>
                              <w:spacing w:line="276" w:lineRule="auto"/>
                              <w:rPr>
                                <w:rFonts w:cs="Calibri"/>
                                <w:b/>
                                <w:sz w:val="18"/>
                                <w:szCs w:val="16"/>
                              </w:rPr>
                            </w:pPr>
                            <w:r w:rsidRPr="00D65282">
                              <w:rPr>
                                <w:rFonts w:cs="Calibri"/>
                                <w:b/>
                                <w:sz w:val="18"/>
                                <w:szCs w:val="16"/>
                              </w:rPr>
                              <w:t xml:space="preserve">How the brain masters knowledge </w:t>
                            </w:r>
                          </w:p>
                          <w:p w14:paraId="56C3647A" w14:textId="77777777" w:rsidR="00775536" w:rsidRPr="00D65282" w:rsidRDefault="00775536" w:rsidP="00D5108D">
                            <w:pPr>
                              <w:pStyle w:val="ListParagraph"/>
                              <w:numPr>
                                <w:ilvl w:val="1"/>
                                <w:numId w:val="44"/>
                              </w:numPr>
                              <w:suppressAutoHyphens/>
                              <w:spacing w:line="276" w:lineRule="auto"/>
                              <w:rPr>
                                <w:rFonts w:cs="Calibri"/>
                                <w:sz w:val="16"/>
                                <w:szCs w:val="14"/>
                              </w:rPr>
                            </w:pPr>
                            <w:r w:rsidRPr="00D65282">
                              <w:rPr>
                                <w:rFonts w:cs="Calibri"/>
                                <w:sz w:val="16"/>
                                <w:szCs w:val="14"/>
                              </w:rPr>
                              <w:t>Retrieval and application in familiar and unfamiliar contexts</w:t>
                            </w:r>
                          </w:p>
                          <w:p w14:paraId="20F2872C" w14:textId="77777777" w:rsidR="00775536" w:rsidRPr="00D65282" w:rsidRDefault="00B56382" w:rsidP="00D5108D">
                            <w:pPr>
                              <w:pStyle w:val="ListParagraph"/>
                              <w:numPr>
                                <w:ilvl w:val="0"/>
                                <w:numId w:val="44"/>
                              </w:numPr>
                              <w:suppressAutoHyphens/>
                              <w:spacing w:line="276" w:lineRule="auto"/>
                              <w:rPr>
                                <w:rFonts w:cs="Calibri"/>
                                <w:b/>
                                <w:sz w:val="18"/>
                                <w:szCs w:val="16"/>
                              </w:rPr>
                            </w:pPr>
                            <w:r>
                              <w:rPr>
                                <w:rFonts w:cs="Calibri"/>
                                <w:b/>
                                <w:sz w:val="18"/>
                                <w:szCs w:val="16"/>
                              </w:rPr>
                              <w:t>A note on</w:t>
                            </w:r>
                            <w:r w:rsidR="00775536" w:rsidRPr="00D65282">
                              <w:rPr>
                                <w:rFonts w:cs="Calibri"/>
                                <w:b/>
                                <w:sz w:val="18"/>
                                <w:szCs w:val="16"/>
                              </w:rPr>
                              <w:t xml:space="preserve"> neuromyths</w:t>
                            </w:r>
                          </w:p>
                          <w:p w14:paraId="13385736" w14:textId="77777777" w:rsidR="00775536" w:rsidRPr="00D65282" w:rsidRDefault="00775536" w:rsidP="00D5108D">
                            <w:pPr>
                              <w:pStyle w:val="ListParagraph"/>
                              <w:numPr>
                                <w:ilvl w:val="1"/>
                                <w:numId w:val="44"/>
                              </w:numPr>
                              <w:suppressAutoHyphens/>
                              <w:spacing w:line="276" w:lineRule="auto"/>
                              <w:rPr>
                                <w:rFonts w:cs="Calibri"/>
                                <w:sz w:val="16"/>
                                <w:szCs w:val="14"/>
                              </w:rPr>
                            </w:pPr>
                            <w:r w:rsidRPr="00D65282">
                              <w:rPr>
                                <w:rFonts w:cs="Calibri"/>
                                <w:sz w:val="16"/>
                                <w:szCs w:val="14"/>
                              </w:rPr>
                              <w:t>Misconceptions of brain research</w:t>
                            </w:r>
                          </w:p>
                          <w:p w14:paraId="73767D3E" w14:textId="77777777" w:rsidR="00775536" w:rsidRPr="00D65282" w:rsidRDefault="00775536" w:rsidP="00775536">
                            <w:pPr>
                              <w:suppressAutoHyphens/>
                              <w:spacing w:line="276" w:lineRule="auto"/>
                              <w:ind w:left="720"/>
                              <w:rPr>
                                <w:rFonts w:cs="Calibri"/>
                                <w:b/>
                                <w:sz w:val="18"/>
                                <w:szCs w:val="16"/>
                              </w:rPr>
                            </w:pPr>
                          </w:p>
                          <w:p w14:paraId="23AFB06E" w14:textId="77777777" w:rsidR="00775536" w:rsidRDefault="00775536" w:rsidP="00775536">
                            <w:pPr>
                              <w:suppressAutoHyphens/>
                              <w:spacing w:line="276" w:lineRule="auto"/>
                              <w:rPr>
                                <w:b/>
                                <w:sz w:val="16"/>
                                <w:szCs w:val="14"/>
                              </w:rPr>
                            </w:pPr>
                          </w:p>
                          <w:p w14:paraId="26103E02" w14:textId="77777777" w:rsidR="00775536" w:rsidRPr="002652C6" w:rsidRDefault="00775536" w:rsidP="00775536">
                            <w:pPr>
                              <w:suppressAutoHyphens/>
                              <w:spacing w:line="276" w:lineRule="auto"/>
                              <w:rPr>
                                <w:b/>
                                <w:i/>
                                <w:sz w:val="16"/>
                                <w:szCs w:val="14"/>
                              </w:rPr>
                            </w:pPr>
                            <w:r>
                              <w:rPr>
                                <w:b/>
                                <w:i/>
                                <w:iCs/>
                                <w:sz w:val="16"/>
                                <w:szCs w:val="14"/>
                              </w:rPr>
                              <w:t xml:space="preserve">Why? </w:t>
                            </w:r>
                          </w:p>
                        </w:txbxContent>
                      </v:textbox>
                    </v:rect>
                    <v:rect id="Rectangle 51" o:spid="_x0000_s1035" style="position:absolute;left:3166;top:14369;width:62212;height:18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" fillcolor="#b9dcff" stroked="f" strokeweight="1pt">
                      <v:textbox>
                        <w:txbxContent>
                          <w:p w14:paraId="5827A898" w14:textId="77777777" w:rsidR="00775536" w:rsidRPr="00D65282" w:rsidRDefault="00775536" w:rsidP="00775536">
                            <w:pPr>
                              <w:spacing w:after="0"/>
                              <w:ind w:left="284" w:right="5320"/>
                              <w:rPr>
                                <w:rFonts w:cs="Calibri"/>
                                <w:b/>
                                <w:bCs/>
                                <w:szCs w:val="24"/>
                              </w:rPr>
                            </w:pPr>
                            <w:r w:rsidRPr="00D65282">
                              <w:rPr>
                                <w:rFonts w:cs="Calibri"/>
                                <w:b/>
                                <w:bCs/>
                                <w:szCs w:val="24"/>
                              </w:rPr>
                              <w:t xml:space="preserve">Effective </w:t>
                            </w:r>
                          </w:p>
                          <w:p w14:paraId="047BAF35" w14:textId="77777777" w:rsidR="00775536" w:rsidRPr="00D65282" w:rsidRDefault="00775536" w:rsidP="00775536">
                            <w:pPr>
                              <w:spacing w:after="0"/>
                              <w:ind w:left="284" w:right="5320"/>
                              <w:rPr>
                                <w:rFonts w:cs="Calibri"/>
                                <w:b/>
                                <w:bCs/>
                                <w:szCs w:val="24"/>
                              </w:rPr>
                            </w:pPr>
                            <w:r w:rsidRPr="00D65282">
                              <w:rPr>
                                <w:rFonts w:cs="Calibri"/>
                                <w:b/>
                                <w:bCs/>
                                <w:szCs w:val="24"/>
                              </w:rPr>
                              <w:t xml:space="preserve">pedagogical </w:t>
                            </w:r>
                          </w:p>
                          <w:p w14:paraId="17FD2B85" w14:textId="77777777" w:rsidR="00775536" w:rsidRPr="00D65282" w:rsidRDefault="00775536" w:rsidP="00775536">
                            <w:pPr>
                              <w:spacing w:after="0"/>
                              <w:ind w:left="284" w:right="5320"/>
                              <w:rPr>
                                <w:rFonts w:cs="Calibri"/>
                                <w:b/>
                                <w:bCs/>
                                <w:szCs w:val="24"/>
                              </w:rPr>
                            </w:pPr>
                            <w:r w:rsidRPr="00D65282">
                              <w:rPr>
                                <w:rFonts w:cs="Calibri"/>
                                <w:b/>
                                <w:bCs/>
                                <w:szCs w:val="24"/>
                              </w:rPr>
                              <w:t>practices</w:t>
                            </w:r>
                          </w:p>
                        </w:txbxContent>
                      </v:textbox>
                    </v:rect>
                    <v:rect id="Rectangle 56" o:spid="_x0000_s1036" style="position:absolute;left:3013;top:33767;width:62365;height:20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" fillcolor="#b9dcff" stroked="f" strokeweight="1pt">
                      <v:textbox>
                        <w:txbxContent>
                          <w:p w14:paraId="667B47AF" w14:textId="77777777" w:rsidR="00775536" w:rsidRPr="00D65282" w:rsidRDefault="00775536" w:rsidP="00775536">
                            <w:pPr>
                              <w:ind w:left="284" w:right="5332"/>
                              <w:rPr>
                                <w:rFonts w:cs="Calibri"/>
                                <w:b/>
                                <w:bCs/>
                                <w:szCs w:val="20"/>
                              </w:rPr>
                            </w:pPr>
                            <w:r w:rsidRPr="00D65282">
                              <w:rPr>
                                <w:rFonts w:cs="Calibri"/>
                                <w:b/>
                                <w:bCs/>
                                <w:szCs w:val="20"/>
                              </w:rPr>
                              <w:t>Classroom</w:t>
                            </w:r>
                            <w:r w:rsidRPr="00D65282">
                              <w:rPr>
                                <w:rFonts w:cs="Calibri"/>
                                <w:b/>
                                <w:bCs/>
                                <w:szCs w:val="20"/>
                              </w:rPr>
                              <w:br/>
                              <w:t>management</w:t>
                            </w:r>
                          </w:p>
                        </w:txbxContent>
                      </v:textbox>
                    </v:rect>
                    <v:group id="Group 59" o:spid="_x0000_s1037" style="position:absolute;top:4380;width:4987;height:40970" coordorigin="3048,4278" coordsize="4987,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28" o:spid="_x0000_s1038" style="position:absolute;left:3140;top:4278;width:4830;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" strokecolor="#012528" strokeweight="1.35pt">
                        <v:stroke joinstyle="miter"/>
                      </v:oval>
                      <v:oval id="Oval 62" o:spid="_x0000_s1039" style="position:absolute;left:3140;top:19129;width:489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" strokecolor="#012528" strokeweight="1.35pt">
                        <v:stroke joinstyle="miter"/>
                      </v:oval>
                      <v:oval id="Oval 63" o:spid="_x0000_s1040" style="position:absolute;left:3048;top:40349;width:4895;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" strokecolor="#012528" strokeweight="1.35pt">
                        <v:stroke joinstyle="miter"/>
                      </v:oval>
                    </v:group>
                    <v:shapetype id="_x0000_t202" coordsize="21600,21600" o:spt="202" path="m,l,21600r21600,l21600,xe">
                      <v:stroke joinstyle="miter"/>
                      <v:path gradientshapeok="t" o:connecttype="rect"/>
                    </v:shapetype>
                    <v:shape id="Text Box 2" o:spid="_x0000_s1041" type="#_x0000_t202" style="position:absolute;left:935;top:5398;width:2354;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2279F186" w14:textId="77777777" w:rsidR="00775536" w:rsidRDefault="00775536" w:rsidP="00775536">
                            <w:r>
                              <w:t>1</w:t>
                            </w:r>
                          </w:p>
                        </w:txbxContent>
                      </v:textbox>
                    </v:shape>
                    <v:shape id="Text Box 2" o:spid="_x0000_s1042" type="#_x0000_t202" style="position:absolute;left:982;top:20222;width:2361;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3B335934" w14:textId="77777777" w:rsidR="00775536" w:rsidRDefault="00775536" w:rsidP="00775536">
                            <w:r>
                              <w:t>2</w:t>
                            </w:r>
                          </w:p>
                        </w:txbxContent>
                      </v:textbox>
                    </v:shape>
                    <v:shape id="Text Box 2" o:spid="_x0000_s1043" type="#_x0000_t202" style="position:absolute;left:982;top:41463;width:2361;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3BF1EA38" w14:textId="77777777" w:rsidR="00775536" w:rsidRDefault="00775536" w:rsidP="00775536">
                            <w:r>
                              <w:t>3</w:t>
                            </w:r>
                          </w:p>
                        </w:txbxContent>
                      </v:textbox>
                    </v:shape>
                    <v:rect id="Rectangle 27" o:spid="_x0000_s1044" style="position:absolute;left:22060;top:14152;width:43318;height:19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v:textbox>
                        <w:txbxContent>
                          <w:p w14:paraId="4AB34760" w14:textId="77777777" w:rsidR="00775536" w:rsidRPr="00D65282" w:rsidRDefault="00775536" w:rsidP="00D5108D">
                            <w:pPr>
                              <w:pStyle w:val="ListParagraph"/>
                              <w:numPr>
                                <w:ilvl w:val="0"/>
                                <w:numId w:val="44"/>
                              </w:numPr>
                              <w:suppressAutoHyphens/>
                              <w:spacing w:before="100" w:beforeAutospacing="1" w:line="276" w:lineRule="auto"/>
                              <w:rPr>
                                <w:rFonts w:cs="Calibri"/>
                                <w:b/>
                                <w:sz w:val="18"/>
                                <w:szCs w:val="16"/>
                              </w:rPr>
                            </w:pPr>
                            <w:r w:rsidRPr="00D65282">
                              <w:rPr>
                                <w:rFonts w:cs="Calibri"/>
                                <w:b/>
                                <w:sz w:val="18"/>
                                <w:szCs w:val="16"/>
                              </w:rPr>
                              <w:t>Most effective pedagogical practice</w:t>
                            </w:r>
                          </w:p>
                          <w:p w14:paraId="5AC61054"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 xml:space="preserve">Planning and sequencing </w:t>
                            </w:r>
                          </w:p>
                          <w:p w14:paraId="7B6D5A47"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Explicit modelling and scaffolding</w:t>
                            </w:r>
                          </w:p>
                          <w:p w14:paraId="2D2D47FC"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Assessment and feedback</w:t>
                            </w:r>
                          </w:p>
                          <w:p w14:paraId="3D2F617E" w14:textId="77777777" w:rsidR="00775536" w:rsidRPr="00D65282" w:rsidRDefault="00775536" w:rsidP="00D5108D">
                            <w:pPr>
                              <w:pStyle w:val="ListParagraph"/>
                              <w:numPr>
                                <w:ilvl w:val="0"/>
                                <w:numId w:val="44"/>
                              </w:numPr>
                              <w:suppressAutoHyphens/>
                              <w:spacing w:before="100" w:beforeAutospacing="1" w:line="276" w:lineRule="auto"/>
                              <w:rPr>
                                <w:rFonts w:cs="Calibri"/>
                                <w:b/>
                                <w:sz w:val="18"/>
                                <w:szCs w:val="16"/>
                              </w:rPr>
                            </w:pPr>
                            <w:r w:rsidRPr="00D65282">
                              <w:rPr>
                                <w:rFonts w:cs="Calibri"/>
                                <w:b/>
                                <w:sz w:val="18"/>
                                <w:szCs w:val="16"/>
                              </w:rPr>
                              <w:t>Effective practices in subject areas</w:t>
                            </w:r>
                          </w:p>
                          <w:p w14:paraId="5DBBFB88"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Literacy: Early reading/phonics</w:t>
                            </w:r>
                          </w:p>
                          <w:p w14:paraId="0FAD8BAB"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Numeracy: Explicit mathematics instruction</w:t>
                            </w:r>
                          </w:p>
                          <w:p w14:paraId="0FD3CAE2" w14:textId="77777777" w:rsidR="00775536" w:rsidRPr="00D65282" w:rsidRDefault="00775536" w:rsidP="00D5108D">
                            <w:pPr>
                              <w:numPr>
                                <w:ilvl w:val="1"/>
                                <w:numId w:val="44"/>
                              </w:numPr>
                              <w:suppressAutoHyphens/>
                              <w:spacing w:before="100" w:beforeAutospacing="1" w:after="0" w:line="276" w:lineRule="auto"/>
                              <w:contextualSpacing/>
                              <w:rPr>
                                <w:rFonts w:cs="Calibri"/>
                                <w:sz w:val="16"/>
                                <w:szCs w:val="14"/>
                              </w:rPr>
                            </w:pPr>
                            <w:r w:rsidRPr="00D65282">
                              <w:rPr>
                                <w:rFonts w:cs="Calibri"/>
                                <w:sz w:val="16"/>
                                <w:szCs w:val="14"/>
                              </w:rPr>
                              <w:t xml:space="preserve">Explicit teaching of reading and writing in other </w:t>
                            </w:r>
                            <w:r w:rsidR="005314C4">
                              <w:rPr>
                                <w:rFonts w:cs="Calibri"/>
                                <w:sz w:val="16"/>
                                <w:szCs w:val="14"/>
                              </w:rPr>
                              <w:t>Key Learning Areas</w:t>
                            </w:r>
                          </w:p>
                          <w:p w14:paraId="4B1AF693" w14:textId="77777777" w:rsidR="00775536" w:rsidRPr="00D65282" w:rsidRDefault="00775536" w:rsidP="00D5108D">
                            <w:pPr>
                              <w:pStyle w:val="ListParagraph"/>
                              <w:numPr>
                                <w:ilvl w:val="0"/>
                                <w:numId w:val="44"/>
                              </w:numPr>
                              <w:suppressAutoHyphens/>
                              <w:spacing w:before="100" w:beforeAutospacing="1" w:line="276" w:lineRule="auto"/>
                              <w:rPr>
                                <w:rFonts w:cs="Calibri"/>
                                <w:b/>
                                <w:sz w:val="18"/>
                                <w:szCs w:val="16"/>
                              </w:rPr>
                            </w:pPr>
                            <w:r w:rsidRPr="00D65282">
                              <w:rPr>
                                <w:rFonts w:cs="Calibri"/>
                                <w:b/>
                                <w:sz w:val="18"/>
                                <w:szCs w:val="16"/>
                              </w:rPr>
                              <w:t>Multi-tiered systems of support (MTSS)</w:t>
                            </w:r>
                          </w:p>
                          <w:p w14:paraId="64724143" w14:textId="77777777" w:rsidR="00775536" w:rsidRPr="00D65282" w:rsidRDefault="00775536" w:rsidP="00D5108D">
                            <w:pPr>
                              <w:pStyle w:val="ListParagraph"/>
                              <w:numPr>
                                <w:ilvl w:val="1"/>
                                <w:numId w:val="44"/>
                              </w:numPr>
                              <w:suppressAutoHyphens/>
                              <w:spacing w:before="100" w:beforeAutospacing="1" w:line="276" w:lineRule="auto"/>
                              <w:rPr>
                                <w:rFonts w:cs="Calibri"/>
                                <w:bCs/>
                                <w:sz w:val="16"/>
                                <w:szCs w:val="16"/>
                              </w:rPr>
                            </w:pPr>
                            <w:r w:rsidRPr="00D65282">
                              <w:rPr>
                                <w:rFonts w:cs="Calibri"/>
                                <w:bCs/>
                                <w:sz w:val="16"/>
                                <w:szCs w:val="16"/>
                              </w:rPr>
                              <w:t>Increasing frequency and intensity of effective pedagogical practice</w:t>
                            </w:r>
                          </w:p>
                          <w:p w14:paraId="0E3E9BB5" w14:textId="77777777" w:rsidR="00775536" w:rsidRPr="00307FF7" w:rsidRDefault="00775536" w:rsidP="00775536">
                            <w:pPr>
                              <w:pStyle w:val="ListParagraph"/>
                              <w:suppressAutoHyphens/>
                              <w:spacing w:before="100" w:beforeAutospacing="1" w:line="276" w:lineRule="auto"/>
                              <w:ind w:left="1440"/>
                              <w:rPr>
                                <w:rFonts w:ascii="Montserrat SemiBold" w:hAnsi="Montserrat SemiBold"/>
                                <w:sz w:val="14"/>
                                <w:szCs w:val="12"/>
                              </w:rPr>
                            </w:pPr>
                          </w:p>
                        </w:txbxContent>
                      </v:textbox>
                    </v:rect>
                    <v:rect id="Rectangle 27" o:spid="_x0000_s1045" style="position:absolute;left:21788;top:33835;width:42411;height:20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" filled="f" stroked="f">
                      <v:textbox>
                        <w:txbxContent>
                          <w:p w14:paraId="12E8259B" w14:textId="77777777" w:rsidR="00775536" w:rsidRPr="006B2082" w:rsidRDefault="00775536" w:rsidP="006B2082">
                            <w:pPr>
                              <w:pStyle w:val="ListParagraph"/>
                              <w:numPr>
                                <w:ilvl w:val="0"/>
                                <w:numId w:val="44"/>
                              </w:numPr>
                              <w:suppressAutoHyphens/>
                              <w:spacing w:before="100" w:beforeAutospacing="1" w:line="276" w:lineRule="auto"/>
                              <w:rPr>
                                <w:rFonts w:cs="Calibri"/>
                                <w:b/>
                                <w:sz w:val="18"/>
                                <w:szCs w:val="16"/>
                              </w:rPr>
                            </w:pPr>
                            <w:r w:rsidRPr="00D65282">
                              <w:rPr>
                                <w:rFonts w:cs="Calibri"/>
                                <w:b/>
                                <w:sz w:val="18"/>
                                <w:szCs w:val="16"/>
                              </w:rPr>
                              <w:t>Rules and routines</w:t>
                            </w:r>
                          </w:p>
                          <w:p w14:paraId="6EF75D49" w14:textId="77777777" w:rsidR="00775536" w:rsidRPr="00BE4233" w:rsidRDefault="00775536" w:rsidP="006B2082">
                            <w:pPr>
                              <w:numPr>
                                <w:ilvl w:val="1"/>
                                <w:numId w:val="44"/>
                              </w:numPr>
                              <w:suppressAutoHyphens/>
                              <w:spacing w:before="100" w:beforeAutospacing="1" w:after="0" w:line="276" w:lineRule="auto"/>
                              <w:contextualSpacing/>
                              <w:rPr>
                                <w:rFonts w:cs="Calibri"/>
                                <w:sz w:val="16"/>
                                <w:szCs w:val="14"/>
                              </w:rPr>
                            </w:pPr>
                            <w:r w:rsidRPr="00BE4233">
                              <w:rPr>
                                <w:rFonts w:cs="Calibri"/>
                                <w:sz w:val="16"/>
                                <w:szCs w:val="14"/>
                              </w:rPr>
                              <w:t>Establishing rules and routines</w:t>
                            </w:r>
                          </w:p>
                          <w:p w14:paraId="22C29948" w14:textId="77777777" w:rsidR="00775536" w:rsidRPr="00BE4233" w:rsidRDefault="00775536" w:rsidP="006B2082">
                            <w:pPr>
                              <w:numPr>
                                <w:ilvl w:val="1"/>
                                <w:numId w:val="44"/>
                              </w:numPr>
                              <w:suppressAutoHyphens/>
                              <w:spacing w:before="100" w:beforeAutospacing="1" w:after="0" w:line="276" w:lineRule="auto"/>
                              <w:contextualSpacing/>
                              <w:rPr>
                                <w:rFonts w:cs="Calibri"/>
                                <w:sz w:val="16"/>
                                <w:szCs w:val="14"/>
                              </w:rPr>
                            </w:pPr>
                            <w:r w:rsidRPr="00BE4233">
                              <w:rPr>
                                <w:rFonts w:cs="Calibri"/>
                                <w:sz w:val="16"/>
                                <w:szCs w:val="14"/>
                              </w:rPr>
                              <w:t>Teaching rules and routines explicitly</w:t>
                            </w:r>
                          </w:p>
                          <w:p w14:paraId="1E7F1807" w14:textId="77777777" w:rsidR="00775536" w:rsidRPr="00BE4233" w:rsidRDefault="00775536" w:rsidP="006B2082">
                            <w:pPr>
                              <w:numPr>
                                <w:ilvl w:val="1"/>
                                <w:numId w:val="44"/>
                              </w:numPr>
                              <w:suppressAutoHyphens/>
                              <w:spacing w:before="100" w:beforeAutospacing="1" w:after="0" w:line="276" w:lineRule="auto"/>
                              <w:contextualSpacing/>
                              <w:rPr>
                                <w:rFonts w:cs="Calibri"/>
                                <w:sz w:val="16"/>
                                <w:szCs w:val="14"/>
                              </w:rPr>
                            </w:pPr>
                            <w:r w:rsidRPr="00BE4233">
                              <w:rPr>
                                <w:rFonts w:cs="Calibri"/>
                                <w:sz w:val="16"/>
                                <w:szCs w:val="14"/>
                              </w:rPr>
                              <w:t>Practicing rules and routines</w:t>
                            </w:r>
                          </w:p>
                          <w:p w14:paraId="0CC99937" w14:textId="77777777" w:rsidR="00775536" w:rsidRPr="00D65282" w:rsidRDefault="00775536" w:rsidP="00D5108D">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Proactive practices</w:t>
                            </w:r>
                          </w:p>
                          <w:p w14:paraId="2D079033"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High expectations</w:t>
                            </w:r>
                          </w:p>
                          <w:p w14:paraId="1633B75E"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Goal setting</w:t>
                            </w:r>
                          </w:p>
                          <w:p w14:paraId="590E4586"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High-quality and explicit teaching</w:t>
                            </w:r>
                          </w:p>
                          <w:p w14:paraId="138DFE3F"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Predictable environment</w:t>
                            </w:r>
                          </w:p>
                          <w:p w14:paraId="495F8530" w14:textId="77777777" w:rsidR="00775536" w:rsidRPr="00D65282" w:rsidRDefault="00775536" w:rsidP="00D5108D">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Managing behaviour</w:t>
                            </w:r>
                          </w:p>
                          <w:p w14:paraId="70855528"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Pre-plan and use calm, consistent, proportional responses</w:t>
                            </w:r>
                          </w:p>
                          <w:p w14:paraId="4620CDC0"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 xml:space="preserve">Modelling desired behaviour </w:t>
                            </w:r>
                          </w:p>
                          <w:p w14:paraId="73822014" w14:textId="77777777" w:rsidR="00775536" w:rsidRPr="00D65282" w:rsidRDefault="00775536" w:rsidP="00D5108D">
                            <w:pPr>
                              <w:numPr>
                                <w:ilvl w:val="1"/>
                                <w:numId w:val="44"/>
                              </w:numPr>
                              <w:suppressAutoHyphens/>
                              <w:spacing w:before="100" w:beforeAutospacing="1" w:after="100" w:afterAutospacing="1" w:line="276" w:lineRule="auto"/>
                              <w:contextualSpacing/>
                              <w:rPr>
                                <w:rFonts w:cs="Calibri"/>
                                <w:sz w:val="16"/>
                                <w:szCs w:val="14"/>
                              </w:rPr>
                            </w:pPr>
                            <w:r w:rsidRPr="00D65282">
                              <w:rPr>
                                <w:rFonts w:cs="Calibri"/>
                                <w:sz w:val="16"/>
                                <w:szCs w:val="14"/>
                              </w:rPr>
                              <w:t>Responding to persistent misbehaviour</w:t>
                            </w:r>
                          </w:p>
                        </w:txbxContent>
                      </v:textbox>
                    </v:rect>
                  </v:group>
                  <v:group id="Group 197" o:spid="_x0000_s1046" style="position:absolute;left:15898;top:2613;width:8248;height:41479" coordorigin=",2613" coordsize="8252,4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oval id="Oval 198" o:spid="_x0000_s1047" style="position:absolute;left:92;top:2613;width:8052;height:8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" strokecolor="#00838e" strokeweight="1.35pt">
                      <v:stroke joinstyle="miter"/>
                    </v:oval>
                    <v:oval id="Oval 199" o:spid="_x0000_s1048" style="position:absolute;left:92;top:17466;width:8160;height:8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" strokecolor="#00838e" strokeweight="1.3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0" o:spid="_x0000_s1049" type="#_x0000_t75" alt="Brain outline" style="position:absolute;left:499;top:3370;width:6985;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">
                      <v:imagedata r:id="rId32" o:title="Brain outline"/>
                    </v:shape>
                    <v:shape id="Graphic 201" o:spid="_x0000_s1050" type="#_x0000_t75" alt="Teacher outline" style="position:absolute;left:1385;top:18869;width:5575;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">
                      <v:imagedata r:id="rId33" o:title="Teacher outline"/>
                    </v:shape>
                    <v:oval id="Oval 202" o:spid="_x0000_s1051" style="position:absolute;top:35936;width:8159;height:8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" strokecolor="#00838e" strokeweight="1.35pt">
                      <v:stroke joinstyle="miter"/>
                    </v:oval>
                    <v:shape id="Graphic 203" o:spid="_x0000_s1052" type="#_x0000_t75" alt="Connections outline" style="position:absolute;left:1385;top:37044;width:5499;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">
                      <v:imagedata r:id="rId34" o:title="Connections outline"/>
                    </v:shape>
                  </v:group>
                </v:group>
                <v:group id="Group 205" o:spid="_x0000_s1053" style="position:absolute;left:446;top:55421;width:55016;height:22098" coordorigin="-2892,7915" coordsize="54759,1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26" o:spid="_x0000_s1054" style="position:absolute;left:-805;top:7915;width:52672;height:1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" fillcolor="#b9dcff" stroked="f" strokeweight="1pt">
                    <v:textbox>
                      <w:txbxContent>
                        <w:p w14:paraId="46EC0FE3" w14:textId="77777777" w:rsidR="00775536" w:rsidRPr="00D65282" w:rsidRDefault="00775536" w:rsidP="00775536">
                          <w:pPr>
                            <w:spacing w:after="0"/>
                            <w:ind w:left="284" w:right="5630"/>
                            <w:rPr>
                              <w:rFonts w:cs="Calibri"/>
                              <w:b/>
                              <w:bCs/>
                              <w:szCs w:val="20"/>
                            </w:rPr>
                          </w:pPr>
                          <w:r w:rsidRPr="00D65282">
                            <w:rPr>
                              <w:rFonts w:cs="Calibri"/>
                              <w:b/>
                              <w:bCs/>
                              <w:szCs w:val="20"/>
                            </w:rPr>
                            <w:t xml:space="preserve">Enabling </w:t>
                          </w:r>
                        </w:p>
                        <w:p w14:paraId="692A4756" w14:textId="77777777" w:rsidR="00775536" w:rsidRPr="00D65282" w:rsidRDefault="00775536" w:rsidP="00775536">
                          <w:pPr>
                            <w:spacing w:after="0"/>
                            <w:ind w:left="284" w:right="5630"/>
                            <w:rPr>
                              <w:rFonts w:cs="Calibri"/>
                              <w:b/>
                              <w:bCs/>
                              <w:szCs w:val="20"/>
                            </w:rPr>
                          </w:pPr>
                          <w:r w:rsidRPr="00D65282">
                            <w:rPr>
                              <w:rFonts w:cs="Calibri"/>
                              <w:b/>
                              <w:bCs/>
                              <w:szCs w:val="20"/>
                            </w:rPr>
                            <w:t xml:space="preserve">factors for </w:t>
                          </w:r>
                        </w:p>
                        <w:p w14:paraId="15FFA036" w14:textId="77777777" w:rsidR="00775536" w:rsidRPr="00D65282" w:rsidRDefault="00775536" w:rsidP="00775536">
                          <w:pPr>
                            <w:spacing w:after="0"/>
                            <w:ind w:left="284" w:right="5630"/>
                            <w:rPr>
                              <w:rFonts w:cs="Calibri"/>
                              <w:b/>
                              <w:bCs/>
                              <w:szCs w:val="20"/>
                            </w:rPr>
                          </w:pPr>
                          <w:r w:rsidRPr="00D65282">
                            <w:rPr>
                              <w:rFonts w:cs="Calibri"/>
                              <w:b/>
                              <w:bCs/>
                              <w:szCs w:val="20"/>
                            </w:rPr>
                            <w:t>learning</w:t>
                          </w:r>
                        </w:p>
                      </w:txbxContent>
                    </v:textbox>
                  </v:rect>
                  <v:rect id="Rectangle 27" o:spid="_x0000_s1055" style="position:absolute;left:15298;top:8064;width:33806;height:1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v:textbox>
                      <w:txbxContent>
                        <w:p w14:paraId="0AB1F5A9" w14:textId="6AD36E92" w:rsidR="00352A4D" w:rsidRDefault="00352A4D" w:rsidP="002024A6">
                          <w:pPr>
                            <w:pStyle w:val="ListParagraph"/>
                            <w:numPr>
                              <w:ilvl w:val="0"/>
                              <w:numId w:val="44"/>
                            </w:numPr>
                            <w:suppressAutoHyphens/>
                            <w:spacing w:before="100" w:beforeAutospacing="1" w:after="100" w:afterAutospacing="1" w:line="276" w:lineRule="auto"/>
                            <w:rPr>
                              <w:rFonts w:cs="Calibri"/>
                              <w:b/>
                              <w:sz w:val="18"/>
                              <w:szCs w:val="16"/>
                            </w:rPr>
                          </w:pPr>
                          <w:r>
                            <w:rPr>
                              <w:rFonts w:cs="Calibri"/>
                              <w:b/>
                              <w:sz w:val="18"/>
                              <w:szCs w:val="16"/>
                            </w:rPr>
                            <w:t>First Nations</w:t>
                          </w:r>
                          <w:r w:rsidRPr="00D65282">
                            <w:rPr>
                              <w:rFonts w:cs="Calibri"/>
                              <w:b/>
                              <w:sz w:val="18"/>
                              <w:szCs w:val="16"/>
                            </w:rPr>
                            <w:t xml:space="preserve"> </w:t>
                          </w:r>
                          <w:r w:rsidR="00AB471A">
                            <w:rPr>
                              <w:rFonts w:cs="Calibri"/>
                              <w:b/>
                              <w:sz w:val="18"/>
                              <w:szCs w:val="16"/>
                            </w:rPr>
                            <w:t>peoples</w:t>
                          </w:r>
                          <w:r w:rsidR="0015783A">
                            <w:rPr>
                              <w:rFonts w:cs="Calibri"/>
                              <w:b/>
                              <w:sz w:val="18"/>
                              <w:szCs w:val="16"/>
                            </w:rPr>
                            <w:t>, their cultures and perspectives</w:t>
                          </w:r>
                        </w:p>
                        <w:p w14:paraId="682A1727" w14:textId="54C8402C" w:rsidR="00A87CA6" w:rsidRPr="00D65282" w:rsidRDefault="00A87CA6" w:rsidP="00A87CA6">
                          <w:pPr>
                            <w:pStyle w:val="ListParagraph"/>
                            <w:numPr>
                              <w:ilvl w:val="1"/>
                              <w:numId w:val="44"/>
                            </w:numPr>
                            <w:suppressAutoHyphens/>
                            <w:spacing w:before="100" w:beforeAutospacing="1" w:after="100" w:afterAutospacing="1" w:line="276" w:lineRule="auto"/>
                            <w:rPr>
                              <w:rFonts w:cs="Calibri"/>
                              <w:bCs/>
                              <w:sz w:val="16"/>
                              <w:szCs w:val="16"/>
                            </w:rPr>
                          </w:pPr>
                          <w:r w:rsidRPr="00D65282">
                            <w:rPr>
                              <w:rFonts w:cs="Calibri"/>
                              <w:bCs/>
                              <w:sz w:val="16"/>
                              <w:szCs w:val="16"/>
                            </w:rPr>
                            <w:t>First Nations</w:t>
                          </w:r>
                          <w:r w:rsidR="003545AF">
                            <w:rPr>
                              <w:rFonts w:cs="Calibri"/>
                              <w:bCs/>
                              <w:sz w:val="16"/>
                              <w:szCs w:val="16"/>
                            </w:rPr>
                            <w:t xml:space="preserve"> histories, cultures and perspectives</w:t>
                          </w:r>
                        </w:p>
                        <w:p w14:paraId="4121BFA9" w14:textId="77777777" w:rsidR="00775536" w:rsidRPr="00D65282" w:rsidRDefault="00775536" w:rsidP="002024A6">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Cultural responsiveness</w:t>
                          </w:r>
                        </w:p>
                        <w:p w14:paraId="46C28452" w14:textId="77777777" w:rsidR="00775536" w:rsidRPr="00D65282" w:rsidRDefault="00775536" w:rsidP="002024A6">
                          <w:pPr>
                            <w:pStyle w:val="ListParagraph"/>
                            <w:numPr>
                              <w:ilvl w:val="1"/>
                              <w:numId w:val="44"/>
                            </w:numPr>
                            <w:suppressAutoHyphens/>
                            <w:spacing w:before="100" w:beforeAutospacing="1" w:after="100" w:afterAutospacing="1" w:line="276" w:lineRule="auto"/>
                            <w:rPr>
                              <w:rFonts w:cs="Calibri"/>
                              <w:bCs/>
                              <w:sz w:val="16"/>
                              <w:szCs w:val="16"/>
                            </w:rPr>
                          </w:pPr>
                          <w:r w:rsidRPr="00D65282">
                            <w:rPr>
                              <w:rFonts w:cs="Calibri"/>
                              <w:bCs/>
                              <w:sz w:val="16"/>
                              <w:szCs w:val="16"/>
                            </w:rPr>
                            <w:t>Self-reflection (positionality)</w:t>
                          </w:r>
                        </w:p>
                        <w:p w14:paraId="541C535E" w14:textId="77777777" w:rsidR="00011211" w:rsidRPr="00352A4D" w:rsidRDefault="00775536" w:rsidP="00352A4D">
                          <w:pPr>
                            <w:pStyle w:val="ListParagraph"/>
                            <w:numPr>
                              <w:ilvl w:val="1"/>
                              <w:numId w:val="44"/>
                            </w:numPr>
                            <w:suppressAutoHyphens/>
                            <w:spacing w:before="100" w:beforeAutospacing="1" w:after="100" w:afterAutospacing="1" w:line="276" w:lineRule="auto"/>
                            <w:rPr>
                              <w:rFonts w:cs="Calibri"/>
                              <w:b/>
                              <w:sz w:val="18"/>
                              <w:szCs w:val="16"/>
                            </w:rPr>
                          </w:pPr>
                          <w:r w:rsidRPr="00D65282">
                            <w:rPr>
                              <w:rFonts w:cs="Calibri"/>
                              <w:bCs/>
                              <w:sz w:val="16"/>
                              <w:szCs w:val="16"/>
                            </w:rPr>
                            <w:t>Culturally responsive practices</w:t>
                          </w:r>
                        </w:p>
                        <w:p w14:paraId="5DB71C88" w14:textId="77777777" w:rsidR="001B7591" w:rsidRPr="006B2082" w:rsidRDefault="00775536" w:rsidP="005359E4">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Family engagement</w:t>
                          </w:r>
                        </w:p>
                        <w:p w14:paraId="54CE7003" w14:textId="77777777" w:rsidR="00775536" w:rsidRPr="00D65282" w:rsidRDefault="00775536" w:rsidP="002024A6">
                          <w:pPr>
                            <w:pStyle w:val="ListParagraph"/>
                            <w:numPr>
                              <w:ilvl w:val="1"/>
                              <w:numId w:val="44"/>
                            </w:numPr>
                            <w:suppressAutoHyphens/>
                            <w:spacing w:before="100" w:beforeAutospacing="1" w:after="100" w:afterAutospacing="1" w:line="276" w:lineRule="auto"/>
                            <w:rPr>
                              <w:rFonts w:cs="Calibri"/>
                              <w:bCs/>
                              <w:sz w:val="16"/>
                              <w:szCs w:val="16"/>
                            </w:rPr>
                          </w:pPr>
                          <w:r w:rsidRPr="00D65282">
                            <w:rPr>
                              <w:rFonts w:cs="Calibri"/>
                              <w:bCs/>
                              <w:sz w:val="16"/>
                              <w:szCs w:val="16"/>
                            </w:rPr>
                            <w:t>Primary practices</w:t>
                          </w:r>
                        </w:p>
                        <w:p w14:paraId="0EABFE6E" w14:textId="77777777" w:rsidR="00775536" w:rsidRPr="00D65282" w:rsidRDefault="00775536" w:rsidP="002024A6">
                          <w:pPr>
                            <w:pStyle w:val="ListParagraph"/>
                            <w:numPr>
                              <w:ilvl w:val="1"/>
                              <w:numId w:val="44"/>
                            </w:numPr>
                            <w:suppressAutoHyphens/>
                            <w:spacing w:before="100" w:beforeAutospacing="1" w:after="100" w:afterAutospacing="1" w:line="276" w:lineRule="auto"/>
                            <w:rPr>
                              <w:rFonts w:cs="Calibri"/>
                              <w:b/>
                              <w:sz w:val="18"/>
                              <w:szCs w:val="16"/>
                            </w:rPr>
                          </w:pPr>
                          <w:r w:rsidRPr="00D65282">
                            <w:rPr>
                              <w:rFonts w:cs="Calibri"/>
                              <w:bCs/>
                              <w:sz w:val="16"/>
                              <w:szCs w:val="16"/>
                            </w:rPr>
                            <w:t>Secondary practices</w:t>
                          </w:r>
                        </w:p>
                        <w:p w14:paraId="774C858B" w14:textId="77777777" w:rsidR="00775536" w:rsidRPr="00D65282" w:rsidRDefault="00775536" w:rsidP="002024A6">
                          <w:pPr>
                            <w:pStyle w:val="ListParagraph"/>
                            <w:numPr>
                              <w:ilvl w:val="0"/>
                              <w:numId w:val="44"/>
                            </w:numPr>
                            <w:suppressAutoHyphens/>
                            <w:spacing w:before="100" w:beforeAutospacing="1" w:after="100" w:afterAutospacing="1" w:line="276" w:lineRule="auto"/>
                            <w:rPr>
                              <w:rFonts w:cs="Calibri"/>
                              <w:b/>
                              <w:sz w:val="18"/>
                              <w:szCs w:val="16"/>
                            </w:rPr>
                          </w:pPr>
                          <w:r w:rsidRPr="00D65282">
                            <w:rPr>
                              <w:rFonts w:cs="Calibri"/>
                              <w:b/>
                              <w:sz w:val="18"/>
                              <w:szCs w:val="16"/>
                            </w:rPr>
                            <w:t>Diverse learning needs</w:t>
                          </w:r>
                        </w:p>
                        <w:p w14:paraId="4DAC1F8E" w14:textId="77777777" w:rsidR="00775536" w:rsidRPr="00D65282" w:rsidRDefault="00775536" w:rsidP="002024A6">
                          <w:pPr>
                            <w:pStyle w:val="ListParagraph"/>
                            <w:numPr>
                              <w:ilvl w:val="1"/>
                              <w:numId w:val="44"/>
                            </w:numPr>
                            <w:suppressAutoHyphens/>
                            <w:spacing w:before="100" w:beforeAutospacing="1" w:after="100" w:afterAutospacing="1" w:line="276" w:lineRule="auto"/>
                            <w:rPr>
                              <w:rFonts w:cs="Calibri"/>
                              <w:bCs/>
                              <w:sz w:val="16"/>
                              <w:szCs w:val="16"/>
                            </w:rPr>
                          </w:pPr>
                          <w:r w:rsidRPr="00D65282">
                            <w:rPr>
                              <w:rFonts w:cs="Calibri"/>
                              <w:bCs/>
                              <w:sz w:val="16"/>
                              <w:szCs w:val="16"/>
                            </w:rPr>
                            <w:t>Suitability of effective pedagogical practices for diverse needs</w:t>
                          </w:r>
                        </w:p>
                      </w:txbxContent>
                    </v:textbox>
                  </v:rect>
                  <v:oval id="Oval 28" o:spid="_x0000_s1056" style="position:absolute;left:-2892;top:12168;width:4156;height:3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" strokecolor="#012528" strokeweight="1.35pt">
                    <v:stroke joinstyle="miter"/>
                  </v:oval>
                  <v:shape id="Text Box 2" o:spid="_x0000_s1057" type="#_x0000_t202" style="position:absolute;left:-2235;top:13097;width:2355;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5F436061" w14:textId="77777777" w:rsidR="00775536" w:rsidRDefault="00775536" w:rsidP="00775536">
                          <w:r>
                            <w:t>4</w:t>
                          </w:r>
                        </w:p>
                      </w:txbxContent>
                    </v:textbox>
                  </v:shape>
                </v:group>
                <v:oval id="Oval 15" o:spid="_x0000_s1058" style="position:absolute;left:13046;top:60662;width:6833;height:8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" strokecolor="#00838e" strokeweight="1.35pt">
                  <v:stroke joinstyle="miter"/>
                </v:oval>
                <v:shape id="Picture 17" o:spid="_x0000_s1059" type="#_x0000_t75" alt="Chevron arrows outline" style="position:absolute;left:13604;top:61889;width:605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">
                  <v:imagedata r:id="rId35" o:title="Chevron arrows outline"/>
                </v:shape>
              </v:group>
            </w:pict>
          </mc:Fallback>
        </mc:AlternateContent>
      </w:r>
      <w:r>
        <w:rPr>
          <w:noProof/>
        </w:rPr>
        <mc:AlternateContent>
          <mc:Choice Requires="wps">
            <w:drawing>
              <wp:anchor distT="0" distB="0" distL="114300" distR="114300" simplePos="0" relativeHeight="251658251" behindDoc="0" locked="0" layoutInCell="1" allowOverlap="1" wp14:anchorId="6220B880" wp14:editId="07542276">
                <wp:simplePos x="0" y="0"/>
                <wp:positionH relativeFrom="column">
                  <wp:posOffset>847090</wp:posOffset>
                </wp:positionH>
                <wp:positionV relativeFrom="paragraph">
                  <wp:posOffset>3824605</wp:posOffset>
                </wp:positionV>
                <wp:extent cx="726440" cy="862965"/>
                <wp:effectExtent l="0" t="0" r="0" b="0"/>
                <wp:wrapSquare wrapText="bothSides"/>
                <wp:docPr id="24" name="Rectangle 24"/>
                <wp:cNvGraphicFramePr/>
                <a:graphic xmlns:a="http://schemas.openxmlformats.org/drawingml/2006/main">
                  <a:graphicData uri="http://schemas.microsoft.com/office/word/2010/wordprocessingShape">
                    <wps:wsp>
                      <wps:cNvSpPr/>
                      <wps:spPr>
                        <a:xfrm>
                          <a:off x="0" y="0"/>
                          <a:ext cx="726440" cy="862965"/>
                        </a:xfrm>
                        <a:prstGeom prst="rect">
                          <a:avLst/>
                        </a:prstGeom>
                        <a:solidFill>
                          <a:srgbClr val="004F9E">
                            <a:lumMod val="20000"/>
                            <a:lumOff val="80000"/>
                          </a:srgbClr>
                        </a:solidFill>
                        <a:ln w="12700" cap="flat" cmpd="sng" algn="ctr">
                          <a:noFill/>
                          <a:prstDash val="solid"/>
                          <a:miter lim="800000"/>
                        </a:ln>
                        <a:effectLst/>
                      </wps:spPr>
                      <wps:txbx>
                        <w:txbxContent>
                          <w:p w14:paraId="612F46E3" w14:textId="58AC88A1" w:rsidR="00B93A72" w:rsidRPr="00D65282" w:rsidRDefault="00B93A72" w:rsidP="00B93A72">
                            <w:pPr>
                              <w:spacing w:after="0"/>
                              <w:ind w:left="284" w:right="5630"/>
                              <w:rPr>
                                <w:rFonts w:cs="Calibri"/>
                                <w:b/>
                                <w:bCs/>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6220B880" id="Rectangle 24" o:spid="_x0000_s1060" style="position:absolute;margin-left:66.7pt;margin-top:301.15pt;width:57.2pt;height:67.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" fillcolor="#b9dcff" stroked="f" strokeweight="1pt">
                <v:textbox>
                  <w:txbxContent>
                    <w:p w14:paraId="612F46E3" w14:textId="58AC88A1" w:rsidR="00B93A72" w:rsidRPr="00D65282" w:rsidRDefault="00B93A72" w:rsidP="00B93A72">
                      <w:pPr>
                        <w:spacing w:after="0"/>
                        <w:ind w:left="284" w:right="5630"/>
                        <w:rPr>
                          <w:rFonts w:cs="Calibri"/>
                          <w:b/>
                          <w:bCs/>
                          <w:szCs w:val="20"/>
                        </w:rPr>
                      </w:pPr>
                    </w:p>
                  </w:txbxContent>
                </v:textbox>
                <w10:wrap type="square"/>
              </v:rect>
            </w:pict>
          </mc:Fallback>
        </mc:AlternateContent>
      </w:r>
      <w:r w:rsidR="006801C3">
        <w:rPr>
          <w:noProof/>
        </w:rPr>
        <w:drawing>
          <wp:anchor distT="0" distB="0" distL="114300" distR="114300" simplePos="0" relativeHeight="251658252" behindDoc="0" locked="0" layoutInCell="1" allowOverlap="1" wp14:anchorId="557DC940" wp14:editId="78A16DC0">
            <wp:simplePos x="0" y="0"/>
            <wp:positionH relativeFrom="column">
              <wp:posOffset>911581</wp:posOffset>
            </wp:positionH>
            <wp:positionV relativeFrom="paragraph">
              <wp:posOffset>4337685</wp:posOffset>
            </wp:positionV>
            <wp:extent cx="772160" cy="900430"/>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72160" cy="900430"/>
                    </a:xfrm>
                    <a:prstGeom prst="rect">
                      <a:avLst/>
                    </a:prstGeom>
                  </pic:spPr>
                </pic:pic>
              </a:graphicData>
            </a:graphic>
            <wp14:sizeRelH relativeFrom="margin">
              <wp14:pctWidth>0</wp14:pctWidth>
            </wp14:sizeRelH>
            <wp14:sizeRelV relativeFrom="margin">
              <wp14:pctHeight>0</wp14:pctHeight>
            </wp14:sizeRelV>
          </wp:anchor>
        </w:drawing>
      </w:r>
      <w:r w:rsidR="00E66125" w:rsidRPr="00D65282">
        <w:rPr>
          <w:rFonts w:ascii="Calibri" w:eastAsia="Calibri" w:hAnsi="Calibri" w:cs="Times New Roman"/>
          <w:b/>
          <w:iCs/>
          <w:noProof/>
          <w:color w:val="002C3E"/>
          <w:szCs w:val="18"/>
        </w:rPr>
        <w:drawing>
          <wp:anchor distT="0" distB="0" distL="114300" distR="114300" simplePos="0" relativeHeight="251658246" behindDoc="0" locked="0" layoutInCell="1" allowOverlap="1" wp14:anchorId="68753EEA" wp14:editId="648CE49E">
            <wp:simplePos x="0" y="0"/>
            <wp:positionH relativeFrom="column">
              <wp:posOffset>951230</wp:posOffset>
            </wp:positionH>
            <wp:positionV relativeFrom="paragraph">
              <wp:posOffset>6553835</wp:posOffset>
            </wp:positionV>
            <wp:extent cx="605155" cy="606425"/>
            <wp:effectExtent l="0" t="0" r="0" b="0"/>
            <wp:wrapTopAndBottom/>
            <wp:docPr id="17" name="Picture 17"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Chevron arrows outline"/>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05155" cy="606425"/>
                    </a:xfrm>
                    <a:prstGeom prst="rect">
                      <a:avLst/>
                    </a:prstGeom>
                  </pic:spPr>
                </pic:pic>
              </a:graphicData>
            </a:graphic>
          </wp:anchor>
        </w:drawing>
      </w:r>
      <w:r w:rsidR="00E66125" w:rsidRPr="00D65282">
        <w:rPr>
          <w:rFonts w:ascii="Calibri" w:eastAsia="Calibri" w:hAnsi="Calibri" w:cs="Times New Roman"/>
          <w:b/>
          <w:iCs/>
          <w:noProof/>
          <w:color w:val="002C3E"/>
          <w:szCs w:val="18"/>
        </w:rPr>
        <mc:AlternateContent>
          <mc:Choice Requires="wps">
            <w:drawing>
              <wp:anchor distT="0" distB="0" distL="114300" distR="114300" simplePos="0" relativeHeight="251658245" behindDoc="0" locked="0" layoutInCell="1" allowOverlap="1" wp14:anchorId="70EADB0C" wp14:editId="02E69FCB">
                <wp:simplePos x="0" y="0"/>
                <wp:positionH relativeFrom="column">
                  <wp:posOffset>890270</wp:posOffset>
                </wp:positionH>
                <wp:positionV relativeFrom="paragraph">
                  <wp:posOffset>6449060</wp:posOffset>
                </wp:positionV>
                <wp:extent cx="683260" cy="803910"/>
                <wp:effectExtent l="0" t="0" r="21590" b="15240"/>
                <wp:wrapTopAndBottom/>
                <wp:docPr id="16" name="Oval 16"/>
                <wp:cNvGraphicFramePr/>
                <a:graphic xmlns:a="http://schemas.openxmlformats.org/drawingml/2006/main">
                  <a:graphicData uri="http://schemas.microsoft.com/office/word/2010/wordprocessingShape">
                    <wps:wsp>
                      <wps:cNvSpPr/>
                      <wps:spPr>
                        <a:xfrm>
                          <a:off x="0" y="0"/>
                          <a:ext cx="683260" cy="803910"/>
                        </a:xfrm>
                        <a:prstGeom prst="ellipse">
                          <a:avLst/>
                        </a:prstGeom>
                        <a:solidFill>
                          <a:srgbClr val="FFFFFF"/>
                        </a:solidFill>
                        <a:ln w="17145" cap="flat" cmpd="sng" algn="ctr">
                          <a:solidFill>
                            <a:srgbClr val="00838E"/>
                          </a:solidFill>
                          <a:prstDash val="solid"/>
                          <a:miter lim="800000"/>
                        </a:ln>
                        <a:effectLst/>
                      </wps:spPr>
                      <wps:bodyPr rtlCol="0" anchor="ct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xmlns:oel="http://schemas.microsoft.com/office/2019/extlst">
            <w:pict w14:anchorId="18301149">
              <v:oval id="Oval 16" style="position:absolute;margin-left:70.1pt;margin-top:507.8pt;width:53.8pt;height:63.3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strokecolor="#00838e" strokeweight="1.35pt" w14:anchorId="632BD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">
                <v:stroke joinstyle="miter"/>
                <w10:wrap type="topAndBottom"/>
              </v:oval>
            </w:pict>
          </mc:Fallback>
        </mc:AlternateContent>
      </w:r>
      <w:r w:rsidR="00775536" w:rsidRPr="00D65282">
        <w:rPr>
          <w:rFonts w:ascii="Calibri" w:eastAsia="Times New Roman" w:hAnsi="Calibri" w:cs="Calibri"/>
          <w:b/>
          <w:iCs/>
          <w:noProof/>
          <w:color w:val="004A69"/>
          <w:sz w:val="26"/>
          <w:szCs w:val="26"/>
          <w:lang w:eastAsia="en-AU"/>
        </w:rPr>
        <mc:AlternateContent>
          <mc:Choice Requires="wps">
            <w:drawing>
              <wp:anchor distT="0" distB="0" distL="114300" distR="114300" simplePos="0" relativeHeight="251658244" behindDoc="0" locked="0" layoutInCell="1" allowOverlap="1" wp14:anchorId="189A84A2" wp14:editId="7ADEFA2A">
                <wp:simplePos x="0" y="0"/>
                <wp:positionH relativeFrom="column">
                  <wp:posOffset>876935</wp:posOffset>
                </wp:positionH>
                <wp:positionV relativeFrom="paragraph">
                  <wp:posOffset>6136640</wp:posOffset>
                </wp:positionV>
                <wp:extent cx="683260" cy="803910"/>
                <wp:effectExtent l="0" t="0" r="21590" b="15240"/>
                <wp:wrapTopAndBottom/>
                <wp:docPr id="13" name="Oval 13"/>
                <wp:cNvGraphicFramePr/>
                <a:graphic xmlns:a="http://schemas.openxmlformats.org/drawingml/2006/main">
                  <a:graphicData uri="http://schemas.microsoft.com/office/word/2010/wordprocessingShape">
                    <wps:wsp>
                      <wps:cNvSpPr/>
                      <wps:spPr>
                        <a:xfrm>
                          <a:off x="0" y="0"/>
                          <a:ext cx="683260" cy="803910"/>
                        </a:xfrm>
                        <a:prstGeom prst="ellipse">
                          <a:avLst/>
                        </a:prstGeom>
                        <a:solidFill>
                          <a:srgbClr val="FFFFFF"/>
                        </a:solidFill>
                        <a:ln w="17145" cap="flat" cmpd="sng" algn="ctr">
                          <a:solidFill>
                            <a:srgbClr val="00838E"/>
                          </a:solidFill>
                          <a:prstDash val="solid"/>
                          <a:miter lim="800000"/>
                        </a:ln>
                        <a:effectLst/>
                      </wps:spPr>
                      <wps:bodyPr rtlCol="0" anchor="ct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xmlns:oel="http://schemas.microsoft.com/office/2019/extlst">
            <w:pict w14:anchorId="5839A517">
              <v:oval id="Oval 13" style="position:absolute;margin-left:69.05pt;margin-top:483.2pt;width:53.8pt;height:63.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strokecolor="#00838e" strokeweight="1.35pt" w14:anchorId="506AF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">
                <v:stroke joinstyle="miter"/>
                <w10:wrap type="topAndBottom"/>
              </v:oval>
            </w:pict>
          </mc:Fallback>
        </mc:AlternateContent>
      </w:r>
      <w:r w:rsidR="00775536" w:rsidRPr="00D65282">
        <w:rPr>
          <w:rFonts w:ascii="Calibri" w:eastAsia="Times New Roman" w:hAnsi="Calibri" w:cs="Calibri"/>
          <w:b/>
          <w:iCs/>
          <w:noProof/>
          <w:color w:val="004A69"/>
          <w:sz w:val="26"/>
          <w:szCs w:val="26"/>
          <w:lang w:eastAsia="en-AU"/>
        </w:rPr>
        <mc:AlternateContent>
          <mc:Choice Requires="wps">
            <w:drawing>
              <wp:anchor distT="0" distB="0" distL="114300" distR="114300" simplePos="0" relativeHeight="251658243" behindDoc="0" locked="0" layoutInCell="1" allowOverlap="1" wp14:anchorId="573009C1" wp14:editId="68F30B8D">
                <wp:simplePos x="0" y="0"/>
                <wp:positionH relativeFrom="column">
                  <wp:posOffset>885190</wp:posOffset>
                </wp:positionH>
                <wp:positionV relativeFrom="paragraph">
                  <wp:posOffset>6121400</wp:posOffset>
                </wp:positionV>
                <wp:extent cx="683260" cy="803910"/>
                <wp:effectExtent l="0" t="0" r="21590" b="15240"/>
                <wp:wrapSquare wrapText="bothSides"/>
                <wp:docPr id="11" name="Oval 11"/>
                <wp:cNvGraphicFramePr/>
                <a:graphic xmlns:a="http://schemas.openxmlformats.org/drawingml/2006/main">
                  <a:graphicData uri="http://schemas.microsoft.com/office/word/2010/wordprocessingShape">
                    <wps:wsp>
                      <wps:cNvSpPr/>
                      <wps:spPr>
                        <a:xfrm>
                          <a:off x="0" y="0"/>
                          <a:ext cx="683260" cy="803910"/>
                        </a:xfrm>
                        <a:prstGeom prst="ellipse">
                          <a:avLst/>
                        </a:prstGeom>
                        <a:solidFill>
                          <a:srgbClr val="FFFFFF"/>
                        </a:solidFill>
                        <a:ln w="17145" cap="flat" cmpd="sng" algn="ctr">
                          <a:solidFill>
                            <a:srgbClr val="00838E"/>
                          </a:solidFill>
                          <a:prstDash val="solid"/>
                          <a:miter lim="800000"/>
                        </a:ln>
                        <a:effectLst/>
                      </wps:spPr>
                      <wps:bodyPr rtlCol="0" anchor="ct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xmlns:oel="http://schemas.microsoft.com/office/2019/extlst">
            <w:pict w14:anchorId="4B64BE4E">
              <v:oval id="Oval 11" style="position:absolute;margin-left:69.7pt;margin-top:482pt;width:53.8pt;height:63.3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strokecolor="#00838e" strokeweight="1.35pt" w14:anchorId="08EB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">
                <v:stroke joinstyle="miter"/>
                <w10:wrap type="square"/>
              </v:oval>
            </w:pict>
          </mc:Fallback>
        </mc:AlternateContent>
      </w:r>
      <w:r w:rsidR="00775536" w:rsidRPr="00D65282">
        <w:rPr>
          <w:rFonts w:ascii="Calibri" w:eastAsia="Calibri" w:hAnsi="Calibri" w:cs="Times New Roman"/>
          <w:b/>
          <w:iCs/>
          <w:noProof/>
          <w:color w:val="000000"/>
          <w:shd w:val="clear" w:color="auto" w:fill="E6E6E6"/>
        </w:rPr>
        <w:drawing>
          <wp:anchor distT="0" distB="0" distL="114300" distR="114300" simplePos="0" relativeHeight="251658242" behindDoc="0" locked="0" layoutInCell="1" allowOverlap="1" wp14:anchorId="53A2ABB4" wp14:editId="22A1FF6B">
            <wp:simplePos x="0" y="0"/>
            <wp:positionH relativeFrom="column">
              <wp:posOffset>863600</wp:posOffset>
            </wp:positionH>
            <wp:positionV relativeFrom="paragraph">
              <wp:posOffset>6200613</wp:posOffset>
            </wp:positionV>
            <wp:extent cx="605155" cy="606425"/>
            <wp:effectExtent l="0" t="0" r="0" b="0"/>
            <wp:wrapTopAndBottom/>
            <wp:docPr id="216" name="Picture 216"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Chevron arrows outline"/>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05155" cy="606425"/>
                    </a:xfrm>
                    <a:prstGeom prst="rect">
                      <a:avLst/>
                    </a:prstGeom>
                  </pic:spPr>
                </pic:pic>
              </a:graphicData>
            </a:graphic>
          </wp:anchor>
        </w:drawing>
      </w:r>
      <w:r w:rsidR="00775536" w:rsidRPr="00D65282">
        <w:rPr>
          <w:rFonts w:ascii="Calibri" w:eastAsia="Calibri" w:hAnsi="Calibri" w:cs="Times New Roman"/>
          <w:b/>
          <w:iCs/>
          <w:noProof/>
          <w:color w:val="000000"/>
          <w:shd w:val="clear" w:color="auto" w:fill="E6E6E6"/>
        </w:rPr>
        <mc:AlternateContent>
          <mc:Choice Requires="wps">
            <w:drawing>
              <wp:anchor distT="0" distB="0" distL="114300" distR="114300" simplePos="0" relativeHeight="251658241" behindDoc="0" locked="0" layoutInCell="1" allowOverlap="1" wp14:anchorId="3BD07C58" wp14:editId="483F18F4">
                <wp:simplePos x="0" y="0"/>
                <wp:positionH relativeFrom="column">
                  <wp:posOffset>802640</wp:posOffset>
                </wp:positionH>
                <wp:positionV relativeFrom="paragraph">
                  <wp:posOffset>6092663</wp:posOffset>
                </wp:positionV>
                <wp:extent cx="683260" cy="803910"/>
                <wp:effectExtent l="0" t="0" r="21590" b="15240"/>
                <wp:wrapTopAndBottom/>
                <wp:docPr id="215" name="Oval 215"/>
                <wp:cNvGraphicFramePr/>
                <a:graphic xmlns:a="http://schemas.openxmlformats.org/drawingml/2006/main">
                  <a:graphicData uri="http://schemas.microsoft.com/office/word/2010/wordprocessingShape">
                    <wps:wsp>
                      <wps:cNvSpPr/>
                      <wps:spPr>
                        <a:xfrm>
                          <a:off x="0" y="0"/>
                          <a:ext cx="683260" cy="803910"/>
                        </a:xfrm>
                        <a:prstGeom prst="ellipse">
                          <a:avLst/>
                        </a:prstGeom>
                        <a:solidFill>
                          <a:srgbClr val="FFFFFF"/>
                        </a:solidFill>
                        <a:ln w="17145" cap="flat" cmpd="sng" algn="ctr">
                          <a:solidFill>
                            <a:srgbClr val="00838E"/>
                          </a:solidFill>
                          <a:prstDash val="solid"/>
                          <a:miter lim="800000"/>
                        </a:ln>
                        <a:effectLst/>
                      </wps:spPr>
                      <wps:bodyPr rtlCol="0" anchor="ct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xmlns:oel="http://schemas.microsoft.com/office/2019/extlst">
            <w:pict w14:anchorId="68C2693D">
              <v:oval id="Oval 215" style="position:absolute;margin-left:63.2pt;margin-top:479.75pt;width:53.8pt;height:63.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strokecolor="#00838e" strokeweight="1.35pt" w14:anchorId="63CF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">
                <v:stroke joinstyle="miter"/>
                <w10:wrap type="topAndBottom"/>
              </v:oval>
            </w:pict>
          </mc:Fallback>
        </mc:AlternateContent>
      </w:r>
      <w:r w:rsidR="00775536" w:rsidRPr="00D65282">
        <w:rPr>
          <w:rFonts w:ascii="Calibri" w:eastAsia="Calibri" w:hAnsi="Calibri" w:cs="Times New Roman"/>
          <w:b/>
          <w:iCs/>
          <w:color w:val="000000"/>
        </w:rPr>
        <w:t>Figure 1.1. Summary of the proposed core content and alignment with the Graduate Teach</w:t>
      </w:r>
      <w:r w:rsidR="004A250C">
        <w:rPr>
          <w:rFonts w:ascii="Calibri" w:eastAsia="Calibri" w:hAnsi="Calibri" w:cs="Times New Roman"/>
          <w:b/>
          <w:iCs/>
          <w:color w:val="000000"/>
        </w:rPr>
        <w:t>er</w:t>
      </w:r>
      <w:r w:rsidR="00775536" w:rsidRPr="00D65282">
        <w:rPr>
          <w:rFonts w:ascii="Calibri" w:eastAsia="Calibri" w:hAnsi="Calibri" w:cs="Times New Roman"/>
          <w:b/>
          <w:iCs/>
          <w:color w:val="000000"/>
        </w:rPr>
        <w:t xml:space="preserve"> Standards</w:t>
      </w:r>
      <w:r w:rsidR="00775536" w:rsidRPr="00D65282">
        <w:rPr>
          <w:rFonts w:ascii="Calibri" w:eastAsia="Calibri" w:hAnsi="Calibri" w:cs="Times New Roman"/>
          <w:b/>
          <w:iCs/>
          <w:color w:val="002C3E"/>
        </w:rPr>
        <w:t> </w:t>
      </w:r>
    </w:p>
    <w:p w14:paraId="5D667335" w14:textId="515E65E7" w:rsidR="00775536" w:rsidRDefault="00775536">
      <w:pPr>
        <w:spacing w:after="160"/>
        <w:rPr>
          <w:rFonts w:eastAsiaTheme="majorEastAsia" w:cstheme="minorHAnsi"/>
          <w:b/>
          <w:iCs/>
          <w:color w:val="002C3E" w:themeColor="background2"/>
          <w:sz w:val="28"/>
          <w:lang w:eastAsia="en-AU"/>
        </w:rPr>
      </w:pPr>
      <w:r>
        <w:rPr>
          <w:rFonts w:cstheme="minorHAnsi"/>
          <w:color w:val="002C3E" w:themeColor="background2"/>
          <w:lang w:eastAsia="en-AU"/>
        </w:rPr>
        <w:br w:type="page"/>
      </w:r>
    </w:p>
    <w:p w14:paraId="7D5C0538" w14:textId="6D0B1661" w:rsidR="00C425C2" w:rsidRPr="00320192" w:rsidRDefault="008A04AB" w:rsidP="00DB0012">
      <w:pPr>
        <w:pStyle w:val="Heading4"/>
        <w:spacing w:before="0" w:line="240" w:lineRule="auto"/>
        <w:rPr>
          <w:rFonts w:asciiTheme="minorHAnsi" w:hAnsiTheme="minorHAnsi" w:cstheme="minorHAnsi"/>
          <w:color w:val="002C3E" w:themeColor="background2"/>
        </w:rPr>
      </w:pPr>
      <w:r>
        <w:rPr>
          <w:rFonts w:asciiTheme="minorHAnsi" w:hAnsiTheme="minorHAnsi" w:cstheme="minorHAnsi"/>
          <w:color w:val="002C3E" w:themeColor="background2"/>
          <w:lang w:eastAsia="en-AU"/>
        </w:rPr>
        <w:lastRenderedPageBreak/>
        <w:t xml:space="preserve">1.2.1 </w:t>
      </w:r>
      <w:r w:rsidR="00775717">
        <w:rPr>
          <w:rFonts w:asciiTheme="minorHAnsi" w:hAnsiTheme="minorHAnsi" w:cstheme="minorHAnsi"/>
          <w:color w:val="002C3E" w:themeColor="background2"/>
          <w:lang w:eastAsia="en-AU"/>
        </w:rPr>
        <w:t>T</w:t>
      </w:r>
      <w:r w:rsidR="00003EA7" w:rsidRPr="00320192">
        <w:rPr>
          <w:rFonts w:asciiTheme="minorHAnsi" w:hAnsiTheme="minorHAnsi" w:cstheme="minorHAnsi"/>
          <w:color w:val="002C3E" w:themeColor="background2"/>
          <w:lang w:eastAsia="en-AU"/>
        </w:rPr>
        <w:t xml:space="preserve">he brain and </w:t>
      </w:r>
      <w:r w:rsidR="00003EA7" w:rsidRPr="00320192">
        <w:rPr>
          <w:rFonts w:asciiTheme="minorHAnsi" w:hAnsiTheme="minorHAnsi" w:cstheme="minorHAnsi"/>
          <w:color w:val="002C3E" w:themeColor="background2"/>
        </w:rPr>
        <w:t>learning</w:t>
      </w:r>
      <w:bookmarkStart w:id="16" w:name="_Hlk127544685"/>
    </w:p>
    <w:p w14:paraId="22BA35EB" w14:textId="3D03E2F1" w:rsidR="0D61F0C3" w:rsidRDefault="0031302D" w:rsidP="0057706B">
      <w:pPr>
        <w:spacing w:after="120" w:line="240" w:lineRule="auto"/>
        <w:rPr>
          <w:rFonts w:ascii="Calibri" w:hAnsi="Calibri" w:cs="Calibri"/>
        </w:rPr>
      </w:pPr>
      <w:r w:rsidRPr="000D733B">
        <w:rPr>
          <w:rFonts w:ascii="Calibri" w:hAnsi="Calibri" w:cs="Calibri"/>
        </w:rPr>
        <w:t xml:space="preserve">ITE programs should teach cognitive science content that directly relates to how students learn. Understanding the function of the human brain as it learns and retains information gives teachers a foundational understanding of </w:t>
      </w:r>
      <w:r w:rsidRPr="000D733B">
        <w:rPr>
          <w:rFonts w:ascii="Calibri" w:hAnsi="Calibri" w:cs="Calibri"/>
          <w:i/>
          <w:iCs/>
        </w:rPr>
        <w:t>why</w:t>
      </w:r>
      <w:r w:rsidRPr="000D733B">
        <w:rPr>
          <w:rFonts w:ascii="Calibri" w:hAnsi="Calibri" w:cs="Calibri"/>
        </w:rPr>
        <w:t xml:space="preserve"> specific instructional practices work, and </w:t>
      </w:r>
      <w:r w:rsidRPr="000D733B">
        <w:rPr>
          <w:rFonts w:ascii="Calibri" w:hAnsi="Calibri" w:cs="Calibri"/>
          <w:i/>
          <w:iCs/>
        </w:rPr>
        <w:t>how</w:t>
      </w:r>
      <w:r w:rsidRPr="000D733B">
        <w:rPr>
          <w:rFonts w:ascii="Calibri" w:hAnsi="Calibri" w:cs="Calibri"/>
        </w:rPr>
        <w:t xml:space="preserve"> to implement the practice with fidelity.</w:t>
      </w:r>
    </w:p>
    <w:p w14:paraId="10A7D7C9" w14:textId="56B96D46" w:rsidR="00C139C0" w:rsidRPr="00D5538B" w:rsidRDefault="7A1F0DD4" w:rsidP="2628A42A">
      <w:pPr>
        <w:spacing w:after="0" w:line="240" w:lineRule="auto"/>
        <w:rPr>
          <w:rFonts w:ascii="Calibri" w:hAnsi="Calibri" w:cs="Calibri"/>
          <w:b/>
          <w:sz w:val="26"/>
          <w:szCs w:val="26"/>
        </w:rPr>
      </w:pPr>
      <w:r w:rsidRPr="49FBBE6A">
        <w:rPr>
          <w:rFonts w:ascii="Calibri" w:hAnsi="Calibri" w:cs="Calibri"/>
          <w:b/>
          <w:sz w:val="26"/>
          <w:szCs w:val="26"/>
        </w:rPr>
        <w:t xml:space="preserve">What is the </w:t>
      </w:r>
      <w:r w:rsidR="6BEE115A" w:rsidRPr="06EB2B30">
        <w:rPr>
          <w:rFonts w:ascii="Calibri" w:hAnsi="Calibri" w:cs="Calibri"/>
          <w:b/>
          <w:bCs/>
          <w:sz w:val="26"/>
          <w:szCs w:val="26"/>
        </w:rPr>
        <w:t>e</w:t>
      </w:r>
      <w:r w:rsidRPr="06EB2B30">
        <w:rPr>
          <w:rFonts w:ascii="Calibri" w:hAnsi="Calibri" w:cs="Calibri"/>
          <w:b/>
          <w:bCs/>
          <w:sz w:val="26"/>
          <w:szCs w:val="26"/>
        </w:rPr>
        <w:t>vidence</w:t>
      </w:r>
      <w:r w:rsidRPr="49FBBE6A">
        <w:rPr>
          <w:rFonts w:ascii="Calibri" w:hAnsi="Calibri" w:cs="Calibri"/>
          <w:b/>
          <w:sz w:val="26"/>
          <w:szCs w:val="26"/>
        </w:rPr>
        <w:t>?</w:t>
      </w:r>
    </w:p>
    <w:p w14:paraId="64B7C165" w14:textId="162C52D0" w:rsidR="00C139C0" w:rsidRPr="00D5538B" w:rsidRDefault="764AF001" w:rsidP="00572216">
      <w:pPr>
        <w:keepNext/>
        <w:spacing w:after="120" w:line="240" w:lineRule="auto"/>
        <w:rPr>
          <w:rFonts w:ascii="Calibri" w:hAnsi="Calibri" w:cs="Calibri"/>
        </w:rPr>
      </w:pPr>
      <w:r w:rsidRPr="7DE368DD">
        <w:rPr>
          <w:rFonts w:ascii="Calibri" w:hAnsi="Calibri" w:cs="Calibri"/>
        </w:rPr>
        <w:t xml:space="preserve">Cognitive science principles related to memory and learning such as cognitive load theory are supported by a large number of peer-reviewed, randomised control trials. These principles have significant implications for effective teaching practice. A teacher’s ability to effectively select the most appropriate and impactful instructional method is enhanced by knowledge of how the brain learns and stores information. Research shows that an understanding of these principles to support effective instructional methods has a real effect on rates of learning and retention of information in the classroom. </w:t>
      </w:r>
    </w:p>
    <w:p w14:paraId="7180E9D5" w14:textId="77777777" w:rsidR="00C139C0" w:rsidRPr="00D5538B" w:rsidRDefault="764AF001" w:rsidP="7DE368DD">
      <w:pPr>
        <w:spacing w:after="120" w:line="240" w:lineRule="auto"/>
        <w:rPr>
          <w:rFonts w:ascii="Calibri" w:hAnsi="Calibri" w:cs="Calibri"/>
        </w:rPr>
      </w:pPr>
      <w:r w:rsidRPr="7DE368DD">
        <w:rPr>
          <w:rFonts w:ascii="Calibri" w:hAnsi="Calibri" w:cs="Calibri"/>
        </w:rPr>
        <w:t xml:space="preserve">The following works provide an overview of the extensive evidence base. Further research specific to each component of ‘the brain and learning’ is also cited throughout this section. </w:t>
      </w:r>
    </w:p>
    <w:p w14:paraId="35D7917F" w14:textId="5A18D225" w:rsidR="00C139C0" w:rsidRPr="00D5538B" w:rsidRDefault="764AF001" w:rsidP="7DE368DD">
      <w:pPr>
        <w:pStyle w:val="Caption"/>
        <w:spacing w:after="0"/>
        <w:rPr>
          <w:color w:val="000000" w:themeColor="text1"/>
        </w:rPr>
      </w:pPr>
      <w:r w:rsidRPr="7DE368DD">
        <w:rPr>
          <w:color w:val="000000" w:themeColor="text1"/>
        </w:rPr>
        <w:t xml:space="preserve">Table </w:t>
      </w:r>
      <w:r w:rsidR="00C139C0" w:rsidRPr="7DE368DD">
        <w:rPr>
          <w:color w:val="000000" w:themeColor="text1"/>
        </w:rPr>
        <w:fldChar w:fldCharType="begin"/>
      </w:r>
      <w:r w:rsidR="00C139C0" w:rsidRPr="7DE368DD">
        <w:rPr>
          <w:color w:val="000000" w:themeColor="text1"/>
        </w:rPr>
        <w:instrText xml:space="preserve"> SEQ Table \* ARABIC </w:instrText>
      </w:r>
      <w:r w:rsidR="00C139C0" w:rsidRPr="7DE368DD">
        <w:rPr>
          <w:color w:val="000000" w:themeColor="text1"/>
        </w:rPr>
        <w:fldChar w:fldCharType="separate"/>
      </w:r>
      <w:r w:rsidR="00665C13">
        <w:rPr>
          <w:noProof/>
          <w:color w:val="000000" w:themeColor="text1"/>
        </w:rPr>
        <w:t>1</w:t>
      </w:r>
      <w:r w:rsidR="00C139C0" w:rsidRPr="7DE368DD">
        <w:rPr>
          <w:color w:val="000000" w:themeColor="text1"/>
        </w:rPr>
        <w:fldChar w:fldCharType="end"/>
      </w:r>
      <w:r w:rsidRPr="7DE368DD">
        <w:rPr>
          <w:color w:val="000000" w:themeColor="text1"/>
        </w:rPr>
        <w:t>.1: Summary of seminal works</w:t>
      </w:r>
    </w:p>
    <w:tbl>
      <w:tblPr>
        <w:tblStyle w:val="TableGrid"/>
        <w:tblW w:w="0" w:type="auto"/>
        <w:tblLook w:val="04A0" w:firstRow="1" w:lastRow="0" w:firstColumn="1" w:lastColumn="0" w:noHBand="0" w:noVBand="1"/>
      </w:tblPr>
      <w:tblGrid>
        <w:gridCol w:w="9016"/>
      </w:tblGrid>
      <w:tr w:rsidR="7DE368DD" w14:paraId="0896E523" w14:textId="77777777" w:rsidTr="7DE368DD">
        <w:trPr>
          <w:trHeight w:val="300"/>
        </w:trPr>
        <w:tc>
          <w:tcPr>
            <w:tcW w:w="9016" w:type="dxa"/>
            <w:shd w:val="clear" w:color="auto" w:fill="FEEBB9" w:themeFill="accent2" w:themeFillTint="66"/>
          </w:tcPr>
          <w:p w14:paraId="4B2C1047" w14:textId="77777777" w:rsidR="7DE368DD" w:rsidRDefault="7DE368DD" w:rsidP="7DE368DD">
            <w:pPr>
              <w:rPr>
                <w:rFonts w:ascii="Calibri" w:hAnsi="Calibri" w:cs="Calibri"/>
              </w:rPr>
            </w:pPr>
            <w:r w:rsidRPr="7DE368DD">
              <w:rPr>
                <w:rFonts w:ascii="Calibri" w:hAnsi="Calibri" w:cs="Calibri"/>
                <w:b/>
                <w:bCs/>
              </w:rPr>
              <w:t>Cognitive Science in the Classroom</w:t>
            </w:r>
            <w:r w:rsidRPr="7DE368DD">
              <w:rPr>
                <w:rFonts w:ascii="Calibri" w:hAnsi="Calibri" w:cs="Calibri"/>
              </w:rPr>
              <w:t xml:space="preserve">: Evidence and Practice Review </w:t>
            </w:r>
            <w:r w:rsidRPr="7DE368DD">
              <w:rPr>
                <w:rFonts w:ascii="Calibri" w:hAnsi="Calibri" w:cs="Calibri"/>
                <w:color w:val="2B579A"/>
              </w:rPr>
              <w:fldChar w:fldCharType="begin"/>
            </w:r>
            <w:r w:rsidRPr="7DE368DD">
              <w:rPr>
                <w:rFonts w:ascii="Calibri" w:hAnsi="Calibri" w:cs="Calibri"/>
              </w:rPr>
              <w:instrText xml:space="preserve"> ADDIN ZOTERO_ITEM CSL_CITATION {"citationID":"eD5s568V","properties":{"formattedCitation":"(Perry et al. 2021)","plainCitation":"(Perry et al. 2021)","noteIndex":0},"citationItems":[{"id":7590,"uris":["http://zotero.org/groups/3204312/items/X55HNMEM"],"itemData":{"id":7590,"type":"report","event-place":"London","language":"en","page":"372","publisher":"Education Endowment Foundation","publisher-place":"London","source":"Zotero","title":"Cognitive Science in the Classroom: Evidence and Practice Review","author":[{"family":"Perry","given":"Thomas"},{"family":"Lea","given":"Rosanna"},{"family":"Jørgensen","given":"Clara Rübner"},{"family":"Cordingley","given":"Philippa"},{"family":"Shapiro","given":"Kimron"},{"family":"Youdell","given":"Deborah"},{"family":"Harrington","given":"Julia"},{"family":"Fancourt","given":"Amy"},{"family":"Crisp","given":"Paul"},{"family":"Gamble","given":"Niall"},{"family":"Pomareda","given":"Christina"}],"issued":{"date-parts":[["2021"]]}}}],"schema":"https://github.com/citation-style-language/schema/raw/master/csl-citation.json"} </w:instrText>
            </w:r>
            <w:r w:rsidRPr="7DE368DD">
              <w:rPr>
                <w:rFonts w:ascii="Calibri" w:hAnsi="Calibri" w:cs="Calibri"/>
                <w:color w:val="2B579A"/>
              </w:rPr>
              <w:fldChar w:fldCharType="separate"/>
            </w:r>
            <w:r w:rsidRPr="7DE368DD">
              <w:rPr>
                <w:rFonts w:ascii="Calibri" w:hAnsi="Calibri" w:cs="Calibri"/>
              </w:rPr>
              <w:t>(Perry et al. 2021)</w:t>
            </w:r>
            <w:r w:rsidRPr="7DE368DD">
              <w:rPr>
                <w:rFonts w:ascii="Calibri" w:hAnsi="Calibri" w:cs="Calibri"/>
                <w:color w:val="2B579A"/>
              </w:rPr>
              <w:fldChar w:fldCharType="end"/>
            </w:r>
            <w:r w:rsidRPr="7DE368DD">
              <w:rPr>
                <w:rFonts w:ascii="Calibri" w:hAnsi="Calibri" w:cs="Calibri"/>
              </w:rPr>
              <w:t>. A review of 499 studies found that understanding and managing cognitive load can have a positive impact on learning outcomes. Cognitive science principles were significant factors affecting rates of learning and retention of information in the classroom.</w:t>
            </w:r>
          </w:p>
        </w:tc>
      </w:tr>
      <w:tr w:rsidR="7DE368DD" w14:paraId="68CC9FA1" w14:textId="77777777" w:rsidTr="7DE368DD">
        <w:trPr>
          <w:trHeight w:val="300"/>
        </w:trPr>
        <w:tc>
          <w:tcPr>
            <w:tcW w:w="9016" w:type="dxa"/>
            <w:shd w:val="clear" w:color="auto" w:fill="FEEBB9" w:themeFill="accent2" w:themeFillTint="66"/>
          </w:tcPr>
          <w:p w14:paraId="0F3CE9F3" w14:textId="77777777" w:rsidR="7DE368DD" w:rsidRDefault="7DE368DD" w:rsidP="7DE368DD">
            <w:pPr>
              <w:rPr>
                <w:rFonts w:ascii="Calibri" w:hAnsi="Calibri" w:cs="Calibri"/>
              </w:rPr>
            </w:pPr>
            <w:r w:rsidRPr="7DE368DD">
              <w:rPr>
                <w:rFonts w:ascii="Calibri" w:hAnsi="Calibri" w:cs="Calibri"/>
                <w:b/>
                <w:bCs/>
              </w:rPr>
              <w:t>The Science of Learning</w:t>
            </w:r>
            <w:r w:rsidRPr="7DE368DD">
              <w:rPr>
                <w:rFonts w:ascii="Calibri" w:hAnsi="Calibri" w:cs="Calibri"/>
              </w:rPr>
              <w:t xml:space="preserve"> </w:t>
            </w:r>
            <w:r w:rsidRPr="7DE368DD">
              <w:rPr>
                <w:rFonts w:ascii="Calibri" w:hAnsi="Calibri" w:cs="Calibri"/>
                <w:color w:val="2B579A"/>
              </w:rPr>
              <w:fldChar w:fldCharType="begin"/>
            </w:r>
            <w:r w:rsidRPr="7DE368DD">
              <w:rPr>
                <w:rFonts w:ascii="Calibri" w:hAnsi="Calibri" w:cs="Calibri"/>
              </w:rPr>
              <w:instrText xml:space="preserve"> ADDIN ZOTERO_ITEM CSL_CITATION {"citationID":"4CMESXyb","properties":{"formattedCitation":"(Deans for Impact 2015)","plainCitation":"(Deans for Impact 2015)","noteIndex":0},"citationItems":[{"id":7581,"uris":["http://zotero.org/groups/3204312/items/SR7KP7HS"],"itemData":{"id":7581,"type":"report","event-place":"Austin, Texas","publisher":"Deans for Impact","publisher-place":"Austin, Texas","title":"The Science of Learning","URL":"https://deansforimpact.org/wp-content/uploads/2016/12/The_Science_of_Learning.pdf","author":[{"family":"Deans for Impact","given":""}],"accessed":{"date-parts":[["2022",12,6]]},"issued":{"date-parts":[["2015"]]}}}],"schema":"https://github.com/citation-style-language/schema/raw/master/csl-citation.json"} </w:instrText>
            </w:r>
            <w:r w:rsidRPr="7DE368DD">
              <w:rPr>
                <w:rFonts w:ascii="Calibri" w:hAnsi="Calibri" w:cs="Calibri"/>
                <w:color w:val="2B579A"/>
              </w:rPr>
              <w:fldChar w:fldCharType="separate"/>
            </w:r>
            <w:r w:rsidRPr="7DE368DD">
              <w:rPr>
                <w:rFonts w:ascii="Calibri" w:hAnsi="Calibri" w:cs="Calibri"/>
              </w:rPr>
              <w:t>(Deans for Impact 2015)</w:t>
            </w:r>
            <w:r w:rsidRPr="7DE368DD">
              <w:rPr>
                <w:rFonts w:ascii="Calibri" w:hAnsi="Calibri" w:cs="Calibri"/>
                <w:color w:val="2B579A"/>
              </w:rPr>
              <w:fldChar w:fldCharType="end"/>
            </w:r>
            <w:r w:rsidRPr="7DE368DD">
              <w:rPr>
                <w:rFonts w:ascii="Calibri" w:hAnsi="Calibri" w:cs="Calibri"/>
              </w:rPr>
              <w:t xml:space="preserve">. Summarises existing cognitive-science research on how students learn and connects it to practical implications for teaching. </w:t>
            </w:r>
          </w:p>
        </w:tc>
      </w:tr>
      <w:tr w:rsidR="7DE368DD" w14:paraId="0C926B16" w14:textId="77777777" w:rsidTr="7DE368DD">
        <w:trPr>
          <w:trHeight w:val="364"/>
        </w:trPr>
        <w:tc>
          <w:tcPr>
            <w:tcW w:w="9016" w:type="dxa"/>
            <w:shd w:val="clear" w:color="auto" w:fill="FEEBB9" w:themeFill="accent2" w:themeFillTint="66"/>
          </w:tcPr>
          <w:p w14:paraId="0975D48A" w14:textId="150636FC" w:rsidR="7DE368DD" w:rsidRDefault="7DE368DD" w:rsidP="7DE368DD">
            <w:pPr>
              <w:rPr>
                <w:rFonts w:ascii="Calibri" w:hAnsi="Calibri" w:cs="Calibri"/>
              </w:rPr>
            </w:pPr>
            <w:r w:rsidRPr="7DE368DD">
              <w:rPr>
                <w:rFonts w:ascii="Calibri" w:hAnsi="Calibri" w:cs="Calibri"/>
                <w:b/>
                <w:bCs/>
              </w:rPr>
              <w:t>Cognitive Load Theory</w:t>
            </w:r>
            <w:r w:rsidRPr="7DE368DD">
              <w:rPr>
                <w:rFonts w:ascii="Calibri" w:hAnsi="Calibri" w:cs="Calibri"/>
              </w:rPr>
              <w:t xml:space="preserve"> </w:t>
            </w:r>
            <w:r w:rsidR="00C2139F">
              <w:rPr>
                <w:rFonts w:ascii="Calibri" w:hAnsi="Calibri" w:cs="Calibri"/>
              </w:rPr>
              <w:t>(</w:t>
            </w:r>
            <w:r w:rsidR="004F0FB3">
              <w:rPr>
                <w:rFonts w:ascii="Calibri" w:hAnsi="Calibri" w:cs="Calibri"/>
              </w:rPr>
              <w:t>CESE (</w:t>
            </w:r>
            <w:r w:rsidR="004F0FB3" w:rsidRPr="0DDCE877">
              <w:t>Centre for Education Statistics and Evaluation)</w:t>
            </w:r>
            <w:r w:rsidR="004F0FB3">
              <w:t xml:space="preserve"> </w:t>
            </w:r>
            <w:r w:rsidR="00A97620">
              <w:rPr>
                <w:rFonts w:ascii="Calibri" w:hAnsi="Calibri" w:cs="Calibri"/>
              </w:rPr>
              <w:t>2017)</w:t>
            </w:r>
            <w:r w:rsidRPr="7DE368DD">
              <w:rPr>
                <w:rFonts w:ascii="Calibri" w:hAnsi="Calibri" w:cs="Calibri"/>
                <w:color w:val="2B579A"/>
              </w:rPr>
              <w:fldChar w:fldCharType="begin"/>
            </w:r>
            <w:r w:rsidRPr="7DE368DD">
              <w:rPr>
                <w:rFonts w:ascii="Calibri" w:hAnsi="Calibri" w:cs="Calibri"/>
              </w:rPr>
              <w:instrText xml:space="preserve"> ADDIN ZOTERO_ITEM CSL_CITATION {"citationID":"rRlhkaBV","properties":{"formattedCitation":"(Centre for Education Statistics and Evaluation 2017)","plainCitation":"(Centre for Education Statistics and Evaluation 2017)","noteIndex":0},"citationItems":[{"id":7593,"uris":["http://zotero.org/groups/3204312/items/96AMV8NA"],"itemData":{"id":7593,"type":"webpage","title":"Cognitive load theory","URL":"https://education.nsw.gov.au/content/dam/main-education/about-us/educational-data/cese/2017-cognitive-load-theory-summary.pdf","author":[{"family":"Centre for Education Statistics and Evaluation","given":""}],"accessed":{"date-parts":[["2022",12,6]]},"issued":{"date-parts":[["2017"]]}}}],"schema":"https://github.com/citation-style-language/schema/raw/master/csl-citation.json"} </w:instrText>
            </w:r>
            <w:r w:rsidR="00665C13">
              <w:rPr>
                <w:rFonts w:ascii="Calibri" w:hAnsi="Calibri" w:cs="Calibri"/>
                <w:color w:val="2B579A"/>
              </w:rPr>
              <w:fldChar w:fldCharType="separate"/>
            </w:r>
            <w:r w:rsidRPr="7DE368DD">
              <w:rPr>
                <w:rFonts w:ascii="Calibri" w:hAnsi="Calibri" w:cs="Calibri"/>
                <w:color w:val="2B579A"/>
              </w:rPr>
              <w:fldChar w:fldCharType="end"/>
            </w:r>
            <w:r w:rsidRPr="7DE368DD">
              <w:rPr>
                <w:rFonts w:ascii="Calibri" w:hAnsi="Calibri" w:cs="Calibri"/>
              </w:rPr>
              <w:t>. This literature review provides an overview of cognitive load theory, which is a theory of how human brains learn and store knowledge. Grounded in a robust evidence base, cognitive load theory provides support for explicit models of instruction</w:t>
            </w:r>
            <w:r w:rsidR="004F0FB3">
              <w:rPr>
                <w:rFonts w:ascii="Calibri" w:hAnsi="Calibri" w:cs="Calibri"/>
              </w:rPr>
              <w:t>.</w:t>
            </w:r>
            <w:r w:rsidRPr="7DE368DD">
              <w:rPr>
                <w:rFonts w:ascii="Calibri" w:hAnsi="Calibri" w:cs="Calibri"/>
              </w:rPr>
              <w:t xml:space="preserve"> </w:t>
            </w:r>
          </w:p>
        </w:tc>
      </w:tr>
      <w:tr w:rsidR="7DE368DD" w14:paraId="18FFE045" w14:textId="77777777" w:rsidTr="7DE368DD">
        <w:trPr>
          <w:trHeight w:val="364"/>
        </w:trPr>
        <w:tc>
          <w:tcPr>
            <w:tcW w:w="9016" w:type="dxa"/>
            <w:shd w:val="clear" w:color="auto" w:fill="FEEBB9" w:themeFill="accent2" w:themeFillTint="66"/>
          </w:tcPr>
          <w:p w14:paraId="0AB4F7C3" w14:textId="157A2C3B" w:rsidR="7DE368DD" w:rsidRDefault="7DE368DD" w:rsidP="7DE368DD">
            <w:pPr>
              <w:rPr>
                <w:rFonts w:ascii="Calibri" w:hAnsi="Calibri" w:cs="Calibri"/>
              </w:rPr>
            </w:pPr>
            <w:r w:rsidRPr="7DE368DD">
              <w:rPr>
                <w:rFonts w:ascii="Calibri" w:hAnsi="Calibri" w:cs="Calibri"/>
                <w:b/>
                <w:bCs/>
              </w:rPr>
              <w:t xml:space="preserve">Understanding the Brain: </w:t>
            </w:r>
            <w:r w:rsidRPr="7DE368DD">
              <w:rPr>
                <w:rFonts w:ascii="Calibri" w:hAnsi="Calibri" w:cs="Calibri"/>
                <w:b/>
                <w:bCs/>
                <w:i/>
                <w:iCs/>
              </w:rPr>
              <w:t>Towards a New Learning Science</w:t>
            </w:r>
            <w:r w:rsidRPr="7DE368DD">
              <w:rPr>
                <w:rFonts w:ascii="Calibri" w:hAnsi="Calibri" w:cs="Calibri"/>
              </w:rPr>
              <w:t xml:space="preserve">, Organisation for Economic Cooperation and Development (OECD) </w:t>
            </w:r>
            <w:r w:rsidRPr="7DE368DD">
              <w:rPr>
                <w:rFonts w:ascii="Calibri" w:hAnsi="Calibri" w:cs="Calibri"/>
                <w:color w:val="2B579A"/>
              </w:rPr>
              <w:fldChar w:fldCharType="begin"/>
            </w:r>
            <w:r w:rsidRPr="7DE368DD">
              <w:rPr>
                <w:rFonts w:ascii="Calibri" w:hAnsi="Calibri" w:cs="Calibri"/>
              </w:rPr>
              <w:instrText xml:space="preserve"> ADDIN ZOTERO_ITEM CSL_CITATION {"citationID":"xd5EUIj9","properties":{"formattedCitation":"(OECD 2002)","plainCitation":"(OECD 2002)","noteIndex":0},"citationItems":[{"id":77,"uris":["http://zotero.org/users/10928664/items/D5P23LGM"],"itemData":{"id":77,"type":"book","ISBN":"978-92-64-19734-3","language":"en","note":"DOI: 10.1787/9789264174986-en","publisher":"OECD","source":"DOI.org (Crossref)","title":"Understanding the Brain: Towards a New Learning Science","title-short":"Understanding the Brain","URL":"https://www.oecd-ilibrary.org/education/understanding-the-brain_9789264174986-en","author":[{"literal":"OECD"}],"accessed":{"date-parts":[["2023",1,17]]},"issued":{"date-parts":[["2002",9,4]]}}}],"schema":"https://github.com/citation-style-language/schema/raw/master/csl-citation.json"} </w:instrText>
            </w:r>
            <w:r w:rsidRPr="7DE368DD">
              <w:rPr>
                <w:rFonts w:ascii="Calibri" w:hAnsi="Calibri" w:cs="Calibri"/>
                <w:color w:val="2B579A"/>
              </w:rPr>
              <w:fldChar w:fldCharType="separate"/>
            </w:r>
            <w:r w:rsidRPr="7DE368DD">
              <w:rPr>
                <w:rFonts w:ascii="Calibri" w:hAnsi="Calibri" w:cs="Calibri"/>
              </w:rPr>
              <w:t>(OECD 2002)</w:t>
            </w:r>
            <w:r w:rsidRPr="7DE368DD">
              <w:rPr>
                <w:rFonts w:ascii="Calibri" w:hAnsi="Calibri" w:cs="Calibri"/>
                <w:color w:val="2B579A"/>
              </w:rPr>
              <w:fldChar w:fldCharType="end"/>
            </w:r>
            <w:r w:rsidRPr="7DE368DD">
              <w:rPr>
                <w:rFonts w:ascii="Calibri" w:hAnsi="Calibri" w:cs="Calibri"/>
              </w:rPr>
              <w:t xml:space="preserve">. Examines how scientific developments in understanding how the brain works can help educators and educational </w:t>
            </w:r>
            <w:r w:rsidRPr="2D501A70">
              <w:rPr>
                <w:rFonts w:ascii="Calibri" w:hAnsi="Calibri" w:cs="Calibri"/>
              </w:rPr>
              <w:t>policy</w:t>
            </w:r>
            <w:r w:rsidR="2A2B0CBC" w:rsidRPr="2D501A70">
              <w:rPr>
                <w:rFonts w:ascii="Calibri" w:hAnsi="Calibri" w:cs="Calibri"/>
              </w:rPr>
              <w:t xml:space="preserve"> </w:t>
            </w:r>
            <w:r w:rsidRPr="2D501A70">
              <w:rPr>
                <w:rFonts w:ascii="Calibri" w:hAnsi="Calibri" w:cs="Calibri"/>
              </w:rPr>
              <w:t>makers</w:t>
            </w:r>
            <w:r w:rsidRPr="7DE368DD">
              <w:rPr>
                <w:rFonts w:ascii="Calibri" w:hAnsi="Calibri" w:cs="Calibri"/>
              </w:rPr>
              <w:t xml:space="preserve"> develop new and more efficient methods for teaching and developing educational policies and highlights the significance of the distinction between nature and nurture in learning and brain development.</w:t>
            </w:r>
          </w:p>
        </w:tc>
      </w:tr>
      <w:tr w:rsidR="7DE368DD" w14:paraId="454EDE8C" w14:textId="77777777" w:rsidTr="7DE368DD">
        <w:trPr>
          <w:trHeight w:val="771"/>
        </w:trPr>
        <w:tc>
          <w:tcPr>
            <w:tcW w:w="9016" w:type="dxa"/>
            <w:shd w:val="clear" w:color="auto" w:fill="FEEBB9" w:themeFill="accent2" w:themeFillTint="66"/>
          </w:tcPr>
          <w:p w14:paraId="195E7395" w14:textId="77777777" w:rsidR="7DE368DD" w:rsidRDefault="7DE368DD" w:rsidP="7DE368DD">
            <w:pPr>
              <w:rPr>
                <w:rFonts w:ascii="Calibri" w:hAnsi="Calibri" w:cs="Calibri"/>
              </w:rPr>
            </w:pPr>
            <w:r w:rsidRPr="7DE368DD">
              <w:rPr>
                <w:rFonts w:ascii="Calibri" w:hAnsi="Calibri" w:cs="Calibri"/>
                <w:b/>
                <w:bCs/>
              </w:rPr>
              <w:t xml:space="preserve">How Learning Happens: Seminal Works in Educational Psychology and What They Mean in Practice </w:t>
            </w:r>
            <w:r w:rsidRPr="7DE368DD">
              <w:rPr>
                <w:rFonts w:ascii="Calibri" w:hAnsi="Calibri" w:cs="Calibri"/>
                <w:color w:val="2B579A"/>
              </w:rPr>
              <w:fldChar w:fldCharType="begin"/>
            </w:r>
            <w:r w:rsidRPr="7DE368DD">
              <w:rPr>
                <w:rFonts w:ascii="Calibri" w:hAnsi="Calibri" w:cs="Calibri"/>
              </w:rPr>
              <w:instrText xml:space="preserve"> ADDIN ZOTERO_ITEM CSL_CITATION {"citationID":"wdyNcVPZ","properties":{"formattedCitation":"(Kirschner and Hendrick 2020)","plainCitation":"(Kirschner and Hendrick 2020)","noteIndex":0},"citationItems":[{"id":91,"uris":["http://zotero.org/users/10928664/items/PC5BCL9L"],"itemData":{"id":91,"type":"book","abstract":"How Learning Happens introduces 28 giants of educational research and their findings on how we learn and what we need to learn effectively, efficiently, and enjoyably. Many of these works have inspired researchers and teachers all around the world and have left a mark on how we teach today. \nExploring 28 key works on learning and teaching, chosen from the fields of educational psychology and cognitive psychology, the book offers a roadmap of the most important discoveries in how learning happens. Each chapter examines a different work and explains its significance before describing the research, its implications for practice, how it can be used in the classroom and the key takeaways for teachers. Clearly divided into six sections, the book covers: \n\n\nHow the brain works and what this means for learning and teaching \n\n\nPrerequisites for learning \n\n\nHow learning can be supported\n\n\nTeacher activities \n\n\nLearning in context\n\n\nCautionary tales and the ten deadly sins of education.\n\nWritten by two leading experts and illustrated by Oliver Caviglioli, this is essential reading for teachers wanting to fully engage with and understand educational research as well as undergraduate students in the fields of education, educational psychology and the learning sciences.","event-place":"London","ISBN":"978-0-429-06152-3","note":"DOI: 10.4324/9780429061523","number-of-pages":"328","publisher":"Routledge","publisher-place":"London","title":"How Learning Happens: Seminal Works in Educational Psychology and What They Mean in Practice","author":[{"family":"Kirschner","given":"Paul"},{"family":"Hendrick","given":"Carl"}],"issued":{"date-parts":[["2020",3,4]]}}}],"schema":"https://github.com/citation-style-language/schema/raw/master/csl-citation.json"} </w:instrText>
            </w:r>
            <w:r w:rsidRPr="7DE368DD">
              <w:rPr>
                <w:rFonts w:ascii="Calibri" w:hAnsi="Calibri" w:cs="Calibri"/>
                <w:color w:val="2B579A"/>
              </w:rPr>
              <w:fldChar w:fldCharType="separate"/>
            </w:r>
            <w:r w:rsidRPr="7DE368DD">
              <w:rPr>
                <w:rFonts w:ascii="Calibri" w:hAnsi="Calibri" w:cs="Calibri"/>
              </w:rPr>
              <w:t>(Kirschner and Hendrick 2020)</w:t>
            </w:r>
            <w:r w:rsidRPr="7DE368DD">
              <w:rPr>
                <w:rFonts w:ascii="Calibri" w:hAnsi="Calibri" w:cs="Calibri"/>
                <w:color w:val="2B579A"/>
              </w:rPr>
              <w:fldChar w:fldCharType="end"/>
            </w:r>
            <w:r w:rsidRPr="7DE368DD">
              <w:rPr>
                <w:rFonts w:ascii="Calibri" w:hAnsi="Calibri" w:cs="Calibri"/>
              </w:rPr>
              <w:t>. Exploring 28 key works on learning and teaching, chosen from the fields of educational psychology and cognitive psychology, the book offers a roadmap of the most important discoveries in how learning happens.</w:t>
            </w:r>
          </w:p>
        </w:tc>
      </w:tr>
    </w:tbl>
    <w:p w14:paraId="7737B674" w14:textId="2F162589" w:rsidR="00C139C0" w:rsidRPr="00D5538B" w:rsidRDefault="00C139C0" w:rsidP="169B7124">
      <w:pPr>
        <w:keepNext/>
        <w:spacing w:after="0" w:line="240" w:lineRule="auto"/>
        <w:rPr>
          <w:rFonts w:ascii="Calibri" w:hAnsi="Calibri" w:cs="Calibri"/>
          <w:b/>
          <w:color w:val="000000" w:themeColor="text1"/>
          <w:sz w:val="24"/>
          <w:szCs w:val="24"/>
          <w:lang w:eastAsia="en-AU"/>
        </w:rPr>
      </w:pPr>
    </w:p>
    <w:p w14:paraId="1DD3616B" w14:textId="13B4384E" w:rsidR="00C139C0" w:rsidRPr="00597633" w:rsidRDefault="00C139C0" w:rsidP="00597633">
      <w:pPr>
        <w:spacing w:after="0" w:line="240" w:lineRule="auto"/>
        <w:rPr>
          <w:rFonts w:ascii="Calibri" w:hAnsi="Calibri" w:cs="Calibri"/>
          <w:b/>
          <w:sz w:val="26"/>
          <w:szCs w:val="26"/>
        </w:rPr>
      </w:pPr>
      <w:r w:rsidRPr="00597633">
        <w:rPr>
          <w:rFonts w:ascii="Calibri" w:hAnsi="Calibri" w:cs="Calibri"/>
          <w:b/>
          <w:sz w:val="26"/>
          <w:szCs w:val="26"/>
        </w:rPr>
        <w:t xml:space="preserve">What should </w:t>
      </w:r>
      <w:r w:rsidR="003F6386" w:rsidRPr="00597633">
        <w:rPr>
          <w:rFonts w:ascii="Calibri" w:hAnsi="Calibri" w:cs="Calibri"/>
          <w:b/>
          <w:sz w:val="26"/>
          <w:szCs w:val="26"/>
        </w:rPr>
        <w:t>ITE students</w:t>
      </w:r>
      <w:r w:rsidRPr="00597633">
        <w:rPr>
          <w:rFonts w:ascii="Calibri" w:hAnsi="Calibri" w:cs="Calibri"/>
          <w:b/>
          <w:sz w:val="26"/>
          <w:szCs w:val="26"/>
        </w:rPr>
        <w:t xml:space="preserve"> learn</w:t>
      </w:r>
      <w:r w:rsidR="00771BDF" w:rsidRPr="00597633">
        <w:rPr>
          <w:rFonts w:ascii="Calibri" w:hAnsi="Calibri" w:cs="Calibri"/>
          <w:b/>
          <w:sz w:val="26"/>
          <w:szCs w:val="26"/>
        </w:rPr>
        <w:t xml:space="preserve"> in this </w:t>
      </w:r>
      <w:r w:rsidR="79D17030" w:rsidRPr="77E28D9D">
        <w:rPr>
          <w:rFonts w:ascii="Calibri" w:hAnsi="Calibri" w:cs="Calibri"/>
          <w:b/>
          <w:bCs/>
          <w:sz w:val="26"/>
          <w:szCs w:val="26"/>
        </w:rPr>
        <w:t>domain</w:t>
      </w:r>
      <w:r w:rsidRPr="00597633">
        <w:rPr>
          <w:rFonts w:ascii="Calibri" w:hAnsi="Calibri" w:cs="Calibri"/>
          <w:b/>
          <w:sz w:val="26"/>
          <w:szCs w:val="26"/>
        </w:rPr>
        <w:t xml:space="preserve">? </w:t>
      </w:r>
    </w:p>
    <w:p w14:paraId="514CFFB8" w14:textId="77777777" w:rsidR="00C139C0" w:rsidRPr="00497B48" w:rsidRDefault="00C139C0" w:rsidP="00C139C0">
      <w:pPr>
        <w:spacing w:after="120" w:line="240" w:lineRule="auto"/>
      </w:pPr>
      <w:r w:rsidRPr="00497B48">
        <w:t>Cognitive science content on how the brain learns is crucial foundational knowledge</w:t>
      </w:r>
      <w:r>
        <w:t xml:space="preserve"> needed to</w:t>
      </w:r>
      <w:r w:rsidRPr="00497B48">
        <w:t xml:space="preserve"> support teachers to make informed, real-time decisions in applying the most effective teaching practices. The fields of neuroscience and psychology have made rapid advancements in the past two decades, amplifying knowledge about learning processes, brain function and the implications for teaching. For teachers to be able to deploy the most effective practice in response to a learner, they require a strong foundation of </w:t>
      </w:r>
      <w:r w:rsidRPr="00497B48">
        <w:rPr>
          <w:i/>
          <w:iCs/>
        </w:rPr>
        <w:t xml:space="preserve">why </w:t>
      </w:r>
      <w:r w:rsidRPr="00497B48">
        <w:t xml:space="preserve">those practices are effective in terms of </w:t>
      </w:r>
      <w:r>
        <w:t>a</w:t>
      </w:r>
      <w:r w:rsidRPr="00497B48">
        <w:t xml:space="preserve"> learner’s brain. </w:t>
      </w:r>
    </w:p>
    <w:p w14:paraId="11FB0904" w14:textId="5F0C2B11" w:rsidR="00C139C0" w:rsidRPr="00497B48" w:rsidRDefault="00C139C0" w:rsidP="0057706B">
      <w:pPr>
        <w:spacing w:after="120" w:line="240" w:lineRule="auto"/>
      </w:pPr>
      <w:r w:rsidRPr="00497B48">
        <w:lastRenderedPageBreak/>
        <w:t>This content has been structured into three key areas that teachers need to know and is sequenced in line with the process of knowledge acquisition and mastery in the learner’s brain</w:t>
      </w:r>
      <w:r>
        <w:t>, as follows</w:t>
      </w:r>
      <w:r w:rsidR="00AA45C1">
        <w:t>.</w:t>
      </w:r>
    </w:p>
    <w:p w14:paraId="6695A9C1" w14:textId="77777777" w:rsidR="00C139C0" w:rsidRPr="00141ACC" w:rsidRDefault="00C139C0" w:rsidP="00D5108D">
      <w:pPr>
        <w:pStyle w:val="ListParagraph"/>
        <w:numPr>
          <w:ilvl w:val="0"/>
          <w:numId w:val="39"/>
        </w:numPr>
        <w:rPr>
          <w:b/>
        </w:rPr>
      </w:pPr>
      <w:r w:rsidRPr="00141ACC">
        <w:rPr>
          <w:b/>
        </w:rPr>
        <w:t>Novice vs expert learners</w:t>
      </w:r>
    </w:p>
    <w:p w14:paraId="169E4003" w14:textId="77777777" w:rsidR="00C139C0" w:rsidRPr="00497B48" w:rsidRDefault="00C139C0" w:rsidP="00AF6CD9">
      <w:pPr>
        <w:spacing w:after="120" w:line="240" w:lineRule="auto"/>
      </w:pPr>
      <w:r w:rsidRPr="00497B48">
        <w:t>Preparing to teach school-aged students is to prepare to teach novice learners, that is, learners who experience information as new. This is an important distinction for teachers to understand and address</w:t>
      </w:r>
      <w:r>
        <w:t>,</w:t>
      </w:r>
      <w:r w:rsidRPr="00497B48">
        <w:t xml:space="preserve"> as the brain of a </w:t>
      </w:r>
      <w:r>
        <w:t>‘</w:t>
      </w:r>
      <w:r w:rsidRPr="00497B48">
        <w:t>novice</w:t>
      </w:r>
      <w:r>
        <w:t>’</w:t>
      </w:r>
      <w:r w:rsidRPr="00497B48">
        <w:t xml:space="preserve"> processes information differently from the brain of an </w:t>
      </w:r>
      <w:r>
        <w:t>‘</w:t>
      </w:r>
      <w:r w:rsidRPr="00497B48">
        <w:t>expert</w:t>
      </w:r>
      <w:r>
        <w:t>’</w:t>
      </w:r>
      <w:r w:rsidRPr="00497B48">
        <w:t>, even when they are exposed to the same information. Things that novices see as separate pieces of information, experts see as an organised set of facts (or a schema).</w:t>
      </w:r>
    </w:p>
    <w:p w14:paraId="500A5FF9" w14:textId="79525392" w:rsidR="00C139C0" w:rsidRPr="00CE66BF" w:rsidRDefault="00C139C0" w:rsidP="0057706B">
      <w:pPr>
        <w:spacing w:after="120" w:line="240" w:lineRule="auto"/>
      </w:pPr>
      <w:r w:rsidRPr="00497B48">
        <w:t>It takes more time for novices to master new information than experts because novices first need to build the mental models of understanding that experts already have. Once those schema</w:t>
      </w:r>
      <w:r w:rsidR="00BF499B">
        <w:t>s</w:t>
      </w:r>
      <w:r w:rsidRPr="00497B48">
        <w:t xml:space="preserve"> are in place, a student can start to move from understanding what they are learning as isolated facts to seeing how and why those pieces of information connect, and what relationships exist between them (Kirschner and Hendrick 2020). This allows for more efficient, effective, deeper learning of more complex information (Kirschner and Hendrick 2020; Willingham 2021). Understanding how a student’s brain moves from being a novice to an expert when learning new information will support teachers to tailor and target instruction appropriately. For example, a self-directed approach is not an effective or efficient starting point for novices to support the acquisition of new information.</w:t>
      </w:r>
    </w:p>
    <w:p w14:paraId="3910A5BB" w14:textId="77777777" w:rsidR="00C139C0" w:rsidRPr="00141ACC" w:rsidRDefault="00C139C0" w:rsidP="00D5108D">
      <w:pPr>
        <w:pStyle w:val="ListParagraph"/>
        <w:numPr>
          <w:ilvl w:val="0"/>
          <w:numId w:val="39"/>
        </w:numPr>
        <w:rPr>
          <w:sz w:val="26"/>
          <w:szCs w:val="26"/>
        </w:rPr>
      </w:pPr>
      <w:r w:rsidRPr="00141ACC">
        <w:rPr>
          <w:b/>
        </w:rPr>
        <w:t>How the brain learns and retains information</w:t>
      </w:r>
    </w:p>
    <w:p w14:paraId="4EB2BB58" w14:textId="77777777" w:rsidR="00C139C0" w:rsidRPr="00497B48" w:rsidRDefault="00C139C0" w:rsidP="00642607">
      <w:pPr>
        <w:spacing w:after="120" w:line="240" w:lineRule="auto"/>
      </w:pPr>
      <w:r w:rsidRPr="00497B48">
        <w:t xml:space="preserve">The human brain has a unique cognitive architecture that includes aspects directly related to the way we learn. Aspects such as working memory, long-term memory and cognitive load perform essential functions in the process of learning and retaining new information </w:t>
      </w:r>
      <w:r w:rsidRPr="4E2AAAA3">
        <w:rPr>
          <w:color w:val="2B579A"/>
        </w:rPr>
        <w:fldChar w:fldCharType="begin"/>
      </w:r>
      <w:r w:rsidRPr="00497B48">
        <w:instrText xml:space="preserve"> ADDIN ZOTERO_ITEM CSL_CITATION {"citationID":"fX9QTDzS","properties":{"formattedCitation":"(Sweller 2016)","plainCitation":"(Sweller 2016)","noteIndex":0},"citationItems":[{"id":5392,"uris":["http://zotero.org/users/10928664/items/I5S9GLMF"],"itemData":{"id":5392,"type":"article-journal","abstract":"Cognitive load theory is used to design instruction. Several aspects of human cognition are critical to instructional design. First, the theory assumes we have not specifically evolved to learn the topics taught in educational and training institutions. Second, these topics require learners to acquire domain-specific rather than generic–cognitive knowledge. Third, while generic–cognitive knowledge does not require explicit instruction because we have evolved to acquire it, domain-specific concepts and skills do require explicit instruction. These factors interact with the capacity and duration constraints of working memory to delineate a cognitive architecture relevant to instructional design. The working memory limits do not apply to biologically primary, generic–cognitive knowledge acquired without explicit instruction but do apply to biologically secondary, domain-specific knowledge that requires explicit instruction. Accordingly, cognitive load theory has been developed to provide techniques that reduce unnecessary working memory load when dealing with explicitly taught, biologically secondary, domain-specific knowledge. (PsycInfo Database Record (c) 2022 APA, all rights reserved)","container-title":"Journal of Applied Research in Memory and Cognition","DOI":"10.1016/j.jarmac.2015.12.002","ISSN":"2211-369X","note":"publisher-place: Netherlands\npublisher: Elsevier Science","page":"360-367","source":"APA PsycNet","title":"Working memory, long-term memory, and instructional design","volume":"5","author":[{"family":"Sweller","given":"John"}],"issued":{"date-parts":[["2016"]]}}}],"schema":"https://github.com/citation-style-language/schema/raw/master/csl-citation.json"} </w:instrText>
      </w:r>
      <w:r w:rsidRPr="4E2AAAA3">
        <w:rPr>
          <w:color w:val="2B579A"/>
        </w:rPr>
        <w:fldChar w:fldCharType="separate"/>
      </w:r>
      <w:r w:rsidRPr="00497B48">
        <w:t>(Sweller 2016)</w:t>
      </w:r>
      <w:r w:rsidRPr="4E2AAAA3">
        <w:rPr>
          <w:color w:val="2B579A"/>
        </w:rPr>
        <w:fldChar w:fldCharType="end"/>
      </w:r>
      <w:r w:rsidRPr="00497B48">
        <w:t xml:space="preserve">. Teachers should develop a strong understanding of the cognitive process of learning including </w:t>
      </w:r>
      <w:r w:rsidRPr="00497B48">
        <w:rPr>
          <w:i/>
          <w:iCs/>
        </w:rPr>
        <w:t xml:space="preserve">how </w:t>
      </w:r>
      <w:r w:rsidRPr="00497B48">
        <w:t xml:space="preserve">the human brain moves information into long-term memory, potential barriers to the acquisition of knowledge and how to teach to optimise this process. </w:t>
      </w:r>
    </w:p>
    <w:p w14:paraId="39C9F297" w14:textId="39B2A34C" w:rsidR="00C139C0" w:rsidRPr="00497B48" w:rsidRDefault="00C139C0" w:rsidP="00642607">
      <w:pPr>
        <w:spacing w:after="120" w:line="240" w:lineRule="auto"/>
      </w:pPr>
      <w:r w:rsidRPr="00497B48">
        <w:t>Research in cognitive science shows that learning involves processing new information through working memory and moving it to long-term memory where it can later be retrieved and used. Working memory has limits and can only process information while it is being thought about and focused</w:t>
      </w:r>
      <w:r w:rsidR="00123B02">
        <w:t xml:space="preserve"> on</w:t>
      </w:r>
      <w:r w:rsidRPr="00497B48">
        <w:t>. The volume of new information and retrieval of existing information while making sense of a new concept or idea can overload working memory</w:t>
      </w:r>
      <w:r>
        <w:t xml:space="preserve"> known as</w:t>
      </w:r>
      <w:r w:rsidRPr="00497B48">
        <w:t xml:space="preserve"> </w:t>
      </w:r>
      <w:r>
        <w:t>‘</w:t>
      </w:r>
      <w:r w:rsidRPr="00497B48">
        <w:t>cognitive overload</w:t>
      </w:r>
      <w:r>
        <w:t>’</w:t>
      </w:r>
      <w:r w:rsidRPr="00497B48">
        <w:t xml:space="preserve">, and risk being misunderstood or forgotten </w:t>
      </w:r>
      <w:r w:rsidRPr="4E2AAAA3">
        <w:rPr>
          <w:color w:val="2B579A"/>
        </w:rPr>
        <w:fldChar w:fldCharType="begin"/>
      </w:r>
      <w:r w:rsidRPr="00497B48">
        <w:instrText xml:space="preserve"> ADDIN ZOTERO_ITEM CSL_CITATION {"citationID":"XHP8YRO0","properties":{"formattedCitation":"(Chen et al. 2018)","plainCitation":"(Chen et al. 2018)","noteIndex":0},"citationItems":[{"id":7575,"uris":["http://zotero.org/groups/3204312/items/HI6JT3HP"],"itemData":{"id":7575,"type":"article-journal","abstract":"Depletion of limited working memory resources may occur following extensive mental effort resulting in decreased performance compared to conditions requiring less extensive mental effort. This “depletion effect” can be incorporated into cognitive load theory that is concerned with using the properties of human cognitive architecture, especially working memory, when designing instruction. Two experiments were carried out on the spacing effect that occurs when learning that is spaced by temporal gaps between learning episodes is superior to identical, massed learning with no gaps between learning episodes. Using primary school students learning mathematics, it was found that students obtained lower scores on a working memory capacity test (Experiments 1 and 2) and higher ratings of cognitive load (Experiment 2) after massed than after spaced practice. The reduction in working memory capacity may be attributed to working memory resource depletion following the relatively prolonged mental effort associated with massed compared to spaced practice. An expansion of cognitive load theory to incorporate working memory resource depletion along with instructional design implications, including the spacing effect, is discussed.","container-title":"Educational Psychology Review","DOI":"10.1007/s10648-017-9426-2","ISSN":"1040726X","issue":"2","page":"483-501","source":"EBSCOhost","title":"Extending Cognitive Load Theory to Incorporate Working Memory Resource Depletion: Evidence from the Spacing Effect","title-short":"Extending Cognitive Load Theory to Incorporate Working Memory Resource Depletion","volume":"30","author":[{"family":"Chen","given":"Ouhao"},{"family":"Castro-Alonso","given":"Juan C."},{"family":"Paas","given":"Fred"},{"family":"Sweller","given":"John"}],"issued":{"date-parts":[["2018",6]]}}}],"schema":"https://github.com/citation-style-language/schema/raw/master/csl-citation.json"} </w:instrText>
      </w:r>
      <w:r w:rsidRPr="4E2AAAA3">
        <w:rPr>
          <w:color w:val="2B579A"/>
        </w:rPr>
        <w:fldChar w:fldCharType="separate"/>
      </w:r>
      <w:r w:rsidRPr="00497B48">
        <w:t>(Chen et al</w:t>
      </w:r>
      <w:r w:rsidR="00AE29D0">
        <w:t>.</w:t>
      </w:r>
      <w:r w:rsidRPr="00497B48">
        <w:t xml:space="preserve"> 2018)</w:t>
      </w:r>
      <w:r w:rsidRPr="4E2AAAA3">
        <w:rPr>
          <w:color w:val="2B579A"/>
        </w:rPr>
        <w:fldChar w:fldCharType="end"/>
      </w:r>
      <w:r w:rsidRPr="00497B48">
        <w:t xml:space="preserve">. </w:t>
      </w:r>
    </w:p>
    <w:p w14:paraId="136C599C" w14:textId="28BBACD6" w:rsidR="00C139C0" w:rsidRPr="00497B48" w:rsidRDefault="00C139C0" w:rsidP="00642607">
      <w:pPr>
        <w:spacing w:after="120" w:line="240" w:lineRule="auto"/>
      </w:pPr>
      <w:r w:rsidRPr="00497B48">
        <w:t xml:space="preserve">Teachers should know that a lack of explicit instruction can lead to cognitive overload. When minimal guidance is provided and students are completing new tasks or identifying new learning by themselves, without prior instruction or scaffolding from their teacher, their attention is focused on the process and goal of completing the task, rather than thinking about the new learning and moving it to long-term memory </w:t>
      </w:r>
      <w:r w:rsidRPr="4E2AAAA3">
        <w:rPr>
          <w:color w:val="2B579A"/>
        </w:rPr>
        <w:fldChar w:fldCharType="begin"/>
      </w:r>
      <w:r w:rsidRPr="00497B48">
        <w:instrText xml:space="preserve"> ADDIN ZOTERO_ITEM CSL_CITATION {"citationID":"g5F65LNs","properties":{"formattedCitation":"(Centre for Education Statistics and Evaluation 2017)","plainCitation":"(Centre for Education Statistics and Evaluation 2017)","noteIndex":0},"citationItems":[{"id":7593,"uris":["http://zotero.org/groups/3204312/items/96AMV8NA"],"itemData":{"id":7593,"type":"webpage","title":"Cognitive load theory","URL":"https://education.nsw.gov.au/content/dam/main-education/about-us/educational-data/cese/2017-cognitive-load-theory-summary.pdf","author":[{"family":"Centre for Education Statistics and Evaluation","given":""}],"accessed":{"date-parts":[["2022",12,6]]},"issued":{"date-parts":[["2017"]]}}}],"schema":"https://github.com/citation-style-language/schema/raw/master/csl-citation.json"} </w:instrText>
      </w:r>
      <w:r w:rsidRPr="4E2AAAA3">
        <w:rPr>
          <w:color w:val="2B579A"/>
        </w:rPr>
        <w:fldChar w:fldCharType="separate"/>
      </w:r>
      <w:r w:rsidRPr="00497B48">
        <w:t>(</w:t>
      </w:r>
      <w:r w:rsidR="003C3DC8">
        <w:t>CESE</w:t>
      </w:r>
      <w:r w:rsidRPr="00497B48">
        <w:t xml:space="preserve"> 2017)</w:t>
      </w:r>
      <w:r w:rsidRPr="4E2AAAA3">
        <w:rPr>
          <w:color w:val="2B579A"/>
        </w:rPr>
        <w:fldChar w:fldCharType="end"/>
      </w:r>
      <w:r w:rsidRPr="00497B48">
        <w:t xml:space="preserve">. </w:t>
      </w:r>
    </w:p>
    <w:p w14:paraId="3EB6657A" w14:textId="42E26170" w:rsidR="00C139C0" w:rsidRPr="00497B48" w:rsidRDefault="00C139C0" w:rsidP="00634978">
      <w:pPr>
        <w:spacing w:after="120" w:line="240" w:lineRule="auto"/>
      </w:pPr>
      <w:r w:rsidRPr="00497B48">
        <w:t xml:space="preserve">Complex instruction can also lead to cognitive overload. Students do not learn efficiently if they are presented with additional information that is not directly relevant to their learning </w:t>
      </w:r>
      <w:r w:rsidRPr="4E2AAAA3">
        <w:rPr>
          <w:color w:val="2B579A"/>
        </w:rPr>
        <w:fldChar w:fldCharType="begin"/>
      </w:r>
      <w:r w:rsidRPr="00497B48">
        <w:instrText xml:space="preserve"> ADDIN ZOTERO_ITEM CSL_CITATION {"citationID":"A5WRV1Ly","properties":{"formattedCitation":"(Centre for Education Statistics and Evaluation 2017)","plainCitation":"(Centre for Education Statistics and Evaluation 2017)","noteIndex":0},"citationItems":[{"id":7593,"uris":["http://zotero.org/groups/3204312/items/96AMV8NA"],"itemData":{"id":7593,"type":"webpage","title":"Cognitive load theory","URL":"https://education.nsw.gov.au/content/dam/main-education/about-us/educational-data/cese/2017-cognitive-load-theory-summary.pdf","author":[{"family":"Centre for Education Statistics and Evaluation","given":""}],"accessed":{"date-parts":[["2022",12,6]]},"issued":{"date-parts":[["2017"]]}}}],"schema":"https://github.com/citation-style-language/schema/raw/master/csl-citation.json"} </w:instrText>
      </w:r>
      <w:r w:rsidRPr="4E2AAAA3">
        <w:rPr>
          <w:color w:val="2B579A"/>
        </w:rPr>
        <w:fldChar w:fldCharType="separate"/>
      </w:r>
      <w:r w:rsidRPr="00497B48">
        <w:t>(</w:t>
      </w:r>
      <w:r w:rsidR="003C3DC8">
        <w:t>CESE</w:t>
      </w:r>
      <w:r w:rsidRPr="00497B48">
        <w:t xml:space="preserve"> 2017)</w:t>
      </w:r>
      <w:r w:rsidRPr="4E2AAAA3">
        <w:rPr>
          <w:color w:val="2B579A"/>
        </w:rPr>
        <w:fldChar w:fldCharType="end"/>
      </w:r>
      <w:r w:rsidRPr="00497B48">
        <w:t xml:space="preserve">. A high cognitive load is also placed on students’ working memory when they must process two or more new pieces of information at once </w:t>
      </w:r>
      <w:r w:rsidRPr="4E2AAAA3">
        <w:rPr>
          <w:color w:val="2B579A"/>
        </w:rPr>
        <w:fldChar w:fldCharType="begin"/>
      </w:r>
      <w:r w:rsidRPr="00497B48">
        <w:instrText xml:space="preserve"> ADDIN ZOTERO_ITEM CSL_CITATION {"citationID":"C1YI9Cj5","properties":{"formattedCitation":"(Chen et al. 2018)","plainCitation":"(Chen et al. 2018)","noteIndex":0},"citationItems":[{"id":7575,"uris":["http://zotero.org/groups/3204312/items/HI6JT3HP"],"itemData":{"id":7575,"type":"article-journal","abstract":"Depletion of limited working memory resources may occur following extensive mental effort resulting in decreased performance compared to conditions requiring less extensive mental effort. This “depletion effect” can be incorporated into cognitive load theory that is concerned with using the properties of human cognitive architecture, especially working memory, when designing instruction. Two experiments were carried out on the spacing effect that occurs when learning that is spaced by temporal gaps between learning episodes is superior to identical, massed learning with no gaps between learning episodes. Using primary school students learning mathematics, it was found that students obtained lower scores on a working memory capacity test (Experiments 1 and 2) and higher ratings of cognitive load (Experiment 2) after massed than after spaced practice. The reduction in working memory capacity may be attributed to working memory resource depletion following the relatively prolonged mental effort associated with massed compared to spaced practice. An expansion of cognitive load theory to incorporate working memory resource depletion along with instructional design implications, including the spacing effect, is discussed.","container-title":"Educational Psychology Review","DOI":"10.1007/s10648-017-9426-2","ISSN":"1040726X","issue":"2","page":"483-501","source":"EBSCOhost","title":"Extending Cognitive Load Theory to Incorporate Working Memory Resource Depletion: Evidence from the Spacing Effect","title-short":"Extending Cognitive Load Theory to Incorporate Working Memory Resource Depletion","volume":"30","author":[{"family":"Chen","given":"Ouhao"},{"family":"Castro-Alonso","given":"Juan C."},{"family":"Paas","given":"Fred"},{"family":"Sweller","given":"John"}],"issued":{"date-parts":[["2018",6]]}}}],"schema":"https://github.com/citation-style-language/schema/raw/master/csl-citation.json"} </w:instrText>
      </w:r>
      <w:r w:rsidRPr="4E2AAAA3">
        <w:rPr>
          <w:color w:val="2B579A"/>
        </w:rPr>
        <w:fldChar w:fldCharType="separate"/>
      </w:r>
      <w:r w:rsidRPr="00497B48">
        <w:t>(Chen et al. 2018)</w:t>
      </w:r>
      <w:r w:rsidRPr="4E2AAAA3">
        <w:rPr>
          <w:color w:val="2B579A"/>
        </w:rPr>
        <w:fldChar w:fldCharType="end"/>
      </w:r>
      <w:r w:rsidRPr="00497B48">
        <w:t xml:space="preserve">. </w:t>
      </w:r>
    </w:p>
    <w:p w14:paraId="765FCECF" w14:textId="77777777" w:rsidR="00C139C0" w:rsidRPr="00497B48" w:rsidRDefault="00C139C0" w:rsidP="0006735E">
      <w:pPr>
        <w:spacing w:after="120" w:line="240" w:lineRule="auto"/>
      </w:pPr>
      <w:r w:rsidRPr="00497B48">
        <w:t xml:space="preserve">Recognising the limits of the human brain in learning new information helps teachers to structure learning tasks so that students can most efficiently connect new information with prior knowledge to develop understanding and skills. For example, the limits of working memory explain why breaking down and sequencing limited amounts of new information will support effective learning </w:t>
      </w:r>
      <w:r w:rsidRPr="00497B48">
        <w:rPr>
          <w:color w:val="2B579A"/>
          <w:shd w:val="clear" w:color="auto" w:fill="E6E6E6"/>
        </w:rPr>
        <w:fldChar w:fldCharType="begin"/>
      </w:r>
      <w:r w:rsidRPr="00497B48">
        <w:instrText xml:space="preserve"> ADDIN ZOTERO_ITEM CSL_CITATION {"citationID":"5vrpatF6","properties":{"formattedCitation":"(Rosenshine 2012)","plainCitation":"(Rosenshine 2012)","noteIndex":0},"citationItems":[{"id":7,"uris":["http://zotero.org/users/10928664/items/S68M3N38"],"itemData":{"id":7,"type":"article-journal","abstract":"This article presents 10 research-based principles of instruction, along with suggestions for classroom practice. These principles come from three sources: (a) research in cognitive science, (b) research on master teachers, and (c) research on cognitive supports. Each is briefly explained in this article. Even though these are three very different bodies of research, there is \"no conflict at all\" between the instructional suggestions that come from each of these three sources. In other words, these three sources supplement and complement each other. The fact that the instructional ideas from three different sources supplement and complement each other gives teachers faith in the validity of these findings. (Contains 14 endnotes.)","container-title":"American Educator","ISSN":"0148-432X","issue":"1","language":"en","note":"publisher: American Federation of Teachers\nERIC Number: EJ971753","page":"12","source":"ERIC","title":"Principles of Instruction: Research-Based Strategies That All Teachers Should Know","title-short":"Principles of Instruction","volume":"36","author":[{"family":"Rosenshine","given":"Barak"}],"issued":{"date-parts":[["2012"]]}}}],"schema":"https://github.com/citation-style-language/schema/raw/master/csl-citation.json"} </w:instrText>
      </w:r>
      <w:r w:rsidRPr="00497B48">
        <w:rPr>
          <w:color w:val="2B579A"/>
          <w:shd w:val="clear" w:color="auto" w:fill="E6E6E6"/>
        </w:rPr>
        <w:fldChar w:fldCharType="separate"/>
      </w:r>
      <w:r w:rsidRPr="00497B48">
        <w:t>(Rosenshine 2012)</w:t>
      </w:r>
      <w:r w:rsidRPr="00497B48">
        <w:rPr>
          <w:color w:val="2B579A"/>
          <w:shd w:val="clear" w:color="auto" w:fill="E6E6E6"/>
        </w:rPr>
        <w:fldChar w:fldCharType="end"/>
      </w:r>
      <w:r w:rsidRPr="00497B48">
        <w:t>.</w:t>
      </w:r>
    </w:p>
    <w:p w14:paraId="548DE511" w14:textId="77777777" w:rsidR="00C139C0" w:rsidRPr="00141ACC" w:rsidRDefault="00C139C0" w:rsidP="00D5108D">
      <w:pPr>
        <w:pStyle w:val="ListParagraph"/>
        <w:keepNext/>
        <w:numPr>
          <w:ilvl w:val="0"/>
          <w:numId w:val="39"/>
        </w:numPr>
        <w:rPr>
          <w:b/>
        </w:rPr>
      </w:pPr>
      <w:r w:rsidRPr="00141ACC">
        <w:rPr>
          <w:b/>
        </w:rPr>
        <w:t xml:space="preserve">How the brain masters knowledge </w:t>
      </w:r>
    </w:p>
    <w:p w14:paraId="62999F68" w14:textId="77777777" w:rsidR="00C139C0" w:rsidRPr="00497B48" w:rsidRDefault="00C139C0" w:rsidP="0057706B">
      <w:pPr>
        <w:keepNext/>
        <w:spacing w:after="120" w:line="240" w:lineRule="auto"/>
      </w:pPr>
      <w:r w:rsidRPr="00497B48">
        <w:t xml:space="preserve">An essential component of effective learning is for students to move beyond information retention and be able to apply knowledge to increasingly complex and unfamiliar contexts. Teachers should understand the process that occurs in a student’s brain as they progress towards mastery and know </w:t>
      </w:r>
      <w:r w:rsidRPr="00497B48">
        <w:lastRenderedPageBreak/>
        <w:t xml:space="preserve">how to adjust their practice to support this process. When students initially attain a level of expertise in the background knowledge of a subject, they can practise and extend their learning effectively through independent problem-solving </w:t>
      </w:r>
      <w:r w:rsidRPr="00FF633E">
        <w:fldChar w:fldCharType="begin"/>
      </w:r>
      <w:r w:rsidRPr="00497B48">
        <w:instrText xml:space="preserve"> ADDIN ZOTERO_ITEM CSL_CITATION {"citationID":"CLiwU7Tp","properties":{"formattedCitation":"(Sweller 2021)","plainCitation":"(Sweller 2021)","noteIndex":0},"citationItems":[{"id":7587,"uris":["http://zotero.org/groups/3204312/items/6P6UF332"],"itemData":{"id":7587,"type":"report","event-place":"Sydney","language":"en","number":"Analysis Paper 24","page":"15","publisher":"Centre for Independent Studies","publisher-place":"Sydney","source":"Zotero","title":"Why Inquiry-based Approaches Harm Students’ Learning","URL":"https://www.cis.org.au/wp-content/uploads/2021/08/ap24.pdf","author":[{"family":"Sweller","given":"John"}],"issued":{"date-parts":[["2021"]]}}}],"schema":"https://github.com/citation-style-language/schema/raw/master/csl-citation.json"} </w:instrText>
      </w:r>
      <w:r w:rsidRPr="00FF633E">
        <w:fldChar w:fldCharType="separate"/>
      </w:r>
      <w:r w:rsidRPr="00497B48">
        <w:t>(Sweller 2021)</w:t>
      </w:r>
      <w:r w:rsidRPr="00FF633E">
        <w:fldChar w:fldCharType="end"/>
      </w:r>
      <w:r w:rsidRPr="00497B48">
        <w:t xml:space="preserve">. Once they have mastered a set of knowledge and built a mental model that connects relevant information, they are then able to apply their knowledge and skills to solve unfamiliar problems </w:t>
      </w:r>
      <w:r w:rsidRPr="00FF633E">
        <w:fldChar w:fldCharType="begin"/>
      </w:r>
      <w:r w:rsidRPr="00497B48">
        <w:instrText xml:space="preserve"> ADDIN ZOTERO_ITEM CSL_CITATION {"citationID":"Uxwk1VY9","properties":{"formattedCitation":"(Sweller 2016, 2021)","plainCitation":"(Sweller 2016, 2021)","noteIndex":0},"citationItems":[{"id":5392,"uris":["http://zotero.org/users/10928664/items/I5S9GLMF"],"itemData":{"id":5392,"type":"article-journal","abstract":"Cognitive load theory is used to design instruction. Several aspects of human cognition are critical to instructional design. First, the theory assumes we have not specifically evolved to learn the topics taught in educational and training institutions. Second, these topics require learners to acquire domain-specific rather than generic–cognitive knowledge. Third, while generic–cognitive knowledge does not require explicit instruction because we have evolved to acquire it, domain-specific concepts and skills do require explicit instruction. These factors interact with the capacity and duration constraints of working memory to delineate a cognitive architecture relevant to instructional design. The working memory limits do not apply to biologically primary, generic–cognitive knowledge acquired without explicit instruction but do apply to biologically secondary, domain-specific knowledge that requires explicit instruction. Accordingly, cognitive load theory has been developed to provide techniques that reduce unnecessary working memory load when dealing with explicitly taught, biologically secondary, domain-specific knowledge. (PsycInfo Database Record (c) 2022 APA, all rights reserved)","container-title":"Journal of Applied Research in Memory and Cognition","DOI":"10.1016/j.jarmac.2015.12.002","ISSN":"2211-369X","note":"publisher-place: Netherlands\npublisher: Elsevier Science","page":"360-367","source":"APA PsycNet","title":"Working memory, long-term memory, and instructional design","volume":"5","author":[{"family":"Sweller","given":"John"}],"issued":{"date-parts":[["2016"]]}}},{"id":7587,"uris":["http://zotero.org/groups/3204312/items/6P6UF332"],"itemData":{"id":7587,"type":"report","event-place":"Sydney","language":"en","number":"Analysis Paper 24","page":"15","publisher":"Centre for Independent Studies","publisher-place":"Sydney","source":"Zotero","title":"Why Inquiry-based Approaches Harm Students’ Learning","URL":"https://www.cis.org.au/wp-content/uploads/2021/08/ap24.pdf","author":[{"family":"Sweller","given":"John"}],"issued":{"date-parts":[["2021"]]}}}],"schema":"https://github.com/citation-style-language/schema/raw/master/csl-citation.json"} </w:instrText>
      </w:r>
      <w:r w:rsidRPr="00FF633E">
        <w:fldChar w:fldCharType="separate"/>
      </w:r>
      <w:r w:rsidRPr="00497B48">
        <w:t>(Sweller 2016, 2021)</w:t>
      </w:r>
      <w:r w:rsidRPr="00FF633E">
        <w:fldChar w:fldCharType="end"/>
      </w:r>
      <w:r w:rsidRPr="00497B48">
        <w:t>. For example, evidence shows that learning through worked examples is initially more effective, but as a student’s familiarity with the knowledge of a subject increase</w:t>
      </w:r>
      <w:r>
        <w:t>s</w:t>
      </w:r>
      <w:r w:rsidRPr="00497B48">
        <w:t xml:space="preserve">, then they learn more effectively through more challenging problem-solving </w:t>
      </w:r>
      <w:r w:rsidRPr="00FF633E">
        <w:fldChar w:fldCharType="begin"/>
      </w:r>
      <w:r w:rsidRPr="00497B48">
        <w:instrText xml:space="preserve"> ADDIN ZOTERO_ITEM CSL_CITATION {"citationID":"7LlNgiDc","properties":{"formattedCitation":"(Sweller 2021)","plainCitation":"(Sweller 2021)","noteIndex":0},"citationItems":[{"id":7587,"uris":["http://zotero.org/groups/3204312/items/6P6UF332"],"itemData":{"id":7587,"type":"report","event-place":"Sydney","language":"en","number":"Analysis Paper 24","page":"15","publisher":"Centre for Independent Studies","publisher-place":"Sydney","source":"Zotero","title":"Why Inquiry-based Approaches Harm Students’ Learning","URL":"https://www.cis.org.au/wp-content/uploads/2021/08/ap24.pdf","author":[{"family":"Sweller","given":"John"}],"issued":{"date-parts":[["2021"]]}}}],"schema":"https://github.com/citation-style-language/schema/raw/master/csl-citation.json"} </w:instrText>
      </w:r>
      <w:r w:rsidRPr="00FF633E">
        <w:fldChar w:fldCharType="separate"/>
      </w:r>
      <w:r w:rsidRPr="00497B48">
        <w:t>(Sweller 2021)</w:t>
      </w:r>
      <w:r w:rsidRPr="00FF633E">
        <w:fldChar w:fldCharType="end"/>
      </w:r>
      <w:r w:rsidRPr="00497B48">
        <w:t xml:space="preserve">. </w:t>
      </w:r>
    </w:p>
    <w:p w14:paraId="3A8537A4" w14:textId="77777777" w:rsidR="00C139C0" w:rsidRPr="00302790" w:rsidRDefault="00C139C0" w:rsidP="004B6560">
      <w:pPr>
        <w:spacing w:after="0" w:line="240" w:lineRule="auto"/>
        <w:rPr>
          <w:rFonts w:asciiTheme="majorHAnsi" w:eastAsia="Times New Roman" w:hAnsiTheme="majorHAnsi"/>
          <w:color w:val="002C3E" w:themeColor="background2"/>
          <w:lang w:eastAsia="en-AU"/>
        </w:rPr>
      </w:pPr>
      <w:r w:rsidRPr="00090AA1">
        <w:rPr>
          <w:b/>
          <w:sz w:val="24"/>
          <w:szCs w:val="24"/>
        </w:rPr>
        <w:t xml:space="preserve">A note on neuromyths </w:t>
      </w:r>
    </w:p>
    <w:p w14:paraId="23B466C5" w14:textId="01C0DB69" w:rsidR="00C139C0" w:rsidRPr="00497B48" w:rsidRDefault="00C139C0" w:rsidP="00634978">
      <w:pPr>
        <w:spacing w:after="120" w:line="240" w:lineRule="auto"/>
      </w:pPr>
      <w:r w:rsidRPr="00497B48">
        <w:t xml:space="preserve">The relationship between brain research and education has led to the development of neuromyths </w:t>
      </w:r>
      <w:r w:rsidRPr="4E2AAAA3">
        <w:rPr>
          <w:color w:val="2B579A"/>
        </w:rPr>
        <w:fldChar w:fldCharType="begin"/>
      </w:r>
      <w:r w:rsidRPr="00497B48">
        <w:instrText xml:space="preserve"> ADDIN ZOTERO_ITEM CSL_CITATION {"citationID":"V5osLOuX","properties":{"formattedCitation":"(Geake 2009; Sousa 2011)","plainCitation":"(Geake 2009; Sousa 2011)","noteIndex":0},"citationItems":[{"id":71,"uris":["http://zotero.org/users/10928664/items/5LM247GA"],"itemData":{"id":71,"type":"book","abstract":"This friendly book is jargon-free and no prior scientific knowledge is assumed of the reader. It is thought-provoking reading for practising teachers across all age ranges, trainee teachers, parents, head teachers, educational policymakers, academics and educational psychologists.","ISBN":"978-0-335-23421-9","language":"en","number-of-pages":"243","publisher":"McGraw-Hill Education (UK)","source":"Google Books","title":"The Brain At School: Educational Neuroscience In The Classroom: Educational Neuroscience in the Classroom","title-short":"The Brain At School","author":[{"family":"Geake","given":"John"}],"issued":{"date-parts":[["2009",8,1]]}}},{"id":78,"uris":["http://zotero.org/users/10928664/items/MCCJMZK9"],"itemData":{"id":78,"type":"article-journal","abstract":"Researchers have now acquired so much information about how the brain learns that a new academic discipline has been born, called \"educational neuroscience\" or \"mind, brain, and education science.\" This field explores how research findings from neuroscience, education, and psychology can inform our understandings about teaching and learning, and whether they have implications for educational practice. This interdisciplinary approach ensures that recommendations for applying these findings to instructional practices have a foundation in solid scientific research. It also ensures that teachers are working smarter, not harder. This article discusses some of those exciting applications.","container-title":"LEARNing Landscapes","DOI":"10.36510/learnland.v5i1.529","ISSN":"1913-5688","issue":"1","language":"en","note":"number: 1","page":"37-43","source":"www.learninglandscapes.ca","title":"Commentary: Mind, Brain, and Education: The Impact of Educational Neuroscience on the Science of Teaching","title-short":"Commentary","volume":"5","author":[{"family":"Sousa","given":"David A."}],"issued":{"date-parts":[["2011",5,1]]}}}],"schema":"https://github.com/citation-style-language/schema/raw/master/csl-citation.json"} </w:instrText>
      </w:r>
      <w:r w:rsidRPr="4E2AAAA3">
        <w:rPr>
          <w:color w:val="2B579A"/>
        </w:rPr>
        <w:fldChar w:fldCharType="separate"/>
      </w:r>
      <w:r w:rsidRPr="00497B48">
        <w:t>(Geake 2009; Sousa 2011)</w:t>
      </w:r>
      <w:r w:rsidRPr="4E2AAAA3">
        <w:rPr>
          <w:color w:val="2B579A"/>
        </w:rPr>
        <w:fldChar w:fldCharType="end"/>
      </w:r>
      <w:r w:rsidRPr="00497B48">
        <w:t xml:space="preserve">. </w:t>
      </w:r>
      <w:r>
        <w:t>The</w:t>
      </w:r>
      <w:r w:rsidRPr="00497B48">
        <w:t xml:space="preserve"> </w:t>
      </w:r>
      <w:r w:rsidRPr="4E2AAAA3">
        <w:rPr>
          <w:color w:val="2B579A"/>
        </w:rPr>
        <w:fldChar w:fldCharType="begin"/>
      </w:r>
      <w:r w:rsidRPr="00497B48">
        <w:instrText xml:space="preserve"> ADDIN ZOTERO_ITEM CSL_CITATION {"citationID":"FUWZp6ll","properties":{"formattedCitation":"(OECD 2002)","plainCitation":"(OECD 2002)","dontUpdate":true,"noteIndex":0},"citationItems":[{"id":77,"uris":["http://zotero.org/users/10928664/items/D5P23LGM"],"itemData":{"id":77,"type":"book","ISBN":"978-92-64-19734-3","language":"en","note":"DOI: 10.1787/9789264174986-en","publisher":"OECD","source":"DOI.org (Crossref)","title":"Understanding the Brain: Towards a New Learning Science","title-short":"Understanding the Brain","URL":"https://www.oecd-ilibrary.org/education/understanding-the-brain_9789264174986-en","author":[{"literal":"OECD"}],"accessed":{"date-parts":[["2023",1,17]]},"issued":{"date-parts":[["2002",9,4]]}}}],"schema":"https://github.com/citation-style-language/schema/raw/master/csl-citation.json"} </w:instrText>
      </w:r>
      <w:r w:rsidRPr="4E2AAAA3">
        <w:rPr>
          <w:color w:val="2B579A"/>
        </w:rPr>
        <w:fldChar w:fldCharType="separate"/>
      </w:r>
      <w:r w:rsidRPr="00497B48">
        <w:t>OECD (2002)</w:t>
      </w:r>
      <w:r w:rsidRPr="4E2AAAA3">
        <w:rPr>
          <w:color w:val="2B579A"/>
        </w:rPr>
        <w:fldChar w:fldCharType="end"/>
      </w:r>
      <w:r w:rsidRPr="00497B48">
        <w:t xml:space="preserve"> defined these neuromyths as “misconceptions generated by a misunderstanding, a misreading or a misquoting of facts scientifically established (by brain research) to make a case for use of brain research in education and other contexts” (p. 69). The prevalence of neuromyths around (a) left vs. right brain people, (b) the 10</w:t>
      </w:r>
      <w:r w:rsidR="00F057F7">
        <w:t xml:space="preserve"> per cent</w:t>
      </w:r>
      <w:r w:rsidRPr="00497B48">
        <w:t xml:space="preserve"> of the use of our brain, (c) visual, auditory, and kinaesthetic (VAK) learning styles, and (d) multiple intelligences have led to widespread misunderstanding of how the human brain learns, resulting in ineffective instruction </w:t>
      </w:r>
      <w:r w:rsidRPr="4E2AAAA3">
        <w:rPr>
          <w:color w:val="2B579A"/>
        </w:rPr>
        <w:fldChar w:fldCharType="begin"/>
      </w:r>
      <w:r w:rsidRPr="00497B48">
        <w:instrText xml:space="preserve"> ADDIN ZOTERO_ITEM CSL_CITATION {"citationID":"pxVxlzl0","properties":{"formattedCitation":"(Howard-Jones 2014)","plainCitation":"(Howard-Jones 2014)","noteIndex":0},"citationItems":[{"id":80,"uris":["http://zotero.org/users/10928664/items/7VZ2UNQT"],"itemData":{"id":80,"type":"article-journal","abstract":"Myths about the brain — neuromyths — have established themselves among teachers worldwide, often contributing to poor practice. Paul Howard-Jones shows how fact became distorted into popular neuromyth by biases and cultural conditions that largely remain, threatening current attempts at authentic dialogue between neuroscience and education.","container-title":"Nature Reviews Neuroscience","DOI":"10.1038/nrn3817","ISSN":"1471-0048","issue":"12","journalAbbreviation":"Nat Rev Neurosci","language":"en","note":"number: 12\npublisher: Nature Publishing Group","page":"817-824","source":"www.nature.com","title":"Neuroscience and education: myths and messages","title-short":"Neuroscience and education","volume":"15","author":[{"family":"Howard-Jones","given":"Paul A."}],"issued":{"date-parts":[["2014",12]]}}}],"schema":"https://github.com/citation-style-language/schema/raw/master/csl-citation.json"} </w:instrText>
      </w:r>
      <w:r w:rsidRPr="4E2AAAA3">
        <w:rPr>
          <w:color w:val="2B579A"/>
        </w:rPr>
        <w:fldChar w:fldCharType="separate"/>
      </w:r>
      <w:r w:rsidRPr="00497B48">
        <w:t>(Howard-Jones 2014)</w:t>
      </w:r>
      <w:r w:rsidRPr="4E2AAAA3">
        <w:rPr>
          <w:color w:val="2B579A"/>
        </w:rPr>
        <w:fldChar w:fldCharType="end"/>
      </w:r>
      <w:r w:rsidRPr="00497B48">
        <w:t xml:space="preserve">. </w:t>
      </w:r>
    </w:p>
    <w:p w14:paraId="5AD76563" w14:textId="77777777" w:rsidR="00C139C0" w:rsidRPr="00497B48" w:rsidRDefault="00C139C0" w:rsidP="00634978">
      <w:pPr>
        <w:spacing w:after="120" w:line="240" w:lineRule="auto"/>
      </w:pPr>
      <w:r w:rsidRPr="00497B48">
        <w:t xml:space="preserve">The evidence against neuromyths is robust. For example, research in neuroimaging shows that both hemispheres of the brain are responsible for most processes and are constantly working together, even though they differ in their functions </w:t>
      </w:r>
      <w:r w:rsidRPr="4E2AAAA3">
        <w:rPr>
          <w:color w:val="2B579A"/>
        </w:rPr>
        <w:fldChar w:fldCharType="begin"/>
      </w:r>
      <w:r w:rsidRPr="00497B48">
        <w:instrText xml:space="preserve"> ADDIN ZOTERO_ITEM CSL_CITATION {"citationID":"4Ecvw6RB","properties":{"formattedCitation":"(Ansari 2008)","plainCitation":"(Ansari 2008)","noteIndex":0},"citationItems":[{"id":88,"uris":["http://zotero.org/users/10928664/items/L5XI2XH6"],"itemData":{"id":88,"type":"article-journal","abstract":"Behavioural studies have revealed that the processing and representation of numerical magnitude are qualitatively similar across species and across human development. Reliable effects such as the distance effect (numbers that are close together being harder to compare than those that are separated by a large numerical difference) have been used to characterize the representation of numerical magnitude.Evidence from functional neuroimaging studies with humans and from single-cell neurophysiological recordings from the monkey cortex has indicated that bilateral regions of the intraparietal sulcus (IPS) are critical for the representation and processing of numerical magnitude.Recently there has been substantial debate over the extent to which the IPS houses a domain-specific representation of numerical magnitude — a 'number module'. Data from single-cell and fMRI studies suggest that representations of numerical and non-numerical (length, size, luminosity, et cetera) magnitude overlap in the IPS, indicating that the IPS contains a distributed representation of numerical magnitude with local biases for particular categories, rather than neatly segregated modules.fMRI studies have also shown similar activation in the IPS for judgments of numerical (which number is numerically larger?) and non-numerical (for example, which letter comes first in the alphabet?) order. These findings suggest that during numerical magnitude tasks the activity of the IPS might reflect access to an abstract representation or order rather than representations of numerical magnitude.Although animals share with humans the ability to process non-symbolic numerical magnitude, the use of abstract symbols (such as number words or Arabic numerals) is uniquely human. These new mental tools are the products of cultural history, which raises the question of how they are processed in the brain and how they are related to non-symbolic representations of numerical magnitude.Some computational models and theories posit that symbolic representations of numerical magnitude are acquired through mapping onto pre-existing non-symbolic representations. However, other data suggest that symbolic representations of magnitude might be qualitatively different from non-symbolic ones. To date, the precise neural mechanisms that allow for the processing of abstract, symbolic representations of numerical magnitude are not well understood.The left temporoparietal cortex has been strongly linked with mental arithmetic. Recent fMRI studies have started to reveal the effects of learning and culture on the brain processes that subserve calculation. Specifically, different types of arithmetic training and problems shift activation from areas of the parietal lobe that are involved in magnitude processing (the IPS) to those that are thought to support arithmetic fact retrieval (the angular gyrus) to different degrees.Cross-cultural studies have shown that culture has a significant and powerful effect on the neural correlates of calculation and even on basic symbolic-magnitude processing, such as the comparison of Arabic numerals. In addition, different methods of teaching lead to different patterns of brain activation during mathematical problem solving.Developmental studies provide a tool for studying how cultural representations of numerical magnitude come to be represented in the brain. Recent evidence suggests that age-related increases occur in the activation of the left temporoparietal cortex during mental arithmetic and in the IPS during basic numerical-magnitude processing. Other evidence, however, suggests that there are similarities in the neural correlates of number processing in adults and children.","container-title":"Nature Reviews Neuroscience","DOI":"10.1038/nrn2334","ISSN":"1471-0048","issue":"4","journalAbbreviation":"Nat Rev Neurosci","language":"en","note":"number: 4\npublisher: Nature Publishing Group","page":"278-291","source":"www.nature.com","title":"Effects of development and enculturation on number representation in the brain","volume":"9","author":[{"family":"Ansari","given":"Daniel"}],"issued":{"date-parts":[["2008",4]]}}}],"schema":"https://github.com/citation-style-language/schema/raw/master/csl-citation.json"} </w:instrText>
      </w:r>
      <w:r w:rsidRPr="4E2AAAA3">
        <w:rPr>
          <w:color w:val="2B579A"/>
        </w:rPr>
        <w:fldChar w:fldCharType="separate"/>
      </w:r>
      <w:r w:rsidRPr="00497B48">
        <w:t>(Ansari 2008)</w:t>
      </w:r>
      <w:r w:rsidRPr="4E2AAAA3">
        <w:rPr>
          <w:color w:val="2B579A"/>
        </w:rPr>
        <w:fldChar w:fldCharType="end"/>
      </w:r>
      <w:r w:rsidRPr="00497B48">
        <w:t xml:space="preserve">, countering myths such as left vs. right brain people, VAK or multiple intelligences </w:t>
      </w:r>
      <w:r w:rsidRPr="4E2AAAA3">
        <w:rPr>
          <w:color w:val="2B579A"/>
        </w:rPr>
        <w:fldChar w:fldCharType="begin"/>
      </w:r>
      <w:r w:rsidRPr="00497B48">
        <w:instrText xml:space="preserve"> ADDIN ZOTERO_ITEM CSL_CITATION {"citationID":"bwxD2eGP","properties":{"formattedCitation":"(Geake 2008)","plainCitation":"(Geake 2008)","noteIndex":0},"citationItems":[{"id":81,"uris":["http://zotero.org/users/10928664/items/V7JGRVXS"],"itemData":{"id":81,"type":"article-journal","abstract":"Background: Many popular educational programmes claim to be ‘brain-based’, despite pleas from the neuroscience community that these neuromyths do not have a basis in scientific evidence about the brain. Purpose: The main aim of this paper is to examine several of the most popular neuromyths in the light of the relevant neuroscientific and educational evidence. Examples of neuromyths include: 10% brain usage, left- and right-brained thinking, VAK learning styles and multiple intelligences Sources of evidence: The basis for the argument put forward includes a literature review of relevant cognitive neuroscientific studies, often involving neuroimaging, together with several comprehensive education reviews of the brain-based approaches under scrutiny. Main argument: The main elements of the argument are as follows. We use most of our brains most of the time, not some restricted 10% brain usage. This is because our brains are densely interconnected, and we exploit this interconnectivity to enable our primitively evolved primate brains to live in our complex modern human world. Although brain imaging delineates areas of higher (and lower) activation in response to particular tasks, thinking involves coordinated interconnectivity from both sides of the brain, not separate left- and right-brained thinking. High intelligence requires higher levels of inter-hemispheric and other connected activity. The brain's interconnectivity includes the senses, especially vision and hearing. We do not learn by one sense alone, hence VAK learning styles do not reflect how our brains actually learn, nor the individual differences we observe in classrooms. Neuroimaging studies do not support multiple intelligences; in fact, the opposite is true. Through the activity of its frontal cortices, among other areas, the human brain seems to operate with general intelligence, applied to multiple areas of endeavour. Studies of educational effectiveness of applying any of these ideas in the classroom have failed to find any educational benefits. Conclusions: The main conclusions arising from the argument are that teachers should seek independent scientific validation before adopting brain-based products in their classrooms. A more sceptical approach to educational panaceas could contribute to an enhanced professionalism of the field.","container-title":"Educational Research","DOI":"10.1080/00131880802082518","ISSN":"0013-1881","issue":"2","note":"publisher: Routledge\n_eprint: https://doi.org/10.1080/00131880802082518","page":"123-133","source":"Taylor and Francis+NEJM","title":"Neuromythologies in education","volume":"50","author":[{"family":"Geake","given":"John"}],"issued":{"date-parts":[["2008",6,1]]}}}],"schema":"https://github.com/citation-style-language/schema/raw/master/csl-citation.json"} </w:instrText>
      </w:r>
      <w:r w:rsidRPr="4E2AAAA3">
        <w:rPr>
          <w:color w:val="2B579A"/>
        </w:rPr>
        <w:fldChar w:fldCharType="separate"/>
      </w:r>
      <w:r w:rsidRPr="00497B48">
        <w:t>(Geake 2008)</w:t>
      </w:r>
      <w:r w:rsidRPr="4E2AAAA3">
        <w:rPr>
          <w:color w:val="2B579A"/>
        </w:rPr>
        <w:fldChar w:fldCharType="end"/>
      </w:r>
      <w:r w:rsidRPr="00497B48">
        <w:t xml:space="preserve">. </w:t>
      </w:r>
    </w:p>
    <w:p w14:paraId="14596E4B" w14:textId="064CA591" w:rsidR="00C139C0" w:rsidRPr="00497B48" w:rsidRDefault="00C139C0" w:rsidP="00634978">
      <w:pPr>
        <w:spacing w:after="120" w:line="240" w:lineRule="auto"/>
      </w:pPr>
      <w:r w:rsidRPr="00497B48">
        <w:t xml:space="preserve">It is important to note that most neuromyths have been formed because of oversimplifications, misinterpretations or flawed interpretations </w:t>
      </w:r>
      <w:r w:rsidRPr="52F693E2">
        <w:rPr>
          <w:color w:val="2B579A"/>
        </w:rPr>
        <w:fldChar w:fldCharType="begin"/>
      </w:r>
      <w:r w:rsidRPr="00497B48">
        <w:instrText xml:space="preserve"> ADDIN ZOTERO_ITEM CSL_CITATION {"citationID":"IHyW51b8","properties":{"formattedCitation":"(Pasquinelli 2012; Howard-Jones 2014)","plainCitation":"(Pasquinelli 2012; Howard-Jones 2014)","noteIndex":0},"citationItems":[{"id":82,"uris":["http://zotero.org/users/10928664/items/BDHFKMBT"],"itemData":{"id":82,"type":"article-journal","abstract":"Neuroeducation—a recent approach to educational policy—claims that a bridge should be established between education and mind-brain sciences, with the double aim of devising educational methods that work and of understanding why they work. The success of this encounter depends, among other conditions, on getting the science right; otherwise, neuroeducation and science-informed policies risk doing more harm than good. On several occasions, the cognitive and brain sciences have been misunderstood, and misused: neuromyths—the misconceptions about the mind and brain functioning—have blossomed, thus raising both theoretical and pragmatic concerns. This article addresses the origin, persistence, and potential side-effects of neuromyths in education. The hypothesis is put forward that the persistence of neuromyths is sustained by specific cultural conditions, such as the circulation of pieces of information about the brain and the appetite for brain news, but has its roots in deeper cognitive intuitions.","container-title":"Mind, Brain, and Education","DOI":"10.1111/j.1751-228X.2012.01141.x","ISSN":"1751-228X","issue":"2","language":"en","note":"_eprint: https://onlinelibrary.wiley.com/doi/pdf/10.1111/j.1751-228X.2012.01141.x","page":"89-96","source":"Wiley Online Library","title":"Neuromyths: Why Do They Exist and Persist?","title-short":"Neuromyths","volume":"6","author":[{"family":"Pasquinelli","given":"Elena"}],"issued":{"date-parts":[["2012"]]}}},{"id":80,"uris":["http://zotero.org/users/10928664/items/7VZ2UNQT"],"itemData":{"id":80,"type":"article-journal","abstract":"Myths about the brain — neuromyths — have established themselves among teachers worldwide, often contributing to poor practice. Paul Howard-Jones shows how fact became distorted into popular neuromyth by biases and cultural conditions that largely remain, threatening current attempts at authentic dialogue between neuroscience and education.","container-title":"Nature Reviews Neuroscience","DOI":"10.1038/nrn3817","ISSN":"1471-0048","issue":"12","journalAbbreviation":"Nat Rev Neurosci","language":"en","note":"number: 12\npublisher: Nature Publishing Group","page":"817-824","source":"www.nature.com","title":"Neuroscience and education: myths and messages","title-short":"Neuroscience and education","volume":"15","author":[{"family":"Howard-Jones","given":"Paul A."}],"issued":{"date-parts":[["2014",12]]}}}],"schema":"https://github.com/citation-style-language/schema/raw/master/csl-citation.json"} </w:instrText>
      </w:r>
      <w:r w:rsidRPr="52F693E2">
        <w:rPr>
          <w:color w:val="2B579A"/>
        </w:rPr>
        <w:fldChar w:fldCharType="separate"/>
      </w:r>
      <w:r w:rsidRPr="00497B48">
        <w:t>(Pasquinelli 2012; Howard-Jones 2014)</w:t>
      </w:r>
      <w:r w:rsidRPr="52F693E2">
        <w:rPr>
          <w:color w:val="2B579A"/>
        </w:rPr>
        <w:fldChar w:fldCharType="end"/>
      </w:r>
      <w:r w:rsidRPr="00497B48">
        <w:t xml:space="preserve"> of valid scientific findings </w:t>
      </w:r>
      <w:r w:rsidRPr="52F693E2">
        <w:rPr>
          <w:color w:val="2B579A"/>
        </w:rPr>
        <w:fldChar w:fldCharType="begin"/>
      </w:r>
      <w:r w:rsidRPr="00497B48">
        <w:instrText xml:space="preserve"> ADDIN ZOTERO_ITEM CSL_CITATION {"citationID":"LXA3p1dO","properties":{"formattedCitation":"(Dekker et al. 2012)","plainCitation":"(Dekker et al. 2012)","noteIndex":0},"citationItems":[{"id":84,"uris":["http://zotero.org/users/10928664/items/U57Z6WPV"],"itemData":{"id":84,"type":"article-journal","abstract":"The OECD’s Brain and Learning project (2002) emphasized that many misconceptions about the brain exist among professionals in the field of education. Though these so-called “neuromyths” are loosely based on scientific facts, they may have adverse effects on educational practice. The present study investigated the prevalence and predictors of neuromyths among teachers in selected regions in the United Kingdom and the Netherlands. A large observational survey design was used to assess general knowledge of the brain and neuromyths. The sample comprised 242 primary and secondary school teachers who were interested in the neuroscience of learning. It would be of concern if neuromyths were found in this sample, as these teachers may want to use these incorrect interpretations of neuroscience findings in their teaching practice. Participants completed an online survey containing 32 statements about the brain and its influence on learning, of which 15 were neuromyths. Additional data was collected regarding background variables (e.g., age, sex, school type). Results showed that on average, teachers believed 49% of the neuromyths, particularly myths related to commercialized educational programs. Around 70% of the general knowledge statements were answered correctly. Teachers who read popular science magazines achieved higher scores on general knowledge questions. More general knowledge also predicted an increased belief in neuromyths. These findings suggest that teachers who are enthusiastic about the possible application of neuroscience findings in the classroom find it difficult to distinguish pseudoscience from scientific facts. Possessing greater general knowledge about the brain does not appear to protect teachers from believing in neuromyths. This demonstrates the need for enhanced interdisciplinary communication to reduce such misunderstandings in the future and establish a successful collaboration between neuroscience and education.","container-title":"Frontiers in Psychology","ISSN":"1664-1078","source":"Frontiers","title":"Neuromyths in Education: Prevalence and Predictors of Misconceptions among Teachers","title-short":"Neuromyths in Education","URL":"https://www.frontiersin.org/articles/10.3389/fpsyg.2012.00429","volume":"3","author":[{"family":"Dekker","given":"Sanne"},{"family":"Lee","given":"Nikki"},{"family":"Howard-Jones","given":"Paul"},{"family":"Jolles","given":"Jelle"}],"accessed":{"date-parts":[["2023",1,17]]},"issued":{"date-parts":[["2012"]]}}}],"schema":"https://github.com/citation-style-language/schema/raw/master/csl-citation.json"} </w:instrText>
      </w:r>
      <w:r w:rsidRPr="52F693E2">
        <w:rPr>
          <w:color w:val="2B579A"/>
        </w:rPr>
        <w:fldChar w:fldCharType="separate"/>
      </w:r>
      <w:r w:rsidRPr="00497B48">
        <w:t>(Dekker et al. 2012)</w:t>
      </w:r>
      <w:r w:rsidRPr="52F693E2">
        <w:rPr>
          <w:color w:val="2B579A"/>
        </w:rPr>
        <w:fldChar w:fldCharType="end"/>
      </w:r>
      <w:r w:rsidRPr="00497B48">
        <w:t xml:space="preserve">.  </w:t>
      </w:r>
    </w:p>
    <w:p w14:paraId="20EF72EE" w14:textId="370FB5FD" w:rsidR="00C139C0" w:rsidRDefault="00C139C0" w:rsidP="0057706B">
      <w:pPr>
        <w:spacing w:after="120" w:line="240" w:lineRule="auto"/>
      </w:pPr>
      <w:r w:rsidRPr="00497B48">
        <w:t xml:space="preserve">ITE </w:t>
      </w:r>
      <w:r w:rsidR="00A32BE6">
        <w:t>programs</w:t>
      </w:r>
      <w:r w:rsidRPr="00497B48">
        <w:t xml:space="preserve"> should explore and address these misconceptions head-on to correct the dialogue between neuroscience and education so that these myths </w:t>
      </w:r>
      <w:r>
        <w:t>are not</w:t>
      </w:r>
      <w:r w:rsidRPr="00497B48">
        <w:t xml:space="preserve"> perpetuate</w:t>
      </w:r>
      <w:r>
        <w:t>d</w:t>
      </w:r>
      <w:r w:rsidRPr="00497B48">
        <w:t>. Instructional choices based on these myths at best have no impact on student learning and at worst, can be detrimental to student progress.</w:t>
      </w:r>
    </w:p>
    <w:p w14:paraId="20774F5C" w14:textId="2A5CF127" w:rsidR="005567AD" w:rsidRPr="00FF633E" w:rsidRDefault="005567AD" w:rsidP="00074645">
      <w:pPr>
        <w:spacing w:after="0" w:line="240" w:lineRule="auto"/>
        <w:rPr>
          <w:rFonts w:cstheme="minorHAnsi"/>
          <w:b/>
          <w:sz w:val="26"/>
          <w:szCs w:val="26"/>
          <w:lang w:eastAsia="en-AU"/>
        </w:rPr>
      </w:pPr>
      <w:r w:rsidRPr="00074645">
        <w:rPr>
          <w:b/>
          <w:sz w:val="26"/>
          <w:szCs w:val="26"/>
          <w:lang w:eastAsia="en-AU"/>
        </w:rPr>
        <w:t xml:space="preserve">What should </w:t>
      </w:r>
      <w:r w:rsidR="00B26522">
        <w:rPr>
          <w:b/>
          <w:sz w:val="26"/>
          <w:szCs w:val="26"/>
          <w:lang w:eastAsia="en-AU"/>
        </w:rPr>
        <w:t xml:space="preserve">graduate </w:t>
      </w:r>
      <w:r w:rsidRPr="00A56E7B">
        <w:rPr>
          <w:b/>
          <w:sz w:val="26"/>
          <w:szCs w:val="26"/>
          <w:lang w:eastAsia="en-AU"/>
        </w:rPr>
        <w:t>teachers</w:t>
      </w:r>
      <w:r w:rsidRPr="00074645">
        <w:rPr>
          <w:b/>
          <w:sz w:val="26"/>
          <w:szCs w:val="26"/>
          <w:lang w:eastAsia="en-AU"/>
        </w:rPr>
        <w:t xml:space="preserve"> </w:t>
      </w:r>
      <w:r w:rsidR="00773F40">
        <w:rPr>
          <w:b/>
          <w:sz w:val="26"/>
          <w:szCs w:val="26"/>
          <w:lang w:eastAsia="en-AU"/>
        </w:rPr>
        <w:t xml:space="preserve">be able to </w:t>
      </w:r>
      <w:r w:rsidRPr="00074645">
        <w:rPr>
          <w:b/>
          <w:sz w:val="26"/>
          <w:szCs w:val="26"/>
          <w:lang w:eastAsia="en-AU"/>
        </w:rPr>
        <w:t xml:space="preserve">demonstrate? </w:t>
      </w:r>
    </w:p>
    <w:p w14:paraId="21AC1C42" w14:textId="77777777" w:rsidR="006A1211" w:rsidRPr="004C6DFD" w:rsidRDefault="006A1211" w:rsidP="007D6F33">
      <w:pPr>
        <w:pStyle w:val="ListParagraph"/>
        <w:numPr>
          <w:ilvl w:val="0"/>
          <w:numId w:val="27"/>
        </w:numPr>
        <w:suppressAutoHyphens/>
        <w:spacing w:after="160"/>
        <w:rPr>
          <w:sz w:val="22"/>
          <w:szCs w:val="22"/>
          <w:lang w:eastAsia="en-AU"/>
        </w:rPr>
      </w:pPr>
      <w:r w:rsidRPr="004C6DFD">
        <w:rPr>
          <w:sz w:val="22"/>
          <w:szCs w:val="22"/>
          <w:lang w:eastAsia="en-AU"/>
        </w:rPr>
        <w:t>Knowledge of what it means to be a ‘novice’ learner in comparison to an ‘expert’. Knowledge of and skill in the related implications for practice.</w:t>
      </w:r>
    </w:p>
    <w:p w14:paraId="62C4D7FB" w14:textId="77777777" w:rsidR="006A1211" w:rsidRPr="004C6DFD" w:rsidRDefault="006A1211" w:rsidP="007D6F33">
      <w:pPr>
        <w:pStyle w:val="ListParagraph"/>
        <w:numPr>
          <w:ilvl w:val="0"/>
          <w:numId w:val="27"/>
        </w:numPr>
        <w:suppressAutoHyphens/>
        <w:spacing w:before="160" w:after="160"/>
        <w:rPr>
          <w:sz w:val="22"/>
          <w:szCs w:val="22"/>
        </w:rPr>
      </w:pPr>
      <w:r w:rsidRPr="004C6DFD">
        <w:rPr>
          <w:sz w:val="22"/>
          <w:szCs w:val="22"/>
        </w:rPr>
        <w:t>Knowledge of the most efficient and effective process of knowledge acquisition in the brain, including the function of memory and the concept of cognitive overload.</w:t>
      </w:r>
    </w:p>
    <w:p w14:paraId="349EA761" w14:textId="77777777" w:rsidR="006A1211" w:rsidRPr="004C6DFD" w:rsidRDefault="006A1211" w:rsidP="0057706B">
      <w:pPr>
        <w:pStyle w:val="ListParagraph"/>
        <w:numPr>
          <w:ilvl w:val="0"/>
          <w:numId w:val="27"/>
        </w:numPr>
        <w:suppressAutoHyphens/>
        <w:spacing w:after="120"/>
        <w:ind w:left="357" w:hanging="357"/>
        <w:rPr>
          <w:sz w:val="22"/>
          <w:szCs w:val="22"/>
        </w:rPr>
      </w:pPr>
      <w:r w:rsidRPr="004C6DFD">
        <w:rPr>
          <w:sz w:val="22"/>
          <w:szCs w:val="22"/>
        </w:rPr>
        <w:t xml:space="preserve">Knowledge of the process that occurs in a novice brain during progression towards mastery. Knowledge of and skill in the need to adjust practice in response. </w:t>
      </w:r>
    </w:p>
    <w:p w14:paraId="6E0DCAD6" w14:textId="610210AD" w:rsidR="005567AD" w:rsidRPr="00501862" w:rsidRDefault="005567AD" w:rsidP="007436B3">
      <w:pPr>
        <w:spacing w:after="0" w:line="240" w:lineRule="auto"/>
        <w:rPr>
          <w:b/>
          <w:sz w:val="26"/>
          <w:szCs w:val="26"/>
          <w:lang w:eastAsia="en-AU"/>
        </w:rPr>
      </w:pPr>
      <w:r w:rsidRPr="00501862">
        <w:rPr>
          <w:b/>
          <w:sz w:val="26"/>
          <w:szCs w:val="26"/>
          <w:lang w:eastAsia="en-AU"/>
        </w:rPr>
        <w:t xml:space="preserve">Graduate </w:t>
      </w:r>
      <w:r w:rsidR="00EC4AA4" w:rsidRPr="00501862">
        <w:rPr>
          <w:b/>
          <w:sz w:val="26"/>
          <w:szCs w:val="26"/>
          <w:lang w:eastAsia="en-AU"/>
        </w:rPr>
        <w:t>T</w:t>
      </w:r>
      <w:r w:rsidRPr="00501862">
        <w:rPr>
          <w:b/>
          <w:sz w:val="26"/>
          <w:szCs w:val="26"/>
          <w:lang w:eastAsia="en-AU"/>
        </w:rPr>
        <w:t xml:space="preserve">eacher </w:t>
      </w:r>
      <w:r w:rsidR="00EC4AA4" w:rsidRPr="00501862">
        <w:rPr>
          <w:b/>
          <w:sz w:val="26"/>
          <w:szCs w:val="26"/>
          <w:lang w:eastAsia="en-AU"/>
        </w:rPr>
        <w:t>S</w:t>
      </w:r>
      <w:r w:rsidRPr="00501862">
        <w:rPr>
          <w:b/>
          <w:sz w:val="26"/>
          <w:szCs w:val="26"/>
          <w:lang w:eastAsia="en-AU"/>
        </w:rPr>
        <w:t>tandards</w:t>
      </w:r>
    </w:p>
    <w:p w14:paraId="222B77D8" w14:textId="798D61DC" w:rsidR="005567AD" w:rsidRDefault="005567AD" w:rsidP="0057706B">
      <w:pPr>
        <w:spacing w:after="120" w:line="240" w:lineRule="auto"/>
      </w:pPr>
      <w:r w:rsidRPr="00497B48">
        <w:t xml:space="preserve">This content </w:t>
      </w:r>
      <w:r w:rsidR="001F00BC">
        <w:t>supports</w:t>
      </w:r>
      <w:r w:rsidRPr="00497B48">
        <w:t xml:space="preserve"> the Graduate descriptors for </w:t>
      </w:r>
      <w:r w:rsidRPr="00B57F47">
        <w:t>Professional Knowledge: Standard 1: Know students and how they learn</w:t>
      </w:r>
      <w:r w:rsidR="00E815AA">
        <w:t xml:space="preserve"> (</w:t>
      </w:r>
      <w:r w:rsidR="00D01394" w:rsidRPr="00E815AA">
        <w:rPr>
          <w:i/>
        </w:rPr>
        <w:t>1.1 and 1.2</w:t>
      </w:r>
      <w:r w:rsidR="00E815AA">
        <w:t>)</w:t>
      </w:r>
      <w:r w:rsidR="00D01394">
        <w:t xml:space="preserve">. </w:t>
      </w:r>
    </w:p>
    <w:p w14:paraId="682E85ED" w14:textId="5FB16403" w:rsidR="00AA45C1" w:rsidRDefault="00142568" w:rsidP="00DB0012">
      <w:pPr>
        <w:spacing w:after="0" w:line="240" w:lineRule="auto"/>
      </w:pPr>
      <w:bookmarkStart w:id="17" w:name="_Toc125462244"/>
      <w:r>
        <w:rPr>
          <w:rStyle w:val="Heading4Char"/>
          <w:rFonts w:asciiTheme="minorHAnsi" w:hAnsiTheme="minorHAnsi" w:cstheme="minorHAnsi"/>
          <w:color w:val="002C3E" w:themeColor="background2"/>
          <w:lang w:eastAsia="en-AU"/>
        </w:rPr>
        <w:t xml:space="preserve">1.2.2 </w:t>
      </w:r>
      <w:r w:rsidR="00775717">
        <w:rPr>
          <w:rStyle w:val="Heading4Char"/>
          <w:rFonts w:asciiTheme="minorHAnsi" w:hAnsiTheme="minorHAnsi" w:cstheme="minorHAnsi"/>
          <w:color w:val="002C3E" w:themeColor="background2"/>
          <w:lang w:eastAsia="en-AU"/>
        </w:rPr>
        <w:t>E</w:t>
      </w:r>
      <w:r w:rsidR="00832B30" w:rsidRPr="009F664B">
        <w:rPr>
          <w:rStyle w:val="Heading4Char"/>
          <w:rFonts w:asciiTheme="minorHAnsi" w:hAnsiTheme="minorHAnsi" w:cstheme="minorHAnsi"/>
          <w:color w:val="002C3E" w:themeColor="background2"/>
          <w:lang w:eastAsia="en-AU"/>
        </w:rPr>
        <w:t>ffective pedagogical practice</w:t>
      </w:r>
      <w:bookmarkEnd w:id="17"/>
      <w:r w:rsidR="00832B30" w:rsidRPr="009F664B">
        <w:rPr>
          <w:rStyle w:val="Heading4Char"/>
          <w:rFonts w:asciiTheme="minorHAnsi" w:hAnsiTheme="minorHAnsi" w:cstheme="minorHAnsi"/>
          <w:color w:val="002C3E" w:themeColor="background2"/>
          <w:lang w:eastAsia="en-AU"/>
        </w:rPr>
        <w:t>s</w:t>
      </w:r>
    </w:p>
    <w:p w14:paraId="48E3BE72" w14:textId="11D766CD" w:rsidR="18C59E8D" w:rsidRDefault="08265894" w:rsidP="00B74221">
      <w:pPr>
        <w:spacing w:after="120" w:line="240" w:lineRule="auto"/>
      </w:pPr>
      <w:r>
        <w:t>Explicit</w:t>
      </w:r>
      <w:r w:rsidR="00DC6165" w:rsidRPr="00497B48">
        <w:t xml:space="preserve"> modelling, scaffolding and formative assessment practices </w:t>
      </w:r>
      <w:r w:rsidR="00DC6165">
        <w:t>that</w:t>
      </w:r>
      <w:r w:rsidR="00DC6165" w:rsidRPr="00497B48">
        <w:t xml:space="preserve"> support student mastery have the highest impact on improvement in student learning outcomes. These practices effectively and efficiently support student learning because they are responsive to how the brain processes, stores, and retrieves information.</w:t>
      </w:r>
    </w:p>
    <w:p w14:paraId="50DE28CE" w14:textId="77777777" w:rsidR="003B1753" w:rsidRDefault="003B1753" w:rsidP="00142568">
      <w:pPr>
        <w:spacing w:after="0" w:line="240" w:lineRule="auto"/>
        <w:rPr>
          <w:rFonts w:ascii="Calibri" w:hAnsi="Calibri" w:cs="Calibri"/>
          <w:b/>
          <w:sz w:val="26"/>
          <w:szCs w:val="26"/>
        </w:rPr>
      </w:pPr>
    </w:p>
    <w:p w14:paraId="33555609" w14:textId="77777777" w:rsidR="00A7014C" w:rsidRDefault="00A7014C" w:rsidP="00142568">
      <w:pPr>
        <w:spacing w:after="0" w:line="240" w:lineRule="auto"/>
        <w:rPr>
          <w:rFonts w:ascii="Calibri" w:hAnsi="Calibri" w:cs="Calibri"/>
          <w:b/>
          <w:sz w:val="26"/>
          <w:szCs w:val="26"/>
        </w:rPr>
      </w:pPr>
    </w:p>
    <w:p w14:paraId="04A084CB" w14:textId="77777777" w:rsidR="00A7014C" w:rsidRDefault="00A7014C" w:rsidP="00142568">
      <w:pPr>
        <w:spacing w:after="0" w:line="240" w:lineRule="auto"/>
        <w:rPr>
          <w:rFonts w:ascii="Calibri" w:hAnsi="Calibri" w:cs="Calibri"/>
          <w:b/>
          <w:sz w:val="26"/>
          <w:szCs w:val="26"/>
        </w:rPr>
      </w:pPr>
    </w:p>
    <w:p w14:paraId="0C69A776" w14:textId="75D052BB" w:rsidR="18C59E8D" w:rsidRPr="00142568" w:rsidRDefault="18C59E8D" w:rsidP="00142568">
      <w:pPr>
        <w:spacing w:after="0" w:line="240" w:lineRule="auto"/>
        <w:rPr>
          <w:rFonts w:ascii="Calibri" w:hAnsi="Calibri" w:cs="Calibri"/>
          <w:b/>
          <w:sz w:val="26"/>
          <w:szCs w:val="26"/>
        </w:rPr>
      </w:pPr>
      <w:r w:rsidRPr="00142568">
        <w:rPr>
          <w:rFonts w:ascii="Calibri" w:hAnsi="Calibri" w:cs="Calibri"/>
          <w:b/>
          <w:sz w:val="26"/>
          <w:szCs w:val="26"/>
        </w:rPr>
        <w:lastRenderedPageBreak/>
        <w:t>What is the evidence?</w:t>
      </w:r>
    </w:p>
    <w:p w14:paraId="0DC4883F" w14:textId="2B509BD5" w:rsidR="18C59E8D" w:rsidRDefault="18C59E8D" w:rsidP="3BF970E3">
      <w:pPr>
        <w:spacing w:after="120" w:line="240" w:lineRule="auto"/>
        <w:contextualSpacing/>
      </w:pPr>
      <w:r>
        <w:t>The effective pedagogical practices presented</w:t>
      </w:r>
      <w:r w:rsidRPr="3BF970E3">
        <w:rPr>
          <w:rFonts w:ascii="Times New Roman" w:hAnsi="Times New Roman" w:cs="Times New Roman"/>
        </w:rPr>
        <w:t> </w:t>
      </w:r>
      <w:r>
        <w:t xml:space="preserve">have been proven to work and are supported by research in cognitive science, as well as research on the most effective classroom practices of master teachers. There is a high level of consistency across different academic fields on effective pedagogical practices, further strengthening confidence in the validity of these practices. </w:t>
      </w:r>
    </w:p>
    <w:p w14:paraId="7E072B4C" w14:textId="2B509BD5" w:rsidR="18C59E8D" w:rsidRDefault="18C59E8D" w:rsidP="3BF970E3">
      <w:pPr>
        <w:spacing w:after="120" w:line="240" w:lineRule="auto"/>
        <w:contextualSpacing/>
      </w:pPr>
      <w:r>
        <w:t xml:space="preserve">These practices draw on the work of </w:t>
      </w:r>
      <w:r w:rsidRPr="3BF970E3">
        <w:rPr>
          <w:color w:val="2B579A"/>
        </w:rPr>
        <w:fldChar w:fldCharType="begin"/>
      </w:r>
      <w:r>
        <w:instrText xml:space="preserve"> ADDIN ZOTERO_ITEM CSL_CITATION {"citationID":"0b5neUFI","properties":{"formattedCitation":"(Rosenshine 2012)","plainCitation":"(Rosenshine 2012)","dontUpdate":true,"noteIndex":0},"citationItems":[{"id":7,"uris":["http://zotero.org/users/10928664/items/S68M3N38"],"itemData":{"id":7,"type":"article-journal","abstract":"This article presents 10 research-based principles of instruction, along with suggestions for classroom practice. These principles come from three sources: (a) research in cognitive science, (b) research on master teachers, and (c) research on cognitive supports. Each is briefly explained in this article. Even though these are three very different bodies of research, there is \"no conflict at all\" between the instructional suggestions that come from each of these three sources. In other words, these three sources supplement and complement each other. The fact that the instructional ideas from three different sources supplement and complement each other gives teachers faith in the validity of these findings. (Contains 14 endnotes.)","container-title":"American Educator","ISSN":"0148-432X","issue":"1","language":"en","note":"publisher: American Federation of Teachers\nERIC Number: EJ971753","page":"12","source":"ERIC","title":"Principles of Instruction: Research-Based Strategies That All Teachers Should Know","title-short":"Principles of Instruction","volume":"36","author":[{"family":"Rosenshine","given":"Barak"}],"issued":{"date-parts":[["2012"]]}}}],"schema":"https://github.com/citation-style-language/schema/raw/master/csl-citation.json"} </w:instrText>
      </w:r>
      <w:r w:rsidRPr="3BF970E3">
        <w:rPr>
          <w:color w:val="2B579A"/>
        </w:rPr>
        <w:fldChar w:fldCharType="separate"/>
      </w:r>
      <w:r>
        <w:t>Rosenshine (2012)</w:t>
      </w:r>
      <w:r w:rsidRPr="3BF970E3">
        <w:rPr>
          <w:color w:val="2B579A"/>
        </w:rPr>
        <w:fldChar w:fldCharType="end"/>
      </w:r>
      <w:r>
        <w:t>, who presents 10 research-based principles of instruction that have been shown to most effectively address how a student’s brain learns</w:t>
      </w:r>
      <w:r w:rsidRPr="3BF970E3">
        <w:rPr>
          <w:rStyle w:val="CommentReference"/>
        </w:rPr>
        <w:t>.</w:t>
      </w:r>
      <w:r>
        <w:t xml:space="preserve"> </w:t>
      </w:r>
      <w:proofErr w:type="spellStart"/>
      <w:r>
        <w:t>Rosenshine</w:t>
      </w:r>
      <w:proofErr w:type="spellEnd"/>
      <w:r>
        <w:t xml:space="preserve"> presents findings from three distinct and divergent bodies of research: (a) research on cognitive processing, (b) research on teacher effects, that is, studies of teachers whose classes made the highest achievement gain compared to other classes, and (c) intervention studies in which students were taught cognitive strategies they could apply to their learning. His findings point to a set of common instructional practices that delivered the highest impact on improving student outcomes. AERO has synthesised evidence to detail the practices that have been proven to make a difference, the summary of which is outlined below.</w:t>
      </w:r>
    </w:p>
    <w:p w14:paraId="14FD469E" w14:textId="2B509BD5" w:rsidR="18C59E8D" w:rsidRDefault="18C59E8D" w:rsidP="00142568">
      <w:pPr>
        <w:pStyle w:val="Caption"/>
        <w:keepNext/>
        <w:spacing w:after="0"/>
        <w:contextualSpacing/>
        <w:rPr>
          <w:color w:val="000000" w:themeColor="text1"/>
        </w:rPr>
      </w:pPr>
      <w:r w:rsidRPr="3BF970E3">
        <w:rPr>
          <w:color w:val="000000" w:themeColor="text1"/>
        </w:rPr>
        <w:t xml:space="preserve">Table 1.2: Summary of evidence syntheses </w:t>
      </w:r>
    </w:p>
    <w:tbl>
      <w:tblPr>
        <w:tblStyle w:val="TableGrid"/>
        <w:tblW w:w="9016" w:type="dxa"/>
        <w:tblLook w:val="04A0" w:firstRow="1" w:lastRow="0" w:firstColumn="1" w:lastColumn="0" w:noHBand="0" w:noVBand="1"/>
      </w:tblPr>
      <w:tblGrid>
        <w:gridCol w:w="1395"/>
        <w:gridCol w:w="1435"/>
        <w:gridCol w:w="6186"/>
      </w:tblGrid>
      <w:tr w:rsidR="3BF970E3" w:rsidRPr="00142568" w14:paraId="0960A06E" w14:textId="77777777" w:rsidTr="11494138">
        <w:trPr>
          <w:trHeight w:val="73"/>
        </w:trPr>
        <w:tc>
          <w:tcPr>
            <w:tcW w:w="1395" w:type="dxa"/>
            <w:shd w:val="clear" w:color="auto" w:fill="FEEBB9" w:themeFill="accent2" w:themeFillTint="66"/>
            <w:vAlign w:val="center"/>
          </w:tcPr>
          <w:p w14:paraId="0634ABF8" w14:textId="77777777" w:rsidR="3BF970E3" w:rsidRPr="00142568" w:rsidRDefault="3BF970E3" w:rsidP="00142568">
            <w:pPr>
              <w:pStyle w:val="NormalWeb"/>
              <w:keepNext/>
              <w:keepLines/>
              <w:spacing w:before="0" w:beforeAutospacing="0" w:after="0" w:afterAutospacing="0"/>
              <w:contextualSpacing/>
              <w:rPr>
                <w:rFonts w:ascii="Calibri" w:hAnsi="Calibri" w:cs="Calibri"/>
                <w:sz w:val="22"/>
                <w:szCs w:val="22"/>
              </w:rPr>
            </w:pPr>
            <w:r w:rsidRPr="00142568">
              <w:rPr>
                <w:rFonts w:ascii="Calibri" w:hAnsi="Calibri" w:cs="Calibri"/>
                <w:sz w:val="22"/>
                <w:szCs w:val="22"/>
              </w:rPr>
              <w:t>Practice</w:t>
            </w:r>
          </w:p>
        </w:tc>
        <w:tc>
          <w:tcPr>
            <w:tcW w:w="1435" w:type="dxa"/>
            <w:shd w:val="clear" w:color="auto" w:fill="FEEBB9" w:themeFill="accent2" w:themeFillTint="66"/>
            <w:vAlign w:val="center"/>
          </w:tcPr>
          <w:p w14:paraId="0286C230" w14:textId="77777777" w:rsidR="3BF970E3" w:rsidRPr="00142568" w:rsidRDefault="3BF970E3" w:rsidP="00142568">
            <w:pPr>
              <w:pStyle w:val="NormalWeb"/>
              <w:keepNext/>
              <w:keepLines/>
              <w:spacing w:before="0" w:beforeAutospacing="0" w:after="0" w:afterAutospacing="0"/>
              <w:contextualSpacing/>
              <w:rPr>
                <w:rFonts w:ascii="Calibri" w:hAnsi="Calibri" w:cs="Calibri"/>
                <w:sz w:val="22"/>
                <w:szCs w:val="22"/>
              </w:rPr>
            </w:pPr>
            <w:r w:rsidRPr="00142568">
              <w:rPr>
                <w:rFonts w:ascii="Calibri" w:hAnsi="Calibri" w:cs="Calibri"/>
                <w:sz w:val="22"/>
                <w:szCs w:val="22"/>
              </w:rPr>
              <w:t>Evidence</w:t>
            </w:r>
          </w:p>
        </w:tc>
        <w:tc>
          <w:tcPr>
            <w:tcW w:w="6186" w:type="dxa"/>
            <w:shd w:val="clear" w:color="auto" w:fill="FEEBB9" w:themeFill="accent2" w:themeFillTint="66"/>
            <w:vAlign w:val="center"/>
          </w:tcPr>
          <w:p w14:paraId="129F51CC" w14:textId="77777777" w:rsidR="3BF970E3" w:rsidRPr="00142568" w:rsidRDefault="3BF970E3" w:rsidP="00142568">
            <w:pPr>
              <w:pStyle w:val="NormalWeb"/>
              <w:keepNext/>
              <w:keepLines/>
              <w:spacing w:before="0" w:beforeAutospacing="0" w:after="0" w:afterAutospacing="0"/>
              <w:contextualSpacing/>
              <w:rPr>
                <w:rFonts w:ascii="Calibri" w:hAnsi="Calibri" w:cs="Calibri"/>
                <w:sz w:val="22"/>
                <w:szCs w:val="22"/>
              </w:rPr>
            </w:pPr>
            <w:r w:rsidRPr="00142568">
              <w:rPr>
                <w:rFonts w:ascii="Calibri" w:hAnsi="Calibri" w:cs="Calibri"/>
                <w:sz w:val="22"/>
                <w:szCs w:val="22"/>
              </w:rPr>
              <w:t>Studies conducted across various locations suggest that it:</w:t>
            </w:r>
          </w:p>
        </w:tc>
      </w:tr>
      <w:tr w:rsidR="3BF970E3" w:rsidRPr="00142568" w14:paraId="40E541F9" w14:textId="77777777" w:rsidTr="11494138">
        <w:trPr>
          <w:trHeight w:val="300"/>
        </w:trPr>
        <w:tc>
          <w:tcPr>
            <w:tcW w:w="1395" w:type="dxa"/>
          </w:tcPr>
          <w:p w14:paraId="1D8BCBBD" w14:textId="77777777" w:rsidR="3BF970E3" w:rsidRPr="00142568" w:rsidRDefault="3BF970E3" w:rsidP="00142568">
            <w:pPr>
              <w:pStyle w:val="NormalWeb"/>
              <w:keepNext/>
              <w:spacing w:after="120" w:afterAutospacing="0"/>
              <w:contextualSpacing/>
              <w:jc w:val="both"/>
              <w:rPr>
                <w:rFonts w:ascii="Calibri" w:hAnsi="Calibri" w:cs="Calibri"/>
                <w:color w:val="221F20"/>
                <w:sz w:val="22"/>
                <w:szCs w:val="22"/>
              </w:rPr>
            </w:pPr>
            <w:r w:rsidRPr="00142568">
              <w:rPr>
                <w:rFonts w:ascii="Calibri" w:hAnsi="Calibri" w:cs="Calibri"/>
                <w:color w:val="221F20"/>
                <w:sz w:val="22"/>
                <w:szCs w:val="22"/>
              </w:rPr>
              <w:t>Mastery Learning</w:t>
            </w:r>
          </w:p>
        </w:tc>
        <w:tc>
          <w:tcPr>
            <w:tcW w:w="1435" w:type="dxa"/>
          </w:tcPr>
          <w:p w14:paraId="5C5F4BDA" w14:textId="77777777" w:rsidR="3BF970E3" w:rsidRPr="00142568" w:rsidRDefault="00665C13" w:rsidP="00142568">
            <w:pPr>
              <w:pStyle w:val="NormalWeb"/>
              <w:keepNext/>
              <w:spacing w:after="120" w:afterAutospacing="0"/>
              <w:contextualSpacing/>
              <w:rPr>
                <w:rFonts w:ascii="Calibri" w:hAnsi="Calibri" w:cs="Calibri"/>
                <w:color w:val="004F9E" w:themeColor="text2"/>
                <w:sz w:val="22"/>
                <w:szCs w:val="22"/>
              </w:rPr>
            </w:pPr>
            <w:hyperlink r:id="rId37">
              <w:r w:rsidR="3BF970E3" w:rsidRPr="00142568">
                <w:rPr>
                  <w:rStyle w:val="Hyperlink"/>
                  <w:rFonts w:ascii="Calibri" w:eastAsiaTheme="majorEastAsia" w:hAnsi="Calibri" w:cs="Calibri"/>
                  <w:color w:val="004F9E" w:themeColor="text2"/>
                  <w:sz w:val="22"/>
                  <w:szCs w:val="22"/>
                </w:rPr>
                <w:t>AERO conducted a review of 81 studies</w:t>
              </w:r>
            </w:hyperlink>
            <w:r w:rsidR="3BF970E3" w:rsidRPr="00142568">
              <w:rPr>
                <w:rFonts w:ascii="Calibri" w:hAnsi="Calibri" w:cs="Calibri"/>
                <w:color w:val="004F9E" w:themeColor="text2"/>
                <w:sz w:val="22"/>
                <w:szCs w:val="22"/>
              </w:rPr>
              <w:t>.</w:t>
            </w:r>
          </w:p>
        </w:tc>
        <w:tc>
          <w:tcPr>
            <w:tcW w:w="6186" w:type="dxa"/>
          </w:tcPr>
          <w:p w14:paraId="1FBCD3FE" w14:textId="77777777" w:rsidR="3BF970E3" w:rsidRPr="00142568" w:rsidRDefault="3BF970E3" w:rsidP="007D6F33">
            <w:pPr>
              <w:keepNext/>
              <w:numPr>
                <w:ilvl w:val="0"/>
                <w:numId w:val="28"/>
              </w:numPr>
              <w:shd w:val="clear" w:color="auto" w:fill="FFFFFF" w:themeFill="accent6"/>
              <w:tabs>
                <w:tab w:val="clear" w:pos="720"/>
              </w:tabs>
              <w:spacing w:beforeAutospacing="1" w:after="120"/>
              <w:ind w:left="337" w:hanging="283"/>
              <w:contextualSpacing/>
              <w:rPr>
                <w:rFonts w:ascii="Calibri" w:hAnsi="Calibri" w:cs="Calibri"/>
                <w:color w:val="221F20"/>
              </w:rPr>
            </w:pPr>
            <w:r w:rsidRPr="00142568">
              <w:rPr>
                <w:rFonts w:ascii="Calibri" w:hAnsi="Calibri" w:cs="Calibri"/>
                <w:color w:val="221F20"/>
              </w:rPr>
              <w:t>has a positive impact on achievement in mathematics, sciences, social studies, and English and foreign languages</w:t>
            </w:r>
          </w:p>
          <w:p w14:paraId="5253DD21" w14:textId="77777777" w:rsidR="3BF970E3" w:rsidRPr="00142568" w:rsidRDefault="3BF970E3" w:rsidP="007D6F33">
            <w:pPr>
              <w:keepNext/>
              <w:numPr>
                <w:ilvl w:val="0"/>
                <w:numId w:val="28"/>
              </w:numPr>
              <w:shd w:val="clear" w:color="auto" w:fill="FFFFFF" w:themeFill="accent6"/>
              <w:tabs>
                <w:tab w:val="clear" w:pos="720"/>
              </w:tabs>
              <w:spacing w:beforeAutospacing="1" w:after="120"/>
              <w:ind w:left="337" w:hanging="283"/>
              <w:contextualSpacing/>
              <w:rPr>
                <w:rFonts w:ascii="Calibri" w:hAnsi="Calibri" w:cs="Calibri"/>
                <w:color w:val="221F20"/>
              </w:rPr>
            </w:pPr>
            <w:r w:rsidRPr="00142568">
              <w:rPr>
                <w:rFonts w:ascii="Calibri" w:hAnsi="Calibri" w:cs="Calibri"/>
                <w:color w:val="221F20"/>
              </w:rPr>
              <w:t>works for primary and secondary students</w:t>
            </w:r>
          </w:p>
          <w:p w14:paraId="6110A5CA" w14:textId="77777777" w:rsidR="3BF970E3" w:rsidRPr="00142568" w:rsidRDefault="3BF970E3" w:rsidP="007D6F33">
            <w:pPr>
              <w:keepNext/>
              <w:numPr>
                <w:ilvl w:val="0"/>
                <w:numId w:val="28"/>
              </w:numPr>
              <w:shd w:val="clear" w:color="auto" w:fill="FFFFFF" w:themeFill="accent6"/>
              <w:tabs>
                <w:tab w:val="clear" w:pos="720"/>
              </w:tabs>
              <w:spacing w:beforeAutospacing="1" w:after="120"/>
              <w:ind w:left="337" w:hanging="283"/>
              <w:contextualSpacing/>
              <w:rPr>
                <w:rFonts w:ascii="Calibri" w:hAnsi="Calibri" w:cs="Calibri"/>
                <w:color w:val="221F20"/>
              </w:rPr>
            </w:pPr>
            <w:r w:rsidRPr="00142568">
              <w:rPr>
                <w:rFonts w:ascii="Calibri" w:hAnsi="Calibri" w:cs="Calibri"/>
                <w:color w:val="221F20"/>
              </w:rPr>
              <w:t>is effective particularly for lower achieving students, with higher achieving students also benefitting.</w:t>
            </w:r>
          </w:p>
        </w:tc>
      </w:tr>
      <w:tr w:rsidR="3BF970E3" w:rsidRPr="00142568" w14:paraId="360A5FD8" w14:textId="77777777" w:rsidTr="11494138">
        <w:trPr>
          <w:trHeight w:val="300"/>
        </w:trPr>
        <w:tc>
          <w:tcPr>
            <w:tcW w:w="1395" w:type="dxa"/>
          </w:tcPr>
          <w:p w14:paraId="1E98A01B" w14:textId="77777777" w:rsidR="3BF970E3" w:rsidRPr="00142568" w:rsidRDefault="3BF970E3" w:rsidP="00142568">
            <w:pPr>
              <w:pStyle w:val="NormalWeb"/>
              <w:keepNext/>
              <w:spacing w:after="120" w:afterAutospacing="0"/>
              <w:contextualSpacing/>
              <w:jc w:val="both"/>
              <w:rPr>
                <w:rFonts w:ascii="Calibri" w:hAnsi="Calibri" w:cs="Calibri"/>
                <w:color w:val="221F20"/>
                <w:sz w:val="22"/>
                <w:szCs w:val="22"/>
              </w:rPr>
            </w:pPr>
            <w:r w:rsidRPr="00142568">
              <w:rPr>
                <w:rFonts w:ascii="Calibri" w:hAnsi="Calibri" w:cs="Calibri"/>
                <w:color w:val="221F20"/>
                <w:sz w:val="22"/>
                <w:szCs w:val="22"/>
              </w:rPr>
              <w:t>Formative Assessment</w:t>
            </w:r>
          </w:p>
        </w:tc>
        <w:tc>
          <w:tcPr>
            <w:tcW w:w="1435" w:type="dxa"/>
          </w:tcPr>
          <w:p w14:paraId="0C9A7D95" w14:textId="77777777" w:rsidR="3BF970E3" w:rsidRPr="00142568" w:rsidRDefault="00665C13" w:rsidP="00142568">
            <w:pPr>
              <w:pStyle w:val="NormalWeb"/>
              <w:keepNext/>
              <w:spacing w:after="120" w:afterAutospacing="0"/>
              <w:contextualSpacing/>
              <w:rPr>
                <w:rFonts w:ascii="Calibri" w:hAnsi="Calibri" w:cs="Calibri"/>
                <w:color w:val="004F9E" w:themeColor="text2"/>
                <w:sz w:val="22"/>
                <w:szCs w:val="22"/>
              </w:rPr>
            </w:pPr>
            <w:hyperlink r:id="rId38">
              <w:r w:rsidR="3BF970E3" w:rsidRPr="00142568">
                <w:rPr>
                  <w:rStyle w:val="Hyperlink"/>
                  <w:rFonts w:ascii="Calibri" w:eastAsiaTheme="majorEastAsia" w:hAnsi="Calibri" w:cs="Calibri"/>
                  <w:color w:val="004F9E" w:themeColor="text2"/>
                  <w:sz w:val="22"/>
                  <w:szCs w:val="22"/>
                </w:rPr>
                <w:t>AERO conducted a review of 138 studies</w:t>
              </w:r>
            </w:hyperlink>
            <w:r w:rsidR="3BF970E3" w:rsidRPr="00142568">
              <w:rPr>
                <w:rFonts w:ascii="Calibri" w:hAnsi="Calibri" w:cs="Calibri"/>
                <w:color w:val="004F9E" w:themeColor="text2"/>
                <w:sz w:val="22"/>
                <w:szCs w:val="22"/>
              </w:rPr>
              <w:t>.</w:t>
            </w:r>
          </w:p>
        </w:tc>
        <w:tc>
          <w:tcPr>
            <w:tcW w:w="6186" w:type="dxa"/>
          </w:tcPr>
          <w:p w14:paraId="12359308" w14:textId="77777777" w:rsidR="3BF970E3" w:rsidRPr="00142568" w:rsidRDefault="3BF970E3" w:rsidP="007D6F33">
            <w:pPr>
              <w:pStyle w:val="NormalWeb"/>
              <w:keepNext/>
              <w:numPr>
                <w:ilvl w:val="0"/>
                <w:numId w:val="29"/>
              </w:numPr>
              <w:shd w:val="clear" w:color="auto" w:fill="FFFFFF" w:themeFill="accent6"/>
              <w:tabs>
                <w:tab w:val="clear" w:pos="720"/>
              </w:tabs>
              <w:spacing w:before="0" w:beforeAutospacing="0" w:after="120" w:afterAutospacing="0"/>
              <w:ind w:left="337" w:hanging="283"/>
              <w:contextualSpacing/>
              <w:rPr>
                <w:rFonts w:ascii="Calibri" w:hAnsi="Calibri" w:cs="Calibri"/>
                <w:color w:val="221F20"/>
                <w:sz w:val="22"/>
                <w:szCs w:val="22"/>
              </w:rPr>
            </w:pPr>
            <w:r w:rsidRPr="00142568">
              <w:rPr>
                <w:rFonts w:ascii="Calibri" w:hAnsi="Calibri" w:cs="Calibri"/>
                <w:color w:val="221F20"/>
                <w:sz w:val="22"/>
                <w:szCs w:val="22"/>
              </w:rPr>
              <w:t>has a positive impact on student achievement in mathematics, reading, writing, social science, and foreign languages</w:t>
            </w:r>
          </w:p>
          <w:p w14:paraId="2EC4C049" w14:textId="77777777" w:rsidR="3BF970E3" w:rsidRPr="00142568" w:rsidRDefault="3BF970E3" w:rsidP="007D6F33">
            <w:pPr>
              <w:pStyle w:val="NormalWeb"/>
              <w:keepNext/>
              <w:numPr>
                <w:ilvl w:val="0"/>
                <w:numId w:val="29"/>
              </w:numPr>
              <w:shd w:val="clear" w:color="auto" w:fill="FFFFFF" w:themeFill="accent6"/>
              <w:tabs>
                <w:tab w:val="clear" w:pos="720"/>
              </w:tabs>
              <w:spacing w:before="0" w:beforeAutospacing="0" w:after="120" w:afterAutospacing="0"/>
              <w:ind w:left="337" w:hanging="283"/>
              <w:contextualSpacing/>
              <w:rPr>
                <w:rFonts w:ascii="Calibri" w:hAnsi="Calibri" w:cs="Calibri"/>
                <w:color w:val="221F20"/>
                <w:sz w:val="22"/>
                <w:szCs w:val="22"/>
              </w:rPr>
            </w:pPr>
            <w:r w:rsidRPr="00142568">
              <w:rPr>
                <w:rFonts w:ascii="Calibri" w:hAnsi="Calibri" w:cs="Calibri"/>
                <w:color w:val="221F20"/>
                <w:sz w:val="22"/>
                <w:szCs w:val="22"/>
              </w:rPr>
              <w:t>works for primary and secondary students </w:t>
            </w:r>
          </w:p>
          <w:p w14:paraId="70D0D665" w14:textId="77777777" w:rsidR="3BF970E3" w:rsidRPr="00142568" w:rsidRDefault="3BF970E3" w:rsidP="007D6F33">
            <w:pPr>
              <w:pStyle w:val="NormalWeb"/>
              <w:keepNext/>
              <w:numPr>
                <w:ilvl w:val="0"/>
                <w:numId w:val="29"/>
              </w:numPr>
              <w:shd w:val="clear" w:color="auto" w:fill="FFFFFF" w:themeFill="accent6"/>
              <w:tabs>
                <w:tab w:val="clear" w:pos="720"/>
              </w:tabs>
              <w:spacing w:before="0" w:beforeAutospacing="0" w:after="120" w:afterAutospacing="0"/>
              <w:ind w:left="337" w:hanging="283"/>
              <w:contextualSpacing/>
              <w:rPr>
                <w:rFonts w:ascii="Calibri" w:hAnsi="Calibri" w:cs="Calibri"/>
                <w:color w:val="221F20"/>
                <w:sz w:val="22"/>
                <w:szCs w:val="22"/>
              </w:rPr>
            </w:pPr>
            <w:r w:rsidRPr="00142568">
              <w:rPr>
                <w:rFonts w:ascii="Calibri" w:hAnsi="Calibri" w:cs="Calibri"/>
                <w:color w:val="221F20"/>
                <w:sz w:val="22"/>
                <w:szCs w:val="22"/>
              </w:rPr>
              <w:t>benefits students with and without additional learning needs. </w:t>
            </w:r>
          </w:p>
        </w:tc>
      </w:tr>
      <w:tr w:rsidR="3BF970E3" w:rsidRPr="00142568" w14:paraId="695E24A9" w14:textId="77777777" w:rsidTr="11494138">
        <w:trPr>
          <w:trHeight w:val="364"/>
        </w:trPr>
        <w:tc>
          <w:tcPr>
            <w:tcW w:w="1395" w:type="dxa"/>
          </w:tcPr>
          <w:p w14:paraId="3EC3EBE3" w14:textId="77777777" w:rsidR="3BF970E3" w:rsidRPr="00142568" w:rsidRDefault="3BF970E3" w:rsidP="00142568">
            <w:pPr>
              <w:pStyle w:val="NormalWeb"/>
              <w:keepNext/>
              <w:spacing w:after="120" w:afterAutospacing="0"/>
              <w:contextualSpacing/>
              <w:jc w:val="both"/>
              <w:rPr>
                <w:rFonts w:ascii="Calibri" w:hAnsi="Calibri" w:cs="Calibri"/>
                <w:color w:val="221F20"/>
                <w:sz w:val="22"/>
                <w:szCs w:val="22"/>
              </w:rPr>
            </w:pPr>
            <w:r w:rsidRPr="00142568">
              <w:rPr>
                <w:rFonts w:ascii="Calibri" w:hAnsi="Calibri" w:cs="Calibri"/>
                <w:color w:val="221F20"/>
                <w:sz w:val="22"/>
                <w:szCs w:val="22"/>
              </w:rPr>
              <w:t>Explicit Instruction</w:t>
            </w:r>
          </w:p>
        </w:tc>
        <w:tc>
          <w:tcPr>
            <w:tcW w:w="1435" w:type="dxa"/>
          </w:tcPr>
          <w:p w14:paraId="79FF1CDE" w14:textId="77777777" w:rsidR="3BF970E3" w:rsidRPr="00142568" w:rsidRDefault="00665C13" w:rsidP="00142568">
            <w:pPr>
              <w:pStyle w:val="NormalWeb"/>
              <w:keepNext/>
              <w:spacing w:after="120" w:afterAutospacing="0"/>
              <w:contextualSpacing/>
              <w:rPr>
                <w:rFonts w:ascii="Calibri" w:hAnsi="Calibri" w:cs="Calibri"/>
                <w:color w:val="004F9E" w:themeColor="text2"/>
                <w:sz w:val="22"/>
                <w:szCs w:val="22"/>
              </w:rPr>
            </w:pPr>
            <w:hyperlink r:id="rId39">
              <w:r w:rsidR="3BF970E3" w:rsidRPr="00142568">
                <w:rPr>
                  <w:rStyle w:val="Hyperlink"/>
                  <w:rFonts w:ascii="Calibri" w:eastAsiaTheme="majorEastAsia" w:hAnsi="Calibri" w:cs="Calibri"/>
                  <w:color w:val="004F9E" w:themeColor="text2"/>
                  <w:sz w:val="22"/>
                  <w:szCs w:val="22"/>
                </w:rPr>
                <w:t>AERO conducted a review of more than 328 studies</w:t>
              </w:r>
            </w:hyperlink>
            <w:r w:rsidR="3BF970E3" w:rsidRPr="00142568">
              <w:rPr>
                <w:rFonts w:ascii="Calibri" w:hAnsi="Calibri" w:cs="Calibri"/>
                <w:color w:val="004F9E" w:themeColor="text2"/>
                <w:sz w:val="22"/>
                <w:szCs w:val="22"/>
              </w:rPr>
              <w:t>.</w:t>
            </w:r>
          </w:p>
        </w:tc>
        <w:tc>
          <w:tcPr>
            <w:tcW w:w="6186" w:type="dxa"/>
          </w:tcPr>
          <w:p w14:paraId="59525542" w14:textId="77777777" w:rsidR="3BF970E3" w:rsidRPr="00142568" w:rsidRDefault="3BF970E3" w:rsidP="007D6F33">
            <w:pPr>
              <w:keepNext/>
              <w:numPr>
                <w:ilvl w:val="0"/>
                <w:numId w:val="30"/>
              </w:numPr>
              <w:shd w:val="clear" w:color="auto" w:fill="FFFFFF" w:themeFill="accent6"/>
              <w:tabs>
                <w:tab w:val="clear" w:pos="720"/>
              </w:tabs>
              <w:spacing w:beforeAutospacing="1" w:after="120"/>
              <w:ind w:left="337" w:hanging="283"/>
              <w:contextualSpacing/>
              <w:rPr>
                <w:rFonts w:ascii="Calibri" w:hAnsi="Calibri" w:cs="Calibri"/>
                <w:color w:val="221F20"/>
              </w:rPr>
            </w:pPr>
            <w:r w:rsidRPr="00142568">
              <w:rPr>
                <w:rFonts w:ascii="Calibri" w:hAnsi="Calibri" w:cs="Calibri"/>
                <w:color w:val="221F20"/>
              </w:rPr>
              <w:t>has a positive impact on student achievement in mathematics, reading, spelling, problem-solving and science  </w:t>
            </w:r>
          </w:p>
          <w:p w14:paraId="56676EE7" w14:textId="77777777" w:rsidR="3BF970E3" w:rsidRPr="00142568" w:rsidRDefault="3BF970E3" w:rsidP="007D6F33">
            <w:pPr>
              <w:keepNext/>
              <w:numPr>
                <w:ilvl w:val="0"/>
                <w:numId w:val="30"/>
              </w:numPr>
              <w:shd w:val="clear" w:color="auto" w:fill="FFFFFF" w:themeFill="accent6"/>
              <w:tabs>
                <w:tab w:val="clear" w:pos="720"/>
              </w:tabs>
              <w:spacing w:beforeAutospacing="1" w:after="120"/>
              <w:ind w:left="337" w:hanging="283"/>
              <w:contextualSpacing/>
              <w:rPr>
                <w:rFonts w:ascii="Calibri" w:hAnsi="Calibri" w:cs="Calibri"/>
                <w:color w:val="221F20"/>
              </w:rPr>
            </w:pPr>
            <w:r w:rsidRPr="00142568">
              <w:rPr>
                <w:rFonts w:ascii="Calibri" w:hAnsi="Calibri" w:cs="Calibri"/>
                <w:color w:val="221F20"/>
              </w:rPr>
              <w:t>works for primary and secondary students</w:t>
            </w:r>
          </w:p>
          <w:p w14:paraId="76E60114" w14:textId="77777777" w:rsidR="3BF970E3" w:rsidRPr="00142568" w:rsidRDefault="3BF970E3" w:rsidP="007D6F33">
            <w:pPr>
              <w:keepNext/>
              <w:keepLines/>
              <w:numPr>
                <w:ilvl w:val="0"/>
                <w:numId w:val="30"/>
              </w:numPr>
              <w:shd w:val="clear" w:color="auto" w:fill="FFFFFF" w:themeFill="accent6"/>
              <w:tabs>
                <w:tab w:val="clear" w:pos="720"/>
              </w:tabs>
              <w:spacing w:beforeAutospacing="1" w:after="120"/>
              <w:ind w:left="341" w:hanging="284"/>
              <w:contextualSpacing/>
              <w:rPr>
                <w:rFonts w:ascii="Calibri" w:hAnsi="Calibri" w:cs="Calibri"/>
                <w:color w:val="221F20"/>
              </w:rPr>
            </w:pPr>
            <w:r w:rsidRPr="00142568">
              <w:rPr>
                <w:rFonts w:ascii="Calibri" w:hAnsi="Calibri" w:cs="Calibri"/>
                <w:color w:val="221F20"/>
              </w:rPr>
              <w:t>benefits students with and without additional learning needs. </w:t>
            </w:r>
          </w:p>
        </w:tc>
      </w:tr>
    </w:tbl>
    <w:p w14:paraId="52B6CCC4" w14:textId="77777777" w:rsidR="00142568" w:rsidRDefault="00142568" w:rsidP="00142568">
      <w:pPr>
        <w:spacing w:before="240" w:after="120" w:line="240" w:lineRule="auto"/>
        <w:contextualSpacing/>
      </w:pPr>
    </w:p>
    <w:p w14:paraId="6E6F921B" w14:textId="79D85E42" w:rsidR="00142568" w:rsidRDefault="18C59E8D" w:rsidP="00694487">
      <w:pPr>
        <w:spacing w:after="120" w:line="240" w:lineRule="auto"/>
      </w:pPr>
      <w:r>
        <w:t>Evidence-based pedagogical practices can be used along a sliding scale of tiered support that increases in intensity to meet the individual needs of learners and support them on their journey towards mastery. The evidence points to the use of a multi-tiered system of support (MTSS) framework to do this. MTSS uses a combination of evidence-based teaching practices, data-based decision making and ongoing progress monitoring to provide targeted support to students who are struggling with general whole class instruction. The evidence shows that when instruction is high-quality, the use of this framework is highly effective. Furthermore, meta-analyses have found that when general whole class instruction is based on the evidence-based effective practices outlined above, an average of 80</w:t>
      </w:r>
      <w:r w:rsidR="00F057F7">
        <w:t xml:space="preserve"> per cent</w:t>
      </w:r>
      <w:r>
        <w:t xml:space="preserve"> of students were able to meet intended learning progress goals with the remaining 20</w:t>
      </w:r>
      <w:r w:rsidR="00F057F7">
        <w:t xml:space="preserve"> per cent</w:t>
      </w:r>
      <w:r>
        <w:t xml:space="preserve"> benefiting from effective targeted and timely small group interventions, and only 6</w:t>
      </w:r>
      <w:r w:rsidR="00F057F7">
        <w:t xml:space="preserve"> per cent</w:t>
      </w:r>
      <w:r>
        <w:t xml:space="preserve"> of these students needed more intensive and individualised intervention </w:t>
      </w:r>
      <w:r w:rsidRPr="3BF970E3">
        <w:rPr>
          <w:color w:val="2B579A"/>
        </w:rPr>
        <w:fldChar w:fldCharType="begin"/>
      </w:r>
      <w:r>
        <w:instrText xml:space="preserve"> ADDIN ZOTERO_ITEM CSL_CITATION {"citationID":"QFOSjwy3","properties":{"formattedCitation":"(Burns and Symington 2002; Burns et al. 2005)","plainCitation":"(Burns and Symington 2002; Burns et al. 2005)","noteIndex":0},"citationItems":[{"id":17066,"uris":["http://zotero.org/users/10928664/items/7QXP3PBD"],"itemData":{"id":17066,"type":"article-journal","abstract":"Although prereferral intervention teams (PIT) are common in public schools, there is little and conflicting research to support them. The current article conducted an empirical meta-analysis of research on PITs by reviewing 72 articles. Nine of the articles matched the inclusion criteria for the study and 57 effect size (ES) coefficients were computed, which resulted in a mean ES of 1.10. The studies were further broken down by category of dependent variable (DV), and resulted in a mean ES of 1.15 for student outcomes and 0.90 for systemic outcomes. PITs that were implemented by university faculty resulted in a mean ES of 1.32, but field-based PITs resulted in a mean ES of only .54. Studies that used random assignment resulted in higher ES coefficients than those that used nonrandom assignment. Implications for research and cautious suggestions for practice are discussed.","container-title":"Journal of School Psychology","DOI":"10.1016/S0022-4405(02)00106-1","ISSN":"0022-4405","issue":"5","journalAbbreviation":"Journal of School Psychology","language":"en","page":"437-447","source":"ScienceDirect","title":"A Meta-analysis of Prereferral Intervention Teams: Student and Systemic Outcomes","title-short":"A Meta-analysis of Prereferral Intervention Teams","volume":"40","author":[{"family":"Burns","given":"Matthew K"},{"family":"Symington","given":"Todd"}],"issued":{"date-parts":[["2002",9,1]]}}},{"id":17068,"uris":["http://zotero.org/users/10928664/items/RA8Z5FYR"],"itemData":{"id":17068,"type":"article-journal","abstract":"A responsiveness-to-intervention (RTI) approach to diagnosing LD is a leading alter native to current practice. This study con ducted a meta-analytic review of research on four existing large-scale RTI models and other models implemented for research. Twenty-four effect sizes and unbiased esti mates of effect (UEE) were computed. Results found a larger UEE for studies of existing RTI models than those implemented by university faculty for research, but both were strong. The UEE for student achievement and sys temic outcomes both exceeded 1.0, but the UEE for systemic outcomes among field-based RTI models was nearly twice as large as for stu dent outcomes. Further, RTI models imple mented for research led to an UEE of 1.14 for student outcomes and 0.47 for systemic out comes. The mean percentage of nonrespon ders in the studies was 19.8% (SD= 12.5), and an average of 1.68% (SD = 1.45) of the stu dent population was placed into special edu cation. Implications for practice and future research are included.","container-title":"Journal of Psychoeducational Assessment","DOI":"10.1177/073428290502300406","ISSN":"0734-2829","issue":"4","language":"en","note":"publisher: SAGE Publications Inc","page":"381-394","source":"SAGE Journals","title":"Meta-Analytic Review of Responsiveness-To- Intervention Research: Examining Field-Based and Research-Implemented Models","title-short":"Meta-Analytic Review of Responsiveness-To- Intervention Research","volume":"23","author":[{"family":"Burns","given":"Matthew K."},{"family":"Appleton","given":"James J."},{"family":"Stehouwer","given":"Jonathan D."}],"issued":{"date-parts":[["2005",12,1]]}}}],"schema":"https://github.com/citation-style-language/schema/raw/master/csl-citation.json"} </w:instrText>
      </w:r>
      <w:r w:rsidRPr="3BF970E3">
        <w:rPr>
          <w:color w:val="2B579A"/>
        </w:rPr>
        <w:fldChar w:fldCharType="separate"/>
      </w:r>
      <w:r>
        <w:t>(Burns and Symington 2002; Burns et al. 2005)</w:t>
      </w:r>
      <w:r w:rsidRPr="3BF970E3">
        <w:rPr>
          <w:color w:val="2B579A"/>
        </w:rPr>
        <w:fldChar w:fldCharType="end"/>
      </w:r>
      <w:r>
        <w:t>.</w:t>
      </w:r>
    </w:p>
    <w:p w14:paraId="0D69689A" w14:textId="1903F2B1" w:rsidR="00C139C0" w:rsidRPr="004F2D89" w:rsidRDefault="00C139C0" w:rsidP="004206BA">
      <w:pPr>
        <w:spacing w:before="240" w:after="0" w:line="240" w:lineRule="auto"/>
        <w:rPr>
          <w:rFonts w:ascii="Calibri" w:hAnsi="Calibri" w:cs="Calibri"/>
          <w:b/>
          <w:bCs/>
          <w:i/>
          <w:iCs/>
        </w:rPr>
      </w:pPr>
      <w:r w:rsidRPr="00441DCC">
        <w:rPr>
          <w:b/>
          <w:sz w:val="26"/>
          <w:szCs w:val="26"/>
          <w:lang w:eastAsia="en-AU"/>
        </w:rPr>
        <w:t xml:space="preserve">What should </w:t>
      </w:r>
      <w:r w:rsidR="003F6386">
        <w:rPr>
          <w:b/>
          <w:sz w:val="26"/>
          <w:szCs w:val="26"/>
          <w:lang w:eastAsia="en-AU"/>
        </w:rPr>
        <w:t>ITE students</w:t>
      </w:r>
      <w:r w:rsidRPr="00441DCC">
        <w:rPr>
          <w:b/>
          <w:sz w:val="26"/>
          <w:szCs w:val="26"/>
          <w:lang w:eastAsia="en-AU"/>
        </w:rPr>
        <w:t xml:space="preserve"> learn</w:t>
      </w:r>
      <w:r w:rsidR="001B6229">
        <w:rPr>
          <w:b/>
          <w:sz w:val="26"/>
          <w:szCs w:val="26"/>
          <w:lang w:eastAsia="en-AU"/>
        </w:rPr>
        <w:t xml:space="preserve"> in this practice</w:t>
      </w:r>
      <w:r w:rsidRPr="00441DCC">
        <w:rPr>
          <w:b/>
          <w:sz w:val="26"/>
          <w:szCs w:val="26"/>
          <w:lang w:eastAsia="en-AU"/>
        </w:rPr>
        <w:t xml:space="preserve">? </w:t>
      </w:r>
    </w:p>
    <w:p w14:paraId="1FDE9DE2" w14:textId="33577512" w:rsidR="00C139C0" w:rsidRPr="00497B48" w:rsidRDefault="00380B5B" w:rsidP="00C139C0">
      <w:pPr>
        <w:spacing w:after="120" w:line="240" w:lineRule="auto"/>
      </w:pPr>
      <w:r>
        <w:t>ITE students</w:t>
      </w:r>
      <w:r w:rsidR="00C139C0" w:rsidRPr="00497B48">
        <w:t xml:space="preserve"> should learn the most effective classroom </w:t>
      </w:r>
      <w:r w:rsidR="00951C4A">
        <w:t xml:space="preserve">practices and </w:t>
      </w:r>
      <w:r w:rsidR="00C139C0" w:rsidRPr="00497B48">
        <w:t xml:space="preserve">strategies for student learning and knowledge acquisition. These </w:t>
      </w:r>
      <w:r w:rsidR="00951C4A">
        <w:t>practices</w:t>
      </w:r>
      <w:r w:rsidR="00C139C0" w:rsidRPr="00497B48">
        <w:t xml:space="preserve"> are responsive to cognitive science that details how a student’s brain learns. </w:t>
      </w:r>
      <w:r w:rsidR="00C139C0">
        <w:t>The e</w:t>
      </w:r>
      <w:r w:rsidR="00C139C0" w:rsidRPr="00497B48">
        <w:t xml:space="preserve">ffective pedagogical practices defined </w:t>
      </w:r>
      <w:r w:rsidR="00C73E90">
        <w:t xml:space="preserve">in this </w:t>
      </w:r>
      <w:r w:rsidR="003E60EB">
        <w:t>paper</w:t>
      </w:r>
      <w:r w:rsidR="00C139C0" w:rsidRPr="00497B48">
        <w:t xml:space="preserve"> are inclusive only of </w:t>
      </w:r>
      <w:r w:rsidR="00DF0349">
        <w:t>practices</w:t>
      </w:r>
      <w:r w:rsidR="00C139C0" w:rsidRPr="00497B48">
        <w:t xml:space="preserve"> that directly relate to the learning, retention, and application of curriculum content. It does </w:t>
      </w:r>
      <w:r w:rsidR="00C139C0" w:rsidRPr="00497B48">
        <w:lastRenderedPageBreak/>
        <w:t xml:space="preserve">not seek to describe broader influences, </w:t>
      </w:r>
      <w:r w:rsidR="00C139C0">
        <w:t>content knowledge</w:t>
      </w:r>
      <w:r w:rsidR="00C139C0" w:rsidRPr="00497B48">
        <w:t>, family and community engagement practices or other enabling factors that foster engaged learning environments</w:t>
      </w:r>
      <w:r w:rsidR="00FA6594">
        <w:t>.</w:t>
      </w:r>
    </w:p>
    <w:p w14:paraId="3A5BBAF2" w14:textId="7CA51258" w:rsidR="00C139C0" w:rsidRPr="00B9242D" w:rsidRDefault="00F46831" w:rsidP="00B74221">
      <w:pPr>
        <w:spacing w:after="120" w:line="240" w:lineRule="auto"/>
        <w:jc w:val="both"/>
      </w:pPr>
      <w:r>
        <w:t xml:space="preserve">Effective pedagogical practices </w:t>
      </w:r>
      <w:r w:rsidR="00CC22BD">
        <w:t>comprise</w:t>
      </w:r>
      <w:r w:rsidR="00C139C0" w:rsidRPr="00497B48">
        <w:t xml:space="preserve"> three key areas that teachers need to know</w:t>
      </w:r>
      <w:r w:rsidR="00CC22BD">
        <w:t xml:space="preserve">: most effective practices; effective practices in subject areas; and </w:t>
      </w:r>
      <w:r w:rsidR="00043A1E">
        <w:t>MTSS</w:t>
      </w:r>
      <w:r w:rsidR="00C139C0">
        <w:t xml:space="preserve">, as outlined in </w:t>
      </w:r>
      <w:r w:rsidR="00C139C0" w:rsidRPr="00F8043B">
        <w:t xml:space="preserve">Figure 1.2 </w:t>
      </w:r>
      <w:r w:rsidR="00C139C0">
        <w:t>below</w:t>
      </w:r>
      <w:r w:rsidR="00281C68">
        <w:t xml:space="preserve">. </w:t>
      </w:r>
    </w:p>
    <w:p w14:paraId="181EDFD9" w14:textId="6C8B06C8" w:rsidR="00C139C0" w:rsidRPr="008A6F13" w:rsidRDefault="0020767D" w:rsidP="008A6F13">
      <w:pPr>
        <w:pStyle w:val="Caption"/>
        <w:spacing w:after="0"/>
        <w:rPr>
          <w:b w:val="0"/>
        </w:rPr>
      </w:pPr>
      <w:r>
        <w:rPr>
          <w:noProof/>
        </w:rPr>
        <mc:AlternateContent>
          <mc:Choice Requires="wpg">
            <w:drawing>
              <wp:anchor distT="0" distB="0" distL="114300" distR="114300" simplePos="0" relativeHeight="251658247" behindDoc="0" locked="0" layoutInCell="1" allowOverlap="1" wp14:anchorId="614F91D5" wp14:editId="58C9B6C8">
                <wp:simplePos x="0" y="0"/>
                <wp:positionH relativeFrom="column">
                  <wp:posOffset>-381000</wp:posOffset>
                </wp:positionH>
                <wp:positionV relativeFrom="paragraph">
                  <wp:posOffset>317500</wp:posOffset>
                </wp:positionV>
                <wp:extent cx="6486525" cy="2485390"/>
                <wp:effectExtent l="0" t="0" r="0" b="0"/>
                <wp:wrapSquare wrapText="bothSides"/>
                <wp:docPr id="2088648203" name="Group 2088648203"/>
                <wp:cNvGraphicFramePr/>
                <a:graphic xmlns:a="http://schemas.openxmlformats.org/drawingml/2006/main">
                  <a:graphicData uri="http://schemas.microsoft.com/office/word/2010/wordprocessingGroup">
                    <wpg:wgp>
                      <wpg:cNvGrpSpPr/>
                      <wpg:grpSpPr>
                        <a:xfrm>
                          <a:off x="0" y="0"/>
                          <a:ext cx="6486525" cy="2485390"/>
                          <a:chOff x="0" y="0"/>
                          <a:chExt cx="6963407" cy="2623943"/>
                        </a:xfrm>
                      </wpg:grpSpPr>
                      <wpg:grpSp>
                        <wpg:cNvPr id="184" name="Group 184"/>
                        <wpg:cNvGrpSpPr/>
                        <wpg:grpSpPr>
                          <a:xfrm rot="10800000">
                            <a:off x="1543792" y="0"/>
                            <a:ext cx="4096385" cy="2485588"/>
                            <a:chOff x="5" y="12260"/>
                            <a:chExt cx="4779842" cy="4867015"/>
                          </a:xfrm>
                        </wpg:grpSpPr>
                        <wps:wsp>
                          <wps:cNvPr id="185" name="Arrow: Up 185"/>
                          <wps:cNvSpPr/>
                          <wps:spPr>
                            <a:xfrm>
                              <a:off x="659785" y="12260"/>
                              <a:ext cx="3401715" cy="1939670"/>
                            </a:xfrm>
                            <a:prstGeom prst="upArrow">
                              <a:avLst>
                                <a:gd name="adj1" fmla="val 61762"/>
                                <a:gd name="adj2" fmla="val 77057"/>
                              </a:avLst>
                            </a:prstGeom>
                            <a:solidFill>
                              <a:schemeClr val="tx2">
                                <a:lumMod val="20000"/>
                                <a:lumOff val="80000"/>
                              </a:schemeClr>
                            </a:solidFill>
                            <a:ln w="12700" cap="flat" cmpd="sng" algn="ctr">
                              <a:noFill/>
                              <a:prstDash val="solid"/>
                              <a:miter lim="800000"/>
                            </a:ln>
                            <a:effectLst/>
                          </wps:spPr>
                          <wps:txbx>
                            <w:txbxContent>
                              <w:p w14:paraId="37AAA264" w14:textId="77777777" w:rsidR="00C139C0" w:rsidRPr="00B030D9" w:rsidRDefault="00C139C0" w:rsidP="00C139C0">
                                <w:pPr>
                                  <w:spacing w:after="0"/>
                                  <w:jc w:val="center"/>
                                  <w:rPr>
                                    <w:color w:val="002C3E" w:themeColor="background2"/>
                                    <w:sz w:val="20"/>
                                    <w:szCs w:val="18"/>
                                  </w:rPr>
                                </w:pPr>
                              </w:p>
                            </w:txbxContent>
                          </wps:txbx>
                          <wps:bodyPr rtlCol="0" anchor="t"/>
                        </wps:wsp>
                        <wpg:grpSp>
                          <wpg:cNvPr id="186" name="Group 186"/>
                          <wpg:cNvGrpSpPr/>
                          <wpg:grpSpPr>
                            <a:xfrm>
                              <a:off x="550406" y="1447156"/>
                              <a:ext cx="3572601" cy="1936914"/>
                              <a:chOff x="550406" y="1447156"/>
                              <a:chExt cx="3572601" cy="1936914"/>
                            </a:xfrm>
                          </wpg:grpSpPr>
                          <wps:wsp>
                            <wps:cNvPr id="187" name="Rectangle 187"/>
                            <wps:cNvSpPr/>
                            <wps:spPr>
                              <a:xfrm>
                                <a:off x="550406" y="1994707"/>
                                <a:ext cx="3572601" cy="1389363"/>
                              </a:xfrm>
                              <a:prstGeom prst="rect">
                                <a:avLst/>
                              </a:prstGeom>
                              <a:solidFill>
                                <a:schemeClr val="tx2">
                                  <a:lumMod val="40000"/>
                                  <a:lumOff val="60000"/>
                                </a:schemeClr>
                              </a:solidFill>
                              <a:ln w="12700" cap="flat" cmpd="sng" algn="ctr">
                                <a:noFill/>
                                <a:prstDash val="solid"/>
                                <a:miter lim="800000"/>
                              </a:ln>
                              <a:effectLst/>
                            </wps:spPr>
                            <wps:txbx>
                              <w:txbxContent>
                                <w:p w14:paraId="2824AB4C" w14:textId="77777777" w:rsidR="00C139C0" w:rsidRPr="00476693" w:rsidRDefault="00C139C0" w:rsidP="00C139C0">
                                  <w:pPr>
                                    <w:rPr>
                                      <w:color w:val="002C3E" w:themeColor="background2"/>
                                    </w:rPr>
                                  </w:pPr>
                                </w:p>
                              </w:txbxContent>
                            </wps:txbx>
                            <wps:bodyPr rtlCol="0" anchor="ctr"/>
                          </wps:wsp>
                          <wps:wsp>
                            <wps:cNvPr id="188" name="Arrow: Up 188"/>
                            <wps:cNvSpPr/>
                            <wps:spPr>
                              <a:xfrm>
                                <a:off x="1706458" y="1447156"/>
                                <a:ext cx="1214965" cy="858283"/>
                              </a:xfrm>
                              <a:prstGeom prst="upArrow">
                                <a:avLst>
                                  <a:gd name="adj1" fmla="val 48302"/>
                                  <a:gd name="adj2" fmla="val 57872"/>
                                </a:avLst>
                              </a:prstGeom>
                              <a:solidFill>
                                <a:schemeClr val="tx2">
                                  <a:lumMod val="40000"/>
                                  <a:lumOff val="60000"/>
                                </a:schemeClr>
                              </a:solidFill>
                              <a:ln w="12700" cap="flat" cmpd="sng" algn="ctr">
                                <a:noFill/>
                                <a:prstDash val="solid"/>
                                <a:miter lim="800000"/>
                              </a:ln>
                              <a:effectLst/>
                            </wps:spPr>
                            <wps:bodyPr wrap="square" rtlCol="0" anchor="ctr">
                              <a:noAutofit/>
                            </wps:bodyPr>
                          </wps:wsp>
                        </wpg:grpSp>
                        <wpg:grpSp>
                          <wpg:cNvPr id="189" name="Group 189"/>
                          <wpg:cNvGrpSpPr/>
                          <wpg:grpSpPr>
                            <a:xfrm>
                              <a:off x="5" y="2835209"/>
                              <a:ext cx="4779842" cy="2044066"/>
                              <a:chOff x="5" y="2835209"/>
                              <a:chExt cx="4051835" cy="2044066"/>
                            </a:xfrm>
                            <a:solidFill>
                              <a:srgbClr val="004C71"/>
                            </a:solidFill>
                          </wpg:grpSpPr>
                          <wps:wsp>
                            <wps:cNvPr id="190" name="Arrow: Up 190"/>
                            <wps:cNvSpPr/>
                            <wps:spPr>
                              <a:xfrm>
                                <a:off x="1354028" y="2835209"/>
                                <a:ext cx="1214965" cy="858283"/>
                              </a:xfrm>
                              <a:prstGeom prst="upArrow">
                                <a:avLst>
                                  <a:gd name="adj1" fmla="val 47261"/>
                                  <a:gd name="adj2" fmla="val 64636"/>
                                </a:avLst>
                              </a:prstGeom>
                              <a:solidFill>
                                <a:schemeClr val="tx2">
                                  <a:lumMod val="75000"/>
                                </a:schemeClr>
                              </a:solidFill>
                              <a:ln w="12700" cap="flat" cmpd="sng" algn="ctr">
                                <a:noFill/>
                                <a:prstDash val="solid"/>
                                <a:miter lim="800000"/>
                              </a:ln>
                              <a:effectLst/>
                            </wps:spPr>
                            <wps:bodyPr rtlCol="0" anchor="ctr"/>
                          </wps:wsp>
                          <wps:wsp>
                            <wps:cNvPr id="191" name="Rectangle 191"/>
                            <wps:cNvSpPr/>
                            <wps:spPr>
                              <a:xfrm>
                                <a:off x="5" y="3456567"/>
                                <a:ext cx="4051835" cy="1422708"/>
                              </a:xfrm>
                              <a:prstGeom prst="rect">
                                <a:avLst/>
                              </a:prstGeom>
                              <a:solidFill>
                                <a:schemeClr val="tx2">
                                  <a:lumMod val="75000"/>
                                </a:schemeClr>
                              </a:solidFill>
                              <a:ln w="12700" cap="flat" cmpd="sng" algn="ctr">
                                <a:noFill/>
                                <a:prstDash val="solid"/>
                                <a:miter lim="800000"/>
                              </a:ln>
                              <a:effectLst/>
                            </wps:spPr>
                            <wps:txbx>
                              <w:txbxContent>
                                <w:p w14:paraId="21CC5BB4" w14:textId="77777777" w:rsidR="00C139C0" w:rsidRPr="005D5B5A" w:rsidRDefault="00C139C0" w:rsidP="00C139C0">
                                  <w:pPr>
                                    <w:jc w:val="center"/>
                                    <w:rPr>
                                      <w:color w:val="FFFFFF" w:themeColor="background1"/>
                                    </w:rPr>
                                  </w:pPr>
                                </w:p>
                              </w:txbxContent>
                            </wps:txbx>
                            <wps:bodyPr rtlCol="0" anchor="ctr"/>
                          </wps:wsp>
                        </wpg:grpSp>
                      </wpg:grpSp>
                      <wps:wsp>
                        <wps:cNvPr id="217" name="Text Box 217"/>
                        <wps:cNvSpPr txBox="1"/>
                        <wps:spPr>
                          <a:xfrm>
                            <a:off x="2137559" y="106878"/>
                            <a:ext cx="3016155" cy="485030"/>
                          </a:xfrm>
                          <a:prstGeom prst="rect">
                            <a:avLst/>
                          </a:prstGeom>
                          <a:noFill/>
                          <a:ln w="6350">
                            <a:noFill/>
                          </a:ln>
                        </wps:spPr>
                        <wps:txbx>
                          <w:txbxContent>
                            <w:p w14:paraId="37E6BABE" w14:textId="77777777" w:rsidR="00C139C0" w:rsidRPr="00E45C9E" w:rsidRDefault="00C139C0" w:rsidP="00C139C0">
                              <w:pPr>
                                <w:jc w:val="center"/>
                                <w:rPr>
                                  <w:b/>
                                  <w:bCs/>
                                  <w:color w:val="FFFFFF" w:themeColor="background1"/>
                                </w:rPr>
                              </w:pPr>
                              <w:r w:rsidRPr="00E45C9E">
                                <w:rPr>
                                  <w:b/>
                                  <w:bCs/>
                                  <w:color w:val="FFFFFF" w:themeColor="background1"/>
                                </w:rPr>
                                <w:t>1. Most effective pedagogical practices</w:t>
                              </w:r>
                            </w:p>
                            <w:p w14:paraId="2996E743" w14:textId="77777777" w:rsidR="00C139C0" w:rsidRDefault="00C139C0" w:rsidP="00C13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2268187" y="1045028"/>
                            <a:ext cx="2893326" cy="373711"/>
                          </a:xfrm>
                          <a:prstGeom prst="rect">
                            <a:avLst/>
                          </a:prstGeom>
                          <a:noFill/>
                          <a:ln w="6350">
                            <a:noFill/>
                          </a:ln>
                        </wps:spPr>
                        <wps:txbx>
                          <w:txbxContent>
                            <w:p w14:paraId="1D32BFD2" w14:textId="77777777" w:rsidR="00C139C0" w:rsidRPr="00E45C9E" w:rsidRDefault="00C139C0" w:rsidP="00C139C0">
                              <w:pPr>
                                <w:jc w:val="center"/>
                                <w:rPr>
                                  <w:b/>
                                  <w:bCs/>
                                  <w:color w:val="FFFFFF" w:themeColor="background1"/>
                                </w:rPr>
                              </w:pPr>
                              <w:r w:rsidRPr="00E45C9E">
                                <w:rPr>
                                  <w:b/>
                                  <w:bCs/>
                                  <w:color w:val="FFFFFF" w:themeColor="background1"/>
                                </w:rPr>
                                <w:t>2. Effective practices in subject areas</w:t>
                              </w:r>
                            </w:p>
                            <w:p w14:paraId="3EF5A3E5" w14:textId="77777777" w:rsidR="00C139C0" w:rsidRPr="00E45C9E" w:rsidRDefault="00C139C0" w:rsidP="00C139C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2719449" y="1781298"/>
                            <a:ext cx="1924216" cy="842645"/>
                          </a:xfrm>
                          <a:prstGeom prst="rect">
                            <a:avLst/>
                          </a:prstGeom>
                          <a:noFill/>
                          <a:ln w="6350">
                            <a:noFill/>
                          </a:ln>
                        </wps:spPr>
                        <wps:txbx>
                          <w:txbxContent>
                            <w:p w14:paraId="709D6267" w14:textId="1F347B00" w:rsidR="00C139C0" w:rsidRPr="00E45C9E" w:rsidRDefault="00C139C0" w:rsidP="00C139C0">
                              <w:pPr>
                                <w:spacing w:after="0"/>
                                <w:jc w:val="center"/>
                                <w:rPr>
                                  <w:b/>
                                  <w:bCs/>
                                  <w:color w:val="FFFFFF" w:themeColor="background1"/>
                                  <w:sz w:val="20"/>
                                  <w:szCs w:val="18"/>
                                </w:rPr>
                              </w:pPr>
                              <w:r w:rsidRPr="00E45C9E">
                                <w:rPr>
                                  <w:b/>
                                  <w:bCs/>
                                  <w:color w:val="FFFFFF" w:themeColor="background1"/>
                                  <w:sz w:val="20"/>
                                  <w:szCs w:val="18"/>
                                </w:rPr>
                                <w:t xml:space="preserve">3. Multi-tiered system of support  </w:t>
                              </w:r>
                            </w:p>
                            <w:p w14:paraId="60D4FDEE" w14:textId="77777777" w:rsidR="00C139C0" w:rsidRPr="00E45C9E" w:rsidRDefault="00C139C0" w:rsidP="00C139C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7" name="Group 247"/>
                        <wpg:cNvGrpSpPr/>
                        <wpg:grpSpPr>
                          <a:xfrm>
                            <a:off x="201881" y="1591293"/>
                            <a:ext cx="2009443" cy="967740"/>
                            <a:chOff x="-95718" y="-36117"/>
                            <a:chExt cx="2628711" cy="1180624"/>
                          </a:xfrm>
                        </wpg:grpSpPr>
                        <wps:wsp>
                          <wps:cNvPr id="248" name="Rectangle 248"/>
                          <wps:cNvSpPr/>
                          <wps:spPr>
                            <a:xfrm>
                              <a:off x="-42157" y="-36117"/>
                              <a:ext cx="2533650" cy="497840"/>
                            </a:xfrm>
                            <a:prstGeom prst="rect">
                              <a:avLst/>
                            </a:prstGeom>
                          </wps:spPr>
                          <wps:txbx>
                            <w:txbxContent>
                              <w:p w14:paraId="661E7EAE" w14:textId="77777777" w:rsidR="00C139C0" w:rsidRPr="004426AC" w:rsidRDefault="00C139C0" w:rsidP="00C139C0">
                                <w:pPr>
                                  <w:spacing w:after="0"/>
                                  <w:jc w:val="right"/>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Intensity</w:t>
                                </w:r>
                              </w:p>
                            </w:txbxContent>
                          </wps:txbx>
                          <wps:bodyPr wrap="square">
                            <a:noAutofit/>
                          </wps:bodyPr>
                        </wps:wsp>
                        <wps:wsp>
                          <wps:cNvPr id="249" name="TextBox 217"/>
                          <wps:cNvSpPr txBox="1"/>
                          <wps:spPr>
                            <a:xfrm>
                              <a:off x="-95718" y="278370"/>
                              <a:ext cx="2628711" cy="866137"/>
                            </a:xfrm>
                            <a:prstGeom prst="rect">
                              <a:avLst/>
                            </a:prstGeom>
                            <a:noFill/>
                          </wps:spPr>
                          <wps:txbx>
                            <w:txbxContent>
                              <w:p w14:paraId="3AEED6A4" w14:textId="77777777" w:rsidR="00C139C0" w:rsidRPr="007F492F" w:rsidRDefault="00C139C0" w:rsidP="00C139C0">
                                <w:pPr>
                                  <w:spacing w:after="0" w:line="276" w:lineRule="auto"/>
                                  <w:jc w:val="right"/>
                                  <w:rPr>
                                    <w:rFonts w:eastAsia="Lato" w:cstheme="minorHAnsi"/>
                                    <w:color w:val="000000" w:themeColor="text1"/>
                                    <w:kern w:val="24"/>
                                    <w:sz w:val="16"/>
                                    <w:szCs w:val="16"/>
                                    <w:lang w:val="en-US"/>
                                  </w:rPr>
                                </w:pPr>
                                <w:r w:rsidRPr="007F492F">
                                  <w:rPr>
                                    <w:rFonts w:eastAsia="Lato" w:cstheme="minorHAnsi"/>
                                    <w:color w:val="000000" w:themeColor="text1"/>
                                    <w:kern w:val="24"/>
                                    <w:sz w:val="16"/>
                                    <w:szCs w:val="16"/>
                                    <w:lang w:val="en-US"/>
                                  </w:rPr>
                                  <w:t>Using the evidence-based effective pedagogical practices along a sliding scale of tiered support that increases in intensity.</w:t>
                                </w:r>
                              </w:p>
                            </w:txbxContent>
                          </wps:txbx>
                          <wps:bodyPr wrap="square" rtlCol="0">
                            <a:noAutofit/>
                          </wps:bodyPr>
                        </wps:wsp>
                      </wpg:grpSp>
                      <wpg:grpSp>
                        <wpg:cNvPr id="250" name="Group 250"/>
                        <wpg:cNvGrpSpPr/>
                        <wpg:grpSpPr>
                          <a:xfrm>
                            <a:off x="5223843" y="775722"/>
                            <a:ext cx="1739564" cy="1168437"/>
                            <a:chOff x="-420297" y="-179462"/>
                            <a:chExt cx="2553664" cy="1203012"/>
                          </a:xfrm>
                        </wpg:grpSpPr>
                        <wps:wsp>
                          <wps:cNvPr id="251" name="Rectangle 251"/>
                          <wps:cNvSpPr/>
                          <wps:spPr>
                            <a:xfrm>
                              <a:off x="-420297" y="-179462"/>
                              <a:ext cx="2533650" cy="316929"/>
                            </a:xfrm>
                            <a:prstGeom prst="rect">
                              <a:avLst/>
                            </a:prstGeom>
                          </wps:spPr>
                          <wps:txbx>
                            <w:txbxContent>
                              <w:p w14:paraId="77AD2DF6" w14:textId="77777777" w:rsidR="00C139C0" w:rsidRPr="004426AC" w:rsidRDefault="00C139C0" w:rsidP="00C139C0">
                                <w:pPr>
                                  <w:spacing w:after="0"/>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Specific application</w:t>
                                </w:r>
                              </w:p>
                            </w:txbxContent>
                          </wps:txbx>
                          <wps:bodyPr wrap="square">
                            <a:noAutofit/>
                          </wps:bodyPr>
                        </wps:wsp>
                        <wps:wsp>
                          <wps:cNvPr id="252" name="TextBox 217"/>
                          <wps:cNvSpPr txBox="1"/>
                          <wps:spPr>
                            <a:xfrm>
                              <a:off x="-400283" y="81366"/>
                              <a:ext cx="2533650" cy="942184"/>
                            </a:xfrm>
                            <a:prstGeom prst="rect">
                              <a:avLst/>
                            </a:prstGeom>
                            <a:noFill/>
                          </wps:spPr>
                          <wps:txbx>
                            <w:txbxContent>
                              <w:p w14:paraId="49C93525" w14:textId="77777777" w:rsidR="00C139C0" w:rsidRPr="007F492F" w:rsidRDefault="00C139C0" w:rsidP="00C139C0">
                                <w:pPr>
                                  <w:spacing w:after="0" w:line="276" w:lineRule="auto"/>
                                  <w:rPr>
                                    <w:rFonts w:eastAsia="Lato" w:cstheme="minorHAnsi"/>
                                    <w:kern w:val="24"/>
                                    <w:sz w:val="16"/>
                                    <w:szCs w:val="16"/>
                                    <w:lang w:val="en-US"/>
                                  </w:rPr>
                                </w:pPr>
                                <w:r w:rsidRPr="007F492F">
                                  <w:rPr>
                                    <w:rFonts w:eastAsia="Lato" w:cstheme="minorHAnsi"/>
                                    <w:kern w:val="24"/>
                                    <w:sz w:val="16"/>
                                    <w:szCs w:val="16"/>
                                    <w:lang w:val="en-US"/>
                                  </w:rPr>
                                  <w:t xml:space="preserve">There is a strong evidence base that the application of these practices to literacy, numeracy and other subject areas is highly effective for student learning. </w:t>
                                </w:r>
                              </w:p>
                            </w:txbxContent>
                          </wps:txbx>
                          <wps:bodyPr wrap="square" rtlCol="0">
                            <a:noAutofit/>
                          </wps:bodyPr>
                        </wps:wsp>
                      </wpg:grpSp>
                      <wpg:grpSp>
                        <wpg:cNvPr id="253" name="Group 253"/>
                        <wpg:cNvGrpSpPr/>
                        <wpg:grpSpPr>
                          <a:xfrm>
                            <a:off x="0" y="154379"/>
                            <a:ext cx="1511560" cy="942340"/>
                            <a:chOff x="-87222" y="-137837"/>
                            <a:chExt cx="2620872" cy="1038351"/>
                          </a:xfrm>
                        </wpg:grpSpPr>
                        <wps:wsp>
                          <wps:cNvPr id="254" name="Rectangle 254"/>
                          <wps:cNvSpPr/>
                          <wps:spPr>
                            <a:xfrm>
                              <a:off x="0" y="-137837"/>
                              <a:ext cx="2533650" cy="371324"/>
                            </a:xfrm>
                            <a:prstGeom prst="rect">
                              <a:avLst/>
                            </a:prstGeom>
                          </wps:spPr>
                          <wps:txbx>
                            <w:txbxContent>
                              <w:p w14:paraId="4708B32B" w14:textId="77777777" w:rsidR="00C139C0" w:rsidRPr="004426AC" w:rsidRDefault="00C139C0" w:rsidP="00C139C0">
                                <w:pPr>
                                  <w:spacing w:after="0"/>
                                  <w:jc w:val="right"/>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Universal</w:t>
                                </w:r>
                              </w:p>
                            </w:txbxContent>
                          </wps:txbx>
                          <wps:bodyPr wrap="square">
                            <a:noAutofit/>
                          </wps:bodyPr>
                        </wps:wsp>
                        <wps:wsp>
                          <wps:cNvPr id="255" name="TextBox 217"/>
                          <wps:cNvSpPr txBox="1"/>
                          <wps:spPr>
                            <a:xfrm>
                              <a:off x="-87222" y="159271"/>
                              <a:ext cx="2620632" cy="741243"/>
                            </a:xfrm>
                            <a:prstGeom prst="rect">
                              <a:avLst/>
                            </a:prstGeom>
                            <a:noFill/>
                          </wps:spPr>
                          <wps:txbx>
                            <w:txbxContent>
                              <w:p w14:paraId="33CE5396" w14:textId="77777777" w:rsidR="00C139C0" w:rsidRPr="007F492F" w:rsidRDefault="00C139C0" w:rsidP="00C139C0">
                                <w:pPr>
                                  <w:spacing w:after="0" w:line="276" w:lineRule="auto"/>
                                  <w:jc w:val="right"/>
                                  <w:rPr>
                                    <w:rFonts w:ascii="Montserrat Light" w:eastAsia="Lato" w:hAnsi="Montserrat Light" w:cs="Lato"/>
                                    <w:color w:val="000000" w:themeColor="text1"/>
                                    <w:kern w:val="24"/>
                                    <w:sz w:val="16"/>
                                    <w:szCs w:val="16"/>
                                    <w:lang w:val="en-US"/>
                                  </w:rPr>
                                </w:pPr>
                                <w:r w:rsidRPr="007F492F">
                                  <w:rPr>
                                    <w:rFonts w:eastAsia="Lato" w:cstheme="minorHAnsi"/>
                                    <w:kern w:val="24"/>
                                    <w:sz w:val="16"/>
                                    <w:szCs w:val="16"/>
                                    <w:lang w:val="en-US"/>
                                  </w:rPr>
                                  <w:t>General practices that have been shown to be the most effective regardless of stage or subject</w:t>
                                </w:r>
                                <w:r w:rsidRPr="007F492F">
                                  <w:rPr>
                                    <w:rFonts w:ascii="Montserrat Light" w:eastAsia="Lato" w:hAnsi="Montserrat Light" w:cs="Lato"/>
                                    <w:color w:val="000000" w:themeColor="text1"/>
                                    <w:kern w:val="24"/>
                                    <w:sz w:val="16"/>
                                    <w:szCs w:val="16"/>
                                    <w:lang w:val="en-US"/>
                                  </w:rPr>
                                  <w:t>.</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614F91D5" id="Group 2088648203" o:spid="_x0000_s1061" style="position:absolute;margin-left:-30pt;margin-top:25pt;width:510.75pt;height:195.7pt;z-index:251658247;mso-width-relative:margin;mso-height-relative:margin" coordsize="69634,2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">
                <v:group id="Group 184" o:spid="_x0000_s1062" style="position:absolute;left:15437;width:40964;height:24855;rotation:180" coordorigin=",122" coordsize="47798,4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5" o:spid="_x0000_s1063" type="#_x0000_t68" style="position:absolute;left:6597;top:122;width:34018;height:19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" adj="16644,4130" fillcolor="#b8dbff [671]" stroked="f" strokeweight="1pt">
                    <v:textbox>
                      <w:txbxContent>
                        <w:p w14:paraId="37AAA264" w14:textId="77777777" w:rsidR="00C139C0" w:rsidRPr="00B030D9" w:rsidRDefault="00C139C0" w:rsidP="00C139C0">
                          <w:pPr>
                            <w:spacing w:after="0"/>
                            <w:jc w:val="center"/>
                            <w:rPr>
                              <w:color w:val="002C3E" w:themeColor="background2"/>
                              <w:sz w:val="20"/>
                              <w:szCs w:val="18"/>
                            </w:rPr>
                          </w:pPr>
                        </w:p>
                      </w:txbxContent>
                    </v:textbox>
                  </v:shape>
                  <v:group id="Group 186" o:spid="_x0000_s1064" style="position:absolute;left:5504;top:14471;width:35726;height:19369" coordorigin="5504,14471" coordsize="35726,1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65" style="position:absolute;left:5504;top:19947;width:35726;height:1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" fillcolor="#72b8ff [1311]" stroked="f" strokeweight="1pt">
                      <v:textbox>
                        <w:txbxContent>
                          <w:p w14:paraId="2824AB4C" w14:textId="77777777" w:rsidR="00C139C0" w:rsidRPr="00476693" w:rsidRDefault="00C139C0" w:rsidP="00C139C0">
                            <w:pPr>
                              <w:rPr>
                                <w:color w:val="002C3E" w:themeColor="background2"/>
                              </w:rPr>
                            </w:pPr>
                          </w:p>
                        </w:txbxContent>
                      </v:textbox>
                    </v:rect>
                    <v:shape id="Arrow: Up 188" o:spid="_x0000_s1066" type="#_x0000_t68" style="position:absolute;left:17064;top:14471;width:12150;height:8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" adj="12500,5583" fillcolor="#72b8ff [1311]" stroked="f" strokeweight="1pt"/>
                  </v:group>
                  <v:group id="Group 189" o:spid="_x0000_s1067" style="position:absolute;top:28352;width:47798;height:20440" coordorigin=",28352" coordsize="40518,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rrow: Up 190" o:spid="_x0000_s1068" type="#_x0000_t68" style="position:absolute;left:13540;top:28352;width:12149;height: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" adj="13961,5696" fillcolor="#003a76 [2415]" stroked="f" strokeweight="1pt"/>
                    <v:rect id="Rectangle 191" o:spid="_x0000_s1069" style="position:absolute;top:34565;width:40518;height:1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" fillcolor="#003a76 [2415]" stroked="f" strokeweight="1pt">
                      <v:textbox>
                        <w:txbxContent>
                          <w:p w14:paraId="21CC5BB4" w14:textId="77777777" w:rsidR="00C139C0" w:rsidRPr="005D5B5A" w:rsidRDefault="00C139C0" w:rsidP="00C139C0">
                            <w:pPr>
                              <w:jc w:val="center"/>
                              <w:rPr>
                                <w:color w:val="FFFFFF" w:themeColor="background1"/>
                              </w:rPr>
                            </w:pPr>
                          </w:p>
                        </w:txbxContent>
                      </v:textbox>
                    </v:rect>
                  </v:group>
                </v:group>
                <v:shape id="Text Box 217" o:spid="_x0000_s1070" type="#_x0000_t202" style="position:absolute;left:21375;top:1068;width:30162;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37E6BABE" w14:textId="77777777" w:rsidR="00C139C0" w:rsidRPr="00E45C9E" w:rsidRDefault="00C139C0" w:rsidP="00C139C0">
                        <w:pPr>
                          <w:jc w:val="center"/>
                          <w:rPr>
                            <w:b/>
                            <w:bCs/>
                            <w:color w:val="FFFFFF" w:themeColor="background1"/>
                          </w:rPr>
                        </w:pPr>
                        <w:r w:rsidRPr="00E45C9E">
                          <w:rPr>
                            <w:b/>
                            <w:bCs/>
                            <w:color w:val="FFFFFF" w:themeColor="background1"/>
                          </w:rPr>
                          <w:t>1. Most effective pedagogical practices</w:t>
                        </w:r>
                      </w:p>
                      <w:p w14:paraId="2996E743" w14:textId="77777777" w:rsidR="00C139C0" w:rsidRDefault="00C139C0" w:rsidP="00C139C0"/>
                    </w:txbxContent>
                  </v:textbox>
                </v:shape>
                <v:shape id="Text Box 240" o:spid="_x0000_s1071" type="#_x0000_t202" style="position:absolute;left:22681;top:10450;width:28934;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1D32BFD2" w14:textId="77777777" w:rsidR="00C139C0" w:rsidRPr="00E45C9E" w:rsidRDefault="00C139C0" w:rsidP="00C139C0">
                        <w:pPr>
                          <w:jc w:val="center"/>
                          <w:rPr>
                            <w:b/>
                            <w:bCs/>
                            <w:color w:val="FFFFFF" w:themeColor="background1"/>
                          </w:rPr>
                        </w:pPr>
                        <w:r w:rsidRPr="00E45C9E">
                          <w:rPr>
                            <w:b/>
                            <w:bCs/>
                            <w:color w:val="FFFFFF" w:themeColor="background1"/>
                          </w:rPr>
                          <w:t>2. Effective practices in subject areas</w:t>
                        </w:r>
                      </w:p>
                      <w:p w14:paraId="3EF5A3E5" w14:textId="77777777" w:rsidR="00C139C0" w:rsidRPr="00E45C9E" w:rsidRDefault="00C139C0" w:rsidP="00C139C0">
                        <w:pPr>
                          <w:rPr>
                            <w:b/>
                            <w:bCs/>
                          </w:rPr>
                        </w:pPr>
                      </w:p>
                    </w:txbxContent>
                  </v:textbox>
                </v:shape>
                <v:shape id="Text Box 241" o:spid="_x0000_s1072" type="#_x0000_t202" style="position:absolute;left:27194;top:17812;width:19242;height: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709D6267" w14:textId="1F347B00" w:rsidR="00C139C0" w:rsidRPr="00E45C9E" w:rsidRDefault="00C139C0" w:rsidP="00C139C0">
                        <w:pPr>
                          <w:spacing w:after="0"/>
                          <w:jc w:val="center"/>
                          <w:rPr>
                            <w:b/>
                            <w:bCs/>
                            <w:color w:val="FFFFFF" w:themeColor="background1"/>
                            <w:sz w:val="20"/>
                            <w:szCs w:val="18"/>
                          </w:rPr>
                        </w:pPr>
                        <w:r w:rsidRPr="00E45C9E">
                          <w:rPr>
                            <w:b/>
                            <w:bCs/>
                            <w:color w:val="FFFFFF" w:themeColor="background1"/>
                            <w:sz w:val="20"/>
                            <w:szCs w:val="18"/>
                          </w:rPr>
                          <w:t xml:space="preserve">3. Multi-tiered system of support  </w:t>
                        </w:r>
                      </w:p>
                      <w:p w14:paraId="60D4FDEE" w14:textId="77777777" w:rsidR="00C139C0" w:rsidRPr="00E45C9E" w:rsidRDefault="00C139C0" w:rsidP="00C139C0">
                        <w:pPr>
                          <w:rPr>
                            <w:b/>
                            <w:bCs/>
                          </w:rPr>
                        </w:pPr>
                      </w:p>
                    </w:txbxContent>
                  </v:textbox>
                </v:shape>
                <v:group id="Group 247" o:spid="_x0000_s1073" style="position:absolute;left:2018;top:15912;width:20095;height:9678" coordorigin="-957,-361" coordsize="26287,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248" o:spid="_x0000_s1074" style="position:absolute;left:-421;top:-361;width:25335;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textbox>
                      <w:txbxContent>
                        <w:p w14:paraId="661E7EAE" w14:textId="77777777" w:rsidR="00C139C0" w:rsidRPr="004426AC" w:rsidRDefault="00C139C0" w:rsidP="00C139C0">
                          <w:pPr>
                            <w:spacing w:after="0"/>
                            <w:jc w:val="right"/>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Intensity</w:t>
                          </w:r>
                        </w:p>
                      </w:txbxContent>
                    </v:textbox>
                  </v:rect>
                  <v:shape id="TextBox 217" o:spid="_x0000_s1075" type="#_x0000_t202" style="position:absolute;left:-957;top:2783;width:26286;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3AEED6A4" w14:textId="77777777" w:rsidR="00C139C0" w:rsidRPr="007F492F" w:rsidRDefault="00C139C0" w:rsidP="00C139C0">
                          <w:pPr>
                            <w:spacing w:after="0" w:line="276" w:lineRule="auto"/>
                            <w:jc w:val="right"/>
                            <w:rPr>
                              <w:rFonts w:eastAsia="Lato" w:cstheme="minorHAnsi"/>
                              <w:color w:val="000000" w:themeColor="text1"/>
                              <w:kern w:val="24"/>
                              <w:sz w:val="16"/>
                              <w:szCs w:val="16"/>
                              <w:lang w:val="en-US"/>
                            </w:rPr>
                          </w:pPr>
                          <w:r w:rsidRPr="007F492F">
                            <w:rPr>
                              <w:rFonts w:eastAsia="Lato" w:cstheme="minorHAnsi"/>
                              <w:color w:val="000000" w:themeColor="text1"/>
                              <w:kern w:val="24"/>
                              <w:sz w:val="16"/>
                              <w:szCs w:val="16"/>
                              <w:lang w:val="en-US"/>
                            </w:rPr>
                            <w:t>Using the evidence-based effective pedagogical practices along a sliding scale of tiered support that increases in intensity.</w:t>
                          </w:r>
                        </w:p>
                      </w:txbxContent>
                    </v:textbox>
                  </v:shape>
                </v:group>
                <v:group id="Group 250" o:spid="_x0000_s1076" style="position:absolute;left:52238;top:7757;width:17396;height:11684" coordorigin="-4202,-1794" coordsize="25536,1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251" o:spid="_x0000_s1077" style="position:absolute;left:-4202;top:-1794;width:25335;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textbox>
                      <w:txbxContent>
                        <w:p w14:paraId="77AD2DF6" w14:textId="77777777" w:rsidR="00C139C0" w:rsidRPr="004426AC" w:rsidRDefault="00C139C0" w:rsidP="00C139C0">
                          <w:pPr>
                            <w:spacing w:after="0"/>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Specific application</w:t>
                          </w:r>
                        </w:p>
                      </w:txbxContent>
                    </v:textbox>
                  </v:rect>
                  <v:shape id="TextBox 217" o:spid="_x0000_s1078" type="#_x0000_t202" style="position:absolute;left:-4002;top:813;width:25335;height:9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49C93525" w14:textId="77777777" w:rsidR="00C139C0" w:rsidRPr="007F492F" w:rsidRDefault="00C139C0" w:rsidP="00C139C0">
                          <w:pPr>
                            <w:spacing w:after="0" w:line="276" w:lineRule="auto"/>
                            <w:rPr>
                              <w:rFonts w:eastAsia="Lato" w:cstheme="minorHAnsi"/>
                              <w:kern w:val="24"/>
                              <w:sz w:val="16"/>
                              <w:szCs w:val="16"/>
                              <w:lang w:val="en-US"/>
                            </w:rPr>
                          </w:pPr>
                          <w:r w:rsidRPr="007F492F">
                            <w:rPr>
                              <w:rFonts w:eastAsia="Lato" w:cstheme="minorHAnsi"/>
                              <w:kern w:val="24"/>
                              <w:sz w:val="16"/>
                              <w:szCs w:val="16"/>
                              <w:lang w:val="en-US"/>
                            </w:rPr>
                            <w:t xml:space="preserve">There is a strong evidence base that the application of these practices to literacy, numeracy and other subject areas is highly effective for student learning. </w:t>
                          </w:r>
                        </w:p>
                      </w:txbxContent>
                    </v:textbox>
                  </v:shape>
                </v:group>
                <v:group id="Group 253" o:spid="_x0000_s1079" style="position:absolute;top:1543;width:15115;height:9424" coordorigin="-872,-1378" coordsize="26208,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254" o:spid="_x0000_s1080" style="position:absolute;top:-1378;width:25336;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textbox>
                      <w:txbxContent>
                        <w:p w14:paraId="4708B32B" w14:textId="77777777" w:rsidR="00C139C0" w:rsidRPr="004426AC" w:rsidRDefault="00C139C0" w:rsidP="00C139C0">
                          <w:pPr>
                            <w:spacing w:after="0"/>
                            <w:jc w:val="right"/>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Universal</w:t>
                          </w:r>
                        </w:p>
                      </w:txbxContent>
                    </v:textbox>
                  </v:rect>
                  <v:shape id="TextBox 217" o:spid="_x0000_s1081" type="#_x0000_t202" style="position:absolute;left:-872;top:1592;width:26206;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33CE5396" w14:textId="77777777" w:rsidR="00C139C0" w:rsidRPr="007F492F" w:rsidRDefault="00C139C0" w:rsidP="00C139C0">
                          <w:pPr>
                            <w:spacing w:after="0" w:line="276" w:lineRule="auto"/>
                            <w:jc w:val="right"/>
                            <w:rPr>
                              <w:rFonts w:ascii="Montserrat Light" w:eastAsia="Lato" w:hAnsi="Montserrat Light" w:cs="Lato"/>
                              <w:color w:val="000000" w:themeColor="text1"/>
                              <w:kern w:val="24"/>
                              <w:sz w:val="16"/>
                              <w:szCs w:val="16"/>
                              <w:lang w:val="en-US"/>
                            </w:rPr>
                          </w:pPr>
                          <w:r w:rsidRPr="007F492F">
                            <w:rPr>
                              <w:rFonts w:eastAsia="Lato" w:cstheme="minorHAnsi"/>
                              <w:kern w:val="24"/>
                              <w:sz w:val="16"/>
                              <w:szCs w:val="16"/>
                              <w:lang w:val="en-US"/>
                            </w:rPr>
                            <w:t>General practices that have been shown to be the most effective regardless of stage or subject</w:t>
                          </w:r>
                          <w:r w:rsidRPr="007F492F">
                            <w:rPr>
                              <w:rFonts w:ascii="Montserrat Light" w:eastAsia="Lato" w:hAnsi="Montserrat Light" w:cs="Lato"/>
                              <w:color w:val="000000" w:themeColor="text1"/>
                              <w:kern w:val="24"/>
                              <w:sz w:val="16"/>
                              <w:szCs w:val="16"/>
                              <w:lang w:val="en-US"/>
                            </w:rPr>
                            <w:t>.</w:t>
                          </w:r>
                        </w:p>
                      </w:txbxContent>
                    </v:textbox>
                  </v:shape>
                </v:group>
                <w10:wrap type="square"/>
              </v:group>
            </w:pict>
          </mc:Fallback>
        </mc:AlternateContent>
      </w:r>
      <w:r w:rsidR="00C139C0" w:rsidRPr="00F33ED6">
        <w:rPr>
          <w:color w:val="000000" w:themeColor="text1"/>
        </w:rPr>
        <w:t xml:space="preserve">Figure 1.2: Effective pedagogical practices: key </w:t>
      </w:r>
      <w:r w:rsidR="00833384">
        <w:rPr>
          <w:color w:val="000000" w:themeColor="text1"/>
        </w:rPr>
        <w:t>aspects</w:t>
      </w:r>
    </w:p>
    <w:p w14:paraId="5F28E891" w14:textId="77777777" w:rsidR="000810D1" w:rsidRDefault="000810D1" w:rsidP="00C139C0">
      <w:pPr>
        <w:spacing w:before="240" w:after="0"/>
        <w:rPr>
          <w:b/>
          <w:sz w:val="26"/>
          <w:szCs w:val="26"/>
        </w:rPr>
      </w:pPr>
    </w:p>
    <w:p w14:paraId="77221C3C" w14:textId="77777777" w:rsidR="00826D94" w:rsidRPr="00826D94" w:rsidRDefault="00C139C0" w:rsidP="00D5108D">
      <w:pPr>
        <w:pStyle w:val="ListParagraph"/>
        <w:keepNext/>
        <w:numPr>
          <w:ilvl w:val="0"/>
          <w:numId w:val="37"/>
        </w:numPr>
        <w:ind w:left="357" w:hanging="357"/>
        <w:rPr>
          <w:rFonts w:ascii="Calibri" w:hAnsi="Calibri" w:cs="Calibri"/>
          <w:b/>
          <w:bCs/>
        </w:rPr>
      </w:pPr>
      <w:r w:rsidRPr="004206BA">
        <w:rPr>
          <w:b/>
        </w:rPr>
        <w:t>Most effective pedagogical practices</w:t>
      </w:r>
    </w:p>
    <w:p w14:paraId="737E3828" w14:textId="519FB651" w:rsidR="00C139C0" w:rsidRPr="004206BA" w:rsidRDefault="00C139C0" w:rsidP="00DB0012">
      <w:pPr>
        <w:keepNext/>
        <w:spacing w:after="0" w:line="240" w:lineRule="auto"/>
        <w:rPr>
          <w:rStyle w:val="Strong"/>
          <w:rFonts w:ascii="Calibri" w:hAnsi="Calibri" w:cs="Calibri"/>
          <w:sz w:val="20"/>
          <w:szCs w:val="20"/>
        </w:rPr>
      </w:pPr>
      <w:r w:rsidRPr="004206BA">
        <w:rPr>
          <w:b/>
        </w:rPr>
        <w:t>Planning and sequencing</w:t>
      </w:r>
    </w:p>
    <w:p w14:paraId="4C3D5CCD" w14:textId="77777777" w:rsidR="00C139C0" w:rsidRPr="00497B48" w:rsidRDefault="00C139C0" w:rsidP="00C139C0">
      <w:pPr>
        <w:spacing w:after="120" w:line="240" w:lineRule="auto"/>
      </w:pPr>
      <w:r w:rsidRPr="00497B48">
        <w:rPr>
          <w:lang w:eastAsia="en-AU"/>
        </w:rPr>
        <w:t xml:space="preserve">Practices that support the coherent and deliberate planning and sequencing of tasks and lessons have been shown to positively impact student learning. Starting with the curriculum or syllabus, teachers should understand the common progression of learning in the </w:t>
      </w:r>
      <w:r>
        <w:rPr>
          <w:lang w:eastAsia="en-AU"/>
        </w:rPr>
        <w:t>subject area</w:t>
      </w:r>
      <w:r w:rsidRPr="00497B48">
        <w:rPr>
          <w:lang w:eastAsia="en-AU"/>
        </w:rPr>
        <w:t xml:space="preserve"> and note in advance the critical knowledge needed for students to progress with a plan to check understanding at these points </w:t>
      </w:r>
      <w:r w:rsidRPr="73B7E7A5">
        <w:rPr>
          <w:color w:val="2B579A"/>
          <w:lang w:eastAsia="en-AU"/>
        </w:rPr>
        <w:fldChar w:fldCharType="begin"/>
      </w:r>
      <w:r w:rsidRPr="00497B48">
        <w:rPr>
          <w:lang w:eastAsia="en-AU"/>
        </w:rPr>
        <w:instrText xml:space="preserve"> ADDIN ZOTERO_ITEM CSL_CITATION {"citationID":"jTh23u31","properties":{"formattedCitation":"(Schildkamp et al. 2020)","plainCitation":"(Schildkamp et al. 2020)","noteIndex":0},"citationItems":[{"id":17158,"uris":["http://zotero.org/users/10928664/items/TI9XK97X"],"itemData":{"id":17158,"type":"article-journal","abstract":"Formative assessment has the potential to support teaching and learning in the classroom. This study reviewed the literature on formative assessment to identify prerequisites for effective use of formative assessment by teachers. The review sought to address the following research question: What teacher prerequisites need to be in place for using formative assessment in their classroom practice? The review was conducted using a systematic approach. A total of 54 studies were included in this review. The results show that (1) knowledge and skills (e.g., data literacy), (2), psychological factors (e.g., social pressure), and (3) social factors (e.g., collaboration) influence the use of formative assessment. The prerequisites identified can inform professional development initiatives regarding formative assessment, as well as teacher education programs.","container-title":"International Journal of Educational Research","DOI":"10.1016/j.ijer.2020.101602","ISSN":"0883-0355","journalAbbreviation":"International Journal of Educational Research","language":"en","page":"101602","source":"ScienceDirect","title":"Formative assessment: A systematic review of critical teacher prerequisites for classroom practice","title-short":"Formative assessment","volume":"103","author":[{"family":"Schildkamp","given":"Kim"},{"family":"Kleij","given":"Fabienne M.","non-dropping-particle":"van der"},{"family":"Heitink","given":"Maaike C."},{"family":"Kippers","given":"Wilma B."},{"family":"Veldkamp","given":"Bernard P."}],"issued":{"date-parts":[["2020",1,1]]}}}],"schema":"https://github.com/citation-style-language/schema/raw/master/csl-citation.json"} </w:instrText>
      </w:r>
      <w:r w:rsidRPr="73B7E7A5">
        <w:rPr>
          <w:color w:val="2B579A"/>
          <w:lang w:eastAsia="en-AU"/>
        </w:rPr>
        <w:fldChar w:fldCharType="separate"/>
      </w:r>
      <w:r w:rsidRPr="00497B48">
        <w:t>(Schildkamp et al. 2020)</w:t>
      </w:r>
      <w:r w:rsidRPr="73B7E7A5">
        <w:rPr>
          <w:color w:val="2B579A"/>
          <w:lang w:eastAsia="en-AU"/>
        </w:rPr>
        <w:fldChar w:fldCharType="end"/>
      </w:r>
      <w:r w:rsidRPr="00497B48">
        <w:rPr>
          <w:lang w:eastAsia="en-AU"/>
        </w:rPr>
        <w:t>.</w:t>
      </w:r>
      <w:r w:rsidRPr="00497B48">
        <w:t xml:space="preserve"> Lessons and tasks should be driven by curriculum-aligned learning objectives which are responsive to student needs </w:t>
      </w:r>
      <w:r w:rsidRPr="73B7E7A5">
        <w:rPr>
          <w:color w:val="2B579A"/>
        </w:rPr>
        <w:fldChar w:fldCharType="begin"/>
      </w:r>
      <w:r w:rsidRPr="00497B48">
        <w:instrText xml:space="preserve"> ADDIN ZOTERO_ITEM CSL_CITATION {"citationID":"jrSQWKwB","properties":{"formattedCitation":"(Ellis and Worthington 1994; Guskey 2010)","plainCitation":"(Ellis and Worthington 1994; Guskey 2010)","noteIndex":0},"citationItems":[{"id":17172,"uris":["http://zotero.org/users/10928664/items/V6TELM47"],"itemData":{"id":17172,"type":"report","publisher":"National Center to Improve the Tools of Educators, University of Oregon","title":"Research synthesis on effective teaching principles and the design of quality tools for educators","author":[{"family":"Ellis","given":"Edwin S."},{"family":"Worthington","given":"Lou Ann"}],"issued":{"date-parts":[["1994"]]}}},{"id":17210,"uris":["http://zotero.org/users/10928664/items/57QQ2V32"],"itemData":{"id":17210,"type":"article-journal","container-title":"Educational Leadership","issue":"2","page":"52-57","title":"Lessons of Mastery Learning","volume":"68","author":[{"family":"Guskey","given":"Thomas"}],"issued":{"date-parts":[["2010",10,1]]}}}],"schema":"https://github.com/citation-style-language/schema/raw/master/csl-citation.json"} </w:instrText>
      </w:r>
      <w:r w:rsidRPr="73B7E7A5">
        <w:rPr>
          <w:color w:val="2B579A"/>
        </w:rPr>
        <w:fldChar w:fldCharType="separate"/>
      </w:r>
      <w:r w:rsidRPr="00497B48">
        <w:t>(Ellis and Worthington 1994; Guskey 2010)</w:t>
      </w:r>
      <w:r w:rsidRPr="73B7E7A5">
        <w:rPr>
          <w:color w:val="2B579A"/>
        </w:rPr>
        <w:fldChar w:fldCharType="end"/>
      </w:r>
      <w:r w:rsidRPr="00497B48">
        <w:t xml:space="preserve">. The design of these learning objectives should be paired with a clear description of how students will show evidence of mastery </w:t>
      </w:r>
      <w:r w:rsidRPr="73B7E7A5">
        <w:rPr>
          <w:color w:val="2B579A"/>
        </w:rPr>
        <w:fldChar w:fldCharType="begin"/>
      </w:r>
      <w:r w:rsidRPr="00497B48">
        <w:instrText xml:space="preserve"> ADDIN ZOTERO_ITEM CSL_CITATION {"citationID":"dINbfy0v","properties":{"formattedCitation":"(Bloom 1968; Schildkamp 2019)","plainCitation":"(Bloom 1968; Schildkamp 2019)","noteIndex":0},"citationItems":[{"id":17169,"uris":["http://zotero.org/users/10928664/items/U6FP9EPR"],"itemData":{"id":17169,"type":"article-journal","abstract":"Most students, perhaps over 90 percent, can master what teachers have to teach them, and it is the task of instruction to find the means which will enable students to master the subject under consideration. A basic task is to determine what is meant by mastery of the subject and to search for methods and materials which will enable the largest proportion of students to attain such mastery. That is, the basic task in education is to find strategies which will take individual differences into consideration but in such a way as to promote the fullest development of the individual. The thesis of this paper is that, to promote mastery learning, 5 variables must be dealt with effectively: (1) aptitude for kinds of learning, viewed as the amount of time required by the learner to attain  mastery of the task; (2) quality of instruction, viewed in terms of its approaching the optimum for a given learner; (3) ability to understand instruction, i.e., to understand the nature of the task and the procedures to follow; (4) perseverance, the amount of time one is willing to spend in learning; and (5) time allowed for learning, the key to mastery. (Author/TA)","collection-title":"Regional Education Laboratory for the Carolinas and Virginia, Topical Papers and Reprints","container-title":"Evaluation Comment","issue":"2","language":"en","note":"publisher: Regional Education Laboratory for the Carolinas and Virginia, Mutual Plaza (Chapel Hill and Duke Sts","source":"ERIC","title":"Learning for Mastery. Instruction and Curriculum.","URL":"https://eric.ed.gov/?id=ED053419","volume":"1","author":[{"family":"Bloom","given":"Benjamin S."}],"accessed":{"date-parts":[["2021",5,13]]},"issued":{"date-parts":[["1968"]]}}},{"id":17198,"uris":["http://zotero.org/users/10928664/items/NS2BMSH8"],"itemData":{"id":17198,"type":"article-journal","abstract":"To explore data-based decision-making for school improvement, this theoretical paper discusses recent research and literature from different areas of data use in education. These areas include the use of formative assessment data, educational research study findings and ‘big data’. In particular, the discussion focuses on how school leaders and teachers can use different sources of data to improve the quality of education.\n\nBased on the literature reviewed, an iterative model of data use for school improvement is described, consisting of defining goals for data use, collecting different types of data or evidence (e.g. formal data, informal data, research evidence and ‘big data’), sense-making, taking improvement actions and evaluation. Drawing on the literature, research insights are discussed for each of these components, as well as identification of the research gaps that still exist. It is noted that the process of data use does not happen in isolation: data use is influenced by system, organisation and team/individual level factors.\n\nWhen it comes to using data to improve the quality of teaching and learning, it is evident that some of the most important enablers and barriers include data literacy and leadership. However, what is less well understood is how we can promote the enablers and remove the barriers to unlock, more fully, the potential of data use. Only then can data use lead to sustainable school improvement.","container-title":"Educational Research","DOI":"10.1080/00131881.2019.1625716","journalAbbreviation":"Educational Research","page":"1-17","source":"ResearchGate","title":"Data-based decision-making for school improvement: Research insights and gaps","title-short":"Data-based decision-making for school improvement","volume":"61","author":[{"family":"Schildkamp","given":"Kim"}],"issued":{"date-parts":[["2019"]]}}}],"schema":"https://github.com/citation-style-language/schema/raw/master/csl-citation.json"} </w:instrText>
      </w:r>
      <w:r w:rsidRPr="73B7E7A5">
        <w:rPr>
          <w:color w:val="2B579A"/>
        </w:rPr>
        <w:fldChar w:fldCharType="separate"/>
      </w:r>
      <w:r w:rsidRPr="00497B48">
        <w:t>(Bloom 1968; Schildkamp 2019)</w:t>
      </w:r>
      <w:r w:rsidRPr="73B7E7A5">
        <w:rPr>
          <w:color w:val="2B579A"/>
        </w:rPr>
        <w:fldChar w:fldCharType="end"/>
      </w:r>
      <w:r w:rsidRPr="00497B48">
        <w:t xml:space="preserve">. </w:t>
      </w:r>
    </w:p>
    <w:p w14:paraId="691E117E" w14:textId="63BDAA49" w:rsidR="00C139C0" w:rsidRPr="00497B48" w:rsidRDefault="00C139C0" w:rsidP="00C139C0">
      <w:pPr>
        <w:spacing w:after="120" w:line="240" w:lineRule="auto"/>
      </w:pPr>
      <w:r w:rsidRPr="00497B48">
        <w:t xml:space="preserve">When </w:t>
      </w:r>
      <w:r w:rsidR="0019021E">
        <w:t>ITE students</w:t>
      </w:r>
      <w:r w:rsidRPr="00497B48">
        <w:t xml:space="preserve"> are learning to plan a sequence of lessons, emphasis should be given to the incorporation of spacing and retrieval practice </w:t>
      </w:r>
      <w:r w:rsidRPr="73B7E7A5">
        <w:rPr>
          <w:color w:val="2B579A"/>
        </w:rPr>
        <w:fldChar w:fldCharType="begin"/>
      </w:r>
      <w:r w:rsidRPr="00497B48">
        <w:instrText xml:space="preserve"> ADDIN ZOTERO_ITEM CSL_CITATION {"citationID":"aWFhnkAI","properties":{"formattedCitation":"(Carpenter et al. 2012)","plainCitation":"(Carpenter et al. 2012)","noteIndex":0},"citationItems":[{"id":17217,"uris":["http://zotero.org/users/10928664/items/K6NWFN3L"],"itemData":{"id":17217,"type":"article-journal","abstract":"Every day, students and instructors are faced with the decision of when to study information. The timing of study, and how it affects memory retention, has been explored for many years in research on human learning. This research has shown that performance on final tests of learning is improved if multiple study sessions are separated—i.e., “spaced” apart—in time rather than massed in immediate succession. In this article, we review research findings of the types of learning that benefit from spaced study, demonstrations of these benefits in educational settings, and recent research on the time intervals during which spaced study should occur in order to maximize memory retention. We conclude with a list of recommendations on how spacing might be incorporated into everyday instruction. (PsycInfo Database Record (c) 2022 APA, all rights reserved)","container-title":"Educational Psychology Review","DOI":"10.1007/s10648-012-9205-z","ISSN":"1573-336X","note":"publisher-place: Germany\npublisher: Springer","page":"369-378","source":"APA PsycNet","title":"Using spacing to enhance diverse forms of learning: Review of recent research and implications for instruction","title-short":"Using spacing to enhance diverse forms of learning","volume":"24","author":[{"family":"Carpenter","given":"Shana K."},{"family":"Cepeda","given":"Nicholas J."},{"family":"Rohrer","given":"Doug"},{"family":"Kang","given":"Sean H. K."},{"family":"Pashler","given":"Harold"}],"issued":{"date-parts":[["2012"]]}}}],"schema":"https://github.com/citation-style-language/schema/raw/master/csl-citation.json"} </w:instrText>
      </w:r>
      <w:r w:rsidRPr="73B7E7A5">
        <w:rPr>
          <w:color w:val="2B579A"/>
        </w:rPr>
        <w:fldChar w:fldCharType="separate"/>
      </w:r>
      <w:r w:rsidRPr="00497B48">
        <w:t>(Carpenter et al. 2012)</w:t>
      </w:r>
      <w:r w:rsidRPr="73B7E7A5">
        <w:rPr>
          <w:color w:val="2B579A"/>
        </w:rPr>
        <w:fldChar w:fldCharType="end"/>
      </w:r>
      <w:r w:rsidRPr="00497B48">
        <w:t xml:space="preserve"> </w:t>
      </w:r>
      <w:r>
        <w:t>with reference to</w:t>
      </w:r>
      <w:r w:rsidRPr="00497B48">
        <w:t xml:space="preserve"> why this practice works effectively in relation to a learner’s memory and brain. For example, spacing a particular concept or skill across two or more lessons </w:t>
      </w:r>
      <w:r w:rsidRPr="73B7E7A5">
        <w:rPr>
          <w:color w:val="2B579A"/>
        </w:rPr>
        <w:fldChar w:fldCharType="begin"/>
      </w:r>
      <w:r w:rsidRPr="00497B48">
        <w:instrText xml:space="preserve"> ADDIN ZOTERO_ITEM CSL_CITATION {"citationID":"qYyjoviq","properties":{"formattedCitation":"(Cepeda et al. 2006, 2008)","plainCitation":"(Cepeda et al. 2006, 2008)","noteIndex":0},"citationItems":[{"id":17214,"uris":["http://zotero.org/users/10928664/items/XKTACCIY"],"itemData":{"id":17214,"type":"article-journal","abstract":"The authors performed a meta-analysis of the distributed practice effect to illuminate the effects of temporal variables that have been neglected in previous reviews. This review found 839 assessments of distributed practice in 317 experiments located in 184 articles. Effects of spacing (consecutive massed presentations vs. spaced learning episodes) and lag (less spaced vs. more spaced learning episodes) were examined, as were expanding interstudy interval (ISI) effects. Analyses suggest that ISI and retention interval operate jointly to affect final-test retention; specifically, the ISI producing maximal retention increased as retention interval increased. Areas needing future research and theoretical implications are discussed.","container-title":"Psychological Bulletin","DOI":"10.1037/0033-2909.132.3.354","ISSN":"0033-2909","issue":"3","journalAbbreviation":"Psychol Bull","language":"eng","note":"PMID: 16719566","page":"354-380","source":"PubMed","title":"Distributed practice in verbal recall tasks: A review and quantitative synthesis","title-short":"Distributed practice in verbal recall tasks","volume":"132","author":[{"family":"Cepeda","given":"Nicholas J."},{"family":"Pashler","given":"Harold"},{"family":"Vul","given":"Edward"},{"family":"Wixted","given":"John T."},{"family":"Rohrer","given":"Doug"}],"issued":{"date-parts":[["2006",5]]}}},{"id":17220,"uris":["http://zotero.org/users/10928664/items/9PAJJ2VA"],"itemData":{"id":17220,"type":"article-journal","abstract":"To achieve enduring retention, people must usually study information on multiple occasions. How does the timing of study events affect retention? Prior research has examined this issue only in a spotty fashion, usually with very short time intervals. In a study aimed at characterizing spacing effects over significant durations, more than 1,350 individuals were taught a set of facts and--after a gap of up to 3.5 months--given a review. A final test was administered at a further delay of up to 1 year. At any given test delay, an increase in the interstudy gap at first increased, and then gradually reduced, final test performance. The optimal gap increased as test delay increased. However, when measured as a proportion of test delay, the optimal gap declined from about 20 to 40% of a 1-week test delay to about 5 to 10% of a 1-year test delay. The interaction of gap and test delay implies that many educational practices are highly inefficient.","container-title":"Psychological Science","DOI":"10.1111/j.1467-9280.2008.02209.x","ISSN":"1467-9280","issue":"11","journalAbbreviation":"Psychol Sci","language":"eng","note":"PMID: 19076480","page":"1095-1102","source":"PubMed","title":"Spacing effects in learning: a temporal ridgeline of optimal retention","title-short":"Spacing effects in learning","volume":"19","author":[{"family":"Cepeda","given":"Nicholas J."},{"family":"Vul","given":"Edward"},{"family":"Rohrer","given":"Doug"},{"family":"Wixted","given":"John T."},{"family":"Pashler","given":"Harold"}],"issued":{"date-parts":[["2008",11]]}}}],"schema":"https://github.com/citation-style-language/schema/raw/master/csl-citation.json"} </w:instrText>
      </w:r>
      <w:r w:rsidRPr="73B7E7A5">
        <w:rPr>
          <w:color w:val="2B579A"/>
        </w:rPr>
        <w:fldChar w:fldCharType="separate"/>
      </w:r>
      <w:r w:rsidRPr="00497B48">
        <w:t>(Cepeda et al. 2006, 2008)</w:t>
      </w:r>
      <w:r w:rsidRPr="73B7E7A5">
        <w:rPr>
          <w:color w:val="2B579A"/>
        </w:rPr>
        <w:fldChar w:fldCharType="end"/>
      </w:r>
      <w:r>
        <w:t>,</w:t>
      </w:r>
      <w:r w:rsidRPr="00497B48">
        <w:t xml:space="preserve"> using routines that embed retrieval</w:t>
      </w:r>
      <w:r>
        <w:t>,</w:t>
      </w:r>
      <w:r w:rsidRPr="00497B48">
        <w:t xml:space="preserve"> such as question prompts </w:t>
      </w:r>
      <w:r w:rsidRPr="73B7E7A5">
        <w:rPr>
          <w:color w:val="2B579A"/>
        </w:rPr>
        <w:fldChar w:fldCharType="begin"/>
      </w:r>
      <w:r w:rsidRPr="00497B48">
        <w:instrText xml:space="preserve"> ADDIN ZOTERO_ITEM CSL_CITATION {"citationID":"0Qelf4eK","properties":{"formattedCitation":"(Adesope et al. 2017)","plainCitation":"(Adesope et al. 2017)","noteIndex":0},"citationItems":[{"id":17179,"uris":["http://zotero.org/users/10928664/items/XHFZDABJ"],"itemData":{"id":17179,"type":"article-journal","abstract":"The testing effect is a well-known concept referring to gains in learning and retention that can occur when students take a practice test on studied material before taking a final test on the same material. Research demonstrates that students who take practice tests often outperform students in nontesting learning conditions such as restudying, practice, filler activities, or no presentation of the material. However, evidence-based meta-analysis is needed to develop a comprehensive understanding of the conditions under which practice tests enhance or inhibit learning. This meta-analysis fills this gap by examining the effects of practice tests versus nontesting learning conditions. Results reveal that practice tests are more beneficial for learning than restudying and all other comparison conditions. Mean effect sizes were moderated by the features of practice tests, participant and study characteristics, outcome constructs, and methodological features of the studies. Findings may guide the use of practice tests to advance student learning, and inform students, teachers, researchers, and policymakers. This article concludes with the theoretical and practical implications of the meta-analysis.","container-title":"Review of Educational Research","DOI":"10.3102/0034654316689306","ISSN":"0034-6543","issue":"3","language":"en","note":"publisher: American Educational Research Association","page":"659-701","source":"SAGE Journals","title":"Rethinking the Use of Tests: A Meta-Analysis of Practice Testing","title-short":"Rethinking the Use of Tests","volume":"87","author":[{"family":"Adesope","given":"Olusola O."},{"family":"Trevisan","given":"Dominic A."},{"family":"Sundararajan","given":"Narayankripa"}],"issued":{"date-parts":[["2017",6,1]]}}}],"schema":"https://github.com/citation-style-language/schema/raw/master/csl-citation.json"} </w:instrText>
      </w:r>
      <w:r w:rsidRPr="73B7E7A5">
        <w:rPr>
          <w:color w:val="2B579A"/>
        </w:rPr>
        <w:fldChar w:fldCharType="separate"/>
      </w:r>
      <w:r w:rsidRPr="00497B48">
        <w:t>(Adesope et al. 2017)</w:t>
      </w:r>
      <w:r w:rsidRPr="73B7E7A5">
        <w:rPr>
          <w:color w:val="2B579A"/>
        </w:rPr>
        <w:fldChar w:fldCharType="end"/>
      </w:r>
      <w:r w:rsidRPr="00497B48">
        <w:t xml:space="preserve">, and allowing multiple opportunities across a unit of work help students to retrieve past learning and consolidate it in long-term memory </w:t>
      </w:r>
      <w:r w:rsidRPr="73B7E7A5">
        <w:rPr>
          <w:color w:val="2B579A"/>
        </w:rPr>
        <w:fldChar w:fldCharType="begin"/>
      </w:r>
      <w:r w:rsidRPr="00497B48">
        <w:instrText xml:space="preserve"> ADDIN ZOTERO_ITEM CSL_CITATION {"citationID":"ymjLlkMx","properties":{"formattedCitation":"(Carpenter et al. 2012)","plainCitation":"(Carpenter et al. 2012)","noteIndex":0},"citationItems":[{"id":17217,"uris":["http://zotero.org/users/10928664/items/K6NWFN3L"],"itemData":{"id":17217,"type":"article-journal","abstract":"Every day, students and instructors are faced with the decision of when to study information. The timing of study, and how it affects memory retention, has been explored for many years in research on human learning. This research has shown that performance on final tests of learning is improved if multiple study sessions are separated—i.e., “spaced” apart—in time rather than massed in immediate succession. In this article, we review research findings of the types of learning that benefit from spaced study, demonstrations of these benefits in educational settings, and recent research on the time intervals during which spaced study should occur in order to maximize memory retention. We conclude with a list of recommendations on how spacing might be incorporated into everyday instruction. (PsycInfo Database Record (c) 2022 APA, all rights reserved)","container-title":"Educational Psychology Review","DOI":"10.1007/s10648-012-9205-z","ISSN":"1573-336X","note":"publisher-place: Germany\npublisher: Springer","page":"369-378","source":"APA PsycNet","title":"Using spacing to enhance diverse forms of learning: Review of recent research and implications for instruction","title-short":"Using spacing to enhance diverse forms of learning","volume":"24","author":[{"family":"Carpenter","given":"Shana K."},{"family":"Cepeda","given":"Nicholas J."},{"family":"Rohrer","given":"Doug"},{"family":"Kang","given":"Sean H. K."},{"family":"Pashler","given":"Harold"}],"issued":{"date-parts":[["2012"]]}}}],"schema":"https://github.com/citation-style-language/schema/raw/master/csl-citation.json"} </w:instrText>
      </w:r>
      <w:r w:rsidRPr="73B7E7A5">
        <w:rPr>
          <w:color w:val="2B579A"/>
        </w:rPr>
        <w:fldChar w:fldCharType="separate"/>
      </w:r>
      <w:r w:rsidRPr="00497B48">
        <w:t>(Carpenter et al. 2012)</w:t>
      </w:r>
      <w:r w:rsidRPr="73B7E7A5">
        <w:rPr>
          <w:color w:val="2B579A"/>
        </w:rPr>
        <w:fldChar w:fldCharType="end"/>
      </w:r>
      <w:r w:rsidRPr="00497B48">
        <w:t xml:space="preserve">. </w:t>
      </w:r>
    </w:p>
    <w:p w14:paraId="4191F3A1" w14:textId="7E3A9725" w:rsidR="00C139C0" w:rsidRPr="00497B48" w:rsidRDefault="00C139C0" w:rsidP="0057706B">
      <w:pPr>
        <w:spacing w:after="120" w:line="240" w:lineRule="auto"/>
        <w:rPr>
          <w:rStyle w:val="Strong"/>
          <w:b w:val="0"/>
          <w:bCs w:val="0"/>
        </w:rPr>
      </w:pPr>
      <w:r w:rsidRPr="00497B48">
        <w:t xml:space="preserve">The evidence strongly supports the sequencing of tasks that build upon each other and meet students where they are in their learning, </w:t>
      </w:r>
      <w:r>
        <w:t>i.e.</w:t>
      </w:r>
      <w:r w:rsidRPr="00497B48">
        <w:t xml:space="preserve"> neither too easy nor too challenging </w:t>
      </w:r>
      <w:r w:rsidRPr="472BA39A">
        <w:rPr>
          <w:color w:val="2B579A"/>
        </w:rPr>
        <w:fldChar w:fldCharType="begin"/>
      </w:r>
      <w:r w:rsidRPr="00497B48">
        <w:instrText xml:space="preserve"> ADDIN ZOTERO_ITEM CSL_CITATION {"citationID":"EUI8ID75","properties":{"formattedCitation":"(Bloom 1968; Panadero and Jonsson 2013; Sweller et al. 1998)","plainCitation":"(Bloom 1968; Panadero and Jonsson 2013; Sweller et al. 1998)","noteIndex":0},"citationItems":[{"id":17169,"uris":["http://zotero.org/users/10928664/items/U6FP9EPR"],"itemData":{"id":17169,"type":"article-journal","abstract":"Most students, perhaps over 90 percent, can master what teachers have to teach them, and it is the task of instruction to find the means which will enable students to master the subject under consideration. A basic task is to determine what is meant by mastery of the subject and to search for methods and materials which will enable the largest proportion of students to attain such mastery. That is, the basic task in education is to find strategies which will take individual differences into consideration but in such a way as to promote the fullest development of the individual. The thesis of this paper is that, to promote mastery learning, 5 variables must be dealt with effectively: (1) aptitude for kinds of learning, viewed as the amount of time required by the learner to attain  mastery of the task; (2) quality of instruction, viewed in terms of its approaching the optimum for a given learner; (3) ability to understand instruction, i.e., to understand the nature of the task and the procedures to follow; (4) perseverance, the amount of time one is willing to spend in learning; and (5) time allowed for learning, the key to mastery. (Author/TA)","collection-title":"Regional Education Laboratory for the Carolinas and Virginia, Topical Papers and Reprints","container-title":"Evaluation Comment","issue":"2","language":"en","note":"publisher: Regional Education Laboratory for the Carolinas and Virginia, Mutual Plaza (Chapel Hill and Duke Sts","source":"ERIC","title":"Learning for Mastery. Instruction and Curriculum.","URL":"https://eric.ed.gov/?id=ED053419","volume":"1","author":[{"family":"Bloom","given":"Benjamin S."}],"accessed":{"date-parts":[["2021",5,13]]},"issued":{"date-parts":[["1968"]]}}},{"id":17227,"uris":["http://zotero.org/users/10928664/items/RYW5IYVX"],"itemData":{"id":17227,"type":"article-journal","abstract":"The mainstream research on scoring rubrics has emphasized the summative aspect of assessment. In recent years, the use of rubrics for formative purposes has gained more attention. This research has, however, not been conclusive. The aim of this study is therefore to review the research on formative use of rubrics, in order to investigate if, and how, rubrics have an impact on student learning. In total, 21 studies about rubrics were analyzed through content analysis. Sample, subject/task, design, procedure, and findings, were compared among the different studies in relation to effects on student performance and selfregulation. Findings indicate that rubrics may have the potential to influence students learning positively, but also that there are several different ways for the use of rubrics to mediate improved performance and self-regulation. There are a number of factors identified that may moderate the effects of using rubrics formatively, as well as factors that need further investigation.","container-title":"Educational Research Review","DOI":"10.1016/j.edurev.2013.01.002","ISSN":"1747-938X","journalAbbreviation":"Educational Research Review","language":"en","page":"129-144","source":"ScienceDirect","title":"The use of scoring rubrics for formative assessment purposes revisited: A review","title-short":"The use of scoring rubrics for formative assessment purposes revisited","volume":"9","author":[{"family":"Panadero","given":"Ernesto"},{"family":"Jonsson","given":"Anders"}],"issued":{"date-parts":[["2013",6,1]]}}},{"id":17202,"uris":["http://zotero.org/users/10928664/items/RNTMLUWL"],"itemData":{"id":17202,"type":"article-journal","abstract":"Abstract \nCognitive load theory has been designed to provide guidelines intended to assist in the presentation of information in a manner that encourages learner activities that optimize intellectual performance. The theory assumes a limited capacity working memory that includes partially independent subcomponents to deal with auditory/verbal material and visual/2- or 3-dimensional information as well as an effectively unlimited long-term memory, holding schemas that vary in their degree of automation. These structures and functions of human cognitive architecture have been used to design a variety of novel instructional procedures based on the assumption that working memory load should be reduced and schema construction encouraged. This paper reviews the theory and the instructional designs generated by it.","container-title":"Educational Psychology Review","DOI":"10.1023/a:1022193728205","journalAbbreviation":"Educational Psychology Review","page":"251","source":"ResearchGate","title":"Cognitive Architecture and Instructional Design","volume":"10","author":[{"family":"Sweller","given":"John"},{"family":"Van Merrienboer","given":"Jeroen J. G."},{"family":"Paas","given":"Fred"}],"issued":{"date-parts":[["1998"]]}}}],"schema":"https://github.com/citation-style-language/schema/raw/master/csl-citation.json"} </w:instrText>
      </w:r>
      <w:r w:rsidRPr="472BA39A">
        <w:rPr>
          <w:color w:val="2B579A"/>
        </w:rPr>
        <w:fldChar w:fldCharType="separate"/>
      </w:r>
      <w:r w:rsidRPr="00497B48">
        <w:t>(Bloom 1968; Panadero and Jonsson 2013; Sweller et al. 1998)</w:t>
      </w:r>
      <w:r w:rsidRPr="472BA39A">
        <w:rPr>
          <w:color w:val="2B579A"/>
        </w:rPr>
        <w:fldChar w:fldCharType="end"/>
      </w:r>
      <w:r w:rsidRPr="00497B48">
        <w:t xml:space="preserve">. Students learn best when teachers clearly explain how each task is related and builds on previously learnt objectives, helping them to understand the progression of skills needed to attain mastery. </w:t>
      </w:r>
    </w:p>
    <w:p w14:paraId="42D053EC" w14:textId="39193B41" w:rsidR="00C139C0" w:rsidRPr="00061E03" w:rsidRDefault="00C139C0" w:rsidP="00DE7346">
      <w:pPr>
        <w:spacing w:after="0" w:line="240" w:lineRule="auto"/>
        <w:rPr>
          <w:b/>
        </w:rPr>
      </w:pPr>
      <w:r w:rsidRPr="00061E03">
        <w:rPr>
          <w:b/>
        </w:rPr>
        <w:t xml:space="preserve">Explicit modelling and scaffolding </w:t>
      </w:r>
    </w:p>
    <w:p w14:paraId="7AB1E711" w14:textId="26A8B976" w:rsidR="00C139C0" w:rsidRPr="00DE7346" w:rsidRDefault="0013199C" w:rsidP="00AA45C1">
      <w:pPr>
        <w:spacing w:after="120" w:line="240" w:lineRule="auto"/>
        <w:rPr>
          <w:rFonts w:ascii="Calibri" w:hAnsi="Calibri" w:cs="Calibri"/>
          <w:b/>
          <w:color w:val="000000" w:themeColor="text1"/>
        </w:rPr>
      </w:pPr>
      <w:r>
        <w:t>E</w:t>
      </w:r>
      <w:r w:rsidR="00C139C0" w:rsidRPr="00497B48">
        <w:t xml:space="preserve">xplicit teaching, modelling, and scaffolding practices are highly effective across a variety of contexts. Practices include breaking down what students need to learn into smaller learning outcomes and modelling each step so that students can see what is expected of them. Doing this </w:t>
      </w:r>
      <w:r w:rsidR="00C139C0" w:rsidRPr="00497B48">
        <w:lastRenderedPageBreak/>
        <w:t xml:space="preserve">reduces the mental effort required of students, allowing them to process new information more effectively. ITE </w:t>
      </w:r>
      <w:r w:rsidR="00A32BE6">
        <w:t>programs</w:t>
      </w:r>
      <w:r w:rsidR="00C139C0" w:rsidRPr="00497B48">
        <w:t xml:space="preserve"> should emphasise that these practices are the foundation for effective teaching and are highly responsive to how a student’s brain learns and retains information. </w:t>
      </w:r>
    </w:p>
    <w:p w14:paraId="15FA7C7A" w14:textId="77777777" w:rsidR="00C139C0" w:rsidRPr="00497B48" w:rsidRDefault="00C139C0" w:rsidP="00AA45C1">
      <w:pPr>
        <w:spacing w:after="120" w:line="240" w:lineRule="auto"/>
      </w:pPr>
      <w:r w:rsidRPr="00497B48">
        <w:t>Teaching should begin with a clear explanation of what students are expected to learn</w:t>
      </w:r>
      <w:r>
        <w:t>,</w:t>
      </w:r>
      <w:r w:rsidRPr="00497B48">
        <w:t xml:space="preserve"> including its purpose and relevance</w:t>
      </w:r>
      <w:r>
        <w:t>,</w:t>
      </w:r>
      <w:r w:rsidRPr="00497B48">
        <w:t xml:space="preserve"> and understand each objective's success criteria before presenting any new material </w:t>
      </w:r>
      <w:r w:rsidRPr="004460CC">
        <w:fldChar w:fldCharType="begin"/>
      </w:r>
      <w:r w:rsidRPr="00497B48">
        <w:instrText xml:space="preserve"> ADDIN ZOTERO_ITEM CSL_CITATION {"citationID":"IKXzfmUI","properties":{"formattedCitation":"(Black and Wiliam 1998a, 1998b)","plainCitation":"(Black and Wiliam 1998a, 1998b)","noteIndex":0},"citationItems":[{"id":17186,"uris":["http://zotero.org/users/10928664/items/7UYDU7DP"],"itemData":{"id":17186,"type":"article-journal","container-title":"Assessment in Education: principles, policy &amp; practice","issue":"1","note":"publisher: Taylor &amp; Francis","page":"7–74","source":"Google Scholar","title":"Assessment and classroom learning","volume":"5","author":[{"family":"Black","given":"Paul"},{"family":"Wiliam","given":"Dylan"}],"issued":{"date-parts":[["1998"]]}}},{"id":17189,"uris":["http://zotero.org/users/10928664/items/FHNBUYCV"],"itemData":{"id":17189,"type":"article-journal","abstract":"Firm evidence shows that formative assessment is an essential ingredient of classroom work and that its development can raise achievement standards. Achieving this goal demands a four-point scheme for teacher development: learning from development, a slow, yet steady dissemination process, reduction of obstacles, and substantive research efforts. (21 references) (MLH)","container-title":"Phi Delta Kappan","ISSN":"0031-7217","issue":"2","note":"publisher: Phi Delta Kappan","page":"139-144","source":"EBSCOhost","title":"Inside the Black Box: Raising Standards Through Classroom Assessment","title-short":"Inside the Black Box","volume":"80","author":[{"family":"Black","given":"Paul"},{"family":"Wiliam","given":"Dylan"}],"issued":{"date-parts":[["1998",10,1]]}}}],"schema":"https://github.com/citation-style-language/schema/raw/master/csl-citation.json"} </w:instrText>
      </w:r>
      <w:r w:rsidRPr="004460CC">
        <w:fldChar w:fldCharType="separate"/>
      </w:r>
      <w:r w:rsidRPr="00497B48">
        <w:t>(Black and Wiliam 1998a, 1998b)</w:t>
      </w:r>
      <w:r w:rsidRPr="004460CC">
        <w:fldChar w:fldCharType="end"/>
      </w:r>
      <w:r w:rsidRPr="00497B48">
        <w:t xml:space="preserve">. When presenting new material, learning should be chunked into small, manageable tasks with well-defined goals </w:t>
      </w:r>
      <w:r w:rsidRPr="004460CC">
        <w:fldChar w:fldCharType="begin"/>
      </w:r>
      <w:r w:rsidRPr="00497B48">
        <w:instrText xml:space="preserve"> ADDIN ZOTERO_ITEM CSL_CITATION {"citationID":"09zdWnTG","properties":{"formattedCitation":"(Black and Wiliam 1998a; Hughes et al. 2017)","plainCitation":"(Black and Wiliam 1998a; Hughes et al. 2017)","noteIndex":0},"citationItems":[{"id":17186,"uris":["http://zotero.org/users/10928664/items/7UYDU7DP"],"itemData":{"id":17186,"type":"article-journal","container-title":"Assessment in Education: principles, policy &amp; practice","issue":"1","note":"publisher: Taylor &amp; Francis","page":"7–74","source":"Google Scholar","title":"Assessment and classroom learning","volume":"5","author":[{"family":"Black","given":"Paul"},{"family":"Wiliam","given":"Dylan"}],"issued":{"date-parts":[["1998"]]}}},{"id":17191,"uris":["http://zotero.org/users/10928664/items/7WSBUKC3"],"itemData":{"id":17191,"type":"article-journal","abstract":"Over the past 20‐plus years, the instructional approach referred to as “explicit instruction” has been increasingly mentioned as an instructional method in the learning disabilities literature. Explicit instruction is not a unitary intervention, but can be a combination of over a dozen teaching behaviors or components used to design and deliver instruction. This multicomponent aspect likely contributes to the variability of the descriptions and definitions of explicit instruction found in journals, books, and other published documents. Because explicit instruction has become a prominent and often discussed topic in special education, we attempt to define and describe the term more precisely in order to increase the clarity and consistency of its use in both research and practice. In addition, we expand our discussion to include a brief historical perspective of the evolution of explicit instruction from earlier programs and research efforts such as “Direct Instruction” and “direct instruction,” as well as providing a summary of its effectiveness, especially for students with learning disabilities. (PsycINFO Database Record (c) 2018 APA, all rights reserved)","container-title":"Learning Disabilities Research &amp; Practice","DOI":"10.1111/ldrp.12142","ISSN":"1540-5826","issue":"3","note":"publisher-place: United Kingdom\npublisher: Wiley-Blackwell Publishing Ltd.","page":"140-148","source":"APA PsycNet","title":"Explicit instruction: Historical and contemporary contexts","title-short":"Explicit instruction","volume":"32","author":[{"family":"Hughes","given":"Charles A."},{"family":"Morris","given":"Jared R."},{"family":"Therrien","given":"William J."},{"family":"Benson","given":"Sarah K."}],"issued":{"date-parts":[["2017"]]}}}],"schema":"https://github.com/citation-style-language/schema/raw/master/csl-citation.json"} </w:instrText>
      </w:r>
      <w:r w:rsidRPr="004460CC">
        <w:fldChar w:fldCharType="separate"/>
      </w:r>
      <w:r w:rsidRPr="00497B48">
        <w:t>(Black and Wiliam 1998a; Hughes et al. 2017)</w:t>
      </w:r>
      <w:r w:rsidRPr="004460CC">
        <w:fldChar w:fldCharType="end"/>
      </w:r>
      <w:r w:rsidRPr="00497B48">
        <w:t>. Additionally, all information required to complete these chunked tasks should be presented in one place and at one time</w:t>
      </w:r>
      <w:r>
        <w:t>,</w:t>
      </w:r>
      <w:r w:rsidRPr="00497B48">
        <w:t xml:space="preserve"> excluding information not directly related to the task </w:t>
      </w:r>
      <w:r w:rsidRPr="004460CC">
        <w:fldChar w:fldCharType="begin"/>
      </w:r>
      <w:r w:rsidRPr="00497B48">
        <w:instrText xml:space="preserve"> ADDIN ZOTERO_ITEM CSL_CITATION {"citationID":"2CADzZaT","properties":{"formattedCitation":"(Sweller et al. 1998)","plainCitation":"(Sweller et al. 1998)","noteIndex":0},"citationItems":[{"id":17202,"uris":["http://zotero.org/users/10928664/items/RNTMLUWL"],"itemData":{"id":17202,"type":"article-journal","abstract":"Abstract \nCognitive load theory has been designed to provide guidelines intended to assist in the presentation of information in a manner that encourages learner activities that optimize intellectual performance. The theory assumes a limited capacity working memory that includes partially independent subcomponents to deal with auditory/verbal material and visual/2- or 3-dimensional information as well as an effectively unlimited long-term memory, holding schemas that vary in their degree of automation. These structures and functions of human cognitive architecture have been used to design a variety of novel instructional procedures based on the assumption that working memory load should be reduced and schema construction encouraged. This paper reviews the theory and the instructional designs generated by it.","container-title":"Educational Psychology Review","DOI":"10.1023/a:1022193728205","journalAbbreviation":"Educational Psychology Review","page":"251","source":"ResearchGate","title":"Cognitive Architecture and Instructional Design","volume":"10","author":[{"family":"Sweller","given":"John"},{"family":"Van Merrienboer","given":"Jeroen J. G."},{"family":"Paas","given":"Fred"}],"issued":{"date-parts":[["1998"]]}}}],"schema":"https://github.com/citation-style-language/schema/raw/master/csl-citation.json"} </w:instrText>
      </w:r>
      <w:r w:rsidRPr="004460CC">
        <w:fldChar w:fldCharType="separate"/>
      </w:r>
      <w:r w:rsidRPr="00497B48">
        <w:t>(Sweller et al. 1998)</w:t>
      </w:r>
      <w:r w:rsidRPr="004460CC">
        <w:fldChar w:fldCharType="end"/>
      </w:r>
      <w:r w:rsidRPr="00497B48">
        <w:t xml:space="preserve">. Research shows that by doing this, students can manage the memory overload of learning something new without struggling to ‘hold’ information in their heads that pertain to instructions rather than content. </w:t>
      </w:r>
    </w:p>
    <w:p w14:paraId="45860D31" w14:textId="77777777" w:rsidR="00C139C0" w:rsidRPr="00497B48" w:rsidRDefault="00C139C0" w:rsidP="00C139C0">
      <w:pPr>
        <w:spacing w:after="120" w:line="240" w:lineRule="auto"/>
      </w:pPr>
      <w:r w:rsidRPr="00497B48">
        <w:t xml:space="preserve">New skills and content must be explicitly modelled through ‘worked examples’ that clearly and concisely demonstrate how to complete the task. Modelling should show each discrete step required to complete a task, undertake a procedure, or solve a problem </w:t>
      </w:r>
      <w:r w:rsidRPr="73B7E7A5">
        <w:rPr>
          <w:color w:val="2B579A"/>
        </w:rPr>
        <w:fldChar w:fldCharType="begin"/>
      </w:r>
      <w:r w:rsidRPr="00497B48">
        <w:instrText xml:space="preserve"> ADDIN ZOTERO_ITEM CSL_CITATION {"citationID":"eWcmo1y8","properties":{"formattedCitation":"(Kirschner et al. 2006)","plainCitation":"(Kirschner et al. 2006)","noteIndex":0},"citationItems":[{"id":17194,"uris":["http://zotero.org/users/10928664/items/3GJ58AC2"],"itemData":{"id":17194,"type":"article-journal","container-title":"Educational Psychologist","DOI":"10.1207/s15326985ep4102_1","ISSN":"0046-1520, 1532-6985","issue":"2","journalAbbreviation":"Educational Psychologist","language":"en","page":"75-86","source":"DOI.org (Crossref)","title":"Why minimal guidance during instruction does not work: an analysis of the failure of constructivist, discovery, problem-based, experiential, and inquiry-based teaching","title-short":"Why minimal guidance during instruction does not work","volume":"41","author":[{"family":"Kirschner","given":"Paul A."},{"family":"Sweller","given":"John"},{"family":"Clark","given":"Richard E."}],"issued":{"date-parts":[["2006",6]]}}}],"schema":"https://github.com/citation-style-language/schema/raw/master/csl-citation.json"} </w:instrText>
      </w:r>
      <w:r w:rsidRPr="73B7E7A5">
        <w:rPr>
          <w:color w:val="2B579A"/>
        </w:rPr>
        <w:fldChar w:fldCharType="separate"/>
      </w:r>
      <w:r w:rsidRPr="00497B48">
        <w:t>(Kirschner et al. 2006)</w:t>
      </w:r>
      <w:r w:rsidRPr="73B7E7A5">
        <w:rPr>
          <w:color w:val="2B579A"/>
        </w:rPr>
        <w:fldChar w:fldCharType="end"/>
      </w:r>
      <w:r w:rsidRPr="00497B48">
        <w:t xml:space="preserve">. This worked example then provides a foundation for the gradual introduction of other examples that introduce different elements of the task, one new point at a time. Scaffolding should then be progressively removed as students become more proficient, and worked examples are replaced with independent problem-solving and ample opportunities to practice </w:t>
      </w:r>
      <w:r w:rsidRPr="73B7E7A5">
        <w:rPr>
          <w:color w:val="2B579A"/>
        </w:rPr>
        <w:fldChar w:fldCharType="begin"/>
      </w:r>
      <w:r w:rsidRPr="00497B48">
        <w:instrText xml:space="preserve"> ADDIN ZOTERO_ITEM CSL_CITATION {"citationID":"nd3MSo2O","properties":{"formattedCitation":"(Martin and Evans 2018; Sweller et al. 1998)","plainCitation":"(Martin and Evans 2018; Sweller et al. 1998)","noteIndex":0},"citationItems":[{"id":17196,"uris":["http://zotero.org/users/10928664/items/QIZGC82C"],"itemData":{"id":17196,"type":"article-journal","abstract":"Load reduction instruction (LRI) is an instructional approach aimed at managing the cognitive burden on students in the initial stages of learning; then, as ﬂuency and automaticity develop, students are encouraged to engage in guided independent learning. LRI comprises ﬁve factors: difﬁculty reduction, support and scaffolding, practice, feedback, and guided independence. This study examined an instrument (the Load Reduction Instruction Scale, LRIS) aimed at assessing these ﬁve factors. Among a sample of high school students from 40 classrooms, ﬁndings supported the validity of the LRIS, the conceptualising underpinning it, and its potential to guide instructional practice.","container-title":"Teaching and Teacher Education","DOI":"10.1016/j.tate.2018.03.018","ISSN":"0742051X","journalAbbreviation":"Teaching and Teacher Education","language":"en","page":"203-214","source":"DOI.org (Crossref)","title":"Load reduction instruction: Exploring a framework that assesses explicit instruction through to independent learning","title-short":"Load reduction instruction","volume":"73","author":[{"family":"Martin","given":"Andrew J."},{"family":"Evans","given":"Paul"}],"issued":{"date-parts":[["2018",7]]}}},{"id":17202,"uris":["http://zotero.org/users/10928664/items/RNTMLUWL"],"itemData":{"id":17202,"type":"article-journal","abstract":"Abstract \nCognitive load theory has been designed to provide guidelines intended to assist in the presentation of information in a manner that encourages learner activities that optimize intellectual performance. The theory assumes a limited capacity working memory that includes partially independent subcomponents to deal with auditory/verbal material and visual/2- or 3-dimensional information as well as an effectively unlimited long-term memory, holding schemas that vary in their degree of automation. These structures and functions of human cognitive architecture have been used to design a variety of novel instructional procedures based on the assumption that working memory load should be reduced and schema construction encouraged. This paper reviews the theory and the instructional designs generated by it.","container-title":"Educational Psychology Review","DOI":"10.1023/a:1022193728205","journalAbbreviation":"Educational Psychology Review","page":"251","source":"ResearchGate","title":"Cognitive Architecture and Instructional Design","volume":"10","author":[{"family":"Sweller","given":"John"},{"family":"Van Merrienboer","given":"Jeroen J. G."},{"family":"Paas","given":"Fred"}],"issued":{"date-parts":[["1998"]]}}}],"schema":"https://github.com/citation-style-language/schema/raw/master/csl-citation.json"} </w:instrText>
      </w:r>
      <w:r w:rsidRPr="73B7E7A5">
        <w:rPr>
          <w:color w:val="2B579A"/>
        </w:rPr>
        <w:fldChar w:fldCharType="separate"/>
      </w:r>
      <w:r w:rsidRPr="00497B48">
        <w:t>(Martin and Evans 2018; Sweller et al. 1998)</w:t>
      </w:r>
      <w:r w:rsidRPr="73B7E7A5">
        <w:rPr>
          <w:color w:val="2B579A"/>
        </w:rPr>
        <w:fldChar w:fldCharType="end"/>
      </w:r>
      <w:r w:rsidRPr="00497B48">
        <w:t xml:space="preserve">. Research supports the use of spaced practice by using appropriately challenging structured recall activities to further assist students in retaining new skills and knowledge </w:t>
      </w:r>
      <w:r w:rsidRPr="73B7E7A5">
        <w:rPr>
          <w:color w:val="2B579A"/>
        </w:rPr>
        <w:fldChar w:fldCharType="begin"/>
      </w:r>
      <w:r w:rsidRPr="00497B48">
        <w:instrText xml:space="preserve"> ADDIN ZOTERO_ITEM CSL_CITATION {"citationID":"AXUtA9DM","properties":{"formattedCitation":"(Adesope et al. 2017; Agarwal 2019; Kang 2016; Roediger and Butler 2011)","plainCitation":"(Adesope et al. 2017; Agarwal 2019; Kang 2016; Roediger and Butler 2011)","noteIndex":0},"citationItems":[{"id":17179,"uris":["http://zotero.org/users/10928664/items/XHFZDABJ"],"itemData":{"id":17179,"type":"article-journal","abstract":"The testing effect is a well-known concept referring to gains in learning and retention that can occur when students take a practice test on studied material before taking a final test on the same material. Research demonstrates that students who take practice tests often outperform students in nontesting learning conditions such as restudying, practice, filler activities, or no presentation of the material. However, evidence-based meta-analysis is needed to develop a comprehensive understanding of the conditions under which practice tests enhance or inhibit learning. This meta-analysis fills this gap by examining the effects of practice tests versus nontesting learning conditions. Results reveal that practice tests are more beneficial for learning than restudying and all other comparison conditions. Mean effect sizes were moderated by the features of practice tests, participant and study characteristics, outcome constructs, and methodological features of the studies. Findings may guide the use of practice tests to advance student learning, and inform students, teachers, researchers, and policymakers. This article concludes with the theoretical and practical implications of the meta-analysis.","container-title":"Review of Educational Research","DOI":"10.3102/0034654316689306","ISSN":"0034-6543","issue":"3","language":"en","note":"publisher: American Educational Research Association","page":"659-701","source":"SAGE Journals","title":"Rethinking the Use of Tests: A Meta-Analysis of Practice Testing","title-short":"Rethinking the Use of Tests","volume":"87","author":[{"family":"Adesope","given":"Olusola O."},{"family":"Trevisan","given":"Dominic A."},{"family":"Sundararajan","given":"Narayankripa"}],"issued":{"date-parts":[["2017",6,1]]}}},{"id":17181,"uris":["http://zotero.org/users/10928664/items/3FBXF593"],"itemData":{"id":17181,"type":"article-journal","abstract":"The development of students’ higher order learning is a critical component of education. For decades, educators and scientists have engaged in an ongoing debate about whether higher order learning can only be enhanced by building a base of factual knowledge (analogous to Bloom’s taxonomy) or whether higher order learning can be enhanced directly by engaging in complex questioning and materials. The relationship between fact learning and higher order learning is often speculated, but empirically unknown. In this study, middle school students and college students engaged in retrieval practice with fact questions, higher order questions, or a mix of question types to examine the optimal type of retrieval practice for enhancing higher order learning. In laboratory and K-12 settings, retrieval practice consistently increased delayed test performance, compared with rereading or no quizzes. Critically, higher order and mixed quizzes improved higher order test performance, but fact quizzes did not. Contrary to popular intuition about higher order learning and Bloom’s taxonomy, building a foundation of knowledge via fact-based retrieval practice may be less potent than engaging in higher order retrieval practice, a key finding for future research and classroom application.","container-title":"Journal of Educational Psychology","DOI":"10.1037/edu0000282","journalAbbreviation":"Journal of Educational Psychology","page":"189-209","source":"ResearchGate","title":"Retrieval Practice &amp; Bloom's Taxonomy: Do Students Need Fact Knowledge Before Higher Order Learning?","title-short":"Retrieval Practice &amp; Bloom's Taxonomy","volume":"111","author":[{"family":"Agarwal","given":"Pooja"}],"issued":{"date-parts":[["2019",2,1]]}}},{"id":17163,"uris":["http://zotero.org/users/10928664/items/ZPD3WIHA"],"itemData":{"id":17163,"type":"article-journal","abstract":"Concern that students in the United States are less proficient in mathematics, science, and reading than their peers in other countries has led some to question whether American students spend enough time in school. Instead of debating the amount of time that should be spent in school (and on schoolwork), this article addresses how the available instructional time might be optimally utilized via the scheduling of review or practice. Hundreds of studies in cognitive and educational psychology have demonstrated that spacing out repeated encounters with the material over time produces superior long-term learning, compared with repetitions that are massed together. Also, incorporating tests into spaced practice amplifies the benefits. Spaced review or practice enhances diverse forms of learning, including memory, problem solving, and generalization to new situations. Spaced practice is a feasible and cost-effective way to improve the effectiveness and efficiency of learning, and has tremendous potential to improve educational outcomes. The article also discusses barriers to adopting spaced practice, recent developments, and their possible implications.","container-title":"Policy Insights from the Behavioral and Brain Sciences","DOI":"10.1177/2372732215624708","journalAbbreviation":"Policy Insights from the Behavioral and Brain Sciences","language":"en","source":"ResearchGate","title":"Spaced Repetition Promotes Efficient and Effective Learning: Policy Implications for Instruction","title-short":"Spaced Repetition Promotes Efficient and Effective Learning","URL":"https://www.researchgate.net/publication/290511665_Spaced_Repetition_Promotes_Efficient_and_Effective_Learning_Policy_Implications_for_Instruction","volume":"3","author":[{"family":"Kang","given":"Sean"}],"issued":{"date-parts":[["2016"]]}}},{"id":17206,"uris":["http://zotero.org/users/10928664/items/ZXZZTMPD"],"itemData":{"id":17206,"type":"article-journal","abstract":"Learning is usually thought to occur during episodes of studying, whereas retrieval of information on testing simply serves to assess what was learned. We review research that contradicts this traditional view by demonstrating that retrieval practice is actually a powerful mnemonic enhancer, often producing large gains in long-term retention relative to repeated studying. Retrieval practice is often effective even without feedback (i.e. giving the correct answer), but feedback enhances the benefits of testing. In addition, retrieval practice promotes the acquisition of knowledge that can be flexibly retrieved and transferred to different contexts. The power of retrieval practice in consolidating memories has important implications for both the study of memory and its application to educational practice. (PsycINFO Database Record (c) 2016 APA, all rights reserved)","container-title":"Trends in Cognitive Sciences","DOI":"10.1016/j.tics.2010.09.003","ISSN":"1364-6613","note":"publisher-place: Netherlands\npublisher: Elsevier Science","page":"20-27","source":"APA PsycNet","title":"The critical role of retrieval practice in long-term retention","volume":"15","author":[{"family":"Roediger","given":"Henry L."},{"family":"Butler","given":"Andrew C."}],"issued":{"date-parts":[["2011"]]}}}],"schema":"https://github.com/citation-style-language/schema/raw/master/csl-citation.json"} </w:instrText>
      </w:r>
      <w:r w:rsidRPr="73B7E7A5">
        <w:rPr>
          <w:color w:val="2B579A"/>
        </w:rPr>
        <w:fldChar w:fldCharType="separate"/>
      </w:r>
      <w:r w:rsidRPr="00497B48">
        <w:t>(Adesope et al. 2017; Agarwal 2019; Kang 2016; Roediger and Butler 2011)</w:t>
      </w:r>
      <w:r w:rsidRPr="73B7E7A5">
        <w:rPr>
          <w:color w:val="2B579A"/>
        </w:rPr>
        <w:fldChar w:fldCharType="end"/>
      </w:r>
      <w:r w:rsidRPr="00497B48">
        <w:t>.</w:t>
      </w:r>
    </w:p>
    <w:p w14:paraId="42B4E578" w14:textId="3257C27A" w:rsidR="00C139C0" w:rsidRPr="00497B48" w:rsidRDefault="00E35236" w:rsidP="0057706B">
      <w:pPr>
        <w:spacing w:after="120" w:line="240" w:lineRule="auto"/>
      </w:pPr>
      <w:r>
        <w:t>ITE students</w:t>
      </w:r>
      <w:r w:rsidR="00C139C0" w:rsidRPr="00497B48">
        <w:t xml:space="preserve"> should learn to continuously check for understanding and mastery so that they can meet students where they are with the learning. For example, re-teaching tasks to students who have not met learning objectives or providing enrichment opportunities for students to reach mastery early </w:t>
      </w:r>
      <w:r w:rsidR="00C139C0" w:rsidRPr="73B7E7A5">
        <w:rPr>
          <w:color w:val="2B579A"/>
        </w:rPr>
        <w:fldChar w:fldCharType="begin"/>
      </w:r>
      <w:r w:rsidR="00C139C0" w:rsidRPr="00497B48">
        <w:instrText xml:space="preserve"> ADDIN ZOTERO_ITEM CSL_CITATION {"citationID":"2tBt6jMf","properties":{"formattedCitation":"(Guskey 2010)","plainCitation":"(Guskey 2010)","noteIndex":0},"citationItems":[{"id":17210,"uris":["http://zotero.org/users/10928664/items/57QQ2V32"],"itemData":{"id":17210,"type":"article-journal","container-title":"Educational Leadership","issue":"2","page":"52-57","title":"Lessons of Mastery Learning","volume":"68","author":[{"family":"Guskey","given":"Thomas"}],"issued":{"date-parts":[["2010",10,1]]}}}],"schema":"https://github.com/citation-style-language/schema/raw/master/csl-citation.json"} </w:instrText>
      </w:r>
      <w:r w:rsidR="00C139C0" w:rsidRPr="73B7E7A5">
        <w:rPr>
          <w:color w:val="2B579A"/>
        </w:rPr>
        <w:fldChar w:fldCharType="separate"/>
      </w:r>
      <w:r w:rsidR="00C139C0" w:rsidRPr="00497B48">
        <w:t>(Guskey 2010)</w:t>
      </w:r>
      <w:r w:rsidR="00C139C0" w:rsidRPr="73B7E7A5">
        <w:rPr>
          <w:color w:val="2B579A"/>
        </w:rPr>
        <w:fldChar w:fldCharType="end"/>
      </w:r>
      <w:r w:rsidR="00C139C0" w:rsidRPr="00497B48">
        <w:t xml:space="preserve">. ITE </w:t>
      </w:r>
      <w:r w:rsidR="00A32BE6">
        <w:t>programs</w:t>
      </w:r>
      <w:r w:rsidR="00C139C0" w:rsidRPr="00497B48">
        <w:t xml:space="preserve"> should incorporate explicit modelling and scaffolding paired with assessment and feedback practices detailed in the following section. </w:t>
      </w:r>
    </w:p>
    <w:p w14:paraId="06167142" w14:textId="6D149240" w:rsidR="00C139C0" w:rsidRPr="00061E03" w:rsidRDefault="00C139C0" w:rsidP="00CB1713">
      <w:pPr>
        <w:keepNext/>
        <w:spacing w:after="0" w:line="240" w:lineRule="auto"/>
        <w:rPr>
          <w:rStyle w:val="Strong"/>
          <w:rFonts w:ascii="Calibri" w:hAnsi="Calibri" w:cs="Calibri"/>
        </w:rPr>
      </w:pPr>
      <w:r w:rsidRPr="00061E03">
        <w:rPr>
          <w:rStyle w:val="Strong"/>
          <w:rFonts w:ascii="Calibri" w:hAnsi="Calibri" w:cs="Calibri"/>
        </w:rPr>
        <w:t xml:space="preserve">Assessment and feedback </w:t>
      </w:r>
    </w:p>
    <w:p w14:paraId="527D512F" w14:textId="77777777" w:rsidR="00C139C0" w:rsidRPr="008D5E92" w:rsidRDefault="00C139C0" w:rsidP="00CB1713">
      <w:pPr>
        <w:keepNext/>
        <w:spacing w:after="120" w:line="240" w:lineRule="auto"/>
        <w:rPr>
          <w:color w:val="221F20"/>
        </w:rPr>
      </w:pPr>
      <w:r w:rsidRPr="472BA39A">
        <w:rPr>
          <w:color w:val="221F20"/>
        </w:rPr>
        <w:t>Formative and summative assessment and teacher feedback are commonly used terms in the teaching profession and throughout ITE.  However, the evidence shows that some practices are more effective than others when undertaking assessment and delivering feedback. Formative assessment practices are those which gather and interpret information about student learning as learning is taking place. Formative assessment allows teachers to monitor student learning and to adapt their teaching to meet student learning needs. Summative assessment practices provide necessary checkpoints when assessing students against a standard or benchmark to gain an understanding of the level of mastery attained.</w:t>
      </w:r>
    </w:p>
    <w:p w14:paraId="2CA052D0" w14:textId="77777777" w:rsidR="00C139C0" w:rsidRPr="00497B48" w:rsidRDefault="00C139C0" w:rsidP="00C139C0">
      <w:pPr>
        <w:spacing w:after="120" w:line="240" w:lineRule="auto"/>
      </w:pPr>
      <w:r w:rsidRPr="472BA39A">
        <w:rPr>
          <w:color w:val="221F20"/>
        </w:rPr>
        <w:t xml:space="preserve">Identifying where a student is in their learning by assessing what they know, or think they know, before starting a new unit of work supports teachers in </w:t>
      </w:r>
      <w:r w:rsidRPr="00497B48">
        <w:t xml:space="preserve">pitching the introductory lessons </w:t>
      </w:r>
      <w:r>
        <w:t>at</w:t>
      </w:r>
      <w:r w:rsidRPr="00497B48">
        <w:t xml:space="preserve"> an appropriate level. For example, setting an informal pre-quiz to gain insight into possible misconceptions and existing knowledge is an effective way to plan for instruction </w:t>
      </w:r>
      <w:r>
        <w:t xml:space="preserve">and </w:t>
      </w:r>
      <w:r w:rsidRPr="00497B48">
        <w:t xml:space="preserve">efficiently target learning </w:t>
      </w:r>
      <w:r w:rsidRPr="472BA39A">
        <w:rPr>
          <w:color w:val="2B579A"/>
        </w:rPr>
        <w:fldChar w:fldCharType="begin"/>
      </w:r>
      <w:r w:rsidRPr="00497B48">
        <w:instrText xml:space="preserve"> ADDIN ZOTERO_ITEM CSL_CITATION {"citationID":"NgO9sxy3","properties":{"formattedCitation":"(Heitink et al. 2016)","plainCitation":"(Heitink et al. 2016)","noteIndex":0},"citationItems":[{"id":17174,"uris":["http://zotero.org/users/10928664/items/KEDB3PNQ"],"itemData":{"id":17174,"type":"article-journal","abstract":"Although many researchers acknowledge that Assessment for Learning can significantly enhance student learning, the factors facilitating or hindering its implementation in daily classroom practice are unclear. A systematic literature review was conducted to reveal prerequisites needed for Assessment for Learning implementation. Results identified prerequisites regarding the teacher, student, assessment and context. For example, teachers must be able to interpret assessment information on the spot, student engagement in the assessment process is vital, assessment should include substantial, constructive and focussed feedback, and the school should have a school-wide culture that facilitates collaboration and encourages teacher autonomy. The results of this review contribute to a better understanding of the multiple facets that need to be considered when implementing Assessment for Learning, from both a theoretical and a practical standpoint.","container-title":"Educational research review","DOI":"10.1016/j.edurev.2015.12.002","ISSN":"1747-938X","language":"en","note":"publisher: Elsevier","page":"50-62","source":"research.utwente.nl","title":"A systematic review of prerequisites for implementing assessment for learning in classroom practice","volume":"17","author":[{"family":"Heitink","given":"Maaike Christine"},{"family":"Kleij","given":"Fabienne","dropping-particle":"van der"},{"family":"Veldkamp","given":"Bernard P."},{"family":"Schildkamp","given":"Kim"},{"family":"Kippers","given":"Wilma Berdien"}],"issued":{"date-parts":[["2016"]]}}}],"schema":"https://github.com/citation-style-language/schema/raw/master/csl-citation.json"} </w:instrText>
      </w:r>
      <w:r w:rsidRPr="472BA39A">
        <w:rPr>
          <w:color w:val="2B579A"/>
        </w:rPr>
        <w:fldChar w:fldCharType="separate"/>
      </w:r>
      <w:r w:rsidRPr="00497B48">
        <w:t>(Heitink et al. 2016)</w:t>
      </w:r>
      <w:r w:rsidRPr="472BA39A">
        <w:rPr>
          <w:color w:val="2B579A"/>
        </w:rPr>
        <w:fldChar w:fldCharType="end"/>
      </w:r>
      <w:r w:rsidRPr="00497B48">
        <w:t xml:space="preserve">. When explicitly teaching students new skills or concepts, formative assessment should be occurring after each discrete task. It is important to emphasise that these assessments need not be time intensive or formal but </w:t>
      </w:r>
      <w:r>
        <w:t xml:space="preserve">are </w:t>
      </w:r>
      <w:r w:rsidRPr="00497B48">
        <w:t>focus</w:t>
      </w:r>
      <w:r>
        <w:t>ed</w:t>
      </w:r>
      <w:r w:rsidRPr="00497B48">
        <w:t xml:space="preserve"> on showing what students have or have not learned so that corrections can be made before progressing to the next skill or task </w:t>
      </w:r>
      <w:r w:rsidRPr="472BA39A">
        <w:rPr>
          <w:color w:val="2B579A"/>
        </w:rPr>
        <w:fldChar w:fldCharType="begin"/>
      </w:r>
      <w:r w:rsidRPr="00497B48">
        <w:instrText xml:space="preserve"> ADDIN ZOTERO_ITEM CSL_CITATION {"citationID":"216IGsxO","properties":{"formattedCitation":"(Black and Wiliam 1998a; Bloom 1968)","plainCitation":"(Black and Wiliam 1998a; Bloom 1968)","noteIndex":0},"citationItems":[{"id":17186,"uris":["http://zotero.org/users/10928664/items/7UYDU7DP"],"itemData":{"id":17186,"type":"article-journal","container-title":"Assessment in Education: principles, policy &amp; practice","issue":"1","note":"publisher: Taylor &amp; Francis","page":"7–74","source":"Google Scholar","title":"Assessment and classroom learning","volume":"5","author":[{"family":"Black","given":"Paul"},{"family":"Wiliam","given":"Dylan"}],"issued":{"date-parts":[["1998"]]}}},{"id":17169,"uris":["http://zotero.org/users/10928664/items/U6FP9EPR"],"itemData":{"id":17169,"type":"article-journal","abstract":"Most students, perhaps over 90 percent, can master what teachers have to teach them, and it is the task of instruction to find the means which will enable students to master the subject under consideration. A basic task is to determine what is meant by mastery of the subject and to search for methods and materials which will enable the largest proportion of students to attain such mastery. That is, the basic task in education is to find strategies which will take individual differences into consideration but in such a way as to promote the fullest development of the individual. The thesis of this paper is that, to promote mastery learning, 5 variables must be dealt with effectively: (1) aptitude for kinds of learning, viewed as the amount of time required by the learner to attain  mastery of the task; (2) quality of instruction, viewed in terms of its approaching the optimum for a given learner; (3) ability to understand instruction, i.e., to understand the nature of the task and the procedures to follow; (4) perseverance, the amount of time one is willing to spend in learning; and (5) time allowed for learning, the key to mastery. (Author/TA)","collection-title":"Regional Education Laboratory for the Carolinas and Virginia, Topical Papers and Reprints","container-title":"Evaluation Comment","issue":"2","language":"en","note":"publisher: Regional Education Laboratory for the Carolinas and Virginia, Mutual Plaza (Chapel Hill and Duke Sts","source":"ERIC","title":"Learning for Mastery. Instruction and Curriculum.","URL":"https://eric.ed.gov/?id=ED053419","volume":"1","author":[{"family":"Bloom","given":"Benjamin S."}],"accessed":{"date-parts":[["2021",5,13]]},"issued":{"date-parts":[["1968"]]}}}],"schema":"https://github.com/citation-style-language/schema/raw/master/csl-citation.json"} </w:instrText>
      </w:r>
      <w:r w:rsidRPr="472BA39A">
        <w:rPr>
          <w:color w:val="2B579A"/>
        </w:rPr>
        <w:fldChar w:fldCharType="separate"/>
      </w:r>
      <w:r w:rsidRPr="00497B48">
        <w:t>(Black and Wiliam 1998a; Bloom 1968)</w:t>
      </w:r>
      <w:r w:rsidRPr="472BA39A">
        <w:rPr>
          <w:color w:val="2B579A"/>
        </w:rPr>
        <w:fldChar w:fldCharType="end"/>
      </w:r>
      <w:r w:rsidRPr="00497B48">
        <w:t xml:space="preserve">. </w:t>
      </w:r>
    </w:p>
    <w:p w14:paraId="1D95CE21" w14:textId="77777777" w:rsidR="00C139C0" w:rsidRPr="00497B48" w:rsidRDefault="00C139C0" w:rsidP="00C139C0">
      <w:pPr>
        <w:spacing w:after="120" w:line="240" w:lineRule="auto"/>
        <w:rPr>
          <w:lang w:eastAsia="en-AU"/>
        </w:rPr>
      </w:pPr>
      <w:r w:rsidRPr="00497B48">
        <w:t xml:space="preserve">Effective questioning is a core part of effective formative assessment. For example, the use of simple, low-key assessments such as exit slips, quick quizzes or targeted </w:t>
      </w:r>
      <w:r>
        <w:t xml:space="preserve">oral </w:t>
      </w:r>
      <w:r w:rsidRPr="00497B48">
        <w:t xml:space="preserve">questioning (beginning with </w:t>
      </w:r>
      <w:r>
        <w:t>‘</w:t>
      </w:r>
      <w:r w:rsidRPr="00497B48">
        <w:rPr>
          <w:lang w:eastAsia="en-AU"/>
        </w:rPr>
        <w:t>why’, ‘why-not’, ‘how’, ‘what</w:t>
      </w:r>
      <w:r w:rsidRPr="00497B48">
        <w:t xml:space="preserve"> </w:t>
      </w:r>
      <w:r w:rsidRPr="00497B48">
        <w:rPr>
          <w:lang w:eastAsia="en-AU"/>
        </w:rPr>
        <w:t>if’, ‘how does X compare to Y’</w:t>
      </w:r>
      <w:r w:rsidRPr="00497B48">
        <w:t xml:space="preserve"> </w:t>
      </w:r>
      <w:r w:rsidRPr="00497B48">
        <w:rPr>
          <w:lang w:eastAsia="en-AU"/>
        </w:rPr>
        <w:t xml:space="preserve"> and ‘what is the evidence for X’) </w:t>
      </w:r>
      <w:r w:rsidRPr="00497B48">
        <w:t>that prompt student</w:t>
      </w:r>
      <w:r>
        <w:t>s</w:t>
      </w:r>
      <w:r w:rsidRPr="00497B48">
        <w:t xml:space="preserve"> to articulate their reasoning </w:t>
      </w:r>
      <w:r w:rsidRPr="00497B48">
        <w:rPr>
          <w:lang w:eastAsia="en-AU"/>
        </w:rPr>
        <w:t xml:space="preserve">should help identify common student </w:t>
      </w:r>
      <w:r w:rsidRPr="00497B48">
        <w:rPr>
          <w:lang w:eastAsia="en-AU"/>
        </w:rPr>
        <w:lastRenderedPageBreak/>
        <w:t xml:space="preserve">misconceptions, check for retention of learning and assist in planning future instruction </w:t>
      </w:r>
      <w:r w:rsidRPr="6C56DC67">
        <w:rPr>
          <w:color w:val="2B579A"/>
          <w:lang w:eastAsia="en-AU"/>
        </w:rPr>
        <w:fldChar w:fldCharType="begin"/>
      </w:r>
      <w:r w:rsidRPr="00497B48">
        <w:rPr>
          <w:lang w:eastAsia="en-AU"/>
        </w:rPr>
        <w:instrText xml:space="preserve"> ADDIN ZOTERO_ITEM CSL_CITATION {"citationID":"rO6ju9OF","properties":{"formattedCitation":"(Heitink et al. 2016; Martin and Evans 2018)","plainCitation":"(Heitink et al. 2016; Martin and Evans 2018)","noteIndex":0},"citationItems":[{"id":17174,"uris":["http://zotero.org/users/10928664/items/KEDB3PNQ"],"itemData":{"id":17174,"type":"article-journal","abstract":"Although many researchers acknowledge that Assessment for Learning can significantly enhance student learning, the factors facilitating or hindering its implementation in daily classroom practice are unclear. A systematic literature review was conducted to reveal prerequisites needed for Assessment for Learning implementation. Results identified prerequisites regarding the teacher, student, assessment and context. For example, teachers must be able to interpret assessment information on the spot, student engagement in the assessment process is vital, assessment should include substantial, constructive and focussed feedback, and the school should have a school-wide culture that facilitates collaboration and encourages teacher autonomy. The results of this review contribute to a better understanding of the multiple facets that need to be considered when implementing Assessment for Learning, from both a theoretical and a practical standpoint.","container-title":"Educational research review","DOI":"10.1016/j.edurev.2015.12.002","ISSN":"1747-938X","language":"en","note":"publisher: Elsevier","page":"50-62","source":"research.utwente.nl","title":"A systematic review of prerequisites for implementing assessment for learning in classroom practice","volume":"17","author":[{"family":"Heitink","given":"Maaike Christine"},{"family":"Kleij","given":"Fabienne","dropping-particle":"van der"},{"family":"Veldkamp","given":"Bernard P."},{"family":"Schildkamp","given":"Kim"},{"family":"Kippers","given":"Wilma Berdien"}],"issued":{"date-parts":[["2016"]]}}},{"id":17196,"uris":["http://zotero.org/users/10928664/items/QIZGC82C"],"itemData":{"id":17196,"type":"article-journal","abstract":"Load reduction instruction (LRI) is an instructional approach aimed at managing the cognitive burden on students in the initial stages of learning; then, as ﬂuency and automaticity develop, students are encouraged to engage in guided independent learning. LRI comprises ﬁve factors: difﬁculty reduction, support and scaffolding, practice, feedback, and guided independence. This study examined an instrument (the Load Reduction Instruction Scale, LRIS) aimed at assessing these ﬁve factors. Among a sample of high school students from 40 classrooms, ﬁndings supported the validity of the LRIS, the conceptualising underpinning it, and its potential to guide instructional practice.","container-title":"Teaching and Teacher Education","DOI":"10.1016/j.tate.2018.03.018","ISSN":"0742051X","journalAbbreviation":"Teaching and Teacher Education","language":"en","page":"203-214","source":"DOI.org (Crossref)","title":"Load reduction instruction: Exploring a framework that assesses explicit instruction through to independent learning","title-short":"Load reduction instruction","volume":"73","author":[{"family":"Martin","given":"Andrew J."},{"family":"Evans","given":"Paul"}],"issued":{"date-parts":[["2018",7]]}}}],"schema":"https://github.com/citation-style-language/schema/raw/master/csl-citation.json"} </w:instrText>
      </w:r>
      <w:r w:rsidRPr="6C56DC67">
        <w:rPr>
          <w:color w:val="2B579A"/>
          <w:lang w:eastAsia="en-AU"/>
        </w:rPr>
        <w:fldChar w:fldCharType="separate"/>
      </w:r>
      <w:r w:rsidRPr="00497B48">
        <w:t>(Heitink et al. 2016; Martin and Evans 2018)</w:t>
      </w:r>
      <w:r w:rsidRPr="6C56DC67">
        <w:rPr>
          <w:color w:val="2B579A"/>
          <w:lang w:eastAsia="en-AU"/>
        </w:rPr>
        <w:fldChar w:fldCharType="end"/>
      </w:r>
      <w:r w:rsidRPr="00497B48">
        <w:rPr>
          <w:lang w:eastAsia="en-AU"/>
        </w:rPr>
        <w:t>.</w:t>
      </w:r>
    </w:p>
    <w:p w14:paraId="1711964B" w14:textId="77777777" w:rsidR="00C139C0" w:rsidRPr="00497B48" w:rsidRDefault="00C139C0" w:rsidP="00F95CB3">
      <w:pPr>
        <w:spacing w:after="120" w:line="240" w:lineRule="auto"/>
        <w:rPr>
          <w:color w:val="221F20"/>
          <w:shd w:val="clear" w:color="auto" w:fill="FFFFFF"/>
        </w:rPr>
      </w:pPr>
      <w:r w:rsidRPr="472BA39A">
        <w:rPr>
          <w:color w:val="221F20"/>
        </w:rPr>
        <w:t xml:space="preserve">An important use of the information gathered through formative assessment is a teacher’s ability to reflect and refine their practice in response to student data. Consideration and critical self-reflection of how instruction may contribute to misconceptions or identify patterns in what students are not learning leads to more effective and efficient teaching practice </w:t>
      </w:r>
      <w:r w:rsidRPr="472BA39A">
        <w:rPr>
          <w:color w:val="221F20"/>
        </w:rPr>
        <w:fldChar w:fldCharType="begin"/>
      </w:r>
      <w:r w:rsidRPr="472BA39A">
        <w:rPr>
          <w:color w:val="221F20"/>
        </w:rPr>
        <w:instrText xml:space="preserve"> ADDIN ZOTERO_ITEM CSL_CITATION {"citationID":"eku6NRQ0","properties":{"formattedCitation":"(Heitink et al. 2016)","plainCitation":"(Heitink et al. 2016)","noteIndex":0},"citationItems":[{"id":17174,"uris":["http://zotero.org/users/10928664/items/KEDB3PNQ"],"itemData":{"id":17174,"type":"article-journal","abstract":"Although many researchers acknowledge that Assessment for Learning can significantly enhance student learning, the factors facilitating or hindering its implementation in daily classroom practice are unclear. A systematic literature review was conducted to reveal prerequisites needed for Assessment for Learning implementation. Results identified prerequisites regarding the teacher, student, assessment and context. For example, teachers must be able to interpret assessment information on the spot, student engagement in the assessment process is vital, assessment should include substantial, constructive and focussed feedback, and the school should have a school-wide culture that facilitates collaboration and encourages teacher autonomy. The results of this review contribute to a better understanding of the multiple facets that need to be considered when implementing Assessment for Learning, from both a theoretical and a practical standpoint.","container-title":"Educational research review","DOI":"10.1016/j.edurev.2015.12.002","ISSN":"1747-938X","language":"en","note":"publisher: Elsevier","page":"50-62","source":"research.utwente.nl","title":"A systematic review of prerequisites for implementing assessment for learning in classroom practice","volume":"17","author":[{"family":"Heitink","given":"Maaike Christine"},{"family":"Kleij","given":"Fabienne","dropping-particle":"van der"},{"family":"Veldkamp","given":"Bernard P."},{"family":"Schildkamp","given":"Kim"},{"family":"Kippers","given":"Wilma Berdien"}],"issued":{"date-parts":[["2016"]]}}}],"schema":"https://github.com/citation-style-language/schema/raw/master/csl-citation.json"} </w:instrText>
      </w:r>
      <w:r w:rsidRPr="472BA39A">
        <w:rPr>
          <w:color w:val="221F20"/>
        </w:rPr>
        <w:fldChar w:fldCharType="separate"/>
      </w:r>
      <w:r w:rsidRPr="00497B48">
        <w:t>(Heitink et al. 2016)</w:t>
      </w:r>
      <w:r w:rsidRPr="472BA39A">
        <w:rPr>
          <w:color w:val="221F20"/>
        </w:rPr>
        <w:fldChar w:fldCharType="end"/>
      </w:r>
      <w:r w:rsidRPr="472BA39A">
        <w:rPr>
          <w:color w:val="221F20"/>
        </w:rPr>
        <w:t>.</w:t>
      </w:r>
    </w:p>
    <w:p w14:paraId="18BF679B" w14:textId="77777777" w:rsidR="00C139C0" w:rsidRPr="00497B48" w:rsidRDefault="00C139C0" w:rsidP="00F95CB3">
      <w:pPr>
        <w:spacing w:after="120" w:line="240" w:lineRule="auto"/>
      </w:pPr>
      <w:r>
        <w:t xml:space="preserve">While assessment is used to check for student understanding, it is essential that students are provided with timely feedback following any formative assessment task to help them correct misconceptions or improve. Feedback is one of the most powerful tools to support student learning. Feedback enables </w:t>
      </w:r>
      <w:r w:rsidRPr="00497B48">
        <w:t xml:space="preserve">students to understand where they are at in their learning and then progress that learning by providing steps to move forward. Research strongly supports the use of immediate, timely and specific feedback that is honest, constructive, and clear to improve student learning </w:t>
      </w:r>
      <w:r w:rsidRPr="472BA39A">
        <w:rPr>
          <w:color w:val="2B579A"/>
        </w:rPr>
        <w:fldChar w:fldCharType="begin"/>
      </w:r>
      <w:r w:rsidRPr="00497B48">
        <w:instrText xml:space="preserve"> ADDIN ZOTERO_ITEM CSL_CITATION {"citationID":"6GCrShts","properties":{"formattedCitation":"(Archer and Hughes 2011; Roediger and Butler 2011; Son and Simon 2012; Wisniewski et al. 2020)","plainCitation":"(Archer and Hughes 2011; Roediger and Butler 2011; Son and Simon 2012; Wisniewski et al. 2020)","noteIndex":0},"citationItems":[{"id":17184,"uris":["http://zotero.org/users/10928664/items/MREKI5ZW"],"itemData":{"id":17184,"type":"book","abstract":"Explicit instruction is systematic, direct, engaging, and success oriented—and has been shown to promote achievement for all students. This highly practical and accessible resource gives special and general education teachers the tools to implement explicit instruction in any grade level or content area.","language":"en-US","title":"Explicit Instruction: Effective and Efficient Teaching","title-short":"Explicit Instruction","URL":"https://www.guilford.com/books/Explicit-Instruction/Archer-Hughes/9781609180416","author":[{"family":"Archer","given":"Anita L."},{"family":"Hughes","given":"Charles A."}],"accessed":{"date-parts":[["2022",8,15]]},"issued":{"date-parts":[["2011"]]}}},{"id":17206,"uris":["http://zotero.org/users/10928664/items/ZXZZTMPD"],"itemData":{"id":17206,"type":"article-journal","abstract":"Learning is usually thought to occur during episodes of studying, whereas retrieval of information on testing simply serves to assess what was learned. We review research that contradicts this traditional view by demonstrating that retrieval practice is actually a powerful mnemonic enhancer, often producing large gains in long-term retention relative to repeated studying. Retrieval practice is often effective even without feedback (i.e. giving the correct answer), but feedback enhances the benefits of testing. In addition, retrieval practice promotes the acquisition of knowledge that can be flexibly retrieved and transferred to different contexts. The power of retrieval practice in consolidating memories has important implications for both the study of memory and its application to educational practice. (PsycINFO Database Record (c) 2016 APA, all rights reserved)","container-title":"Trends in Cognitive Sciences","DOI":"10.1016/j.tics.2010.09.003","ISSN":"1364-6613","note":"publisher-place: Netherlands\npublisher: Elsevier Science","page":"20-27","source":"APA PsycNet","title":"The critical role of retrieval practice in long-term retention","volume":"15","author":[{"family":"Roediger","given":"Henry L."},{"family":"Butler","given":"Andrew C."}],"issued":{"date-parts":[["2011"]]}}},{"id":17229,"uris":["http://zotero.org/users/10928664/items/DMYH8YBJ"],"itemData":{"id":17229,"type":"article-journal","abstract":"A major decision that must be made during study pertains to the distribution, or the scheduling, of study. In this paper, we review the literature on the benefits of spacing, or spreading one's study sessions relatively far apart in time, as compared to massing, where study is crammed into one long session without breaks. The results from laboratory research provide strong evidence for this pervasive “spacing effect,” especially for long-term retention. The metacognitive literature on spacing, however, suggests that massing is the preferred strategy, particularly in young children. Reasons for why this is so are discussed as well as a few recommendations regarding how spacing strategies might be encouraged in real-world learning. While further research and applicability questions remain, the two fields—education and cognitive science—have made huge progress in recent years, resulting in promising new learning developments. (PsycINFO Database Record (c) 2016 APA, all rights reserved)","container-title":"Educational Psychology Review","DOI":"10.1007/s10648-012-9206-y","ISSN":"1573-336X","note":"publisher-place: Germany\npublisher: Springer","page":"379-399","source":"APA PsycNet","title":"Distributed learning: Data, metacognition, and educational implications","title-short":"Distributed learning","volume":"24","author":[{"family":"Son","given":"Lisa K."},{"family":"Simon","given":"Dominic A."}],"issued":{"date-parts":[["2012"]]}}},{"id":17161,"uris":["http://zotero.org/users/10928664/items/S4V7ILET"],"itemData":{"id":17161,"type":"article-journal","abstract":"A meta-analysis (435 studies, k = 994, N &gt; 61,000) of empirical research on the effects of feedback on student learning was conducted with the purpose of replicating and expanding the Visible Learning research (Hattie &amp; Timperley, 2007; Hattie, 2009; Hattie &amp; Zierer, 2019) from meta-synthesis. Overall results based on a random-effects model indicate a medium effect (d = 0.48) of feedback on student learning, but the significant heterogeneity in the data shows that feedback cannot be understood as a single consistent form of treatment. A moderator analysis revealed that the impact is substantially influenced by the information content conveyed. Furthermore, feedback has higher impact on cognitive and motor skills outcomes than on motivational and behavioral outcomes. We discuss these findings in the light of the assumptions made in The power of feedback (Hattie &amp; Timperley, 2007). In general, the results suggest that feedback has rightly become a focus of teaching research and practice. However, they also point towards the necessity of interpreting different forms of feedback as independent measures.","container-title":"Frontiers in Psychology","DOI":"10.3389/fpsyg.2019.03087","ISSN":"1664-1078","journalAbbreviation":"Front. Psychol.","language":"en","note":"publisher: Frontiers","source":"Frontiers","title":"The Power of Feedback Revisited: A Meta-Analysis of Educational Feedback Research","title-short":"The Power of Feedback Revisited","URL":"https://www.frontiersin.org/articles/10.3389/fpsyg.2019.03087/full","volume":"10","author":[{"family":"Wisniewski","given":"Benedikt"},{"family":"Zierer","given":"Klaus"},{"family":"Hattie","given":"John"}],"accessed":{"date-parts":[["2021",5,13]]},"issued":{"date-parts":[["2020"]]}}}],"schema":"https://github.com/citation-style-language/schema/raw/master/csl-citation.json"} </w:instrText>
      </w:r>
      <w:r w:rsidRPr="472BA39A">
        <w:rPr>
          <w:color w:val="2B579A"/>
        </w:rPr>
        <w:fldChar w:fldCharType="separate"/>
      </w:r>
      <w:r w:rsidRPr="00497B48">
        <w:t>(Archer and Hughes 2011; Roediger and Butler 2011; Son and Simon 2012; Wisniewski et al. 2020)</w:t>
      </w:r>
      <w:r w:rsidRPr="472BA39A">
        <w:rPr>
          <w:color w:val="2B579A"/>
        </w:rPr>
        <w:fldChar w:fldCharType="end"/>
      </w:r>
      <w:r w:rsidRPr="00497B48">
        <w:t>.</w:t>
      </w:r>
    </w:p>
    <w:p w14:paraId="01F66D2B" w14:textId="77777777" w:rsidR="00C139C0" w:rsidRPr="00497B48" w:rsidRDefault="00C139C0" w:rsidP="0057706B">
      <w:pPr>
        <w:spacing w:after="120" w:line="240" w:lineRule="auto"/>
        <w:rPr>
          <w:lang w:eastAsia="en-AU"/>
        </w:rPr>
      </w:pPr>
      <w:r w:rsidRPr="00497B48">
        <w:t xml:space="preserve">This feedback should be tailored and detailed enough that students can take actionable steps to improve. Where possible in both formative and summative assessments, teachers should </w:t>
      </w:r>
      <w:r w:rsidRPr="00497B48">
        <w:rPr>
          <w:lang w:eastAsia="en-AU"/>
        </w:rPr>
        <w:t xml:space="preserve">use developmental rubrics with criteria tailored to the specific task and/or work samples so that students understand what is expected. These resources have been shown to help students become better at self-assessment </w:t>
      </w:r>
      <w:r w:rsidRPr="472BA39A">
        <w:rPr>
          <w:color w:val="2B579A"/>
          <w:lang w:eastAsia="en-AU"/>
        </w:rPr>
        <w:fldChar w:fldCharType="begin"/>
      </w:r>
      <w:r w:rsidRPr="00497B48">
        <w:rPr>
          <w:lang w:eastAsia="en-AU"/>
        </w:rPr>
        <w:instrText xml:space="preserve"> ADDIN ZOTERO_ITEM CSL_CITATION {"citationID":"FwnVyVhB","properties":{"formattedCitation":"(Lane et al. 2019)","plainCitation":"(Lane et al. 2019)","noteIndex":0},"citationItems":[{"id":17166,"uris":["http://zotero.org/users/10928664/items/XU6LAYFY"],"itemData":{"id":17166,"type":"report","abstract":"Formative assessment has been defined as any interaction that generates data on student learning and is used by teachers and students to inform teaching and learning, to address specific student learning difficulties and support learning growth over time. \n\nA wide variety of assessment strategies, tools and resources currently exist to support and improve teachers’ capacities to collect and analyse reliable data on student achievement and to adjust their teaching to meet each student’s needs for enhanced learning outcomes. There is a widespread assumption in the academic literature that formative assessment leads to better learning outcomes for students.\n\nPresently, we know little about the most effective ways of implementing formative assessment, including optimal school and educational system structures and supports. Systematic review of evidence is made more difficult by a lack of clarity and consensus regarding the nature and definition of formative assessment.\n\nThis review, commissioned by the Australian Institute for Teaching and School Leadership (AITSL), synthesises national and international research on the effective formative assessment practices of teachers and school leaders, including their current capacities, challenges and needs. It presents the findings of a review of peer-reviewed studies meeting robust experimental design criteria that examine formative assessment practices in Australian and international K-12 contexts. It further delivers an analysis and critical review of research relevant to formative assessment practices, including (but not limited to) the use of online assessment tools.","source":"ResearchGate","title":"Formative Assessment Evidence and Practice Literature Review. AITSL: Melbourne","title-short":"Lane, R, Parrila, R, Bower, M, Bull, R, Cavanagh, M, Forbes, A, Jones, T, Leaper, D, Khosronejad, M, Pellicano, L, Powell, S, Ryan, M, and Skrebneva, I (2019) Formative Assessment Evidence and Practice Literature Review. AITSL","URL":"https://www.researchgate.net/publication/341397802_Lane_R_Parrila_R_Bower_M_Bull_R_Cavanagh_M_Forbes_A_Jones_T_Leaper_D_Khosronejad_M_Pellicano_L_Powell_S_Ryan_M_and_Skrebneva_I_2019_Formative_Assessment_Evidence_and_Practice_Literature_Review_AITSL_M","author":[{"family":"Lane","given":"Rod"},{"family":"Parrila","given":"Rauno"},{"family":"Bower","given":"Matt"},{"family":"Bull","given":"Rebecca"},{"family":"Cavanagh","given":"Michael"},{"family":"Forbes","given":"Anne"},{"family":"Jones","given":"Tiffany"},{"family":"Pellicano","given":"Liz"},{"family":"Powell","given":"Sarah"},{"family":"Ryan","given":"Mary"},{"family":"Khosronejad","given":"Maryam"}],"issued":{"date-parts":[["2019"]]}}}],"schema":"https://github.com/citation-style-language/schema/raw/master/csl-citation.json"} </w:instrText>
      </w:r>
      <w:r w:rsidRPr="472BA39A">
        <w:rPr>
          <w:color w:val="2B579A"/>
          <w:lang w:eastAsia="en-AU"/>
        </w:rPr>
        <w:fldChar w:fldCharType="separate"/>
      </w:r>
      <w:r w:rsidRPr="00497B48">
        <w:t>(Lane et al. 2019)</w:t>
      </w:r>
      <w:r w:rsidRPr="472BA39A">
        <w:rPr>
          <w:color w:val="2B579A"/>
          <w:lang w:eastAsia="en-AU"/>
        </w:rPr>
        <w:fldChar w:fldCharType="end"/>
      </w:r>
      <w:r w:rsidRPr="00497B48">
        <w:rPr>
          <w:lang w:eastAsia="en-AU"/>
        </w:rPr>
        <w:t>.</w:t>
      </w:r>
    </w:p>
    <w:p w14:paraId="65C6C583" w14:textId="2A3BD370" w:rsidR="00C139C0" w:rsidRPr="00FB1364" w:rsidRDefault="00C139C0" w:rsidP="00D5108D">
      <w:pPr>
        <w:pStyle w:val="ListParagraph"/>
        <w:numPr>
          <w:ilvl w:val="0"/>
          <w:numId w:val="37"/>
        </w:numPr>
        <w:ind w:left="357" w:hanging="357"/>
        <w:rPr>
          <w:rFonts w:ascii="Calibri" w:hAnsi="Calibri" w:cs="Calibri"/>
          <w:sz w:val="26"/>
          <w:szCs w:val="26"/>
        </w:rPr>
      </w:pPr>
      <w:r w:rsidRPr="00061E03">
        <w:rPr>
          <w:b/>
        </w:rPr>
        <w:t xml:space="preserve">Effective practices in subject areas </w:t>
      </w:r>
    </w:p>
    <w:p w14:paraId="4CB3A65B" w14:textId="65C0B656" w:rsidR="00F15CB8" w:rsidRDefault="00F15CB8" w:rsidP="0057706B">
      <w:pPr>
        <w:spacing w:after="120" w:line="240" w:lineRule="auto"/>
      </w:pPr>
      <w:r>
        <w:t>While the Australian Curriculum provides the detail of what should be taught in each content area, a</w:t>
      </w:r>
      <w:r w:rsidRPr="00497B48">
        <w:t xml:space="preserve"> foundational understanding of the explicit, systematic, and structured teaching methods </w:t>
      </w:r>
      <w:r>
        <w:t xml:space="preserve">above </w:t>
      </w:r>
      <w:r w:rsidRPr="00497B48">
        <w:t>support</w:t>
      </w:r>
      <w:r>
        <w:t>s</w:t>
      </w:r>
      <w:r w:rsidRPr="00497B48">
        <w:t xml:space="preserve"> teachers to apply these practices to specific curriculum content</w:t>
      </w:r>
      <w:r>
        <w:t xml:space="preserve">. Alongside the practices listed above it is also essential that all </w:t>
      </w:r>
      <w:r w:rsidR="004D2369">
        <w:t>ITE students</w:t>
      </w:r>
      <w:r>
        <w:t xml:space="preserve"> (irrespective of stage of learning or subject area) have a foundational understanding of literacy and numeracy teaching strategies and their application. </w:t>
      </w:r>
    </w:p>
    <w:p w14:paraId="701A4DAE" w14:textId="76B79377" w:rsidR="00C139C0" w:rsidRPr="00061E03" w:rsidRDefault="00C139C0" w:rsidP="00FB1364">
      <w:pPr>
        <w:spacing w:after="0" w:line="240" w:lineRule="auto"/>
        <w:rPr>
          <w:b/>
        </w:rPr>
      </w:pPr>
      <w:r w:rsidRPr="00061E03">
        <w:rPr>
          <w:b/>
        </w:rPr>
        <w:t>Literacy</w:t>
      </w:r>
    </w:p>
    <w:p w14:paraId="3C22F676" w14:textId="5086727D" w:rsidR="00C139C0" w:rsidRPr="00497B48" w:rsidRDefault="00C139C0" w:rsidP="00AA45C1">
      <w:pPr>
        <w:spacing w:after="120" w:line="240" w:lineRule="auto"/>
      </w:pPr>
      <w:r>
        <w:rPr>
          <w:lang w:eastAsia="en-AU"/>
        </w:rPr>
        <w:t xml:space="preserve">Specific attention should be given to reading and writing instruction as literacy is fundamental to success in all subjects and at all stages. </w:t>
      </w:r>
      <w:r w:rsidRPr="00497B48">
        <w:rPr>
          <w:lang w:eastAsia="en-AU"/>
        </w:rPr>
        <w:t xml:space="preserve">A rigorous body of evidence identifies the key elements of </w:t>
      </w:r>
      <w:hyperlink r:id="rId40" w:history="1">
        <w:r w:rsidRPr="00497B48">
          <w:rPr>
            <w:rStyle w:val="Hyperlink"/>
            <w:lang w:eastAsia="en-AU"/>
          </w:rPr>
          <w:t>high-quality reading instruction</w:t>
        </w:r>
      </w:hyperlink>
      <w:r>
        <w:rPr>
          <w:lang w:eastAsia="en-AU"/>
        </w:rPr>
        <w:t>, which</w:t>
      </w:r>
      <w:r w:rsidRPr="00497B48">
        <w:rPr>
          <w:lang w:eastAsia="en-AU"/>
        </w:rPr>
        <w:t xml:space="preserve"> should be included in all ITE </w:t>
      </w:r>
      <w:r w:rsidR="00A32BE6">
        <w:rPr>
          <w:lang w:eastAsia="en-AU"/>
        </w:rPr>
        <w:t>programs</w:t>
      </w:r>
      <w:r w:rsidRPr="00497B48">
        <w:rPr>
          <w:lang w:eastAsia="en-AU"/>
        </w:rPr>
        <w:t xml:space="preserve">. </w:t>
      </w:r>
      <w:r>
        <w:rPr>
          <w:lang w:eastAsia="en-AU"/>
        </w:rPr>
        <w:t>It outlines that e</w:t>
      </w:r>
      <w:r w:rsidRPr="00497B48">
        <w:rPr>
          <w:lang w:eastAsia="en-AU"/>
        </w:rPr>
        <w:t>xplicit and systematic teaching address</w:t>
      </w:r>
      <w:r>
        <w:rPr>
          <w:lang w:eastAsia="en-AU"/>
        </w:rPr>
        <w:t>es</w:t>
      </w:r>
      <w:r w:rsidRPr="00497B48">
        <w:rPr>
          <w:lang w:eastAsia="en-AU"/>
        </w:rPr>
        <w:t xml:space="preserve"> </w:t>
      </w:r>
      <w:r>
        <w:rPr>
          <w:lang w:eastAsia="en-AU"/>
        </w:rPr>
        <w:t xml:space="preserve">the </w:t>
      </w:r>
      <w:r w:rsidRPr="00497B48">
        <w:rPr>
          <w:lang w:eastAsia="en-AU"/>
        </w:rPr>
        <w:t>five</w:t>
      </w:r>
      <w:r>
        <w:rPr>
          <w:lang w:eastAsia="en-AU"/>
        </w:rPr>
        <w:t xml:space="preserve"> key</w:t>
      </w:r>
      <w:r w:rsidRPr="00497B48">
        <w:rPr>
          <w:lang w:eastAsia="en-AU"/>
        </w:rPr>
        <w:t xml:space="preserve"> elements: phonemic awareness</w:t>
      </w:r>
      <w:r>
        <w:rPr>
          <w:lang w:eastAsia="en-AU"/>
        </w:rPr>
        <w:t>,</w:t>
      </w:r>
      <w:r w:rsidRPr="00497B48">
        <w:rPr>
          <w:lang w:eastAsia="en-AU"/>
        </w:rPr>
        <w:t xml:space="preserve"> phonics</w:t>
      </w:r>
      <w:r>
        <w:rPr>
          <w:lang w:eastAsia="en-AU"/>
        </w:rPr>
        <w:t>,</w:t>
      </w:r>
      <w:r w:rsidRPr="00497B48">
        <w:rPr>
          <w:lang w:eastAsia="en-AU"/>
        </w:rPr>
        <w:t xml:space="preserve"> fluency, vocabulary, and comprehension.</w:t>
      </w:r>
      <w:r w:rsidRPr="00497B48">
        <w:t xml:space="preserve"> </w:t>
      </w:r>
      <w:r w:rsidR="00C42B08">
        <w:rPr>
          <w:lang w:eastAsia="en-AU"/>
        </w:rPr>
        <w:t xml:space="preserve">This is in line with </w:t>
      </w:r>
      <w:r w:rsidR="00823CCD" w:rsidRPr="00823CCD">
        <w:rPr>
          <w:lang w:eastAsia="en-AU"/>
        </w:rPr>
        <w:t xml:space="preserve">Schedule 1 of the </w:t>
      </w:r>
      <w:r w:rsidR="004E18ED">
        <w:rPr>
          <w:lang w:eastAsia="en-AU"/>
        </w:rPr>
        <w:t xml:space="preserve">Accreditation </w:t>
      </w:r>
      <w:r w:rsidR="00823CCD" w:rsidRPr="00823CCD">
        <w:rPr>
          <w:lang w:eastAsia="en-AU"/>
        </w:rPr>
        <w:t xml:space="preserve">Standards and Procedures 4.2 that all primary undergraduate and primary graduate entry programs include content for English/literacy - discipline-specific curriculum and pedagogical studies </w:t>
      </w:r>
      <w:r w:rsidR="00823CCD" w:rsidRPr="00823CCD">
        <w:rPr>
          <w:lang w:eastAsia="en-AU"/>
        </w:rPr>
        <w:fldChar w:fldCharType="begin"/>
      </w:r>
      <w:r w:rsidR="00823CCD" w:rsidRPr="00823CCD">
        <w:rPr>
          <w:lang w:eastAsia="en-AU"/>
        </w:rPr>
        <w:instrText xml:space="preserve"> ADDIN ZOTERO_ITEM CSL_CITATION {"citationID":"lArz8vfN","properties":{"formattedCitation":"(Australian Institute for Teaching and School Leadership (AITSL) 2015)","plainCitation":"(Australian Institute for Teaching and School Leadership (AITSL) 2015)","noteIndex":0},"citationItems":[{"id":17242,"uris":["http://zotero.org/users/10928664/items/RJND3HXN"],"itemData":{"id":17242,"type":"report","publisher":"AUTSL","source":"ISBN 978-1-925192-67-4","title":"Accreditation of initial teacher education programs in Australia","URL":"https://www.aitsl.edu.au/docs/default-source/national-policy-framework/accreditation-of-initial-teacher-education-programs-in-australia.pdf?sfvrsn=e87cff3c_48","author":[{"family":"Australian Institute for Teaching and School Leadership (AITSL)","given":""}],"accessed":{"date-parts":[["2023",1,20]]},"issued":{"date-parts":[["2015"]]}}}],"schema":"https://github.com/citation-style-language/schema/raw/master/csl-citation.json"} </w:instrText>
      </w:r>
      <w:r w:rsidR="00823CCD" w:rsidRPr="00823CCD">
        <w:rPr>
          <w:lang w:eastAsia="en-AU"/>
        </w:rPr>
        <w:fldChar w:fldCharType="separate"/>
      </w:r>
      <w:r w:rsidR="00823CCD" w:rsidRPr="00823CCD">
        <w:rPr>
          <w:lang w:eastAsia="en-AU"/>
        </w:rPr>
        <w:t>(Australian Institute for Teaching and School Leadership (AITSL) 2015)</w:t>
      </w:r>
      <w:r w:rsidR="00823CCD" w:rsidRPr="00823CCD">
        <w:rPr>
          <w:lang w:eastAsia="en-AU"/>
        </w:rPr>
        <w:fldChar w:fldCharType="end"/>
      </w:r>
      <w:r w:rsidR="00823CCD" w:rsidRPr="00823CCD">
        <w:rPr>
          <w:lang w:eastAsia="en-AU"/>
        </w:rPr>
        <w:t>.</w:t>
      </w:r>
      <w:r w:rsidR="00005FE0">
        <w:rPr>
          <w:lang w:eastAsia="en-AU"/>
        </w:rPr>
        <w:t xml:space="preserve"> </w:t>
      </w:r>
      <w:r w:rsidR="00005FE0" w:rsidRPr="00005FE0">
        <w:rPr>
          <w:lang w:eastAsia="en-AU"/>
        </w:rPr>
        <w:t xml:space="preserve">Providers should deliver content that adequately prepares </w:t>
      </w:r>
      <w:r w:rsidR="004D2369">
        <w:rPr>
          <w:lang w:eastAsia="en-AU"/>
        </w:rPr>
        <w:t xml:space="preserve">ITE students </w:t>
      </w:r>
      <w:r w:rsidR="00005FE0" w:rsidRPr="00005FE0">
        <w:rPr>
          <w:lang w:eastAsia="en-AU"/>
        </w:rPr>
        <w:t xml:space="preserve">to effectively and explicitly teach the content outlined by the existing </w:t>
      </w:r>
      <w:r w:rsidR="004E18ED">
        <w:rPr>
          <w:lang w:eastAsia="en-AU"/>
        </w:rPr>
        <w:t xml:space="preserve">Accreditation </w:t>
      </w:r>
      <w:r w:rsidR="00005FE0" w:rsidRPr="00005FE0">
        <w:rPr>
          <w:lang w:eastAsia="en-AU"/>
        </w:rPr>
        <w:t>Standards and Procedures.</w:t>
      </w:r>
    </w:p>
    <w:p w14:paraId="2455D639" w14:textId="13F71AA6" w:rsidR="00C139C0" w:rsidRPr="00497B48" w:rsidRDefault="00C139C0" w:rsidP="00B77712">
      <w:pPr>
        <w:spacing w:after="120" w:line="240" w:lineRule="auto"/>
      </w:pPr>
      <w:r w:rsidRPr="00497B48">
        <w:t xml:space="preserve">All </w:t>
      </w:r>
      <w:r w:rsidR="00477440">
        <w:t>ITE students</w:t>
      </w:r>
      <w:r w:rsidRPr="00497B48">
        <w:t>, primary and secondary, should be taught and understand how to explicitly teach reading and writing</w:t>
      </w:r>
      <w:r>
        <w:t>,</w:t>
      </w:r>
      <w:r w:rsidRPr="00497B48">
        <w:t xml:space="preserve"> not only through the English curriculum but across all subjects. The explicit teaching of reading and writing tailored to specific content and discipline can improve students' understanding and engagement with the material, as well as their overall academic performance. Explicit writing and comprehension instruction across KLAs has been shown to effectively enhance both literacy and subject</w:t>
      </w:r>
      <w:r>
        <w:t xml:space="preserve"> specific</w:t>
      </w:r>
      <w:r w:rsidRPr="00497B48">
        <w:t xml:space="preserve"> learning outcomes </w:t>
      </w:r>
      <w:r w:rsidRPr="18C3969F">
        <w:rPr>
          <w:color w:val="2B579A"/>
        </w:rPr>
        <w:fldChar w:fldCharType="begin"/>
      </w:r>
      <w:r w:rsidRPr="00497B48">
        <w:instrText xml:space="preserve"> ADDIN ZOTERO_ITEM CSL_CITATION {"citationID":"bMJ3GHYr","properties":{"formattedCitation":"(Graham et al. 2020; Graham and Hebert 2011)","plainCitation":"(Graham et al. 2020; Graham and Hebert 2011)","noteIndex":0},"citationItems":[{"id":17079,"uris":["http://zotero.org/users/10928664/items/MR26IUUT"],"itemData":{"id":17079,"type":"article-journal","abstract":"This meta-analysis examined if students writing about content material in science, social studies, and mathematics facilitated learning (k = 56 experiments). Studies in this review were true or quasi-experiments (with pretests), written in English, and conducted with students in Grades 1 to 12 in which the writing-to-learn activity was part of instruction. Studies were not included if the control condition used writing to support learning (except when treatment students spent more time engaging in writing-to-learn activities), study attrition exceeded 20%, instructional time and content coverage differed between treatment and control conditions, pretest scores approached ceiling levels, letter grades were the learning outcome, and students attended a special school for students with disabilities. As predicted, writing about content reliably enhanced learning (effect size = 0.30). It was equally effective at improving learning in science, social studies, and mathematics as well as the learning of elementary, middle, and high school students. Writing-to-learn effects were not moderated by the features of writing activities, instruction, or assessment. Furthermore, variability in obtained effects were not related to features of study quality. Directions for future research and implications for practice are provided.","container-title":"Review of Educational Research","DOI":"10.3102/0034654320914744","ISSN":"0034-6543","issue":"2","language":"en","note":"publisher: American Educational Research Association","page":"179-226","source":"SAGE Journals","title":"The Effects of Writing on Learning in Science, Social Studies, and Mathematics: A Meta-Analysis","title-short":"The Effects of Writing on Learning in Science, Social Studies, and Mathematics","volume":"90","author":[{"family":"Graham","given":"Steve"},{"family":"Kiuhara","given":"Sharlene A."},{"family":"MacKay","given":"Meade"}],"issued":{"date-parts":[["2020",4,1]]}}},{"id":17080,"uris":["http://zotero.org/users/10928664/items/V2TNXKRJ"],"itemData":{"id":17080,"type":"article-journal","abstract":"Reading is critical to students' success in and out of school. One potential means for improving students' reading is writing. In this meta-analysis of true and quasi-experiments,Graham and Herbert present evidence that writing about material read improves students' comprehension of it; that teaching students how to write improves their reading comprehension, reading fluency, and word reading; and that increasing how much students write enhances their reading comprehension. These findings provide empirical support for long-standing beliefs about the power of writing to facilitate reading.","container-title":"Harvard Educational Review","DOI":"10.17763/haer.81.4.t2k0m13756113566","ISSN":"0017-8055","issue":"4","journalAbbreviation":"Harvard Educational Review","page":"710-744","source":"Silverchair","title":"Writing to Read: A Meta-Analysis of the Impact of Writing and Writing Instruction on Reading","title-short":"Writing to Read","volume":"81","author":[{"family":"Graham","given":"Steve"},{"family":"Hebert","given":"Michael"}],"issued":{"date-parts":[["2011",12,16]]}}}],"schema":"https://github.com/citation-style-language/schema/raw/master/csl-citation.json"} </w:instrText>
      </w:r>
      <w:r w:rsidRPr="18C3969F">
        <w:rPr>
          <w:color w:val="2B579A"/>
        </w:rPr>
        <w:fldChar w:fldCharType="separate"/>
      </w:r>
      <w:r w:rsidRPr="00497B48">
        <w:t>(Graham et al. 2020; Graham and Hebert 2011)</w:t>
      </w:r>
      <w:r w:rsidRPr="18C3969F">
        <w:rPr>
          <w:color w:val="2B579A"/>
        </w:rPr>
        <w:fldChar w:fldCharType="end"/>
      </w:r>
      <w:r w:rsidRPr="00497B48">
        <w:t xml:space="preserve">. </w:t>
      </w:r>
    </w:p>
    <w:p w14:paraId="353AAA08" w14:textId="77777777" w:rsidR="00C139C0" w:rsidRPr="00061E03" w:rsidRDefault="00C139C0" w:rsidP="00FB1364">
      <w:pPr>
        <w:keepNext/>
        <w:spacing w:after="0" w:line="240" w:lineRule="auto"/>
        <w:rPr>
          <w:b/>
        </w:rPr>
      </w:pPr>
      <w:r w:rsidRPr="00061E03">
        <w:rPr>
          <w:b/>
        </w:rPr>
        <w:t>Numeracy</w:t>
      </w:r>
    </w:p>
    <w:p w14:paraId="1ACD680C" w14:textId="47C3447C" w:rsidR="00E76A9B" w:rsidRPr="00533B22" w:rsidRDefault="00E76A9B" w:rsidP="00E76A9B">
      <w:pPr>
        <w:keepNext/>
        <w:spacing w:after="120" w:line="240" w:lineRule="auto"/>
        <w:rPr>
          <w:rFonts w:eastAsia="Times New Roman"/>
          <w:lang w:eastAsia="en-AU"/>
        </w:rPr>
      </w:pPr>
      <w:r w:rsidRPr="00533B22">
        <w:rPr>
          <w:rFonts w:eastAsia="Times New Roman"/>
          <w:lang w:eastAsia="en-AU"/>
        </w:rPr>
        <w:t xml:space="preserve">Like literacy, numeracy is fundamental to a student’s ability to learn at school and engage in society. Numeracy encompasses the knowledge, skills, behaviours and dispositions students need to use mathematics effectively to meet the general demands of their life at home, in paid work, and for participation in community and civic life (AAMT 1998). In ITE programs, numeracy should be highlighted as a fundamental component of learning, discourse and critique across all areas of the </w:t>
      </w:r>
      <w:r w:rsidRPr="00533B22">
        <w:rPr>
          <w:rFonts w:eastAsia="Times New Roman"/>
          <w:lang w:eastAsia="en-AU"/>
        </w:rPr>
        <w:lastRenderedPageBreak/>
        <w:t xml:space="preserve">curriculum and as the responsibility of all teachers regardless of level or subject. As appropriate to their learning area, ITE students should recognise and use in context, a combination of underpinning mathematical concepts and skills (numerical, spatial, graphical, statistical and algebraic); mathematical thinking and strategies; general thinking skills; and grounded appreciation of context (AAMT 1998; ACARA 2018; Geiger et al 2015; </w:t>
      </w:r>
      <w:proofErr w:type="spellStart"/>
      <w:r w:rsidRPr="00533B22">
        <w:rPr>
          <w:rFonts w:eastAsia="Times New Roman"/>
          <w:lang w:eastAsia="en-AU"/>
        </w:rPr>
        <w:t>Goos</w:t>
      </w:r>
      <w:proofErr w:type="spellEnd"/>
      <w:r w:rsidRPr="00533B22">
        <w:rPr>
          <w:rFonts w:eastAsia="Times New Roman"/>
          <w:lang w:eastAsia="en-AU"/>
        </w:rPr>
        <w:t xml:space="preserve"> et al 2014; Tout 2020). </w:t>
      </w:r>
    </w:p>
    <w:p w14:paraId="551D5579" w14:textId="5C52BD11" w:rsidR="00E76A9B" w:rsidRPr="00974CE7" w:rsidRDefault="00E76A9B" w:rsidP="00E76A9B">
      <w:pPr>
        <w:pStyle w:val="NormalWeb"/>
        <w:spacing w:before="0" w:beforeAutospacing="0" w:after="120" w:afterAutospacing="0"/>
        <w:rPr>
          <w:rFonts w:asciiTheme="minorHAnsi" w:hAnsiTheme="minorHAnsi" w:cstheme="minorBidi"/>
          <w:sz w:val="22"/>
          <w:szCs w:val="22"/>
        </w:rPr>
      </w:pPr>
      <w:r w:rsidRPr="00533B22">
        <w:rPr>
          <w:rFonts w:asciiTheme="minorHAnsi" w:hAnsiTheme="minorHAnsi" w:cstheme="minorBidi"/>
          <w:sz w:val="22"/>
          <w:szCs w:val="22"/>
        </w:rPr>
        <w:t>To ensure that ITE students understand and identify the numeracy demands of their subjects, ITE students must develop a conceptual understanding of the six strands of mathematics: number, algebra, geometry, measurement, statistics and probability and the four proficiencies: understanding, fluency, problem solving and reasoning (ACARA 2022). As appropriate to their learning area, emphasis should be placed on the use of the big ideas of mathematics e.g. trusting the count, place value, moving from additive to multiplicative thinking, partitioning and proportional thinking (</w:t>
      </w:r>
      <w:proofErr w:type="spellStart"/>
      <w:r w:rsidRPr="00533B22">
        <w:rPr>
          <w:rFonts w:asciiTheme="minorHAnsi" w:hAnsiTheme="minorHAnsi" w:cstheme="minorBidi"/>
          <w:sz w:val="22"/>
          <w:szCs w:val="22"/>
        </w:rPr>
        <w:t>Siemon</w:t>
      </w:r>
      <w:proofErr w:type="spellEnd"/>
      <w:r w:rsidRPr="00533B22">
        <w:rPr>
          <w:rFonts w:asciiTheme="minorHAnsi" w:hAnsiTheme="minorHAnsi" w:cstheme="minorBidi"/>
          <w:sz w:val="22"/>
          <w:szCs w:val="22"/>
        </w:rPr>
        <w:t xml:space="preserve"> 2022) and recognising common misconceptions and misunderstandings. ITE numeracy programs should encourage ITE students to focus on the importance of explicit modelling and teaching, scaffolding of tasks, and assisting students to move from modelling processes and procedures using concrete materials, to using and interpreting pictures, drawings and 2D representations and then finally using abstract symbols with fluency and understanding (Geiger 2018; </w:t>
      </w:r>
      <w:proofErr w:type="spellStart"/>
      <w:r w:rsidRPr="00533B22">
        <w:rPr>
          <w:rFonts w:asciiTheme="minorHAnsi" w:hAnsiTheme="minorHAnsi" w:cstheme="minorBidi"/>
          <w:sz w:val="22"/>
          <w:szCs w:val="22"/>
        </w:rPr>
        <w:t>Goos</w:t>
      </w:r>
      <w:proofErr w:type="spellEnd"/>
      <w:r w:rsidRPr="00533B22">
        <w:rPr>
          <w:rFonts w:asciiTheme="minorHAnsi" w:hAnsiTheme="minorHAnsi" w:cstheme="minorBidi"/>
          <w:sz w:val="22"/>
          <w:szCs w:val="22"/>
        </w:rPr>
        <w:t xml:space="preserve"> et al 2019; Flores et al 2014). </w:t>
      </w:r>
      <w:r w:rsidRPr="2C03F412">
        <w:rPr>
          <w:rFonts w:asciiTheme="minorHAnsi" w:hAnsiTheme="minorHAnsi" w:cstheme="minorBidi"/>
          <w:sz w:val="22"/>
          <w:szCs w:val="22"/>
        </w:rPr>
        <w:t xml:space="preserve">Explicit instruction in the development and interpretation of formative assessment, along with the order, spacing and amount of time spent on topics should be provided to ensure that all ITE students can apply their mathematics knowledge, skills and understanding in numeracy contexts across all levels and subjects. </w:t>
      </w:r>
    </w:p>
    <w:p w14:paraId="75B23886" w14:textId="109CD485" w:rsidR="00C139C0" w:rsidRPr="00150E26" w:rsidRDefault="00C139C0" w:rsidP="00E76A9B">
      <w:pPr>
        <w:keepNext/>
        <w:spacing w:after="120" w:line="240" w:lineRule="auto"/>
        <w:rPr>
          <w:b/>
        </w:rPr>
      </w:pPr>
      <w:r w:rsidRPr="00150E26">
        <w:rPr>
          <w:b/>
        </w:rPr>
        <w:t xml:space="preserve">Multi-tiered systems of support </w:t>
      </w:r>
    </w:p>
    <w:p w14:paraId="512F664A" w14:textId="580E5928" w:rsidR="00C139C0" w:rsidRPr="00497B48" w:rsidRDefault="00C139C0" w:rsidP="00C139C0">
      <w:pPr>
        <w:spacing w:after="120" w:line="240" w:lineRule="auto"/>
      </w:pPr>
      <w:r w:rsidRPr="00497B48">
        <w:t xml:space="preserve">Teachers need to know how to provide early and proactive support for students to improve their academic performance and prevent the formation of a performance gap. The evidence shows that the way to do this effectively is by using a MTSS approach. </w:t>
      </w:r>
    </w:p>
    <w:p w14:paraId="2273F73B" w14:textId="77777777" w:rsidR="00C139C0" w:rsidRPr="00497B48" w:rsidRDefault="00C139C0" w:rsidP="00C139C0">
      <w:pPr>
        <w:spacing w:after="120" w:line="240" w:lineRule="auto"/>
      </w:pPr>
      <w:r w:rsidRPr="00497B48">
        <w:t>This approach has three ‘levels’ of support</w:t>
      </w:r>
      <w:r>
        <w:t>,</w:t>
      </w:r>
      <w:r w:rsidRPr="00497B48">
        <w:t xml:space="preserve"> which provide additional instruction in smaller, more targeted settings depending on the student’s need. The first tier, Tier 1, is typically general classroom instruction, </w:t>
      </w:r>
      <w:r>
        <w:t xml:space="preserve">while </w:t>
      </w:r>
      <w:r w:rsidRPr="00497B48">
        <w:t xml:space="preserve">Tiers 2 and 3 involve more targeted interventions and higher-intensity support for students who are struggling. </w:t>
      </w:r>
    </w:p>
    <w:p w14:paraId="55E05DCF" w14:textId="77777777" w:rsidR="00C139C0" w:rsidRPr="00497B48" w:rsidRDefault="00C139C0" w:rsidP="00C139C0">
      <w:pPr>
        <w:spacing w:after="120" w:line="240" w:lineRule="auto"/>
      </w:pPr>
      <w:r w:rsidRPr="00497B48">
        <w:t xml:space="preserve">Tier 1 refers to the instruction that the whole class receives. If students have already mastered foundational literacy and numeracy skills, most, not all, will respond well to evidence-based Tier-1 instruction in all subjects. This instruction consists of the effective pedagogical practices detailed above. In an MTSS model, all students are screened to determine their capability in reading, writing and mathematics. The resulting data is used to inform whether students require intervention. </w:t>
      </w:r>
    </w:p>
    <w:p w14:paraId="1B7BC410" w14:textId="3B49B91C" w:rsidR="00C139C0" w:rsidRPr="00497B48" w:rsidRDefault="00C139C0" w:rsidP="00C139C0">
      <w:pPr>
        <w:spacing w:after="120" w:line="240" w:lineRule="auto"/>
      </w:pPr>
      <w:r w:rsidRPr="00497B48">
        <w:t xml:space="preserve">Tier 2 intervention involves intensifying support for the skills a student needs support in. </w:t>
      </w:r>
      <w:r>
        <w:t>using</w:t>
      </w:r>
      <w:r w:rsidRPr="00497B48">
        <w:t xml:space="preserve"> evidence-based instructional practices and empirically validated interventions in a small group setting. Students who do not respond to Tier 2 intervention will require Tier 3 intervention, which intensifies support further by increasing frequency or lowering the ratio of students to staff in small-group instruction (1:1 instruction also being an option). Tier 3 intervention should be delivered by a staff member trained in </w:t>
      </w:r>
      <w:r>
        <w:t>relevant</w:t>
      </w:r>
      <w:r w:rsidRPr="00497B48">
        <w:t xml:space="preserve"> evidence-based </w:t>
      </w:r>
      <w:r>
        <w:t>practices</w:t>
      </w:r>
      <w:r w:rsidRPr="00497B48">
        <w:t xml:space="preserve">. </w:t>
      </w:r>
    </w:p>
    <w:p w14:paraId="761D68EF" w14:textId="24E7DEF2" w:rsidR="00C139C0" w:rsidRPr="00497B48" w:rsidRDefault="00477440" w:rsidP="0006735E">
      <w:pPr>
        <w:spacing w:after="120" w:line="240" w:lineRule="auto"/>
      </w:pPr>
      <w:r>
        <w:t>ITE students</w:t>
      </w:r>
      <w:r w:rsidR="00C139C0" w:rsidRPr="00497B48">
        <w:t xml:space="preserve"> should be taught and have the opportunity to practice implementing a multi-tiered framework during ITE </w:t>
      </w:r>
      <w:r w:rsidR="00A32BE6">
        <w:t>programs</w:t>
      </w:r>
      <w:r w:rsidR="00C139C0" w:rsidRPr="00497B48">
        <w:t xml:space="preserve">. This should not be taught as a standalone approach but as a coherent integration with quality instruction, recognising and emphasising that Tier 1 is the most important tier of support as it plays the greatest role in </w:t>
      </w:r>
      <w:r w:rsidR="00C139C0">
        <w:t xml:space="preserve">students’ </w:t>
      </w:r>
      <w:r w:rsidR="00C139C0" w:rsidRPr="00497B48">
        <w:t xml:space="preserve">success at school </w:t>
      </w:r>
      <w:r w:rsidR="00C139C0">
        <w:t>and</w:t>
      </w:r>
      <w:r w:rsidR="00C139C0" w:rsidRPr="00497B48">
        <w:t xml:space="preserve"> preventing learning gaps </w:t>
      </w:r>
      <w:r w:rsidR="00C139C0" w:rsidRPr="472BA39A">
        <w:rPr>
          <w:color w:val="2B579A"/>
        </w:rPr>
        <w:fldChar w:fldCharType="begin"/>
      </w:r>
      <w:r w:rsidR="00C139C0" w:rsidRPr="00497B48">
        <w:instrText xml:space="preserve"> ADDIN ZOTERO_ITEM CSL_CITATION {"citationID":"g1rpFFOq","properties":{"formattedCitation":"(Berkeley et al. 2009, 2020)","plainCitation":"(Berkeley et al. 2009, 2020)","noteIndex":0},"citationItems":[{"id":17069,"uris":["http://zotero.org/users/10928664/items/KYFIA5LD"],"itemData":{"id":17069,"type":"article-journal","abstract":"This article provides a snapshot of how all 50 states are progressing with the development and implementation of response-to-intervention (RtI) models 1 year after the final regulations for the Individuals with Disabilities Education Act were passed. Data were collected through a review of existing state department of education Web sites and conversations with representatives in each state department of education. Information related to RtI model type, implementation status, professional development, criteria for eligibility, and specific features of individual state RtI models are presented. Findings indicate that most states are in some phase of RtI development, although approaches vary widely throughout the country. Implications for research and practice are discussed.","container-title":"Journal of Learning Disabilities","DOI":"10.1177/0022219408326214","ISSN":"0022-2194","issue":"1","journalAbbreviation":"J Learn Disabil","language":"en","note":"publisher: SAGE Publications Inc","page":"85-95","source":"SAGE Journals","title":"Implementation of Response to Intervention: A Snapshot of Progress","title-short":"Implementation of Response to Intervention","volume":"42","author":[{"family":"Berkeley","given":"Sheri"},{"family":"Bender","given":"William N."},{"family":"Gregg Peaster","given":"Lindsay"},{"family":"Saunders","given":"Lauren"}],"issued":{"date-parts":[["2009",1,1]]}}},{"id":17070,"uris":["http://zotero.org/users/10928664/items/MJLQECF9"],"itemData":{"id":17070,"type":"article-journal","abstract":"Response to intervention (RTI) has evolved from its first decade of implementation. Because states guide and regulate policy and practice at the state and local education agency levels, it is important to understand their critical role in RTI implementation. A systematic review of all 50 state education agency websites was conducted to provide an updated ?snapshot? of states? interpretation of RTI a decade after IDEA regulations were finalized. Findings revealed substantive progress towards developing approaches to systematic supports to students, with a major trend in adoption of multi-tiered system of support (MTSS) models. Findings also documented continued variation in how states are communicating about tiered systems on such matters as the roles of tiered systems in schoolwide prevention frameworks, meeting special education requirements, and aligning multiple systems within schools. Implications for special education services for students with learning disabilities are discussed.","container-title":"Journal of Learning Disabilities","DOI":"10.1177/0022219420915867","ISSN":"0022-2194","issue":"5","journalAbbreviation":"J Learn Disabil","language":"en","note":"publisher: SAGE Publications Inc","page":"332-342","source":"SAGE Journals","title":"A Snapshot of RTI Implementation a Decade Later: New Picture, Same Story","title-short":"A Snapshot of RTI Implementation a Decade Later","volume":"53","author":[{"family":"Berkeley","given":"Sheri"},{"family":"Scanlon","given":"David"},{"family":"Bailey","given":"Tessie R."},{"family":"Sutton","given":"Jason C."},{"family":"Sacco","given":"Donna M."}],"issued":{"date-parts":[["2020",9,1]]}}}],"schema":"https://github.com/citation-style-language/schema/raw/master/csl-citation.json"} </w:instrText>
      </w:r>
      <w:r w:rsidR="00C139C0" w:rsidRPr="472BA39A">
        <w:rPr>
          <w:color w:val="2B579A"/>
        </w:rPr>
        <w:fldChar w:fldCharType="separate"/>
      </w:r>
      <w:r w:rsidR="00C139C0" w:rsidRPr="00497B48">
        <w:t>(Berkeley et al. 2009, 2020)</w:t>
      </w:r>
      <w:r w:rsidR="00C139C0" w:rsidRPr="472BA39A">
        <w:rPr>
          <w:color w:val="2B579A"/>
        </w:rPr>
        <w:fldChar w:fldCharType="end"/>
      </w:r>
      <w:r w:rsidR="00C139C0" w:rsidRPr="00497B48">
        <w:t>.</w:t>
      </w:r>
    </w:p>
    <w:p w14:paraId="72712841" w14:textId="18944F0B" w:rsidR="00832B30" w:rsidRPr="00FB1364" w:rsidRDefault="00832B30" w:rsidP="00522ED4">
      <w:pPr>
        <w:spacing w:after="0" w:line="240" w:lineRule="auto"/>
        <w:rPr>
          <w:rFonts w:ascii="Calibri" w:hAnsi="Calibri" w:cs="Calibri"/>
          <w:color w:val="000000" w:themeColor="text1"/>
          <w:sz w:val="26"/>
          <w:szCs w:val="26"/>
        </w:rPr>
      </w:pPr>
      <w:bookmarkStart w:id="18" w:name="_Multi-Tiered_Systems_of"/>
      <w:bookmarkEnd w:id="18"/>
      <w:r w:rsidRPr="00FB1364">
        <w:rPr>
          <w:b/>
          <w:sz w:val="26"/>
          <w:szCs w:val="26"/>
        </w:rPr>
        <w:t xml:space="preserve">What </w:t>
      </w:r>
      <w:r w:rsidRPr="00B44438">
        <w:rPr>
          <w:b/>
          <w:sz w:val="26"/>
          <w:szCs w:val="26"/>
        </w:rPr>
        <w:t xml:space="preserve">should </w:t>
      </w:r>
      <w:r w:rsidR="00757C77">
        <w:rPr>
          <w:b/>
          <w:sz w:val="26"/>
          <w:szCs w:val="26"/>
        </w:rPr>
        <w:t>graduate teachers</w:t>
      </w:r>
      <w:r w:rsidRPr="00FB1364">
        <w:rPr>
          <w:b/>
          <w:sz w:val="26"/>
          <w:szCs w:val="26"/>
        </w:rPr>
        <w:t xml:space="preserve"> demonstrate?  </w:t>
      </w:r>
    </w:p>
    <w:p w14:paraId="1C6FCA15" w14:textId="71713904" w:rsidR="00455092" w:rsidRPr="004C6DFD" w:rsidRDefault="00455092" w:rsidP="007D6F33">
      <w:pPr>
        <w:pStyle w:val="ListParagraph"/>
        <w:numPr>
          <w:ilvl w:val="0"/>
          <w:numId w:val="31"/>
        </w:numPr>
        <w:tabs>
          <w:tab w:val="right" w:pos="9026"/>
        </w:tabs>
        <w:suppressAutoHyphens/>
        <w:spacing w:after="160"/>
        <w:rPr>
          <w:sz w:val="22"/>
          <w:szCs w:val="22"/>
        </w:rPr>
      </w:pPr>
      <w:r w:rsidRPr="004C6DFD">
        <w:rPr>
          <w:sz w:val="22"/>
          <w:szCs w:val="22"/>
        </w:rPr>
        <w:t xml:space="preserve">Knowledge of and skill in </w:t>
      </w:r>
      <w:r w:rsidR="4165A08C" w:rsidRPr="35D3C64B">
        <w:rPr>
          <w:sz w:val="22"/>
          <w:szCs w:val="22"/>
        </w:rPr>
        <w:t>planning</w:t>
      </w:r>
      <w:r w:rsidRPr="004C6DFD">
        <w:rPr>
          <w:sz w:val="22"/>
          <w:szCs w:val="22"/>
        </w:rPr>
        <w:t xml:space="preserve"> and </w:t>
      </w:r>
      <w:r w:rsidR="4165A08C" w:rsidRPr="35D3C64B">
        <w:rPr>
          <w:sz w:val="22"/>
          <w:szCs w:val="22"/>
        </w:rPr>
        <w:t>sequencing</w:t>
      </w:r>
      <w:r w:rsidRPr="004C6DFD">
        <w:rPr>
          <w:sz w:val="22"/>
          <w:szCs w:val="22"/>
        </w:rPr>
        <w:t xml:space="preserve"> content and tasks so that they become increasingly challenging and incorporate spacing and retrieval practice.</w:t>
      </w:r>
    </w:p>
    <w:p w14:paraId="07A838B6" w14:textId="77777777" w:rsidR="00455092" w:rsidRPr="004C6DFD" w:rsidRDefault="00455092" w:rsidP="007D6F33">
      <w:pPr>
        <w:pStyle w:val="ListParagraph"/>
        <w:numPr>
          <w:ilvl w:val="0"/>
          <w:numId w:val="31"/>
        </w:numPr>
        <w:tabs>
          <w:tab w:val="right" w:pos="9026"/>
        </w:tabs>
        <w:suppressAutoHyphens/>
        <w:spacing w:before="160" w:after="160"/>
        <w:rPr>
          <w:sz w:val="22"/>
          <w:szCs w:val="22"/>
        </w:rPr>
      </w:pPr>
      <w:r w:rsidRPr="004C6DFD">
        <w:rPr>
          <w:sz w:val="22"/>
          <w:szCs w:val="22"/>
        </w:rPr>
        <w:lastRenderedPageBreak/>
        <w:t xml:space="preserve">Knowledge of and skill in explicit teaching, modelling and scaffolding practices that support how a student’s brain learns.  </w:t>
      </w:r>
    </w:p>
    <w:p w14:paraId="5B94509E" w14:textId="77777777" w:rsidR="00455092" w:rsidRPr="004C6DFD" w:rsidRDefault="00455092" w:rsidP="007D6F33">
      <w:pPr>
        <w:pStyle w:val="ListParagraph"/>
        <w:numPr>
          <w:ilvl w:val="0"/>
          <w:numId w:val="31"/>
        </w:numPr>
        <w:tabs>
          <w:tab w:val="right" w:pos="9026"/>
        </w:tabs>
        <w:suppressAutoHyphens/>
        <w:spacing w:before="160" w:after="160"/>
        <w:rPr>
          <w:sz w:val="22"/>
          <w:szCs w:val="22"/>
          <w:lang w:eastAsia="en-AU"/>
        </w:rPr>
      </w:pPr>
      <w:r w:rsidRPr="004C6DFD">
        <w:rPr>
          <w:sz w:val="22"/>
          <w:szCs w:val="22"/>
        </w:rPr>
        <w:t xml:space="preserve">An ability to effectively </w:t>
      </w:r>
      <w:r w:rsidRPr="004C6DFD">
        <w:rPr>
          <w:sz w:val="22"/>
          <w:szCs w:val="22"/>
          <w:lang w:eastAsia="en-AU"/>
        </w:rPr>
        <w:t>select a range of evidence-based assessment practices to evaluate progress, adjust instruction, provide targeted feedback, and support learning.</w:t>
      </w:r>
    </w:p>
    <w:p w14:paraId="63E5A792" w14:textId="77777777" w:rsidR="00455092" w:rsidRPr="004C6DFD" w:rsidRDefault="00455092" w:rsidP="007D6F33">
      <w:pPr>
        <w:pStyle w:val="ListParagraph"/>
        <w:numPr>
          <w:ilvl w:val="0"/>
          <w:numId w:val="31"/>
        </w:numPr>
        <w:tabs>
          <w:tab w:val="right" w:pos="9026"/>
        </w:tabs>
        <w:suppressAutoHyphens/>
        <w:spacing w:before="160" w:after="160"/>
        <w:rPr>
          <w:sz w:val="22"/>
          <w:szCs w:val="22"/>
          <w:lang w:eastAsia="en-AU"/>
        </w:rPr>
      </w:pPr>
      <w:r w:rsidRPr="004C6DFD">
        <w:rPr>
          <w:sz w:val="22"/>
          <w:szCs w:val="22"/>
          <w:lang w:eastAsia="en-AU"/>
        </w:rPr>
        <w:t xml:space="preserve">Appropriate subject matter expertise in the effective teaching of literacy, including the explicit teaching of phonics in early reading and the explicit teaching of reading and writing in subjects other than English. </w:t>
      </w:r>
    </w:p>
    <w:p w14:paraId="60A5407E" w14:textId="71DFD2E7" w:rsidR="00D108FE" w:rsidRPr="00D108FE" w:rsidRDefault="00943FBF" w:rsidP="003B1753">
      <w:pPr>
        <w:pStyle w:val="ListParagraph"/>
        <w:numPr>
          <w:ilvl w:val="0"/>
          <w:numId w:val="31"/>
        </w:numPr>
        <w:tabs>
          <w:tab w:val="right" w:pos="9026"/>
        </w:tabs>
        <w:suppressAutoHyphens/>
        <w:spacing w:after="120"/>
        <w:ind w:left="357" w:hanging="357"/>
        <w:rPr>
          <w:sz w:val="22"/>
          <w:szCs w:val="22"/>
          <w:lang w:eastAsia="en-AU"/>
        </w:rPr>
      </w:pPr>
      <w:r w:rsidRPr="00D108FE">
        <w:rPr>
          <w:sz w:val="22"/>
          <w:szCs w:val="22"/>
        </w:rPr>
        <w:t>Appropriate subject matter expertise in the effective teaching of numeracy including the explicit teaching of mathematics and building of fluency, understanding, problem solving and reasoning through structured spacing and retrieval practices</w:t>
      </w:r>
      <w:r w:rsidR="00B751CE">
        <w:rPr>
          <w:sz w:val="22"/>
          <w:szCs w:val="22"/>
        </w:rPr>
        <w:t>.</w:t>
      </w:r>
    </w:p>
    <w:p w14:paraId="353980EF" w14:textId="17069070" w:rsidR="00455092" w:rsidRPr="004C6DFD" w:rsidRDefault="00455092" w:rsidP="003B1753">
      <w:pPr>
        <w:pStyle w:val="ListParagraph"/>
        <w:numPr>
          <w:ilvl w:val="0"/>
          <w:numId w:val="31"/>
        </w:numPr>
        <w:tabs>
          <w:tab w:val="right" w:pos="9026"/>
        </w:tabs>
        <w:suppressAutoHyphens/>
        <w:spacing w:after="120"/>
        <w:ind w:left="357" w:hanging="357"/>
        <w:rPr>
          <w:sz w:val="22"/>
          <w:szCs w:val="22"/>
          <w:lang w:eastAsia="en-AU"/>
        </w:rPr>
      </w:pPr>
      <w:r w:rsidRPr="004C6DFD">
        <w:rPr>
          <w:sz w:val="22"/>
          <w:szCs w:val="22"/>
          <w:lang w:eastAsia="en-AU"/>
        </w:rPr>
        <w:t>Knowledge of theory and use of a MTSS framework, the direct relationship to evidence-based teaching practices and skill in how to practically implement in the classroom</w:t>
      </w:r>
      <w:r w:rsidR="00B751CE">
        <w:rPr>
          <w:sz w:val="22"/>
          <w:szCs w:val="22"/>
          <w:lang w:eastAsia="en-AU"/>
        </w:rPr>
        <w:t>.</w:t>
      </w:r>
    </w:p>
    <w:p w14:paraId="1C83C49B" w14:textId="178982F0" w:rsidR="00832B30" w:rsidRPr="00FB1364" w:rsidRDefault="00832B30" w:rsidP="00522ED4">
      <w:pPr>
        <w:spacing w:after="0" w:line="240" w:lineRule="auto"/>
        <w:rPr>
          <w:rFonts w:ascii="Calibri" w:hAnsi="Calibri" w:cs="Calibri"/>
          <w:color w:val="000000" w:themeColor="text1"/>
          <w:sz w:val="26"/>
          <w:szCs w:val="26"/>
        </w:rPr>
      </w:pPr>
      <w:r w:rsidRPr="00FB1364">
        <w:rPr>
          <w:b/>
          <w:sz w:val="26"/>
          <w:szCs w:val="26"/>
        </w:rPr>
        <w:t xml:space="preserve">Graduate </w:t>
      </w:r>
      <w:r w:rsidR="00EC4AA4" w:rsidRPr="00FB1364">
        <w:rPr>
          <w:b/>
          <w:sz w:val="26"/>
          <w:szCs w:val="26"/>
        </w:rPr>
        <w:t>T</w:t>
      </w:r>
      <w:r w:rsidRPr="00FB1364">
        <w:rPr>
          <w:b/>
          <w:sz w:val="26"/>
          <w:szCs w:val="26"/>
        </w:rPr>
        <w:t xml:space="preserve">eacher </w:t>
      </w:r>
      <w:r w:rsidR="00EC4AA4" w:rsidRPr="00FB1364">
        <w:rPr>
          <w:b/>
          <w:sz w:val="26"/>
          <w:szCs w:val="26"/>
        </w:rPr>
        <w:t>S</w:t>
      </w:r>
      <w:r w:rsidRPr="00FB1364">
        <w:rPr>
          <w:b/>
          <w:sz w:val="26"/>
          <w:szCs w:val="26"/>
        </w:rPr>
        <w:t>tandards</w:t>
      </w:r>
    </w:p>
    <w:p w14:paraId="49E04AA6" w14:textId="51D0E89B" w:rsidR="00832B30" w:rsidRDefault="00832B30" w:rsidP="00014781">
      <w:pPr>
        <w:spacing w:line="240" w:lineRule="auto"/>
      </w:pPr>
      <w:r w:rsidRPr="00497B48">
        <w:t xml:space="preserve">This content </w:t>
      </w:r>
      <w:r w:rsidR="001B2A22">
        <w:t>supports</w:t>
      </w:r>
      <w:r w:rsidRPr="00497B48">
        <w:t xml:space="preserve"> multiple Graduate descriptors within the </w:t>
      </w:r>
      <w:r w:rsidRPr="009A1E56">
        <w:t>Professional Knowledge</w:t>
      </w:r>
      <w:r w:rsidRPr="00497B48">
        <w:rPr>
          <w:i/>
          <w:iCs/>
        </w:rPr>
        <w:t xml:space="preserve"> </w:t>
      </w:r>
      <w:r w:rsidR="005B7152" w:rsidRPr="00B94130">
        <w:t>(</w:t>
      </w:r>
      <w:r w:rsidR="005B7152">
        <w:rPr>
          <w:i/>
          <w:iCs/>
        </w:rPr>
        <w:t>1.5</w:t>
      </w:r>
      <w:r w:rsidR="0019658C">
        <w:rPr>
          <w:i/>
          <w:iCs/>
        </w:rPr>
        <w:t xml:space="preserve"> and </w:t>
      </w:r>
      <w:r w:rsidR="005B7152">
        <w:rPr>
          <w:i/>
          <w:iCs/>
        </w:rPr>
        <w:t>1.6</w:t>
      </w:r>
      <w:r w:rsidR="0019658C">
        <w:rPr>
          <w:i/>
          <w:iCs/>
        </w:rPr>
        <w:t>;</w:t>
      </w:r>
      <w:r w:rsidR="005B7152">
        <w:rPr>
          <w:i/>
          <w:iCs/>
        </w:rPr>
        <w:t xml:space="preserve"> 2.1, 2.2, 2.3, 2.5</w:t>
      </w:r>
      <w:r w:rsidR="005B7152" w:rsidRPr="00B94130">
        <w:t>)</w:t>
      </w:r>
      <w:r w:rsidR="005B7152">
        <w:rPr>
          <w:i/>
          <w:iCs/>
        </w:rPr>
        <w:t xml:space="preserve"> </w:t>
      </w:r>
      <w:r w:rsidRPr="00497B48">
        <w:t xml:space="preserve">and </w:t>
      </w:r>
      <w:r w:rsidRPr="009A1E56">
        <w:t>Professional Practice</w:t>
      </w:r>
      <w:r>
        <w:t xml:space="preserve"> </w:t>
      </w:r>
      <w:r w:rsidR="005B7152">
        <w:t>(</w:t>
      </w:r>
      <w:r w:rsidR="002D59F8">
        <w:rPr>
          <w:i/>
          <w:iCs/>
        </w:rPr>
        <w:t>3.1-3.6 inclusive</w:t>
      </w:r>
      <w:r w:rsidR="00B94130">
        <w:rPr>
          <w:i/>
          <w:iCs/>
        </w:rPr>
        <w:t>; 4.1 and 4.2; 5.1-5.4 inclusive</w:t>
      </w:r>
      <w:r w:rsidR="00B94130">
        <w:t>)</w:t>
      </w:r>
      <w:r w:rsidRPr="00497B48">
        <w:rPr>
          <w:i/>
          <w:iCs/>
        </w:rPr>
        <w:t xml:space="preserve"> </w:t>
      </w:r>
      <w:r w:rsidRPr="00497B48">
        <w:t xml:space="preserve">domains. </w:t>
      </w:r>
    </w:p>
    <w:p w14:paraId="50271DEF" w14:textId="5BF21773" w:rsidR="00722CA1" w:rsidRPr="004F307D" w:rsidRDefault="00142568" w:rsidP="00DB0012">
      <w:pPr>
        <w:pStyle w:val="Heading4"/>
        <w:spacing w:before="0" w:line="240" w:lineRule="auto"/>
        <w:rPr>
          <w:rFonts w:asciiTheme="minorHAnsi" w:hAnsiTheme="minorHAnsi" w:cstheme="minorHAnsi"/>
          <w:color w:val="002C3E" w:themeColor="background2"/>
        </w:rPr>
      </w:pPr>
      <w:r>
        <w:rPr>
          <w:rFonts w:asciiTheme="minorHAnsi" w:hAnsiTheme="minorHAnsi" w:cstheme="minorHAnsi"/>
          <w:color w:val="002C3E" w:themeColor="background2"/>
        </w:rPr>
        <w:t xml:space="preserve">1.2.3 </w:t>
      </w:r>
      <w:r w:rsidR="00722CA1" w:rsidRPr="004F307D">
        <w:rPr>
          <w:rFonts w:asciiTheme="minorHAnsi" w:hAnsiTheme="minorHAnsi" w:cstheme="minorHAnsi"/>
          <w:color w:val="002C3E" w:themeColor="background2"/>
        </w:rPr>
        <w:t>Classroom Management</w:t>
      </w:r>
    </w:p>
    <w:p w14:paraId="61715C0D" w14:textId="7227F42A" w:rsidR="00E535EE" w:rsidRDefault="0065515F" w:rsidP="003B1753">
      <w:pPr>
        <w:keepNext/>
        <w:spacing w:after="120" w:line="240" w:lineRule="auto"/>
      </w:pPr>
      <w:r w:rsidRPr="002F6F24">
        <w:t>Effective classroom management involves establishing routines to actively engage students in their learning, consistently applying rules and explicitly modelling appropriate behaviour so students know what is expected of them and establishing high expectations for student learning.</w:t>
      </w:r>
      <w:r w:rsidR="001E6788">
        <w:t xml:space="preserve"> </w:t>
      </w:r>
      <w:r w:rsidRPr="002F6F24">
        <w:t xml:space="preserve">Understanding these </w:t>
      </w:r>
      <w:bookmarkStart w:id="19" w:name="_Hlk128576417"/>
      <w:r w:rsidRPr="002F6F24">
        <w:t>practices allows for there to be an emphasis on fostering environments where students spend the most amount of time on learning</w:t>
      </w:r>
      <w:bookmarkEnd w:id="19"/>
      <w:r w:rsidR="00BA44BE">
        <w:t>.</w:t>
      </w:r>
    </w:p>
    <w:p w14:paraId="0A18822A" w14:textId="5F946C5B" w:rsidR="1DA93398" w:rsidRDefault="03FEC1B9" w:rsidP="0098596A">
      <w:pPr>
        <w:spacing w:before="120" w:after="0" w:line="240" w:lineRule="auto"/>
        <w:rPr>
          <w:color w:val="221F20"/>
        </w:rPr>
      </w:pPr>
      <w:r w:rsidRPr="62615390">
        <w:rPr>
          <w:b/>
          <w:bCs/>
          <w:sz w:val="26"/>
          <w:szCs w:val="26"/>
        </w:rPr>
        <w:t>What is the evidence?</w:t>
      </w:r>
    </w:p>
    <w:p w14:paraId="6F04E5CA" w14:textId="717A6AFE" w:rsidR="62615390" w:rsidRDefault="49731460" w:rsidP="00777B61">
      <w:pPr>
        <w:spacing w:after="120" w:line="240" w:lineRule="auto"/>
        <w:rPr>
          <w:color w:val="221F20"/>
        </w:rPr>
      </w:pPr>
      <w:r>
        <w:t>Evidence shows that the presented classroom management practices are highly effective at maximising students’ on-task learning time by minimising disruptive behaviour and disengagement.</w:t>
      </w:r>
      <w:r w:rsidRPr="0DDCE877">
        <w:rPr>
          <w:color w:val="221F20"/>
        </w:rPr>
        <w:t xml:space="preserve"> While these practices have been deemed relevant for both primary and secondary contexts, some of the illustrative examples of the practices offered may not apply to all contexts. Higher education providers delivering ITE should use their subject matter expertise to appropriately contextualise these practices to meet the needs of their </w:t>
      </w:r>
      <w:r w:rsidR="00F853C0">
        <w:rPr>
          <w:color w:val="221F20"/>
        </w:rPr>
        <w:t>ITE student</w:t>
      </w:r>
      <w:r w:rsidRPr="0DDCE877">
        <w:rPr>
          <w:color w:val="221F20"/>
        </w:rPr>
        <w:t xml:space="preserve"> cohorts. Similarly, reasonable adjustments must be made where necessary to ensure full access and participation for students with disability.</w:t>
      </w:r>
    </w:p>
    <w:p w14:paraId="5A75922E" w14:textId="01C75E68" w:rsidR="62615390" w:rsidRDefault="49731460" w:rsidP="00014781">
      <w:pPr>
        <w:spacing w:after="0" w:line="240" w:lineRule="auto"/>
        <w:contextualSpacing/>
        <w:jc w:val="both"/>
      </w:pPr>
      <w:r>
        <w:t>An annotated overview of the underpinning research evidence can be found in AERO’s Focused Classrooms Practice Guide (AERO</w:t>
      </w:r>
      <w:r w:rsidR="00767EF9">
        <w:t xml:space="preserve"> </w:t>
      </w:r>
      <w:r>
        <w:t xml:space="preserve">2021). This overview is further supported by the findings in the following: </w:t>
      </w:r>
    </w:p>
    <w:p w14:paraId="6A64AB69" w14:textId="1B43C79B" w:rsidR="62615390" w:rsidRDefault="49731460" w:rsidP="00777B61">
      <w:pPr>
        <w:pStyle w:val="ListParagraph"/>
        <w:numPr>
          <w:ilvl w:val="0"/>
          <w:numId w:val="32"/>
        </w:numPr>
        <w:spacing w:after="120"/>
        <w:rPr>
          <w:sz w:val="22"/>
          <w:szCs w:val="22"/>
        </w:rPr>
      </w:pPr>
      <w:r w:rsidRPr="0DDCE877">
        <w:rPr>
          <w:sz w:val="22"/>
          <w:szCs w:val="22"/>
        </w:rPr>
        <w:t xml:space="preserve">2020 literature review from The Centre for Education Statistics and Evaluation, NSW Department of Education, ‘Classroom management - creating and maintaining positive learning environments’ </w:t>
      </w:r>
      <w:r w:rsidR="62615390" w:rsidRPr="0DDCE877">
        <w:rPr>
          <w:color w:val="2B579A"/>
          <w:sz w:val="22"/>
          <w:szCs w:val="22"/>
        </w:rPr>
        <w:fldChar w:fldCharType="begin"/>
      </w:r>
      <w:r w:rsidR="62615390" w:rsidRPr="0DDCE877">
        <w:rPr>
          <w:sz w:val="22"/>
          <w:szCs w:val="22"/>
        </w:rPr>
        <w:instrText xml:space="preserve"> ADDIN ZOTERO_ITEM CSL_CITATION {"citationID":"axgBgX0T","properties":{"formattedCitation":"(CESE (Centre for Education Statistics and Evaluation) 2020)","plainCitation":"(CESE (Centre for Education Statistics and Evaluation) 2020)","noteIndex":0},"citationItems":[{"id":17274,"uris":["http://zotero.org/users/10928664/items/UZD7I5ZF"],"itemData":{"id":17274,"type":"report","language":"en","page":"20","source":"Zotero","title":"Classroom management: Creating and maintaining positive learning environments","URL":"https://education.nsw.gov.au/content/dam/main-education/about-us/educational-data/cese/2020-classroom-management-literature-review.pdf","author":[{"family":"CESE (Centre for Education Statistics and Evaluation)","given":""}],"issued":{"date-parts":[["2020"]]}}}],"schema":"https://github.com/citation-style-language/schema/raw/master/csl-citation.json"} </w:instrText>
      </w:r>
      <w:r w:rsidR="62615390" w:rsidRPr="0DDCE877">
        <w:rPr>
          <w:color w:val="2B579A"/>
          <w:sz w:val="22"/>
          <w:szCs w:val="22"/>
        </w:rPr>
        <w:fldChar w:fldCharType="separate"/>
      </w:r>
      <w:r w:rsidRPr="0DDCE877">
        <w:rPr>
          <w:sz w:val="22"/>
          <w:szCs w:val="22"/>
        </w:rPr>
        <w:t>(CESE 2020)</w:t>
      </w:r>
      <w:r w:rsidR="62615390" w:rsidRPr="0DDCE877">
        <w:rPr>
          <w:color w:val="2B579A"/>
          <w:sz w:val="22"/>
          <w:szCs w:val="22"/>
        </w:rPr>
        <w:fldChar w:fldCharType="end"/>
      </w:r>
    </w:p>
    <w:p w14:paraId="5C407FAC" w14:textId="625E1602" w:rsidR="62615390" w:rsidRDefault="49731460" w:rsidP="00777B61">
      <w:pPr>
        <w:pStyle w:val="ListParagraph"/>
        <w:numPr>
          <w:ilvl w:val="0"/>
          <w:numId w:val="32"/>
        </w:numPr>
        <w:spacing w:after="120"/>
        <w:rPr>
          <w:sz w:val="22"/>
          <w:szCs w:val="22"/>
        </w:rPr>
      </w:pPr>
      <w:r w:rsidRPr="0DDCE877">
        <w:rPr>
          <w:sz w:val="22"/>
          <w:szCs w:val="22"/>
        </w:rPr>
        <w:t xml:space="preserve">2019 evidence review from the Education Endowment Foundation, ‘Improving Behaviour in Schools’ </w:t>
      </w:r>
      <w:r w:rsidR="62615390" w:rsidRPr="0DDCE877">
        <w:rPr>
          <w:color w:val="2B579A"/>
          <w:sz w:val="22"/>
          <w:szCs w:val="22"/>
        </w:rPr>
        <w:fldChar w:fldCharType="begin"/>
      </w:r>
      <w:r w:rsidR="62615390" w:rsidRPr="0DDCE877">
        <w:rPr>
          <w:sz w:val="22"/>
          <w:szCs w:val="22"/>
        </w:rPr>
        <w:instrText xml:space="preserve"> ADDIN ZOTERO_ITEM CSL_CITATION {"citationID":"JIlQG17O","properties":{"formattedCitation":"(Darren Moore et al. 2019)","plainCitation":"(Darren Moore et al. 2019)","noteIndex":0},"citationItems":[{"id":17273,"uris":["http://zotero.org/users/10928664/items/ADRMWBP3"],"itemData":{"id":17273,"type":"report","genre":"Evidence Review","publisher":"Graduate School of Education, University of Exeter","title":"Improving Behaviour in Schools: Evidence Review","URL":"https://d2tic4wvo1iusb.cloudfront.net/documents/guidance/Improving_Behaviour_in_Schools_Evidence_Review.pdf?v=1674051952","author":[{"literal":"Darren Moore"},{"literal":"Simon Benham-Clarke"},{"literal":"Ralphy Kenchington"},{"literal":"Chris Boyle"},{"literal":"Tamsin Ford"},{"literal":"Rachel Hayes"},{"literal":"Morwenna Rogers"}],"accessed":{"date-parts":[["2023",1,21]]},"issued":{"date-parts":[["2019"]]}}}],"schema":"https://github.com/citation-style-language/schema/raw/master/csl-citation.json"} </w:instrText>
      </w:r>
      <w:r w:rsidR="62615390" w:rsidRPr="0DDCE877">
        <w:rPr>
          <w:color w:val="2B579A"/>
          <w:sz w:val="22"/>
          <w:szCs w:val="22"/>
        </w:rPr>
        <w:fldChar w:fldCharType="separate"/>
      </w:r>
      <w:r w:rsidRPr="0DDCE877">
        <w:rPr>
          <w:sz w:val="22"/>
          <w:szCs w:val="22"/>
        </w:rPr>
        <w:t>(Moore et al. 2019)</w:t>
      </w:r>
      <w:r w:rsidR="62615390" w:rsidRPr="0DDCE877">
        <w:rPr>
          <w:color w:val="2B579A"/>
          <w:sz w:val="22"/>
          <w:szCs w:val="22"/>
        </w:rPr>
        <w:fldChar w:fldCharType="end"/>
      </w:r>
    </w:p>
    <w:p w14:paraId="179F6F63" w14:textId="3E5E2F1F" w:rsidR="62615390" w:rsidRDefault="49731460" w:rsidP="003B1753">
      <w:pPr>
        <w:pStyle w:val="ListParagraph"/>
        <w:numPr>
          <w:ilvl w:val="0"/>
          <w:numId w:val="32"/>
        </w:numPr>
        <w:spacing w:after="120"/>
        <w:ind w:left="714" w:hanging="357"/>
        <w:rPr>
          <w:sz w:val="22"/>
          <w:szCs w:val="22"/>
        </w:rPr>
      </w:pPr>
      <w:r w:rsidRPr="0DDCE877">
        <w:rPr>
          <w:sz w:val="22"/>
          <w:szCs w:val="22"/>
        </w:rPr>
        <w:t xml:space="preserve">2018 systematic review from the Campbell Collaboration ‘School-based interventions for reducing disciplinary school exclusion’ </w:t>
      </w:r>
      <w:r w:rsidR="62615390" w:rsidRPr="0DDCE877">
        <w:rPr>
          <w:color w:val="2B579A"/>
          <w:sz w:val="22"/>
          <w:szCs w:val="22"/>
        </w:rPr>
        <w:fldChar w:fldCharType="begin"/>
      </w:r>
      <w:r w:rsidR="62615390" w:rsidRPr="0DDCE877">
        <w:rPr>
          <w:sz w:val="22"/>
          <w:szCs w:val="22"/>
        </w:rPr>
        <w:instrText xml:space="preserve"> ADDIN ZOTERO_ITEM CSL_CITATION {"citationID":"UbkMujjH","properties":{"formattedCitation":"(Valdebenito et al. 2018)","plainCitation":"(Valdebenito et al. 2018)","noteIndex":0},"citationItems":[{"id":17260,"uris":["http://zotero.org/users/10928664/items/9TW8Y46C"],"itemData":{"id":17260,"type":"article-journal","abstract":"This Campbell systematic review examines the impact of interventions to reduce exclusion from school. School exclusion, also known as suspension in some countries, is a disciplinary sanction imposed by a responsible school authority, in reaction to students' misbehaviour. Exclusion entails the removal of pupils from regular teaching for a period during which they are not allowed to be present in the classroom (in-school) or on school premises (out-of-school). In some extreme cases the student is not allowed to come back to the same school (expulsion). The review summarises findings from 37 reports covering nine different types of intervention. Most studies were from the USA, and the remainder from the UK. Included studies evaluated school-based interventions or school-supported interventions to reduce the rates of exclusion. Interventions were implemented in mainstream schools and targeted school-aged children from four to 18, irrespective of nationality or social background. Only randomised controlled trials are included. The evidence base covers 37 studies. Thirty-three studies were from the USA, three from the UK, and for one study the country was not clear. School-based interventions cause a small and significant drop in exclusion rates during the first six months after intervention (on average), but this effect is not sustained. Interventions seemed to be more effective at reducing some types of exclusion such as expulsion and in-school exclusion. Four intervention types – enhancement of academic skills, counselling, mentoring/monitoring, and skills training for teachers – had significant desirable effects on exclusion. However, the number of studies in each case is low, so this result needs to be treated with caution. There is no impact of the interventions on antisocial behaviour. Variations in effect sizes are not explained by participants' characteristics, the theoretical basis of the interventions, or the quality of the intervention. Independent evaluator teams reported lower effect sizes than research teams who were also involved in the design and/or delivery of the intervention. Plain language summary Interventions can reduce school exclusion but the effect is temporary Some interventions – enhancement of academic skills, counselling, mentoring/monitoring, and skills training for teachers – appear to have significant effects on exclusion. The review in brief Interventions to reduce school exclusion are intended to mitigate the adverse effects of this school sanction. Some approaches, namely those involving enhancement of academic skills, counselling, mentoring/monitoring and those targeting skills training for teachers, have a temporary effect in reducing exclusion. More evaluations are needed to identify the most effective types of intervention; and whether similar effects are also found in different countries. What is the aim of this review? This Campbell systematic review examines the impact of interventions to reduce exclusion from school. School exclusion, also known as suspension in some countries, is a disciplinary sanction imposed by a responsible school authority, in reaction to students’ misbehaviour. Exclusion entails the removal of pupils from regular teaching for a period during which they are not allowed to be present in the classroom (in-school) or on school premises (out-of-school). In some extreme cases the student is not allowed to come back to the same school (expulsion). The review summarises findings from 37 reports covering nine different types of intervention. Most studies were from the USA, and the remainder from the UK. What is this review about? School exclusion is associated with undesirable effects on developmental outcomes. It increases the likelihood of poor academic performance, antisocial behavior, and poor employment prospects. This school sanction disproportionally affects males, ethnic minorities, those who come from disadvantaged economic backgrounds, and those with special educational needs. This review assesses the effectiveness of programmes to reduce the prevalence of exclusion. What are the main findings of this review? What studies are included? Included studies evaluated school-based interventions or school-supported interventions to reduce the rates of exclusion. Interventions were implemented in mainstream schools and targeted school-aged children from four to 18, irrespective of nationality or social background. Only randomised controlled trials are included. The evidence base covers 37 studies. Thirty-three studies were from the USA, three from the UK, and for one study the country was not clear. School-based interventions cause a small and significant drop in exclusion rates during the first six months after intervention (on average), but this effect is not sustained. Interventions seemed to be more effective at reducing some types of exclusion such as expulsion and in-school exclusion. Four intervention types - enhancement of academic skills, counselling, mentoring/ monitoring, and skills training for teachers – had significant desirable effects on exclusion. However, the number of studies in each case is low, so this result needs to be treated with caution. There is no impact of the interventions on antisocial behaviour. Variations in effect sizes are not explained by participants’ characteristics, the theoretical basis of the interventions, or the quality of the intervention. Independent evaluator teams reported lower effect sizes than research teams who were also involved in the design and/or delivery of the intervention. What do the findings of this review mean? School-based interventions are effective at reducing school exclusion immediately after, and for a few months after, the intervention (6 months on average). Four interventions presented promising and significant results in reducing exclusion, that is, enhancement of academic skills, counselling, mentoring/monitoring, skills training for teachers. However, since the number of studies for each sub-type of intervention was low, we suggest these results should be treated with caution. Most of the studies come from the USA. Evaluations are needed from other countries in which exclusion is common. Further research should take advantage of the possibility of conducting cluster-randomised controlled trials, whilst ensuring that the sample size is sufficiently large. How up-to-date is this review? The review authors searched for studies published up to December 2015. This Campbell systematic review was published in January 2018. Executive Summary/Abstract BACKGROUND Schools are important institutions of formal social control (Maimon, Antonaccio, &amp; French, 2012). They are, apart from families, the primary social system in which individuals are socialised to follow specific codes of conduct. Violating these codes of conduct may result in some form of punishment. School punishment is normally accepted by families and students as a consequence of transgression, and in that sense school isoften the place where children are first introduced to discipline, justice, or injustice (Whitford &amp; Levine-Donnerstein, 2014). A wide range of punishments may be used in schools, from verbal reprimands to more serious actions such as detention, fixed term exclusion or even permanent exclusion from the mainstream education system. It must be said that in some way, these school sanctions resemble the penal system and its array of alternatives to punish those that break the law. School exclusion, also known as suspension in some countries, is defined as a disciplinary sanction imposed by a responsible school authority, in reaction to students’ misbehaviour. Exclusion entails the removal of pupils from regular teaching for a period during which they are not allowed to be present in the classroom or, in more serious cases, on school premises.Based on the previous definition, this review uses school exclusion and school suspension as synonyms, unless the contrary is explicitly stated. Most of the available research has found that exclusion correlates with subsequent negative sequels on developmental outcomes. Exclusion or suspension of students is associated with failure within the academic curriculum, aggravated antisocial behaviour, and an increased likelihood of involvement with punitive social control institutions (i.e., the Juvenile Justice System). In the long-term, opportunities for training and employment seem to be considerably reduced for those who have repeatedly been excluded. In addition to these negative correlated outcomes, previous evidence suggest that the exclusion of students involves a high economic cost for taxpayers and society. Research from the last 20 years has concluded quite consistently that this disciplinary measure disproportionally targets males, ethnic minorities, those who come from disadvantaged economic backgrounds, and those presenting special educational needs. In other words, suspension affects the most vulnerable children in schools. Different programmes have attempted to reduce the prevalence of exclusion. Although some of them have shown promising results, so far, no comprehensive systematic review has examined these programmes’ overall effectiveness. OBJECTIVES The main goal of the present research is to systematically examine the available evidence for the effectiveness of different types of school-based interventions aimed at reducing disciplinary school exclusion. Secondary goals include comparing different approaches and identifying those that could potentially demonstrate larger and more significant effects. The research questions underlying this project are as follows: Do school-based programmes reduce the use of exclusionary sanctions in schools? Are some school-based approaches more effective than others in reducing exclusionary sanctions? Do participants’ characteristics (e.g., age, gender, ethnicity) affect the impact of school-based programmes on exclusionary sanctions in schools? Do characteristics of the interventions, implementation, and methodology affect the impact of school-based programmes on exclusionary sanctions in schools? SEARCH METHODS The authors conducted a comprehensive search to locate relevant studies reporting on the impact of school-based interventions on exclusion from 1980 onwards. Twenty-seven different databases were consulted, including databases that contained both published and unpublished literature. In addition, we contacted researchers in the field of school-exclusion for further recommendations of relevant studies; we also assessed citation lists from previous systematic and narrative reviews and research reports. Searches were conducted from September 1 to December 1, 2015. SELECTION CRITERIA The inclusion and exclusion criteria for manuscripts were defined before we started our searches. To be eligible, studies needed to have: evaluated school-based interventions or school-supported interventions intended to reduce the rates of suspension; seen the interventions as an alternative to exclusion; targeted school-aged children from four to 18 in mainstream schools irrespective of nationality or social background; and reported results of interventions delivered from 1980 onwards. In terms of methodological design, we included randomised controlled trialsonly, with at least one experimental group and onecontrol or placebo group. DATA COLLECTION AND ANALYSIS Initial searches produced a total of 42,749 references from 27 different electronic databases. After screening the title, abstract and key words, we kept 1,474 relevant hits. 22 additional manuscripts were identified through other sources (e.g., assessment of citation lists, contribution of authors). After removing duplicates, we ended up with a total of 517 manuscripts. Two independent coders evaluated each report, to determine inclusion or exclusion. The second round of evaluation excluded 472 papers, with eight papers awaiting classification, and 37 studies kept for inclusion in meta-analysis. Two independent evaluators assessed all the included manuscripts for risk of quality bias by using EPOC tool. Due to the broad scope of our targeted programmes, meta-analysis was conducted under a random-effect model. We report the impact of the intervention using standardised differences of means, 95% confidence intervals along with the respective forest plots. Sub-group analysis and meta-regression were used for examining the impact of the programme. Funnel plots and Duval and Tweedie's trim-and-fill analysis were used to explore the effect of publication bias. RESULTS Based on our findings, interventions settled in school can produce a small and significant drop in exclusion rates (SMD=.30; 95% CI .20 to .41; p&lt;.001). This means that those participating in interventions are less likely to be suspended than those allocated to control/placebo groups. These results are based on measures of impact collected immediately during the first six months after treatment (on average). When the impact was tested in the long-term (i.e., 12 or more months after treatment), the effects of the interventions were not sustained. In fact, there was a substantive reduction in the impact of school-based programmes (SMD=.15; 95%CI -.06 to .35), and it was no longer statistically significant. We ran analysis testing the impact of school-based interventions on different types of exclusion. Evidence suggests that interventions are more effective at reducing expulsion and in-school exclusion than out-of-school exclusion. In fact, the impact of intervention in out-of-school exclusion was close to zero and not statistically significant. Nine different types of school-based interventions were identified across the 37 studies included in the review. Four of them presented favourable and significant results in reducing exclusion (i.e., enhancement of academic skills, counselling, mentoring/monitoring, skills training for teachers). Since the number of studies for each sub-type of intervention was low, we suggest that results should be treated with caution. A priori defined moderators (i.e., participants’ characteristics, the theoretical basis of the interventions, and quality of the intervention)showed not to be effective at explaining the heterogeneity present in our results. Among three post-hoc moderators, the role of the evaluator was found to be significant: independent evaluator teams reported lower effect sizes than research teams who were also involved in the design and/or delivery of the intervention. Two researchers independently evaluated the quality of the evidence involved in this review by using the EPOC tool. Most of the studies did not present enough information for the judgement of quality bias. AUTHORS’ CONCLUSIONS The evidence suggests that school-based interventions are effective at reducing school exclusion immediately after, and for a few months after, the intervention. Some specific types of interventions show more promising and stable results than others, namely those involving mentoring/monitoring and those targeting skills training for teachers. However, based on the number of studies involved in our calculations, we suggest that results must be cautiously interpreted. Implications for policy and practice arising from our results are discussed.","container-title":"Campbell Systematic Reviews","DOI":"10.4073/csr.2018.1","ISSN":"1891-1803","issue":"1","language":"en","note":"_eprint: https://onlinelibrary.wiley.com/doi/pdf/10.4073/csr.2018.1","page":"i-216","source":"Wiley Online Library","title":"School-based interventions for reducing disciplinary school exclusion: a systematic review","title-short":"School-based interventions for reducing disciplinary school exclusion","volume":"14","author":[{"family":"Valdebenito","given":"Sara"},{"family":"Eisner","given":"Manuel"},{"family":"Farrington","given":"David P."},{"family":"Ttofi","given":"Maria M."},{"family":"Sutherland","given":"Alex"}],"issued":{"date-parts":[["2018"]]}}}],"schema":"https://github.com/citation-style-language/schema/raw/master/csl-citation.json"} </w:instrText>
      </w:r>
      <w:r w:rsidR="62615390" w:rsidRPr="0DDCE877">
        <w:rPr>
          <w:color w:val="2B579A"/>
          <w:sz w:val="22"/>
          <w:szCs w:val="22"/>
        </w:rPr>
        <w:fldChar w:fldCharType="separate"/>
      </w:r>
      <w:r w:rsidRPr="0DDCE877">
        <w:rPr>
          <w:sz w:val="22"/>
          <w:szCs w:val="22"/>
        </w:rPr>
        <w:t>(Valdebenito et al. 2018)</w:t>
      </w:r>
      <w:r w:rsidR="62615390" w:rsidRPr="0DDCE877">
        <w:rPr>
          <w:color w:val="2B579A"/>
          <w:sz w:val="22"/>
          <w:szCs w:val="22"/>
        </w:rPr>
        <w:fldChar w:fldCharType="end"/>
      </w:r>
      <w:r w:rsidR="003B1753">
        <w:rPr>
          <w:color w:val="2B579A"/>
          <w:sz w:val="22"/>
          <w:szCs w:val="22"/>
        </w:rPr>
        <w:t>.</w:t>
      </w:r>
    </w:p>
    <w:p w14:paraId="745F3EDB" w14:textId="49F97F63" w:rsidR="00E535EE" w:rsidRPr="00C525D2" w:rsidRDefault="00E535EE" w:rsidP="00AA45C1">
      <w:pPr>
        <w:spacing w:after="120" w:line="240" w:lineRule="auto"/>
      </w:pPr>
      <w:r w:rsidRPr="003A38E1">
        <w:rPr>
          <w:b/>
          <w:sz w:val="26"/>
          <w:szCs w:val="26"/>
        </w:rPr>
        <w:t xml:space="preserve">What should </w:t>
      </w:r>
      <w:r w:rsidR="0082333B">
        <w:rPr>
          <w:b/>
          <w:sz w:val="26"/>
          <w:szCs w:val="26"/>
        </w:rPr>
        <w:t>ITE students</w:t>
      </w:r>
      <w:r w:rsidRPr="003A38E1">
        <w:rPr>
          <w:b/>
          <w:sz w:val="26"/>
          <w:szCs w:val="26"/>
        </w:rPr>
        <w:t xml:space="preserve"> learn?</w:t>
      </w:r>
      <w:r>
        <w:br/>
      </w:r>
      <w:r w:rsidRPr="00C525D2">
        <w:rPr>
          <w:rFonts w:ascii="Calibri" w:hAnsi="Calibri" w:cs="Calibri"/>
        </w:rPr>
        <w:t xml:space="preserve">Classroom management content should provide </w:t>
      </w:r>
      <w:r w:rsidR="00B44438">
        <w:rPr>
          <w:rFonts w:ascii="Calibri" w:hAnsi="Calibri" w:cs="Calibri"/>
        </w:rPr>
        <w:t>ITE students</w:t>
      </w:r>
      <w:r w:rsidRPr="00C525D2">
        <w:rPr>
          <w:rFonts w:ascii="Calibri" w:hAnsi="Calibri" w:cs="Calibri"/>
        </w:rPr>
        <w:t xml:space="preserve"> with a foundational knowledge and understanding of successful preventative and responsive classroom management practices. </w:t>
      </w:r>
      <w:r w:rsidR="00B44438">
        <w:rPr>
          <w:rFonts w:ascii="Calibri" w:hAnsi="Calibri" w:cs="Calibri"/>
        </w:rPr>
        <w:t>ITE students</w:t>
      </w:r>
      <w:r w:rsidRPr="00C525D2">
        <w:rPr>
          <w:rFonts w:ascii="Calibri" w:hAnsi="Calibri" w:cs="Calibri"/>
        </w:rPr>
        <w:t xml:space="preserve"> should develop an understanding of, and opportunity to practice, establishing rules and routines, implementing proactive practices such as having high expectations and implementing responsive behaviour management.</w:t>
      </w:r>
    </w:p>
    <w:p w14:paraId="62007D35" w14:textId="58DE2331" w:rsidR="00580609" w:rsidRPr="008A6F13" w:rsidRDefault="00E535EE" w:rsidP="003B1753">
      <w:pPr>
        <w:spacing w:after="120" w:line="240" w:lineRule="auto"/>
        <w:jc w:val="both"/>
      </w:pPr>
      <w:r w:rsidRPr="00497B48">
        <w:lastRenderedPageBreak/>
        <w:t>This content has been structured into three key areas that teachers need to know</w:t>
      </w:r>
      <w:r>
        <w:t xml:space="preserve"> (rules and routines, proactive practices, and managing behaviour), as outlined below</w:t>
      </w:r>
      <w:r w:rsidR="00AA45C1">
        <w:t>.</w:t>
      </w:r>
    </w:p>
    <w:p w14:paraId="36C7C397" w14:textId="77777777" w:rsidR="00E535EE" w:rsidRPr="00142568" w:rsidRDefault="00E535EE" w:rsidP="00D5108D">
      <w:pPr>
        <w:pStyle w:val="ListParagraph"/>
        <w:numPr>
          <w:ilvl w:val="0"/>
          <w:numId w:val="40"/>
        </w:numPr>
        <w:rPr>
          <w:b/>
        </w:rPr>
      </w:pPr>
      <w:r w:rsidRPr="00142568">
        <w:rPr>
          <w:b/>
        </w:rPr>
        <w:t>Rules and routines</w:t>
      </w:r>
    </w:p>
    <w:p w14:paraId="28A75538" w14:textId="77777777" w:rsidR="00E535EE" w:rsidRPr="00C525D2" w:rsidRDefault="00E535EE" w:rsidP="00AA45C1">
      <w:pPr>
        <w:spacing w:after="120" w:line="240" w:lineRule="auto"/>
        <w:rPr>
          <w:rFonts w:ascii="Calibri" w:hAnsi="Calibri" w:cs="Calibri"/>
        </w:rPr>
      </w:pPr>
      <w:r w:rsidRPr="00C525D2">
        <w:rPr>
          <w:rStyle w:val="Strong"/>
          <w:rFonts w:ascii="Calibri" w:hAnsi="Calibri" w:cs="Calibri"/>
          <w:b w:val="0"/>
        </w:rPr>
        <w:t xml:space="preserve">Establishing rules and routines in the classroom has been shown to be an effective practice in maximising student learning and minimising disruptive behaviours. Creating rules promotes a sense of structure and predictability for students, which leads to a safe and supportive environment, focused on learning </w:t>
      </w:r>
      <w:r w:rsidRPr="00C525D2">
        <w:rPr>
          <w:rStyle w:val="Strong"/>
          <w:rFonts w:ascii="Calibri" w:hAnsi="Calibri" w:cs="Calibri"/>
          <w:b w:val="0"/>
        </w:rPr>
        <w:fldChar w:fldCharType="begin"/>
      </w:r>
      <w:r w:rsidRPr="00C525D2">
        <w:rPr>
          <w:rStyle w:val="Strong"/>
          <w:rFonts w:ascii="Calibri" w:hAnsi="Calibri" w:cs="Calibri"/>
          <w:b w:val="0"/>
        </w:rPr>
        <w:instrText xml:space="preserve"> ADDIN ZOTERO_ITEM CSL_CITATION {"citationID":"OH3wU3ny","properties":{"formattedCitation":"(Alter and Haydon 2017)","plainCitation":"(Alter and Haydon 2017)","noteIndex":0},"citationItems":[{"id":17276,"uris":["http://zotero.org/users/10928664/items/KEP5BC8N"],"itemData":{"id":17276,"type":"article-journal","abstract":"Difficulty managing classroom behavior is a frequently recognized problem for teachers, especially teachers early in their careers. Classroom rules are identified as an integral part of effective classroom management as they are relatively simple to implement and focus on preventing challenging behaviors before they occur. Sources such as classroom management textbooks and practitioner-oriented journal articles recommend a number of characteristics that make classroom rules effective; unfortunately, these sources have not been uniform in their recommendations. The purpose of this review of effective practices is to compare what information teachers are being given either in their preservice coursework or in-service training via textbooks and practitioner-oriented articles with actual empirical research that used classroom rules as an independent variable. Results indicated that the two most important characteristics of effective classroom rules are teaching the rules to students and tying rules to positive and/or negative consequences. Other characteristics recommended in secondary sources remain equivocal in the research. Implications for effective teacher preparation in classroom management are discussed.","container-title":"Teacher Education and Special Education","DOI":"10.1177/0888406417700962","ISSN":"0888-4064","issue":"2","language":"en","note":"publisher: SAGE Publications Inc","page":"114-127","source":"SAGE Journals","title":"Characteristics of Effective Classroom Rules: A Review of the Literature","title-short":"Characteristics of Effective Classroom Rules","volume":"40","author":[{"family":"Alter","given":"Peter"},{"family":"Haydon","given":"Todd"}],"issued":{"date-parts":[["2017",5,1]]}}}],"schema":"https://github.com/citation-style-language/schema/raw/master/csl-citation.json"} </w:instrText>
      </w:r>
      <w:r w:rsidRPr="00C525D2">
        <w:rPr>
          <w:rStyle w:val="Strong"/>
          <w:rFonts w:ascii="Calibri" w:hAnsi="Calibri" w:cs="Calibri"/>
          <w:b w:val="0"/>
        </w:rPr>
        <w:fldChar w:fldCharType="separate"/>
      </w:r>
      <w:r w:rsidRPr="00C525D2">
        <w:rPr>
          <w:rFonts w:ascii="Calibri" w:hAnsi="Calibri" w:cs="Calibri"/>
        </w:rPr>
        <w:t>(Alter and Haydon 2017)</w:t>
      </w:r>
      <w:r w:rsidRPr="00C525D2">
        <w:rPr>
          <w:rStyle w:val="Strong"/>
          <w:rFonts w:ascii="Calibri" w:hAnsi="Calibri" w:cs="Calibri"/>
          <w:b w:val="0"/>
        </w:rPr>
        <w:fldChar w:fldCharType="end"/>
      </w:r>
      <w:r w:rsidRPr="00C525D2">
        <w:rPr>
          <w:rFonts w:ascii="Calibri" w:hAnsi="Calibri" w:cs="Calibri"/>
        </w:rPr>
        <w:t xml:space="preserve">. The evidence shows that use of routines or cues reduces wasted learning time by creating habits of learning that encourage students to respond quickly to instructions </w:t>
      </w:r>
      <w:r w:rsidRPr="652C6D75">
        <w:rPr>
          <w:rFonts w:ascii="Calibri" w:hAnsi="Calibri" w:cs="Calibri"/>
          <w:color w:val="2B579A"/>
        </w:rPr>
        <w:fldChar w:fldCharType="begin"/>
      </w:r>
      <w:r w:rsidRPr="00C525D2">
        <w:rPr>
          <w:rFonts w:ascii="Calibri" w:hAnsi="Calibri" w:cs="Calibri"/>
        </w:rPr>
        <w:instrText xml:space="preserve"> ADDIN ZOTERO_ITEM CSL_CITATION {"citationID":"DIo96JGp","properties":{"formattedCitation":"(Simonsen et al. 2008)","plainCitation":"(Simonsen et al. 2008)","noteIndex":0},"citationItems":[{"id":17283,"uris":["http://zotero.org/users/10928664/items/SFGPQIB3"],"itemData":{"id":17283,"type":"article-journal","abstract":"Classroom management is a critical skill area. Teachers should be trained and supported in implementing practices that are likely to be successful; that is, practices that are backed by evidence. The purpose of this paper is to describe the outcomes of a systematic literature search conducted to identify evidence-based classroom management practices. Although the need for additional research exists, 20 practices, in general, were identified as having sufficient evidence to be considered for classroom adoption. Considerations for incorporating these practices are suggested, and a self-assessment tool is proposed as means of evaluating and enhancing use of these practices. Suggestions for future research are also presented. (PsycInfo Database Record (c) 2020 APA, all rights reserved)","container-title":"Education &amp; Treatment of Children","DOI":"10.1353/etc.0.0007","ISSN":"1934-8924","note":"publisher-place: US\npublisher: West Virginia University Press","page":"351-380","source":"APA PsycNet","title":"Evidence-based practices in classroom management: Considerations for research to practice","title-short":"Evidence-based practices in classroom management","volume":"31","author":[{"family":"Simonsen","given":"Brandi"},{"family":"Fairbanks","given":"Sarah"},{"family":"Briesch","given":"Amy"},{"family":"Myers","given":"Diane"},{"family":"Sugai","given":"George"}],"issued":{"date-parts":[["2008"]]}}}],"schema":"https://github.com/citation-style-language/schema/raw/master/csl-citation.json"} </w:instrText>
      </w:r>
      <w:r w:rsidRPr="652C6D75">
        <w:rPr>
          <w:rFonts w:ascii="Calibri" w:hAnsi="Calibri" w:cs="Calibri"/>
          <w:color w:val="2B579A"/>
        </w:rPr>
        <w:fldChar w:fldCharType="separate"/>
      </w:r>
      <w:r w:rsidRPr="00C525D2">
        <w:rPr>
          <w:rFonts w:ascii="Calibri" w:hAnsi="Calibri" w:cs="Calibri"/>
        </w:rPr>
        <w:t>(Simonsen et al. 2008)</w:t>
      </w:r>
      <w:r w:rsidRPr="652C6D75">
        <w:rPr>
          <w:rFonts w:ascii="Calibri" w:hAnsi="Calibri" w:cs="Calibri"/>
          <w:color w:val="2B579A"/>
        </w:rPr>
        <w:fldChar w:fldCharType="end"/>
      </w:r>
      <w:r w:rsidRPr="00C525D2">
        <w:rPr>
          <w:rFonts w:ascii="Calibri" w:hAnsi="Calibri" w:cs="Calibri"/>
        </w:rPr>
        <w:t>.</w:t>
      </w:r>
    </w:p>
    <w:p w14:paraId="367D0542" w14:textId="215C9935" w:rsidR="00E535EE" w:rsidRPr="00C525D2" w:rsidRDefault="00B44438" w:rsidP="003B1753">
      <w:pPr>
        <w:spacing w:after="120" w:line="240" w:lineRule="auto"/>
        <w:rPr>
          <w:rFonts w:ascii="Calibri" w:hAnsi="Calibri" w:cs="Calibri"/>
        </w:rPr>
      </w:pPr>
      <w:r w:rsidRPr="00B44438">
        <w:rPr>
          <w:rFonts w:ascii="Calibri" w:hAnsi="Calibri" w:cs="Calibri"/>
        </w:rPr>
        <w:t>ITE students</w:t>
      </w:r>
      <w:r w:rsidR="00E535EE" w:rsidRPr="00C525D2">
        <w:rPr>
          <w:rFonts w:ascii="Calibri" w:hAnsi="Calibri" w:cs="Calibri"/>
        </w:rPr>
        <w:t xml:space="preserve"> should learn the importance of developing and reinforcing clear and well-defined rules and routines and </w:t>
      </w:r>
      <w:r w:rsidR="004D2369">
        <w:rPr>
          <w:rFonts w:ascii="Calibri" w:hAnsi="Calibri" w:cs="Calibri"/>
        </w:rPr>
        <w:t xml:space="preserve">ITE students </w:t>
      </w:r>
      <w:r w:rsidR="00E535EE" w:rsidRPr="00C525D2">
        <w:rPr>
          <w:rFonts w:ascii="Calibri" w:hAnsi="Calibri" w:cs="Calibri"/>
        </w:rPr>
        <w:t xml:space="preserve">should understand that these rules and routines need to be explicitly taught to students to be effective </w:t>
      </w:r>
      <w:r w:rsidR="00E535EE" w:rsidRPr="00C525D2">
        <w:rPr>
          <w:rFonts w:ascii="Calibri" w:hAnsi="Calibri" w:cs="Calibri"/>
          <w:color w:val="2B579A"/>
          <w:shd w:val="clear" w:color="auto" w:fill="E6E6E6"/>
        </w:rPr>
        <w:fldChar w:fldCharType="begin"/>
      </w:r>
      <w:r w:rsidR="00E535EE" w:rsidRPr="00C525D2">
        <w:rPr>
          <w:rFonts w:ascii="Calibri" w:hAnsi="Calibri" w:cs="Calibri"/>
        </w:rPr>
        <w:instrText xml:space="preserve"> ADDIN ZOTERO_ITEM CSL_CITATION {"citationID":"N5wnNWsa","properties":{"formattedCitation":"(Chaffee et al. 2017)","plainCitation":"(Chaffee et al. 2017)","noteIndex":0},"citationItems":[{"id":17277,"uris":["http://zotero.org/users/10928664/items/P23VNNC6"],"itemData":{"id":17277,"type":"article-journal","abstract":"Off-task and disruptive classroom behavior impedes the learning of the children emitting these behaviors as well as the delivery of instruction to the entire class, which may lead to decreased academic achievement and more severe behavior problems. A meta-analysis of the single-case literature was conducted to understand the effectiveness of class-wide interventions in supporting student behavior in general education settings. Twenty-nine studies of K–12 classrooms, published between January 1969 and September 2015, were included for analysis. Two effect sizes, the Hedges, Pustejovsky, and Shadish (2012, 2013) d-statistic and Tau-U (Parker, Vannest, Davis, &amp; Sauber, 2011), were calculated for relevant studies and designs. The results of a random-effects meta-analysis using the d-statistic resulted in an estimated overall effect of 2.04 (95% CI [1.67, 2.41]) and an overall effect of 0.93 (95% CI [0.87, 0.99]) using Tau-U. The implications of these findings for interventions implemented in the general education classroom are discussed.","container-title":"School Psychology Review","DOI":"10.17105/SPR-2017-0015.V46-2","ISSN":"null","issue":"2","note":"publisher: Routledge\n_eprint: https://doi.org/10.17105/SPR-2017-0015.V46-2","page":"149-164","source":"Taylor and Francis+NEJM","title":"A Meta-Analysis of Class-Wide Interventions for Supporting Student Behavior","volume":"46","author":[{"family":"Chaffee","given":"Ruth K."},{"family":"Briesch","given":"Amy M."},{"family":"Johnson","given":"Austin H."},{"family":"Volpe","given":"Robert J."}],"editor":[{"family":"Codding","given":"Robin"}],"issued":{"date-parts":[["2017",6,1]]}}}],"schema":"https://github.com/citation-style-language/schema/raw/master/csl-citation.json"} </w:instrText>
      </w:r>
      <w:r w:rsidR="00E535EE" w:rsidRPr="00C525D2">
        <w:rPr>
          <w:rFonts w:ascii="Calibri" w:hAnsi="Calibri" w:cs="Calibri"/>
          <w:color w:val="2B579A"/>
          <w:shd w:val="clear" w:color="auto" w:fill="E6E6E6"/>
        </w:rPr>
        <w:fldChar w:fldCharType="separate"/>
      </w:r>
      <w:r w:rsidR="00E535EE" w:rsidRPr="00C525D2">
        <w:rPr>
          <w:rFonts w:ascii="Calibri" w:hAnsi="Calibri" w:cs="Calibri"/>
        </w:rPr>
        <w:t>(Chaffee et al. 2017)</w:t>
      </w:r>
      <w:r w:rsidR="00E535EE" w:rsidRPr="00C525D2">
        <w:rPr>
          <w:rFonts w:ascii="Calibri" w:hAnsi="Calibri" w:cs="Calibri"/>
          <w:color w:val="2B579A"/>
          <w:shd w:val="clear" w:color="auto" w:fill="E6E6E6"/>
        </w:rPr>
        <w:fldChar w:fldCharType="end"/>
      </w:r>
      <w:r w:rsidR="00E535EE" w:rsidRPr="00C525D2">
        <w:rPr>
          <w:rFonts w:ascii="Calibri" w:hAnsi="Calibri" w:cs="Calibri"/>
        </w:rPr>
        <w:t>. Furthermore, ITE content should include practical examples of rules and routines that are shown by the research to be effective and how to use them in a lesson. This could include what can be used at the beginning and end of lessons (e.g., ‛do-</w:t>
      </w:r>
      <w:proofErr w:type="spellStart"/>
      <w:r w:rsidR="00E535EE" w:rsidRPr="00C525D2">
        <w:rPr>
          <w:rFonts w:ascii="Calibri" w:hAnsi="Calibri" w:cs="Calibri"/>
        </w:rPr>
        <w:t>nows’</w:t>
      </w:r>
      <w:proofErr w:type="spellEnd"/>
      <w:r w:rsidR="00E535EE" w:rsidRPr="00C525D2">
        <w:rPr>
          <w:rFonts w:ascii="Calibri" w:hAnsi="Calibri" w:cs="Calibri"/>
        </w:rPr>
        <w:t xml:space="preserve"> and lesson reflections), for different types of learning activities (e.g., protocols for small group discussions) and for transitions (e.g., moving quickly from one activity to the next). </w:t>
      </w:r>
      <w:r w:rsidR="00E535EE">
        <w:rPr>
          <w:rFonts w:ascii="Calibri" w:hAnsi="Calibri" w:cs="Calibri"/>
        </w:rPr>
        <w:t>Higher education</w:t>
      </w:r>
      <w:r w:rsidR="00E535EE" w:rsidRPr="00C525D2">
        <w:rPr>
          <w:rFonts w:ascii="Calibri" w:hAnsi="Calibri" w:cs="Calibri"/>
        </w:rPr>
        <w:t xml:space="preserve"> providers should consider when and how </w:t>
      </w:r>
      <w:r w:rsidR="004D2369">
        <w:rPr>
          <w:rFonts w:ascii="Calibri" w:hAnsi="Calibri" w:cs="Calibri"/>
        </w:rPr>
        <w:t>ITE students</w:t>
      </w:r>
      <w:r w:rsidR="00E535EE" w:rsidRPr="00C525D2">
        <w:rPr>
          <w:rFonts w:ascii="Calibri" w:hAnsi="Calibri" w:cs="Calibri"/>
        </w:rPr>
        <w:t xml:space="preserve"> can practice developing and using rules and routines in a professional experience setting so that they are best supported to transition to the classroom. </w:t>
      </w:r>
    </w:p>
    <w:p w14:paraId="753F8C7D" w14:textId="77777777" w:rsidR="00E535EE" w:rsidRPr="00142568" w:rsidRDefault="00E535EE" w:rsidP="00D5108D">
      <w:pPr>
        <w:pStyle w:val="ListParagraph"/>
        <w:numPr>
          <w:ilvl w:val="0"/>
          <w:numId w:val="40"/>
        </w:numPr>
        <w:rPr>
          <w:b/>
        </w:rPr>
      </w:pPr>
      <w:r w:rsidRPr="00142568">
        <w:rPr>
          <w:b/>
        </w:rPr>
        <w:t>Proactive practices</w:t>
      </w:r>
    </w:p>
    <w:p w14:paraId="21FD9D9C" w14:textId="77777777" w:rsidR="00E535EE" w:rsidRPr="00C525D2" w:rsidRDefault="00E535EE" w:rsidP="00E535EE">
      <w:pPr>
        <w:spacing w:after="120" w:line="240" w:lineRule="auto"/>
        <w:rPr>
          <w:rFonts w:ascii="Calibri" w:hAnsi="Calibri" w:cs="Calibri"/>
        </w:rPr>
      </w:pPr>
      <w:r w:rsidRPr="00C525D2">
        <w:rPr>
          <w:rFonts w:ascii="Calibri" w:hAnsi="Calibri" w:cs="Calibri"/>
        </w:rPr>
        <w:t xml:space="preserve">Proactive practices can reduce the likelihood of misbehaviour before it occurs. By setting clear and high expectations, building positive relationships, and providing structured and engaging lessons, teachers can create a classroom environment that is less conducive to misbehaviour. The effectiveness of proactive and preventative classroom management measures is strongly supported by the evidence and as such should be prioritised in ITE core content </w:t>
      </w:r>
      <w:r w:rsidRPr="7CACE74B">
        <w:rPr>
          <w:rFonts w:ascii="Calibri" w:hAnsi="Calibri" w:cs="Calibri"/>
          <w:color w:val="2B579A"/>
        </w:rPr>
        <w:fldChar w:fldCharType="begin"/>
      </w:r>
      <w:r w:rsidRPr="00C525D2">
        <w:rPr>
          <w:rFonts w:ascii="Calibri" w:hAnsi="Calibri" w:cs="Calibri"/>
        </w:rPr>
        <w:instrText xml:space="preserve"> ADDIN ZOTERO_ITEM CSL_CITATION {"citationID":"PCivuT0R","properties":{"formattedCitation":"(Alter and Haydon 2017)","plainCitation":"(Alter and Haydon 2017)","noteIndex":0},"citationItems":[{"id":17276,"uris":["http://zotero.org/users/10928664/items/KEP5BC8N"],"itemData":{"id":17276,"type":"article-journal","abstract":"Difficulty managing classroom behavior is a frequently recognized problem for teachers, especially teachers early in their careers. Classroom rules are identified as an integral part of effective classroom management as they are relatively simple to implement and focus on preventing challenging behaviors before they occur. Sources such as classroom management textbooks and practitioner-oriented journal articles recommend a number of characteristics that make classroom rules effective; unfortunately, these sources have not been uniform in their recommendations. The purpose of this review of effective practices is to compare what information teachers are being given either in their preservice coursework or in-service training via textbooks and practitioner-oriented articles with actual empirical research that used classroom rules as an independent variable. Results indicated that the two most important characteristics of effective classroom rules are teaching the rules to students and tying rules to positive and/or negative consequences. Other characteristics recommended in secondary sources remain equivocal in the research. Implications for effective teacher preparation in classroom management are discussed.","container-title":"Teacher Education and Special Education","DOI":"10.1177/0888406417700962","ISSN":"0888-4064","issue":"2","language":"en","note":"publisher: SAGE Publications Inc","page":"114-127","source":"SAGE Journals","title":"Characteristics of Effective Classroom Rules: A Review of the Literature","title-short":"Characteristics of Effective Classroom Rules","volume":"40","author":[{"family":"Alter","given":"Peter"},{"family":"Haydon","given":"Todd"}],"issued":{"date-parts":[["2017",5,1]]}}}],"schema":"https://github.com/citation-style-language/schema/raw/master/csl-citation.json"} </w:instrText>
      </w:r>
      <w:r w:rsidRPr="7CACE74B">
        <w:rPr>
          <w:rFonts w:ascii="Calibri" w:hAnsi="Calibri" w:cs="Calibri"/>
          <w:color w:val="2B579A"/>
        </w:rPr>
        <w:fldChar w:fldCharType="separate"/>
      </w:r>
      <w:r w:rsidRPr="00C525D2">
        <w:rPr>
          <w:rFonts w:ascii="Calibri" w:hAnsi="Calibri" w:cs="Calibri"/>
        </w:rPr>
        <w:t>(Alter and Haydon 2017)</w:t>
      </w:r>
      <w:r w:rsidRPr="7CACE74B">
        <w:rPr>
          <w:rFonts w:ascii="Calibri" w:hAnsi="Calibri" w:cs="Calibri"/>
          <w:color w:val="2B579A"/>
        </w:rPr>
        <w:fldChar w:fldCharType="end"/>
      </w:r>
      <w:r w:rsidRPr="00C525D2">
        <w:rPr>
          <w:rFonts w:ascii="Calibri" w:hAnsi="Calibri" w:cs="Calibri"/>
        </w:rPr>
        <w:t xml:space="preserve"> . </w:t>
      </w:r>
    </w:p>
    <w:p w14:paraId="19942970" w14:textId="77777777" w:rsidR="00E535EE" w:rsidRPr="00C525D2" w:rsidRDefault="00E535EE" w:rsidP="00E535EE">
      <w:pPr>
        <w:spacing w:after="120" w:line="240" w:lineRule="auto"/>
        <w:rPr>
          <w:rFonts w:ascii="Calibri" w:hAnsi="Calibri" w:cs="Calibri"/>
        </w:rPr>
      </w:pPr>
      <w:r w:rsidRPr="00C525D2">
        <w:rPr>
          <w:rFonts w:ascii="Calibri" w:hAnsi="Calibri" w:cs="Calibri"/>
        </w:rPr>
        <w:t xml:space="preserve">When students are held to a high standard, they are more likely to meet or exceed those standards. Having high expectations motivates students to learn, take responsibility for their actions and understand the consequences of their behaviour. The evidence shows that setting ambitious and achievable goals in collaboration with students, followed by a strong emphasis that these goals can be realised, is an effective, proactive approach to classroom management </w:t>
      </w:r>
      <w:r w:rsidRPr="7CACE74B">
        <w:rPr>
          <w:rFonts w:ascii="Calibri" w:hAnsi="Calibri" w:cs="Calibri"/>
          <w:color w:val="2B579A"/>
        </w:rPr>
        <w:fldChar w:fldCharType="begin"/>
      </w:r>
      <w:r w:rsidRPr="00C525D2">
        <w:rPr>
          <w:rFonts w:ascii="Calibri" w:hAnsi="Calibri" w:cs="Calibri"/>
        </w:rPr>
        <w:instrText xml:space="preserve"> ADDIN ZOTERO_ITEM CSL_CITATION {"citationID":"Etr6vfZ9","properties":{"formattedCitation":"(Rubie-Davies et al. 2014)","plainCitation":"(Rubie-Davies et al. 2014)","noteIndex":0},"citationItems":[{"id":17282,"uris":["http://zotero.org/users/10928664/items/TEDBINPL"],"itemData":{"id":17282,"type":"article-journal","abstract":"The capacity for teacher expectation effects to interact and compound across a child's schooling offers a largely untested mechanism for magnifying or minimizing effects. This study examined four types of long-term teacher expectation effects: within-year effects of single teachers, cross-year effects of single teachers, mediated effects of single and multiple teachers, and compounded effects of multiple teachers. Participants were 110 students tracked from preschool through Grade 4 on measures of achievement and teacher expectations. Evidence was found for within-year but not direct cross-year effects. However, path models demonstrated enduring indirect effects of teacher expectations on cross-year achievement. Multiple years of teacher expectation effects were additive in predicting student achievement at fourth grade, with similar effects for teachers' over- and underestimates of student ability. The study extends understanding of longer-term teacher expectation effects. (PsycINFO Database Record (c) 2017 APA, all rights reserved)","container-title":"Journal of Applied Developmental Psychology","DOI":"10.1016/j.appdev.2014.03.006","ISSN":"1873-7900","note":"publisher-place: Netherlands\npublisher: Elsevier Science","page":"181-191","source":"APA PsycNet","title":"Successive teacher expectation effects across the early school years","volume":"35","author":[{"family":"Rubie-Davies","given":"Christine M."},{"family":"Weinstein","given":"Rhona S."},{"family":"Huang","given":"Francis L."},{"family":"Gregory","given":"Anne"},{"family":"Cowan","given":"Philip A."},{"family":"Cowan","given":"Carolyn P."}],"issued":{"date-parts":[["2014"]]}}}],"schema":"https://github.com/citation-style-language/schema/raw/master/csl-citation.json"} </w:instrText>
      </w:r>
      <w:r w:rsidRPr="7CACE74B">
        <w:rPr>
          <w:rFonts w:ascii="Calibri" w:hAnsi="Calibri" w:cs="Calibri"/>
          <w:color w:val="2B579A"/>
        </w:rPr>
        <w:fldChar w:fldCharType="separate"/>
      </w:r>
      <w:r w:rsidRPr="00C525D2">
        <w:rPr>
          <w:rFonts w:ascii="Calibri" w:hAnsi="Calibri" w:cs="Calibri"/>
        </w:rPr>
        <w:t>(Rubie-Davies et al. 2014)</w:t>
      </w:r>
      <w:r w:rsidRPr="7CACE74B">
        <w:rPr>
          <w:rFonts w:ascii="Calibri" w:hAnsi="Calibri" w:cs="Calibri"/>
          <w:color w:val="2B579A"/>
        </w:rPr>
        <w:fldChar w:fldCharType="end"/>
      </w:r>
      <w:r w:rsidRPr="00C525D2">
        <w:rPr>
          <w:rFonts w:ascii="Calibri" w:hAnsi="Calibri" w:cs="Calibri"/>
        </w:rPr>
        <w:t>.</w:t>
      </w:r>
    </w:p>
    <w:p w14:paraId="64067744" w14:textId="77777777" w:rsidR="00E535EE" w:rsidRPr="00C525D2" w:rsidRDefault="00E535EE" w:rsidP="00E535EE">
      <w:pPr>
        <w:spacing w:after="120" w:line="240" w:lineRule="auto"/>
        <w:rPr>
          <w:rFonts w:ascii="Calibri" w:hAnsi="Calibri" w:cs="Calibri"/>
        </w:rPr>
      </w:pPr>
      <w:r w:rsidRPr="00C525D2">
        <w:rPr>
          <w:rFonts w:ascii="Calibri" w:hAnsi="Calibri" w:cs="Calibri"/>
        </w:rPr>
        <w:t xml:space="preserve">High-quality instruction and active student engagement have also been shown to promote effective learning and positive behaviour. The evidence supports practices that provide frequent opportunities for students to actively engage through practices such as questioning </w:t>
      </w:r>
      <w:r w:rsidRPr="62FC4623">
        <w:rPr>
          <w:rFonts w:ascii="Calibri" w:hAnsi="Calibri" w:cs="Calibri"/>
          <w:color w:val="2B579A"/>
        </w:rPr>
        <w:fldChar w:fldCharType="begin"/>
      </w:r>
      <w:r w:rsidRPr="00C525D2">
        <w:rPr>
          <w:rFonts w:ascii="Calibri" w:hAnsi="Calibri" w:cs="Calibri"/>
        </w:rPr>
        <w:instrText xml:space="preserve"> ADDIN ZOTERO_ITEM CSL_CITATION {"citationID":"lTQLihRg","properties":{"formattedCitation":"(Simonsen et al. 2008)","plainCitation":"(Simonsen et al. 2008)","noteIndex":0},"citationItems":[{"id":17283,"uris":["http://zotero.org/users/10928664/items/SFGPQIB3"],"itemData":{"id":17283,"type":"article-journal","abstract":"Classroom management is a critical skill area. Teachers should be trained and supported in implementing practices that are likely to be successful; that is, practices that are backed by evidence. The purpose of this paper is to describe the outcomes of a systematic literature search conducted to identify evidence-based classroom management practices. Although the need for additional research exists, 20 practices, in general, were identified as having sufficient evidence to be considered for classroom adoption. Considerations for incorporating these practices are suggested, and a self-assessment tool is proposed as means of evaluating and enhancing use of these practices. Suggestions for future research are also presented. (PsycInfo Database Record (c) 2020 APA, all rights reserved)","container-title":"Education &amp; Treatment of Children","DOI":"10.1353/etc.0.0007","ISSN":"1934-8924","note":"publisher-place: US\npublisher: West Virginia University Press","page":"351-380","source":"APA PsycNet","title":"Evidence-based practices in classroom management: Considerations for research to practice","title-short":"Evidence-based practices in classroom management","volume":"31","author":[{"family":"Simonsen","given":"Brandi"},{"family":"Fairbanks","given":"Sarah"},{"family":"Briesch","given":"Amy"},{"family":"Myers","given":"Diane"},{"family":"Sugai","given":"George"}],"issued":{"date-parts":[["2008"]]}}}],"schema":"https://github.com/citation-style-language/schema/raw/master/csl-citation.json"} </w:instrText>
      </w:r>
      <w:r w:rsidRPr="62FC4623">
        <w:rPr>
          <w:rFonts w:ascii="Calibri" w:hAnsi="Calibri" w:cs="Calibri"/>
          <w:color w:val="2B579A"/>
        </w:rPr>
        <w:fldChar w:fldCharType="separate"/>
      </w:r>
      <w:r w:rsidRPr="00C525D2">
        <w:rPr>
          <w:rFonts w:ascii="Calibri" w:hAnsi="Calibri" w:cs="Calibri"/>
        </w:rPr>
        <w:t>(Simonsen et al. 2008)</w:t>
      </w:r>
      <w:r w:rsidRPr="62FC4623">
        <w:rPr>
          <w:rFonts w:ascii="Calibri" w:hAnsi="Calibri" w:cs="Calibri"/>
          <w:color w:val="2B579A"/>
        </w:rPr>
        <w:fldChar w:fldCharType="end"/>
      </w:r>
      <w:r w:rsidRPr="00C525D2">
        <w:rPr>
          <w:rFonts w:ascii="Calibri" w:hAnsi="Calibri" w:cs="Calibri"/>
        </w:rPr>
        <w:t xml:space="preserve">, clear and explicit instruction so that students know where they are at in their learning and what they need to learn </w:t>
      </w:r>
      <w:r w:rsidRPr="62FC4623">
        <w:rPr>
          <w:rFonts w:ascii="Calibri" w:hAnsi="Calibri" w:cs="Calibri"/>
          <w:color w:val="2B579A"/>
        </w:rPr>
        <w:fldChar w:fldCharType="begin"/>
      </w:r>
      <w:r w:rsidRPr="00C525D2">
        <w:rPr>
          <w:rFonts w:ascii="Calibri" w:hAnsi="Calibri" w:cs="Calibri"/>
        </w:rPr>
        <w:instrText xml:space="preserve"> ADDIN ZOTERO_ITEM CSL_CITATION {"citationID":"GGyNtUTs","properties":{"formattedCitation":"(Rubie-Davies et al. 2014)","plainCitation":"(Rubie-Davies et al. 2014)","noteIndex":0},"citationItems":[{"id":17282,"uris":["http://zotero.org/users/10928664/items/TEDBINPL"],"itemData":{"id":17282,"type":"article-journal","abstract":"The capacity for teacher expectation effects to interact and compound across a child's schooling offers a largely untested mechanism for magnifying or minimizing effects. This study examined four types of long-term teacher expectation effects: within-year effects of single teachers, cross-year effects of single teachers, mediated effects of single and multiple teachers, and compounded effects of multiple teachers. Participants were 110 students tracked from preschool through Grade 4 on measures of achievement and teacher expectations. Evidence was found for within-year but not direct cross-year effects. However, path models demonstrated enduring indirect effects of teacher expectations on cross-year achievement. Multiple years of teacher expectation effects were additive in predicting student achievement at fourth grade, with similar effects for teachers' over- and underestimates of student ability. The study extends understanding of longer-term teacher expectation effects. (PsycINFO Database Record (c) 2017 APA, all rights reserved)","container-title":"Journal of Applied Developmental Psychology","DOI":"10.1016/j.appdev.2014.03.006","ISSN":"1873-7900","note":"publisher-place: Netherlands\npublisher: Elsevier Science","page":"181-191","source":"APA PsycNet","title":"Successive teacher expectation effects across the early school years","volume":"35","author":[{"family":"Rubie-Davies","given":"Christine M."},{"family":"Weinstein","given":"Rhona S."},{"family":"Huang","given":"Francis L."},{"family":"Gregory","given":"Anne"},{"family":"Cowan","given":"Philip A."},{"family":"Cowan","given":"Carolyn P."}],"issued":{"date-parts":[["2014"]]}}}],"schema":"https://github.com/citation-style-language/schema/raw/master/csl-citation.json"} </w:instrText>
      </w:r>
      <w:r w:rsidRPr="62FC4623">
        <w:rPr>
          <w:rFonts w:ascii="Calibri" w:hAnsi="Calibri" w:cs="Calibri"/>
          <w:color w:val="2B579A"/>
        </w:rPr>
        <w:fldChar w:fldCharType="separate"/>
      </w:r>
      <w:r w:rsidRPr="00C525D2">
        <w:rPr>
          <w:rFonts w:ascii="Calibri" w:hAnsi="Calibri" w:cs="Calibri"/>
        </w:rPr>
        <w:t>(Rubie-Davies et al. 2014)</w:t>
      </w:r>
      <w:r w:rsidRPr="62FC4623">
        <w:rPr>
          <w:rFonts w:ascii="Calibri" w:hAnsi="Calibri" w:cs="Calibri"/>
          <w:color w:val="2B579A"/>
        </w:rPr>
        <w:fldChar w:fldCharType="end"/>
      </w:r>
      <w:r w:rsidRPr="00C525D2">
        <w:rPr>
          <w:rFonts w:ascii="Calibri" w:hAnsi="Calibri" w:cs="Calibri"/>
        </w:rPr>
        <w:t xml:space="preserve">, and reducing cognitive load by presenting students with only one task or direction at a time </w:t>
      </w:r>
      <w:r w:rsidRPr="62FC4623">
        <w:rPr>
          <w:rFonts w:ascii="Calibri" w:hAnsi="Calibri" w:cs="Calibri"/>
          <w:color w:val="2B579A"/>
        </w:rPr>
        <w:fldChar w:fldCharType="begin"/>
      </w:r>
      <w:r w:rsidRPr="00C525D2">
        <w:rPr>
          <w:rFonts w:ascii="Calibri" w:hAnsi="Calibri" w:cs="Calibri"/>
        </w:rPr>
        <w:instrText xml:space="preserve"> ADDIN ZOTERO_ITEM CSL_CITATION {"citationID":"pIgVWNj5","properties":{"formattedCitation":"(Pashler 1994)","plainCitation":"(Pashler 1994)","noteIndex":0},"citationItems":[{"id":17280,"uris":["http://zotero.org/users/10928664/items/NAX4MWS2"],"itemData":{"id":17280,"type":"article-journal","abstract":"People often have trouble performing 2 relatively simple tasks concurrently. The causes of this interference and its implications for the nature of attentional limitations have been controversial for 40 years, but recent experimental findings are beginning to provide some answers. Studies of the psychological refractory period effect indicate a stubborn bottleneck encompassing the process of choosing actions and probably memory retrieval generally, together with certain other cognitive operations. Other limitations associated with task preparation, sensory-perceptual processes, and timing can generate additional and distinct forms of interference. These conclusions challenge widely accepted ideas about attentional resources and probe reaction time methodologies. They also suggest new ways of thinking about continuous dual-task performance, effects of extraneous stimulation (e.g., stop signals), and automaticity. Implications for higher mental processes are discussed.","container-title":"Psychological Bulletin","DOI":"10.1037/0033-2909.116.2.220","ISSN":"0033-2909","issue":"2","journalAbbreviation":"Psychol Bull","language":"eng","note":"PMID: 7972591","page":"220-244","source":"PubMed","title":"Dual-task interference in simple tasks: data and theory","title-short":"Dual-task interference in simple tasks","volume":"116","author":[{"family":"Pashler","given":"H."}],"issued":{"date-parts":[["1994",9]]}}}],"schema":"https://github.com/citation-style-language/schema/raw/master/csl-citation.json"} </w:instrText>
      </w:r>
      <w:r w:rsidRPr="62FC4623">
        <w:rPr>
          <w:rFonts w:ascii="Calibri" w:hAnsi="Calibri" w:cs="Calibri"/>
          <w:color w:val="2B579A"/>
        </w:rPr>
        <w:fldChar w:fldCharType="separate"/>
      </w:r>
      <w:r w:rsidRPr="00C525D2">
        <w:rPr>
          <w:rFonts w:ascii="Calibri" w:hAnsi="Calibri" w:cs="Calibri"/>
        </w:rPr>
        <w:t>(Pashler 1994)</w:t>
      </w:r>
      <w:r w:rsidRPr="62FC4623">
        <w:rPr>
          <w:rFonts w:ascii="Calibri" w:hAnsi="Calibri" w:cs="Calibri"/>
          <w:color w:val="2B579A"/>
        </w:rPr>
        <w:fldChar w:fldCharType="end"/>
      </w:r>
      <w:r w:rsidRPr="00C525D2">
        <w:rPr>
          <w:rFonts w:ascii="Calibri" w:hAnsi="Calibri" w:cs="Calibri"/>
        </w:rPr>
        <w:t xml:space="preserve">. The evidence also supports engaging students through the provision of specific, positive feedback that acknowledges student effort and its contribution to learning progress </w:t>
      </w:r>
      <w:r w:rsidRPr="62FC4623">
        <w:rPr>
          <w:rFonts w:ascii="Calibri" w:hAnsi="Calibri" w:cs="Calibri"/>
          <w:color w:val="2B579A"/>
        </w:rPr>
        <w:fldChar w:fldCharType="begin"/>
      </w:r>
      <w:r w:rsidRPr="00C525D2">
        <w:rPr>
          <w:rFonts w:ascii="Calibri" w:hAnsi="Calibri" w:cs="Calibri"/>
        </w:rPr>
        <w:instrText xml:space="preserve"> ADDIN ZOTERO_ITEM CSL_CITATION {"citationID":"9RS2KIkj","properties":{"formattedCitation":"(Rubie-Davies et al. 2014)","plainCitation":"(Rubie-Davies et al. 2014)","noteIndex":0},"citationItems":[{"id":17282,"uris":["http://zotero.org/users/10928664/items/TEDBINPL"],"itemData":{"id":17282,"type":"article-journal","abstract":"The capacity for teacher expectation effects to interact and compound across a child's schooling offers a largely untested mechanism for magnifying or minimizing effects. This study examined four types of long-term teacher expectation effects: within-year effects of single teachers, cross-year effects of single teachers, mediated effects of single and multiple teachers, and compounded effects of multiple teachers. Participants were 110 students tracked from preschool through Grade 4 on measures of achievement and teacher expectations. Evidence was found for within-year but not direct cross-year effects. However, path models demonstrated enduring indirect effects of teacher expectations on cross-year achievement. Multiple years of teacher expectation effects were additive in predicting student achievement at fourth grade, with similar effects for teachers' over- and underestimates of student ability. The study extends understanding of longer-term teacher expectation effects. (PsycINFO Database Record (c) 2017 APA, all rights reserved)","container-title":"Journal of Applied Developmental Psychology","DOI":"10.1016/j.appdev.2014.03.006","ISSN":"1873-7900","note":"publisher-place: Netherlands\npublisher: Elsevier Science","page":"181-191","source":"APA PsycNet","title":"Successive teacher expectation effects across the early school years","volume":"35","author":[{"family":"Rubie-Davies","given":"Christine M."},{"family":"Weinstein","given":"Rhona S."},{"family":"Huang","given":"Francis L."},{"family":"Gregory","given":"Anne"},{"family":"Cowan","given":"Philip A."},{"family":"Cowan","given":"Carolyn P."}],"issued":{"date-parts":[["2014"]]}}}],"schema":"https://github.com/citation-style-language/schema/raw/master/csl-citation.json"} </w:instrText>
      </w:r>
      <w:r w:rsidRPr="62FC4623">
        <w:rPr>
          <w:rFonts w:ascii="Calibri" w:hAnsi="Calibri" w:cs="Calibri"/>
          <w:color w:val="2B579A"/>
        </w:rPr>
        <w:fldChar w:fldCharType="separate"/>
      </w:r>
      <w:r w:rsidRPr="00C525D2">
        <w:rPr>
          <w:rFonts w:ascii="Calibri" w:hAnsi="Calibri" w:cs="Calibri"/>
        </w:rPr>
        <w:t>(Rubie-Davies et al. 2014)</w:t>
      </w:r>
      <w:r w:rsidRPr="62FC4623">
        <w:rPr>
          <w:rFonts w:ascii="Calibri" w:hAnsi="Calibri" w:cs="Calibri"/>
          <w:color w:val="2B579A"/>
        </w:rPr>
        <w:fldChar w:fldCharType="end"/>
      </w:r>
      <w:r w:rsidRPr="00C525D2">
        <w:rPr>
          <w:rFonts w:ascii="Calibri" w:hAnsi="Calibri" w:cs="Calibri"/>
        </w:rPr>
        <w:t>.</w:t>
      </w:r>
    </w:p>
    <w:p w14:paraId="671A53C7" w14:textId="0021BC20" w:rsidR="00E535EE" w:rsidRPr="00495F61" w:rsidRDefault="00E535EE" w:rsidP="003B1753">
      <w:pPr>
        <w:spacing w:after="120" w:line="240" w:lineRule="auto"/>
      </w:pPr>
      <w:r w:rsidRPr="00C525D2">
        <w:rPr>
          <w:rFonts w:ascii="Calibri" w:hAnsi="Calibri" w:cs="Calibri"/>
        </w:rPr>
        <w:t xml:space="preserve">Finally, the </w:t>
      </w:r>
      <w:r w:rsidR="00272A7C" w:rsidRPr="00C525D2">
        <w:rPr>
          <w:rFonts w:ascii="Calibri" w:hAnsi="Calibri" w:cs="Calibri"/>
        </w:rPr>
        <w:t>research</w:t>
      </w:r>
      <w:r w:rsidRPr="00C525D2">
        <w:rPr>
          <w:rFonts w:ascii="Calibri" w:hAnsi="Calibri" w:cs="Calibri"/>
        </w:rPr>
        <w:t xml:space="preserve"> points to providing a consistent and predictable physical environment to complement other proactive approaches to classroom management. Where possible, teachers should consider the arrangement of the classroom and consistent use of space/location to maximise on-task behaviour and support routines. For example, consider configurations or spaces that promote the type of task like rows or horseshoes for explicit instruction or clusters for group or practical work </w:t>
      </w:r>
      <w:r w:rsidRPr="62FC4623">
        <w:rPr>
          <w:rFonts w:ascii="Calibri" w:hAnsi="Calibri" w:cs="Calibri"/>
          <w:color w:val="2B579A"/>
        </w:rPr>
        <w:fldChar w:fldCharType="begin"/>
      </w:r>
      <w:r w:rsidRPr="00C525D2">
        <w:rPr>
          <w:rFonts w:ascii="Calibri" w:hAnsi="Calibri" w:cs="Calibri"/>
        </w:rPr>
        <w:instrText xml:space="preserve"> ADDIN ZOTERO_ITEM CSL_CITATION {"citationID":"6KOVZHX8","properties":{"formattedCitation":"(Pashler et al. 2013; Wannarak and Ruhl 2008)","plainCitation":"(Pashler et al. 2013; Wannarak and Ruhl 2008)","noteIndex":0},"citationItems":[{"id":17289,"uris":["http://zotero.org/users/10928664/items/4S92I82B"],"itemData":{"id":17289,"type":"article-journal","abstract":"It is often said that contemporary students frequently study while ‘multitasking’. However, this rather diffuse term encompasses situations that vary as to the whether the learner controls the pace at which educational materials are provided. On the basis of prior cognitive research, we hypothesize that this may well be a critical determinant of interference. Three studies required students to read or listen to several short historical narratives and also to engage in five to eight very short conversations (akin to an instant messaging conversation). In Experiment 1, subjects read the narratives; here, multitasking marginally increased total time spent reading the narratives, especially when it occurred at random times. However, final memory for the narratives was not significantly affected. Similar results were obtained when the narratives were presented in audio format and the learner could pause them while conversing (Experiment 2). By contrast, when audio narratives did not pause, interruptions reduced comprehension performance (Experiment 3). Copyright © 2013 John Wiley &amp; Sons, Ltd.","container-title":"Applied Cognitive Psychology","DOI":"10.1002/acp.2919","ISSN":"1099-0720","issue":"5","language":"en","note":"_eprint: https://onlinelibrary.wiley.com/doi/pdf/10.1002/acp.2919","page":"593-599","source":"Wiley Online Library","title":"Does Multitasking Impair Studying? Depends on Timing","title-short":"Does Multitasking Impair Studying?","volume":"27","author":[{"family":"Pashler","given":"Harold"},{"family":"Kang","given":"Sean H. K."},{"family":"Ip","given":"Renita Y."}],"issued":{"date-parts":[["2013"]]}}},{"id":17287,"uris":["http://zotero.org/users/10928664/items/HZDCIBZM"],"itemData":{"id":17287,"type":"article-journal","abstract":"Seating arrangements are important classroom setting events because they have the potential to help prevent problem behaviours that decrease student attention and diminish available instructional time. The purpose of this synthesis of empirical literature is to determine which arrangements of desks best facilitate positive academic and behavioural outcomes for primary through secondary high school students with a range of characteristics. Eight studies that investigated at least two of three common arrangements (i.e., rows, groups or semi-circles) were considered. Results indicate that teachers should let the nature of the task dictate seating arrangements. Evidence supports the idea that students display higher levels of appropriate behaviour during individual tasks when they are seated in rows, with disruptive students benefiting the most.","container-title":"Support for Learning","DOI":"10.1111/j.1467-9604.2008.00375.x","journalAbbreviation":"Support for Learning","page":"89-93","source":"ResearchGate","title":"Seating arrangements that promote positive academic and behavioural outcomes: A review of empirical research","title-short":"Seating arrangements that promote positive academic and behavioural outcomes","volume":"23","author":[{"family":"Wannarak","given":"Rachel"},{"family":"Ruhl","given":"Kathy"}],"issued":{"date-parts":[["2008",5,6]]}}}],"schema":"https://github.com/citation-style-language/schema/raw/master/csl-citation.json"} </w:instrText>
      </w:r>
      <w:r w:rsidRPr="62FC4623">
        <w:rPr>
          <w:rFonts w:ascii="Calibri" w:hAnsi="Calibri" w:cs="Calibri"/>
          <w:color w:val="2B579A"/>
        </w:rPr>
        <w:fldChar w:fldCharType="separate"/>
      </w:r>
      <w:r w:rsidRPr="00C525D2">
        <w:rPr>
          <w:rFonts w:ascii="Calibri" w:hAnsi="Calibri" w:cs="Calibri"/>
        </w:rPr>
        <w:t>(Pashler et al. 2013; Wannarak and Ruhl 2008)</w:t>
      </w:r>
      <w:r w:rsidRPr="62FC4623">
        <w:rPr>
          <w:rFonts w:ascii="Calibri" w:hAnsi="Calibri" w:cs="Calibri"/>
          <w:color w:val="2B579A"/>
        </w:rPr>
        <w:fldChar w:fldCharType="end"/>
      </w:r>
      <w:r w:rsidRPr="00C525D2">
        <w:rPr>
          <w:rFonts w:ascii="Calibri" w:hAnsi="Calibri" w:cs="Calibri"/>
        </w:rPr>
        <w:t xml:space="preserve">. Objects within the regular classroom setting should consistently appear in the same place, reducing cognitive load and supporting a consistent and predictable environment focused on learning </w:t>
      </w:r>
      <w:r w:rsidRPr="62FC4623">
        <w:rPr>
          <w:rFonts w:ascii="Calibri" w:hAnsi="Calibri" w:cs="Calibri"/>
          <w:color w:val="2B579A"/>
        </w:rPr>
        <w:fldChar w:fldCharType="begin"/>
      </w:r>
      <w:r w:rsidRPr="00C525D2">
        <w:rPr>
          <w:rFonts w:ascii="Calibri" w:hAnsi="Calibri" w:cs="Calibri"/>
        </w:rPr>
        <w:instrText xml:space="preserve"> ADDIN ZOTERO_ITEM CSL_CITATION {"citationID":"Wk9hkcGx","properties":{"formattedCitation":"(Summerfield and Egner 2009)","plainCitation":"(Summerfield and Egner 2009)","noteIndex":0},"citationItems":[{"id":17285,"uris":["http://zotero.org/users/10928664/items/JTXCTYFW"],"itemData":{"id":17285,"type":"article-journal","abstract":"Visual cognition is limited by computational capacity, because the brain can process only a fraction of the visual sensorium in detail, and by the inherent ambiguity of the information entering the visual system. Two mechanisms mitigate these burdens: attention prioritizes stimulus processing on the basis of motivational relevance, and expectations constrain visual interpretation on the basis of prior likelihood. Of the two, attention has been extensively investigated while expectation has been relatively neglected. Here, we review recent work that has begun to delineate a neurobiology of visual expectation, and contrast the findings with those of the attention literature, to explore how these two central influences on visual perception overlap, differ and interact.","container-title":"Trends in Cognitive Sciences","DOI":"10.1016/j.tics.2009.06.003","ISSN":"1364-6613","issue":"9","journalAbbreviation":"Trends in Cognitive Sciences","language":"en","page":"403-409","source":"ScienceDirect","title":"Expectation (and attention) in visual cognition","volume":"13","author":[{"family":"Summerfield","given":"Christopher"},{"family":"Egner","given":"Tobias"}],"issued":{"date-parts":[["2009",9,1]]}}}],"schema":"https://github.com/citation-style-language/schema/raw/master/csl-citation.json"} </w:instrText>
      </w:r>
      <w:r w:rsidRPr="62FC4623">
        <w:rPr>
          <w:rFonts w:ascii="Calibri" w:hAnsi="Calibri" w:cs="Calibri"/>
          <w:color w:val="2B579A"/>
        </w:rPr>
        <w:fldChar w:fldCharType="separate"/>
      </w:r>
      <w:r w:rsidRPr="00C525D2">
        <w:rPr>
          <w:rFonts w:ascii="Calibri" w:hAnsi="Calibri" w:cs="Calibri"/>
        </w:rPr>
        <w:t>(Summerfield and Egner 2009)</w:t>
      </w:r>
      <w:r w:rsidRPr="62FC4623">
        <w:rPr>
          <w:rFonts w:ascii="Calibri" w:hAnsi="Calibri" w:cs="Calibri"/>
          <w:color w:val="2B579A"/>
        </w:rPr>
        <w:fldChar w:fldCharType="end"/>
      </w:r>
      <w:r w:rsidRPr="00497B48">
        <w:t>.</w:t>
      </w:r>
    </w:p>
    <w:p w14:paraId="780CDE98" w14:textId="77777777" w:rsidR="00E535EE" w:rsidRPr="00142568" w:rsidRDefault="00E535EE" w:rsidP="00D5108D">
      <w:pPr>
        <w:pStyle w:val="ListParagraph"/>
        <w:keepNext/>
        <w:numPr>
          <w:ilvl w:val="0"/>
          <w:numId w:val="40"/>
        </w:numPr>
        <w:rPr>
          <w:b/>
        </w:rPr>
      </w:pPr>
      <w:r w:rsidRPr="00142568">
        <w:rPr>
          <w:b/>
        </w:rPr>
        <w:lastRenderedPageBreak/>
        <w:t>Managing behaviour</w:t>
      </w:r>
    </w:p>
    <w:p w14:paraId="20C45D3D" w14:textId="5DB272E9" w:rsidR="00E535EE" w:rsidRPr="00497B48" w:rsidRDefault="00E535EE" w:rsidP="00CB1713">
      <w:pPr>
        <w:keepNext/>
        <w:spacing w:after="120" w:line="240" w:lineRule="auto"/>
        <w:rPr>
          <w:rStyle w:val="Strong"/>
          <w:b w:val="0"/>
          <w:bCs w:val="0"/>
        </w:rPr>
      </w:pPr>
      <w:r w:rsidRPr="00497B48">
        <w:rPr>
          <w:rStyle w:val="Strong"/>
          <w:b w:val="0"/>
        </w:rPr>
        <w:t xml:space="preserve">Managing behaviour is </w:t>
      </w:r>
      <w:r>
        <w:rPr>
          <w:rStyle w:val="Strong"/>
          <w:b w:val="0"/>
        </w:rPr>
        <w:t>challenging</w:t>
      </w:r>
      <w:r w:rsidRPr="00497B48">
        <w:rPr>
          <w:rStyle w:val="Strong"/>
          <w:b w:val="0"/>
        </w:rPr>
        <w:t xml:space="preserve"> for early career teachers and it is essential that ITE </w:t>
      </w:r>
      <w:r w:rsidR="00A32BE6">
        <w:rPr>
          <w:rStyle w:val="Strong"/>
          <w:b w:val="0"/>
        </w:rPr>
        <w:t xml:space="preserve">programs </w:t>
      </w:r>
      <w:r>
        <w:rPr>
          <w:rStyle w:val="Strong"/>
          <w:b w:val="0"/>
        </w:rPr>
        <w:t xml:space="preserve">extend beyond theoretical assessment of these skills and </w:t>
      </w:r>
      <w:r w:rsidRPr="00497B48">
        <w:rPr>
          <w:rStyle w:val="Strong"/>
          <w:b w:val="0"/>
        </w:rPr>
        <w:t xml:space="preserve">support </w:t>
      </w:r>
      <w:r w:rsidR="004D2369">
        <w:rPr>
          <w:rStyle w:val="Strong"/>
          <w:b w:val="0"/>
        </w:rPr>
        <w:t>ITE students</w:t>
      </w:r>
      <w:r w:rsidRPr="00497B48">
        <w:rPr>
          <w:rStyle w:val="Strong"/>
          <w:b w:val="0"/>
        </w:rPr>
        <w:t xml:space="preserve"> to act and reflect on their practices in a safe and supported environment. </w:t>
      </w:r>
    </w:p>
    <w:p w14:paraId="2839B5EB" w14:textId="77777777" w:rsidR="00E535EE" w:rsidRDefault="00E535EE" w:rsidP="00E535EE">
      <w:pPr>
        <w:spacing w:after="120" w:line="240" w:lineRule="auto"/>
      </w:pPr>
      <w:r w:rsidRPr="00497B48">
        <w:rPr>
          <w:rStyle w:val="Strong"/>
          <w:b w:val="0"/>
        </w:rPr>
        <w:t>Effective practices for managing behaviour require calm, consistent, expected, and proportional use and should be on a sliding scale that increases in intensity. In the first instance,</w:t>
      </w:r>
      <w:r>
        <w:rPr>
          <w:rStyle w:val="Strong"/>
          <w:b w:val="0"/>
        </w:rPr>
        <w:t xml:space="preserve"> teachers should learn to</w:t>
      </w:r>
      <w:r w:rsidRPr="00497B48">
        <w:rPr>
          <w:rStyle w:val="Strong"/>
          <w:b w:val="0"/>
        </w:rPr>
        <w:t xml:space="preserve"> model the behaviours expected of students</w:t>
      </w:r>
      <w:r>
        <w:rPr>
          <w:rStyle w:val="Strong"/>
          <w:b w:val="0"/>
        </w:rPr>
        <w:t>.</w:t>
      </w:r>
      <w:r w:rsidRPr="00497B48">
        <w:rPr>
          <w:rStyle w:val="Strong"/>
          <w:b w:val="0"/>
        </w:rPr>
        <w:t xml:space="preserve"> </w:t>
      </w:r>
      <w:r>
        <w:rPr>
          <w:rStyle w:val="Strong"/>
          <w:b w:val="0"/>
        </w:rPr>
        <w:t>F</w:t>
      </w:r>
      <w:r w:rsidRPr="00497B48">
        <w:rPr>
          <w:rStyle w:val="Strong"/>
          <w:b w:val="0"/>
        </w:rPr>
        <w:t>or example</w:t>
      </w:r>
      <w:r>
        <w:rPr>
          <w:rStyle w:val="Strong"/>
          <w:b w:val="0"/>
        </w:rPr>
        <w:t xml:space="preserve"> using a</w:t>
      </w:r>
      <w:r w:rsidRPr="00497B48">
        <w:rPr>
          <w:rStyle w:val="Strong"/>
          <w:b w:val="0"/>
        </w:rPr>
        <w:t xml:space="preserve"> calm tone, active listening, respectful interactions and being organised and on time shows students the expectation and gives them concrete examples of the behaviours they should replicate </w:t>
      </w:r>
      <w:r w:rsidRPr="62FC4623">
        <w:rPr>
          <w:color w:val="2B579A"/>
        </w:rPr>
        <w:fldChar w:fldCharType="begin"/>
      </w:r>
      <w:r w:rsidRPr="00497B48">
        <w:instrText xml:space="preserve"> ADDIN ZOTERO_ITEM CSL_CITATION {"citationID":"7MVgEAC9","properties":{"formattedCitation":"(Alter and Haydon 2017)","plainCitation":"(Alter and Haydon 2017)","noteIndex":0},"citationItems":[{"id":17276,"uris":["http://zotero.org/users/10928664/items/KEP5BC8N"],"itemData":{"id":17276,"type":"article-journal","abstract":"Difficulty managing classroom behavior is a frequently recognized problem for teachers, especially teachers early in their careers. Classroom rules are identified as an integral part of effective classroom management as they are relatively simple to implement and focus on preventing challenging behaviors before they occur. Sources such as classroom management textbooks and practitioner-oriented journal articles recommend a number of characteristics that make classroom rules effective; unfortunately, these sources have not been uniform in their recommendations. The purpose of this review of effective practices is to compare what information teachers are being given either in their preservice coursework or in-service training via textbooks and practitioner-oriented articles with actual empirical research that used classroom rules as an independent variable. Results indicated that the two most important characteristics of effective classroom rules are teaching the rules to students and tying rules to positive and/or negative consequences. Other characteristics recommended in secondary sources remain equivocal in the research. Implications for effective teacher preparation in classroom management are discussed.","container-title":"Teacher Education and Special Education","DOI":"10.1177/0888406417700962","ISSN":"0888-4064","issue":"2","language":"en","note":"publisher: SAGE Publications Inc","page":"114-127","source":"SAGE Journals","title":"Characteristics of Effective Classroom Rules: A Review of the Literature","title-short":"Characteristics of Effective Classroom Rules","volume":"40","author":[{"family":"Alter","given":"Peter"},{"family":"Haydon","given":"Todd"}],"issued":{"date-parts":[["2017",5,1]]}}}],"schema":"https://github.com/citation-style-language/schema/raw/master/csl-citation.json"} </w:instrText>
      </w:r>
      <w:r w:rsidRPr="62FC4623">
        <w:rPr>
          <w:color w:val="2B579A"/>
        </w:rPr>
        <w:fldChar w:fldCharType="separate"/>
      </w:r>
      <w:r w:rsidRPr="00497B48">
        <w:t>(Alter and Haydon 2017)</w:t>
      </w:r>
      <w:r w:rsidRPr="62FC4623">
        <w:rPr>
          <w:color w:val="2B579A"/>
        </w:rPr>
        <w:fldChar w:fldCharType="end"/>
      </w:r>
      <w:r w:rsidRPr="00497B48">
        <w:t xml:space="preserve">. </w:t>
      </w:r>
    </w:p>
    <w:p w14:paraId="4904BA28" w14:textId="77777777" w:rsidR="00E535EE" w:rsidRPr="00497B48" w:rsidRDefault="00E535EE" w:rsidP="00AA45C1">
      <w:pPr>
        <w:spacing w:after="120" w:line="240" w:lineRule="auto"/>
      </w:pPr>
      <w:r w:rsidRPr="00497B48">
        <w:t xml:space="preserve">The evidence supports the practice of pre-planning and rehearsing responses to behaviours to help teachers to be more consistent and implement responses on the spot to reinforce high expectations for learners </w:t>
      </w:r>
      <w:r w:rsidRPr="00497B48">
        <w:rPr>
          <w:color w:val="2B579A"/>
          <w:shd w:val="clear" w:color="auto" w:fill="E6E6E6"/>
        </w:rPr>
        <w:fldChar w:fldCharType="begin"/>
      </w:r>
      <w:r w:rsidRPr="00497B48">
        <w:instrText xml:space="preserve"> ADDIN ZOTERO_ITEM CSL_CITATION {"citationID":"BHnm1anc","properties":{"formattedCitation":"(Alter and Haydon 2017)","plainCitation":"(Alter and Haydon 2017)","noteIndex":0},"citationItems":[{"id":17276,"uris":["http://zotero.org/users/10928664/items/KEP5BC8N"],"itemData":{"id":17276,"type":"article-journal","abstract":"Difficulty managing classroom behavior is a frequently recognized problem for teachers, especially teachers early in their careers. Classroom rules are identified as an integral part of effective classroom management as they are relatively simple to implement and focus on preventing challenging behaviors before they occur. Sources such as classroom management textbooks and practitioner-oriented journal articles recommend a number of characteristics that make classroom rules effective; unfortunately, these sources have not been uniform in their recommendations. The purpose of this review of effective practices is to compare what information teachers are being given either in their preservice coursework or in-service training via textbooks and practitioner-oriented articles with actual empirical research that used classroom rules as an independent variable. Results indicated that the two most important characteristics of effective classroom rules are teaching the rules to students and tying rules to positive and/or negative consequences. Other characteristics recommended in secondary sources remain equivocal in the research. Implications for effective teacher preparation in classroom management are discussed.","container-title":"Teacher Education and Special Education","DOI":"10.1177/0888406417700962","ISSN":"0888-4064","issue":"2","language":"en","note":"publisher: SAGE Publications Inc","page":"114-127","source":"SAGE Journals","title":"Characteristics of Effective Classroom Rules: A Review of the Literature","title-short":"Characteristics of Effective Classroom Rules","volume":"40","author":[{"family":"Alter","given":"Peter"},{"family":"Haydon","given":"Todd"}],"issued":{"date-parts":[["2017",5,1]]}}}],"schema":"https://github.com/citation-style-language/schema/raw/master/csl-citation.json"} </w:instrText>
      </w:r>
      <w:r w:rsidRPr="00497B48">
        <w:rPr>
          <w:color w:val="2B579A"/>
          <w:shd w:val="clear" w:color="auto" w:fill="E6E6E6"/>
        </w:rPr>
        <w:fldChar w:fldCharType="separate"/>
      </w:r>
      <w:r w:rsidRPr="00497B48">
        <w:t>(Alter and Haydon 2017)</w:t>
      </w:r>
      <w:r w:rsidRPr="00497B48">
        <w:rPr>
          <w:color w:val="2B579A"/>
          <w:shd w:val="clear" w:color="auto" w:fill="E6E6E6"/>
        </w:rPr>
        <w:fldChar w:fldCharType="end"/>
      </w:r>
      <w:r w:rsidRPr="00497B48">
        <w:t>.</w:t>
      </w:r>
      <w:r>
        <w:t xml:space="preserve"> </w:t>
      </w:r>
      <w:r w:rsidRPr="00497B48">
        <w:t xml:space="preserve">The responses shown to be highly effective are those that are positive and proactive. Teachers should learn to use early intervention using simple prompts or ‘pre-corrections’ and referring to those prompts throughout a lesson for example Q “When we get to the library, what are the three things we need to remember to be responsible?”; A: “Walk on the left, be responsible for your books and surroundings, and talk in a quiet voice.” </w:t>
      </w:r>
      <w:r w:rsidRPr="00497B48">
        <w:rPr>
          <w:color w:val="2B579A"/>
          <w:shd w:val="clear" w:color="auto" w:fill="E6E6E6"/>
        </w:rPr>
        <w:fldChar w:fldCharType="begin"/>
      </w:r>
      <w:r w:rsidRPr="00497B48">
        <w:instrText xml:space="preserve"> ADDIN ZOTERO_ITEM CSL_CITATION {"citationID":"9tx9T08h","properties":{"formattedCitation":"(Ennis et al. 2017)","plainCitation":"(Ennis et al. 2017)","noteIndex":0},"citationItems":[{"id":17278,"uris":["http://zotero.org/users/10928664/items/QEEJCMSU"],"itemData":{"id":17278,"type":"article-journal","abstract":"Precorrection is a proactive strategy designed to prevent problem behavior from occurring by identifying contexts likely to occasion problem behavior and facilitating the occurrence of appropriate behavior. To determine the evidence base for this practice we applied the Council for Exceptional Children’s (CEC) Standards for Evidence-Based Practices in Special Education to the body of research on precorrection. We identified 10 single-case research design articles that (a) evaluated the effects of a precorrection intervention, (b) occurred in a PK-12 traditional school settings, (c) used experimental or quasi-experimental design, and (d) were published in a peer-reviewed journal. We identified five articles meeting an 80% weighted criterion of CEC’s quality indicators. These five articles contained over 20 participants with positive effects based on CEC standards; therefore, we concluded precorrection to be an evidence-based practice using a weighted coding criterion to examine the evidence-based determination (retaining the presence and absence coding for each item constituting each quality indicator). Implications for future research and practice are outlined.","container-title":"Education and Treatment of Children","DOI":"10.1353/etc.2017.0021","journalAbbreviation":"Education and Treatment of Children","page":"465-495","source":"ResearchGate","title":"A Systematic Review of Precorrection in PK-12 Settings","volume":"40","author":[{"family":"Ennis","given":"Robin"},{"family":"Royer","given":"David"},{"family":"Lane","given":"Kathleen"},{"family":"Griffith","given":"Claire"}],"issued":{"date-parts":[["2017",11,1]]}}}],"schema":"https://github.com/citation-style-language/schema/raw/master/csl-citation.json"} </w:instrText>
      </w:r>
      <w:r w:rsidRPr="00497B48">
        <w:rPr>
          <w:color w:val="2B579A"/>
          <w:shd w:val="clear" w:color="auto" w:fill="E6E6E6"/>
        </w:rPr>
        <w:fldChar w:fldCharType="separate"/>
      </w:r>
      <w:r w:rsidRPr="00497B48">
        <w:t>(Ennis et al. 2017)</w:t>
      </w:r>
      <w:r w:rsidRPr="00497B48">
        <w:rPr>
          <w:color w:val="2B579A"/>
          <w:shd w:val="clear" w:color="auto" w:fill="E6E6E6"/>
        </w:rPr>
        <w:fldChar w:fldCharType="end"/>
      </w:r>
      <w:r w:rsidRPr="00497B48">
        <w:t>.</w:t>
      </w:r>
    </w:p>
    <w:p w14:paraId="55667CCD" w14:textId="34CFF700" w:rsidR="00E535EE" w:rsidRDefault="00E535EE" w:rsidP="003B1753">
      <w:pPr>
        <w:spacing w:after="120" w:line="240" w:lineRule="auto"/>
      </w:pPr>
      <w:r w:rsidRPr="00497B48">
        <w:t xml:space="preserve">Response to more intense behaviours should be addressed by giving verbal feedback that draws attention to expected behaviours, rather than focusing on undesired behaviours, for example on-the-spot praise or specific and actionable verbal feedback, have been shown to be highly effective </w:t>
      </w:r>
      <w:r w:rsidRPr="00497B48">
        <w:rPr>
          <w:color w:val="2B579A"/>
          <w:shd w:val="clear" w:color="auto" w:fill="E6E6E6"/>
        </w:rPr>
        <w:fldChar w:fldCharType="begin"/>
      </w:r>
      <w:r w:rsidRPr="00497B48">
        <w:instrText xml:space="preserve"> ADDIN ZOTERO_ITEM CSL_CITATION {"citationID":"aZ6XAHyx","properties":{"formattedCitation":"(Simonsen et al. 2008)","plainCitation":"(Simonsen et al. 2008)","noteIndex":0},"citationItems":[{"id":17283,"uris":["http://zotero.org/users/10928664/items/SFGPQIB3"],"itemData":{"id":17283,"type":"article-journal","abstract":"Classroom management is a critical skill area. Teachers should be trained and supported in implementing practices that are likely to be successful; that is, practices that are backed by evidence. The purpose of this paper is to describe the outcomes of a systematic literature search conducted to identify evidence-based classroom management practices. Although the need for additional research exists, 20 practices, in general, were identified as having sufficient evidence to be considered for classroom adoption. Considerations for incorporating these practices are suggested, and a self-assessment tool is proposed as means of evaluating and enhancing use of these practices. Suggestions for future research are also presented. (PsycInfo Database Record (c) 2020 APA, all rights reserved)","container-title":"Education &amp; Treatment of Children","DOI":"10.1353/etc.0.0007","ISSN":"1934-8924","note":"publisher-place: US\npublisher: West Virginia University Press","page":"351-380","source":"APA PsycNet","title":"Evidence-based practices in classroom management: Considerations for research to practice","title-short":"Evidence-based practices in classroom management","volume":"31","author":[{"family":"Simonsen","given":"Brandi"},{"family":"Fairbanks","given":"Sarah"},{"family":"Briesch","given":"Amy"},{"family":"Myers","given":"Diane"},{"family":"Sugai","given":"George"}],"issued":{"date-parts":[["2008"]]}}}],"schema":"https://github.com/citation-style-language/schema/raw/master/csl-citation.json"} </w:instrText>
      </w:r>
      <w:r w:rsidRPr="00497B48">
        <w:rPr>
          <w:color w:val="2B579A"/>
          <w:shd w:val="clear" w:color="auto" w:fill="E6E6E6"/>
        </w:rPr>
        <w:fldChar w:fldCharType="separate"/>
      </w:r>
      <w:r w:rsidRPr="00497B48">
        <w:t>(Simonsen et al. 2008)</w:t>
      </w:r>
      <w:r w:rsidRPr="00497B48">
        <w:rPr>
          <w:color w:val="2B579A"/>
          <w:shd w:val="clear" w:color="auto" w:fill="E6E6E6"/>
        </w:rPr>
        <w:fldChar w:fldCharType="end"/>
      </w:r>
      <w:r w:rsidRPr="00497B48">
        <w:t xml:space="preserve">. A key and recurring theme in the research is the essentiality of consistent, predictable, and proportional responses so that students know the expectations but also feel safe in the knowledge that if their behaviour does not meet expectations, the response will be measured. </w:t>
      </w:r>
    </w:p>
    <w:p w14:paraId="0E51EE96" w14:textId="77777777" w:rsidR="00173C19" w:rsidRPr="003A38E1" w:rsidRDefault="00173C19" w:rsidP="00580609">
      <w:pPr>
        <w:spacing w:after="0" w:line="240" w:lineRule="auto"/>
        <w:rPr>
          <w:b/>
          <w:sz w:val="24"/>
          <w:szCs w:val="24"/>
        </w:rPr>
      </w:pPr>
      <w:r w:rsidRPr="003A38E1">
        <w:rPr>
          <w:b/>
          <w:sz w:val="24"/>
          <w:szCs w:val="24"/>
        </w:rPr>
        <w:t>Consideration of whole-school behaviour frameworks</w:t>
      </w:r>
    </w:p>
    <w:p w14:paraId="783A9A39" w14:textId="51B16D7B" w:rsidR="00173C19" w:rsidRPr="00497B48" w:rsidRDefault="00173C19" w:rsidP="003B1753">
      <w:pPr>
        <w:spacing w:after="120" w:line="240" w:lineRule="auto"/>
      </w:pPr>
      <w:r w:rsidRPr="00497B48">
        <w:t xml:space="preserve">ITE content related to classroom management should consider common whole-school frameworks and models that </w:t>
      </w:r>
      <w:r w:rsidR="004D2369">
        <w:t>ITE students</w:t>
      </w:r>
      <w:r w:rsidRPr="00497B48">
        <w:t xml:space="preserve"> may encounter in schools. The practices outlined above lift and prioritise what the evidence shows work</w:t>
      </w:r>
      <w:r>
        <w:t>s</w:t>
      </w:r>
      <w:r w:rsidRPr="00497B48">
        <w:t xml:space="preserve"> during an individual teacher</w:t>
      </w:r>
      <w:r>
        <w:t>’</w:t>
      </w:r>
      <w:r w:rsidRPr="00497B48">
        <w:t xml:space="preserve">s classroom practice, but it is important for </w:t>
      </w:r>
      <w:r w:rsidR="00537953">
        <w:t>higher education</w:t>
      </w:r>
      <w:r w:rsidR="00A312A1">
        <w:t xml:space="preserve"> </w:t>
      </w:r>
      <w:r w:rsidRPr="00497B48">
        <w:t xml:space="preserve">providers to acknowledge broader school processes and frameworks. Understanding the place these evidence-based practices have in a broader framework will support </w:t>
      </w:r>
      <w:r w:rsidR="004D2369">
        <w:t>ITE students</w:t>
      </w:r>
      <w:r w:rsidRPr="00497B48">
        <w:t xml:space="preserve"> in being classroom and school ready.  </w:t>
      </w:r>
    </w:p>
    <w:p w14:paraId="295EA6A9" w14:textId="0E5822F1" w:rsidR="009B043D" w:rsidRPr="00FB1364" w:rsidRDefault="009B043D" w:rsidP="00022328">
      <w:pPr>
        <w:keepNext/>
        <w:spacing w:after="0" w:line="240" w:lineRule="auto"/>
        <w:rPr>
          <w:rFonts w:ascii="Calibri" w:hAnsi="Calibri" w:cs="Calibri"/>
          <w:b/>
          <w:i/>
          <w:sz w:val="26"/>
          <w:szCs w:val="26"/>
        </w:rPr>
      </w:pPr>
      <w:r w:rsidRPr="00FB1364">
        <w:rPr>
          <w:b/>
          <w:sz w:val="26"/>
          <w:szCs w:val="26"/>
        </w:rPr>
        <w:t xml:space="preserve">What should </w:t>
      </w:r>
      <w:r w:rsidR="00DF3DD8">
        <w:rPr>
          <w:b/>
          <w:sz w:val="26"/>
          <w:szCs w:val="26"/>
        </w:rPr>
        <w:t>graduate teachers</w:t>
      </w:r>
      <w:r w:rsidR="00775CAF">
        <w:rPr>
          <w:b/>
          <w:sz w:val="26"/>
          <w:szCs w:val="26"/>
        </w:rPr>
        <w:t xml:space="preserve"> </w:t>
      </w:r>
      <w:r w:rsidRPr="00F8798D">
        <w:rPr>
          <w:b/>
          <w:sz w:val="26"/>
          <w:szCs w:val="26"/>
        </w:rPr>
        <w:t>demonstrate</w:t>
      </w:r>
      <w:r w:rsidRPr="00FB1364">
        <w:rPr>
          <w:b/>
          <w:sz w:val="26"/>
          <w:szCs w:val="26"/>
        </w:rPr>
        <w:t>?</w:t>
      </w:r>
    </w:p>
    <w:p w14:paraId="0E0FE61E" w14:textId="218A2FE6" w:rsidR="002C6263" w:rsidRPr="004C6DFD" w:rsidRDefault="002C6263" w:rsidP="007D6F33">
      <w:pPr>
        <w:pStyle w:val="ListParagraph"/>
        <w:numPr>
          <w:ilvl w:val="0"/>
          <w:numId w:val="33"/>
        </w:numPr>
        <w:suppressAutoHyphens/>
        <w:spacing w:after="160"/>
        <w:rPr>
          <w:rFonts w:ascii="Calibri" w:hAnsi="Calibri" w:cs="Calibri"/>
          <w:sz w:val="22"/>
          <w:szCs w:val="22"/>
        </w:rPr>
      </w:pPr>
      <w:r w:rsidRPr="004C6DFD">
        <w:rPr>
          <w:rFonts w:ascii="Calibri" w:hAnsi="Calibri" w:cs="Calibri"/>
          <w:sz w:val="22"/>
          <w:szCs w:val="22"/>
        </w:rPr>
        <w:t xml:space="preserve">Knowledge of and skill in the </w:t>
      </w:r>
      <w:r w:rsidR="6D3AA4B5" w:rsidRPr="55CC6AD8">
        <w:rPr>
          <w:rFonts w:ascii="Calibri" w:hAnsi="Calibri" w:cs="Calibri"/>
          <w:sz w:val="22"/>
          <w:szCs w:val="22"/>
        </w:rPr>
        <w:t xml:space="preserve">application </w:t>
      </w:r>
      <w:r w:rsidRPr="55CC6AD8">
        <w:rPr>
          <w:rFonts w:ascii="Calibri" w:hAnsi="Calibri" w:cs="Calibri"/>
          <w:sz w:val="22"/>
          <w:szCs w:val="22"/>
        </w:rPr>
        <w:t>of</w:t>
      </w:r>
      <w:r w:rsidRPr="004C6DFD">
        <w:rPr>
          <w:rFonts w:ascii="Calibri" w:hAnsi="Calibri" w:cs="Calibri"/>
          <w:sz w:val="22"/>
          <w:szCs w:val="22"/>
        </w:rPr>
        <w:t xml:space="preserve"> rules and routines in establishing a structured, safe and positive classroom environment (i.e., entry and exit routines, explicit teaching and reinforcement of rules, protocols for common activities).</w:t>
      </w:r>
    </w:p>
    <w:p w14:paraId="12FBBE94" w14:textId="3834FA5E" w:rsidR="002C6263" w:rsidRDefault="002C6263" w:rsidP="007D6F33">
      <w:pPr>
        <w:pStyle w:val="ListParagraph"/>
        <w:numPr>
          <w:ilvl w:val="0"/>
          <w:numId w:val="33"/>
        </w:numPr>
        <w:suppressAutoHyphens/>
        <w:spacing w:before="160" w:after="160"/>
        <w:rPr>
          <w:rFonts w:ascii="Calibri" w:hAnsi="Calibri" w:cs="Calibri"/>
          <w:sz w:val="22"/>
          <w:szCs w:val="22"/>
        </w:rPr>
      </w:pPr>
      <w:r w:rsidRPr="004C6DFD">
        <w:rPr>
          <w:rFonts w:ascii="Calibri" w:hAnsi="Calibri" w:cs="Calibri"/>
          <w:sz w:val="22"/>
          <w:szCs w:val="22"/>
        </w:rPr>
        <w:t xml:space="preserve">Knowledge of and skill in </w:t>
      </w:r>
      <w:r w:rsidR="5EA59741" w:rsidRPr="468AF817">
        <w:rPr>
          <w:rFonts w:ascii="Calibri" w:hAnsi="Calibri" w:cs="Calibri"/>
          <w:sz w:val="22"/>
          <w:szCs w:val="22"/>
        </w:rPr>
        <w:t>implementation</w:t>
      </w:r>
      <w:r w:rsidRPr="004C6DFD">
        <w:rPr>
          <w:rFonts w:ascii="Calibri" w:hAnsi="Calibri" w:cs="Calibri"/>
          <w:sz w:val="22"/>
          <w:szCs w:val="22"/>
        </w:rPr>
        <w:t xml:space="preserve"> of proactive practices in preventing misbehaviour and/or disengagement, including the role of high-quality instruction as a proactive practice. </w:t>
      </w:r>
    </w:p>
    <w:p w14:paraId="278BBB42" w14:textId="782EB91F" w:rsidR="008B50AD" w:rsidRPr="004C6DFD" w:rsidRDefault="008B50AD" w:rsidP="007D6F33">
      <w:pPr>
        <w:pStyle w:val="ListParagraph"/>
        <w:numPr>
          <w:ilvl w:val="0"/>
          <w:numId w:val="33"/>
        </w:numPr>
        <w:suppressAutoHyphens/>
        <w:spacing w:before="160" w:after="160"/>
        <w:rPr>
          <w:rFonts w:ascii="Calibri" w:hAnsi="Calibri" w:cs="Calibri"/>
          <w:sz w:val="22"/>
          <w:szCs w:val="22"/>
        </w:rPr>
      </w:pPr>
      <w:r w:rsidRPr="414FA1D1">
        <w:rPr>
          <w:rFonts w:ascii="Calibri" w:hAnsi="Calibri" w:cs="Calibri"/>
          <w:sz w:val="22"/>
          <w:szCs w:val="22"/>
        </w:rPr>
        <w:t>An ability to practice and apply proactive practices, including setting high expectations, building positive relationships, providing structure and setting ambitious, achievable and personalised</w:t>
      </w:r>
      <w:r w:rsidR="00DC515E">
        <w:rPr>
          <w:rFonts w:ascii="Calibri" w:hAnsi="Calibri" w:cs="Calibri"/>
          <w:sz w:val="22"/>
          <w:szCs w:val="22"/>
        </w:rPr>
        <w:t xml:space="preserve"> goals</w:t>
      </w:r>
      <w:r w:rsidR="00E84D7D">
        <w:rPr>
          <w:rFonts w:ascii="Calibri" w:hAnsi="Calibri" w:cs="Calibri"/>
          <w:sz w:val="22"/>
          <w:szCs w:val="22"/>
        </w:rPr>
        <w:t>.</w:t>
      </w:r>
    </w:p>
    <w:p w14:paraId="2B8B8AE0" w14:textId="77777777" w:rsidR="002C6263" w:rsidRPr="004C6DFD" w:rsidRDefault="002C6263" w:rsidP="00014781">
      <w:pPr>
        <w:pStyle w:val="ListParagraph"/>
        <w:numPr>
          <w:ilvl w:val="0"/>
          <w:numId w:val="33"/>
        </w:numPr>
        <w:suppressAutoHyphens/>
        <w:spacing w:after="240"/>
        <w:ind w:left="357" w:hanging="357"/>
        <w:rPr>
          <w:rFonts w:ascii="Calibri" w:hAnsi="Calibri" w:cs="Calibri"/>
          <w:sz w:val="22"/>
          <w:szCs w:val="22"/>
        </w:rPr>
      </w:pPr>
      <w:r w:rsidRPr="004C6DFD">
        <w:rPr>
          <w:rFonts w:ascii="Calibri" w:hAnsi="Calibri" w:cs="Calibri"/>
          <w:sz w:val="22"/>
          <w:szCs w:val="22"/>
        </w:rPr>
        <w:t xml:space="preserve">An ability to practice and apply techniques that positively and effectively manage behaviour in classroom contexts, including the use of calm, consistent and proportional responses, behaviour modelling and feedback that gives attention to the desired behaviour rather than the undesired behaviour. </w:t>
      </w:r>
    </w:p>
    <w:p w14:paraId="31AA63E7" w14:textId="004C3307" w:rsidR="009B043D" w:rsidRPr="00FB1364" w:rsidRDefault="000E5AF6" w:rsidP="00B97DB9">
      <w:pPr>
        <w:keepNext/>
        <w:spacing w:after="0" w:line="240" w:lineRule="auto"/>
        <w:rPr>
          <w:rFonts w:ascii="Calibri" w:hAnsi="Calibri" w:cs="Calibri"/>
          <w:color w:val="000000" w:themeColor="text1"/>
          <w:sz w:val="26"/>
          <w:szCs w:val="26"/>
        </w:rPr>
      </w:pPr>
      <w:r w:rsidRPr="00FB1364">
        <w:rPr>
          <w:b/>
          <w:sz w:val="26"/>
          <w:szCs w:val="26"/>
        </w:rPr>
        <w:t xml:space="preserve">Graduate </w:t>
      </w:r>
      <w:r w:rsidR="00EC4AA4" w:rsidRPr="00FB1364">
        <w:rPr>
          <w:b/>
          <w:sz w:val="26"/>
          <w:szCs w:val="26"/>
        </w:rPr>
        <w:t>T</w:t>
      </w:r>
      <w:r w:rsidRPr="00FB1364">
        <w:rPr>
          <w:b/>
          <w:sz w:val="26"/>
          <w:szCs w:val="26"/>
        </w:rPr>
        <w:t xml:space="preserve">eacher </w:t>
      </w:r>
      <w:r w:rsidR="00EC4AA4" w:rsidRPr="00FB1364">
        <w:rPr>
          <w:b/>
          <w:sz w:val="26"/>
          <w:szCs w:val="26"/>
        </w:rPr>
        <w:t>S</w:t>
      </w:r>
      <w:r w:rsidRPr="00FB1364">
        <w:rPr>
          <w:b/>
          <w:sz w:val="26"/>
          <w:szCs w:val="26"/>
        </w:rPr>
        <w:t>tandards</w:t>
      </w:r>
    </w:p>
    <w:p w14:paraId="7DA45227" w14:textId="1612374B" w:rsidR="00CD6AA2" w:rsidRPr="00721A92" w:rsidRDefault="00CD6AA2" w:rsidP="003B1753">
      <w:pPr>
        <w:spacing w:after="120" w:line="240" w:lineRule="auto"/>
        <w:textAlignment w:val="baseline"/>
        <w:rPr>
          <w:rFonts w:ascii="Segoe UI" w:eastAsia="Times New Roman" w:hAnsi="Segoe UI" w:cs="Segoe UI"/>
          <w:sz w:val="18"/>
          <w:szCs w:val="18"/>
          <w:lang w:eastAsia="en-AU"/>
        </w:rPr>
      </w:pPr>
      <w:r w:rsidRPr="00497B48">
        <w:t xml:space="preserve">This content </w:t>
      </w:r>
      <w:r w:rsidR="00131891">
        <w:t>supports</w:t>
      </w:r>
      <w:r w:rsidRPr="00497B48">
        <w:t xml:space="preserve"> the Graduate </w:t>
      </w:r>
      <w:r w:rsidR="00EC4AA4">
        <w:t>T</w:t>
      </w:r>
      <w:r w:rsidR="03CAA7BF">
        <w:t>eacher</w:t>
      </w:r>
      <w:r w:rsidR="25C1E75F">
        <w:t xml:space="preserve"> </w:t>
      </w:r>
      <w:r w:rsidR="00EC4AA4">
        <w:t>S</w:t>
      </w:r>
      <w:r>
        <w:t>tandards</w:t>
      </w:r>
      <w:r w:rsidR="00F26391">
        <w:t xml:space="preserve"> on Professional Knowledge</w:t>
      </w:r>
      <w:r>
        <w:t xml:space="preserve"> (</w:t>
      </w:r>
      <w:r>
        <w:rPr>
          <w:i/>
          <w:iCs/>
        </w:rPr>
        <w:t>1.2)</w:t>
      </w:r>
      <w:r w:rsidR="00F26391">
        <w:t xml:space="preserve"> and Professional Practice</w:t>
      </w:r>
      <w:r>
        <w:t xml:space="preserve"> (</w:t>
      </w:r>
      <w:r>
        <w:rPr>
          <w:i/>
          <w:iCs/>
        </w:rPr>
        <w:t>3.1 and 3.5</w:t>
      </w:r>
      <w:r w:rsidR="00F26391">
        <w:rPr>
          <w:i/>
          <w:iCs/>
        </w:rPr>
        <w:t xml:space="preserve">; </w:t>
      </w:r>
      <w:r>
        <w:rPr>
          <w:i/>
          <w:iCs/>
        </w:rPr>
        <w:t>4.1-4.4 inclusive)</w:t>
      </w:r>
      <w:r w:rsidRPr="00497B48">
        <w:t>.</w:t>
      </w:r>
      <w:r w:rsidR="00BC6BEB" w:rsidRPr="00BC6BEB">
        <w:rPr>
          <w:rFonts w:ascii="Calibri" w:eastAsia="Times New Roman" w:hAnsi="Calibri" w:cs="Calibri"/>
          <w:color w:val="000000"/>
          <w:shd w:val="clear" w:color="auto" w:fill="FFFFFF"/>
          <w:lang w:eastAsia="en-AU"/>
        </w:rPr>
        <w:t xml:space="preserve"> </w:t>
      </w:r>
    </w:p>
    <w:p w14:paraId="3EFC09FC" w14:textId="77777777" w:rsidR="00F94572" w:rsidRDefault="00F94572" w:rsidP="00DB0012">
      <w:pPr>
        <w:spacing w:after="0" w:line="240" w:lineRule="auto"/>
        <w:rPr>
          <w:rStyle w:val="Heading4Char"/>
          <w:rFonts w:asciiTheme="minorHAnsi" w:hAnsiTheme="minorHAnsi" w:cstheme="minorBidi"/>
          <w:color w:val="002C3E" w:themeColor="background2"/>
        </w:rPr>
      </w:pPr>
    </w:p>
    <w:p w14:paraId="53B404E9" w14:textId="77777777" w:rsidR="00F94572" w:rsidRDefault="00F94572" w:rsidP="00DB0012">
      <w:pPr>
        <w:spacing w:after="0" w:line="240" w:lineRule="auto"/>
        <w:rPr>
          <w:rStyle w:val="Heading4Char"/>
          <w:rFonts w:asciiTheme="minorHAnsi" w:hAnsiTheme="minorHAnsi" w:cstheme="minorBidi"/>
          <w:color w:val="002C3E" w:themeColor="background2"/>
        </w:rPr>
      </w:pPr>
    </w:p>
    <w:p w14:paraId="676BFBA6" w14:textId="614CA071" w:rsidR="00AA45C1" w:rsidRDefault="00142568" w:rsidP="00DB0012">
      <w:pPr>
        <w:spacing w:after="0" w:line="240" w:lineRule="auto"/>
        <w:rPr>
          <w:rStyle w:val="Heading4Char"/>
          <w:rFonts w:asciiTheme="minorHAnsi" w:hAnsiTheme="minorHAnsi" w:cstheme="minorBidi"/>
          <w:color w:val="002C3E" w:themeColor="background2"/>
        </w:rPr>
      </w:pPr>
      <w:r>
        <w:rPr>
          <w:rStyle w:val="Heading4Char"/>
          <w:rFonts w:asciiTheme="minorHAnsi" w:hAnsiTheme="minorHAnsi" w:cstheme="minorBidi"/>
          <w:color w:val="002C3E" w:themeColor="background2"/>
        </w:rPr>
        <w:lastRenderedPageBreak/>
        <w:t xml:space="preserve">1.2.4 </w:t>
      </w:r>
      <w:r w:rsidR="0061694E" w:rsidRPr="50ABFACE">
        <w:rPr>
          <w:rStyle w:val="Heading4Char"/>
          <w:rFonts w:asciiTheme="minorHAnsi" w:hAnsiTheme="minorHAnsi" w:cstheme="minorBidi"/>
          <w:color w:val="002C3E" w:themeColor="background2"/>
        </w:rPr>
        <w:t>Enabling factors for learning</w:t>
      </w:r>
    </w:p>
    <w:p w14:paraId="51A47707" w14:textId="4E560F41" w:rsidR="00790D1B" w:rsidRDefault="00BC6BEB" w:rsidP="00970F97">
      <w:pPr>
        <w:spacing w:after="120" w:line="240" w:lineRule="auto"/>
        <w:rPr>
          <w:rFonts w:ascii="Calibri" w:eastAsia="Times New Roman" w:hAnsi="Calibri" w:cs="Calibri"/>
          <w:color w:val="000000"/>
          <w:lang w:eastAsia="en-AU"/>
        </w:rPr>
      </w:pPr>
      <w:r w:rsidRPr="000D2DE4">
        <w:rPr>
          <w:rFonts w:ascii="Calibri" w:eastAsia="Times New Roman" w:hAnsi="Calibri" w:cs="Calibri"/>
          <w:color w:val="000000"/>
          <w:shd w:val="clear" w:color="auto" w:fill="FFFFFF"/>
          <w:lang w:eastAsia="en-AU"/>
        </w:rPr>
        <w:t xml:space="preserve">The enabling factors presented here are those that need particular attention to best support graduates to be classroom ready: </w:t>
      </w:r>
      <w:r w:rsidR="009F584F">
        <w:rPr>
          <w:rFonts w:ascii="Calibri" w:eastAsia="Times New Roman" w:hAnsi="Calibri" w:cs="Calibri"/>
          <w:color w:val="000000"/>
          <w:shd w:val="clear" w:color="auto" w:fill="FFFFFF"/>
          <w:lang w:eastAsia="en-AU"/>
        </w:rPr>
        <w:t>First Nations peoples</w:t>
      </w:r>
      <w:r w:rsidR="0088457F">
        <w:rPr>
          <w:rFonts w:ascii="Calibri" w:eastAsia="Times New Roman" w:hAnsi="Calibri" w:cs="Calibri"/>
          <w:color w:val="000000"/>
          <w:shd w:val="clear" w:color="auto" w:fill="FFFFFF"/>
          <w:lang w:eastAsia="en-AU"/>
        </w:rPr>
        <w:t xml:space="preserve">, their </w:t>
      </w:r>
      <w:r w:rsidR="009F584F">
        <w:rPr>
          <w:rFonts w:ascii="Calibri" w:eastAsia="Times New Roman" w:hAnsi="Calibri" w:cs="Calibri"/>
          <w:color w:val="000000"/>
          <w:shd w:val="clear" w:color="auto" w:fill="FFFFFF"/>
          <w:lang w:eastAsia="en-AU"/>
        </w:rPr>
        <w:t>culture</w:t>
      </w:r>
      <w:r w:rsidR="0088457F">
        <w:rPr>
          <w:rFonts w:ascii="Calibri" w:eastAsia="Times New Roman" w:hAnsi="Calibri" w:cs="Calibri"/>
          <w:color w:val="000000"/>
          <w:shd w:val="clear" w:color="auto" w:fill="FFFFFF"/>
          <w:lang w:eastAsia="en-AU"/>
        </w:rPr>
        <w:t>s and perspectives</w:t>
      </w:r>
      <w:r w:rsidR="009F584F">
        <w:rPr>
          <w:rFonts w:ascii="Calibri" w:eastAsia="Times New Roman" w:hAnsi="Calibri" w:cs="Calibri"/>
          <w:color w:val="000000"/>
          <w:shd w:val="clear" w:color="auto" w:fill="FFFFFF"/>
          <w:lang w:eastAsia="en-AU"/>
        </w:rPr>
        <w:t xml:space="preserve">, </w:t>
      </w:r>
      <w:r w:rsidRPr="000D2DE4">
        <w:rPr>
          <w:rFonts w:ascii="Calibri" w:eastAsia="Times New Roman" w:hAnsi="Calibri" w:cs="Calibri"/>
          <w:color w:val="000000"/>
          <w:shd w:val="clear" w:color="auto" w:fill="FFFFFF"/>
          <w:lang w:eastAsia="en-AU"/>
        </w:rPr>
        <w:t>cultural</w:t>
      </w:r>
      <w:r>
        <w:rPr>
          <w:rFonts w:ascii="Calibri" w:eastAsia="Times New Roman" w:hAnsi="Calibri" w:cs="Calibri"/>
          <w:color w:val="000000"/>
          <w:shd w:val="clear" w:color="auto" w:fill="FFFFFF"/>
          <w:lang w:eastAsia="en-AU"/>
        </w:rPr>
        <w:t>ly</w:t>
      </w:r>
      <w:r w:rsidRPr="000D2DE4">
        <w:rPr>
          <w:rFonts w:ascii="Calibri" w:eastAsia="Times New Roman" w:hAnsi="Calibri" w:cs="Calibri"/>
          <w:color w:val="000000"/>
          <w:shd w:val="clear" w:color="auto" w:fill="FFFFFF"/>
          <w:lang w:eastAsia="en-AU"/>
        </w:rPr>
        <w:t xml:space="preserve"> responsive teaching, family engagement </w:t>
      </w:r>
      <w:r>
        <w:rPr>
          <w:rFonts w:ascii="Calibri" w:eastAsia="Times New Roman" w:hAnsi="Calibri" w:cs="Calibri"/>
          <w:color w:val="000000"/>
          <w:shd w:val="clear" w:color="auto" w:fill="FFFFFF"/>
          <w:lang w:eastAsia="en-AU"/>
        </w:rPr>
        <w:t>for</w:t>
      </w:r>
      <w:r w:rsidRPr="000D2DE4">
        <w:rPr>
          <w:rFonts w:ascii="Calibri" w:eastAsia="Times New Roman" w:hAnsi="Calibri" w:cs="Calibri"/>
          <w:color w:val="000000"/>
          <w:shd w:val="clear" w:color="auto" w:fill="FFFFFF"/>
          <w:lang w:eastAsia="en-AU"/>
        </w:rPr>
        <w:t xml:space="preserve"> learning </w:t>
      </w:r>
      <w:r>
        <w:rPr>
          <w:rFonts w:ascii="Calibri" w:eastAsia="Times New Roman" w:hAnsi="Calibri" w:cs="Calibri"/>
          <w:color w:val="000000"/>
          <w:shd w:val="clear" w:color="auto" w:fill="FFFFFF"/>
          <w:lang w:eastAsia="en-AU"/>
        </w:rPr>
        <w:t>and</w:t>
      </w:r>
      <w:r w:rsidRPr="000D2DE4">
        <w:rPr>
          <w:rFonts w:ascii="Calibri" w:eastAsia="Times New Roman" w:hAnsi="Calibri" w:cs="Calibri"/>
          <w:color w:val="000000"/>
          <w:shd w:val="clear" w:color="auto" w:fill="FFFFFF"/>
          <w:lang w:eastAsia="en-AU"/>
        </w:rPr>
        <w:t xml:space="preserve"> diverse learning needs. </w:t>
      </w:r>
      <w:r w:rsidRPr="000D2DE4">
        <w:rPr>
          <w:rFonts w:ascii="Calibri" w:eastAsia="Times New Roman" w:hAnsi="Calibri" w:cs="Calibri"/>
          <w:color w:val="000000"/>
          <w:lang w:eastAsia="en-AU"/>
        </w:rPr>
        <w:t> </w:t>
      </w:r>
    </w:p>
    <w:p w14:paraId="55B80E61" w14:textId="64C6D0DF" w:rsidR="00790D1B" w:rsidRPr="00CE3835" w:rsidRDefault="00790D1B" w:rsidP="00D5108D">
      <w:pPr>
        <w:pStyle w:val="ListParagraph"/>
        <w:numPr>
          <w:ilvl w:val="0"/>
          <w:numId w:val="50"/>
        </w:numPr>
        <w:ind w:left="284" w:hanging="284"/>
        <w:textAlignment w:val="baseline"/>
        <w:rPr>
          <w:rFonts w:ascii="Calibri" w:eastAsia="Times New Roman" w:hAnsi="Calibri" w:cs="Calibri"/>
          <w:b/>
          <w:bCs/>
          <w:sz w:val="26"/>
          <w:szCs w:val="26"/>
          <w:lang w:eastAsia="en-AU"/>
        </w:rPr>
      </w:pPr>
      <w:r w:rsidRPr="00CE3835">
        <w:rPr>
          <w:rFonts w:ascii="Calibri" w:eastAsia="Times New Roman" w:hAnsi="Calibri" w:cs="Calibri"/>
          <w:b/>
          <w:bCs/>
          <w:sz w:val="26"/>
          <w:szCs w:val="26"/>
          <w:lang w:eastAsia="en-AU"/>
        </w:rPr>
        <w:t>First Nations </w:t>
      </w:r>
      <w:r w:rsidR="00CF2B86">
        <w:rPr>
          <w:rFonts w:ascii="Calibri" w:eastAsia="Times New Roman" w:hAnsi="Calibri" w:cs="Calibri"/>
          <w:b/>
          <w:bCs/>
          <w:sz w:val="26"/>
          <w:szCs w:val="26"/>
          <w:lang w:eastAsia="en-AU"/>
        </w:rPr>
        <w:t>peoples</w:t>
      </w:r>
      <w:r w:rsidR="00EE4885">
        <w:rPr>
          <w:rFonts w:ascii="Calibri" w:eastAsia="Times New Roman" w:hAnsi="Calibri" w:cs="Calibri"/>
          <w:b/>
          <w:bCs/>
          <w:sz w:val="26"/>
          <w:szCs w:val="26"/>
          <w:lang w:eastAsia="en-AU"/>
        </w:rPr>
        <w:t>, their</w:t>
      </w:r>
      <w:r w:rsidR="00CF2B86">
        <w:rPr>
          <w:rFonts w:ascii="Calibri" w:eastAsia="Times New Roman" w:hAnsi="Calibri" w:cs="Calibri"/>
          <w:b/>
          <w:bCs/>
          <w:sz w:val="26"/>
          <w:szCs w:val="26"/>
          <w:lang w:eastAsia="en-AU"/>
        </w:rPr>
        <w:t xml:space="preserve"> culture</w:t>
      </w:r>
      <w:r w:rsidR="00EE4885">
        <w:rPr>
          <w:rFonts w:ascii="Calibri" w:eastAsia="Times New Roman" w:hAnsi="Calibri" w:cs="Calibri"/>
          <w:b/>
          <w:bCs/>
          <w:sz w:val="26"/>
          <w:szCs w:val="26"/>
          <w:lang w:eastAsia="en-AU"/>
        </w:rPr>
        <w:t>s and perspectives</w:t>
      </w:r>
    </w:p>
    <w:p w14:paraId="3B0D5B69" w14:textId="23F1A8D2" w:rsidR="00CE3835" w:rsidRPr="00721A92" w:rsidRDefault="00CE3835" w:rsidP="00790D1B">
      <w:pPr>
        <w:spacing w:after="0" w:line="240" w:lineRule="auto"/>
        <w:textAlignment w:val="baseline"/>
        <w:rPr>
          <w:rFonts w:ascii="Segoe UI" w:eastAsia="Times New Roman" w:hAnsi="Segoe UI" w:cs="Segoe UI"/>
          <w:b/>
          <w:sz w:val="20"/>
          <w:szCs w:val="20"/>
          <w:lang w:eastAsia="en-AU"/>
        </w:rPr>
      </w:pPr>
      <w:r w:rsidRPr="00721A92">
        <w:rPr>
          <w:rFonts w:ascii="Calibri" w:eastAsia="Times New Roman" w:hAnsi="Calibri" w:cs="Calibri"/>
          <w:b/>
          <w:sz w:val="24"/>
          <w:szCs w:val="24"/>
          <w:lang w:eastAsia="en-AU"/>
        </w:rPr>
        <w:t xml:space="preserve">What is the </w:t>
      </w:r>
      <w:r w:rsidR="00217ACA">
        <w:rPr>
          <w:rFonts w:ascii="Calibri" w:eastAsia="Times New Roman" w:hAnsi="Calibri" w:cs="Calibri"/>
          <w:b/>
          <w:sz w:val="24"/>
          <w:szCs w:val="24"/>
          <w:lang w:eastAsia="en-AU"/>
        </w:rPr>
        <w:t>e</w:t>
      </w:r>
      <w:r w:rsidRPr="00721A92">
        <w:rPr>
          <w:rFonts w:ascii="Calibri" w:eastAsia="Times New Roman" w:hAnsi="Calibri" w:cs="Calibri"/>
          <w:b/>
          <w:sz w:val="24"/>
          <w:szCs w:val="24"/>
          <w:lang w:eastAsia="en-AU"/>
        </w:rPr>
        <w:t>vidence</w:t>
      </w:r>
      <w:r w:rsidR="003508A1" w:rsidRPr="00721A92">
        <w:rPr>
          <w:rFonts w:ascii="Calibri" w:eastAsia="Times New Roman" w:hAnsi="Calibri" w:cs="Calibri"/>
          <w:b/>
          <w:sz w:val="24"/>
          <w:szCs w:val="24"/>
          <w:lang w:eastAsia="en-AU"/>
        </w:rPr>
        <w:t>?</w:t>
      </w:r>
    </w:p>
    <w:p w14:paraId="110C82D2" w14:textId="4ECCD57A" w:rsidR="00790D1B" w:rsidRDefault="00790D1B" w:rsidP="00970F97">
      <w:pPr>
        <w:spacing w:after="120" w:line="240" w:lineRule="auto"/>
      </w:pPr>
      <w:r>
        <w:rPr>
          <w:rFonts w:ascii="Calibri" w:eastAsia="Times New Roman" w:hAnsi="Calibri" w:cs="Calibri"/>
          <w:lang w:eastAsia="en-AU"/>
        </w:rPr>
        <w:t>A</w:t>
      </w:r>
      <w:r w:rsidRPr="000D2DE4">
        <w:rPr>
          <w:rFonts w:ascii="Calibri" w:eastAsia="Times New Roman" w:hAnsi="Calibri" w:cs="Calibri"/>
          <w:lang w:eastAsia="en-AU"/>
        </w:rPr>
        <w:t xml:space="preserve"> synthesis of key themes and recommendations proposed through seminal reviews and reports was undertaken</w:t>
      </w:r>
      <w:r>
        <w:rPr>
          <w:rFonts w:ascii="Calibri" w:eastAsia="Times New Roman" w:hAnsi="Calibri" w:cs="Calibri"/>
          <w:lang w:eastAsia="en-AU"/>
        </w:rPr>
        <w:t xml:space="preserve"> by AERO </w:t>
      </w:r>
      <w:r>
        <w:t>to centre First Nations voices, and lift and prioritise</w:t>
      </w:r>
      <w:r w:rsidDel="00C86A74">
        <w:t xml:space="preserve"> </w:t>
      </w:r>
      <w:r>
        <w:t xml:space="preserve">well-considered, practical, and realistic suggestions </w:t>
      </w:r>
      <w:r w:rsidRPr="00943975">
        <w:t xml:space="preserve">(Education Ministers 2019; AITSL 2022b; Moreton-Robinson et al. 2012; Rhea et al. 2012; </w:t>
      </w:r>
      <w:r w:rsidR="005D6666">
        <w:t>QITE Review</w:t>
      </w:r>
      <w:r w:rsidRPr="00943975">
        <w:t>).</w:t>
      </w:r>
      <w:r>
        <w:t xml:space="preserve"> A</w:t>
      </w:r>
      <w:r w:rsidRPr="00943975">
        <w:t>ll seminal works</w:t>
      </w:r>
      <w:r w:rsidRPr="000D2DE4">
        <w:rPr>
          <w:rFonts w:ascii="Calibri" w:eastAsia="Times New Roman" w:hAnsi="Calibri" w:cs="Calibri"/>
          <w:lang w:eastAsia="en-AU"/>
        </w:rPr>
        <w:t xml:space="preserve"> selected contained extensive consultation work with First Nations people across Australia</w:t>
      </w:r>
      <w:r>
        <w:rPr>
          <w:rFonts w:ascii="Calibri" w:eastAsia="Times New Roman" w:hAnsi="Calibri" w:cs="Calibri"/>
          <w:lang w:eastAsia="en-AU"/>
        </w:rPr>
        <w:t>.</w:t>
      </w:r>
      <w:r w:rsidRPr="000D2DE4">
        <w:rPr>
          <w:rFonts w:ascii="Calibri" w:eastAsia="Times New Roman" w:hAnsi="Calibri" w:cs="Calibri"/>
          <w:lang w:eastAsia="en-AU"/>
        </w:rPr>
        <w:t xml:space="preserve"> AERO presented </w:t>
      </w:r>
      <w:r w:rsidRPr="000D2DE4" w:rsidDel="002B7A26">
        <w:rPr>
          <w:rFonts w:ascii="Calibri" w:eastAsia="Times New Roman" w:hAnsi="Calibri" w:cs="Calibri"/>
          <w:lang w:eastAsia="en-AU"/>
        </w:rPr>
        <w:t xml:space="preserve">the </w:t>
      </w:r>
      <w:r w:rsidRPr="000D2DE4">
        <w:rPr>
          <w:rFonts w:ascii="Calibri" w:eastAsia="Times New Roman" w:hAnsi="Calibri" w:cs="Calibri"/>
          <w:lang w:eastAsia="en-AU"/>
        </w:rPr>
        <w:t>key themes to its First Nations Expert Reference Group (FNERG) for feedback</w:t>
      </w:r>
      <w:r>
        <w:rPr>
          <w:rFonts w:ascii="Calibri" w:eastAsia="Times New Roman" w:hAnsi="Calibri" w:cs="Calibri"/>
          <w:lang w:eastAsia="en-AU"/>
        </w:rPr>
        <w:t xml:space="preserve"> and prioritisation</w:t>
      </w:r>
      <w:r w:rsidRPr="4FF4CD5C">
        <w:rPr>
          <w:rFonts w:ascii="Calibri" w:eastAsia="Times New Roman" w:hAnsi="Calibri" w:cs="Calibri"/>
          <w:lang w:eastAsia="en-AU"/>
        </w:rPr>
        <w:t>.</w:t>
      </w:r>
      <w:r>
        <w:rPr>
          <w:rFonts w:ascii="Calibri" w:eastAsia="Times New Roman" w:hAnsi="Calibri" w:cs="Calibri"/>
          <w:lang w:eastAsia="en-AU"/>
        </w:rPr>
        <w:t xml:space="preserve"> </w:t>
      </w:r>
      <w:r>
        <w:t xml:space="preserve">With reference to the development of ITE content related to local context, appropriate and authentic subject matter expertise should be sought by ITE providers and developed in collaboration with local First Nations groups. </w:t>
      </w:r>
    </w:p>
    <w:p w14:paraId="3BFE2D0D" w14:textId="77777777" w:rsidR="003508A1" w:rsidRPr="00721A92" w:rsidRDefault="003508A1" w:rsidP="003508A1">
      <w:pPr>
        <w:spacing w:after="0" w:line="240" w:lineRule="auto"/>
        <w:textAlignment w:val="baseline"/>
        <w:rPr>
          <w:rFonts w:ascii="Calibri" w:eastAsia="Times New Roman" w:hAnsi="Calibri" w:cs="Calibri"/>
          <w:sz w:val="24"/>
          <w:szCs w:val="24"/>
          <w:lang w:eastAsia="en-AU"/>
        </w:rPr>
      </w:pPr>
      <w:r w:rsidRPr="00721A92">
        <w:rPr>
          <w:rFonts w:ascii="Calibri" w:eastAsia="Times New Roman" w:hAnsi="Calibri" w:cs="Calibri"/>
          <w:b/>
          <w:sz w:val="24"/>
          <w:szCs w:val="24"/>
          <w:lang w:eastAsia="en-AU"/>
        </w:rPr>
        <w:t>What do ITE students need to learn?</w:t>
      </w:r>
      <w:r w:rsidRPr="00721A92">
        <w:rPr>
          <w:rFonts w:ascii="Calibri" w:eastAsia="Times New Roman" w:hAnsi="Calibri" w:cs="Calibri"/>
          <w:sz w:val="24"/>
          <w:szCs w:val="24"/>
          <w:lang w:eastAsia="en-AU"/>
        </w:rPr>
        <w:t> </w:t>
      </w:r>
    </w:p>
    <w:p w14:paraId="77B16A2E" w14:textId="71416D31" w:rsidR="003508A1" w:rsidRPr="004F4966" w:rsidRDefault="003508A1" w:rsidP="00970F97">
      <w:pPr>
        <w:spacing w:after="120" w:line="240" w:lineRule="auto"/>
        <w:textAlignment w:val="baseline"/>
        <w:rPr>
          <w:rFonts w:ascii="Calibri" w:eastAsia="Times New Roman" w:hAnsi="Calibri" w:cs="Calibri"/>
          <w:lang w:eastAsia="en-AU"/>
        </w:rPr>
      </w:pPr>
      <w:r w:rsidRPr="58B3F705">
        <w:rPr>
          <w:rFonts w:ascii="Calibri" w:eastAsia="Times New Roman" w:hAnsi="Calibri" w:cs="Calibri"/>
          <w:lang w:eastAsia="en-AU"/>
        </w:rPr>
        <w:t>ITE content as it relates to First Nations peoples</w:t>
      </w:r>
      <w:r w:rsidR="00DC2DCA">
        <w:rPr>
          <w:rFonts w:ascii="Calibri" w:eastAsia="Times New Roman" w:hAnsi="Calibri" w:cs="Calibri"/>
          <w:lang w:eastAsia="en-AU"/>
        </w:rPr>
        <w:t>, their</w:t>
      </w:r>
      <w:r w:rsidRPr="58B3F705">
        <w:rPr>
          <w:rFonts w:ascii="Calibri" w:eastAsia="Times New Roman" w:hAnsi="Calibri" w:cs="Calibri"/>
          <w:lang w:eastAsia="en-AU"/>
        </w:rPr>
        <w:t xml:space="preserve"> culture</w:t>
      </w:r>
      <w:r w:rsidR="00DC2DCA">
        <w:rPr>
          <w:rFonts w:ascii="Calibri" w:eastAsia="Times New Roman" w:hAnsi="Calibri" w:cs="Calibri"/>
          <w:lang w:eastAsia="en-AU"/>
        </w:rPr>
        <w:t>s and perspectives</w:t>
      </w:r>
      <w:r w:rsidRPr="58B3F705">
        <w:rPr>
          <w:rFonts w:ascii="Calibri" w:eastAsia="Times New Roman" w:hAnsi="Calibri" w:cs="Calibri"/>
          <w:lang w:eastAsia="en-AU"/>
        </w:rPr>
        <w:t xml:space="preserve"> should </w:t>
      </w:r>
      <w:r>
        <w:t xml:space="preserve">highlight the importance of critical self-reflection, intercultural development and understanding of First Nations culture and perspective in order to develop responsiveness (Anderson and Rhea 2018; AITSL 2022a). ITE students should learn about their own </w:t>
      </w:r>
      <w:r w:rsidR="00AF0634">
        <w:t xml:space="preserve">potential </w:t>
      </w:r>
      <w:r>
        <w:t xml:space="preserve">cultural biases and assumptions which </w:t>
      </w:r>
      <w:r w:rsidR="00AF0634">
        <w:t xml:space="preserve">can </w:t>
      </w:r>
      <w:r>
        <w:t xml:space="preserve">affect instructional practices, behaviours and attitudes in ways that may adversely impact First Nations </w:t>
      </w:r>
      <w:r w:rsidR="7F85F69B">
        <w:t>s</w:t>
      </w:r>
      <w:r>
        <w:t xml:space="preserve">tudents. </w:t>
      </w:r>
    </w:p>
    <w:p w14:paraId="6D187B7C" w14:textId="7EA84D3C" w:rsidR="003508A1" w:rsidRDefault="64997D1D" w:rsidP="00970F97">
      <w:pPr>
        <w:spacing w:after="0" w:line="240" w:lineRule="auto"/>
        <w:textAlignment w:val="baseline"/>
        <w:rPr>
          <w:rFonts w:ascii="Calibri" w:eastAsia="Times New Roman" w:hAnsi="Calibri" w:cs="Calibri"/>
          <w:lang w:eastAsia="en-AU"/>
        </w:rPr>
      </w:pPr>
      <w:r w:rsidRPr="2C03F412">
        <w:rPr>
          <w:rFonts w:ascii="Calibri" w:eastAsia="Times New Roman" w:hAnsi="Calibri" w:cs="Calibri"/>
          <w:lang w:eastAsia="en-AU"/>
        </w:rPr>
        <w:t xml:space="preserve">Content relating to First Nations histories, cultures and perspectives should be explicitly taught in ITE </w:t>
      </w:r>
      <w:r w:rsidR="588584C3" w:rsidRPr="2C03F412">
        <w:rPr>
          <w:rFonts w:ascii="Calibri" w:eastAsia="Times New Roman" w:hAnsi="Calibri" w:cs="Calibri"/>
          <w:lang w:eastAsia="en-AU"/>
        </w:rPr>
        <w:t>program</w:t>
      </w:r>
      <w:r w:rsidR="54985C76" w:rsidRPr="2C03F412">
        <w:rPr>
          <w:rFonts w:ascii="Calibri" w:eastAsia="Times New Roman" w:hAnsi="Calibri" w:cs="Calibri"/>
          <w:lang w:eastAsia="en-AU"/>
        </w:rPr>
        <w:t>s</w:t>
      </w:r>
      <w:r w:rsidR="588584C3" w:rsidRPr="2C03F412">
        <w:rPr>
          <w:rFonts w:ascii="Calibri" w:eastAsia="Times New Roman" w:hAnsi="Calibri" w:cs="Calibri"/>
          <w:lang w:eastAsia="en-AU"/>
        </w:rPr>
        <w:t xml:space="preserve">, </w:t>
      </w:r>
      <w:r w:rsidRPr="2C03F412">
        <w:rPr>
          <w:rFonts w:ascii="Calibri" w:eastAsia="Times New Roman" w:hAnsi="Calibri" w:cs="Calibri"/>
          <w:lang w:eastAsia="en-AU"/>
        </w:rPr>
        <w:t>emphasis</w:t>
      </w:r>
      <w:r w:rsidR="335CD7FF" w:rsidRPr="2C03F412">
        <w:rPr>
          <w:rFonts w:ascii="Calibri" w:eastAsia="Times New Roman" w:hAnsi="Calibri" w:cs="Calibri"/>
          <w:lang w:eastAsia="en-AU"/>
        </w:rPr>
        <w:t>ing</w:t>
      </w:r>
      <w:r w:rsidRPr="2C03F412">
        <w:rPr>
          <w:rFonts w:ascii="Calibri" w:eastAsia="Times New Roman" w:hAnsi="Calibri" w:cs="Calibri"/>
          <w:lang w:eastAsia="en-AU"/>
        </w:rPr>
        <w:t xml:space="preserve"> the diversity of these nations. </w:t>
      </w:r>
      <w:r>
        <w:t xml:space="preserve">This is not only so that First </w:t>
      </w:r>
      <w:r w:rsidR="4AC5486B">
        <w:t>N</w:t>
      </w:r>
      <w:r>
        <w:t xml:space="preserve">ations students can see themselves and their culture reflected in the classroom content but allows all students to engage in reconciliation respect and recognition of the world’s oldest continuous living culture. </w:t>
      </w:r>
      <w:r w:rsidRPr="2C03F412">
        <w:rPr>
          <w:rFonts w:ascii="Calibri" w:eastAsia="Times New Roman" w:hAnsi="Calibri" w:cs="Calibri"/>
          <w:lang w:eastAsia="en-AU"/>
        </w:rPr>
        <w:t xml:space="preserve">The cross-curriculum priority </w:t>
      </w:r>
      <w:r w:rsidRPr="2C03F412">
        <w:rPr>
          <w:rFonts w:ascii="Calibri" w:eastAsia="Times New Roman" w:hAnsi="Calibri" w:cs="Calibri"/>
          <w:i/>
          <w:iCs/>
          <w:lang w:eastAsia="en-AU"/>
        </w:rPr>
        <w:t>Aboriginal and Torres Strait Islander Histories and Cultures</w:t>
      </w:r>
      <w:r w:rsidRPr="2C03F412">
        <w:rPr>
          <w:rFonts w:ascii="Calibri" w:eastAsia="Times New Roman" w:hAnsi="Calibri" w:cs="Calibri"/>
          <w:lang w:eastAsia="en-AU"/>
        </w:rPr>
        <w:t xml:space="preserve"> in the Australian Curriculum presents a content framework which includes elaborations for integration in learning areas. The content in the Australian Curriculum paired with </w:t>
      </w:r>
      <w:r>
        <w:t xml:space="preserve">AITSL's </w:t>
      </w:r>
      <w:hyperlink r:id="rId41">
        <w:r w:rsidRPr="2C03F412">
          <w:rPr>
            <w:rStyle w:val="Hyperlink"/>
          </w:rPr>
          <w:t>assessment criteria for Graduate Teacher Standards 1.4 and 2.4</w:t>
        </w:r>
      </w:hyperlink>
      <w:r>
        <w:t xml:space="preserve"> </w:t>
      </w:r>
      <w:r w:rsidRPr="2C03F412">
        <w:rPr>
          <w:rFonts w:ascii="Calibri" w:eastAsia="Times New Roman" w:hAnsi="Calibri" w:cs="Calibri"/>
          <w:lang w:eastAsia="en-AU"/>
        </w:rPr>
        <w:t>provides a good starting point for higher education providers and includes content such as:</w:t>
      </w:r>
    </w:p>
    <w:p w14:paraId="5F4632DD" w14:textId="5CA3D9EF" w:rsidR="003508A1" w:rsidRPr="007A422D" w:rsidRDefault="009312AB" w:rsidP="00D5108D">
      <w:pPr>
        <w:pStyle w:val="ListParagraph"/>
        <w:numPr>
          <w:ilvl w:val="0"/>
          <w:numId w:val="48"/>
        </w:numPr>
        <w:spacing w:after="120"/>
        <w:textAlignment w:val="baseline"/>
        <w:rPr>
          <w:sz w:val="22"/>
          <w:szCs w:val="22"/>
        </w:rPr>
      </w:pPr>
      <w:r w:rsidRPr="009312AB">
        <w:rPr>
          <w:sz w:val="22"/>
          <w:szCs w:val="22"/>
        </w:rPr>
        <w:t>d</w:t>
      </w:r>
      <w:r w:rsidR="003508A1" w:rsidRPr="009312AB">
        <w:rPr>
          <w:sz w:val="22"/>
          <w:szCs w:val="22"/>
        </w:rPr>
        <w:t>iversity</w:t>
      </w:r>
      <w:r w:rsidR="003508A1" w:rsidRPr="007A422D">
        <w:rPr>
          <w:sz w:val="22"/>
          <w:szCs w:val="22"/>
        </w:rPr>
        <w:t xml:space="preserve"> within and across First Nations (culture, perspective, language, history and impact of colonisation) </w:t>
      </w:r>
    </w:p>
    <w:p w14:paraId="231A3B01" w14:textId="1DBECF63" w:rsidR="003508A1" w:rsidRPr="007A422D" w:rsidRDefault="009312AB" w:rsidP="00D5108D">
      <w:pPr>
        <w:pStyle w:val="ListParagraph"/>
        <w:numPr>
          <w:ilvl w:val="0"/>
          <w:numId w:val="48"/>
        </w:numPr>
        <w:spacing w:after="120"/>
        <w:rPr>
          <w:sz w:val="22"/>
          <w:szCs w:val="22"/>
        </w:rPr>
      </w:pPr>
      <w:r w:rsidRPr="009312AB">
        <w:rPr>
          <w:sz w:val="22"/>
          <w:szCs w:val="22"/>
        </w:rPr>
        <w:t>e</w:t>
      </w:r>
      <w:r w:rsidR="003508A1" w:rsidRPr="009312AB">
        <w:rPr>
          <w:sz w:val="22"/>
          <w:szCs w:val="22"/>
        </w:rPr>
        <w:t>ngaging</w:t>
      </w:r>
      <w:r w:rsidR="003508A1" w:rsidRPr="007A422D">
        <w:rPr>
          <w:sz w:val="22"/>
          <w:szCs w:val="22"/>
        </w:rPr>
        <w:t xml:space="preserve"> with communities and families</w:t>
      </w:r>
      <w:r w:rsidRPr="009312AB">
        <w:rPr>
          <w:sz w:val="22"/>
          <w:szCs w:val="22"/>
        </w:rPr>
        <w:t>, and</w:t>
      </w:r>
    </w:p>
    <w:p w14:paraId="40564C5C" w14:textId="3C26CC2D" w:rsidR="003508A1" w:rsidRPr="007A422D" w:rsidRDefault="009312AB" w:rsidP="00D5108D">
      <w:pPr>
        <w:pStyle w:val="ListParagraph"/>
        <w:numPr>
          <w:ilvl w:val="0"/>
          <w:numId w:val="48"/>
        </w:numPr>
        <w:spacing w:after="120"/>
        <w:ind w:left="714" w:hanging="357"/>
        <w:rPr>
          <w:sz w:val="22"/>
          <w:szCs w:val="22"/>
        </w:rPr>
      </w:pPr>
      <w:r w:rsidRPr="009312AB">
        <w:rPr>
          <w:sz w:val="22"/>
          <w:szCs w:val="22"/>
        </w:rPr>
        <w:t>c</w:t>
      </w:r>
      <w:r w:rsidR="003508A1" w:rsidRPr="009312AB">
        <w:rPr>
          <w:sz w:val="22"/>
          <w:szCs w:val="22"/>
        </w:rPr>
        <w:t>ultural</w:t>
      </w:r>
      <w:r w:rsidR="003508A1" w:rsidRPr="007A422D">
        <w:rPr>
          <w:sz w:val="22"/>
          <w:szCs w:val="22"/>
        </w:rPr>
        <w:t xml:space="preserve"> safety</w:t>
      </w:r>
      <w:r w:rsidRPr="009312AB">
        <w:rPr>
          <w:sz w:val="22"/>
          <w:szCs w:val="22"/>
        </w:rPr>
        <w:t>.</w:t>
      </w:r>
      <w:r w:rsidR="003508A1" w:rsidRPr="007A422D">
        <w:rPr>
          <w:sz w:val="22"/>
          <w:szCs w:val="22"/>
        </w:rPr>
        <w:t xml:space="preserve"> </w:t>
      </w:r>
    </w:p>
    <w:p w14:paraId="49BC4BB3" w14:textId="1FB291D7" w:rsidR="003508A1" w:rsidRPr="00436DE0" w:rsidRDefault="003508A1" w:rsidP="00970F97">
      <w:pPr>
        <w:spacing w:after="0" w:line="240" w:lineRule="auto"/>
      </w:pPr>
      <w:r>
        <w:t xml:space="preserve">There are examples of established cultural development frameworks being used in the Australian context which aim to provide a basis for building cultural capability and responsiveness. These </w:t>
      </w:r>
      <w:r w:rsidRPr="00436DE0">
        <w:t>First Nations cultural development frameworks could be drawn on to inform the teaching of this content</w:t>
      </w:r>
      <w:r>
        <w:t xml:space="preserve"> in ITE programs. E</w:t>
      </w:r>
      <w:r w:rsidRPr="00436DE0">
        <w:t xml:space="preserve">xamples of </w:t>
      </w:r>
      <w:r>
        <w:t xml:space="preserve">established frameworks in the Australian education context </w:t>
      </w:r>
      <w:r w:rsidRPr="00436DE0">
        <w:t>include but are not limited to:</w:t>
      </w:r>
    </w:p>
    <w:p w14:paraId="57B0E98B" w14:textId="17C49735" w:rsidR="003508A1" w:rsidRPr="007A422D" w:rsidRDefault="00665C13" w:rsidP="00D5108D">
      <w:pPr>
        <w:pStyle w:val="ListParagraph"/>
        <w:numPr>
          <w:ilvl w:val="0"/>
          <w:numId w:val="47"/>
        </w:numPr>
        <w:suppressAutoHyphens/>
        <w:spacing w:after="120"/>
        <w:ind w:left="714" w:hanging="357"/>
        <w:rPr>
          <w:sz w:val="22"/>
          <w:szCs w:val="22"/>
        </w:rPr>
      </w:pPr>
      <w:hyperlink r:id="rId42" w:tgtFrame="_blank" w:history="1">
        <w:r w:rsidR="003508A1" w:rsidRPr="009312AB">
          <w:rPr>
            <w:rStyle w:val="Hyperlink"/>
            <w:sz w:val="22"/>
            <w:szCs w:val="22"/>
          </w:rPr>
          <w:t>AITSL Intercultural Development toolkit</w:t>
        </w:r>
      </w:hyperlink>
      <w:r w:rsidR="003508A1" w:rsidRPr="009312AB">
        <w:rPr>
          <w:rFonts w:ascii="Calibri" w:eastAsia="Times New Roman" w:hAnsi="Calibri" w:cs="Calibri"/>
          <w:sz w:val="22"/>
          <w:szCs w:val="22"/>
          <w:lang w:eastAsia="en-AU"/>
        </w:rPr>
        <w:t xml:space="preserve"> </w:t>
      </w:r>
      <w:r w:rsidR="003508A1" w:rsidRPr="00943975">
        <w:rPr>
          <w:sz w:val="22"/>
          <w:szCs w:val="22"/>
        </w:rPr>
        <w:t>(AITSL 2022b)</w:t>
      </w:r>
      <w:r w:rsidR="003508A1" w:rsidRPr="009312AB">
        <w:rPr>
          <w:rFonts w:ascii="Calibri" w:eastAsia="Times New Roman" w:hAnsi="Calibri" w:cs="Calibri"/>
          <w:sz w:val="22"/>
          <w:szCs w:val="22"/>
          <w:lang w:eastAsia="en-AU"/>
        </w:rPr>
        <w:t xml:space="preserve"> </w:t>
      </w:r>
    </w:p>
    <w:p w14:paraId="38FC5955" w14:textId="6BE97CA8" w:rsidR="003508A1" w:rsidRPr="007A422D" w:rsidRDefault="00665C13" w:rsidP="00D5108D">
      <w:pPr>
        <w:pStyle w:val="ListParagraph"/>
        <w:numPr>
          <w:ilvl w:val="0"/>
          <w:numId w:val="47"/>
        </w:numPr>
        <w:suppressAutoHyphens/>
        <w:spacing w:after="120"/>
        <w:ind w:left="714" w:hanging="357"/>
        <w:rPr>
          <w:sz w:val="22"/>
          <w:szCs w:val="22"/>
        </w:rPr>
      </w:pPr>
      <w:hyperlink r:id="rId43" w:history="1">
        <w:r w:rsidR="003508A1" w:rsidRPr="009312AB">
          <w:rPr>
            <w:rStyle w:val="Hyperlink"/>
            <w:rFonts w:ascii="Calibri" w:eastAsia="Times New Roman" w:hAnsi="Calibri" w:cs="Calibri"/>
            <w:sz w:val="22"/>
            <w:szCs w:val="22"/>
            <w:lang w:eastAsia="en-AU"/>
          </w:rPr>
          <w:t>Department of Education Western Australia’s Aboriginal Cultural Standards framework</w:t>
        </w:r>
      </w:hyperlink>
    </w:p>
    <w:p w14:paraId="125402DA" w14:textId="6C297E2C" w:rsidR="003508A1" w:rsidRPr="00704A05" w:rsidRDefault="00665C13" w:rsidP="003B1753">
      <w:pPr>
        <w:pStyle w:val="ListParagraph"/>
        <w:numPr>
          <w:ilvl w:val="0"/>
          <w:numId w:val="47"/>
        </w:numPr>
        <w:suppressAutoHyphens/>
        <w:spacing w:after="120"/>
        <w:ind w:left="714" w:hanging="357"/>
        <w:contextualSpacing w:val="0"/>
        <w:rPr>
          <w:rStyle w:val="Hyperlink"/>
          <w:color w:val="auto"/>
          <w:sz w:val="22"/>
          <w:szCs w:val="22"/>
          <w:u w:val="none"/>
        </w:rPr>
      </w:pPr>
      <w:hyperlink r:id="rId44">
        <w:r w:rsidR="003508A1" w:rsidRPr="007A422D">
          <w:rPr>
            <w:rStyle w:val="Hyperlink"/>
            <w:sz w:val="22"/>
            <w:szCs w:val="22"/>
          </w:rPr>
          <w:t>Department of Education Queensland’s Aboriginal and Torres Strait Islander Cultural Capability Framework</w:t>
        </w:r>
      </w:hyperlink>
    </w:p>
    <w:p w14:paraId="56FFCB5D" w14:textId="77777777" w:rsidR="00721A9E" w:rsidRDefault="00721A9E">
      <w:pPr>
        <w:spacing w:after="160"/>
        <w:rPr>
          <w:rFonts w:ascii="Calibri" w:eastAsia="Times New Roman" w:hAnsi="Calibri" w:cs="Calibri"/>
          <w:b/>
          <w:bCs/>
          <w:sz w:val="26"/>
          <w:szCs w:val="26"/>
          <w:lang w:eastAsia="en-AU"/>
        </w:rPr>
      </w:pPr>
      <w:r>
        <w:rPr>
          <w:rFonts w:ascii="Calibri" w:eastAsia="Times New Roman" w:hAnsi="Calibri" w:cs="Calibri"/>
          <w:b/>
          <w:bCs/>
          <w:sz w:val="26"/>
          <w:szCs w:val="26"/>
          <w:lang w:eastAsia="en-AU"/>
        </w:rPr>
        <w:br w:type="page"/>
      </w:r>
    </w:p>
    <w:p w14:paraId="28037520" w14:textId="5281C217" w:rsidR="00790D1B" w:rsidRPr="00CE3835" w:rsidRDefault="00790D1B" w:rsidP="00D5108D">
      <w:pPr>
        <w:pStyle w:val="ListParagraph"/>
        <w:numPr>
          <w:ilvl w:val="0"/>
          <w:numId w:val="50"/>
        </w:numPr>
        <w:ind w:left="284" w:hanging="284"/>
        <w:textAlignment w:val="baseline"/>
        <w:rPr>
          <w:rFonts w:ascii="Segoe UI" w:eastAsia="Times New Roman" w:hAnsi="Segoe UI" w:cs="Segoe UI"/>
          <w:sz w:val="26"/>
          <w:szCs w:val="26"/>
          <w:lang w:eastAsia="en-AU"/>
        </w:rPr>
      </w:pPr>
      <w:r w:rsidRPr="00CE3835">
        <w:rPr>
          <w:rFonts w:ascii="Calibri" w:eastAsia="Times New Roman" w:hAnsi="Calibri" w:cs="Calibri"/>
          <w:b/>
          <w:bCs/>
          <w:sz w:val="26"/>
          <w:szCs w:val="26"/>
          <w:lang w:eastAsia="en-AU"/>
        </w:rPr>
        <w:lastRenderedPageBreak/>
        <w:t>Culturally responsive teaching</w:t>
      </w:r>
      <w:r w:rsidRPr="00CE3835">
        <w:rPr>
          <w:rFonts w:ascii="Calibri" w:eastAsia="Times New Roman" w:hAnsi="Calibri" w:cs="Calibri"/>
          <w:sz w:val="26"/>
          <w:szCs w:val="26"/>
          <w:lang w:eastAsia="en-AU"/>
        </w:rPr>
        <w:t> </w:t>
      </w:r>
    </w:p>
    <w:p w14:paraId="60DD431E" w14:textId="0314AF9A" w:rsidR="00CE3835" w:rsidRPr="00CE3835" w:rsidRDefault="00CE3835" w:rsidP="00790D1B">
      <w:pPr>
        <w:spacing w:after="0" w:line="240" w:lineRule="auto"/>
        <w:textAlignment w:val="baseline"/>
        <w:rPr>
          <w:rFonts w:ascii="Segoe UI" w:eastAsia="Times New Roman" w:hAnsi="Segoe UI" w:cs="Segoe UI"/>
          <w:b/>
          <w:bCs/>
          <w:sz w:val="18"/>
          <w:szCs w:val="18"/>
          <w:lang w:eastAsia="en-AU"/>
        </w:rPr>
      </w:pPr>
      <w:r w:rsidRPr="00721A92">
        <w:rPr>
          <w:rFonts w:ascii="Calibri" w:eastAsia="Times New Roman" w:hAnsi="Calibri" w:cs="Calibri"/>
          <w:b/>
          <w:sz w:val="24"/>
          <w:szCs w:val="24"/>
          <w:lang w:eastAsia="en-AU"/>
        </w:rPr>
        <w:t xml:space="preserve">What is the </w:t>
      </w:r>
      <w:r w:rsidR="00217ACA">
        <w:rPr>
          <w:rFonts w:ascii="Calibri" w:eastAsia="Times New Roman" w:hAnsi="Calibri" w:cs="Calibri"/>
          <w:b/>
          <w:sz w:val="24"/>
          <w:szCs w:val="24"/>
          <w:lang w:eastAsia="en-AU"/>
        </w:rPr>
        <w:t>e</w:t>
      </w:r>
      <w:r w:rsidRPr="00721A92">
        <w:rPr>
          <w:rFonts w:ascii="Calibri" w:eastAsia="Times New Roman" w:hAnsi="Calibri" w:cs="Calibri"/>
          <w:b/>
          <w:sz w:val="24"/>
          <w:szCs w:val="24"/>
          <w:lang w:eastAsia="en-AU"/>
        </w:rPr>
        <w:t>vidence</w:t>
      </w:r>
      <w:r w:rsidR="00143ABA" w:rsidRPr="00721A92">
        <w:rPr>
          <w:rFonts w:ascii="Calibri" w:eastAsia="Times New Roman" w:hAnsi="Calibri" w:cs="Calibri"/>
          <w:b/>
          <w:sz w:val="24"/>
          <w:szCs w:val="24"/>
          <w:lang w:eastAsia="en-AU"/>
        </w:rPr>
        <w:t>?</w:t>
      </w:r>
    </w:p>
    <w:p w14:paraId="523FF35A" w14:textId="52CB0B6A" w:rsidR="00790D1B" w:rsidRDefault="00790D1B" w:rsidP="002639F4">
      <w:pPr>
        <w:spacing w:after="120" w:line="240" w:lineRule="auto"/>
        <w:textAlignment w:val="baseline"/>
        <w:rPr>
          <w:rFonts w:ascii="Calibri" w:eastAsia="Times New Roman" w:hAnsi="Calibri" w:cs="Calibri"/>
          <w:lang w:eastAsia="en-AU"/>
        </w:rPr>
      </w:pPr>
      <w:r w:rsidRPr="010256D8">
        <w:rPr>
          <w:rFonts w:ascii="Calibri" w:eastAsia="Times New Roman" w:hAnsi="Calibri" w:cs="Calibri"/>
          <w:lang w:eastAsia="en-AU"/>
        </w:rPr>
        <w:t xml:space="preserve">There is limited research-based evidence regarding what constitutes ‘culturally responsive pedagogy’ and the potential impact on student outcomes. ITE providers should seek subject matter experts when crafting this content. </w:t>
      </w:r>
    </w:p>
    <w:p w14:paraId="677BCBB6" w14:textId="6DB2CBB9" w:rsidR="00D76FA6" w:rsidRPr="00721A92" w:rsidRDefault="00A766A0" w:rsidP="00790D1B">
      <w:pPr>
        <w:spacing w:after="0" w:line="240" w:lineRule="auto"/>
        <w:textAlignment w:val="baseline"/>
        <w:rPr>
          <w:rFonts w:ascii="Calibri" w:eastAsia="Times New Roman" w:hAnsi="Calibri" w:cs="Calibri"/>
          <w:sz w:val="24"/>
          <w:szCs w:val="24"/>
          <w:lang w:eastAsia="en-AU"/>
        </w:rPr>
      </w:pPr>
      <w:r w:rsidRPr="00721A92">
        <w:rPr>
          <w:rFonts w:ascii="Calibri" w:eastAsia="Times New Roman" w:hAnsi="Calibri" w:cs="Calibri"/>
          <w:b/>
          <w:sz w:val="24"/>
          <w:szCs w:val="24"/>
          <w:lang w:eastAsia="en-AU"/>
        </w:rPr>
        <w:t>What do ITE students need to learn?</w:t>
      </w:r>
      <w:r w:rsidRPr="00721A92">
        <w:rPr>
          <w:rFonts w:ascii="Calibri" w:eastAsia="Times New Roman" w:hAnsi="Calibri" w:cs="Calibri"/>
          <w:sz w:val="24"/>
          <w:szCs w:val="24"/>
          <w:lang w:eastAsia="en-AU"/>
        </w:rPr>
        <w:t> </w:t>
      </w:r>
    </w:p>
    <w:p w14:paraId="7CE4999D" w14:textId="531C7D6A" w:rsidR="00143ABA" w:rsidRDefault="12357FEA" w:rsidP="00D76ACD">
      <w:pPr>
        <w:spacing w:after="120" w:line="240" w:lineRule="auto"/>
        <w:textAlignment w:val="baseline"/>
        <w:rPr>
          <w:rFonts w:ascii="Calibri" w:eastAsia="Times New Roman" w:hAnsi="Calibri" w:cs="Calibri"/>
          <w:lang w:eastAsia="en-AU"/>
        </w:rPr>
      </w:pPr>
      <w:r w:rsidRPr="2C03F412">
        <w:rPr>
          <w:rFonts w:ascii="Calibri" w:eastAsia="Times New Roman" w:hAnsi="Calibri" w:cs="Calibri"/>
          <w:lang w:eastAsia="en-AU"/>
        </w:rPr>
        <w:t xml:space="preserve">Teachers should understand self-reflection and reflexivity to be an ever-evolving career practice, acknowledging that this is the foundation of intercultural development. ITE </w:t>
      </w:r>
      <w:r w:rsidR="7A8F16BA" w:rsidRPr="2C03F412">
        <w:rPr>
          <w:rFonts w:ascii="Calibri" w:eastAsia="Times New Roman" w:hAnsi="Calibri" w:cs="Calibri"/>
          <w:lang w:eastAsia="en-AU"/>
        </w:rPr>
        <w:t xml:space="preserve">programs </w:t>
      </w:r>
      <w:r w:rsidRPr="2C03F412">
        <w:rPr>
          <w:rFonts w:ascii="Calibri" w:eastAsia="Times New Roman" w:hAnsi="Calibri" w:cs="Calibri"/>
          <w:lang w:eastAsia="en-AU"/>
        </w:rPr>
        <w:t>should emphasise the importance of building knowledge of the cultural diversity within classrooms and communities to understand and value the perspectives and worldviews of diverse groups. </w:t>
      </w:r>
    </w:p>
    <w:p w14:paraId="5E5D6756" w14:textId="1E1F1488" w:rsidR="00143ABA" w:rsidRDefault="12357FEA" w:rsidP="00D76ACD">
      <w:pPr>
        <w:spacing w:after="120" w:line="240" w:lineRule="auto"/>
        <w:textAlignment w:val="baseline"/>
        <w:rPr>
          <w:rFonts w:ascii="Calibri" w:eastAsia="Times New Roman" w:hAnsi="Calibri" w:cs="Calibri"/>
          <w:lang w:eastAsia="en-AU"/>
        </w:rPr>
      </w:pPr>
      <w:r w:rsidRPr="2C03F412">
        <w:rPr>
          <w:rFonts w:ascii="Calibri" w:eastAsia="Times New Roman" w:hAnsi="Calibri" w:cs="Calibri"/>
          <w:lang w:eastAsia="en-AU"/>
        </w:rPr>
        <w:t xml:space="preserve">ITE </w:t>
      </w:r>
      <w:r w:rsidR="36F699D3" w:rsidRPr="2C03F412">
        <w:rPr>
          <w:rFonts w:ascii="Calibri" w:eastAsia="Times New Roman" w:hAnsi="Calibri" w:cs="Calibri"/>
          <w:lang w:eastAsia="en-AU"/>
        </w:rPr>
        <w:t xml:space="preserve">programs </w:t>
      </w:r>
      <w:r w:rsidRPr="2C03F412">
        <w:rPr>
          <w:rFonts w:ascii="Calibri" w:eastAsia="Times New Roman" w:hAnsi="Calibri" w:cs="Calibri"/>
          <w:lang w:eastAsia="en-AU"/>
        </w:rPr>
        <w:t>should address how biases and assumptions</w:t>
      </w:r>
      <w:r w:rsidR="68F9EF75" w:rsidRPr="2C03F412">
        <w:rPr>
          <w:rFonts w:ascii="Calibri" w:eastAsia="Times New Roman" w:hAnsi="Calibri" w:cs="Calibri"/>
          <w:lang w:eastAsia="en-AU"/>
        </w:rPr>
        <w:t xml:space="preserve"> can</w:t>
      </w:r>
      <w:r w:rsidRPr="2C03F412">
        <w:rPr>
          <w:rFonts w:ascii="Calibri" w:eastAsia="Times New Roman" w:hAnsi="Calibri" w:cs="Calibri"/>
          <w:lang w:eastAsia="en-AU"/>
        </w:rPr>
        <w:t xml:space="preserve"> affect practices, behaviours and attitudes in ways that adversely impact specific groups. </w:t>
      </w:r>
      <w:r w:rsidR="15820BFF" w:rsidRPr="2C03F412">
        <w:rPr>
          <w:rFonts w:ascii="Calibri" w:eastAsia="Times New Roman" w:hAnsi="Calibri" w:cs="Calibri"/>
          <w:lang w:eastAsia="en-AU"/>
        </w:rPr>
        <w:t xml:space="preserve">ITE students </w:t>
      </w:r>
      <w:r w:rsidRPr="2C03F412">
        <w:rPr>
          <w:rFonts w:ascii="Calibri" w:eastAsia="Times New Roman" w:hAnsi="Calibri" w:cs="Calibri"/>
          <w:lang w:eastAsia="en-AU"/>
        </w:rPr>
        <w:t xml:space="preserve">should build an understanding of positionality through </w:t>
      </w:r>
      <w:r>
        <w:t>engagement in critical self-inquiry with a focus on how their views impact their approach in the classroom (Anderson et al. 2021). This</w:t>
      </w:r>
      <w:r w:rsidRPr="2C03F412">
        <w:rPr>
          <w:rFonts w:ascii="Calibri" w:eastAsia="Times New Roman" w:hAnsi="Calibri" w:cs="Calibri"/>
          <w:lang w:eastAsia="en-AU"/>
        </w:rPr>
        <w:t xml:space="preserve"> self-reflection will support </w:t>
      </w:r>
      <w:r w:rsidR="15820BFF" w:rsidRPr="2C03F412">
        <w:rPr>
          <w:rFonts w:ascii="Calibri" w:eastAsia="Times New Roman" w:hAnsi="Calibri" w:cs="Calibri"/>
          <w:lang w:eastAsia="en-AU"/>
        </w:rPr>
        <w:t>ITE students</w:t>
      </w:r>
      <w:r w:rsidRPr="2C03F412">
        <w:rPr>
          <w:rFonts w:ascii="Calibri" w:eastAsia="Times New Roman" w:hAnsi="Calibri" w:cs="Calibri"/>
          <w:lang w:eastAsia="en-AU"/>
        </w:rPr>
        <w:t xml:space="preserve"> in engaging with culturally diverse students and their families. Engagement with the </w:t>
      </w:r>
      <w:hyperlink r:id="rId45">
        <w:r w:rsidRPr="2C03F412">
          <w:rPr>
            <w:rStyle w:val="Hyperlink"/>
          </w:rPr>
          <w:t>AITSL Intercultural Development toolkit</w:t>
        </w:r>
      </w:hyperlink>
      <w:r w:rsidRPr="2C03F412">
        <w:rPr>
          <w:rFonts w:ascii="Calibri" w:eastAsia="Times New Roman" w:hAnsi="Calibri" w:cs="Calibri"/>
          <w:lang w:eastAsia="en-AU"/>
        </w:rPr>
        <w:t xml:space="preserve"> could provide a consistent framework for higher education </w:t>
      </w:r>
      <w:r>
        <w:t>providers (AITSL 2022b).</w:t>
      </w:r>
      <w:r w:rsidRPr="2C03F412">
        <w:rPr>
          <w:rFonts w:ascii="Calibri" w:eastAsia="Times New Roman" w:hAnsi="Calibri" w:cs="Calibri"/>
          <w:lang w:eastAsia="en-AU"/>
        </w:rPr>
        <w:t> </w:t>
      </w:r>
    </w:p>
    <w:p w14:paraId="2AEA62FF" w14:textId="3FE8D2FB" w:rsidR="00143ABA" w:rsidRPr="00D76ACD" w:rsidRDefault="12357FEA" w:rsidP="003B1753">
      <w:pPr>
        <w:spacing w:after="120" w:line="240" w:lineRule="auto"/>
        <w:textAlignment w:val="baseline"/>
        <w:rPr>
          <w:rFonts w:ascii="Calibri" w:eastAsia="Times New Roman" w:hAnsi="Calibri" w:cs="Calibri"/>
          <w:lang w:eastAsia="en-AU"/>
        </w:rPr>
      </w:pPr>
      <w:r w:rsidRPr="2C03F412">
        <w:rPr>
          <w:rFonts w:ascii="Calibri" w:eastAsia="Times New Roman" w:hAnsi="Calibri" w:cs="Calibri"/>
          <w:lang w:eastAsia="en-AU"/>
        </w:rPr>
        <w:t xml:space="preserve">ITE </w:t>
      </w:r>
      <w:r w:rsidR="1C64E34B" w:rsidRPr="2C03F412">
        <w:rPr>
          <w:rFonts w:ascii="Calibri" w:eastAsia="Times New Roman" w:hAnsi="Calibri" w:cs="Calibri"/>
          <w:lang w:eastAsia="en-AU"/>
        </w:rPr>
        <w:t xml:space="preserve">programs </w:t>
      </w:r>
      <w:r w:rsidRPr="2C03F412">
        <w:rPr>
          <w:rFonts w:ascii="Calibri" w:eastAsia="Times New Roman" w:hAnsi="Calibri" w:cs="Calibri"/>
          <w:lang w:eastAsia="en-AU"/>
        </w:rPr>
        <w:t>should also provide opportunities to practice cultural responsiveness through assessments and professional experience to develop the ability to be responsive to the knowledge, skills, and cultural identities of other groups, acknowledging that this is a lifelong process requiring active attention to be sustained. </w:t>
      </w:r>
    </w:p>
    <w:p w14:paraId="7A6791FE" w14:textId="77777777" w:rsidR="00790D1B" w:rsidRPr="006B2082" w:rsidRDefault="00790D1B" w:rsidP="002024A6">
      <w:pPr>
        <w:pStyle w:val="ListParagraph"/>
        <w:numPr>
          <w:ilvl w:val="0"/>
          <w:numId w:val="50"/>
        </w:numPr>
        <w:ind w:left="284" w:hanging="284"/>
        <w:textAlignment w:val="baseline"/>
        <w:rPr>
          <w:rFonts w:ascii="Segoe UI" w:eastAsia="Times New Roman" w:hAnsi="Segoe UI" w:cs="Segoe UI"/>
          <w:b/>
          <w:sz w:val="26"/>
          <w:szCs w:val="26"/>
          <w:lang w:eastAsia="en-AU"/>
        </w:rPr>
      </w:pPr>
      <w:r w:rsidRPr="00CE3835">
        <w:rPr>
          <w:rFonts w:ascii="Calibri" w:eastAsia="Times New Roman" w:hAnsi="Calibri" w:cs="Calibri"/>
          <w:b/>
          <w:bCs/>
          <w:sz w:val="26"/>
          <w:szCs w:val="26"/>
          <w:lang w:eastAsia="en-AU"/>
        </w:rPr>
        <w:t>Family engagement for learning </w:t>
      </w:r>
    </w:p>
    <w:p w14:paraId="7B4705D6" w14:textId="08BD6B69" w:rsidR="00CE3835" w:rsidRPr="00721A92" w:rsidRDefault="00CE3835" w:rsidP="00790D1B">
      <w:pPr>
        <w:spacing w:after="0" w:line="240" w:lineRule="auto"/>
        <w:textAlignment w:val="baseline"/>
        <w:rPr>
          <w:rFonts w:ascii="Calibri" w:eastAsia="Times New Roman" w:hAnsi="Calibri" w:cs="Calibri"/>
          <w:b/>
          <w:sz w:val="24"/>
          <w:szCs w:val="24"/>
          <w:lang w:eastAsia="en-AU"/>
        </w:rPr>
      </w:pPr>
      <w:r w:rsidRPr="00721A92">
        <w:rPr>
          <w:rFonts w:ascii="Calibri" w:eastAsia="Times New Roman" w:hAnsi="Calibri" w:cs="Calibri"/>
          <w:b/>
          <w:sz w:val="24"/>
          <w:szCs w:val="24"/>
          <w:lang w:eastAsia="en-AU"/>
        </w:rPr>
        <w:t xml:space="preserve">What is the </w:t>
      </w:r>
      <w:r w:rsidR="00217ACA">
        <w:rPr>
          <w:rFonts w:ascii="Calibri" w:eastAsia="Times New Roman" w:hAnsi="Calibri" w:cs="Calibri"/>
          <w:b/>
          <w:sz w:val="24"/>
          <w:szCs w:val="24"/>
          <w:lang w:eastAsia="en-AU"/>
        </w:rPr>
        <w:t>e</w:t>
      </w:r>
      <w:r w:rsidRPr="00721A92">
        <w:rPr>
          <w:rFonts w:ascii="Calibri" w:eastAsia="Times New Roman" w:hAnsi="Calibri" w:cs="Calibri"/>
          <w:b/>
          <w:sz w:val="24"/>
          <w:szCs w:val="24"/>
          <w:lang w:eastAsia="en-AU"/>
        </w:rPr>
        <w:t>vidence</w:t>
      </w:r>
      <w:r w:rsidR="00143ABA" w:rsidRPr="00721A92">
        <w:rPr>
          <w:rFonts w:ascii="Calibri" w:eastAsia="Times New Roman" w:hAnsi="Calibri" w:cs="Calibri"/>
          <w:b/>
          <w:sz w:val="24"/>
          <w:szCs w:val="24"/>
          <w:lang w:eastAsia="en-AU"/>
        </w:rPr>
        <w:t>?</w:t>
      </w:r>
    </w:p>
    <w:p w14:paraId="7258B65B" w14:textId="55882196" w:rsidR="00790D1B" w:rsidRDefault="00790D1B" w:rsidP="00721A9E">
      <w:pPr>
        <w:spacing w:after="120" w:line="240" w:lineRule="auto"/>
        <w:textAlignment w:val="baseline"/>
        <w:rPr>
          <w:rFonts w:ascii="Calibri" w:eastAsia="Times New Roman" w:hAnsi="Calibri" w:cs="Calibri"/>
          <w:color w:val="221F20"/>
          <w:lang w:eastAsia="en-AU"/>
        </w:rPr>
      </w:pPr>
      <w:r w:rsidRPr="000D2DE4">
        <w:rPr>
          <w:rFonts w:ascii="Calibri" w:eastAsia="Times New Roman" w:hAnsi="Calibri" w:cs="Calibri"/>
          <w:lang w:eastAsia="en-AU"/>
        </w:rPr>
        <w:t xml:space="preserve">AERO has produced practice guides on family engagement for learning that are tailored to different contexts. A rapid </w:t>
      </w:r>
      <w:r w:rsidRPr="008E5FFE">
        <w:rPr>
          <w:rFonts w:ascii="Calibri" w:eastAsia="Times New Roman" w:hAnsi="Calibri" w:cs="Calibri"/>
          <w:lang w:eastAsia="en-AU"/>
        </w:rPr>
        <w:t xml:space="preserve">literature review was followed by consultation with accomplished practitioners from across </w:t>
      </w:r>
      <w:r w:rsidR="00795995">
        <w:rPr>
          <w:rFonts w:ascii="Calibri" w:eastAsia="Times New Roman" w:hAnsi="Calibri" w:cs="Calibri"/>
          <w:lang w:eastAsia="en-AU"/>
        </w:rPr>
        <w:t>Early Childhood Education and Care (</w:t>
      </w:r>
      <w:r w:rsidRPr="008E5FFE">
        <w:rPr>
          <w:rFonts w:ascii="Calibri" w:eastAsia="Times New Roman" w:hAnsi="Calibri" w:cs="Calibri"/>
          <w:lang w:eastAsia="en-AU"/>
        </w:rPr>
        <w:t>ECEC</w:t>
      </w:r>
      <w:r w:rsidR="00795995">
        <w:rPr>
          <w:rFonts w:ascii="Calibri" w:eastAsia="Times New Roman" w:hAnsi="Calibri" w:cs="Calibri"/>
          <w:lang w:eastAsia="en-AU"/>
        </w:rPr>
        <w:t>)</w:t>
      </w:r>
      <w:r w:rsidRPr="008E5FFE">
        <w:rPr>
          <w:rFonts w:ascii="Calibri" w:eastAsia="Times New Roman" w:hAnsi="Calibri" w:cs="Calibri"/>
          <w:lang w:eastAsia="en-AU"/>
        </w:rPr>
        <w:t xml:space="preserve">, primary school and secondary school sectors, including organisations such as the Australian Children's Education </w:t>
      </w:r>
      <w:r w:rsidR="00864304">
        <w:rPr>
          <w:rFonts w:ascii="Calibri" w:eastAsia="Times New Roman" w:hAnsi="Calibri" w:cs="Calibri"/>
          <w:lang w:eastAsia="en-AU"/>
        </w:rPr>
        <w:t>and</w:t>
      </w:r>
      <w:r w:rsidRPr="008E5FFE">
        <w:rPr>
          <w:rFonts w:ascii="Calibri" w:eastAsia="Times New Roman" w:hAnsi="Calibri" w:cs="Calibri"/>
          <w:lang w:eastAsia="en-AU"/>
        </w:rPr>
        <w:t xml:space="preserve"> Care Quality Authority, AITSL</w:t>
      </w:r>
      <w:r w:rsidRPr="000D2DE4">
        <w:rPr>
          <w:rFonts w:ascii="Calibri" w:eastAsia="Times New Roman" w:hAnsi="Calibri" w:cs="Calibri"/>
          <w:lang w:eastAsia="en-AU"/>
        </w:rPr>
        <w:t xml:space="preserve">, the Australian Research Alliance for Children and Youth, </w:t>
      </w:r>
      <w:r w:rsidR="00041B96">
        <w:rPr>
          <w:rFonts w:ascii="Calibri" w:eastAsia="Times New Roman" w:hAnsi="Calibri" w:cs="Calibri"/>
          <w:lang w:eastAsia="en-AU"/>
        </w:rPr>
        <w:t>three</w:t>
      </w:r>
      <w:r w:rsidRPr="000D2DE4">
        <w:rPr>
          <w:rFonts w:ascii="Calibri" w:eastAsia="Times New Roman" w:hAnsi="Calibri" w:cs="Calibri"/>
          <w:lang w:eastAsia="en-AU"/>
        </w:rPr>
        <w:t xml:space="preserve"> peak bodies (the Australian Council of State School organisations, the Australian Parents Council, and Catholic School Parents Australia) and various state and territory jurisdictions. These </w:t>
      </w:r>
      <w:hyperlink r:id="rId46" w:tgtFrame="_blank" w:history="1">
        <w:r w:rsidRPr="000D2DE4">
          <w:rPr>
            <w:rFonts w:ascii="Calibri" w:eastAsia="Times New Roman" w:hAnsi="Calibri" w:cs="Calibri"/>
            <w:color w:val="004F9E"/>
            <w:u w:val="single"/>
            <w:lang w:eastAsia="en-AU"/>
          </w:rPr>
          <w:t>guides</w:t>
        </w:r>
      </w:hyperlink>
      <w:r w:rsidRPr="000D2DE4">
        <w:rPr>
          <w:rFonts w:ascii="Calibri" w:eastAsia="Times New Roman" w:hAnsi="Calibri" w:cs="Calibri"/>
          <w:lang w:eastAsia="en-AU"/>
        </w:rPr>
        <w:t xml:space="preserve"> have been</w:t>
      </w:r>
      <w:r w:rsidRPr="000D2DE4">
        <w:rPr>
          <w:rFonts w:ascii="Calibri" w:eastAsia="Times New Roman" w:hAnsi="Calibri" w:cs="Calibri"/>
          <w:color w:val="221F20"/>
          <w:lang w:eastAsia="en-AU"/>
        </w:rPr>
        <w:t xml:space="preserve"> designed to be clear, concise, relevant to a range of ECEC and school contexts, and relevant to practitioners with different roles. They have been designed to be a starting point and provide a good basis for ITE program content.  </w:t>
      </w:r>
    </w:p>
    <w:p w14:paraId="0A0C294D" w14:textId="0885E623" w:rsidR="00A766A0" w:rsidRPr="00C74324" w:rsidRDefault="00C74324" w:rsidP="00790D1B">
      <w:pPr>
        <w:spacing w:after="0" w:line="240" w:lineRule="auto"/>
        <w:textAlignment w:val="baseline"/>
        <w:rPr>
          <w:rFonts w:ascii="Calibri" w:eastAsia="Times New Roman" w:hAnsi="Calibri" w:cs="Calibri"/>
          <w:b/>
          <w:bCs/>
          <w:lang w:eastAsia="en-AU"/>
        </w:rPr>
      </w:pPr>
      <w:r w:rsidRPr="00721A92">
        <w:rPr>
          <w:rFonts w:ascii="Calibri" w:eastAsia="Times New Roman" w:hAnsi="Calibri" w:cs="Calibri"/>
          <w:b/>
          <w:sz w:val="24"/>
          <w:szCs w:val="24"/>
          <w:lang w:eastAsia="en-AU"/>
        </w:rPr>
        <w:t>What do ITE students need to learn?</w:t>
      </w:r>
    </w:p>
    <w:p w14:paraId="1A71F666" w14:textId="71E66D37" w:rsidR="00FB7132" w:rsidRDefault="00FB7132" w:rsidP="002639F4">
      <w:pPr>
        <w:spacing w:after="120" w:line="240" w:lineRule="auto"/>
        <w:textAlignment w:val="baseline"/>
        <w:rPr>
          <w:rFonts w:ascii="Calibri" w:eastAsia="Times New Roman" w:hAnsi="Calibri" w:cs="Calibri"/>
          <w:lang w:eastAsia="en-AU"/>
        </w:rPr>
      </w:pPr>
      <w:r w:rsidRPr="000D2DE4">
        <w:rPr>
          <w:rFonts w:ascii="Calibri" w:eastAsia="Times New Roman" w:hAnsi="Calibri" w:cs="Calibri"/>
          <w:lang w:eastAsia="en-AU"/>
        </w:rPr>
        <w:t>There is a great deal of evidence that families play a critical role in their child’s learning. Family engagement is important throughout all stages of schooling, but strategies may look different at different stages.</w:t>
      </w:r>
      <w:r w:rsidR="00723EB6">
        <w:rPr>
          <w:rFonts w:ascii="Calibri" w:eastAsia="Times New Roman" w:hAnsi="Calibri" w:cs="Calibri"/>
          <w:lang w:eastAsia="en-AU"/>
        </w:rPr>
        <w:t xml:space="preserve"> </w:t>
      </w:r>
      <w:r w:rsidR="00D004BD" w:rsidRPr="00D004BD">
        <w:rPr>
          <w:rFonts w:ascii="Calibri" w:eastAsia="Times New Roman" w:hAnsi="Calibri" w:cs="Calibri"/>
          <w:lang w:eastAsia="en-AU"/>
        </w:rPr>
        <w:t xml:space="preserve">ITE programs should include the evidence-based practices suited to their course cohort and focus on building an understanding of ways school teachers and leaders can engage with families to bring about improvements in students’ learning outcomes. </w:t>
      </w:r>
    </w:p>
    <w:p w14:paraId="21067655" w14:textId="71C859A8" w:rsidR="00FB7132" w:rsidRPr="000D2DE4" w:rsidRDefault="442FC088" w:rsidP="00FB7132">
      <w:pPr>
        <w:spacing w:after="0" w:line="240" w:lineRule="auto"/>
        <w:textAlignment w:val="baseline"/>
        <w:rPr>
          <w:rFonts w:ascii="Segoe UI" w:eastAsia="Times New Roman" w:hAnsi="Segoe UI" w:cs="Segoe UI"/>
          <w:sz w:val="18"/>
          <w:szCs w:val="18"/>
          <w:lang w:eastAsia="en-AU"/>
        </w:rPr>
      </w:pPr>
      <w:r w:rsidRPr="000D2DE4">
        <w:rPr>
          <w:rFonts w:ascii="Calibri" w:eastAsia="Times New Roman" w:hAnsi="Calibri" w:cs="Calibri"/>
          <w:color w:val="221F20"/>
          <w:shd w:val="clear" w:color="auto" w:fill="FFFFFF"/>
          <w:lang w:eastAsia="en-AU"/>
        </w:rPr>
        <w:t xml:space="preserve">Research evidence shows the approaches detailed in AERO’s </w:t>
      </w:r>
      <w:hyperlink r:id="rId47" w:tgtFrame="_blank" w:history="1">
        <w:r w:rsidRPr="000D2DE4">
          <w:rPr>
            <w:rFonts w:ascii="Calibri" w:eastAsia="Times New Roman" w:hAnsi="Calibri" w:cs="Calibri"/>
            <w:color w:val="004F9E"/>
            <w:u w:val="single"/>
            <w:shd w:val="clear" w:color="auto" w:fill="FFFFFF"/>
            <w:lang w:eastAsia="en-AU"/>
          </w:rPr>
          <w:t>primary</w:t>
        </w:r>
      </w:hyperlink>
      <w:r w:rsidRPr="000D2DE4">
        <w:rPr>
          <w:rFonts w:ascii="Calibri" w:eastAsia="Times New Roman" w:hAnsi="Calibri" w:cs="Calibri"/>
          <w:color w:val="004F9E"/>
          <w:u w:val="single"/>
          <w:shd w:val="clear" w:color="auto" w:fill="FFFFFF"/>
          <w:lang w:eastAsia="en-AU"/>
        </w:rPr>
        <w:t xml:space="preserve"> school</w:t>
      </w:r>
      <w:r w:rsidRPr="000D2DE4">
        <w:rPr>
          <w:rFonts w:ascii="Calibri" w:eastAsia="Times New Roman" w:hAnsi="Calibri" w:cs="Calibri"/>
          <w:color w:val="221F20"/>
          <w:shd w:val="clear" w:color="auto" w:fill="FFFFFF"/>
          <w:lang w:eastAsia="en-AU"/>
        </w:rPr>
        <w:t xml:space="preserve"> and </w:t>
      </w:r>
      <w:hyperlink r:id="rId48" w:tgtFrame="_blank" w:history="1">
        <w:r w:rsidRPr="000D2DE4">
          <w:rPr>
            <w:rFonts w:ascii="Calibri" w:eastAsia="Times New Roman" w:hAnsi="Calibri" w:cs="Calibri"/>
            <w:color w:val="004F9E"/>
            <w:u w:val="single"/>
            <w:shd w:val="clear" w:color="auto" w:fill="FFFFFF"/>
            <w:lang w:eastAsia="en-AU"/>
          </w:rPr>
          <w:t>secondary</w:t>
        </w:r>
      </w:hyperlink>
      <w:r w:rsidRPr="000D2DE4">
        <w:rPr>
          <w:rFonts w:ascii="Calibri" w:eastAsia="Times New Roman" w:hAnsi="Calibri" w:cs="Calibri"/>
          <w:color w:val="004F9E"/>
          <w:u w:val="single"/>
          <w:shd w:val="clear" w:color="auto" w:fill="FFFFFF"/>
          <w:lang w:eastAsia="en-AU"/>
        </w:rPr>
        <w:t xml:space="preserve"> school</w:t>
      </w:r>
      <w:r w:rsidRPr="000D2DE4">
        <w:rPr>
          <w:rFonts w:ascii="Calibri" w:eastAsia="Times New Roman" w:hAnsi="Calibri" w:cs="Calibri"/>
          <w:color w:val="221F20"/>
          <w:shd w:val="clear" w:color="auto" w:fill="FFFFFF"/>
          <w:lang w:eastAsia="en-AU"/>
        </w:rPr>
        <w:t xml:space="preserve"> practice guides for engaging with families can have a measurable positive effect on student learning outcomes. </w:t>
      </w:r>
      <w:r w:rsidRPr="000D2DE4">
        <w:rPr>
          <w:rFonts w:ascii="Calibri" w:eastAsia="Times New Roman" w:hAnsi="Calibri" w:cs="Calibri"/>
          <w:lang w:eastAsia="en-AU"/>
        </w:rPr>
        <w:t xml:space="preserve">ITE </w:t>
      </w:r>
      <w:r w:rsidR="22D0709D" w:rsidRPr="000D2DE4">
        <w:rPr>
          <w:rFonts w:ascii="Calibri" w:eastAsia="Times New Roman" w:hAnsi="Calibri" w:cs="Calibri"/>
          <w:lang w:eastAsia="en-AU"/>
        </w:rPr>
        <w:t xml:space="preserve">programs </w:t>
      </w:r>
      <w:r w:rsidRPr="000D2DE4">
        <w:rPr>
          <w:rFonts w:ascii="Calibri" w:eastAsia="Times New Roman" w:hAnsi="Calibri" w:cs="Calibri"/>
          <w:lang w:eastAsia="en-AU"/>
        </w:rPr>
        <w:t xml:space="preserve">should prioritise the </w:t>
      </w:r>
      <w:r w:rsidR="664A769E">
        <w:rPr>
          <w:rFonts w:ascii="Calibri" w:eastAsia="Times New Roman" w:hAnsi="Calibri" w:cs="Calibri"/>
          <w:lang w:eastAsia="en-AU"/>
        </w:rPr>
        <w:t>following</w:t>
      </w:r>
      <w:r w:rsidRPr="000D2DE4">
        <w:rPr>
          <w:rFonts w:ascii="Calibri" w:eastAsia="Times New Roman" w:hAnsi="Calibri" w:cs="Calibri"/>
          <w:lang w:eastAsia="en-AU"/>
        </w:rPr>
        <w:t xml:space="preserve"> primary and secondary school practices</w:t>
      </w:r>
      <w:r w:rsidR="0B3EEE89">
        <w:rPr>
          <w:rFonts w:ascii="Calibri" w:eastAsia="Times New Roman" w:hAnsi="Calibri" w:cs="Calibri"/>
          <w:color w:val="221F20"/>
          <w:shd w:val="clear" w:color="auto" w:fill="FFFFFF"/>
          <w:lang w:eastAsia="en-AU"/>
        </w:rPr>
        <w:t>:</w:t>
      </w:r>
      <w:r w:rsidRPr="000D2DE4">
        <w:rPr>
          <w:rFonts w:ascii="Calibri" w:eastAsia="Times New Roman" w:hAnsi="Calibri" w:cs="Calibri"/>
          <w:color w:val="221F20"/>
          <w:shd w:val="clear" w:color="auto" w:fill="FFFFFF"/>
          <w:lang w:eastAsia="en-AU"/>
        </w:rPr>
        <w:t> </w:t>
      </w:r>
      <w:r w:rsidRPr="000D2DE4">
        <w:rPr>
          <w:rFonts w:ascii="Calibri" w:eastAsia="Times New Roman" w:hAnsi="Calibri" w:cs="Calibri"/>
          <w:color w:val="221F20"/>
          <w:lang w:eastAsia="en-AU"/>
        </w:rPr>
        <w:t> </w:t>
      </w:r>
    </w:p>
    <w:p w14:paraId="0FF6551A" w14:textId="0B5EA6AD" w:rsidR="00FB7132" w:rsidRPr="00D76ACD" w:rsidRDefault="00D76ACD" w:rsidP="00D5108D">
      <w:pPr>
        <w:pStyle w:val="ListParagraph"/>
        <w:numPr>
          <w:ilvl w:val="0"/>
          <w:numId w:val="49"/>
        </w:numPr>
        <w:tabs>
          <w:tab w:val="num" w:pos="284"/>
          <w:tab w:val="left" w:pos="993"/>
        </w:tabs>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r</w:t>
      </w:r>
      <w:r w:rsidR="00FB7132" w:rsidRPr="00D76ACD">
        <w:rPr>
          <w:rFonts w:ascii="Calibri" w:eastAsia="Times New Roman" w:hAnsi="Calibri" w:cs="Calibri"/>
          <w:sz w:val="22"/>
          <w:szCs w:val="22"/>
          <w:lang w:eastAsia="en-AU"/>
        </w:rPr>
        <w:t>ecognising and supporting family engagement in learning at home </w:t>
      </w:r>
    </w:p>
    <w:p w14:paraId="782B7F17" w14:textId="08E5E7B9" w:rsidR="00FB7132" w:rsidRPr="00D76ACD" w:rsidRDefault="00D76ACD" w:rsidP="00D5108D">
      <w:pPr>
        <w:pStyle w:val="ListParagraph"/>
        <w:numPr>
          <w:ilvl w:val="0"/>
          <w:numId w:val="49"/>
        </w:numPr>
        <w:tabs>
          <w:tab w:val="num" w:pos="284"/>
          <w:tab w:val="left" w:pos="993"/>
        </w:tabs>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s</w:t>
      </w:r>
      <w:r w:rsidR="00FB7132" w:rsidRPr="00D76ACD">
        <w:rPr>
          <w:rFonts w:ascii="Calibri" w:eastAsia="Times New Roman" w:hAnsi="Calibri" w:cs="Calibri"/>
          <w:sz w:val="22"/>
          <w:szCs w:val="22"/>
          <w:lang w:eastAsia="en-AU"/>
        </w:rPr>
        <w:t>upporting two-way, positive communication and providing light touch updates about learning</w:t>
      </w:r>
    </w:p>
    <w:p w14:paraId="7C3CF1C5" w14:textId="2861865F" w:rsidR="00E93FED" w:rsidRPr="00E93FED" w:rsidRDefault="00D76ACD" w:rsidP="00D5108D">
      <w:pPr>
        <w:pStyle w:val="ListParagraph"/>
        <w:numPr>
          <w:ilvl w:val="0"/>
          <w:numId w:val="49"/>
        </w:numPr>
        <w:tabs>
          <w:tab w:val="num" w:pos="284"/>
          <w:tab w:val="left" w:pos="993"/>
        </w:tabs>
        <w:textAlignment w:val="baseline"/>
        <w:rPr>
          <w:rFonts w:ascii="Calibri" w:eastAsia="Times New Roman" w:hAnsi="Calibri" w:cs="Calibri"/>
          <w:lang w:val="en-GB" w:eastAsia="en-AU"/>
        </w:rPr>
      </w:pPr>
      <w:r w:rsidRPr="00E93FED">
        <w:rPr>
          <w:rFonts w:ascii="Calibri" w:eastAsia="Times New Roman" w:hAnsi="Calibri" w:cs="Calibri"/>
          <w:sz w:val="22"/>
          <w:szCs w:val="22"/>
          <w:lang w:eastAsia="en-AU"/>
        </w:rPr>
        <w:t>c</w:t>
      </w:r>
      <w:r w:rsidR="00FB7132" w:rsidRPr="00E93FED">
        <w:rPr>
          <w:rFonts w:ascii="Calibri" w:eastAsia="Times New Roman" w:hAnsi="Calibri" w:cs="Calibri"/>
          <w:sz w:val="22"/>
          <w:szCs w:val="22"/>
          <w:lang w:eastAsia="en-AU"/>
        </w:rPr>
        <w:t>ollaboratively planning and problem-solving with families</w:t>
      </w:r>
      <w:r w:rsidR="000F698D">
        <w:rPr>
          <w:rFonts w:ascii="Calibri" w:eastAsia="Times New Roman" w:hAnsi="Calibri" w:cs="Calibri"/>
          <w:sz w:val="22"/>
          <w:szCs w:val="22"/>
          <w:lang w:eastAsia="en-AU"/>
        </w:rPr>
        <w:t>, and</w:t>
      </w:r>
    </w:p>
    <w:p w14:paraId="42F2CCC3" w14:textId="350E3E68" w:rsidR="00C74324" w:rsidRDefault="00FB7132" w:rsidP="003B1753">
      <w:pPr>
        <w:pStyle w:val="ListParagraph"/>
        <w:numPr>
          <w:ilvl w:val="0"/>
          <w:numId w:val="49"/>
        </w:numPr>
        <w:tabs>
          <w:tab w:val="num" w:pos="284"/>
          <w:tab w:val="left" w:pos="993"/>
        </w:tabs>
        <w:spacing w:after="120"/>
        <w:ind w:left="714" w:hanging="357"/>
        <w:contextualSpacing w:val="0"/>
        <w:textAlignment w:val="baseline"/>
        <w:rPr>
          <w:rFonts w:ascii="Calibri" w:eastAsia="Times New Roman" w:hAnsi="Calibri" w:cs="Calibri"/>
          <w:sz w:val="22"/>
          <w:szCs w:val="22"/>
          <w:lang w:val="en-GB" w:eastAsia="en-AU"/>
        </w:rPr>
      </w:pPr>
      <w:r w:rsidRPr="002639F4">
        <w:rPr>
          <w:rFonts w:ascii="Calibri" w:eastAsia="Times New Roman" w:hAnsi="Calibri" w:cs="Calibri"/>
          <w:sz w:val="22"/>
          <w:szCs w:val="22"/>
          <w:lang w:eastAsia="en-AU"/>
        </w:rPr>
        <w:t>promoting a literacy-rich environment at home</w:t>
      </w:r>
      <w:r w:rsidR="00E93FED" w:rsidRPr="002639F4">
        <w:rPr>
          <w:rFonts w:ascii="Calibri" w:eastAsia="Times New Roman" w:hAnsi="Calibri" w:cs="Calibri"/>
          <w:sz w:val="22"/>
          <w:szCs w:val="22"/>
          <w:lang w:eastAsia="en-AU"/>
        </w:rPr>
        <w:t xml:space="preserve"> (particularly for </w:t>
      </w:r>
      <w:r w:rsidR="00B252CD">
        <w:rPr>
          <w:rFonts w:ascii="Calibri" w:eastAsia="Times New Roman" w:hAnsi="Calibri" w:cs="Calibri"/>
          <w:sz w:val="22"/>
          <w:szCs w:val="22"/>
          <w:lang w:eastAsia="en-AU"/>
        </w:rPr>
        <w:t xml:space="preserve">ECEC and </w:t>
      </w:r>
      <w:r w:rsidR="00E93FED" w:rsidRPr="002639F4">
        <w:rPr>
          <w:rFonts w:ascii="Calibri" w:eastAsia="Times New Roman" w:hAnsi="Calibri" w:cs="Calibri"/>
          <w:sz w:val="22"/>
          <w:szCs w:val="22"/>
          <w:lang w:eastAsia="en-AU"/>
        </w:rPr>
        <w:t>primary school</w:t>
      </w:r>
      <w:r w:rsidR="00B252CD">
        <w:rPr>
          <w:rFonts w:ascii="Calibri" w:eastAsia="Times New Roman" w:hAnsi="Calibri" w:cs="Calibri"/>
          <w:sz w:val="22"/>
          <w:szCs w:val="22"/>
          <w:lang w:eastAsia="en-AU"/>
        </w:rPr>
        <w:t xml:space="preserve"> contexts</w:t>
      </w:r>
      <w:r w:rsidR="00B84FDD" w:rsidRPr="002639F4">
        <w:rPr>
          <w:rFonts w:ascii="Calibri" w:eastAsia="Times New Roman" w:hAnsi="Calibri" w:cs="Calibri"/>
          <w:sz w:val="22"/>
          <w:szCs w:val="22"/>
          <w:lang w:eastAsia="en-AU"/>
        </w:rPr>
        <w:t>)</w:t>
      </w:r>
      <w:r w:rsidRPr="002639F4">
        <w:rPr>
          <w:rFonts w:ascii="Calibri" w:eastAsia="Times New Roman" w:hAnsi="Calibri" w:cs="Calibri"/>
          <w:sz w:val="22"/>
          <w:szCs w:val="22"/>
          <w:lang w:eastAsia="en-AU"/>
        </w:rPr>
        <w:t>.</w:t>
      </w:r>
      <w:r w:rsidRPr="002639F4">
        <w:rPr>
          <w:rFonts w:ascii="Calibri" w:eastAsia="Times New Roman" w:hAnsi="Calibri" w:cs="Calibri"/>
          <w:sz w:val="22"/>
          <w:szCs w:val="22"/>
          <w:lang w:val="en-GB" w:eastAsia="en-AU"/>
        </w:rPr>
        <w:t> </w:t>
      </w:r>
    </w:p>
    <w:p w14:paraId="7549181F" w14:textId="77777777" w:rsidR="00790D1B" w:rsidRPr="006B2082" w:rsidRDefault="00790D1B" w:rsidP="002024A6">
      <w:pPr>
        <w:pStyle w:val="ListParagraph"/>
        <w:numPr>
          <w:ilvl w:val="0"/>
          <w:numId w:val="50"/>
        </w:numPr>
        <w:ind w:left="284" w:hanging="284"/>
        <w:textAlignment w:val="baseline"/>
        <w:rPr>
          <w:rFonts w:ascii="Segoe UI" w:eastAsia="Times New Roman" w:hAnsi="Segoe UI" w:cs="Segoe UI"/>
          <w:b/>
          <w:sz w:val="26"/>
          <w:szCs w:val="26"/>
          <w:lang w:eastAsia="en-AU"/>
        </w:rPr>
      </w:pPr>
      <w:r w:rsidRPr="00CE3835">
        <w:rPr>
          <w:rFonts w:ascii="Calibri" w:eastAsia="Times New Roman" w:hAnsi="Calibri" w:cs="Calibri"/>
          <w:b/>
          <w:bCs/>
          <w:sz w:val="26"/>
          <w:szCs w:val="26"/>
          <w:lang w:eastAsia="en-AU"/>
        </w:rPr>
        <w:lastRenderedPageBreak/>
        <w:t>Diverse learning needs </w:t>
      </w:r>
    </w:p>
    <w:p w14:paraId="04EB71D6" w14:textId="38B903C5" w:rsidR="00CE3835" w:rsidRPr="00721A92" w:rsidRDefault="00CE3835" w:rsidP="00790D1B">
      <w:pPr>
        <w:spacing w:after="0" w:line="240" w:lineRule="auto"/>
        <w:textAlignment w:val="baseline"/>
        <w:rPr>
          <w:rFonts w:ascii="Calibri" w:eastAsia="Times New Roman" w:hAnsi="Calibri" w:cs="Calibri"/>
          <w:b/>
          <w:sz w:val="24"/>
          <w:szCs w:val="24"/>
          <w:lang w:eastAsia="en-AU"/>
        </w:rPr>
      </w:pPr>
      <w:r w:rsidRPr="00721A92">
        <w:rPr>
          <w:rFonts w:ascii="Calibri" w:eastAsia="Times New Roman" w:hAnsi="Calibri" w:cs="Calibri"/>
          <w:b/>
          <w:sz w:val="24"/>
          <w:szCs w:val="24"/>
          <w:lang w:eastAsia="en-AU"/>
        </w:rPr>
        <w:t xml:space="preserve">What is the </w:t>
      </w:r>
      <w:r w:rsidR="00217ACA">
        <w:rPr>
          <w:rFonts w:ascii="Calibri" w:eastAsia="Times New Roman" w:hAnsi="Calibri" w:cs="Calibri"/>
          <w:b/>
          <w:sz w:val="24"/>
          <w:szCs w:val="24"/>
          <w:lang w:eastAsia="en-AU"/>
        </w:rPr>
        <w:t>e</w:t>
      </w:r>
      <w:r w:rsidRPr="00721A92">
        <w:rPr>
          <w:rFonts w:ascii="Calibri" w:eastAsia="Times New Roman" w:hAnsi="Calibri" w:cs="Calibri"/>
          <w:b/>
          <w:sz w:val="24"/>
          <w:szCs w:val="24"/>
          <w:lang w:eastAsia="en-AU"/>
        </w:rPr>
        <w:t>vidence</w:t>
      </w:r>
      <w:r w:rsidR="00143ABA" w:rsidRPr="00721A92">
        <w:rPr>
          <w:rFonts w:ascii="Calibri" w:eastAsia="Times New Roman" w:hAnsi="Calibri" w:cs="Calibri"/>
          <w:b/>
          <w:sz w:val="24"/>
          <w:szCs w:val="24"/>
          <w:lang w:eastAsia="en-AU"/>
        </w:rPr>
        <w:t>?</w:t>
      </w:r>
    </w:p>
    <w:p w14:paraId="665D1B4D" w14:textId="21BEDE07" w:rsidR="00DE41A0" w:rsidRPr="000555E8" w:rsidRDefault="00790D1B" w:rsidP="00721A9E">
      <w:pPr>
        <w:spacing w:after="120" w:line="240" w:lineRule="auto"/>
        <w:textAlignment w:val="baseline"/>
        <w:rPr>
          <w:rFonts w:ascii="Segoe UI" w:eastAsia="Times New Roman" w:hAnsi="Segoe UI" w:cs="Segoe UI"/>
          <w:sz w:val="18"/>
          <w:szCs w:val="18"/>
          <w:lang w:eastAsia="en-AU"/>
        </w:rPr>
      </w:pPr>
      <w:r w:rsidRPr="000D2DE4">
        <w:rPr>
          <w:rFonts w:ascii="Calibri" w:eastAsia="Times New Roman" w:hAnsi="Calibri" w:cs="Calibri"/>
          <w:lang w:eastAsia="en-AU"/>
        </w:rPr>
        <w:t xml:space="preserve">Careful and deliberate consideration has been given to the foundational core content presented </w:t>
      </w:r>
      <w:r>
        <w:rPr>
          <w:rFonts w:ascii="Calibri" w:eastAsia="Times New Roman" w:hAnsi="Calibri" w:cs="Calibri"/>
          <w:lang w:eastAsia="en-AU"/>
        </w:rPr>
        <w:t>above</w:t>
      </w:r>
      <w:r w:rsidRPr="000D2DE4">
        <w:rPr>
          <w:rFonts w:ascii="Calibri" w:eastAsia="Times New Roman" w:hAnsi="Calibri" w:cs="Calibri"/>
          <w:lang w:eastAsia="en-AU"/>
        </w:rPr>
        <w:t xml:space="preserve"> as it relates to diverse learners, including students with a disability and students from disadvantaged backgrounds.</w:t>
      </w:r>
      <w:r>
        <w:rPr>
          <w:rFonts w:ascii="Calibri" w:eastAsia="Times New Roman" w:hAnsi="Calibri" w:cs="Calibri"/>
          <w:lang w:eastAsia="en-AU"/>
        </w:rPr>
        <w:t xml:space="preserve"> </w:t>
      </w:r>
      <w:hyperlink r:id="rId49">
        <w:r w:rsidRPr="78DF7BB5">
          <w:rPr>
            <w:rFonts w:ascii="Calibri" w:eastAsia="Times New Roman" w:hAnsi="Calibri" w:cs="Calibri"/>
            <w:color w:val="004F9E" w:themeColor="text2"/>
            <w:u w:val="single"/>
            <w:lang w:eastAsia="en-AU"/>
          </w:rPr>
          <w:t>AITSL</w:t>
        </w:r>
      </w:hyperlink>
      <w:r w:rsidRPr="000D2DE4">
        <w:rPr>
          <w:rFonts w:ascii="Calibri" w:eastAsia="Times New Roman" w:hAnsi="Calibri" w:cs="Calibri"/>
          <w:lang w:eastAsia="en-AU"/>
        </w:rPr>
        <w:t xml:space="preserve"> and </w:t>
      </w:r>
      <w:r w:rsidR="00457761">
        <w:rPr>
          <w:rFonts w:ascii="Calibri" w:eastAsia="Times New Roman" w:hAnsi="Calibri" w:cs="Calibri"/>
          <w:lang w:eastAsia="en-AU"/>
        </w:rPr>
        <w:t>the</w:t>
      </w:r>
      <w:r w:rsidRPr="000D2DE4">
        <w:rPr>
          <w:rFonts w:ascii="Calibri" w:eastAsia="Times New Roman" w:hAnsi="Calibri" w:cs="Calibri"/>
          <w:lang w:eastAsia="en-AU"/>
        </w:rPr>
        <w:t xml:space="preserve"> </w:t>
      </w:r>
      <w:hyperlink r:id="rId50" w:history="1">
        <w:r w:rsidR="00A50DF6" w:rsidRPr="00457761">
          <w:rPr>
            <w:rStyle w:val="Hyperlink"/>
          </w:rPr>
          <w:t>Australian Curriculum, Assessment and Reporting Authority</w:t>
        </w:r>
      </w:hyperlink>
      <w:r w:rsidR="00A50DF6" w:rsidRPr="61848430">
        <w:t xml:space="preserve"> </w:t>
      </w:r>
      <w:r w:rsidRPr="000D2DE4">
        <w:rPr>
          <w:rFonts w:ascii="Calibri" w:eastAsia="Times New Roman" w:hAnsi="Calibri" w:cs="Calibri"/>
          <w:lang w:eastAsia="en-AU"/>
        </w:rPr>
        <w:t xml:space="preserve">provide guidance and resources for teaching students with a disability in line with these requirements, acknowledging that high-quality general instruction meets the needs of the vast majority of students with additional needs. An evidence synthesis from the Education Endowment Foundation drawing from systematic reviews of literature states that there is a strong evidence base for the use of </w:t>
      </w:r>
      <w:r w:rsidR="008D3F5E" w:rsidRPr="006B2082">
        <w:rPr>
          <w:rFonts w:ascii="Calibri" w:eastAsia="Times New Roman" w:hAnsi="Calibri" w:cs="Calibri"/>
          <w:lang w:eastAsia="en-AU"/>
        </w:rPr>
        <w:t>effective pedagogical practices</w:t>
      </w:r>
      <w:r w:rsidRPr="00C90823">
        <w:rPr>
          <w:rFonts w:ascii="Calibri" w:eastAsia="Times New Roman" w:hAnsi="Calibri" w:cs="Calibri"/>
          <w:lang w:eastAsia="en-AU"/>
        </w:rPr>
        <w:t xml:space="preserve"> </w:t>
      </w:r>
      <w:r w:rsidRPr="000D2DE4">
        <w:rPr>
          <w:rFonts w:ascii="Calibri" w:eastAsia="Times New Roman" w:hAnsi="Calibri" w:cs="Calibri"/>
          <w:lang w:eastAsia="en-AU"/>
        </w:rPr>
        <w:t xml:space="preserve">with students with additional needs. It also strongly supports the use of targeted intervention such as </w:t>
      </w:r>
      <w:r w:rsidR="008D3F5E" w:rsidRPr="006B2082">
        <w:rPr>
          <w:rFonts w:ascii="Calibri" w:eastAsia="Times New Roman" w:hAnsi="Calibri" w:cs="Calibri"/>
          <w:lang w:eastAsia="en-AU"/>
        </w:rPr>
        <w:t>MTSS frameworks</w:t>
      </w:r>
      <w:r w:rsidRPr="00C90823">
        <w:rPr>
          <w:rFonts w:ascii="Calibri" w:eastAsia="Times New Roman" w:hAnsi="Calibri" w:cs="Calibri"/>
          <w:lang w:eastAsia="en-AU"/>
        </w:rPr>
        <w:t xml:space="preserve"> </w:t>
      </w:r>
      <w:r w:rsidRPr="000D2DE4">
        <w:rPr>
          <w:rFonts w:ascii="Calibri" w:eastAsia="Times New Roman" w:hAnsi="Calibri" w:cs="Calibri"/>
          <w:lang w:eastAsia="en-AU"/>
        </w:rPr>
        <w:t xml:space="preserve">presented </w:t>
      </w:r>
      <w:r w:rsidRPr="007E3496">
        <w:t>above (Cullen et al. 2020).</w:t>
      </w:r>
      <w:r w:rsidRPr="000D2DE4">
        <w:rPr>
          <w:rFonts w:ascii="Calibri" w:eastAsia="Times New Roman" w:hAnsi="Calibri" w:cs="Calibri"/>
          <w:lang w:eastAsia="en-AU"/>
        </w:rPr>
        <w:t> </w:t>
      </w:r>
    </w:p>
    <w:p w14:paraId="4CF432C8" w14:textId="004C3307" w:rsidR="007B5AC4" w:rsidRPr="00721A92" w:rsidRDefault="06D7E8B3" w:rsidP="00790D1B">
      <w:pPr>
        <w:spacing w:after="0" w:line="240" w:lineRule="auto"/>
        <w:textAlignment w:val="baseline"/>
        <w:rPr>
          <w:rFonts w:ascii="Calibri" w:eastAsia="Times New Roman" w:hAnsi="Calibri" w:cs="Calibri"/>
          <w:b/>
          <w:sz w:val="24"/>
          <w:szCs w:val="24"/>
          <w:lang w:eastAsia="en-AU"/>
        </w:rPr>
      </w:pPr>
      <w:r w:rsidRPr="00721A92">
        <w:rPr>
          <w:rFonts w:ascii="Calibri" w:eastAsia="Times New Roman" w:hAnsi="Calibri" w:cs="Calibri"/>
          <w:b/>
          <w:sz w:val="24"/>
          <w:szCs w:val="24"/>
          <w:lang w:eastAsia="en-AU"/>
        </w:rPr>
        <w:t>What do ITE students need to learn?</w:t>
      </w:r>
    </w:p>
    <w:p w14:paraId="62B93CDC" w14:textId="325863EC" w:rsidR="00774FB7" w:rsidRDefault="00774FB7" w:rsidP="00721A9E">
      <w:pPr>
        <w:spacing w:after="120" w:line="240" w:lineRule="auto"/>
        <w:textAlignment w:val="baseline"/>
        <w:rPr>
          <w:rFonts w:ascii="Segoe UI" w:eastAsia="Times New Roman" w:hAnsi="Segoe UI" w:cs="Segoe UI"/>
          <w:sz w:val="18"/>
          <w:szCs w:val="18"/>
          <w:lang w:eastAsia="en-AU"/>
        </w:rPr>
      </w:pPr>
      <w:r w:rsidRPr="61995E95">
        <w:rPr>
          <w:rFonts w:ascii="Calibri" w:eastAsia="Times New Roman" w:hAnsi="Calibri" w:cs="Calibri"/>
          <w:lang w:eastAsia="en-AU"/>
        </w:rPr>
        <w:t xml:space="preserve">An acceptance of diversity among students in mainstream schools is a legal entitlement (Commonwealth </w:t>
      </w:r>
      <w:r w:rsidRPr="006B2082">
        <w:rPr>
          <w:rFonts w:ascii="Calibri" w:eastAsia="Times New Roman" w:hAnsi="Calibri" w:cs="Calibri"/>
          <w:i/>
          <w:lang w:eastAsia="en-AU"/>
        </w:rPr>
        <w:t>Disability Discrimination Act 1992</w:t>
      </w:r>
      <w:r w:rsidRPr="61995E95">
        <w:rPr>
          <w:rFonts w:ascii="Calibri" w:eastAsia="Times New Roman" w:hAnsi="Calibri" w:cs="Calibri"/>
          <w:lang w:eastAsia="en-AU"/>
        </w:rPr>
        <w:t>) and a core pillar of educational policy (Disability Standards for Education 2005) underpinned by international agreements (e.g. the U</w:t>
      </w:r>
      <w:r w:rsidR="00C86AD1">
        <w:rPr>
          <w:rFonts w:ascii="Calibri" w:eastAsia="Times New Roman" w:hAnsi="Calibri" w:cs="Calibri"/>
          <w:lang w:eastAsia="en-AU"/>
        </w:rPr>
        <w:t xml:space="preserve">nited </w:t>
      </w:r>
      <w:r w:rsidRPr="61995E95">
        <w:rPr>
          <w:rFonts w:ascii="Calibri" w:eastAsia="Times New Roman" w:hAnsi="Calibri" w:cs="Calibri"/>
          <w:lang w:eastAsia="en-AU"/>
        </w:rPr>
        <w:t>N</w:t>
      </w:r>
      <w:r w:rsidR="00C86AD1">
        <w:rPr>
          <w:rFonts w:ascii="Calibri" w:eastAsia="Times New Roman" w:hAnsi="Calibri" w:cs="Calibri"/>
          <w:lang w:eastAsia="en-AU"/>
        </w:rPr>
        <w:t>ations</w:t>
      </w:r>
      <w:r w:rsidRPr="61995E95">
        <w:rPr>
          <w:rFonts w:ascii="Calibri" w:eastAsia="Times New Roman" w:hAnsi="Calibri" w:cs="Calibri"/>
          <w:lang w:eastAsia="en-AU"/>
        </w:rPr>
        <w:t xml:space="preserve"> Convention on Children’s Rights, 1989). The evidence based pedagogical practices presented above have been shown to meet the needs of the vast majority students most effectively, including those with additional needs. It is designed to support </w:t>
      </w:r>
      <w:r w:rsidR="00297D1E">
        <w:rPr>
          <w:rFonts w:ascii="Calibri" w:eastAsia="Times New Roman" w:hAnsi="Calibri" w:cs="Calibri"/>
          <w:lang w:eastAsia="en-AU"/>
        </w:rPr>
        <w:t>ITE students</w:t>
      </w:r>
      <w:r w:rsidRPr="61995E95">
        <w:rPr>
          <w:rFonts w:ascii="Calibri" w:eastAsia="Times New Roman" w:hAnsi="Calibri" w:cs="Calibri"/>
          <w:lang w:eastAsia="en-AU"/>
        </w:rPr>
        <w:t xml:space="preserve"> in taking their first steps towards becoming expert practitioners in the future.  </w:t>
      </w:r>
    </w:p>
    <w:p w14:paraId="71CC157C" w14:textId="004C3307" w:rsidR="72A7964A" w:rsidRDefault="72A7964A" w:rsidP="7F53D5CE">
      <w:pPr>
        <w:keepNext/>
        <w:spacing w:after="0" w:line="240" w:lineRule="auto"/>
        <w:rPr>
          <w:rFonts w:ascii="Calibri" w:hAnsi="Calibri" w:cs="Calibri"/>
          <w:color w:val="000000" w:themeColor="text1"/>
          <w:sz w:val="26"/>
          <w:szCs w:val="26"/>
        </w:rPr>
      </w:pPr>
      <w:r w:rsidRPr="7F53D5CE">
        <w:rPr>
          <w:b/>
          <w:bCs/>
          <w:sz w:val="26"/>
          <w:szCs w:val="26"/>
        </w:rPr>
        <w:t>Graduate Teacher Standards</w:t>
      </w:r>
    </w:p>
    <w:p w14:paraId="2C2A70F5" w14:textId="30986574" w:rsidR="14F3F175" w:rsidRDefault="72A7964A" w:rsidP="14F3F175">
      <w:pPr>
        <w:spacing w:after="120" w:line="240" w:lineRule="auto"/>
        <w:rPr>
          <w:rFonts w:ascii="Calibri" w:eastAsia="Times New Roman" w:hAnsi="Calibri" w:cs="Calibri"/>
          <w:color w:val="000000" w:themeColor="text1"/>
          <w:lang w:eastAsia="en-AU"/>
        </w:rPr>
      </w:pPr>
      <w:r>
        <w:t xml:space="preserve">This content supports the Graduate Teacher Standards on Professional </w:t>
      </w:r>
      <w:r w:rsidR="407533A5">
        <w:t>Practice</w:t>
      </w:r>
      <w:r>
        <w:t xml:space="preserve"> </w:t>
      </w:r>
      <w:r w:rsidRPr="007E4937">
        <w:rPr>
          <w:i/>
          <w:iCs/>
        </w:rPr>
        <w:t>(</w:t>
      </w:r>
      <w:r w:rsidR="780462E6" w:rsidRPr="79F14CC9">
        <w:rPr>
          <w:i/>
          <w:iCs/>
        </w:rPr>
        <w:t>4.1 and 4.4</w:t>
      </w:r>
      <w:r w:rsidRPr="79F14CC9">
        <w:rPr>
          <w:i/>
          <w:iCs/>
        </w:rPr>
        <w:t>)</w:t>
      </w:r>
      <w:r>
        <w:t xml:space="preserve"> and Professional </w:t>
      </w:r>
      <w:r w:rsidR="378A07B3">
        <w:t xml:space="preserve">Engagement </w:t>
      </w:r>
      <w:r w:rsidRPr="007E4937">
        <w:rPr>
          <w:i/>
          <w:iCs/>
        </w:rPr>
        <w:t>(</w:t>
      </w:r>
      <w:r w:rsidR="72DB1996" w:rsidRPr="5E8B5ECE">
        <w:rPr>
          <w:i/>
        </w:rPr>
        <w:t>7</w:t>
      </w:r>
      <w:r w:rsidRPr="5E8B5ECE">
        <w:rPr>
          <w:i/>
        </w:rPr>
        <w:t>.1</w:t>
      </w:r>
      <w:r w:rsidR="72DB1996" w:rsidRPr="5E8B5ECE">
        <w:rPr>
          <w:i/>
        </w:rPr>
        <w:t>, 7.3 and 7.4</w:t>
      </w:r>
      <w:r w:rsidRPr="7F53D5CE">
        <w:rPr>
          <w:i/>
          <w:iCs/>
        </w:rPr>
        <w:t xml:space="preserve"> inclusive)</w:t>
      </w:r>
      <w:r>
        <w:t>.</w:t>
      </w:r>
    </w:p>
    <w:p w14:paraId="6BD64CAE" w14:textId="2BCE8D41" w:rsidR="00B707E9" w:rsidRPr="004738A3" w:rsidRDefault="00B707E9" w:rsidP="005D5A53">
      <w:pPr>
        <w:pStyle w:val="Heading2"/>
        <w:spacing w:before="0" w:line="240" w:lineRule="auto"/>
        <w:rPr>
          <w:rFonts w:eastAsia="Times New Roman" w:cstheme="majorHAnsi"/>
          <w:color w:val="002C3E" w:themeColor="background2"/>
          <w:sz w:val="36"/>
          <w:szCs w:val="36"/>
          <w:lang w:eastAsia="en-AU"/>
        </w:rPr>
      </w:pPr>
      <w:bookmarkStart w:id="20" w:name="_Toc127978375"/>
      <w:bookmarkStart w:id="21" w:name="_Toc128649075"/>
      <w:bookmarkStart w:id="22" w:name="_Toc130217431"/>
      <w:bookmarkEnd w:id="16"/>
      <w:r w:rsidRPr="004738A3">
        <w:rPr>
          <w:rFonts w:eastAsia="Times New Roman" w:cstheme="majorHAnsi"/>
          <w:color w:val="002C3E" w:themeColor="background2"/>
          <w:sz w:val="36"/>
          <w:szCs w:val="36"/>
          <w:lang w:eastAsia="en-AU"/>
        </w:rPr>
        <w:t>Discussion</w:t>
      </w:r>
      <w:bookmarkEnd w:id="20"/>
      <w:bookmarkEnd w:id="21"/>
      <w:bookmarkEnd w:id="22"/>
      <w:r w:rsidRPr="004738A3">
        <w:rPr>
          <w:rFonts w:eastAsia="Times New Roman" w:cstheme="majorHAnsi"/>
          <w:color w:val="002C3E" w:themeColor="background2"/>
          <w:sz w:val="36"/>
          <w:szCs w:val="36"/>
          <w:lang w:eastAsia="en-AU"/>
        </w:rPr>
        <w:t> </w:t>
      </w:r>
    </w:p>
    <w:p w14:paraId="30609301" w14:textId="4FC2F4E5" w:rsidR="00B707E9" w:rsidRPr="005C7893" w:rsidRDefault="00B707E9" w:rsidP="003D27A2">
      <w:pPr>
        <w:spacing w:after="120" w:line="240" w:lineRule="auto"/>
        <w:textAlignment w:val="baseline"/>
        <w:rPr>
          <w:rFonts w:ascii="Calibri" w:eastAsia="Times New Roman" w:hAnsi="Calibri" w:cs="Calibri"/>
          <w:sz w:val="20"/>
          <w:szCs w:val="20"/>
          <w:lang w:eastAsia="en-AU"/>
        </w:rPr>
      </w:pPr>
      <w:r w:rsidRPr="00021807">
        <w:rPr>
          <w:rFonts w:ascii="Calibri" w:eastAsia="Times New Roman" w:hAnsi="Calibri" w:cs="Calibri"/>
          <w:lang w:eastAsia="en-AU"/>
        </w:rPr>
        <w:t xml:space="preserve">The Panel has identified the following opportunities and considerations </w:t>
      </w:r>
      <w:r w:rsidR="00FF07DE">
        <w:rPr>
          <w:rFonts w:ascii="Calibri" w:eastAsia="Times New Roman" w:hAnsi="Calibri" w:cs="Calibri"/>
          <w:lang w:eastAsia="en-AU"/>
        </w:rPr>
        <w:t>to</w:t>
      </w:r>
      <w:r w:rsidR="00FF07DE" w:rsidRPr="00021807">
        <w:rPr>
          <w:rFonts w:ascii="Calibri" w:eastAsia="Times New Roman" w:hAnsi="Calibri" w:cs="Calibri"/>
          <w:lang w:eastAsia="en-AU"/>
        </w:rPr>
        <w:t xml:space="preserve"> </w:t>
      </w:r>
      <w:r w:rsidRPr="00021807">
        <w:rPr>
          <w:rFonts w:ascii="Calibri" w:eastAsia="Times New Roman" w:hAnsi="Calibri" w:cs="Calibri"/>
          <w:lang w:eastAsia="en-AU"/>
        </w:rPr>
        <w:t xml:space="preserve">ensure ITE graduates are taught sufficient evidence-based practices to meet </w:t>
      </w:r>
      <w:r w:rsidR="000345A6">
        <w:rPr>
          <w:rFonts w:ascii="Calibri" w:eastAsia="Times New Roman" w:hAnsi="Calibri" w:cs="Calibri"/>
          <w:lang w:eastAsia="en-AU"/>
        </w:rPr>
        <w:t xml:space="preserve">the </w:t>
      </w:r>
      <w:r w:rsidR="71A8EE25" w:rsidRPr="147438A3">
        <w:rPr>
          <w:rFonts w:ascii="Calibri" w:eastAsia="Times New Roman" w:hAnsi="Calibri" w:cs="Calibri"/>
          <w:lang w:eastAsia="en-AU"/>
        </w:rPr>
        <w:t>Teacher Standards</w:t>
      </w:r>
      <w:r w:rsidR="005C7893">
        <w:rPr>
          <w:rFonts w:ascii="Calibri" w:eastAsia="Times New Roman" w:hAnsi="Calibri" w:cs="Calibri"/>
          <w:lang w:eastAsia="en-AU"/>
        </w:rPr>
        <w:t>.</w:t>
      </w:r>
    </w:p>
    <w:p w14:paraId="62C32D4C" w14:textId="03FA612C" w:rsidR="00B707E9" w:rsidRPr="005B57A0" w:rsidRDefault="003017C5" w:rsidP="00DB0012">
      <w:pPr>
        <w:pStyle w:val="Heading3"/>
        <w:spacing w:before="0" w:after="120" w:line="240" w:lineRule="auto"/>
        <w:rPr>
          <w:rFonts w:eastAsia="Times New Roman"/>
          <w:lang w:eastAsia="en-AU"/>
        </w:rPr>
      </w:pPr>
      <w:bookmarkStart w:id="23" w:name="_Toc127978376"/>
      <w:bookmarkStart w:id="24" w:name="_Toc128649076"/>
      <w:bookmarkStart w:id="25" w:name="_Toc130217432"/>
      <w:r>
        <w:rPr>
          <w:rFonts w:eastAsia="Times New Roman"/>
          <w:lang w:eastAsia="en-AU"/>
        </w:rPr>
        <w:t xml:space="preserve">1.3 </w:t>
      </w:r>
      <w:r w:rsidR="00B707E9" w:rsidRPr="005B57A0">
        <w:rPr>
          <w:rFonts w:eastAsia="Times New Roman"/>
          <w:lang w:eastAsia="en-AU"/>
        </w:rPr>
        <w:t>Opportunities</w:t>
      </w:r>
      <w:bookmarkEnd w:id="23"/>
      <w:bookmarkEnd w:id="24"/>
      <w:bookmarkEnd w:id="25"/>
      <w:r w:rsidR="00B707E9" w:rsidRPr="005B57A0">
        <w:rPr>
          <w:rFonts w:eastAsia="Times New Roman"/>
          <w:lang w:eastAsia="en-AU"/>
        </w:rPr>
        <w:t> </w:t>
      </w:r>
    </w:p>
    <w:p w14:paraId="0C1977F5" w14:textId="117691E8" w:rsidR="00EA2ED0" w:rsidRPr="00C96BAC" w:rsidRDefault="00E638B6" w:rsidP="00DB0012">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1.3.1 </w:t>
      </w:r>
      <w:r w:rsidR="00B707E9" w:rsidRPr="00C96BAC">
        <w:rPr>
          <w:rFonts w:asciiTheme="minorHAnsi" w:eastAsia="Times New Roman" w:hAnsiTheme="minorHAnsi" w:cstheme="minorHAnsi"/>
          <w:color w:val="002C3E" w:themeColor="background2"/>
          <w:lang w:eastAsia="en-AU"/>
        </w:rPr>
        <w:t xml:space="preserve">Amend the </w:t>
      </w:r>
      <w:r w:rsidR="000345A6" w:rsidRPr="00C96BAC">
        <w:rPr>
          <w:rFonts w:asciiTheme="minorHAnsi" w:eastAsia="Times New Roman" w:hAnsiTheme="minorHAnsi" w:cstheme="minorHAnsi"/>
          <w:color w:val="002C3E" w:themeColor="background2"/>
          <w:lang w:eastAsia="en-AU"/>
        </w:rPr>
        <w:t xml:space="preserve">Accreditation Standards and Procedures </w:t>
      </w:r>
      <w:r w:rsidR="00B707E9" w:rsidRPr="00C96BAC">
        <w:rPr>
          <w:rFonts w:asciiTheme="minorHAnsi" w:eastAsia="Times New Roman" w:hAnsiTheme="minorHAnsi" w:cstheme="minorHAnsi"/>
          <w:color w:val="002C3E" w:themeColor="background2"/>
          <w:lang w:eastAsia="en-AU"/>
        </w:rPr>
        <w:t xml:space="preserve">to ensure all </w:t>
      </w:r>
      <w:r w:rsidR="00A02E21" w:rsidRPr="00C96BAC">
        <w:rPr>
          <w:rFonts w:asciiTheme="minorHAnsi" w:eastAsia="Times New Roman" w:hAnsiTheme="minorHAnsi" w:cstheme="minorHAnsi"/>
          <w:color w:val="002C3E" w:themeColor="background2"/>
          <w:lang w:eastAsia="en-AU"/>
        </w:rPr>
        <w:t xml:space="preserve">ITE </w:t>
      </w:r>
      <w:r w:rsidR="00B707E9" w:rsidRPr="00C96BAC">
        <w:rPr>
          <w:rFonts w:asciiTheme="minorHAnsi" w:eastAsia="Times New Roman" w:hAnsiTheme="minorHAnsi" w:cstheme="minorHAnsi"/>
          <w:color w:val="002C3E" w:themeColor="background2"/>
          <w:lang w:eastAsia="en-AU"/>
        </w:rPr>
        <w:t xml:space="preserve">students learn </w:t>
      </w:r>
      <w:r w:rsidR="0033129F">
        <w:rPr>
          <w:rFonts w:asciiTheme="minorHAnsi" w:eastAsia="Times New Roman" w:hAnsiTheme="minorHAnsi" w:cstheme="minorHAnsi"/>
          <w:color w:val="002C3E" w:themeColor="background2"/>
          <w:lang w:eastAsia="en-AU"/>
        </w:rPr>
        <w:t>and can use</w:t>
      </w:r>
      <w:r w:rsidR="00B707E9" w:rsidRPr="00C96BAC">
        <w:rPr>
          <w:rFonts w:asciiTheme="minorHAnsi" w:eastAsia="Times New Roman" w:hAnsiTheme="minorHAnsi" w:cstheme="minorHAnsi"/>
          <w:color w:val="002C3E" w:themeColor="background2"/>
          <w:lang w:eastAsia="en-AU"/>
        </w:rPr>
        <w:t xml:space="preserve"> the identified practices </w:t>
      </w:r>
    </w:p>
    <w:p w14:paraId="382836A7" w14:textId="4D428C90" w:rsidR="008151AF" w:rsidRPr="00B707E9" w:rsidRDefault="00B707E9" w:rsidP="00421CEB">
      <w:pPr>
        <w:spacing w:after="120" w:line="240" w:lineRule="auto"/>
        <w:textAlignment w:val="baseline"/>
        <w:rPr>
          <w:rFonts w:ascii="Calibri" w:eastAsia="Times New Roman" w:hAnsi="Calibri" w:cs="Calibri"/>
          <w:lang w:eastAsia="en-AU"/>
        </w:rPr>
      </w:pPr>
      <w:r w:rsidRPr="00B707E9">
        <w:rPr>
          <w:rFonts w:ascii="Calibri" w:eastAsia="Times New Roman" w:hAnsi="Calibri" w:cs="Calibri"/>
          <w:lang w:eastAsia="en-AU"/>
        </w:rPr>
        <w:t xml:space="preserve">The practices could be included under </w:t>
      </w:r>
      <w:r w:rsidR="0033129F">
        <w:rPr>
          <w:rFonts w:ascii="Calibri" w:eastAsia="Times New Roman" w:hAnsi="Calibri" w:cs="Calibri"/>
          <w:lang w:eastAsia="en-AU"/>
        </w:rPr>
        <w:t xml:space="preserve">Program </w:t>
      </w:r>
      <w:r w:rsidRPr="00B707E9">
        <w:rPr>
          <w:rFonts w:ascii="Calibri" w:eastAsia="Times New Roman" w:hAnsi="Calibri" w:cs="Calibri"/>
          <w:lang w:eastAsia="en-AU"/>
        </w:rPr>
        <w:t xml:space="preserve">Standard 1 to </w:t>
      </w:r>
      <w:r w:rsidR="00D444DC">
        <w:rPr>
          <w:rFonts w:ascii="Calibri" w:eastAsia="Times New Roman" w:hAnsi="Calibri" w:cs="Calibri"/>
          <w:lang w:eastAsia="en-AU"/>
        </w:rPr>
        <w:t>support</w:t>
      </w:r>
      <w:r w:rsidRPr="00B707E9">
        <w:rPr>
          <w:rFonts w:ascii="Calibri" w:eastAsia="Times New Roman" w:hAnsi="Calibri" w:cs="Calibri"/>
          <w:lang w:eastAsia="en-AU"/>
        </w:rPr>
        <w:t xml:space="preserve"> the </w:t>
      </w:r>
      <w:r w:rsidR="0033129F">
        <w:rPr>
          <w:rFonts w:ascii="Calibri" w:eastAsia="Times New Roman" w:hAnsi="Calibri" w:cs="Calibri"/>
          <w:lang w:eastAsia="en-AU"/>
        </w:rPr>
        <w:t>T</w:t>
      </w:r>
      <w:r w:rsidRPr="00B707E9">
        <w:rPr>
          <w:rFonts w:ascii="Calibri" w:eastAsia="Times New Roman" w:hAnsi="Calibri" w:cs="Calibri"/>
          <w:lang w:eastAsia="en-AU"/>
        </w:rPr>
        <w:t>each</w:t>
      </w:r>
      <w:r w:rsidR="00D444DC">
        <w:rPr>
          <w:rFonts w:ascii="Calibri" w:eastAsia="Times New Roman" w:hAnsi="Calibri" w:cs="Calibri"/>
          <w:lang w:eastAsia="en-AU"/>
        </w:rPr>
        <w:t>er</w:t>
      </w:r>
      <w:r w:rsidRPr="00B707E9">
        <w:rPr>
          <w:rFonts w:ascii="Calibri" w:eastAsia="Times New Roman" w:hAnsi="Calibri" w:cs="Calibri"/>
          <w:lang w:eastAsia="en-AU"/>
        </w:rPr>
        <w:t xml:space="preserve"> </w:t>
      </w:r>
      <w:r w:rsidR="0033129F">
        <w:rPr>
          <w:rFonts w:ascii="Calibri" w:eastAsia="Times New Roman" w:hAnsi="Calibri" w:cs="Calibri"/>
          <w:lang w:eastAsia="en-AU"/>
        </w:rPr>
        <w:t>S</w:t>
      </w:r>
      <w:r w:rsidRPr="00B707E9">
        <w:rPr>
          <w:rFonts w:ascii="Calibri" w:eastAsia="Times New Roman" w:hAnsi="Calibri" w:cs="Calibri"/>
          <w:lang w:eastAsia="en-AU"/>
        </w:rPr>
        <w:t xml:space="preserve">tandards or could be included under </w:t>
      </w:r>
      <w:r w:rsidR="0033129F">
        <w:rPr>
          <w:rFonts w:ascii="Calibri" w:eastAsia="Times New Roman" w:hAnsi="Calibri" w:cs="Calibri"/>
          <w:lang w:eastAsia="en-AU"/>
        </w:rPr>
        <w:t xml:space="preserve">Program </w:t>
      </w:r>
      <w:r w:rsidRPr="00B707E9">
        <w:rPr>
          <w:rFonts w:ascii="Calibri" w:eastAsia="Times New Roman" w:hAnsi="Calibri" w:cs="Calibri"/>
          <w:lang w:eastAsia="en-AU"/>
        </w:rPr>
        <w:t xml:space="preserve">Standard 4 as part of the content requirements for ITE </w:t>
      </w:r>
      <w:r w:rsidR="00A32BE6">
        <w:rPr>
          <w:rFonts w:ascii="Calibri" w:eastAsia="Times New Roman" w:hAnsi="Calibri" w:cs="Calibri"/>
          <w:lang w:eastAsia="en-AU"/>
        </w:rPr>
        <w:t>programs</w:t>
      </w:r>
      <w:r w:rsidRPr="00B707E9">
        <w:rPr>
          <w:rFonts w:ascii="Calibri" w:eastAsia="Times New Roman" w:hAnsi="Calibri" w:cs="Calibri"/>
          <w:lang w:eastAsia="en-AU"/>
        </w:rPr>
        <w:t xml:space="preserve">. The Panel is interested in understanding which </w:t>
      </w:r>
      <w:r w:rsidR="00D444DC">
        <w:rPr>
          <w:rFonts w:ascii="Calibri" w:eastAsia="Times New Roman" w:hAnsi="Calibri" w:cs="Calibri"/>
          <w:lang w:eastAsia="en-AU"/>
        </w:rPr>
        <w:t>Program</w:t>
      </w:r>
      <w:r w:rsidRPr="00B707E9">
        <w:rPr>
          <w:rFonts w:ascii="Calibri" w:eastAsia="Times New Roman" w:hAnsi="Calibri" w:cs="Calibri"/>
          <w:lang w:eastAsia="en-AU"/>
        </w:rPr>
        <w:t xml:space="preserve"> Standard should be amended and the level of </w:t>
      </w:r>
      <w:r w:rsidR="00664556">
        <w:rPr>
          <w:rFonts w:ascii="Calibri" w:eastAsia="Times New Roman" w:hAnsi="Calibri" w:cs="Calibri"/>
          <w:lang w:eastAsia="en-AU"/>
        </w:rPr>
        <w:t>specificity</w:t>
      </w:r>
      <w:r w:rsidR="00664556" w:rsidRPr="00B707E9">
        <w:rPr>
          <w:rFonts w:ascii="Calibri" w:eastAsia="Times New Roman" w:hAnsi="Calibri" w:cs="Calibri"/>
          <w:lang w:eastAsia="en-AU"/>
        </w:rPr>
        <w:t xml:space="preserve"> </w:t>
      </w:r>
      <w:r w:rsidRPr="00B707E9">
        <w:rPr>
          <w:rFonts w:ascii="Calibri" w:eastAsia="Times New Roman" w:hAnsi="Calibri" w:cs="Calibri"/>
          <w:lang w:eastAsia="en-AU"/>
        </w:rPr>
        <w:t xml:space="preserve">required </w:t>
      </w:r>
      <w:r w:rsidR="003E069D">
        <w:rPr>
          <w:rFonts w:ascii="Calibri" w:eastAsia="Times New Roman" w:hAnsi="Calibri" w:cs="Calibri"/>
          <w:lang w:eastAsia="en-AU"/>
        </w:rPr>
        <w:t>to ensure</w:t>
      </w:r>
      <w:r w:rsidR="003E069D" w:rsidRPr="00B707E9">
        <w:rPr>
          <w:rFonts w:ascii="Calibri" w:eastAsia="Times New Roman" w:hAnsi="Calibri" w:cs="Calibri"/>
          <w:lang w:eastAsia="en-AU"/>
        </w:rPr>
        <w:t xml:space="preserve"> </w:t>
      </w:r>
      <w:r w:rsidRPr="00B707E9">
        <w:rPr>
          <w:rFonts w:ascii="Calibri" w:eastAsia="Times New Roman" w:hAnsi="Calibri" w:cs="Calibri"/>
          <w:lang w:eastAsia="en-AU"/>
        </w:rPr>
        <w:t>higher education providers</w:t>
      </w:r>
      <w:r w:rsidR="003E069D">
        <w:rPr>
          <w:rFonts w:ascii="Calibri" w:eastAsia="Times New Roman" w:hAnsi="Calibri" w:cs="Calibri"/>
          <w:lang w:eastAsia="en-AU"/>
        </w:rPr>
        <w:t xml:space="preserve"> consistently </w:t>
      </w:r>
      <w:r w:rsidR="00F835B8">
        <w:rPr>
          <w:rFonts w:ascii="Calibri" w:eastAsia="Times New Roman" w:hAnsi="Calibri" w:cs="Calibri"/>
          <w:lang w:eastAsia="en-AU"/>
        </w:rPr>
        <w:t xml:space="preserve">prioritise </w:t>
      </w:r>
      <w:r w:rsidRPr="00B707E9">
        <w:rPr>
          <w:rFonts w:ascii="Calibri" w:eastAsia="Times New Roman" w:hAnsi="Calibri" w:cs="Calibri"/>
          <w:lang w:eastAsia="en-AU"/>
        </w:rPr>
        <w:t xml:space="preserve">these practices in their </w:t>
      </w:r>
      <w:r w:rsidR="005D529A">
        <w:rPr>
          <w:rFonts w:ascii="Calibri" w:eastAsia="Times New Roman" w:hAnsi="Calibri" w:cs="Calibri"/>
          <w:lang w:eastAsia="en-AU"/>
        </w:rPr>
        <w:t>programs</w:t>
      </w:r>
      <w:r w:rsidRPr="00B707E9">
        <w:rPr>
          <w:rFonts w:ascii="Calibri" w:eastAsia="Times New Roman" w:hAnsi="Calibri" w:cs="Calibri"/>
          <w:lang w:eastAsia="en-AU"/>
        </w:rPr>
        <w:t>.  </w:t>
      </w:r>
    </w:p>
    <w:p w14:paraId="7DCEBEDE" w14:textId="71942DD1" w:rsidR="000D583E" w:rsidRPr="00421CEB" w:rsidRDefault="002B4F92" w:rsidP="00DB0012">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1.3.2 </w:t>
      </w:r>
      <w:r w:rsidR="00E50F34" w:rsidRPr="00C96BAC">
        <w:rPr>
          <w:rFonts w:asciiTheme="minorHAnsi" w:eastAsia="Times New Roman" w:hAnsiTheme="minorHAnsi" w:cstheme="minorHAnsi"/>
          <w:color w:val="002C3E" w:themeColor="background2"/>
          <w:lang w:eastAsia="en-AU"/>
        </w:rPr>
        <w:t xml:space="preserve">Including evidence-based practices as part of Teaching </w:t>
      </w:r>
      <w:r w:rsidR="009A5102" w:rsidRPr="00C96BAC">
        <w:rPr>
          <w:rFonts w:asciiTheme="minorHAnsi" w:eastAsia="Times New Roman" w:hAnsiTheme="minorHAnsi" w:cstheme="minorHAnsi"/>
          <w:color w:val="002C3E" w:themeColor="background2"/>
          <w:lang w:eastAsia="en-AU"/>
        </w:rPr>
        <w:t>P</w:t>
      </w:r>
      <w:r w:rsidR="00E50F34" w:rsidRPr="00C96BAC">
        <w:rPr>
          <w:rFonts w:asciiTheme="minorHAnsi" w:eastAsia="Times New Roman" w:hAnsiTheme="minorHAnsi" w:cstheme="minorHAnsi"/>
          <w:color w:val="002C3E" w:themeColor="background2"/>
          <w:lang w:eastAsia="en-AU"/>
        </w:rPr>
        <w:t xml:space="preserve">erformance </w:t>
      </w:r>
      <w:r w:rsidR="009A5102" w:rsidRPr="00C96BAC">
        <w:rPr>
          <w:rFonts w:asciiTheme="minorHAnsi" w:eastAsia="Times New Roman" w:hAnsiTheme="minorHAnsi" w:cstheme="minorHAnsi"/>
          <w:color w:val="002C3E" w:themeColor="background2"/>
          <w:lang w:eastAsia="en-AU"/>
        </w:rPr>
        <w:t>A</w:t>
      </w:r>
      <w:r w:rsidR="00E50F34" w:rsidRPr="00C96BAC">
        <w:rPr>
          <w:rFonts w:asciiTheme="minorHAnsi" w:eastAsia="Times New Roman" w:hAnsiTheme="minorHAnsi" w:cstheme="minorHAnsi"/>
          <w:color w:val="002C3E" w:themeColor="background2"/>
          <w:lang w:eastAsia="en-AU"/>
        </w:rPr>
        <w:t>ssessments</w:t>
      </w:r>
    </w:p>
    <w:p w14:paraId="4744FF54" w14:textId="10FCFF1A" w:rsidR="00D02572" w:rsidRPr="008A6F13" w:rsidRDefault="00B707E9" w:rsidP="003D27A2">
      <w:pPr>
        <w:spacing w:after="120" w:line="240" w:lineRule="auto"/>
        <w:textAlignment w:val="baseline"/>
        <w:rPr>
          <w:rFonts w:ascii="Calibri" w:eastAsia="Times New Roman" w:hAnsi="Calibri" w:cs="Calibri"/>
          <w:sz w:val="24"/>
          <w:szCs w:val="24"/>
          <w:lang w:eastAsia="en-AU"/>
        </w:rPr>
      </w:pPr>
      <w:r w:rsidRPr="00E50F34">
        <w:rPr>
          <w:rFonts w:ascii="Calibri" w:eastAsia="Times New Roman" w:hAnsi="Calibri" w:cs="Calibri"/>
          <w:lang w:eastAsia="en-AU"/>
        </w:rPr>
        <w:t xml:space="preserve">Beyond including the evidence-based practices into ITE, ITE students also need to be given the opportunity to apply and practice these skills. </w:t>
      </w:r>
      <w:r w:rsidR="00DF0532" w:rsidRPr="00E50F34">
        <w:rPr>
          <w:rFonts w:ascii="Calibri" w:eastAsia="Times New Roman" w:hAnsi="Calibri" w:cs="Calibri"/>
          <w:lang w:eastAsia="en-AU"/>
        </w:rPr>
        <w:t>A</w:t>
      </w:r>
      <w:r w:rsidRPr="00E50F34">
        <w:rPr>
          <w:rFonts w:ascii="Calibri" w:eastAsia="Times New Roman" w:hAnsi="Calibri" w:cs="Calibri"/>
          <w:lang w:eastAsia="en-AU"/>
        </w:rPr>
        <w:t xml:space="preserve"> Teaching Performance Assessment (TPA)</w:t>
      </w:r>
      <w:r w:rsidR="00614BA7" w:rsidRPr="00E50F34">
        <w:rPr>
          <w:rFonts w:ascii="Calibri" w:eastAsia="Times New Roman" w:hAnsi="Calibri" w:cs="Calibri"/>
          <w:lang w:eastAsia="en-AU"/>
        </w:rPr>
        <w:t xml:space="preserve"> is a tool used to assess the practical skills and knowledge of </w:t>
      </w:r>
      <w:r w:rsidR="004D2369">
        <w:rPr>
          <w:rFonts w:ascii="Calibri" w:eastAsia="Times New Roman" w:hAnsi="Calibri" w:cs="Calibri"/>
          <w:lang w:eastAsia="en-AU"/>
        </w:rPr>
        <w:t>ITE students</w:t>
      </w:r>
      <w:r w:rsidR="00614BA7" w:rsidRPr="00E50F34">
        <w:rPr>
          <w:rFonts w:ascii="Calibri" w:eastAsia="Times New Roman" w:hAnsi="Calibri" w:cs="Calibri"/>
          <w:lang w:eastAsia="en-AU"/>
        </w:rPr>
        <w:t xml:space="preserve">. </w:t>
      </w:r>
      <w:r w:rsidR="005A7861" w:rsidRPr="00E50F34">
        <w:rPr>
          <w:rFonts w:ascii="Calibri" w:eastAsia="Times New Roman" w:hAnsi="Calibri" w:cs="Calibri"/>
          <w:lang w:eastAsia="en-AU"/>
        </w:rPr>
        <w:t xml:space="preserve">There is an opportunity to </w:t>
      </w:r>
      <w:r w:rsidR="00763C80" w:rsidRPr="00E50F34">
        <w:rPr>
          <w:rFonts w:ascii="Calibri" w:eastAsia="Times New Roman" w:hAnsi="Calibri" w:cs="Calibri"/>
          <w:lang w:eastAsia="en-AU"/>
        </w:rPr>
        <w:t xml:space="preserve">require </w:t>
      </w:r>
      <w:r w:rsidR="00614BA7" w:rsidRPr="00E50F34">
        <w:rPr>
          <w:rFonts w:ascii="Calibri" w:eastAsia="Times New Roman" w:hAnsi="Calibri" w:cs="Calibri"/>
          <w:lang w:eastAsia="en-AU"/>
        </w:rPr>
        <w:t>TPAs</w:t>
      </w:r>
      <w:r w:rsidR="00763C80" w:rsidRPr="00E50F34">
        <w:rPr>
          <w:rFonts w:ascii="Calibri" w:eastAsia="Times New Roman" w:hAnsi="Calibri" w:cs="Calibri"/>
          <w:lang w:eastAsia="en-AU"/>
        </w:rPr>
        <w:t xml:space="preserve"> </w:t>
      </w:r>
      <w:r w:rsidR="006C774C" w:rsidRPr="00E50F34">
        <w:rPr>
          <w:rFonts w:ascii="Calibri" w:eastAsia="Times New Roman" w:hAnsi="Calibri" w:cs="Calibri"/>
          <w:lang w:eastAsia="en-AU"/>
        </w:rPr>
        <w:t>assess if ITE students can demonstrate knowledge and application of these practices, encouraging</w:t>
      </w:r>
      <w:r w:rsidRPr="00E50F34">
        <w:rPr>
          <w:rFonts w:ascii="Calibri" w:eastAsia="Times New Roman" w:hAnsi="Calibri" w:cs="Calibri"/>
          <w:lang w:eastAsia="en-AU"/>
        </w:rPr>
        <w:t xml:space="preserve"> the integration and implementation of core content into ITE </w:t>
      </w:r>
      <w:r w:rsidR="00A32BE6">
        <w:rPr>
          <w:rFonts w:ascii="Calibri" w:eastAsia="Times New Roman" w:hAnsi="Calibri" w:cs="Calibri"/>
          <w:lang w:eastAsia="en-AU"/>
        </w:rPr>
        <w:t>programs</w:t>
      </w:r>
      <w:r w:rsidR="008558A6" w:rsidRPr="00E50F34">
        <w:rPr>
          <w:rFonts w:ascii="Calibri" w:eastAsia="Times New Roman" w:hAnsi="Calibri" w:cs="Calibri"/>
          <w:lang w:eastAsia="en-AU"/>
        </w:rPr>
        <w:t xml:space="preserve"> </w:t>
      </w:r>
      <w:r w:rsidR="00614709" w:rsidRPr="00E50F34">
        <w:rPr>
          <w:rFonts w:ascii="Calibri" w:eastAsia="Times New Roman" w:hAnsi="Calibri" w:cs="Calibri"/>
          <w:lang w:eastAsia="en-AU"/>
        </w:rPr>
        <w:t xml:space="preserve">and for ITE students to practice these skills in their </w:t>
      </w:r>
      <w:r w:rsidR="00D50C37" w:rsidRPr="00D50C37">
        <w:rPr>
          <w:rFonts w:ascii="Calibri" w:eastAsia="Times New Roman" w:hAnsi="Calibri" w:cs="Calibri"/>
          <w:lang w:eastAsia="en-AU"/>
        </w:rPr>
        <w:t>practical experience</w:t>
      </w:r>
      <w:r w:rsidRPr="00E50F34">
        <w:rPr>
          <w:rFonts w:ascii="Calibri" w:eastAsia="Times New Roman" w:hAnsi="Calibri" w:cs="Calibri"/>
          <w:lang w:eastAsia="en-AU"/>
        </w:rPr>
        <w:t>.  </w:t>
      </w:r>
      <w:r w:rsidRPr="00E50F34">
        <w:rPr>
          <w:rFonts w:ascii="Calibri" w:eastAsia="Times New Roman" w:hAnsi="Calibri" w:cs="Calibri"/>
          <w:sz w:val="24"/>
          <w:szCs w:val="24"/>
          <w:lang w:eastAsia="en-AU"/>
        </w:rPr>
        <w:t> </w:t>
      </w:r>
    </w:p>
    <w:p w14:paraId="3A4D0CC0" w14:textId="7A18716C" w:rsidR="00B707E9" w:rsidRPr="00421CEB" w:rsidRDefault="003017C5" w:rsidP="00627B91">
      <w:pPr>
        <w:pStyle w:val="Heading3"/>
        <w:spacing w:before="0" w:after="120" w:line="240" w:lineRule="auto"/>
        <w:rPr>
          <w:rFonts w:eastAsia="Times New Roman"/>
          <w:lang w:eastAsia="en-AU"/>
        </w:rPr>
      </w:pPr>
      <w:bookmarkStart w:id="26" w:name="_Toc127978377"/>
      <w:bookmarkStart w:id="27" w:name="_Toc128649077"/>
      <w:bookmarkStart w:id="28" w:name="_Toc130217433"/>
      <w:r>
        <w:rPr>
          <w:rFonts w:eastAsia="Times New Roman"/>
          <w:lang w:eastAsia="en-AU"/>
        </w:rPr>
        <w:lastRenderedPageBreak/>
        <w:t xml:space="preserve">1.4 </w:t>
      </w:r>
      <w:r w:rsidR="00B707E9" w:rsidRPr="00421CEB">
        <w:rPr>
          <w:rFonts w:eastAsia="Times New Roman"/>
          <w:lang w:eastAsia="en-AU"/>
        </w:rPr>
        <w:t>Considerations</w:t>
      </w:r>
      <w:bookmarkEnd w:id="26"/>
      <w:bookmarkEnd w:id="27"/>
      <w:bookmarkEnd w:id="28"/>
      <w:r w:rsidR="00B707E9" w:rsidRPr="00421CEB">
        <w:rPr>
          <w:rFonts w:eastAsia="Times New Roman"/>
          <w:lang w:eastAsia="en-AU"/>
        </w:rPr>
        <w:t> </w:t>
      </w:r>
    </w:p>
    <w:p w14:paraId="41119A3B" w14:textId="442CB0FC" w:rsidR="00B707E9" w:rsidRPr="00185C88" w:rsidRDefault="002B4F92" w:rsidP="00DB0012">
      <w:pPr>
        <w:pStyle w:val="Heading4"/>
        <w:spacing w:before="0" w:line="240" w:lineRule="auto"/>
        <w:rPr>
          <w:rFonts w:asciiTheme="minorHAnsi" w:eastAsia="Times New Roman" w:hAnsiTheme="minorHAnsi" w:cstheme="minorBidi"/>
          <w:color w:val="002C3E" w:themeColor="background2"/>
          <w:lang w:eastAsia="en-AU"/>
        </w:rPr>
      </w:pPr>
      <w:r>
        <w:rPr>
          <w:rFonts w:asciiTheme="minorHAnsi" w:eastAsia="Times New Roman" w:hAnsiTheme="minorHAnsi" w:cstheme="minorBidi"/>
          <w:color w:val="002C3E" w:themeColor="background2"/>
          <w:lang w:eastAsia="en-AU"/>
        </w:rPr>
        <w:t xml:space="preserve">1.4.1 </w:t>
      </w:r>
      <w:r w:rsidR="00B707E9" w:rsidRPr="46D166D5">
        <w:rPr>
          <w:rFonts w:asciiTheme="minorHAnsi" w:eastAsia="Times New Roman" w:hAnsiTheme="minorHAnsi" w:cstheme="minorBidi"/>
          <w:color w:val="002C3E" w:themeColor="background2"/>
          <w:lang w:eastAsia="en-AU"/>
        </w:rPr>
        <w:t>Authorising environment </w:t>
      </w:r>
    </w:p>
    <w:p w14:paraId="627B7139" w14:textId="77777777" w:rsidR="001058DB" w:rsidRDefault="001058DB" w:rsidP="00B86E2E">
      <w:pPr>
        <w:spacing w:after="120" w:line="240" w:lineRule="auto"/>
        <w:textAlignment w:val="baseline"/>
        <w:rPr>
          <w:rFonts w:ascii="Calibri" w:eastAsia="Times New Roman" w:hAnsi="Calibri" w:cs="Calibri"/>
          <w:lang w:eastAsia="en-AU"/>
        </w:rPr>
      </w:pPr>
      <w:r>
        <w:rPr>
          <w:rFonts w:ascii="Calibri" w:eastAsia="Times New Roman" w:hAnsi="Calibri" w:cs="Calibri"/>
          <w:lang w:eastAsia="en-AU"/>
        </w:rPr>
        <w:t>Amending the Accreditation Standards and Procedures to ensure the core content is prioritised in ITE programs is a substantive ITE reform. The Panel is keen to ensure this core content is consistently prioritised in ITE programs, but there are currently limited mechanisms to ensure consistent application of the Accreditation Standards and Procedures across jurisdictions.</w:t>
      </w:r>
    </w:p>
    <w:p w14:paraId="6359F68E" w14:textId="14F5190B" w:rsidR="001058DB" w:rsidRDefault="001058DB" w:rsidP="00B86E2E">
      <w:pPr>
        <w:spacing w:after="120" w:line="240" w:lineRule="auto"/>
        <w:textAlignment w:val="baseline"/>
        <w:rPr>
          <w:rFonts w:ascii="Calibri" w:eastAsia="Times New Roman" w:hAnsi="Calibri" w:cs="Calibri"/>
          <w:lang w:eastAsia="en-AU"/>
        </w:rPr>
      </w:pPr>
      <w:r w:rsidRPr="00B120D9">
        <w:rPr>
          <w:rFonts w:ascii="Calibri" w:eastAsia="Times New Roman" w:hAnsi="Calibri" w:cs="Calibri"/>
          <w:lang w:eastAsia="en-AU"/>
        </w:rPr>
        <w:t xml:space="preserve">The QITE Review found that there is no transparent national moderation process to give confidence that all </w:t>
      </w:r>
      <w:r>
        <w:rPr>
          <w:rFonts w:ascii="Calibri" w:eastAsia="Times New Roman" w:hAnsi="Calibri" w:cs="Calibri"/>
          <w:lang w:eastAsia="en-AU"/>
        </w:rPr>
        <w:t xml:space="preserve">TRAs </w:t>
      </w:r>
      <w:r w:rsidRPr="00B120D9">
        <w:rPr>
          <w:rFonts w:ascii="Calibri" w:eastAsia="Times New Roman" w:hAnsi="Calibri" w:cs="Calibri"/>
          <w:lang w:eastAsia="en-AU"/>
        </w:rPr>
        <w:t>are assessing ITE programs against the Accreditation Standards and Procedures in the same way.</w:t>
      </w:r>
      <w:r>
        <w:rPr>
          <w:rFonts w:ascii="Calibri" w:eastAsia="Times New Roman" w:hAnsi="Calibri" w:cs="Calibri"/>
          <w:lang w:eastAsia="en-AU"/>
        </w:rPr>
        <w:t xml:space="preserve"> AITSL stated in its submission to the QITE Review that ‘the revision or amendment of the </w:t>
      </w:r>
      <w:r w:rsidR="00773D8A">
        <w:rPr>
          <w:rFonts w:ascii="Calibri" w:eastAsia="Times New Roman" w:hAnsi="Calibri" w:cs="Calibri"/>
          <w:lang w:eastAsia="en-AU"/>
        </w:rPr>
        <w:t xml:space="preserve">Accreditation </w:t>
      </w:r>
      <w:r>
        <w:rPr>
          <w:rFonts w:ascii="Calibri" w:eastAsia="Times New Roman" w:hAnsi="Calibri" w:cs="Calibri"/>
          <w:lang w:eastAsia="en-AU"/>
        </w:rPr>
        <w:t xml:space="preserve">Standards and Procedures cannot overcome the structural differences that result from eight different interpretations of the accreditation standards.” </w:t>
      </w:r>
    </w:p>
    <w:p w14:paraId="00A30801" w14:textId="164B033C" w:rsidR="001058DB" w:rsidRDefault="001058DB" w:rsidP="00B86E2E">
      <w:pPr>
        <w:spacing w:after="120" w:line="240" w:lineRule="auto"/>
        <w:textAlignment w:val="baseline"/>
        <w:rPr>
          <w:rFonts w:ascii="Calibri" w:eastAsia="Times New Roman" w:hAnsi="Calibri" w:cs="Calibri"/>
          <w:lang w:eastAsia="en-AU"/>
        </w:rPr>
      </w:pPr>
      <w:r>
        <w:rPr>
          <w:rFonts w:ascii="Calibri" w:eastAsia="Times New Roman" w:hAnsi="Calibri" w:cs="Calibri"/>
          <w:lang w:eastAsia="en-AU"/>
        </w:rPr>
        <w:t>Previous ITE reviews have proposed different mechanisms to improve national consistency of accreditation decisions. TEMAG proposed a</w:t>
      </w:r>
      <w:r>
        <w:t xml:space="preserve">n overhauled national accreditation process for </w:t>
      </w:r>
      <w:r w:rsidR="002A0EC7">
        <w:t>ITE</w:t>
      </w:r>
      <w:r>
        <w:t xml:space="preserve"> programs administered by a national regulator. A 2014 report commissioned for TEMAG, Best Practice Teacher Education Programs and Australia’s Own Programs, notes that most professions, apart from teaching, delegated the accreditation function to specially created national accreditation bodies. For example, the Australian Health Practitioner Regulation Agency was established in 2008 as a single National Registration and Accreditation Scheme for registered health practitioners. </w:t>
      </w:r>
      <w:r w:rsidR="0038297E">
        <w:t xml:space="preserve">A national accreditation body </w:t>
      </w:r>
      <w:r>
        <w:t>would be a major long-term reform g</w:t>
      </w:r>
      <w:r>
        <w:rPr>
          <w:rFonts w:ascii="Calibri" w:eastAsia="Times New Roman" w:hAnsi="Calibri" w:cs="Calibri"/>
          <w:lang w:eastAsia="en-AU"/>
        </w:rPr>
        <w:t xml:space="preserve">iven the legislative complexity of establishing a national regulatory body, as all TRAs </w:t>
      </w:r>
      <w:r>
        <w:t>have been established through legislation in their respective jurisdictions.</w:t>
      </w:r>
    </w:p>
    <w:p w14:paraId="2936E677" w14:textId="5E2B96A2" w:rsidR="001058DB" w:rsidRDefault="001058DB" w:rsidP="00B86E2E">
      <w:pPr>
        <w:spacing w:after="120"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The QITE Review proposed that a level of national moderation or oversight would be beneficial to ensure consistency of accreditation decisions. For example, it </w:t>
      </w:r>
      <w:r>
        <w:t xml:space="preserve">recommended strengthening the TPAs by setting up a board with authority to undertake national standard-setting, moderation and comparability of TPAs. Similarly, </w:t>
      </w:r>
      <w:r>
        <w:rPr>
          <w:rFonts w:ascii="Calibri" w:eastAsia="Times New Roman" w:hAnsi="Calibri" w:cs="Calibri"/>
          <w:lang w:eastAsia="en-AU"/>
        </w:rPr>
        <w:t xml:space="preserve">AITSL proposed a ‘National Quality Assurance of ITE Oversight Body’ in its submission to the QITE Review, to </w:t>
      </w:r>
      <w:r w:rsidR="00387D39">
        <w:rPr>
          <w:rFonts w:ascii="Calibri" w:eastAsia="Times New Roman" w:hAnsi="Calibri" w:cs="Calibri"/>
          <w:lang w:eastAsia="en-AU"/>
        </w:rPr>
        <w:t xml:space="preserve">oversee, </w:t>
      </w:r>
      <w:r w:rsidR="00387D39">
        <w:t>develop and present information about</w:t>
      </w:r>
      <w:r>
        <w:t xml:space="preserve"> the quality </w:t>
      </w:r>
      <w:r w:rsidR="00387D39">
        <w:t>and consistency of teacher training</w:t>
      </w:r>
      <w:r>
        <w:rPr>
          <w:rFonts w:ascii="Calibri" w:eastAsia="Times New Roman" w:hAnsi="Calibri" w:cs="Calibri"/>
          <w:lang w:eastAsia="en-AU"/>
        </w:rPr>
        <w:t xml:space="preserve">. It would not have any regulatory or legislative power but could make recommendations to TRAs and Educations Ministers and </w:t>
      </w:r>
      <w:r w:rsidR="0060344D">
        <w:rPr>
          <w:rFonts w:ascii="Calibri" w:eastAsia="Times New Roman" w:hAnsi="Calibri" w:cs="Calibri"/>
          <w:lang w:eastAsia="en-AU"/>
        </w:rPr>
        <w:t xml:space="preserve">provide </w:t>
      </w:r>
      <w:r>
        <w:rPr>
          <w:rFonts w:ascii="Calibri" w:eastAsia="Times New Roman" w:hAnsi="Calibri" w:cs="Calibri"/>
          <w:lang w:eastAsia="en-AU"/>
        </w:rPr>
        <w:t>public information that support</w:t>
      </w:r>
      <w:r w:rsidR="0060344D">
        <w:rPr>
          <w:rFonts w:ascii="Calibri" w:eastAsia="Times New Roman" w:hAnsi="Calibri" w:cs="Calibri"/>
          <w:lang w:eastAsia="en-AU"/>
        </w:rPr>
        <w:t>s</w:t>
      </w:r>
      <w:r>
        <w:rPr>
          <w:rFonts w:ascii="Calibri" w:eastAsia="Times New Roman" w:hAnsi="Calibri" w:cs="Calibri"/>
          <w:lang w:eastAsia="en-AU"/>
        </w:rPr>
        <w:t xml:space="preserve"> quality assurance</w:t>
      </w:r>
      <w:r w:rsidR="003D691F">
        <w:rPr>
          <w:rFonts w:ascii="Calibri" w:eastAsia="Times New Roman" w:hAnsi="Calibri" w:cs="Calibri"/>
          <w:lang w:eastAsia="en-AU"/>
        </w:rPr>
        <w:t xml:space="preserve"> including in specific targeted areas</w:t>
      </w:r>
      <w:r>
        <w:rPr>
          <w:rFonts w:ascii="Calibri" w:eastAsia="Times New Roman" w:hAnsi="Calibri" w:cs="Calibri"/>
          <w:lang w:eastAsia="en-AU"/>
        </w:rPr>
        <w:t xml:space="preserve">. This would support improved national consistency of accreditation decisions without the need for legislative change. </w:t>
      </w:r>
    </w:p>
    <w:p w14:paraId="68043DBB" w14:textId="10673448" w:rsidR="0023696D" w:rsidRDefault="001058DB" w:rsidP="0023696D">
      <w:pPr>
        <w:spacing w:after="120" w:line="240" w:lineRule="auto"/>
        <w:textAlignment w:val="baseline"/>
        <w:rPr>
          <w:rFonts w:ascii="Calibri" w:eastAsia="Times New Roman" w:hAnsi="Calibri" w:cs="Calibri"/>
          <w:lang w:eastAsia="en-AU"/>
        </w:rPr>
      </w:pPr>
      <w:r w:rsidRPr="00B120D9">
        <w:rPr>
          <w:rFonts w:ascii="Calibri" w:eastAsia="Times New Roman" w:hAnsi="Calibri" w:cs="Calibri"/>
          <w:lang w:eastAsia="en-AU"/>
        </w:rPr>
        <w:t xml:space="preserve">The Panel is interested in understanding the extent to which </w:t>
      </w:r>
      <w:r>
        <w:rPr>
          <w:rFonts w:ascii="Calibri" w:eastAsia="Times New Roman" w:hAnsi="Calibri" w:cs="Calibri"/>
          <w:lang w:eastAsia="en-AU"/>
        </w:rPr>
        <w:t xml:space="preserve">the authorising environment for ITE needs to change to </w:t>
      </w:r>
      <w:r w:rsidRPr="00B120D9">
        <w:rPr>
          <w:rFonts w:ascii="Calibri" w:eastAsia="Times New Roman" w:hAnsi="Calibri" w:cs="Calibri"/>
          <w:lang w:eastAsia="en-AU"/>
        </w:rPr>
        <w:t xml:space="preserve">ensure the </w:t>
      </w:r>
      <w:r>
        <w:rPr>
          <w:rFonts w:ascii="Calibri" w:eastAsia="Times New Roman" w:hAnsi="Calibri" w:cs="Calibri"/>
          <w:lang w:eastAsia="en-AU"/>
        </w:rPr>
        <w:t xml:space="preserve">consistent application of the </w:t>
      </w:r>
      <w:r w:rsidR="00773D8A">
        <w:rPr>
          <w:rFonts w:ascii="Calibri" w:eastAsia="Times New Roman" w:hAnsi="Calibri" w:cs="Calibri"/>
          <w:lang w:eastAsia="en-AU"/>
        </w:rPr>
        <w:t>A</w:t>
      </w:r>
      <w:r>
        <w:rPr>
          <w:rFonts w:ascii="Calibri" w:eastAsia="Times New Roman" w:hAnsi="Calibri" w:cs="Calibri"/>
          <w:lang w:eastAsia="en-AU"/>
        </w:rPr>
        <w:t xml:space="preserve">ccreditation </w:t>
      </w:r>
      <w:r w:rsidR="00773D8A">
        <w:rPr>
          <w:rFonts w:ascii="Calibri" w:eastAsia="Times New Roman" w:hAnsi="Calibri" w:cs="Calibri"/>
          <w:lang w:eastAsia="en-AU"/>
        </w:rPr>
        <w:t>S</w:t>
      </w:r>
      <w:r>
        <w:rPr>
          <w:rFonts w:ascii="Calibri" w:eastAsia="Times New Roman" w:hAnsi="Calibri" w:cs="Calibri"/>
          <w:lang w:eastAsia="en-AU"/>
        </w:rPr>
        <w:t xml:space="preserve">tandards and </w:t>
      </w:r>
      <w:r w:rsidR="00773D8A">
        <w:rPr>
          <w:rFonts w:ascii="Calibri" w:eastAsia="Times New Roman" w:hAnsi="Calibri" w:cs="Calibri"/>
          <w:lang w:eastAsia="en-AU"/>
        </w:rPr>
        <w:t>P</w:t>
      </w:r>
      <w:r>
        <w:rPr>
          <w:rFonts w:ascii="Calibri" w:eastAsia="Times New Roman" w:hAnsi="Calibri" w:cs="Calibri"/>
          <w:lang w:eastAsia="en-AU"/>
        </w:rPr>
        <w:t xml:space="preserve">rocedures and </w:t>
      </w:r>
      <w:r w:rsidRPr="00B120D9">
        <w:rPr>
          <w:rFonts w:ascii="Calibri" w:eastAsia="Times New Roman" w:hAnsi="Calibri" w:cs="Calibri"/>
          <w:lang w:eastAsia="en-AU"/>
        </w:rPr>
        <w:t xml:space="preserve">consistent </w:t>
      </w:r>
      <w:r w:rsidR="00F91BB1">
        <w:rPr>
          <w:rFonts w:ascii="Calibri" w:eastAsia="Times New Roman" w:hAnsi="Calibri" w:cs="Calibri"/>
          <w:lang w:eastAsia="en-AU"/>
        </w:rPr>
        <w:t>prioritisation</w:t>
      </w:r>
      <w:r w:rsidRPr="00B120D9">
        <w:rPr>
          <w:rFonts w:ascii="Calibri" w:eastAsia="Times New Roman" w:hAnsi="Calibri" w:cs="Calibri"/>
          <w:lang w:eastAsia="en-AU"/>
        </w:rPr>
        <w:t xml:space="preserve"> of </w:t>
      </w:r>
      <w:r>
        <w:rPr>
          <w:rFonts w:ascii="Calibri" w:eastAsia="Times New Roman" w:hAnsi="Calibri" w:cs="Calibri"/>
          <w:lang w:eastAsia="en-AU"/>
        </w:rPr>
        <w:t>the</w:t>
      </w:r>
      <w:r w:rsidRPr="00B120D9">
        <w:rPr>
          <w:rFonts w:ascii="Calibri" w:eastAsia="Times New Roman" w:hAnsi="Calibri" w:cs="Calibri"/>
          <w:lang w:eastAsia="en-AU"/>
        </w:rPr>
        <w:t xml:space="preserve"> </w:t>
      </w:r>
      <w:r w:rsidR="00F91BB1">
        <w:rPr>
          <w:rFonts w:ascii="Calibri" w:eastAsia="Times New Roman" w:hAnsi="Calibri" w:cs="Calibri"/>
          <w:lang w:eastAsia="en-AU"/>
        </w:rPr>
        <w:t>core content</w:t>
      </w:r>
      <w:r w:rsidRPr="00B120D9">
        <w:rPr>
          <w:rFonts w:ascii="Calibri" w:eastAsia="Times New Roman" w:hAnsi="Calibri" w:cs="Calibri"/>
          <w:lang w:eastAsia="en-AU"/>
        </w:rPr>
        <w:t xml:space="preserve"> in</w:t>
      </w:r>
      <w:r>
        <w:rPr>
          <w:rFonts w:ascii="Calibri" w:eastAsia="Times New Roman" w:hAnsi="Calibri" w:cs="Calibri"/>
          <w:lang w:eastAsia="en-AU"/>
        </w:rPr>
        <w:t>to</w:t>
      </w:r>
      <w:r w:rsidRPr="00B120D9">
        <w:rPr>
          <w:rFonts w:ascii="Calibri" w:eastAsia="Times New Roman" w:hAnsi="Calibri" w:cs="Calibri"/>
          <w:lang w:eastAsia="en-AU"/>
        </w:rPr>
        <w:t xml:space="preserve"> ITE programs. </w:t>
      </w:r>
    </w:p>
    <w:p w14:paraId="224C165B" w14:textId="35423D44" w:rsidR="0023696D" w:rsidRDefault="0023696D">
      <w:pPr>
        <w:spacing w:after="160"/>
        <w:rPr>
          <w:rFonts w:ascii="Calibri" w:eastAsia="Times New Roman" w:hAnsi="Calibri" w:cs="Calibri"/>
          <w:lang w:eastAsia="en-AU"/>
        </w:rPr>
      </w:pPr>
      <w:r>
        <w:rPr>
          <w:rFonts w:ascii="Calibri" w:eastAsia="Times New Roman" w:hAnsi="Calibri" w:cs="Calibri"/>
          <w:lang w:eastAsia="en-AU"/>
        </w:rPr>
        <w:br w:type="page"/>
      </w:r>
    </w:p>
    <w:p w14:paraId="49B9270F" w14:textId="42EB5D5C" w:rsidR="00B206DD" w:rsidRPr="006034C8" w:rsidRDefault="0023696D" w:rsidP="0023696D">
      <w:pPr>
        <w:spacing w:after="120" w:line="240" w:lineRule="auto"/>
        <w:textAlignment w:val="baseline"/>
        <w:rPr>
          <w:rFonts w:ascii="Calibri" w:eastAsia="Times New Roman" w:hAnsi="Calibri" w:cs="Calibri"/>
          <w:lang w:eastAsia="en-AU"/>
        </w:rPr>
      </w:pPr>
      <w:r>
        <w:rPr>
          <w:rFonts w:ascii="Calibri Light" w:eastAsia="Times New Roman" w:hAnsi="Calibri Light" w:cs="Calibri Light"/>
          <w:noProof/>
          <w:color w:val="2F5496"/>
          <w:sz w:val="32"/>
          <w:szCs w:val="32"/>
          <w:lang w:eastAsia="en-AU"/>
        </w:rPr>
        <w:lastRenderedPageBreak/>
        <mc:AlternateContent>
          <mc:Choice Requires="wpg">
            <w:drawing>
              <wp:anchor distT="0" distB="0" distL="114300" distR="114300" simplePos="0" relativeHeight="251658253" behindDoc="0" locked="0" layoutInCell="1" allowOverlap="1" wp14:anchorId="0BC19D55" wp14:editId="574CCE1E">
                <wp:simplePos x="0" y="0"/>
                <wp:positionH relativeFrom="margin">
                  <wp:posOffset>59632</wp:posOffset>
                </wp:positionH>
                <wp:positionV relativeFrom="paragraph">
                  <wp:posOffset>-288043</wp:posOffset>
                </wp:positionV>
                <wp:extent cx="5731510" cy="763905"/>
                <wp:effectExtent l="0" t="0" r="21590" b="0"/>
                <wp:wrapNone/>
                <wp:docPr id="222" name="Group 222"/>
                <wp:cNvGraphicFramePr/>
                <a:graphic xmlns:a="http://schemas.openxmlformats.org/drawingml/2006/main">
                  <a:graphicData uri="http://schemas.microsoft.com/office/word/2010/wordprocessingGroup">
                    <wpg:wgp>
                      <wpg:cNvGrpSpPr/>
                      <wpg:grpSpPr>
                        <a:xfrm>
                          <a:off x="0" y="0"/>
                          <a:ext cx="5731510" cy="763905"/>
                          <a:chOff x="0" y="0"/>
                          <a:chExt cx="5731529" cy="763905"/>
                        </a:xfrm>
                      </wpg:grpSpPr>
                      <wps:wsp>
                        <wps:cNvPr id="223" name="Text Box 223"/>
                        <wps:cNvSpPr txBox="1"/>
                        <wps:spPr>
                          <a:xfrm>
                            <a:off x="204717" y="245662"/>
                            <a:ext cx="5526812" cy="286601"/>
                          </a:xfrm>
                          <a:prstGeom prst="rect">
                            <a:avLst/>
                          </a:prstGeom>
                          <a:solidFill>
                            <a:schemeClr val="accent2">
                              <a:lumMod val="75000"/>
                            </a:schemeClr>
                          </a:solidFill>
                          <a:ln w="6350">
                            <a:solidFill>
                              <a:schemeClr val="accent1"/>
                            </a:solidFill>
                          </a:ln>
                        </wps:spPr>
                        <wps:txbx>
                          <w:txbxContent>
                            <w:p w14:paraId="1A63057C" w14:textId="77777777" w:rsidR="00556EA0" w:rsidRPr="009D1170" w:rsidRDefault="00556EA0" w:rsidP="00556EA0">
                              <w:pPr>
                                <w:ind w:firstLine="720"/>
                                <w:rPr>
                                  <w:color w:val="002C3E" w:themeColor="background2"/>
                                  <w:sz w:val="28"/>
                                  <w:szCs w:val="28"/>
                                </w:rPr>
                              </w:pPr>
                              <w:r w:rsidRPr="009D1170">
                                <w:rPr>
                                  <w:rFonts w:eastAsia="Times New Roman"/>
                                  <w:color w:val="002C3E" w:themeColor="background2"/>
                                  <w:sz w:val="28"/>
                                  <w:szCs w:val="28"/>
                                  <w:lang w:eastAsia="en-AU"/>
                                </w:rPr>
                                <w:t>Discussion questions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cNvPr id="224" name="Group 224"/>
                        <wpg:cNvGrpSpPr/>
                        <wpg:grpSpPr>
                          <a:xfrm>
                            <a:off x="0" y="0"/>
                            <a:ext cx="763905" cy="763905"/>
                            <a:chOff x="0" y="0"/>
                            <a:chExt cx="763905" cy="763905"/>
                          </a:xfrm>
                        </wpg:grpSpPr>
                        <wps:wsp>
                          <wps:cNvPr id="225" name="Oval 225"/>
                          <wps:cNvSpPr/>
                          <wps:spPr>
                            <a:xfrm>
                              <a:off x="150125" y="163773"/>
                              <a:ext cx="464024" cy="42308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Graphic 226" descr="Help with solid fill"/>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63905" cy="763905"/>
                            </a:xfrm>
                            <a:prstGeom prst="rect">
                              <a:avLst/>
                            </a:prstGeom>
                          </pic:spPr>
                        </pic:pic>
                      </wpg:grpSp>
                    </wpg:wgp>
                  </a:graphicData>
                </a:graphic>
                <wp14:sizeRelH relativeFrom="margin">
                  <wp14:pctWidth>0</wp14:pctWidth>
                </wp14:sizeRelH>
              </wp:anchor>
            </w:drawing>
          </mc:Choice>
          <mc:Fallback xmlns:w16du="http://schemas.microsoft.com/office/word/2023/wordml/word16du" xmlns:oel="http://schemas.microsoft.com/office/2019/extlst">
            <w:pict>
              <v:group w14:anchorId="0BC19D55" id="Group 222" o:spid="_x0000_s1082" style="position:absolute;margin-left:4.7pt;margin-top:-22.7pt;width:451.3pt;height:60.15pt;z-index:251658253;mso-position-horizontal-relative:margin;mso-width-relative:margin" coordsize="57315,76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&#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">
                <v:shape id="Text Box 223" o:spid="_x0000_s1083" type="#_x0000_t202" style="position:absolute;left:2047;top:2456;width:55268;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" fillcolor="#fab501 [2405]" strokecolor="#ebab12 [3204]" strokeweight=".5pt">
                  <v:textbox inset=",1mm,,1mm">
                    <w:txbxContent>
                      <w:p w14:paraId="1A63057C" w14:textId="77777777" w:rsidR="00556EA0" w:rsidRPr="009D1170" w:rsidRDefault="00556EA0" w:rsidP="00556EA0">
                        <w:pPr>
                          <w:ind w:firstLine="720"/>
                          <w:rPr>
                            <w:color w:val="002C3E" w:themeColor="background2"/>
                            <w:sz w:val="28"/>
                            <w:szCs w:val="28"/>
                          </w:rPr>
                        </w:pPr>
                        <w:r w:rsidRPr="009D1170">
                          <w:rPr>
                            <w:rFonts w:eastAsia="Times New Roman"/>
                            <w:color w:val="002C3E" w:themeColor="background2"/>
                            <w:sz w:val="28"/>
                            <w:szCs w:val="28"/>
                            <w:lang w:eastAsia="en-AU"/>
                          </w:rPr>
                          <w:t>Discussion questions </w:t>
                        </w:r>
                      </w:p>
                    </w:txbxContent>
                  </v:textbox>
                </v:shape>
                <v:group id="Group 224" o:spid="_x0000_s1084" style="position:absolute;width:7639;height:7639" coordsize="7639,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oval id="Oval 225" o:spid="_x0000_s1085" style="position:absolute;left:1501;top:1637;width:4640;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" fillcolor="white [3212]" strokecolor="white [3212]" strokeweight="1pt">
                    <v:stroke joinstyle="miter"/>
                  </v:oval>
                  <v:shape id="Graphic 226" o:spid="_x0000_s1086" type="#_x0000_t75" alt="Help with solid fill" style="position:absolute;width:7639;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">
                    <v:imagedata r:id="rId53" o:title="Help with solid fill"/>
                  </v:shape>
                </v:group>
                <w10:wrap anchorx="margin"/>
              </v:group>
            </w:pict>
          </mc:Fallback>
        </mc:AlternateContent>
      </w:r>
    </w:p>
    <w:p w14:paraId="7FCF521B" w14:textId="77777777" w:rsidR="005D7497" w:rsidRPr="005D7497" w:rsidRDefault="005D7497" w:rsidP="005D7497">
      <w:pPr>
        <w:pStyle w:val="ListParagraph"/>
        <w:ind w:left="1440"/>
        <w:textAlignment w:val="baseline"/>
        <w:rPr>
          <w:rFonts w:ascii="Calibri" w:eastAsia="Times New Roman" w:hAnsi="Calibri" w:cs="Calibri"/>
          <w:sz w:val="22"/>
          <w:szCs w:val="22"/>
          <w:lang w:eastAsia="en-AU"/>
        </w:rPr>
      </w:pPr>
    </w:p>
    <w:p w14:paraId="085B3D1A" w14:textId="4ED5A8A3" w:rsidR="00836CF5" w:rsidRPr="00D8082D" w:rsidRDefault="00272D7E" w:rsidP="00645BD5">
      <w:pPr>
        <w:pStyle w:val="ListParagraph"/>
        <w:numPr>
          <w:ilvl w:val="0"/>
          <w:numId w:val="9"/>
        </w:numPr>
        <w:textAlignment w:val="baseline"/>
        <w:rPr>
          <w:rFonts w:ascii="Calibri" w:eastAsia="Times New Roman" w:hAnsi="Calibri" w:cs="Calibri"/>
          <w:sz w:val="22"/>
          <w:szCs w:val="22"/>
          <w:lang w:eastAsia="en-AU"/>
        </w:rPr>
      </w:pPr>
      <w:r w:rsidRPr="00B57FED">
        <w:rPr>
          <w:rFonts w:ascii="Calibri" w:eastAsia="Times New Roman" w:hAnsi="Calibri" w:cs="Calibri"/>
          <w:b/>
          <w:bCs/>
          <w:sz w:val="22"/>
          <w:szCs w:val="22"/>
          <w:lang w:eastAsia="en-AU"/>
        </w:rPr>
        <w:t>Evidence-</w:t>
      </w:r>
      <w:r w:rsidR="00165DE5">
        <w:rPr>
          <w:rFonts w:ascii="Calibri" w:eastAsia="Times New Roman" w:hAnsi="Calibri" w:cs="Calibri"/>
          <w:b/>
          <w:bCs/>
          <w:sz w:val="22"/>
          <w:szCs w:val="22"/>
          <w:lang w:eastAsia="en-AU"/>
        </w:rPr>
        <w:t>b</w:t>
      </w:r>
      <w:r w:rsidRPr="00B57FED">
        <w:rPr>
          <w:rFonts w:ascii="Calibri" w:eastAsia="Times New Roman" w:hAnsi="Calibri" w:cs="Calibri"/>
          <w:b/>
          <w:bCs/>
          <w:sz w:val="22"/>
          <w:szCs w:val="22"/>
          <w:lang w:eastAsia="en-AU"/>
        </w:rPr>
        <w:t>ased teaching practices:</w:t>
      </w:r>
      <w:r w:rsidRPr="00272D7E">
        <w:rPr>
          <w:rFonts w:ascii="Calibri" w:eastAsia="Times New Roman" w:hAnsi="Calibri" w:cs="Calibri"/>
          <w:sz w:val="22"/>
          <w:szCs w:val="22"/>
          <w:lang w:eastAsia="en-AU"/>
        </w:rPr>
        <w:t xml:space="preserve"> </w:t>
      </w:r>
      <w:r w:rsidRPr="00F73DDA">
        <w:rPr>
          <w:rFonts w:ascii="Calibri" w:eastAsia="Times New Roman" w:hAnsi="Calibri" w:cs="Calibri"/>
          <w:sz w:val="22"/>
          <w:szCs w:val="22"/>
          <w:lang w:eastAsia="en-AU"/>
        </w:rPr>
        <w:t>Are the</w:t>
      </w:r>
      <w:r w:rsidR="00050F4F" w:rsidRPr="00F73DDA">
        <w:rPr>
          <w:rFonts w:ascii="Calibri" w:eastAsia="Times New Roman" w:hAnsi="Calibri" w:cs="Calibri"/>
          <w:sz w:val="22"/>
          <w:szCs w:val="22"/>
          <w:lang w:eastAsia="en-AU"/>
        </w:rPr>
        <w:t>re other</w:t>
      </w:r>
      <w:r w:rsidRPr="00F73DDA">
        <w:rPr>
          <w:rFonts w:ascii="Calibri" w:eastAsia="Times New Roman" w:hAnsi="Calibri" w:cs="Calibri"/>
          <w:sz w:val="22"/>
          <w:szCs w:val="22"/>
          <w:lang w:eastAsia="en-AU"/>
        </w:rPr>
        <w:t xml:space="preserve"> evidence-based practices</w:t>
      </w:r>
      <w:r w:rsidR="00664556" w:rsidRPr="00F73DDA">
        <w:rPr>
          <w:rFonts w:ascii="Calibri" w:eastAsia="Times New Roman" w:hAnsi="Calibri" w:cs="Calibri"/>
          <w:sz w:val="22"/>
          <w:szCs w:val="22"/>
          <w:lang w:eastAsia="en-AU"/>
        </w:rPr>
        <w:t xml:space="preserve"> </w:t>
      </w:r>
      <w:r w:rsidRPr="00F73DDA">
        <w:rPr>
          <w:rFonts w:ascii="Calibri" w:eastAsia="Times New Roman" w:hAnsi="Calibri" w:cs="Calibri"/>
          <w:sz w:val="22"/>
          <w:szCs w:val="22"/>
          <w:lang w:eastAsia="en-AU"/>
        </w:rPr>
        <w:t xml:space="preserve">which </w:t>
      </w:r>
      <w:r w:rsidR="001934C1" w:rsidRPr="00F73DDA">
        <w:rPr>
          <w:rFonts w:ascii="Calibri" w:eastAsia="Times New Roman" w:hAnsi="Calibri" w:cs="Calibri"/>
          <w:sz w:val="22"/>
          <w:szCs w:val="22"/>
          <w:lang w:eastAsia="en-AU"/>
        </w:rPr>
        <w:t xml:space="preserve">should be prioritised in ITE </w:t>
      </w:r>
      <w:r w:rsidR="00A32BE6">
        <w:rPr>
          <w:rFonts w:ascii="Calibri" w:eastAsia="Times New Roman" w:hAnsi="Calibri" w:cs="Calibri"/>
          <w:sz w:val="22"/>
          <w:szCs w:val="22"/>
          <w:lang w:eastAsia="en-AU"/>
        </w:rPr>
        <w:t>programs</w:t>
      </w:r>
      <w:r w:rsidR="00B77A25" w:rsidRPr="00F73DDA">
        <w:rPr>
          <w:rFonts w:ascii="Calibri" w:eastAsia="Times New Roman" w:hAnsi="Calibri" w:cs="Calibri"/>
          <w:sz w:val="22"/>
          <w:szCs w:val="22"/>
          <w:lang w:eastAsia="en-AU"/>
        </w:rPr>
        <w:t>?</w:t>
      </w:r>
      <w:r w:rsidR="00E53DB9">
        <w:rPr>
          <w:rFonts w:ascii="Calibri" w:eastAsia="Times New Roman" w:hAnsi="Calibri" w:cs="Calibri"/>
          <w:sz w:val="22"/>
          <w:szCs w:val="22"/>
          <w:lang w:eastAsia="en-AU"/>
        </w:rPr>
        <w:t xml:space="preserve"> </w:t>
      </w:r>
    </w:p>
    <w:p w14:paraId="05F57351" w14:textId="28975414" w:rsidR="00272D7E" w:rsidRPr="00272D7E" w:rsidRDefault="00272D7E" w:rsidP="00645BD5">
      <w:pPr>
        <w:pStyle w:val="ListParagraph"/>
        <w:numPr>
          <w:ilvl w:val="0"/>
          <w:numId w:val="9"/>
        </w:numPr>
        <w:textAlignment w:val="baseline"/>
        <w:rPr>
          <w:rFonts w:ascii="Calibri" w:eastAsia="Times New Roman" w:hAnsi="Calibri" w:cs="Calibri"/>
          <w:sz w:val="22"/>
          <w:szCs w:val="22"/>
          <w:lang w:eastAsia="en-AU"/>
        </w:rPr>
      </w:pPr>
      <w:r w:rsidRPr="3EA66A1B">
        <w:rPr>
          <w:rFonts w:ascii="Calibri" w:eastAsia="Times New Roman" w:hAnsi="Calibri" w:cs="Calibri"/>
          <w:b/>
          <w:bCs/>
          <w:sz w:val="22"/>
          <w:szCs w:val="22"/>
          <w:lang w:eastAsia="en-AU"/>
        </w:rPr>
        <w:t>Amending Accreditation Standards and Procedures:</w:t>
      </w:r>
      <w:r w:rsidRPr="3EA66A1B">
        <w:rPr>
          <w:rFonts w:ascii="Calibri" w:eastAsia="Times New Roman" w:hAnsi="Calibri" w:cs="Calibri"/>
          <w:sz w:val="22"/>
          <w:szCs w:val="22"/>
          <w:lang w:eastAsia="en-AU"/>
        </w:rPr>
        <w:t xml:space="preserve"> How should the Accreditation Standards and Procedures </w:t>
      </w:r>
      <w:r w:rsidR="006766FB">
        <w:rPr>
          <w:rFonts w:ascii="Calibri" w:eastAsia="Times New Roman" w:hAnsi="Calibri" w:cs="Calibri"/>
          <w:sz w:val="22"/>
          <w:szCs w:val="22"/>
          <w:lang w:eastAsia="en-AU"/>
        </w:rPr>
        <w:t xml:space="preserve">best </w:t>
      </w:r>
      <w:r w:rsidRPr="3EA66A1B">
        <w:rPr>
          <w:rFonts w:ascii="Calibri" w:eastAsia="Times New Roman" w:hAnsi="Calibri" w:cs="Calibri"/>
          <w:sz w:val="22"/>
          <w:szCs w:val="22"/>
          <w:lang w:eastAsia="en-AU"/>
        </w:rPr>
        <w:t xml:space="preserve">be amended to ensure all </w:t>
      </w:r>
      <w:r w:rsidR="004D2369">
        <w:rPr>
          <w:rFonts w:ascii="Calibri" w:eastAsia="Times New Roman" w:hAnsi="Calibri" w:cs="Calibri"/>
          <w:sz w:val="22"/>
          <w:szCs w:val="22"/>
          <w:lang w:eastAsia="en-AU"/>
        </w:rPr>
        <w:t>ITE students</w:t>
      </w:r>
      <w:r w:rsidRPr="3EA66A1B">
        <w:rPr>
          <w:rFonts w:ascii="Calibri" w:eastAsia="Times New Roman" w:hAnsi="Calibri" w:cs="Calibri"/>
          <w:sz w:val="22"/>
          <w:szCs w:val="22"/>
          <w:lang w:eastAsia="en-AU"/>
        </w:rPr>
        <w:t xml:space="preserve"> learn and can confidently use these practices</w:t>
      </w:r>
      <w:r w:rsidRPr="08BA1195">
        <w:rPr>
          <w:rFonts w:ascii="Calibri" w:eastAsia="Times New Roman" w:hAnsi="Calibri" w:cs="Calibri"/>
          <w:sz w:val="22"/>
          <w:szCs w:val="22"/>
          <w:lang w:eastAsia="en-AU"/>
        </w:rPr>
        <w:t>?</w:t>
      </w:r>
      <w:r w:rsidRPr="3EA66A1B">
        <w:rPr>
          <w:rFonts w:ascii="Calibri" w:eastAsia="Times New Roman" w:hAnsi="Calibri" w:cs="Calibri"/>
          <w:sz w:val="22"/>
          <w:szCs w:val="22"/>
          <w:lang w:eastAsia="en-AU"/>
        </w:rPr>
        <w:t xml:space="preserve"> Should the Accreditation Standards and Procedures be amended to require TPAs to assess these practices? </w:t>
      </w:r>
    </w:p>
    <w:p w14:paraId="3FF4E90D" w14:textId="7ECAD103" w:rsidR="3D724918" w:rsidRDefault="76750A2B" w:rsidP="00645BD5">
      <w:pPr>
        <w:pStyle w:val="ListParagraph"/>
        <w:numPr>
          <w:ilvl w:val="0"/>
          <w:numId w:val="9"/>
        </w:numPr>
        <w:rPr>
          <w:rFonts w:ascii="Calibri" w:eastAsia="Calibri" w:hAnsi="Calibri" w:cs="Calibri"/>
          <w:sz w:val="22"/>
          <w:szCs w:val="22"/>
          <w:lang w:eastAsia="en-AU"/>
        </w:rPr>
      </w:pPr>
      <w:r w:rsidRPr="3D724918">
        <w:rPr>
          <w:rFonts w:ascii="Calibri" w:eastAsia="Calibri" w:hAnsi="Calibri" w:cs="Calibri"/>
          <w:b/>
          <w:bCs/>
          <w:sz w:val="22"/>
          <w:szCs w:val="22"/>
        </w:rPr>
        <w:t>Curriculum specific content:</w:t>
      </w:r>
      <w:r w:rsidRPr="3D724918">
        <w:rPr>
          <w:rFonts w:ascii="Calibri" w:eastAsia="Calibri" w:hAnsi="Calibri" w:cs="Calibri"/>
          <w:sz w:val="22"/>
          <w:szCs w:val="22"/>
        </w:rPr>
        <w:t xml:space="preserve"> What steps should be taken to ensure curriculum-specific ITE content embeds the evidence-based practices?</w:t>
      </w:r>
    </w:p>
    <w:p w14:paraId="325D4E38" w14:textId="14B1BC31" w:rsidR="00635FD4" w:rsidRPr="00BB72BE" w:rsidRDefault="00272D7E" w:rsidP="004C06B5">
      <w:pPr>
        <w:pStyle w:val="ListParagraph"/>
        <w:numPr>
          <w:ilvl w:val="0"/>
          <w:numId w:val="9"/>
        </w:numPr>
        <w:textAlignment w:val="baseline"/>
        <w:rPr>
          <w:rFonts w:ascii="Calibri" w:eastAsia="Times New Roman" w:hAnsi="Calibri" w:cs="Calibri"/>
          <w:sz w:val="22"/>
          <w:szCs w:val="22"/>
          <w:lang w:eastAsia="en-AU"/>
        </w:rPr>
      </w:pPr>
      <w:r w:rsidRPr="3EA66A1B">
        <w:rPr>
          <w:rFonts w:ascii="Calibri" w:eastAsia="Times New Roman" w:hAnsi="Calibri" w:cs="Calibri"/>
          <w:b/>
          <w:bCs/>
          <w:sz w:val="22"/>
          <w:szCs w:val="22"/>
          <w:lang w:eastAsia="en-AU"/>
        </w:rPr>
        <w:t xml:space="preserve">Ensuring consistent, </w:t>
      </w:r>
      <w:r w:rsidR="000769B0" w:rsidRPr="3EA66A1B">
        <w:rPr>
          <w:rFonts w:ascii="Calibri" w:eastAsia="Times New Roman" w:hAnsi="Calibri" w:cs="Calibri"/>
          <w:b/>
          <w:bCs/>
          <w:sz w:val="22"/>
          <w:szCs w:val="22"/>
          <w:lang w:eastAsia="en-AU"/>
        </w:rPr>
        <w:t>robust</w:t>
      </w:r>
      <w:r w:rsidRPr="3EA66A1B">
        <w:rPr>
          <w:rFonts w:ascii="Calibri" w:eastAsia="Times New Roman" w:hAnsi="Calibri" w:cs="Calibri"/>
          <w:b/>
          <w:bCs/>
          <w:sz w:val="22"/>
          <w:szCs w:val="22"/>
          <w:lang w:eastAsia="en-AU"/>
        </w:rPr>
        <w:t xml:space="preserve"> delivery of evidence-based teaching practices:</w:t>
      </w:r>
      <w:r w:rsidRPr="3EA66A1B">
        <w:rPr>
          <w:rFonts w:ascii="Calibri" w:eastAsia="Times New Roman" w:hAnsi="Calibri" w:cs="Calibri"/>
          <w:sz w:val="22"/>
          <w:szCs w:val="22"/>
          <w:lang w:eastAsia="en-AU"/>
        </w:rPr>
        <w:t xml:space="preserve"> </w:t>
      </w:r>
      <w:r w:rsidR="55FBA693" w:rsidRPr="00BB72BE">
        <w:rPr>
          <w:rFonts w:ascii="Calibri" w:eastAsia="Calibri" w:hAnsi="Calibri" w:cs="Calibri"/>
          <w:sz w:val="22"/>
          <w:szCs w:val="22"/>
        </w:rPr>
        <w:t xml:space="preserve">What changes to the authorising environment are required to ensure consistent application of the </w:t>
      </w:r>
      <w:r w:rsidR="00773D8A" w:rsidRPr="00BB72BE">
        <w:rPr>
          <w:rFonts w:ascii="Calibri" w:eastAsia="Calibri" w:hAnsi="Calibri" w:cs="Calibri"/>
          <w:sz w:val="22"/>
          <w:szCs w:val="22"/>
        </w:rPr>
        <w:t>A</w:t>
      </w:r>
      <w:r w:rsidR="55FBA693" w:rsidRPr="00BB72BE">
        <w:rPr>
          <w:rFonts w:ascii="Calibri" w:eastAsia="Calibri" w:hAnsi="Calibri" w:cs="Calibri"/>
          <w:sz w:val="22"/>
          <w:szCs w:val="22"/>
        </w:rPr>
        <w:t xml:space="preserve">ccreditation </w:t>
      </w:r>
      <w:r w:rsidR="00773D8A" w:rsidRPr="00BB72BE">
        <w:rPr>
          <w:rFonts w:ascii="Calibri" w:eastAsia="Calibri" w:hAnsi="Calibri" w:cs="Calibri"/>
          <w:sz w:val="22"/>
          <w:szCs w:val="22"/>
        </w:rPr>
        <w:t>S</w:t>
      </w:r>
      <w:r w:rsidR="55FBA693" w:rsidRPr="00BB72BE">
        <w:rPr>
          <w:rFonts w:ascii="Calibri" w:eastAsia="Calibri" w:hAnsi="Calibri" w:cs="Calibri"/>
          <w:sz w:val="22"/>
          <w:szCs w:val="22"/>
        </w:rPr>
        <w:t xml:space="preserve">tandards and </w:t>
      </w:r>
      <w:r w:rsidR="00773D8A" w:rsidRPr="00BB72BE">
        <w:rPr>
          <w:rFonts w:ascii="Calibri" w:eastAsia="Calibri" w:hAnsi="Calibri" w:cs="Calibri"/>
          <w:sz w:val="22"/>
          <w:szCs w:val="22"/>
        </w:rPr>
        <w:t>P</w:t>
      </w:r>
      <w:r w:rsidR="55FBA693" w:rsidRPr="00BB72BE">
        <w:rPr>
          <w:rFonts w:ascii="Calibri" w:eastAsia="Calibri" w:hAnsi="Calibri" w:cs="Calibri"/>
          <w:sz w:val="22"/>
          <w:szCs w:val="22"/>
        </w:rPr>
        <w:t>rocedures and implementation of core content in ITE programs?</w:t>
      </w:r>
    </w:p>
    <w:p w14:paraId="2C1CFE42" w14:textId="04C0AC7F" w:rsidR="00635FD4" w:rsidRPr="00272D7E" w:rsidRDefault="00635FD4" w:rsidP="3E7A8EA4">
      <w:pPr>
        <w:pStyle w:val="ListParagraph"/>
        <w:ind w:left="0"/>
        <w:textAlignment w:val="baseline"/>
        <w:rPr>
          <w:rFonts w:ascii="Calibri" w:eastAsia="Times New Roman" w:hAnsi="Calibri" w:cs="Calibri"/>
          <w:sz w:val="22"/>
          <w:szCs w:val="22"/>
          <w:lang w:eastAsia="en-AU"/>
        </w:rPr>
      </w:pPr>
    </w:p>
    <w:p w14:paraId="24DBF2B0" w14:textId="4E3D474B" w:rsidR="002208AB" w:rsidRDefault="00272D7E" w:rsidP="00DE41A0">
      <w:pPr>
        <w:spacing w:after="0" w:line="240" w:lineRule="auto"/>
        <w:textAlignment w:val="baseline"/>
        <w:rPr>
          <w:rFonts w:asciiTheme="majorHAnsi" w:eastAsia="Times New Roman" w:hAnsiTheme="majorHAnsi" w:cstheme="majorBidi"/>
          <w:b/>
          <w:color w:val="002C3E" w:themeColor="background2"/>
          <w:sz w:val="44"/>
          <w:szCs w:val="26"/>
          <w:lang w:eastAsia="en-AU"/>
        </w:rPr>
      </w:pPr>
      <w:r w:rsidRPr="00272D7E">
        <w:rPr>
          <w:rFonts w:ascii="Calibri" w:eastAsia="Times New Roman" w:hAnsi="Calibri" w:cs="Calibri"/>
          <w:lang w:eastAsia="en-AU"/>
        </w:rPr>
        <w:t> </w:t>
      </w:r>
      <w:r w:rsidR="00622654">
        <w:tab/>
      </w:r>
      <w:r w:rsidR="006F2D5F">
        <w:tab/>
      </w:r>
      <w:r w:rsidRPr="00272D7E">
        <w:rPr>
          <w:rFonts w:ascii="Calibri" w:eastAsia="Times New Roman" w:hAnsi="Calibri" w:cs="Calibri"/>
          <w:i/>
          <w:iCs/>
          <w:lang w:eastAsia="en-AU"/>
        </w:rPr>
        <w:t>In your responses, please provide supporting evidence.</w:t>
      </w:r>
      <w:r w:rsidRPr="00272D7E">
        <w:rPr>
          <w:rFonts w:ascii="Calibri" w:eastAsia="Times New Roman" w:hAnsi="Calibri" w:cs="Calibri"/>
          <w:lang w:eastAsia="en-AU"/>
        </w:rPr>
        <w:t> </w:t>
      </w:r>
      <w:r w:rsidR="2187443E">
        <w:br/>
      </w:r>
      <w:r w:rsidR="002208AB">
        <w:rPr>
          <w:rFonts w:eastAsia="Times New Roman"/>
          <w:color w:val="002C3E" w:themeColor="background2"/>
          <w:lang w:eastAsia="en-AU"/>
        </w:rPr>
        <w:br w:type="page"/>
      </w:r>
    </w:p>
    <w:p w14:paraId="68E87DFE" w14:textId="1B9BEF8D" w:rsidR="00B707E9" w:rsidRPr="00EC6B48" w:rsidRDefault="008D161E" w:rsidP="00C750B2">
      <w:pPr>
        <w:pStyle w:val="Heading1"/>
        <w:spacing w:before="0" w:after="240" w:line="240" w:lineRule="auto"/>
        <w:jc w:val="left"/>
        <w:rPr>
          <w:rFonts w:asciiTheme="majorHAnsi" w:eastAsia="Times New Roman" w:hAnsiTheme="majorHAnsi"/>
          <w:b/>
          <w:color w:val="002C3E" w:themeColor="background2"/>
          <w:sz w:val="44"/>
          <w:szCs w:val="44"/>
          <w:lang w:eastAsia="en-AU"/>
        </w:rPr>
      </w:pPr>
      <w:bookmarkStart w:id="29" w:name="_Toc127978378"/>
      <w:bookmarkStart w:id="30" w:name="_Toc128649078"/>
      <w:bookmarkStart w:id="31" w:name="_Toc130217434"/>
      <w:r w:rsidRPr="47C32BB2">
        <w:rPr>
          <w:rFonts w:asciiTheme="majorHAnsi" w:eastAsia="Times New Roman" w:hAnsiTheme="majorHAnsi"/>
          <w:b/>
          <w:color w:val="002C3E" w:themeColor="background2"/>
          <w:sz w:val="44"/>
          <w:szCs w:val="44"/>
          <w:lang w:eastAsia="en-AU"/>
        </w:rPr>
        <w:lastRenderedPageBreak/>
        <w:t>R</w:t>
      </w:r>
      <w:r w:rsidR="00B707E9" w:rsidRPr="47C32BB2">
        <w:rPr>
          <w:rFonts w:asciiTheme="majorHAnsi" w:eastAsia="Times New Roman" w:hAnsiTheme="majorHAnsi"/>
          <w:b/>
          <w:color w:val="002C3E" w:themeColor="background2"/>
          <w:sz w:val="44"/>
          <w:szCs w:val="44"/>
          <w:lang w:eastAsia="en-AU"/>
        </w:rPr>
        <w:t>eform Area 2: Strengthen the link between performance and funding of initial teacher education</w:t>
      </w:r>
      <w:bookmarkEnd w:id="29"/>
      <w:bookmarkEnd w:id="30"/>
      <w:bookmarkEnd w:id="31"/>
      <w:r w:rsidR="00B707E9" w:rsidRPr="47C32BB2">
        <w:rPr>
          <w:rFonts w:asciiTheme="majorHAnsi" w:eastAsia="Times New Roman" w:hAnsiTheme="majorHAnsi"/>
          <w:b/>
          <w:color w:val="002C3E" w:themeColor="background2"/>
          <w:sz w:val="44"/>
          <w:szCs w:val="44"/>
          <w:lang w:eastAsia="en-AU"/>
        </w:rPr>
        <w:t xml:space="preserve">  </w:t>
      </w:r>
    </w:p>
    <w:p w14:paraId="58646025" w14:textId="59FA5561" w:rsidR="00A5778E" w:rsidRPr="00A55892" w:rsidRDefault="00A5778E" w:rsidP="24105433">
      <w:pPr>
        <w:spacing w:after="120" w:line="240" w:lineRule="auto"/>
      </w:pPr>
      <w:r w:rsidRPr="22FDCC47">
        <w:t xml:space="preserve">Entering the teaching profession requires </w:t>
      </w:r>
      <w:r>
        <w:t>completi</w:t>
      </w:r>
      <w:r w:rsidR="3F915B53">
        <w:t xml:space="preserve">on of </w:t>
      </w:r>
      <w:r w:rsidRPr="22FDCC47">
        <w:t xml:space="preserve">an accredited ITE </w:t>
      </w:r>
      <w:r w:rsidR="00D269FA">
        <w:t>program</w:t>
      </w:r>
      <w:r w:rsidRPr="22FDCC47">
        <w:t xml:space="preserve">. An accredited ITE </w:t>
      </w:r>
      <w:r w:rsidR="00D269FA">
        <w:t>program</w:t>
      </w:r>
      <w:r w:rsidR="00D269FA" w:rsidRPr="22FDCC47">
        <w:t xml:space="preserve"> </w:t>
      </w:r>
      <w:r w:rsidRPr="22FDCC47">
        <w:t xml:space="preserve">has met </w:t>
      </w:r>
      <w:r w:rsidR="004C6763" w:rsidRPr="22FDCC47">
        <w:t>defined</w:t>
      </w:r>
      <w:r w:rsidRPr="22FDCC47">
        <w:t xml:space="preserve"> standards of quality – these standards are set out in the </w:t>
      </w:r>
      <w:r w:rsidR="00773D8A">
        <w:t xml:space="preserve">Accreditation </w:t>
      </w:r>
      <w:r w:rsidRPr="00E21895">
        <w:rPr>
          <w:iCs/>
        </w:rPr>
        <w:t>Standards and Procedures</w:t>
      </w:r>
      <w:r w:rsidRPr="22FDCC47">
        <w:rPr>
          <w:i/>
        </w:rPr>
        <w:t xml:space="preserve"> </w:t>
      </w:r>
      <w:r w:rsidRPr="22FDCC47">
        <w:t xml:space="preserve">(AITSL 2022a). Currently, the </w:t>
      </w:r>
      <w:r w:rsidR="00773D8A">
        <w:t xml:space="preserve">Accreditation </w:t>
      </w:r>
      <w:r w:rsidRPr="22FDCC47">
        <w:t xml:space="preserve">Standards and Procedures represent the primary mechanism for defining the </w:t>
      </w:r>
      <w:r w:rsidR="4557C520">
        <w:t xml:space="preserve">minimum </w:t>
      </w:r>
      <w:r>
        <w:t>quality</w:t>
      </w:r>
      <w:r w:rsidRPr="22FDCC47">
        <w:t xml:space="preserve"> of ITE</w:t>
      </w:r>
      <w:r w:rsidR="00AA7CB4" w:rsidRPr="22FDCC47">
        <w:t xml:space="preserve"> and for </w:t>
      </w:r>
      <w:r w:rsidR="00647386">
        <w:t xml:space="preserve">determining that ITE students meet the </w:t>
      </w:r>
      <w:r w:rsidR="0D0EDCCC">
        <w:t>Teacher Standard</w:t>
      </w:r>
      <w:r w:rsidR="00647386">
        <w:t xml:space="preserve">s at the </w:t>
      </w:r>
      <w:r w:rsidR="00647386" w:rsidRPr="00551BD9">
        <w:t>graduate career stage</w:t>
      </w:r>
      <w:r w:rsidRPr="22FDCC47">
        <w:t xml:space="preserve">. </w:t>
      </w:r>
      <w:r w:rsidRPr="006034C8">
        <w:t xml:space="preserve">This type of regulation is </w:t>
      </w:r>
      <w:r w:rsidR="739A8050">
        <w:t xml:space="preserve">particularly </w:t>
      </w:r>
      <w:r w:rsidRPr="006034C8">
        <w:t>important because the consumers of ITE - ITE students</w:t>
      </w:r>
      <w:r>
        <w:t xml:space="preserve"> </w:t>
      </w:r>
      <w:r w:rsidR="78081772">
        <w:t xml:space="preserve">– currently </w:t>
      </w:r>
      <w:r w:rsidRPr="006034C8">
        <w:t>lack the</w:t>
      </w:r>
      <w:r>
        <w:t xml:space="preserve"> </w:t>
      </w:r>
      <w:r w:rsidR="639C2322">
        <w:t>information</w:t>
      </w:r>
      <w:r w:rsidRPr="006034C8">
        <w:t xml:space="preserve"> to </w:t>
      </w:r>
      <w:r w:rsidR="00E97D4A" w:rsidRPr="006034C8">
        <w:t xml:space="preserve">choose their ITE </w:t>
      </w:r>
      <w:r w:rsidR="00D269FA">
        <w:t>program</w:t>
      </w:r>
      <w:r w:rsidR="00D269FA" w:rsidRPr="006034C8">
        <w:t xml:space="preserve"> </w:t>
      </w:r>
      <w:r w:rsidR="00E97D4A" w:rsidRPr="006034C8">
        <w:t>based on</w:t>
      </w:r>
      <w:r w:rsidR="00B22FA0" w:rsidRPr="006034C8">
        <w:t xml:space="preserve"> its</w:t>
      </w:r>
      <w:r w:rsidR="00E97D4A" w:rsidRPr="006034C8">
        <w:t xml:space="preserve"> quality </w:t>
      </w:r>
      <w:r w:rsidRPr="006034C8">
        <w:t>(Productivity Commission 2022).</w:t>
      </w:r>
      <w:r w:rsidRPr="22FDCC47">
        <w:t xml:space="preserve"> </w:t>
      </w:r>
    </w:p>
    <w:p w14:paraId="24808000" w14:textId="26BE70B8" w:rsidR="00B707E9" w:rsidRPr="00021807" w:rsidRDefault="00B707E9" w:rsidP="2E01576C">
      <w:pPr>
        <w:spacing w:after="120" w:line="240" w:lineRule="auto"/>
        <w:textAlignment w:val="baseline"/>
        <w:rPr>
          <w:rFonts w:ascii="Calibri" w:eastAsia="Times New Roman" w:hAnsi="Calibri" w:cs="Calibri"/>
          <w:sz w:val="20"/>
          <w:szCs w:val="20"/>
          <w:lang w:eastAsia="en-AU"/>
        </w:rPr>
      </w:pPr>
      <w:r w:rsidRPr="00021807">
        <w:rPr>
          <w:rFonts w:ascii="Calibri" w:eastAsia="Times New Roman" w:hAnsi="Calibri" w:cs="Calibri"/>
          <w:lang w:eastAsia="en-AU"/>
        </w:rPr>
        <w:t xml:space="preserve">The QITE Review recommended the development of a quality measure for ITE </w:t>
      </w:r>
      <w:r w:rsidR="00A32BE6">
        <w:rPr>
          <w:rFonts w:ascii="Calibri" w:eastAsia="Times New Roman" w:hAnsi="Calibri" w:cs="Calibri"/>
          <w:lang w:eastAsia="en-AU"/>
        </w:rPr>
        <w:t>programs</w:t>
      </w:r>
      <w:r w:rsidRPr="00021807">
        <w:rPr>
          <w:rFonts w:ascii="Calibri" w:eastAsia="Times New Roman" w:hAnsi="Calibri" w:cs="Calibri"/>
          <w:lang w:eastAsia="en-AU"/>
        </w:rPr>
        <w:t xml:space="preserve"> to encourage quality improvements, including through the allocation of higher education funding (Recommendation 15 of the QITE Review Report). </w:t>
      </w:r>
      <w:r w:rsidR="006C518A">
        <w:rPr>
          <w:rFonts w:ascii="Calibri" w:eastAsia="Times New Roman" w:hAnsi="Calibri" w:cs="Calibri"/>
          <w:lang w:eastAsia="en-AU"/>
        </w:rPr>
        <w:t xml:space="preserve">The QITE review proposed the quality measure should comprise a set of performance measures. </w:t>
      </w:r>
      <w:r w:rsidRPr="00021807">
        <w:rPr>
          <w:rFonts w:ascii="Calibri" w:eastAsia="Times New Roman" w:hAnsi="Calibri" w:cs="Calibri"/>
          <w:lang w:eastAsia="en-AU"/>
        </w:rPr>
        <w:t>This recommendation recognised that while the Accreditation Standards and Procedures play an important role in strengthening the quality of ITE</w:t>
      </w:r>
      <w:r w:rsidR="04FFA930" w:rsidRPr="7FFDC09B">
        <w:rPr>
          <w:rFonts w:ascii="Calibri" w:eastAsia="Times New Roman" w:hAnsi="Calibri" w:cs="Calibri"/>
          <w:lang w:eastAsia="en-AU"/>
        </w:rPr>
        <w:t xml:space="preserve"> </w:t>
      </w:r>
      <w:r w:rsidR="04FFA930" w:rsidRPr="51CB76F4">
        <w:rPr>
          <w:rFonts w:ascii="Calibri" w:eastAsia="Times New Roman" w:hAnsi="Calibri" w:cs="Calibri"/>
          <w:lang w:eastAsia="en-AU"/>
        </w:rPr>
        <w:t xml:space="preserve">through a </w:t>
      </w:r>
      <w:r w:rsidR="04FFA930" w:rsidRPr="542F3BB6">
        <w:rPr>
          <w:rFonts w:ascii="Calibri" w:eastAsia="Times New Roman" w:hAnsi="Calibri" w:cs="Calibri"/>
          <w:lang w:eastAsia="en-AU"/>
        </w:rPr>
        <w:t>defined minimum standard</w:t>
      </w:r>
      <w:r w:rsidRPr="00021807">
        <w:rPr>
          <w:rFonts w:ascii="Calibri" w:eastAsia="Times New Roman" w:hAnsi="Calibri" w:cs="Calibri"/>
          <w:lang w:eastAsia="en-AU"/>
        </w:rPr>
        <w:t xml:space="preserve">, </w:t>
      </w:r>
      <w:r w:rsidR="005B202E">
        <w:rPr>
          <w:rFonts w:ascii="Calibri" w:eastAsia="Times New Roman" w:hAnsi="Calibri" w:cs="Calibri"/>
          <w:lang w:eastAsia="en-AU"/>
        </w:rPr>
        <w:t>they do</w:t>
      </w:r>
      <w:r w:rsidRPr="00021807">
        <w:rPr>
          <w:rFonts w:ascii="Calibri" w:eastAsia="Times New Roman" w:hAnsi="Calibri" w:cs="Calibri"/>
          <w:lang w:eastAsia="en-AU"/>
        </w:rPr>
        <w:t xml:space="preserve"> not </w:t>
      </w:r>
      <w:r w:rsidR="00ED568A">
        <w:rPr>
          <w:rFonts w:ascii="Calibri" w:eastAsia="Times New Roman" w:hAnsi="Calibri" w:cs="Calibri"/>
          <w:lang w:eastAsia="en-AU"/>
        </w:rPr>
        <w:t xml:space="preserve">sufficiently </w:t>
      </w:r>
      <w:r w:rsidRPr="00021807">
        <w:rPr>
          <w:rFonts w:ascii="Calibri" w:eastAsia="Times New Roman" w:hAnsi="Calibri" w:cs="Calibri"/>
          <w:lang w:eastAsia="en-AU"/>
        </w:rPr>
        <w:t xml:space="preserve">recognise and reward </w:t>
      </w:r>
      <w:r w:rsidR="00ED568A">
        <w:rPr>
          <w:rFonts w:ascii="Calibri" w:eastAsia="Times New Roman" w:hAnsi="Calibri" w:cs="Calibri"/>
          <w:lang w:eastAsia="en-AU"/>
        </w:rPr>
        <w:t>ITE</w:t>
      </w:r>
      <w:r w:rsidRPr="00021807">
        <w:rPr>
          <w:rFonts w:ascii="Calibri" w:eastAsia="Times New Roman" w:hAnsi="Calibri" w:cs="Calibri"/>
          <w:lang w:eastAsia="en-AU"/>
        </w:rPr>
        <w:t xml:space="preserve"> providers with a culture of continuous improvement. </w:t>
      </w:r>
    </w:p>
    <w:p w14:paraId="593C9AC9" w14:textId="22B0032D" w:rsidR="00B707E9" w:rsidRPr="00EC317F" w:rsidRDefault="00B707E9" w:rsidP="2E01576C">
      <w:pPr>
        <w:spacing w:after="120" w:line="240" w:lineRule="auto"/>
        <w:textAlignment w:val="baseline"/>
        <w:rPr>
          <w:rFonts w:ascii="Calibri" w:eastAsia="Times New Roman" w:hAnsi="Calibri" w:cs="Calibri"/>
          <w:lang w:eastAsia="en-AU"/>
        </w:rPr>
      </w:pPr>
      <w:r w:rsidRPr="00021807">
        <w:rPr>
          <w:rFonts w:ascii="Calibri" w:eastAsia="Times New Roman" w:hAnsi="Calibri" w:cs="Calibri"/>
          <w:lang w:eastAsia="en-AU"/>
        </w:rPr>
        <w:t xml:space="preserve">The Panel </w:t>
      </w:r>
      <w:r w:rsidRPr="00740C36">
        <w:rPr>
          <w:rFonts w:ascii="Calibri" w:eastAsia="Times New Roman" w:hAnsi="Calibri" w:cs="Calibri"/>
          <w:lang w:eastAsia="en-AU"/>
        </w:rPr>
        <w:t>has been asked</w:t>
      </w:r>
      <w:r w:rsidRPr="00021807">
        <w:rPr>
          <w:rFonts w:ascii="Calibri" w:eastAsia="Times New Roman" w:hAnsi="Calibri" w:cs="Calibri"/>
          <w:lang w:eastAsia="en-AU"/>
        </w:rPr>
        <w:t xml:space="preserve"> to provide advice on whether and how funding of higher education providers should be based on quality and other factors. The Panel’s advice </w:t>
      </w:r>
      <w:r w:rsidR="00ED568A">
        <w:rPr>
          <w:rFonts w:ascii="Calibri" w:eastAsia="Times New Roman" w:hAnsi="Calibri" w:cs="Calibri"/>
          <w:lang w:eastAsia="en-AU"/>
        </w:rPr>
        <w:t>is set</w:t>
      </w:r>
      <w:r w:rsidRPr="00021807">
        <w:rPr>
          <w:rFonts w:ascii="Calibri" w:eastAsia="Times New Roman" w:hAnsi="Calibri" w:cs="Calibri"/>
          <w:lang w:eastAsia="en-AU"/>
        </w:rPr>
        <w:t xml:space="preserve"> in the context of the review of the Australian Universities Accord, which is considering a range of issues such as accessibility, affordability, quality and sustainability to provide a long-term plan for higher education in Australia. </w:t>
      </w:r>
      <w:r w:rsidR="00165A2C">
        <w:rPr>
          <w:rFonts w:ascii="Calibri" w:eastAsia="Times New Roman" w:hAnsi="Calibri" w:cs="Calibri"/>
          <w:lang w:eastAsia="en-AU"/>
        </w:rPr>
        <w:t xml:space="preserve">The Panel </w:t>
      </w:r>
      <w:r w:rsidR="00CF1C4A">
        <w:rPr>
          <w:rFonts w:ascii="Calibri" w:eastAsia="Times New Roman" w:hAnsi="Calibri" w:cs="Calibri"/>
          <w:lang w:eastAsia="en-AU"/>
        </w:rPr>
        <w:t xml:space="preserve">has </w:t>
      </w:r>
      <w:r w:rsidR="00051C5E">
        <w:rPr>
          <w:rFonts w:ascii="Calibri" w:eastAsia="Times New Roman" w:hAnsi="Calibri" w:cs="Calibri"/>
          <w:lang w:eastAsia="en-AU"/>
        </w:rPr>
        <w:t xml:space="preserve">also </w:t>
      </w:r>
      <w:r w:rsidR="00884697">
        <w:rPr>
          <w:rFonts w:ascii="Calibri" w:eastAsia="Times New Roman" w:hAnsi="Calibri" w:cs="Calibri"/>
          <w:lang w:eastAsia="en-AU"/>
        </w:rPr>
        <w:t>consider</w:t>
      </w:r>
      <w:r w:rsidR="00051C5E">
        <w:rPr>
          <w:rFonts w:ascii="Calibri" w:eastAsia="Times New Roman" w:hAnsi="Calibri" w:cs="Calibri"/>
          <w:lang w:eastAsia="en-AU"/>
        </w:rPr>
        <w:t>ed</w:t>
      </w:r>
      <w:r w:rsidR="00250ADC">
        <w:rPr>
          <w:rFonts w:ascii="Calibri" w:eastAsia="Times New Roman" w:hAnsi="Calibri" w:cs="Calibri"/>
          <w:lang w:eastAsia="en-AU"/>
        </w:rPr>
        <w:t xml:space="preserve"> </w:t>
      </w:r>
      <w:r w:rsidR="00976353">
        <w:rPr>
          <w:rFonts w:ascii="Calibri" w:eastAsia="Times New Roman" w:hAnsi="Calibri" w:cs="Calibri"/>
          <w:lang w:eastAsia="en-AU"/>
        </w:rPr>
        <w:t>Recommendation 15 of the QITE Review</w:t>
      </w:r>
      <w:r w:rsidR="00884697">
        <w:rPr>
          <w:rFonts w:ascii="Calibri" w:eastAsia="Times New Roman" w:hAnsi="Calibri" w:cs="Calibri"/>
          <w:lang w:eastAsia="en-AU"/>
        </w:rPr>
        <w:t xml:space="preserve"> in the context of the national shortage of teachers and </w:t>
      </w:r>
      <w:r w:rsidR="009C7B29">
        <w:rPr>
          <w:rFonts w:ascii="Calibri" w:eastAsia="Times New Roman" w:hAnsi="Calibri" w:cs="Calibri"/>
          <w:lang w:eastAsia="en-AU"/>
        </w:rPr>
        <w:t>a reported</w:t>
      </w:r>
      <w:r w:rsidR="00884697">
        <w:rPr>
          <w:rFonts w:ascii="Calibri" w:eastAsia="Times New Roman" w:hAnsi="Calibri" w:cs="Calibri"/>
          <w:lang w:eastAsia="en-AU"/>
        </w:rPr>
        <w:t xml:space="preserve"> </w:t>
      </w:r>
      <w:r w:rsidR="00AC06DE">
        <w:rPr>
          <w:rFonts w:ascii="Calibri" w:eastAsia="Times New Roman" w:hAnsi="Calibri" w:cs="Calibri"/>
          <w:lang w:eastAsia="en-AU"/>
        </w:rPr>
        <w:t>softening</w:t>
      </w:r>
      <w:r w:rsidR="00CF644E">
        <w:rPr>
          <w:rFonts w:ascii="Calibri" w:eastAsia="Times New Roman" w:hAnsi="Calibri" w:cs="Calibri"/>
          <w:lang w:eastAsia="en-AU"/>
        </w:rPr>
        <w:t xml:space="preserve"> interest in studying ITE</w:t>
      </w:r>
      <w:r w:rsidR="00761B3C">
        <w:rPr>
          <w:rFonts w:ascii="Calibri" w:eastAsia="Times New Roman" w:hAnsi="Calibri" w:cs="Calibri"/>
          <w:lang w:eastAsia="en-AU"/>
        </w:rPr>
        <w:t xml:space="preserve"> in recent years.</w:t>
      </w:r>
      <w:r w:rsidR="00117F77">
        <w:rPr>
          <w:rStyle w:val="FootnoteReference"/>
          <w:rFonts w:ascii="Calibri" w:eastAsia="Times New Roman" w:hAnsi="Calibri" w:cs="Calibri"/>
          <w:lang w:eastAsia="en-AU"/>
        </w:rPr>
        <w:footnoteReference w:id="2"/>
      </w:r>
    </w:p>
    <w:p w14:paraId="3BD194AE" w14:textId="4D2610D0" w:rsidR="007A2343" w:rsidRPr="00EC317F" w:rsidRDefault="00385295" w:rsidP="005D5A53">
      <w:pPr>
        <w:spacing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There are two parts to </w:t>
      </w:r>
      <w:r w:rsidR="003D5FA9">
        <w:rPr>
          <w:rFonts w:ascii="Calibri" w:eastAsia="Times New Roman" w:hAnsi="Calibri" w:cs="Calibri"/>
          <w:lang w:eastAsia="en-AU"/>
        </w:rPr>
        <w:t xml:space="preserve">Reform Area 2, </w:t>
      </w:r>
      <w:r w:rsidR="006C1D40">
        <w:rPr>
          <w:rFonts w:ascii="Calibri" w:eastAsia="Times New Roman" w:hAnsi="Calibri" w:cs="Calibri"/>
          <w:lang w:eastAsia="en-AU"/>
        </w:rPr>
        <w:t xml:space="preserve">establishing </w:t>
      </w:r>
      <w:r w:rsidR="485EA9E9" w:rsidRPr="2009948C">
        <w:rPr>
          <w:rFonts w:ascii="Calibri" w:eastAsia="Times New Roman" w:hAnsi="Calibri" w:cs="Calibri"/>
          <w:lang w:eastAsia="en-AU"/>
        </w:rPr>
        <w:t xml:space="preserve">performance </w:t>
      </w:r>
      <w:r w:rsidR="006C1D40" w:rsidRPr="5B42424B">
        <w:rPr>
          <w:rFonts w:ascii="Calibri" w:eastAsia="Times New Roman" w:hAnsi="Calibri" w:cs="Calibri"/>
          <w:lang w:eastAsia="en-AU"/>
        </w:rPr>
        <w:t>measure</w:t>
      </w:r>
      <w:r w:rsidR="760357DC" w:rsidRPr="5B42424B">
        <w:rPr>
          <w:rFonts w:ascii="Calibri" w:eastAsia="Times New Roman" w:hAnsi="Calibri" w:cs="Calibri"/>
          <w:lang w:eastAsia="en-AU"/>
        </w:rPr>
        <w:t>s</w:t>
      </w:r>
      <w:r w:rsidR="006C1D40">
        <w:rPr>
          <w:rFonts w:ascii="Calibri" w:eastAsia="Times New Roman" w:hAnsi="Calibri" w:cs="Calibri"/>
          <w:lang w:eastAsia="en-AU"/>
        </w:rPr>
        <w:t xml:space="preserve"> for ITE and linking </w:t>
      </w:r>
      <w:r w:rsidR="00CE056B">
        <w:rPr>
          <w:rFonts w:ascii="Calibri" w:eastAsia="Times New Roman" w:hAnsi="Calibri" w:cs="Calibri"/>
          <w:lang w:eastAsia="en-AU"/>
        </w:rPr>
        <w:t>this</w:t>
      </w:r>
      <w:r w:rsidR="006C1D40">
        <w:rPr>
          <w:rFonts w:ascii="Calibri" w:eastAsia="Times New Roman" w:hAnsi="Calibri" w:cs="Calibri"/>
          <w:lang w:eastAsia="en-AU"/>
        </w:rPr>
        <w:t xml:space="preserve"> to funding. An overview of each is set out below. </w:t>
      </w:r>
    </w:p>
    <w:p w14:paraId="0DEF5676" w14:textId="2882F6F7" w:rsidR="00B707E9" w:rsidRPr="009715ED" w:rsidRDefault="00B707E9" w:rsidP="005D5A53">
      <w:pPr>
        <w:pStyle w:val="Heading2"/>
        <w:spacing w:before="0" w:line="240" w:lineRule="auto"/>
        <w:rPr>
          <w:color w:val="002C3E" w:themeColor="background2"/>
          <w:sz w:val="36"/>
          <w:szCs w:val="36"/>
        </w:rPr>
      </w:pPr>
      <w:bookmarkStart w:id="32" w:name="_Toc127978379"/>
      <w:bookmarkStart w:id="33" w:name="_Toc128649079"/>
      <w:bookmarkStart w:id="34" w:name="_Toc130217435"/>
      <w:r w:rsidRPr="47C32BB2">
        <w:rPr>
          <w:color w:val="002C3E" w:themeColor="background2"/>
          <w:sz w:val="36"/>
          <w:szCs w:val="36"/>
        </w:rPr>
        <w:t xml:space="preserve">Part I – Establishing </w:t>
      </w:r>
      <w:r w:rsidR="004B07A3">
        <w:rPr>
          <w:color w:val="002C3E" w:themeColor="background2"/>
          <w:sz w:val="36"/>
          <w:szCs w:val="36"/>
        </w:rPr>
        <w:t>performance</w:t>
      </w:r>
      <w:r w:rsidRPr="47C32BB2">
        <w:rPr>
          <w:color w:val="002C3E" w:themeColor="background2"/>
          <w:sz w:val="36"/>
          <w:szCs w:val="36"/>
        </w:rPr>
        <w:t xml:space="preserve"> measure</w:t>
      </w:r>
      <w:r w:rsidR="00ED568A">
        <w:rPr>
          <w:color w:val="002C3E" w:themeColor="background2"/>
          <w:sz w:val="36"/>
          <w:szCs w:val="36"/>
        </w:rPr>
        <w:t>s</w:t>
      </w:r>
      <w:r w:rsidRPr="47C32BB2">
        <w:rPr>
          <w:color w:val="002C3E" w:themeColor="background2"/>
          <w:sz w:val="36"/>
          <w:szCs w:val="36"/>
        </w:rPr>
        <w:t xml:space="preserve"> for ITE</w:t>
      </w:r>
      <w:bookmarkEnd w:id="32"/>
      <w:bookmarkEnd w:id="33"/>
      <w:bookmarkEnd w:id="34"/>
      <w:r w:rsidRPr="47C32BB2">
        <w:rPr>
          <w:color w:val="002C3E" w:themeColor="background2"/>
          <w:sz w:val="36"/>
          <w:szCs w:val="36"/>
        </w:rPr>
        <w:t> </w:t>
      </w:r>
    </w:p>
    <w:p w14:paraId="452960DD" w14:textId="0CB803D6" w:rsidR="00B707E9" w:rsidRPr="00021807" w:rsidRDefault="00B707E9" w:rsidP="2E01576C">
      <w:pPr>
        <w:spacing w:after="120" w:line="240" w:lineRule="auto"/>
        <w:textAlignment w:val="baseline"/>
        <w:rPr>
          <w:rFonts w:ascii="Calibri" w:eastAsia="Times New Roman" w:hAnsi="Calibri" w:cs="Calibri"/>
          <w:sz w:val="20"/>
          <w:szCs w:val="20"/>
          <w:lang w:eastAsia="en-AU"/>
        </w:rPr>
      </w:pPr>
      <w:r w:rsidRPr="00021807">
        <w:rPr>
          <w:rFonts w:ascii="Calibri" w:eastAsia="Times New Roman" w:hAnsi="Calibri" w:cs="Calibri"/>
          <w:lang w:eastAsia="en-AU"/>
        </w:rPr>
        <w:t xml:space="preserve">In developing </w:t>
      </w:r>
      <w:r w:rsidR="00ED568A">
        <w:rPr>
          <w:rFonts w:ascii="Calibri" w:eastAsia="Times New Roman" w:hAnsi="Calibri" w:cs="Calibri"/>
          <w:lang w:eastAsia="en-AU"/>
        </w:rPr>
        <w:t xml:space="preserve">performance </w:t>
      </w:r>
      <w:r w:rsidRPr="00021807">
        <w:rPr>
          <w:rFonts w:ascii="Calibri" w:eastAsia="Times New Roman" w:hAnsi="Calibri" w:cs="Calibri"/>
          <w:lang w:eastAsia="en-AU"/>
        </w:rPr>
        <w:t>measure</w:t>
      </w:r>
      <w:r w:rsidR="00ED568A">
        <w:rPr>
          <w:rFonts w:ascii="Calibri" w:eastAsia="Times New Roman" w:hAnsi="Calibri" w:cs="Calibri"/>
          <w:lang w:eastAsia="en-AU"/>
        </w:rPr>
        <w:t>s</w:t>
      </w:r>
      <w:r w:rsidRPr="00021807">
        <w:rPr>
          <w:rFonts w:ascii="Calibri" w:eastAsia="Times New Roman" w:hAnsi="Calibri" w:cs="Calibri"/>
          <w:lang w:eastAsia="en-AU"/>
        </w:rPr>
        <w:t xml:space="preserve"> for ITE, the Panel considered </w:t>
      </w:r>
      <w:r w:rsidR="00A07BE4">
        <w:rPr>
          <w:rFonts w:ascii="Calibri" w:eastAsia="Times New Roman" w:hAnsi="Calibri" w:cs="Calibri"/>
          <w:lang w:eastAsia="en-AU"/>
        </w:rPr>
        <w:t>data available for</w:t>
      </w:r>
      <w:r w:rsidR="0004652C">
        <w:rPr>
          <w:rFonts w:ascii="Calibri" w:eastAsia="Times New Roman" w:hAnsi="Calibri" w:cs="Calibri"/>
          <w:lang w:eastAsia="en-AU"/>
        </w:rPr>
        <w:t xml:space="preserve"> all higher education providers</w:t>
      </w:r>
      <w:r w:rsidRPr="00021807">
        <w:rPr>
          <w:rFonts w:ascii="Calibri" w:eastAsia="Times New Roman" w:hAnsi="Calibri" w:cs="Calibri"/>
          <w:lang w:eastAsia="en-AU"/>
        </w:rPr>
        <w:t xml:space="preserve"> to report on </w:t>
      </w:r>
      <w:r w:rsidR="0006438A">
        <w:rPr>
          <w:rFonts w:ascii="Calibri" w:eastAsia="Times New Roman" w:hAnsi="Calibri" w:cs="Calibri"/>
          <w:lang w:eastAsia="en-AU"/>
        </w:rPr>
        <w:t>the performance of ITE programs</w:t>
      </w:r>
      <w:r w:rsidR="00A273AB">
        <w:rPr>
          <w:rFonts w:ascii="Calibri" w:eastAsia="Times New Roman" w:hAnsi="Calibri" w:cs="Calibri"/>
          <w:lang w:eastAsia="en-AU"/>
        </w:rPr>
        <w:t>,</w:t>
      </w:r>
      <w:r w:rsidRPr="00021807">
        <w:rPr>
          <w:rFonts w:ascii="Calibri" w:eastAsia="Times New Roman" w:hAnsi="Calibri" w:cs="Calibri"/>
          <w:lang w:eastAsia="en-AU"/>
        </w:rPr>
        <w:t xml:space="preserve"> acknowledging that </w:t>
      </w:r>
      <w:r w:rsidR="00A273AB">
        <w:rPr>
          <w:rFonts w:ascii="Calibri" w:eastAsia="Times New Roman" w:hAnsi="Calibri" w:cs="Calibri"/>
          <w:lang w:eastAsia="en-AU"/>
        </w:rPr>
        <w:t>t</w:t>
      </w:r>
      <w:r w:rsidRPr="00021807">
        <w:rPr>
          <w:rFonts w:ascii="Calibri" w:eastAsia="Times New Roman" w:hAnsi="Calibri" w:cs="Calibri"/>
          <w:lang w:eastAsia="en-AU"/>
        </w:rPr>
        <w:t>ransparency</w:t>
      </w:r>
      <w:r w:rsidR="00A273AB">
        <w:rPr>
          <w:rFonts w:ascii="Calibri" w:eastAsia="Times New Roman" w:hAnsi="Calibri" w:cs="Calibri"/>
          <w:lang w:eastAsia="en-AU"/>
        </w:rPr>
        <w:t xml:space="preserve"> is required</w:t>
      </w:r>
      <w:r w:rsidRPr="00021807">
        <w:rPr>
          <w:rFonts w:ascii="Calibri" w:eastAsia="Times New Roman" w:hAnsi="Calibri" w:cs="Calibri"/>
          <w:lang w:eastAsia="en-AU"/>
        </w:rPr>
        <w:t xml:space="preserve"> to have full confidence in the quality of an ITE </w:t>
      </w:r>
      <w:r w:rsidR="0006438A">
        <w:rPr>
          <w:rFonts w:ascii="Calibri" w:eastAsia="Times New Roman" w:hAnsi="Calibri" w:cs="Calibri"/>
          <w:lang w:eastAsia="en-AU"/>
        </w:rPr>
        <w:t>program</w:t>
      </w:r>
      <w:r w:rsidRPr="00021807">
        <w:rPr>
          <w:rFonts w:ascii="Calibri" w:eastAsia="Times New Roman" w:hAnsi="Calibri" w:cs="Calibri"/>
          <w:lang w:eastAsia="en-AU"/>
        </w:rPr>
        <w:t>. </w:t>
      </w:r>
    </w:p>
    <w:p w14:paraId="48EAFE89" w14:textId="5DBD81B1" w:rsidR="00B707E9" w:rsidRPr="00B707E9" w:rsidRDefault="00B707E9" w:rsidP="005D5A53">
      <w:pPr>
        <w:spacing w:line="240" w:lineRule="auto"/>
        <w:textAlignment w:val="baseline"/>
        <w:rPr>
          <w:rFonts w:ascii="Calibri" w:eastAsia="Times New Roman" w:hAnsi="Calibri" w:cs="Calibri"/>
          <w:lang w:eastAsia="en-AU"/>
        </w:rPr>
      </w:pPr>
      <w:r w:rsidRPr="00021807">
        <w:rPr>
          <w:rFonts w:ascii="Calibri" w:eastAsia="Times New Roman" w:hAnsi="Calibri" w:cs="Calibri"/>
          <w:lang w:eastAsia="en-AU"/>
        </w:rPr>
        <w:t xml:space="preserve">To </w:t>
      </w:r>
      <w:r w:rsidRPr="00021807" w:rsidDel="00292B08">
        <w:rPr>
          <w:rFonts w:ascii="Calibri" w:eastAsia="Times New Roman" w:hAnsi="Calibri" w:cs="Calibri"/>
          <w:lang w:eastAsia="en-AU"/>
        </w:rPr>
        <w:t>aid</w:t>
      </w:r>
      <w:r w:rsidRPr="00021807">
        <w:rPr>
          <w:rFonts w:ascii="Calibri" w:eastAsia="Times New Roman" w:hAnsi="Calibri" w:cs="Calibri"/>
          <w:lang w:eastAsia="en-AU"/>
        </w:rPr>
        <w:t xml:space="preserve"> the Panel</w:t>
      </w:r>
      <w:r w:rsidR="00F560F2">
        <w:rPr>
          <w:rFonts w:ascii="Calibri" w:eastAsia="Times New Roman" w:hAnsi="Calibri" w:cs="Calibri"/>
          <w:lang w:eastAsia="en-AU"/>
        </w:rPr>
        <w:t xml:space="preserve"> in</w:t>
      </w:r>
      <w:r w:rsidRPr="00021807">
        <w:rPr>
          <w:rFonts w:ascii="Calibri" w:eastAsia="Times New Roman" w:hAnsi="Calibri" w:cs="Calibri"/>
          <w:lang w:eastAsia="en-AU"/>
        </w:rPr>
        <w:t xml:space="preserve"> identifying</w:t>
      </w:r>
      <w:r w:rsidR="00133E4B">
        <w:rPr>
          <w:rFonts w:ascii="Calibri" w:eastAsia="Times New Roman" w:hAnsi="Calibri" w:cs="Calibri"/>
          <w:lang w:eastAsia="en-AU"/>
        </w:rPr>
        <w:t xml:space="preserve"> appropriate</w:t>
      </w:r>
      <w:r w:rsidRPr="00021807">
        <w:rPr>
          <w:rFonts w:ascii="Calibri" w:eastAsia="Times New Roman" w:hAnsi="Calibri" w:cs="Calibri"/>
          <w:lang w:eastAsia="en-AU"/>
        </w:rPr>
        <w:t xml:space="preserve"> </w:t>
      </w:r>
      <w:r w:rsidR="7787B97D" w:rsidRPr="59713011">
        <w:rPr>
          <w:rFonts w:ascii="Calibri" w:eastAsia="Times New Roman" w:hAnsi="Calibri" w:cs="Calibri"/>
          <w:lang w:eastAsia="en-AU"/>
        </w:rPr>
        <w:t>performance measures</w:t>
      </w:r>
      <w:r w:rsidRPr="00021807">
        <w:rPr>
          <w:rFonts w:ascii="Calibri" w:eastAsia="Times New Roman" w:hAnsi="Calibri" w:cs="Calibri"/>
          <w:lang w:eastAsia="en-AU"/>
        </w:rPr>
        <w:t>, the</w:t>
      </w:r>
      <w:r w:rsidR="00A273AB">
        <w:rPr>
          <w:rFonts w:ascii="Calibri" w:eastAsia="Times New Roman" w:hAnsi="Calibri" w:cs="Calibri"/>
          <w:lang w:eastAsia="en-AU"/>
        </w:rPr>
        <w:t xml:space="preserve"> Panel engaged the</w:t>
      </w:r>
      <w:r w:rsidRPr="00021807">
        <w:rPr>
          <w:rFonts w:ascii="Calibri" w:eastAsia="Times New Roman" w:hAnsi="Calibri" w:cs="Calibri"/>
          <w:lang w:eastAsia="en-AU"/>
        </w:rPr>
        <w:t xml:space="preserve"> Australian Catholic University Institute of Learning Sciences and Teacher Education to assess how the </w:t>
      </w:r>
      <w:r w:rsidR="003E020E">
        <w:rPr>
          <w:rFonts w:ascii="Calibri" w:eastAsia="Times New Roman" w:hAnsi="Calibri" w:cs="Calibri"/>
          <w:lang w:eastAsia="en-AU"/>
        </w:rPr>
        <w:t>performance</w:t>
      </w:r>
      <w:r w:rsidRPr="00021807">
        <w:rPr>
          <w:rFonts w:ascii="Calibri" w:eastAsia="Times New Roman" w:hAnsi="Calibri" w:cs="Calibri"/>
          <w:lang w:eastAsia="en-AU"/>
        </w:rPr>
        <w:t xml:space="preserve"> of ITE </w:t>
      </w:r>
      <w:r w:rsidR="00A32BE6">
        <w:rPr>
          <w:rFonts w:ascii="Calibri" w:eastAsia="Times New Roman" w:hAnsi="Calibri" w:cs="Calibri"/>
          <w:lang w:eastAsia="en-AU"/>
        </w:rPr>
        <w:t>programs</w:t>
      </w:r>
      <w:r w:rsidRPr="00021807">
        <w:rPr>
          <w:rFonts w:ascii="Calibri" w:eastAsia="Times New Roman" w:hAnsi="Calibri" w:cs="Calibri"/>
          <w:lang w:eastAsia="en-AU"/>
        </w:rPr>
        <w:t xml:space="preserve"> could be consistently measure</w:t>
      </w:r>
      <w:r w:rsidR="004525E4">
        <w:rPr>
          <w:rFonts w:ascii="Calibri" w:eastAsia="Times New Roman" w:hAnsi="Calibri" w:cs="Calibri"/>
          <w:lang w:eastAsia="en-AU"/>
        </w:rPr>
        <w:t>d</w:t>
      </w:r>
      <w:r w:rsidRPr="00021807">
        <w:rPr>
          <w:rFonts w:ascii="Calibri" w:eastAsia="Times New Roman" w:hAnsi="Calibri" w:cs="Calibri"/>
          <w:lang w:eastAsia="en-AU"/>
        </w:rPr>
        <w:t xml:space="preserve"> across higher education providers. </w:t>
      </w:r>
      <w:r w:rsidRPr="00B707E9">
        <w:rPr>
          <w:rFonts w:ascii="Calibri" w:eastAsia="Times New Roman" w:hAnsi="Calibri" w:cs="Calibri"/>
          <w:sz w:val="24"/>
          <w:szCs w:val="24"/>
          <w:lang w:eastAsia="en-AU"/>
        </w:rPr>
        <w:t> </w:t>
      </w:r>
    </w:p>
    <w:p w14:paraId="19F231F0" w14:textId="77777777" w:rsidR="0023696D" w:rsidRDefault="0023696D">
      <w:pPr>
        <w:spacing w:after="160"/>
        <w:rPr>
          <w:rFonts w:asciiTheme="majorHAnsi" w:eastAsia="Times New Roman" w:hAnsiTheme="majorHAnsi" w:cstheme="majorHAnsi"/>
          <w:b/>
          <w:color w:val="002C3E" w:themeColor="background2"/>
          <w:sz w:val="36"/>
          <w:szCs w:val="36"/>
          <w:lang w:eastAsia="en-AU"/>
        </w:rPr>
      </w:pPr>
      <w:bookmarkStart w:id="35" w:name="_Toc127978380"/>
      <w:bookmarkStart w:id="36" w:name="_Toc128649080"/>
      <w:r>
        <w:rPr>
          <w:rFonts w:eastAsia="Times New Roman" w:cstheme="majorHAnsi"/>
          <w:color w:val="002C3E" w:themeColor="background2"/>
          <w:sz w:val="36"/>
          <w:szCs w:val="36"/>
          <w:lang w:eastAsia="en-AU"/>
        </w:rPr>
        <w:br w:type="page"/>
      </w:r>
    </w:p>
    <w:p w14:paraId="7A33AAC1" w14:textId="5A696FC8" w:rsidR="00B707E9" w:rsidRPr="006F3AD7" w:rsidRDefault="00B707E9" w:rsidP="006F3AD7">
      <w:pPr>
        <w:pStyle w:val="Heading2"/>
        <w:spacing w:before="0" w:line="240" w:lineRule="auto"/>
        <w:rPr>
          <w:rFonts w:eastAsia="Times New Roman" w:cstheme="majorHAnsi"/>
          <w:color w:val="002C3E" w:themeColor="background2"/>
          <w:sz w:val="36"/>
          <w:szCs w:val="36"/>
          <w:lang w:eastAsia="en-AU"/>
        </w:rPr>
      </w:pPr>
      <w:bookmarkStart w:id="37" w:name="_Toc130217436"/>
      <w:r w:rsidRPr="006F3AD7">
        <w:rPr>
          <w:rFonts w:eastAsia="Times New Roman" w:cstheme="majorHAnsi"/>
          <w:color w:val="002C3E" w:themeColor="background2"/>
          <w:sz w:val="36"/>
          <w:szCs w:val="36"/>
          <w:lang w:eastAsia="en-AU"/>
        </w:rPr>
        <w:lastRenderedPageBreak/>
        <w:t>Key findings</w:t>
      </w:r>
      <w:bookmarkEnd w:id="35"/>
      <w:bookmarkEnd w:id="36"/>
      <w:bookmarkEnd w:id="37"/>
      <w:r w:rsidRPr="006F3AD7">
        <w:rPr>
          <w:rFonts w:eastAsia="Times New Roman" w:cstheme="majorHAnsi"/>
          <w:color w:val="002C3E" w:themeColor="background2"/>
          <w:sz w:val="36"/>
          <w:szCs w:val="36"/>
          <w:lang w:eastAsia="en-AU"/>
        </w:rPr>
        <w:t> </w:t>
      </w:r>
    </w:p>
    <w:p w14:paraId="2B2A97EA" w14:textId="1295F505" w:rsidR="00DD24E8" w:rsidRPr="00627B91" w:rsidRDefault="00EE3E10" w:rsidP="00627B91">
      <w:pPr>
        <w:pStyle w:val="Heading3"/>
        <w:spacing w:before="0" w:after="120" w:line="240" w:lineRule="auto"/>
        <w:rPr>
          <w:rFonts w:eastAsia="Times New Roman"/>
          <w:szCs w:val="32"/>
          <w:lang w:eastAsia="en-AU"/>
        </w:rPr>
      </w:pPr>
      <w:bookmarkStart w:id="38" w:name="_Toc128649081"/>
      <w:bookmarkStart w:id="39" w:name="_Toc130217437"/>
      <w:r w:rsidRPr="00627B91">
        <w:rPr>
          <w:rFonts w:eastAsia="Times New Roman"/>
          <w:szCs w:val="32"/>
          <w:lang w:eastAsia="en-AU"/>
        </w:rPr>
        <w:t xml:space="preserve">2.1 </w:t>
      </w:r>
      <w:r w:rsidR="00B707E9" w:rsidRPr="00627B91">
        <w:rPr>
          <w:rFonts w:eastAsia="Times New Roman"/>
          <w:szCs w:val="32"/>
          <w:lang w:eastAsia="en-AU"/>
        </w:rPr>
        <w:t xml:space="preserve">The purpose of </w:t>
      </w:r>
      <w:r w:rsidR="007A0789" w:rsidRPr="00627B91">
        <w:rPr>
          <w:rFonts w:eastAsia="Times New Roman"/>
          <w:szCs w:val="32"/>
          <w:lang w:eastAsia="en-AU"/>
        </w:rPr>
        <w:t>me</w:t>
      </w:r>
      <w:r w:rsidR="00920CF7" w:rsidRPr="00627B91">
        <w:rPr>
          <w:rFonts w:eastAsia="Times New Roman"/>
          <w:szCs w:val="32"/>
          <w:lang w:eastAsia="en-AU"/>
        </w:rPr>
        <w:t>asuring performance</w:t>
      </w:r>
      <w:bookmarkEnd w:id="38"/>
      <w:bookmarkEnd w:id="39"/>
      <w:r w:rsidR="00B707E9" w:rsidRPr="00627B91">
        <w:rPr>
          <w:rFonts w:eastAsia="Times New Roman"/>
          <w:szCs w:val="32"/>
          <w:lang w:eastAsia="en-AU"/>
        </w:rPr>
        <w:t> </w:t>
      </w:r>
    </w:p>
    <w:p w14:paraId="4C3CE687" w14:textId="405172A4" w:rsidR="002649E0" w:rsidRDefault="002649E0" w:rsidP="002649E0">
      <w:pPr>
        <w:spacing w:after="120" w:line="240" w:lineRule="auto"/>
        <w:rPr>
          <w:rFonts w:eastAsia="Times New Roman" w:cstheme="minorHAnsi"/>
          <w:lang w:eastAsia="en-AU"/>
        </w:rPr>
      </w:pPr>
      <w:r>
        <w:t xml:space="preserve">ITE accreditation in Australia comprises two stages. Stage 1 (initial) Accreditation assesses ITE programs against the ITE Program Standards and as part of this, providers must </w:t>
      </w:r>
      <w:r>
        <w:rPr>
          <w:rFonts w:eastAsia="Times New Roman" w:cstheme="minorHAnsi"/>
          <w:lang w:eastAsia="en-AU"/>
        </w:rPr>
        <w:t xml:space="preserve">identify their intended program outcomes in </w:t>
      </w:r>
      <w:r w:rsidRPr="00CD63CB">
        <w:rPr>
          <w:rFonts w:eastAsia="Times New Roman" w:cstheme="minorHAnsi"/>
          <w:lang w:eastAsia="en-AU"/>
        </w:rPr>
        <w:t>a Plan for Demonstrating Impact</w:t>
      </w:r>
      <w:r>
        <w:rPr>
          <w:rFonts w:eastAsia="Times New Roman" w:cstheme="minorHAnsi"/>
          <w:lang w:eastAsia="en-AU"/>
        </w:rPr>
        <w:t xml:space="preserve">. The Plan must include mandatory evidence on ITE student performance and graduate outcomes, </w:t>
      </w:r>
      <w:r w:rsidRPr="00CD63CB">
        <w:rPr>
          <w:rFonts w:eastAsia="Times New Roman" w:cstheme="minorHAnsi"/>
          <w:lang w:eastAsia="en-AU"/>
        </w:rPr>
        <w:t xml:space="preserve">but </w:t>
      </w:r>
      <w:r>
        <w:rPr>
          <w:rFonts w:eastAsia="Times New Roman" w:cstheme="minorHAnsi"/>
          <w:lang w:eastAsia="en-AU"/>
        </w:rPr>
        <w:t>otherwise</w:t>
      </w:r>
      <w:r w:rsidRPr="00CD63CB">
        <w:rPr>
          <w:rFonts w:eastAsia="Times New Roman" w:cstheme="minorHAnsi"/>
          <w:lang w:eastAsia="en-AU"/>
        </w:rPr>
        <w:t xml:space="preserve"> providers are free to choose </w:t>
      </w:r>
      <w:r>
        <w:rPr>
          <w:rFonts w:eastAsia="Times New Roman" w:cstheme="minorHAnsi"/>
          <w:lang w:eastAsia="en-AU"/>
        </w:rPr>
        <w:t xml:space="preserve">the </w:t>
      </w:r>
      <w:r w:rsidRPr="00CD63CB">
        <w:rPr>
          <w:rFonts w:eastAsia="Times New Roman" w:cstheme="minorHAnsi"/>
          <w:lang w:eastAsia="en-AU"/>
        </w:rPr>
        <w:t xml:space="preserve">outcomes and evidence </w:t>
      </w:r>
      <w:r>
        <w:rPr>
          <w:rFonts w:eastAsia="Times New Roman" w:cstheme="minorHAnsi"/>
          <w:lang w:eastAsia="en-AU"/>
        </w:rPr>
        <w:t>to conduct their own</w:t>
      </w:r>
      <w:r w:rsidRPr="00CD63CB">
        <w:rPr>
          <w:rFonts w:eastAsia="Times New Roman" w:cstheme="minorHAnsi"/>
          <w:lang w:eastAsia="en-AU"/>
        </w:rPr>
        <w:t xml:space="preserve"> evaluation. In Stage 2 Accreditation (which </w:t>
      </w:r>
      <w:r>
        <w:rPr>
          <w:rFonts w:eastAsia="Times New Roman" w:cstheme="minorHAnsi"/>
          <w:lang w:eastAsia="en-AU"/>
        </w:rPr>
        <w:t>occurs up to every</w:t>
      </w:r>
      <w:r w:rsidRPr="00CD63CB">
        <w:rPr>
          <w:rFonts w:eastAsia="Times New Roman" w:cstheme="minorHAnsi"/>
          <w:lang w:eastAsia="en-AU"/>
        </w:rPr>
        <w:t xml:space="preserve"> five years)</w:t>
      </w:r>
      <w:r>
        <w:rPr>
          <w:rFonts w:eastAsia="Times New Roman" w:cstheme="minorHAnsi"/>
          <w:lang w:eastAsia="en-AU"/>
        </w:rPr>
        <w:t>,</w:t>
      </w:r>
      <w:r w:rsidRPr="00CD63CB">
        <w:rPr>
          <w:rFonts w:eastAsia="Times New Roman" w:cstheme="minorHAnsi"/>
          <w:lang w:eastAsia="en-AU"/>
        </w:rPr>
        <w:t xml:space="preserve"> providers </w:t>
      </w:r>
      <w:r>
        <w:rPr>
          <w:rFonts w:eastAsia="Times New Roman" w:cstheme="minorHAnsi"/>
          <w:lang w:eastAsia="en-AU"/>
        </w:rPr>
        <w:t>present</w:t>
      </w:r>
      <w:r w:rsidRPr="00CD63CB">
        <w:rPr>
          <w:rFonts w:eastAsia="Times New Roman" w:cstheme="minorHAnsi"/>
          <w:lang w:eastAsia="en-AU"/>
        </w:rPr>
        <w:t xml:space="preserve"> their analysis and interpretation of the evidence they collected </w:t>
      </w:r>
      <w:r>
        <w:rPr>
          <w:rFonts w:eastAsia="Times New Roman" w:cstheme="minorHAnsi"/>
          <w:lang w:eastAsia="en-AU"/>
        </w:rPr>
        <w:t>under their Plan (not publicly available).</w:t>
      </w:r>
    </w:p>
    <w:p w14:paraId="48D40B5E" w14:textId="4FC324F6" w:rsidR="000D31CF" w:rsidRDefault="000D31CF" w:rsidP="000D31CF">
      <w:pPr>
        <w:spacing w:after="120" w:line="240" w:lineRule="auto"/>
        <w:rPr>
          <w:rFonts w:cstheme="minorHAnsi"/>
        </w:rPr>
      </w:pPr>
      <w:r w:rsidRPr="00CD63CB">
        <w:rPr>
          <w:rFonts w:cstheme="minorHAnsi"/>
        </w:rPr>
        <w:t xml:space="preserve">Although the Plan </w:t>
      </w:r>
      <w:r>
        <w:rPr>
          <w:rFonts w:cstheme="minorHAnsi"/>
        </w:rPr>
        <w:t>can be</w:t>
      </w:r>
      <w:r w:rsidRPr="00CD63CB">
        <w:rPr>
          <w:rFonts w:cstheme="minorHAnsi"/>
        </w:rPr>
        <w:t xml:space="preserve"> productive in requiring providers to evaluate their ITE programs, the ability for each </w:t>
      </w:r>
      <w:r>
        <w:rPr>
          <w:rFonts w:cstheme="minorHAnsi"/>
        </w:rPr>
        <w:t xml:space="preserve">higher education </w:t>
      </w:r>
      <w:r w:rsidRPr="00CD63CB">
        <w:rPr>
          <w:rFonts w:cstheme="minorHAnsi"/>
        </w:rPr>
        <w:t xml:space="preserve">provider to </w:t>
      </w:r>
      <w:r>
        <w:rPr>
          <w:rFonts w:cstheme="minorHAnsi"/>
        </w:rPr>
        <w:t>select</w:t>
      </w:r>
      <w:r w:rsidRPr="00CD63CB">
        <w:rPr>
          <w:rFonts w:cstheme="minorHAnsi"/>
        </w:rPr>
        <w:t xml:space="preserve"> their own outcome measures</w:t>
      </w:r>
      <w:r>
        <w:rPr>
          <w:rFonts w:cstheme="minorHAnsi"/>
        </w:rPr>
        <w:t xml:space="preserve"> </w:t>
      </w:r>
      <w:r w:rsidRPr="00CD63CB">
        <w:rPr>
          <w:rFonts w:cstheme="minorHAnsi"/>
        </w:rPr>
        <w:t xml:space="preserve">limits the transparency and </w:t>
      </w:r>
      <w:r>
        <w:rPr>
          <w:rFonts w:cstheme="minorHAnsi"/>
        </w:rPr>
        <w:t>utility</w:t>
      </w:r>
      <w:r w:rsidRPr="00CD63CB">
        <w:rPr>
          <w:rFonts w:cstheme="minorHAnsi"/>
        </w:rPr>
        <w:t xml:space="preserve"> of these evaluations</w:t>
      </w:r>
      <w:r>
        <w:rPr>
          <w:rFonts w:cstheme="minorHAnsi"/>
        </w:rPr>
        <w:t>. The lack of consistency across Plans makes it</w:t>
      </w:r>
      <w:r w:rsidRPr="00CD63CB">
        <w:rPr>
          <w:rFonts w:cstheme="minorHAnsi"/>
        </w:rPr>
        <w:t xml:space="preserve"> </w:t>
      </w:r>
      <w:r>
        <w:rPr>
          <w:rFonts w:cstheme="minorHAnsi"/>
        </w:rPr>
        <w:t xml:space="preserve">difficult to provide a </w:t>
      </w:r>
      <w:r w:rsidRPr="00CD63CB">
        <w:rPr>
          <w:rFonts w:cstheme="minorHAnsi"/>
        </w:rPr>
        <w:t xml:space="preserve">holistic assessment of </w:t>
      </w:r>
      <w:r>
        <w:rPr>
          <w:rFonts w:cstheme="minorHAnsi"/>
        </w:rPr>
        <w:t>performance across higher education providers</w:t>
      </w:r>
      <w:r w:rsidR="00331132">
        <w:rPr>
          <w:rFonts w:cstheme="minorHAnsi"/>
        </w:rPr>
        <w:t>.</w:t>
      </w:r>
    </w:p>
    <w:p w14:paraId="53AB0E7B" w14:textId="53C4F91A" w:rsidR="00396EA9" w:rsidRDefault="00C222BF" w:rsidP="53626135">
      <w:pPr>
        <w:spacing w:after="120" w:line="240" w:lineRule="auto"/>
      </w:pPr>
      <w:r>
        <w:t xml:space="preserve">While </w:t>
      </w:r>
      <w:r w:rsidR="000D31CF">
        <w:t>ITE</w:t>
      </w:r>
      <w:r w:rsidR="00396EA9" w:rsidRPr="16DDEB37">
        <w:t xml:space="preserve"> accreditation creates an enforceable </w:t>
      </w:r>
      <w:r w:rsidR="00465FC6" w:rsidRPr="16DDEB37">
        <w:t xml:space="preserve">set of </w:t>
      </w:r>
      <w:r w:rsidR="1FE493FB" w:rsidRPr="36B40105">
        <w:t>minimum</w:t>
      </w:r>
      <w:r w:rsidR="00465FC6" w:rsidRPr="16DDEB37">
        <w:t xml:space="preserve"> </w:t>
      </w:r>
      <w:r w:rsidR="00396EA9" w:rsidRPr="16DDEB37">
        <w:t>standards</w:t>
      </w:r>
      <w:r w:rsidR="0062520E">
        <w:t>, it</w:t>
      </w:r>
      <w:r w:rsidR="00396EA9" w:rsidRPr="16DDEB37">
        <w:t xml:space="preserve"> does not </w:t>
      </w:r>
      <w:r w:rsidR="00EA7FBB">
        <w:t xml:space="preserve">sufficiently </w:t>
      </w:r>
      <w:r w:rsidR="00396EA9" w:rsidRPr="16DDEB37">
        <w:t xml:space="preserve">incentivise providers to improve beyond this. One way to inspire performance is through the creation and implementation of </w:t>
      </w:r>
      <w:r w:rsidR="00C0517D">
        <w:t xml:space="preserve">standardised </w:t>
      </w:r>
      <w:r w:rsidR="08B55C3C">
        <w:t xml:space="preserve">performance </w:t>
      </w:r>
      <w:r w:rsidR="00396EA9">
        <w:t>measure</w:t>
      </w:r>
      <w:r w:rsidR="7B5F0597">
        <w:t>s</w:t>
      </w:r>
      <w:r w:rsidR="00465FC6" w:rsidRPr="16DDEB37">
        <w:t xml:space="preserve"> </w:t>
      </w:r>
      <w:r w:rsidR="004E2B4F">
        <w:t>which are reported on transparently,</w:t>
      </w:r>
      <w:r w:rsidR="00465FC6" w:rsidRPr="16DDEB37">
        <w:t xml:space="preserve"> that </w:t>
      </w:r>
      <w:r w:rsidR="00396EA9" w:rsidRPr="16DDEB37">
        <w:t xml:space="preserve">can recognise and reward performance above and beyond the </w:t>
      </w:r>
      <w:r w:rsidR="00E45098">
        <w:t>minimum standards</w:t>
      </w:r>
      <w:r w:rsidR="00396EA9" w:rsidRPr="16DDEB37">
        <w:t>. It can also create a culture of continuous improvement, supplementing the less frequent accreditation processes.</w:t>
      </w:r>
    </w:p>
    <w:p w14:paraId="0F94E9D0" w14:textId="1E00BC64" w:rsidR="000E17DC" w:rsidRDefault="005207AF" w:rsidP="00512B37">
      <w:pPr>
        <w:keepNext/>
        <w:spacing w:line="240" w:lineRule="auto"/>
      </w:pPr>
      <w:r>
        <w:t xml:space="preserve">In this approach, </w:t>
      </w:r>
      <w:r w:rsidR="0062520E">
        <w:t>performance measures fulfil an</w:t>
      </w:r>
      <w:r w:rsidR="003F3320">
        <w:t xml:space="preserve"> important and complementary role to </w:t>
      </w:r>
      <w:r w:rsidR="000E17DC" w:rsidRPr="2D1BE577">
        <w:t>accreditation</w:t>
      </w:r>
      <w:r>
        <w:t>, as</w:t>
      </w:r>
      <w:r w:rsidR="000E17DC" w:rsidRPr="2D1BE577">
        <w:t xml:space="preserve"> summarised in Table </w:t>
      </w:r>
      <w:r w:rsidR="00DA6797" w:rsidRPr="2D1BE577">
        <w:t>2.</w:t>
      </w:r>
      <w:r w:rsidR="000E17DC" w:rsidRPr="2D1BE577">
        <w:t>1.</w:t>
      </w:r>
    </w:p>
    <w:p w14:paraId="084A8B8F" w14:textId="6C45F504" w:rsidR="59E383EC" w:rsidRDefault="000E17DC" w:rsidP="55B4ED76">
      <w:pPr>
        <w:pStyle w:val="Caption"/>
        <w:keepNext/>
        <w:rPr>
          <w:color w:val="000000" w:themeColor="text1"/>
        </w:rPr>
      </w:pPr>
      <w:r w:rsidRPr="1699A024">
        <w:rPr>
          <w:color w:val="000000" w:themeColor="text1"/>
        </w:rPr>
        <w:t xml:space="preserve">Table 2.1: </w:t>
      </w:r>
      <w:r w:rsidR="00AC0EE6">
        <w:rPr>
          <w:color w:val="000000" w:themeColor="text1"/>
        </w:rPr>
        <w:t>Initial a</w:t>
      </w:r>
      <w:r w:rsidRPr="1699A024">
        <w:rPr>
          <w:color w:val="000000" w:themeColor="text1"/>
        </w:rPr>
        <w:t xml:space="preserve">ccreditation and </w:t>
      </w:r>
      <w:r w:rsidR="00A60E90">
        <w:rPr>
          <w:color w:val="000000" w:themeColor="text1"/>
        </w:rPr>
        <w:t>performance</w:t>
      </w:r>
      <w:r w:rsidRPr="1699A024">
        <w:rPr>
          <w:color w:val="000000" w:themeColor="text1"/>
        </w:rPr>
        <w:t xml:space="preserve"> measure</w:t>
      </w:r>
      <w:r w:rsidR="005A4BE1">
        <w:rPr>
          <w:color w:val="000000" w:themeColor="text1"/>
        </w:rPr>
        <w:t>s</w:t>
      </w:r>
      <w:r w:rsidRPr="1699A024">
        <w:rPr>
          <w:color w:val="000000" w:themeColor="text1"/>
        </w:rPr>
        <w:t xml:space="preserve"> are complimentary parts of the spectrum of quality assurance</w:t>
      </w:r>
    </w:p>
    <w:tbl>
      <w:tblPr>
        <w:tblW w:w="0" w:type="auto"/>
        <w:tblLayout w:type="fixed"/>
        <w:tblLook w:val="04A0" w:firstRow="1" w:lastRow="0" w:firstColumn="1" w:lastColumn="0" w:noHBand="0" w:noVBand="1"/>
      </w:tblPr>
      <w:tblGrid>
        <w:gridCol w:w="1590"/>
        <w:gridCol w:w="3577"/>
        <w:gridCol w:w="3848"/>
      </w:tblGrid>
      <w:tr w:rsidR="0103CFE4" w14:paraId="28BE8548" w14:textId="77777777" w:rsidTr="00CA01F7">
        <w:trPr>
          <w:trHeight w:val="405"/>
        </w:trPr>
        <w:tc>
          <w:tcPr>
            <w:tcW w:w="1590" w:type="dxa"/>
            <w:tcBorders>
              <w:top w:val="single" w:sz="8" w:space="0" w:color="auto"/>
              <w:left w:val="single" w:sz="8" w:space="0" w:color="auto"/>
              <w:bottom w:val="single" w:sz="8" w:space="0" w:color="auto"/>
              <w:right w:val="single" w:sz="8" w:space="0" w:color="auto"/>
            </w:tcBorders>
            <w:shd w:val="clear" w:color="auto" w:fill="FEEBB9" w:themeFill="accent2" w:themeFillTint="66"/>
            <w:tcMar>
              <w:left w:w="108" w:type="dxa"/>
              <w:right w:w="108" w:type="dxa"/>
            </w:tcMar>
            <w:vAlign w:val="center"/>
          </w:tcPr>
          <w:p w14:paraId="42D93CF0" w14:textId="374B7885" w:rsidR="0103CFE4" w:rsidRDefault="0103CFE4" w:rsidP="00E24656">
            <w:pPr>
              <w:spacing w:after="0" w:line="240" w:lineRule="auto"/>
              <w:rPr>
                <w:rFonts w:ascii="Calibri" w:eastAsia="Calibri" w:hAnsi="Calibri" w:cs="Calibri"/>
              </w:rPr>
            </w:pPr>
          </w:p>
        </w:tc>
        <w:tc>
          <w:tcPr>
            <w:tcW w:w="3577" w:type="dxa"/>
            <w:tcBorders>
              <w:top w:val="single" w:sz="8" w:space="0" w:color="auto"/>
              <w:left w:val="single" w:sz="8" w:space="0" w:color="auto"/>
              <w:bottom w:val="single" w:sz="8" w:space="0" w:color="auto"/>
              <w:right w:val="single" w:sz="8" w:space="0" w:color="auto"/>
            </w:tcBorders>
            <w:shd w:val="clear" w:color="auto" w:fill="FEEBB9" w:themeFill="accent2" w:themeFillTint="66"/>
            <w:tcMar>
              <w:left w:w="108" w:type="dxa"/>
              <w:right w:w="108" w:type="dxa"/>
            </w:tcMar>
            <w:vAlign w:val="center"/>
          </w:tcPr>
          <w:p w14:paraId="431F3A9F" w14:textId="47630232" w:rsidR="0103CFE4" w:rsidRDefault="0103CFE4" w:rsidP="00E24656">
            <w:pPr>
              <w:spacing w:after="0" w:line="240" w:lineRule="auto"/>
            </w:pPr>
            <w:r w:rsidRPr="0103CFE4">
              <w:rPr>
                <w:rFonts w:ascii="Calibri" w:eastAsia="Calibri" w:hAnsi="Calibri" w:cs="Calibri"/>
                <w:b/>
                <w:bCs/>
                <w:color w:val="000000" w:themeColor="text1"/>
              </w:rPr>
              <w:t>Initial accreditation</w:t>
            </w:r>
          </w:p>
        </w:tc>
        <w:tc>
          <w:tcPr>
            <w:tcW w:w="3848" w:type="dxa"/>
            <w:tcBorders>
              <w:top w:val="single" w:sz="8" w:space="0" w:color="auto"/>
              <w:left w:val="single" w:sz="8" w:space="0" w:color="auto"/>
              <w:bottom w:val="single" w:sz="8" w:space="0" w:color="auto"/>
              <w:right w:val="single" w:sz="8" w:space="0" w:color="auto"/>
            </w:tcBorders>
            <w:shd w:val="clear" w:color="auto" w:fill="FEEBB9" w:themeFill="accent2" w:themeFillTint="66"/>
            <w:tcMar>
              <w:left w:w="108" w:type="dxa"/>
              <w:right w:w="108" w:type="dxa"/>
            </w:tcMar>
            <w:vAlign w:val="center"/>
          </w:tcPr>
          <w:p w14:paraId="44D53FA2" w14:textId="1ADC1146" w:rsidR="0103CFE4" w:rsidRDefault="0103CFE4" w:rsidP="00E24656">
            <w:pPr>
              <w:spacing w:after="0" w:line="240" w:lineRule="auto"/>
            </w:pPr>
            <w:r w:rsidRPr="0103CFE4">
              <w:rPr>
                <w:rFonts w:ascii="Calibri" w:eastAsia="Calibri" w:hAnsi="Calibri" w:cs="Calibri"/>
                <w:b/>
                <w:bCs/>
                <w:color w:val="000000" w:themeColor="text1"/>
              </w:rPr>
              <w:t>Performance measures</w:t>
            </w:r>
          </w:p>
        </w:tc>
      </w:tr>
      <w:tr w:rsidR="0103CFE4" w14:paraId="00B80130" w14:textId="77777777" w:rsidTr="0B128E06">
        <w:trPr>
          <w:trHeight w:val="405"/>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9FFBD0" w14:textId="6DB39EB3" w:rsidR="0103CFE4" w:rsidRDefault="0103CFE4" w:rsidP="00C35B98">
            <w:pPr>
              <w:spacing w:line="240" w:lineRule="auto"/>
            </w:pPr>
            <w:r w:rsidRPr="0103CFE4">
              <w:rPr>
                <w:rFonts w:ascii="Calibri" w:eastAsia="Calibri" w:hAnsi="Calibri" w:cs="Calibri"/>
                <w:b/>
                <w:bCs/>
              </w:rPr>
              <w:t>Role in assuring quality</w:t>
            </w:r>
          </w:p>
        </w:tc>
        <w:tc>
          <w:tcPr>
            <w:tcW w:w="3577" w:type="dxa"/>
            <w:tcBorders>
              <w:top w:val="single" w:sz="8" w:space="0" w:color="auto"/>
              <w:left w:val="single" w:sz="8" w:space="0" w:color="auto"/>
              <w:bottom w:val="single" w:sz="8" w:space="0" w:color="auto"/>
              <w:right w:val="single" w:sz="8" w:space="0" w:color="auto"/>
            </w:tcBorders>
            <w:tcMar>
              <w:left w:w="108" w:type="dxa"/>
              <w:right w:w="108" w:type="dxa"/>
            </w:tcMar>
          </w:tcPr>
          <w:p w14:paraId="6CA64B86" w14:textId="53F294B4" w:rsidR="0103CFE4" w:rsidRDefault="0103CFE4" w:rsidP="00C35B98">
            <w:pPr>
              <w:spacing w:line="240" w:lineRule="auto"/>
            </w:pPr>
            <w:r w:rsidRPr="0103CFE4">
              <w:rPr>
                <w:rFonts w:ascii="Calibri" w:eastAsia="Calibri" w:hAnsi="Calibri" w:cs="Calibri"/>
                <w:lang w:val="en-US"/>
              </w:rPr>
              <w:t>Sets minimum quality standards – ‘must have’ elements of quality</w:t>
            </w:r>
          </w:p>
        </w:tc>
        <w:tc>
          <w:tcPr>
            <w:tcW w:w="3848" w:type="dxa"/>
            <w:tcBorders>
              <w:top w:val="single" w:sz="8" w:space="0" w:color="auto"/>
              <w:left w:val="single" w:sz="8" w:space="0" w:color="auto"/>
              <w:bottom w:val="single" w:sz="8" w:space="0" w:color="auto"/>
              <w:right w:val="single" w:sz="8" w:space="0" w:color="auto"/>
            </w:tcBorders>
            <w:tcMar>
              <w:left w:w="108" w:type="dxa"/>
              <w:right w:w="108" w:type="dxa"/>
            </w:tcMar>
          </w:tcPr>
          <w:p w14:paraId="678F620C" w14:textId="24FD9253" w:rsidR="0103CFE4" w:rsidRDefault="0103CFE4" w:rsidP="00C35B98">
            <w:pPr>
              <w:spacing w:line="240" w:lineRule="auto"/>
            </w:pPr>
            <w:r w:rsidRPr="0103CFE4">
              <w:rPr>
                <w:rFonts w:ascii="Calibri" w:eastAsia="Calibri" w:hAnsi="Calibri" w:cs="Calibri"/>
                <w:lang w:val="en-US"/>
              </w:rPr>
              <w:t xml:space="preserve">Sets measures </w:t>
            </w:r>
            <w:r w:rsidR="003D6823">
              <w:rPr>
                <w:rFonts w:ascii="Calibri" w:eastAsia="Calibri" w:hAnsi="Calibri" w:cs="Calibri"/>
                <w:lang w:val="en-US"/>
              </w:rPr>
              <w:t xml:space="preserve">that are important elements of quality </w:t>
            </w:r>
            <w:r w:rsidR="004B03D9">
              <w:rPr>
                <w:rFonts w:ascii="Calibri" w:eastAsia="Calibri" w:hAnsi="Calibri" w:cs="Calibri"/>
                <w:lang w:val="en-US"/>
              </w:rPr>
              <w:t>that can be targeted for improvement</w:t>
            </w:r>
            <w:r w:rsidR="00C66E64">
              <w:rPr>
                <w:rFonts w:ascii="Calibri" w:eastAsia="Calibri" w:hAnsi="Calibri" w:cs="Calibri"/>
                <w:lang w:val="en-US"/>
              </w:rPr>
              <w:t>.</w:t>
            </w:r>
          </w:p>
        </w:tc>
      </w:tr>
      <w:tr w:rsidR="0103CFE4" w14:paraId="45E68FDC" w14:textId="77777777" w:rsidTr="0B128E06">
        <w:trPr>
          <w:trHeight w:val="405"/>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910A4" w14:textId="569B0D94" w:rsidR="0103CFE4" w:rsidRDefault="0103CFE4" w:rsidP="00C35B98">
            <w:pPr>
              <w:spacing w:line="240" w:lineRule="auto"/>
            </w:pPr>
            <w:r w:rsidRPr="0103CFE4">
              <w:rPr>
                <w:rFonts w:ascii="Calibri" w:eastAsia="Calibri" w:hAnsi="Calibri" w:cs="Calibri"/>
                <w:b/>
                <w:bCs/>
              </w:rPr>
              <w:t>Characteristics</w:t>
            </w:r>
          </w:p>
        </w:tc>
        <w:tc>
          <w:tcPr>
            <w:tcW w:w="3577" w:type="dxa"/>
            <w:tcBorders>
              <w:top w:val="single" w:sz="8" w:space="0" w:color="auto"/>
              <w:left w:val="single" w:sz="8" w:space="0" w:color="auto"/>
              <w:bottom w:val="single" w:sz="8" w:space="0" w:color="auto"/>
              <w:right w:val="single" w:sz="8" w:space="0" w:color="auto"/>
            </w:tcBorders>
            <w:tcMar>
              <w:left w:w="108" w:type="dxa"/>
              <w:right w:w="108" w:type="dxa"/>
            </w:tcMar>
          </w:tcPr>
          <w:p w14:paraId="7E47ABE1" w14:textId="34DAA18A" w:rsidR="0103CFE4" w:rsidRDefault="0103CFE4" w:rsidP="004C6DFD">
            <w:pPr>
              <w:spacing w:after="0" w:line="240" w:lineRule="auto"/>
            </w:pPr>
            <w:r w:rsidRPr="0103CFE4">
              <w:rPr>
                <w:rFonts w:ascii="Calibri" w:eastAsia="Calibri" w:hAnsi="Calibri" w:cs="Calibri"/>
                <w:lang w:val="en-US"/>
              </w:rPr>
              <w:t>More likely to be:</w:t>
            </w:r>
          </w:p>
          <w:p w14:paraId="517739CE" w14:textId="6A8259BA" w:rsidR="0103CFE4" w:rsidRDefault="0103CFE4" w:rsidP="00D5108D">
            <w:pPr>
              <w:pStyle w:val="ListParagraph"/>
              <w:numPr>
                <w:ilvl w:val="0"/>
                <w:numId w:val="38"/>
              </w:numPr>
              <w:rPr>
                <w:sz w:val="22"/>
                <w:szCs w:val="22"/>
                <w:lang w:val="en-US"/>
              </w:rPr>
            </w:pPr>
            <w:r w:rsidRPr="0103CFE4">
              <w:rPr>
                <w:sz w:val="22"/>
                <w:szCs w:val="22"/>
                <w:lang w:val="en-US"/>
              </w:rPr>
              <w:t xml:space="preserve">Yes/no decisions - whether </w:t>
            </w:r>
            <w:r w:rsidR="00583FA1">
              <w:rPr>
                <w:sz w:val="22"/>
                <w:szCs w:val="22"/>
                <w:lang w:val="en-US"/>
              </w:rPr>
              <w:t xml:space="preserve">program </w:t>
            </w:r>
            <w:r w:rsidRPr="0103CFE4">
              <w:rPr>
                <w:sz w:val="22"/>
                <w:szCs w:val="22"/>
                <w:lang w:val="en-US"/>
              </w:rPr>
              <w:t>standards are met</w:t>
            </w:r>
          </w:p>
          <w:p w14:paraId="6CD75C2A" w14:textId="60036100" w:rsidR="0103CFE4" w:rsidRDefault="003A0C65" w:rsidP="00D5108D">
            <w:pPr>
              <w:pStyle w:val="ListParagraph"/>
              <w:numPr>
                <w:ilvl w:val="0"/>
                <w:numId w:val="38"/>
              </w:numPr>
              <w:rPr>
                <w:sz w:val="22"/>
                <w:szCs w:val="22"/>
                <w:lang w:val="en-US"/>
              </w:rPr>
            </w:pPr>
            <w:r>
              <w:rPr>
                <w:sz w:val="22"/>
                <w:szCs w:val="22"/>
                <w:lang w:val="en-US"/>
              </w:rPr>
              <w:t>Q</w:t>
            </w:r>
            <w:r w:rsidR="0103CFE4" w:rsidRPr="0103CFE4">
              <w:rPr>
                <w:sz w:val="22"/>
                <w:szCs w:val="22"/>
                <w:lang w:val="en-US"/>
              </w:rPr>
              <w:t xml:space="preserve">uality judgements </w:t>
            </w:r>
          </w:p>
          <w:p w14:paraId="6630ECA4" w14:textId="52253A4B" w:rsidR="0103CFE4" w:rsidRDefault="0103CFE4" w:rsidP="00D5108D">
            <w:pPr>
              <w:pStyle w:val="ListParagraph"/>
              <w:numPr>
                <w:ilvl w:val="0"/>
                <w:numId w:val="38"/>
              </w:numPr>
              <w:rPr>
                <w:sz w:val="22"/>
                <w:szCs w:val="22"/>
                <w:lang w:val="en-US"/>
              </w:rPr>
            </w:pPr>
            <w:r w:rsidRPr="0103CFE4">
              <w:rPr>
                <w:sz w:val="22"/>
                <w:szCs w:val="22"/>
                <w:lang w:val="en-US"/>
              </w:rPr>
              <w:t xml:space="preserve">Assesses inputs and processes </w:t>
            </w:r>
          </w:p>
        </w:tc>
        <w:tc>
          <w:tcPr>
            <w:tcW w:w="3848" w:type="dxa"/>
            <w:tcBorders>
              <w:top w:val="single" w:sz="8" w:space="0" w:color="auto"/>
              <w:left w:val="single" w:sz="8" w:space="0" w:color="auto"/>
              <w:bottom w:val="single" w:sz="8" w:space="0" w:color="auto"/>
              <w:right w:val="single" w:sz="8" w:space="0" w:color="auto"/>
            </w:tcBorders>
            <w:tcMar>
              <w:left w:w="108" w:type="dxa"/>
              <w:right w:w="108" w:type="dxa"/>
            </w:tcMar>
          </w:tcPr>
          <w:p w14:paraId="20530DF7" w14:textId="71CABBE7" w:rsidR="0103CFE4" w:rsidRDefault="0103CFE4" w:rsidP="004C6DFD">
            <w:pPr>
              <w:spacing w:after="0" w:line="240" w:lineRule="auto"/>
            </w:pPr>
            <w:r w:rsidRPr="0103CFE4">
              <w:rPr>
                <w:rFonts w:ascii="Calibri" w:eastAsia="Calibri" w:hAnsi="Calibri" w:cs="Calibri"/>
                <w:lang w:val="en-US"/>
              </w:rPr>
              <w:t>More likely to be:</w:t>
            </w:r>
          </w:p>
          <w:p w14:paraId="02FF990E" w14:textId="510F8217" w:rsidR="0103CFE4" w:rsidRDefault="0103CFE4" w:rsidP="00D5108D">
            <w:pPr>
              <w:pStyle w:val="ListParagraph"/>
              <w:numPr>
                <w:ilvl w:val="0"/>
                <w:numId w:val="38"/>
              </w:numPr>
              <w:rPr>
                <w:sz w:val="22"/>
                <w:szCs w:val="22"/>
                <w:lang w:val="en-US"/>
              </w:rPr>
            </w:pPr>
            <w:r w:rsidRPr="0103CFE4">
              <w:rPr>
                <w:sz w:val="22"/>
                <w:szCs w:val="22"/>
                <w:lang w:val="en-US"/>
              </w:rPr>
              <w:t>Scaled – can create dispersion across providers</w:t>
            </w:r>
          </w:p>
          <w:p w14:paraId="2DD85AF6" w14:textId="7CAD15A3" w:rsidR="0103CFE4" w:rsidRDefault="003A0C65" w:rsidP="00D5108D">
            <w:pPr>
              <w:pStyle w:val="ListParagraph"/>
              <w:numPr>
                <w:ilvl w:val="0"/>
                <w:numId w:val="38"/>
              </w:numPr>
              <w:rPr>
                <w:sz w:val="22"/>
                <w:szCs w:val="22"/>
                <w:lang w:val="en-US"/>
              </w:rPr>
            </w:pPr>
            <w:r>
              <w:rPr>
                <w:sz w:val="22"/>
                <w:szCs w:val="22"/>
                <w:lang w:val="en-US"/>
              </w:rPr>
              <w:t>Quantitative measures</w:t>
            </w:r>
          </w:p>
          <w:p w14:paraId="0161D8E9" w14:textId="4278B522" w:rsidR="0103CFE4" w:rsidRDefault="0103CFE4" w:rsidP="00D5108D">
            <w:pPr>
              <w:pStyle w:val="ListParagraph"/>
              <w:numPr>
                <w:ilvl w:val="0"/>
                <w:numId w:val="38"/>
              </w:numPr>
              <w:rPr>
                <w:sz w:val="22"/>
                <w:szCs w:val="22"/>
                <w:lang w:val="en-US"/>
              </w:rPr>
            </w:pPr>
            <w:r w:rsidRPr="0103CFE4">
              <w:rPr>
                <w:sz w:val="22"/>
                <w:szCs w:val="22"/>
                <w:lang w:val="en-US"/>
              </w:rPr>
              <w:t xml:space="preserve">Assesses outputs - that cannot be subject to regulation </w:t>
            </w:r>
          </w:p>
        </w:tc>
      </w:tr>
      <w:tr w:rsidR="0103CFE4" w14:paraId="168A33A8" w14:textId="77777777" w:rsidTr="0B128E06">
        <w:trPr>
          <w:trHeight w:val="405"/>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FD8289" w14:textId="1CF609EC" w:rsidR="0103CFE4" w:rsidRDefault="0103CFE4" w:rsidP="00C35B98">
            <w:pPr>
              <w:spacing w:line="240" w:lineRule="auto"/>
            </w:pPr>
            <w:r w:rsidRPr="0103CFE4">
              <w:rPr>
                <w:rFonts w:ascii="Calibri" w:eastAsia="Calibri" w:hAnsi="Calibri" w:cs="Calibri"/>
                <w:b/>
                <w:bCs/>
              </w:rPr>
              <w:t>Examples</w:t>
            </w:r>
          </w:p>
        </w:tc>
        <w:tc>
          <w:tcPr>
            <w:tcW w:w="3577" w:type="dxa"/>
            <w:tcBorders>
              <w:top w:val="single" w:sz="8" w:space="0" w:color="auto"/>
              <w:left w:val="single" w:sz="8" w:space="0" w:color="auto"/>
              <w:bottom w:val="single" w:sz="8" w:space="0" w:color="auto"/>
              <w:right w:val="single" w:sz="8" w:space="0" w:color="auto"/>
            </w:tcBorders>
            <w:tcMar>
              <w:left w:w="108" w:type="dxa"/>
              <w:right w:w="108" w:type="dxa"/>
            </w:tcMar>
          </w:tcPr>
          <w:p w14:paraId="757927C0" w14:textId="3F3337A9" w:rsidR="0103CFE4" w:rsidRDefault="0103CFE4" w:rsidP="00D5108D">
            <w:pPr>
              <w:pStyle w:val="ListParagraph"/>
              <w:numPr>
                <w:ilvl w:val="0"/>
                <w:numId w:val="38"/>
              </w:numPr>
              <w:rPr>
                <w:sz w:val="22"/>
                <w:szCs w:val="22"/>
                <w:lang w:val="en-US"/>
              </w:rPr>
            </w:pPr>
            <w:r w:rsidRPr="0103CFE4">
              <w:rPr>
                <w:sz w:val="22"/>
                <w:szCs w:val="22"/>
                <w:lang w:val="en-US"/>
              </w:rPr>
              <w:t xml:space="preserve">Coverage of core content </w:t>
            </w:r>
            <w:r w:rsidR="008B312A">
              <w:rPr>
                <w:sz w:val="22"/>
                <w:szCs w:val="22"/>
                <w:lang w:val="en-US"/>
              </w:rPr>
              <w:t>and</w:t>
            </w:r>
            <w:r w:rsidRPr="0103CFE4">
              <w:rPr>
                <w:sz w:val="22"/>
                <w:szCs w:val="22"/>
                <w:lang w:val="en-US"/>
              </w:rPr>
              <w:t xml:space="preserve"> discipline-specific pedagogy</w:t>
            </w:r>
          </w:p>
          <w:p w14:paraId="02F3519A" w14:textId="255CEB94" w:rsidR="0103CFE4" w:rsidRDefault="00F01ED3" w:rsidP="00D5108D">
            <w:pPr>
              <w:pStyle w:val="ListParagraph"/>
              <w:numPr>
                <w:ilvl w:val="0"/>
                <w:numId w:val="38"/>
              </w:numPr>
              <w:rPr>
                <w:sz w:val="22"/>
                <w:szCs w:val="22"/>
                <w:lang w:val="en-US"/>
              </w:rPr>
            </w:pPr>
            <w:r>
              <w:rPr>
                <w:sz w:val="22"/>
                <w:szCs w:val="22"/>
                <w:lang w:val="en-US"/>
              </w:rPr>
              <w:t>TPAs</w:t>
            </w:r>
          </w:p>
          <w:p w14:paraId="269F6A67" w14:textId="501B57D5" w:rsidR="0103CFE4" w:rsidRDefault="00D50C37" w:rsidP="00D5108D">
            <w:pPr>
              <w:pStyle w:val="ListParagraph"/>
              <w:numPr>
                <w:ilvl w:val="0"/>
                <w:numId w:val="38"/>
              </w:numPr>
              <w:rPr>
                <w:sz w:val="22"/>
                <w:szCs w:val="22"/>
                <w:lang w:val="en-US"/>
              </w:rPr>
            </w:pPr>
            <w:r>
              <w:rPr>
                <w:sz w:val="22"/>
                <w:szCs w:val="22"/>
                <w:lang w:val="en-US"/>
              </w:rPr>
              <w:t>P</w:t>
            </w:r>
            <w:r w:rsidRPr="00D50C37">
              <w:rPr>
                <w:sz w:val="22"/>
                <w:szCs w:val="22"/>
                <w:lang w:val="en-US"/>
              </w:rPr>
              <w:t>ractical experience</w:t>
            </w:r>
            <w:r w:rsidR="0103CFE4" w:rsidRPr="0103CFE4">
              <w:rPr>
                <w:sz w:val="22"/>
                <w:szCs w:val="22"/>
                <w:lang w:val="en-US"/>
              </w:rPr>
              <w:t xml:space="preserve"> design and duration</w:t>
            </w:r>
          </w:p>
        </w:tc>
        <w:tc>
          <w:tcPr>
            <w:tcW w:w="3848" w:type="dxa"/>
            <w:tcBorders>
              <w:top w:val="single" w:sz="8" w:space="0" w:color="auto"/>
              <w:left w:val="single" w:sz="8" w:space="0" w:color="auto"/>
              <w:bottom w:val="single" w:sz="8" w:space="0" w:color="auto"/>
              <w:right w:val="single" w:sz="8" w:space="0" w:color="auto"/>
            </w:tcBorders>
            <w:tcMar>
              <w:left w:w="108" w:type="dxa"/>
              <w:right w:w="108" w:type="dxa"/>
            </w:tcMar>
          </w:tcPr>
          <w:p w14:paraId="3C6EF4CB" w14:textId="172409D9" w:rsidR="0103CFE4" w:rsidRDefault="0103CFE4" w:rsidP="00D5108D">
            <w:pPr>
              <w:pStyle w:val="ListParagraph"/>
              <w:numPr>
                <w:ilvl w:val="0"/>
                <w:numId w:val="38"/>
              </w:numPr>
              <w:rPr>
                <w:sz w:val="22"/>
                <w:szCs w:val="22"/>
                <w:lang w:val="en-US"/>
              </w:rPr>
            </w:pPr>
            <w:r w:rsidRPr="0103CFE4">
              <w:rPr>
                <w:sz w:val="22"/>
                <w:szCs w:val="22"/>
                <w:lang w:val="en-US"/>
              </w:rPr>
              <w:t xml:space="preserve">Proportion of enrolments from diverse </w:t>
            </w:r>
            <w:r w:rsidR="00BA1E8E">
              <w:rPr>
                <w:sz w:val="22"/>
                <w:szCs w:val="22"/>
                <w:lang w:val="en-US"/>
              </w:rPr>
              <w:t>high quality</w:t>
            </w:r>
            <w:r w:rsidRPr="0103CFE4">
              <w:rPr>
                <w:sz w:val="22"/>
                <w:szCs w:val="22"/>
                <w:lang w:val="en-US"/>
              </w:rPr>
              <w:t xml:space="preserve"> </w:t>
            </w:r>
            <w:r w:rsidR="005A35C2">
              <w:rPr>
                <w:sz w:val="22"/>
                <w:szCs w:val="22"/>
                <w:lang w:val="en-US"/>
              </w:rPr>
              <w:t>candidates</w:t>
            </w:r>
          </w:p>
          <w:p w14:paraId="422DC8B1" w14:textId="64C4D508" w:rsidR="0103CFE4" w:rsidRDefault="005D529A" w:rsidP="00D5108D">
            <w:pPr>
              <w:pStyle w:val="ListParagraph"/>
              <w:numPr>
                <w:ilvl w:val="0"/>
                <w:numId w:val="38"/>
              </w:numPr>
              <w:rPr>
                <w:sz w:val="22"/>
                <w:szCs w:val="22"/>
                <w:lang w:val="en-US"/>
              </w:rPr>
            </w:pPr>
            <w:r>
              <w:rPr>
                <w:sz w:val="22"/>
                <w:szCs w:val="22"/>
                <w:lang w:val="en-US"/>
              </w:rPr>
              <w:t>A</w:t>
            </w:r>
            <w:r w:rsidR="0103CFE4" w:rsidRPr="0103CFE4">
              <w:rPr>
                <w:sz w:val="22"/>
                <w:szCs w:val="22"/>
                <w:lang w:val="en-US"/>
              </w:rPr>
              <w:t>ttrition rates</w:t>
            </w:r>
          </w:p>
          <w:p w14:paraId="4E906B48" w14:textId="3923D78E" w:rsidR="0103CFE4" w:rsidRDefault="0103CFE4" w:rsidP="00D5108D">
            <w:pPr>
              <w:pStyle w:val="ListParagraph"/>
              <w:numPr>
                <w:ilvl w:val="0"/>
                <w:numId w:val="38"/>
              </w:numPr>
              <w:rPr>
                <w:sz w:val="22"/>
                <w:szCs w:val="22"/>
                <w:lang w:val="en-US"/>
              </w:rPr>
            </w:pPr>
            <w:r w:rsidRPr="0103CFE4">
              <w:rPr>
                <w:sz w:val="22"/>
                <w:szCs w:val="22"/>
                <w:lang w:val="en-US"/>
              </w:rPr>
              <w:t>Graduate preparedness to teach</w:t>
            </w:r>
          </w:p>
          <w:p w14:paraId="43FC55D2" w14:textId="6328F5CB" w:rsidR="0103CFE4" w:rsidRDefault="0103CFE4" w:rsidP="00D5108D">
            <w:pPr>
              <w:pStyle w:val="ListParagraph"/>
              <w:numPr>
                <w:ilvl w:val="0"/>
                <w:numId w:val="38"/>
              </w:numPr>
              <w:rPr>
                <w:sz w:val="22"/>
                <w:szCs w:val="22"/>
                <w:lang w:val="en-US"/>
              </w:rPr>
            </w:pPr>
            <w:r w:rsidRPr="0103CFE4">
              <w:rPr>
                <w:sz w:val="22"/>
                <w:szCs w:val="22"/>
                <w:lang w:val="en-US"/>
              </w:rPr>
              <w:t>Employment outcomes</w:t>
            </w:r>
          </w:p>
        </w:tc>
      </w:tr>
      <w:tr w:rsidR="0103CFE4" w14:paraId="579EA00A" w14:textId="77777777" w:rsidTr="0B128E06">
        <w:trPr>
          <w:trHeight w:val="405"/>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6948F" w14:textId="03958E5A" w:rsidR="0103CFE4" w:rsidRDefault="0103CFE4">
            <w:r w:rsidRPr="0103CFE4">
              <w:rPr>
                <w:rFonts w:ascii="Calibri" w:eastAsia="Calibri" w:hAnsi="Calibri" w:cs="Calibri"/>
                <w:b/>
                <w:bCs/>
              </w:rPr>
              <w:t>Where currently assessed</w:t>
            </w:r>
          </w:p>
        </w:tc>
        <w:tc>
          <w:tcPr>
            <w:tcW w:w="3577" w:type="dxa"/>
            <w:tcBorders>
              <w:top w:val="single" w:sz="8" w:space="0" w:color="auto"/>
              <w:left w:val="single" w:sz="8" w:space="0" w:color="auto"/>
              <w:bottom w:val="single" w:sz="8" w:space="0" w:color="auto"/>
              <w:right w:val="single" w:sz="8" w:space="0" w:color="auto"/>
            </w:tcBorders>
            <w:tcMar>
              <w:left w:w="108" w:type="dxa"/>
              <w:right w:w="108" w:type="dxa"/>
            </w:tcMar>
          </w:tcPr>
          <w:p w14:paraId="75564A19" w14:textId="7515B61A" w:rsidR="0103CFE4" w:rsidRDefault="0103CFE4">
            <w:r w:rsidRPr="0103CFE4">
              <w:rPr>
                <w:rFonts w:ascii="Calibri" w:eastAsia="Calibri" w:hAnsi="Calibri" w:cs="Calibri"/>
                <w:lang w:val="en-US"/>
              </w:rPr>
              <w:t xml:space="preserve">Stage 1 </w:t>
            </w:r>
            <w:r w:rsidR="00142462">
              <w:rPr>
                <w:rFonts w:ascii="Calibri" w:eastAsia="Calibri" w:hAnsi="Calibri" w:cs="Calibri"/>
                <w:lang w:val="en-US"/>
              </w:rPr>
              <w:t xml:space="preserve">(initial) </w:t>
            </w:r>
            <w:r w:rsidR="00B5343C">
              <w:rPr>
                <w:rFonts w:ascii="Calibri" w:eastAsia="Calibri" w:hAnsi="Calibri" w:cs="Calibri"/>
                <w:lang w:val="en-US"/>
              </w:rPr>
              <w:t>A</w:t>
            </w:r>
            <w:r w:rsidRPr="0103CFE4">
              <w:rPr>
                <w:rFonts w:ascii="Calibri" w:eastAsia="Calibri" w:hAnsi="Calibri" w:cs="Calibri"/>
                <w:lang w:val="en-US"/>
              </w:rPr>
              <w:t>ccreditation; revisited at Stage 2 (within 5 years)</w:t>
            </w:r>
          </w:p>
        </w:tc>
        <w:tc>
          <w:tcPr>
            <w:tcW w:w="3848" w:type="dxa"/>
            <w:tcBorders>
              <w:top w:val="single" w:sz="8" w:space="0" w:color="auto"/>
              <w:left w:val="single" w:sz="8" w:space="0" w:color="auto"/>
              <w:bottom w:val="single" w:sz="8" w:space="0" w:color="auto"/>
              <w:right w:val="single" w:sz="8" w:space="0" w:color="auto"/>
            </w:tcBorders>
            <w:tcMar>
              <w:left w:w="108" w:type="dxa"/>
              <w:right w:w="108" w:type="dxa"/>
            </w:tcMar>
          </w:tcPr>
          <w:p w14:paraId="040B6D4A" w14:textId="304CCECC" w:rsidR="0103CFE4" w:rsidRDefault="0103CFE4">
            <w:r w:rsidRPr="0103CFE4">
              <w:rPr>
                <w:rFonts w:ascii="Calibri" w:eastAsia="Calibri" w:hAnsi="Calibri" w:cs="Calibri"/>
                <w:lang w:val="en-US"/>
              </w:rPr>
              <w:t>Stage 1 (initial</w:t>
            </w:r>
            <w:r w:rsidR="00B5343C">
              <w:rPr>
                <w:rFonts w:ascii="Calibri" w:eastAsia="Calibri" w:hAnsi="Calibri" w:cs="Calibri"/>
                <w:lang w:val="en-US"/>
              </w:rPr>
              <w:t>)</w:t>
            </w:r>
            <w:r w:rsidRPr="0103CFE4">
              <w:rPr>
                <w:rFonts w:ascii="Calibri" w:eastAsia="Calibri" w:hAnsi="Calibri" w:cs="Calibri"/>
                <w:lang w:val="en-US"/>
              </w:rPr>
              <w:t xml:space="preserve"> </w:t>
            </w:r>
            <w:r w:rsidR="00B5343C">
              <w:rPr>
                <w:rFonts w:ascii="Calibri" w:eastAsia="Calibri" w:hAnsi="Calibri" w:cs="Calibri"/>
                <w:lang w:val="en-US"/>
              </w:rPr>
              <w:t>A</w:t>
            </w:r>
            <w:r w:rsidRPr="0103CFE4">
              <w:rPr>
                <w:rFonts w:ascii="Calibri" w:eastAsia="Calibri" w:hAnsi="Calibri" w:cs="Calibri"/>
                <w:lang w:val="en-US"/>
              </w:rPr>
              <w:t>ccreditation, where measures are defined; Stage 2 (within 5 years), where performance against measures is reviewed</w:t>
            </w:r>
          </w:p>
        </w:tc>
      </w:tr>
    </w:tbl>
    <w:p w14:paraId="5703D43F" w14:textId="3BC0B36D" w:rsidR="00B37C82" w:rsidRDefault="00B37C82" w:rsidP="005322CC">
      <w:pPr>
        <w:spacing w:after="120" w:line="240" w:lineRule="auto"/>
      </w:pPr>
    </w:p>
    <w:p w14:paraId="31F654F0" w14:textId="7557E74E" w:rsidR="0025521E" w:rsidRPr="00A46005" w:rsidRDefault="2492FA61" w:rsidP="00A46005">
      <w:pPr>
        <w:spacing w:after="0" w:line="240" w:lineRule="auto"/>
      </w:pPr>
      <w:r w:rsidRPr="3E973F6C">
        <w:rPr>
          <w:rFonts w:ascii="Calibri" w:eastAsia="Calibri" w:hAnsi="Calibri" w:cs="Calibri"/>
        </w:rPr>
        <w:t xml:space="preserve">The Panel proposes that </w:t>
      </w:r>
      <w:r w:rsidR="00211E85">
        <w:rPr>
          <w:rFonts w:ascii="Calibri" w:eastAsia="Calibri" w:hAnsi="Calibri" w:cs="Calibri"/>
        </w:rPr>
        <w:t>measuring performance</w:t>
      </w:r>
      <w:r w:rsidRPr="3E973F6C">
        <w:rPr>
          <w:rFonts w:ascii="Calibri" w:eastAsia="Calibri" w:hAnsi="Calibri" w:cs="Calibri"/>
        </w:rPr>
        <w:t xml:space="preserve"> be used to recognise high</w:t>
      </w:r>
      <w:r w:rsidR="009777C6">
        <w:rPr>
          <w:rFonts w:ascii="Calibri" w:eastAsia="Calibri" w:hAnsi="Calibri" w:cs="Calibri"/>
        </w:rPr>
        <w:t>-</w:t>
      </w:r>
      <w:r w:rsidRPr="3E973F6C">
        <w:rPr>
          <w:rFonts w:ascii="Calibri" w:eastAsia="Calibri" w:hAnsi="Calibri" w:cs="Calibri"/>
        </w:rPr>
        <w:t xml:space="preserve">quality </w:t>
      </w:r>
      <w:r w:rsidR="00C35B98">
        <w:rPr>
          <w:rFonts w:ascii="Calibri" w:eastAsia="Calibri" w:hAnsi="Calibri" w:cs="Calibri"/>
        </w:rPr>
        <w:t xml:space="preserve">ITE programs </w:t>
      </w:r>
      <w:r w:rsidRPr="3E973F6C">
        <w:rPr>
          <w:rFonts w:ascii="Calibri" w:eastAsia="Calibri" w:hAnsi="Calibri" w:cs="Calibri"/>
        </w:rPr>
        <w:t>and identify areas for targeted improvement, by defining, measuring and reporting on the quality of ITE across higher education providers. This would include:</w:t>
      </w:r>
      <w:r>
        <w:t xml:space="preserve"> </w:t>
      </w:r>
    </w:p>
    <w:p w14:paraId="6FF8555C" w14:textId="01FA9A33" w:rsidR="007735CB" w:rsidRPr="0039768A" w:rsidRDefault="00B751CE"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p</w:t>
      </w:r>
      <w:r w:rsidR="00007619" w:rsidRPr="0039768A">
        <w:rPr>
          <w:rFonts w:ascii="Calibri" w:eastAsia="Times New Roman" w:hAnsi="Calibri" w:cs="Calibri"/>
          <w:sz w:val="22"/>
          <w:szCs w:val="22"/>
          <w:lang w:eastAsia="en-AU"/>
        </w:rPr>
        <w:t xml:space="preserve">roviding </w:t>
      </w:r>
      <w:r w:rsidR="007735CB" w:rsidRPr="0039768A">
        <w:rPr>
          <w:rFonts w:ascii="Calibri" w:eastAsia="Times New Roman" w:hAnsi="Calibri" w:cs="Calibri"/>
          <w:sz w:val="22"/>
          <w:szCs w:val="22"/>
          <w:lang w:eastAsia="en-AU"/>
        </w:rPr>
        <w:t xml:space="preserve">a nationally consistent and transparent measure of </w:t>
      </w:r>
      <w:r w:rsidR="00B87B04" w:rsidRPr="0039768A">
        <w:rPr>
          <w:rFonts w:ascii="Calibri" w:eastAsia="Times New Roman" w:hAnsi="Calibri" w:cs="Calibri"/>
          <w:sz w:val="22"/>
          <w:szCs w:val="22"/>
          <w:lang w:eastAsia="en-AU"/>
        </w:rPr>
        <w:t>the outcomes from ITE</w:t>
      </w:r>
      <w:r w:rsidR="007735CB" w:rsidRPr="0039768A">
        <w:rPr>
          <w:rFonts w:ascii="Calibri" w:eastAsia="Times New Roman" w:hAnsi="Calibri" w:cs="Calibri"/>
          <w:sz w:val="22"/>
          <w:szCs w:val="22"/>
          <w:lang w:eastAsia="en-AU"/>
        </w:rPr>
        <w:t xml:space="preserve"> across </w:t>
      </w:r>
      <w:r w:rsidR="00B87B04" w:rsidRPr="0039768A">
        <w:rPr>
          <w:rFonts w:ascii="Calibri" w:eastAsia="Times New Roman" w:hAnsi="Calibri" w:cs="Calibri"/>
          <w:sz w:val="22"/>
          <w:szCs w:val="22"/>
          <w:lang w:eastAsia="en-AU"/>
        </w:rPr>
        <w:t>higher education providers</w:t>
      </w:r>
    </w:p>
    <w:p w14:paraId="10E6BA29" w14:textId="6FADA63F" w:rsidR="00B87B04" w:rsidRPr="0039768A" w:rsidRDefault="00B751CE"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e</w:t>
      </w:r>
      <w:r w:rsidR="00B87B04" w:rsidRPr="0039768A">
        <w:rPr>
          <w:rFonts w:ascii="Calibri" w:eastAsia="Times New Roman" w:hAnsi="Calibri" w:cs="Calibri"/>
          <w:sz w:val="22"/>
          <w:szCs w:val="22"/>
          <w:lang w:eastAsia="en-AU"/>
        </w:rPr>
        <w:t>nabl</w:t>
      </w:r>
      <w:r w:rsidR="00B520C2" w:rsidRPr="0039768A">
        <w:rPr>
          <w:rFonts w:ascii="Calibri" w:eastAsia="Times New Roman" w:hAnsi="Calibri" w:cs="Calibri"/>
          <w:sz w:val="22"/>
          <w:szCs w:val="22"/>
          <w:lang w:eastAsia="en-AU"/>
        </w:rPr>
        <w:t>ing</w:t>
      </w:r>
      <w:r w:rsidR="00B87B04" w:rsidRPr="0039768A">
        <w:rPr>
          <w:rFonts w:ascii="Calibri" w:eastAsia="Times New Roman" w:hAnsi="Calibri" w:cs="Calibri"/>
          <w:sz w:val="22"/>
          <w:szCs w:val="22"/>
          <w:lang w:eastAsia="en-AU"/>
        </w:rPr>
        <w:t xml:space="preserve"> performance-based assessments of ITE </w:t>
      </w:r>
      <w:r w:rsidR="00A32BE6">
        <w:rPr>
          <w:rFonts w:ascii="Calibri" w:eastAsia="Times New Roman" w:hAnsi="Calibri" w:cs="Calibri"/>
          <w:sz w:val="22"/>
          <w:szCs w:val="22"/>
          <w:lang w:eastAsia="en-AU"/>
        </w:rPr>
        <w:t>programs</w:t>
      </w:r>
      <w:r w:rsidR="00B87B04" w:rsidRPr="0039768A">
        <w:rPr>
          <w:rFonts w:ascii="Calibri" w:eastAsia="Times New Roman" w:hAnsi="Calibri" w:cs="Calibri"/>
          <w:sz w:val="22"/>
          <w:szCs w:val="22"/>
          <w:lang w:eastAsia="en-AU"/>
        </w:rPr>
        <w:t xml:space="preserve"> </w:t>
      </w:r>
      <w:r w:rsidR="009B4C45" w:rsidRPr="0039768A">
        <w:rPr>
          <w:rFonts w:ascii="Calibri" w:eastAsia="Times New Roman" w:hAnsi="Calibri" w:cs="Calibri"/>
          <w:sz w:val="22"/>
          <w:szCs w:val="22"/>
          <w:lang w:eastAsia="en-AU"/>
        </w:rPr>
        <w:t>to recognise high performing providers</w:t>
      </w:r>
    </w:p>
    <w:p w14:paraId="24EFA4C8" w14:textId="04C28102" w:rsidR="007735CB" w:rsidRPr="0039768A" w:rsidRDefault="00B751CE"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i</w:t>
      </w:r>
      <w:r w:rsidR="007735CB" w:rsidRPr="0039768A">
        <w:rPr>
          <w:rFonts w:ascii="Calibri" w:eastAsia="Times New Roman" w:hAnsi="Calibri" w:cs="Calibri"/>
          <w:sz w:val="22"/>
          <w:szCs w:val="22"/>
          <w:lang w:eastAsia="en-AU"/>
        </w:rPr>
        <w:t>nform</w:t>
      </w:r>
      <w:r w:rsidR="00B520C2" w:rsidRPr="0039768A">
        <w:rPr>
          <w:rFonts w:ascii="Calibri" w:eastAsia="Times New Roman" w:hAnsi="Calibri" w:cs="Calibri"/>
          <w:sz w:val="22"/>
          <w:szCs w:val="22"/>
          <w:lang w:eastAsia="en-AU"/>
        </w:rPr>
        <w:t>ing</w:t>
      </w:r>
      <w:r w:rsidR="007735CB" w:rsidRPr="0039768A">
        <w:rPr>
          <w:rFonts w:ascii="Calibri" w:eastAsia="Times New Roman" w:hAnsi="Calibri" w:cs="Calibri"/>
          <w:sz w:val="22"/>
          <w:szCs w:val="22"/>
          <w:lang w:eastAsia="en-AU"/>
        </w:rPr>
        <w:t xml:space="preserve"> where ITE </w:t>
      </w:r>
      <w:r w:rsidR="00A32BE6">
        <w:rPr>
          <w:rFonts w:ascii="Calibri" w:eastAsia="Times New Roman" w:hAnsi="Calibri" w:cs="Calibri"/>
          <w:sz w:val="22"/>
          <w:szCs w:val="22"/>
          <w:lang w:eastAsia="en-AU"/>
        </w:rPr>
        <w:t xml:space="preserve">programs </w:t>
      </w:r>
      <w:r w:rsidR="007735CB" w:rsidRPr="0039768A">
        <w:rPr>
          <w:rFonts w:ascii="Calibri" w:eastAsia="Times New Roman" w:hAnsi="Calibri" w:cs="Calibri"/>
          <w:sz w:val="22"/>
          <w:szCs w:val="22"/>
          <w:lang w:eastAsia="en-AU"/>
        </w:rPr>
        <w:t xml:space="preserve">can improve </w:t>
      </w:r>
      <w:r w:rsidR="00B87B04" w:rsidRPr="0039768A">
        <w:rPr>
          <w:rFonts w:ascii="Calibri" w:eastAsia="Times New Roman" w:hAnsi="Calibri" w:cs="Calibri"/>
          <w:sz w:val="22"/>
          <w:szCs w:val="22"/>
          <w:lang w:eastAsia="en-AU"/>
        </w:rPr>
        <w:t>against these outcomes</w:t>
      </w:r>
      <w:r w:rsidR="007735CB" w:rsidRPr="0039768A">
        <w:rPr>
          <w:rFonts w:ascii="Calibri" w:eastAsia="Times New Roman" w:hAnsi="Calibri" w:cs="Calibri"/>
          <w:sz w:val="22"/>
          <w:szCs w:val="22"/>
          <w:lang w:eastAsia="en-AU"/>
        </w:rPr>
        <w:t xml:space="preserve"> to drive continuous improvement in </w:t>
      </w:r>
      <w:r w:rsidR="00D920C3">
        <w:rPr>
          <w:rFonts w:ascii="Calibri" w:eastAsia="Times New Roman" w:hAnsi="Calibri" w:cs="Calibri"/>
          <w:sz w:val="22"/>
          <w:szCs w:val="22"/>
          <w:lang w:eastAsia="en-AU"/>
        </w:rPr>
        <w:t>program</w:t>
      </w:r>
      <w:r w:rsidR="007735CB" w:rsidRPr="0039768A">
        <w:rPr>
          <w:rFonts w:ascii="Calibri" w:eastAsia="Times New Roman" w:hAnsi="Calibri" w:cs="Calibri"/>
          <w:sz w:val="22"/>
          <w:szCs w:val="22"/>
          <w:lang w:eastAsia="en-AU"/>
        </w:rPr>
        <w:t xml:space="preserve"> quality</w:t>
      </w:r>
    </w:p>
    <w:p w14:paraId="5B0E8ACC" w14:textId="7DB5315A" w:rsidR="007735CB" w:rsidRPr="0039768A" w:rsidRDefault="00B751CE" w:rsidP="007747CE">
      <w:pPr>
        <w:pStyle w:val="ListParagraph"/>
        <w:numPr>
          <w:ilvl w:val="0"/>
          <w:numId w:val="24"/>
        </w:numPr>
        <w:spacing w:after="120"/>
        <w:ind w:left="714" w:hanging="357"/>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m</w:t>
      </w:r>
      <w:r w:rsidR="007735CB" w:rsidRPr="0039768A">
        <w:rPr>
          <w:rFonts w:ascii="Calibri" w:eastAsia="Times New Roman" w:hAnsi="Calibri" w:cs="Calibri"/>
          <w:sz w:val="22"/>
          <w:szCs w:val="22"/>
          <w:lang w:eastAsia="en-AU"/>
        </w:rPr>
        <w:t xml:space="preserve">aking </w:t>
      </w:r>
      <w:r w:rsidR="008E35C4" w:rsidRPr="0039768A">
        <w:rPr>
          <w:rFonts w:ascii="Calibri" w:eastAsia="Times New Roman" w:hAnsi="Calibri" w:cs="Calibri"/>
          <w:sz w:val="22"/>
          <w:szCs w:val="22"/>
          <w:lang w:eastAsia="en-AU"/>
        </w:rPr>
        <w:t xml:space="preserve">this </w:t>
      </w:r>
      <w:r w:rsidR="00FC5D01">
        <w:rPr>
          <w:rFonts w:ascii="Calibri" w:eastAsia="Times New Roman" w:hAnsi="Calibri" w:cs="Calibri"/>
          <w:sz w:val="22"/>
          <w:szCs w:val="22"/>
          <w:lang w:eastAsia="en-AU"/>
        </w:rPr>
        <w:t>performance</w:t>
      </w:r>
      <w:r w:rsidR="008E35C4" w:rsidRPr="0039768A">
        <w:rPr>
          <w:rFonts w:ascii="Calibri" w:eastAsia="Times New Roman" w:hAnsi="Calibri" w:cs="Calibri"/>
          <w:sz w:val="22"/>
          <w:szCs w:val="22"/>
          <w:lang w:eastAsia="en-AU"/>
        </w:rPr>
        <w:t xml:space="preserve"> measure </w:t>
      </w:r>
      <w:r w:rsidR="007735CB" w:rsidRPr="0039768A">
        <w:rPr>
          <w:rFonts w:ascii="Calibri" w:eastAsia="Times New Roman" w:hAnsi="Calibri" w:cs="Calibri"/>
          <w:sz w:val="22"/>
          <w:szCs w:val="22"/>
          <w:lang w:eastAsia="en-AU"/>
        </w:rPr>
        <w:t xml:space="preserve">publicly available </w:t>
      </w:r>
      <w:r w:rsidR="006E07FE" w:rsidRPr="0039768A">
        <w:rPr>
          <w:rFonts w:ascii="Calibri" w:eastAsia="Times New Roman" w:hAnsi="Calibri" w:cs="Calibri"/>
          <w:sz w:val="22"/>
          <w:szCs w:val="22"/>
          <w:lang w:eastAsia="en-AU"/>
        </w:rPr>
        <w:t>to increase accountability and inform student choice</w:t>
      </w:r>
      <w:r>
        <w:rPr>
          <w:rFonts w:ascii="Calibri" w:eastAsia="Times New Roman" w:hAnsi="Calibri" w:cs="Calibri"/>
          <w:sz w:val="22"/>
          <w:szCs w:val="22"/>
          <w:lang w:eastAsia="en-AU"/>
        </w:rPr>
        <w:t>.</w:t>
      </w:r>
    </w:p>
    <w:p w14:paraId="6B786FF9" w14:textId="017545E3" w:rsidR="00DD24E8" w:rsidRPr="00627B91" w:rsidRDefault="00EE3E10" w:rsidP="00627B91">
      <w:pPr>
        <w:pStyle w:val="Heading3"/>
        <w:spacing w:before="0" w:after="120" w:line="240" w:lineRule="auto"/>
        <w:rPr>
          <w:rFonts w:eastAsia="Times New Roman"/>
          <w:szCs w:val="32"/>
          <w:lang w:eastAsia="en-AU"/>
        </w:rPr>
      </w:pPr>
      <w:bookmarkStart w:id="40" w:name="_Toc128649082"/>
      <w:bookmarkStart w:id="41" w:name="_Toc130217438"/>
      <w:r w:rsidRPr="00627B91">
        <w:rPr>
          <w:rFonts w:eastAsia="Times New Roman"/>
          <w:szCs w:val="32"/>
          <w:lang w:eastAsia="en-AU"/>
        </w:rPr>
        <w:t xml:space="preserve">2.2 </w:t>
      </w:r>
      <w:r w:rsidR="00B707E9" w:rsidRPr="00627B91">
        <w:rPr>
          <w:rFonts w:eastAsia="Times New Roman"/>
          <w:szCs w:val="32"/>
          <w:lang w:eastAsia="en-AU"/>
        </w:rPr>
        <w:t>Indicators </w:t>
      </w:r>
      <w:r w:rsidR="00851272" w:rsidRPr="00627B91">
        <w:rPr>
          <w:rFonts w:eastAsia="Times New Roman"/>
          <w:szCs w:val="32"/>
          <w:lang w:eastAsia="en-AU"/>
        </w:rPr>
        <w:t xml:space="preserve">for </w:t>
      </w:r>
      <w:r w:rsidR="0089041B" w:rsidRPr="00627B91">
        <w:rPr>
          <w:rFonts w:eastAsia="Times New Roman"/>
          <w:szCs w:val="32"/>
          <w:lang w:eastAsia="en-AU"/>
        </w:rPr>
        <w:t xml:space="preserve">measuring </w:t>
      </w:r>
      <w:r w:rsidR="00AE45B2" w:rsidRPr="00627B91">
        <w:rPr>
          <w:rFonts w:eastAsia="Times New Roman"/>
          <w:szCs w:val="32"/>
          <w:lang w:eastAsia="en-AU"/>
        </w:rPr>
        <w:t>performance</w:t>
      </w:r>
      <w:bookmarkEnd w:id="40"/>
      <w:bookmarkEnd w:id="41"/>
    </w:p>
    <w:p w14:paraId="15B287EB" w14:textId="6D069094" w:rsidR="703C9FA7" w:rsidRDefault="2BBA322C" w:rsidP="003F2FEF">
      <w:pPr>
        <w:spacing w:after="0" w:line="240" w:lineRule="auto"/>
        <w:rPr>
          <w:rFonts w:ascii="Calibri" w:eastAsia="Calibri" w:hAnsi="Calibri" w:cs="Calibri"/>
        </w:rPr>
      </w:pPr>
      <w:bookmarkStart w:id="42" w:name="_Toc127459783"/>
      <w:bookmarkStart w:id="43" w:name="_Hlk126757328"/>
      <w:r w:rsidRPr="6DBDB0AD">
        <w:rPr>
          <w:rFonts w:ascii="Calibri" w:eastAsia="Calibri" w:hAnsi="Calibri" w:cs="Calibri"/>
        </w:rPr>
        <w:t xml:space="preserve">The Panel proposes that </w:t>
      </w:r>
      <w:r w:rsidR="00B42982">
        <w:rPr>
          <w:rFonts w:ascii="Calibri" w:eastAsia="Calibri" w:hAnsi="Calibri" w:cs="Calibri"/>
        </w:rPr>
        <w:t xml:space="preserve">performance should be </w:t>
      </w:r>
      <w:r w:rsidR="00BD0919">
        <w:rPr>
          <w:rFonts w:ascii="Calibri" w:eastAsia="Calibri" w:hAnsi="Calibri" w:cs="Calibri"/>
        </w:rPr>
        <w:t>measured</w:t>
      </w:r>
      <w:r w:rsidR="00B42982">
        <w:rPr>
          <w:rFonts w:ascii="Calibri" w:eastAsia="Calibri" w:hAnsi="Calibri" w:cs="Calibri"/>
        </w:rPr>
        <w:t xml:space="preserve"> across</w:t>
      </w:r>
      <w:r w:rsidRPr="6DBDB0AD">
        <w:rPr>
          <w:rFonts w:ascii="Calibri" w:eastAsia="Calibri" w:hAnsi="Calibri" w:cs="Calibri"/>
        </w:rPr>
        <w:t xml:space="preserve"> four categories. </w:t>
      </w:r>
      <w:r w:rsidRPr="56BDD1F0">
        <w:rPr>
          <w:rFonts w:ascii="Calibri" w:eastAsia="Calibri" w:hAnsi="Calibri" w:cs="Calibri"/>
        </w:rPr>
        <w:t xml:space="preserve">The four categories </w:t>
      </w:r>
      <w:r w:rsidRPr="526E8D2F">
        <w:rPr>
          <w:rFonts w:ascii="Calibri" w:eastAsia="Calibri" w:hAnsi="Calibri" w:cs="Calibri"/>
        </w:rPr>
        <w:t>are:</w:t>
      </w:r>
    </w:p>
    <w:p w14:paraId="40D7E9DF" w14:textId="471C0563" w:rsidR="00C2117B" w:rsidRPr="0039768A" w:rsidRDefault="00C2117B" w:rsidP="007D6F33">
      <w:pPr>
        <w:pStyle w:val="ListParagraph"/>
        <w:numPr>
          <w:ilvl w:val="0"/>
          <w:numId w:val="25"/>
        </w:numPr>
        <w:textAlignment w:val="baseline"/>
        <w:rPr>
          <w:rFonts w:ascii="Calibri" w:eastAsia="Times New Roman" w:hAnsi="Calibri" w:cs="Calibri"/>
          <w:sz w:val="22"/>
          <w:szCs w:val="22"/>
          <w:lang w:eastAsia="en-AU"/>
        </w:rPr>
      </w:pPr>
      <w:r w:rsidRPr="0039768A">
        <w:rPr>
          <w:rFonts w:ascii="Calibri" w:eastAsia="Times New Roman" w:hAnsi="Calibri" w:cs="Calibri"/>
          <w:sz w:val="22"/>
          <w:szCs w:val="22"/>
          <w:lang w:eastAsia="en-AU"/>
        </w:rPr>
        <w:t xml:space="preserve">Selection: This category focuses on entry and participation of diverse </w:t>
      </w:r>
      <w:r w:rsidR="00EE69DB">
        <w:rPr>
          <w:rFonts w:ascii="Calibri" w:eastAsia="Times New Roman" w:hAnsi="Calibri" w:cs="Calibri"/>
          <w:sz w:val="22"/>
          <w:szCs w:val="22"/>
          <w:lang w:eastAsia="en-AU"/>
        </w:rPr>
        <w:t>and high</w:t>
      </w:r>
      <w:r w:rsidR="009777C6">
        <w:rPr>
          <w:rFonts w:ascii="Calibri" w:eastAsia="Times New Roman" w:hAnsi="Calibri" w:cs="Calibri"/>
          <w:sz w:val="22"/>
          <w:szCs w:val="22"/>
          <w:lang w:eastAsia="en-AU"/>
        </w:rPr>
        <w:t>-</w:t>
      </w:r>
      <w:r w:rsidR="00EE69DB">
        <w:rPr>
          <w:rFonts w:ascii="Calibri" w:eastAsia="Times New Roman" w:hAnsi="Calibri" w:cs="Calibri"/>
          <w:sz w:val="22"/>
          <w:szCs w:val="22"/>
          <w:lang w:eastAsia="en-AU"/>
        </w:rPr>
        <w:t>quality candidates</w:t>
      </w:r>
      <w:r w:rsidRPr="0039768A">
        <w:rPr>
          <w:rFonts w:ascii="Calibri" w:eastAsia="Times New Roman" w:hAnsi="Calibri" w:cs="Calibri"/>
          <w:sz w:val="22"/>
          <w:szCs w:val="22"/>
          <w:lang w:eastAsia="en-AU"/>
        </w:rPr>
        <w:t xml:space="preserve"> in ITE (i.e. First Nations, regional and remote locations, and low socio-economic backgrounds</w:t>
      </w:r>
      <w:r w:rsidR="00EE69DB">
        <w:rPr>
          <w:rFonts w:ascii="Calibri" w:eastAsia="Times New Roman" w:hAnsi="Calibri" w:cs="Calibri"/>
          <w:sz w:val="22"/>
          <w:szCs w:val="22"/>
          <w:lang w:eastAsia="en-AU"/>
        </w:rPr>
        <w:t>, high ATAR students</w:t>
      </w:r>
      <w:r w:rsidR="00D044F1">
        <w:rPr>
          <w:rFonts w:ascii="Calibri" w:eastAsia="Times New Roman" w:hAnsi="Calibri" w:cs="Calibri"/>
          <w:sz w:val="22"/>
          <w:szCs w:val="22"/>
          <w:lang w:eastAsia="en-AU"/>
        </w:rPr>
        <w:t>, STEM students</w:t>
      </w:r>
      <w:r w:rsidRPr="0039768A">
        <w:rPr>
          <w:rFonts w:ascii="Calibri" w:eastAsia="Times New Roman" w:hAnsi="Calibri" w:cs="Calibri"/>
          <w:sz w:val="22"/>
          <w:szCs w:val="22"/>
          <w:lang w:eastAsia="en-AU"/>
        </w:rPr>
        <w:t xml:space="preserve">). </w:t>
      </w:r>
    </w:p>
    <w:p w14:paraId="3633DBFD" w14:textId="32B4F671" w:rsidR="00C2117B" w:rsidRPr="0039768A" w:rsidRDefault="00C2117B" w:rsidP="007D6F33">
      <w:pPr>
        <w:pStyle w:val="ListParagraph"/>
        <w:numPr>
          <w:ilvl w:val="0"/>
          <w:numId w:val="25"/>
        </w:numPr>
        <w:textAlignment w:val="baseline"/>
        <w:rPr>
          <w:rFonts w:ascii="Calibri" w:eastAsia="Times New Roman" w:hAnsi="Calibri" w:cs="Calibri"/>
          <w:sz w:val="22"/>
          <w:szCs w:val="22"/>
          <w:lang w:eastAsia="en-AU"/>
        </w:rPr>
      </w:pPr>
      <w:r w:rsidRPr="0039768A">
        <w:rPr>
          <w:rFonts w:ascii="Calibri" w:eastAsia="Times New Roman" w:hAnsi="Calibri" w:cs="Calibri"/>
          <w:sz w:val="22"/>
          <w:szCs w:val="22"/>
          <w:lang w:eastAsia="en-AU"/>
        </w:rPr>
        <w:t xml:space="preserve">Retention: </w:t>
      </w:r>
      <w:bookmarkStart w:id="44" w:name="_Hlk126932490"/>
      <w:r w:rsidRPr="0039768A">
        <w:rPr>
          <w:rFonts w:ascii="Calibri" w:eastAsia="Times New Roman" w:hAnsi="Calibri" w:cs="Calibri"/>
          <w:sz w:val="22"/>
          <w:szCs w:val="22"/>
          <w:lang w:eastAsia="en-AU"/>
        </w:rPr>
        <w:t xml:space="preserve">This category focuses on </w:t>
      </w:r>
      <w:bookmarkEnd w:id="44"/>
      <w:r w:rsidRPr="0039768A">
        <w:rPr>
          <w:rFonts w:ascii="Calibri" w:eastAsia="Times New Roman" w:hAnsi="Calibri" w:cs="Calibri"/>
          <w:sz w:val="22"/>
          <w:szCs w:val="22"/>
          <w:lang w:eastAsia="en-AU"/>
        </w:rPr>
        <w:t xml:space="preserve">the proportion of students </w:t>
      </w:r>
      <w:r w:rsidRPr="00B52E8F">
        <w:rPr>
          <w:rFonts w:ascii="Calibri" w:eastAsia="Times New Roman" w:hAnsi="Calibri" w:cs="Calibri"/>
          <w:sz w:val="22"/>
          <w:szCs w:val="22"/>
          <w:lang w:eastAsia="en-AU"/>
        </w:rPr>
        <w:t>who leave their</w:t>
      </w:r>
      <w:r w:rsidRPr="0039768A">
        <w:rPr>
          <w:rFonts w:ascii="Calibri" w:eastAsia="Times New Roman" w:hAnsi="Calibri" w:cs="Calibri"/>
          <w:sz w:val="22"/>
          <w:szCs w:val="22"/>
          <w:lang w:eastAsia="en-AU"/>
        </w:rPr>
        <w:t xml:space="preserve"> course.</w:t>
      </w:r>
    </w:p>
    <w:p w14:paraId="7E8B59CA" w14:textId="77777777" w:rsidR="00C2117B" w:rsidRPr="0039768A" w:rsidRDefault="00C2117B" w:rsidP="007D6F33">
      <w:pPr>
        <w:pStyle w:val="ListParagraph"/>
        <w:numPr>
          <w:ilvl w:val="0"/>
          <w:numId w:val="25"/>
        </w:numPr>
        <w:textAlignment w:val="baseline"/>
        <w:rPr>
          <w:rFonts w:ascii="Calibri" w:eastAsia="Times New Roman" w:hAnsi="Calibri" w:cs="Calibri"/>
          <w:sz w:val="22"/>
          <w:szCs w:val="22"/>
          <w:lang w:eastAsia="en-AU"/>
        </w:rPr>
      </w:pPr>
      <w:r w:rsidRPr="0039768A">
        <w:rPr>
          <w:rFonts w:ascii="Calibri" w:eastAsia="Times New Roman" w:hAnsi="Calibri" w:cs="Calibri"/>
          <w:sz w:val="22"/>
          <w:szCs w:val="22"/>
          <w:lang w:eastAsia="en-AU"/>
        </w:rPr>
        <w:t>Classroom readiness: This category focuses on students’ perceived preparedness for entering the teaching profession and their satisfaction with the quality of their course.</w:t>
      </w:r>
    </w:p>
    <w:p w14:paraId="43009544" w14:textId="77777777" w:rsidR="00C2117B" w:rsidRPr="0039768A" w:rsidRDefault="00C2117B" w:rsidP="007D6F33">
      <w:pPr>
        <w:pStyle w:val="ListParagraph"/>
        <w:numPr>
          <w:ilvl w:val="0"/>
          <w:numId w:val="25"/>
        </w:numPr>
        <w:spacing w:after="120"/>
        <w:ind w:left="714" w:hanging="357"/>
        <w:textAlignment w:val="baseline"/>
        <w:rPr>
          <w:rFonts w:ascii="Calibri" w:eastAsia="Times New Roman" w:hAnsi="Calibri" w:cs="Calibri"/>
          <w:sz w:val="22"/>
          <w:szCs w:val="22"/>
          <w:lang w:eastAsia="en-AU"/>
        </w:rPr>
      </w:pPr>
      <w:r w:rsidRPr="0039768A">
        <w:rPr>
          <w:rFonts w:ascii="Calibri" w:eastAsia="Times New Roman" w:hAnsi="Calibri" w:cs="Calibri"/>
          <w:sz w:val="22"/>
          <w:szCs w:val="22"/>
          <w:lang w:eastAsia="en-AU"/>
        </w:rPr>
        <w:t>Transition: This category focuses on the employment outcomes of recent graduates and early career teachers.</w:t>
      </w:r>
    </w:p>
    <w:p w14:paraId="086B275A" w14:textId="5A52C2AC" w:rsidR="00C2117B" w:rsidRPr="0011718D" w:rsidRDefault="00C2117B" w:rsidP="00FF482B">
      <w:pPr>
        <w:spacing w:after="120" w:line="240" w:lineRule="auto"/>
      </w:pPr>
      <w:r w:rsidRPr="22FDCC47">
        <w:t>These four categories were selected</w:t>
      </w:r>
      <w:r w:rsidR="33A867EC">
        <w:t xml:space="preserve"> by the Panel</w:t>
      </w:r>
      <w:r w:rsidRPr="22FDCC47">
        <w:t xml:space="preserve"> because they reflect key elements of ITE quality, and together, capture a holistic assessment of </w:t>
      </w:r>
      <w:r w:rsidR="004F5D94">
        <w:t>performance</w:t>
      </w:r>
      <w:r w:rsidRPr="22FDCC47">
        <w:t xml:space="preserve">. The four categories also align with the </w:t>
      </w:r>
      <w:r w:rsidR="00B52E8F">
        <w:t xml:space="preserve">prior reviews into ITE and the </w:t>
      </w:r>
      <w:r w:rsidRPr="22FDCC47">
        <w:t xml:space="preserve">structure of </w:t>
      </w:r>
      <w:r w:rsidR="00B52E8F">
        <w:t xml:space="preserve">the </w:t>
      </w:r>
      <w:r w:rsidR="00C32D19">
        <w:t>Accreditation Standards and Procedure</w:t>
      </w:r>
      <w:r w:rsidR="00D044F1">
        <w:t>s</w:t>
      </w:r>
      <w:r w:rsidRPr="22FDCC47">
        <w:t xml:space="preserve">. For example, the QITE Review described effective ITE as selecting the right ITE candidates, ensuring ITE </w:t>
      </w:r>
      <w:r w:rsidR="00A32BE6">
        <w:t>programs</w:t>
      </w:r>
      <w:r w:rsidRPr="22FDCC47">
        <w:t xml:space="preserve"> equip students to be classroom</w:t>
      </w:r>
      <w:r w:rsidR="00CC5F7D">
        <w:t xml:space="preserve"> </w:t>
      </w:r>
      <w:r w:rsidRPr="22FDCC47">
        <w:t xml:space="preserve">ready, and providing support as individuals transition from </w:t>
      </w:r>
      <w:r w:rsidR="00414528">
        <w:t xml:space="preserve">an </w:t>
      </w:r>
      <w:r w:rsidRPr="22FDCC47">
        <w:t>ITE graduate to</w:t>
      </w:r>
      <w:r w:rsidR="00414528">
        <w:t xml:space="preserve"> a</w:t>
      </w:r>
      <w:r w:rsidRPr="22FDCC47">
        <w:t xml:space="preserve"> classroom teacher. </w:t>
      </w:r>
      <w:bookmarkStart w:id="45" w:name="_Hlk127956720"/>
      <w:r w:rsidR="00B52E8F">
        <w:rPr>
          <w:rFonts w:cstheme="minorHAnsi"/>
        </w:rPr>
        <w:t>Similarly, Standard 6 of the Accreditation Standards and Procedures requires higher education</w:t>
      </w:r>
      <w:r w:rsidR="00B52E8F" w:rsidRPr="0011718D">
        <w:rPr>
          <w:rFonts w:cstheme="minorHAnsi"/>
        </w:rPr>
        <w:t xml:space="preserve"> providers to develop a </w:t>
      </w:r>
      <w:r w:rsidR="00B52E8F">
        <w:rPr>
          <w:rFonts w:cstheme="minorHAnsi"/>
        </w:rPr>
        <w:t>P</w:t>
      </w:r>
      <w:r w:rsidR="00B52E8F" w:rsidRPr="0011718D">
        <w:rPr>
          <w:rFonts w:cstheme="minorHAnsi"/>
        </w:rPr>
        <w:t xml:space="preserve">lan </w:t>
      </w:r>
      <w:r w:rsidR="00B52E8F">
        <w:rPr>
          <w:rFonts w:cstheme="minorHAnsi"/>
        </w:rPr>
        <w:t>F</w:t>
      </w:r>
      <w:r w:rsidR="00B52E8F" w:rsidRPr="0011718D">
        <w:rPr>
          <w:rFonts w:cstheme="minorHAnsi"/>
        </w:rPr>
        <w:t xml:space="preserve">or </w:t>
      </w:r>
      <w:r w:rsidR="00B52E8F">
        <w:rPr>
          <w:rFonts w:cstheme="minorHAnsi"/>
        </w:rPr>
        <w:t>D</w:t>
      </w:r>
      <w:r w:rsidR="00B52E8F" w:rsidRPr="0011718D">
        <w:rPr>
          <w:rFonts w:cstheme="minorHAnsi"/>
        </w:rPr>
        <w:t xml:space="preserve">emonstrating </w:t>
      </w:r>
      <w:r w:rsidR="00B52E8F">
        <w:rPr>
          <w:rFonts w:cstheme="minorHAnsi"/>
        </w:rPr>
        <w:t>I</w:t>
      </w:r>
      <w:r w:rsidR="00B52E8F" w:rsidRPr="0011718D">
        <w:rPr>
          <w:rFonts w:cstheme="minorHAnsi"/>
        </w:rPr>
        <w:t xml:space="preserve">mpact. </w:t>
      </w:r>
      <w:r w:rsidR="00B52E8F">
        <w:rPr>
          <w:rFonts w:cstheme="minorHAnsi"/>
        </w:rPr>
        <w:t xml:space="preserve">This includes showing evidence on </w:t>
      </w:r>
      <w:r w:rsidR="00F853C0">
        <w:rPr>
          <w:rFonts w:cstheme="minorHAnsi"/>
        </w:rPr>
        <w:t>ITE student</w:t>
      </w:r>
      <w:r w:rsidR="00B52E8F">
        <w:rPr>
          <w:rFonts w:cstheme="minorHAnsi"/>
        </w:rPr>
        <w:t xml:space="preserve"> performance within a program and graduate outcomes following completion of a program </w:t>
      </w:r>
      <w:r w:rsidR="00B52E8F" w:rsidRPr="0011718D">
        <w:rPr>
          <w:rFonts w:cstheme="minorHAnsi"/>
        </w:rPr>
        <w:t>(AITSL 2022a)</w:t>
      </w:r>
      <w:r w:rsidR="00B52E8F">
        <w:rPr>
          <w:rFonts w:cstheme="minorHAnsi"/>
        </w:rPr>
        <w:t>.</w:t>
      </w:r>
      <w:bookmarkEnd w:id="45"/>
      <w:r w:rsidR="00B52E8F" w:rsidRPr="22FDCC47">
        <w:t xml:space="preserve"> </w:t>
      </w:r>
      <w:r w:rsidRPr="22FDCC47">
        <w:t xml:space="preserve">These sequential aspects of quality are represented by the four categories of selection, retention, classroom readiness and transition. </w:t>
      </w:r>
    </w:p>
    <w:p w14:paraId="11D14C6A" w14:textId="292AB83C" w:rsidR="00C2117B" w:rsidRDefault="00132360" w:rsidP="00C2117B">
      <w:pPr>
        <w:spacing w:after="120" w:line="240" w:lineRule="auto"/>
        <w:rPr>
          <w:rFonts w:cstheme="minorHAnsi"/>
        </w:rPr>
      </w:pPr>
      <w:r>
        <w:rPr>
          <w:rFonts w:cstheme="minorHAnsi"/>
        </w:rPr>
        <w:t>P</w:t>
      </w:r>
      <w:r w:rsidRPr="0011718D">
        <w:rPr>
          <w:rFonts w:cstheme="minorHAnsi"/>
        </w:rPr>
        <w:t xml:space="preserve">erformance on each category </w:t>
      </w:r>
      <w:r w:rsidR="0091548C">
        <w:rPr>
          <w:rFonts w:cstheme="minorHAnsi"/>
        </w:rPr>
        <w:t>would be</w:t>
      </w:r>
      <w:r w:rsidRPr="0011718D">
        <w:rPr>
          <w:rFonts w:cstheme="minorHAnsi"/>
        </w:rPr>
        <w:t xml:space="preserve"> measured using</w:t>
      </w:r>
      <w:r w:rsidR="00804703">
        <w:rPr>
          <w:rFonts w:cstheme="minorHAnsi"/>
        </w:rPr>
        <w:t xml:space="preserve"> a set of</w:t>
      </w:r>
      <w:r w:rsidRPr="0011718D">
        <w:rPr>
          <w:rFonts w:cstheme="minorHAnsi"/>
        </w:rPr>
        <w:t xml:space="preserve"> indicators. </w:t>
      </w:r>
      <w:r>
        <w:rPr>
          <w:rFonts w:cstheme="minorHAnsi"/>
        </w:rPr>
        <w:t>The</w:t>
      </w:r>
      <w:r w:rsidR="00733C49">
        <w:rPr>
          <w:rFonts w:cstheme="minorHAnsi"/>
        </w:rPr>
        <w:t xml:space="preserve"> indicators</w:t>
      </w:r>
      <w:r>
        <w:rPr>
          <w:rFonts w:cstheme="minorHAnsi"/>
        </w:rPr>
        <w:t xml:space="preserve"> </w:t>
      </w:r>
      <w:r w:rsidR="000B2668">
        <w:rPr>
          <w:rFonts w:cstheme="minorHAnsi"/>
        </w:rPr>
        <w:t>were identified</w:t>
      </w:r>
      <w:r w:rsidR="00C2117B" w:rsidRPr="0011718D">
        <w:rPr>
          <w:rFonts w:cstheme="minorHAnsi"/>
        </w:rPr>
        <w:t xml:space="preserve"> by a review of international literature and the availability of reliable and relevant data. Indicators with international precedent and reliable relationships to quality were chosen. The selection of indicators was also constrained by data availability – the indicators proposed rely on data that is readily available (or soon to be available) and reliable. These indicators </w:t>
      </w:r>
      <w:r w:rsidR="00721642">
        <w:rPr>
          <w:rFonts w:cstheme="minorHAnsi"/>
        </w:rPr>
        <w:t>could</w:t>
      </w:r>
      <w:r w:rsidR="00C2117B" w:rsidRPr="0011718D">
        <w:rPr>
          <w:rFonts w:cstheme="minorHAnsi"/>
        </w:rPr>
        <w:t xml:space="preserve"> evolve over time as better data becomes available. </w:t>
      </w:r>
    </w:p>
    <w:p w14:paraId="256D3223" w14:textId="0266214A" w:rsidR="00C2117B" w:rsidRPr="0011718D" w:rsidRDefault="00C2117B" w:rsidP="00C2117B">
      <w:pPr>
        <w:spacing w:after="0" w:line="240" w:lineRule="auto"/>
        <w:rPr>
          <w:rFonts w:cstheme="minorHAnsi"/>
        </w:rPr>
      </w:pPr>
      <w:r>
        <w:rPr>
          <w:rFonts w:cstheme="minorHAnsi"/>
        </w:rPr>
        <w:t>The indicators were selected on the basis of:</w:t>
      </w:r>
    </w:p>
    <w:p w14:paraId="692921F5" w14:textId="26E6A66A" w:rsidR="00C2117B" w:rsidRPr="004F168E" w:rsidRDefault="003A4C4F"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r</w:t>
      </w:r>
      <w:r w:rsidR="00C2117B" w:rsidRPr="004F168E">
        <w:rPr>
          <w:rFonts w:ascii="Calibri" w:eastAsia="Times New Roman" w:hAnsi="Calibri" w:cs="Calibri"/>
          <w:sz w:val="22"/>
          <w:szCs w:val="22"/>
          <w:lang w:eastAsia="en-AU"/>
        </w:rPr>
        <w:t>elevance to the Australian context</w:t>
      </w:r>
    </w:p>
    <w:p w14:paraId="6A08AB83" w14:textId="1720D313" w:rsidR="00C2117B" w:rsidRPr="004F168E" w:rsidRDefault="003A4C4F"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c</w:t>
      </w:r>
      <w:r w:rsidR="00C2117B" w:rsidRPr="004F168E">
        <w:rPr>
          <w:rFonts w:ascii="Calibri" w:eastAsia="Times New Roman" w:hAnsi="Calibri" w:cs="Calibri"/>
          <w:sz w:val="22"/>
          <w:szCs w:val="22"/>
          <w:lang w:eastAsia="en-AU"/>
        </w:rPr>
        <w:t>ost effectiveness, drawing on available, relevant and accurate data</w:t>
      </w:r>
    </w:p>
    <w:p w14:paraId="69A8B5ED" w14:textId="2E7A6B69" w:rsidR="00C2117B" w:rsidRPr="004F168E" w:rsidRDefault="003A4C4F"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i</w:t>
      </w:r>
      <w:r w:rsidR="00C2117B" w:rsidRPr="004F168E">
        <w:rPr>
          <w:rFonts w:ascii="Calibri" w:eastAsia="Times New Roman" w:hAnsi="Calibri" w:cs="Calibri"/>
          <w:sz w:val="22"/>
          <w:szCs w:val="22"/>
          <w:lang w:eastAsia="en-AU"/>
        </w:rPr>
        <w:t>nforming improvement, recognising and rewarding progress and not penalising providers</w:t>
      </w:r>
      <w:r w:rsidR="00F563AC">
        <w:rPr>
          <w:rFonts w:ascii="Calibri" w:eastAsia="Times New Roman" w:hAnsi="Calibri" w:cs="Calibri"/>
          <w:sz w:val="22"/>
          <w:szCs w:val="22"/>
          <w:lang w:eastAsia="en-AU"/>
        </w:rPr>
        <w:t xml:space="preserve"> </w:t>
      </w:r>
      <w:r w:rsidR="00C2117B" w:rsidRPr="004F168E">
        <w:rPr>
          <w:rFonts w:ascii="Calibri" w:eastAsia="Times New Roman" w:hAnsi="Calibri" w:cs="Calibri"/>
          <w:sz w:val="22"/>
          <w:szCs w:val="22"/>
          <w:lang w:eastAsia="en-AU"/>
        </w:rPr>
        <w:t>for factors beyond their control</w:t>
      </w:r>
    </w:p>
    <w:p w14:paraId="0858302D" w14:textId="29775896" w:rsidR="00C2117B" w:rsidRPr="004F168E" w:rsidRDefault="003A4C4F"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p</w:t>
      </w:r>
      <w:r w:rsidR="00C2117B" w:rsidRPr="004F168E">
        <w:rPr>
          <w:rFonts w:ascii="Calibri" w:eastAsia="Times New Roman" w:hAnsi="Calibri" w:cs="Calibri"/>
          <w:sz w:val="22"/>
          <w:szCs w:val="22"/>
          <w:lang w:eastAsia="en-AU"/>
        </w:rPr>
        <w:t xml:space="preserve">roviding a common set of indicators for reporting </w:t>
      </w:r>
      <w:r w:rsidR="005D529A">
        <w:rPr>
          <w:rFonts w:ascii="Calibri" w:eastAsia="Times New Roman" w:hAnsi="Calibri" w:cs="Calibri"/>
          <w:sz w:val="22"/>
          <w:szCs w:val="22"/>
          <w:lang w:eastAsia="en-AU"/>
        </w:rPr>
        <w:t>program</w:t>
      </w:r>
      <w:r w:rsidR="00C2117B" w:rsidRPr="004F168E">
        <w:rPr>
          <w:rFonts w:ascii="Calibri" w:eastAsia="Times New Roman" w:hAnsi="Calibri" w:cs="Calibri"/>
          <w:sz w:val="22"/>
          <w:szCs w:val="22"/>
          <w:lang w:eastAsia="en-AU"/>
        </w:rPr>
        <w:t xml:space="preserve"> quality</w:t>
      </w:r>
    </w:p>
    <w:p w14:paraId="3A3CD11D" w14:textId="07C2AE2D" w:rsidR="00C2117B" w:rsidRPr="004F168E" w:rsidRDefault="003A4C4F"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a</w:t>
      </w:r>
      <w:r w:rsidR="00C2117B" w:rsidRPr="004F168E">
        <w:rPr>
          <w:rFonts w:ascii="Calibri" w:eastAsia="Times New Roman" w:hAnsi="Calibri" w:cs="Calibri"/>
          <w:sz w:val="22"/>
          <w:szCs w:val="22"/>
          <w:lang w:eastAsia="en-AU"/>
        </w:rPr>
        <w:t xml:space="preserve">pplicability across </w:t>
      </w:r>
      <w:r w:rsidR="005D529A">
        <w:rPr>
          <w:rFonts w:ascii="Calibri" w:eastAsia="Times New Roman" w:hAnsi="Calibri" w:cs="Calibri"/>
          <w:sz w:val="22"/>
          <w:szCs w:val="22"/>
          <w:lang w:eastAsia="en-AU"/>
        </w:rPr>
        <w:t>programs</w:t>
      </w:r>
      <w:r w:rsidR="00C2117B" w:rsidRPr="004F168E">
        <w:rPr>
          <w:rFonts w:ascii="Calibri" w:eastAsia="Times New Roman" w:hAnsi="Calibri" w:cs="Calibri"/>
          <w:sz w:val="22"/>
          <w:szCs w:val="22"/>
          <w:lang w:eastAsia="en-AU"/>
        </w:rPr>
        <w:t>, contexts and cohorts</w:t>
      </w:r>
      <w:r w:rsidR="00F563AC">
        <w:rPr>
          <w:rFonts w:ascii="Calibri" w:eastAsia="Times New Roman" w:hAnsi="Calibri" w:cs="Calibri"/>
          <w:sz w:val="22"/>
          <w:szCs w:val="22"/>
          <w:lang w:eastAsia="en-AU"/>
        </w:rPr>
        <w:t>,</w:t>
      </w:r>
      <w:r w:rsidR="73B24AB2" w:rsidRPr="0F27AFD2">
        <w:rPr>
          <w:rFonts w:ascii="Calibri" w:eastAsia="Times New Roman" w:hAnsi="Calibri" w:cs="Calibri"/>
          <w:sz w:val="22"/>
          <w:szCs w:val="22"/>
          <w:lang w:eastAsia="en-AU"/>
        </w:rPr>
        <w:t xml:space="preserve"> and</w:t>
      </w:r>
    </w:p>
    <w:p w14:paraId="4A2F2A2A" w14:textId="10D7354A" w:rsidR="00C2117B" w:rsidRDefault="003A4C4F" w:rsidP="007D6F33">
      <w:pPr>
        <w:pStyle w:val="ListParagraph"/>
        <w:numPr>
          <w:ilvl w:val="0"/>
          <w:numId w:val="24"/>
        </w:numPr>
        <w:spacing w:after="120"/>
        <w:ind w:left="714" w:hanging="357"/>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e</w:t>
      </w:r>
      <w:r w:rsidR="00C2117B" w:rsidRPr="004F168E">
        <w:rPr>
          <w:rFonts w:ascii="Calibri" w:eastAsia="Times New Roman" w:hAnsi="Calibri" w:cs="Calibri"/>
          <w:sz w:val="22"/>
          <w:szCs w:val="22"/>
          <w:lang w:eastAsia="en-AU"/>
        </w:rPr>
        <w:t>xcluding requirements that would be more appropriate in accreditation.</w:t>
      </w:r>
    </w:p>
    <w:p w14:paraId="450EFE02" w14:textId="7982BB5C" w:rsidR="009E4AC8" w:rsidRDefault="00C2117B" w:rsidP="00FF482B">
      <w:pPr>
        <w:spacing w:after="120" w:line="240" w:lineRule="auto"/>
      </w:pPr>
      <w:r w:rsidRPr="41EDCA07">
        <w:lastRenderedPageBreak/>
        <w:t xml:space="preserve">It is not preferred </w:t>
      </w:r>
      <w:r w:rsidR="4968471B" w:rsidRPr="7ECC8E9D">
        <w:t xml:space="preserve">by the Panel </w:t>
      </w:r>
      <w:r w:rsidRPr="7ECC8E9D">
        <w:t>to</w:t>
      </w:r>
      <w:r w:rsidRPr="41EDCA07">
        <w:t xml:space="preserve"> aggregate the indicators into a single </w:t>
      </w:r>
      <w:r w:rsidR="005A27C0">
        <w:t xml:space="preserve">performance </w:t>
      </w:r>
      <w:r w:rsidRPr="41EDCA07">
        <w:t>measure. This</w:t>
      </w:r>
      <w:r w:rsidRPr="296C0D8F">
        <w:t xml:space="preserve"> </w:t>
      </w:r>
      <w:r w:rsidR="4262576B" w:rsidRPr="296C0D8F">
        <w:t>would</w:t>
      </w:r>
      <w:r w:rsidRPr="41EDCA07">
        <w:t xml:space="preserve"> obscure the importance of each individual indicator and also require difficult and subjective judgements around how each indicator should be weighted relative to the others. Multiple indicators have been proposed in order to provide a balanced view of ITE </w:t>
      </w:r>
      <w:r w:rsidR="00D269FA">
        <w:t>program</w:t>
      </w:r>
      <w:r w:rsidR="00D269FA" w:rsidRPr="41EDCA07">
        <w:t xml:space="preserve"> </w:t>
      </w:r>
      <w:r w:rsidRPr="41EDCA07">
        <w:t xml:space="preserve">quality. </w:t>
      </w:r>
    </w:p>
    <w:p w14:paraId="3126E059" w14:textId="10FB7CC0" w:rsidR="00D21B00" w:rsidRPr="00D42082" w:rsidRDefault="00136E80" w:rsidP="00970F97">
      <w:pPr>
        <w:spacing w:after="120"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The Panel has taken care to ensure these performance measures minimise perverse incentives. For example, in isolation, the Retention category could incentivise providers to retain students who may not be suitable for teaching. However, by </w:t>
      </w:r>
      <w:r w:rsidR="00305B9A">
        <w:rPr>
          <w:rFonts w:ascii="Calibri" w:eastAsia="Times New Roman" w:hAnsi="Calibri" w:cs="Calibri"/>
          <w:lang w:eastAsia="en-AU"/>
        </w:rPr>
        <w:t>assessin</w:t>
      </w:r>
      <w:r w:rsidR="000957D1">
        <w:rPr>
          <w:rFonts w:ascii="Calibri" w:eastAsia="Times New Roman" w:hAnsi="Calibri" w:cs="Calibri"/>
          <w:lang w:eastAsia="en-AU"/>
        </w:rPr>
        <w:t xml:space="preserve">g performance across these categories together, </w:t>
      </w:r>
      <w:r>
        <w:rPr>
          <w:rFonts w:ascii="Calibri" w:eastAsia="Times New Roman" w:hAnsi="Calibri" w:cs="Calibri"/>
          <w:lang w:eastAsia="en-AU"/>
        </w:rPr>
        <w:t xml:space="preserve">increasing </w:t>
      </w:r>
      <w:r w:rsidR="000957D1">
        <w:rPr>
          <w:rFonts w:ascii="Calibri" w:eastAsia="Times New Roman" w:hAnsi="Calibri" w:cs="Calibri"/>
          <w:lang w:eastAsia="en-AU"/>
        </w:rPr>
        <w:t>r</w:t>
      </w:r>
      <w:r>
        <w:rPr>
          <w:rFonts w:ascii="Calibri" w:eastAsia="Times New Roman" w:hAnsi="Calibri" w:cs="Calibri"/>
          <w:lang w:eastAsia="en-AU"/>
        </w:rPr>
        <w:t xml:space="preserve">etention </w:t>
      </w:r>
      <w:r w:rsidR="00ED264B">
        <w:rPr>
          <w:rFonts w:ascii="Calibri" w:eastAsia="Times New Roman" w:hAnsi="Calibri" w:cs="Calibri"/>
          <w:lang w:eastAsia="en-AU"/>
        </w:rPr>
        <w:t xml:space="preserve">of those not suitable for teaching </w:t>
      </w:r>
      <w:r>
        <w:rPr>
          <w:rFonts w:ascii="Calibri" w:eastAsia="Times New Roman" w:hAnsi="Calibri" w:cs="Calibri"/>
          <w:lang w:eastAsia="en-AU"/>
        </w:rPr>
        <w:t xml:space="preserve">would likely reduce provider’s performance </w:t>
      </w:r>
      <w:r w:rsidR="00D04A19">
        <w:rPr>
          <w:rFonts w:ascii="Calibri" w:eastAsia="Times New Roman" w:hAnsi="Calibri" w:cs="Calibri"/>
          <w:lang w:eastAsia="en-AU"/>
        </w:rPr>
        <w:t>i</w:t>
      </w:r>
      <w:r>
        <w:rPr>
          <w:rFonts w:ascii="Calibri" w:eastAsia="Times New Roman" w:hAnsi="Calibri" w:cs="Calibri"/>
          <w:lang w:eastAsia="en-AU"/>
        </w:rPr>
        <w:t xml:space="preserve">n the Classroom Readiness and Transition categories. </w:t>
      </w:r>
      <w:r w:rsidR="00940C8A">
        <w:t>As</w:t>
      </w:r>
      <w:r>
        <w:t xml:space="preserve"> the categories complement each other </w:t>
      </w:r>
      <w:r w:rsidR="00940C8A">
        <w:t>and reflect</w:t>
      </w:r>
      <w:r w:rsidR="00940C8A" w:rsidRPr="22FDCC47">
        <w:t xml:space="preserve"> a holistic assessment of </w:t>
      </w:r>
      <w:r w:rsidR="00940C8A">
        <w:t xml:space="preserve">quality, </w:t>
      </w:r>
      <w:r w:rsidR="00940C8A">
        <w:rPr>
          <w:rFonts w:ascii="Calibri" w:eastAsia="Times New Roman" w:hAnsi="Calibri" w:cs="Calibri"/>
          <w:lang w:eastAsia="en-AU"/>
        </w:rPr>
        <w:t>the performance measures should</w:t>
      </w:r>
      <w:r>
        <w:rPr>
          <w:rFonts w:ascii="Calibri" w:eastAsia="Times New Roman" w:hAnsi="Calibri" w:cs="Calibri"/>
          <w:lang w:eastAsia="en-AU"/>
        </w:rPr>
        <w:t xml:space="preserve"> encourage </w:t>
      </w:r>
      <w:r w:rsidR="00691A67">
        <w:rPr>
          <w:rFonts w:ascii="Calibri" w:eastAsia="Times New Roman" w:hAnsi="Calibri" w:cs="Calibri"/>
          <w:lang w:eastAsia="en-AU"/>
        </w:rPr>
        <w:t xml:space="preserve">higher education </w:t>
      </w:r>
      <w:r w:rsidR="00385D77">
        <w:rPr>
          <w:rFonts w:ascii="Calibri" w:eastAsia="Times New Roman" w:hAnsi="Calibri" w:cs="Calibri"/>
          <w:lang w:eastAsia="en-AU"/>
        </w:rPr>
        <w:t xml:space="preserve">providers </w:t>
      </w:r>
      <w:r w:rsidR="00F71F83">
        <w:rPr>
          <w:rFonts w:ascii="Calibri" w:eastAsia="Times New Roman" w:hAnsi="Calibri" w:cs="Calibri"/>
          <w:lang w:eastAsia="en-AU"/>
        </w:rPr>
        <w:t xml:space="preserve">to </w:t>
      </w:r>
      <w:r w:rsidR="00F6633F">
        <w:rPr>
          <w:rFonts w:ascii="Calibri" w:eastAsia="Times New Roman" w:hAnsi="Calibri" w:cs="Calibri"/>
          <w:lang w:eastAsia="en-AU"/>
        </w:rPr>
        <w:t>focus on improving the quality of their programs</w:t>
      </w:r>
      <w:r>
        <w:rPr>
          <w:rFonts w:ascii="Calibri" w:eastAsia="Times New Roman" w:hAnsi="Calibri" w:cs="Calibri"/>
          <w:lang w:eastAsia="en-AU"/>
        </w:rPr>
        <w:t xml:space="preserve">. </w:t>
      </w:r>
    </w:p>
    <w:p w14:paraId="342CC256" w14:textId="489824DB" w:rsidR="005956B3" w:rsidRPr="00CA0245" w:rsidRDefault="00EE3E10" w:rsidP="00E345C7">
      <w:pPr>
        <w:pStyle w:val="Heading4"/>
        <w:spacing w:before="0" w:line="240" w:lineRule="auto"/>
        <w:rPr>
          <w:rFonts w:ascii="Calibri" w:eastAsia="Times New Roman" w:hAnsi="Calibri" w:cs="Calibri"/>
          <w:b w:val="0"/>
          <w:color w:val="002C3E" w:themeColor="background2"/>
          <w:szCs w:val="28"/>
          <w:lang w:eastAsia="en-AU"/>
        </w:rPr>
      </w:pPr>
      <w:r w:rsidRPr="009A24BB">
        <w:rPr>
          <w:rFonts w:asciiTheme="minorHAnsi" w:eastAsia="Times New Roman" w:hAnsiTheme="minorHAnsi" w:cstheme="minorHAnsi"/>
          <w:color w:val="002C3E" w:themeColor="background2"/>
          <w:szCs w:val="28"/>
          <w:lang w:eastAsia="en-AU"/>
        </w:rPr>
        <w:t xml:space="preserve">2.2.1 </w:t>
      </w:r>
      <w:r w:rsidR="005956B3" w:rsidRPr="00CA0245">
        <w:rPr>
          <w:rFonts w:ascii="Calibri" w:eastAsia="Times New Roman" w:hAnsi="Calibri" w:cs="Calibri"/>
          <w:color w:val="002C3E" w:themeColor="background2"/>
          <w:szCs w:val="28"/>
          <w:lang w:eastAsia="en-AU"/>
        </w:rPr>
        <w:t>Category 1: Selection</w:t>
      </w:r>
      <w:bookmarkEnd w:id="42"/>
    </w:p>
    <w:p w14:paraId="7874ED47" w14:textId="17C83CE9" w:rsidR="00C23CD6" w:rsidRDefault="005956B3" w:rsidP="0D4FAAE9">
      <w:pPr>
        <w:spacing w:after="120" w:line="240" w:lineRule="auto"/>
      </w:pPr>
      <w:r w:rsidRPr="0D4FAAE9">
        <w:t xml:space="preserve">Selection refers to the basis of admission for selecting who is given entry to teacher education. This category measures the participation of diverse </w:t>
      </w:r>
      <w:r w:rsidR="00A55A7A">
        <w:t xml:space="preserve">high achieving </w:t>
      </w:r>
      <w:r w:rsidRPr="0D4FAAE9">
        <w:t xml:space="preserve">cohorts </w:t>
      </w:r>
      <w:r w:rsidR="00A55A7A">
        <w:t>in areas of workforce need</w:t>
      </w:r>
      <w:r w:rsidRPr="0D4FAAE9">
        <w:t>. Both in Australia and internationally, a key focus of selection has been to increase participation of students from diverse backgrounds that have been historically disadvantaged and underrepresented in ITE and higher education more broadly. For example, the importance of ensuring equity of participation in selection is outlined in the Australian Higher Education Standards Framework (‘HES Framework’ 2021), which stipulates that higher education providers are required to give “specific consideration… to the recruitment and admission” of recognised equity cohorts (HES Framework 2021</w:t>
      </w:r>
      <w:r w:rsidR="00524DAC">
        <w:t>,</w:t>
      </w:r>
      <w:r w:rsidRPr="0D4FAAE9">
        <w:t xml:space="preserve"> Part A</w:t>
      </w:r>
      <w:r w:rsidR="002A47AF">
        <w:t>,</w:t>
      </w:r>
      <w:r w:rsidRPr="0D4FAAE9">
        <w:t xml:space="preserve"> S.2.2).</w:t>
      </w:r>
      <w:r w:rsidR="00653510" w:rsidRPr="0D4FAAE9">
        <w:t xml:space="preserve"> </w:t>
      </w:r>
    </w:p>
    <w:p w14:paraId="34281DE8" w14:textId="7007BCB5" w:rsidR="005956B3" w:rsidRDefault="00653510" w:rsidP="00970F97">
      <w:pPr>
        <w:spacing w:after="120" w:line="240" w:lineRule="auto"/>
      </w:pPr>
      <w:r w:rsidRPr="22FDCC47">
        <w:t xml:space="preserve">The selection of high-quality candidates is also an important component of </w:t>
      </w:r>
      <w:r w:rsidR="00412F7D" w:rsidRPr="22FDCC47">
        <w:t>ITE</w:t>
      </w:r>
      <w:r w:rsidR="00BE721E" w:rsidRPr="22FDCC47">
        <w:t xml:space="preserve">, where </w:t>
      </w:r>
      <w:r w:rsidRPr="22FDCC47">
        <w:t>high-performing education systems screen ITE students against criteria they believe will make the best teachers, including academic capability, literacy and numeracy skills, and personal characteristics (TEMAG 2014).</w:t>
      </w:r>
      <w:r w:rsidR="009C2164">
        <w:t xml:space="preserve"> </w:t>
      </w:r>
      <w:r w:rsidR="00396EB9">
        <w:t xml:space="preserve">ITE </w:t>
      </w:r>
      <w:r w:rsidR="00F128C4">
        <w:t xml:space="preserve">also </w:t>
      </w:r>
      <w:r w:rsidR="00396EB9">
        <w:t>plays a critical role in supplying teachers across geographical locations and subject specialisation</w:t>
      </w:r>
      <w:r w:rsidR="00C91E22">
        <w:t>s</w:t>
      </w:r>
      <w:r w:rsidR="00396EB9">
        <w:t>.</w:t>
      </w:r>
    </w:p>
    <w:p w14:paraId="7C4A24E4" w14:textId="5BBF51CA" w:rsidR="00E9792E" w:rsidRPr="009A24BB" w:rsidRDefault="3B585CF0" w:rsidP="00E9792E">
      <w:pPr>
        <w:spacing w:after="0" w:line="240" w:lineRule="auto"/>
        <w:textAlignment w:val="baseline"/>
        <w:rPr>
          <w:rFonts w:ascii="Calibri" w:eastAsia="Times New Roman" w:hAnsi="Calibri" w:cs="Calibri"/>
          <w:b/>
          <w:color w:val="000000" w:themeColor="text1"/>
          <w:sz w:val="26"/>
          <w:szCs w:val="26"/>
          <w:lang w:eastAsia="en-AU"/>
        </w:rPr>
      </w:pPr>
      <w:r w:rsidRPr="009A24BB">
        <w:rPr>
          <w:rFonts w:ascii="Calibri" w:eastAsia="Times New Roman" w:hAnsi="Calibri" w:cs="Calibri"/>
          <w:b/>
          <w:bCs/>
          <w:color w:val="000000" w:themeColor="text1"/>
          <w:sz w:val="26"/>
          <w:szCs w:val="26"/>
          <w:lang w:eastAsia="en-AU"/>
        </w:rPr>
        <w:t>I</w:t>
      </w:r>
      <w:r w:rsidR="232732D1" w:rsidRPr="009A24BB">
        <w:rPr>
          <w:rFonts w:ascii="Calibri" w:eastAsia="Times New Roman" w:hAnsi="Calibri" w:cs="Calibri"/>
          <w:b/>
          <w:bCs/>
          <w:color w:val="000000" w:themeColor="text1"/>
          <w:sz w:val="26"/>
          <w:szCs w:val="26"/>
          <w:lang w:eastAsia="en-AU"/>
        </w:rPr>
        <w:t>ndicators</w:t>
      </w:r>
    </w:p>
    <w:p w14:paraId="43763ECE" w14:textId="08BBE1EB" w:rsidR="00E9792E" w:rsidRPr="0011718D" w:rsidRDefault="00E9792E" w:rsidP="00E9792E">
      <w:pPr>
        <w:spacing w:after="0" w:line="240" w:lineRule="auto"/>
      </w:pPr>
      <w:r w:rsidRPr="22FDCC47">
        <w:t>The proposed indicators for this category are:</w:t>
      </w:r>
    </w:p>
    <w:p w14:paraId="0226DAA4" w14:textId="4F6B1974" w:rsidR="00467759" w:rsidRPr="00467759" w:rsidRDefault="00467759" w:rsidP="007D6F33">
      <w:pPr>
        <w:pStyle w:val="NormalTextBulleted"/>
        <w:numPr>
          <w:ilvl w:val="0"/>
          <w:numId w:val="24"/>
        </w:numPr>
        <w:rPr>
          <w:rFonts w:asciiTheme="minorHAnsi" w:eastAsiaTheme="minorHAnsi" w:hAnsiTheme="minorHAnsi" w:cstheme="minorHAnsi"/>
          <w:sz w:val="22"/>
        </w:rPr>
      </w:pPr>
      <w:r w:rsidRPr="00467759">
        <w:rPr>
          <w:rFonts w:asciiTheme="minorHAnsi" w:eastAsiaTheme="minorHAnsi" w:hAnsiTheme="minorHAnsi" w:cstheme="minorHAnsi"/>
          <w:sz w:val="22"/>
        </w:rPr>
        <w:t xml:space="preserve">Participation of First Nations Students: The proportion of First Nations students enrolled in </w:t>
      </w:r>
      <w:r w:rsidR="00E21895">
        <w:rPr>
          <w:rFonts w:asciiTheme="minorHAnsi" w:eastAsiaTheme="minorHAnsi" w:hAnsiTheme="minorHAnsi" w:cstheme="minorHAnsi"/>
          <w:sz w:val="22"/>
        </w:rPr>
        <w:t>ITE</w:t>
      </w:r>
      <w:r w:rsidR="006A0B48">
        <w:rPr>
          <w:rFonts w:asciiTheme="minorHAnsi" w:eastAsiaTheme="minorHAnsi" w:hAnsiTheme="minorHAnsi" w:cstheme="minorHAnsi"/>
          <w:sz w:val="22"/>
        </w:rPr>
        <w:t>.</w:t>
      </w:r>
    </w:p>
    <w:p w14:paraId="279E8040" w14:textId="2ABDD397" w:rsidR="00467759" w:rsidRPr="00467759" w:rsidRDefault="00467759" w:rsidP="007D6F33">
      <w:pPr>
        <w:pStyle w:val="NormalTextBulleted"/>
        <w:numPr>
          <w:ilvl w:val="0"/>
          <w:numId w:val="24"/>
        </w:numPr>
        <w:rPr>
          <w:rFonts w:asciiTheme="minorHAnsi" w:eastAsiaTheme="minorHAnsi" w:hAnsiTheme="minorHAnsi" w:cstheme="minorHAnsi"/>
          <w:sz w:val="22"/>
        </w:rPr>
      </w:pPr>
      <w:r w:rsidRPr="00467759">
        <w:rPr>
          <w:rFonts w:asciiTheme="minorHAnsi" w:eastAsiaTheme="minorHAnsi" w:hAnsiTheme="minorHAnsi" w:cstheme="minorHAnsi"/>
          <w:sz w:val="22"/>
        </w:rPr>
        <w:t>Participation of regional and remote students: The proportion of regional and remote students</w:t>
      </w:r>
      <w:r w:rsidR="000B2B03">
        <w:rPr>
          <w:rFonts w:asciiTheme="minorHAnsi" w:eastAsiaTheme="minorHAnsi" w:hAnsiTheme="minorHAnsi" w:cstheme="minorHAnsi"/>
          <w:sz w:val="22"/>
        </w:rPr>
        <w:t xml:space="preserve"> in ITE</w:t>
      </w:r>
      <w:r w:rsidR="006A0B48">
        <w:rPr>
          <w:rFonts w:asciiTheme="minorHAnsi" w:eastAsiaTheme="minorHAnsi" w:hAnsiTheme="minorHAnsi" w:cstheme="minorHAnsi"/>
          <w:sz w:val="22"/>
        </w:rPr>
        <w:t>.</w:t>
      </w:r>
      <w:r w:rsidRPr="00467759">
        <w:rPr>
          <w:rFonts w:asciiTheme="minorHAnsi" w:eastAsiaTheme="minorHAnsi" w:hAnsiTheme="minorHAnsi" w:cstheme="minorHAnsi"/>
          <w:sz w:val="22"/>
        </w:rPr>
        <w:t xml:space="preserve"> </w:t>
      </w:r>
    </w:p>
    <w:p w14:paraId="06AAD359" w14:textId="6A8FD3D0" w:rsidR="00467759" w:rsidRPr="00467759" w:rsidRDefault="00467759" w:rsidP="007D6F33">
      <w:pPr>
        <w:pStyle w:val="NormalTextBulleted"/>
        <w:numPr>
          <w:ilvl w:val="0"/>
          <w:numId w:val="24"/>
        </w:numPr>
        <w:rPr>
          <w:rFonts w:asciiTheme="minorHAnsi" w:eastAsiaTheme="minorHAnsi" w:hAnsiTheme="minorHAnsi" w:cstheme="minorHAnsi"/>
          <w:sz w:val="22"/>
        </w:rPr>
      </w:pPr>
      <w:r w:rsidRPr="00467759">
        <w:rPr>
          <w:rFonts w:asciiTheme="minorHAnsi" w:eastAsiaTheme="minorHAnsi" w:hAnsiTheme="minorHAnsi" w:cstheme="minorHAnsi"/>
          <w:sz w:val="22"/>
        </w:rPr>
        <w:t>Participation of low socio-economic status students: The proportion of low socio-economic status students</w:t>
      </w:r>
      <w:r w:rsidR="000B2B03">
        <w:rPr>
          <w:rFonts w:asciiTheme="minorHAnsi" w:eastAsiaTheme="minorHAnsi" w:hAnsiTheme="minorHAnsi" w:cstheme="minorHAnsi"/>
          <w:sz w:val="22"/>
        </w:rPr>
        <w:t xml:space="preserve"> in ITE</w:t>
      </w:r>
      <w:r w:rsidR="006A0B48">
        <w:rPr>
          <w:rFonts w:asciiTheme="minorHAnsi" w:eastAsiaTheme="minorHAnsi" w:hAnsiTheme="minorHAnsi" w:cstheme="minorHAnsi"/>
          <w:sz w:val="22"/>
        </w:rPr>
        <w:t>.</w:t>
      </w:r>
    </w:p>
    <w:p w14:paraId="07EF98FB" w14:textId="4A403DD2" w:rsidR="006C40AE" w:rsidRDefault="00FD5CEB" w:rsidP="007D6F33">
      <w:pPr>
        <w:pStyle w:val="NormalTextBulleted"/>
        <w:numPr>
          <w:ilvl w:val="0"/>
          <w:numId w:val="24"/>
        </w:numPr>
        <w:spacing w:after="120" w:line="240" w:lineRule="auto"/>
        <w:ind w:left="714" w:hanging="357"/>
        <w:rPr>
          <w:rFonts w:asciiTheme="minorHAnsi" w:eastAsiaTheme="minorEastAsia" w:hAnsiTheme="minorHAnsi" w:cstheme="minorBidi"/>
          <w:sz w:val="22"/>
        </w:rPr>
      </w:pPr>
      <w:r w:rsidRPr="0D4FAAE9">
        <w:rPr>
          <w:rFonts w:asciiTheme="minorHAnsi" w:eastAsiaTheme="minorEastAsia" w:hAnsiTheme="minorHAnsi" w:cstheme="minorBidi"/>
          <w:sz w:val="22"/>
        </w:rPr>
        <w:t xml:space="preserve">Participation </w:t>
      </w:r>
      <w:r w:rsidR="0065415C" w:rsidRPr="0D4FAAE9">
        <w:rPr>
          <w:rFonts w:asciiTheme="minorHAnsi" w:eastAsiaTheme="minorEastAsia" w:hAnsiTheme="minorHAnsi" w:cstheme="minorBidi"/>
          <w:sz w:val="22"/>
        </w:rPr>
        <w:t>o</w:t>
      </w:r>
      <w:r w:rsidRPr="0D4FAAE9">
        <w:rPr>
          <w:rFonts w:asciiTheme="minorHAnsi" w:eastAsiaTheme="minorEastAsia" w:hAnsiTheme="minorHAnsi" w:cstheme="minorBidi"/>
          <w:sz w:val="22"/>
        </w:rPr>
        <w:t xml:space="preserve">f high </w:t>
      </w:r>
      <w:r w:rsidR="00B557FF" w:rsidRPr="0D4FAAE9">
        <w:rPr>
          <w:rFonts w:asciiTheme="minorHAnsi" w:eastAsiaTheme="minorEastAsia" w:hAnsiTheme="minorHAnsi" w:cstheme="minorBidi"/>
          <w:sz w:val="22"/>
        </w:rPr>
        <w:t xml:space="preserve">achieving students: The proportion of </w:t>
      </w:r>
      <w:r w:rsidR="00894FBC">
        <w:rPr>
          <w:rFonts w:asciiTheme="minorHAnsi" w:eastAsiaTheme="minorEastAsia" w:hAnsiTheme="minorHAnsi" w:cstheme="minorBidi"/>
          <w:sz w:val="22"/>
        </w:rPr>
        <w:t xml:space="preserve">school leavers </w:t>
      </w:r>
      <w:r w:rsidR="002D2C68">
        <w:rPr>
          <w:rFonts w:asciiTheme="minorHAnsi" w:eastAsiaTheme="minorEastAsia" w:hAnsiTheme="minorHAnsi" w:cstheme="minorBidi"/>
          <w:sz w:val="22"/>
        </w:rPr>
        <w:t xml:space="preserve">with </w:t>
      </w:r>
      <w:r w:rsidR="00B557FF" w:rsidRPr="0D4FAAE9">
        <w:rPr>
          <w:rFonts w:asciiTheme="minorHAnsi" w:eastAsiaTheme="minorEastAsia" w:hAnsiTheme="minorHAnsi" w:cstheme="minorBidi"/>
          <w:sz w:val="22"/>
        </w:rPr>
        <w:t>an Australian Tertiary Admission Rank (ATAR) above</w:t>
      </w:r>
      <w:r w:rsidR="00CE0032" w:rsidRPr="0D4FAAE9">
        <w:rPr>
          <w:rFonts w:asciiTheme="minorHAnsi" w:eastAsiaTheme="minorEastAsia" w:hAnsiTheme="minorHAnsi" w:cstheme="minorBidi"/>
          <w:sz w:val="22"/>
        </w:rPr>
        <w:t xml:space="preserve"> </w:t>
      </w:r>
      <w:r w:rsidR="002D2C68">
        <w:rPr>
          <w:rFonts w:asciiTheme="minorHAnsi" w:eastAsiaTheme="minorEastAsia" w:hAnsiTheme="minorHAnsi" w:cstheme="minorBidi"/>
          <w:sz w:val="22"/>
        </w:rPr>
        <w:t>80</w:t>
      </w:r>
      <w:r w:rsidR="000B2B03">
        <w:rPr>
          <w:rFonts w:asciiTheme="minorHAnsi" w:eastAsiaTheme="minorEastAsia" w:hAnsiTheme="minorHAnsi" w:cstheme="minorBidi"/>
          <w:sz w:val="22"/>
        </w:rPr>
        <w:t xml:space="preserve"> in ITE</w:t>
      </w:r>
      <w:r w:rsidR="006A0B48">
        <w:rPr>
          <w:rFonts w:asciiTheme="minorHAnsi" w:eastAsiaTheme="minorEastAsia" w:hAnsiTheme="minorHAnsi" w:cstheme="minorBidi"/>
          <w:sz w:val="22"/>
        </w:rPr>
        <w:t>.</w:t>
      </w:r>
    </w:p>
    <w:p w14:paraId="6CD38C05" w14:textId="15AA886B" w:rsidR="009C4E0A" w:rsidRPr="00B557FF" w:rsidRDefault="00BF74C1" w:rsidP="007D6F33">
      <w:pPr>
        <w:pStyle w:val="NormalTextBulleted"/>
        <w:numPr>
          <w:ilvl w:val="0"/>
          <w:numId w:val="24"/>
        </w:numPr>
        <w:spacing w:after="120" w:line="240" w:lineRule="auto"/>
        <w:ind w:left="714" w:hanging="357"/>
        <w:rPr>
          <w:rFonts w:asciiTheme="minorHAnsi" w:eastAsiaTheme="minorEastAsia" w:hAnsiTheme="minorHAnsi" w:cstheme="minorBidi"/>
          <w:sz w:val="22"/>
        </w:rPr>
      </w:pPr>
      <w:r>
        <w:rPr>
          <w:rFonts w:asciiTheme="minorHAnsi" w:eastAsiaTheme="minorEastAsia" w:hAnsiTheme="minorHAnsi" w:cstheme="minorBidi"/>
          <w:sz w:val="22"/>
        </w:rPr>
        <w:t xml:space="preserve">Participation of STEM students: </w:t>
      </w:r>
      <w:r w:rsidR="008302E2">
        <w:rPr>
          <w:rFonts w:asciiTheme="minorHAnsi" w:eastAsiaTheme="minorEastAsia" w:hAnsiTheme="minorHAnsi" w:cstheme="minorBidi"/>
          <w:sz w:val="22"/>
        </w:rPr>
        <w:t xml:space="preserve">The proportion of </w:t>
      </w:r>
      <w:r w:rsidR="00DC291C">
        <w:rPr>
          <w:rFonts w:asciiTheme="minorHAnsi" w:eastAsiaTheme="minorEastAsia" w:hAnsiTheme="minorHAnsi" w:cstheme="minorBidi"/>
          <w:sz w:val="22"/>
        </w:rPr>
        <w:t>secondar</w:t>
      </w:r>
      <w:r w:rsidR="00FF6CC1">
        <w:rPr>
          <w:rFonts w:asciiTheme="minorHAnsi" w:eastAsiaTheme="minorEastAsia" w:hAnsiTheme="minorHAnsi" w:cstheme="minorBidi"/>
          <w:sz w:val="22"/>
        </w:rPr>
        <w:t>y</w:t>
      </w:r>
      <w:r w:rsidR="00DC291C">
        <w:rPr>
          <w:rFonts w:asciiTheme="minorHAnsi" w:eastAsiaTheme="minorEastAsia" w:hAnsiTheme="minorHAnsi" w:cstheme="minorBidi"/>
          <w:sz w:val="22"/>
        </w:rPr>
        <w:t xml:space="preserve"> </w:t>
      </w:r>
      <w:r w:rsidR="00553BCB">
        <w:rPr>
          <w:rFonts w:asciiTheme="minorHAnsi" w:eastAsiaTheme="minorEastAsia" w:hAnsiTheme="minorHAnsi" w:cstheme="minorBidi"/>
          <w:sz w:val="22"/>
        </w:rPr>
        <w:t>STEM</w:t>
      </w:r>
      <w:r w:rsidR="00FF6CC1">
        <w:rPr>
          <w:rFonts w:asciiTheme="minorHAnsi" w:eastAsiaTheme="minorEastAsia" w:hAnsiTheme="minorHAnsi" w:cstheme="minorBidi"/>
          <w:sz w:val="22"/>
        </w:rPr>
        <w:t xml:space="preserve"> students</w:t>
      </w:r>
      <w:r w:rsidR="00F83896">
        <w:rPr>
          <w:rFonts w:asciiTheme="minorHAnsi" w:eastAsiaTheme="minorEastAsia" w:hAnsiTheme="minorHAnsi" w:cstheme="minorBidi"/>
          <w:sz w:val="22"/>
        </w:rPr>
        <w:t xml:space="preserve"> </w:t>
      </w:r>
      <w:r w:rsidR="000B2B03">
        <w:rPr>
          <w:rFonts w:asciiTheme="minorHAnsi" w:eastAsiaTheme="minorEastAsia" w:hAnsiTheme="minorHAnsi" w:cstheme="minorBidi"/>
          <w:sz w:val="22"/>
        </w:rPr>
        <w:t>in ITE</w:t>
      </w:r>
      <w:r w:rsidR="006A0B48">
        <w:rPr>
          <w:rFonts w:asciiTheme="minorHAnsi" w:eastAsiaTheme="minorEastAsia" w:hAnsiTheme="minorHAnsi" w:cstheme="minorBidi"/>
          <w:sz w:val="22"/>
        </w:rPr>
        <w:t>.</w:t>
      </w:r>
    </w:p>
    <w:p w14:paraId="760345AA" w14:textId="597BBF3C" w:rsidR="0058172F" w:rsidRDefault="0058172F" w:rsidP="0D4FAAE9">
      <w:pPr>
        <w:spacing w:after="120" w:line="240" w:lineRule="auto"/>
      </w:pPr>
      <w:r w:rsidRPr="0D4FAAE9">
        <w:t>The</w:t>
      </w:r>
      <w:r w:rsidR="00480248" w:rsidRPr="0D4FAAE9">
        <w:t xml:space="preserve"> first three</w:t>
      </w:r>
      <w:r w:rsidRPr="0D4FAAE9">
        <w:t xml:space="preserve"> indicators measure the extent to which higher education providers are enrolling diverse cohorts. This aligns with the focus of selection criteria and strategies in Australia and other countries to improve equity of participation for these cohorts. </w:t>
      </w:r>
    </w:p>
    <w:p w14:paraId="2D62B50C" w14:textId="14383CE0" w:rsidR="0058172F" w:rsidRDefault="00480248" w:rsidP="00904423">
      <w:pPr>
        <w:spacing w:after="120" w:line="240" w:lineRule="auto"/>
      </w:pPr>
      <w:r w:rsidRPr="6DD891D5">
        <w:t xml:space="preserve">The </w:t>
      </w:r>
      <w:r w:rsidR="00CF4086" w:rsidRPr="6DD891D5">
        <w:t>fourth</w:t>
      </w:r>
      <w:r w:rsidRPr="6DD891D5">
        <w:t xml:space="preserve"> indicator </w:t>
      </w:r>
      <w:r w:rsidR="009C3ECC" w:rsidRPr="6DD891D5">
        <w:t xml:space="preserve">recognises </w:t>
      </w:r>
      <w:r w:rsidR="00BE721E" w:rsidRPr="6DD891D5">
        <w:t xml:space="preserve">the </w:t>
      </w:r>
      <w:r w:rsidR="009C3ECC" w:rsidRPr="6DD891D5">
        <w:t>importan</w:t>
      </w:r>
      <w:r w:rsidR="00BE721E" w:rsidRPr="6DD891D5">
        <w:t xml:space="preserve">ce of </w:t>
      </w:r>
      <w:r w:rsidR="003D6372" w:rsidRPr="6DD891D5">
        <w:t>attracting high</w:t>
      </w:r>
      <w:r w:rsidR="009777C6">
        <w:t>-</w:t>
      </w:r>
      <w:r w:rsidR="003D6372" w:rsidRPr="6DD891D5">
        <w:t xml:space="preserve">quality candidates. </w:t>
      </w:r>
      <w:r w:rsidR="00F969C1" w:rsidRPr="6DD891D5">
        <w:t xml:space="preserve">While there is no universal measure available </w:t>
      </w:r>
      <w:r w:rsidR="00C85C40" w:rsidRPr="6DD891D5">
        <w:t>for</w:t>
      </w:r>
      <w:r w:rsidR="00F969C1" w:rsidRPr="6DD891D5">
        <w:t xml:space="preserve"> all ITE students to measure </w:t>
      </w:r>
      <w:r w:rsidR="00B26F06">
        <w:t xml:space="preserve">the </w:t>
      </w:r>
      <w:r w:rsidR="00F969C1" w:rsidRPr="6DD891D5">
        <w:t xml:space="preserve">selection of high-quality candidates into ITE, </w:t>
      </w:r>
      <w:r w:rsidR="00AC372D" w:rsidRPr="6DD891D5">
        <w:t xml:space="preserve">ATAR </w:t>
      </w:r>
      <w:r w:rsidR="000B11FC" w:rsidRPr="6DD891D5">
        <w:t>can be a good proxy for the quality of ITE candidates where it is used as the basis of admission</w:t>
      </w:r>
      <w:r w:rsidR="00F95838" w:rsidRPr="6DD891D5">
        <w:t xml:space="preserve">. For example, </w:t>
      </w:r>
      <w:r w:rsidR="001975FB" w:rsidRPr="6DD891D5">
        <w:t>the QITE Review noted that high-performing school leavers are usually considered to be those with an ATAR above 80 (Department of Education, Skills, and Employment 2022).</w:t>
      </w:r>
      <w:r w:rsidR="00F95838" w:rsidRPr="6DD891D5">
        <w:t xml:space="preserve"> </w:t>
      </w:r>
      <w:r w:rsidR="002523AC" w:rsidRPr="6DD891D5">
        <w:t>The selection of high</w:t>
      </w:r>
      <w:r w:rsidR="009777C6">
        <w:t>-</w:t>
      </w:r>
      <w:r w:rsidR="002523AC" w:rsidRPr="6DD891D5">
        <w:t xml:space="preserve">quality candidates will also be </w:t>
      </w:r>
      <w:r w:rsidR="007306BF" w:rsidRPr="6DD891D5">
        <w:t>partially assessed</w:t>
      </w:r>
      <w:r w:rsidR="002523AC" w:rsidRPr="6DD891D5">
        <w:t xml:space="preserve"> by the other</w:t>
      </w:r>
      <w:r w:rsidR="00563B77" w:rsidRPr="6DD891D5">
        <w:t xml:space="preserve"> </w:t>
      </w:r>
      <w:r w:rsidR="002523AC" w:rsidRPr="6DD891D5">
        <w:t>categories</w:t>
      </w:r>
      <w:r w:rsidR="00087373" w:rsidRPr="6DD891D5">
        <w:t xml:space="preserve">, where improved selection will flow through into improved </w:t>
      </w:r>
      <w:r w:rsidR="008455DC" w:rsidRPr="6DD891D5">
        <w:t>retention, classroom readiness and transition into the workforce</w:t>
      </w:r>
      <w:r w:rsidR="002523AC" w:rsidRPr="6DD891D5">
        <w:t>. The</w:t>
      </w:r>
      <w:r w:rsidR="00BA506B" w:rsidRPr="6DD891D5">
        <w:t xml:space="preserve"> QITE Review reported a strong positive relationship </w:t>
      </w:r>
      <w:r w:rsidR="00BA506B" w:rsidRPr="6DD891D5">
        <w:lastRenderedPageBreak/>
        <w:t xml:space="preserve">between a student’s ATAR score and retention in ITE. Similarly, </w:t>
      </w:r>
      <w:r w:rsidR="002523AC" w:rsidRPr="6DD891D5">
        <w:t xml:space="preserve">analysis </w:t>
      </w:r>
      <w:r w:rsidR="00CC40C0" w:rsidRPr="6DD891D5">
        <w:t>of the Graduate Outcomes Survey (2019 to 2021)</w:t>
      </w:r>
      <w:r w:rsidR="002523AC" w:rsidRPr="6DD891D5">
        <w:t xml:space="preserve"> </w:t>
      </w:r>
      <w:r w:rsidR="00CC40C0">
        <w:t xml:space="preserve">by </w:t>
      </w:r>
      <w:r w:rsidR="002523AC" w:rsidRPr="6DD891D5">
        <w:t xml:space="preserve">the </w:t>
      </w:r>
      <w:r w:rsidR="00EC59CB">
        <w:t xml:space="preserve">Australian Government </w:t>
      </w:r>
      <w:r w:rsidR="002523AC" w:rsidRPr="6DD891D5">
        <w:t>Department of Education show</w:t>
      </w:r>
      <w:r w:rsidR="00C23CD6" w:rsidRPr="6DD891D5">
        <w:t>s</w:t>
      </w:r>
      <w:r w:rsidR="00BA506B" w:rsidRPr="6DD891D5">
        <w:t xml:space="preserve"> ITE students with a higher ATAR score are more likely to be employed as a teacher after graduation.</w:t>
      </w:r>
      <w:r w:rsidR="00262D1B" w:rsidRPr="6DD891D5">
        <w:t xml:space="preserve"> </w:t>
      </w:r>
      <w:r w:rsidR="007B70C3">
        <w:t xml:space="preserve">This indicator could be published alongside the basis </w:t>
      </w:r>
      <w:r w:rsidR="00595072">
        <w:t xml:space="preserve">of admission for an ITE program to show the </w:t>
      </w:r>
      <w:r w:rsidR="005F4876">
        <w:t xml:space="preserve">relative </w:t>
      </w:r>
      <w:r w:rsidR="000013BE">
        <w:t>proportion of</w:t>
      </w:r>
      <w:r w:rsidR="00595072">
        <w:t xml:space="preserve"> </w:t>
      </w:r>
      <w:r w:rsidR="000013BE">
        <w:t>the school leave</w:t>
      </w:r>
      <w:r w:rsidR="00ED1A1E">
        <w:t>r</w:t>
      </w:r>
      <w:r w:rsidR="000013BE">
        <w:t xml:space="preserve"> cohort. </w:t>
      </w:r>
      <w:r w:rsidR="00596450">
        <w:t xml:space="preserve"> </w:t>
      </w:r>
    </w:p>
    <w:p w14:paraId="79713890" w14:textId="636467BC" w:rsidR="007A6994" w:rsidRDefault="007A6994" w:rsidP="00B37101">
      <w:pPr>
        <w:spacing w:after="120" w:line="240" w:lineRule="auto"/>
      </w:pPr>
      <w:r>
        <w:t xml:space="preserve">The fifth indicator recognises </w:t>
      </w:r>
      <w:r w:rsidR="005965CE">
        <w:t>the critical role ITE plays in meeting the demand requirements of Australia’s schooling systems</w:t>
      </w:r>
      <w:r w:rsidR="007023C6">
        <w:t xml:space="preserve"> and the high rate of out of fi</w:t>
      </w:r>
      <w:r w:rsidR="001940B1">
        <w:t xml:space="preserve">eld teaching in </w:t>
      </w:r>
      <w:r w:rsidR="0009380B">
        <w:t xml:space="preserve">secondary STEM subject areas. </w:t>
      </w:r>
    </w:p>
    <w:p w14:paraId="6815E05B" w14:textId="4C736DC8" w:rsidR="00CC0997" w:rsidRDefault="00CC0997" w:rsidP="003B63DD">
      <w:pPr>
        <w:spacing w:after="0" w:line="240" w:lineRule="auto"/>
      </w:pPr>
      <w:r w:rsidRPr="00194D5D">
        <w:t xml:space="preserve">The </w:t>
      </w:r>
      <w:r w:rsidR="0080584E" w:rsidRPr="00194D5D">
        <w:t xml:space="preserve">below figures show the data across higher education providers for a number of these proposed indicators. </w:t>
      </w:r>
      <w:r w:rsidR="006C3F71" w:rsidRPr="00194D5D">
        <w:t>The</w:t>
      </w:r>
      <w:r w:rsidR="006C3F71">
        <w:t xml:space="preserve"> data shows:</w:t>
      </w:r>
    </w:p>
    <w:p w14:paraId="2BCF6160" w14:textId="005D2CB1" w:rsidR="002E5ECD" w:rsidRPr="001B2D08" w:rsidRDefault="535DF262" w:rsidP="2C03F412">
      <w:pPr>
        <w:pStyle w:val="ListParagraph"/>
        <w:numPr>
          <w:ilvl w:val="0"/>
          <w:numId w:val="51"/>
        </w:numPr>
        <w:rPr>
          <w:rFonts w:eastAsia="Times New Roman"/>
          <w:sz w:val="22"/>
          <w:szCs w:val="22"/>
        </w:rPr>
      </w:pPr>
      <w:r w:rsidRPr="2C03F412">
        <w:rPr>
          <w:sz w:val="22"/>
          <w:szCs w:val="22"/>
        </w:rPr>
        <w:t xml:space="preserve">The proportion of First Nations students enrolled in ITE </w:t>
      </w:r>
      <w:r w:rsidR="1D28C191" w:rsidRPr="2C03F412">
        <w:rPr>
          <w:sz w:val="22"/>
          <w:szCs w:val="22"/>
        </w:rPr>
        <w:t xml:space="preserve">programs </w:t>
      </w:r>
      <w:r w:rsidRPr="2C03F412">
        <w:rPr>
          <w:sz w:val="22"/>
          <w:szCs w:val="22"/>
        </w:rPr>
        <w:t>in 2020 varies from a low of zero to a high of nine per cent across higher education providers</w:t>
      </w:r>
      <w:r w:rsidR="38747446" w:rsidRPr="2C03F412">
        <w:rPr>
          <w:rFonts w:eastAsia="Times New Roman"/>
          <w:sz w:val="22"/>
          <w:szCs w:val="22"/>
        </w:rPr>
        <w:t xml:space="preserve"> </w:t>
      </w:r>
      <w:r w:rsidRPr="2C03F412">
        <w:rPr>
          <w:rFonts w:eastAsia="Times New Roman"/>
          <w:sz w:val="22"/>
          <w:szCs w:val="22"/>
        </w:rPr>
        <w:t xml:space="preserve">(Figure </w:t>
      </w:r>
      <w:r w:rsidR="700E66E3" w:rsidRPr="2C03F412">
        <w:rPr>
          <w:rFonts w:eastAsia="Times New Roman"/>
          <w:sz w:val="22"/>
          <w:szCs w:val="22"/>
        </w:rPr>
        <w:t>2.</w:t>
      </w:r>
      <w:r w:rsidRPr="2C03F412">
        <w:rPr>
          <w:rFonts w:eastAsia="Times New Roman"/>
          <w:sz w:val="22"/>
          <w:szCs w:val="22"/>
        </w:rPr>
        <w:t>1)</w:t>
      </w:r>
      <w:r w:rsidR="006A0B48">
        <w:rPr>
          <w:rFonts w:eastAsia="Times New Roman"/>
          <w:sz w:val="22"/>
          <w:szCs w:val="22"/>
        </w:rPr>
        <w:t>.</w:t>
      </w:r>
    </w:p>
    <w:p w14:paraId="4DD77CB6" w14:textId="118841E1" w:rsidR="002E5ECD" w:rsidRPr="001B2D08" w:rsidRDefault="535DF262" w:rsidP="2C03F412">
      <w:pPr>
        <w:pStyle w:val="ListParagraph"/>
        <w:numPr>
          <w:ilvl w:val="0"/>
          <w:numId w:val="46"/>
        </w:numPr>
        <w:rPr>
          <w:rFonts w:eastAsia="Times New Roman"/>
          <w:sz w:val="22"/>
          <w:szCs w:val="22"/>
        </w:rPr>
      </w:pPr>
      <w:r w:rsidRPr="2C03F412">
        <w:rPr>
          <w:sz w:val="22"/>
          <w:szCs w:val="22"/>
        </w:rPr>
        <w:t xml:space="preserve">The proportion of regional and remote students enrolled in ITE </w:t>
      </w:r>
      <w:r w:rsidR="4C338337" w:rsidRPr="2C03F412">
        <w:rPr>
          <w:sz w:val="22"/>
          <w:szCs w:val="22"/>
        </w:rPr>
        <w:t xml:space="preserve">programs </w:t>
      </w:r>
      <w:r w:rsidRPr="2C03F412">
        <w:rPr>
          <w:sz w:val="22"/>
          <w:szCs w:val="22"/>
        </w:rPr>
        <w:t>in 2020 varies between a low of one per cent and a high of 98 per cent across higher education providers</w:t>
      </w:r>
      <w:r w:rsidR="38747446" w:rsidRPr="2C03F412">
        <w:rPr>
          <w:rFonts w:eastAsia="Times New Roman"/>
          <w:sz w:val="22"/>
          <w:szCs w:val="22"/>
        </w:rPr>
        <w:t xml:space="preserve"> </w:t>
      </w:r>
      <w:r w:rsidRPr="2C03F412">
        <w:rPr>
          <w:rFonts w:eastAsia="Times New Roman"/>
          <w:sz w:val="22"/>
          <w:szCs w:val="22"/>
        </w:rPr>
        <w:t>(Figure 2</w:t>
      </w:r>
      <w:r w:rsidR="700E66E3" w:rsidRPr="2C03F412">
        <w:rPr>
          <w:rFonts w:eastAsia="Times New Roman"/>
          <w:sz w:val="22"/>
          <w:szCs w:val="22"/>
        </w:rPr>
        <w:t>.</w:t>
      </w:r>
      <w:r w:rsidRPr="2C03F412">
        <w:rPr>
          <w:rFonts w:eastAsia="Times New Roman"/>
          <w:sz w:val="22"/>
          <w:szCs w:val="22"/>
        </w:rPr>
        <w:t>2)</w:t>
      </w:r>
      <w:r w:rsidR="006A0B48">
        <w:rPr>
          <w:rFonts w:eastAsia="Times New Roman"/>
          <w:sz w:val="22"/>
          <w:szCs w:val="22"/>
        </w:rPr>
        <w:t>.</w:t>
      </w:r>
    </w:p>
    <w:p w14:paraId="5ED82DFA" w14:textId="33542015" w:rsidR="002E5ECD" w:rsidRPr="001B2D08" w:rsidRDefault="535DF262" w:rsidP="2C03F412">
      <w:pPr>
        <w:pStyle w:val="ListParagraph"/>
        <w:numPr>
          <w:ilvl w:val="0"/>
          <w:numId w:val="46"/>
        </w:numPr>
        <w:rPr>
          <w:rFonts w:eastAsia="Times New Roman"/>
          <w:sz w:val="22"/>
          <w:szCs w:val="22"/>
        </w:rPr>
      </w:pPr>
      <w:r w:rsidRPr="2C03F412">
        <w:rPr>
          <w:sz w:val="22"/>
          <w:szCs w:val="22"/>
        </w:rPr>
        <w:t xml:space="preserve">The proportion of low socio-economic status students enrolled in ITE </w:t>
      </w:r>
      <w:r w:rsidR="0409AEB0" w:rsidRPr="2C03F412">
        <w:rPr>
          <w:sz w:val="22"/>
          <w:szCs w:val="22"/>
        </w:rPr>
        <w:t xml:space="preserve">programs </w:t>
      </w:r>
      <w:r w:rsidR="4F3B6D30" w:rsidRPr="2C03F412">
        <w:rPr>
          <w:sz w:val="22"/>
          <w:szCs w:val="22"/>
        </w:rPr>
        <w:t>in</w:t>
      </w:r>
      <w:r w:rsidRPr="2C03F412">
        <w:rPr>
          <w:sz w:val="22"/>
          <w:szCs w:val="22"/>
        </w:rPr>
        <w:t xml:space="preserve"> 2020 varies between a low of six per cent and a high of 42 per cent across higher education providers</w:t>
      </w:r>
      <w:r w:rsidR="38747446" w:rsidRPr="2C03F412">
        <w:rPr>
          <w:sz w:val="22"/>
          <w:szCs w:val="22"/>
        </w:rPr>
        <w:t xml:space="preserve"> </w:t>
      </w:r>
      <w:r w:rsidRPr="2C03F412">
        <w:rPr>
          <w:sz w:val="22"/>
          <w:szCs w:val="22"/>
        </w:rPr>
        <w:t xml:space="preserve">(Figure </w:t>
      </w:r>
      <w:r w:rsidR="700E66E3" w:rsidRPr="2C03F412">
        <w:rPr>
          <w:sz w:val="22"/>
          <w:szCs w:val="22"/>
        </w:rPr>
        <w:t>2.</w:t>
      </w:r>
      <w:r w:rsidRPr="2C03F412">
        <w:rPr>
          <w:sz w:val="22"/>
          <w:szCs w:val="22"/>
        </w:rPr>
        <w:t>3)</w:t>
      </w:r>
      <w:r w:rsidR="006A0B48">
        <w:rPr>
          <w:sz w:val="22"/>
          <w:szCs w:val="22"/>
        </w:rPr>
        <w:t>.</w:t>
      </w:r>
    </w:p>
    <w:p w14:paraId="59D04BF4" w14:textId="7EE27B8B" w:rsidR="00FB76CC" w:rsidRPr="00FB76CC" w:rsidRDefault="00FB76CC" w:rsidP="00107807">
      <w:pPr>
        <w:pStyle w:val="ListParagraph"/>
        <w:numPr>
          <w:ilvl w:val="0"/>
          <w:numId w:val="46"/>
        </w:numPr>
        <w:spacing w:after="120"/>
        <w:ind w:left="714" w:hanging="357"/>
        <w:rPr>
          <w:rFonts w:eastAsia="Times New Roman"/>
        </w:rPr>
      </w:pPr>
      <w:r w:rsidRPr="4F3F48A5">
        <w:rPr>
          <w:sz w:val="22"/>
          <w:szCs w:val="22"/>
        </w:rPr>
        <w:t xml:space="preserve">The proportion of commencing domestic undergraduate ITE students admitted on the basis of secondary education </w:t>
      </w:r>
      <w:r w:rsidR="1536C49C" w:rsidRPr="4F3F48A5">
        <w:rPr>
          <w:sz w:val="22"/>
          <w:szCs w:val="22"/>
        </w:rPr>
        <w:t xml:space="preserve">with an ATAR over 80 </w:t>
      </w:r>
      <w:r w:rsidRPr="4F3F48A5">
        <w:rPr>
          <w:sz w:val="22"/>
          <w:szCs w:val="22"/>
        </w:rPr>
        <w:t xml:space="preserve">in 2020 varied between a low of zero per cent and a high of 63 per cent across higher education providers </w:t>
      </w:r>
      <w:r w:rsidRPr="4F3F48A5">
        <w:rPr>
          <w:rFonts w:eastAsia="Times New Roman"/>
          <w:sz w:val="22"/>
          <w:szCs w:val="22"/>
        </w:rPr>
        <w:t xml:space="preserve">(Figure </w:t>
      </w:r>
      <w:r w:rsidR="00AF718A" w:rsidRPr="4F3F48A5">
        <w:rPr>
          <w:rFonts w:eastAsia="Times New Roman"/>
          <w:sz w:val="22"/>
          <w:szCs w:val="22"/>
        </w:rPr>
        <w:t>2.</w:t>
      </w:r>
      <w:r w:rsidRPr="4F3F48A5">
        <w:rPr>
          <w:rFonts w:eastAsia="Times New Roman"/>
          <w:sz w:val="22"/>
          <w:szCs w:val="22"/>
        </w:rPr>
        <w:t>4)</w:t>
      </w:r>
      <w:r w:rsidR="006A0B48" w:rsidRPr="4F3F48A5">
        <w:rPr>
          <w:rFonts w:eastAsia="Times New Roman"/>
          <w:sz w:val="22"/>
          <w:szCs w:val="22"/>
        </w:rPr>
        <w:t>.</w:t>
      </w:r>
    </w:p>
    <w:p w14:paraId="12CAA0CA" w14:textId="2383193B" w:rsidR="007B07ED" w:rsidRDefault="007B07ED" w:rsidP="007B07ED">
      <w:pPr>
        <w:spacing w:after="0"/>
        <w:rPr>
          <w:b/>
          <w:bCs/>
        </w:rPr>
      </w:pPr>
      <w:r w:rsidRPr="00516211">
        <w:rPr>
          <w:b/>
          <w:bCs/>
        </w:rPr>
        <w:t xml:space="preserve">Figure </w:t>
      </w:r>
      <w:r w:rsidR="002F125B">
        <w:rPr>
          <w:b/>
          <w:bCs/>
        </w:rPr>
        <w:t>2.</w:t>
      </w:r>
      <w:r w:rsidRPr="00516211">
        <w:rPr>
          <w:b/>
          <w:bCs/>
        </w:rPr>
        <w:t xml:space="preserve">1: Proportion of </w:t>
      </w:r>
      <w:r>
        <w:rPr>
          <w:b/>
          <w:bCs/>
        </w:rPr>
        <w:t>First Nations</w:t>
      </w:r>
      <w:r w:rsidRPr="00516211">
        <w:rPr>
          <w:b/>
          <w:bCs/>
        </w:rPr>
        <w:t xml:space="preserve"> enrolments </w:t>
      </w:r>
      <w:r>
        <w:rPr>
          <w:b/>
          <w:bCs/>
        </w:rPr>
        <w:t xml:space="preserve">in ITE </w:t>
      </w:r>
      <w:r w:rsidRPr="00516211">
        <w:rPr>
          <w:b/>
          <w:bCs/>
        </w:rPr>
        <w:t>in 2020, by higher education provider</w:t>
      </w:r>
    </w:p>
    <w:p w14:paraId="18190467" w14:textId="5FC4E8BC" w:rsidR="007B07ED" w:rsidRPr="0058172F" w:rsidRDefault="00222B48" w:rsidP="00EE41CB">
      <w:r>
        <w:rPr>
          <w:noProof/>
        </w:rPr>
        <w:drawing>
          <wp:inline distT="0" distB="0" distL="0" distR="0" wp14:anchorId="71335253" wp14:editId="2C6907D1">
            <wp:extent cx="5731510" cy="2389068"/>
            <wp:effectExtent l="0" t="0" r="254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7014" cy="2391362"/>
                    </a:xfrm>
                    <a:prstGeom prst="rect">
                      <a:avLst/>
                    </a:prstGeom>
                  </pic:spPr>
                </pic:pic>
              </a:graphicData>
            </a:graphic>
          </wp:inline>
        </w:drawing>
      </w:r>
    </w:p>
    <w:p w14:paraId="5509B4B4" w14:textId="5FC4E8BC" w:rsidR="006B0AC8" w:rsidRPr="00FF19FF" w:rsidRDefault="006B0AC8" w:rsidP="00984FB5">
      <w:pPr>
        <w:spacing w:after="0" w:line="240" w:lineRule="auto"/>
        <w:rPr>
          <w:sz w:val="16"/>
          <w:szCs w:val="16"/>
        </w:rPr>
      </w:pPr>
      <w:r w:rsidRPr="00FF19FF">
        <w:rPr>
          <w:sz w:val="16"/>
          <w:szCs w:val="16"/>
        </w:rPr>
        <w:t>Source: Higher Education Statistics Collection, Department of Education, 2020, www.education.gov.au</w:t>
      </w:r>
    </w:p>
    <w:p w14:paraId="6CCE5E81" w14:textId="03839B11" w:rsidR="006B0AC8" w:rsidRPr="008F05BA" w:rsidRDefault="006B0AC8" w:rsidP="00984FB5">
      <w:pPr>
        <w:spacing w:after="120" w:line="240" w:lineRule="auto"/>
        <w:rPr>
          <w:sz w:val="16"/>
          <w:szCs w:val="16"/>
        </w:rPr>
      </w:pPr>
      <w:r w:rsidRPr="00FF19FF">
        <w:rPr>
          <w:sz w:val="16"/>
          <w:szCs w:val="16"/>
        </w:rPr>
        <w:t>Notes:</w:t>
      </w:r>
      <w:r w:rsidR="008F05BA">
        <w:rPr>
          <w:sz w:val="16"/>
          <w:szCs w:val="16"/>
        </w:rPr>
        <w:t xml:space="preserve"> </w:t>
      </w:r>
      <w:r w:rsidR="00605B67">
        <w:rPr>
          <w:sz w:val="16"/>
          <w:szCs w:val="16"/>
        </w:rPr>
        <w:t>1.</w:t>
      </w:r>
      <w:r w:rsidR="008F05BA">
        <w:rPr>
          <w:sz w:val="16"/>
          <w:szCs w:val="16"/>
        </w:rPr>
        <w:t xml:space="preserve"> </w:t>
      </w:r>
      <w:r w:rsidRPr="008F05BA">
        <w:rPr>
          <w:sz w:val="16"/>
          <w:szCs w:val="16"/>
        </w:rPr>
        <w:t>Dark grey shaded bars indicate a data limitation- higher education providers with less than 26 domestic ITE students enrolled.</w:t>
      </w:r>
      <w:r w:rsidR="00845E32">
        <w:rPr>
          <w:sz w:val="16"/>
          <w:szCs w:val="16"/>
        </w:rPr>
        <w:t xml:space="preserve"> </w:t>
      </w:r>
      <w:r w:rsidR="4C1B78CC" w:rsidRPr="49E65931">
        <w:rPr>
          <w:sz w:val="16"/>
          <w:szCs w:val="16"/>
        </w:rPr>
        <w:t xml:space="preserve">   </w:t>
      </w:r>
      <w:r w:rsidR="00605B67">
        <w:rPr>
          <w:sz w:val="16"/>
          <w:szCs w:val="16"/>
        </w:rPr>
        <w:t>2.</w:t>
      </w:r>
      <w:r w:rsidR="00FF2663">
        <w:rPr>
          <w:sz w:val="16"/>
          <w:szCs w:val="16"/>
        </w:rPr>
        <w:t xml:space="preserve"> H</w:t>
      </w:r>
      <w:r w:rsidRPr="008F05BA">
        <w:rPr>
          <w:sz w:val="16"/>
          <w:szCs w:val="16"/>
        </w:rPr>
        <w:t xml:space="preserve">igher education providers had no First Nations students enrolled in 2020. These providers are not shown in the figure. </w:t>
      </w:r>
    </w:p>
    <w:p w14:paraId="7ED59634" w14:textId="77777777" w:rsidR="0029293E" w:rsidRDefault="0029293E">
      <w:pPr>
        <w:spacing w:after="160"/>
        <w:rPr>
          <w:b/>
          <w:bCs/>
        </w:rPr>
      </w:pPr>
      <w:r>
        <w:rPr>
          <w:b/>
          <w:bCs/>
        </w:rPr>
        <w:br w:type="page"/>
      </w:r>
    </w:p>
    <w:p w14:paraId="1FD0C9B7" w14:textId="31B4C425" w:rsidR="00487026" w:rsidRDefault="00487026" w:rsidP="00B174F9">
      <w:pPr>
        <w:spacing w:after="0" w:line="240" w:lineRule="auto"/>
        <w:rPr>
          <w:b/>
          <w:bCs/>
        </w:rPr>
      </w:pPr>
      <w:r w:rsidRPr="00516211">
        <w:rPr>
          <w:b/>
          <w:bCs/>
        </w:rPr>
        <w:lastRenderedPageBreak/>
        <w:t xml:space="preserve">Figure </w:t>
      </w:r>
      <w:r w:rsidR="002F125B">
        <w:rPr>
          <w:b/>
          <w:bCs/>
        </w:rPr>
        <w:t>2.</w:t>
      </w:r>
      <w:r>
        <w:rPr>
          <w:b/>
          <w:bCs/>
        </w:rPr>
        <w:t>2</w:t>
      </w:r>
      <w:r w:rsidRPr="00516211">
        <w:rPr>
          <w:b/>
          <w:bCs/>
        </w:rPr>
        <w:t xml:space="preserve">: </w:t>
      </w:r>
      <w:r w:rsidRPr="00FF19FF">
        <w:rPr>
          <w:b/>
          <w:bCs/>
        </w:rPr>
        <w:t>Proportion of regional and remote enrolments</w:t>
      </w:r>
      <w:r>
        <w:rPr>
          <w:b/>
          <w:bCs/>
        </w:rPr>
        <w:t xml:space="preserve"> in ITE</w:t>
      </w:r>
      <w:r w:rsidRPr="00FF19FF">
        <w:rPr>
          <w:b/>
          <w:bCs/>
        </w:rPr>
        <w:t xml:space="preserve"> </w:t>
      </w:r>
      <w:r w:rsidRPr="00516211">
        <w:rPr>
          <w:b/>
          <w:bCs/>
        </w:rPr>
        <w:t>in 2020</w:t>
      </w:r>
      <w:r>
        <w:rPr>
          <w:b/>
          <w:bCs/>
        </w:rPr>
        <w:t xml:space="preserve">, </w:t>
      </w:r>
      <w:r w:rsidRPr="00516211">
        <w:rPr>
          <w:b/>
          <w:bCs/>
        </w:rPr>
        <w:t>by higher education provider</w:t>
      </w:r>
    </w:p>
    <w:p w14:paraId="0857BEF2" w14:textId="3B4F82A3" w:rsidR="006B0AC8" w:rsidRPr="0058172F" w:rsidRDefault="00EA2423" w:rsidP="00EE41CB">
      <w:r>
        <w:rPr>
          <w:noProof/>
        </w:rPr>
        <w:drawing>
          <wp:inline distT="0" distB="0" distL="0" distR="0" wp14:anchorId="2354F34D" wp14:editId="4C82872F">
            <wp:extent cx="5731510" cy="2373212"/>
            <wp:effectExtent l="0" t="0" r="2540" b="8255"/>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9106" cy="2376357"/>
                    </a:xfrm>
                    <a:prstGeom prst="rect">
                      <a:avLst/>
                    </a:prstGeom>
                  </pic:spPr>
                </pic:pic>
              </a:graphicData>
            </a:graphic>
          </wp:inline>
        </w:drawing>
      </w:r>
    </w:p>
    <w:p w14:paraId="480F0285" w14:textId="3B4F82A3" w:rsidR="00EB5E62" w:rsidRPr="00FF19FF" w:rsidRDefault="00EB5E62" w:rsidP="00984FB5">
      <w:pPr>
        <w:spacing w:after="0" w:line="240" w:lineRule="auto"/>
        <w:rPr>
          <w:sz w:val="16"/>
          <w:szCs w:val="16"/>
        </w:rPr>
      </w:pPr>
      <w:r w:rsidRPr="00FF19FF">
        <w:rPr>
          <w:sz w:val="16"/>
          <w:szCs w:val="16"/>
        </w:rPr>
        <w:t>Source: Higher Education Statistics Collection, Department of Education, 2020, www.education.gov.au</w:t>
      </w:r>
    </w:p>
    <w:p w14:paraId="4D4767F7" w14:textId="00A3A7B1" w:rsidR="00EB5E62" w:rsidRPr="00FF2663" w:rsidRDefault="00EB5E62" w:rsidP="00984FB5">
      <w:pPr>
        <w:spacing w:after="120" w:line="240" w:lineRule="auto"/>
        <w:rPr>
          <w:sz w:val="16"/>
          <w:szCs w:val="16"/>
        </w:rPr>
      </w:pPr>
      <w:r w:rsidRPr="00FF19FF">
        <w:rPr>
          <w:sz w:val="16"/>
          <w:szCs w:val="16"/>
        </w:rPr>
        <w:t>Notes:</w:t>
      </w:r>
      <w:r w:rsidR="00FF2663">
        <w:rPr>
          <w:sz w:val="16"/>
          <w:szCs w:val="16"/>
        </w:rPr>
        <w:t xml:space="preserve"> </w:t>
      </w:r>
      <w:r w:rsidR="00605B67">
        <w:rPr>
          <w:sz w:val="16"/>
          <w:szCs w:val="16"/>
        </w:rPr>
        <w:t>1.</w:t>
      </w:r>
      <w:r w:rsidR="00FF2663">
        <w:rPr>
          <w:sz w:val="16"/>
          <w:szCs w:val="16"/>
        </w:rPr>
        <w:t xml:space="preserve"> </w:t>
      </w:r>
      <w:r w:rsidRPr="00FF2663">
        <w:rPr>
          <w:sz w:val="16"/>
          <w:szCs w:val="16"/>
        </w:rPr>
        <w:t>Dark grey shaded bars indicate a data limitation- higher education providers with less than 26 domestic ITE students enrolled.</w:t>
      </w:r>
      <w:r w:rsidR="00FF2663">
        <w:rPr>
          <w:sz w:val="16"/>
          <w:szCs w:val="16"/>
        </w:rPr>
        <w:t xml:space="preserve"> </w:t>
      </w:r>
      <w:r w:rsidR="6B61F763" w:rsidRPr="56AD0A52">
        <w:rPr>
          <w:sz w:val="16"/>
          <w:szCs w:val="16"/>
        </w:rPr>
        <w:t xml:space="preserve">  </w:t>
      </w:r>
      <w:r w:rsidR="4166B389" w:rsidRPr="56AD0A52">
        <w:rPr>
          <w:sz w:val="16"/>
          <w:szCs w:val="16"/>
        </w:rPr>
        <w:t xml:space="preserve"> </w:t>
      </w:r>
      <w:r w:rsidR="00605B67">
        <w:rPr>
          <w:sz w:val="16"/>
          <w:szCs w:val="16"/>
        </w:rPr>
        <w:t>2.</w:t>
      </w:r>
      <w:r w:rsidR="00FF2663">
        <w:rPr>
          <w:sz w:val="16"/>
          <w:szCs w:val="16"/>
        </w:rPr>
        <w:t xml:space="preserve"> </w:t>
      </w:r>
      <w:r w:rsidRPr="00FF2663">
        <w:rPr>
          <w:sz w:val="16"/>
          <w:szCs w:val="16"/>
        </w:rPr>
        <w:t xml:space="preserve">Regional and remote classification is based on the location of the student’s first home address in the Higher Education Statistics Collection, which is a student’s address before commencing study. A student's first home postcode is mapped to a Remoteness Area classification under the Australian Bureau of Statistics' 2016 Australian Statistical Geography Standard (ASGS) classification of regions. </w:t>
      </w:r>
    </w:p>
    <w:p w14:paraId="7CA23EAB" w14:textId="1E9FEC7B" w:rsidR="001F5E78" w:rsidRDefault="001F5E78" w:rsidP="00B174F9">
      <w:pPr>
        <w:spacing w:after="0" w:line="240" w:lineRule="auto"/>
        <w:rPr>
          <w:b/>
          <w:bCs/>
        </w:rPr>
      </w:pPr>
      <w:r w:rsidRPr="00516211">
        <w:rPr>
          <w:b/>
          <w:bCs/>
        </w:rPr>
        <w:t xml:space="preserve">Figure </w:t>
      </w:r>
      <w:r w:rsidR="002F125B">
        <w:rPr>
          <w:b/>
          <w:bCs/>
        </w:rPr>
        <w:t>2.</w:t>
      </w:r>
      <w:r>
        <w:rPr>
          <w:b/>
          <w:bCs/>
        </w:rPr>
        <w:t>3</w:t>
      </w:r>
      <w:r w:rsidRPr="00516211">
        <w:rPr>
          <w:b/>
          <w:bCs/>
        </w:rPr>
        <w:t xml:space="preserve">: </w:t>
      </w:r>
      <w:r w:rsidRPr="00FF19FF">
        <w:rPr>
          <w:b/>
          <w:bCs/>
        </w:rPr>
        <w:t xml:space="preserve">Proportion of </w:t>
      </w:r>
      <w:r w:rsidRPr="001B0939">
        <w:rPr>
          <w:b/>
          <w:bCs/>
        </w:rPr>
        <w:t>low socio-economic status</w:t>
      </w:r>
      <w:r>
        <w:rPr>
          <w:b/>
          <w:bCs/>
        </w:rPr>
        <w:t xml:space="preserve"> (SES)</w:t>
      </w:r>
      <w:r w:rsidRPr="001B0939">
        <w:rPr>
          <w:b/>
          <w:bCs/>
        </w:rPr>
        <w:t xml:space="preserve"> student</w:t>
      </w:r>
      <w:r w:rsidRPr="00FF19FF">
        <w:rPr>
          <w:b/>
          <w:bCs/>
        </w:rPr>
        <w:t xml:space="preserve"> enrolments</w:t>
      </w:r>
      <w:r>
        <w:rPr>
          <w:b/>
          <w:bCs/>
        </w:rPr>
        <w:t xml:space="preserve"> in ITE</w:t>
      </w:r>
      <w:r w:rsidRPr="00FF19FF">
        <w:rPr>
          <w:b/>
          <w:bCs/>
        </w:rPr>
        <w:t xml:space="preserve"> </w:t>
      </w:r>
      <w:r w:rsidRPr="00516211">
        <w:rPr>
          <w:b/>
          <w:bCs/>
        </w:rPr>
        <w:t>in 2020, by higher education provider</w:t>
      </w:r>
    </w:p>
    <w:p w14:paraId="5910224C" w14:textId="60CB70A6" w:rsidR="00EB5E62" w:rsidRPr="0058172F" w:rsidRDefault="00036238" w:rsidP="00EE41CB">
      <w:r>
        <w:rPr>
          <w:noProof/>
        </w:rPr>
        <w:drawing>
          <wp:inline distT="0" distB="0" distL="0" distR="0" wp14:anchorId="77AD6A5E" wp14:editId="5B188DD7">
            <wp:extent cx="5731510" cy="2778125"/>
            <wp:effectExtent l="0" t="0" r="2540" b="3175"/>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2778125"/>
                    </a:xfrm>
                    <a:prstGeom prst="rect">
                      <a:avLst/>
                    </a:prstGeom>
                  </pic:spPr>
                </pic:pic>
              </a:graphicData>
            </a:graphic>
          </wp:inline>
        </w:drawing>
      </w:r>
    </w:p>
    <w:p w14:paraId="70438243" w14:textId="77777777" w:rsidR="00950223" w:rsidRPr="00FF19FF" w:rsidRDefault="00950223" w:rsidP="00D24C92">
      <w:pPr>
        <w:spacing w:after="0" w:line="240" w:lineRule="auto"/>
        <w:rPr>
          <w:sz w:val="16"/>
          <w:szCs w:val="16"/>
        </w:rPr>
      </w:pPr>
      <w:r w:rsidRPr="00FF19FF">
        <w:rPr>
          <w:sz w:val="16"/>
          <w:szCs w:val="16"/>
        </w:rPr>
        <w:t>Source: Higher Education Statistics Collection, Department of Education, 2020, www.education.gov.au</w:t>
      </w:r>
    </w:p>
    <w:p w14:paraId="76689BB2" w14:textId="2A92D0EB" w:rsidR="00950223" w:rsidRDefault="00950223" w:rsidP="00D24C92">
      <w:pPr>
        <w:spacing w:after="120" w:line="240" w:lineRule="auto"/>
        <w:rPr>
          <w:sz w:val="16"/>
          <w:szCs w:val="16"/>
        </w:rPr>
      </w:pPr>
      <w:r w:rsidRPr="00FF19FF">
        <w:rPr>
          <w:sz w:val="16"/>
          <w:szCs w:val="16"/>
        </w:rPr>
        <w:t>Notes:</w:t>
      </w:r>
      <w:r w:rsidR="00FF2663">
        <w:rPr>
          <w:sz w:val="16"/>
          <w:szCs w:val="16"/>
        </w:rPr>
        <w:t xml:space="preserve"> </w:t>
      </w:r>
      <w:r w:rsidR="00A02F61">
        <w:rPr>
          <w:sz w:val="16"/>
          <w:szCs w:val="16"/>
        </w:rPr>
        <w:t>1.</w:t>
      </w:r>
      <w:r w:rsidR="00FF2663">
        <w:rPr>
          <w:sz w:val="16"/>
          <w:szCs w:val="16"/>
        </w:rPr>
        <w:t xml:space="preserve"> </w:t>
      </w:r>
      <w:r w:rsidRPr="00FF2663">
        <w:rPr>
          <w:sz w:val="16"/>
          <w:szCs w:val="16"/>
        </w:rPr>
        <w:t>Dark grey shaded bars indicate a data limitation- higher education providers with less than 26 domestic ITE students enrolled.</w:t>
      </w:r>
      <w:r w:rsidR="00A02F61">
        <w:rPr>
          <w:sz w:val="16"/>
          <w:szCs w:val="16"/>
        </w:rPr>
        <w:t xml:space="preserve"> </w:t>
      </w:r>
      <w:r w:rsidR="6C1CA320" w:rsidRPr="56AD0A52">
        <w:rPr>
          <w:sz w:val="16"/>
          <w:szCs w:val="16"/>
        </w:rPr>
        <w:t xml:space="preserve">   </w:t>
      </w:r>
      <w:r w:rsidR="00A02F61">
        <w:rPr>
          <w:sz w:val="16"/>
          <w:szCs w:val="16"/>
        </w:rPr>
        <w:t>2.</w:t>
      </w:r>
      <w:r w:rsidR="00FF2663">
        <w:rPr>
          <w:sz w:val="16"/>
          <w:szCs w:val="16"/>
        </w:rPr>
        <w:t xml:space="preserve"> </w:t>
      </w:r>
      <w:r w:rsidRPr="00FF2663">
        <w:rPr>
          <w:sz w:val="16"/>
          <w:szCs w:val="16"/>
        </w:rPr>
        <w:t xml:space="preserve">The SES classification is based on the location of a student’s first home address in the Higher Education Statistics Collection, which is a student’s address before commencing study. SES status was determined using the Australian Bureau of Statistics’ Socio-Economic Indexes for Areas (SEIFA) 2016 – The Index of Education and Occupation; students are considered low SES if they live in a SA1 (Statistical Area) in the bottom 25 per cent of the SEIFA for 15-64 year </w:t>
      </w:r>
      <w:proofErr w:type="spellStart"/>
      <w:r w:rsidRPr="00FF2663">
        <w:rPr>
          <w:sz w:val="16"/>
          <w:szCs w:val="16"/>
        </w:rPr>
        <w:t>olds</w:t>
      </w:r>
      <w:proofErr w:type="spellEnd"/>
      <w:r w:rsidRPr="00FF2663">
        <w:rPr>
          <w:sz w:val="16"/>
          <w:szCs w:val="16"/>
        </w:rPr>
        <w:t>.</w:t>
      </w:r>
    </w:p>
    <w:p w14:paraId="392518F7" w14:textId="77777777" w:rsidR="0029293E" w:rsidRDefault="0029293E">
      <w:pPr>
        <w:spacing w:after="160"/>
        <w:rPr>
          <w:b/>
          <w:bCs/>
        </w:rPr>
      </w:pPr>
      <w:r>
        <w:rPr>
          <w:b/>
          <w:bCs/>
        </w:rPr>
        <w:br w:type="page"/>
      </w:r>
    </w:p>
    <w:p w14:paraId="36056C5C" w14:textId="62F05621" w:rsidR="00E36CF5" w:rsidRPr="00BB51E5" w:rsidRDefault="00E36CF5" w:rsidP="00E36CF5">
      <w:pPr>
        <w:rPr>
          <w:b/>
          <w:bCs/>
        </w:rPr>
      </w:pPr>
      <w:r w:rsidRPr="00BB51E5">
        <w:rPr>
          <w:b/>
          <w:bCs/>
        </w:rPr>
        <w:lastRenderedPageBreak/>
        <w:t xml:space="preserve">Figure </w:t>
      </w:r>
      <w:r w:rsidR="002F125B">
        <w:rPr>
          <w:b/>
          <w:bCs/>
        </w:rPr>
        <w:t>2.</w:t>
      </w:r>
      <w:r w:rsidR="000E103C">
        <w:rPr>
          <w:b/>
          <w:bCs/>
        </w:rPr>
        <w:t>4</w:t>
      </w:r>
      <w:r w:rsidR="00570AD5">
        <w:rPr>
          <w:b/>
          <w:bCs/>
        </w:rPr>
        <w:t>:</w:t>
      </w:r>
      <w:r w:rsidRPr="00BB51E5">
        <w:rPr>
          <w:b/>
          <w:bCs/>
        </w:rPr>
        <w:t xml:space="preserve"> Proportion of all </w:t>
      </w:r>
      <w:bookmarkStart w:id="46" w:name="_Hlk128495075"/>
      <w:r w:rsidRPr="00BB51E5">
        <w:rPr>
          <w:b/>
          <w:bCs/>
        </w:rPr>
        <w:t>commencing domestic undergraduate ITE students</w:t>
      </w:r>
      <w:bookmarkEnd w:id="46"/>
      <w:r w:rsidRPr="00BB51E5">
        <w:rPr>
          <w:b/>
          <w:bCs/>
        </w:rPr>
        <w:t xml:space="preserve"> </w:t>
      </w:r>
      <w:r>
        <w:rPr>
          <w:b/>
          <w:bCs/>
        </w:rPr>
        <w:t xml:space="preserve">admitted on the basis of secondary education </w:t>
      </w:r>
      <w:r w:rsidRPr="00BB51E5">
        <w:rPr>
          <w:b/>
          <w:bCs/>
        </w:rPr>
        <w:t>with an ATAR over 80, 2020, by higher education provider</w:t>
      </w:r>
    </w:p>
    <w:p w14:paraId="091ACF61" w14:textId="77777777" w:rsidR="00E36CF5" w:rsidRPr="0011718D" w:rsidRDefault="007F0FE7" w:rsidP="00E36CF5">
      <w:pPr>
        <w:spacing w:line="240" w:lineRule="auto"/>
        <w:rPr>
          <w:highlight w:val="yellow"/>
        </w:rPr>
      </w:pPr>
      <w:r>
        <w:rPr>
          <w:noProof/>
        </w:rPr>
        <w:drawing>
          <wp:inline distT="0" distB="0" distL="0" distR="0" wp14:anchorId="6F2684EB" wp14:editId="11F09EDC">
            <wp:extent cx="5731510" cy="2669202"/>
            <wp:effectExtent l="0" t="0" r="2540" b="0"/>
            <wp:docPr id="29" name="Picture 2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 histogram&#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6507" cy="2671529"/>
                    </a:xfrm>
                    <a:prstGeom prst="rect">
                      <a:avLst/>
                    </a:prstGeom>
                  </pic:spPr>
                </pic:pic>
              </a:graphicData>
            </a:graphic>
          </wp:inline>
        </w:drawing>
      </w:r>
    </w:p>
    <w:p w14:paraId="64927A6D" w14:textId="77777777" w:rsidR="00E36CF5" w:rsidRPr="00143B53" w:rsidRDefault="00E36CF5" w:rsidP="00D24C92">
      <w:pPr>
        <w:spacing w:after="0" w:line="240" w:lineRule="auto"/>
        <w:rPr>
          <w:sz w:val="16"/>
          <w:szCs w:val="16"/>
        </w:rPr>
      </w:pPr>
      <w:r w:rsidRPr="00143B53">
        <w:rPr>
          <w:sz w:val="16"/>
          <w:szCs w:val="16"/>
        </w:rPr>
        <w:t>Source: Higher Education Statistics Collection, Department of Education, 2020, www.education.gov.au</w:t>
      </w:r>
    </w:p>
    <w:p w14:paraId="626F9EA8" w14:textId="35B37AB1" w:rsidR="00E36CF5" w:rsidRPr="00E36CF5" w:rsidRDefault="00E36CF5" w:rsidP="00D24C92">
      <w:pPr>
        <w:spacing w:after="120" w:line="240" w:lineRule="auto"/>
        <w:rPr>
          <w:sz w:val="16"/>
          <w:szCs w:val="16"/>
        </w:rPr>
      </w:pPr>
      <w:r w:rsidRPr="00143B53">
        <w:rPr>
          <w:sz w:val="16"/>
          <w:szCs w:val="16"/>
        </w:rPr>
        <w:t>Notes:</w:t>
      </w:r>
      <w:r>
        <w:rPr>
          <w:sz w:val="16"/>
          <w:szCs w:val="16"/>
        </w:rPr>
        <w:t xml:space="preserve"> </w:t>
      </w:r>
      <w:r w:rsidR="00A02F61">
        <w:rPr>
          <w:sz w:val="16"/>
          <w:szCs w:val="16"/>
        </w:rPr>
        <w:t>1.</w:t>
      </w:r>
      <w:r>
        <w:rPr>
          <w:sz w:val="16"/>
          <w:szCs w:val="16"/>
        </w:rPr>
        <w:t xml:space="preserve"> </w:t>
      </w:r>
      <w:r w:rsidRPr="00E36CF5">
        <w:rPr>
          <w:sz w:val="16"/>
          <w:szCs w:val="16"/>
        </w:rPr>
        <w:t>Dark grey shaded bars indicate a data limitation- higher education providers with less than 26 domestic ITE students enrolled.</w:t>
      </w:r>
      <w:r>
        <w:rPr>
          <w:sz w:val="16"/>
          <w:szCs w:val="16"/>
        </w:rPr>
        <w:t xml:space="preserve"> </w:t>
      </w:r>
      <w:r w:rsidR="6B6E358C" w:rsidRPr="56AD0A52">
        <w:rPr>
          <w:sz w:val="16"/>
          <w:szCs w:val="16"/>
        </w:rPr>
        <w:t xml:space="preserve">   </w:t>
      </w:r>
      <w:r w:rsidR="00A02F61">
        <w:rPr>
          <w:sz w:val="16"/>
          <w:szCs w:val="16"/>
        </w:rPr>
        <w:t>2.</w:t>
      </w:r>
      <w:r>
        <w:rPr>
          <w:sz w:val="16"/>
          <w:szCs w:val="16"/>
        </w:rPr>
        <w:t xml:space="preserve"> </w:t>
      </w:r>
      <w:r w:rsidRPr="00E36CF5">
        <w:rPr>
          <w:sz w:val="16"/>
          <w:szCs w:val="16"/>
        </w:rPr>
        <w:t xml:space="preserve">Four higher education providers had no commencing domestic undergraduate ITE students with an ATAR score over 80. These providers are not shown in the figure. An additional seven providers are excluded due to an absence of available data. </w:t>
      </w:r>
    </w:p>
    <w:p w14:paraId="02101DC2" w14:textId="7CBC2990" w:rsidR="005956B3" w:rsidRPr="009A24BB" w:rsidRDefault="005956B3" w:rsidP="008367F9">
      <w:pPr>
        <w:spacing w:after="0" w:line="240" w:lineRule="auto"/>
        <w:textAlignment w:val="baseline"/>
        <w:rPr>
          <w:rFonts w:ascii="Calibri" w:eastAsia="Times New Roman" w:hAnsi="Calibri" w:cs="Calibri"/>
          <w:b/>
          <w:color w:val="000000" w:themeColor="text1"/>
          <w:sz w:val="26"/>
          <w:szCs w:val="26"/>
          <w:lang w:eastAsia="en-AU"/>
        </w:rPr>
      </w:pPr>
      <w:r w:rsidRPr="009A24BB">
        <w:rPr>
          <w:rFonts w:ascii="Calibri" w:eastAsia="Times New Roman" w:hAnsi="Calibri" w:cs="Calibri"/>
          <w:b/>
          <w:color w:val="000000" w:themeColor="text1"/>
          <w:sz w:val="26"/>
          <w:szCs w:val="26"/>
          <w:lang w:eastAsia="en-AU"/>
        </w:rPr>
        <w:t xml:space="preserve">Why is </w:t>
      </w:r>
      <w:r w:rsidR="00EE3FFB" w:rsidRPr="009A24BB">
        <w:rPr>
          <w:rFonts w:ascii="Calibri" w:eastAsia="Times New Roman" w:hAnsi="Calibri" w:cs="Calibri"/>
          <w:b/>
          <w:color w:val="000000" w:themeColor="text1"/>
          <w:sz w:val="26"/>
          <w:szCs w:val="26"/>
          <w:lang w:eastAsia="en-AU"/>
        </w:rPr>
        <w:t>selection</w:t>
      </w:r>
      <w:r w:rsidRPr="009A24BB">
        <w:rPr>
          <w:rFonts w:ascii="Calibri" w:eastAsia="Times New Roman" w:hAnsi="Calibri" w:cs="Calibri"/>
          <w:b/>
          <w:color w:val="000000" w:themeColor="text1"/>
          <w:sz w:val="26"/>
          <w:szCs w:val="26"/>
          <w:lang w:eastAsia="en-AU"/>
        </w:rPr>
        <w:t xml:space="preserve"> important? </w:t>
      </w:r>
    </w:p>
    <w:p w14:paraId="3F52521A" w14:textId="666BFCA3" w:rsidR="005956B3" w:rsidRPr="0011718D" w:rsidRDefault="005956B3" w:rsidP="0D4FAAE9">
      <w:pPr>
        <w:spacing w:after="120" w:line="240" w:lineRule="auto"/>
        <w:rPr>
          <w:rFonts w:cstheme="minorHAnsi"/>
        </w:rPr>
      </w:pPr>
      <w:r w:rsidRPr="0011718D">
        <w:rPr>
          <w:rFonts w:cstheme="minorHAnsi"/>
        </w:rPr>
        <w:t>Measuring the participation of diverse groups in ITE recognises that these students have been underrepresented in ITE and the teacher workforce. The QITE Review reported stakeholders emphasised the importance of attracting diverse cohorts to the profession to better reflect school student populations. For example, Aboriginal and Torres Strait Islander students make up six per cent of the school student population but only one per cent of graduate teachers (QITE Review</w:t>
      </w:r>
      <w:r w:rsidRPr="00CD0489">
        <w:rPr>
          <w:rFonts w:cstheme="minorHAnsi"/>
        </w:rPr>
        <w:t>).</w:t>
      </w:r>
      <w:r w:rsidRPr="0011718D">
        <w:rPr>
          <w:rFonts w:cstheme="minorHAnsi"/>
        </w:rPr>
        <w:t xml:space="preserve"> </w:t>
      </w:r>
    </w:p>
    <w:p w14:paraId="542472E2" w14:textId="464CC473" w:rsidR="005956B3" w:rsidRPr="0011718D" w:rsidRDefault="005956B3" w:rsidP="0D4FAAE9">
      <w:pPr>
        <w:spacing w:after="120" w:line="240" w:lineRule="auto"/>
        <w:rPr>
          <w:rFonts w:cstheme="minorHAnsi"/>
        </w:rPr>
      </w:pPr>
      <w:r w:rsidRPr="0011718D">
        <w:rPr>
          <w:rFonts w:cstheme="minorHAnsi"/>
        </w:rPr>
        <w:t>Research highlights the importance of a diverse workforce, where a diverse teaching workforce facilitates positive outcomes for all students and especially diverse students (</w:t>
      </w:r>
      <w:proofErr w:type="spellStart"/>
      <w:r w:rsidRPr="0011718D">
        <w:rPr>
          <w:rFonts w:cstheme="minorHAnsi"/>
        </w:rPr>
        <w:t>Gershenson</w:t>
      </w:r>
      <w:proofErr w:type="spellEnd"/>
      <w:r w:rsidRPr="0011718D">
        <w:rPr>
          <w:rFonts w:cstheme="minorHAnsi"/>
        </w:rPr>
        <w:t xml:space="preserve"> et al. 2022). This is because a diverse workforce can better support and engage a diverse student population, ensuring that learning includes local, regional and cultural knowledge, and experience of Aboriginal and Torres Strait Islander people. Broadly speaking, teachers from diverse backgrounds, including rural, regional, and remote areas, provide valuable role models for post-school transition and pathways, and work in partnership with local communities (</w:t>
      </w:r>
      <w:proofErr w:type="spellStart"/>
      <w:r w:rsidRPr="0011718D">
        <w:rPr>
          <w:rFonts w:cstheme="minorHAnsi"/>
        </w:rPr>
        <w:t>Gershenson</w:t>
      </w:r>
      <w:proofErr w:type="spellEnd"/>
      <w:r w:rsidRPr="0011718D">
        <w:rPr>
          <w:rFonts w:cstheme="minorHAnsi"/>
        </w:rPr>
        <w:t xml:space="preserve"> et al. 2022; Ingersoll et al. 2019). For example, Aboriginal and Torres Strait Islander teachers can help meet student and community needs and provide culturally responsive educational experiences that “authentically connect schools with local </w:t>
      </w:r>
      <w:r w:rsidR="0038148E">
        <w:rPr>
          <w:rFonts w:cstheme="minorHAnsi"/>
        </w:rPr>
        <w:t>First Nations</w:t>
      </w:r>
      <w:r w:rsidRPr="0011718D">
        <w:rPr>
          <w:rFonts w:cstheme="minorHAnsi"/>
        </w:rPr>
        <w:t xml:space="preserve"> communities to promote educational opportunity and respect for cultural ways of knowing, being and doing” (</w:t>
      </w:r>
      <w:proofErr w:type="spellStart"/>
      <w:r w:rsidRPr="0011718D">
        <w:rPr>
          <w:rFonts w:cstheme="minorHAnsi"/>
        </w:rPr>
        <w:t>Gruppetta</w:t>
      </w:r>
      <w:proofErr w:type="spellEnd"/>
      <w:r w:rsidRPr="0011718D">
        <w:rPr>
          <w:rFonts w:cstheme="minorHAnsi"/>
        </w:rPr>
        <w:t xml:space="preserve"> et al. 2018, p. 3).  </w:t>
      </w:r>
    </w:p>
    <w:p w14:paraId="5D8CA5A8" w14:textId="6B67FE51" w:rsidR="00387ED5" w:rsidRDefault="00BA1F73" w:rsidP="008E1B47">
      <w:pPr>
        <w:spacing w:after="120" w:line="240" w:lineRule="auto"/>
        <w:rPr>
          <w:rFonts w:cstheme="minorHAnsi"/>
          <w:bCs/>
          <w:iCs/>
        </w:rPr>
      </w:pPr>
      <w:r>
        <w:rPr>
          <w:rFonts w:cstheme="minorHAnsi"/>
          <w:bCs/>
          <w:iCs/>
        </w:rPr>
        <w:t xml:space="preserve">The QITE Review found that, in addition to diverse candidates, a high-quality teaching workforce should include academic high-achievers. </w:t>
      </w:r>
      <w:r w:rsidR="00370875" w:rsidRPr="0011718D">
        <w:rPr>
          <w:rFonts w:cstheme="minorHAnsi"/>
          <w:bCs/>
          <w:iCs/>
        </w:rPr>
        <w:t>Individuals’ prior academic performance is predictive of their performance as classroom teachers (</w:t>
      </w:r>
      <w:r w:rsidR="00370875" w:rsidRPr="0011718D">
        <w:rPr>
          <w:rFonts w:cstheme="minorHAnsi"/>
        </w:rPr>
        <w:t xml:space="preserve">see </w:t>
      </w:r>
      <w:r w:rsidR="00370875" w:rsidRPr="0011718D">
        <w:rPr>
          <w:rFonts w:cstheme="minorHAnsi"/>
          <w:noProof/>
        </w:rPr>
        <w:t>Goss, Sonnemann and Nolan</w:t>
      </w:r>
      <w:r w:rsidR="00857A3F">
        <w:rPr>
          <w:rFonts w:cstheme="minorHAnsi"/>
          <w:noProof/>
        </w:rPr>
        <w:t>,</w:t>
      </w:r>
      <w:r w:rsidR="00370875" w:rsidRPr="0011718D">
        <w:rPr>
          <w:rFonts w:cstheme="minorHAnsi"/>
          <w:noProof/>
        </w:rPr>
        <w:t xml:space="preserve"> 2019 for a review)</w:t>
      </w:r>
      <w:r w:rsidR="00370875" w:rsidRPr="0011718D">
        <w:rPr>
          <w:rFonts w:cstheme="minorHAnsi"/>
          <w:bCs/>
          <w:iCs/>
        </w:rPr>
        <w:t xml:space="preserve">. The perceived academic calibre of ITE candidates is also an important influence on how the teaching profession is perceived and respected by the general public (e.g. Heffernan et al. 2021; Mancenido 2021). </w:t>
      </w:r>
    </w:p>
    <w:p w14:paraId="01165351" w14:textId="08314FAD" w:rsidR="00DB02E6" w:rsidRDefault="009805DD" w:rsidP="008E1B47">
      <w:pPr>
        <w:spacing w:after="120" w:line="240" w:lineRule="auto"/>
        <w:textAlignment w:val="center"/>
      </w:pPr>
      <w:r>
        <w:rPr>
          <w:rFonts w:cstheme="minorHAnsi"/>
          <w:bCs/>
          <w:iCs/>
        </w:rPr>
        <w:t>The QITE Review also reported th</w:t>
      </w:r>
      <w:r w:rsidR="00D74C58">
        <w:rPr>
          <w:rFonts w:cstheme="minorHAnsi"/>
          <w:bCs/>
          <w:iCs/>
        </w:rPr>
        <w:t>at</w:t>
      </w:r>
      <w:r>
        <w:rPr>
          <w:rFonts w:cstheme="minorHAnsi"/>
          <w:bCs/>
          <w:iCs/>
        </w:rPr>
        <w:t xml:space="preserve"> </w:t>
      </w:r>
      <w:r w:rsidR="00D74C58">
        <w:rPr>
          <w:rFonts w:cstheme="minorHAnsi"/>
          <w:bCs/>
          <w:iCs/>
        </w:rPr>
        <w:t>e</w:t>
      </w:r>
      <w:r w:rsidR="00D74C58">
        <w:t>nsuring an adequate supply of teachers is a key concern for teacher employers and other education stakeholders</w:t>
      </w:r>
      <w:r w:rsidR="00C477A3">
        <w:t xml:space="preserve">. </w:t>
      </w:r>
      <w:r w:rsidR="00EC7D5E">
        <w:t xml:space="preserve">Improving the diversity of the workforce </w:t>
      </w:r>
      <w:r w:rsidR="00800530">
        <w:t xml:space="preserve">can </w:t>
      </w:r>
      <w:r w:rsidR="00EC7D5E">
        <w:t xml:space="preserve">assist in meeting workforce needs. </w:t>
      </w:r>
      <w:r w:rsidR="00E71317">
        <w:t>A</w:t>
      </w:r>
      <w:r w:rsidR="00E71317" w:rsidRPr="6DD891D5">
        <w:t>nalysis of the Graduate Outcomes Survey (20</w:t>
      </w:r>
      <w:r w:rsidR="00E71317">
        <w:t>16</w:t>
      </w:r>
      <w:r w:rsidR="00E71317" w:rsidRPr="6DD891D5">
        <w:t xml:space="preserve"> to 20</w:t>
      </w:r>
      <w:r w:rsidR="00E71317">
        <w:t>19</w:t>
      </w:r>
      <w:r w:rsidR="00E71317" w:rsidRPr="6DD891D5">
        <w:t xml:space="preserve">) </w:t>
      </w:r>
      <w:r w:rsidR="00E71317">
        <w:t xml:space="preserve">by </w:t>
      </w:r>
      <w:r w:rsidR="00E71317" w:rsidRPr="6DD891D5">
        <w:t xml:space="preserve">the </w:t>
      </w:r>
      <w:r w:rsidR="00E71317">
        <w:t xml:space="preserve">Australian Government </w:t>
      </w:r>
      <w:r w:rsidR="00E71317" w:rsidRPr="6DD891D5">
        <w:t xml:space="preserve">Department of Education </w:t>
      </w:r>
      <w:r w:rsidR="00FE456D">
        <w:t xml:space="preserve">Departmental </w:t>
      </w:r>
      <w:r w:rsidR="007C05C0">
        <w:t>shows regional</w:t>
      </w:r>
      <w:r w:rsidR="00721454">
        <w:t xml:space="preserve">/remote and low SES </w:t>
      </w:r>
      <w:r w:rsidR="00721454">
        <w:lastRenderedPageBreak/>
        <w:t xml:space="preserve">students are more likely to work </w:t>
      </w:r>
      <w:r w:rsidR="00380E04">
        <w:t xml:space="preserve">as a teacher </w:t>
      </w:r>
      <w:r w:rsidR="003B172F">
        <w:t>in these locations</w:t>
      </w:r>
      <w:r w:rsidR="001C22C7">
        <w:t>, wh</w:t>
      </w:r>
      <w:r w:rsidR="00E01DE4">
        <w:t xml:space="preserve">ere teacher </w:t>
      </w:r>
      <w:r w:rsidR="00EE653F">
        <w:t xml:space="preserve">shortages are </w:t>
      </w:r>
      <w:r w:rsidR="00B46FB3">
        <w:t xml:space="preserve">considered to be more prevalent. </w:t>
      </w:r>
    </w:p>
    <w:p w14:paraId="7E69B0F3" w14:textId="256583C0" w:rsidR="00664C36" w:rsidRDefault="002438DB" w:rsidP="008E1B47">
      <w:pPr>
        <w:spacing w:after="120" w:line="240" w:lineRule="auto"/>
        <w:textAlignment w:val="center"/>
      </w:pPr>
      <w:r>
        <w:t>Similarly,</w:t>
      </w:r>
      <w:r w:rsidR="00416312">
        <w:t xml:space="preserve"> the QITE Review reported that</w:t>
      </w:r>
      <w:r>
        <w:t xml:space="preserve"> teacher shortages are also considered to be more prevalent in </w:t>
      </w:r>
      <w:r w:rsidR="007E0268">
        <w:t xml:space="preserve">particular subject areas such as </w:t>
      </w:r>
      <w:r w:rsidR="000018F5">
        <w:t xml:space="preserve">science, maths and design and technologies. Measuring the participation of STEM students </w:t>
      </w:r>
      <w:r w:rsidR="00A11707">
        <w:t>recognise</w:t>
      </w:r>
      <w:r w:rsidR="00716259">
        <w:t>s</w:t>
      </w:r>
      <w:r w:rsidR="00A11707">
        <w:t xml:space="preserve"> the high rate of out of field teaching in these areas. </w:t>
      </w:r>
      <w:r w:rsidR="007F4B0D">
        <w:rPr>
          <w:rFonts w:eastAsia="Times New Roman"/>
          <w:lang w:eastAsia="en-AU"/>
        </w:rPr>
        <w:t xml:space="preserve">Results from the ATWD 2018 Teacher Survey show that </w:t>
      </w:r>
      <w:r w:rsidR="00716259">
        <w:rPr>
          <w:rFonts w:eastAsia="Times New Roman"/>
          <w:lang w:eastAsia="en-AU"/>
        </w:rPr>
        <w:t>t</w:t>
      </w:r>
      <w:r w:rsidR="007F4B0D" w:rsidRPr="004C6DFD">
        <w:t>eachers who delivered Mathematics and Design and Technology classes were teaching out-of-field 40 per cent o</w:t>
      </w:r>
      <w:r w:rsidR="00D233A2">
        <w:t>r</w:t>
      </w:r>
      <w:r w:rsidR="007F4B0D" w:rsidRPr="004C6DFD">
        <w:t xml:space="preserve"> more of the time</w:t>
      </w:r>
      <w:r w:rsidR="00B85CE2">
        <w:t>. Re</w:t>
      </w:r>
      <w:r w:rsidR="00785A5D">
        <w:t>search shows that student</w:t>
      </w:r>
      <w:r w:rsidR="000248EC">
        <w:t xml:space="preserve"> learning improves </w:t>
      </w:r>
      <w:r w:rsidR="00785A5D">
        <w:t xml:space="preserve">academically when they take a class that is taught by a teacher </w:t>
      </w:r>
      <w:r w:rsidR="000248EC">
        <w:t>with</w:t>
      </w:r>
      <w:r w:rsidR="00785A5D">
        <w:t xml:space="preserve"> the requisite qualifications to teach the class</w:t>
      </w:r>
      <w:r w:rsidR="000248EC">
        <w:t xml:space="preserve"> (</w:t>
      </w:r>
      <w:r w:rsidR="003C559E">
        <w:t xml:space="preserve">Van </w:t>
      </w:r>
      <w:proofErr w:type="spellStart"/>
      <w:r w:rsidR="003C559E">
        <w:t>Overschelde</w:t>
      </w:r>
      <w:proofErr w:type="spellEnd"/>
      <w:r w:rsidR="00F07EFC">
        <w:t xml:space="preserve"> 2022)</w:t>
      </w:r>
      <w:r w:rsidR="002747E3">
        <w:t>.</w:t>
      </w:r>
      <w:r w:rsidR="00EB6CC1">
        <w:t xml:space="preserve"> </w:t>
      </w:r>
    </w:p>
    <w:p w14:paraId="155824DE" w14:textId="492F161F" w:rsidR="005956B3" w:rsidRPr="0011718D" w:rsidRDefault="005956B3" w:rsidP="00740B25">
      <w:pPr>
        <w:spacing w:after="0" w:line="240" w:lineRule="auto"/>
      </w:pPr>
      <w:r w:rsidRPr="7E89CEB8">
        <w:t xml:space="preserve">These indicators recognise the success of policies and efforts of higher education providers to </w:t>
      </w:r>
      <w:r w:rsidR="00676B61">
        <w:t>attract diverse high</w:t>
      </w:r>
      <w:r w:rsidR="009777C6">
        <w:t>-</w:t>
      </w:r>
      <w:r w:rsidR="00676B61">
        <w:t>quality candidates in areas of workforce need</w:t>
      </w:r>
      <w:r w:rsidRPr="7E89CEB8">
        <w:t>. This could include policies to:</w:t>
      </w:r>
    </w:p>
    <w:p w14:paraId="718B072D" w14:textId="7A83C870" w:rsidR="005956B3" w:rsidRPr="00F91BAF" w:rsidRDefault="005956B3" w:rsidP="007D6F33">
      <w:pPr>
        <w:pStyle w:val="ListParagraph"/>
        <w:numPr>
          <w:ilvl w:val="0"/>
          <w:numId w:val="24"/>
        </w:numPr>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increase representation through access opportunities (e.g. foundation and short courses) pathways</w:t>
      </w:r>
      <w:r w:rsidR="00DE08FB">
        <w:rPr>
          <w:rFonts w:ascii="Calibri" w:eastAsia="Times New Roman" w:hAnsi="Calibri" w:cs="Calibri"/>
          <w:sz w:val="22"/>
          <w:szCs w:val="22"/>
          <w:lang w:eastAsia="en-AU"/>
        </w:rPr>
        <w:t xml:space="preserve"> and incentives</w:t>
      </w:r>
      <w:r w:rsidRPr="3EA66A1B">
        <w:rPr>
          <w:rFonts w:ascii="Calibri" w:eastAsia="Times New Roman" w:hAnsi="Calibri" w:cs="Calibri"/>
          <w:sz w:val="22"/>
          <w:szCs w:val="22"/>
          <w:lang w:eastAsia="en-AU"/>
        </w:rPr>
        <w:t xml:space="preserve"> into ITE to </w:t>
      </w:r>
      <w:r w:rsidR="00DE08FB">
        <w:rPr>
          <w:rFonts w:ascii="Calibri" w:eastAsia="Times New Roman" w:hAnsi="Calibri" w:cs="Calibri"/>
          <w:sz w:val="22"/>
          <w:szCs w:val="22"/>
          <w:lang w:eastAsia="en-AU"/>
        </w:rPr>
        <w:t xml:space="preserve">attract </w:t>
      </w:r>
      <w:r w:rsidRPr="3EA66A1B">
        <w:rPr>
          <w:rFonts w:ascii="Calibri" w:eastAsia="Times New Roman" w:hAnsi="Calibri" w:cs="Calibri"/>
          <w:sz w:val="22"/>
          <w:szCs w:val="22"/>
          <w:lang w:eastAsia="en-AU"/>
        </w:rPr>
        <w:t>divers</w:t>
      </w:r>
      <w:r w:rsidR="00DE08FB">
        <w:rPr>
          <w:rFonts w:ascii="Calibri" w:eastAsia="Times New Roman" w:hAnsi="Calibri" w:cs="Calibri"/>
          <w:sz w:val="22"/>
          <w:szCs w:val="22"/>
          <w:lang w:eastAsia="en-AU"/>
        </w:rPr>
        <w:t>e high</w:t>
      </w:r>
      <w:r w:rsidR="009777C6">
        <w:rPr>
          <w:rFonts w:ascii="Calibri" w:eastAsia="Times New Roman" w:hAnsi="Calibri" w:cs="Calibri"/>
          <w:sz w:val="22"/>
          <w:szCs w:val="22"/>
          <w:lang w:eastAsia="en-AU"/>
        </w:rPr>
        <w:t>-</w:t>
      </w:r>
      <w:r w:rsidR="00DE08FB">
        <w:rPr>
          <w:rFonts w:ascii="Calibri" w:eastAsia="Times New Roman" w:hAnsi="Calibri" w:cs="Calibri"/>
          <w:sz w:val="22"/>
          <w:szCs w:val="22"/>
          <w:lang w:eastAsia="en-AU"/>
        </w:rPr>
        <w:t>quality</w:t>
      </w:r>
      <w:r w:rsidR="0049004A">
        <w:rPr>
          <w:rFonts w:ascii="Calibri" w:eastAsia="Times New Roman" w:hAnsi="Calibri" w:cs="Calibri"/>
          <w:sz w:val="22"/>
          <w:szCs w:val="22"/>
          <w:lang w:eastAsia="en-AU"/>
        </w:rPr>
        <w:t xml:space="preserve"> students</w:t>
      </w:r>
      <w:r w:rsidRPr="3EA66A1B">
        <w:rPr>
          <w:rFonts w:ascii="Calibri" w:eastAsia="Times New Roman" w:hAnsi="Calibri" w:cs="Calibri"/>
          <w:sz w:val="22"/>
          <w:szCs w:val="22"/>
          <w:lang w:eastAsia="en-AU"/>
        </w:rPr>
        <w:t xml:space="preserve"> (O’Sullivan et al. 2019; QITE Recommendation 11).</w:t>
      </w:r>
    </w:p>
    <w:p w14:paraId="62D1DBC0" w14:textId="012C5177" w:rsidR="00D62A04" w:rsidRDefault="005956B3" w:rsidP="007D6F33">
      <w:pPr>
        <w:pStyle w:val="ListParagraph"/>
        <w:numPr>
          <w:ilvl w:val="0"/>
          <w:numId w:val="24"/>
        </w:numPr>
        <w:spacing w:after="240"/>
        <w:ind w:left="714" w:hanging="357"/>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use “transparent selection for entry to teaching” to increase equity of participation (QITE Recommendation 2: p. xii)</w:t>
      </w:r>
      <w:bookmarkEnd w:id="43"/>
      <w:r w:rsidR="00F91BAF" w:rsidRPr="3EA66A1B">
        <w:rPr>
          <w:rFonts w:ascii="Calibri" w:eastAsia="Times New Roman" w:hAnsi="Calibri" w:cs="Calibri"/>
          <w:sz w:val="22"/>
          <w:szCs w:val="22"/>
          <w:lang w:eastAsia="en-AU"/>
        </w:rPr>
        <w:t>.</w:t>
      </w:r>
      <w:bookmarkStart w:id="47" w:name="_Toc127459784"/>
    </w:p>
    <w:p w14:paraId="703071BF" w14:textId="164A722C" w:rsidR="005956B3" w:rsidRPr="009A24BB" w:rsidRDefault="00764221" w:rsidP="007C2797">
      <w:pPr>
        <w:pStyle w:val="Heading4"/>
        <w:spacing w:before="0" w:line="240" w:lineRule="auto"/>
        <w:rPr>
          <w:rFonts w:asciiTheme="minorHAnsi" w:eastAsia="Times New Roman" w:hAnsiTheme="minorHAnsi" w:cstheme="minorHAnsi"/>
          <w:color w:val="002C3E" w:themeColor="background2"/>
          <w:szCs w:val="28"/>
          <w:lang w:eastAsia="en-AU"/>
        </w:rPr>
      </w:pPr>
      <w:r w:rsidRPr="009A24BB">
        <w:rPr>
          <w:rFonts w:asciiTheme="minorHAnsi" w:eastAsia="Times New Roman" w:hAnsiTheme="minorHAnsi" w:cstheme="minorHAnsi"/>
          <w:color w:val="002C3E" w:themeColor="background2"/>
          <w:szCs w:val="28"/>
          <w:lang w:eastAsia="en-AU"/>
        </w:rPr>
        <w:t xml:space="preserve">2.2.2 </w:t>
      </w:r>
      <w:r w:rsidR="005956B3" w:rsidRPr="00714A45">
        <w:rPr>
          <w:rFonts w:ascii="Calibri" w:eastAsia="Times New Roman" w:hAnsi="Calibri" w:cs="Calibri"/>
          <w:color w:val="002C3E" w:themeColor="background2"/>
          <w:szCs w:val="28"/>
          <w:lang w:eastAsia="en-AU"/>
        </w:rPr>
        <w:t>Category 2: Retention</w:t>
      </w:r>
      <w:bookmarkEnd w:id="47"/>
    </w:p>
    <w:p w14:paraId="188E2964" w14:textId="1160815E" w:rsidR="0095211F" w:rsidRDefault="005956B3" w:rsidP="003F2FEF">
      <w:pPr>
        <w:spacing w:line="240" w:lineRule="auto"/>
      </w:pPr>
      <w:r w:rsidRPr="4646D3C9">
        <w:t xml:space="preserve">Retention refers to retaining students over the duration of the </w:t>
      </w:r>
      <w:r w:rsidR="005D529A">
        <w:t>program</w:t>
      </w:r>
      <w:r w:rsidRPr="4646D3C9">
        <w:t xml:space="preserve"> from entry to graduation. This indicator focuses on retention at the first and sixth year and includes all students. This category measures the extent to which enrolled ITE students graduate from their </w:t>
      </w:r>
      <w:r w:rsidR="005D529A">
        <w:t>program</w:t>
      </w:r>
      <w:r w:rsidRPr="4646D3C9">
        <w:t>. In the Australian higher education policy landscape, the HES Framework (2021) stipulates that higher education providers are required to regularly review “analyses of progression rates, attrition rates, completion times” of ITE candidates (HES Framework, 2021, Part A, 5.3.4).</w:t>
      </w:r>
    </w:p>
    <w:p w14:paraId="1747E841" w14:textId="1ACB1488" w:rsidR="0095211F" w:rsidRPr="009A24BB" w:rsidRDefault="7D6533DD" w:rsidP="0095211F">
      <w:pPr>
        <w:spacing w:after="0" w:line="240" w:lineRule="auto"/>
        <w:textAlignment w:val="baseline"/>
        <w:rPr>
          <w:rFonts w:ascii="Calibri" w:eastAsia="Times New Roman" w:hAnsi="Calibri" w:cs="Calibri"/>
          <w:b/>
          <w:color w:val="000000" w:themeColor="text1"/>
          <w:sz w:val="26"/>
          <w:szCs w:val="26"/>
          <w:lang w:eastAsia="en-AU"/>
        </w:rPr>
      </w:pPr>
      <w:r w:rsidRPr="009A24BB">
        <w:rPr>
          <w:rFonts w:ascii="Calibri" w:eastAsia="Times New Roman" w:hAnsi="Calibri" w:cs="Calibri"/>
          <w:b/>
          <w:bCs/>
          <w:color w:val="000000" w:themeColor="text1"/>
          <w:sz w:val="26"/>
          <w:szCs w:val="26"/>
          <w:lang w:eastAsia="en-AU"/>
        </w:rPr>
        <w:t>I</w:t>
      </w:r>
      <w:r w:rsidR="0095211F" w:rsidRPr="009A24BB">
        <w:rPr>
          <w:rFonts w:ascii="Calibri" w:eastAsia="Times New Roman" w:hAnsi="Calibri" w:cs="Calibri"/>
          <w:b/>
          <w:bCs/>
          <w:color w:val="000000" w:themeColor="text1"/>
          <w:sz w:val="26"/>
          <w:szCs w:val="26"/>
          <w:lang w:eastAsia="en-AU"/>
        </w:rPr>
        <w:t>ndicators</w:t>
      </w:r>
    </w:p>
    <w:p w14:paraId="3CA5CFA5" w14:textId="77777777" w:rsidR="0095211F" w:rsidRPr="0011718D" w:rsidRDefault="0095211F" w:rsidP="0095211F">
      <w:pPr>
        <w:spacing w:after="0" w:line="240" w:lineRule="auto"/>
      </w:pPr>
      <w:r w:rsidRPr="4646D3C9">
        <w:t>The proposed performance indicators for this category are:</w:t>
      </w:r>
    </w:p>
    <w:p w14:paraId="401BB21A" w14:textId="045EEBAA" w:rsidR="0095211F" w:rsidRPr="00F91BAF" w:rsidRDefault="0095211F" w:rsidP="007D6F33">
      <w:pPr>
        <w:pStyle w:val="ListParagraph"/>
        <w:numPr>
          <w:ilvl w:val="0"/>
          <w:numId w:val="24"/>
        </w:numPr>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 xml:space="preserve">First-year attrition rate: the proportion of students leaving </w:t>
      </w:r>
      <w:r w:rsidR="008600FF" w:rsidRPr="114086FA">
        <w:rPr>
          <w:rFonts w:ascii="Calibri" w:eastAsia="Times New Roman" w:hAnsi="Calibri" w:cs="Calibri"/>
          <w:sz w:val="22"/>
          <w:szCs w:val="22"/>
          <w:lang w:eastAsia="en-AU"/>
        </w:rPr>
        <w:t>ITE</w:t>
      </w:r>
      <w:r w:rsidRPr="3EA66A1B">
        <w:rPr>
          <w:rFonts w:ascii="Calibri" w:eastAsia="Times New Roman" w:hAnsi="Calibri" w:cs="Calibri"/>
          <w:sz w:val="22"/>
          <w:szCs w:val="22"/>
          <w:lang w:eastAsia="en-AU"/>
        </w:rPr>
        <w:t xml:space="preserve"> in their first year</w:t>
      </w:r>
      <w:r w:rsidR="006A0B48">
        <w:rPr>
          <w:rFonts w:ascii="Calibri" w:eastAsia="Times New Roman" w:hAnsi="Calibri" w:cs="Calibri"/>
          <w:sz w:val="22"/>
          <w:szCs w:val="22"/>
          <w:lang w:eastAsia="en-AU"/>
        </w:rPr>
        <w:t>.</w:t>
      </w:r>
    </w:p>
    <w:p w14:paraId="00B31E16" w14:textId="5ABC498F" w:rsidR="0095211F" w:rsidRPr="00061D82" w:rsidRDefault="0095211F" w:rsidP="007D6F33">
      <w:pPr>
        <w:pStyle w:val="ListParagraph"/>
        <w:numPr>
          <w:ilvl w:val="0"/>
          <w:numId w:val="24"/>
        </w:numPr>
        <w:spacing w:after="120"/>
        <w:ind w:left="714" w:hanging="357"/>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 xml:space="preserve">Six-year dropout rate: the proportion of commencing students leaving </w:t>
      </w:r>
      <w:r w:rsidR="00390508">
        <w:rPr>
          <w:rFonts w:ascii="Calibri" w:eastAsia="Times New Roman" w:hAnsi="Calibri" w:cs="Calibri"/>
          <w:sz w:val="22"/>
          <w:szCs w:val="22"/>
          <w:lang w:eastAsia="en-AU"/>
        </w:rPr>
        <w:t xml:space="preserve">the ITE </w:t>
      </w:r>
      <w:r w:rsidR="00D269FA" w:rsidRPr="00D269FA">
        <w:rPr>
          <w:sz w:val="22"/>
          <w:szCs w:val="22"/>
        </w:rPr>
        <w:t>program</w:t>
      </w:r>
      <w:r w:rsidR="00D269FA" w:rsidRPr="00D269FA">
        <w:rPr>
          <w:rFonts w:ascii="Calibri" w:eastAsia="Times New Roman" w:hAnsi="Calibri" w:cs="Calibri"/>
          <w:sz w:val="20"/>
          <w:szCs w:val="20"/>
          <w:lang w:eastAsia="en-AU"/>
        </w:rPr>
        <w:t xml:space="preserve"> </w:t>
      </w:r>
      <w:r w:rsidRPr="3EA66A1B">
        <w:rPr>
          <w:rFonts w:ascii="Calibri" w:eastAsia="Times New Roman" w:hAnsi="Calibri" w:cs="Calibri"/>
          <w:sz w:val="22"/>
          <w:szCs w:val="22"/>
          <w:lang w:eastAsia="en-AU"/>
        </w:rPr>
        <w:t>within six years</w:t>
      </w:r>
      <w:r w:rsidR="006A0B48">
        <w:rPr>
          <w:rFonts w:ascii="Calibri" w:eastAsia="Times New Roman" w:hAnsi="Calibri" w:cs="Calibri"/>
          <w:sz w:val="22"/>
          <w:szCs w:val="22"/>
          <w:lang w:eastAsia="en-AU"/>
        </w:rPr>
        <w:t>.</w:t>
      </w:r>
    </w:p>
    <w:p w14:paraId="7295E58B" w14:textId="6A3DBE62" w:rsidR="0095211F" w:rsidRPr="0011718D" w:rsidRDefault="0095211F" w:rsidP="00E36CF5">
      <w:pPr>
        <w:spacing w:after="120" w:line="240" w:lineRule="auto"/>
      </w:pPr>
      <w:r>
        <w:t>These</w:t>
      </w:r>
      <w:r w:rsidRPr="4646D3C9">
        <w:t xml:space="preserve"> indicators measure the extent to which students leave their ITE </w:t>
      </w:r>
      <w:r w:rsidR="00D269FA">
        <w:t>program</w:t>
      </w:r>
      <w:r w:rsidR="00D269FA" w:rsidRPr="4646D3C9">
        <w:t xml:space="preserve"> </w:t>
      </w:r>
      <w:r w:rsidRPr="4646D3C9">
        <w:t xml:space="preserve">shortly after commencement and the proportion of students who dropout from ITE. </w:t>
      </w:r>
      <w:r w:rsidRPr="00896404">
        <w:t xml:space="preserve">First-year attrition </w:t>
      </w:r>
      <w:r w:rsidR="004D0038" w:rsidRPr="00896404">
        <w:t xml:space="preserve">is a reflection of </w:t>
      </w:r>
      <w:r w:rsidR="001B64AF" w:rsidRPr="00896404">
        <w:t xml:space="preserve">the selection of suitable ITE </w:t>
      </w:r>
      <w:r w:rsidR="001E3FD7" w:rsidRPr="00896404">
        <w:t>students,</w:t>
      </w:r>
      <w:r w:rsidR="001B64AF" w:rsidRPr="00896404">
        <w:t xml:space="preserve"> and the support provided in their </w:t>
      </w:r>
      <w:r w:rsidR="00772834">
        <w:t xml:space="preserve">first </w:t>
      </w:r>
      <w:r w:rsidR="001B64AF" w:rsidRPr="00896404">
        <w:t>year</w:t>
      </w:r>
      <w:r w:rsidRPr="00896404">
        <w:t>.</w:t>
      </w:r>
      <w:r w:rsidRPr="4646D3C9">
        <w:t xml:space="preserve"> The six-year dropout rate captures the proportion of commencing students who have separated from their </w:t>
      </w:r>
      <w:r w:rsidR="005D529A">
        <w:t>program</w:t>
      </w:r>
      <w:r w:rsidRPr="4646D3C9">
        <w:t xml:space="preserve"> within six years, while also accounting for part-time students who may still be enrolled in their </w:t>
      </w:r>
      <w:r w:rsidR="005D529A">
        <w:t>program</w:t>
      </w:r>
      <w:r w:rsidRPr="4646D3C9">
        <w:t xml:space="preserve"> after six years. These</w:t>
      </w:r>
      <w:r w:rsidR="00A40DF6">
        <w:t xml:space="preserve"> indicators</w:t>
      </w:r>
      <w:r w:rsidRPr="4646D3C9">
        <w:t xml:space="preserve"> reflect the outcome of a student’s pathway through their </w:t>
      </w:r>
      <w:r w:rsidR="005D529A">
        <w:t>program</w:t>
      </w:r>
      <w:r w:rsidRPr="4646D3C9">
        <w:t>.</w:t>
      </w:r>
    </w:p>
    <w:p w14:paraId="645F6D9D" w14:textId="29F3E2BE" w:rsidR="00950223" w:rsidRPr="0058172F" w:rsidRDefault="00950223" w:rsidP="00E64DCE">
      <w:pPr>
        <w:spacing w:after="0" w:line="240" w:lineRule="auto"/>
      </w:pPr>
      <w:r w:rsidRPr="00950223">
        <w:t>The below figures show the data across higher education providers for these proposed indicators.</w:t>
      </w:r>
      <w:r>
        <w:t xml:space="preserve"> The data shows:</w:t>
      </w:r>
    </w:p>
    <w:p w14:paraId="14A7CAD6" w14:textId="696F6094" w:rsidR="00FB7873" w:rsidRPr="00DE1959" w:rsidRDefault="00FB7873" w:rsidP="00FB7873">
      <w:pPr>
        <w:pStyle w:val="ListParagraph"/>
        <w:numPr>
          <w:ilvl w:val="0"/>
          <w:numId w:val="51"/>
        </w:numPr>
        <w:contextualSpacing w:val="0"/>
        <w:rPr>
          <w:rFonts w:eastAsia="Times New Roman"/>
          <w:sz w:val="22"/>
          <w:szCs w:val="22"/>
        </w:rPr>
      </w:pPr>
      <w:r w:rsidRPr="00DE1959">
        <w:rPr>
          <w:sz w:val="22"/>
          <w:szCs w:val="22"/>
        </w:rPr>
        <w:t>The first-year attrition rate of ITE students commencing in 2019 varies between a low of ten per cent and a high of 59 per cent across higher education providers (excluding one higher education provider with a small number of observations</w:t>
      </w:r>
      <w:r w:rsidR="00BE32B0">
        <w:rPr>
          <w:sz w:val="22"/>
          <w:szCs w:val="22"/>
        </w:rPr>
        <w:t>)</w:t>
      </w:r>
      <w:r w:rsidRPr="00DE1959">
        <w:rPr>
          <w:sz w:val="22"/>
          <w:szCs w:val="22"/>
        </w:rPr>
        <w:t xml:space="preserve"> </w:t>
      </w:r>
      <w:r w:rsidRPr="00DE1959">
        <w:rPr>
          <w:rFonts w:eastAsia="Times New Roman"/>
          <w:sz w:val="22"/>
          <w:szCs w:val="22"/>
        </w:rPr>
        <w:t>(</w:t>
      </w:r>
      <w:r w:rsidR="00497C36" w:rsidRPr="00DE1959">
        <w:rPr>
          <w:rFonts w:eastAsia="Times New Roman"/>
          <w:sz w:val="22"/>
          <w:szCs w:val="22"/>
        </w:rPr>
        <w:t xml:space="preserve">Figure </w:t>
      </w:r>
      <w:r w:rsidR="00ED72EF">
        <w:rPr>
          <w:rFonts w:eastAsia="Times New Roman"/>
          <w:sz w:val="22"/>
          <w:szCs w:val="22"/>
        </w:rPr>
        <w:t>2.</w:t>
      </w:r>
      <w:r w:rsidRPr="00DE1959">
        <w:rPr>
          <w:rFonts w:eastAsia="Times New Roman"/>
          <w:sz w:val="22"/>
          <w:szCs w:val="22"/>
        </w:rPr>
        <w:t>5)</w:t>
      </w:r>
      <w:r w:rsidR="006A0B48">
        <w:rPr>
          <w:rFonts w:eastAsia="Times New Roman"/>
          <w:sz w:val="22"/>
          <w:szCs w:val="22"/>
        </w:rPr>
        <w:t>.</w:t>
      </w:r>
    </w:p>
    <w:p w14:paraId="2EA5407D" w14:textId="50A8E544" w:rsidR="00FB7873" w:rsidRPr="00DE1959" w:rsidRDefault="00FB7873" w:rsidP="002A14C6">
      <w:pPr>
        <w:pStyle w:val="ListParagraph"/>
        <w:numPr>
          <w:ilvl w:val="0"/>
          <w:numId w:val="52"/>
        </w:numPr>
        <w:spacing w:after="120"/>
        <w:ind w:left="714" w:hanging="357"/>
        <w:contextualSpacing w:val="0"/>
        <w:rPr>
          <w:sz w:val="22"/>
          <w:szCs w:val="22"/>
          <w:u w:val="single"/>
        </w:rPr>
      </w:pPr>
      <w:r w:rsidRPr="00DE1959">
        <w:rPr>
          <w:sz w:val="22"/>
          <w:szCs w:val="22"/>
        </w:rPr>
        <w:t>The six-year dropout rate of ITE students commencing in 2015 varies between a low of 14 per cent and a high of 5</w:t>
      </w:r>
      <w:r w:rsidR="00D4499D">
        <w:rPr>
          <w:sz w:val="22"/>
          <w:szCs w:val="22"/>
        </w:rPr>
        <w:t>8</w:t>
      </w:r>
      <w:r w:rsidRPr="00DE1959">
        <w:rPr>
          <w:sz w:val="22"/>
          <w:szCs w:val="22"/>
        </w:rPr>
        <w:t xml:space="preserve"> per cent across higher education providers</w:t>
      </w:r>
      <w:r w:rsidR="00DE1959">
        <w:rPr>
          <w:sz w:val="22"/>
          <w:szCs w:val="22"/>
        </w:rPr>
        <w:t xml:space="preserve"> </w:t>
      </w:r>
      <w:r w:rsidRPr="00DE1959">
        <w:rPr>
          <w:rFonts w:eastAsia="Times New Roman"/>
          <w:sz w:val="22"/>
          <w:szCs w:val="22"/>
        </w:rPr>
        <w:t xml:space="preserve">(Figure </w:t>
      </w:r>
      <w:r w:rsidR="00ED72EF">
        <w:rPr>
          <w:rFonts w:eastAsia="Times New Roman"/>
          <w:sz w:val="22"/>
          <w:szCs w:val="22"/>
        </w:rPr>
        <w:t>2.</w:t>
      </w:r>
      <w:r w:rsidRPr="00DE1959">
        <w:rPr>
          <w:rFonts w:eastAsia="Times New Roman"/>
          <w:sz w:val="22"/>
          <w:szCs w:val="22"/>
        </w:rPr>
        <w:t>6)</w:t>
      </w:r>
      <w:r w:rsidR="00107807">
        <w:rPr>
          <w:rFonts w:eastAsia="Times New Roman"/>
          <w:sz w:val="22"/>
          <w:szCs w:val="22"/>
        </w:rPr>
        <w:t>.</w:t>
      </w:r>
    </w:p>
    <w:p w14:paraId="08E6563F" w14:textId="77777777" w:rsidR="0029293E" w:rsidRDefault="0029293E">
      <w:pPr>
        <w:spacing w:after="160"/>
        <w:rPr>
          <w:b/>
          <w:bCs/>
        </w:rPr>
      </w:pPr>
      <w:r>
        <w:rPr>
          <w:b/>
          <w:bCs/>
        </w:rPr>
        <w:br w:type="page"/>
      </w:r>
    </w:p>
    <w:p w14:paraId="00B1E1ED" w14:textId="5F3B8190" w:rsidR="00497C36" w:rsidRDefault="00497C36" w:rsidP="00497C36">
      <w:pPr>
        <w:spacing w:after="0"/>
        <w:rPr>
          <w:b/>
          <w:bCs/>
        </w:rPr>
      </w:pPr>
      <w:r w:rsidRPr="00516211">
        <w:rPr>
          <w:b/>
          <w:bCs/>
        </w:rPr>
        <w:lastRenderedPageBreak/>
        <w:t>Figure</w:t>
      </w:r>
      <w:r>
        <w:rPr>
          <w:b/>
          <w:bCs/>
        </w:rPr>
        <w:t xml:space="preserve"> </w:t>
      </w:r>
      <w:r w:rsidR="00FC4045">
        <w:rPr>
          <w:b/>
          <w:bCs/>
        </w:rPr>
        <w:t>2.</w:t>
      </w:r>
      <w:r w:rsidR="00FB7873">
        <w:rPr>
          <w:b/>
          <w:bCs/>
        </w:rPr>
        <w:t>5</w:t>
      </w:r>
      <w:r w:rsidRPr="00516211">
        <w:rPr>
          <w:b/>
          <w:bCs/>
        </w:rPr>
        <w:t xml:space="preserve">: </w:t>
      </w:r>
      <w:r>
        <w:rPr>
          <w:b/>
          <w:bCs/>
        </w:rPr>
        <w:t>First-year a</w:t>
      </w:r>
      <w:r w:rsidRPr="0024195B">
        <w:rPr>
          <w:b/>
          <w:bCs/>
        </w:rPr>
        <w:t xml:space="preserve">ttrition rate </w:t>
      </w:r>
      <w:r>
        <w:rPr>
          <w:b/>
          <w:bCs/>
        </w:rPr>
        <w:t>of ITE students commencing in 2019, by higher education provider</w:t>
      </w:r>
    </w:p>
    <w:p w14:paraId="53F1DCD6" w14:textId="14A9AA12" w:rsidR="00497C36" w:rsidRPr="0011718D" w:rsidRDefault="009B570E" w:rsidP="003F2FEF">
      <w:pPr>
        <w:spacing w:line="240" w:lineRule="auto"/>
      </w:pPr>
      <w:r>
        <w:rPr>
          <w:noProof/>
        </w:rPr>
        <w:drawing>
          <wp:inline distT="0" distB="0" distL="0" distR="0" wp14:anchorId="4BEE258B" wp14:editId="6FC630AA">
            <wp:extent cx="5730296" cy="2770936"/>
            <wp:effectExtent l="0" t="0" r="381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0296" cy="2770936"/>
                    </a:xfrm>
                    <a:prstGeom prst="rect">
                      <a:avLst/>
                    </a:prstGeom>
                  </pic:spPr>
                </pic:pic>
              </a:graphicData>
            </a:graphic>
          </wp:inline>
        </w:drawing>
      </w:r>
    </w:p>
    <w:p w14:paraId="533F06C2" w14:textId="77777777" w:rsidR="00043FDB" w:rsidRPr="0024195B" w:rsidRDefault="00043FDB" w:rsidP="006822F3">
      <w:pPr>
        <w:spacing w:after="0" w:line="240" w:lineRule="auto"/>
        <w:rPr>
          <w:sz w:val="16"/>
          <w:szCs w:val="16"/>
        </w:rPr>
      </w:pPr>
      <w:r w:rsidRPr="0024195B">
        <w:rPr>
          <w:sz w:val="16"/>
          <w:szCs w:val="16"/>
        </w:rPr>
        <w:t>Source: Higher Education Statistics Collection, Department of Education, 2019, www.education.gov.au</w:t>
      </w:r>
    </w:p>
    <w:p w14:paraId="7E6786E6" w14:textId="3425A630" w:rsidR="00043FDB" w:rsidRPr="0055293F" w:rsidRDefault="00043FDB" w:rsidP="00D24C92">
      <w:pPr>
        <w:spacing w:after="120" w:line="240" w:lineRule="auto"/>
        <w:rPr>
          <w:sz w:val="16"/>
          <w:szCs w:val="16"/>
        </w:rPr>
      </w:pPr>
      <w:r w:rsidRPr="0024195B">
        <w:rPr>
          <w:sz w:val="16"/>
          <w:szCs w:val="16"/>
        </w:rPr>
        <w:t>Notes:</w:t>
      </w:r>
      <w:r w:rsidR="0055293F">
        <w:rPr>
          <w:sz w:val="16"/>
          <w:szCs w:val="16"/>
        </w:rPr>
        <w:t xml:space="preserve"> </w:t>
      </w:r>
      <w:r w:rsidR="00A02F61">
        <w:rPr>
          <w:sz w:val="16"/>
          <w:szCs w:val="16"/>
        </w:rPr>
        <w:t>1.</w:t>
      </w:r>
      <w:r w:rsidR="0055293F">
        <w:rPr>
          <w:sz w:val="16"/>
          <w:szCs w:val="16"/>
        </w:rPr>
        <w:t xml:space="preserve"> </w:t>
      </w:r>
      <w:r w:rsidRPr="0055293F">
        <w:rPr>
          <w:sz w:val="16"/>
          <w:szCs w:val="16"/>
        </w:rPr>
        <w:t xml:space="preserve">The attrition rate for 2019 is the proportion of students who commenced an ITE </w:t>
      </w:r>
      <w:r w:rsidR="00D269FA" w:rsidRPr="00D269FA">
        <w:rPr>
          <w:sz w:val="16"/>
          <w:szCs w:val="16"/>
        </w:rPr>
        <w:t xml:space="preserve">program </w:t>
      </w:r>
      <w:r w:rsidRPr="0055293F">
        <w:rPr>
          <w:sz w:val="16"/>
          <w:szCs w:val="16"/>
        </w:rPr>
        <w:t xml:space="preserve">in 2019 who neither complete an ITE </w:t>
      </w:r>
      <w:r w:rsidR="00D269FA" w:rsidRPr="00D269FA">
        <w:rPr>
          <w:sz w:val="16"/>
          <w:szCs w:val="16"/>
        </w:rPr>
        <w:t xml:space="preserve">program </w:t>
      </w:r>
      <w:r w:rsidRPr="0055293F">
        <w:rPr>
          <w:sz w:val="16"/>
          <w:szCs w:val="16"/>
        </w:rPr>
        <w:t xml:space="preserve">in 2019 or 2020 nor return to an ITE </w:t>
      </w:r>
      <w:r w:rsidR="00D269FA" w:rsidRPr="00D269FA">
        <w:rPr>
          <w:sz w:val="16"/>
          <w:szCs w:val="16"/>
        </w:rPr>
        <w:t xml:space="preserve">program </w:t>
      </w:r>
      <w:r w:rsidRPr="0055293F">
        <w:rPr>
          <w:sz w:val="16"/>
          <w:szCs w:val="16"/>
        </w:rPr>
        <w:t>2020.</w:t>
      </w:r>
      <w:r w:rsidR="0055293F">
        <w:rPr>
          <w:sz w:val="16"/>
          <w:szCs w:val="16"/>
        </w:rPr>
        <w:t xml:space="preserve"> </w:t>
      </w:r>
      <w:r w:rsidR="00A02F61">
        <w:rPr>
          <w:sz w:val="16"/>
          <w:szCs w:val="16"/>
        </w:rPr>
        <w:t>2.</w:t>
      </w:r>
      <w:r w:rsidR="0055293F">
        <w:rPr>
          <w:sz w:val="16"/>
          <w:szCs w:val="16"/>
        </w:rPr>
        <w:t xml:space="preserve"> </w:t>
      </w:r>
      <w:r w:rsidRPr="0055293F">
        <w:rPr>
          <w:sz w:val="16"/>
          <w:szCs w:val="16"/>
        </w:rPr>
        <w:t>Dark grey shaded bars indicate a data limitation- higher education providers with less than 26 domestic ITE students enrolled.</w:t>
      </w:r>
    </w:p>
    <w:p w14:paraId="714C3A31" w14:textId="69890826" w:rsidR="00A86586" w:rsidRDefault="00A86586" w:rsidP="00A86586">
      <w:pPr>
        <w:spacing w:after="0"/>
        <w:rPr>
          <w:b/>
          <w:bCs/>
        </w:rPr>
      </w:pPr>
      <w:r w:rsidRPr="00516211">
        <w:rPr>
          <w:b/>
          <w:bCs/>
        </w:rPr>
        <w:t>Figure</w:t>
      </w:r>
      <w:r>
        <w:rPr>
          <w:b/>
          <w:bCs/>
        </w:rPr>
        <w:t xml:space="preserve"> </w:t>
      </w:r>
      <w:r w:rsidR="00570AD5">
        <w:rPr>
          <w:b/>
          <w:bCs/>
        </w:rPr>
        <w:t>2.</w:t>
      </w:r>
      <w:r w:rsidR="00D54C3F">
        <w:rPr>
          <w:b/>
          <w:bCs/>
        </w:rPr>
        <w:t>6</w:t>
      </w:r>
      <w:r w:rsidRPr="00516211">
        <w:rPr>
          <w:b/>
          <w:bCs/>
        </w:rPr>
        <w:t xml:space="preserve">: </w:t>
      </w:r>
      <w:r>
        <w:rPr>
          <w:b/>
          <w:bCs/>
        </w:rPr>
        <w:t>Six-year dropout</w:t>
      </w:r>
      <w:r w:rsidRPr="0024195B">
        <w:rPr>
          <w:b/>
          <w:bCs/>
        </w:rPr>
        <w:t xml:space="preserve"> rate</w:t>
      </w:r>
      <w:r>
        <w:rPr>
          <w:b/>
          <w:bCs/>
        </w:rPr>
        <w:t>s</w:t>
      </w:r>
      <w:r w:rsidRPr="0024195B">
        <w:rPr>
          <w:b/>
          <w:bCs/>
        </w:rPr>
        <w:t xml:space="preserve"> </w:t>
      </w:r>
      <w:r>
        <w:rPr>
          <w:b/>
          <w:bCs/>
        </w:rPr>
        <w:t>of ITE students commencing in 2015, by higher education provider</w:t>
      </w:r>
    </w:p>
    <w:p w14:paraId="09F4040E" w14:textId="723019E2" w:rsidR="00A86586" w:rsidRPr="0011718D" w:rsidRDefault="00BC62BC" w:rsidP="003F2FEF">
      <w:pPr>
        <w:spacing w:line="240" w:lineRule="auto"/>
      </w:pPr>
      <w:r>
        <w:rPr>
          <w:noProof/>
        </w:rPr>
        <w:drawing>
          <wp:inline distT="0" distB="0" distL="0" distR="0" wp14:anchorId="3A5DEBF6" wp14:editId="6EA9DEB4">
            <wp:extent cx="5731510" cy="2778125"/>
            <wp:effectExtent l="0" t="0" r="2540" b="3175"/>
            <wp:docPr id="25" name="Picture 25" descr="Chart, diagram,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diagram, bar char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778125"/>
                    </a:xfrm>
                    <a:prstGeom prst="rect">
                      <a:avLst/>
                    </a:prstGeom>
                  </pic:spPr>
                </pic:pic>
              </a:graphicData>
            </a:graphic>
          </wp:inline>
        </w:drawing>
      </w:r>
    </w:p>
    <w:p w14:paraId="1CD1B733" w14:textId="77777777" w:rsidR="008545CE" w:rsidRPr="00F1605D" w:rsidRDefault="008545CE" w:rsidP="006822F3">
      <w:pPr>
        <w:spacing w:after="0" w:line="240" w:lineRule="auto"/>
        <w:rPr>
          <w:sz w:val="16"/>
          <w:szCs w:val="16"/>
        </w:rPr>
      </w:pPr>
      <w:r w:rsidRPr="00F1605D">
        <w:rPr>
          <w:sz w:val="16"/>
          <w:szCs w:val="16"/>
        </w:rPr>
        <w:t>Source: Student Data (201</w:t>
      </w:r>
      <w:r>
        <w:rPr>
          <w:sz w:val="16"/>
          <w:szCs w:val="16"/>
        </w:rPr>
        <w:t>5</w:t>
      </w:r>
      <w:r w:rsidRPr="00F1605D">
        <w:rPr>
          <w:sz w:val="16"/>
          <w:szCs w:val="16"/>
        </w:rPr>
        <w:t xml:space="preserve"> - 2020), Higher Education Statistics Collection,</w:t>
      </w:r>
      <w:r>
        <w:rPr>
          <w:sz w:val="16"/>
          <w:szCs w:val="16"/>
        </w:rPr>
        <w:t xml:space="preserve"> </w:t>
      </w:r>
      <w:r w:rsidRPr="00F1605D">
        <w:rPr>
          <w:sz w:val="16"/>
          <w:szCs w:val="16"/>
        </w:rPr>
        <w:t>www.education.gov.au</w:t>
      </w:r>
    </w:p>
    <w:p w14:paraId="07B512C5" w14:textId="45AE9F73" w:rsidR="008545CE" w:rsidRPr="00B51003" w:rsidRDefault="008545CE" w:rsidP="006822F3">
      <w:pPr>
        <w:spacing w:after="120" w:line="240" w:lineRule="auto"/>
        <w:rPr>
          <w:sz w:val="16"/>
          <w:szCs w:val="16"/>
        </w:rPr>
      </w:pPr>
      <w:r w:rsidRPr="00F1605D">
        <w:rPr>
          <w:sz w:val="16"/>
          <w:szCs w:val="16"/>
        </w:rPr>
        <w:t xml:space="preserve">Notes: </w:t>
      </w:r>
      <w:r w:rsidR="00A02F61">
        <w:rPr>
          <w:sz w:val="16"/>
          <w:szCs w:val="16"/>
        </w:rPr>
        <w:t>1.</w:t>
      </w:r>
      <w:r w:rsidR="00B37101">
        <w:rPr>
          <w:sz w:val="16"/>
          <w:szCs w:val="16"/>
        </w:rPr>
        <w:t xml:space="preserve"> </w:t>
      </w:r>
      <w:r w:rsidRPr="00B37101">
        <w:rPr>
          <w:sz w:val="16"/>
          <w:szCs w:val="16"/>
        </w:rPr>
        <w:t xml:space="preserve">The six-year dropout rate indicates the proportion of students who had dropped out of their ITE </w:t>
      </w:r>
      <w:r w:rsidR="00D269FA" w:rsidRPr="00D269FA">
        <w:rPr>
          <w:sz w:val="16"/>
          <w:szCs w:val="16"/>
        </w:rPr>
        <w:t xml:space="preserve">program </w:t>
      </w:r>
      <w:r w:rsidRPr="00B37101">
        <w:rPr>
          <w:sz w:val="16"/>
          <w:szCs w:val="16"/>
        </w:rPr>
        <w:t xml:space="preserve">one to six years after commencement. This measure is an indication of the proportion of students who are not expected to complete their </w:t>
      </w:r>
      <w:r w:rsidR="005D529A">
        <w:rPr>
          <w:sz w:val="16"/>
          <w:szCs w:val="16"/>
        </w:rPr>
        <w:t>program</w:t>
      </w:r>
      <w:r w:rsidRPr="00B37101">
        <w:rPr>
          <w:sz w:val="16"/>
          <w:szCs w:val="16"/>
        </w:rPr>
        <w:t xml:space="preserve">. </w:t>
      </w:r>
      <w:r w:rsidR="7BFF0C86" w:rsidRPr="514B8907">
        <w:rPr>
          <w:sz w:val="16"/>
          <w:szCs w:val="16"/>
        </w:rPr>
        <w:t xml:space="preserve">      </w:t>
      </w:r>
      <w:r w:rsidR="7BFF0C86" w:rsidRPr="372C44C5">
        <w:rPr>
          <w:sz w:val="16"/>
          <w:szCs w:val="16"/>
        </w:rPr>
        <w:t xml:space="preserve">                </w:t>
      </w:r>
      <w:r w:rsidR="53D6D0C4" w:rsidRPr="372C44C5">
        <w:rPr>
          <w:sz w:val="16"/>
          <w:szCs w:val="16"/>
        </w:rPr>
        <w:t>2</w:t>
      </w:r>
      <w:r w:rsidR="6EB887E1" w:rsidRPr="372C44C5">
        <w:rPr>
          <w:sz w:val="16"/>
          <w:szCs w:val="16"/>
        </w:rPr>
        <w:t>.</w:t>
      </w:r>
      <w:r w:rsidR="00B51003">
        <w:rPr>
          <w:sz w:val="16"/>
          <w:szCs w:val="16"/>
        </w:rPr>
        <w:t xml:space="preserve"> </w:t>
      </w:r>
      <w:r w:rsidRPr="00B51003">
        <w:rPr>
          <w:sz w:val="16"/>
          <w:szCs w:val="16"/>
        </w:rPr>
        <w:t>Dark grey shaded bars indicate a data limitation- higher education providers with less than 26 domestic ITE students enrolled.</w:t>
      </w:r>
    </w:p>
    <w:p w14:paraId="710C6A70" w14:textId="77777777" w:rsidR="0023696D" w:rsidRDefault="0023696D">
      <w:pPr>
        <w:spacing w:after="160"/>
        <w:rPr>
          <w:rFonts w:ascii="Calibri" w:eastAsia="Times New Roman" w:hAnsi="Calibri" w:cs="Calibri"/>
          <w:b/>
          <w:color w:val="000000" w:themeColor="text1"/>
          <w:sz w:val="26"/>
          <w:szCs w:val="26"/>
          <w:lang w:eastAsia="en-AU"/>
        </w:rPr>
      </w:pPr>
      <w:r>
        <w:rPr>
          <w:rFonts w:ascii="Calibri" w:eastAsia="Times New Roman" w:hAnsi="Calibri" w:cs="Calibri"/>
          <w:b/>
          <w:color w:val="000000" w:themeColor="text1"/>
          <w:sz w:val="26"/>
          <w:szCs w:val="26"/>
          <w:lang w:eastAsia="en-AU"/>
        </w:rPr>
        <w:br w:type="page"/>
      </w:r>
    </w:p>
    <w:p w14:paraId="4FADEA77" w14:textId="7B727556" w:rsidR="005956B3" w:rsidRPr="009A24BB" w:rsidRDefault="005956B3" w:rsidP="005075A6">
      <w:pPr>
        <w:spacing w:after="0" w:line="240" w:lineRule="auto"/>
        <w:textAlignment w:val="baseline"/>
        <w:rPr>
          <w:sz w:val="26"/>
          <w:szCs w:val="26"/>
        </w:rPr>
      </w:pPr>
      <w:r w:rsidRPr="009A24BB">
        <w:rPr>
          <w:rFonts w:ascii="Calibri" w:eastAsia="Times New Roman" w:hAnsi="Calibri" w:cs="Calibri"/>
          <w:b/>
          <w:color w:val="000000" w:themeColor="text1"/>
          <w:sz w:val="26"/>
          <w:szCs w:val="26"/>
          <w:lang w:eastAsia="en-AU"/>
        </w:rPr>
        <w:lastRenderedPageBreak/>
        <w:t xml:space="preserve">Why is </w:t>
      </w:r>
      <w:r w:rsidR="0002098A" w:rsidRPr="009A24BB">
        <w:rPr>
          <w:rFonts w:ascii="Calibri" w:eastAsia="Times New Roman" w:hAnsi="Calibri" w:cs="Calibri"/>
          <w:b/>
          <w:color w:val="000000" w:themeColor="text1"/>
          <w:sz w:val="26"/>
          <w:szCs w:val="26"/>
          <w:lang w:eastAsia="en-AU"/>
        </w:rPr>
        <w:t>retention</w:t>
      </w:r>
      <w:r w:rsidRPr="009A24BB">
        <w:rPr>
          <w:rFonts w:ascii="Calibri" w:eastAsia="Times New Roman" w:hAnsi="Calibri" w:cs="Calibri"/>
          <w:b/>
          <w:color w:val="000000" w:themeColor="text1"/>
          <w:sz w:val="26"/>
          <w:szCs w:val="26"/>
          <w:lang w:eastAsia="en-AU"/>
        </w:rPr>
        <w:t xml:space="preserve"> important? </w:t>
      </w:r>
    </w:p>
    <w:p w14:paraId="3C0176BF" w14:textId="1A415900" w:rsidR="0028291F" w:rsidRDefault="005956B3" w:rsidP="4646D3C9">
      <w:pPr>
        <w:spacing w:after="120" w:line="240" w:lineRule="auto"/>
      </w:pPr>
      <w:r w:rsidRPr="4646D3C9">
        <w:t xml:space="preserve">Measuring the proportion of retained students recognises the high proportion of students who commence but do not graduate as a teacher. Six-year ITE completion rates of students commencing an undergraduate ITE </w:t>
      </w:r>
      <w:r w:rsidR="00D269FA">
        <w:t>program</w:t>
      </w:r>
      <w:r w:rsidR="00D269FA" w:rsidRPr="4646D3C9">
        <w:t xml:space="preserve"> </w:t>
      </w:r>
      <w:r w:rsidRPr="4646D3C9">
        <w:t xml:space="preserve">declined by eight percentage points between 2010 and 2015 (from 56 per cent to 48 per cent respectively, rounded estimates). Similarly, six-year ITE completion rates of students commencing a postgraduate ITE </w:t>
      </w:r>
      <w:r w:rsidR="00D269FA">
        <w:t>program</w:t>
      </w:r>
      <w:r w:rsidR="00D269FA" w:rsidRPr="4646D3C9">
        <w:t xml:space="preserve"> </w:t>
      </w:r>
      <w:r w:rsidRPr="4646D3C9">
        <w:t xml:space="preserve">declined by five percentage points over </w:t>
      </w:r>
      <w:r w:rsidRPr="00CD0489">
        <w:t xml:space="preserve">the same period (from 79 per cent to 74 per cent, rounded estimates; see </w:t>
      </w:r>
      <w:r w:rsidR="005D6666">
        <w:t>DoE</w:t>
      </w:r>
      <w:r w:rsidRPr="00CD0489">
        <w:t xml:space="preserve"> 2022).</w:t>
      </w:r>
      <w:r w:rsidRPr="4646D3C9" w:rsidDel="00724AB9">
        <w:t xml:space="preserve"> </w:t>
      </w:r>
    </w:p>
    <w:p w14:paraId="19F4764C" w14:textId="6AEC9E1E" w:rsidR="0028291F" w:rsidRPr="0011718D" w:rsidRDefault="005956B3" w:rsidP="4646D3C9">
      <w:pPr>
        <w:spacing w:after="120" w:line="240" w:lineRule="auto"/>
      </w:pPr>
      <w:r w:rsidRPr="4646D3C9">
        <w:t>The first year of preparation is widely recognised to be a time when candidates assess their suitability for teaching (AITSL 2019</w:t>
      </w:r>
      <w:r w:rsidR="007B1392">
        <w:t xml:space="preserve"> and</w:t>
      </w:r>
      <w:r w:rsidRPr="4646D3C9">
        <w:t xml:space="preserve"> 2022b) and is the “the most common indicator of high risk to students” (TEQSA 2017, p. 7). A focus on six-year dropout rates provides for an extended period of candidature and indicates the extent to which students are being supported throughout their </w:t>
      </w:r>
      <w:r w:rsidR="005D529A">
        <w:t>program</w:t>
      </w:r>
      <w:r w:rsidRPr="4646D3C9">
        <w:t xml:space="preserve"> (AITSL 2019). Higher education providers play an important role in the retention of students through the design and quality of their </w:t>
      </w:r>
      <w:r w:rsidR="005D529A">
        <w:t>programs</w:t>
      </w:r>
      <w:r w:rsidRPr="4646D3C9">
        <w:t xml:space="preserve"> and supports available to students (Darling-Hammond, 2006; Darling-Hammond et al. 2019). For example, an analysis of student progression through ITE shows </w:t>
      </w:r>
      <w:r w:rsidR="005D6666">
        <w:t>how higher education providers</w:t>
      </w:r>
      <w:r w:rsidR="00473323">
        <w:t>’</w:t>
      </w:r>
      <w:r w:rsidR="005D6666">
        <w:t xml:space="preserve"> </w:t>
      </w:r>
      <w:r w:rsidRPr="4646D3C9">
        <w:t>tim</w:t>
      </w:r>
      <w:r w:rsidR="005D6666">
        <w:t xml:space="preserve">e </w:t>
      </w:r>
      <w:r w:rsidR="00473323">
        <w:t xml:space="preserve">at which they conduct </w:t>
      </w:r>
      <w:r w:rsidR="005D6666">
        <w:t>their</w:t>
      </w:r>
      <w:r w:rsidRPr="4646D3C9">
        <w:t xml:space="preserve"> performance assessments </w:t>
      </w:r>
      <w:r w:rsidR="001E3FD7" w:rsidRPr="4646D3C9">
        <w:t>affect</w:t>
      </w:r>
      <w:r w:rsidR="00473323">
        <w:t>s</w:t>
      </w:r>
      <w:r w:rsidRPr="4646D3C9">
        <w:t xml:space="preserve"> the likelihood of graduating (Wyatt-Smith et al., 2021). Similarly, other higher education characteristics increase the likelihood of dropout including </w:t>
      </w:r>
      <w:r w:rsidR="008227D1" w:rsidRPr="4646D3C9">
        <w:t xml:space="preserve">a higher proportion of </w:t>
      </w:r>
      <w:r w:rsidRPr="4646D3C9">
        <w:t>external enrolments, a lower proportion of senior academic staff employed, and lower percentage of full-time employed staff (TEQSA 2017).</w:t>
      </w:r>
    </w:p>
    <w:p w14:paraId="082132FD" w14:textId="10DD121B" w:rsidR="005956B3" w:rsidRPr="00FE5365" w:rsidRDefault="005956B3" w:rsidP="00FE5365">
      <w:pPr>
        <w:spacing w:after="0" w:line="240" w:lineRule="auto"/>
        <w:rPr>
          <w:rFonts w:cstheme="minorHAnsi"/>
        </w:rPr>
      </w:pPr>
      <w:r w:rsidRPr="0011718D">
        <w:rPr>
          <w:rFonts w:cstheme="minorHAnsi"/>
        </w:rPr>
        <w:t xml:space="preserve">These performance indicators recognise the success of policies and efforts of higher education </w:t>
      </w:r>
      <w:r w:rsidRPr="00FE5365">
        <w:rPr>
          <w:rFonts w:cstheme="minorHAnsi"/>
        </w:rPr>
        <w:t xml:space="preserve">providers to retain students from </w:t>
      </w:r>
      <w:r w:rsidR="005D529A">
        <w:rPr>
          <w:rFonts w:cstheme="minorHAnsi"/>
        </w:rPr>
        <w:t>program</w:t>
      </w:r>
      <w:r w:rsidRPr="00FE5365">
        <w:rPr>
          <w:rFonts w:cstheme="minorHAnsi"/>
        </w:rPr>
        <w:t xml:space="preserve"> entry to </w:t>
      </w:r>
      <w:r w:rsidR="005D529A">
        <w:rPr>
          <w:rFonts w:cstheme="minorHAnsi"/>
        </w:rPr>
        <w:t>program</w:t>
      </w:r>
      <w:r w:rsidRPr="00FE5365">
        <w:rPr>
          <w:rFonts w:cstheme="minorHAnsi"/>
        </w:rPr>
        <w:t xml:space="preserve"> completion. This could include policies to:</w:t>
      </w:r>
    </w:p>
    <w:p w14:paraId="7CADD52B" w14:textId="7A4BF006" w:rsidR="005956B3" w:rsidRPr="00F91BAF" w:rsidRDefault="005956B3" w:rsidP="007D6F33">
      <w:pPr>
        <w:pStyle w:val="ListParagraph"/>
        <w:numPr>
          <w:ilvl w:val="0"/>
          <w:numId w:val="24"/>
        </w:numPr>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identify barriers to success and design targeted improvements for diverse student groups (Dunst 2019; Wyatt-Smith et al. 2022</w:t>
      </w:r>
      <w:r w:rsidRPr="47BDCA5B">
        <w:rPr>
          <w:rFonts w:ascii="Calibri" w:eastAsia="Times New Roman" w:hAnsi="Calibri" w:cs="Calibri"/>
          <w:sz w:val="22"/>
          <w:szCs w:val="22"/>
          <w:lang w:eastAsia="en-AU"/>
        </w:rPr>
        <w:t>)</w:t>
      </w:r>
      <w:r w:rsidR="2E1BD5F7" w:rsidRPr="47BDCA5B">
        <w:rPr>
          <w:rFonts w:ascii="Calibri" w:eastAsia="Times New Roman" w:hAnsi="Calibri" w:cs="Calibri"/>
          <w:sz w:val="22"/>
          <w:szCs w:val="22"/>
          <w:lang w:eastAsia="en-AU"/>
        </w:rPr>
        <w:t>.</w:t>
      </w:r>
    </w:p>
    <w:p w14:paraId="33D7DAD8" w14:textId="4E4400A7" w:rsidR="005956B3" w:rsidRPr="00F91BAF" w:rsidRDefault="005956B3" w:rsidP="007D6F33">
      <w:pPr>
        <w:pStyle w:val="ListParagraph"/>
        <w:numPr>
          <w:ilvl w:val="0"/>
          <w:numId w:val="24"/>
        </w:numPr>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make evidence-informed decisions about known risks of separation (Ng et al. 2018).</w:t>
      </w:r>
    </w:p>
    <w:p w14:paraId="7AF34CA2" w14:textId="2833C139" w:rsidR="005956B3" w:rsidRPr="00F91BAF" w:rsidRDefault="005956B3" w:rsidP="007D6F33">
      <w:pPr>
        <w:pStyle w:val="ListParagraph"/>
        <w:numPr>
          <w:ilvl w:val="0"/>
          <w:numId w:val="24"/>
        </w:numPr>
        <w:spacing w:after="240"/>
        <w:ind w:left="714" w:hanging="357"/>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 xml:space="preserve">monitor progression through key assessment milestones, especially at the first and sixth year timepoints and including </w:t>
      </w:r>
      <w:r w:rsidR="00D50C37" w:rsidRPr="00D50C37">
        <w:rPr>
          <w:rFonts w:ascii="Calibri" w:eastAsia="Times New Roman" w:hAnsi="Calibri" w:cs="Calibri"/>
          <w:sz w:val="22"/>
          <w:szCs w:val="22"/>
          <w:lang w:eastAsia="en-AU"/>
        </w:rPr>
        <w:t xml:space="preserve">practical experience </w:t>
      </w:r>
      <w:r w:rsidRPr="3EA66A1B">
        <w:rPr>
          <w:rFonts w:ascii="Calibri" w:eastAsia="Times New Roman" w:hAnsi="Calibri" w:cs="Calibri"/>
          <w:sz w:val="22"/>
          <w:szCs w:val="22"/>
          <w:lang w:eastAsia="en-AU"/>
        </w:rPr>
        <w:t>placements (Hobson et al. 2009).</w:t>
      </w:r>
    </w:p>
    <w:p w14:paraId="50C34F26" w14:textId="581F740C" w:rsidR="005956B3" w:rsidRPr="009A24BB" w:rsidRDefault="00764221" w:rsidP="007C2797">
      <w:pPr>
        <w:pStyle w:val="Heading4"/>
        <w:spacing w:before="0" w:line="240" w:lineRule="auto"/>
        <w:rPr>
          <w:rFonts w:asciiTheme="minorHAnsi" w:eastAsia="Times New Roman" w:hAnsiTheme="minorHAnsi" w:cstheme="minorHAnsi"/>
          <w:b w:val="0"/>
          <w:color w:val="000000" w:themeColor="text1"/>
          <w:szCs w:val="28"/>
          <w:lang w:eastAsia="en-AU"/>
        </w:rPr>
      </w:pPr>
      <w:bookmarkStart w:id="48" w:name="_Toc127459785"/>
      <w:r w:rsidRPr="009A24BB">
        <w:rPr>
          <w:rFonts w:asciiTheme="minorHAnsi" w:eastAsia="Times New Roman" w:hAnsiTheme="minorHAnsi" w:cstheme="minorHAnsi"/>
          <w:color w:val="002C3E" w:themeColor="background2"/>
          <w:szCs w:val="28"/>
          <w:lang w:eastAsia="en-AU"/>
        </w:rPr>
        <w:t xml:space="preserve">2.2.3 </w:t>
      </w:r>
      <w:r w:rsidR="005956B3" w:rsidRPr="008B2D44">
        <w:rPr>
          <w:rFonts w:asciiTheme="minorHAnsi" w:eastAsia="Times New Roman" w:hAnsiTheme="minorHAnsi" w:cstheme="minorHAnsi"/>
          <w:color w:val="002C3E" w:themeColor="background2"/>
          <w:szCs w:val="28"/>
          <w:lang w:eastAsia="en-AU"/>
        </w:rPr>
        <w:t>Category 3: Classroom readiness</w:t>
      </w:r>
      <w:bookmarkEnd w:id="48"/>
    </w:p>
    <w:p w14:paraId="5EA0D11A" w14:textId="29412ADD" w:rsidR="001E3C61" w:rsidRDefault="005956B3" w:rsidP="003F2FEF">
      <w:pPr>
        <w:spacing w:after="120" w:line="240" w:lineRule="auto"/>
      </w:pPr>
      <w:r w:rsidRPr="38341536">
        <w:t xml:space="preserve">Classroom readiness refers to the preparedness of teachers to begin employment in a school or </w:t>
      </w:r>
      <w:r w:rsidR="001464CD" w:rsidRPr="38341536">
        <w:t>other education setting</w:t>
      </w:r>
      <w:r w:rsidRPr="38341536">
        <w:t xml:space="preserve"> </w:t>
      </w:r>
      <w:r w:rsidR="00F028E9">
        <w:t xml:space="preserve">as a teacher </w:t>
      </w:r>
      <w:r w:rsidRPr="38341536">
        <w:t>on completion of the</w:t>
      </w:r>
      <w:r w:rsidR="001464CD" w:rsidRPr="38341536">
        <w:t>ir</w:t>
      </w:r>
      <w:r w:rsidRPr="38341536">
        <w:t xml:space="preserve"> ITE </w:t>
      </w:r>
      <w:r w:rsidR="00D269FA">
        <w:t>program</w:t>
      </w:r>
      <w:r w:rsidRPr="006625E6">
        <w:t>. Th</w:t>
      </w:r>
      <w:r w:rsidR="00D344AA" w:rsidRPr="006625E6">
        <w:t>e</w:t>
      </w:r>
      <w:r w:rsidR="00D344AA">
        <w:t xml:space="preserve"> preparedness of teachers </w:t>
      </w:r>
      <w:r w:rsidR="006625E6">
        <w:t xml:space="preserve">is achieved </w:t>
      </w:r>
      <w:r w:rsidR="00CC3680">
        <w:t>through</w:t>
      </w:r>
      <w:r w:rsidR="00F04FB1">
        <w:t xml:space="preserve"> both</w:t>
      </w:r>
      <w:r w:rsidR="00CC3680">
        <w:t xml:space="preserve"> </w:t>
      </w:r>
      <w:r w:rsidRPr="38341536">
        <w:t xml:space="preserve">academic and professional practice (school-based) components. </w:t>
      </w:r>
    </w:p>
    <w:p w14:paraId="6FC05079" w14:textId="63455450" w:rsidR="005956B3" w:rsidRDefault="005956B3" w:rsidP="004F2563">
      <w:pPr>
        <w:spacing w:after="120" w:line="240" w:lineRule="auto"/>
      </w:pPr>
      <w:r w:rsidRPr="38341536">
        <w:t xml:space="preserve">This category measures </w:t>
      </w:r>
      <w:bookmarkStart w:id="49" w:name="_Hlk126933085"/>
      <w:r w:rsidRPr="38341536">
        <w:t xml:space="preserve">student satisfaction with the ITE </w:t>
      </w:r>
      <w:r w:rsidR="00D269FA">
        <w:t>program</w:t>
      </w:r>
      <w:r w:rsidR="00D269FA" w:rsidRPr="38341536">
        <w:t xml:space="preserve"> </w:t>
      </w:r>
      <w:r w:rsidRPr="38341536">
        <w:t>and their perceived preparedness for entering the teaching profession</w:t>
      </w:r>
      <w:bookmarkEnd w:id="49"/>
      <w:r w:rsidRPr="38341536">
        <w:t xml:space="preserve">. In Australia, a key focus of classroom readiness has been for higher education providers to prepare confident, effective graduates assessed against the </w:t>
      </w:r>
      <w:r w:rsidR="1E1C7B20" w:rsidRPr="38341536">
        <w:t>Teacher Standards</w:t>
      </w:r>
      <w:r w:rsidR="006E212B">
        <w:t xml:space="preserve"> </w:t>
      </w:r>
      <w:r w:rsidRPr="38341536">
        <w:t xml:space="preserve">(Program Standard 1.4: AITSL 2022). </w:t>
      </w:r>
    </w:p>
    <w:p w14:paraId="065F52B4" w14:textId="603BBC0F" w:rsidR="00557332" w:rsidRPr="009A24BB" w:rsidRDefault="13D2CF06" w:rsidP="003F2FEF">
      <w:pPr>
        <w:spacing w:after="0" w:line="240" w:lineRule="auto"/>
        <w:rPr>
          <w:rFonts w:ascii="Calibri" w:eastAsia="Times New Roman" w:hAnsi="Calibri" w:cs="Calibri"/>
          <w:b/>
          <w:color w:val="000000" w:themeColor="text1"/>
          <w:sz w:val="26"/>
          <w:szCs w:val="26"/>
          <w:lang w:eastAsia="en-AU"/>
        </w:rPr>
      </w:pPr>
      <w:r w:rsidRPr="009A24BB">
        <w:rPr>
          <w:rFonts w:ascii="Calibri" w:eastAsia="Times New Roman" w:hAnsi="Calibri" w:cs="Calibri"/>
          <w:b/>
          <w:bCs/>
          <w:color w:val="000000" w:themeColor="text1"/>
          <w:sz w:val="26"/>
          <w:szCs w:val="26"/>
          <w:lang w:eastAsia="en-AU"/>
        </w:rPr>
        <w:t>I</w:t>
      </w:r>
      <w:r w:rsidR="00557332" w:rsidRPr="009A24BB">
        <w:rPr>
          <w:rFonts w:ascii="Calibri" w:eastAsia="Times New Roman" w:hAnsi="Calibri" w:cs="Calibri"/>
          <w:b/>
          <w:bCs/>
          <w:color w:val="000000" w:themeColor="text1"/>
          <w:sz w:val="26"/>
          <w:szCs w:val="26"/>
          <w:lang w:eastAsia="en-AU"/>
        </w:rPr>
        <w:t xml:space="preserve">ndicators </w:t>
      </w:r>
    </w:p>
    <w:p w14:paraId="11F47033" w14:textId="77777777" w:rsidR="00557332" w:rsidRPr="0011718D" w:rsidRDefault="00557332" w:rsidP="00663D0F">
      <w:pPr>
        <w:spacing w:after="0" w:line="240" w:lineRule="auto"/>
        <w:rPr>
          <w:rFonts w:cstheme="minorHAnsi"/>
        </w:rPr>
      </w:pPr>
      <w:r w:rsidRPr="0011718D">
        <w:rPr>
          <w:rFonts w:cstheme="minorHAnsi"/>
        </w:rPr>
        <w:t xml:space="preserve">The proposed performance indicators for this category are:  </w:t>
      </w:r>
    </w:p>
    <w:p w14:paraId="69811FD4" w14:textId="0AA678D2" w:rsidR="00557332" w:rsidRPr="00F91BAF" w:rsidRDefault="00557332" w:rsidP="007D6F33">
      <w:pPr>
        <w:pStyle w:val="ListParagraph"/>
        <w:numPr>
          <w:ilvl w:val="0"/>
          <w:numId w:val="24"/>
        </w:numPr>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Student satisfaction with the quality of their course (evidence from Student Satisfaction question – QILT survey data)</w:t>
      </w:r>
      <w:r w:rsidR="00B309C5">
        <w:rPr>
          <w:rFonts w:ascii="Calibri" w:eastAsia="Times New Roman" w:hAnsi="Calibri" w:cs="Calibri"/>
          <w:sz w:val="22"/>
          <w:szCs w:val="22"/>
          <w:lang w:eastAsia="en-AU"/>
        </w:rPr>
        <w:t>.</w:t>
      </w:r>
      <w:r w:rsidRPr="3EA66A1B">
        <w:rPr>
          <w:rFonts w:ascii="Calibri" w:eastAsia="Times New Roman" w:hAnsi="Calibri" w:cs="Calibri"/>
          <w:sz w:val="22"/>
          <w:szCs w:val="22"/>
          <w:lang w:eastAsia="en-AU"/>
        </w:rPr>
        <w:t xml:space="preserve"> </w:t>
      </w:r>
    </w:p>
    <w:p w14:paraId="19AEF6EA" w14:textId="77777777" w:rsidR="00557332" w:rsidRPr="00F91BAF" w:rsidRDefault="00557332" w:rsidP="007D6F33">
      <w:pPr>
        <w:pStyle w:val="ListParagraph"/>
        <w:numPr>
          <w:ilvl w:val="0"/>
          <w:numId w:val="24"/>
        </w:numPr>
        <w:spacing w:after="120"/>
        <w:ind w:left="714" w:hanging="357"/>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 xml:space="preserve">Graduate preparedness for employment (Graduate Outcomes Survey: Preparedness to teach question). </w:t>
      </w:r>
    </w:p>
    <w:p w14:paraId="68431BE3" w14:textId="35227E0B" w:rsidR="00557332" w:rsidRPr="0011718D" w:rsidRDefault="00557332" w:rsidP="00A244FE">
      <w:pPr>
        <w:spacing w:after="120" w:line="240" w:lineRule="auto"/>
      </w:pPr>
      <w:r w:rsidRPr="652F2575">
        <w:t xml:space="preserve">These indicators align with an international focus on the assessment of graduate perceptions of </w:t>
      </w:r>
      <w:r w:rsidR="005D529A">
        <w:t>program</w:t>
      </w:r>
      <w:r w:rsidRPr="652F2575">
        <w:t xml:space="preserve"> quality, through graduate or exit surveys (Bastian et al. 2017), and assessment of graduate competence in leading classroom learning. This survey data captures direct ratings of </w:t>
      </w:r>
      <w:r w:rsidR="005D529A">
        <w:t>program</w:t>
      </w:r>
      <w:r w:rsidRPr="652F2575">
        <w:t xml:space="preserve"> quality.</w:t>
      </w:r>
    </w:p>
    <w:p w14:paraId="7F9BF3D1" w14:textId="77777777" w:rsidR="004C5FE2" w:rsidRPr="0058172F" w:rsidRDefault="004C5FE2" w:rsidP="004C5FE2">
      <w:pPr>
        <w:spacing w:after="0"/>
      </w:pPr>
      <w:r w:rsidRPr="00950223">
        <w:t>The below figures show the data across higher education providers for these proposed indicators.</w:t>
      </w:r>
      <w:r>
        <w:t xml:space="preserve"> The data shows:</w:t>
      </w:r>
    </w:p>
    <w:p w14:paraId="2D83EE0C" w14:textId="2F75BCDF" w:rsidR="00800B14" w:rsidRPr="004C5FE2" w:rsidRDefault="00800B14" w:rsidP="004C5FE2">
      <w:pPr>
        <w:pStyle w:val="ListParagraph"/>
        <w:numPr>
          <w:ilvl w:val="0"/>
          <w:numId w:val="51"/>
        </w:numPr>
        <w:ind w:left="714" w:hanging="357"/>
        <w:contextualSpacing w:val="0"/>
        <w:rPr>
          <w:rFonts w:eastAsia="Times New Roman"/>
          <w:sz w:val="22"/>
          <w:szCs w:val="22"/>
        </w:rPr>
      </w:pPr>
      <w:r w:rsidRPr="004C5FE2">
        <w:rPr>
          <w:sz w:val="22"/>
          <w:szCs w:val="22"/>
        </w:rPr>
        <w:lastRenderedPageBreak/>
        <w:t>The proportion of ITE students in 2021 who were satisfied with the quality of teaching in their course. This rating varies between a low of 57 per cent and a high of 95 per cent across higher education providers (excluding one higher education provider with a small number of observations)</w:t>
      </w:r>
      <w:r w:rsidR="004C5FE2">
        <w:rPr>
          <w:sz w:val="22"/>
          <w:szCs w:val="22"/>
        </w:rPr>
        <w:t xml:space="preserve"> </w:t>
      </w:r>
      <w:r w:rsidRPr="004C5FE2">
        <w:rPr>
          <w:rFonts w:eastAsia="Times New Roman"/>
          <w:sz w:val="22"/>
          <w:szCs w:val="22"/>
        </w:rPr>
        <w:t xml:space="preserve">(Figure </w:t>
      </w:r>
      <w:r w:rsidR="009A05C6">
        <w:rPr>
          <w:rFonts w:eastAsia="Times New Roman"/>
          <w:sz w:val="22"/>
          <w:szCs w:val="22"/>
        </w:rPr>
        <w:t>2.</w:t>
      </w:r>
      <w:r w:rsidRPr="004C5FE2">
        <w:rPr>
          <w:rFonts w:eastAsia="Times New Roman"/>
          <w:sz w:val="22"/>
          <w:szCs w:val="22"/>
        </w:rPr>
        <w:t>7)</w:t>
      </w:r>
      <w:r w:rsidR="00B309C5">
        <w:rPr>
          <w:rFonts w:eastAsia="Times New Roman"/>
          <w:sz w:val="22"/>
          <w:szCs w:val="22"/>
        </w:rPr>
        <w:t>.</w:t>
      </w:r>
    </w:p>
    <w:p w14:paraId="395013A8" w14:textId="188F7266" w:rsidR="00800B14" w:rsidRPr="004C5FE2" w:rsidRDefault="00800B14" w:rsidP="001B7C40">
      <w:pPr>
        <w:pStyle w:val="ListParagraph"/>
        <w:numPr>
          <w:ilvl w:val="0"/>
          <w:numId w:val="51"/>
        </w:numPr>
        <w:spacing w:after="120"/>
        <w:ind w:left="714" w:hanging="357"/>
        <w:contextualSpacing w:val="0"/>
        <w:rPr>
          <w:rFonts w:eastAsia="Times New Roman"/>
          <w:sz w:val="22"/>
          <w:szCs w:val="22"/>
        </w:rPr>
      </w:pPr>
      <w:r w:rsidRPr="004C5FE2">
        <w:rPr>
          <w:sz w:val="22"/>
          <w:szCs w:val="22"/>
        </w:rPr>
        <w:t>The proportion of Education students in 2021 answering that they felt that their qualification prepared them well for their teaching role varies between a low of 61 per cent and a high of 93 per cent across higher education providers (excluding four higher education provider</w:t>
      </w:r>
      <w:r w:rsidR="00435455">
        <w:rPr>
          <w:sz w:val="22"/>
          <w:szCs w:val="22"/>
        </w:rPr>
        <w:t>s</w:t>
      </w:r>
      <w:r w:rsidRPr="004C5FE2">
        <w:rPr>
          <w:sz w:val="22"/>
          <w:szCs w:val="22"/>
        </w:rPr>
        <w:t xml:space="preserve"> with small observation numbers)</w:t>
      </w:r>
      <w:r w:rsidR="004C5FE2">
        <w:rPr>
          <w:sz w:val="22"/>
          <w:szCs w:val="22"/>
        </w:rPr>
        <w:t xml:space="preserve"> </w:t>
      </w:r>
      <w:r w:rsidRPr="004C5FE2">
        <w:rPr>
          <w:sz w:val="22"/>
          <w:szCs w:val="22"/>
        </w:rPr>
        <w:t xml:space="preserve">(Figure </w:t>
      </w:r>
      <w:r w:rsidR="009A05C6">
        <w:rPr>
          <w:sz w:val="22"/>
          <w:szCs w:val="22"/>
        </w:rPr>
        <w:t>2.</w:t>
      </w:r>
      <w:r w:rsidRPr="004C5FE2">
        <w:rPr>
          <w:sz w:val="22"/>
          <w:szCs w:val="22"/>
        </w:rPr>
        <w:t>8)</w:t>
      </w:r>
      <w:r w:rsidR="00107807">
        <w:rPr>
          <w:sz w:val="22"/>
          <w:szCs w:val="22"/>
        </w:rPr>
        <w:t>.</w:t>
      </w:r>
    </w:p>
    <w:p w14:paraId="51E9B752" w14:textId="7F92EB11" w:rsidR="00185189" w:rsidRDefault="00185189" w:rsidP="00185189">
      <w:pPr>
        <w:spacing w:after="0"/>
        <w:rPr>
          <w:b/>
          <w:bCs/>
        </w:rPr>
      </w:pPr>
      <w:r w:rsidRPr="00516211">
        <w:rPr>
          <w:b/>
          <w:bCs/>
        </w:rPr>
        <w:t>Figure</w:t>
      </w:r>
      <w:r>
        <w:rPr>
          <w:b/>
          <w:bCs/>
        </w:rPr>
        <w:t xml:space="preserve"> </w:t>
      </w:r>
      <w:r w:rsidR="00570AD5">
        <w:rPr>
          <w:b/>
          <w:bCs/>
        </w:rPr>
        <w:t>2.</w:t>
      </w:r>
      <w:r w:rsidR="009058E4">
        <w:rPr>
          <w:b/>
          <w:bCs/>
        </w:rPr>
        <w:t>7</w:t>
      </w:r>
      <w:r w:rsidRPr="00516211">
        <w:rPr>
          <w:b/>
          <w:bCs/>
        </w:rPr>
        <w:t xml:space="preserve">: </w:t>
      </w:r>
      <w:r>
        <w:rPr>
          <w:b/>
          <w:bCs/>
        </w:rPr>
        <w:t xml:space="preserve">The proportion of </w:t>
      </w:r>
      <w:r w:rsidR="094C61FD" w:rsidRPr="67C925F9">
        <w:rPr>
          <w:b/>
          <w:bCs/>
        </w:rPr>
        <w:t xml:space="preserve">ITE </w:t>
      </w:r>
      <w:r w:rsidR="2D908C63" w:rsidRPr="67C925F9">
        <w:rPr>
          <w:b/>
          <w:bCs/>
        </w:rPr>
        <w:t>students</w:t>
      </w:r>
      <w:r w:rsidRPr="00033A8C">
        <w:rPr>
          <w:b/>
          <w:bCs/>
        </w:rPr>
        <w:t xml:space="preserve"> satis</w:t>
      </w:r>
      <w:r>
        <w:rPr>
          <w:b/>
          <w:bCs/>
        </w:rPr>
        <w:t>fied</w:t>
      </w:r>
      <w:r w:rsidRPr="00033A8C">
        <w:rPr>
          <w:b/>
          <w:bCs/>
        </w:rPr>
        <w:t xml:space="preserve"> with the quality of teaching </w:t>
      </w:r>
      <w:r>
        <w:rPr>
          <w:b/>
          <w:bCs/>
        </w:rPr>
        <w:t xml:space="preserve">in 2021, by higher education provider </w:t>
      </w:r>
    </w:p>
    <w:p w14:paraId="04621876" w14:textId="769ADADD" w:rsidR="00DD3436" w:rsidRPr="0058172F" w:rsidRDefault="00960717" w:rsidP="00950223">
      <w:pPr>
        <w:spacing w:after="0" w:line="240" w:lineRule="auto"/>
      </w:pPr>
      <w:r>
        <w:rPr>
          <w:noProof/>
        </w:rPr>
        <w:drawing>
          <wp:inline distT="0" distB="0" distL="0" distR="0" wp14:anchorId="2DCB471F" wp14:editId="20E2C708">
            <wp:extent cx="5731510" cy="2783205"/>
            <wp:effectExtent l="0" t="0" r="2540" b="0"/>
            <wp:docPr id="26" name="Picture 2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 histo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783205"/>
                    </a:xfrm>
                    <a:prstGeom prst="rect">
                      <a:avLst/>
                    </a:prstGeom>
                  </pic:spPr>
                </pic:pic>
              </a:graphicData>
            </a:graphic>
          </wp:inline>
        </w:drawing>
      </w:r>
    </w:p>
    <w:p w14:paraId="08E5EE3C" w14:textId="77777777" w:rsidR="006E75E1" w:rsidRPr="00033A8C" w:rsidRDefault="006E75E1" w:rsidP="00E36CF5">
      <w:pPr>
        <w:spacing w:after="0" w:line="240" w:lineRule="auto"/>
        <w:rPr>
          <w:sz w:val="16"/>
          <w:szCs w:val="16"/>
        </w:rPr>
      </w:pPr>
      <w:r w:rsidRPr="00033A8C">
        <w:rPr>
          <w:sz w:val="16"/>
          <w:szCs w:val="16"/>
        </w:rPr>
        <w:t>Source: Student Experience Survey (qilt.edu.au), Department of Education, 2021</w:t>
      </w:r>
    </w:p>
    <w:p w14:paraId="4D0490BE" w14:textId="74E2257B" w:rsidR="006E75E1" w:rsidRPr="00E36CF5" w:rsidRDefault="006E75E1" w:rsidP="00E36CF5">
      <w:pPr>
        <w:spacing w:after="120" w:line="240" w:lineRule="auto"/>
        <w:rPr>
          <w:sz w:val="16"/>
          <w:szCs w:val="16"/>
        </w:rPr>
      </w:pPr>
      <w:r w:rsidRPr="00033A8C">
        <w:rPr>
          <w:sz w:val="16"/>
          <w:szCs w:val="16"/>
        </w:rPr>
        <w:t>Note</w:t>
      </w:r>
      <w:r w:rsidR="00DC5600">
        <w:rPr>
          <w:sz w:val="16"/>
          <w:szCs w:val="16"/>
        </w:rPr>
        <w:t>s</w:t>
      </w:r>
      <w:r w:rsidRPr="00033A8C">
        <w:rPr>
          <w:sz w:val="16"/>
          <w:szCs w:val="16"/>
        </w:rPr>
        <w:t xml:space="preserve">: </w:t>
      </w:r>
      <w:r w:rsidR="00EE56DF">
        <w:rPr>
          <w:sz w:val="16"/>
          <w:szCs w:val="16"/>
        </w:rPr>
        <w:t>1.</w:t>
      </w:r>
      <w:r w:rsidR="00E36CF5">
        <w:rPr>
          <w:sz w:val="16"/>
          <w:szCs w:val="16"/>
        </w:rPr>
        <w:t xml:space="preserve"> </w:t>
      </w:r>
      <w:r w:rsidRPr="00E36CF5">
        <w:rPr>
          <w:sz w:val="16"/>
          <w:szCs w:val="16"/>
        </w:rPr>
        <w:t>Dark grey shaded bars indicate a data limitation- higher education providers with less than 26 domestic ITE students enrolled.</w:t>
      </w:r>
      <w:r w:rsidR="00E36CF5">
        <w:rPr>
          <w:sz w:val="16"/>
          <w:szCs w:val="16"/>
        </w:rPr>
        <w:t xml:space="preserve"> </w:t>
      </w:r>
      <w:r w:rsidR="74F0B8A5" w:rsidRPr="7BEFA983">
        <w:rPr>
          <w:sz w:val="16"/>
          <w:szCs w:val="16"/>
        </w:rPr>
        <w:t xml:space="preserve">    </w:t>
      </w:r>
      <w:r w:rsidR="00EE56DF">
        <w:rPr>
          <w:sz w:val="16"/>
          <w:szCs w:val="16"/>
        </w:rPr>
        <w:t>2.</w:t>
      </w:r>
      <w:r w:rsidR="00E36CF5">
        <w:rPr>
          <w:sz w:val="16"/>
          <w:szCs w:val="16"/>
        </w:rPr>
        <w:t xml:space="preserve"> </w:t>
      </w:r>
      <w:r w:rsidRPr="00E36CF5">
        <w:rPr>
          <w:sz w:val="16"/>
          <w:szCs w:val="16"/>
        </w:rPr>
        <w:t xml:space="preserve">Confidence intervals are calculated using the </w:t>
      </w:r>
      <w:proofErr w:type="spellStart"/>
      <w:r w:rsidRPr="00E36CF5">
        <w:rPr>
          <w:sz w:val="16"/>
          <w:szCs w:val="16"/>
        </w:rPr>
        <w:t>Agresti-Coull</w:t>
      </w:r>
      <w:proofErr w:type="spellEnd"/>
      <w:r w:rsidRPr="00E36CF5">
        <w:rPr>
          <w:sz w:val="16"/>
          <w:szCs w:val="16"/>
        </w:rPr>
        <w:t xml:space="preserve"> method with finite population corrections.</w:t>
      </w:r>
      <w:r w:rsidR="00E36CF5">
        <w:rPr>
          <w:sz w:val="16"/>
          <w:szCs w:val="16"/>
        </w:rPr>
        <w:t xml:space="preserve"> 3</w:t>
      </w:r>
      <w:r w:rsidR="2DED55DC" w:rsidRPr="7BEFA983">
        <w:rPr>
          <w:sz w:val="16"/>
          <w:szCs w:val="16"/>
        </w:rPr>
        <w:t>.</w:t>
      </w:r>
      <w:r w:rsidR="00E36CF5">
        <w:rPr>
          <w:sz w:val="16"/>
          <w:szCs w:val="16"/>
        </w:rPr>
        <w:t xml:space="preserve"> </w:t>
      </w:r>
      <w:r w:rsidRPr="00E36CF5">
        <w:rPr>
          <w:sz w:val="16"/>
          <w:szCs w:val="16"/>
        </w:rPr>
        <w:t>One higher education provider has not been included as there was insufficient data available to calculate a result for 2021.</w:t>
      </w:r>
    </w:p>
    <w:p w14:paraId="486D966A" w14:textId="5D47FF78" w:rsidR="008276D1" w:rsidRDefault="008276D1" w:rsidP="008276D1">
      <w:pPr>
        <w:spacing w:after="0"/>
        <w:rPr>
          <w:b/>
          <w:bCs/>
        </w:rPr>
      </w:pPr>
      <w:r w:rsidRPr="00516211">
        <w:rPr>
          <w:b/>
          <w:bCs/>
        </w:rPr>
        <w:t>Figure</w:t>
      </w:r>
      <w:r>
        <w:rPr>
          <w:b/>
          <w:bCs/>
        </w:rPr>
        <w:t xml:space="preserve"> </w:t>
      </w:r>
      <w:r w:rsidR="00570AD5">
        <w:rPr>
          <w:b/>
          <w:bCs/>
        </w:rPr>
        <w:t>2.</w:t>
      </w:r>
      <w:r w:rsidR="009058E4">
        <w:rPr>
          <w:b/>
          <w:bCs/>
        </w:rPr>
        <w:t>8</w:t>
      </w:r>
      <w:r w:rsidRPr="00516211">
        <w:rPr>
          <w:b/>
          <w:bCs/>
        </w:rPr>
        <w:t xml:space="preserve">: </w:t>
      </w:r>
      <w:r>
        <w:rPr>
          <w:b/>
          <w:bCs/>
        </w:rPr>
        <w:t>The p</w:t>
      </w:r>
      <w:r w:rsidRPr="00975FD2">
        <w:rPr>
          <w:b/>
          <w:bCs/>
        </w:rPr>
        <w:t>roportion of Education students who perceive</w:t>
      </w:r>
      <w:r>
        <w:rPr>
          <w:b/>
          <w:bCs/>
        </w:rPr>
        <w:t>d</w:t>
      </w:r>
      <w:r w:rsidRPr="00975FD2">
        <w:rPr>
          <w:b/>
          <w:bCs/>
        </w:rPr>
        <w:t xml:space="preserve"> that their university qualification prepared them for teaching</w:t>
      </w:r>
      <w:r>
        <w:rPr>
          <w:b/>
          <w:bCs/>
        </w:rPr>
        <w:t xml:space="preserve"> in 2021, by higher education provider </w:t>
      </w:r>
    </w:p>
    <w:p w14:paraId="3494B842" w14:textId="30DE0338" w:rsidR="00950223" w:rsidRPr="0011718D" w:rsidRDefault="00002C82" w:rsidP="00663D0F">
      <w:pPr>
        <w:spacing w:line="240" w:lineRule="auto"/>
      </w:pPr>
      <w:r>
        <w:rPr>
          <w:noProof/>
        </w:rPr>
        <w:drawing>
          <wp:inline distT="0" distB="0" distL="0" distR="0" wp14:anchorId="502E4021" wp14:editId="3084D7BF">
            <wp:extent cx="5731510" cy="2759710"/>
            <wp:effectExtent l="0" t="0" r="2540" b="254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2759710"/>
                    </a:xfrm>
                    <a:prstGeom prst="rect">
                      <a:avLst/>
                    </a:prstGeom>
                  </pic:spPr>
                </pic:pic>
              </a:graphicData>
            </a:graphic>
          </wp:inline>
        </w:drawing>
      </w:r>
    </w:p>
    <w:p w14:paraId="1B933697" w14:textId="77777777" w:rsidR="00DC5600" w:rsidRDefault="00DC5600" w:rsidP="00EE56DF">
      <w:pPr>
        <w:spacing w:after="0" w:line="240" w:lineRule="auto"/>
        <w:rPr>
          <w:sz w:val="16"/>
          <w:szCs w:val="16"/>
        </w:rPr>
      </w:pPr>
      <w:r w:rsidRPr="00033A8C">
        <w:rPr>
          <w:sz w:val="16"/>
          <w:szCs w:val="16"/>
        </w:rPr>
        <w:t>Source: Graduate Outcomes Survey (qilt.edu.au),</w:t>
      </w:r>
      <w:r>
        <w:rPr>
          <w:sz w:val="16"/>
          <w:szCs w:val="16"/>
        </w:rPr>
        <w:t xml:space="preserve"> </w:t>
      </w:r>
      <w:r w:rsidRPr="00033A8C">
        <w:rPr>
          <w:sz w:val="16"/>
          <w:szCs w:val="16"/>
        </w:rPr>
        <w:t>Department of Education,</w:t>
      </w:r>
      <w:r>
        <w:rPr>
          <w:sz w:val="16"/>
          <w:szCs w:val="16"/>
        </w:rPr>
        <w:t xml:space="preserve"> </w:t>
      </w:r>
      <w:r w:rsidRPr="00033A8C">
        <w:rPr>
          <w:sz w:val="16"/>
          <w:szCs w:val="16"/>
        </w:rPr>
        <w:t>2021</w:t>
      </w:r>
    </w:p>
    <w:p w14:paraId="1324FEDE" w14:textId="2CACEC1B" w:rsidR="00DC5600" w:rsidRPr="00EE56DF" w:rsidRDefault="00DC5600" w:rsidP="00EE56DF">
      <w:pPr>
        <w:spacing w:after="120" w:line="240" w:lineRule="auto"/>
        <w:rPr>
          <w:sz w:val="16"/>
          <w:szCs w:val="16"/>
        </w:rPr>
      </w:pPr>
      <w:r>
        <w:rPr>
          <w:sz w:val="16"/>
          <w:szCs w:val="16"/>
        </w:rPr>
        <w:t>Notes:</w:t>
      </w:r>
      <w:r w:rsidR="00EE56DF">
        <w:rPr>
          <w:sz w:val="16"/>
          <w:szCs w:val="16"/>
        </w:rPr>
        <w:t xml:space="preserve"> 1. </w:t>
      </w:r>
      <w:r w:rsidRPr="00EE56DF">
        <w:rPr>
          <w:sz w:val="16"/>
          <w:szCs w:val="16"/>
        </w:rPr>
        <w:t>Dark grey shaded bars indicate a data limitation- higher education providers with less than 26 domestic ITE students enrolled.</w:t>
      </w:r>
      <w:r w:rsidR="00EE56DF">
        <w:rPr>
          <w:sz w:val="16"/>
          <w:szCs w:val="16"/>
        </w:rPr>
        <w:t xml:space="preserve"> </w:t>
      </w:r>
      <w:r w:rsidR="5C1E9210" w:rsidRPr="7BEFA983">
        <w:rPr>
          <w:sz w:val="16"/>
          <w:szCs w:val="16"/>
        </w:rPr>
        <w:t xml:space="preserve">    </w:t>
      </w:r>
      <w:r w:rsidR="00EE56DF">
        <w:rPr>
          <w:sz w:val="16"/>
          <w:szCs w:val="16"/>
        </w:rPr>
        <w:t xml:space="preserve">2. </w:t>
      </w:r>
      <w:r w:rsidRPr="00EE56DF">
        <w:rPr>
          <w:sz w:val="16"/>
          <w:szCs w:val="16"/>
        </w:rPr>
        <w:t xml:space="preserve">Confidence intervals are calculated using the </w:t>
      </w:r>
      <w:proofErr w:type="spellStart"/>
      <w:r w:rsidRPr="00EE56DF">
        <w:rPr>
          <w:sz w:val="16"/>
          <w:szCs w:val="16"/>
        </w:rPr>
        <w:t>Agresti-Coull</w:t>
      </w:r>
      <w:proofErr w:type="spellEnd"/>
      <w:r w:rsidRPr="00EE56DF">
        <w:rPr>
          <w:sz w:val="16"/>
          <w:szCs w:val="16"/>
        </w:rPr>
        <w:t xml:space="preserve"> method with finite population corrections.</w:t>
      </w:r>
    </w:p>
    <w:p w14:paraId="3FDC32D6" w14:textId="5426BF28" w:rsidR="005956B3" w:rsidRPr="009A24BB" w:rsidRDefault="005956B3" w:rsidP="001B19EB">
      <w:pPr>
        <w:spacing w:after="0" w:line="240" w:lineRule="auto"/>
        <w:textAlignment w:val="baseline"/>
        <w:rPr>
          <w:rFonts w:ascii="Calibri" w:eastAsia="Times New Roman" w:hAnsi="Calibri" w:cs="Calibri"/>
          <w:b/>
          <w:color w:val="000000" w:themeColor="text1"/>
          <w:sz w:val="26"/>
          <w:szCs w:val="26"/>
          <w:lang w:eastAsia="en-AU"/>
        </w:rPr>
      </w:pPr>
      <w:r w:rsidRPr="009A24BB">
        <w:rPr>
          <w:rFonts w:ascii="Calibri" w:eastAsia="Times New Roman" w:hAnsi="Calibri" w:cs="Calibri"/>
          <w:b/>
          <w:color w:val="000000" w:themeColor="text1"/>
          <w:sz w:val="26"/>
          <w:szCs w:val="26"/>
          <w:lang w:eastAsia="en-AU"/>
        </w:rPr>
        <w:lastRenderedPageBreak/>
        <w:t xml:space="preserve">Why is </w:t>
      </w:r>
      <w:r w:rsidR="000E25B6" w:rsidRPr="009A24BB">
        <w:rPr>
          <w:rFonts w:ascii="Calibri" w:eastAsia="Times New Roman" w:hAnsi="Calibri" w:cs="Calibri"/>
          <w:b/>
          <w:color w:val="000000" w:themeColor="text1"/>
          <w:sz w:val="26"/>
          <w:szCs w:val="26"/>
          <w:lang w:eastAsia="en-AU"/>
        </w:rPr>
        <w:t>classroom readiness</w:t>
      </w:r>
      <w:r w:rsidRPr="009A24BB">
        <w:rPr>
          <w:rFonts w:ascii="Calibri" w:eastAsia="Times New Roman" w:hAnsi="Calibri" w:cs="Calibri"/>
          <w:b/>
          <w:color w:val="000000" w:themeColor="text1"/>
          <w:sz w:val="26"/>
          <w:szCs w:val="26"/>
          <w:lang w:eastAsia="en-AU"/>
        </w:rPr>
        <w:t xml:space="preserve"> important?</w:t>
      </w:r>
    </w:p>
    <w:p w14:paraId="7D96FF66" w14:textId="7AEF859C" w:rsidR="005956B3" w:rsidRPr="0011718D" w:rsidRDefault="005956B3" w:rsidP="1DD69434">
      <w:pPr>
        <w:spacing w:after="120" w:line="240" w:lineRule="auto"/>
      </w:pPr>
      <w:r w:rsidRPr="114086FA">
        <w:t>Classroom readiness reflects international research findings that teachers are the biggest in-school influence on student learning (Burroughs et al</w:t>
      </w:r>
      <w:r w:rsidRPr="00CD0489">
        <w:t>. 2019; Hattie 200</w:t>
      </w:r>
      <w:r w:rsidR="00721A30">
        <w:t xml:space="preserve"> and</w:t>
      </w:r>
      <w:r w:rsidRPr="00CD0489">
        <w:t>, 2012). The</w:t>
      </w:r>
      <w:r w:rsidRPr="114086FA">
        <w:t xml:space="preserve"> knowledge and skills taught in </w:t>
      </w:r>
      <w:r w:rsidR="008600FF" w:rsidRPr="114086FA">
        <w:t>ITE</w:t>
      </w:r>
      <w:r w:rsidRPr="114086FA">
        <w:t xml:space="preserve"> </w:t>
      </w:r>
      <w:r w:rsidR="00A32BE6">
        <w:t>programs</w:t>
      </w:r>
      <w:r w:rsidR="004611D2">
        <w:t xml:space="preserve"> </w:t>
      </w:r>
      <w:r w:rsidRPr="114086FA">
        <w:t xml:space="preserve">are vital to ensuring all school students have a well-prepared teacher from a teacher’s first day in the classroom. Teachers who are well prepared for the classroom are more confident and effective in their teaching (Cochran-Smith et al. 2021; Mayer et al. 2017). </w:t>
      </w:r>
    </w:p>
    <w:p w14:paraId="24D0ED15" w14:textId="58945838" w:rsidR="005956B3" w:rsidRPr="0011718D" w:rsidRDefault="005956B3" w:rsidP="1DD69434">
      <w:pPr>
        <w:spacing w:after="120" w:line="240" w:lineRule="auto"/>
      </w:pPr>
      <w:r w:rsidRPr="1DD69434">
        <w:t xml:space="preserve">The design and quality of ITE </w:t>
      </w:r>
      <w:r w:rsidR="00A32BE6">
        <w:t>programs</w:t>
      </w:r>
      <w:r w:rsidRPr="1DD69434">
        <w:t xml:space="preserve"> has an important influence on graduates’ preparedness to teach. Equipping students with the required skills and knowledge for effective teaching supports classroom readiness, including supporting students to use evidence-based practices. The QITE Review noted that many stakeholders, including employers, higher education providers, professional associations and ITE graduates themselves have reported that graduate teachers are considered under prepared in a number of key areas. These areas included the teaching of reading, cultural competency, supporting diverse learners and students with disability, classroom management, family/carer engagement and rural and remote educational contexts. </w:t>
      </w:r>
    </w:p>
    <w:p w14:paraId="7E24105F" w14:textId="0EA2605B" w:rsidR="005956B3" w:rsidRPr="00DC4150" w:rsidRDefault="005956B3" w:rsidP="00DC4150">
      <w:pPr>
        <w:spacing w:after="0" w:line="240" w:lineRule="auto"/>
      </w:pPr>
      <w:r w:rsidRPr="7F2EF765">
        <w:t>These indicators recognise the success of policies and efforts of higher education providers to develop classroom ready teachers. This could include policies to:</w:t>
      </w:r>
    </w:p>
    <w:p w14:paraId="4895133C" w14:textId="4CC0E7D3" w:rsidR="005956B3" w:rsidRPr="00F91BAF" w:rsidRDefault="00B309C5"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c</w:t>
      </w:r>
      <w:r w:rsidR="005956B3" w:rsidRPr="3EA66A1B">
        <w:rPr>
          <w:rFonts w:ascii="Calibri" w:eastAsia="Times New Roman" w:hAnsi="Calibri" w:cs="Calibri"/>
          <w:sz w:val="22"/>
          <w:szCs w:val="22"/>
          <w:lang w:eastAsia="en-AU"/>
        </w:rPr>
        <w:t xml:space="preserve">o-design ITE </w:t>
      </w:r>
      <w:r w:rsidR="00A32BE6">
        <w:rPr>
          <w:rFonts w:ascii="Calibri" w:eastAsia="Times New Roman" w:hAnsi="Calibri" w:cs="Calibri"/>
          <w:sz w:val="22"/>
          <w:szCs w:val="22"/>
          <w:lang w:eastAsia="en-AU"/>
        </w:rPr>
        <w:t>programs</w:t>
      </w:r>
      <w:r w:rsidR="005956B3" w:rsidRPr="3EA66A1B">
        <w:rPr>
          <w:rFonts w:ascii="Calibri" w:eastAsia="Times New Roman" w:hAnsi="Calibri" w:cs="Calibri"/>
          <w:sz w:val="22"/>
          <w:szCs w:val="22"/>
          <w:lang w:eastAsia="en-AU"/>
        </w:rPr>
        <w:t xml:space="preserve"> with school-based teacher educators (Hudson </w:t>
      </w:r>
      <w:r w:rsidR="008B312A">
        <w:rPr>
          <w:rFonts w:ascii="Calibri" w:eastAsia="Times New Roman" w:hAnsi="Calibri" w:cs="Calibri"/>
          <w:sz w:val="22"/>
          <w:szCs w:val="22"/>
          <w:lang w:eastAsia="en-AU"/>
        </w:rPr>
        <w:t>and</w:t>
      </w:r>
      <w:r w:rsidR="005956B3" w:rsidRPr="3EA66A1B">
        <w:rPr>
          <w:rFonts w:ascii="Calibri" w:eastAsia="Times New Roman" w:hAnsi="Calibri" w:cs="Calibri"/>
          <w:sz w:val="22"/>
          <w:szCs w:val="22"/>
          <w:lang w:eastAsia="en-AU"/>
        </w:rPr>
        <w:t xml:space="preserve"> Hudson, 2013; Young, 2020)</w:t>
      </w:r>
    </w:p>
    <w:p w14:paraId="1A0FAF0E" w14:textId="24ED286F" w:rsidR="005956B3" w:rsidRPr="00F91BAF" w:rsidRDefault="00B309C5"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p</w:t>
      </w:r>
      <w:r w:rsidR="005956B3" w:rsidRPr="3EA66A1B">
        <w:rPr>
          <w:rFonts w:ascii="Calibri" w:eastAsia="Times New Roman" w:hAnsi="Calibri" w:cs="Calibri"/>
          <w:sz w:val="22"/>
          <w:szCs w:val="22"/>
          <w:lang w:eastAsia="en-AU"/>
        </w:rPr>
        <w:t xml:space="preserve">romote co-teaching by school-based teacher educators and higher education </w:t>
      </w:r>
      <w:r w:rsidR="00611E48" w:rsidRPr="3EA66A1B">
        <w:rPr>
          <w:rFonts w:ascii="Calibri" w:eastAsia="Times New Roman" w:hAnsi="Calibri" w:cs="Calibri"/>
          <w:sz w:val="22"/>
          <w:szCs w:val="22"/>
          <w:lang w:eastAsia="en-AU"/>
        </w:rPr>
        <w:t>provider-based</w:t>
      </w:r>
      <w:r w:rsidR="005956B3" w:rsidRPr="3EA66A1B">
        <w:rPr>
          <w:rFonts w:ascii="Calibri" w:eastAsia="Times New Roman" w:hAnsi="Calibri" w:cs="Calibri"/>
          <w:sz w:val="22"/>
          <w:szCs w:val="22"/>
          <w:lang w:eastAsia="en-AU"/>
        </w:rPr>
        <w:t xml:space="preserve"> teacher educators in the interpretation and use of classroom evidence of learning (Burn </w:t>
      </w:r>
      <w:r w:rsidR="008B312A">
        <w:rPr>
          <w:rFonts w:ascii="Calibri" w:eastAsia="Times New Roman" w:hAnsi="Calibri" w:cs="Calibri"/>
          <w:sz w:val="22"/>
          <w:szCs w:val="22"/>
          <w:lang w:eastAsia="en-AU"/>
        </w:rPr>
        <w:t>and</w:t>
      </w:r>
      <w:r w:rsidR="005956B3" w:rsidRPr="3EA66A1B">
        <w:rPr>
          <w:rFonts w:ascii="Calibri" w:eastAsia="Times New Roman" w:hAnsi="Calibri" w:cs="Calibri"/>
          <w:sz w:val="22"/>
          <w:szCs w:val="22"/>
          <w:lang w:eastAsia="en-AU"/>
        </w:rPr>
        <w:t xml:space="preserve"> Mutton 2015; FTTS, n.d.; </w:t>
      </w:r>
      <w:proofErr w:type="spellStart"/>
      <w:r w:rsidR="005956B3" w:rsidRPr="3EA66A1B">
        <w:rPr>
          <w:rFonts w:ascii="Calibri" w:eastAsia="Times New Roman" w:hAnsi="Calibri" w:cs="Calibri"/>
          <w:sz w:val="22"/>
          <w:szCs w:val="22"/>
          <w:lang w:eastAsia="en-AU"/>
        </w:rPr>
        <w:t>Sahlberg</w:t>
      </w:r>
      <w:proofErr w:type="spellEnd"/>
      <w:r w:rsidR="005956B3" w:rsidRPr="3EA66A1B">
        <w:rPr>
          <w:rFonts w:ascii="Calibri" w:eastAsia="Times New Roman" w:hAnsi="Calibri" w:cs="Calibri"/>
          <w:sz w:val="22"/>
          <w:szCs w:val="22"/>
          <w:lang w:eastAsia="en-AU"/>
        </w:rPr>
        <w:t xml:space="preserve"> 2012)</w:t>
      </w:r>
    </w:p>
    <w:p w14:paraId="66BB5FC9" w14:textId="6260938F" w:rsidR="005956B3" w:rsidRPr="00F91BAF" w:rsidRDefault="00B309C5" w:rsidP="00981472">
      <w:pPr>
        <w:pStyle w:val="ListParagraph"/>
        <w:numPr>
          <w:ilvl w:val="0"/>
          <w:numId w:val="24"/>
        </w:numPr>
        <w:spacing w:after="120"/>
        <w:ind w:left="714" w:hanging="357"/>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s</w:t>
      </w:r>
      <w:r w:rsidR="005956B3" w:rsidRPr="3EA66A1B">
        <w:rPr>
          <w:rFonts w:ascii="Calibri" w:eastAsia="Times New Roman" w:hAnsi="Calibri" w:cs="Calibri"/>
          <w:sz w:val="22"/>
          <w:szCs w:val="22"/>
          <w:lang w:eastAsia="en-AU"/>
        </w:rPr>
        <w:t xml:space="preserve">trengthen mentoring approaches that are shown to be effective in promoting classroom readiness (Hudson </w:t>
      </w:r>
      <w:r w:rsidR="008B312A">
        <w:rPr>
          <w:rFonts w:ascii="Calibri" w:eastAsia="Times New Roman" w:hAnsi="Calibri" w:cs="Calibri"/>
          <w:sz w:val="22"/>
          <w:szCs w:val="22"/>
          <w:lang w:eastAsia="en-AU"/>
        </w:rPr>
        <w:t>and</w:t>
      </w:r>
      <w:r w:rsidR="005956B3" w:rsidRPr="3EA66A1B">
        <w:rPr>
          <w:rFonts w:ascii="Calibri" w:eastAsia="Times New Roman" w:hAnsi="Calibri" w:cs="Calibri"/>
          <w:sz w:val="22"/>
          <w:szCs w:val="22"/>
          <w:lang w:eastAsia="en-AU"/>
        </w:rPr>
        <w:t xml:space="preserve"> Hudson 2013; Young 2020)</w:t>
      </w:r>
      <w:r>
        <w:rPr>
          <w:rFonts w:ascii="Calibri" w:eastAsia="Times New Roman" w:hAnsi="Calibri" w:cs="Calibri"/>
          <w:sz w:val="22"/>
          <w:szCs w:val="22"/>
          <w:lang w:eastAsia="en-AU"/>
        </w:rPr>
        <w:t>.</w:t>
      </w:r>
    </w:p>
    <w:p w14:paraId="125F8D9D" w14:textId="1B05E240" w:rsidR="00A11257" w:rsidRPr="009A24BB" w:rsidRDefault="00A11257" w:rsidP="00A11257">
      <w:pPr>
        <w:spacing w:after="0" w:line="240" w:lineRule="auto"/>
        <w:textAlignment w:val="baseline"/>
        <w:rPr>
          <w:rFonts w:ascii="Calibri" w:eastAsia="Times New Roman" w:hAnsi="Calibri" w:cs="Calibri"/>
          <w:b/>
          <w:color w:val="000000" w:themeColor="text1"/>
          <w:sz w:val="26"/>
          <w:szCs w:val="26"/>
          <w:lang w:eastAsia="en-AU"/>
        </w:rPr>
      </w:pPr>
      <w:r w:rsidRPr="009A24BB">
        <w:rPr>
          <w:rFonts w:ascii="Calibri" w:eastAsia="Times New Roman" w:hAnsi="Calibri" w:cs="Calibri"/>
          <w:b/>
          <w:color w:val="000000" w:themeColor="text1"/>
          <w:sz w:val="26"/>
          <w:szCs w:val="26"/>
          <w:lang w:eastAsia="en-AU"/>
        </w:rPr>
        <w:t>Additional indicators that were considered</w:t>
      </w:r>
      <w:r w:rsidR="00AE0899" w:rsidRPr="009A24BB">
        <w:rPr>
          <w:rFonts w:ascii="Calibri" w:eastAsia="Times New Roman" w:hAnsi="Calibri" w:cs="Calibri"/>
          <w:b/>
          <w:color w:val="000000" w:themeColor="text1"/>
          <w:sz w:val="26"/>
          <w:szCs w:val="26"/>
          <w:lang w:eastAsia="en-AU"/>
        </w:rPr>
        <w:t xml:space="preserve"> for classroom readiness</w:t>
      </w:r>
    </w:p>
    <w:p w14:paraId="3BAFF497" w14:textId="6D04EABB" w:rsidR="003662A0" w:rsidRPr="0011718D" w:rsidRDefault="000840FE" w:rsidP="007805BD">
      <w:pPr>
        <w:spacing w:after="120" w:line="240" w:lineRule="auto"/>
      </w:pPr>
      <w:r w:rsidRPr="114086FA">
        <w:t>The Accreditat</w:t>
      </w:r>
      <w:r w:rsidR="007E7F87" w:rsidRPr="114086FA">
        <w:t xml:space="preserve">ion Standards and Procedures </w:t>
      </w:r>
      <w:r w:rsidR="00442A82" w:rsidRPr="114086FA">
        <w:t xml:space="preserve">(Standards 6.1 and 6.2) </w:t>
      </w:r>
      <w:r w:rsidR="007E7F87" w:rsidRPr="114086FA">
        <w:t xml:space="preserve">require </w:t>
      </w:r>
      <w:r w:rsidR="007D4C5D" w:rsidRPr="114086FA">
        <w:t>higher education providers</w:t>
      </w:r>
      <w:r w:rsidR="005C1A40" w:rsidRPr="114086FA">
        <w:t xml:space="preserve"> to</w:t>
      </w:r>
      <w:r w:rsidR="007D4C5D" w:rsidRPr="114086FA">
        <w:t xml:space="preserve"> show as </w:t>
      </w:r>
      <w:r w:rsidR="007E7F87" w:rsidRPr="114086FA">
        <w:t>part of th</w:t>
      </w:r>
      <w:r w:rsidR="00E55174" w:rsidRPr="114086FA">
        <w:t>eir</w:t>
      </w:r>
      <w:r w:rsidR="007E7F87" w:rsidRPr="114086FA">
        <w:t xml:space="preserve"> </w:t>
      </w:r>
      <w:r w:rsidR="00106860" w:rsidRPr="114086FA">
        <w:t>evidence o</w:t>
      </w:r>
      <w:r w:rsidR="005C1A40" w:rsidRPr="114086FA">
        <w:t>f</w:t>
      </w:r>
      <w:r w:rsidR="00106860" w:rsidRPr="114086FA">
        <w:t xml:space="preserve"> </w:t>
      </w:r>
      <w:r w:rsidR="00320834">
        <w:t xml:space="preserve">the </w:t>
      </w:r>
      <w:r w:rsidR="00106860" w:rsidRPr="114086FA">
        <w:t xml:space="preserve">impact of </w:t>
      </w:r>
      <w:r w:rsidR="004A3BCE">
        <w:t>their</w:t>
      </w:r>
      <w:r w:rsidR="00106860" w:rsidRPr="114086FA">
        <w:t xml:space="preserve"> ITE </w:t>
      </w:r>
      <w:r w:rsidR="00A32BE6">
        <w:t>programs</w:t>
      </w:r>
      <w:r w:rsidR="007D4C5D" w:rsidRPr="114086FA">
        <w:t>,</w:t>
      </w:r>
      <w:r w:rsidR="007E7F87" w:rsidRPr="114086FA">
        <w:t xml:space="preserve"> </w:t>
      </w:r>
      <w:r w:rsidR="00442A82" w:rsidRPr="114086FA">
        <w:t xml:space="preserve">aggregated data on key assessments </w:t>
      </w:r>
      <w:r w:rsidR="00442A82">
        <w:t xml:space="preserve">that demonstrate graduates have met the Australian Professional Standards for Teachers. </w:t>
      </w:r>
      <w:r w:rsidR="00770480">
        <w:t>Th</w:t>
      </w:r>
      <w:r w:rsidR="0005037E">
        <w:t>is is measured through</w:t>
      </w:r>
      <w:r w:rsidR="00770480">
        <w:t xml:space="preserve"> </w:t>
      </w:r>
      <w:r w:rsidR="0005037E">
        <w:t xml:space="preserve">the </w:t>
      </w:r>
      <w:r w:rsidR="00770480">
        <w:t>TPA</w:t>
      </w:r>
      <w:r w:rsidR="00442A82" w:rsidRPr="114086FA">
        <w:t xml:space="preserve"> that all ITE students must pass to graduate (AITSL </w:t>
      </w:r>
      <w:r w:rsidR="00442A82" w:rsidRPr="00CD0489">
        <w:t>2022b)</w:t>
      </w:r>
      <w:r w:rsidR="000F7347" w:rsidRPr="00CD0489">
        <w:t>,</w:t>
      </w:r>
      <w:r w:rsidR="000F7347" w:rsidRPr="114086FA">
        <w:t xml:space="preserve"> where final-year ITE students provide evidence from their own practice to demonstrate what they want students to learn, how they will facilitate this learning, and how they will know if students have achieved this learning.</w:t>
      </w:r>
    </w:p>
    <w:p w14:paraId="07A8EB1C" w14:textId="4417D23A" w:rsidR="1E2AA862" w:rsidRPr="006034C8" w:rsidRDefault="1E2AA862" w:rsidP="00981472">
      <w:pPr>
        <w:spacing w:after="120" w:line="240" w:lineRule="auto"/>
        <w:rPr>
          <w:sz w:val="24"/>
          <w:szCs w:val="24"/>
        </w:rPr>
      </w:pPr>
      <w:r w:rsidRPr="224E0007">
        <w:rPr>
          <w:rFonts w:ascii="Calibri" w:eastAsia="Calibri" w:hAnsi="Calibri" w:cs="Calibri"/>
        </w:rPr>
        <w:t xml:space="preserve">The rate at which students pass the TPA could be a good proxy for the quality of an ITE </w:t>
      </w:r>
      <w:r w:rsidR="00D269FA">
        <w:t>program</w:t>
      </w:r>
      <w:r w:rsidR="00D269FA" w:rsidRPr="224E0007">
        <w:rPr>
          <w:rFonts w:ascii="Calibri" w:eastAsia="Calibri" w:hAnsi="Calibri" w:cs="Calibri"/>
        </w:rPr>
        <w:t xml:space="preserve"> </w:t>
      </w:r>
      <w:r w:rsidRPr="224E0007">
        <w:rPr>
          <w:rFonts w:ascii="Calibri" w:eastAsia="Calibri" w:hAnsi="Calibri" w:cs="Calibri"/>
        </w:rPr>
        <w:t>in producing classroom ready graduates. However, using TPA pass rates is problematic. Firstly, if a student is likely not to pass their TPA, they may choose to graduate with an Education qualification rather than as a Graduate Teacher, thus distorting TPA pass rate data. Secondly, TPAs differ across providers. Although TPAs are initially approved by AITSL’s Expert Advisory Group, there is not ongoing moderation which means that pass rates cannot be directly compared across providers (noting some providers collaborate and moderate with other providers as part of a consortium). Finally, including TPA pass rates as a performance indicator could create perverse incentives for providers to ‘pass’ ITE students, even if they are not classroom</w:t>
      </w:r>
      <w:r w:rsidR="00CC5F7D">
        <w:rPr>
          <w:rFonts w:ascii="Calibri" w:eastAsia="Calibri" w:hAnsi="Calibri" w:cs="Calibri"/>
        </w:rPr>
        <w:t xml:space="preserve"> </w:t>
      </w:r>
      <w:r w:rsidRPr="224E0007">
        <w:rPr>
          <w:rFonts w:ascii="Calibri" w:eastAsia="Calibri" w:hAnsi="Calibri" w:cs="Calibri"/>
        </w:rPr>
        <w:t>ready. This could undermine the primary purpose of the TPA, which is to assess whether ITE graduates are prepared to teach in classrooms.</w:t>
      </w:r>
    </w:p>
    <w:p w14:paraId="7367071D" w14:textId="624A5BD8" w:rsidR="005956B3" w:rsidRPr="009A24BB" w:rsidRDefault="00764221" w:rsidP="007C2797">
      <w:pPr>
        <w:pStyle w:val="Heading4"/>
        <w:spacing w:before="0" w:line="240" w:lineRule="auto"/>
        <w:rPr>
          <w:rFonts w:ascii="Calibri" w:eastAsia="Times New Roman" w:hAnsi="Calibri" w:cs="Calibri"/>
          <w:b w:val="0"/>
          <w:color w:val="000000" w:themeColor="text1"/>
          <w:szCs w:val="28"/>
          <w:lang w:eastAsia="en-AU"/>
        </w:rPr>
      </w:pPr>
      <w:bookmarkStart w:id="50" w:name="_Toc127459786"/>
      <w:r w:rsidRPr="009A24BB">
        <w:rPr>
          <w:rFonts w:asciiTheme="minorHAnsi" w:eastAsia="Times New Roman" w:hAnsiTheme="minorHAnsi" w:cstheme="minorHAnsi"/>
          <w:color w:val="002C3E" w:themeColor="background2"/>
          <w:szCs w:val="28"/>
          <w:lang w:eastAsia="en-AU"/>
        </w:rPr>
        <w:t xml:space="preserve">2.2.4 </w:t>
      </w:r>
      <w:r w:rsidR="005956B3" w:rsidRPr="009A24BB">
        <w:rPr>
          <w:rFonts w:ascii="Calibri" w:eastAsia="Times New Roman" w:hAnsi="Calibri" w:cs="Calibri"/>
          <w:color w:val="000000" w:themeColor="text1"/>
          <w:szCs w:val="28"/>
          <w:lang w:eastAsia="en-AU"/>
        </w:rPr>
        <w:t>Category 4: Transition</w:t>
      </w:r>
      <w:bookmarkEnd w:id="50"/>
    </w:p>
    <w:p w14:paraId="5288CE28" w14:textId="3E9C09D1" w:rsidR="005956B3" w:rsidRDefault="005956B3" w:rsidP="00981472">
      <w:pPr>
        <w:spacing w:after="120" w:line="240" w:lineRule="auto"/>
        <w:rPr>
          <w:rFonts w:cstheme="minorHAnsi"/>
        </w:rPr>
      </w:pPr>
      <w:r w:rsidRPr="0011718D">
        <w:rPr>
          <w:rFonts w:cstheme="minorHAnsi"/>
        </w:rPr>
        <w:t xml:space="preserve">Transition refers to entry into teaching employment, at the graduate level and in a school context. It includes: casual/relief teachers, part-time, full-time, and ongoing/permanent arrangements. The category measures employment outcomes of recent graduates and early career teachers. In Australia and internationally, a key focus of transition has been to assess the proportion of beginning teachers who are retained in the teaching workforce. </w:t>
      </w:r>
    </w:p>
    <w:p w14:paraId="1C386FF0" w14:textId="7FC7A618" w:rsidR="00F91BAF" w:rsidRPr="0076515E" w:rsidRDefault="0076515E" w:rsidP="00F91BAF">
      <w:pPr>
        <w:spacing w:after="0" w:line="240" w:lineRule="auto"/>
        <w:textAlignment w:val="baseline"/>
        <w:rPr>
          <w:rFonts w:ascii="Calibri" w:eastAsia="Times New Roman" w:hAnsi="Calibri" w:cs="Calibri"/>
          <w:b/>
          <w:color w:val="000000" w:themeColor="text1"/>
          <w:sz w:val="26"/>
          <w:szCs w:val="26"/>
          <w:lang w:eastAsia="en-AU"/>
        </w:rPr>
      </w:pPr>
      <w:r>
        <w:rPr>
          <w:rFonts w:ascii="Calibri" w:eastAsia="Times New Roman" w:hAnsi="Calibri" w:cs="Calibri"/>
          <w:b/>
          <w:color w:val="000000" w:themeColor="text1"/>
          <w:sz w:val="26"/>
          <w:szCs w:val="26"/>
          <w:lang w:eastAsia="en-AU"/>
        </w:rPr>
        <w:lastRenderedPageBreak/>
        <w:t>I</w:t>
      </w:r>
      <w:r w:rsidR="00F91BAF" w:rsidRPr="0076515E">
        <w:rPr>
          <w:rFonts w:ascii="Calibri" w:eastAsia="Times New Roman" w:hAnsi="Calibri" w:cs="Calibri"/>
          <w:b/>
          <w:color w:val="000000" w:themeColor="text1"/>
          <w:sz w:val="26"/>
          <w:szCs w:val="26"/>
          <w:lang w:eastAsia="en-AU"/>
        </w:rPr>
        <w:t xml:space="preserve">ndicators </w:t>
      </w:r>
    </w:p>
    <w:p w14:paraId="3C2AFA72" w14:textId="77777777" w:rsidR="00F91BAF" w:rsidRPr="0011718D" w:rsidRDefault="00F91BAF" w:rsidP="00F91BAF">
      <w:pPr>
        <w:spacing w:after="0" w:line="240" w:lineRule="auto"/>
        <w:rPr>
          <w:rFonts w:cstheme="minorHAnsi"/>
        </w:rPr>
      </w:pPr>
      <w:r w:rsidRPr="0011718D">
        <w:rPr>
          <w:rFonts w:cstheme="minorHAnsi"/>
        </w:rPr>
        <w:t xml:space="preserve">The proposed performance indicators for this category are: </w:t>
      </w:r>
    </w:p>
    <w:p w14:paraId="57D6B0FE" w14:textId="2E09AD4B" w:rsidR="00F91BAF" w:rsidRPr="00F91BAF" w:rsidRDefault="00F91BAF" w:rsidP="007D6F33">
      <w:pPr>
        <w:pStyle w:val="ListParagraph"/>
        <w:numPr>
          <w:ilvl w:val="0"/>
          <w:numId w:val="24"/>
        </w:numPr>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Graduate employment outcomes: Proportion of teaching graduates employed upon graduation</w:t>
      </w:r>
      <w:r w:rsidR="00B309C5">
        <w:rPr>
          <w:rFonts w:ascii="Calibri" w:eastAsia="Times New Roman" w:hAnsi="Calibri" w:cs="Calibri"/>
          <w:sz w:val="22"/>
          <w:szCs w:val="22"/>
          <w:lang w:eastAsia="en-AU"/>
        </w:rPr>
        <w:t>.</w:t>
      </w:r>
    </w:p>
    <w:p w14:paraId="6250E859" w14:textId="4449CFA4" w:rsidR="00F91BAF" w:rsidRPr="00F91BAF" w:rsidRDefault="00686774"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Sustainability of</w:t>
      </w:r>
      <w:r w:rsidR="00F91BAF" w:rsidRPr="3EA66A1B">
        <w:rPr>
          <w:rFonts w:ascii="Calibri" w:eastAsia="Times New Roman" w:hAnsi="Calibri" w:cs="Calibri"/>
          <w:sz w:val="22"/>
          <w:szCs w:val="22"/>
          <w:lang w:eastAsia="en-AU"/>
        </w:rPr>
        <w:t xml:space="preserve"> employment: Proportion of graduates registered and employed at the end of the second year post graduation</w:t>
      </w:r>
      <w:r w:rsidR="00B309C5">
        <w:rPr>
          <w:rFonts w:ascii="Calibri" w:eastAsia="Times New Roman" w:hAnsi="Calibri" w:cs="Calibri"/>
          <w:sz w:val="22"/>
          <w:szCs w:val="22"/>
          <w:lang w:eastAsia="en-AU"/>
        </w:rPr>
        <w:t>.</w:t>
      </w:r>
    </w:p>
    <w:p w14:paraId="54EE83A2" w14:textId="58262DDD" w:rsidR="00F91BAF" w:rsidRPr="00F91BAF" w:rsidRDefault="00F91BAF" w:rsidP="007D6F33">
      <w:pPr>
        <w:pStyle w:val="ListParagraph"/>
        <w:numPr>
          <w:ilvl w:val="0"/>
          <w:numId w:val="24"/>
        </w:numPr>
        <w:spacing w:after="120"/>
        <w:ind w:left="714" w:hanging="357"/>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Employment in areas of</w:t>
      </w:r>
      <w:r w:rsidR="00362932">
        <w:rPr>
          <w:rFonts w:ascii="Calibri" w:eastAsia="Times New Roman" w:hAnsi="Calibri" w:cs="Calibri"/>
          <w:sz w:val="22"/>
          <w:szCs w:val="22"/>
          <w:lang w:eastAsia="en-AU"/>
        </w:rPr>
        <w:t xml:space="preserve"> highest</w:t>
      </w:r>
      <w:r w:rsidRPr="3EA66A1B">
        <w:rPr>
          <w:rFonts w:ascii="Calibri" w:eastAsia="Times New Roman" w:hAnsi="Calibri" w:cs="Calibri"/>
          <w:sz w:val="22"/>
          <w:szCs w:val="22"/>
          <w:lang w:eastAsia="en-AU"/>
        </w:rPr>
        <w:t xml:space="preserve"> workforce need: Proportion of graduates employed in </w:t>
      </w:r>
      <w:r w:rsidR="0004674F">
        <w:rPr>
          <w:rFonts w:ascii="Calibri" w:eastAsia="Times New Roman" w:hAnsi="Calibri" w:cs="Calibri"/>
          <w:sz w:val="22"/>
          <w:szCs w:val="22"/>
          <w:lang w:eastAsia="en-AU"/>
        </w:rPr>
        <w:t xml:space="preserve">regional and remote </w:t>
      </w:r>
      <w:r w:rsidR="00256472">
        <w:rPr>
          <w:rFonts w:ascii="Calibri" w:eastAsia="Times New Roman" w:hAnsi="Calibri" w:cs="Calibri"/>
          <w:sz w:val="22"/>
          <w:szCs w:val="22"/>
          <w:lang w:eastAsia="en-AU"/>
        </w:rPr>
        <w:t>and low SES locations and in STEM subjects</w:t>
      </w:r>
      <w:r w:rsidRPr="3EA66A1B">
        <w:rPr>
          <w:rFonts w:ascii="Calibri" w:eastAsia="Times New Roman" w:hAnsi="Calibri" w:cs="Calibri"/>
          <w:sz w:val="22"/>
          <w:szCs w:val="22"/>
          <w:lang w:eastAsia="en-AU"/>
        </w:rPr>
        <w:t>.</w:t>
      </w:r>
    </w:p>
    <w:p w14:paraId="4B30A5DD" w14:textId="08125DC4" w:rsidR="00F00816" w:rsidRDefault="11D4170C" w:rsidP="15F1F40C">
      <w:pPr>
        <w:spacing w:after="120" w:line="240" w:lineRule="auto"/>
      </w:pPr>
      <w:r>
        <w:t>These</w:t>
      </w:r>
      <w:r w:rsidR="00F91BAF" w:rsidRPr="15F1F40C">
        <w:t xml:space="preserve"> indicators measure the proportion of ITE graduates who transition successfully into classroom teaching and are in areas of workforce need. Data on long</w:t>
      </w:r>
      <w:r w:rsidR="00686774">
        <w:t>er</w:t>
      </w:r>
      <w:r w:rsidR="00F91BAF" w:rsidRPr="15F1F40C">
        <w:t>-term employment outcomes</w:t>
      </w:r>
      <w:r w:rsidR="00686774">
        <w:t xml:space="preserve"> beyond the two year mark</w:t>
      </w:r>
      <w:r w:rsidR="00F91BAF" w:rsidRPr="15F1F40C">
        <w:t xml:space="preserve"> will become available as the Australian Teacher Workforce Data</w:t>
      </w:r>
      <w:r w:rsidR="00056177" w:rsidRPr="15F1F40C">
        <w:t xml:space="preserve"> (ATWD)</w:t>
      </w:r>
      <w:r w:rsidR="00F91BAF" w:rsidRPr="15F1F40C">
        <w:t xml:space="preserve"> collection matures</w:t>
      </w:r>
      <w:r w:rsidR="005420A7">
        <w:t xml:space="preserve"> and could be </w:t>
      </w:r>
      <w:r w:rsidR="00821038">
        <w:t>measured in the future</w:t>
      </w:r>
      <w:r w:rsidR="00F91BAF" w:rsidRPr="15F1F40C">
        <w:t xml:space="preserve">. As there will inevitably be missing data associated with the </w:t>
      </w:r>
      <w:r w:rsidR="00056177" w:rsidRPr="15F1F40C">
        <w:t>ATWD teacher survey,</w:t>
      </w:r>
      <w:r w:rsidR="00F91BAF" w:rsidRPr="15F1F40C">
        <w:t xml:space="preserve"> the data for long-term employment outcomes could be made more robust by including administrative data from employers. </w:t>
      </w:r>
      <w:r w:rsidR="00FB7DCA">
        <w:t xml:space="preserve">Data from the ATWD can also be used to measure </w:t>
      </w:r>
      <w:r w:rsidR="00A41780">
        <w:t xml:space="preserve">employment </w:t>
      </w:r>
      <w:r w:rsidR="00FB7DCA">
        <w:t xml:space="preserve">transitions </w:t>
      </w:r>
      <w:r w:rsidR="00F54578">
        <w:t>in</w:t>
      </w:r>
      <w:r w:rsidR="00675F5D">
        <w:t xml:space="preserve">to </w:t>
      </w:r>
      <w:r w:rsidR="00F54578">
        <w:t>areas of workforce need</w:t>
      </w:r>
      <w:r w:rsidR="00A41780">
        <w:t xml:space="preserve">. </w:t>
      </w:r>
      <w:r w:rsidR="00453E77">
        <w:t xml:space="preserve">This indicator could be further refined as </w:t>
      </w:r>
      <w:r w:rsidR="003C1B9A">
        <w:t xml:space="preserve">teacher supply and demand projections </w:t>
      </w:r>
      <w:r w:rsidR="00674A34">
        <w:t xml:space="preserve">are developed and published </w:t>
      </w:r>
      <w:r w:rsidR="00F91BAF" w:rsidRPr="15F1F40C">
        <w:t xml:space="preserve">from 2024 under the National Teacher Workforce Action Plan. </w:t>
      </w:r>
    </w:p>
    <w:p w14:paraId="00B2ACB2" w14:textId="77562706" w:rsidR="00F91BAF" w:rsidRDefault="00F91BAF" w:rsidP="00981472">
      <w:pPr>
        <w:spacing w:after="120" w:line="240" w:lineRule="auto"/>
      </w:pPr>
      <w:r>
        <w:t>These</w:t>
      </w:r>
      <w:r w:rsidRPr="15F1F40C">
        <w:t xml:space="preserve"> indicators align with international approaches to support beginning teachers in the classroom (Carroll et al. 2018; McLennan et al. 2017), by assessing and monitoring transitions into the workforce. For example, the United Kingdom tracks graduate employment outcomes through a Graduate Outcomes Survey 15 months after graduation </w:t>
      </w:r>
      <w:r w:rsidRPr="005A6221">
        <w:t xml:space="preserve">(Higher Education Statistics Agency </w:t>
      </w:r>
      <w:r w:rsidR="002E59B8">
        <w:t>202</w:t>
      </w:r>
      <w:r w:rsidR="00DE3918">
        <w:t>2</w:t>
      </w:r>
      <w:r w:rsidR="000E704F">
        <w:t xml:space="preserve"> and 202</w:t>
      </w:r>
      <w:r w:rsidR="00DE3918">
        <w:t>3</w:t>
      </w:r>
      <w:r w:rsidRPr="005A6221">
        <w:t>).</w:t>
      </w:r>
    </w:p>
    <w:p w14:paraId="4720330C" w14:textId="41BB39D1" w:rsidR="00950223" w:rsidRPr="0058172F" w:rsidRDefault="00950223" w:rsidP="001B7C40">
      <w:pPr>
        <w:spacing w:after="0" w:line="240" w:lineRule="auto"/>
      </w:pPr>
      <w:r w:rsidRPr="00950223">
        <w:t>The below figure shows the data across higher education providers for a number of these proposed indicators.</w:t>
      </w:r>
      <w:r>
        <w:t xml:space="preserve"> The data shows:</w:t>
      </w:r>
    </w:p>
    <w:p w14:paraId="70EFDB5B" w14:textId="5EAFA5A9" w:rsidR="004E4EBE" w:rsidRPr="001B7C40" w:rsidRDefault="00186735" w:rsidP="00B577DB">
      <w:pPr>
        <w:pStyle w:val="ListParagraph"/>
        <w:numPr>
          <w:ilvl w:val="0"/>
          <w:numId w:val="51"/>
        </w:numPr>
        <w:spacing w:after="120"/>
        <w:ind w:left="714" w:hanging="357"/>
        <w:contextualSpacing w:val="0"/>
        <w:rPr>
          <w:rFonts w:eastAsia="Times New Roman"/>
          <w:sz w:val="22"/>
          <w:szCs w:val="22"/>
        </w:rPr>
      </w:pPr>
      <w:r w:rsidRPr="001B7C40">
        <w:rPr>
          <w:sz w:val="22"/>
          <w:szCs w:val="22"/>
        </w:rPr>
        <w:t>The proportion of Education students employed as teachers four months after graduation in 2020 varies between a low of 83 per cent and a high of 100 per cent across higher education providers</w:t>
      </w:r>
      <w:r>
        <w:rPr>
          <w:sz w:val="22"/>
          <w:szCs w:val="22"/>
        </w:rPr>
        <w:t xml:space="preserve"> </w:t>
      </w:r>
      <w:r w:rsidRPr="001B7C40">
        <w:rPr>
          <w:sz w:val="22"/>
          <w:szCs w:val="22"/>
        </w:rPr>
        <w:t>(</w:t>
      </w:r>
      <w:r w:rsidR="003768CD" w:rsidRPr="001B7C40">
        <w:rPr>
          <w:sz w:val="22"/>
          <w:szCs w:val="22"/>
        </w:rPr>
        <w:t xml:space="preserve">Figure </w:t>
      </w:r>
      <w:r w:rsidR="00FA56E6" w:rsidRPr="001B7C40">
        <w:rPr>
          <w:sz w:val="22"/>
          <w:szCs w:val="22"/>
        </w:rPr>
        <w:t>2.</w:t>
      </w:r>
      <w:r w:rsidRPr="001B7C40">
        <w:rPr>
          <w:sz w:val="22"/>
          <w:szCs w:val="22"/>
        </w:rPr>
        <w:t>9)</w:t>
      </w:r>
      <w:r w:rsidR="00B309C5">
        <w:rPr>
          <w:sz w:val="22"/>
          <w:szCs w:val="22"/>
        </w:rPr>
        <w:t>.</w:t>
      </w:r>
    </w:p>
    <w:p w14:paraId="3BDD2994" w14:textId="392B9FA1" w:rsidR="003768CD" w:rsidRDefault="003768CD" w:rsidP="00B577DB">
      <w:pPr>
        <w:spacing w:after="120" w:line="240" w:lineRule="auto"/>
        <w:rPr>
          <w:b/>
          <w:bCs/>
        </w:rPr>
      </w:pPr>
      <w:r w:rsidRPr="00516211">
        <w:rPr>
          <w:b/>
          <w:bCs/>
        </w:rPr>
        <w:t>Figure</w:t>
      </w:r>
      <w:r>
        <w:rPr>
          <w:b/>
          <w:bCs/>
        </w:rPr>
        <w:t xml:space="preserve"> </w:t>
      </w:r>
      <w:r w:rsidR="00570AD5">
        <w:rPr>
          <w:b/>
          <w:bCs/>
        </w:rPr>
        <w:t>2.</w:t>
      </w:r>
      <w:r w:rsidR="00186735">
        <w:rPr>
          <w:b/>
          <w:bCs/>
        </w:rPr>
        <w:t>9</w:t>
      </w:r>
      <w:r w:rsidRPr="00516211">
        <w:rPr>
          <w:b/>
          <w:bCs/>
        </w:rPr>
        <w:t xml:space="preserve">: </w:t>
      </w:r>
      <w:r w:rsidRPr="00FC67B0">
        <w:rPr>
          <w:b/>
          <w:bCs/>
        </w:rPr>
        <w:t xml:space="preserve">Graduate employment </w:t>
      </w:r>
      <w:r w:rsidRPr="009C7D32">
        <w:rPr>
          <w:b/>
          <w:bCs/>
        </w:rPr>
        <w:t>outcomes</w:t>
      </w:r>
      <w:r w:rsidRPr="00FE45A8">
        <w:rPr>
          <w:b/>
          <w:bCs/>
        </w:rPr>
        <w:t xml:space="preserve"> (</w:t>
      </w:r>
      <w:r w:rsidRPr="00F371A3">
        <w:rPr>
          <w:b/>
          <w:bCs/>
        </w:rPr>
        <w:t>proportion of Education students employed as teachers four months after graduation)</w:t>
      </w:r>
      <w:r w:rsidRPr="009C7D32">
        <w:rPr>
          <w:b/>
          <w:bCs/>
        </w:rPr>
        <w:t xml:space="preserve"> </w:t>
      </w:r>
      <w:r w:rsidRPr="00FE45A8">
        <w:rPr>
          <w:b/>
          <w:bCs/>
        </w:rPr>
        <w:t>in</w:t>
      </w:r>
      <w:r>
        <w:rPr>
          <w:b/>
          <w:bCs/>
        </w:rPr>
        <w:t xml:space="preserve"> 2020 by higher education provider</w:t>
      </w:r>
    </w:p>
    <w:p w14:paraId="4E9F0F71" w14:textId="32073BC3" w:rsidR="00950223" w:rsidRPr="0011718D" w:rsidRDefault="00E8118B" w:rsidP="003F2FEF">
      <w:pPr>
        <w:spacing w:line="240" w:lineRule="auto"/>
        <w:rPr>
          <w:highlight w:val="yellow"/>
        </w:rPr>
      </w:pPr>
      <w:r>
        <w:rPr>
          <w:noProof/>
        </w:rPr>
        <w:drawing>
          <wp:inline distT="0" distB="0" distL="0" distR="0" wp14:anchorId="4403ABEF" wp14:editId="3780857B">
            <wp:extent cx="5731510" cy="2887980"/>
            <wp:effectExtent l="0" t="0" r="2540" b="762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2887980"/>
                    </a:xfrm>
                    <a:prstGeom prst="rect">
                      <a:avLst/>
                    </a:prstGeom>
                  </pic:spPr>
                </pic:pic>
              </a:graphicData>
            </a:graphic>
          </wp:inline>
        </w:drawing>
      </w:r>
    </w:p>
    <w:p w14:paraId="7A9E5973" w14:textId="77777777" w:rsidR="003A027C" w:rsidRPr="004B73FC" w:rsidRDefault="003A027C" w:rsidP="003A027C">
      <w:pPr>
        <w:spacing w:after="0"/>
        <w:rPr>
          <w:sz w:val="16"/>
          <w:szCs w:val="16"/>
        </w:rPr>
      </w:pPr>
      <w:r w:rsidRPr="2C5EDA13">
        <w:rPr>
          <w:sz w:val="16"/>
          <w:szCs w:val="16"/>
        </w:rPr>
        <w:t>Source: Graduate Outcomes Survey (qilt.edu.au), Department of Education, 2020</w:t>
      </w:r>
    </w:p>
    <w:p w14:paraId="6D280CAB" w14:textId="51FC9BCF" w:rsidR="0013199C" w:rsidRPr="0023696D" w:rsidRDefault="003A027C" w:rsidP="0023696D">
      <w:pPr>
        <w:spacing w:after="120" w:line="240" w:lineRule="auto"/>
        <w:rPr>
          <w:sz w:val="16"/>
          <w:szCs w:val="16"/>
        </w:rPr>
      </w:pPr>
      <w:r w:rsidRPr="2C5EDA13">
        <w:rPr>
          <w:sz w:val="16"/>
          <w:szCs w:val="16"/>
        </w:rPr>
        <w:t xml:space="preserve">Notes: </w:t>
      </w:r>
      <w:r w:rsidR="00EE56DF">
        <w:rPr>
          <w:sz w:val="16"/>
          <w:szCs w:val="16"/>
        </w:rPr>
        <w:t>1.</w:t>
      </w:r>
      <w:r w:rsidR="00981472">
        <w:rPr>
          <w:sz w:val="16"/>
          <w:szCs w:val="16"/>
        </w:rPr>
        <w:t xml:space="preserve"> </w:t>
      </w:r>
      <w:r w:rsidRPr="00981472">
        <w:rPr>
          <w:sz w:val="16"/>
          <w:szCs w:val="16"/>
        </w:rPr>
        <w:t>Dark grey shaded bars indicate a data limitation- higher education providers with less than 26 domestic ITE students enrolled.</w:t>
      </w:r>
      <w:r w:rsidR="00981472">
        <w:rPr>
          <w:sz w:val="16"/>
          <w:szCs w:val="16"/>
        </w:rPr>
        <w:t xml:space="preserve"> </w:t>
      </w:r>
      <w:r w:rsidR="5E312743" w:rsidRPr="3287978C">
        <w:rPr>
          <w:sz w:val="16"/>
          <w:szCs w:val="16"/>
        </w:rPr>
        <w:t xml:space="preserve">   </w:t>
      </w:r>
      <w:r w:rsidR="00EE56DF">
        <w:rPr>
          <w:sz w:val="16"/>
          <w:szCs w:val="16"/>
        </w:rPr>
        <w:t>2.</w:t>
      </w:r>
      <w:r w:rsidR="00981472">
        <w:rPr>
          <w:sz w:val="16"/>
          <w:szCs w:val="16"/>
        </w:rPr>
        <w:t xml:space="preserve"> </w:t>
      </w:r>
      <w:r w:rsidRPr="00981472">
        <w:rPr>
          <w:sz w:val="16"/>
          <w:szCs w:val="16"/>
        </w:rPr>
        <w:t xml:space="preserve">Confidence intervals are calculated using the </w:t>
      </w:r>
      <w:proofErr w:type="spellStart"/>
      <w:r w:rsidRPr="00981472">
        <w:rPr>
          <w:sz w:val="16"/>
          <w:szCs w:val="16"/>
        </w:rPr>
        <w:t>Agresti-Coull</w:t>
      </w:r>
      <w:proofErr w:type="spellEnd"/>
      <w:r w:rsidRPr="00981472">
        <w:rPr>
          <w:sz w:val="16"/>
          <w:szCs w:val="16"/>
        </w:rPr>
        <w:t xml:space="preserve"> method with finite population corrections.</w:t>
      </w:r>
    </w:p>
    <w:p w14:paraId="6559C0A7" w14:textId="23FAF224" w:rsidR="005956B3" w:rsidRPr="0076515E" w:rsidRDefault="005956B3" w:rsidP="001B19EB">
      <w:pPr>
        <w:spacing w:after="0" w:line="240" w:lineRule="auto"/>
        <w:textAlignment w:val="baseline"/>
        <w:rPr>
          <w:rFonts w:ascii="Calibri" w:eastAsia="Times New Roman" w:hAnsi="Calibri" w:cs="Calibri"/>
          <w:b/>
          <w:color w:val="000000" w:themeColor="text1"/>
          <w:sz w:val="26"/>
          <w:szCs w:val="26"/>
          <w:lang w:eastAsia="en-AU"/>
        </w:rPr>
      </w:pPr>
      <w:r w:rsidRPr="0076515E">
        <w:rPr>
          <w:rFonts w:ascii="Calibri" w:eastAsia="Times New Roman" w:hAnsi="Calibri" w:cs="Calibri"/>
          <w:b/>
          <w:color w:val="000000" w:themeColor="text1"/>
          <w:sz w:val="26"/>
          <w:szCs w:val="26"/>
          <w:lang w:eastAsia="en-AU"/>
        </w:rPr>
        <w:lastRenderedPageBreak/>
        <w:t xml:space="preserve">Why is </w:t>
      </w:r>
      <w:r w:rsidR="003923C4" w:rsidRPr="0076515E">
        <w:rPr>
          <w:rFonts w:ascii="Calibri" w:eastAsia="Times New Roman" w:hAnsi="Calibri" w:cs="Calibri"/>
          <w:b/>
          <w:color w:val="000000" w:themeColor="text1"/>
          <w:sz w:val="26"/>
          <w:szCs w:val="26"/>
          <w:lang w:eastAsia="en-AU"/>
        </w:rPr>
        <w:t>transition</w:t>
      </w:r>
      <w:r w:rsidRPr="0076515E">
        <w:rPr>
          <w:rFonts w:ascii="Calibri" w:eastAsia="Times New Roman" w:hAnsi="Calibri" w:cs="Calibri"/>
          <w:b/>
          <w:color w:val="000000" w:themeColor="text1"/>
          <w:sz w:val="26"/>
          <w:szCs w:val="26"/>
          <w:lang w:eastAsia="en-AU"/>
        </w:rPr>
        <w:t xml:space="preserve"> important?</w:t>
      </w:r>
    </w:p>
    <w:p w14:paraId="3F40A4A1" w14:textId="65AA6FF8" w:rsidR="005956B3" w:rsidRPr="0011718D" w:rsidRDefault="005956B3" w:rsidP="7CB81D43">
      <w:pPr>
        <w:spacing w:after="120" w:line="240" w:lineRule="auto"/>
      </w:pPr>
      <w:r w:rsidRPr="7CB81D43">
        <w:t xml:space="preserve">Transition is an important indicator of </w:t>
      </w:r>
      <w:r w:rsidR="005D529A">
        <w:t>program</w:t>
      </w:r>
      <w:r w:rsidRPr="7CB81D43">
        <w:t xml:space="preserve"> quality in that it reflects the success of preparation provided by higher education providers. It represents a critical juncture in the move from being a</w:t>
      </w:r>
      <w:r w:rsidR="00D32CE8">
        <w:t>n ITE</w:t>
      </w:r>
      <w:r w:rsidRPr="7CB81D43">
        <w:t xml:space="preserve"> student to being a teacher responsible for leading classroom learning. The QITE Review reported that stakeholders would welcome greater involvement by higher education providers in providing supportive transitions from ITE to employment</w:t>
      </w:r>
      <w:r w:rsidR="007B1156">
        <w:t>, r</w:t>
      </w:r>
      <w:r w:rsidRPr="7CB81D43">
        <w:t>eport</w:t>
      </w:r>
      <w:r w:rsidR="007B1156">
        <w:t>ing</w:t>
      </w:r>
      <w:r w:rsidRPr="7CB81D43">
        <w:t xml:space="preserve"> a sense among some employers that the current system encourages higher education providers to ensure they are able to meet their obligations to students (to maximise their potential enrolment), more than ensuring an appropriate and adequate supply of graduates with the right specialisations. </w:t>
      </w:r>
    </w:p>
    <w:p w14:paraId="2DF885C9" w14:textId="5D73A83D" w:rsidR="005956B3" w:rsidRPr="0011718D" w:rsidRDefault="005956B3" w:rsidP="7CB81D43">
      <w:pPr>
        <w:spacing w:after="120" w:line="240" w:lineRule="auto"/>
      </w:pPr>
      <w:r w:rsidRPr="7CB81D43">
        <w:t xml:space="preserve">A focus on ITE as a long-term partnership with employers is </w:t>
      </w:r>
      <w:r w:rsidR="00B74728" w:rsidRPr="7CB81D43">
        <w:t xml:space="preserve">also </w:t>
      </w:r>
      <w:r w:rsidRPr="7CB81D43">
        <w:t xml:space="preserve">well-recognised in several countries (e.g. United Kingdom, New Zealand, and the United States). A critical feature of the partnerships between universities, employers, schools, and communities, is that it extends beyond ITE to support early career teachers in schools (Allen 2013; Gordon 2020; </w:t>
      </w:r>
      <w:proofErr w:type="spellStart"/>
      <w:r w:rsidRPr="7CB81D43">
        <w:t>Ronfeldt</w:t>
      </w:r>
      <w:proofErr w:type="spellEnd"/>
      <w:r w:rsidRPr="7CB81D43">
        <w:t xml:space="preserve"> </w:t>
      </w:r>
      <w:r w:rsidR="008B312A">
        <w:t>and</w:t>
      </w:r>
      <w:r w:rsidRPr="7CB81D43">
        <w:t xml:space="preserve"> McQueen 2017). </w:t>
      </w:r>
      <w:r w:rsidR="00A312A1">
        <w:t>Higher education</w:t>
      </w:r>
      <w:r w:rsidRPr="7CB81D43">
        <w:t xml:space="preserve"> providers that gather and use data to evaluate their own </w:t>
      </w:r>
      <w:r w:rsidR="005D529A">
        <w:t>programs</w:t>
      </w:r>
      <w:r w:rsidRPr="7CB81D43">
        <w:t xml:space="preserve"> and develop partnerships to sustain early career learning can ease transition and improve teacher retention (White et al. 2020).  </w:t>
      </w:r>
    </w:p>
    <w:p w14:paraId="32314CEF" w14:textId="6D3B8A35" w:rsidR="005956B3" w:rsidRPr="0011718D" w:rsidRDefault="115A9AB7" w:rsidP="002925C1">
      <w:pPr>
        <w:spacing w:after="0" w:line="240" w:lineRule="auto"/>
      </w:pPr>
      <w:r w:rsidRPr="3759CC2A">
        <w:t>These</w:t>
      </w:r>
      <w:r w:rsidR="005956B3" w:rsidRPr="3759CC2A">
        <w:t xml:space="preserve"> indicators recognise the success of policies and efforts of higher education providers to support the successful transition of ITE students into the workforce. This could include policies to:</w:t>
      </w:r>
    </w:p>
    <w:p w14:paraId="2861294B" w14:textId="453E743B" w:rsidR="005956B3" w:rsidRPr="00F91BAF" w:rsidRDefault="00015CCA" w:rsidP="007D6F33">
      <w:pPr>
        <w:pStyle w:val="ListParagraph"/>
        <w:numPr>
          <w:ilvl w:val="0"/>
          <w:numId w:val="24"/>
        </w:numPr>
        <w:textAlignment w:val="baseline"/>
        <w:rPr>
          <w:rFonts w:ascii="Calibri" w:eastAsia="Times New Roman" w:hAnsi="Calibri" w:cs="Calibri"/>
          <w:sz w:val="22"/>
          <w:szCs w:val="22"/>
          <w:lang w:eastAsia="en-AU"/>
        </w:rPr>
      </w:pPr>
      <w:r w:rsidRPr="19AF79A7">
        <w:rPr>
          <w:rFonts w:ascii="Calibri" w:eastAsia="Times New Roman" w:hAnsi="Calibri" w:cs="Calibri"/>
          <w:sz w:val="22"/>
          <w:szCs w:val="22"/>
          <w:lang w:eastAsia="en-AU"/>
        </w:rPr>
        <w:t>work</w:t>
      </w:r>
      <w:r w:rsidRPr="3EA66A1B">
        <w:rPr>
          <w:rFonts w:ascii="Calibri" w:eastAsia="Times New Roman" w:hAnsi="Calibri" w:cs="Calibri"/>
          <w:sz w:val="22"/>
          <w:szCs w:val="22"/>
          <w:lang w:eastAsia="en-AU"/>
        </w:rPr>
        <w:t xml:space="preserve"> collaboratively with</w:t>
      </w:r>
      <w:r w:rsidR="005956B3" w:rsidRPr="3EA66A1B">
        <w:rPr>
          <w:rFonts w:ascii="Calibri" w:eastAsia="Times New Roman" w:hAnsi="Calibri" w:cs="Calibri"/>
          <w:sz w:val="22"/>
          <w:szCs w:val="22"/>
          <w:lang w:eastAsia="en-AU"/>
        </w:rPr>
        <w:t xml:space="preserve"> schools and other employing authorities to enhance supports for successful transition of beginning teachers into the classroom and through the early years of practice (e.g. induction and mentoring; </w:t>
      </w:r>
      <w:r w:rsidR="005D6666">
        <w:rPr>
          <w:rFonts w:ascii="Calibri" w:eastAsia="Times New Roman" w:hAnsi="Calibri" w:cs="Calibri"/>
          <w:sz w:val="22"/>
          <w:szCs w:val="22"/>
          <w:lang w:eastAsia="en-AU"/>
        </w:rPr>
        <w:t>QITE Review</w:t>
      </w:r>
      <w:r w:rsidR="005956B3" w:rsidRPr="3EA66A1B">
        <w:rPr>
          <w:rFonts w:ascii="Calibri" w:eastAsia="Times New Roman" w:hAnsi="Calibri" w:cs="Calibri"/>
          <w:sz w:val="22"/>
          <w:szCs w:val="22"/>
          <w:lang w:eastAsia="en-AU"/>
        </w:rPr>
        <w:t>)</w:t>
      </w:r>
    </w:p>
    <w:p w14:paraId="3279EC20" w14:textId="2A473B0E" w:rsidR="005956B3" w:rsidRDefault="00282EDD" w:rsidP="00EE56DF">
      <w:pPr>
        <w:pStyle w:val="ListParagraph"/>
        <w:numPr>
          <w:ilvl w:val="0"/>
          <w:numId w:val="24"/>
        </w:numPr>
        <w:spacing w:after="120"/>
        <w:ind w:left="714" w:hanging="357"/>
        <w:textAlignment w:val="baseline"/>
        <w:rPr>
          <w:rFonts w:ascii="Calibri" w:eastAsia="Times New Roman" w:hAnsi="Calibri" w:cs="Calibri"/>
          <w:sz w:val="22"/>
          <w:szCs w:val="22"/>
          <w:lang w:eastAsia="en-AU"/>
        </w:rPr>
      </w:pPr>
      <w:r w:rsidRPr="3EA66A1B">
        <w:rPr>
          <w:rFonts w:ascii="Calibri" w:eastAsia="Times New Roman" w:hAnsi="Calibri" w:cs="Calibri"/>
          <w:sz w:val="22"/>
          <w:szCs w:val="22"/>
          <w:lang w:eastAsia="en-AU"/>
        </w:rPr>
        <w:t>develop</w:t>
      </w:r>
      <w:r w:rsidR="005956B3" w:rsidRPr="3EA66A1B">
        <w:rPr>
          <w:rFonts w:ascii="Calibri" w:eastAsia="Times New Roman" w:hAnsi="Calibri" w:cs="Calibri"/>
          <w:sz w:val="22"/>
          <w:szCs w:val="22"/>
          <w:lang w:eastAsia="en-AU"/>
        </w:rPr>
        <w:t xml:space="preserve"> partnerships between higher education providers and employers to enhance graduate readiness through explicit connections between theory and practice (Ovenden-Hope et al. 2018).</w:t>
      </w:r>
    </w:p>
    <w:p w14:paraId="14B241D0" w14:textId="0949E6AB" w:rsidR="00315923" w:rsidRPr="0076515E" w:rsidRDefault="006F33DA" w:rsidP="00CC3B5E">
      <w:pPr>
        <w:spacing w:after="0" w:line="240" w:lineRule="auto"/>
        <w:textAlignment w:val="baseline"/>
        <w:rPr>
          <w:rFonts w:ascii="Calibri" w:eastAsia="Times New Roman" w:hAnsi="Calibri" w:cs="Calibri"/>
          <w:b/>
          <w:color w:val="000000" w:themeColor="text1"/>
          <w:sz w:val="26"/>
          <w:szCs w:val="26"/>
          <w:lang w:eastAsia="en-AU"/>
        </w:rPr>
      </w:pPr>
      <w:r w:rsidRPr="0076515E">
        <w:rPr>
          <w:rFonts w:ascii="Calibri" w:eastAsia="Times New Roman" w:hAnsi="Calibri" w:cs="Calibri"/>
          <w:b/>
          <w:color w:val="000000" w:themeColor="text1"/>
          <w:sz w:val="26"/>
          <w:szCs w:val="26"/>
          <w:lang w:eastAsia="en-AU"/>
        </w:rPr>
        <w:t>Additional indicators that were considered</w:t>
      </w:r>
      <w:r w:rsidR="00AE0899" w:rsidRPr="0076515E">
        <w:rPr>
          <w:rFonts w:ascii="Calibri" w:eastAsia="Times New Roman" w:hAnsi="Calibri" w:cs="Calibri"/>
          <w:b/>
          <w:color w:val="000000" w:themeColor="text1"/>
          <w:sz w:val="26"/>
          <w:szCs w:val="26"/>
          <w:lang w:eastAsia="en-AU"/>
        </w:rPr>
        <w:t xml:space="preserve"> for transition</w:t>
      </w:r>
    </w:p>
    <w:p w14:paraId="6B14CAF9" w14:textId="558B0399" w:rsidR="009D097D" w:rsidRDefault="009D097D" w:rsidP="00EE56DF">
      <w:pPr>
        <w:spacing w:after="120" w:line="240" w:lineRule="auto"/>
      </w:pPr>
      <w:r w:rsidRPr="00DF307E">
        <w:t xml:space="preserve">Surveys of principals about </w:t>
      </w:r>
      <w:r>
        <w:t xml:space="preserve">their perceptions of </w:t>
      </w:r>
      <w:r w:rsidRPr="00DF307E">
        <w:t xml:space="preserve">graduate teachers </w:t>
      </w:r>
      <w:r w:rsidR="004B09BA">
        <w:t xml:space="preserve">is commonly reported on </w:t>
      </w:r>
      <w:r w:rsidRPr="00DF307E">
        <w:t>internationally</w:t>
      </w:r>
      <w:r w:rsidR="00CC3B5E">
        <w:t xml:space="preserve"> </w:t>
      </w:r>
      <w:r w:rsidRPr="00DF307E">
        <w:t xml:space="preserve">(Mayer et al. 2017), </w:t>
      </w:r>
      <w:r w:rsidR="00CC3B5E">
        <w:t>such as in Scotland</w:t>
      </w:r>
      <w:r w:rsidRPr="00DF307E">
        <w:t xml:space="preserve"> (</w:t>
      </w:r>
      <w:proofErr w:type="spellStart"/>
      <w:r w:rsidRPr="00DF307E">
        <w:rPr>
          <w:highlight w:val="white"/>
        </w:rPr>
        <w:t>Rauschenberger</w:t>
      </w:r>
      <w:proofErr w:type="spellEnd"/>
      <w:r w:rsidRPr="00DF307E">
        <w:rPr>
          <w:highlight w:val="white"/>
        </w:rPr>
        <w:t xml:space="preserve"> et al. 2017)</w:t>
      </w:r>
      <w:r w:rsidRPr="00DF307E">
        <w:t xml:space="preserve"> and the United States (</w:t>
      </w:r>
      <w:proofErr w:type="spellStart"/>
      <w:r w:rsidRPr="00DF307E">
        <w:t>Derrington</w:t>
      </w:r>
      <w:proofErr w:type="spellEnd"/>
      <w:r w:rsidRPr="00DF307E">
        <w:t xml:space="preserve"> </w:t>
      </w:r>
      <w:r w:rsidR="00B2448B">
        <w:t>and</w:t>
      </w:r>
      <w:r w:rsidRPr="00DF307E">
        <w:t xml:space="preserve"> Campbell 2018). </w:t>
      </w:r>
      <w:r w:rsidR="00737E71">
        <w:t xml:space="preserve">However, the only nationally available </w:t>
      </w:r>
      <w:r w:rsidR="000C7D57">
        <w:t>data on employer perceptions of graduate teachers is from t</w:t>
      </w:r>
      <w:r>
        <w:t>he Employer Satisfaction Survey (ESS)—part of the suite of QILT surveys</w:t>
      </w:r>
      <w:r w:rsidR="000C7D57">
        <w:t xml:space="preserve">, which </w:t>
      </w:r>
      <w:r>
        <w:t>directly links the experiences of graduates to the views of their direct supervisors</w:t>
      </w:r>
      <w:r w:rsidR="000C7D57">
        <w:t>.</w:t>
      </w:r>
      <w:r>
        <w:t xml:space="preserve"> </w:t>
      </w:r>
      <w:r w:rsidR="00AC01D2">
        <w:t xml:space="preserve">While this can provide </w:t>
      </w:r>
      <w:r w:rsidR="000B577D">
        <w:t>important</w:t>
      </w:r>
      <w:r w:rsidR="004F094F">
        <w:t xml:space="preserve"> insights into employer perceptions of </w:t>
      </w:r>
      <w:r w:rsidR="00FE328B">
        <w:t>teaching graduates, t</w:t>
      </w:r>
      <w:r>
        <w:t xml:space="preserve">he sample size is too small to provide reliable insights across </w:t>
      </w:r>
      <w:r w:rsidR="00FE328B">
        <w:t>higher education providers</w:t>
      </w:r>
      <w:r>
        <w:t xml:space="preserve">. </w:t>
      </w:r>
    </w:p>
    <w:p w14:paraId="0B9F57E5" w14:textId="1E07B2FC" w:rsidR="00B707E9" w:rsidRPr="00034E0A" w:rsidRDefault="00764221" w:rsidP="00034E0A">
      <w:pPr>
        <w:pStyle w:val="Heading3"/>
        <w:spacing w:before="0" w:after="120" w:line="240" w:lineRule="auto"/>
        <w:rPr>
          <w:rFonts w:eastAsia="Times New Roman"/>
          <w:szCs w:val="32"/>
          <w:lang w:eastAsia="en-AU"/>
        </w:rPr>
      </w:pPr>
      <w:bookmarkStart w:id="51" w:name="_Toc128649083"/>
      <w:bookmarkStart w:id="52" w:name="_Toc130217439"/>
      <w:r w:rsidRPr="00034E0A">
        <w:rPr>
          <w:rFonts w:eastAsia="Times New Roman"/>
          <w:szCs w:val="32"/>
          <w:lang w:eastAsia="en-AU"/>
        </w:rPr>
        <w:t xml:space="preserve">2.3 </w:t>
      </w:r>
      <w:r w:rsidR="00C368C7" w:rsidRPr="00034E0A">
        <w:rPr>
          <w:rFonts w:eastAsia="Times New Roman"/>
          <w:szCs w:val="32"/>
          <w:lang w:eastAsia="en-AU"/>
        </w:rPr>
        <w:t>Measuring</w:t>
      </w:r>
      <w:r w:rsidR="007930B4" w:rsidRPr="00034E0A">
        <w:rPr>
          <w:rFonts w:eastAsia="Times New Roman"/>
          <w:szCs w:val="32"/>
          <w:lang w:eastAsia="en-AU"/>
        </w:rPr>
        <w:t xml:space="preserve"> Performance</w:t>
      </w:r>
      <w:r w:rsidR="00C368C7" w:rsidRPr="00034E0A">
        <w:rPr>
          <w:rFonts w:eastAsia="Times New Roman"/>
          <w:szCs w:val="32"/>
          <w:lang w:eastAsia="en-AU"/>
        </w:rPr>
        <w:t xml:space="preserve"> and Reporting</w:t>
      </w:r>
      <w:bookmarkEnd w:id="51"/>
      <w:bookmarkEnd w:id="52"/>
    </w:p>
    <w:p w14:paraId="42B8421A" w14:textId="0707B127" w:rsidR="00445AE7" w:rsidRPr="0011718D" w:rsidRDefault="08D60D7F" w:rsidP="00D37FBA">
      <w:pPr>
        <w:spacing w:after="0" w:line="240" w:lineRule="auto"/>
      </w:pPr>
      <w:r w:rsidRPr="784A0F6C">
        <w:rPr>
          <w:rFonts w:ascii="Calibri" w:eastAsia="Calibri" w:hAnsi="Calibri" w:cs="Calibri"/>
        </w:rPr>
        <w:t xml:space="preserve">The Panel has considered how to best measure and report on performance </w:t>
      </w:r>
      <w:r w:rsidR="0046631A">
        <w:rPr>
          <w:rFonts w:ascii="Calibri" w:eastAsia="Calibri" w:hAnsi="Calibri" w:cs="Calibri"/>
        </w:rPr>
        <w:t xml:space="preserve">against the </w:t>
      </w:r>
      <w:r w:rsidR="00F434A2">
        <w:rPr>
          <w:rFonts w:ascii="Calibri" w:eastAsia="Calibri" w:hAnsi="Calibri" w:cs="Calibri"/>
        </w:rPr>
        <w:t>above</w:t>
      </w:r>
      <w:r w:rsidR="00BA104A">
        <w:rPr>
          <w:rFonts w:ascii="Calibri" w:eastAsia="Calibri" w:hAnsi="Calibri" w:cs="Calibri"/>
        </w:rPr>
        <w:t xml:space="preserve"> </w:t>
      </w:r>
      <w:r w:rsidR="00F434A2">
        <w:rPr>
          <w:rFonts w:ascii="Calibri" w:eastAsia="Calibri" w:hAnsi="Calibri" w:cs="Calibri"/>
        </w:rPr>
        <w:t>mentioned</w:t>
      </w:r>
      <w:r w:rsidR="0046631A">
        <w:rPr>
          <w:rFonts w:ascii="Calibri" w:eastAsia="Calibri" w:hAnsi="Calibri" w:cs="Calibri"/>
        </w:rPr>
        <w:t xml:space="preserve"> indicators</w:t>
      </w:r>
      <w:r w:rsidRPr="784A0F6C">
        <w:rPr>
          <w:rFonts w:ascii="Calibri" w:eastAsia="Calibri" w:hAnsi="Calibri" w:cs="Calibri"/>
        </w:rPr>
        <w:t xml:space="preserve">. </w:t>
      </w:r>
      <w:r w:rsidR="00C368C7" w:rsidRPr="767234E3">
        <w:t>Measuring and reporting on</w:t>
      </w:r>
      <w:r w:rsidR="00445AE7" w:rsidRPr="767234E3">
        <w:t xml:space="preserve"> higher education performance using </w:t>
      </w:r>
      <w:r w:rsidR="00222CAF">
        <w:t>these indicators</w:t>
      </w:r>
      <w:r w:rsidR="00445AE7" w:rsidRPr="767234E3">
        <w:t xml:space="preserve"> should identify: </w:t>
      </w:r>
    </w:p>
    <w:p w14:paraId="31CCB22B" w14:textId="593A2B6C" w:rsidR="00445AE7" w:rsidRPr="008B709E" w:rsidRDefault="00B309C5" w:rsidP="00D5108D">
      <w:pPr>
        <w:pStyle w:val="ListParagraph"/>
        <w:numPr>
          <w:ilvl w:val="0"/>
          <w:numId w:val="42"/>
        </w:numPr>
        <w:spacing w:after="120"/>
        <w:rPr>
          <w:sz w:val="22"/>
          <w:szCs w:val="22"/>
        </w:rPr>
      </w:pPr>
      <w:r>
        <w:rPr>
          <w:sz w:val="22"/>
          <w:szCs w:val="22"/>
        </w:rPr>
        <w:t>t</w:t>
      </w:r>
      <w:r w:rsidR="00765262" w:rsidRPr="008B709E">
        <w:rPr>
          <w:sz w:val="22"/>
          <w:szCs w:val="22"/>
        </w:rPr>
        <w:t>he trend</w:t>
      </w:r>
      <w:r w:rsidR="007930B4" w:rsidRPr="008B709E">
        <w:rPr>
          <w:sz w:val="22"/>
          <w:szCs w:val="22"/>
        </w:rPr>
        <w:t xml:space="preserve"> in</w:t>
      </w:r>
      <w:r w:rsidR="00445AE7" w:rsidRPr="008B709E">
        <w:rPr>
          <w:sz w:val="22"/>
          <w:szCs w:val="22"/>
        </w:rPr>
        <w:t xml:space="preserve"> higher education providers’ performance on the indicators over time</w:t>
      </w:r>
      <w:r w:rsidR="00F563AC">
        <w:rPr>
          <w:sz w:val="22"/>
          <w:szCs w:val="22"/>
        </w:rPr>
        <w:t>,</w:t>
      </w:r>
      <w:r w:rsidR="00BA104A" w:rsidRPr="008B709E">
        <w:rPr>
          <w:sz w:val="22"/>
          <w:szCs w:val="22"/>
        </w:rPr>
        <w:t xml:space="preserve"> and</w:t>
      </w:r>
    </w:p>
    <w:p w14:paraId="14DBE37B" w14:textId="2FA2A3E0" w:rsidR="00445AE7" w:rsidRPr="008B709E" w:rsidRDefault="00B309C5" w:rsidP="00D5108D">
      <w:pPr>
        <w:pStyle w:val="ListParagraph"/>
        <w:numPr>
          <w:ilvl w:val="0"/>
          <w:numId w:val="42"/>
        </w:numPr>
        <w:spacing w:after="120"/>
        <w:ind w:left="714" w:hanging="357"/>
        <w:rPr>
          <w:sz w:val="22"/>
          <w:szCs w:val="22"/>
        </w:rPr>
      </w:pPr>
      <w:r>
        <w:rPr>
          <w:sz w:val="22"/>
          <w:szCs w:val="22"/>
        </w:rPr>
        <w:t>c</w:t>
      </w:r>
      <w:r w:rsidR="00445AE7" w:rsidRPr="008B709E">
        <w:rPr>
          <w:sz w:val="22"/>
          <w:szCs w:val="22"/>
        </w:rPr>
        <w:t>onsistent high performance (where further improvement is unlikely to occur)</w:t>
      </w:r>
      <w:r>
        <w:rPr>
          <w:sz w:val="22"/>
          <w:szCs w:val="22"/>
        </w:rPr>
        <w:t>.</w:t>
      </w:r>
    </w:p>
    <w:p w14:paraId="52B2A094" w14:textId="2DC4758A" w:rsidR="00445AE7" w:rsidRPr="0011718D" w:rsidRDefault="00D76503" w:rsidP="00D37FBA">
      <w:pPr>
        <w:spacing w:after="120" w:line="240" w:lineRule="auto"/>
        <w:rPr>
          <w:rFonts w:cstheme="minorHAnsi"/>
        </w:rPr>
      </w:pPr>
      <w:r>
        <w:rPr>
          <w:rFonts w:cstheme="minorHAnsi"/>
        </w:rPr>
        <w:t>The Panel has also considered how to best</w:t>
      </w:r>
      <w:r w:rsidR="00445AE7" w:rsidRPr="0011718D">
        <w:rPr>
          <w:rFonts w:cstheme="minorHAnsi"/>
        </w:rPr>
        <w:t xml:space="preserve"> accommodate the different contexts of higher education providers such as the characteristics of student cohorts and </w:t>
      </w:r>
      <w:r w:rsidR="005D529A">
        <w:rPr>
          <w:rFonts w:cstheme="minorHAnsi"/>
        </w:rPr>
        <w:t>program</w:t>
      </w:r>
      <w:r w:rsidR="00445AE7" w:rsidRPr="0011718D">
        <w:rPr>
          <w:rFonts w:cstheme="minorHAnsi"/>
        </w:rPr>
        <w:t xml:space="preserve"> delivery. </w:t>
      </w:r>
      <w:r w:rsidR="00D42D0F">
        <w:rPr>
          <w:rFonts w:cstheme="minorHAnsi"/>
        </w:rPr>
        <w:t>In addition, a</w:t>
      </w:r>
      <w:r w:rsidR="00445AE7" w:rsidRPr="0011718D">
        <w:rPr>
          <w:rFonts w:cstheme="minorHAnsi"/>
        </w:rPr>
        <w:t>lternative options should be available to report on the performance of higher education providers with small student cohorts where quantitative measures should not be reported.</w:t>
      </w:r>
    </w:p>
    <w:p w14:paraId="7EBE96A6" w14:textId="5ADA45CE" w:rsidR="00D9503F" w:rsidRPr="00D9503F" w:rsidRDefault="007C2797" w:rsidP="007C2797">
      <w:pPr>
        <w:pStyle w:val="Heading4"/>
        <w:spacing w:before="0" w:line="240" w:lineRule="auto"/>
        <w:rPr>
          <w:rFonts w:eastAsia="Times New Roman"/>
          <w:color w:val="004F9E" w:themeColor="text2"/>
          <w:sz w:val="26"/>
          <w:szCs w:val="26"/>
          <w:lang w:eastAsia="en-AU"/>
        </w:rPr>
      </w:pPr>
      <w:r>
        <w:rPr>
          <w:rFonts w:asciiTheme="minorHAnsi" w:eastAsia="Times New Roman" w:hAnsiTheme="minorHAnsi" w:cstheme="minorHAnsi"/>
          <w:color w:val="002C3E" w:themeColor="background2"/>
          <w:lang w:eastAsia="en-AU"/>
        </w:rPr>
        <w:t xml:space="preserve">2.3.1 </w:t>
      </w:r>
      <w:r w:rsidR="00D9503F" w:rsidRPr="007C2797">
        <w:rPr>
          <w:rFonts w:asciiTheme="minorHAnsi" w:eastAsia="Times New Roman" w:hAnsiTheme="minorHAnsi" w:cstheme="minorHAnsi"/>
          <w:color w:val="002C3E" w:themeColor="background2"/>
          <w:lang w:eastAsia="en-AU"/>
        </w:rPr>
        <w:t>Measuring performance</w:t>
      </w:r>
    </w:p>
    <w:p w14:paraId="5AB3A2D3" w14:textId="042F62DC" w:rsidR="00705306" w:rsidRPr="00EC2E9B" w:rsidRDefault="00AD3E57" w:rsidP="00D37FBA">
      <w:pPr>
        <w:spacing w:after="120" w:line="240" w:lineRule="auto"/>
        <w:textAlignment w:val="baseline"/>
        <w:rPr>
          <w:rFonts w:ascii="Calibri" w:eastAsia="Times New Roman" w:hAnsi="Calibri" w:cs="Calibri"/>
          <w:lang w:eastAsia="en-AU"/>
        </w:rPr>
      </w:pPr>
      <w:r w:rsidRPr="6DF251AA">
        <w:rPr>
          <w:rFonts w:ascii="Calibri" w:eastAsia="Times New Roman" w:hAnsi="Calibri" w:cs="Calibri"/>
          <w:lang w:eastAsia="en-AU"/>
        </w:rPr>
        <w:t>T</w:t>
      </w:r>
      <w:r w:rsidR="00B707E9" w:rsidRPr="6DF251AA">
        <w:rPr>
          <w:rFonts w:ascii="Calibri" w:eastAsia="Times New Roman" w:hAnsi="Calibri" w:cs="Calibri"/>
          <w:lang w:eastAsia="en-AU"/>
        </w:rPr>
        <w:t>he</w:t>
      </w:r>
      <w:r w:rsidR="00B707E9" w:rsidRPr="008151AF">
        <w:rPr>
          <w:rFonts w:ascii="Calibri" w:eastAsia="Times New Roman" w:hAnsi="Calibri" w:cs="Calibri"/>
          <w:lang w:eastAsia="en-AU"/>
        </w:rPr>
        <w:t xml:space="preserve"> indicators should be </w:t>
      </w:r>
      <w:r w:rsidR="00E0337C">
        <w:rPr>
          <w:rFonts w:ascii="Calibri" w:eastAsia="Times New Roman" w:hAnsi="Calibri" w:cs="Calibri"/>
          <w:lang w:eastAsia="en-AU"/>
        </w:rPr>
        <w:t>used</w:t>
      </w:r>
      <w:r w:rsidR="00E0337C" w:rsidRPr="008151AF">
        <w:rPr>
          <w:rFonts w:ascii="Calibri" w:eastAsia="Times New Roman" w:hAnsi="Calibri" w:cs="Calibri"/>
          <w:lang w:eastAsia="en-AU"/>
        </w:rPr>
        <w:t xml:space="preserve"> </w:t>
      </w:r>
      <w:r w:rsidR="00B707E9" w:rsidRPr="008151AF">
        <w:rPr>
          <w:rFonts w:ascii="Calibri" w:eastAsia="Times New Roman" w:hAnsi="Calibri" w:cs="Calibri"/>
          <w:lang w:eastAsia="en-AU"/>
        </w:rPr>
        <w:t xml:space="preserve">to identify high performing providers/quality ITE </w:t>
      </w:r>
      <w:r w:rsidR="00A32BE6">
        <w:rPr>
          <w:rFonts w:ascii="Calibri" w:eastAsia="Times New Roman" w:hAnsi="Calibri" w:cs="Calibri"/>
          <w:lang w:eastAsia="en-AU"/>
        </w:rPr>
        <w:t>programs</w:t>
      </w:r>
      <w:r w:rsidR="00B707E9" w:rsidRPr="008151AF">
        <w:rPr>
          <w:rFonts w:ascii="Calibri" w:eastAsia="Times New Roman" w:hAnsi="Calibri" w:cs="Calibri"/>
          <w:lang w:eastAsia="en-AU"/>
        </w:rPr>
        <w:t>. </w:t>
      </w:r>
      <w:r w:rsidR="00705306" w:rsidRPr="30CFD4D9">
        <w:rPr>
          <w:lang w:val="en-US"/>
        </w:rPr>
        <w:t xml:space="preserve">Two approaches for </w:t>
      </w:r>
      <w:r w:rsidR="00E20459" w:rsidRPr="30CFD4D9">
        <w:rPr>
          <w:lang w:val="en-US"/>
        </w:rPr>
        <w:t xml:space="preserve">measuring performance </w:t>
      </w:r>
      <w:r w:rsidR="00705306" w:rsidRPr="006B55A0">
        <w:rPr>
          <w:lang w:val="en-US"/>
        </w:rPr>
        <w:t>and analysis of the indicators were considered: (1) relative performance approach</w:t>
      </w:r>
      <w:r w:rsidR="00705306" w:rsidRPr="30CFD4D9">
        <w:rPr>
          <w:lang w:val="en-US"/>
        </w:rPr>
        <w:t>, and (2) improvement approach. The improvement approach is preferred</w:t>
      </w:r>
      <w:r w:rsidR="12569757" w:rsidRPr="72C73ACD">
        <w:rPr>
          <w:lang w:val="en-US"/>
        </w:rPr>
        <w:t xml:space="preserve"> by the </w:t>
      </w:r>
      <w:r w:rsidR="12569757" w:rsidRPr="0707935D">
        <w:rPr>
          <w:lang w:val="en-US"/>
        </w:rPr>
        <w:t>Panel</w:t>
      </w:r>
      <w:r w:rsidR="00705306" w:rsidRPr="0707935D">
        <w:rPr>
          <w:lang w:val="en-US"/>
        </w:rPr>
        <w:t>.</w:t>
      </w:r>
    </w:p>
    <w:p w14:paraId="387A6333" w14:textId="23FCEA71" w:rsidR="00705306" w:rsidRPr="0076515E" w:rsidRDefault="00D9503F" w:rsidP="000F7122">
      <w:pPr>
        <w:spacing w:after="0" w:line="240" w:lineRule="auto"/>
        <w:rPr>
          <w:rFonts w:ascii="Calibri" w:eastAsia="Times New Roman" w:hAnsi="Calibri" w:cs="Calibri"/>
          <w:b/>
          <w:color w:val="000000" w:themeColor="text1"/>
          <w:sz w:val="26"/>
          <w:szCs w:val="26"/>
          <w:lang w:eastAsia="en-AU"/>
        </w:rPr>
      </w:pPr>
      <w:r w:rsidRPr="0076515E">
        <w:rPr>
          <w:b/>
          <w:sz w:val="26"/>
          <w:szCs w:val="26"/>
          <w:lang w:eastAsia="en-AU"/>
        </w:rPr>
        <w:lastRenderedPageBreak/>
        <w:t>Re</w:t>
      </w:r>
      <w:r w:rsidRPr="0076515E">
        <w:rPr>
          <w:rFonts w:eastAsia="Times New Roman"/>
          <w:b/>
          <w:sz w:val="26"/>
          <w:szCs w:val="26"/>
          <w:lang w:eastAsia="en-AU"/>
        </w:rPr>
        <w:t>lative performance approach</w:t>
      </w:r>
      <w:r w:rsidR="00705306" w:rsidRPr="0076515E">
        <w:rPr>
          <w:rFonts w:eastAsia="Times New Roman"/>
          <w:b/>
          <w:sz w:val="26"/>
          <w:szCs w:val="26"/>
          <w:shd w:val="clear" w:color="auto" w:fill="E6E6E6"/>
          <w:lang w:eastAsia="en-AU"/>
        </w:rPr>
        <w:t xml:space="preserve"> </w:t>
      </w:r>
    </w:p>
    <w:p w14:paraId="16B7A557" w14:textId="0CB7655A" w:rsidR="00537CB2" w:rsidRDefault="00705306" w:rsidP="003F2FEF">
      <w:pPr>
        <w:spacing w:after="120" w:line="240" w:lineRule="auto"/>
      </w:pPr>
      <w:r w:rsidRPr="543493CF">
        <w:t>Th</w:t>
      </w:r>
      <w:r w:rsidR="00537CB2" w:rsidRPr="543493CF">
        <w:t>e relative performance</w:t>
      </w:r>
      <w:r w:rsidRPr="543493CF">
        <w:t xml:space="preserve"> approach compares higher education providers’ performance </w:t>
      </w:r>
      <w:r w:rsidRPr="001A0F7C">
        <w:t xml:space="preserve">against </w:t>
      </w:r>
      <w:r w:rsidR="002163DD">
        <w:t xml:space="preserve">their </w:t>
      </w:r>
      <w:r w:rsidRPr="001A0F7C">
        <w:t>predicted</w:t>
      </w:r>
      <w:r w:rsidRPr="543493CF">
        <w:t xml:space="preserve"> performance</w:t>
      </w:r>
      <w:r w:rsidR="009853CA" w:rsidRPr="543493CF">
        <w:t xml:space="preserve"> using regression techniques</w:t>
      </w:r>
      <w:r w:rsidRPr="543493CF">
        <w:t>, factoring in student and course characteristics known to influence performance on the</w:t>
      </w:r>
      <w:r w:rsidR="00396DD4">
        <w:t xml:space="preserve"> above mentioned</w:t>
      </w:r>
      <w:r w:rsidRPr="543493CF">
        <w:t xml:space="preserve"> indicators. </w:t>
      </w:r>
    </w:p>
    <w:p w14:paraId="35FE5B66" w14:textId="779A6A0D" w:rsidR="0046305D" w:rsidRPr="007813D9" w:rsidRDefault="00705306" w:rsidP="007813D9">
      <w:pPr>
        <w:spacing w:after="120" w:line="240" w:lineRule="auto"/>
        <w:rPr>
          <w:rFonts w:cstheme="minorHAnsi"/>
        </w:rPr>
      </w:pPr>
      <w:r w:rsidRPr="0011718D">
        <w:rPr>
          <w:rFonts w:cstheme="minorHAnsi"/>
        </w:rPr>
        <w:t xml:space="preserve">Variables </w:t>
      </w:r>
      <w:r w:rsidR="00B86A61">
        <w:rPr>
          <w:rFonts w:cstheme="minorHAnsi"/>
        </w:rPr>
        <w:t xml:space="preserve">included in the regression model </w:t>
      </w:r>
      <w:r w:rsidR="00691FB5">
        <w:rPr>
          <w:rFonts w:cstheme="minorHAnsi"/>
        </w:rPr>
        <w:t>could</w:t>
      </w:r>
      <w:r w:rsidRPr="0011718D">
        <w:rPr>
          <w:rFonts w:cstheme="minorHAnsi"/>
        </w:rPr>
        <w:t xml:space="preserve"> include age, gender, mode of delivery, type of enrolment (full-time, part-time) and degree type. </w:t>
      </w:r>
      <w:r w:rsidR="00D14CCA">
        <w:rPr>
          <w:rFonts w:cstheme="minorHAnsi"/>
        </w:rPr>
        <w:t>However</w:t>
      </w:r>
      <w:r w:rsidR="005E39E3">
        <w:rPr>
          <w:rFonts w:cstheme="minorHAnsi"/>
        </w:rPr>
        <w:t>,</w:t>
      </w:r>
      <w:r w:rsidRPr="0011718D">
        <w:rPr>
          <w:rFonts w:cstheme="minorHAnsi"/>
        </w:rPr>
        <w:t xml:space="preserve"> its use in higher education performance frameworks has been criticised due to its complexity and opaque nature (</w:t>
      </w:r>
      <w:proofErr w:type="spellStart"/>
      <w:r w:rsidRPr="0011718D">
        <w:rPr>
          <w:rFonts w:cstheme="minorHAnsi"/>
        </w:rPr>
        <w:t>Wheelahan</w:t>
      </w:r>
      <w:proofErr w:type="spellEnd"/>
      <w:r w:rsidRPr="0011718D">
        <w:rPr>
          <w:rFonts w:cstheme="minorHAnsi"/>
        </w:rPr>
        <w:t xml:space="preserve"> 2007). For example, the Australian Learning and Teaching Performance Fund (LTPF; 2005 to 2009) sought to reward institutions “that best demonstrate excellence in learning and teaching” (Nelson 2003, p. 29) and initially used regression analysis of quantitative measures to measure university performance. However, in the final year of the LTPF, funding was allocated based on whether institutions had improved on their metrics from the previous year (</w:t>
      </w:r>
      <w:proofErr w:type="spellStart"/>
      <w:r w:rsidRPr="0011718D">
        <w:rPr>
          <w:rFonts w:cstheme="minorHAnsi"/>
        </w:rPr>
        <w:t>Coaldrake</w:t>
      </w:r>
      <w:proofErr w:type="spellEnd"/>
      <w:r w:rsidRPr="0011718D">
        <w:rPr>
          <w:rFonts w:cstheme="minorHAnsi"/>
        </w:rPr>
        <w:t xml:space="preserve"> </w:t>
      </w:r>
      <w:r w:rsidR="00EF59B2">
        <w:rPr>
          <w:rFonts w:cstheme="minorHAnsi"/>
        </w:rPr>
        <w:t>and</w:t>
      </w:r>
      <w:r w:rsidRPr="0011718D">
        <w:rPr>
          <w:rFonts w:cstheme="minorHAnsi"/>
        </w:rPr>
        <w:t xml:space="preserve"> Stedman, 2016). The ‘relative performance approach’ is not recommended for the reporting and analysis of the </w:t>
      </w:r>
      <w:r w:rsidR="00E8692D">
        <w:rPr>
          <w:rFonts w:cstheme="minorHAnsi"/>
        </w:rPr>
        <w:t xml:space="preserve">performance </w:t>
      </w:r>
      <w:r w:rsidRPr="0011718D">
        <w:rPr>
          <w:rFonts w:cstheme="minorHAnsi"/>
        </w:rPr>
        <w:t>measure</w:t>
      </w:r>
      <w:r w:rsidR="00E8692D">
        <w:rPr>
          <w:rFonts w:cstheme="minorHAnsi"/>
        </w:rPr>
        <w:t>s</w:t>
      </w:r>
      <w:r w:rsidRPr="0011718D">
        <w:rPr>
          <w:rFonts w:cstheme="minorHAnsi"/>
        </w:rPr>
        <w:t xml:space="preserve">. </w:t>
      </w:r>
    </w:p>
    <w:p w14:paraId="0E1E956D" w14:textId="74E95211" w:rsidR="00705306" w:rsidRPr="0076515E" w:rsidRDefault="00856185" w:rsidP="000F7122">
      <w:pPr>
        <w:spacing w:after="0" w:line="240" w:lineRule="auto"/>
        <w:rPr>
          <w:rFonts w:eastAsia="Times New Roman"/>
          <w:color w:val="000000" w:themeColor="text1"/>
          <w:sz w:val="26"/>
          <w:szCs w:val="26"/>
          <w:lang w:eastAsia="en-AU"/>
        </w:rPr>
      </w:pPr>
      <w:r w:rsidRPr="0076515E">
        <w:rPr>
          <w:b/>
          <w:sz w:val="26"/>
          <w:szCs w:val="26"/>
          <w:lang w:eastAsia="en-AU"/>
        </w:rPr>
        <w:t>Improvement</w:t>
      </w:r>
      <w:r w:rsidR="00D9503F" w:rsidRPr="0076515E">
        <w:rPr>
          <w:rFonts w:eastAsia="Times New Roman"/>
          <w:sz w:val="26"/>
          <w:szCs w:val="26"/>
          <w:lang w:eastAsia="en-AU"/>
        </w:rPr>
        <w:t xml:space="preserve"> </w:t>
      </w:r>
      <w:r w:rsidR="00D9503F" w:rsidRPr="0076515E">
        <w:rPr>
          <w:b/>
          <w:sz w:val="26"/>
          <w:szCs w:val="26"/>
          <w:lang w:eastAsia="en-AU"/>
        </w:rPr>
        <w:t>approach</w:t>
      </w:r>
    </w:p>
    <w:p w14:paraId="46572547" w14:textId="613744C5" w:rsidR="00705306" w:rsidRPr="0011718D" w:rsidRDefault="00705306" w:rsidP="2AF7B30B">
      <w:pPr>
        <w:spacing w:after="120" w:line="240" w:lineRule="auto"/>
      </w:pPr>
      <w:r w:rsidRPr="2AF7B30B">
        <w:t>Th</w:t>
      </w:r>
      <w:r w:rsidR="00FB2427">
        <w:t>e improvement</w:t>
      </w:r>
      <w:r w:rsidRPr="2AF7B30B">
        <w:t xml:space="preserve"> approach includes benchmarking higher education provider performance against previous long-term performance</w:t>
      </w:r>
      <w:r w:rsidRPr="2AF7B30B">
        <w:rPr>
          <w:rStyle w:val="FootnoteReference"/>
        </w:rPr>
        <w:footnoteReference w:id="3"/>
      </w:r>
      <w:r w:rsidRPr="2AF7B30B">
        <w:t xml:space="preserve"> at the individual institution level, to examine improvement over time, taking account of individual higher education provider’s context. For example, higher education providers offering postgraduate </w:t>
      </w:r>
      <w:r w:rsidR="005D529A">
        <w:t>programs</w:t>
      </w:r>
      <w:r w:rsidRPr="2AF7B30B">
        <w:t xml:space="preserve"> only, may perform more strongly on certain indicators compared to those offering a mixture of under- and post-graduate ITE</w:t>
      </w:r>
      <w:r w:rsidR="00A32BE6">
        <w:t xml:space="preserve"> programs</w:t>
      </w:r>
      <w:r w:rsidRPr="2AF7B30B">
        <w:t xml:space="preserve">. With this approach, the individual higher education provider’s contextual information is directly accounted for, as the higher education provider performance is compared to itself, resulting in an accurate and unbiased evidence base for improvement. </w:t>
      </w:r>
    </w:p>
    <w:p w14:paraId="183DF4DB" w14:textId="4EEC4214" w:rsidR="00705306" w:rsidRPr="00CD2063" w:rsidRDefault="00CD2063" w:rsidP="00FF0E7C">
      <w:pPr>
        <w:pStyle w:val="Heading5"/>
        <w:spacing w:before="0" w:line="240" w:lineRule="auto"/>
        <w:rPr>
          <w:rFonts w:asciiTheme="minorHAnsi" w:eastAsiaTheme="minorEastAsia" w:hAnsiTheme="minorHAnsi" w:cstheme="minorBidi"/>
          <w:b w:val="0"/>
          <w:color w:val="auto"/>
          <w:sz w:val="22"/>
        </w:rPr>
      </w:pPr>
      <w:r w:rsidRPr="4BC49F27">
        <w:rPr>
          <w:rFonts w:asciiTheme="minorHAnsi" w:eastAsiaTheme="minorEastAsia" w:hAnsiTheme="minorHAnsi" w:cstheme="minorBidi"/>
          <w:b w:val="0"/>
          <w:color w:val="auto"/>
          <w:sz w:val="22"/>
        </w:rPr>
        <w:t>The l</w:t>
      </w:r>
      <w:r w:rsidR="00705306" w:rsidRPr="4BC49F27">
        <w:rPr>
          <w:rFonts w:asciiTheme="minorHAnsi" w:eastAsiaTheme="minorEastAsia" w:hAnsiTheme="minorHAnsi" w:cstheme="minorBidi"/>
          <w:b w:val="0"/>
          <w:color w:val="auto"/>
          <w:sz w:val="22"/>
        </w:rPr>
        <w:t>imitations of this approach relate to:</w:t>
      </w:r>
    </w:p>
    <w:p w14:paraId="3BD54711" w14:textId="52A0A7AC" w:rsidR="4BC49F27" w:rsidRDefault="00B309C5" w:rsidP="007D6F33">
      <w:pPr>
        <w:pStyle w:val="ListParagraph"/>
        <w:numPr>
          <w:ilvl w:val="0"/>
          <w:numId w:val="24"/>
        </w:numPr>
        <w:rPr>
          <w:sz w:val="22"/>
          <w:szCs w:val="22"/>
        </w:rPr>
      </w:pPr>
      <w:r>
        <w:rPr>
          <w:sz w:val="22"/>
          <w:szCs w:val="22"/>
        </w:rPr>
        <w:t>m</w:t>
      </w:r>
      <w:r w:rsidR="5624C5D8" w:rsidRPr="3148C031">
        <w:rPr>
          <w:sz w:val="22"/>
          <w:szCs w:val="22"/>
        </w:rPr>
        <w:t>ore challenging to compare the performance of different providers</w:t>
      </w:r>
    </w:p>
    <w:p w14:paraId="1BE723CB" w14:textId="57A46817" w:rsidR="00705306" w:rsidRPr="005B4A0F" w:rsidRDefault="00B309C5" w:rsidP="007D6F33">
      <w:pPr>
        <w:pStyle w:val="ListParagraph"/>
        <w:numPr>
          <w:ilvl w:val="0"/>
          <w:numId w:val="24"/>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s</w:t>
      </w:r>
      <w:r w:rsidR="00705306" w:rsidRPr="3EA66A1B">
        <w:rPr>
          <w:rFonts w:ascii="Calibri" w:eastAsia="Times New Roman" w:hAnsi="Calibri" w:cs="Calibri"/>
          <w:sz w:val="22"/>
          <w:szCs w:val="22"/>
          <w:lang w:eastAsia="en-AU"/>
        </w:rPr>
        <w:t>howing further improvement of already high-performing higher education provider</w:t>
      </w:r>
      <w:r w:rsidR="00F563AC">
        <w:rPr>
          <w:rFonts w:ascii="Calibri" w:eastAsia="Times New Roman" w:hAnsi="Calibri" w:cs="Calibri"/>
          <w:sz w:val="22"/>
          <w:szCs w:val="22"/>
          <w:lang w:eastAsia="en-AU"/>
        </w:rPr>
        <w:t>s,</w:t>
      </w:r>
      <w:r w:rsidR="6AA53919" w:rsidRPr="074A9113">
        <w:rPr>
          <w:rFonts w:ascii="Calibri" w:eastAsia="Times New Roman" w:hAnsi="Calibri" w:cs="Calibri"/>
          <w:sz w:val="22"/>
          <w:szCs w:val="22"/>
          <w:lang w:eastAsia="en-AU"/>
        </w:rPr>
        <w:t xml:space="preserve"> and</w:t>
      </w:r>
    </w:p>
    <w:p w14:paraId="0D54D8FF" w14:textId="17F2C2E7" w:rsidR="00705306" w:rsidRPr="005B4A0F" w:rsidRDefault="00B309C5" w:rsidP="007D6F33">
      <w:pPr>
        <w:pStyle w:val="ListParagraph"/>
        <w:numPr>
          <w:ilvl w:val="0"/>
          <w:numId w:val="24"/>
        </w:numPr>
        <w:spacing w:after="120"/>
        <w:ind w:left="714" w:hanging="357"/>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d</w:t>
      </w:r>
      <w:r w:rsidR="00705306" w:rsidRPr="3EA66A1B">
        <w:rPr>
          <w:rFonts w:ascii="Calibri" w:eastAsia="Times New Roman" w:hAnsi="Calibri" w:cs="Calibri"/>
          <w:sz w:val="22"/>
          <w:szCs w:val="22"/>
          <w:lang w:eastAsia="en-AU"/>
        </w:rPr>
        <w:t xml:space="preserve">emonstrating improvement for higher education providers with a small sample size. </w:t>
      </w:r>
    </w:p>
    <w:p w14:paraId="0B157599" w14:textId="469B1303" w:rsidR="00705306" w:rsidRPr="0056187D" w:rsidRDefault="00CD2063" w:rsidP="00FF0E7C">
      <w:pPr>
        <w:pStyle w:val="Heading5"/>
        <w:spacing w:before="0" w:line="240" w:lineRule="auto"/>
        <w:rPr>
          <w:rFonts w:asciiTheme="minorHAnsi" w:eastAsiaTheme="minorEastAsia" w:hAnsiTheme="minorHAnsi" w:cstheme="minorBidi"/>
          <w:b w:val="0"/>
          <w:color w:val="auto"/>
          <w:sz w:val="22"/>
        </w:rPr>
      </w:pPr>
      <w:r w:rsidRPr="00897EA2">
        <w:rPr>
          <w:rFonts w:asciiTheme="minorHAnsi" w:eastAsiaTheme="minorHAnsi" w:hAnsiTheme="minorHAnsi" w:cstheme="minorHAnsi"/>
          <w:b w:val="0"/>
          <w:color w:val="auto"/>
          <w:sz w:val="22"/>
        </w:rPr>
        <w:t xml:space="preserve">These </w:t>
      </w:r>
      <w:r w:rsidR="00897EA2" w:rsidRPr="0056187D">
        <w:rPr>
          <w:rFonts w:asciiTheme="minorHAnsi" w:eastAsiaTheme="minorEastAsia" w:hAnsiTheme="minorHAnsi" w:cstheme="minorBidi"/>
          <w:b w:val="0"/>
          <w:color w:val="auto"/>
          <w:sz w:val="22"/>
        </w:rPr>
        <w:t>limitations can be overcome by</w:t>
      </w:r>
      <w:r w:rsidR="00705306" w:rsidRPr="0056187D">
        <w:rPr>
          <w:rFonts w:asciiTheme="minorHAnsi" w:eastAsiaTheme="minorEastAsia" w:hAnsiTheme="minorHAnsi" w:cstheme="minorBidi"/>
          <w:b w:val="0"/>
          <w:color w:val="auto"/>
          <w:sz w:val="22"/>
        </w:rPr>
        <w:t>:</w:t>
      </w:r>
    </w:p>
    <w:p w14:paraId="3B1C4F03" w14:textId="0A509A69" w:rsidR="00015AA8" w:rsidRPr="00C65883" w:rsidRDefault="00015AA8" w:rsidP="007D6F33">
      <w:pPr>
        <w:pStyle w:val="ListParagraph"/>
        <w:numPr>
          <w:ilvl w:val="0"/>
          <w:numId w:val="24"/>
        </w:numPr>
        <w:ind w:left="714" w:hanging="357"/>
        <w:rPr>
          <w:rFonts w:cstheme="minorHAnsi"/>
          <w:sz w:val="22"/>
        </w:rPr>
      </w:pPr>
      <w:r w:rsidRPr="0056187D">
        <w:rPr>
          <w:sz w:val="22"/>
          <w:szCs w:val="22"/>
        </w:rPr>
        <w:t xml:space="preserve">Setting a threshold at or above </w:t>
      </w:r>
      <w:r w:rsidRPr="00A35FF2">
        <w:rPr>
          <w:sz w:val="22"/>
          <w:szCs w:val="22"/>
        </w:rPr>
        <w:t>the national average</w:t>
      </w:r>
      <w:r w:rsidRPr="0056187D">
        <w:rPr>
          <w:sz w:val="22"/>
          <w:szCs w:val="22"/>
        </w:rPr>
        <w:t xml:space="preserve"> for each indicator to recognise higher education p</w:t>
      </w:r>
      <w:r w:rsidRPr="00C65883">
        <w:rPr>
          <w:rFonts w:cstheme="minorHAnsi"/>
          <w:sz w:val="22"/>
        </w:rPr>
        <w:t>roviders with consistently high performance</w:t>
      </w:r>
      <w:r>
        <w:rPr>
          <w:rFonts w:cstheme="minorHAnsi"/>
          <w:sz w:val="22"/>
        </w:rPr>
        <w:t xml:space="preserve">, </w:t>
      </w:r>
      <w:r w:rsidRPr="00C65883">
        <w:rPr>
          <w:rFonts w:cstheme="minorHAnsi"/>
          <w:sz w:val="22"/>
        </w:rPr>
        <w:t xml:space="preserve">and hence, little room for further improvements. </w:t>
      </w:r>
    </w:p>
    <w:p w14:paraId="1918EAB5" w14:textId="52B5AE4C" w:rsidR="004F4052" w:rsidRPr="00764221" w:rsidRDefault="00015AA8" w:rsidP="00D37FBA">
      <w:pPr>
        <w:pStyle w:val="ListParagraph"/>
        <w:numPr>
          <w:ilvl w:val="0"/>
          <w:numId w:val="24"/>
        </w:numPr>
        <w:spacing w:after="120"/>
        <w:ind w:left="714" w:hanging="357"/>
        <w:rPr>
          <w:sz w:val="22"/>
          <w:szCs w:val="22"/>
        </w:rPr>
      </w:pPr>
      <w:r w:rsidRPr="0056187D">
        <w:rPr>
          <w:sz w:val="22"/>
          <w:szCs w:val="22"/>
        </w:rPr>
        <w:t>Al</w:t>
      </w:r>
      <w:r w:rsidRPr="4BE65163">
        <w:rPr>
          <w:sz w:val="22"/>
          <w:szCs w:val="22"/>
        </w:rPr>
        <w:t xml:space="preserve">lowing providers to provide a qualitative submission </w:t>
      </w:r>
      <w:r w:rsidR="0026670C" w:rsidRPr="4BE65163">
        <w:rPr>
          <w:sz w:val="22"/>
          <w:szCs w:val="22"/>
        </w:rPr>
        <w:t>on</w:t>
      </w:r>
      <w:r w:rsidRPr="4BE65163">
        <w:rPr>
          <w:sz w:val="22"/>
          <w:szCs w:val="22"/>
        </w:rPr>
        <w:t xml:space="preserve"> their performance, as seen in the performance funding models in other countries (e.g. United </w:t>
      </w:r>
      <w:r w:rsidRPr="00CD0489">
        <w:rPr>
          <w:sz w:val="22"/>
          <w:szCs w:val="22"/>
        </w:rPr>
        <w:t xml:space="preserve">Kingdom: </w:t>
      </w:r>
      <w:r w:rsidR="00AC494A">
        <w:rPr>
          <w:rFonts w:ascii="Calibri" w:eastAsiaTheme="minorEastAsia" w:hAnsi="Calibri" w:cs="Calibri"/>
          <w:sz w:val="22"/>
        </w:rPr>
        <w:t>Vivian D</w:t>
      </w:r>
      <w:r w:rsidR="00AE3EA4">
        <w:rPr>
          <w:rFonts w:ascii="Calibri" w:eastAsiaTheme="minorEastAsia" w:hAnsi="Calibri" w:cs="Calibri"/>
          <w:sz w:val="22"/>
        </w:rPr>
        <w:t xml:space="preserve"> et al. </w:t>
      </w:r>
      <w:r w:rsidRPr="00CD0489">
        <w:rPr>
          <w:sz w:val="22"/>
          <w:szCs w:val="22"/>
        </w:rPr>
        <w:t>2019; United States: State of Louisiana Board of Regents 2019) and</w:t>
      </w:r>
      <w:r w:rsidRPr="4BE65163">
        <w:rPr>
          <w:sz w:val="22"/>
          <w:szCs w:val="22"/>
        </w:rPr>
        <w:t xml:space="preserve"> in previous Australian funding schemes (e.g. the Commonwealth Government’s Performance-Based Funding model). The submission allows higher education providers to include relevant contextual details, including student characteristics, strategies, and efforts to improve performance on quality indicators and comments on sample size (specifically for higher education providers with small cohorts). </w:t>
      </w:r>
    </w:p>
    <w:p w14:paraId="2654A5AB" w14:textId="77777777" w:rsidR="0023696D" w:rsidRDefault="0023696D">
      <w:pPr>
        <w:spacing w:after="160"/>
        <w:rPr>
          <w:rFonts w:eastAsia="Times New Roman" w:cstheme="minorHAnsi"/>
          <w:b/>
          <w:iCs/>
          <w:color w:val="002C3E" w:themeColor="background2"/>
          <w:sz w:val="28"/>
          <w:lang w:eastAsia="en-AU"/>
        </w:rPr>
      </w:pPr>
      <w:r>
        <w:rPr>
          <w:rFonts w:eastAsia="Times New Roman" w:cstheme="minorHAnsi"/>
          <w:color w:val="002C3E" w:themeColor="background2"/>
          <w:lang w:eastAsia="en-AU"/>
        </w:rPr>
        <w:br w:type="page"/>
      </w:r>
    </w:p>
    <w:p w14:paraId="5A9D14C7" w14:textId="14629E03" w:rsidR="006426B5" w:rsidRPr="0079086F" w:rsidRDefault="007C2797" w:rsidP="007C2797">
      <w:pPr>
        <w:pStyle w:val="Heading4"/>
        <w:spacing w:before="0" w:line="240" w:lineRule="auto"/>
        <w:rPr>
          <w:rFonts w:ascii="Calibri" w:eastAsia="Times New Roman" w:hAnsi="Calibri" w:cs="Calibri"/>
          <w:b w:val="0"/>
          <w:color w:val="2B579A"/>
          <w:sz w:val="26"/>
          <w:szCs w:val="26"/>
          <w:shd w:val="clear" w:color="auto" w:fill="E6E6E6"/>
          <w:lang w:eastAsia="en-AU"/>
        </w:rPr>
      </w:pPr>
      <w:r>
        <w:rPr>
          <w:rFonts w:asciiTheme="minorHAnsi" w:eastAsia="Times New Roman" w:hAnsiTheme="minorHAnsi" w:cstheme="minorHAnsi"/>
          <w:color w:val="002C3E" w:themeColor="background2"/>
          <w:lang w:eastAsia="en-AU"/>
        </w:rPr>
        <w:lastRenderedPageBreak/>
        <w:t xml:space="preserve">2.3.2 </w:t>
      </w:r>
      <w:r w:rsidR="00D9503F" w:rsidRPr="007C2797">
        <w:rPr>
          <w:rFonts w:asciiTheme="minorHAnsi" w:eastAsia="Times New Roman" w:hAnsiTheme="minorHAnsi" w:cstheme="minorHAnsi"/>
          <w:color w:val="002C3E" w:themeColor="background2"/>
          <w:lang w:eastAsia="en-AU"/>
        </w:rPr>
        <w:t xml:space="preserve">Assessing performance </w:t>
      </w:r>
    </w:p>
    <w:p w14:paraId="62BE3737" w14:textId="6C0C439D" w:rsidR="00F868F3" w:rsidRDefault="00B77E0D" w:rsidP="458FE869">
      <w:pPr>
        <w:spacing w:after="120" w:line="240" w:lineRule="auto"/>
      </w:pPr>
      <w:r w:rsidRPr="30CFD4D9">
        <w:t xml:space="preserve">Proceeding with </w:t>
      </w:r>
      <w:r w:rsidRPr="00A35FF2">
        <w:t xml:space="preserve">the </w:t>
      </w:r>
      <w:r w:rsidR="002B3D43" w:rsidRPr="00A35FF2">
        <w:t>improvement</w:t>
      </w:r>
      <w:r w:rsidRPr="00A35FF2">
        <w:t xml:space="preserve"> approach</w:t>
      </w:r>
      <w:r w:rsidRPr="30CFD4D9">
        <w:t xml:space="preserve"> requires quantifying improvement. </w:t>
      </w:r>
      <w:r w:rsidR="00A01D14">
        <w:t>Setting s</w:t>
      </w:r>
      <w:r w:rsidRPr="30CFD4D9">
        <w:t xml:space="preserve">mall </w:t>
      </w:r>
      <w:r w:rsidR="00A01D14">
        <w:t xml:space="preserve">benchmarks for </w:t>
      </w:r>
      <w:r w:rsidRPr="30CFD4D9">
        <w:t>improv</w:t>
      </w:r>
      <w:r w:rsidR="00D009FE">
        <w:t>ing</w:t>
      </w:r>
      <w:r w:rsidRPr="30CFD4D9">
        <w:t xml:space="preserve"> performance should be considered </w:t>
      </w:r>
      <w:r w:rsidRPr="00A35FF2">
        <w:t>appropriate</w:t>
      </w:r>
      <w:r w:rsidR="00FB3B43">
        <w:t xml:space="preserve">, </w:t>
      </w:r>
      <w:r w:rsidRPr="30CFD4D9">
        <w:t xml:space="preserve">with the acknowledgment that the quality measure is an annual assessment of performance, where small incremental annual improvements lead to significant long-term change. </w:t>
      </w:r>
    </w:p>
    <w:p w14:paraId="7C55D87F" w14:textId="183274F9" w:rsidR="00B77E0D" w:rsidRPr="0011718D" w:rsidRDefault="00B77E0D" w:rsidP="458FE869">
      <w:pPr>
        <w:spacing w:after="120" w:line="240" w:lineRule="auto"/>
      </w:pPr>
      <w:r w:rsidRPr="00320C52">
        <w:t>Defining improvement using smaller benchmarks</w:t>
      </w:r>
      <w:r w:rsidRPr="30CFD4D9">
        <w:t xml:space="preserve"> also accounts for the increasing difficulty of demonstrating constant improvement over time: if providers consistently improve, the amount of change required to demonstrate further improvements will continually increase. </w:t>
      </w:r>
    </w:p>
    <w:p w14:paraId="045F80A5" w14:textId="0DF9BAA4" w:rsidR="00B77E0D" w:rsidRPr="0011718D" w:rsidRDefault="00B77E0D" w:rsidP="458FE869">
      <w:pPr>
        <w:spacing w:after="120" w:line="240" w:lineRule="auto"/>
      </w:pPr>
      <w:r w:rsidRPr="458FE869">
        <w:t xml:space="preserve">It is also important to note that the indicators based on survey results are susceptible to low response rates, and therefore large confidence intervals around their means. Some providers will have smaller ITE student bodies than others, which will result in even larger confidence intervals. </w:t>
      </w:r>
    </w:p>
    <w:p w14:paraId="5ED6DAD5" w14:textId="77777777" w:rsidR="00B77E0D" w:rsidRPr="0011718D" w:rsidRDefault="00B77E0D" w:rsidP="458FE869">
      <w:pPr>
        <w:spacing w:after="120" w:line="240" w:lineRule="auto"/>
      </w:pPr>
      <w:r w:rsidRPr="458FE869">
        <w:t xml:space="preserve">For providers who are already performing above the national average on an indicator, it may be unrealistic to expect them to continue improving. While all providers should always report on all indicators, publishing should reflect that for these providers a deterioration against historical performance is not necessarily a serious issue. </w:t>
      </w:r>
    </w:p>
    <w:p w14:paraId="0D9236FC" w14:textId="6F327FFF" w:rsidR="00765CA4" w:rsidRPr="00094D5B" w:rsidRDefault="007C2797" w:rsidP="007C2797">
      <w:pPr>
        <w:pStyle w:val="Heading4"/>
        <w:spacing w:before="0" w:line="240" w:lineRule="auto"/>
        <w:rPr>
          <w:rFonts w:ascii="Calibri" w:eastAsia="Times New Roman" w:hAnsi="Calibri" w:cs="Calibri"/>
          <w:color w:val="002C3E" w:themeColor="background2"/>
          <w:sz w:val="26"/>
          <w:szCs w:val="26"/>
          <w:shd w:val="clear" w:color="auto" w:fill="E6E6E6"/>
          <w:lang w:eastAsia="en-AU"/>
        </w:rPr>
      </w:pPr>
      <w:bookmarkStart w:id="53" w:name="_Toc127459790"/>
      <w:r>
        <w:rPr>
          <w:rFonts w:asciiTheme="minorHAnsi" w:eastAsia="Times New Roman" w:hAnsiTheme="minorHAnsi" w:cstheme="minorHAnsi"/>
          <w:color w:val="002C3E" w:themeColor="background2"/>
          <w:lang w:eastAsia="en-AU"/>
        </w:rPr>
        <w:t xml:space="preserve">2.3.3 </w:t>
      </w:r>
      <w:r w:rsidR="00D9503F" w:rsidRPr="007C2797">
        <w:rPr>
          <w:rFonts w:asciiTheme="minorHAnsi" w:eastAsia="Times New Roman" w:hAnsiTheme="minorHAnsi" w:cstheme="minorHAnsi"/>
          <w:color w:val="002C3E" w:themeColor="background2"/>
          <w:lang w:eastAsia="en-AU"/>
        </w:rPr>
        <w:t>Publishing performance</w:t>
      </w:r>
      <w:bookmarkEnd w:id="53"/>
    </w:p>
    <w:p w14:paraId="1D72002A" w14:textId="4CB84253" w:rsidR="00405E33" w:rsidRDefault="00515713" w:rsidP="00405E33">
      <w:pPr>
        <w:spacing w:after="120" w:line="240" w:lineRule="auto"/>
        <w:rPr>
          <w:rFonts w:cstheme="minorHAnsi"/>
          <w:lang w:val="en-US"/>
        </w:rPr>
      </w:pPr>
      <w:r>
        <w:t xml:space="preserve">More accessible information about teaching quality </w:t>
      </w:r>
      <w:r w:rsidR="00825F23">
        <w:t>across higher education providers</w:t>
      </w:r>
      <w:r w:rsidR="00CE591C">
        <w:t xml:space="preserve"> </w:t>
      </w:r>
      <w:r w:rsidR="00405E33">
        <w:t>will</w:t>
      </w:r>
      <w:r>
        <w:t xml:space="preserve"> drive ongoing quality improvements if it is used by </w:t>
      </w:r>
      <w:r w:rsidR="00403AF4">
        <w:t xml:space="preserve">prospective </w:t>
      </w:r>
      <w:r w:rsidR="008A7B91">
        <w:t xml:space="preserve">ITE </w:t>
      </w:r>
      <w:r>
        <w:t xml:space="preserve">students in choosing their provider and </w:t>
      </w:r>
      <w:r w:rsidR="005D529A">
        <w:t>ITE program</w:t>
      </w:r>
      <w:r>
        <w:t xml:space="preserve"> (Productivity Commission 2022). </w:t>
      </w:r>
      <w:r w:rsidR="00765CA4" w:rsidRPr="0011718D">
        <w:rPr>
          <w:rFonts w:cstheme="minorHAnsi"/>
          <w:lang w:val="en-US"/>
        </w:rPr>
        <w:t xml:space="preserve">In order to be as impactful as possible, </w:t>
      </w:r>
      <w:r w:rsidR="00E8692D">
        <w:rPr>
          <w:rFonts w:cstheme="minorHAnsi"/>
          <w:lang w:val="en-US"/>
        </w:rPr>
        <w:t xml:space="preserve">reporting on the </w:t>
      </w:r>
      <w:r w:rsidR="00765CA4" w:rsidRPr="0011718D">
        <w:rPr>
          <w:rFonts w:cstheme="minorHAnsi"/>
          <w:lang w:val="en-US"/>
        </w:rPr>
        <w:t>performance measure</w:t>
      </w:r>
      <w:r w:rsidR="00E7374B">
        <w:rPr>
          <w:rFonts w:cstheme="minorHAnsi"/>
          <w:lang w:val="en-US"/>
        </w:rPr>
        <w:t>s</w:t>
      </w:r>
      <w:r w:rsidR="00765CA4" w:rsidRPr="0011718D">
        <w:rPr>
          <w:rFonts w:cstheme="minorHAnsi"/>
          <w:lang w:val="en-US"/>
        </w:rPr>
        <w:t xml:space="preserve"> should be well </w:t>
      </w:r>
      <w:proofErr w:type="spellStart"/>
      <w:r w:rsidR="00765CA4" w:rsidRPr="0011718D">
        <w:rPr>
          <w:rFonts w:cstheme="minorHAnsi"/>
          <w:lang w:val="en-US"/>
        </w:rPr>
        <w:t>publicised</w:t>
      </w:r>
      <w:proofErr w:type="spellEnd"/>
      <w:r w:rsidR="00765CA4" w:rsidRPr="0011718D">
        <w:rPr>
          <w:rFonts w:cstheme="minorHAnsi"/>
          <w:lang w:val="en-US"/>
        </w:rPr>
        <w:t xml:space="preserve">, easily accessible, and presented in an easy-to-understand, </w:t>
      </w:r>
      <w:proofErr w:type="spellStart"/>
      <w:r w:rsidR="00765CA4" w:rsidRPr="0011718D">
        <w:rPr>
          <w:rFonts w:cstheme="minorHAnsi"/>
          <w:lang w:val="en-US"/>
        </w:rPr>
        <w:t>standardised</w:t>
      </w:r>
      <w:proofErr w:type="spellEnd"/>
      <w:r w:rsidR="00765CA4" w:rsidRPr="0011718D">
        <w:rPr>
          <w:rFonts w:cstheme="minorHAnsi"/>
          <w:lang w:val="en-US"/>
        </w:rPr>
        <w:t xml:space="preserve"> format across providers. </w:t>
      </w:r>
    </w:p>
    <w:p w14:paraId="397D0B9F" w14:textId="596BCDF5" w:rsidR="001737AA" w:rsidRDefault="00405E33" w:rsidP="00D37FBA">
      <w:pPr>
        <w:spacing w:after="120" w:line="240" w:lineRule="auto"/>
        <w:rPr>
          <w:rFonts w:cstheme="minorHAnsi"/>
          <w:lang w:val="en-US"/>
        </w:rPr>
      </w:pPr>
      <w:r>
        <w:rPr>
          <w:rFonts w:cstheme="minorHAnsi"/>
          <w:lang w:val="en-US"/>
        </w:rPr>
        <w:t>T</w:t>
      </w:r>
      <w:r w:rsidRPr="0011718D">
        <w:rPr>
          <w:rFonts w:cstheme="minorHAnsi"/>
          <w:lang w:val="en-US"/>
        </w:rPr>
        <w:t xml:space="preserve">he performance </w:t>
      </w:r>
      <w:r w:rsidR="00357C23">
        <w:rPr>
          <w:rFonts w:cstheme="minorHAnsi"/>
          <w:lang w:val="en-US"/>
        </w:rPr>
        <w:t xml:space="preserve">of </w:t>
      </w:r>
      <w:r w:rsidR="00CE591C">
        <w:rPr>
          <w:rFonts w:cstheme="minorHAnsi"/>
          <w:lang w:val="en-US"/>
        </w:rPr>
        <w:t>higher education</w:t>
      </w:r>
      <w:r w:rsidR="00765CA4" w:rsidRPr="0011718D" w:rsidDel="00E641FA">
        <w:rPr>
          <w:rFonts w:cstheme="minorHAnsi"/>
          <w:lang w:val="en-US"/>
        </w:rPr>
        <w:t xml:space="preserve"> </w:t>
      </w:r>
      <w:r w:rsidR="00765CA4" w:rsidRPr="0011718D">
        <w:rPr>
          <w:rFonts w:cstheme="minorHAnsi"/>
          <w:lang w:val="en-US"/>
        </w:rPr>
        <w:t>provider</w:t>
      </w:r>
      <w:r w:rsidR="00E641FA">
        <w:rPr>
          <w:rFonts w:cstheme="minorHAnsi"/>
          <w:lang w:val="en-US"/>
        </w:rPr>
        <w:t>s</w:t>
      </w:r>
      <w:r w:rsidR="001737AA">
        <w:rPr>
          <w:rFonts w:cstheme="minorHAnsi"/>
          <w:lang w:val="en-US"/>
        </w:rPr>
        <w:t xml:space="preserve"> should be publicly </w:t>
      </w:r>
      <w:r w:rsidR="001737AA" w:rsidRPr="003C1442">
        <w:rPr>
          <w:rFonts w:cstheme="minorHAnsi"/>
          <w:lang w:val="en-US"/>
        </w:rPr>
        <w:t>available</w:t>
      </w:r>
      <w:r w:rsidR="004D20C1" w:rsidRPr="003C1442">
        <w:rPr>
          <w:rFonts w:cstheme="minorHAnsi"/>
          <w:lang w:val="en-US"/>
        </w:rPr>
        <w:t>. Th</w:t>
      </w:r>
      <w:r w:rsidR="005C3E94" w:rsidRPr="003C1442">
        <w:rPr>
          <w:rFonts w:cstheme="minorHAnsi"/>
          <w:lang w:val="en-US"/>
        </w:rPr>
        <w:t xml:space="preserve">e </w:t>
      </w:r>
      <w:r w:rsidR="00DC3443" w:rsidRPr="003C1442">
        <w:rPr>
          <w:rFonts w:cstheme="minorHAnsi"/>
          <w:lang w:val="en-US"/>
        </w:rPr>
        <w:t xml:space="preserve">performance indicators </w:t>
      </w:r>
      <w:r w:rsidR="002442DE">
        <w:rPr>
          <w:rFonts w:cstheme="minorHAnsi"/>
          <w:lang w:val="en-US"/>
        </w:rPr>
        <w:t>could</w:t>
      </w:r>
      <w:r w:rsidR="00DC3443" w:rsidRPr="003C1442">
        <w:rPr>
          <w:rFonts w:cstheme="minorHAnsi"/>
          <w:lang w:val="en-US"/>
        </w:rPr>
        <w:t xml:space="preserve"> be </w:t>
      </w:r>
      <w:r w:rsidR="000F69E8" w:rsidRPr="003C1442">
        <w:rPr>
          <w:rFonts w:cstheme="minorHAnsi"/>
          <w:lang w:val="en-US"/>
        </w:rPr>
        <w:t>published</w:t>
      </w:r>
      <w:r w:rsidR="00DC3443" w:rsidRPr="003C1442">
        <w:rPr>
          <w:rFonts w:cstheme="minorHAnsi"/>
          <w:lang w:val="en-US"/>
        </w:rPr>
        <w:t xml:space="preserve"> using data in the </w:t>
      </w:r>
      <w:r w:rsidR="002442DE">
        <w:rPr>
          <w:rFonts w:cstheme="minorHAnsi"/>
          <w:lang w:val="en-US"/>
        </w:rPr>
        <w:t>ATWD</w:t>
      </w:r>
      <w:r w:rsidR="00DC3443" w:rsidRPr="003C1442">
        <w:rPr>
          <w:rFonts w:cstheme="minorHAnsi"/>
          <w:lang w:val="en-US"/>
        </w:rPr>
        <w:t xml:space="preserve">, </w:t>
      </w:r>
      <w:r w:rsidR="002B132E" w:rsidRPr="003C1442">
        <w:rPr>
          <w:rFonts w:cstheme="minorHAnsi"/>
          <w:lang w:val="en-US"/>
        </w:rPr>
        <w:t xml:space="preserve">which annually collects and connects </w:t>
      </w:r>
      <w:r w:rsidR="00E162F0">
        <w:rPr>
          <w:rFonts w:cstheme="minorHAnsi"/>
          <w:lang w:val="en-US"/>
        </w:rPr>
        <w:t>ITE</w:t>
      </w:r>
      <w:r w:rsidR="002B132E" w:rsidRPr="003C1442">
        <w:rPr>
          <w:rFonts w:cstheme="minorHAnsi"/>
          <w:lang w:val="en-US"/>
        </w:rPr>
        <w:t xml:space="preserve"> data and teacher workforce data from across Australia. </w:t>
      </w:r>
      <w:r w:rsidR="00353D1F" w:rsidRPr="003C1442">
        <w:rPr>
          <w:rFonts w:cstheme="minorHAnsi"/>
          <w:lang w:val="en-US"/>
        </w:rPr>
        <w:t xml:space="preserve">The performance </w:t>
      </w:r>
      <w:r w:rsidR="003457CA" w:rsidRPr="003C1442">
        <w:rPr>
          <w:rFonts w:cstheme="minorHAnsi"/>
          <w:lang w:val="en-US"/>
        </w:rPr>
        <w:t xml:space="preserve">indicators could be annually published as part of </w:t>
      </w:r>
      <w:r w:rsidR="00686C9F" w:rsidRPr="003C1442">
        <w:rPr>
          <w:rFonts w:cstheme="minorHAnsi"/>
          <w:lang w:val="en-US"/>
        </w:rPr>
        <w:t>the ATWD</w:t>
      </w:r>
      <w:r w:rsidR="003457CA" w:rsidRPr="003C1442">
        <w:rPr>
          <w:rFonts w:cstheme="minorHAnsi"/>
          <w:lang w:val="en-US"/>
        </w:rPr>
        <w:t xml:space="preserve"> Key Metrics Dashboard</w:t>
      </w:r>
      <w:r w:rsidR="0077649A" w:rsidRPr="003C1442">
        <w:rPr>
          <w:rFonts w:cstheme="minorHAnsi"/>
          <w:lang w:val="en-US"/>
        </w:rPr>
        <w:t xml:space="preserve"> to compare performance across higher education providers</w:t>
      </w:r>
      <w:r w:rsidR="003457CA" w:rsidRPr="003C1442">
        <w:rPr>
          <w:rFonts w:cstheme="minorHAnsi"/>
          <w:lang w:val="en-US"/>
        </w:rPr>
        <w:t>.</w:t>
      </w:r>
      <w:r w:rsidR="003457CA">
        <w:rPr>
          <w:rFonts w:cstheme="minorHAnsi"/>
          <w:lang w:val="en-US"/>
        </w:rPr>
        <w:t xml:space="preserve"> </w:t>
      </w:r>
    </w:p>
    <w:p w14:paraId="03A32F24" w14:textId="76168BAF" w:rsidR="00B707E9" w:rsidRPr="00C15003" w:rsidRDefault="00B707E9" w:rsidP="00476264">
      <w:pPr>
        <w:pStyle w:val="Heading2"/>
        <w:spacing w:before="0" w:line="240" w:lineRule="auto"/>
        <w:rPr>
          <w:color w:val="002C3E" w:themeColor="background2"/>
          <w:sz w:val="36"/>
          <w:szCs w:val="36"/>
        </w:rPr>
      </w:pPr>
      <w:bookmarkStart w:id="54" w:name="_Toc127978381"/>
      <w:bookmarkStart w:id="55" w:name="_Toc128649084"/>
      <w:bookmarkStart w:id="56" w:name="_Toc130217440"/>
      <w:r w:rsidRPr="00C15003">
        <w:rPr>
          <w:color w:val="002C3E" w:themeColor="background2"/>
          <w:sz w:val="36"/>
          <w:szCs w:val="36"/>
        </w:rPr>
        <w:t>Part II – Linking quality to funding</w:t>
      </w:r>
      <w:bookmarkEnd w:id="54"/>
      <w:bookmarkEnd w:id="55"/>
      <w:bookmarkEnd w:id="56"/>
      <w:r w:rsidRPr="00C15003">
        <w:rPr>
          <w:color w:val="002C3E" w:themeColor="background2"/>
          <w:sz w:val="36"/>
          <w:szCs w:val="36"/>
        </w:rPr>
        <w:t> </w:t>
      </w:r>
    </w:p>
    <w:p w14:paraId="26543CDD" w14:textId="2777E29A" w:rsidR="00DF5D2A" w:rsidRPr="00021807" w:rsidRDefault="00B707E9" w:rsidP="00DF5D2A">
      <w:pPr>
        <w:spacing w:after="0" w:line="240" w:lineRule="auto"/>
        <w:textAlignment w:val="baseline"/>
        <w:rPr>
          <w:rFonts w:ascii="Calibri" w:eastAsia="Times New Roman" w:hAnsi="Calibri" w:cs="Calibri"/>
          <w:sz w:val="20"/>
          <w:szCs w:val="20"/>
          <w:lang w:eastAsia="en-AU"/>
        </w:rPr>
      </w:pPr>
      <w:r w:rsidRPr="00021807">
        <w:rPr>
          <w:rFonts w:ascii="Calibri" w:eastAsia="Times New Roman" w:hAnsi="Calibri" w:cs="Calibri"/>
          <w:lang w:eastAsia="en-AU"/>
        </w:rPr>
        <w:t xml:space="preserve">The Panel has considered potential options for linking </w:t>
      </w:r>
      <w:r w:rsidR="00BB6A16">
        <w:rPr>
          <w:rFonts w:ascii="Calibri" w:eastAsia="Times New Roman" w:hAnsi="Calibri" w:cs="Calibri"/>
          <w:lang w:eastAsia="en-AU"/>
        </w:rPr>
        <w:t xml:space="preserve">performance </w:t>
      </w:r>
      <w:r w:rsidR="00E7374B">
        <w:rPr>
          <w:rFonts w:ascii="Calibri" w:eastAsia="Times New Roman" w:hAnsi="Calibri" w:cs="Calibri"/>
          <w:lang w:eastAsia="en-AU"/>
        </w:rPr>
        <w:t xml:space="preserve">measures </w:t>
      </w:r>
      <w:r w:rsidRPr="00021807">
        <w:rPr>
          <w:rFonts w:ascii="Calibri" w:eastAsia="Times New Roman" w:hAnsi="Calibri" w:cs="Calibri"/>
          <w:lang w:eastAsia="en-AU"/>
        </w:rPr>
        <w:t xml:space="preserve">to funding, including financial incentives, to encourage higher education providers to strive for excellence and continuous improvement in ITE. Given the Panel’s Terms of Reference, these financial incentives are considered </w:t>
      </w:r>
      <w:r w:rsidRPr="003C60AC">
        <w:rPr>
          <w:rFonts w:ascii="Calibri" w:eastAsia="Times New Roman" w:hAnsi="Calibri" w:cs="Calibri"/>
          <w:lang w:eastAsia="en-AU"/>
        </w:rPr>
        <w:t xml:space="preserve">in addition to improving ITE quality </w:t>
      </w:r>
      <w:r w:rsidRPr="006A71EE">
        <w:rPr>
          <w:rFonts w:ascii="Calibri" w:eastAsia="Times New Roman" w:hAnsi="Calibri" w:cs="Calibri"/>
          <w:lang w:eastAsia="en-AU"/>
        </w:rPr>
        <w:t>through</w:t>
      </w:r>
      <w:r w:rsidRPr="00021807">
        <w:rPr>
          <w:rFonts w:ascii="Calibri" w:eastAsia="Times New Roman" w:hAnsi="Calibri" w:cs="Calibri"/>
          <w:lang w:eastAsia="en-AU"/>
        </w:rPr>
        <w:t>: </w:t>
      </w:r>
    </w:p>
    <w:p w14:paraId="08AFBA63" w14:textId="535D47AA" w:rsidR="00DF5D2A" w:rsidRPr="00021807" w:rsidRDefault="00565CDB" w:rsidP="00645BD5">
      <w:pPr>
        <w:pStyle w:val="ListParagraph"/>
        <w:numPr>
          <w:ilvl w:val="0"/>
          <w:numId w:val="8"/>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s</w:t>
      </w:r>
      <w:r w:rsidR="00B707E9" w:rsidRPr="00021807">
        <w:rPr>
          <w:rFonts w:ascii="Calibri" w:eastAsia="Times New Roman" w:hAnsi="Calibri" w:cs="Calibri"/>
          <w:sz w:val="22"/>
          <w:szCs w:val="22"/>
          <w:lang w:eastAsia="en-AU"/>
        </w:rPr>
        <w:t>trengthening the minimum quality standard for ITE</w:t>
      </w:r>
      <w:r w:rsidR="0068425E">
        <w:rPr>
          <w:rFonts w:ascii="Calibri" w:eastAsia="Times New Roman" w:hAnsi="Calibri" w:cs="Calibri"/>
          <w:sz w:val="22"/>
          <w:szCs w:val="22"/>
          <w:lang w:eastAsia="en-AU"/>
        </w:rPr>
        <w:t xml:space="preserve"> in accreditation</w:t>
      </w:r>
      <w:r w:rsidR="00B707E9" w:rsidRPr="00021807">
        <w:rPr>
          <w:rFonts w:ascii="Calibri" w:eastAsia="Times New Roman" w:hAnsi="Calibri" w:cs="Calibri"/>
          <w:sz w:val="22"/>
          <w:szCs w:val="22"/>
          <w:lang w:eastAsia="en-AU"/>
        </w:rPr>
        <w:t>: strengthening the Accreditation Standards and Procedures to ensure ITE graduates are taught sufficient evidence-based practices to meet the Australian Professional Standards for Teachers</w:t>
      </w:r>
      <w:r w:rsidR="007611C7">
        <w:rPr>
          <w:rFonts w:ascii="Calibri" w:eastAsia="Times New Roman" w:hAnsi="Calibri" w:cs="Calibri"/>
          <w:sz w:val="22"/>
          <w:szCs w:val="22"/>
          <w:lang w:eastAsia="en-AU"/>
        </w:rPr>
        <w:t>,</w:t>
      </w:r>
      <w:r w:rsidR="00B707E9" w:rsidRPr="00021807">
        <w:rPr>
          <w:rFonts w:ascii="Calibri" w:eastAsia="Times New Roman" w:hAnsi="Calibri" w:cs="Calibri"/>
          <w:sz w:val="22"/>
          <w:szCs w:val="22"/>
          <w:lang w:eastAsia="en-AU"/>
        </w:rPr>
        <w:t> </w:t>
      </w:r>
      <w:r w:rsidR="00FE364F">
        <w:rPr>
          <w:rFonts w:ascii="Calibri" w:eastAsia="Times New Roman" w:hAnsi="Calibri" w:cs="Calibri"/>
          <w:sz w:val="22"/>
          <w:szCs w:val="22"/>
          <w:lang w:eastAsia="en-AU"/>
        </w:rPr>
        <w:t>and</w:t>
      </w:r>
    </w:p>
    <w:p w14:paraId="5FBF6436" w14:textId="28F876B5" w:rsidR="00B707E9" w:rsidRPr="00021807" w:rsidRDefault="00565CDB" w:rsidP="00645BD5">
      <w:pPr>
        <w:pStyle w:val="ListParagraph"/>
        <w:numPr>
          <w:ilvl w:val="0"/>
          <w:numId w:val="8"/>
        </w:numPr>
        <w:spacing w:after="120"/>
        <w:ind w:left="714" w:hanging="357"/>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r</w:t>
      </w:r>
      <w:r w:rsidR="00B707E9" w:rsidRPr="00021807">
        <w:rPr>
          <w:rFonts w:ascii="Calibri" w:eastAsia="Times New Roman" w:hAnsi="Calibri" w:cs="Calibri"/>
          <w:sz w:val="22"/>
          <w:szCs w:val="22"/>
          <w:lang w:eastAsia="en-AU"/>
        </w:rPr>
        <w:t xml:space="preserve">eporting on the quality of ITE provision: defining </w:t>
      </w:r>
      <w:r w:rsidR="00B07AD0">
        <w:rPr>
          <w:rFonts w:ascii="Calibri" w:eastAsia="Times New Roman" w:hAnsi="Calibri" w:cs="Calibri"/>
          <w:sz w:val="22"/>
          <w:szCs w:val="22"/>
          <w:lang w:eastAsia="en-AU"/>
        </w:rPr>
        <w:t>performance measures for</w:t>
      </w:r>
      <w:r w:rsidR="00B707E9" w:rsidRPr="00021807">
        <w:rPr>
          <w:rFonts w:ascii="Calibri" w:eastAsia="Times New Roman" w:hAnsi="Calibri" w:cs="Calibri"/>
          <w:sz w:val="22"/>
          <w:szCs w:val="22"/>
          <w:lang w:eastAsia="en-AU"/>
        </w:rPr>
        <w:t xml:space="preserve"> ITE and increasing the availability of information on the quality of ITE </w:t>
      </w:r>
      <w:r w:rsidR="00A32BE6">
        <w:rPr>
          <w:rFonts w:ascii="Calibri" w:eastAsia="Times New Roman" w:hAnsi="Calibri" w:cs="Calibri"/>
          <w:sz w:val="22"/>
          <w:szCs w:val="22"/>
          <w:lang w:eastAsia="en-AU"/>
        </w:rPr>
        <w:t>programs</w:t>
      </w:r>
      <w:r w:rsidR="00B707E9" w:rsidRPr="00021807">
        <w:rPr>
          <w:rFonts w:ascii="Calibri" w:eastAsia="Times New Roman" w:hAnsi="Calibri" w:cs="Calibri"/>
          <w:sz w:val="22"/>
          <w:szCs w:val="22"/>
          <w:lang w:eastAsia="en-AU"/>
        </w:rPr>
        <w:t>. </w:t>
      </w:r>
    </w:p>
    <w:p w14:paraId="260EEEDB" w14:textId="5032D2E6" w:rsidR="00B707E9" w:rsidRPr="00B707E9" w:rsidRDefault="00B707E9" w:rsidP="00D37FBA">
      <w:pPr>
        <w:spacing w:after="120" w:line="240" w:lineRule="auto"/>
        <w:textAlignment w:val="baseline"/>
        <w:rPr>
          <w:rFonts w:ascii="Calibri" w:eastAsia="Times New Roman" w:hAnsi="Calibri" w:cs="Calibri"/>
          <w:lang w:eastAsia="en-AU"/>
        </w:rPr>
      </w:pPr>
      <w:r w:rsidRPr="00021807">
        <w:rPr>
          <w:rFonts w:ascii="Calibri" w:eastAsia="Times New Roman" w:hAnsi="Calibri" w:cs="Calibri"/>
          <w:lang w:eastAsia="en-AU"/>
        </w:rPr>
        <w:t xml:space="preserve">The Australian Universities Accord process will also review higher education funding arrangements, including the appropriateness of the Commonwealth and student contribution rates, the alignment of base funding to the latest cost-of-delivery data, and early trends in student enrolments after the implementation of the Job-ready Graduates (JRG) package. In light of this work, the Panel will not be considering the appropriateness of funding and contribution arrangements for </w:t>
      </w:r>
      <w:r w:rsidR="002A4E4A">
        <w:rPr>
          <w:rFonts w:ascii="Calibri" w:eastAsia="Times New Roman" w:hAnsi="Calibri" w:cs="Calibri"/>
          <w:lang w:eastAsia="en-AU"/>
        </w:rPr>
        <w:t>ITE</w:t>
      </w:r>
      <w:r w:rsidRPr="00021807">
        <w:rPr>
          <w:rFonts w:ascii="Calibri" w:eastAsia="Times New Roman" w:hAnsi="Calibri" w:cs="Calibri"/>
          <w:lang w:eastAsia="en-AU"/>
        </w:rPr>
        <w:t xml:space="preserve"> </w:t>
      </w:r>
      <w:r w:rsidR="00A32BE6">
        <w:rPr>
          <w:rFonts w:ascii="Calibri" w:eastAsia="Times New Roman" w:hAnsi="Calibri" w:cs="Calibri"/>
          <w:lang w:eastAsia="en-AU"/>
        </w:rPr>
        <w:t>programs</w:t>
      </w:r>
      <w:r w:rsidRPr="00021807">
        <w:rPr>
          <w:rFonts w:ascii="Calibri" w:eastAsia="Times New Roman" w:hAnsi="Calibri" w:cs="Calibri"/>
          <w:lang w:eastAsia="en-AU"/>
        </w:rPr>
        <w:t>. </w:t>
      </w:r>
      <w:r w:rsidRPr="00B707E9">
        <w:rPr>
          <w:rFonts w:ascii="Calibri" w:eastAsia="Times New Roman" w:hAnsi="Calibri" w:cs="Calibri"/>
          <w:sz w:val="24"/>
          <w:szCs w:val="24"/>
          <w:lang w:eastAsia="en-AU"/>
        </w:rPr>
        <w:t> </w:t>
      </w:r>
    </w:p>
    <w:p w14:paraId="00F6BAA3" w14:textId="77777777" w:rsidR="0023696D" w:rsidRDefault="0023696D">
      <w:pPr>
        <w:spacing w:after="160"/>
        <w:rPr>
          <w:rFonts w:asciiTheme="majorHAnsi" w:eastAsia="Times New Roman" w:hAnsiTheme="majorHAnsi" w:cstheme="majorHAnsi"/>
          <w:b/>
          <w:color w:val="002C3E" w:themeColor="background2"/>
          <w:sz w:val="36"/>
          <w:szCs w:val="36"/>
          <w:lang w:eastAsia="en-AU"/>
        </w:rPr>
      </w:pPr>
      <w:bookmarkStart w:id="57" w:name="_Toc127978382"/>
      <w:bookmarkStart w:id="58" w:name="_Toc128649085"/>
      <w:r>
        <w:rPr>
          <w:rFonts w:eastAsia="Times New Roman" w:cstheme="majorHAnsi"/>
          <w:color w:val="002C3E" w:themeColor="background2"/>
          <w:sz w:val="36"/>
          <w:szCs w:val="36"/>
          <w:lang w:eastAsia="en-AU"/>
        </w:rPr>
        <w:br w:type="page"/>
      </w:r>
    </w:p>
    <w:p w14:paraId="282C9FBE" w14:textId="62F23561" w:rsidR="00B707E9" w:rsidRPr="004E1654" w:rsidRDefault="00B707E9" w:rsidP="004E1654">
      <w:pPr>
        <w:pStyle w:val="Heading2"/>
        <w:spacing w:before="0" w:line="240" w:lineRule="auto"/>
        <w:rPr>
          <w:rFonts w:eastAsia="Times New Roman" w:cstheme="majorHAnsi"/>
          <w:color w:val="002C3E" w:themeColor="background2"/>
          <w:sz w:val="36"/>
          <w:szCs w:val="36"/>
          <w:lang w:eastAsia="en-AU"/>
        </w:rPr>
      </w:pPr>
      <w:bookmarkStart w:id="59" w:name="_Toc130217441"/>
      <w:r w:rsidRPr="004E1654">
        <w:rPr>
          <w:rFonts w:eastAsia="Times New Roman" w:cstheme="majorHAnsi"/>
          <w:color w:val="002C3E" w:themeColor="background2"/>
          <w:sz w:val="36"/>
          <w:szCs w:val="36"/>
          <w:lang w:eastAsia="en-AU"/>
        </w:rPr>
        <w:lastRenderedPageBreak/>
        <w:t>Key findings</w:t>
      </w:r>
      <w:bookmarkEnd w:id="57"/>
      <w:bookmarkEnd w:id="58"/>
      <w:bookmarkEnd w:id="59"/>
      <w:r w:rsidRPr="004E1654">
        <w:rPr>
          <w:rFonts w:eastAsia="Times New Roman" w:cstheme="majorHAnsi"/>
          <w:color w:val="002C3E" w:themeColor="background2"/>
          <w:sz w:val="36"/>
          <w:szCs w:val="36"/>
          <w:lang w:eastAsia="en-AU"/>
        </w:rPr>
        <w:t> </w:t>
      </w:r>
    </w:p>
    <w:p w14:paraId="386D9B4B" w14:textId="0BE50888" w:rsidR="00B707E9" w:rsidRPr="00034E0A" w:rsidRDefault="00764221" w:rsidP="00034E0A">
      <w:pPr>
        <w:pStyle w:val="Heading3"/>
        <w:spacing w:before="0" w:after="120" w:line="240" w:lineRule="auto"/>
        <w:rPr>
          <w:rFonts w:eastAsia="Times New Roman"/>
          <w:szCs w:val="32"/>
          <w:lang w:eastAsia="en-AU"/>
        </w:rPr>
      </w:pPr>
      <w:bookmarkStart w:id="60" w:name="_Toc128649086"/>
      <w:bookmarkStart w:id="61" w:name="_Toc130217442"/>
      <w:r w:rsidRPr="00034E0A">
        <w:rPr>
          <w:rFonts w:eastAsia="Times New Roman"/>
          <w:szCs w:val="32"/>
          <w:lang w:eastAsia="en-AU"/>
        </w:rPr>
        <w:t xml:space="preserve">2.4 </w:t>
      </w:r>
      <w:r w:rsidR="00B707E9" w:rsidRPr="00034E0A">
        <w:rPr>
          <w:rFonts w:eastAsia="Times New Roman"/>
          <w:szCs w:val="32"/>
          <w:lang w:eastAsia="en-AU"/>
        </w:rPr>
        <w:t>Funding arrangements for higher education</w:t>
      </w:r>
      <w:bookmarkEnd w:id="60"/>
      <w:bookmarkEnd w:id="61"/>
      <w:r w:rsidR="00B707E9" w:rsidRPr="00034E0A">
        <w:rPr>
          <w:rFonts w:eastAsia="Times New Roman"/>
          <w:szCs w:val="32"/>
          <w:lang w:eastAsia="en-AU"/>
        </w:rPr>
        <w:t> </w:t>
      </w:r>
    </w:p>
    <w:p w14:paraId="62036AD4" w14:textId="2CDB840B" w:rsidR="00B707E9" w:rsidRPr="00021807" w:rsidRDefault="00B707E9" w:rsidP="7376E22D">
      <w:pPr>
        <w:spacing w:after="120" w:line="240" w:lineRule="auto"/>
        <w:textAlignment w:val="baseline"/>
        <w:rPr>
          <w:rFonts w:ascii="Calibri" w:eastAsia="Times New Roman" w:hAnsi="Calibri" w:cs="Calibri"/>
          <w:sz w:val="20"/>
          <w:szCs w:val="20"/>
          <w:lang w:eastAsia="en-AU"/>
        </w:rPr>
      </w:pPr>
      <w:r w:rsidRPr="00021807">
        <w:rPr>
          <w:rFonts w:ascii="Calibri" w:eastAsia="Times New Roman" w:hAnsi="Calibri" w:cs="Calibri"/>
          <w:lang w:eastAsia="en-AU"/>
        </w:rPr>
        <w:t>Higher education providers receive Commonwealth Grant Scheme (CGS) funding to deliver higher education courses. Under current arrangements, higher education funding is capped by a provider’s ‘maximum basic grant amount (MBGA)’, except in relation to regional and remote Indigenous students where demand driven funding applies. The MBGA for higher education courses, commonly referred to as ‘the funding envelope’, offers higher education providers the flexibility to choose which courses to offer to meet student demand (based on pre-determined Commonwealth and Student Contributions) and to set financial parameters for faculties such as Education.  </w:t>
      </w:r>
    </w:p>
    <w:p w14:paraId="2ED1E92A" w14:textId="4E4C1194" w:rsidR="00B707E9" w:rsidRPr="00021807" w:rsidRDefault="00B707E9" w:rsidP="7376E22D">
      <w:pPr>
        <w:spacing w:after="120" w:line="240" w:lineRule="auto"/>
        <w:textAlignment w:val="baseline"/>
        <w:rPr>
          <w:rFonts w:ascii="Calibri" w:eastAsia="Times New Roman" w:hAnsi="Calibri" w:cs="Calibri"/>
          <w:sz w:val="20"/>
          <w:szCs w:val="20"/>
          <w:lang w:eastAsia="en-AU"/>
        </w:rPr>
      </w:pPr>
      <w:r w:rsidRPr="00021807">
        <w:rPr>
          <w:rFonts w:ascii="Calibri" w:eastAsia="Times New Roman" w:hAnsi="Calibri" w:cs="Calibri"/>
          <w:lang w:eastAsia="en-AU"/>
        </w:rPr>
        <w:t xml:space="preserve">Other than for medical courses, higher education places are not limited: there is no limit on how many students a provider can enrol in Commonwealth support places (CSPs), except for courses in medicine which are designated with the consequence that places are capped. Under the </w:t>
      </w:r>
      <w:r w:rsidRPr="00A11C57">
        <w:rPr>
          <w:rFonts w:ascii="Calibri" w:eastAsia="Times New Roman" w:hAnsi="Calibri" w:cs="Calibri"/>
          <w:i/>
          <w:iCs/>
          <w:lang w:eastAsia="en-AU"/>
        </w:rPr>
        <w:t>Higher Education Support Act 2003</w:t>
      </w:r>
      <w:r w:rsidRPr="00021807">
        <w:rPr>
          <w:rFonts w:ascii="Calibri" w:eastAsia="Times New Roman" w:hAnsi="Calibri" w:cs="Calibri"/>
          <w:lang w:eastAsia="en-AU"/>
        </w:rPr>
        <w:t xml:space="preserve"> (HESA), the </w:t>
      </w:r>
      <w:r w:rsidR="009C42CF">
        <w:rPr>
          <w:rFonts w:ascii="Calibri" w:eastAsia="Times New Roman" w:hAnsi="Calibri" w:cs="Calibri"/>
          <w:lang w:eastAsia="en-AU"/>
        </w:rPr>
        <w:t xml:space="preserve">Australian </w:t>
      </w:r>
      <w:r w:rsidRPr="00021807">
        <w:rPr>
          <w:rFonts w:ascii="Calibri" w:eastAsia="Times New Roman" w:hAnsi="Calibri" w:cs="Calibri"/>
          <w:lang w:eastAsia="en-AU"/>
        </w:rPr>
        <w:t>Government may designate a course of study to allocate the number of domestic student places. Rather than encouraging growth however, designation sets an upper limit on the number of places each university may offer within the course. Currently only courses in medicine are designated by the Government to limit supply of teaching to manage the availability of clinical placements, internships, and salaried junior positions in the face of a significant number of applicants each year. </w:t>
      </w:r>
    </w:p>
    <w:p w14:paraId="43FE8CBE" w14:textId="3B3DB494" w:rsidR="0023696D" w:rsidRDefault="00B707E9" w:rsidP="00DD7B9B">
      <w:pPr>
        <w:spacing w:line="240" w:lineRule="auto"/>
        <w:textAlignment w:val="baseline"/>
        <w:rPr>
          <w:rFonts w:ascii="Calibri" w:eastAsia="Times New Roman" w:hAnsi="Calibri" w:cs="Calibri"/>
          <w:lang w:eastAsia="en-AU"/>
        </w:rPr>
      </w:pPr>
      <w:r w:rsidRPr="00021807">
        <w:rPr>
          <w:rFonts w:ascii="Calibri" w:eastAsia="Times New Roman" w:hAnsi="Calibri" w:cs="Calibri"/>
          <w:lang w:eastAsia="en-AU"/>
        </w:rPr>
        <w:t>Within the Higher Education funding arrangements, there are specific mechanisms which aim to support provider performance improvement and delivery of reform, including the Performance Based Funding (PBF) model, the National Priorities and Industry Linkage Fund (NPILF) and University Mission-based compact agreements (Table 1). These performance mechanisms apply to institutions, rather than to specific faculties or disciplines such as ITE.  </w:t>
      </w:r>
    </w:p>
    <w:p w14:paraId="5F0AC53E" w14:textId="5FDB1D59" w:rsidR="00B707E9" w:rsidRPr="00DD7B9B" w:rsidRDefault="0023696D" w:rsidP="0023696D">
      <w:pPr>
        <w:spacing w:after="160"/>
        <w:rPr>
          <w:rFonts w:ascii="Calibri" w:eastAsia="Times New Roman" w:hAnsi="Calibri" w:cs="Calibri"/>
          <w:lang w:eastAsia="en-AU"/>
        </w:rPr>
      </w:pPr>
      <w:r>
        <w:rPr>
          <w:rFonts w:ascii="Calibri" w:eastAsia="Times New Roman" w:hAnsi="Calibri" w:cs="Calibri"/>
          <w:lang w:eastAsia="en-AU"/>
        </w:rPr>
        <w:br w:type="page"/>
      </w:r>
    </w:p>
    <w:tbl>
      <w:tblPr>
        <w:tblW w:w="0" w:type="dxa"/>
        <w:tblInd w:w="-180" w:type="dxa"/>
        <w:shd w:val="clear" w:color="auto" w:fill="FEEBB9" w:themeFill="accent2" w:themeFillTint="66"/>
        <w:tblCellMar>
          <w:left w:w="0" w:type="dxa"/>
          <w:right w:w="0" w:type="dxa"/>
        </w:tblCellMar>
        <w:tblLook w:val="04A0" w:firstRow="1" w:lastRow="0" w:firstColumn="1" w:lastColumn="0" w:noHBand="0" w:noVBand="1"/>
      </w:tblPr>
      <w:tblGrid>
        <w:gridCol w:w="9120"/>
      </w:tblGrid>
      <w:tr w:rsidR="00B707E9" w:rsidRPr="00B707E9" w14:paraId="1CA3146D" w14:textId="77777777" w:rsidTr="008D161E">
        <w:trPr>
          <w:trHeight w:val="1305"/>
        </w:trPr>
        <w:tc>
          <w:tcPr>
            <w:tcW w:w="9120" w:type="dxa"/>
            <w:shd w:val="clear" w:color="auto" w:fill="FEEBB9" w:themeFill="accent2" w:themeFillTint="66"/>
            <w:hideMark/>
          </w:tcPr>
          <w:p w14:paraId="5C1A37F3" w14:textId="77777777" w:rsidR="0018429F" w:rsidRDefault="0018429F" w:rsidP="006D77B6">
            <w:pPr>
              <w:pStyle w:val="Heading6"/>
              <w:spacing w:after="120"/>
              <w:rPr>
                <w:rFonts w:asciiTheme="minorHAnsi" w:eastAsia="Times New Roman" w:hAnsiTheme="minorHAnsi" w:cstheme="minorHAnsi"/>
                <w:color w:val="auto"/>
                <w:lang w:eastAsia="en-AU"/>
              </w:rPr>
            </w:pPr>
            <w:r w:rsidRPr="0018429F">
              <w:rPr>
                <w:rFonts w:asciiTheme="minorHAnsi" w:eastAsia="Times New Roman" w:hAnsiTheme="minorHAnsi" w:cstheme="minorHAnsi"/>
                <w:color w:val="auto"/>
                <w:u w:val="single"/>
                <w:lang w:eastAsia="en-AU"/>
              </w:rPr>
              <w:lastRenderedPageBreak/>
              <w:t>Higher education quality mechanisms:</w:t>
            </w:r>
            <w:r>
              <w:rPr>
                <w:rFonts w:asciiTheme="minorHAnsi" w:eastAsia="Times New Roman" w:hAnsiTheme="minorHAnsi" w:cstheme="minorHAnsi"/>
                <w:color w:val="auto"/>
                <w:lang w:eastAsia="en-AU"/>
              </w:rPr>
              <w:t xml:space="preserve"> </w:t>
            </w:r>
          </w:p>
          <w:p w14:paraId="176A3310" w14:textId="541C489B" w:rsidR="00B707E9" w:rsidRPr="003D1CDE" w:rsidRDefault="00B707E9" w:rsidP="003D1CDE">
            <w:pPr>
              <w:spacing w:after="0" w:line="240" w:lineRule="auto"/>
              <w:textAlignment w:val="baseline"/>
              <w:rPr>
                <w:rFonts w:ascii="Calibri" w:eastAsia="Times New Roman" w:hAnsi="Calibri" w:cs="Calibri"/>
                <w:b/>
                <w:color w:val="000000" w:themeColor="text1"/>
                <w:lang w:eastAsia="en-AU"/>
              </w:rPr>
            </w:pPr>
            <w:r w:rsidRPr="003D1CDE">
              <w:rPr>
                <w:rFonts w:ascii="Calibri" w:eastAsia="Times New Roman" w:hAnsi="Calibri" w:cs="Calibri"/>
                <w:b/>
                <w:color w:val="000000" w:themeColor="text1"/>
                <w:lang w:eastAsia="en-AU"/>
              </w:rPr>
              <w:t xml:space="preserve">Performance Based </w:t>
            </w:r>
            <w:r w:rsidRPr="006D77B6">
              <w:rPr>
                <w:rFonts w:ascii="Calibri" w:eastAsia="Times New Roman" w:hAnsi="Calibri" w:cs="Calibri"/>
                <w:b/>
                <w:color w:val="000000" w:themeColor="text1"/>
                <w:lang w:eastAsia="en-AU"/>
              </w:rPr>
              <w:t xml:space="preserve">Funding </w:t>
            </w:r>
            <w:r w:rsidRPr="006D77B6">
              <w:rPr>
                <w:rFonts w:eastAsia="Times New Roman"/>
                <w:b/>
                <w:color w:val="000000" w:themeColor="text1"/>
                <w:lang w:eastAsia="en-AU"/>
              </w:rPr>
              <w:t>(PBF) model</w:t>
            </w:r>
            <w:r w:rsidRPr="00021807">
              <w:rPr>
                <w:rFonts w:eastAsia="Times New Roman"/>
                <w:color w:val="000000" w:themeColor="text1"/>
                <w:lang w:eastAsia="en-AU"/>
              </w:rPr>
              <w:t>  </w:t>
            </w:r>
          </w:p>
          <w:p w14:paraId="52A84670" w14:textId="53A13DD8" w:rsidR="00104FFF" w:rsidRPr="006D77B6" w:rsidRDefault="00B707E9" w:rsidP="009273A1">
            <w:pPr>
              <w:spacing w:after="120" w:line="240" w:lineRule="auto"/>
              <w:textAlignment w:val="baseline"/>
              <w:rPr>
                <w:rFonts w:ascii="Calibri" w:eastAsia="Times New Roman" w:hAnsi="Calibri" w:cs="Calibri"/>
                <w:color w:val="000000"/>
                <w:lang w:eastAsia="en-AU"/>
              </w:rPr>
            </w:pPr>
            <w:r w:rsidRPr="00B707E9">
              <w:rPr>
                <w:rFonts w:ascii="Calibri" w:eastAsia="Times New Roman" w:hAnsi="Calibri" w:cs="Calibri"/>
                <w:color w:val="000000"/>
                <w:lang w:eastAsia="en-AU"/>
              </w:rPr>
              <w:t>The PBF model announced by the former Minister for Education in October 2019 proposed to make an amount of universities’ growth in CG</w:t>
            </w:r>
            <w:r w:rsidR="00097AE4">
              <w:rPr>
                <w:rFonts w:ascii="Calibri" w:eastAsia="Times New Roman" w:hAnsi="Calibri" w:cs="Calibri"/>
                <w:color w:val="000000"/>
                <w:lang w:eastAsia="en-AU"/>
              </w:rPr>
              <w:t>S</w:t>
            </w:r>
            <w:r w:rsidRPr="00B707E9">
              <w:rPr>
                <w:rFonts w:ascii="Calibri" w:eastAsia="Times New Roman" w:hAnsi="Calibri" w:cs="Calibri"/>
                <w:color w:val="000000"/>
                <w:lang w:eastAsia="en-AU"/>
              </w:rPr>
              <w:t xml:space="preserve"> funding contingent on performance to be assessed through four quantitative measures: graduate employment outcomes, student success, student experience and equity participation.  The PBF model is intended to ensure universities focus sufficient attention on the quality of their teaching and student support to achieve the best possible graduate outcomes.  </w:t>
            </w:r>
            <w:r w:rsidR="00867B5B" w:rsidRPr="00867B5B">
              <w:rPr>
                <w:rFonts w:ascii="Calibri" w:eastAsia="Times New Roman" w:hAnsi="Calibri" w:cs="Calibri"/>
                <w:color w:val="000000"/>
                <w:lang w:eastAsia="en-AU"/>
              </w:rPr>
              <w:t>The PBF was partially implemented in 2020, however all funding contingent on performance was provided in full as part of the Higher Education Relief Package provided in response to COVID-19. From 2021 to 2023 PBF has been effectively inoperative due to the Higher Education Continuity Guarantee.</w:t>
            </w:r>
            <w:r w:rsidR="00097AE4">
              <w:rPr>
                <w:rFonts w:ascii="Calibri" w:eastAsia="Times New Roman" w:hAnsi="Calibri" w:cs="Calibri"/>
                <w:color w:val="000000"/>
                <w:lang w:eastAsia="en-AU"/>
              </w:rPr>
              <w:t xml:space="preserve"> </w:t>
            </w:r>
            <w:r w:rsidR="00867B5B" w:rsidRPr="00867B5B">
              <w:rPr>
                <w:rFonts w:ascii="Calibri" w:eastAsia="Times New Roman" w:hAnsi="Calibri" w:cs="Calibri"/>
                <w:color w:val="000000"/>
                <w:lang w:eastAsia="en-AU"/>
              </w:rPr>
              <w:t>Future Performance Based Funding arrangements scheme will be considered with reference to the Australian Universities Accord process, with the Accord's Final Report, due in December 2023.</w:t>
            </w:r>
          </w:p>
        </w:tc>
      </w:tr>
      <w:tr w:rsidR="00B707E9" w:rsidRPr="00B707E9" w14:paraId="271F113A" w14:textId="77777777" w:rsidTr="008D161E">
        <w:trPr>
          <w:trHeight w:val="1185"/>
        </w:trPr>
        <w:tc>
          <w:tcPr>
            <w:tcW w:w="9120" w:type="dxa"/>
            <w:shd w:val="clear" w:color="auto" w:fill="FEEBB9" w:themeFill="accent2" w:themeFillTint="66"/>
            <w:hideMark/>
          </w:tcPr>
          <w:p w14:paraId="375355FE" w14:textId="77777777" w:rsidR="00B707E9" w:rsidRPr="003D1CDE" w:rsidRDefault="00B707E9" w:rsidP="00B707E9">
            <w:pPr>
              <w:spacing w:after="0" w:line="240" w:lineRule="auto"/>
              <w:textAlignment w:val="baseline"/>
              <w:rPr>
                <w:rFonts w:ascii="Calibri" w:eastAsia="Times New Roman" w:hAnsi="Calibri" w:cs="Calibri"/>
                <w:b/>
                <w:color w:val="000000" w:themeColor="text1"/>
                <w:lang w:eastAsia="en-AU"/>
              </w:rPr>
            </w:pPr>
            <w:r w:rsidRPr="003D1CDE">
              <w:rPr>
                <w:rFonts w:ascii="Calibri" w:eastAsia="Times New Roman" w:hAnsi="Calibri" w:cs="Calibri"/>
                <w:b/>
                <w:color w:val="000000" w:themeColor="text1"/>
                <w:lang w:eastAsia="en-AU"/>
              </w:rPr>
              <w:t>National Priorities and Industry Linkage Fund (NPILF)  </w:t>
            </w:r>
          </w:p>
          <w:p w14:paraId="1F875D9D" w14:textId="71E76C1D" w:rsidR="003D1CDE" w:rsidRPr="00476264" w:rsidRDefault="00B707E9" w:rsidP="009273A1">
            <w:pPr>
              <w:spacing w:after="120" w:line="240" w:lineRule="auto"/>
              <w:textAlignment w:val="baseline"/>
              <w:rPr>
                <w:rFonts w:ascii="Calibri" w:eastAsia="Times New Roman" w:hAnsi="Calibri" w:cs="Calibri"/>
                <w:color w:val="000000"/>
                <w:lang w:eastAsia="en-AU"/>
              </w:rPr>
            </w:pPr>
            <w:r w:rsidRPr="00B707E9">
              <w:rPr>
                <w:rFonts w:ascii="Calibri" w:eastAsia="Times New Roman" w:hAnsi="Calibri" w:cs="Calibri"/>
                <w:color w:val="000000"/>
                <w:lang w:eastAsia="en-AU"/>
              </w:rPr>
              <w:t xml:space="preserve">The NPILF, introduced under the 2021 Job </w:t>
            </w:r>
            <w:r w:rsidR="00433309">
              <w:rPr>
                <w:rFonts w:ascii="Calibri" w:eastAsia="Times New Roman" w:hAnsi="Calibri" w:cs="Calibri"/>
                <w:color w:val="000000"/>
                <w:lang w:eastAsia="en-AU"/>
              </w:rPr>
              <w:t>R</w:t>
            </w:r>
            <w:r w:rsidRPr="00B707E9">
              <w:rPr>
                <w:rFonts w:ascii="Calibri" w:eastAsia="Times New Roman" w:hAnsi="Calibri" w:cs="Calibri"/>
                <w:color w:val="000000"/>
                <w:lang w:eastAsia="en-AU"/>
              </w:rPr>
              <w:t>eady Graduates (JRG) package, will allocate block grants to universities to support enhanced engagement with universities and industry to produce job-ready graduates. It is currently in its pilot stage (2022-24). From 2021-24, Table A higher education providers will receive an NPILF grant amount which corresponds to the number of CSPs they are allocated each year, based on the last year of verifiable data. The funding amounts will be indexed by CPI in line with broader Higher Education Support Act 2003 (HESA) provisions.</w:t>
            </w:r>
            <w:r w:rsidR="008151AF">
              <w:rPr>
                <w:rFonts w:ascii="Calibri" w:eastAsia="Times New Roman" w:hAnsi="Calibri" w:cs="Calibri"/>
                <w:color w:val="000000"/>
                <w:lang w:eastAsia="en-AU"/>
              </w:rPr>
              <w:t xml:space="preserve"> </w:t>
            </w:r>
            <w:r w:rsidRPr="00B707E9">
              <w:rPr>
                <w:rFonts w:ascii="Calibri" w:eastAsia="Times New Roman" w:hAnsi="Calibri" w:cs="Calibri"/>
                <w:color w:val="000000"/>
                <w:lang w:eastAsia="en-AU"/>
              </w:rPr>
              <w:t>At the end of the pilot, providers will be assessed, and funding will be allocated based on their performance of delivering the six measures from the pilot.  </w:t>
            </w:r>
          </w:p>
        </w:tc>
      </w:tr>
      <w:tr w:rsidR="00B707E9" w:rsidRPr="00B707E9" w14:paraId="42CD1D08" w14:textId="77777777" w:rsidTr="008D161E">
        <w:trPr>
          <w:trHeight w:val="765"/>
        </w:trPr>
        <w:tc>
          <w:tcPr>
            <w:tcW w:w="9120" w:type="dxa"/>
            <w:shd w:val="clear" w:color="auto" w:fill="FEEBB9" w:themeFill="accent2" w:themeFillTint="66"/>
            <w:hideMark/>
          </w:tcPr>
          <w:p w14:paraId="6DE49298" w14:textId="77777777" w:rsidR="00B707E9" w:rsidRPr="00021807" w:rsidRDefault="00B707E9" w:rsidP="00476264">
            <w:pPr>
              <w:pStyle w:val="Heading6"/>
              <w:spacing w:before="0" w:line="240" w:lineRule="auto"/>
              <w:rPr>
                <w:rFonts w:ascii="Times New Roman" w:eastAsia="Times New Roman" w:hAnsi="Times New Roman" w:cs="Times New Roman"/>
                <w:color w:val="000000" w:themeColor="text1"/>
                <w:sz w:val="24"/>
                <w:szCs w:val="24"/>
                <w:lang w:eastAsia="en-AU"/>
              </w:rPr>
            </w:pPr>
            <w:r w:rsidRPr="003D1CDE">
              <w:rPr>
                <w:rFonts w:ascii="Calibri" w:eastAsia="Times New Roman" w:hAnsi="Calibri" w:cs="Calibri"/>
                <w:color w:val="000000" w:themeColor="text1"/>
                <w:lang w:eastAsia="en-AU"/>
              </w:rPr>
              <w:t>University Missi</w:t>
            </w:r>
            <w:r w:rsidRPr="00021807">
              <w:rPr>
                <w:rFonts w:ascii="Calibri" w:eastAsia="Times New Roman" w:hAnsi="Calibri" w:cs="Calibri"/>
                <w:color w:val="000000" w:themeColor="text1"/>
                <w:lang w:eastAsia="en-AU"/>
              </w:rPr>
              <w:t>on-based compact agreements </w:t>
            </w:r>
            <w:r w:rsidRPr="00021807">
              <w:rPr>
                <w:rFonts w:eastAsia="Times New Roman"/>
                <w:color w:val="000000" w:themeColor="text1"/>
                <w:lang w:eastAsia="en-AU"/>
              </w:rPr>
              <w:t> </w:t>
            </w:r>
          </w:p>
          <w:p w14:paraId="41E9D640" w14:textId="092BF2AB" w:rsidR="00B707E9" w:rsidRPr="008151AF" w:rsidRDefault="00B707E9" w:rsidP="128E84B8">
            <w:pPr>
              <w:spacing w:after="120" w:line="240" w:lineRule="auto"/>
              <w:textAlignment w:val="baseline"/>
              <w:rPr>
                <w:rFonts w:ascii="Times New Roman" w:eastAsia="Times New Roman" w:hAnsi="Times New Roman" w:cs="Times New Roman"/>
                <w:sz w:val="24"/>
                <w:szCs w:val="24"/>
                <w:lang w:eastAsia="en-AU"/>
              </w:rPr>
            </w:pPr>
            <w:r w:rsidRPr="128E84B8">
              <w:rPr>
                <w:rFonts w:ascii="Calibri" w:eastAsia="Times New Roman" w:hAnsi="Calibri" w:cs="Calibri"/>
                <w:color w:val="000000" w:themeColor="text1"/>
                <w:lang w:eastAsia="en-AU"/>
              </w:rPr>
              <w:t>Entering into a compact is one of the quality and accountability requirements which higher education providers must meet under HESA as a condition of receiving a grant.  The purpose of compacts is to provide a strategic framework for the relationship between the Commonwealth and each higher education provider. It sets out how each provider’s mission aligns with the Commonwealth’s goals for higher education, innovation, teaching and learning, research and research training and equity.  </w:t>
            </w:r>
          </w:p>
        </w:tc>
      </w:tr>
    </w:tbl>
    <w:p w14:paraId="3A169E2F" w14:textId="4541638C" w:rsidR="00B707E9" w:rsidRPr="00021807" w:rsidRDefault="00B707E9" w:rsidP="00DB0012">
      <w:pPr>
        <w:spacing w:before="240" w:after="120" w:line="240" w:lineRule="auto"/>
        <w:textAlignment w:val="baseline"/>
        <w:rPr>
          <w:rFonts w:ascii="Calibri" w:eastAsia="Times New Roman" w:hAnsi="Calibri" w:cs="Calibri"/>
          <w:color w:val="000000"/>
          <w:sz w:val="20"/>
          <w:szCs w:val="20"/>
          <w:lang w:eastAsia="en-AU"/>
        </w:rPr>
      </w:pPr>
      <w:r w:rsidRPr="128E84B8">
        <w:rPr>
          <w:rFonts w:ascii="Calibri" w:eastAsia="Times New Roman" w:hAnsi="Calibri" w:cs="Calibri"/>
          <w:color w:val="000000" w:themeColor="text1"/>
          <w:lang w:eastAsia="en-AU"/>
        </w:rPr>
        <w:t xml:space="preserve">ITE accounts for a significant share of CGS funding, with </w:t>
      </w:r>
      <w:r w:rsidRPr="005C2DA2">
        <w:rPr>
          <w:rFonts w:ascii="Calibri" w:eastAsia="Times New Roman" w:hAnsi="Calibri" w:cs="Calibri"/>
          <w:color w:val="000000" w:themeColor="text1"/>
          <w:lang w:eastAsia="en-AU"/>
        </w:rPr>
        <w:t>Education</w:t>
      </w:r>
      <w:r w:rsidRPr="128E84B8">
        <w:rPr>
          <w:rFonts w:ascii="Calibri" w:eastAsia="Times New Roman" w:hAnsi="Calibri" w:cs="Calibri"/>
          <w:color w:val="000000" w:themeColor="text1"/>
          <w:lang w:eastAsia="en-AU"/>
        </w:rPr>
        <w:t xml:space="preserve"> places making up 12 per cent of funding or approximately $800 million per annum. Base funding for </w:t>
      </w:r>
      <w:r w:rsidRPr="005C2DA2">
        <w:rPr>
          <w:rFonts w:ascii="Calibri" w:eastAsia="Times New Roman" w:hAnsi="Calibri" w:cs="Calibri"/>
          <w:color w:val="000000" w:themeColor="text1"/>
          <w:lang w:eastAsia="en-AU"/>
        </w:rPr>
        <w:t>Education</w:t>
      </w:r>
      <w:r w:rsidRPr="128E84B8">
        <w:rPr>
          <w:rFonts w:ascii="Calibri" w:eastAsia="Times New Roman" w:hAnsi="Calibri" w:cs="Calibri"/>
          <w:color w:val="000000" w:themeColor="text1"/>
          <w:lang w:eastAsia="en-AU"/>
        </w:rPr>
        <w:t xml:space="preserve"> courses (Commonwealth and student contributions) has remained relatively stable over time, though declined under JRG due to the significant reduction in student contributions</w:t>
      </w:r>
      <w:r w:rsidR="001F3231">
        <w:rPr>
          <w:rFonts w:ascii="Calibri" w:eastAsia="Times New Roman" w:hAnsi="Calibri" w:cs="Calibri"/>
          <w:color w:val="000000" w:themeColor="text1"/>
          <w:lang w:eastAsia="en-AU"/>
        </w:rPr>
        <w:t xml:space="preserve"> (from </w:t>
      </w:r>
      <w:r w:rsidR="001C4E25" w:rsidRPr="008C009F">
        <w:rPr>
          <w:rFonts w:ascii="Calibri" w:eastAsia="Times New Roman" w:hAnsi="Calibri" w:cs="Calibri"/>
          <w:color w:val="000000" w:themeColor="text1"/>
          <w:lang w:eastAsia="en-AU"/>
        </w:rPr>
        <w:t>$18,430 in 2020 to</w:t>
      </w:r>
      <w:r w:rsidR="008C009F" w:rsidRPr="008C009F">
        <w:rPr>
          <w:rFonts w:ascii="Calibri" w:eastAsia="Times New Roman" w:hAnsi="Calibri" w:cs="Calibri"/>
          <w:color w:val="000000" w:themeColor="text1"/>
          <w:lang w:eastAsia="en-AU"/>
        </w:rPr>
        <w:t xml:space="preserve"> $17,354</w:t>
      </w:r>
      <w:r w:rsidR="00C372C1">
        <w:rPr>
          <w:rFonts w:ascii="Calibri" w:eastAsia="Times New Roman" w:hAnsi="Calibri" w:cs="Calibri"/>
          <w:color w:val="000000" w:themeColor="text1"/>
          <w:lang w:eastAsia="en-AU"/>
        </w:rPr>
        <w:t xml:space="preserve"> in 2021</w:t>
      </w:r>
      <w:r w:rsidR="005916F8">
        <w:rPr>
          <w:rFonts w:ascii="Calibri" w:eastAsia="Times New Roman" w:hAnsi="Calibri" w:cs="Calibri"/>
          <w:color w:val="000000" w:themeColor="text1"/>
          <w:lang w:eastAsia="en-AU"/>
        </w:rPr>
        <w:t xml:space="preserve"> in 2022 dollars</w:t>
      </w:r>
      <w:r w:rsidR="008C009F" w:rsidRPr="008C009F">
        <w:rPr>
          <w:rFonts w:ascii="Calibri" w:eastAsia="Times New Roman" w:hAnsi="Calibri" w:cs="Calibri"/>
          <w:color w:val="000000" w:themeColor="text1"/>
          <w:lang w:eastAsia="en-AU"/>
        </w:rPr>
        <w:t>)</w:t>
      </w:r>
      <w:r w:rsidRPr="128E84B8">
        <w:rPr>
          <w:rFonts w:ascii="Calibri" w:eastAsia="Times New Roman" w:hAnsi="Calibri" w:cs="Calibri"/>
          <w:color w:val="000000" w:themeColor="text1"/>
          <w:lang w:eastAsia="en-AU"/>
        </w:rPr>
        <w:t xml:space="preserve">. The JRG reforms were designed to encourage more students to study in areas of national priority such as </w:t>
      </w:r>
      <w:r w:rsidR="00353497">
        <w:rPr>
          <w:rFonts w:ascii="Calibri" w:eastAsia="Times New Roman" w:hAnsi="Calibri" w:cs="Calibri"/>
          <w:color w:val="000000" w:themeColor="text1"/>
          <w:lang w:eastAsia="en-AU"/>
        </w:rPr>
        <w:t>teaching</w:t>
      </w:r>
      <w:r w:rsidR="00B5160A">
        <w:rPr>
          <w:rFonts w:ascii="Calibri" w:eastAsia="Times New Roman" w:hAnsi="Calibri" w:cs="Calibri"/>
          <w:color w:val="000000" w:themeColor="text1"/>
          <w:lang w:eastAsia="en-AU"/>
        </w:rPr>
        <w:t>,</w:t>
      </w:r>
      <w:r w:rsidR="00633F25" w:rsidRPr="128E84B8">
        <w:rPr>
          <w:rFonts w:ascii="Calibri" w:eastAsia="Times New Roman" w:hAnsi="Calibri" w:cs="Calibri"/>
          <w:color w:val="000000" w:themeColor="text1"/>
          <w:lang w:eastAsia="en-AU"/>
        </w:rPr>
        <w:t xml:space="preserve"> but could also </w:t>
      </w:r>
      <w:r w:rsidR="00B93E11" w:rsidRPr="128E84B8">
        <w:rPr>
          <w:rFonts w:ascii="Calibri" w:eastAsia="Times New Roman" w:hAnsi="Calibri" w:cs="Calibri"/>
          <w:color w:val="000000" w:themeColor="text1"/>
          <w:lang w:eastAsia="en-AU"/>
        </w:rPr>
        <w:t>reduce the financial incenti</w:t>
      </w:r>
      <w:r w:rsidR="00833FA6" w:rsidRPr="128E84B8">
        <w:rPr>
          <w:rFonts w:ascii="Calibri" w:eastAsia="Times New Roman" w:hAnsi="Calibri" w:cs="Calibri"/>
          <w:color w:val="000000" w:themeColor="text1"/>
          <w:lang w:eastAsia="en-AU"/>
        </w:rPr>
        <w:t xml:space="preserve">ve </w:t>
      </w:r>
      <w:r w:rsidR="0082478C">
        <w:rPr>
          <w:rFonts w:ascii="Calibri" w:eastAsia="Times New Roman" w:hAnsi="Calibri" w:cs="Calibri"/>
          <w:color w:val="000000" w:themeColor="text1"/>
          <w:lang w:eastAsia="en-AU"/>
        </w:rPr>
        <w:t xml:space="preserve">for </w:t>
      </w:r>
      <w:r w:rsidR="00833FA6" w:rsidRPr="128E84B8">
        <w:rPr>
          <w:rFonts w:ascii="Calibri" w:eastAsia="Times New Roman" w:hAnsi="Calibri" w:cs="Calibri"/>
          <w:color w:val="000000" w:themeColor="text1"/>
          <w:lang w:eastAsia="en-AU"/>
        </w:rPr>
        <w:t xml:space="preserve">and capacity </w:t>
      </w:r>
      <w:r w:rsidR="0082478C">
        <w:rPr>
          <w:rFonts w:ascii="Calibri" w:eastAsia="Times New Roman" w:hAnsi="Calibri" w:cs="Calibri"/>
          <w:color w:val="000000" w:themeColor="text1"/>
          <w:lang w:eastAsia="en-AU"/>
        </w:rPr>
        <w:t xml:space="preserve">of higher education providers </w:t>
      </w:r>
      <w:r w:rsidR="00B93E11" w:rsidRPr="128E84B8">
        <w:rPr>
          <w:rFonts w:ascii="Calibri" w:eastAsia="Times New Roman" w:hAnsi="Calibri" w:cs="Calibri"/>
          <w:color w:val="000000" w:themeColor="text1"/>
          <w:lang w:eastAsia="en-AU"/>
        </w:rPr>
        <w:t xml:space="preserve">to invest in </w:t>
      </w:r>
      <w:r w:rsidR="00E839C3" w:rsidRPr="128E84B8">
        <w:rPr>
          <w:rFonts w:ascii="Calibri" w:eastAsia="Times New Roman" w:hAnsi="Calibri" w:cs="Calibri"/>
          <w:color w:val="000000" w:themeColor="text1"/>
          <w:lang w:eastAsia="en-AU"/>
        </w:rPr>
        <w:t>improving the</w:t>
      </w:r>
      <w:r w:rsidR="00B93E11" w:rsidRPr="128E84B8">
        <w:rPr>
          <w:rFonts w:ascii="Calibri" w:eastAsia="Times New Roman" w:hAnsi="Calibri" w:cs="Calibri"/>
          <w:color w:val="000000" w:themeColor="text1"/>
          <w:lang w:eastAsia="en-AU"/>
        </w:rPr>
        <w:t xml:space="preserve"> quality and quantity of </w:t>
      </w:r>
      <w:r w:rsidR="00833FA6" w:rsidRPr="128E84B8">
        <w:rPr>
          <w:rFonts w:ascii="Calibri" w:eastAsia="Times New Roman" w:hAnsi="Calibri" w:cs="Calibri"/>
          <w:color w:val="000000" w:themeColor="text1"/>
          <w:lang w:eastAsia="en-AU"/>
        </w:rPr>
        <w:t xml:space="preserve">ITE </w:t>
      </w:r>
      <w:r w:rsidR="00E839C3" w:rsidRPr="128E84B8">
        <w:rPr>
          <w:rFonts w:ascii="Calibri" w:eastAsia="Times New Roman" w:hAnsi="Calibri" w:cs="Calibri"/>
          <w:color w:val="000000" w:themeColor="text1"/>
          <w:lang w:eastAsia="en-AU"/>
        </w:rPr>
        <w:t>students</w:t>
      </w:r>
      <w:r w:rsidRPr="128E84B8">
        <w:rPr>
          <w:rFonts w:ascii="Calibri" w:eastAsia="Times New Roman" w:hAnsi="Calibri" w:cs="Calibri"/>
          <w:color w:val="000000" w:themeColor="text1"/>
          <w:lang w:eastAsia="en-AU"/>
        </w:rPr>
        <w:t>. </w:t>
      </w:r>
      <w:r w:rsidR="00413327">
        <w:rPr>
          <w:rFonts w:ascii="Calibri" w:eastAsia="Times New Roman" w:hAnsi="Calibri" w:cs="Calibri"/>
          <w:color w:val="000000" w:themeColor="text1"/>
          <w:lang w:eastAsia="en-AU"/>
        </w:rPr>
        <w:t xml:space="preserve">For example, </w:t>
      </w:r>
      <w:r w:rsidR="00233953">
        <w:rPr>
          <w:rFonts w:ascii="Calibri" w:eastAsia="Times New Roman" w:hAnsi="Calibri" w:cs="Calibri"/>
          <w:color w:val="000000" w:themeColor="text1"/>
          <w:lang w:eastAsia="en-AU"/>
        </w:rPr>
        <w:t xml:space="preserve">there may be less incentive to </w:t>
      </w:r>
      <w:r w:rsidR="000E0FCD">
        <w:rPr>
          <w:rFonts w:ascii="Calibri" w:eastAsia="Times New Roman" w:hAnsi="Calibri" w:cs="Calibri"/>
          <w:color w:val="000000" w:themeColor="text1"/>
          <w:lang w:eastAsia="en-AU"/>
        </w:rPr>
        <w:t>enrol students in areas with higher teach</w:t>
      </w:r>
      <w:r w:rsidR="00A364CC">
        <w:rPr>
          <w:rFonts w:ascii="Calibri" w:eastAsia="Times New Roman" w:hAnsi="Calibri" w:cs="Calibri"/>
          <w:color w:val="000000" w:themeColor="text1"/>
          <w:lang w:eastAsia="en-AU"/>
        </w:rPr>
        <w:t>ing</w:t>
      </w:r>
      <w:r w:rsidR="000E0FCD">
        <w:rPr>
          <w:rFonts w:ascii="Calibri" w:eastAsia="Times New Roman" w:hAnsi="Calibri" w:cs="Calibri"/>
          <w:color w:val="000000" w:themeColor="text1"/>
          <w:lang w:eastAsia="en-AU"/>
        </w:rPr>
        <w:t xml:space="preserve"> costs such as </w:t>
      </w:r>
      <w:r w:rsidR="00A5691A">
        <w:rPr>
          <w:rFonts w:ascii="Calibri" w:eastAsia="Times New Roman" w:hAnsi="Calibri" w:cs="Calibri"/>
          <w:color w:val="000000" w:themeColor="text1"/>
          <w:lang w:eastAsia="en-AU"/>
        </w:rPr>
        <w:t xml:space="preserve">secondary STEM </w:t>
      </w:r>
      <w:r w:rsidR="00E474D3">
        <w:rPr>
          <w:rFonts w:ascii="Calibri" w:eastAsia="Times New Roman" w:hAnsi="Calibri" w:cs="Calibri"/>
          <w:color w:val="000000" w:themeColor="text1"/>
          <w:lang w:eastAsia="en-AU"/>
        </w:rPr>
        <w:t>subjects</w:t>
      </w:r>
      <w:r w:rsidR="00A5691A">
        <w:rPr>
          <w:rFonts w:ascii="Calibri" w:eastAsia="Times New Roman" w:hAnsi="Calibri" w:cs="Calibri"/>
          <w:color w:val="000000" w:themeColor="text1"/>
          <w:lang w:eastAsia="en-AU"/>
        </w:rPr>
        <w:t>.</w:t>
      </w:r>
    </w:p>
    <w:p w14:paraId="06E003BF" w14:textId="73AEB2CF" w:rsidR="00B707E9" w:rsidRPr="00B707E9" w:rsidRDefault="00B707E9" w:rsidP="00A17C4A">
      <w:pPr>
        <w:spacing w:after="120" w:line="240" w:lineRule="auto"/>
        <w:textAlignment w:val="baseline"/>
        <w:rPr>
          <w:rFonts w:ascii="Calibri" w:eastAsia="Times New Roman" w:hAnsi="Calibri" w:cs="Calibri"/>
          <w:lang w:eastAsia="en-AU"/>
        </w:rPr>
      </w:pPr>
      <w:r w:rsidRPr="00021807">
        <w:rPr>
          <w:rFonts w:ascii="Calibri" w:eastAsia="Times New Roman" w:hAnsi="Calibri" w:cs="Calibri"/>
          <w:lang w:eastAsia="en-AU"/>
        </w:rPr>
        <w:t>While funding provided to</w:t>
      </w:r>
      <w:r w:rsidR="00D9503F">
        <w:rPr>
          <w:rFonts w:ascii="Calibri" w:eastAsia="Times New Roman" w:hAnsi="Calibri" w:cs="Calibri"/>
          <w:lang w:eastAsia="en-AU"/>
        </w:rPr>
        <w:t xml:space="preserve"> </w:t>
      </w:r>
      <w:r w:rsidR="003B77A0">
        <w:rPr>
          <w:rFonts w:ascii="Calibri" w:eastAsia="Times New Roman" w:hAnsi="Calibri" w:cs="Calibri"/>
          <w:lang w:eastAsia="en-AU"/>
        </w:rPr>
        <w:t>higher education providers</w:t>
      </w:r>
      <w:r w:rsidR="00D9503F">
        <w:rPr>
          <w:rFonts w:ascii="Calibri" w:eastAsia="Times New Roman" w:hAnsi="Calibri" w:cs="Calibri"/>
          <w:lang w:eastAsia="en-AU"/>
        </w:rPr>
        <w:t xml:space="preserve"> for</w:t>
      </w:r>
      <w:r w:rsidRPr="00021807">
        <w:rPr>
          <w:rFonts w:ascii="Calibri" w:eastAsia="Times New Roman" w:hAnsi="Calibri" w:cs="Calibri"/>
          <w:lang w:eastAsia="en-AU"/>
        </w:rPr>
        <w:t xml:space="preserve"> </w:t>
      </w:r>
      <w:r w:rsidRPr="003E25D7">
        <w:rPr>
          <w:rFonts w:ascii="Calibri" w:eastAsia="Times New Roman" w:hAnsi="Calibri" w:cs="Calibri"/>
          <w:lang w:eastAsia="en-AU"/>
        </w:rPr>
        <w:t>Education</w:t>
      </w:r>
      <w:r w:rsidRPr="00021807">
        <w:rPr>
          <w:rFonts w:ascii="Calibri" w:eastAsia="Times New Roman" w:hAnsi="Calibri" w:cs="Calibri"/>
          <w:lang w:eastAsia="en-AU"/>
        </w:rPr>
        <w:t xml:space="preserve"> courses is relatively low compared to other fields of study, </w:t>
      </w:r>
      <w:r w:rsidR="00454E2C">
        <w:rPr>
          <w:rFonts w:ascii="Calibri" w:eastAsia="Times New Roman" w:hAnsi="Calibri" w:cs="Calibri"/>
          <w:lang w:eastAsia="en-AU"/>
        </w:rPr>
        <w:t>E</w:t>
      </w:r>
      <w:r w:rsidR="004A10C4">
        <w:rPr>
          <w:rFonts w:ascii="Calibri" w:eastAsia="Times New Roman" w:hAnsi="Calibri" w:cs="Calibri"/>
          <w:lang w:eastAsia="en-AU"/>
        </w:rPr>
        <w:t>ducation</w:t>
      </w:r>
      <w:r w:rsidRPr="00021807">
        <w:rPr>
          <w:rFonts w:ascii="Calibri" w:eastAsia="Times New Roman" w:hAnsi="Calibri" w:cs="Calibri"/>
          <w:lang w:eastAsia="en-AU"/>
        </w:rPr>
        <w:t xml:space="preserve"> performs relatively well overall against available measures. For example, </w:t>
      </w:r>
      <w:r w:rsidRPr="00927E66">
        <w:rPr>
          <w:rFonts w:ascii="Calibri" w:eastAsia="Times New Roman" w:hAnsi="Calibri" w:cs="Calibri"/>
          <w:lang w:eastAsia="en-AU"/>
        </w:rPr>
        <w:t>Education</w:t>
      </w:r>
      <w:r w:rsidRPr="00021807">
        <w:rPr>
          <w:rFonts w:ascii="Calibri" w:eastAsia="Times New Roman" w:hAnsi="Calibri" w:cs="Calibri"/>
          <w:lang w:eastAsia="en-AU"/>
        </w:rPr>
        <w:t xml:space="preserve"> students are more likely to report being satisfied with the quality of teaching compared to the average across fields of study (Figure </w:t>
      </w:r>
      <w:r w:rsidR="00FA7894">
        <w:rPr>
          <w:rFonts w:ascii="Calibri" w:eastAsia="Times New Roman" w:hAnsi="Calibri" w:cs="Calibri"/>
          <w:lang w:eastAsia="en-AU"/>
        </w:rPr>
        <w:t>2.</w:t>
      </w:r>
      <w:r w:rsidRPr="00021807">
        <w:rPr>
          <w:rFonts w:ascii="Calibri" w:eastAsia="Times New Roman" w:hAnsi="Calibri" w:cs="Calibri"/>
          <w:lang w:eastAsia="en-AU"/>
        </w:rPr>
        <w:t>1</w:t>
      </w:r>
      <w:r w:rsidR="00D21ADA">
        <w:rPr>
          <w:rFonts w:ascii="Calibri" w:eastAsia="Times New Roman" w:hAnsi="Calibri" w:cs="Calibri"/>
          <w:lang w:eastAsia="en-AU"/>
        </w:rPr>
        <w:t>0</w:t>
      </w:r>
      <w:r w:rsidRPr="00021807">
        <w:rPr>
          <w:rFonts w:ascii="Calibri" w:eastAsia="Times New Roman" w:hAnsi="Calibri" w:cs="Calibri"/>
          <w:lang w:eastAsia="en-AU"/>
        </w:rPr>
        <w:t xml:space="preserve">). However, this masks considerable differences in performance between higher education providers against the </w:t>
      </w:r>
      <w:r w:rsidR="00AE7EB6">
        <w:rPr>
          <w:rFonts w:ascii="Calibri" w:eastAsia="Times New Roman" w:hAnsi="Calibri" w:cs="Calibri"/>
          <w:lang w:eastAsia="en-AU"/>
        </w:rPr>
        <w:t>proposed performance measures</w:t>
      </w:r>
      <w:r w:rsidRPr="00021807">
        <w:rPr>
          <w:rFonts w:ascii="Calibri" w:eastAsia="Times New Roman" w:hAnsi="Calibri" w:cs="Calibri"/>
          <w:lang w:eastAsia="en-AU"/>
        </w:rPr>
        <w:t xml:space="preserve"> (see </w:t>
      </w:r>
      <w:r w:rsidR="00D86333">
        <w:rPr>
          <w:rFonts w:ascii="Calibri" w:eastAsia="Times New Roman" w:hAnsi="Calibri" w:cs="Calibri"/>
          <w:lang w:eastAsia="en-AU"/>
        </w:rPr>
        <w:t xml:space="preserve">Part 1 </w:t>
      </w:r>
      <w:r w:rsidR="00DC7325">
        <w:rPr>
          <w:rFonts w:ascii="Calibri" w:eastAsia="Times New Roman" w:hAnsi="Calibri" w:cs="Calibri"/>
          <w:lang w:eastAsia="en-AU"/>
        </w:rPr>
        <w:t>– Establishing a</w:t>
      </w:r>
      <w:r w:rsidRPr="00021807">
        <w:rPr>
          <w:rFonts w:ascii="Calibri" w:eastAsia="Times New Roman" w:hAnsi="Calibri" w:cs="Calibri"/>
          <w:lang w:eastAsia="en-AU"/>
        </w:rPr>
        <w:t xml:space="preserve"> quality measure</w:t>
      </w:r>
      <w:r w:rsidR="00DC7325">
        <w:rPr>
          <w:rFonts w:ascii="Calibri" w:eastAsia="Times New Roman" w:hAnsi="Calibri" w:cs="Calibri"/>
          <w:lang w:eastAsia="en-AU"/>
        </w:rPr>
        <w:t xml:space="preserve"> for ITE)</w:t>
      </w:r>
      <w:r w:rsidRPr="00021807">
        <w:rPr>
          <w:rFonts w:ascii="Calibri" w:eastAsia="Times New Roman" w:hAnsi="Calibri" w:cs="Calibri"/>
          <w:lang w:eastAsia="en-AU"/>
        </w:rPr>
        <w:t xml:space="preserve">. It is important to ensure all </w:t>
      </w:r>
      <w:r w:rsidR="009E7F16">
        <w:rPr>
          <w:rFonts w:ascii="Calibri" w:eastAsia="Times New Roman" w:hAnsi="Calibri" w:cs="Calibri"/>
          <w:lang w:eastAsia="en-AU"/>
        </w:rPr>
        <w:t>higher education</w:t>
      </w:r>
      <w:r w:rsidRPr="00021807">
        <w:rPr>
          <w:rFonts w:ascii="Calibri" w:eastAsia="Times New Roman" w:hAnsi="Calibri" w:cs="Calibri"/>
          <w:lang w:eastAsia="en-AU"/>
        </w:rPr>
        <w:t xml:space="preserve"> providers achieve high </w:t>
      </w:r>
      <w:r w:rsidR="00AE7EB6">
        <w:rPr>
          <w:rFonts w:ascii="Calibri" w:eastAsia="Times New Roman" w:hAnsi="Calibri" w:cs="Calibri"/>
          <w:lang w:eastAsia="en-AU"/>
        </w:rPr>
        <w:t>performance</w:t>
      </w:r>
      <w:r w:rsidRPr="00021807">
        <w:rPr>
          <w:rFonts w:ascii="Calibri" w:eastAsia="Times New Roman" w:hAnsi="Calibri" w:cs="Calibri"/>
          <w:lang w:eastAsia="en-AU"/>
        </w:rPr>
        <w:t xml:space="preserve"> appropriate to the level of public investment they receive. </w:t>
      </w:r>
    </w:p>
    <w:p w14:paraId="370B58D3" w14:textId="625D014C" w:rsidR="00B707E9" w:rsidRPr="005C7893" w:rsidRDefault="00B707E9" w:rsidP="00764221">
      <w:pPr>
        <w:pStyle w:val="Heading5"/>
        <w:spacing w:line="240" w:lineRule="auto"/>
        <w:rPr>
          <w:rFonts w:asciiTheme="minorHAnsi" w:eastAsia="Times New Roman" w:hAnsiTheme="minorHAnsi" w:cstheme="minorHAnsi"/>
          <w:color w:val="auto"/>
          <w:sz w:val="22"/>
          <w:lang w:eastAsia="en-AU"/>
        </w:rPr>
      </w:pPr>
      <w:r w:rsidRPr="005C7893">
        <w:rPr>
          <w:rFonts w:asciiTheme="minorHAnsi" w:eastAsia="Times New Roman" w:hAnsiTheme="minorHAnsi" w:cstheme="minorHAnsi"/>
          <w:color w:val="auto"/>
          <w:sz w:val="22"/>
          <w:lang w:eastAsia="en-AU"/>
        </w:rPr>
        <w:lastRenderedPageBreak/>
        <w:t xml:space="preserve">Figure </w:t>
      </w:r>
      <w:r w:rsidR="00BC3632" w:rsidRPr="005C7893">
        <w:rPr>
          <w:rFonts w:asciiTheme="minorHAnsi" w:eastAsia="Times New Roman" w:hAnsiTheme="minorHAnsi" w:cstheme="minorHAnsi"/>
          <w:color w:val="auto"/>
          <w:sz w:val="22"/>
          <w:lang w:eastAsia="en-AU"/>
        </w:rPr>
        <w:t>2.</w:t>
      </w:r>
      <w:r w:rsidR="00166183" w:rsidRPr="005C7893">
        <w:rPr>
          <w:rFonts w:asciiTheme="minorHAnsi" w:eastAsia="Times New Roman" w:hAnsiTheme="minorHAnsi" w:cstheme="minorHAnsi"/>
          <w:color w:val="auto"/>
          <w:sz w:val="22"/>
          <w:lang w:eastAsia="en-AU"/>
        </w:rPr>
        <w:t>1</w:t>
      </w:r>
      <w:r w:rsidR="00570AD5">
        <w:rPr>
          <w:rFonts w:asciiTheme="minorHAnsi" w:eastAsia="Times New Roman" w:hAnsiTheme="minorHAnsi" w:cstheme="minorHAnsi"/>
          <w:color w:val="auto"/>
          <w:sz w:val="22"/>
          <w:lang w:eastAsia="en-AU"/>
        </w:rPr>
        <w:t>0:</w:t>
      </w:r>
      <w:r w:rsidRPr="005C7893">
        <w:rPr>
          <w:rFonts w:asciiTheme="minorHAnsi" w:eastAsia="Times New Roman" w:hAnsiTheme="minorHAnsi" w:cstheme="minorHAnsi"/>
          <w:color w:val="auto"/>
          <w:sz w:val="22"/>
          <w:lang w:eastAsia="en-AU"/>
        </w:rPr>
        <w:t xml:space="preserve"> All universities’ domestic Bachelor base funding per equivalent full-time student load (EFTSL) and percentage of students satisfied with teaching quality, by field of education, 2021  </w:t>
      </w:r>
    </w:p>
    <w:p w14:paraId="495B749D" w14:textId="77777777" w:rsidR="00B707E9" w:rsidRPr="00B707E9" w:rsidRDefault="00B707E9" w:rsidP="007D5540">
      <w:pPr>
        <w:keepNext/>
        <w:spacing w:after="0" w:line="240" w:lineRule="auto"/>
        <w:textAlignment w:val="baseline"/>
        <w:rPr>
          <w:rFonts w:ascii="Calibri" w:eastAsia="Times New Roman" w:hAnsi="Calibri" w:cs="Calibri"/>
          <w:color w:val="000000"/>
          <w:lang w:eastAsia="en-AU"/>
        </w:rPr>
      </w:pPr>
      <w:r w:rsidRPr="00B707E9">
        <w:rPr>
          <w:rFonts w:ascii="Calibri" w:eastAsia="Times New Roman" w:hAnsi="Calibri" w:cs="Calibri"/>
          <w:color w:val="000000"/>
          <w:sz w:val="18"/>
          <w:szCs w:val="18"/>
          <w:lang w:eastAsia="en-AU"/>
        </w:rPr>
        <w:t> </w:t>
      </w:r>
    </w:p>
    <w:p w14:paraId="05CFA5CB" w14:textId="2774D9E5" w:rsidR="00E42E28" w:rsidRPr="00E42E28" w:rsidRDefault="00D9670C" w:rsidP="00E42E28">
      <w:pPr>
        <w:spacing w:after="0" w:line="240" w:lineRule="auto"/>
        <w:textAlignment w:val="baseline"/>
        <w:rPr>
          <w:rFonts w:ascii="Calibri" w:eastAsia="Times New Roman" w:hAnsi="Calibri" w:cs="Calibri"/>
          <w:sz w:val="16"/>
          <w:szCs w:val="16"/>
          <w:lang w:eastAsia="en-AU"/>
        </w:rPr>
      </w:pPr>
      <w:r>
        <w:rPr>
          <w:rFonts w:ascii="Calibri" w:hAnsi="Calibri" w:cs="Calibri"/>
          <w:noProof/>
          <w:color w:val="2F5496"/>
          <w:shd w:val="clear" w:color="auto" w:fill="E6E6E6"/>
        </w:rPr>
        <w:drawing>
          <wp:inline distT="0" distB="0" distL="0" distR="0" wp14:anchorId="7B824511" wp14:editId="7F15CD3F">
            <wp:extent cx="5731510" cy="34836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483610"/>
                    </a:xfrm>
                    <a:prstGeom prst="rect">
                      <a:avLst/>
                    </a:prstGeom>
                    <a:noFill/>
                    <a:ln>
                      <a:noFill/>
                    </a:ln>
                  </pic:spPr>
                </pic:pic>
              </a:graphicData>
            </a:graphic>
          </wp:inline>
        </w:drawing>
      </w:r>
      <w:r>
        <w:rPr>
          <w:rFonts w:ascii="Calibri Light" w:hAnsi="Calibri Light" w:cs="Calibri Light"/>
          <w:color w:val="2F5496"/>
          <w:sz w:val="26"/>
          <w:szCs w:val="26"/>
          <w:shd w:val="clear" w:color="auto" w:fill="FFFFFF"/>
        </w:rPr>
        <w:br/>
      </w:r>
      <w:r w:rsidR="00E42E28" w:rsidRPr="00E42E28">
        <w:rPr>
          <w:rFonts w:ascii="Calibri" w:eastAsia="Times New Roman" w:hAnsi="Calibri" w:cs="Calibri"/>
          <w:sz w:val="16"/>
          <w:szCs w:val="16"/>
          <w:lang w:eastAsia="en-AU"/>
        </w:rPr>
        <w:t>Sources: Funding Data- Department of Education; Satisfaction data- Student Experience Survey, Department of Education  </w:t>
      </w:r>
    </w:p>
    <w:p w14:paraId="6F3C0181" w14:textId="12F715E1" w:rsidR="00B707E9" w:rsidRPr="00E42E28" w:rsidRDefault="00B707E9" w:rsidP="00E42E28">
      <w:pPr>
        <w:keepNext/>
        <w:spacing w:after="120" w:line="240" w:lineRule="auto"/>
        <w:textAlignment w:val="baseline"/>
        <w:rPr>
          <w:rFonts w:ascii="Calibri" w:eastAsia="Times New Roman" w:hAnsi="Calibri" w:cs="Calibri"/>
          <w:color w:val="000000"/>
          <w:sz w:val="16"/>
          <w:szCs w:val="16"/>
          <w:lang w:eastAsia="en-AU"/>
        </w:rPr>
      </w:pPr>
      <w:r w:rsidRPr="00E42E28">
        <w:rPr>
          <w:rStyle w:val="Emphasis"/>
          <w:i w:val="0"/>
          <w:iCs w:val="0"/>
          <w:sz w:val="16"/>
          <w:szCs w:val="16"/>
          <w:lang w:eastAsia="en-AU"/>
        </w:rPr>
        <w:t>Notes</w:t>
      </w:r>
      <w:r w:rsidR="00E42E28" w:rsidRPr="00E42E28">
        <w:rPr>
          <w:rFonts w:ascii="Calibri" w:eastAsia="Times New Roman" w:hAnsi="Calibri" w:cs="Calibri"/>
          <w:color w:val="000000"/>
          <w:sz w:val="16"/>
          <w:szCs w:val="16"/>
          <w:lang w:eastAsia="en-AU"/>
        </w:rPr>
        <w:t xml:space="preserve">: 1. </w:t>
      </w:r>
      <w:r w:rsidRPr="00E42E28">
        <w:rPr>
          <w:rFonts w:ascii="Calibri" w:eastAsia="Times New Roman" w:hAnsi="Calibri" w:cs="Calibri"/>
          <w:color w:val="000000"/>
          <w:sz w:val="16"/>
          <w:szCs w:val="16"/>
          <w:lang w:eastAsia="en-AU"/>
        </w:rPr>
        <w:t>The base funding per EFTSL is calculated as the sum of the Commonwealth Contribution amount and the maximum Student Contribution amount.</w:t>
      </w:r>
      <w:r w:rsidR="00BD189B" w:rsidRPr="00E42E28">
        <w:rPr>
          <w:rFonts w:ascii="Calibri" w:eastAsia="Times New Roman" w:hAnsi="Calibri" w:cs="Calibri"/>
          <w:color w:val="000000"/>
          <w:sz w:val="16"/>
          <w:szCs w:val="16"/>
          <w:lang w:eastAsia="en-AU"/>
        </w:rPr>
        <w:t xml:space="preserve"> </w:t>
      </w:r>
      <w:r w:rsidRPr="00E42E28">
        <w:rPr>
          <w:rFonts w:ascii="Calibri" w:eastAsia="Times New Roman" w:hAnsi="Calibri" w:cs="Calibri"/>
          <w:color w:val="000000"/>
          <w:sz w:val="16"/>
          <w:szCs w:val="16"/>
          <w:lang w:eastAsia="en-AU"/>
        </w:rPr>
        <w:t>2. 2021 estimates of base funding per EFTSL were calculated by applying the Consumer Price Index to 2020 based funding per ESTSL figures. 3. Percentage of students satisfied with teaching quality figures are for domestic bachelor students.  </w:t>
      </w:r>
    </w:p>
    <w:p w14:paraId="513A329F" w14:textId="341AEDFD" w:rsidR="00B707E9" w:rsidRPr="00034E0A" w:rsidRDefault="00764221" w:rsidP="00034E0A">
      <w:pPr>
        <w:pStyle w:val="Heading3"/>
        <w:spacing w:before="0" w:after="120" w:line="240" w:lineRule="auto"/>
        <w:rPr>
          <w:rFonts w:eastAsia="Times New Roman"/>
          <w:szCs w:val="32"/>
          <w:lang w:eastAsia="en-AU"/>
        </w:rPr>
      </w:pPr>
      <w:bookmarkStart w:id="62" w:name="_Toc128649087"/>
      <w:bookmarkStart w:id="63" w:name="_Toc130217443"/>
      <w:r w:rsidRPr="00034E0A">
        <w:rPr>
          <w:rFonts w:eastAsia="Times New Roman"/>
          <w:szCs w:val="32"/>
          <w:lang w:eastAsia="en-AU"/>
        </w:rPr>
        <w:t xml:space="preserve">2.5 </w:t>
      </w:r>
      <w:r w:rsidR="00B707E9" w:rsidRPr="00034E0A">
        <w:rPr>
          <w:rFonts w:eastAsia="Times New Roman"/>
          <w:szCs w:val="32"/>
          <w:lang w:eastAsia="en-AU"/>
        </w:rPr>
        <w:t>Incentives to improve quality</w:t>
      </w:r>
      <w:bookmarkEnd w:id="62"/>
      <w:bookmarkEnd w:id="63"/>
      <w:r w:rsidR="00B707E9" w:rsidRPr="00034E0A">
        <w:rPr>
          <w:rFonts w:eastAsia="Times New Roman"/>
          <w:szCs w:val="32"/>
          <w:lang w:eastAsia="en-AU"/>
        </w:rPr>
        <w:t>  </w:t>
      </w:r>
    </w:p>
    <w:p w14:paraId="40B4E038" w14:textId="77777777" w:rsidR="00DF5D2A" w:rsidRPr="00F83CC1" w:rsidRDefault="00B707E9" w:rsidP="00DF5D2A">
      <w:pPr>
        <w:spacing w:after="0" w:line="240" w:lineRule="auto"/>
        <w:textAlignment w:val="baseline"/>
        <w:rPr>
          <w:rFonts w:eastAsia="Times New Roman" w:cstheme="minorHAnsi"/>
          <w:color w:val="000000"/>
          <w:sz w:val="20"/>
          <w:szCs w:val="20"/>
          <w:lang w:eastAsia="en-AU"/>
        </w:rPr>
      </w:pPr>
      <w:r w:rsidRPr="00F83CC1">
        <w:rPr>
          <w:rFonts w:eastAsia="Times New Roman" w:cstheme="minorHAnsi"/>
          <w:color w:val="000000"/>
          <w:lang w:eastAsia="en-AU"/>
        </w:rPr>
        <w:t>Incentives to invest in teaching quality are muted by the particular characteristics of the Higher Education sector (Productivity Commission 2022):  </w:t>
      </w:r>
    </w:p>
    <w:p w14:paraId="760A91BE" w14:textId="158FF21D" w:rsidR="00DF5D2A" w:rsidRPr="00F83CC1" w:rsidRDefault="00B707E9" w:rsidP="00645BD5">
      <w:pPr>
        <w:pStyle w:val="ListParagraph"/>
        <w:numPr>
          <w:ilvl w:val="0"/>
          <w:numId w:val="10"/>
        </w:numPr>
        <w:textAlignment w:val="baseline"/>
        <w:rPr>
          <w:rFonts w:eastAsia="Times New Roman" w:cstheme="minorHAnsi"/>
          <w:color w:val="000000"/>
          <w:sz w:val="22"/>
          <w:szCs w:val="22"/>
          <w:lang w:eastAsia="en-AU"/>
        </w:rPr>
      </w:pPr>
      <w:r w:rsidRPr="00F83CC1">
        <w:rPr>
          <w:rFonts w:eastAsia="Times New Roman" w:cstheme="minorHAnsi"/>
          <w:color w:val="000000" w:themeColor="text1"/>
          <w:sz w:val="22"/>
          <w:szCs w:val="22"/>
          <w:lang w:eastAsia="en-AU"/>
        </w:rPr>
        <w:t xml:space="preserve">While students can choose where they study (based on a potential range of factors such as available </w:t>
      </w:r>
      <w:r w:rsidR="005D529A">
        <w:rPr>
          <w:rFonts w:eastAsia="Times New Roman" w:cstheme="minorHAnsi"/>
          <w:color w:val="000000" w:themeColor="text1"/>
          <w:sz w:val="22"/>
          <w:szCs w:val="22"/>
          <w:lang w:eastAsia="en-AU"/>
        </w:rPr>
        <w:t>programs</w:t>
      </w:r>
      <w:r w:rsidRPr="00F83CC1">
        <w:rPr>
          <w:rFonts w:eastAsia="Times New Roman" w:cstheme="minorHAnsi"/>
          <w:color w:val="000000" w:themeColor="text1"/>
          <w:sz w:val="22"/>
          <w:szCs w:val="22"/>
          <w:lang w:eastAsia="en-AU"/>
        </w:rPr>
        <w:t xml:space="preserve">, location and institutional reputation) students </w:t>
      </w:r>
      <w:r w:rsidR="00292061" w:rsidRPr="00F83CC1">
        <w:rPr>
          <w:rFonts w:eastAsia="Times New Roman" w:cstheme="minorHAnsi"/>
          <w:color w:val="000000" w:themeColor="text1"/>
          <w:sz w:val="22"/>
          <w:szCs w:val="22"/>
          <w:lang w:eastAsia="en-AU"/>
        </w:rPr>
        <w:t xml:space="preserve">currently </w:t>
      </w:r>
      <w:r w:rsidRPr="00F83CC1">
        <w:rPr>
          <w:rFonts w:eastAsia="Times New Roman" w:cstheme="minorHAnsi"/>
          <w:color w:val="000000" w:themeColor="text1"/>
          <w:sz w:val="22"/>
          <w:szCs w:val="22"/>
          <w:lang w:eastAsia="en-AU"/>
        </w:rPr>
        <w:t>cannot know in advance what they are going to learn</w:t>
      </w:r>
      <w:r w:rsidR="00292061" w:rsidRPr="00F83CC1">
        <w:rPr>
          <w:rFonts w:eastAsia="Times New Roman" w:cstheme="minorHAnsi"/>
          <w:color w:val="000000" w:themeColor="text1"/>
          <w:sz w:val="22"/>
          <w:szCs w:val="22"/>
          <w:lang w:eastAsia="en-AU"/>
        </w:rPr>
        <w:t xml:space="preserve"> </w:t>
      </w:r>
      <w:r w:rsidR="0081255F">
        <w:rPr>
          <w:rFonts w:eastAsia="Times New Roman" w:cstheme="minorHAnsi"/>
          <w:color w:val="000000" w:themeColor="text1"/>
          <w:sz w:val="22"/>
          <w:szCs w:val="22"/>
          <w:lang w:eastAsia="en-AU"/>
        </w:rPr>
        <w:t>n</w:t>
      </w:r>
      <w:r w:rsidR="00292061" w:rsidRPr="00F83CC1">
        <w:rPr>
          <w:rFonts w:eastAsia="Times New Roman" w:cstheme="minorHAnsi"/>
          <w:color w:val="000000" w:themeColor="text1"/>
          <w:sz w:val="22"/>
          <w:szCs w:val="22"/>
          <w:lang w:eastAsia="en-AU"/>
        </w:rPr>
        <w:t>or have access to information on quality</w:t>
      </w:r>
      <w:r w:rsidRPr="00F83CC1">
        <w:rPr>
          <w:rFonts w:eastAsia="Times New Roman" w:cstheme="minorHAnsi"/>
          <w:color w:val="000000" w:themeColor="text1"/>
          <w:sz w:val="22"/>
          <w:szCs w:val="22"/>
          <w:lang w:eastAsia="en-AU"/>
        </w:rPr>
        <w:t xml:space="preserve">. This means prospective students are unlikely </w:t>
      </w:r>
      <w:r w:rsidR="53A6513B" w:rsidRPr="00F83CC1">
        <w:rPr>
          <w:rFonts w:eastAsia="Calibri" w:cstheme="minorHAnsi"/>
          <w:color w:val="000000" w:themeColor="text1"/>
          <w:sz w:val="22"/>
          <w:szCs w:val="22"/>
        </w:rPr>
        <w:t xml:space="preserve">(in the absence of transparent information) </w:t>
      </w:r>
      <w:r w:rsidRPr="00F83CC1">
        <w:rPr>
          <w:rFonts w:eastAsia="Times New Roman" w:cstheme="minorHAnsi"/>
          <w:color w:val="000000" w:themeColor="text1"/>
          <w:sz w:val="22"/>
          <w:szCs w:val="22"/>
          <w:lang w:eastAsia="en-AU"/>
        </w:rPr>
        <w:t>to choose their institution based on teaching quality and provides limited incentive for higher education providers to focus on quality.  </w:t>
      </w:r>
    </w:p>
    <w:p w14:paraId="0E861838" w14:textId="77777777" w:rsidR="00DF5D2A" w:rsidRPr="00F83CC1" w:rsidRDefault="00B707E9" w:rsidP="00645BD5">
      <w:pPr>
        <w:pStyle w:val="ListParagraph"/>
        <w:numPr>
          <w:ilvl w:val="0"/>
          <w:numId w:val="10"/>
        </w:numPr>
        <w:textAlignment w:val="baseline"/>
        <w:rPr>
          <w:rFonts w:eastAsia="Times New Roman" w:cstheme="minorHAnsi"/>
          <w:color w:val="000000"/>
          <w:sz w:val="22"/>
          <w:szCs w:val="22"/>
          <w:lang w:eastAsia="en-AU"/>
        </w:rPr>
      </w:pPr>
      <w:r w:rsidRPr="00F83CC1">
        <w:rPr>
          <w:rFonts w:eastAsia="Times New Roman" w:cstheme="minorHAnsi"/>
          <w:color w:val="000000"/>
          <w:sz w:val="22"/>
          <w:szCs w:val="22"/>
          <w:lang w:eastAsia="en-AU"/>
        </w:rPr>
        <w:t>Fixed or capped fees for domestic undergraduate degrees can limit incentives for providers to compete on quality as there is no premium for doing so.  </w:t>
      </w:r>
    </w:p>
    <w:p w14:paraId="495BC8ED" w14:textId="77777777" w:rsidR="00DF5D2A" w:rsidRPr="00F83CC1" w:rsidRDefault="00B707E9" w:rsidP="00645BD5">
      <w:pPr>
        <w:pStyle w:val="ListParagraph"/>
        <w:numPr>
          <w:ilvl w:val="0"/>
          <w:numId w:val="10"/>
        </w:numPr>
        <w:textAlignment w:val="baseline"/>
        <w:rPr>
          <w:rFonts w:eastAsia="Times New Roman" w:cstheme="minorHAnsi"/>
          <w:color w:val="000000"/>
          <w:sz w:val="22"/>
          <w:szCs w:val="22"/>
          <w:lang w:eastAsia="en-AU"/>
        </w:rPr>
      </w:pPr>
      <w:r w:rsidRPr="00F83CC1">
        <w:rPr>
          <w:rFonts w:eastAsia="Times New Roman" w:cstheme="minorHAnsi"/>
          <w:color w:val="000000"/>
          <w:sz w:val="22"/>
          <w:szCs w:val="22"/>
          <w:lang w:eastAsia="en-AU"/>
        </w:rPr>
        <w:t>Research is more easily rewarded than teaching as it involves outputs whose quality and quantity are more readily measurable. International rankings play an important role in attracting students and are heavily weighted towards research outputs.  </w:t>
      </w:r>
    </w:p>
    <w:p w14:paraId="613808DB" w14:textId="77777777" w:rsidR="00B707E9" w:rsidRPr="00F83CC1" w:rsidRDefault="00B707E9" w:rsidP="00645BD5">
      <w:pPr>
        <w:pStyle w:val="ListParagraph"/>
        <w:numPr>
          <w:ilvl w:val="0"/>
          <w:numId w:val="10"/>
        </w:numPr>
        <w:spacing w:after="120"/>
        <w:ind w:left="714" w:hanging="357"/>
        <w:textAlignment w:val="baseline"/>
        <w:rPr>
          <w:rFonts w:eastAsia="Times New Roman" w:cstheme="minorHAnsi"/>
          <w:color w:val="000000"/>
          <w:sz w:val="22"/>
          <w:szCs w:val="22"/>
          <w:lang w:eastAsia="en-AU"/>
        </w:rPr>
      </w:pPr>
      <w:r w:rsidRPr="00F83CC1">
        <w:rPr>
          <w:rFonts w:eastAsia="Times New Roman" w:cstheme="minorHAnsi"/>
          <w:color w:val="000000"/>
          <w:sz w:val="22"/>
          <w:szCs w:val="22"/>
          <w:lang w:eastAsia="en-AU"/>
        </w:rPr>
        <w:t>Teaching-focused roles are more likely to be casual, which can limit quality improvements in teaching by reducing skill accumulation in teaching staff.  </w:t>
      </w:r>
    </w:p>
    <w:p w14:paraId="7F219C44" w14:textId="553E6AB9" w:rsidR="00F43732" w:rsidRPr="00021807" w:rsidRDefault="4F6801B2" w:rsidP="1562DC2A">
      <w:pPr>
        <w:spacing w:after="120" w:line="240" w:lineRule="auto"/>
        <w:textAlignment w:val="baseline"/>
        <w:rPr>
          <w:rFonts w:ascii="Calibri" w:eastAsia="Times New Roman" w:hAnsi="Calibri" w:cs="Calibri"/>
          <w:lang w:eastAsia="en-AU"/>
        </w:rPr>
      </w:pPr>
      <w:r w:rsidRPr="2C03F412">
        <w:rPr>
          <w:rFonts w:eastAsia="Times New Roman"/>
          <w:lang w:eastAsia="en-AU"/>
        </w:rPr>
        <w:t xml:space="preserve">Under current arrangements, the government is unable to allocate places to higher education providers in relation to a specific higher education course </w:t>
      </w:r>
      <w:r w:rsidR="47F19EAE" w:rsidRPr="2C03F412">
        <w:rPr>
          <w:rFonts w:eastAsia="Times New Roman"/>
          <w:lang w:eastAsia="en-AU"/>
        </w:rPr>
        <w:t xml:space="preserve">such </w:t>
      </w:r>
      <w:r w:rsidRPr="2C03F412">
        <w:rPr>
          <w:rFonts w:eastAsia="Times New Roman"/>
          <w:lang w:eastAsia="en-AU"/>
        </w:rPr>
        <w:t>as ITE</w:t>
      </w:r>
      <w:r w:rsidR="47F19EAE" w:rsidRPr="2C03F412">
        <w:rPr>
          <w:rFonts w:eastAsia="Times New Roman"/>
          <w:lang w:eastAsia="en-AU"/>
        </w:rPr>
        <w:t>, as</w:t>
      </w:r>
      <w:r w:rsidRPr="2C03F412">
        <w:rPr>
          <w:rFonts w:eastAsia="Times New Roman"/>
          <w:lang w:eastAsia="en-AU"/>
        </w:rPr>
        <w:t xml:space="preserve"> </w:t>
      </w:r>
      <w:r w:rsidR="29948B65" w:rsidRPr="2C03F412">
        <w:rPr>
          <w:rFonts w:eastAsia="Times New Roman"/>
          <w:lang w:eastAsia="en-AU"/>
        </w:rPr>
        <w:t xml:space="preserve">Commonwealth </w:t>
      </w:r>
      <w:r w:rsidRPr="2C03F412">
        <w:rPr>
          <w:rFonts w:eastAsia="Times New Roman"/>
          <w:lang w:eastAsia="en-AU"/>
        </w:rPr>
        <w:t xml:space="preserve">funding is part of </w:t>
      </w:r>
      <w:r w:rsidR="615B9BF4" w:rsidRPr="2C03F412">
        <w:rPr>
          <w:rFonts w:eastAsia="Times New Roman"/>
          <w:lang w:eastAsia="en-AU"/>
        </w:rPr>
        <w:t>higher education providers</w:t>
      </w:r>
      <w:r w:rsidR="7B059458" w:rsidRPr="2C03F412">
        <w:rPr>
          <w:rFonts w:eastAsia="Times New Roman"/>
          <w:lang w:eastAsia="en-AU"/>
        </w:rPr>
        <w:t>’</w:t>
      </w:r>
      <w:r w:rsidRPr="2C03F412">
        <w:rPr>
          <w:rFonts w:eastAsia="Times New Roman"/>
          <w:lang w:eastAsia="en-AU"/>
        </w:rPr>
        <w:t xml:space="preserve"> overall funding envelope and is not allocated to ITE </w:t>
      </w:r>
      <w:r w:rsidR="5AA65078" w:rsidRPr="2C03F412">
        <w:rPr>
          <w:rFonts w:eastAsia="Times New Roman"/>
          <w:lang w:eastAsia="en-AU"/>
        </w:rPr>
        <w:t xml:space="preserve">programs </w:t>
      </w:r>
      <w:r w:rsidRPr="2C03F412">
        <w:rPr>
          <w:rFonts w:eastAsia="Times New Roman"/>
          <w:lang w:eastAsia="en-AU"/>
        </w:rPr>
        <w:t>directly. Without designating ITE</w:t>
      </w:r>
      <w:r w:rsidRPr="2C03F412">
        <w:rPr>
          <w:rFonts w:ascii="Calibri" w:eastAsia="Times New Roman" w:hAnsi="Calibri" w:cs="Calibri"/>
          <w:lang w:eastAsia="en-AU"/>
        </w:rPr>
        <w:t xml:space="preserve"> </w:t>
      </w:r>
      <w:r w:rsidR="7CC749D6" w:rsidRPr="2C03F412">
        <w:rPr>
          <w:rFonts w:ascii="Calibri" w:eastAsia="Times New Roman" w:hAnsi="Calibri" w:cs="Calibri"/>
          <w:lang w:eastAsia="en-AU"/>
        </w:rPr>
        <w:t>programs</w:t>
      </w:r>
      <w:r w:rsidRPr="2C03F412">
        <w:rPr>
          <w:rFonts w:ascii="Calibri" w:eastAsia="Times New Roman" w:hAnsi="Calibri" w:cs="Calibri"/>
          <w:lang w:eastAsia="en-AU"/>
        </w:rPr>
        <w:t xml:space="preserve">, there is no provision to reduce ITE </w:t>
      </w:r>
      <w:r w:rsidR="5DA70956" w:rsidRPr="2C03F412">
        <w:rPr>
          <w:rFonts w:ascii="Calibri" w:eastAsia="Times New Roman" w:hAnsi="Calibri" w:cs="Calibri"/>
          <w:lang w:eastAsia="en-AU"/>
        </w:rPr>
        <w:t>places</w:t>
      </w:r>
      <w:r w:rsidRPr="2C03F412">
        <w:rPr>
          <w:rFonts w:ascii="Calibri" w:eastAsia="Times New Roman" w:hAnsi="Calibri" w:cs="Calibri"/>
          <w:lang w:eastAsia="en-AU"/>
        </w:rPr>
        <w:t xml:space="preserve"> to higher education providers who </w:t>
      </w:r>
      <w:r w:rsidR="1163C475" w:rsidRPr="2C03F412">
        <w:rPr>
          <w:rFonts w:ascii="Calibri" w:eastAsia="Times New Roman" w:hAnsi="Calibri" w:cs="Calibri"/>
          <w:lang w:eastAsia="en-AU"/>
        </w:rPr>
        <w:t>perform poorly on the</w:t>
      </w:r>
      <w:r w:rsidRPr="2C03F412">
        <w:rPr>
          <w:rFonts w:ascii="Calibri" w:eastAsia="Times New Roman" w:hAnsi="Calibri" w:cs="Calibri"/>
          <w:lang w:eastAsia="en-AU"/>
        </w:rPr>
        <w:t xml:space="preserve"> </w:t>
      </w:r>
      <w:r w:rsidR="2612F6BC" w:rsidRPr="2C03F412">
        <w:rPr>
          <w:rFonts w:ascii="Calibri" w:eastAsia="Times New Roman" w:hAnsi="Calibri" w:cs="Calibri"/>
          <w:lang w:eastAsia="en-AU"/>
        </w:rPr>
        <w:t>performance</w:t>
      </w:r>
      <w:r w:rsidRPr="2C03F412">
        <w:rPr>
          <w:rFonts w:ascii="Calibri" w:eastAsia="Times New Roman" w:hAnsi="Calibri" w:cs="Calibri"/>
          <w:lang w:eastAsia="en-AU"/>
        </w:rPr>
        <w:t xml:space="preserve"> measure</w:t>
      </w:r>
      <w:r w:rsidR="1163C475" w:rsidRPr="2C03F412">
        <w:rPr>
          <w:rFonts w:ascii="Calibri" w:eastAsia="Times New Roman" w:hAnsi="Calibri" w:cs="Calibri"/>
          <w:lang w:eastAsia="en-AU"/>
        </w:rPr>
        <w:t>s</w:t>
      </w:r>
      <w:r w:rsidRPr="2C03F412">
        <w:rPr>
          <w:rFonts w:ascii="Calibri" w:eastAsia="Times New Roman" w:hAnsi="Calibri" w:cs="Calibri"/>
          <w:lang w:eastAsia="en-AU"/>
        </w:rPr>
        <w:t>. </w:t>
      </w:r>
    </w:p>
    <w:p w14:paraId="677CB6EC" w14:textId="283D14E7" w:rsidR="00F43732" w:rsidRPr="00021807" w:rsidRDefault="00F43732" w:rsidP="3B3AD197">
      <w:pPr>
        <w:spacing w:after="120" w:line="240" w:lineRule="auto"/>
        <w:textAlignment w:val="baseline"/>
        <w:rPr>
          <w:rFonts w:ascii="Calibri" w:eastAsia="Times New Roman" w:hAnsi="Calibri" w:cs="Calibri"/>
          <w:color w:val="000000"/>
          <w:sz w:val="20"/>
          <w:szCs w:val="20"/>
          <w:lang w:eastAsia="en-AU"/>
        </w:rPr>
      </w:pPr>
      <w:r w:rsidRPr="00375430">
        <w:rPr>
          <w:rFonts w:ascii="Calibri" w:eastAsia="Times New Roman" w:hAnsi="Calibri" w:cs="Calibri"/>
          <w:color w:val="000000" w:themeColor="text1"/>
          <w:lang w:eastAsia="en-AU"/>
        </w:rPr>
        <w:t>Designating courses</w:t>
      </w:r>
      <w:r w:rsidRPr="3B3AD197">
        <w:rPr>
          <w:rFonts w:ascii="Calibri" w:eastAsia="Times New Roman" w:hAnsi="Calibri" w:cs="Calibri"/>
          <w:color w:val="000000" w:themeColor="text1"/>
          <w:lang w:eastAsia="en-AU"/>
        </w:rPr>
        <w:t xml:space="preserve"> also effectively </w:t>
      </w:r>
      <w:r w:rsidRPr="00375430">
        <w:rPr>
          <w:rFonts w:ascii="Calibri" w:eastAsia="Times New Roman" w:hAnsi="Calibri" w:cs="Calibri"/>
          <w:color w:val="000000" w:themeColor="text1"/>
          <w:lang w:eastAsia="en-AU"/>
        </w:rPr>
        <w:t xml:space="preserve">caps the number of places and limits the supply of </w:t>
      </w:r>
      <w:r w:rsidR="005C75CE">
        <w:rPr>
          <w:rFonts w:ascii="Calibri" w:eastAsia="Times New Roman" w:hAnsi="Calibri" w:cs="Calibri"/>
          <w:color w:val="000000" w:themeColor="text1"/>
          <w:lang w:eastAsia="en-AU"/>
        </w:rPr>
        <w:t>graduate</w:t>
      </w:r>
      <w:r w:rsidR="00744BBF">
        <w:rPr>
          <w:rFonts w:ascii="Calibri" w:eastAsia="Times New Roman" w:hAnsi="Calibri" w:cs="Calibri"/>
          <w:color w:val="000000" w:themeColor="text1"/>
          <w:lang w:eastAsia="en-AU"/>
        </w:rPr>
        <w:t xml:space="preserve">s from that course, including ITE which would cap the </w:t>
      </w:r>
      <w:r w:rsidR="00B363A1">
        <w:rPr>
          <w:rFonts w:ascii="Calibri" w:eastAsia="Times New Roman" w:hAnsi="Calibri" w:cs="Calibri"/>
          <w:color w:val="000000" w:themeColor="text1"/>
          <w:lang w:eastAsia="en-AU"/>
        </w:rPr>
        <w:t xml:space="preserve">supply of teachers and cannot respond to </w:t>
      </w:r>
      <w:r w:rsidR="00B363A1">
        <w:rPr>
          <w:rFonts w:ascii="Calibri" w:eastAsia="Times New Roman" w:hAnsi="Calibri" w:cs="Calibri"/>
          <w:color w:val="000000" w:themeColor="text1"/>
          <w:lang w:eastAsia="en-AU"/>
        </w:rPr>
        <w:lastRenderedPageBreak/>
        <w:t>demand</w:t>
      </w:r>
      <w:r w:rsidRPr="3B3AD197">
        <w:rPr>
          <w:rFonts w:ascii="Calibri" w:eastAsia="Times New Roman" w:hAnsi="Calibri" w:cs="Calibri"/>
          <w:color w:val="000000" w:themeColor="text1"/>
          <w:lang w:eastAsia="en-AU"/>
        </w:rPr>
        <w:t xml:space="preserve">. In addition, reallocating places from lower performing to higher performing providers may not align with student preferences, leading to unfilled places and </w:t>
      </w:r>
      <w:r w:rsidR="001B3C49" w:rsidRPr="001B3C49">
        <w:rPr>
          <w:rFonts w:ascii="Calibri" w:eastAsia="Times New Roman" w:hAnsi="Calibri" w:cs="Calibri"/>
          <w:color w:val="000000" w:themeColor="text1"/>
          <w:lang w:eastAsia="en-AU"/>
        </w:rPr>
        <w:t xml:space="preserve">in the case of ITE </w:t>
      </w:r>
      <w:r w:rsidR="00A32BE6">
        <w:rPr>
          <w:rFonts w:ascii="Calibri" w:eastAsia="Times New Roman" w:hAnsi="Calibri" w:cs="Calibri"/>
          <w:color w:val="000000" w:themeColor="text1"/>
          <w:lang w:eastAsia="en-AU"/>
        </w:rPr>
        <w:t>programs</w:t>
      </w:r>
      <w:r w:rsidR="001B3C49" w:rsidRPr="001B3C49">
        <w:rPr>
          <w:rFonts w:ascii="Calibri" w:eastAsia="Times New Roman" w:hAnsi="Calibri" w:cs="Calibri"/>
          <w:color w:val="000000" w:themeColor="text1"/>
          <w:lang w:eastAsia="en-AU"/>
        </w:rPr>
        <w:t xml:space="preserve">, further </w:t>
      </w:r>
      <w:r w:rsidRPr="001B3C49">
        <w:rPr>
          <w:rFonts w:ascii="Calibri" w:eastAsia="Times New Roman" w:hAnsi="Calibri" w:cs="Calibri"/>
          <w:color w:val="000000" w:themeColor="text1"/>
          <w:lang w:eastAsia="en-AU"/>
        </w:rPr>
        <w:t>reduce teacher supply</w:t>
      </w:r>
      <w:r w:rsidRPr="3B3AD197">
        <w:rPr>
          <w:rFonts w:ascii="Calibri" w:eastAsia="Times New Roman" w:hAnsi="Calibri" w:cs="Calibri"/>
          <w:color w:val="000000" w:themeColor="text1"/>
          <w:lang w:eastAsia="en-AU"/>
        </w:rPr>
        <w:t xml:space="preserve">. Most students only apply </w:t>
      </w:r>
      <w:r w:rsidR="00BB36A2">
        <w:rPr>
          <w:rFonts w:ascii="Calibri" w:eastAsia="Times New Roman" w:hAnsi="Calibri" w:cs="Calibri"/>
          <w:color w:val="000000" w:themeColor="text1"/>
          <w:lang w:eastAsia="en-AU"/>
        </w:rPr>
        <w:t>to study ITE</w:t>
      </w:r>
      <w:r w:rsidRPr="3B3AD197">
        <w:rPr>
          <w:rFonts w:ascii="Calibri" w:eastAsia="Times New Roman" w:hAnsi="Calibri" w:cs="Calibri"/>
          <w:color w:val="000000" w:themeColor="text1"/>
          <w:lang w:eastAsia="en-AU"/>
        </w:rPr>
        <w:t xml:space="preserve"> at one higher education provider, particularly students located in regional and remote areas (Figure 2.</w:t>
      </w:r>
      <w:r w:rsidR="00741453">
        <w:rPr>
          <w:rFonts w:ascii="Calibri" w:eastAsia="Times New Roman" w:hAnsi="Calibri" w:cs="Calibri"/>
          <w:color w:val="000000" w:themeColor="text1"/>
          <w:lang w:eastAsia="en-AU"/>
        </w:rPr>
        <w:t>11</w:t>
      </w:r>
      <w:r w:rsidRPr="3B3AD197">
        <w:rPr>
          <w:rFonts w:ascii="Calibri" w:eastAsia="Times New Roman" w:hAnsi="Calibri" w:cs="Calibri"/>
          <w:color w:val="000000" w:themeColor="text1"/>
          <w:lang w:eastAsia="en-AU"/>
        </w:rPr>
        <w:t>).  </w:t>
      </w:r>
    </w:p>
    <w:p w14:paraId="780D624C" w14:textId="50AC3547" w:rsidR="00B707E9" w:rsidRPr="00021807" w:rsidRDefault="00F43732" w:rsidP="079E7707">
      <w:pPr>
        <w:spacing w:after="120" w:line="240" w:lineRule="auto"/>
        <w:textAlignment w:val="baseline"/>
        <w:rPr>
          <w:rFonts w:ascii="Calibri" w:eastAsia="Times New Roman" w:hAnsi="Calibri" w:cs="Calibri"/>
          <w:color w:val="000000"/>
          <w:sz w:val="20"/>
          <w:szCs w:val="20"/>
          <w:lang w:eastAsia="en-AU"/>
        </w:rPr>
      </w:pPr>
      <w:r w:rsidRPr="00AE32CC">
        <w:rPr>
          <w:rFonts w:ascii="Calibri" w:eastAsia="Times New Roman" w:hAnsi="Calibri" w:cs="Calibri"/>
          <w:color w:val="000000" w:themeColor="text1"/>
          <w:lang w:eastAsia="en-AU"/>
        </w:rPr>
        <w:t xml:space="preserve">Further data indicates that </w:t>
      </w:r>
      <w:r w:rsidR="00AE32CC" w:rsidRPr="00AE32CC">
        <w:rPr>
          <w:rFonts w:ascii="Calibri" w:eastAsia="Times New Roman" w:hAnsi="Calibri" w:cs="Calibri"/>
          <w:color w:val="000000" w:themeColor="text1"/>
          <w:lang w:eastAsia="en-AU"/>
        </w:rPr>
        <w:t xml:space="preserve">ITE </w:t>
      </w:r>
      <w:r w:rsidRPr="00AE32CC">
        <w:rPr>
          <w:rFonts w:ascii="Calibri" w:eastAsia="Times New Roman" w:hAnsi="Calibri" w:cs="Calibri"/>
          <w:color w:val="000000" w:themeColor="text1"/>
          <w:lang w:eastAsia="en-AU"/>
        </w:rPr>
        <w:t>students tend to work in the same locations where they studied</w:t>
      </w:r>
      <w:r w:rsidRPr="079E7707">
        <w:rPr>
          <w:rFonts w:ascii="Calibri" w:eastAsia="Times New Roman" w:hAnsi="Calibri" w:cs="Calibri"/>
          <w:color w:val="000000" w:themeColor="text1"/>
          <w:lang w:eastAsia="en-AU"/>
        </w:rPr>
        <w:t xml:space="preserve">. There is a risk </w:t>
      </w:r>
      <w:r w:rsidR="00A50E4E">
        <w:rPr>
          <w:rFonts w:ascii="Calibri" w:eastAsia="Times New Roman" w:hAnsi="Calibri" w:cs="Calibri"/>
          <w:color w:val="000000" w:themeColor="text1"/>
          <w:lang w:eastAsia="en-AU"/>
        </w:rPr>
        <w:t>with</w:t>
      </w:r>
      <w:r w:rsidRPr="079E7707">
        <w:rPr>
          <w:rFonts w:ascii="Calibri" w:eastAsia="Times New Roman" w:hAnsi="Calibri" w:cs="Calibri"/>
          <w:color w:val="000000" w:themeColor="text1"/>
          <w:lang w:eastAsia="en-AU"/>
        </w:rPr>
        <w:t xml:space="preserve"> designation that reallocating places, and reducing enrolments at particular universities, could worsen teacher supply in these areas, exacerbating the national shortage of teachers (National Skills Commission 2022). </w:t>
      </w:r>
      <w:r w:rsidR="001527DF" w:rsidRPr="079E7707">
        <w:rPr>
          <w:rFonts w:ascii="Calibri" w:eastAsia="Times New Roman" w:hAnsi="Calibri" w:cs="Calibri"/>
          <w:color w:val="000000" w:themeColor="text1"/>
          <w:lang w:eastAsia="en-AU"/>
        </w:rPr>
        <w:t>Figure 2.</w:t>
      </w:r>
      <w:r w:rsidR="00245303">
        <w:rPr>
          <w:rFonts w:ascii="Calibri" w:eastAsia="Times New Roman" w:hAnsi="Calibri" w:cs="Calibri"/>
          <w:color w:val="000000" w:themeColor="text1"/>
          <w:lang w:eastAsia="en-AU"/>
        </w:rPr>
        <w:t>12</w:t>
      </w:r>
      <w:r w:rsidR="001527DF" w:rsidRPr="079E7707">
        <w:rPr>
          <w:rFonts w:ascii="Calibri" w:eastAsia="Times New Roman" w:hAnsi="Calibri" w:cs="Calibri"/>
          <w:color w:val="000000" w:themeColor="text1"/>
          <w:lang w:eastAsia="en-AU"/>
        </w:rPr>
        <w:t xml:space="preserve"> shows that </w:t>
      </w:r>
      <w:r w:rsidR="00197810" w:rsidRPr="079E7707">
        <w:rPr>
          <w:rFonts w:ascii="Calibri" w:eastAsia="Times New Roman" w:hAnsi="Calibri" w:cs="Calibri"/>
          <w:color w:val="000000" w:themeColor="text1"/>
          <w:lang w:eastAsia="en-AU"/>
        </w:rPr>
        <w:t xml:space="preserve">82 per cent of ITE students studying </w:t>
      </w:r>
      <w:r w:rsidR="002D38B2" w:rsidRPr="079E7707">
        <w:rPr>
          <w:rFonts w:ascii="Calibri" w:eastAsia="Times New Roman" w:hAnsi="Calibri" w:cs="Calibri"/>
          <w:color w:val="000000" w:themeColor="text1"/>
          <w:lang w:eastAsia="en-AU"/>
        </w:rPr>
        <w:t xml:space="preserve">in a metropolitan campus work as a teacher in metropolitan locations, while </w:t>
      </w:r>
      <w:r w:rsidR="009A3044" w:rsidRPr="079E7707">
        <w:rPr>
          <w:rFonts w:ascii="Calibri" w:eastAsia="Times New Roman" w:hAnsi="Calibri" w:cs="Calibri"/>
          <w:color w:val="000000" w:themeColor="text1"/>
          <w:lang w:eastAsia="en-AU"/>
        </w:rPr>
        <w:t>84 per cent of regional ITE studen</w:t>
      </w:r>
      <w:r w:rsidR="00DC7325" w:rsidRPr="079E7707">
        <w:rPr>
          <w:rFonts w:ascii="Calibri" w:eastAsia="Times New Roman" w:hAnsi="Calibri" w:cs="Calibri"/>
          <w:color w:val="000000" w:themeColor="text1"/>
          <w:lang w:eastAsia="en-AU"/>
        </w:rPr>
        <w:t>t</w:t>
      </w:r>
      <w:r w:rsidR="009A3044" w:rsidRPr="079E7707">
        <w:rPr>
          <w:rFonts w:ascii="Calibri" w:eastAsia="Times New Roman" w:hAnsi="Calibri" w:cs="Calibri"/>
          <w:color w:val="000000" w:themeColor="text1"/>
          <w:lang w:eastAsia="en-AU"/>
        </w:rPr>
        <w:t xml:space="preserve">s work as a teacher in regional areas. </w:t>
      </w:r>
      <w:r w:rsidRPr="079E7707">
        <w:rPr>
          <w:rFonts w:ascii="Calibri" w:eastAsia="Times New Roman" w:hAnsi="Calibri" w:cs="Calibri"/>
          <w:color w:val="000000" w:themeColor="text1"/>
          <w:lang w:eastAsia="en-AU"/>
        </w:rPr>
        <w:t>Designation and reducing places to particular higher education providers is therefore not considered appropriate given the risks to teacher supply.  </w:t>
      </w:r>
    </w:p>
    <w:p w14:paraId="51A49CC2" w14:textId="513ED1A9" w:rsidR="00B707E9" w:rsidRPr="00021807" w:rsidRDefault="00B707E9" w:rsidP="079E7707">
      <w:pPr>
        <w:spacing w:after="120" w:line="240" w:lineRule="auto"/>
        <w:textAlignment w:val="baseline"/>
        <w:rPr>
          <w:rFonts w:ascii="Calibri" w:eastAsia="Times New Roman" w:hAnsi="Calibri" w:cs="Calibri"/>
          <w:color w:val="000000"/>
          <w:lang w:eastAsia="en-AU"/>
        </w:rPr>
      </w:pPr>
      <w:r w:rsidRPr="006853B4">
        <w:rPr>
          <w:rFonts w:ascii="Calibri" w:eastAsia="Times New Roman" w:hAnsi="Calibri" w:cs="Calibri"/>
          <w:color w:val="000000" w:themeColor="text1"/>
          <w:lang w:eastAsia="en-AU"/>
        </w:rPr>
        <w:t xml:space="preserve">However the PBF model, should it </w:t>
      </w:r>
      <w:r w:rsidR="00EB7871" w:rsidRPr="006853B4">
        <w:rPr>
          <w:rFonts w:ascii="Calibri" w:eastAsia="Times New Roman" w:hAnsi="Calibri" w:cs="Calibri"/>
          <w:color w:val="000000" w:themeColor="text1"/>
          <w:lang w:eastAsia="en-AU"/>
        </w:rPr>
        <w:t>become operational again</w:t>
      </w:r>
      <w:r w:rsidR="00EB7871" w:rsidRPr="00EB7871">
        <w:rPr>
          <w:rFonts w:ascii="Calibri" w:eastAsia="Times New Roman" w:hAnsi="Calibri" w:cs="Calibri"/>
          <w:color w:val="000000" w:themeColor="text1"/>
          <w:lang w:eastAsia="en-AU"/>
        </w:rPr>
        <w:t>, pending outcomes from the Australian Universities Accord</w:t>
      </w:r>
      <w:r w:rsidRPr="5891F86B">
        <w:rPr>
          <w:rFonts w:ascii="Calibri" w:eastAsia="Times New Roman" w:hAnsi="Calibri" w:cs="Calibri"/>
          <w:color w:val="000000" w:themeColor="text1"/>
          <w:lang w:eastAsia="en-AU"/>
        </w:rPr>
        <w:t xml:space="preserve">, could provide a </w:t>
      </w:r>
      <w:r w:rsidRPr="079E7707">
        <w:rPr>
          <w:rFonts w:ascii="Calibri" w:eastAsia="Times New Roman" w:hAnsi="Calibri" w:cs="Calibri"/>
          <w:color w:val="000000" w:themeColor="text1"/>
          <w:lang w:eastAsia="en-AU"/>
        </w:rPr>
        <w:t xml:space="preserve">funding </w:t>
      </w:r>
      <w:r w:rsidRPr="5891F86B">
        <w:rPr>
          <w:rFonts w:ascii="Calibri" w:eastAsia="Times New Roman" w:hAnsi="Calibri" w:cs="Calibri"/>
          <w:color w:val="000000" w:themeColor="text1"/>
          <w:lang w:eastAsia="en-AU"/>
        </w:rPr>
        <w:t>incentive for poorer performing higher education providers to improve</w:t>
      </w:r>
      <w:r w:rsidRPr="079E7707">
        <w:rPr>
          <w:rFonts w:ascii="Calibri" w:eastAsia="Times New Roman" w:hAnsi="Calibri" w:cs="Calibri"/>
          <w:color w:val="000000" w:themeColor="text1"/>
          <w:lang w:eastAsia="en-AU"/>
        </w:rPr>
        <w:t xml:space="preserve"> performance</w:t>
      </w:r>
      <w:r w:rsidR="00C67312">
        <w:rPr>
          <w:rFonts w:ascii="Calibri" w:eastAsia="Times New Roman" w:hAnsi="Calibri" w:cs="Calibri"/>
          <w:color w:val="000000" w:themeColor="text1"/>
          <w:lang w:eastAsia="en-AU"/>
        </w:rPr>
        <w:t>,</w:t>
      </w:r>
      <w:r w:rsidRPr="5891F86B">
        <w:rPr>
          <w:rFonts w:ascii="Calibri" w:eastAsia="Times New Roman" w:hAnsi="Calibri" w:cs="Calibri"/>
          <w:color w:val="000000" w:themeColor="text1"/>
          <w:lang w:eastAsia="en-AU"/>
        </w:rPr>
        <w:t xml:space="preserve"> in</w:t>
      </w:r>
      <w:r w:rsidR="00C67312">
        <w:rPr>
          <w:rFonts w:ascii="Calibri" w:eastAsia="Times New Roman" w:hAnsi="Calibri" w:cs="Calibri"/>
          <w:color w:val="000000" w:themeColor="text1"/>
          <w:lang w:eastAsia="en-AU"/>
        </w:rPr>
        <w:t>cluding</w:t>
      </w:r>
      <w:r w:rsidRPr="079E7707">
        <w:rPr>
          <w:rFonts w:ascii="Calibri" w:eastAsia="Times New Roman" w:hAnsi="Calibri" w:cs="Calibri"/>
          <w:color w:val="000000" w:themeColor="text1"/>
          <w:lang w:eastAsia="en-AU"/>
        </w:rPr>
        <w:t xml:space="preserve"> </w:t>
      </w:r>
      <w:r w:rsidRPr="5891F86B">
        <w:rPr>
          <w:rFonts w:ascii="Calibri" w:eastAsia="Times New Roman" w:hAnsi="Calibri" w:cs="Calibri"/>
          <w:color w:val="000000" w:themeColor="text1"/>
          <w:lang w:eastAsia="en-AU"/>
        </w:rPr>
        <w:t>in ITE.</w:t>
      </w:r>
      <w:r w:rsidRPr="079E7707">
        <w:rPr>
          <w:rFonts w:ascii="Calibri" w:eastAsia="Times New Roman" w:hAnsi="Calibri" w:cs="Calibri"/>
          <w:color w:val="000000" w:themeColor="text1"/>
          <w:lang w:eastAsia="en-AU"/>
        </w:rPr>
        <w:t xml:space="preserve"> Under the existing PBF model, a proportion of CGS funding for universities is to be determined by performance assessed through four quantitative measures closely aligned to the </w:t>
      </w:r>
      <w:r w:rsidR="00B128A5">
        <w:rPr>
          <w:rFonts w:ascii="Calibri" w:eastAsia="Times New Roman" w:hAnsi="Calibri" w:cs="Calibri"/>
          <w:color w:val="000000" w:themeColor="text1"/>
          <w:lang w:eastAsia="en-AU"/>
        </w:rPr>
        <w:t>Panel’s proposed performance measures</w:t>
      </w:r>
      <w:r w:rsidRPr="079E7707">
        <w:rPr>
          <w:rFonts w:ascii="Calibri" w:eastAsia="Times New Roman" w:hAnsi="Calibri" w:cs="Calibri"/>
          <w:color w:val="000000" w:themeColor="text1"/>
          <w:lang w:eastAsia="en-AU"/>
        </w:rPr>
        <w:t>: graduate employment outcomes, student success, student experience and equity participation.   </w:t>
      </w:r>
    </w:p>
    <w:p w14:paraId="66CBB5C7" w14:textId="7B4A475F" w:rsidR="00A17C4A" w:rsidRDefault="00B707E9" w:rsidP="007F20C2">
      <w:pPr>
        <w:spacing w:after="120" w:line="240" w:lineRule="auto"/>
        <w:textAlignment w:val="baseline"/>
        <w:rPr>
          <w:rFonts w:ascii="Calibri" w:eastAsia="Times New Roman" w:hAnsi="Calibri" w:cs="Calibri"/>
          <w:color w:val="000000"/>
          <w:lang w:eastAsia="en-AU"/>
        </w:rPr>
      </w:pPr>
      <w:r w:rsidRPr="00021807">
        <w:rPr>
          <w:rFonts w:ascii="Calibri" w:eastAsia="Times New Roman" w:hAnsi="Calibri" w:cs="Calibri"/>
          <w:color w:val="000000"/>
          <w:lang w:eastAsia="en-AU"/>
        </w:rPr>
        <w:t xml:space="preserve">ITE is delivered by 46 higher education providers but only 11 of these enrol the majority of students. As ITE makes up a significant share of overall enrolments </w:t>
      </w:r>
      <w:r w:rsidR="00FC516F">
        <w:rPr>
          <w:rFonts w:ascii="Calibri" w:eastAsia="Times New Roman" w:hAnsi="Calibri" w:cs="Calibri"/>
          <w:color w:val="000000"/>
          <w:lang w:eastAsia="en-AU"/>
        </w:rPr>
        <w:t>for these providers</w:t>
      </w:r>
      <w:r w:rsidR="00D8623D">
        <w:rPr>
          <w:rFonts w:ascii="Calibri" w:eastAsia="Times New Roman" w:hAnsi="Calibri" w:cs="Calibri"/>
          <w:color w:val="000000"/>
          <w:lang w:eastAsia="en-AU"/>
        </w:rPr>
        <w:t xml:space="preserve"> </w:t>
      </w:r>
      <w:r w:rsidRPr="00021807">
        <w:rPr>
          <w:rFonts w:ascii="Calibri" w:eastAsia="Times New Roman" w:hAnsi="Calibri" w:cs="Calibri"/>
          <w:color w:val="000000"/>
          <w:lang w:eastAsia="en-AU"/>
        </w:rPr>
        <w:t xml:space="preserve">(Figure </w:t>
      </w:r>
      <w:r w:rsidR="00E42A4C">
        <w:rPr>
          <w:rFonts w:ascii="Calibri" w:eastAsia="Times New Roman" w:hAnsi="Calibri" w:cs="Calibri"/>
          <w:color w:val="000000"/>
          <w:lang w:eastAsia="en-AU"/>
        </w:rPr>
        <w:t>2.13</w:t>
      </w:r>
      <w:r w:rsidRPr="00021807">
        <w:rPr>
          <w:rFonts w:ascii="Calibri" w:eastAsia="Times New Roman" w:hAnsi="Calibri" w:cs="Calibri"/>
          <w:color w:val="000000"/>
          <w:lang w:eastAsia="en-AU"/>
        </w:rPr>
        <w:t>), the PBF model could provide a strong incentive to improve their performance</w:t>
      </w:r>
      <w:r w:rsidR="001161FA">
        <w:rPr>
          <w:rFonts w:ascii="Calibri" w:eastAsia="Times New Roman" w:hAnsi="Calibri" w:cs="Calibri"/>
          <w:color w:val="000000"/>
          <w:lang w:eastAsia="en-AU"/>
        </w:rPr>
        <w:t xml:space="preserve"> in ITE</w:t>
      </w:r>
      <w:r w:rsidRPr="00021807">
        <w:rPr>
          <w:rFonts w:ascii="Calibri" w:eastAsia="Times New Roman" w:hAnsi="Calibri" w:cs="Calibri"/>
          <w:color w:val="000000"/>
          <w:lang w:eastAsia="en-AU"/>
        </w:rPr>
        <w:t xml:space="preserve">, noting </w:t>
      </w:r>
      <w:r w:rsidR="00441419" w:rsidRPr="00441419">
        <w:rPr>
          <w:rFonts w:ascii="Calibri" w:eastAsia="Times New Roman" w:hAnsi="Calibri" w:cs="Calibri"/>
          <w:color w:val="000000"/>
          <w:lang w:eastAsia="en-AU"/>
        </w:rPr>
        <w:t>the</w:t>
      </w:r>
      <w:r w:rsidRPr="00021807">
        <w:rPr>
          <w:rFonts w:ascii="Calibri" w:eastAsia="Times New Roman" w:hAnsi="Calibri" w:cs="Calibri"/>
          <w:color w:val="000000"/>
          <w:lang w:eastAsia="en-AU"/>
        </w:rPr>
        <w:t xml:space="preserve"> future </w:t>
      </w:r>
      <w:r w:rsidR="00441419" w:rsidRPr="00441419">
        <w:rPr>
          <w:rFonts w:ascii="Calibri" w:eastAsia="Times New Roman" w:hAnsi="Calibri" w:cs="Calibri"/>
          <w:color w:val="000000"/>
          <w:lang w:eastAsia="en-AU"/>
        </w:rPr>
        <w:t>operation</w:t>
      </w:r>
      <w:r w:rsidRPr="00021807">
        <w:rPr>
          <w:rFonts w:ascii="Calibri" w:eastAsia="Times New Roman" w:hAnsi="Calibri" w:cs="Calibri"/>
          <w:color w:val="000000"/>
          <w:lang w:eastAsia="en-AU"/>
        </w:rPr>
        <w:t xml:space="preserve"> of the PBF model is contingent on the outcomes of the Australian Universities Accord process. </w:t>
      </w:r>
    </w:p>
    <w:p w14:paraId="29DB46D2" w14:textId="77777777" w:rsidR="0029293E" w:rsidRDefault="0029293E">
      <w:pPr>
        <w:spacing w:after="160"/>
        <w:rPr>
          <w:rFonts w:eastAsia="Times New Roman"/>
          <w:b/>
          <w:lang w:eastAsia="en-AU"/>
        </w:rPr>
      </w:pPr>
      <w:r>
        <w:rPr>
          <w:rFonts w:eastAsia="Times New Roman"/>
          <w:b/>
          <w:lang w:eastAsia="en-AU"/>
        </w:rPr>
        <w:br w:type="page"/>
      </w:r>
    </w:p>
    <w:p w14:paraId="78B759C4" w14:textId="6D09BE6D" w:rsidR="00D20CEB" w:rsidRPr="00D20CEB" w:rsidRDefault="00B707E9" w:rsidP="0029293E">
      <w:pPr>
        <w:spacing w:after="0" w:line="240" w:lineRule="auto"/>
        <w:rPr>
          <w:rFonts w:ascii="Calibri" w:eastAsia="Times New Roman" w:hAnsi="Calibri" w:cs="Calibri"/>
          <w:color w:val="000000"/>
          <w:sz w:val="2"/>
          <w:szCs w:val="2"/>
          <w:lang w:eastAsia="en-AU"/>
        </w:rPr>
      </w:pPr>
      <w:r w:rsidRPr="6A155B7D">
        <w:rPr>
          <w:rFonts w:eastAsia="Times New Roman"/>
          <w:b/>
          <w:lang w:eastAsia="en-AU"/>
        </w:rPr>
        <w:lastRenderedPageBreak/>
        <w:t>Figure 2</w:t>
      </w:r>
      <w:r w:rsidR="00106F27" w:rsidRPr="006034C8">
        <w:rPr>
          <w:rFonts w:eastAsia="Times New Roman"/>
          <w:b/>
          <w:lang w:eastAsia="en-AU"/>
        </w:rPr>
        <w:t>.</w:t>
      </w:r>
      <w:r w:rsidR="00570AD5">
        <w:rPr>
          <w:rFonts w:eastAsia="Times New Roman"/>
          <w:b/>
          <w:lang w:eastAsia="en-AU"/>
        </w:rPr>
        <w:t>11</w:t>
      </w:r>
      <w:r w:rsidRPr="006034C8">
        <w:rPr>
          <w:rFonts w:eastAsia="Times New Roman"/>
          <w:b/>
          <w:lang w:eastAsia="en-AU"/>
        </w:rPr>
        <w:t>: The proportion of ITE applicants (applying through a Tertiary Admission Centre), who applied to more than one provider, by first home address,</w:t>
      </w:r>
      <w:r w:rsidR="00D20CEB">
        <w:rPr>
          <w:rFonts w:eastAsia="Times New Roman"/>
          <w:b/>
          <w:lang w:eastAsia="en-AU"/>
        </w:rPr>
        <w:t xml:space="preserve"> </w:t>
      </w:r>
      <w:r w:rsidRPr="006034C8">
        <w:rPr>
          <w:rFonts w:eastAsia="Times New Roman"/>
          <w:b/>
          <w:lang w:eastAsia="en-AU"/>
        </w:rPr>
        <w:t>2021</w:t>
      </w:r>
      <w:r w:rsidR="0042236A">
        <w:rPr>
          <w:rFonts w:ascii="Calibri" w:hAnsi="Calibri" w:cs="Calibri"/>
          <w:noProof/>
          <w:color w:val="2B579A"/>
          <w:shd w:val="clear" w:color="auto" w:fill="E6E6E6"/>
        </w:rPr>
        <w:drawing>
          <wp:inline distT="0" distB="0" distL="0" distR="0" wp14:anchorId="215B4330" wp14:editId="026FF076">
            <wp:extent cx="5731510" cy="29559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955925"/>
                    </a:xfrm>
                    <a:prstGeom prst="rect">
                      <a:avLst/>
                    </a:prstGeom>
                    <a:noFill/>
                    <a:ln>
                      <a:noFill/>
                    </a:ln>
                  </pic:spPr>
                </pic:pic>
              </a:graphicData>
            </a:graphic>
          </wp:inline>
        </w:drawing>
      </w:r>
      <w:r w:rsidR="0042236A">
        <w:rPr>
          <w:rFonts w:ascii="Calibri" w:hAnsi="Calibri" w:cs="Calibri"/>
          <w:color w:val="000000"/>
          <w:shd w:val="clear" w:color="auto" w:fill="FFFFFF"/>
        </w:rPr>
        <w:br/>
      </w:r>
    </w:p>
    <w:p w14:paraId="55F9F30F" w14:textId="09B8BB66" w:rsidR="00B707E9" w:rsidRPr="00E42E28" w:rsidRDefault="00E42E28" w:rsidP="00E42E28">
      <w:pPr>
        <w:spacing w:after="120" w:line="240" w:lineRule="auto"/>
        <w:contextualSpacing/>
        <w:rPr>
          <w:rFonts w:ascii="Calibri" w:eastAsia="Times New Roman" w:hAnsi="Calibri" w:cs="Calibri"/>
          <w:sz w:val="16"/>
          <w:szCs w:val="16"/>
          <w:lang w:eastAsia="en-AU"/>
        </w:rPr>
      </w:pPr>
      <w:r w:rsidRPr="00E42E28">
        <w:rPr>
          <w:rFonts w:ascii="Calibri" w:eastAsia="Times New Roman" w:hAnsi="Calibri" w:cs="Calibri"/>
          <w:color w:val="000000"/>
          <w:sz w:val="16"/>
          <w:szCs w:val="16"/>
          <w:lang w:eastAsia="en-AU"/>
        </w:rPr>
        <w:t xml:space="preserve">Source: Undergraduate Applications, Offers and Acceptances data collection, Department of Education, 2021, </w:t>
      </w:r>
      <w:hyperlink r:id="rId65" w:tgtFrame="_blank" w:history="1">
        <w:r w:rsidRPr="00E42E28">
          <w:rPr>
            <w:rFonts w:ascii="Calibri" w:eastAsia="Times New Roman" w:hAnsi="Calibri" w:cs="Calibri"/>
            <w:color w:val="0563C1"/>
            <w:sz w:val="16"/>
            <w:szCs w:val="16"/>
            <w:u w:val="single"/>
            <w:lang w:eastAsia="en-AU"/>
          </w:rPr>
          <w:t>www.education.gov.au</w:t>
        </w:r>
      </w:hyperlink>
      <w:r w:rsidRPr="00E42E28">
        <w:rPr>
          <w:rFonts w:ascii="Calibri" w:eastAsia="Times New Roman" w:hAnsi="Calibri" w:cs="Calibri"/>
          <w:color w:val="000000"/>
          <w:sz w:val="16"/>
          <w:szCs w:val="16"/>
          <w:lang w:eastAsia="en-AU"/>
        </w:rPr>
        <w:t xml:space="preserve"> . </w:t>
      </w:r>
      <w:r w:rsidR="00B707E9" w:rsidRPr="00E42E28">
        <w:rPr>
          <w:rFonts w:ascii="Calibri" w:eastAsia="Times New Roman" w:hAnsi="Calibri" w:cs="Calibri"/>
          <w:color w:val="000000"/>
          <w:sz w:val="16"/>
          <w:szCs w:val="16"/>
          <w:lang w:eastAsia="en-AU"/>
        </w:rPr>
        <w:t xml:space="preserve">Notes: 1. Data refers to applications through Tertiary Admission Centres for domestic undergraduate Commonwealth supported places for Semester 1. 2. Students with an unknown first address region are not shown, but are included in the total. </w:t>
      </w:r>
    </w:p>
    <w:p w14:paraId="70EE6096" w14:textId="2CF85294" w:rsidR="00B707E9" w:rsidRPr="005C7893" w:rsidRDefault="00630149" w:rsidP="00D20CEB">
      <w:pPr>
        <w:pStyle w:val="Heading5"/>
        <w:spacing w:before="120" w:line="240" w:lineRule="auto"/>
        <w:rPr>
          <w:rFonts w:ascii="Calibri" w:eastAsia="Times New Roman" w:hAnsi="Calibri" w:cs="Calibri"/>
          <w:lang w:eastAsia="en-AU"/>
        </w:rPr>
      </w:pPr>
      <w:r w:rsidRPr="005C7893">
        <w:rPr>
          <w:rFonts w:ascii="Calibri" w:eastAsia="Times New Roman" w:hAnsi="Calibri" w:cs="Calibri"/>
          <w:color w:val="auto"/>
          <w:sz w:val="22"/>
          <w:lang w:eastAsia="en-AU"/>
        </w:rPr>
        <w:t xml:space="preserve">Figure </w:t>
      </w:r>
      <w:r w:rsidR="005C7893" w:rsidRPr="005C7893">
        <w:rPr>
          <w:rFonts w:ascii="Calibri" w:eastAsia="Times New Roman" w:hAnsi="Calibri" w:cs="Calibri"/>
          <w:color w:val="auto"/>
          <w:sz w:val="22"/>
          <w:lang w:eastAsia="en-AU"/>
        </w:rPr>
        <w:t>2.</w:t>
      </w:r>
      <w:r w:rsidR="00570AD5">
        <w:rPr>
          <w:rFonts w:ascii="Calibri" w:eastAsia="Times New Roman" w:hAnsi="Calibri" w:cs="Calibri"/>
          <w:color w:val="auto"/>
          <w:sz w:val="22"/>
          <w:lang w:eastAsia="en-AU"/>
        </w:rPr>
        <w:t>12</w:t>
      </w:r>
      <w:r w:rsidRPr="005C7893">
        <w:rPr>
          <w:rFonts w:ascii="Calibri" w:eastAsia="Times New Roman" w:hAnsi="Calibri" w:cs="Calibri"/>
          <w:color w:val="auto"/>
          <w:sz w:val="22"/>
          <w:lang w:eastAsia="en-AU"/>
        </w:rPr>
        <w:t xml:space="preserve">: The flow of ITE graduates from campus location (by remoteness classification) to employment </w:t>
      </w:r>
      <w:r w:rsidR="000D081F">
        <w:rPr>
          <w:rFonts w:ascii="Calibri" w:eastAsia="Times New Roman" w:hAnsi="Calibri" w:cs="Calibri"/>
          <w:color w:val="auto"/>
          <w:sz w:val="22"/>
          <w:lang w:eastAsia="en-AU"/>
        </w:rPr>
        <w:t xml:space="preserve">location </w:t>
      </w:r>
      <w:r w:rsidRPr="005C7893">
        <w:rPr>
          <w:rFonts w:ascii="Calibri" w:eastAsia="Times New Roman" w:hAnsi="Calibri" w:cs="Calibri"/>
          <w:color w:val="auto"/>
          <w:sz w:val="22"/>
          <w:lang w:eastAsia="en-AU"/>
        </w:rPr>
        <w:t>four months after graduation (percentages show</w:t>
      </w:r>
      <w:r w:rsidR="005C7893" w:rsidRPr="005C7893">
        <w:rPr>
          <w:rFonts w:ascii="Calibri" w:eastAsia="Times New Roman" w:hAnsi="Calibri" w:cs="Calibri"/>
          <w:color w:val="auto"/>
          <w:sz w:val="22"/>
          <w:lang w:eastAsia="en-AU"/>
        </w:rPr>
        <w:t>n)</w:t>
      </w:r>
      <w:r w:rsidR="00B707E9" w:rsidRPr="005C7893">
        <w:rPr>
          <w:rFonts w:ascii="Calibri" w:eastAsia="Times New Roman" w:hAnsi="Calibri" w:cs="Calibri"/>
          <w:sz w:val="24"/>
          <w:szCs w:val="24"/>
          <w:lang w:eastAsia="en-AU"/>
        </w:rPr>
        <w:t> </w:t>
      </w:r>
    </w:p>
    <w:p w14:paraId="006470B1" w14:textId="7672BDB1" w:rsidR="00B707E9" w:rsidRPr="003C0A98" w:rsidRDefault="005D75E6" w:rsidP="00B707E9">
      <w:pPr>
        <w:spacing w:after="0" w:line="240" w:lineRule="auto"/>
        <w:textAlignment w:val="baseline"/>
        <w:rPr>
          <w:rFonts w:ascii="Calibri" w:eastAsia="Times New Roman" w:hAnsi="Calibri" w:cs="Calibri"/>
          <w:color w:val="000000"/>
          <w:sz w:val="18"/>
          <w:szCs w:val="18"/>
          <w:lang w:eastAsia="en-AU"/>
        </w:rPr>
      </w:pPr>
      <w:r w:rsidRPr="005D75E6">
        <w:rPr>
          <w:rFonts w:ascii="Calibri" w:eastAsia="Times New Roman" w:hAnsi="Calibri" w:cs="Calibri"/>
          <w:noProof/>
          <w:sz w:val="24"/>
          <w:szCs w:val="24"/>
          <w:lang w:eastAsia="en-AU"/>
        </w:rPr>
        <w:drawing>
          <wp:inline distT="0" distB="0" distL="0" distR="0" wp14:anchorId="06286527" wp14:editId="2747E498">
            <wp:extent cx="5731510" cy="27279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2727960"/>
                    </a:xfrm>
                    <a:prstGeom prst="rect">
                      <a:avLst/>
                    </a:prstGeom>
                  </pic:spPr>
                </pic:pic>
              </a:graphicData>
            </a:graphic>
          </wp:inline>
        </w:drawing>
      </w:r>
    </w:p>
    <w:p w14:paraId="0B5903B8" w14:textId="77777777" w:rsidR="00E42E28" w:rsidRPr="00E42E28" w:rsidRDefault="00B707E9" w:rsidP="00E42E28">
      <w:pPr>
        <w:spacing w:after="0" w:line="240" w:lineRule="auto"/>
        <w:textAlignment w:val="baseline"/>
        <w:rPr>
          <w:rFonts w:ascii="Calibri" w:eastAsia="Times New Roman" w:hAnsi="Calibri" w:cs="Calibri"/>
          <w:sz w:val="16"/>
          <w:szCs w:val="16"/>
          <w:lang w:eastAsia="en-AU"/>
        </w:rPr>
      </w:pPr>
      <w:r w:rsidRPr="00E42E28">
        <w:rPr>
          <w:rFonts w:ascii="Calibri" w:eastAsia="Times New Roman" w:hAnsi="Calibri" w:cs="Calibri"/>
          <w:sz w:val="16"/>
          <w:szCs w:val="16"/>
          <w:lang w:eastAsia="en-AU"/>
        </w:rPr>
        <w:t>Sources: Graduate Outcome Survey, 2016-2019; Higher Education Statistics Collection, Department of Education.</w:t>
      </w:r>
    </w:p>
    <w:p w14:paraId="2843ED9A" w14:textId="70F0676F" w:rsidR="00B707E9" w:rsidRPr="00E42E28" w:rsidRDefault="00E42E28" w:rsidP="00E42E28">
      <w:pPr>
        <w:spacing w:after="120" w:line="240" w:lineRule="auto"/>
        <w:textAlignment w:val="baseline"/>
        <w:rPr>
          <w:rFonts w:ascii="Calibri" w:eastAsia="Times New Roman" w:hAnsi="Calibri" w:cs="Calibri"/>
          <w:sz w:val="16"/>
          <w:szCs w:val="16"/>
          <w:lang w:eastAsia="en-AU"/>
        </w:rPr>
      </w:pPr>
      <w:r w:rsidRPr="00E42E28">
        <w:rPr>
          <w:rFonts w:ascii="Calibri" w:eastAsia="Times New Roman" w:hAnsi="Calibri" w:cs="Calibri"/>
          <w:sz w:val="16"/>
          <w:szCs w:val="16"/>
          <w:lang w:eastAsia="en-AU"/>
        </w:rPr>
        <w:t> </w:t>
      </w:r>
      <w:r w:rsidRPr="00E42E28">
        <w:rPr>
          <w:rFonts w:ascii="Calibri" w:eastAsia="Times New Roman" w:hAnsi="Calibri" w:cs="Calibri"/>
          <w:color w:val="000000"/>
          <w:sz w:val="16"/>
          <w:szCs w:val="16"/>
          <w:lang w:eastAsia="en-AU"/>
        </w:rPr>
        <w:t>Notes: 1. Campus location is based on the location where the student undertook the majority of their study. 2. Employer location is based on a graduate’s employment location four months after graduating.  </w:t>
      </w:r>
      <w:r w:rsidR="00B707E9" w:rsidRPr="00E42E28">
        <w:rPr>
          <w:rFonts w:ascii="Calibri" w:eastAsia="Times New Roman" w:hAnsi="Calibri" w:cs="Calibri"/>
          <w:sz w:val="16"/>
          <w:szCs w:val="16"/>
          <w:lang w:eastAsia="en-AU"/>
        </w:rPr>
        <w:t> </w:t>
      </w:r>
    </w:p>
    <w:p w14:paraId="0185544F" w14:textId="3A0F6183" w:rsidR="00630149" w:rsidRDefault="00630149" w:rsidP="00F43732">
      <w:pPr>
        <w:pStyle w:val="Heading5"/>
        <w:spacing w:line="240" w:lineRule="auto"/>
        <w:rPr>
          <w:rFonts w:ascii="Calibri" w:eastAsia="Times New Roman" w:hAnsi="Calibri" w:cs="Calibri"/>
          <w:color w:val="auto"/>
          <w:sz w:val="22"/>
          <w:lang w:eastAsia="en-AU"/>
        </w:rPr>
      </w:pPr>
      <w:r w:rsidRPr="00F43732">
        <w:rPr>
          <w:rFonts w:ascii="Calibri" w:eastAsia="Times New Roman" w:hAnsi="Calibri" w:cs="Calibri"/>
          <w:color w:val="auto"/>
          <w:sz w:val="22"/>
          <w:lang w:eastAsia="en-AU"/>
        </w:rPr>
        <w:lastRenderedPageBreak/>
        <w:t xml:space="preserve">Figure </w:t>
      </w:r>
      <w:r w:rsidR="00570AD5">
        <w:rPr>
          <w:rFonts w:ascii="Calibri" w:eastAsia="Times New Roman" w:hAnsi="Calibri" w:cs="Calibri"/>
          <w:color w:val="auto"/>
          <w:sz w:val="22"/>
          <w:lang w:eastAsia="en-AU"/>
        </w:rPr>
        <w:t>2.13</w:t>
      </w:r>
      <w:r w:rsidRPr="00F43732">
        <w:rPr>
          <w:rFonts w:ascii="Calibri" w:eastAsia="Times New Roman" w:hAnsi="Calibri" w:cs="Calibri"/>
          <w:color w:val="auto"/>
          <w:sz w:val="22"/>
          <w:lang w:eastAsia="en-AU"/>
        </w:rPr>
        <w:t xml:space="preserve">: ITE </w:t>
      </w:r>
      <w:r w:rsidR="00931071" w:rsidRPr="00F43732">
        <w:rPr>
          <w:rFonts w:ascii="Calibri" w:eastAsia="Times New Roman" w:hAnsi="Calibri" w:cs="Calibri"/>
          <w:color w:val="auto"/>
          <w:sz w:val="22"/>
          <w:lang w:eastAsia="en-AU"/>
        </w:rPr>
        <w:t>enrolments</w:t>
      </w:r>
      <w:r w:rsidR="00A6257A" w:rsidRPr="00F43732">
        <w:rPr>
          <w:rFonts w:ascii="Calibri" w:eastAsia="Times New Roman" w:hAnsi="Calibri" w:cs="Calibri"/>
          <w:color w:val="auto"/>
          <w:sz w:val="22"/>
          <w:lang w:eastAsia="en-AU"/>
        </w:rPr>
        <w:t xml:space="preserve"> as a share of total </w:t>
      </w:r>
      <w:r w:rsidR="00A25E6B" w:rsidRPr="00F43732">
        <w:rPr>
          <w:rFonts w:ascii="Calibri" w:eastAsia="Times New Roman" w:hAnsi="Calibri" w:cs="Calibri"/>
          <w:color w:val="auto"/>
          <w:sz w:val="22"/>
          <w:lang w:eastAsia="en-AU"/>
        </w:rPr>
        <w:t>enrolments i</w:t>
      </w:r>
      <w:r w:rsidR="00931071" w:rsidRPr="00F43732">
        <w:rPr>
          <w:rFonts w:ascii="Calibri" w:eastAsia="Times New Roman" w:hAnsi="Calibri" w:cs="Calibri"/>
          <w:color w:val="auto"/>
          <w:sz w:val="22"/>
          <w:lang w:eastAsia="en-AU"/>
        </w:rPr>
        <w:t>n 2020</w:t>
      </w:r>
    </w:p>
    <w:p w14:paraId="5B8525FF" w14:textId="03F9E5EA" w:rsidR="00B707E9" w:rsidRPr="00186FE1" w:rsidRDefault="00D05133" w:rsidP="00186FE1">
      <w:pPr>
        <w:spacing w:after="120"/>
        <w:rPr>
          <w:lang w:eastAsia="en-AU"/>
        </w:rPr>
      </w:pPr>
      <w:r>
        <w:rPr>
          <w:noProof/>
          <w:lang w:eastAsia="en-AU"/>
        </w:rPr>
        <w:drawing>
          <wp:inline distT="0" distB="0" distL="0" distR="0" wp14:anchorId="1D9D0B8A" wp14:editId="7DBE137F">
            <wp:extent cx="5686697" cy="3312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86697" cy="3312000"/>
                    </a:xfrm>
                    <a:prstGeom prst="rect">
                      <a:avLst/>
                    </a:prstGeom>
                    <a:noFill/>
                  </pic:spPr>
                </pic:pic>
              </a:graphicData>
            </a:graphic>
          </wp:inline>
        </w:drawing>
      </w:r>
    </w:p>
    <w:p w14:paraId="1E0F8DFE" w14:textId="77777777" w:rsidR="00B707E9" w:rsidRPr="00E42E28" w:rsidRDefault="00B707E9" w:rsidP="00B707E9">
      <w:pPr>
        <w:spacing w:after="0" w:line="240" w:lineRule="auto"/>
        <w:textAlignment w:val="baseline"/>
        <w:rPr>
          <w:rFonts w:ascii="Calibri" w:eastAsia="Times New Roman" w:hAnsi="Calibri" w:cs="Calibri"/>
          <w:color w:val="000000"/>
          <w:sz w:val="16"/>
          <w:szCs w:val="16"/>
          <w:lang w:eastAsia="en-AU"/>
        </w:rPr>
      </w:pPr>
      <w:r w:rsidRPr="00E42E28">
        <w:rPr>
          <w:rFonts w:ascii="Calibri" w:eastAsia="Times New Roman" w:hAnsi="Calibri" w:cs="Calibri"/>
          <w:color w:val="000000"/>
          <w:sz w:val="16"/>
          <w:szCs w:val="16"/>
          <w:lang w:eastAsia="en-AU"/>
        </w:rPr>
        <w:t>Source: Higher Education Statistics Collection, Department of Education, 2020  </w:t>
      </w:r>
    </w:p>
    <w:p w14:paraId="55C70165" w14:textId="167AF801" w:rsidR="00B707E9" w:rsidRPr="00E42E28" w:rsidRDefault="00B707E9" w:rsidP="00E42E28">
      <w:pPr>
        <w:spacing w:after="120" w:line="240" w:lineRule="auto"/>
        <w:textAlignment w:val="baseline"/>
        <w:rPr>
          <w:rFonts w:ascii="Calibri" w:eastAsia="Times New Roman" w:hAnsi="Calibri" w:cs="Calibri"/>
          <w:sz w:val="16"/>
          <w:szCs w:val="16"/>
          <w:lang w:eastAsia="en-AU"/>
        </w:rPr>
      </w:pPr>
      <w:r w:rsidRPr="00E42E28">
        <w:rPr>
          <w:rFonts w:ascii="Calibri" w:eastAsia="Times New Roman" w:hAnsi="Calibri" w:cs="Calibri"/>
          <w:sz w:val="16"/>
          <w:szCs w:val="16"/>
          <w:lang w:eastAsia="en-AU"/>
        </w:rPr>
        <w:t xml:space="preserve">Note: Only </w:t>
      </w:r>
      <w:r w:rsidR="007C19A1" w:rsidRPr="00E42E28">
        <w:rPr>
          <w:rFonts w:ascii="Calibri" w:eastAsia="Times New Roman" w:hAnsi="Calibri" w:cs="Calibri"/>
          <w:sz w:val="16"/>
          <w:szCs w:val="16"/>
          <w:lang w:eastAsia="en-AU"/>
        </w:rPr>
        <w:t>higher education</w:t>
      </w:r>
      <w:r w:rsidR="007A6A0F" w:rsidRPr="00E42E28">
        <w:rPr>
          <w:rFonts w:ascii="Calibri" w:eastAsia="Times New Roman" w:hAnsi="Calibri" w:cs="Calibri"/>
          <w:sz w:val="16"/>
          <w:szCs w:val="16"/>
          <w:lang w:eastAsia="en-AU"/>
        </w:rPr>
        <w:t xml:space="preserve"> </w:t>
      </w:r>
      <w:r w:rsidRPr="00E42E28">
        <w:rPr>
          <w:rFonts w:ascii="Calibri" w:eastAsia="Times New Roman" w:hAnsi="Calibri" w:cs="Calibri"/>
          <w:sz w:val="16"/>
          <w:szCs w:val="16"/>
          <w:lang w:eastAsia="en-AU"/>
        </w:rPr>
        <w:t>providers</w:t>
      </w:r>
      <w:r w:rsidR="007C19A1" w:rsidRPr="00E42E28">
        <w:rPr>
          <w:rFonts w:ascii="Calibri" w:eastAsia="Times New Roman" w:hAnsi="Calibri" w:cs="Calibri"/>
          <w:sz w:val="16"/>
          <w:szCs w:val="16"/>
          <w:lang w:eastAsia="en-AU"/>
        </w:rPr>
        <w:t xml:space="preserve"> delivering ITE</w:t>
      </w:r>
      <w:r w:rsidRPr="00E42E28">
        <w:rPr>
          <w:rFonts w:ascii="Calibri" w:eastAsia="Times New Roman" w:hAnsi="Calibri" w:cs="Calibri"/>
          <w:sz w:val="16"/>
          <w:szCs w:val="16"/>
          <w:lang w:eastAsia="en-AU"/>
        </w:rPr>
        <w:t xml:space="preserve"> have been included. </w:t>
      </w:r>
    </w:p>
    <w:p w14:paraId="1FF864D9" w14:textId="1C068D79" w:rsidR="00B707E9" w:rsidRPr="00034E0A" w:rsidRDefault="00D20CEB" w:rsidP="00034E0A">
      <w:pPr>
        <w:pStyle w:val="Heading3"/>
        <w:spacing w:before="0" w:after="120" w:line="240" w:lineRule="auto"/>
        <w:rPr>
          <w:rFonts w:eastAsia="Times New Roman"/>
          <w:szCs w:val="32"/>
          <w:lang w:eastAsia="en-AU"/>
        </w:rPr>
      </w:pPr>
      <w:bookmarkStart w:id="64" w:name="_Toc128649088"/>
      <w:bookmarkStart w:id="65" w:name="_Toc130217444"/>
      <w:r w:rsidRPr="00034E0A">
        <w:rPr>
          <w:rFonts w:eastAsia="Times New Roman"/>
          <w:szCs w:val="32"/>
          <w:lang w:eastAsia="en-AU"/>
        </w:rPr>
        <w:t xml:space="preserve">2.6 </w:t>
      </w:r>
      <w:r w:rsidR="00B707E9" w:rsidRPr="00034E0A">
        <w:rPr>
          <w:rFonts w:eastAsia="Times New Roman"/>
          <w:szCs w:val="32"/>
          <w:lang w:eastAsia="en-AU"/>
        </w:rPr>
        <w:t>Funding options</w:t>
      </w:r>
      <w:bookmarkEnd w:id="64"/>
      <w:bookmarkEnd w:id="65"/>
      <w:r w:rsidR="00B707E9" w:rsidRPr="00034E0A">
        <w:rPr>
          <w:rFonts w:eastAsia="Times New Roman"/>
          <w:szCs w:val="32"/>
          <w:lang w:eastAsia="en-AU"/>
        </w:rPr>
        <w:t>  </w:t>
      </w:r>
    </w:p>
    <w:p w14:paraId="174197ED" w14:textId="6072B7C9" w:rsidR="00DF5D2A" w:rsidRPr="00021807" w:rsidRDefault="00BA69A4" w:rsidP="00DF5D2A">
      <w:pPr>
        <w:spacing w:after="0" w:line="240" w:lineRule="auto"/>
        <w:textAlignment w:val="baseline"/>
        <w:rPr>
          <w:rFonts w:ascii="Calibri" w:eastAsia="Times New Roman" w:hAnsi="Calibri" w:cs="Calibri"/>
          <w:color w:val="000000"/>
          <w:sz w:val="20"/>
          <w:szCs w:val="20"/>
          <w:lang w:eastAsia="en-AU"/>
        </w:rPr>
      </w:pPr>
      <w:r w:rsidRPr="5CDA2473">
        <w:rPr>
          <w:rFonts w:ascii="Calibri" w:eastAsia="Times New Roman" w:hAnsi="Calibri" w:cs="Calibri"/>
          <w:color w:val="000000" w:themeColor="text1"/>
          <w:lang w:eastAsia="en-AU"/>
        </w:rPr>
        <w:t>Three o</w:t>
      </w:r>
      <w:r w:rsidR="00B707E9" w:rsidRPr="5CDA2473">
        <w:rPr>
          <w:rFonts w:ascii="Calibri" w:eastAsia="Times New Roman" w:hAnsi="Calibri" w:cs="Calibri"/>
          <w:color w:val="000000" w:themeColor="text1"/>
          <w:lang w:eastAsia="en-AU"/>
        </w:rPr>
        <w:t xml:space="preserve">ptions for linking </w:t>
      </w:r>
      <w:r w:rsidR="001161FA">
        <w:rPr>
          <w:rFonts w:ascii="Calibri" w:eastAsia="Times New Roman" w:hAnsi="Calibri" w:cs="Calibri"/>
          <w:color w:val="000000" w:themeColor="text1"/>
          <w:lang w:eastAsia="en-AU"/>
        </w:rPr>
        <w:t>the ITE</w:t>
      </w:r>
      <w:r w:rsidR="00B707E9" w:rsidRPr="5CDA2473">
        <w:rPr>
          <w:rFonts w:ascii="Calibri" w:eastAsia="Times New Roman" w:hAnsi="Calibri" w:cs="Calibri"/>
          <w:color w:val="000000" w:themeColor="text1"/>
          <w:lang w:eastAsia="en-AU"/>
        </w:rPr>
        <w:t xml:space="preserve"> </w:t>
      </w:r>
      <w:r w:rsidR="543FFE9B" w:rsidRPr="5CDA2473">
        <w:rPr>
          <w:rFonts w:ascii="Calibri" w:eastAsia="Times New Roman" w:hAnsi="Calibri" w:cs="Calibri"/>
          <w:color w:val="000000" w:themeColor="text1"/>
          <w:lang w:eastAsia="en-AU"/>
        </w:rPr>
        <w:t>performance</w:t>
      </w:r>
      <w:r w:rsidR="00B707E9" w:rsidRPr="5CDA2473">
        <w:rPr>
          <w:rFonts w:ascii="Calibri" w:eastAsia="Times New Roman" w:hAnsi="Calibri" w:cs="Calibri"/>
          <w:color w:val="000000" w:themeColor="text1"/>
          <w:lang w:eastAsia="en-AU"/>
        </w:rPr>
        <w:t xml:space="preserve"> measure</w:t>
      </w:r>
      <w:r w:rsidR="00E728E9">
        <w:rPr>
          <w:rFonts w:ascii="Calibri" w:eastAsia="Times New Roman" w:hAnsi="Calibri" w:cs="Calibri"/>
          <w:color w:val="000000" w:themeColor="text1"/>
          <w:lang w:eastAsia="en-AU"/>
        </w:rPr>
        <w:t>s</w:t>
      </w:r>
      <w:r w:rsidR="00B707E9" w:rsidRPr="5CDA2473">
        <w:rPr>
          <w:rFonts w:ascii="Calibri" w:eastAsia="Times New Roman" w:hAnsi="Calibri" w:cs="Calibri"/>
          <w:color w:val="000000" w:themeColor="text1"/>
          <w:lang w:eastAsia="en-AU"/>
        </w:rPr>
        <w:t xml:space="preserve"> to funding have been developed with regard</w:t>
      </w:r>
      <w:r w:rsidR="005C5983">
        <w:rPr>
          <w:rFonts w:ascii="Calibri" w:eastAsia="Times New Roman" w:hAnsi="Calibri" w:cs="Calibri"/>
          <w:color w:val="000000" w:themeColor="text1"/>
          <w:lang w:eastAsia="en-AU"/>
        </w:rPr>
        <w:t xml:space="preserve"> to</w:t>
      </w:r>
      <w:r w:rsidR="00B707E9" w:rsidRPr="5CDA2473">
        <w:rPr>
          <w:rFonts w:ascii="Calibri" w:eastAsia="Times New Roman" w:hAnsi="Calibri" w:cs="Calibri"/>
          <w:color w:val="000000" w:themeColor="text1"/>
          <w:lang w:eastAsia="en-AU"/>
        </w:rPr>
        <w:t xml:space="preserve"> higher education funding arrangements and consideration of teacher workforce challenges. These options can be additive and seek to:  </w:t>
      </w:r>
    </w:p>
    <w:p w14:paraId="4A6E1053" w14:textId="085F3B99" w:rsidR="00DF5D2A" w:rsidRPr="00021807" w:rsidRDefault="00565CDB" w:rsidP="00645BD5">
      <w:pPr>
        <w:pStyle w:val="ListParagraph"/>
        <w:numPr>
          <w:ilvl w:val="0"/>
          <w:numId w:val="11"/>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e</w:t>
      </w:r>
      <w:r w:rsidR="00B707E9" w:rsidRPr="00021807">
        <w:rPr>
          <w:rFonts w:ascii="Calibri" w:eastAsia="Times New Roman" w:hAnsi="Calibri" w:cs="Calibri"/>
          <w:color w:val="000000"/>
          <w:sz w:val="22"/>
          <w:szCs w:val="22"/>
          <w:lang w:eastAsia="en-AU"/>
        </w:rPr>
        <w:t>ncourage higher education providers to strive for excellence in the delivery of ITE</w:t>
      </w:r>
      <w:r w:rsidR="00D6075A">
        <w:rPr>
          <w:rFonts w:ascii="Calibri" w:eastAsia="Times New Roman" w:hAnsi="Calibri" w:cs="Calibri"/>
          <w:color w:val="000000"/>
          <w:sz w:val="22"/>
          <w:szCs w:val="22"/>
          <w:lang w:eastAsia="en-AU"/>
        </w:rPr>
        <w:t xml:space="preserve"> </w:t>
      </w:r>
      <w:r w:rsidR="00A32BE6">
        <w:rPr>
          <w:rFonts w:ascii="Calibri" w:eastAsia="Times New Roman" w:hAnsi="Calibri" w:cs="Calibri"/>
          <w:color w:val="000000"/>
          <w:sz w:val="22"/>
          <w:szCs w:val="22"/>
          <w:lang w:eastAsia="en-AU"/>
        </w:rPr>
        <w:t>programs</w:t>
      </w:r>
      <w:r w:rsidR="00B707E9" w:rsidRPr="00021807">
        <w:rPr>
          <w:rFonts w:ascii="Calibri" w:eastAsia="Times New Roman" w:hAnsi="Calibri" w:cs="Calibri"/>
          <w:color w:val="000000"/>
          <w:sz w:val="22"/>
          <w:szCs w:val="22"/>
          <w:lang w:eastAsia="en-AU"/>
        </w:rPr>
        <w:t>;  </w:t>
      </w:r>
    </w:p>
    <w:p w14:paraId="7B7526F3" w14:textId="270A0352" w:rsidR="00DF5D2A" w:rsidRPr="00021807" w:rsidRDefault="00565CDB" w:rsidP="00645BD5">
      <w:pPr>
        <w:pStyle w:val="ListParagraph"/>
        <w:numPr>
          <w:ilvl w:val="0"/>
          <w:numId w:val="11"/>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w:t>
      </w:r>
      <w:r w:rsidR="00B707E9" w:rsidRPr="00021807">
        <w:rPr>
          <w:rFonts w:ascii="Calibri" w:eastAsia="Times New Roman" w:hAnsi="Calibri" w:cs="Calibri"/>
          <w:color w:val="000000"/>
          <w:sz w:val="22"/>
          <w:szCs w:val="22"/>
          <w:lang w:eastAsia="en-AU"/>
        </w:rPr>
        <w:t xml:space="preserve">rovide more accountability for spending public money on ITE </w:t>
      </w:r>
      <w:r w:rsidR="00A32BE6">
        <w:rPr>
          <w:rFonts w:ascii="Calibri" w:eastAsia="Times New Roman" w:hAnsi="Calibri" w:cs="Calibri"/>
          <w:color w:val="000000"/>
          <w:sz w:val="22"/>
          <w:szCs w:val="22"/>
          <w:lang w:eastAsia="en-AU"/>
        </w:rPr>
        <w:t>programs</w:t>
      </w:r>
      <w:r w:rsidR="00B707E9" w:rsidRPr="00021807">
        <w:rPr>
          <w:rFonts w:ascii="Calibri" w:eastAsia="Times New Roman" w:hAnsi="Calibri" w:cs="Calibri"/>
          <w:color w:val="000000"/>
          <w:sz w:val="22"/>
          <w:szCs w:val="22"/>
          <w:lang w:eastAsia="en-AU"/>
        </w:rPr>
        <w:t>;  </w:t>
      </w:r>
    </w:p>
    <w:p w14:paraId="58644092" w14:textId="757AF071" w:rsidR="00DF5D2A" w:rsidRPr="00021807" w:rsidRDefault="00565CDB" w:rsidP="00645BD5">
      <w:pPr>
        <w:pStyle w:val="ListParagraph"/>
        <w:numPr>
          <w:ilvl w:val="0"/>
          <w:numId w:val="11"/>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s</w:t>
      </w:r>
      <w:r w:rsidR="00B707E9" w:rsidRPr="00021807">
        <w:rPr>
          <w:rFonts w:ascii="Calibri" w:eastAsia="Times New Roman" w:hAnsi="Calibri" w:cs="Calibri"/>
          <w:color w:val="000000"/>
          <w:sz w:val="22"/>
          <w:szCs w:val="22"/>
          <w:lang w:eastAsia="en-AU"/>
        </w:rPr>
        <w:t>upport the supply of new teachers entering the profession; and  </w:t>
      </w:r>
    </w:p>
    <w:p w14:paraId="4AB44083" w14:textId="784365A1" w:rsidR="00B707E9" w:rsidRPr="00A64A06" w:rsidRDefault="00565CDB" w:rsidP="00645BD5">
      <w:pPr>
        <w:pStyle w:val="ListParagraph"/>
        <w:numPr>
          <w:ilvl w:val="0"/>
          <w:numId w:val="11"/>
        </w:numPr>
        <w:spacing w:after="240"/>
        <w:ind w:left="714" w:hanging="357"/>
        <w:textAlignment w:val="baseline"/>
        <w:rPr>
          <w:rFonts w:ascii="Calibri" w:eastAsia="Times New Roman" w:hAnsi="Calibri" w:cs="Calibri"/>
          <w:color w:val="000000"/>
          <w:sz w:val="22"/>
          <w:szCs w:val="22"/>
          <w:lang w:eastAsia="en-AU"/>
        </w:rPr>
      </w:pPr>
      <w:r>
        <w:rPr>
          <w:rFonts w:ascii="Calibri" w:eastAsia="Times New Roman" w:hAnsi="Calibri" w:cs="Calibri"/>
          <w:color w:val="000000" w:themeColor="text1"/>
          <w:sz w:val="22"/>
          <w:szCs w:val="22"/>
          <w:lang w:eastAsia="en-AU"/>
        </w:rPr>
        <w:t>c</w:t>
      </w:r>
      <w:r w:rsidR="00B707E9" w:rsidRPr="534D04FA">
        <w:rPr>
          <w:rFonts w:ascii="Calibri" w:eastAsia="Times New Roman" w:hAnsi="Calibri" w:cs="Calibri"/>
          <w:color w:val="000000" w:themeColor="text1"/>
          <w:sz w:val="22"/>
          <w:szCs w:val="22"/>
          <w:lang w:eastAsia="en-AU"/>
        </w:rPr>
        <w:t>omplement current higher education funding arrangements.  </w:t>
      </w:r>
    </w:p>
    <w:p w14:paraId="001BADCC" w14:textId="71C791E2" w:rsidR="00B707E9" w:rsidRPr="00A02275" w:rsidRDefault="00A02275" w:rsidP="00A02275">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2.6.1 </w:t>
      </w:r>
      <w:r w:rsidR="00B707E9" w:rsidRPr="00A02275">
        <w:rPr>
          <w:rFonts w:asciiTheme="minorHAnsi" w:eastAsia="Times New Roman" w:hAnsiTheme="minorHAnsi" w:cstheme="minorHAnsi"/>
          <w:color w:val="002C3E" w:themeColor="background2"/>
          <w:lang w:eastAsia="en-AU"/>
        </w:rPr>
        <w:t>Option A: Public transparency and accountability</w:t>
      </w:r>
      <w:r w:rsidR="0FA682AB" w:rsidRPr="00A02275">
        <w:rPr>
          <w:rFonts w:asciiTheme="minorHAnsi" w:eastAsia="Times New Roman" w:hAnsiTheme="minorHAnsi" w:cstheme="minorHAnsi"/>
          <w:color w:val="002C3E" w:themeColor="background2"/>
          <w:lang w:eastAsia="en-AU"/>
        </w:rPr>
        <w:t xml:space="preserve">, supported by compact agreements  </w:t>
      </w:r>
    </w:p>
    <w:p w14:paraId="1BA08DAC" w14:textId="49BA00DC" w:rsidR="005C7893" w:rsidRPr="00E80799" w:rsidRDefault="00B707E9" w:rsidP="7A11BF72">
      <w:pPr>
        <w:spacing w:after="120" w:line="240" w:lineRule="auto"/>
        <w:textAlignment w:val="baseline"/>
        <w:rPr>
          <w:rFonts w:ascii="Calibri" w:hAnsi="Calibri" w:cs="Calibri"/>
        </w:rPr>
      </w:pPr>
      <w:r w:rsidRPr="39ECCFBC">
        <w:rPr>
          <w:rFonts w:ascii="Calibri" w:eastAsia="Times New Roman" w:hAnsi="Calibri" w:cs="Calibri"/>
          <w:color w:val="000000" w:themeColor="text1"/>
          <w:lang w:eastAsia="en-AU"/>
        </w:rPr>
        <w:t xml:space="preserve">Publicly reporting the </w:t>
      </w:r>
      <w:r w:rsidR="00F40CB6">
        <w:rPr>
          <w:rFonts w:ascii="Calibri" w:eastAsia="Times New Roman" w:hAnsi="Calibri" w:cs="Calibri"/>
          <w:color w:val="000000" w:themeColor="text1"/>
          <w:lang w:eastAsia="en-AU"/>
        </w:rPr>
        <w:t>performance measures</w:t>
      </w:r>
      <w:r w:rsidRPr="39ECCFBC">
        <w:rPr>
          <w:rFonts w:ascii="Calibri" w:eastAsia="Times New Roman" w:hAnsi="Calibri" w:cs="Calibri"/>
          <w:color w:val="000000" w:themeColor="text1"/>
          <w:lang w:eastAsia="en-AU"/>
        </w:rPr>
        <w:t xml:space="preserve"> </w:t>
      </w:r>
      <w:r w:rsidR="33CECEB3" w:rsidRPr="39ECCFBC">
        <w:rPr>
          <w:rFonts w:ascii="Calibri" w:eastAsia="Times New Roman" w:hAnsi="Calibri" w:cs="Calibri"/>
          <w:color w:val="000000" w:themeColor="text1"/>
          <w:lang w:eastAsia="en-AU"/>
        </w:rPr>
        <w:t xml:space="preserve">would </w:t>
      </w:r>
      <w:r w:rsidR="007B19A0" w:rsidRPr="00E80799">
        <w:rPr>
          <w:rFonts w:ascii="Calibri" w:hAnsi="Calibri" w:cs="Calibri"/>
        </w:rPr>
        <w:t xml:space="preserve">increase government accountability </w:t>
      </w:r>
      <w:r w:rsidR="00071A5D" w:rsidRPr="00E80799">
        <w:rPr>
          <w:rFonts w:ascii="Calibri" w:hAnsi="Calibri" w:cs="Calibri"/>
        </w:rPr>
        <w:t xml:space="preserve">at a national and state and territory level </w:t>
      </w:r>
      <w:r w:rsidR="007B19A0" w:rsidRPr="00E80799">
        <w:rPr>
          <w:rFonts w:ascii="Calibri" w:hAnsi="Calibri" w:cs="Calibri"/>
        </w:rPr>
        <w:t xml:space="preserve">over ITE </w:t>
      </w:r>
      <w:r w:rsidR="00A32BE6">
        <w:rPr>
          <w:rFonts w:ascii="Calibri" w:hAnsi="Calibri" w:cs="Calibri"/>
        </w:rPr>
        <w:t>programs</w:t>
      </w:r>
      <w:r w:rsidR="007B19A0" w:rsidRPr="00E80799">
        <w:rPr>
          <w:rFonts w:ascii="Calibri" w:hAnsi="Calibri" w:cs="Calibri"/>
        </w:rPr>
        <w:t xml:space="preserve">, </w:t>
      </w:r>
      <w:r w:rsidR="00C22601">
        <w:rPr>
          <w:rFonts w:ascii="Calibri" w:hAnsi="Calibri" w:cs="Calibri"/>
        </w:rPr>
        <w:t>encourage</w:t>
      </w:r>
      <w:r w:rsidR="007B19A0" w:rsidRPr="00E80799">
        <w:rPr>
          <w:rFonts w:ascii="Calibri" w:hAnsi="Calibri" w:cs="Calibri"/>
        </w:rPr>
        <w:t xml:space="preserve"> providers to improve the quality of their ITE </w:t>
      </w:r>
      <w:r w:rsidR="00A32BE6">
        <w:rPr>
          <w:rFonts w:ascii="Calibri" w:hAnsi="Calibri" w:cs="Calibri"/>
        </w:rPr>
        <w:t>programs</w:t>
      </w:r>
      <w:r w:rsidR="007B19A0" w:rsidRPr="00E80799">
        <w:rPr>
          <w:rFonts w:ascii="Calibri" w:hAnsi="Calibri" w:cs="Calibri"/>
        </w:rPr>
        <w:t xml:space="preserve">, and provide standardised information that prospective students </w:t>
      </w:r>
      <w:r w:rsidR="00C63F93">
        <w:rPr>
          <w:rFonts w:ascii="Calibri" w:hAnsi="Calibri" w:cs="Calibri"/>
        </w:rPr>
        <w:t>could</w:t>
      </w:r>
      <w:r w:rsidR="007B19A0" w:rsidRPr="00E80799">
        <w:rPr>
          <w:rFonts w:ascii="Calibri" w:hAnsi="Calibri" w:cs="Calibri"/>
        </w:rPr>
        <w:t xml:space="preserve"> use to inform their choice of </w:t>
      </w:r>
      <w:r w:rsidR="00F43732" w:rsidRPr="00E80799">
        <w:rPr>
          <w:rFonts w:ascii="Calibri" w:hAnsi="Calibri" w:cs="Calibri"/>
        </w:rPr>
        <w:t xml:space="preserve">higher education </w:t>
      </w:r>
      <w:r w:rsidR="007B19A0" w:rsidRPr="00E80799">
        <w:rPr>
          <w:rFonts w:ascii="Calibri" w:hAnsi="Calibri" w:cs="Calibri"/>
        </w:rPr>
        <w:t>provider.</w:t>
      </w:r>
    </w:p>
    <w:p w14:paraId="5C59989E" w14:textId="60C74EEB" w:rsidR="00F43732" w:rsidRPr="00E80799" w:rsidRDefault="00280551" w:rsidP="7A11BF72">
      <w:pPr>
        <w:spacing w:after="120" w:line="240" w:lineRule="auto"/>
        <w:textAlignment w:val="baseline"/>
        <w:rPr>
          <w:rFonts w:ascii="Calibri" w:hAnsi="Calibri" w:cs="Calibri"/>
        </w:rPr>
      </w:pPr>
      <w:r w:rsidRPr="00E80799">
        <w:rPr>
          <w:rFonts w:ascii="Calibri" w:hAnsi="Calibri" w:cs="Calibri"/>
        </w:rPr>
        <w:t xml:space="preserve">For </w:t>
      </w:r>
      <w:r w:rsidR="00520252" w:rsidRPr="00E80799">
        <w:rPr>
          <w:rFonts w:ascii="Calibri" w:hAnsi="Calibri" w:cs="Calibri"/>
        </w:rPr>
        <w:t>higher education</w:t>
      </w:r>
      <w:r w:rsidR="00F43732" w:rsidRPr="00E80799">
        <w:rPr>
          <w:rFonts w:ascii="Calibri" w:hAnsi="Calibri" w:cs="Calibri"/>
        </w:rPr>
        <w:t xml:space="preserve"> providers</w:t>
      </w:r>
      <w:r w:rsidRPr="00E80799">
        <w:rPr>
          <w:rFonts w:ascii="Calibri" w:hAnsi="Calibri" w:cs="Calibri"/>
        </w:rPr>
        <w:t xml:space="preserve">, the </w:t>
      </w:r>
      <w:r w:rsidR="00933EC6">
        <w:rPr>
          <w:rFonts w:ascii="Calibri" w:hAnsi="Calibri" w:cs="Calibri"/>
        </w:rPr>
        <w:t>performance</w:t>
      </w:r>
      <w:r w:rsidRPr="00E80799">
        <w:rPr>
          <w:rFonts w:ascii="Calibri" w:hAnsi="Calibri" w:cs="Calibri"/>
        </w:rPr>
        <w:t xml:space="preserve"> measure</w:t>
      </w:r>
      <w:r w:rsidR="00933EC6">
        <w:rPr>
          <w:rFonts w:ascii="Calibri" w:hAnsi="Calibri" w:cs="Calibri"/>
        </w:rPr>
        <w:t>s</w:t>
      </w:r>
      <w:r w:rsidRPr="00E80799">
        <w:rPr>
          <w:rFonts w:ascii="Calibri" w:hAnsi="Calibri" w:cs="Calibri"/>
        </w:rPr>
        <w:t xml:space="preserve"> </w:t>
      </w:r>
      <w:r w:rsidR="00331601">
        <w:rPr>
          <w:rFonts w:ascii="Calibri" w:hAnsi="Calibri" w:cs="Calibri"/>
        </w:rPr>
        <w:t>could</w:t>
      </w:r>
      <w:r w:rsidRPr="00E80799">
        <w:rPr>
          <w:rFonts w:ascii="Calibri" w:hAnsi="Calibri" w:cs="Calibri"/>
        </w:rPr>
        <w:t xml:space="preserve"> facilitate improvements in </w:t>
      </w:r>
      <w:r w:rsidR="00933EC6">
        <w:rPr>
          <w:rFonts w:ascii="Calibri" w:hAnsi="Calibri" w:cs="Calibri"/>
        </w:rPr>
        <w:t>program</w:t>
      </w:r>
      <w:r w:rsidRPr="00E80799">
        <w:rPr>
          <w:rFonts w:ascii="Calibri" w:hAnsi="Calibri" w:cs="Calibri"/>
        </w:rPr>
        <w:t xml:space="preserve"> quality through </w:t>
      </w:r>
      <w:r w:rsidR="006B4875" w:rsidRPr="00E80799">
        <w:rPr>
          <w:rFonts w:ascii="Calibri" w:hAnsi="Calibri" w:cs="Calibri"/>
        </w:rPr>
        <w:t>three</w:t>
      </w:r>
      <w:r w:rsidRPr="00E80799">
        <w:rPr>
          <w:rFonts w:ascii="Calibri" w:hAnsi="Calibri" w:cs="Calibri"/>
        </w:rPr>
        <w:t xml:space="preserve"> routes. First, the potential reputational effects could motivate improvements. </w:t>
      </w:r>
      <w:r w:rsidR="00F43732" w:rsidRPr="00E80799">
        <w:rPr>
          <w:rFonts w:ascii="Calibri" w:hAnsi="Calibri" w:cs="Calibri"/>
        </w:rPr>
        <w:t>Higher education providers</w:t>
      </w:r>
      <w:r w:rsidRPr="00E80799">
        <w:rPr>
          <w:rFonts w:ascii="Calibri" w:hAnsi="Calibri" w:cs="Calibri"/>
        </w:rPr>
        <w:t xml:space="preserve"> </w:t>
      </w:r>
      <w:r w:rsidR="00331601">
        <w:rPr>
          <w:rFonts w:ascii="Calibri" w:hAnsi="Calibri" w:cs="Calibri"/>
        </w:rPr>
        <w:t>count</w:t>
      </w:r>
      <w:r w:rsidRPr="00E80799">
        <w:rPr>
          <w:rFonts w:ascii="Calibri" w:hAnsi="Calibri" w:cs="Calibri"/>
        </w:rPr>
        <w:t xml:space="preserve"> gain prestige, status, and even students by performing well – on the other hand, poor performance may damage a university’s reputation. If used and accepted widely, the </w:t>
      </w:r>
      <w:r w:rsidR="00186B77">
        <w:rPr>
          <w:rFonts w:ascii="Calibri" w:hAnsi="Calibri" w:cs="Calibri"/>
        </w:rPr>
        <w:t>performance</w:t>
      </w:r>
      <w:r w:rsidRPr="00E80799">
        <w:rPr>
          <w:rFonts w:ascii="Calibri" w:hAnsi="Calibri" w:cs="Calibri"/>
        </w:rPr>
        <w:t xml:space="preserve"> measure</w:t>
      </w:r>
      <w:r w:rsidR="004B6D7F">
        <w:rPr>
          <w:rFonts w:ascii="Calibri" w:hAnsi="Calibri" w:cs="Calibri"/>
        </w:rPr>
        <w:t>s</w:t>
      </w:r>
      <w:r w:rsidRPr="00E80799">
        <w:rPr>
          <w:rFonts w:ascii="Calibri" w:hAnsi="Calibri" w:cs="Calibri"/>
        </w:rPr>
        <w:t xml:space="preserve"> could become as influential as other comparative metrics (e.g. international rankings of universities). </w:t>
      </w:r>
    </w:p>
    <w:p w14:paraId="36683C25" w14:textId="06310FA6" w:rsidR="009A41F0" w:rsidRDefault="00905446" w:rsidP="00CB1DEB">
      <w:pPr>
        <w:spacing w:after="120" w:line="240" w:lineRule="auto"/>
        <w:rPr>
          <w:rFonts w:ascii="Calibri" w:eastAsia="Calibri" w:hAnsi="Calibri" w:cs="Calibri"/>
        </w:rPr>
      </w:pPr>
      <w:r w:rsidRPr="00E80799">
        <w:rPr>
          <w:rFonts w:ascii="Calibri" w:hAnsi="Calibri" w:cs="Calibri"/>
        </w:rPr>
        <w:t xml:space="preserve">Second, </w:t>
      </w:r>
      <w:r w:rsidR="009A41F0">
        <w:rPr>
          <w:rFonts w:ascii="Calibri" w:eastAsia="Calibri" w:hAnsi="Calibri" w:cs="Calibri"/>
        </w:rPr>
        <w:t>any areas for</w:t>
      </w:r>
      <w:r w:rsidR="009A41F0" w:rsidRPr="0078232C">
        <w:rPr>
          <w:rFonts w:ascii="Calibri" w:eastAsia="Calibri" w:hAnsi="Calibri" w:cs="Calibri"/>
        </w:rPr>
        <w:t xml:space="preserve"> improvement identified through the </w:t>
      </w:r>
      <w:r w:rsidR="00D954AF">
        <w:rPr>
          <w:rFonts w:ascii="Calibri" w:eastAsia="Calibri" w:hAnsi="Calibri" w:cs="Calibri"/>
        </w:rPr>
        <w:t>performance measures</w:t>
      </w:r>
      <w:r w:rsidR="009A41F0" w:rsidRPr="0078232C">
        <w:rPr>
          <w:rFonts w:ascii="Calibri" w:eastAsia="Calibri" w:hAnsi="Calibri" w:cs="Calibri"/>
        </w:rPr>
        <w:t xml:space="preserve"> </w:t>
      </w:r>
      <w:r w:rsidR="009A41F0">
        <w:rPr>
          <w:rFonts w:ascii="Calibri" w:eastAsia="Calibri" w:hAnsi="Calibri" w:cs="Calibri"/>
        </w:rPr>
        <w:t>w</w:t>
      </w:r>
      <w:r w:rsidR="009A41F0" w:rsidRPr="0078232C">
        <w:rPr>
          <w:rFonts w:ascii="Calibri" w:eastAsia="Calibri" w:hAnsi="Calibri" w:cs="Calibri"/>
        </w:rPr>
        <w:t xml:space="preserve">ould be </w:t>
      </w:r>
      <w:r w:rsidR="00C079A5">
        <w:rPr>
          <w:rFonts w:ascii="Calibri" w:eastAsia="Calibri" w:hAnsi="Calibri" w:cs="Calibri"/>
        </w:rPr>
        <w:t>an area of focus</w:t>
      </w:r>
      <w:r w:rsidR="009A41F0" w:rsidRPr="0078232C">
        <w:rPr>
          <w:rFonts w:ascii="Calibri" w:eastAsia="Calibri" w:hAnsi="Calibri" w:cs="Calibri"/>
        </w:rPr>
        <w:t xml:space="preserve"> </w:t>
      </w:r>
      <w:r w:rsidR="009A41F0">
        <w:rPr>
          <w:rFonts w:ascii="Calibri" w:eastAsia="Calibri" w:hAnsi="Calibri" w:cs="Calibri"/>
        </w:rPr>
        <w:t>with higher education providers. Th</w:t>
      </w:r>
      <w:r w:rsidR="00514DE5">
        <w:rPr>
          <w:rFonts w:ascii="Calibri" w:eastAsia="Calibri" w:hAnsi="Calibri" w:cs="Calibri"/>
        </w:rPr>
        <w:t xml:space="preserve">ese areas for </w:t>
      </w:r>
      <w:r w:rsidR="00112BB8">
        <w:rPr>
          <w:rFonts w:ascii="Calibri" w:eastAsia="Calibri" w:hAnsi="Calibri" w:cs="Calibri"/>
        </w:rPr>
        <w:t>improve</w:t>
      </w:r>
      <w:r w:rsidR="00514DE5">
        <w:rPr>
          <w:rFonts w:ascii="Calibri" w:eastAsia="Calibri" w:hAnsi="Calibri" w:cs="Calibri"/>
        </w:rPr>
        <w:t>ment</w:t>
      </w:r>
      <w:r w:rsidR="009A41F0">
        <w:rPr>
          <w:rFonts w:ascii="Calibri" w:eastAsia="Calibri" w:hAnsi="Calibri" w:cs="Calibri"/>
        </w:rPr>
        <w:t xml:space="preserve"> could be included in </w:t>
      </w:r>
      <w:r w:rsidR="009A41F0" w:rsidRPr="0078232C">
        <w:rPr>
          <w:rFonts w:ascii="Calibri" w:eastAsia="Calibri" w:hAnsi="Calibri" w:cs="Calibri"/>
        </w:rPr>
        <w:t>the mission</w:t>
      </w:r>
      <w:r w:rsidR="00C50CF4">
        <w:rPr>
          <w:rFonts w:ascii="Calibri" w:eastAsia="Calibri" w:hAnsi="Calibri" w:cs="Calibri"/>
        </w:rPr>
        <w:t>-</w:t>
      </w:r>
      <w:r w:rsidR="009A41F0" w:rsidRPr="0078232C">
        <w:rPr>
          <w:rFonts w:ascii="Calibri" w:eastAsia="Calibri" w:hAnsi="Calibri" w:cs="Calibri"/>
        </w:rPr>
        <w:t xml:space="preserve">based compacts </w:t>
      </w:r>
      <w:r w:rsidR="009A41F0">
        <w:rPr>
          <w:rFonts w:ascii="Calibri" w:eastAsia="Calibri" w:hAnsi="Calibri" w:cs="Calibri"/>
        </w:rPr>
        <w:t xml:space="preserve">that </w:t>
      </w:r>
      <w:r w:rsidR="009A41F0" w:rsidRPr="0078232C">
        <w:rPr>
          <w:rFonts w:ascii="Calibri" w:eastAsia="Calibri" w:hAnsi="Calibri" w:cs="Calibri"/>
        </w:rPr>
        <w:t xml:space="preserve">each </w:t>
      </w:r>
      <w:r w:rsidR="008270FF" w:rsidRPr="00A729E8">
        <w:rPr>
          <w:rFonts w:ascii="Calibri" w:eastAsia="Calibri" w:hAnsi="Calibri" w:cs="Calibri"/>
        </w:rPr>
        <w:t>higher education provider</w:t>
      </w:r>
      <w:r w:rsidR="009A41F0" w:rsidRPr="0078232C">
        <w:rPr>
          <w:rFonts w:ascii="Calibri" w:eastAsia="Calibri" w:hAnsi="Calibri" w:cs="Calibri"/>
        </w:rPr>
        <w:t xml:space="preserve"> must enter into with the Commonwealth</w:t>
      </w:r>
      <w:r w:rsidR="009A41F0">
        <w:rPr>
          <w:rFonts w:ascii="Calibri" w:eastAsia="Calibri" w:hAnsi="Calibri" w:cs="Calibri"/>
        </w:rPr>
        <w:t xml:space="preserve">, </w:t>
      </w:r>
      <w:r w:rsidR="00DF1D9E" w:rsidRPr="11C90EFA">
        <w:rPr>
          <w:rFonts w:ascii="Calibri" w:eastAsia="Calibri" w:hAnsi="Calibri" w:cs="Calibri"/>
          <w:color w:val="000000" w:themeColor="text1"/>
        </w:rPr>
        <w:t xml:space="preserve">to ensure alignment between each provider’s mission and the Commonwealth’s </w:t>
      </w:r>
      <w:r w:rsidR="00DF1D9E" w:rsidRPr="11C90EFA">
        <w:rPr>
          <w:rFonts w:ascii="Calibri" w:eastAsia="Calibri" w:hAnsi="Calibri" w:cs="Calibri"/>
          <w:color w:val="000000" w:themeColor="text1"/>
        </w:rPr>
        <w:lastRenderedPageBreak/>
        <w:t xml:space="preserve">focus on high-quality </w:t>
      </w:r>
      <w:r w:rsidR="00E162F0">
        <w:rPr>
          <w:rFonts w:ascii="Calibri" w:eastAsia="Calibri" w:hAnsi="Calibri" w:cs="Calibri"/>
          <w:color w:val="000000" w:themeColor="text1"/>
        </w:rPr>
        <w:t>ITE</w:t>
      </w:r>
      <w:r w:rsidR="00DF1D9E" w:rsidRPr="11C90EFA">
        <w:rPr>
          <w:rFonts w:ascii="Calibri" w:eastAsia="Calibri" w:hAnsi="Calibri" w:cs="Calibri"/>
          <w:color w:val="000000" w:themeColor="text1"/>
        </w:rPr>
        <w:t xml:space="preserve">. This could include </w:t>
      </w:r>
      <w:r w:rsidR="00915D50">
        <w:rPr>
          <w:rFonts w:ascii="Calibri" w:eastAsia="Calibri" w:hAnsi="Calibri" w:cs="Calibri"/>
          <w:color w:val="000000" w:themeColor="text1"/>
        </w:rPr>
        <w:t>h</w:t>
      </w:r>
      <w:r w:rsidR="00DF1D9E" w:rsidRPr="11C90EFA">
        <w:rPr>
          <w:rFonts w:ascii="Calibri" w:eastAsia="Calibri" w:hAnsi="Calibri" w:cs="Calibri"/>
          <w:color w:val="000000" w:themeColor="text1"/>
        </w:rPr>
        <w:t xml:space="preserve">igher </w:t>
      </w:r>
      <w:r w:rsidR="00DF1D9E">
        <w:rPr>
          <w:rFonts w:ascii="Calibri" w:eastAsia="Calibri" w:hAnsi="Calibri" w:cs="Calibri"/>
          <w:color w:val="000000" w:themeColor="text1"/>
        </w:rPr>
        <w:t>e</w:t>
      </w:r>
      <w:r w:rsidR="00DF1D9E" w:rsidRPr="11C90EFA">
        <w:rPr>
          <w:rFonts w:ascii="Calibri" w:eastAsia="Calibri" w:hAnsi="Calibri" w:cs="Calibri"/>
          <w:color w:val="000000" w:themeColor="text1"/>
        </w:rPr>
        <w:t xml:space="preserve">ducation </w:t>
      </w:r>
      <w:r w:rsidR="00DF1D9E">
        <w:rPr>
          <w:rFonts w:ascii="Calibri" w:eastAsia="Calibri" w:hAnsi="Calibri" w:cs="Calibri"/>
          <w:color w:val="000000" w:themeColor="text1"/>
        </w:rPr>
        <w:t>p</w:t>
      </w:r>
      <w:r w:rsidR="00DF1D9E" w:rsidRPr="11C90EFA">
        <w:rPr>
          <w:rFonts w:ascii="Calibri" w:eastAsia="Calibri" w:hAnsi="Calibri" w:cs="Calibri"/>
          <w:color w:val="000000" w:themeColor="text1"/>
        </w:rPr>
        <w:t>roviders</w:t>
      </w:r>
      <w:r w:rsidR="00DF1D9E" w:rsidRPr="11C90EFA">
        <w:rPr>
          <w:rFonts w:ascii="Calibri" w:eastAsia="Calibri" w:hAnsi="Calibri" w:cs="Calibri"/>
        </w:rPr>
        <w:t xml:space="preserve"> detailing plans to improve </w:t>
      </w:r>
      <w:r w:rsidR="00B43BE1">
        <w:rPr>
          <w:rFonts w:ascii="Calibri" w:eastAsia="Calibri" w:hAnsi="Calibri" w:cs="Calibri"/>
        </w:rPr>
        <w:t>performance</w:t>
      </w:r>
      <w:r w:rsidR="00DF1D9E" w:rsidRPr="11C90EFA">
        <w:rPr>
          <w:rFonts w:ascii="Calibri" w:eastAsia="Calibri" w:hAnsi="Calibri" w:cs="Calibri"/>
        </w:rPr>
        <w:t>.</w:t>
      </w:r>
      <w:r w:rsidR="00CB1DEB">
        <w:rPr>
          <w:rFonts w:ascii="Calibri" w:eastAsia="Calibri" w:hAnsi="Calibri" w:cs="Calibri"/>
        </w:rPr>
        <w:t xml:space="preserve"> The actions implemented in these plans could be</w:t>
      </w:r>
      <w:r w:rsidR="009A41F0">
        <w:rPr>
          <w:rFonts w:ascii="Calibri" w:eastAsia="Calibri" w:hAnsi="Calibri" w:cs="Calibri"/>
        </w:rPr>
        <w:t xml:space="preserve"> specifically addressed in providers’ </w:t>
      </w:r>
      <w:r w:rsidR="009A41F0" w:rsidRPr="00E80799">
        <w:rPr>
          <w:rFonts w:ascii="Calibri" w:hAnsi="Calibri" w:cs="Calibri"/>
        </w:rPr>
        <w:t xml:space="preserve">qualitative submissions </w:t>
      </w:r>
      <w:r w:rsidR="008D15AD" w:rsidRPr="00E80799">
        <w:rPr>
          <w:rFonts w:ascii="Calibri" w:hAnsi="Calibri" w:cs="Calibri"/>
        </w:rPr>
        <w:t>on their performance.</w:t>
      </w:r>
      <w:r w:rsidR="009A41F0" w:rsidRPr="0078232C">
        <w:rPr>
          <w:rFonts w:ascii="Calibri" w:eastAsia="Calibri" w:hAnsi="Calibri" w:cs="Calibri"/>
        </w:rPr>
        <w:t xml:space="preserve"> </w:t>
      </w:r>
    </w:p>
    <w:p w14:paraId="4F3A2857" w14:textId="2EB9FF84" w:rsidR="005A5B33" w:rsidRPr="00E80799" w:rsidRDefault="00B4000A" w:rsidP="3A584A76">
      <w:pPr>
        <w:spacing w:after="120" w:line="240" w:lineRule="auto"/>
        <w:rPr>
          <w:rFonts w:ascii="Calibri" w:hAnsi="Calibri" w:cs="Calibri"/>
        </w:rPr>
      </w:pPr>
      <w:r w:rsidRPr="00E80799">
        <w:rPr>
          <w:rFonts w:ascii="Calibri" w:hAnsi="Calibri" w:cs="Calibri"/>
        </w:rPr>
        <w:t>Transparency of the</w:t>
      </w:r>
      <w:r w:rsidR="005A5B33" w:rsidRPr="00E80799">
        <w:rPr>
          <w:rFonts w:ascii="Calibri" w:hAnsi="Calibri" w:cs="Calibri"/>
        </w:rPr>
        <w:t xml:space="preserve"> </w:t>
      </w:r>
      <w:r w:rsidR="00630BBB">
        <w:rPr>
          <w:rFonts w:ascii="Calibri" w:hAnsi="Calibri" w:cs="Calibri"/>
        </w:rPr>
        <w:t>performance</w:t>
      </w:r>
      <w:r w:rsidR="005A5B33" w:rsidRPr="00E80799">
        <w:rPr>
          <w:rFonts w:ascii="Calibri" w:hAnsi="Calibri" w:cs="Calibri"/>
        </w:rPr>
        <w:t xml:space="preserve"> measure</w:t>
      </w:r>
      <w:r w:rsidR="00D825BD">
        <w:rPr>
          <w:rFonts w:ascii="Calibri" w:hAnsi="Calibri" w:cs="Calibri"/>
        </w:rPr>
        <w:t>s</w:t>
      </w:r>
      <w:r w:rsidR="005A5B33" w:rsidRPr="00E80799">
        <w:rPr>
          <w:rFonts w:ascii="Calibri" w:hAnsi="Calibri" w:cs="Calibri"/>
        </w:rPr>
        <w:t xml:space="preserve"> </w:t>
      </w:r>
      <w:r w:rsidRPr="00E80799">
        <w:rPr>
          <w:rFonts w:ascii="Calibri" w:hAnsi="Calibri" w:cs="Calibri"/>
        </w:rPr>
        <w:t xml:space="preserve">would also </w:t>
      </w:r>
      <w:r w:rsidR="005A5B33" w:rsidRPr="00E80799">
        <w:rPr>
          <w:rFonts w:ascii="Calibri" w:hAnsi="Calibri" w:cs="Calibri"/>
        </w:rPr>
        <w:t xml:space="preserve">represent a valuable and timely source of data, to inform </w:t>
      </w:r>
      <w:r w:rsidR="00D51470" w:rsidRPr="00E80799">
        <w:rPr>
          <w:rFonts w:ascii="Calibri" w:hAnsi="Calibri" w:cs="Calibri"/>
        </w:rPr>
        <w:t>higher education providers</w:t>
      </w:r>
      <w:r w:rsidR="003B1169" w:rsidRPr="00E80799">
        <w:rPr>
          <w:rFonts w:ascii="Calibri" w:hAnsi="Calibri" w:cs="Calibri"/>
        </w:rPr>
        <w:t>’</w:t>
      </w:r>
      <w:r w:rsidR="005A5B33" w:rsidRPr="00E80799">
        <w:rPr>
          <w:rFonts w:ascii="Calibri" w:hAnsi="Calibri" w:cs="Calibri"/>
        </w:rPr>
        <w:t xml:space="preserve"> quality improvements. </w:t>
      </w:r>
      <w:r w:rsidR="00EC6AFE">
        <w:rPr>
          <w:rFonts w:ascii="Calibri" w:eastAsia="Calibri" w:hAnsi="Calibri" w:cs="Calibri"/>
          <w:color w:val="000000" w:themeColor="text1"/>
        </w:rPr>
        <w:t>H</w:t>
      </w:r>
      <w:r w:rsidR="00EC6AFE" w:rsidRPr="11C90EFA">
        <w:rPr>
          <w:rFonts w:ascii="Calibri" w:eastAsia="Calibri" w:hAnsi="Calibri" w:cs="Calibri"/>
          <w:color w:val="000000" w:themeColor="text1"/>
        </w:rPr>
        <w:t xml:space="preserve">igher </w:t>
      </w:r>
      <w:r w:rsidR="00EC6AFE">
        <w:rPr>
          <w:rFonts w:ascii="Calibri" w:eastAsia="Calibri" w:hAnsi="Calibri" w:cs="Calibri"/>
          <w:color w:val="000000" w:themeColor="text1"/>
        </w:rPr>
        <w:t>e</w:t>
      </w:r>
      <w:r w:rsidR="00EC6AFE" w:rsidRPr="11C90EFA">
        <w:rPr>
          <w:rFonts w:ascii="Calibri" w:eastAsia="Calibri" w:hAnsi="Calibri" w:cs="Calibri"/>
          <w:color w:val="000000" w:themeColor="text1"/>
        </w:rPr>
        <w:t xml:space="preserve">ducation </w:t>
      </w:r>
      <w:r w:rsidR="00EC6AFE">
        <w:rPr>
          <w:rFonts w:ascii="Calibri" w:eastAsia="Calibri" w:hAnsi="Calibri" w:cs="Calibri"/>
          <w:color w:val="000000" w:themeColor="text1"/>
        </w:rPr>
        <w:t>p</w:t>
      </w:r>
      <w:r w:rsidR="00EC6AFE" w:rsidRPr="11C90EFA">
        <w:rPr>
          <w:rFonts w:ascii="Calibri" w:eastAsia="Calibri" w:hAnsi="Calibri" w:cs="Calibri"/>
          <w:color w:val="000000" w:themeColor="text1"/>
        </w:rPr>
        <w:t>roviders</w:t>
      </w:r>
      <w:r w:rsidR="005A5B33">
        <w:rPr>
          <w:rFonts w:ascii="Calibri" w:eastAsia="Calibri" w:hAnsi="Calibri" w:cs="Calibri"/>
          <w:color w:val="000000" w:themeColor="text1"/>
        </w:rPr>
        <w:t xml:space="preserve"> </w:t>
      </w:r>
      <w:r w:rsidR="00B35FD2">
        <w:rPr>
          <w:rFonts w:ascii="Calibri" w:hAnsi="Calibri" w:cs="Calibri"/>
        </w:rPr>
        <w:t>would</w:t>
      </w:r>
      <w:r w:rsidR="005A5B33" w:rsidRPr="00E80799">
        <w:rPr>
          <w:rFonts w:ascii="Calibri" w:hAnsi="Calibri" w:cs="Calibri"/>
        </w:rPr>
        <w:t xml:space="preserve"> be able to see where they are performing well, and which aspects they can improve on. </w:t>
      </w:r>
    </w:p>
    <w:p w14:paraId="5098B6EA" w14:textId="2C8813A2" w:rsidR="00F43732" w:rsidRPr="00E80799" w:rsidRDefault="00726E00" w:rsidP="3A584A76">
      <w:pPr>
        <w:spacing w:after="120" w:line="240" w:lineRule="auto"/>
        <w:rPr>
          <w:rFonts w:ascii="Calibri" w:hAnsi="Calibri" w:cs="Calibri"/>
        </w:rPr>
      </w:pPr>
      <w:r w:rsidRPr="00E80799">
        <w:rPr>
          <w:rFonts w:ascii="Calibri" w:hAnsi="Calibri" w:cs="Calibri"/>
        </w:rPr>
        <w:t xml:space="preserve">For prospective students, having easy access to </w:t>
      </w:r>
      <w:r w:rsidR="00AD139A">
        <w:rPr>
          <w:rFonts w:ascii="Calibri" w:hAnsi="Calibri" w:cs="Calibri"/>
        </w:rPr>
        <w:t>performance</w:t>
      </w:r>
      <w:r w:rsidRPr="00E80799">
        <w:rPr>
          <w:rFonts w:ascii="Calibri" w:hAnsi="Calibri" w:cs="Calibri"/>
        </w:rPr>
        <w:t xml:space="preserve"> measure</w:t>
      </w:r>
      <w:r w:rsidR="00BF0CE1">
        <w:rPr>
          <w:rFonts w:ascii="Calibri" w:hAnsi="Calibri" w:cs="Calibri"/>
        </w:rPr>
        <w:t>s</w:t>
      </w:r>
      <w:r w:rsidRPr="00E80799">
        <w:rPr>
          <w:rFonts w:ascii="Calibri" w:hAnsi="Calibri" w:cs="Calibri"/>
        </w:rPr>
        <w:t xml:space="preserve"> could influence their choice of </w:t>
      </w:r>
      <w:r w:rsidR="007C19A1">
        <w:rPr>
          <w:rFonts w:ascii="Calibri" w:hAnsi="Calibri" w:cs="Calibri"/>
        </w:rPr>
        <w:t>higher education</w:t>
      </w:r>
      <w:r w:rsidR="007C19A1" w:rsidRPr="00E80799">
        <w:rPr>
          <w:rFonts w:ascii="Calibri" w:hAnsi="Calibri" w:cs="Calibri"/>
        </w:rPr>
        <w:t xml:space="preserve"> </w:t>
      </w:r>
      <w:r w:rsidRPr="00E80799">
        <w:rPr>
          <w:rFonts w:ascii="Calibri" w:hAnsi="Calibri" w:cs="Calibri"/>
        </w:rPr>
        <w:t xml:space="preserve">provider. </w:t>
      </w:r>
      <w:r w:rsidR="00B707E9" w:rsidRPr="3A584A76">
        <w:rPr>
          <w:rFonts w:ascii="Calibri" w:eastAsia="Times New Roman" w:hAnsi="Calibri" w:cs="Calibri"/>
          <w:color w:val="000000" w:themeColor="text1"/>
          <w:lang w:eastAsia="en-AU"/>
        </w:rPr>
        <w:t xml:space="preserve">Making </w:t>
      </w:r>
      <w:r w:rsidR="00680FEF">
        <w:rPr>
          <w:rFonts w:ascii="Calibri" w:eastAsia="Times New Roman" w:hAnsi="Calibri" w:cs="Calibri"/>
          <w:color w:val="000000" w:themeColor="text1"/>
          <w:lang w:eastAsia="en-AU"/>
        </w:rPr>
        <w:t>the performance measures</w:t>
      </w:r>
      <w:r w:rsidR="00B707E9" w:rsidRPr="3A584A76">
        <w:rPr>
          <w:rFonts w:ascii="Calibri" w:eastAsia="Times New Roman" w:hAnsi="Calibri" w:cs="Calibri"/>
          <w:color w:val="000000" w:themeColor="text1"/>
          <w:lang w:eastAsia="en-AU"/>
        </w:rPr>
        <w:t xml:space="preserve"> publicly available </w:t>
      </w:r>
      <w:r w:rsidR="00FF1678" w:rsidRPr="3A584A76">
        <w:rPr>
          <w:rFonts w:ascii="Calibri" w:eastAsia="Times New Roman" w:hAnsi="Calibri" w:cs="Calibri"/>
          <w:color w:val="000000" w:themeColor="text1"/>
          <w:lang w:eastAsia="en-AU"/>
        </w:rPr>
        <w:t xml:space="preserve">would </w:t>
      </w:r>
      <w:r w:rsidR="00B707E9" w:rsidRPr="3A584A76">
        <w:rPr>
          <w:rFonts w:ascii="Calibri" w:eastAsia="Times New Roman" w:hAnsi="Calibri" w:cs="Calibri"/>
          <w:color w:val="000000" w:themeColor="text1"/>
          <w:lang w:eastAsia="en-AU"/>
        </w:rPr>
        <w:t xml:space="preserve">help to reduce the information asymmetry between higher education providers (who know the educational experience of their </w:t>
      </w:r>
      <w:r w:rsidR="005D529A">
        <w:rPr>
          <w:rFonts w:ascii="Calibri" w:eastAsia="Times New Roman" w:hAnsi="Calibri" w:cs="Calibri"/>
          <w:color w:val="000000" w:themeColor="text1"/>
          <w:lang w:eastAsia="en-AU"/>
        </w:rPr>
        <w:t>programs</w:t>
      </w:r>
      <w:r w:rsidR="00B707E9" w:rsidRPr="3A584A76">
        <w:rPr>
          <w:rFonts w:ascii="Calibri" w:eastAsia="Times New Roman" w:hAnsi="Calibri" w:cs="Calibri"/>
          <w:color w:val="000000" w:themeColor="text1"/>
          <w:lang w:eastAsia="en-AU"/>
        </w:rPr>
        <w:t xml:space="preserve">) and incoming students (who do not). This would inform student choice and motivate higher education providers to improve the quality of their </w:t>
      </w:r>
      <w:r w:rsidR="005D529A">
        <w:rPr>
          <w:rFonts w:ascii="Calibri" w:eastAsia="Times New Roman" w:hAnsi="Calibri" w:cs="Calibri"/>
          <w:color w:val="000000" w:themeColor="text1"/>
          <w:lang w:eastAsia="en-AU"/>
        </w:rPr>
        <w:t>programs</w:t>
      </w:r>
      <w:r w:rsidR="00B707E9" w:rsidRPr="3A584A76">
        <w:rPr>
          <w:rFonts w:ascii="Calibri" w:eastAsia="Times New Roman" w:hAnsi="Calibri" w:cs="Calibri"/>
          <w:color w:val="000000" w:themeColor="text1"/>
          <w:lang w:eastAsia="en-AU"/>
        </w:rPr>
        <w:t xml:space="preserve"> to attract students.</w:t>
      </w:r>
      <w:r w:rsidR="00F43732" w:rsidRPr="3A584A76">
        <w:rPr>
          <w:rFonts w:ascii="Calibri" w:eastAsia="Times New Roman" w:hAnsi="Calibri" w:cs="Calibri"/>
          <w:color w:val="000000" w:themeColor="text1"/>
          <w:lang w:eastAsia="en-AU"/>
        </w:rPr>
        <w:t xml:space="preserve"> Higher education providers could also influence student choice by using the </w:t>
      </w:r>
      <w:r w:rsidR="00680FEF">
        <w:rPr>
          <w:rFonts w:ascii="Calibri" w:eastAsia="Times New Roman" w:hAnsi="Calibri" w:cs="Calibri"/>
          <w:color w:val="000000" w:themeColor="text1"/>
          <w:lang w:eastAsia="en-AU"/>
        </w:rPr>
        <w:t>performance measures</w:t>
      </w:r>
      <w:r w:rsidR="00F43732" w:rsidRPr="3A584A76">
        <w:rPr>
          <w:rFonts w:ascii="Calibri" w:eastAsia="Times New Roman" w:hAnsi="Calibri" w:cs="Calibri"/>
          <w:color w:val="000000" w:themeColor="text1"/>
          <w:lang w:eastAsia="en-AU"/>
        </w:rPr>
        <w:t xml:space="preserve"> as an</w:t>
      </w:r>
      <w:r w:rsidR="00F43732" w:rsidRPr="00E80799">
        <w:rPr>
          <w:rFonts w:ascii="Calibri" w:hAnsi="Calibri" w:cs="Calibri"/>
        </w:rPr>
        <w:t xml:space="preserve"> opportunity to demonstrate their competitive advantage. If a provider performs well on certain indicators, these could be communicated to prospective students as a positive point of differentiation (e.g. if one university specialised in a particular demographic, then it could seem more attractive to that cohort of people). </w:t>
      </w:r>
    </w:p>
    <w:p w14:paraId="14001498" w14:textId="3C40D07E" w:rsidR="00B707E9" w:rsidRPr="00021807" w:rsidRDefault="00B707E9" w:rsidP="3A584A76">
      <w:pPr>
        <w:spacing w:after="120" w:line="240" w:lineRule="auto"/>
        <w:textAlignment w:val="baseline"/>
        <w:rPr>
          <w:rFonts w:ascii="Calibri" w:eastAsia="Times New Roman" w:hAnsi="Calibri" w:cs="Calibri"/>
          <w:color w:val="000000"/>
          <w:sz w:val="20"/>
          <w:szCs w:val="20"/>
          <w:lang w:eastAsia="en-AU"/>
        </w:rPr>
      </w:pPr>
      <w:r w:rsidRPr="3A584A76">
        <w:rPr>
          <w:rFonts w:ascii="Calibri" w:eastAsia="Times New Roman" w:hAnsi="Calibri" w:cs="Calibri"/>
          <w:color w:val="000000" w:themeColor="text1"/>
          <w:lang w:eastAsia="en-AU"/>
        </w:rPr>
        <w:t>For example, the UK introduced the Teaching Excellence Framework (TEF) to better inform students’ choices about where and what to study and recognise and reward excellent teaching (among other objectives) (Gunn 2018). The TEF began development in 2015, and underwent a series of policy development stages, technical consultations, and co-development with the higher education sector. The TEF consists of three components (teaching quality, learning environment, and student outcomes), and results in each provider receiving a Bronze, Silver, or Gold rating.  </w:t>
      </w:r>
    </w:p>
    <w:p w14:paraId="1860B65D" w14:textId="22138248" w:rsidR="7E579B37" w:rsidRDefault="00B707E9" w:rsidP="00DB0012">
      <w:pPr>
        <w:spacing w:line="240" w:lineRule="auto"/>
        <w:rPr>
          <w:rFonts w:ascii="Calibri" w:eastAsia="Times New Roman" w:hAnsi="Calibri" w:cs="Calibri"/>
          <w:color w:val="000000" w:themeColor="text1"/>
          <w:sz w:val="20"/>
          <w:szCs w:val="20"/>
          <w:lang w:eastAsia="en-AU"/>
        </w:rPr>
      </w:pPr>
      <w:r w:rsidRPr="7E579B37">
        <w:rPr>
          <w:rFonts w:ascii="Calibri" w:eastAsia="Times New Roman" w:hAnsi="Calibri" w:cs="Calibri"/>
          <w:color w:val="000000" w:themeColor="text1"/>
          <w:lang w:eastAsia="en-AU"/>
        </w:rPr>
        <w:t>There is evidence that the TEF has increased the perceived importance of teaching among university leaders (Gunn 2018). There is also evidence that TEF influences prospective students’ behaviour. A survey of 9,000 students found half would have reconsidered or not applied to their university if they had known it would be rated Bronze (</w:t>
      </w:r>
      <w:proofErr w:type="spellStart"/>
      <w:r w:rsidRPr="7E579B37">
        <w:rPr>
          <w:rFonts w:ascii="Calibri" w:eastAsia="Times New Roman" w:hAnsi="Calibri" w:cs="Calibri"/>
          <w:color w:val="000000" w:themeColor="text1"/>
          <w:lang w:eastAsia="en-AU"/>
        </w:rPr>
        <w:t>Trendence</w:t>
      </w:r>
      <w:proofErr w:type="spellEnd"/>
      <w:r w:rsidRPr="7E579B37">
        <w:rPr>
          <w:rFonts w:ascii="Calibri" w:eastAsia="Times New Roman" w:hAnsi="Calibri" w:cs="Calibri"/>
          <w:color w:val="000000" w:themeColor="text1"/>
          <w:lang w:eastAsia="en-AU"/>
        </w:rPr>
        <w:t xml:space="preserve"> UK 2017). </w:t>
      </w:r>
      <w:r w:rsidRPr="00B707E9">
        <w:rPr>
          <w:rFonts w:ascii="Calibri" w:eastAsia="Times New Roman" w:hAnsi="Calibri" w:cs="Calibri"/>
          <w:sz w:val="24"/>
          <w:szCs w:val="24"/>
          <w:lang w:eastAsia="en-AU"/>
        </w:rPr>
        <w:t> </w:t>
      </w:r>
    </w:p>
    <w:p w14:paraId="33456E55" w14:textId="5E04534D" w:rsidR="00B707E9" w:rsidRPr="00A02275" w:rsidRDefault="00A02275" w:rsidP="00A02275">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2.6.2 </w:t>
      </w:r>
      <w:r w:rsidR="00B707E9" w:rsidRPr="00A02275">
        <w:rPr>
          <w:rFonts w:asciiTheme="minorHAnsi" w:eastAsia="Times New Roman" w:hAnsiTheme="minorHAnsi" w:cstheme="minorHAnsi"/>
          <w:color w:val="002C3E" w:themeColor="background2"/>
          <w:lang w:eastAsia="en-AU"/>
        </w:rPr>
        <w:t>Option B: Transition funding to support performance improvement </w:t>
      </w:r>
    </w:p>
    <w:p w14:paraId="540C589E" w14:textId="62501B48" w:rsidR="00C038E1" w:rsidRPr="00086933" w:rsidRDefault="00B707E9" w:rsidP="00086933">
      <w:pPr>
        <w:spacing w:after="120" w:line="240" w:lineRule="auto"/>
        <w:textAlignment w:val="baseline"/>
        <w:rPr>
          <w:rFonts w:ascii="Calibri" w:eastAsia="Times New Roman" w:hAnsi="Calibri" w:cs="Calibri"/>
          <w:color w:val="000000"/>
          <w:sz w:val="20"/>
          <w:szCs w:val="20"/>
          <w:lang w:eastAsia="en-AU"/>
        </w:rPr>
      </w:pPr>
      <w:r w:rsidRPr="34F29948">
        <w:rPr>
          <w:rFonts w:ascii="Calibri" w:eastAsia="Times New Roman" w:hAnsi="Calibri" w:cs="Calibri"/>
          <w:color w:val="000000" w:themeColor="text1"/>
          <w:lang w:eastAsia="en-AU"/>
        </w:rPr>
        <w:t xml:space="preserve">A transition fund could support higher education providers to improve performance and assist with any costs associated with revising </w:t>
      </w:r>
      <w:r w:rsidR="005D529A">
        <w:rPr>
          <w:rFonts w:ascii="Calibri" w:eastAsia="Times New Roman" w:hAnsi="Calibri" w:cs="Calibri"/>
          <w:color w:val="000000" w:themeColor="text1"/>
          <w:lang w:eastAsia="en-AU"/>
        </w:rPr>
        <w:t>program</w:t>
      </w:r>
      <w:r w:rsidRPr="34F29948">
        <w:rPr>
          <w:rFonts w:ascii="Calibri" w:eastAsia="Times New Roman" w:hAnsi="Calibri" w:cs="Calibri"/>
          <w:color w:val="000000" w:themeColor="text1"/>
          <w:lang w:eastAsia="en-AU"/>
        </w:rPr>
        <w:t xml:space="preserve"> design and delivery to </w:t>
      </w:r>
      <w:r w:rsidR="00050D66" w:rsidRPr="34F29948">
        <w:rPr>
          <w:rFonts w:ascii="Calibri" w:eastAsia="Times New Roman" w:hAnsi="Calibri" w:cs="Calibri"/>
          <w:color w:val="000000" w:themeColor="text1"/>
          <w:lang w:eastAsia="en-AU"/>
        </w:rPr>
        <w:t xml:space="preserve">incorporate </w:t>
      </w:r>
      <w:r w:rsidR="00AC0E5C" w:rsidRPr="34F29948">
        <w:rPr>
          <w:rFonts w:ascii="Calibri" w:eastAsia="Times New Roman" w:hAnsi="Calibri" w:cs="Calibri"/>
          <w:color w:val="000000" w:themeColor="text1"/>
          <w:lang w:eastAsia="en-AU"/>
        </w:rPr>
        <w:t xml:space="preserve">core content and </w:t>
      </w:r>
      <w:r w:rsidRPr="34F29948">
        <w:rPr>
          <w:rFonts w:ascii="Calibri" w:eastAsia="Times New Roman" w:hAnsi="Calibri" w:cs="Calibri"/>
          <w:color w:val="000000" w:themeColor="text1"/>
          <w:lang w:eastAsia="en-AU"/>
        </w:rPr>
        <w:t xml:space="preserve">meet revised accreditation standards. Transition funding </w:t>
      </w:r>
      <w:r w:rsidR="00AC0E5C" w:rsidRPr="34F29948">
        <w:rPr>
          <w:rFonts w:ascii="Calibri" w:eastAsia="Times New Roman" w:hAnsi="Calibri" w:cs="Calibri"/>
          <w:color w:val="000000" w:themeColor="text1"/>
          <w:lang w:eastAsia="en-AU"/>
        </w:rPr>
        <w:t xml:space="preserve">could </w:t>
      </w:r>
      <w:r w:rsidRPr="34F29948">
        <w:rPr>
          <w:rFonts w:ascii="Calibri" w:eastAsia="Times New Roman" w:hAnsi="Calibri" w:cs="Calibri"/>
          <w:color w:val="000000" w:themeColor="text1"/>
          <w:lang w:eastAsia="en-AU"/>
        </w:rPr>
        <w:t xml:space="preserve">help lift the quality of ITE </w:t>
      </w:r>
      <w:r w:rsidR="00A32BE6">
        <w:rPr>
          <w:rFonts w:ascii="Calibri" w:eastAsia="Times New Roman" w:hAnsi="Calibri" w:cs="Calibri"/>
          <w:color w:val="000000" w:themeColor="text1"/>
          <w:lang w:eastAsia="en-AU"/>
        </w:rPr>
        <w:t>programs</w:t>
      </w:r>
      <w:r w:rsidRPr="34F29948">
        <w:rPr>
          <w:rFonts w:ascii="Calibri" w:eastAsia="Times New Roman" w:hAnsi="Calibri" w:cs="Calibri"/>
          <w:color w:val="000000" w:themeColor="text1"/>
          <w:lang w:eastAsia="en-AU"/>
        </w:rPr>
        <w:t xml:space="preserve"> delivered nationally by ensuring all providers are supported to improve their performance.  </w:t>
      </w:r>
    </w:p>
    <w:p w14:paraId="74F5F719" w14:textId="0A418771" w:rsidR="00DF5D2A" w:rsidRPr="00021807" w:rsidRDefault="6165C7E6" w:rsidP="2C03F412">
      <w:pPr>
        <w:spacing w:after="0" w:line="240" w:lineRule="auto"/>
        <w:textAlignment w:val="baseline"/>
        <w:rPr>
          <w:rFonts w:ascii="Calibri" w:eastAsia="Times New Roman" w:hAnsi="Calibri" w:cs="Calibri"/>
          <w:lang w:eastAsia="en-AU"/>
        </w:rPr>
      </w:pPr>
      <w:r w:rsidRPr="2C03F412">
        <w:rPr>
          <w:rFonts w:ascii="Calibri" w:eastAsia="Times New Roman" w:hAnsi="Calibri" w:cs="Calibri"/>
          <w:lang w:eastAsia="en-AU"/>
        </w:rPr>
        <w:t xml:space="preserve">This transition funding would be open to all higher education providers and ring-fenced to </w:t>
      </w:r>
      <w:r w:rsidR="79F204FD" w:rsidRPr="2C03F412">
        <w:rPr>
          <w:rFonts w:ascii="Calibri" w:eastAsia="Times New Roman" w:hAnsi="Calibri" w:cs="Calibri"/>
          <w:lang w:eastAsia="en-AU"/>
        </w:rPr>
        <w:t xml:space="preserve">ITE </w:t>
      </w:r>
      <w:r w:rsidR="02DA0544" w:rsidRPr="2C03F412">
        <w:rPr>
          <w:rFonts w:ascii="Calibri" w:eastAsia="Times New Roman" w:hAnsi="Calibri" w:cs="Calibri"/>
          <w:lang w:eastAsia="en-AU"/>
        </w:rPr>
        <w:t>programs</w:t>
      </w:r>
      <w:r w:rsidRPr="2C03F412">
        <w:rPr>
          <w:rFonts w:ascii="Calibri" w:eastAsia="Times New Roman" w:hAnsi="Calibri" w:cs="Calibri"/>
          <w:lang w:eastAsia="en-AU"/>
        </w:rPr>
        <w:t xml:space="preserve">. Higher education providers </w:t>
      </w:r>
      <w:r w:rsidR="49AFAFFB" w:rsidRPr="2C03F412">
        <w:rPr>
          <w:rFonts w:ascii="Calibri" w:eastAsia="Times New Roman" w:hAnsi="Calibri" w:cs="Calibri"/>
          <w:lang w:eastAsia="en-AU"/>
        </w:rPr>
        <w:t>could</w:t>
      </w:r>
      <w:r w:rsidRPr="2C03F412">
        <w:rPr>
          <w:rFonts w:ascii="Calibri" w:eastAsia="Times New Roman" w:hAnsi="Calibri" w:cs="Calibri"/>
          <w:lang w:eastAsia="en-AU"/>
        </w:rPr>
        <w:t xml:space="preserve"> apply for this funding by submitting a performance improvement plan on </w:t>
      </w:r>
      <w:r w:rsidR="186B1143" w:rsidRPr="2C03F412">
        <w:rPr>
          <w:rFonts w:ascii="Calibri" w:eastAsia="Times New Roman" w:hAnsi="Calibri" w:cs="Calibri"/>
          <w:lang w:eastAsia="en-AU"/>
        </w:rPr>
        <w:t xml:space="preserve">how they would </w:t>
      </w:r>
      <w:r w:rsidRPr="2C03F412">
        <w:rPr>
          <w:rFonts w:ascii="Calibri" w:eastAsia="Times New Roman" w:hAnsi="Calibri" w:cs="Calibri"/>
          <w:lang w:eastAsia="en-AU"/>
        </w:rPr>
        <w:t>implement the accreditation changes and improv</w:t>
      </w:r>
      <w:r w:rsidR="186B1143" w:rsidRPr="2C03F412">
        <w:rPr>
          <w:rFonts w:ascii="Calibri" w:eastAsia="Times New Roman" w:hAnsi="Calibri" w:cs="Calibri"/>
          <w:lang w:eastAsia="en-AU"/>
        </w:rPr>
        <w:t>e</w:t>
      </w:r>
      <w:r w:rsidRPr="2C03F412">
        <w:rPr>
          <w:rFonts w:ascii="Calibri" w:eastAsia="Times New Roman" w:hAnsi="Calibri" w:cs="Calibri"/>
          <w:lang w:eastAsia="en-AU"/>
        </w:rPr>
        <w:t xml:space="preserve"> quality. Funding could be made available over a set period of time and be used to support initiatives to enhance the quality of ITE </w:t>
      </w:r>
      <w:r w:rsidR="4C228184" w:rsidRPr="2C03F412">
        <w:rPr>
          <w:rFonts w:ascii="Calibri" w:eastAsia="Times New Roman" w:hAnsi="Calibri" w:cs="Calibri"/>
          <w:lang w:eastAsia="en-AU"/>
        </w:rPr>
        <w:t xml:space="preserve">program </w:t>
      </w:r>
      <w:r w:rsidRPr="2C03F412">
        <w:rPr>
          <w:rFonts w:ascii="Calibri" w:eastAsia="Times New Roman" w:hAnsi="Calibri" w:cs="Calibri"/>
          <w:lang w:eastAsia="en-AU"/>
        </w:rPr>
        <w:t>delivery, including: </w:t>
      </w:r>
    </w:p>
    <w:p w14:paraId="1B15793D" w14:textId="3C93196D" w:rsidR="00DF5D2A" w:rsidRPr="00021807" w:rsidRDefault="00565CDB" w:rsidP="00645BD5">
      <w:pPr>
        <w:pStyle w:val="ListParagraph"/>
        <w:numPr>
          <w:ilvl w:val="0"/>
          <w:numId w:val="12"/>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d</w:t>
      </w:r>
      <w:r w:rsidR="00B707E9" w:rsidRPr="00021807">
        <w:rPr>
          <w:rFonts w:ascii="Calibri" w:eastAsia="Times New Roman" w:hAnsi="Calibri" w:cs="Calibri"/>
          <w:color w:val="000000"/>
          <w:sz w:val="22"/>
          <w:szCs w:val="22"/>
          <w:lang w:eastAsia="en-AU"/>
        </w:rPr>
        <w:t xml:space="preserve">eveloping resources to </w:t>
      </w:r>
      <w:r w:rsidR="00C513FB">
        <w:rPr>
          <w:rFonts w:ascii="Calibri" w:eastAsia="Times New Roman" w:hAnsi="Calibri" w:cs="Calibri"/>
          <w:color w:val="000000"/>
          <w:sz w:val="22"/>
          <w:szCs w:val="22"/>
          <w:lang w:eastAsia="en-AU"/>
        </w:rPr>
        <w:t>incorporate core content into</w:t>
      </w:r>
      <w:r w:rsidR="00B707E9" w:rsidRPr="00021807">
        <w:rPr>
          <w:rFonts w:ascii="Calibri" w:eastAsia="Times New Roman" w:hAnsi="Calibri" w:cs="Calibri"/>
          <w:color w:val="000000"/>
          <w:sz w:val="22"/>
          <w:szCs w:val="22"/>
          <w:lang w:eastAsia="en-AU"/>
        </w:rPr>
        <w:t xml:space="preserve"> </w:t>
      </w:r>
      <w:r w:rsidR="005D529A">
        <w:rPr>
          <w:rFonts w:ascii="Calibri" w:eastAsia="Times New Roman" w:hAnsi="Calibri" w:cs="Calibri"/>
          <w:color w:val="000000"/>
          <w:sz w:val="22"/>
          <w:szCs w:val="22"/>
          <w:lang w:eastAsia="en-AU"/>
        </w:rPr>
        <w:t>program</w:t>
      </w:r>
      <w:r w:rsidR="00B707E9" w:rsidRPr="00021807">
        <w:rPr>
          <w:rFonts w:ascii="Calibri" w:eastAsia="Times New Roman" w:hAnsi="Calibri" w:cs="Calibri"/>
          <w:color w:val="000000"/>
          <w:sz w:val="22"/>
          <w:szCs w:val="22"/>
          <w:lang w:eastAsia="en-AU"/>
        </w:rPr>
        <w:t xml:space="preserve"> design, including partnerships with other providers</w:t>
      </w:r>
    </w:p>
    <w:p w14:paraId="21D8D614" w14:textId="1B1AFD8D" w:rsidR="00DF5D2A" w:rsidRPr="00021807" w:rsidRDefault="00565CDB" w:rsidP="00645BD5">
      <w:pPr>
        <w:pStyle w:val="ListParagraph"/>
        <w:numPr>
          <w:ilvl w:val="0"/>
          <w:numId w:val="12"/>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e</w:t>
      </w:r>
      <w:r w:rsidR="00B707E9" w:rsidRPr="00021807">
        <w:rPr>
          <w:rFonts w:ascii="Calibri" w:eastAsia="Times New Roman" w:hAnsi="Calibri" w:cs="Calibri"/>
          <w:color w:val="000000"/>
          <w:sz w:val="22"/>
          <w:szCs w:val="22"/>
          <w:lang w:eastAsia="en-AU"/>
        </w:rPr>
        <w:t>ncouraging collaboration between universities and employers to improve quality </w:t>
      </w:r>
    </w:p>
    <w:p w14:paraId="16998A98" w14:textId="7405CC25" w:rsidR="00DF5D2A" w:rsidRPr="00021807" w:rsidRDefault="00565CDB" w:rsidP="00645BD5">
      <w:pPr>
        <w:pStyle w:val="ListParagraph"/>
        <w:numPr>
          <w:ilvl w:val="0"/>
          <w:numId w:val="12"/>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p</w:t>
      </w:r>
      <w:r w:rsidR="00B707E9" w:rsidRPr="00021807">
        <w:rPr>
          <w:rFonts w:ascii="Calibri" w:eastAsia="Times New Roman" w:hAnsi="Calibri" w:cs="Calibri"/>
          <w:color w:val="000000"/>
          <w:sz w:val="22"/>
          <w:szCs w:val="22"/>
          <w:lang w:eastAsia="en-AU"/>
        </w:rPr>
        <w:t>rofessional development of staff </w:t>
      </w:r>
    </w:p>
    <w:p w14:paraId="1B66AE15" w14:textId="43F84A59" w:rsidR="00DF5D2A" w:rsidRPr="00021807" w:rsidRDefault="00565CDB" w:rsidP="00645BD5">
      <w:pPr>
        <w:pStyle w:val="ListParagraph"/>
        <w:numPr>
          <w:ilvl w:val="0"/>
          <w:numId w:val="12"/>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a</w:t>
      </w:r>
      <w:r w:rsidR="00B707E9" w:rsidRPr="00021807">
        <w:rPr>
          <w:rFonts w:ascii="Calibri" w:eastAsia="Times New Roman" w:hAnsi="Calibri" w:cs="Calibri"/>
          <w:color w:val="000000"/>
          <w:sz w:val="22"/>
          <w:szCs w:val="22"/>
          <w:lang w:eastAsia="en-AU"/>
        </w:rPr>
        <w:t xml:space="preserve">ssisting with </w:t>
      </w:r>
      <w:r w:rsidR="005D529A">
        <w:rPr>
          <w:rFonts w:ascii="Calibri" w:eastAsia="Times New Roman" w:hAnsi="Calibri" w:cs="Calibri"/>
          <w:color w:val="000000"/>
          <w:sz w:val="22"/>
          <w:szCs w:val="22"/>
          <w:lang w:eastAsia="en-AU"/>
        </w:rPr>
        <w:t>program</w:t>
      </w:r>
      <w:r w:rsidR="00B707E9" w:rsidRPr="00021807">
        <w:rPr>
          <w:rFonts w:ascii="Calibri" w:eastAsia="Times New Roman" w:hAnsi="Calibri" w:cs="Calibri"/>
          <w:color w:val="000000"/>
          <w:sz w:val="22"/>
          <w:szCs w:val="22"/>
          <w:lang w:eastAsia="en-AU"/>
        </w:rPr>
        <w:t xml:space="preserve"> delivery such as additional lecturers or administrative support </w:t>
      </w:r>
    </w:p>
    <w:p w14:paraId="4D310C55" w14:textId="366834E5" w:rsidR="00DF5D2A" w:rsidRPr="00021807" w:rsidRDefault="00565CDB" w:rsidP="00645BD5">
      <w:pPr>
        <w:pStyle w:val="ListParagraph"/>
        <w:numPr>
          <w:ilvl w:val="0"/>
          <w:numId w:val="12"/>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i</w:t>
      </w:r>
      <w:r w:rsidR="00B707E9" w:rsidRPr="00021807">
        <w:rPr>
          <w:rFonts w:ascii="Calibri" w:eastAsia="Times New Roman" w:hAnsi="Calibri" w:cs="Calibri"/>
          <w:color w:val="000000"/>
          <w:sz w:val="22"/>
          <w:szCs w:val="22"/>
          <w:lang w:eastAsia="en-AU"/>
        </w:rPr>
        <w:t xml:space="preserve">mproving support for students, including coordinating </w:t>
      </w:r>
      <w:r w:rsidR="00D50C37" w:rsidRPr="00D50C37">
        <w:rPr>
          <w:rFonts w:ascii="Calibri" w:eastAsia="Times New Roman" w:hAnsi="Calibri" w:cs="Calibri"/>
          <w:color w:val="000000"/>
          <w:sz w:val="22"/>
          <w:szCs w:val="22"/>
          <w:lang w:eastAsia="en-AU"/>
        </w:rPr>
        <w:t>practical experience</w:t>
      </w:r>
      <w:r w:rsidR="007611C7">
        <w:rPr>
          <w:rFonts w:ascii="Calibri" w:eastAsia="Times New Roman" w:hAnsi="Calibri" w:cs="Calibri"/>
          <w:color w:val="000000"/>
          <w:sz w:val="22"/>
          <w:szCs w:val="22"/>
          <w:lang w:eastAsia="en-AU"/>
        </w:rPr>
        <w:t>,</w:t>
      </w:r>
      <w:r>
        <w:rPr>
          <w:rFonts w:ascii="Calibri" w:eastAsia="Times New Roman" w:hAnsi="Calibri" w:cs="Calibri"/>
          <w:color w:val="000000"/>
          <w:sz w:val="22"/>
          <w:szCs w:val="22"/>
          <w:lang w:eastAsia="en-AU"/>
        </w:rPr>
        <w:t xml:space="preserve"> </w:t>
      </w:r>
      <w:r w:rsidR="00B707E9" w:rsidRPr="00021807">
        <w:rPr>
          <w:rFonts w:ascii="Calibri" w:eastAsia="Times New Roman" w:hAnsi="Calibri" w:cs="Calibri"/>
          <w:color w:val="000000"/>
          <w:sz w:val="22"/>
          <w:szCs w:val="22"/>
          <w:lang w:eastAsia="en-AU"/>
        </w:rPr>
        <w:t>and  </w:t>
      </w:r>
    </w:p>
    <w:p w14:paraId="05780A1F" w14:textId="7E0C5D86" w:rsidR="00B707E9" w:rsidRPr="00021807" w:rsidRDefault="00565CDB" w:rsidP="00645BD5">
      <w:pPr>
        <w:pStyle w:val="ListParagraph"/>
        <w:numPr>
          <w:ilvl w:val="0"/>
          <w:numId w:val="12"/>
        </w:numPr>
        <w:spacing w:after="120"/>
        <w:textAlignment w:val="baseline"/>
        <w:rPr>
          <w:rFonts w:ascii="Calibri" w:eastAsia="Times New Roman" w:hAnsi="Calibri" w:cs="Calibri"/>
          <w:color w:val="000000" w:themeColor="text1"/>
          <w:sz w:val="22"/>
          <w:szCs w:val="22"/>
          <w:lang w:eastAsia="en-AU"/>
        </w:rPr>
      </w:pPr>
      <w:r>
        <w:rPr>
          <w:rFonts w:ascii="Calibri" w:eastAsia="Times New Roman" w:hAnsi="Calibri" w:cs="Calibri"/>
          <w:color w:val="000000" w:themeColor="text1"/>
          <w:sz w:val="22"/>
          <w:szCs w:val="22"/>
          <w:lang w:eastAsia="en-AU"/>
        </w:rPr>
        <w:t>b</w:t>
      </w:r>
      <w:r w:rsidR="00B707E9" w:rsidRPr="34F29948">
        <w:rPr>
          <w:rFonts w:ascii="Calibri" w:eastAsia="Times New Roman" w:hAnsi="Calibri" w:cs="Calibri"/>
          <w:color w:val="000000" w:themeColor="text1"/>
          <w:sz w:val="22"/>
          <w:szCs w:val="22"/>
          <w:lang w:eastAsia="en-AU"/>
        </w:rPr>
        <w:t>uilding the evidence base on effective ITE practices e.g., longitudinal research</w:t>
      </w:r>
      <w:r w:rsidR="7FFFD2CE" w:rsidRPr="621397E4">
        <w:rPr>
          <w:rFonts w:ascii="Calibri" w:eastAsia="Times New Roman" w:hAnsi="Calibri" w:cs="Calibri"/>
          <w:color w:val="000000" w:themeColor="text1"/>
          <w:sz w:val="22"/>
          <w:szCs w:val="22"/>
          <w:lang w:eastAsia="en-AU"/>
        </w:rPr>
        <w:t>.</w:t>
      </w:r>
      <w:r w:rsidR="00B707E9" w:rsidRPr="621397E4">
        <w:rPr>
          <w:rFonts w:ascii="Calibri" w:eastAsia="Times New Roman" w:hAnsi="Calibri" w:cs="Calibri"/>
          <w:color w:val="000000" w:themeColor="text1"/>
          <w:sz w:val="22"/>
          <w:szCs w:val="22"/>
          <w:lang w:eastAsia="en-AU"/>
        </w:rPr>
        <w:t> </w:t>
      </w:r>
    </w:p>
    <w:p w14:paraId="66166016" w14:textId="5BC2280D" w:rsidR="00B707E9" w:rsidRPr="00021807" w:rsidRDefault="00B707E9" w:rsidP="621397E4">
      <w:pPr>
        <w:spacing w:after="120" w:line="240" w:lineRule="auto"/>
        <w:textAlignment w:val="baseline"/>
        <w:rPr>
          <w:rFonts w:ascii="Calibri" w:eastAsia="Times New Roman" w:hAnsi="Calibri" w:cs="Calibri"/>
          <w:color w:val="000000"/>
          <w:sz w:val="20"/>
          <w:szCs w:val="20"/>
          <w:lang w:eastAsia="en-AU"/>
        </w:rPr>
      </w:pPr>
      <w:r w:rsidRPr="34F29948">
        <w:rPr>
          <w:rFonts w:ascii="Calibri" w:eastAsia="Times New Roman" w:hAnsi="Calibri" w:cs="Calibri"/>
          <w:color w:val="000000" w:themeColor="text1"/>
          <w:lang w:eastAsia="en-AU"/>
        </w:rPr>
        <w:t xml:space="preserve">The impact of the transition funding on </w:t>
      </w:r>
      <w:r w:rsidR="008C7F91">
        <w:rPr>
          <w:rFonts w:ascii="Calibri" w:eastAsia="Times New Roman" w:hAnsi="Calibri" w:cs="Calibri"/>
          <w:color w:val="000000" w:themeColor="text1"/>
          <w:lang w:eastAsia="en-AU"/>
        </w:rPr>
        <w:t>ITE</w:t>
      </w:r>
      <w:r w:rsidRPr="34F29948">
        <w:rPr>
          <w:rFonts w:ascii="Calibri" w:eastAsia="Times New Roman" w:hAnsi="Calibri" w:cs="Calibri"/>
          <w:color w:val="000000" w:themeColor="text1"/>
          <w:lang w:eastAsia="en-AU"/>
        </w:rPr>
        <w:t xml:space="preserve"> </w:t>
      </w:r>
      <w:r w:rsidR="00D269FA">
        <w:t>program</w:t>
      </w:r>
      <w:r w:rsidR="00D269FA" w:rsidRPr="0000363F">
        <w:rPr>
          <w:rFonts w:ascii="Calibri" w:eastAsia="Times New Roman" w:hAnsi="Calibri" w:cs="Calibri"/>
          <w:color w:val="000000" w:themeColor="text1"/>
          <w:lang w:eastAsia="en-AU"/>
        </w:rPr>
        <w:t xml:space="preserve"> </w:t>
      </w:r>
      <w:r w:rsidRPr="0000363F">
        <w:rPr>
          <w:rFonts w:ascii="Calibri" w:eastAsia="Times New Roman" w:hAnsi="Calibri" w:cs="Calibri"/>
          <w:color w:val="000000" w:themeColor="text1"/>
          <w:lang w:eastAsia="en-AU"/>
        </w:rPr>
        <w:t xml:space="preserve">delivery </w:t>
      </w:r>
      <w:r w:rsidR="003971C6" w:rsidRPr="0000363F">
        <w:rPr>
          <w:rFonts w:ascii="Calibri" w:eastAsia="Times New Roman" w:hAnsi="Calibri" w:cs="Calibri"/>
          <w:color w:val="000000" w:themeColor="text1"/>
          <w:lang w:eastAsia="en-AU"/>
        </w:rPr>
        <w:t>c</w:t>
      </w:r>
      <w:r w:rsidRPr="0000363F">
        <w:rPr>
          <w:rFonts w:ascii="Calibri" w:eastAsia="Times New Roman" w:hAnsi="Calibri" w:cs="Calibri"/>
          <w:color w:val="000000" w:themeColor="text1"/>
          <w:lang w:eastAsia="en-AU"/>
        </w:rPr>
        <w:t xml:space="preserve">ould be measured through </w:t>
      </w:r>
      <w:r w:rsidR="0000363F" w:rsidRPr="0000363F">
        <w:rPr>
          <w:rFonts w:ascii="Calibri" w:eastAsia="Times New Roman" w:hAnsi="Calibri" w:cs="Calibri"/>
          <w:color w:val="000000" w:themeColor="text1"/>
          <w:lang w:eastAsia="en-AU"/>
        </w:rPr>
        <w:t>the</w:t>
      </w:r>
      <w:r w:rsidRPr="0000363F">
        <w:rPr>
          <w:rFonts w:ascii="Calibri" w:eastAsia="Times New Roman" w:hAnsi="Calibri" w:cs="Calibri"/>
          <w:color w:val="000000" w:themeColor="text1"/>
          <w:lang w:eastAsia="en-AU"/>
        </w:rPr>
        <w:t xml:space="preserve"> annual assessment </w:t>
      </w:r>
      <w:r w:rsidR="005D4B57">
        <w:rPr>
          <w:rFonts w:ascii="Calibri" w:eastAsia="Times New Roman" w:hAnsi="Calibri" w:cs="Calibri"/>
          <w:color w:val="000000" w:themeColor="text1"/>
          <w:lang w:eastAsia="en-AU"/>
        </w:rPr>
        <w:t xml:space="preserve">of higher education providers </w:t>
      </w:r>
      <w:r w:rsidRPr="0000363F">
        <w:rPr>
          <w:rFonts w:ascii="Calibri" w:eastAsia="Times New Roman" w:hAnsi="Calibri" w:cs="Calibri"/>
          <w:color w:val="000000" w:themeColor="text1"/>
          <w:lang w:eastAsia="en-AU"/>
        </w:rPr>
        <w:t xml:space="preserve">against </w:t>
      </w:r>
      <w:r w:rsidR="003971C6" w:rsidRPr="0000363F">
        <w:rPr>
          <w:rFonts w:ascii="Calibri" w:eastAsia="Times New Roman" w:hAnsi="Calibri" w:cs="Calibri"/>
          <w:color w:val="000000" w:themeColor="text1"/>
          <w:lang w:eastAsia="en-AU"/>
        </w:rPr>
        <w:t xml:space="preserve">the </w:t>
      </w:r>
      <w:r w:rsidR="005D4B57">
        <w:rPr>
          <w:rFonts w:ascii="Calibri" w:eastAsia="Times New Roman" w:hAnsi="Calibri" w:cs="Calibri"/>
          <w:color w:val="000000" w:themeColor="text1"/>
          <w:lang w:eastAsia="en-AU"/>
        </w:rPr>
        <w:t>p</w:t>
      </w:r>
      <w:r w:rsidR="7E76ABBC" w:rsidRPr="5CDA2473">
        <w:rPr>
          <w:rFonts w:ascii="Calibri" w:eastAsia="Times New Roman" w:hAnsi="Calibri" w:cs="Calibri"/>
          <w:color w:val="000000" w:themeColor="text1"/>
          <w:lang w:eastAsia="en-AU"/>
        </w:rPr>
        <w:t>erformance</w:t>
      </w:r>
      <w:r w:rsidRPr="0000363F">
        <w:rPr>
          <w:rFonts w:ascii="Calibri" w:eastAsia="Times New Roman" w:hAnsi="Calibri" w:cs="Calibri"/>
          <w:color w:val="000000" w:themeColor="text1"/>
          <w:lang w:eastAsia="en-AU"/>
        </w:rPr>
        <w:t xml:space="preserve"> </w:t>
      </w:r>
      <w:r w:rsidR="005D4B57">
        <w:rPr>
          <w:rFonts w:ascii="Calibri" w:eastAsia="Times New Roman" w:hAnsi="Calibri" w:cs="Calibri"/>
          <w:color w:val="000000" w:themeColor="text1"/>
          <w:lang w:eastAsia="en-AU"/>
        </w:rPr>
        <w:t>m</w:t>
      </w:r>
      <w:r w:rsidRPr="0000363F">
        <w:rPr>
          <w:rFonts w:ascii="Calibri" w:eastAsia="Times New Roman" w:hAnsi="Calibri" w:cs="Calibri"/>
          <w:color w:val="000000" w:themeColor="text1"/>
          <w:lang w:eastAsia="en-AU"/>
        </w:rPr>
        <w:t>easure</w:t>
      </w:r>
      <w:r w:rsidR="005D4B57">
        <w:rPr>
          <w:rFonts w:ascii="Calibri" w:eastAsia="Times New Roman" w:hAnsi="Calibri" w:cs="Calibri"/>
          <w:color w:val="000000" w:themeColor="text1"/>
          <w:lang w:eastAsia="en-AU"/>
        </w:rPr>
        <w:t>s</w:t>
      </w:r>
      <w:r w:rsidRPr="0000363F">
        <w:rPr>
          <w:rFonts w:ascii="Calibri" w:eastAsia="Times New Roman" w:hAnsi="Calibri" w:cs="Calibri"/>
          <w:color w:val="000000" w:themeColor="text1"/>
          <w:lang w:eastAsia="en-AU"/>
        </w:rPr>
        <w:t>. For example, G</w:t>
      </w:r>
      <w:r w:rsidRPr="34F29948">
        <w:rPr>
          <w:rFonts w:ascii="Calibri" w:eastAsia="Times New Roman" w:hAnsi="Calibri" w:cs="Calibri"/>
          <w:color w:val="000000" w:themeColor="text1"/>
          <w:lang w:eastAsia="en-AU"/>
        </w:rPr>
        <w:t xml:space="preserve">ermany implemented the ‘Pact for Quality in Teaching’ initiative </w:t>
      </w:r>
      <w:r w:rsidR="00A51115">
        <w:rPr>
          <w:rFonts w:ascii="Calibri" w:eastAsia="Times New Roman" w:hAnsi="Calibri" w:cs="Calibri"/>
          <w:color w:val="000000" w:themeColor="text1"/>
          <w:lang w:eastAsia="en-AU"/>
        </w:rPr>
        <w:t xml:space="preserve">for their higher education sector </w:t>
      </w:r>
      <w:r w:rsidRPr="34F29948">
        <w:rPr>
          <w:rFonts w:ascii="Calibri" w:eastAsia="Times New Roman" w:hAnsi="Calibri" w:cs="Calibri"/>
          <w:color w:val="000000" w:themeColor="text1"/>
          <w:lang w:eastAsia="en-AU"/>
        </w:rPr>
        <w:t>from 2011 to 2020</w:t>
      </w:r>
      <w:r w:rsidR="005D02D7">
        <w:rPr>
          <w:rFonts w:ascii="Calibri" w:eastAsia="Times New Roman" w:hAnsi="Calibri" w:cs="Calibri"/>
          <w:color w:val="000000" w:themeColor="text1"/>
          <w:lang w:eastAsia="en-AU"/>
        </w:rPr>
        <w:t xml:space="preserve"> (for all </w:t>
      </w:r>
      <w:r w:rsidR="005D529A">
        <w:rPr>
          <w:rFonts w:ascii="Calibri" w:eastAsia="Times New Roman" w:hAnsi="Calibri" w:cs="Calibri"/>
          <w:color w:val="000000" w:themeColor="text1"/>
          <w:lang w:eastAsia="en-AU"/>
        </w:rPr>
        <w:t>courses</w:t>
      </w:r>
      <w:r w:rsidR="005D02D7">
        <w:rPr>
          <w:rFonts w:ascii="Calibri" w:eastAsia="Times New Roman" w:hAnsi="Calibri" w:cs="Calibri"/>
          <w:color w:val="000000" w:themeColor="text1"/>
          <w:lang w:eastAsia="en-AU"/>
        </w:rPr>
        <w:t xml:space="preserve"> including ITE)</w:t>
      </w:r>
      <w:r w:rsidRPr="34F29948">
        <w:rPr>
          <w:rFonts w:ascii="Calibri" w:eastAsia="Times New Roman" w:hAnsi="Calibri" w:cs="Calibri"/>
          <w:color w:val="000000" w:themeColor="text1"/>
          <w:lang w:eastAsia="en-AU"/>
        </w:rPr>
        <w:t xml:space="preserve">. Around €2 billion (approx. AUD$3 billion) was </w:t>
      </w:r>
      <w:r w:rsidRPr="34F29948">
        <w:rPr>
          <w:rFonts w:ascii="Calibri" w:eastAsia="Times New Roman" w:hAnsi="Calibri" w:cs="Calibri"/>
          <w:color w:val="000000" w:themeColor="text1"/>
          <w:lang w:eastAsia="en-AU"/>
        </w:rPr>
        <w:lastRenderedPageBreak/>
        <w:t>provided to universities to improve staffing, support the qualification of staff, and develop high-quality teaching</w:t>
      </w:r>
      <w:r w:rsidR="005D529A">
        <w:rPr>
          <w:rFonts w:ascii="Calibri" w:eastAsia="Times New Roman" w:hAnsi="Calibri" w:cs="Calibri"/>
          <w:color w:val="000000" w:themeColor="text1"/>
          <w:lang w:eastAsia="en-AU"/>
        </w:rPr>
        <w:t xml:space="preserve"> across courses</w:t>
      </w:r>
      <w:r w:rsidRPr="34F29948">
        <w:rPr>
          <w:rFonts w:ascii="Calibri" w:eastAsia="Times New Roman" w:hAnsi="Calibri" w:cs="Calibri"/>
          <w:color w:val="000000" w:themeColor="text1"/>
          <w:lang w:eastAsia="en-AU"/>
        </w:rPr>
        <w:t xml:space="preserve"> (German Federal Ministry of Education and Research 2022). Universities were given discretion about how they spent that money. For example, some universities chose to improve student-to-staff ratios in overcrowded courses, while others focused on developing new elite programs (Grove 2017).  </w:t>
      </w:r>
    </w:p>
    <w:p w14:paraId="4A842800" w14:textId="5A8F96B2" w:rsidR="00AA7E6E" w:rsidRDefault="00B707E9" w:rsidP="007A6A0F">
      <w:pPr>
        <w:spacing w:after="120" w:line="240" w:lineRule="auto"/>
        <w:textAlignment w:val="baseline"/>
        <w:rPr>
          <w:b/>
          <w:sz w:val="26"/>
          <w:szCs w:val="26"/>
          <w:lang w:eastAsia="en-AU"/>
        </w:rPr>
      </w:pPr>
      <w:r w:rsidRPr="534D04FA">
        <w:rPr>
          <w:rFonts w:eastAsia="Times New Roman"/>
          <w:lang w:eastAsia="en-AU"/>
        </w:rPr>
        <w:t>The Pact for Quality in Teaching was evaluated over its entire program length (Schmidt et al. 2020). University stakeholders rated the program positively. This funding made the importance of teaching much more salient and helped inspire cultural and institutional change at universities. Importantly, the projects funded by the program also appeared to be sustainable after the end of program funding (Schmidt et al. 2020). </w:t>
      </w:r>
    </w:p>
    <w:p w14:paraId="59DBC177" w14:textId="0F3259FD" w:rsidR="00B707E9" w:rsidRPr="00A02275" w:rsidRDefault="00A02275" w:rsidP="00A02275">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2.6.3 </w:t>
      </w:r>
      <w:r w:rsidR="00B707E9" w:rsidRPr="00A02275">
        <w:rPr>
          <w:rFonts w:asciiTheme="minorHAnsi" w:eastAsia="Times New Roman" w:hAnsiTheme="minorHAnsi" w:cstheme="minorHAnsi"/>
          <w:color w:val="002C3E" w:themeColor="background2"/>
          <w:lang w:eastAsia="en-AU"/>
        </w:rPr>
        <w:t xml:space="preserve">Option C: Excellence pool for higher quality </w:t>
      </w:r>
      <w:r w:rsidR="005D529A">
        <w:rPr>
          <w:rFonts w:asciiTheme="minorHAnsi" w:eastAsia="Times New Roman" w:hAnsiTheme="minorHAnsi" w:cstheme="minorHAnsi"/>
          <w:color w:val="002C3E" w:themeColor="background2"/>
          <w:lang w:eastAsia="en-AU"/>
        </w:rPr>
        <w:t>ITE programs</w:t>
      </w:r>
      <w:r w:rsidR="00B707E9" w:rsidRPr="00A02275">
        <w:rPr>
          <w:rFonts w:asciiTheme="minorHAnsi" w:eastAsia="Times New Roman" w:hAnsiTheme="minorHAnsi" w:cstheme="minorHAnsi"/>
          <w:color w:val="002C3E" w:themeColor="background2"/>
          <w:lang w:eastAsia="en-AU"/>
        </w:rPr>
        <w:t> </w:t>
      </w:r>
    </w:p>
    <w:p w14:paraId="0D960EFD" w14:textId="2579C96F" w:rsidR="00CE6923" w:rsidRDefault="00B707E9" w:rsidP="00ED2244">
      <w:pPr>
        <w:spacing w:after="120" w:line="240" w:lineRule="auto"/>
      </w:pPr>
      <w:r w:rsidRPr="007C5CA7">
        <w:rPr>
          <w:lang w:eastAsia="en-AU"/>
        </w:rPr>
        <w:t xml:space="preserve">A longer-term option to encourage quality improvements </w:t>
      </w:r>
      <w:r w:rsidR="003971C6" w:rsidRPr="007C5CA7">
        <w:rPr>
          <w:lang w:eastAsia="en-AU"/>
        </w:rPr>
        <w:t>c</w:t>
      </w:r>
      <w:r w:rsidRPr="007C5CA7">
        <w:rPr>
          <w:lang w:eastAsia="en-AU"/>
        </w:rPr>
        <w:t xml:space="preserve">ould be to reward high performing </w:t>
      </w:r>
      <w:r w:rsidR="00CE6923" w:rsidRPr="007C5CA7">
        <w:rPr>
          <w:lang w:eastAsia="en-AU"/>
        </w:rPr>
        <w:t>ITE programs providers with additional funding to invest in further initiatives to improve quality and incentivise them to grow their ITE enrolments.</w:t>
      </w:r>
      <w:r w:rsidRPr="007C5CA7">
        <w:rPr>
          <w:lang w:eastAsia="en-AU"/>
        </w:rPr>
        <w:t xml:space="preserve"> This would enable these providers to accommodate additional students, potentially shifting the share of student enrolments from lower to higher performing providers. As the experience of the UK TEF indicates, publicly transparent </w:t>
      </w:r>
      <w:r w:rsidR="001161FA" w:rsidRPr="007C5CA7">
        <w:rPr>
          <w:lang w:eastAsia="en-AU"/>
        </w:rPr>
        <w:t>performance measures</w:t>
      </w:r>
      <w:r w:rsidRPr="007C5CA7">
        <w:rPr>
          <w:lang w:eastAsia="en-AU"/>
        </w:rPr>
        <w:t xml:space="preserve"> may shift student preferences towards these higher quality </w:t>
      </w:r>
      <w:r w:rsidR="002970C3">
        <w:rPr>
          <w:lang w:eastAsia="en-AU"/>
        </w:rPr>
        <w:t>programs</w:t>
      </w:r>
      <w:r w:rsidRPr="007C5CA7">
        <w:rPr>
          <w:lang w:eastAsia="en-AU"/>
        </w:rPr>
        <w:t>.</w:t>
      </w:r>
      <w:r w:rsidR="00CE6923" w:rsidRPr="007C5CA7">
        <w:rPr>
          <w:lang w:eastAsia="en-AU"/>
        </w:rPr>
        <w:t xml:space="preserve"> </w:t>
      </w:r>
    </w:p>
    <w:p w14:paraId="274736EA" w14:textId="38811D16" w:rsidR="005F2B4D" w:rsidRPr="006B2082" w:rsidRDefault="00CE6923" w:rsidP="006B2082">
      <w:pPr>
        <w:rPr>
          <w:lang w:eastAsia="en-AU"/>
        </w:rPr>
      </w:pPr>
      <w:r w:rsidRPr="007C5CA7">
        <w:rPr>
          <w:lang w:eastAsia="en-AU"/>
        </w:rPr>
        <w:t xml:space="preserve">Any additional funding allocated through the </w:t>
      </w:r>
      <w:r w:rsidR="005F2B4D">
        <w:rPr>
          <w:lang w:eastAsia="en-AU"/>
        </w:rPr>
        <w:t>e</w:t>
      </w:r>
      <w:r w:rsidRPr="007C5CA7">
        <w:rPr>
          <w:lang w:eastAsia="en-AU"/>
        </w:rPr>
        <w:t>xcellence pool would need to be formalised through each provider’s funding agreements, with each institution also required to demonstrate that the reward funding is used by its Education Faculty, with no off-setting cuts made to its overall budget</w:t>
      </w:r>
      <w:r w:rsidR="007C5CA7">
        <w:rPr>
          <w:lang w:eastAsia="en-AU"/>
        </w:rPr>
        <w:t>.</w:t>
      </w:r>
      <w:r w:rsidR="00F61516">
        <w:rPr>
          <w:lang w:eastAsia="en-AU"/>
        </w:rPr>
        <w:t xml:space="preserve"> </w:t>
      </w:r>
    </w:p>
    <w:p w14:paraId="5EF12394" w14:textId="5D4BE15A" w:rsidR="00DD05CC" w:rsidRPr="0049752A" w:rsidRDefault="00B707E9" w:rsidP="008016B6">
      <w:pPr>
        <w:pStyle w:val="Heading2"/>
        <w:spacing w:before="0" w:line="240" w:lineRule="auto"/>
        <w:rPr>
          <w:rFonts w:eastAsia="Times New Roman" w:cstheme="majorHAnsi"/>
          <w:color w:val="002C3E" w:themeColor="background2"/>
          <w:sz w:val="36"/>
          <w:szCs w:val="36"/>
          <w:lang w:eastAsia="en-AU"/>
        </w:rPr>
      </w:pPr>
      <w:bookmarkStart w:id="66" w:name="_Toc127978383"/>
      <w:bookmarkStart w:id="67" w:name="_Toc128649089"/>
      <w:bookmarkStart w:id="68" w:name="_Toc130217445"/>
      <w:r w:rsidRPr="0049752A">
        <w:rPr>
          <w:rFonts w:eastAsia="Times New Roman" w:cstheme="majorHAnsi"/>
          <w:color w:val="002C3E" w:themeColor="background2"/>
          <w:sz w:val="36"/>
          <w:szCs w:val="36"/>
          <w:lang w:eastAsia="en-AU"/>
        </w:rPr>
        <w:t>Discussion</w:t>
      </w:r>
      <w:bookmarkEnd w:id="66"/>
      <w:bookmarkEnd w:id="67"/>
      <w:bookmarkEnd w:id="68"/>
      <w:r w:rsidRPr="0049752A">
        <w:rPr>
          <w:rFonts w:eastAsia="Times New Roman" w:cstheme="majorHAnsi"/>
          <w:color w:val="002C3E" w:themeColor="background2"/>
          <w:sz w:val="36"/>
          <w:szCs w:val="36"/>
          <w:lang w:eastAsia="en-AU"/>
        </w:rPr>
        <w:t> </w:t>
      </w:r>
    </w:p>
    <w:p w14:paraId="68F1A78C" w14:textId="7A924AAF" w:rsidR="00DB0B96" w:rsidRPr="005C7893" w:rsidRDefault="00DB0B96" w:rsidP="00E2275C">
      <w:pPr>
        <w:spacing w:after="120" w:line="240" w:lineRule="auto"/>
        <w:textAlignment w:val="baseline"/>
        <w:rPr>
          <w:rFonts w:ascii="Calibri" w:eastAsia="Times New Roman" w:hAnsi="Calibri" w:cs="Calibri"/>
          <w:sz w:val="20"/>
          <w:szCs w:val="20"/>
          <w:lang w:eastAsia="en-AU"/>
        </w:rPr>
      </w:pPr>
      <w:r w:rsidRPr="00021807">
        <w:rPr>
          <w:rFonts w:ascii="Calibri" w:eastAsia="Times New Roman" w:hAnsi="Calibri" w:cs="Calibri"/>
          <w:lang w:eastAsia="en-AU"/>
        </w:rPr>
        <w:t xml:space="preserve">The Panel has identified the following opportunities and considerations </w:t>
      </w:r>
      <w:r>
        <w:rPr>
          <w:rFonts w:ascii="Calibri" w:eastAsia="Times New Roman" w:hAnsi="Calibri" w:cs="Calibri"/>
          <w:lang w:eastAsia="en-AU"/>
        </w:rPr>
        <w:t xml:space="preserve">linking the </w:t>
      </w:r>
      <w:r w:rsidR="1D75AE75" w:rsidRPr="5CDA2473">
        <w:rPr>
          <w:rFonts w:ascii="Calibri" w:eastAsia="Times New Roman" w:hAnsi="Calibri" w:cs="Calibri"/>
          <w:lang w:eastAsia="en-AU"/>
        </w:rPr>
        <w:t>performance</w:t>
      </w:r>
      <w:r>
        <w:rPr>
          <w:rFonts w:ascii="Calibri" w:eastAsia="Times New Roman" w:hAnsi="Calibri" w:cs="Calibri"/>
          <w:lang w:eastAsia="en-AU"/>
        </w:rPr>
        <w:t xml:space="preserve"> measure</w:t>
      </w:r>
      <w:r w:rsidR="00F430F4">
        <w:rPr>
          <w:rFonts w:ascii="Calibri" w:eastAsia="Times New Roman" w:hAnsi="Calibri" w:cs="Calibri"/>
          <w:lang w:eastAsia="en-AU"/>
        </w:rPr>
        <w:t>s</w:t>
      </w:r>
      <w:r>
        <w:rPr>
          <w:rFonts w:ascii="Calibri" w:eastAsia="Times New Roman" w:hAnsi="Calibri" w:cs="Calibri"/>
          <w:lang w:eastAsia="en-AU"/>
        </w:rPr>
        <w:t xml:space="preserve"> to funding.</w:t>
      </w:r>
    </w:p>
    <w:p w14:paraId="5E214BBE" w14:textId="1BB4A6B9" w:rsidR="00B707E9" w:rsidRPr="00025EBB" w:rsidRDefault="00D20CEB" w:rsidP="00025EBB">
      <w:pPr>
        <w:pStyle w:val="Heading3"/>
        <w:spacing w:before="0" w:after="120" w:line="240" w:lineRule="auto"/>
        <w:rPr>
          <w:rFonts w:eastAsia="Times New Roman"/>
          <w:szCs w:val="32"/>
          <w:lang w:eastAsia="en-AU"/>
        </w:rPr>
      </w:pPr>
      <w:bookmarkStart w:id="69" w:name="_Toc128649090"/>
      <w:bookmarkStart w:id="70" w:name="_Toc130217446"/>
      <w:r w:rsidRPr="00025EBB">
        <w:rPr>
          <w:rFonts w:eastAsia="Times New Roman"/>
          <w:szCs w:val="32"/>
          <w:lang w:eastAsia="en-AU"/>
        </w:rPr>
        <w:t xml:space="preserve">2.7 </w:t>
      </w:r>
      <w:r w:rsidR="00B707E9" w:rsidRPr="00025EBB">
        <w:rPr>
          <w:rFonts w:eastAsia="Times New Roman"/>
          <w:szCs w:val="32"/>
          <w:lang w:eastAsia="en-AU"/>
        </w:rPr>
        <w:t>Opportunities</w:t>
      </w:r>
      <w:bookmarkEnd w:id="69"/>
      <w:bookmarkEnd w:id="70"/>
    </w:p>
    <w:p w14:paraId="1CD5F7C0" w14:textId="7437264B" w:rsidR="00372920" w:rsidRPr="002844A1" w:rsidRDefault="002844A1" w:rsidP="002844A1">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2.7.1 </w:t>
      </w:r>
      <w:r w:rsidR="00485DDE" w:rsidRPr="002844A1">
        <w:rPr>
          <w:rFonts w:asciiTheme="minorHAnsi" w:eastAsia="Times New Roman" w:hAnsiTheme="minorHAnsi" w:cstheme="minorHAnsi"/>
          <w:color w:val="002C3E" w:themeColor="background2"/>
          <w:lang w:eastAsia="en-AU"/>
        </w:rPr>
        <w:t>Driving</w:t>
      </w:r>
      <w:r w:rsidR="00372920" w:rsidRPr="002844A1">
        <w:rPr>
          <w:rFonts w:asciiTheme="minorHAnsi" w:eastAsia="Times New Roman" w:hAnsiTheme="minorHAnsi" w:cstheme="minorHAnsi"/>
          <w:color w:val="002C3E" w:themeColor="background2"/>
          <w:lang w:eastAsia="en-AU"/>
        </w:rPr>
        <w:t xml:space="preserve"> quality </w:t>
      </w:r>
      <w:r w:rsidR="00485DDE" w:rsidRPr="002844A1">
        <w:rPr>
          <w:rFonts w:asciiTheme="minorHAnsi" w:eastAsia="Times New Roman" w:hAnsiTheme="minorHAnsi" w:cstheme="minorHAnsi"/>
          <w:color w:val="002C3E" w:themeColor="background2"/>
          <w:lang w:eastAsia="en-AU"/>
        </w:rPr>
        <w:t>through improved transparency and accountability</w:t>
      </w:r>
      <w:r w:rsidR="00372920" w:rsidRPr="002844A1">
        <w:rPr>
          <w:rFonts w:asciiTheme="minorHAnsi" w:eastAsia="Times New Roman" w:hAnsiTheme="minorHAnsi" w:cstheme="minorHAnsi"/>
          <w:color w:val="002C3E" w:themeColor="background2"/>
          <w:lang w:eastAsia="en-AU"/>
        </w:rPr>
        <w:t> </w:t>
      </w:r>
    </w:p>
    <w:p w14:paraId="4C056F62" w14:textId="1DFD7CA6" w:rsidR="00E15BA6" w:rsidRPr="00ED230B" w:rsidRDefault="00F64CC9" w:rsidP="198CAB4D">
      <w:pPr>
        <w:spacing w:after="120" w:line="240" w:lineRule="auto"/>
        <w:rPr>
          <w:rFonts w:ascii="Calibri" w:hAnsi="Calibri" w:cs="Calibri"/>
        </w:rPr>
      </w:pPr>
      <w:r w:rsidRPr="00ED230B">
        <w:rPr>
          <w:rFonts w:ascii="Calibri" w:hAnsi="Calibri" w:cs="Calibri"/>
        </w:rPr>
        <w:t xml:space="preserve">The Panel believes </w:t>
      </w:r>
      <w:r w:rsidR="00AF35A8">
        <w:rPr>
          <w:rFonts w:ascii="Calibri" w:hAnsi="Calibri" w:cs="Calibri"/>
        </w:rPr>
        <w:t>the identified</w:t>
      </w:r>
      <w:r w:rsidR="00F21A2A" w:rsidRPr="00ED230B">
        <w:rPr>
          <w:rFonts w:ascii="Calibri" w:hAnsi="Calibri" w:cs="Calibri"/>
        </w:rPr>
        <w:t xml:space="preserve"> </w:t>
      </w:r>
      <w:r w:rsidR="00E23889">
        <w:rPr>
          <w:rFonts w:ascii="Calibri" w:hAnsi="Calibri" w:cs="Calibri"/>
        </w:rPr>
        <w:t>p</w:t>
      </w:r>
      <w:r w:rsidR="0DD88A6A" w:rsidRPr="5CDA2473">
        <w:rPr>
          <w:rFonts w:ascii="Calibri" w:hAnsi="Calibri" w:cs="Calibri"/>
        </w:rPr>
        <w:t>erformance</w:t>
      </w:r>
      <w:r w:rsidR="00F21A2A" w:rsidRPr="00ED230B">
        <w:rPr>
          <w:rFonts w:ascii="Calibri" w:hAnsi="Calibri" w:cs="Calibri"/>
        </w:rPr>
        <w:t xml:space="preserve"> </w:t>
      </w:r>
      <w:r w:rsidR="00E23889">
        <w:rPr>
          <w:rFonts w:ascii="Calibri" w:hAnsi="Calibri" w:cs="Calibri"/>
        </w:rPr>
        <w:t>m</w:t>
      </w:r>
      <w:r w:rsidR="00F21A2A" w:rsidRPr="00ED230B">
        <w:rPr>
          <w:rFonts w:ascii="Calibri" w:hAnsi="Calibri" w:cs="Calibri"/>
        </w:rPr>
        <w:t>easure</w:t>
      </w:r>
      <w:r w:rsidR="00E23889">
        <w:rPr>
          <w:rFonts w:ascii="Calibri" w:hAnsi="Calibri" w:cs="Calibri"/>
        </w:rPr>
        <w:t>s</w:t>
      </w:r>
      <w:r w:rsidR="00F21A2A" w:rsidRPr="00ED230B">
        <w:rPr>
          <w:rFonts w:ascii="Calibri" w:hAnsi="Calibri" w:cs="Calibri"/>
        </w:rPr>
        <w:t xml:space="preserve"> would provide </w:t>
      </w:r>
      <w:r w:rsidR="00002534" w:rsidRPr="00ED230B">
        <w:rPr>
          <w:rFonts w:ascii="Calibri" w:hAnsi="Calibri" w:cs="Calibri"/>
        </w:rPr>
        <w:t xml:space="preserve">clear expectations of </w:t>
      </w:r>
      <w:r w:rsidR="00A85265" w:rsidRPr="00ED230B">
        <w:rPr>
          <w:rFonts w:ascii="Calibri" w:hAnsi="Calibri" w:cs="Calibri"/>
        </w:rPr>
        <w:t xml:space="preserve">the </w:t>
      </w:r>
      <w:r w:rsidR="00002534" w:rsidRPr="00ED230B">
        <w:rPr>
          <w:rFonts w:ascii="Calibri" w:hAnsi="Calibri" w:cs="Calibri"/>
        </w:rPr>
        <w:t xml:space="preserve">outcomes from ITE and </w:t>
      </w:r>
      <w:r w:rsidR="009C2378">
        <w:rPr>
          <w:rFonts w:ascii="Calibri" w:hAnsi="Calibri" w:cs="Calibri"/>
        </w:rPr>
        <w:t xml:space="preserve">encourage a focus on quality through </w:t>
      </w:r>
      <w:r w:rsidR="00F21A2A" w:rsidRPr="00ED230B">
        <w:rPr>
          <w:rFonts w:ascii="Calibri" w:hAnsi="Calibri" w:cs="Calibri"/>
        </w:rPr>
        <w:t>transparent reporting</w:t>
      </w:r>
      <w:r w:rsidR="00EA2C51" w:rsidRPr="00ED230B">
        <w:rPr>
          <w:rFonts w:ascii="Calibri" w:hAnsi="Calibri" w:cs="Calibri"/>
        </w:rPr>
        <w:t xml:space="preserve"> across higher education providers.</w:t>
      </w:r>
      <w:r w:rsidR="00E15BA6" w:rsidRPr="00ED230B">
        <w:rPr>
          <w:rFonts w:ascii="Calibri" w:hAnsi="Calibri" w:cs="Calibri"/>
        </w:rPr>
        <w:t xml:space="preserve"> </w:t>
      </w:r>
      <w:r w:rsidR="00D01347">
        <w:rPr>
          <w:rFonts w:ascii="Calibri" w:hAnsi="Calibri" w:cs="Calibri"/>
        </w:rPr>
        <w:t>The performance measures</w:t>
      </w:r>
      <w:r w:rsidR="0094735C">
        <w:rPr>
          <w:rFonts w:ascii="Calibri" w:hAnsi="Calibri" w:cs="Calibri"/>
        </w:rPr>
        <w:t xml:space="preserve"> </w:t>
      </w:r>
      <w:r w:rsidRPr="00ED230B">
        <w:rPr>
          <w:rFonts w:ascii="Calibri" w:hAnsi="Calibri" w:cs="Calibri"/>
        </w:rPr>
        <w:t xml:space="preserve">could </w:t>
      </w:r>
      <w:r w:rsidR="0096771B" w:rsidRPr="00ED230B">
        <w:rPr>
          <w:rFonts w:ascii="Calibri" w:hAnsi="Calibri" w:cs="Calibri"/>
        </w:rPr>
        <w:t xml:space="preserve">be published using the </w:t>
      </w:r>
      <w:r w:rsidR="009143BB" w:rsidRPr="00ED230B">
        <w:rPr>
          <w:rFonts w:ascii="Calibri" w:hAnsi="Calibri" w:cs="Calibri"/>
        </w:rPr>
        <w:t xml:space="preserve">ATWD as the national dataset on the teacher workforce, without placing additional reporting burden on higher education providers. </w:t>
      </w:r>
      <w:r w:rsidR="002B3CCE">
        <w:rPr>
          <w:rFonts w:ascii="Calibri" w:hAnsi="Calibri" w:cs="Calibri"/>
        </w:rPr>
        <w:t xml:space="preserve">Including </w:t>
      </w:r>
      <w:r w:rsidR="001039FB">
        <w:rPr>
          <w:rFonts w:ascii="Calibri" w:hAnsi="Calibri" w:cs="Calibri"/>
        </w:rPr>
        <w:t>any identified areas of improvement in the m</w:t>
      </w:r>
      <w:r w:rsidR="00B10D49">
        <w:rPr>
          <w:rFonts w:ascii="Calibri" w:hAnsi="Calibri" w:cs="Calibri"/>
        </w:rPr>
        <w:t xml:space="preserve">ission </w:t>
      </w:r>
      <w:r w:rsidR="00636D8B">
        <w:rPr>
          <w:rFonts w:ascii="Calibri" w:hAnsi="Calibri" w:cs="Calibri"/>
        </w:rPr>
        <w:t xml:space="preserve">based compact </w:t>
      </w:r>
      <w:r w:rsidR="001039FB">
        <w:rPr>
          <w:rFonts w:ascii="Calibri" w:hAnsi="Calibri" w:cs="Calibri"/>
        </w:rPr>
        <w:t xml:space="preserve">agreements would </w:t>
      </w:r>
      <w:r w:rsidR="0024214F">
        <w:rPr>
          <w:rFonts w:ascii="Calibri" w:hAnsi="Calibri" w:cs="Calibri"/>
        </w:rPr>
        <w:t xml:space="preserve">reinforce these expectations. </w:t>
      </w:r>
    </w:p>
    <w:p w14:paraId="62563F32" w14:textId="5D79E76E" w:rsidR="00F21A2A" w:rsidRPr="00ED230B" w:rsidRDefault="00F64CC9" w:rsidP="198CAB4D">
      <w:pPr>
        <w:spacing w:after="120" w:line="240" w:lineRule="auto"/>
        <w:rPr>
          <w:rFonts w:ascii="Calibri" w:hAnsi="Calibri" w:cs="Calibri"/>
        </w:rPr>
      </w:pPr>
      <w:r w:rsidRPr="00ED230B">
        <w:rPr>
          <w:rFonts w:ascii="Calibri" w:hAnsi="Calibri" w:cs="Calibri"/>
        </w:rPr>
        <w:t xml:space="preserve">The </w:t>
      </w:r>
      <w:r w:rsidR="0094735C">
        <w:rPr>
          <w:rFonts w:ascii="Calibri" w:hAnsi="Calibri" w:cs="Calibri"/>
        </w:rPr>
        <w:t>performance measures</w:t>
      </w:r>
      <w:r w:rsidR="001F17BB" w:rsidRPr="00ED230B">
        <w:rPr>
          <w:rFonts w:ascii="Calibri" w:hAnsi="Calibri" w:cs="Calibri"/>
        </w:rPr>
        <w:t xml:space="preserve"> could also </w:t>
      </w:r>
      <w:r w:rsidR="000D79C6" w:rsidRPr="00ED230B">
        <w:rPr>
          <w:rFonts w:ascii="Calibri" w:hAnsi="Calibri" w:cs="Calibri"/>
        </w:rPr>
        <w:t xml:space="preserve">be used to support evidence requirements in </w:t>
      </w:r>
      <w:r w:rsidR="00FD269F" w:rsidRPr="00ED230B">
        <w:rPr>
          <w:rFonts w:ascii="Calibri" w:hAnsi="Calibri" w:cs="Calibri"/>
        </w:rPr>
        <w:t>the</w:t>
      </w:r>
      <w:r w:rsidR="003508B5" w:rsidRPr="00ED230B">
        <w:rPr>
          <w:rFonts w:ascii="Calibri" w:hAnsi="Calibri" w:cs="Calibri"/>
        </w:rPr>
        <w:t xml:space="preserve"> Accred</w:t>
      </w:r>
      <w:r w:rsidR="00FD269F" w:rsidRPr="00ED230B">
        <w:rPr>
          <w:rFonts w:ascii="Calibri" w:hAnsi="Calibri" w:cs="Calibri"/>
        </w:rPr>
        <w:t xml:space="preserve">itation Standards and Procedures, </w:t>
      </w:r>
      <w:bookmarkStart w:id="71" w:name="_Hlk127626963"/>
      <w:r w:rsidR="000D79C6" w:rsidRPr="00ED230B">
        <w:rPr>
          <w:rFonts w:ascii="Calibri" w:hAnsi="Calibri" w:cs="Calibri"/>
        </w:rPr>
        <w:t xml:space="preserve">where </w:t>
      </w:r>
      <w:r w:rsidR="00FD269F" w:rsidRPr="00ED230B">
        <w:rPr>
          <w:rFonts w:ascii="Calibri" w:hAnsi="Calibri" w:cs="Calibri"/>
        </w:rPr>
        <w:t xml:space="preserve">Standard 6 requires providers to develop a </w:t>
      </w:r>
      <w:r w:rsidR="005F5BF1" w:rsidRPr="00ED230B">
        <w:rPr>
          <w:rFonts w:ascii="Calibri" w:hAnsi="Calibri" w:cs="Calibri"/>
        </w:rPr>
        <w:t>Plan For Demonstrating Impact</w:t>
      </w:r>
      <w:r w:rsidR="008C5B7A" w:rsidRPr="00ED230B">
        <w:rPr>
          <w:rFonts w:ascii="Calibri" w:hAnsi="Calibri" w:cs="Calibri"/>
        </w:rPr>
        <w:t xml:space="preserve"> and to </w:t>
      </w:r>
      <w:r w:rsidR="00425AF0" w:rsidRPr="00ED230B">
        <w:rPr>
          <w:rFonts w:ascii="Calibri" w:hAnsi="Calibri" w:cs="Calibri"/>
        </w:rPr>
        <w:t xml:space="preserve">present evidence </w:t>
      </w:r>
      <w:r w:rsidR="00EE791F" w:rsidRPr="00ED230B">
        <w:rPr>
          <w:rFonts w:ascii="Calibri" w:hAnsi="Calibri" w:cs="Calibri"/>
        </w:rPr>
        <w:t xml:space="preserve">of impact </w:t>
      </w:r>
      <w:r w:rsidR="00383B81" w:rsidRPr="00ED230B">
        <w:rPr>
          <w:rFonts w:ascii="Calibri" w:hAnsi="Calibri" w:cs="Calibri"/>
        </w:rPr>
        <w:t>against this plan</w:t>
      </w:r>
      <w:r w:rsidR="00FD269F" w:rsidRPr="00ED230B">
        <w:rPr>
          <w:rFonts w:ascii="Calibri" w:hAnsi="Calibri" w:cs="Calibri"/>
        </w:rPr>
        <w:t xml:space="preserve">. </w:t>
      </w:r>
      <w:bookmarkEnd w:id="71"/>
      <w:r w:rsidR="00FD269F" w:rsidRPr="00ED230B">
        <w:rPr>
          <w:rFonts w:ascii="Calibri" w:hAnsi="Calibri" w:cs="Calibri"/>
        </w:rPr>
        <w:t xml:space="preserve">The </w:t>
      </w:r>
      <w:r w:rsidR="00D01347">
        <w:rPr>
          <w:rFonts w:ascii="Calibri" w:hAnsi="Calibri" w:cs="Calibri"/>
        </w:rPr>
        <w:t>P</w:t>
      </w:r>
      <w:r w:rsidR="00FD269F" w:rsidRPr="00ED230B">
        <w:rPr>
          <w:rFonts w:ascii="Calibri" w:hAnsi="Calibri" w:cs="Calibri"/>
        </w:rPr>
        <w:t xml:space="preserve">lan describes the specific evidence about a </w:t>
      </w:r>
      <w:r w:rsidR="002970C3">
        <w:rPr>
          <w:rFonts w:ascii="Calibri" w:hAnsi="Calibri" w:cs="Calibri"/>
        </w:rPr>
        <w:t>program</w:t>
      </w:r>
      <w:r w:rsidR="00FD269F" w:rsidRPr="00ED230B">
        <w:rPr>
          <w:rFonts w:ascii="Calibri" w:hAnsi="Calibri" w:cs="Calibri"/>
        </w:rPr>
        <w:t xml:space="preserve"> that will be collected, analysed, and reported</w:t>
      </w:r>
      <w:r w:rsidR="00EE791F" w:rsidRPr="00ED230B">
        <w:rPr>
          <w:rFonts w:ascii="Calibri" w:hAnsi="Calibri" w:cs="Calibri"/>
        </w:rPr>
        <w:t xml:space="preserve"> </w:t>
      </w:r>
      <w:r w:rsidR="00FD269F" w:rsidRPr="00ED230B">
        <w:rPr>
          <w:rFonts w:ascii="Calibri" w:hAnsi="Calibri" w:cs="Calibri"/>
        </w:rPr>
        <w:t xml:space="preserve">to demonstrate the impact of a </w:t>
      </w:r>
      <w:r w:rsidR="002970C3">
        <w:rPr>
          <w:rFonts w:ascii="Calibri" w:hAnsi="Calibri" w:cs="Calibri"/>
        </w:rPr>
        <w:t>program</w:t>
      </w:r>
      <w:r w:rsidR="00FD269F" w:rsidRPr="00ED230B">
        <w:rPr>
          <w:rFonts w:ascii="Calibri" w:hAnsi="Calibri" w:cs="Calibri"/>
        </w:rPr>
        <w:t xml:space="preserve">, and to answer questions relevant to improving the </w:t>
      </w:r>
      <w:r w:rsidR="002970C3">
        <w:rPr>
          <w:rFonts w:ascii="Calibri" w:hAnsi="Calibri" w:cs="Calibri"/>
        </w:rPr>
        <w:t>program</w:t>
      </w:r>
      <w:r w:rsidR="00CD79AC" w:rsidRPr="00ED230B">
        <w:rPr>
          <w:rFonts w:ascii="Calibri" w:hAnsi="Calibri" w:cs="Calibri"/>
        </w:rPr>
        <w:t xml:space="preserve">. The </w:t>
      </w:r>
      <w:r w:rsidR="00AD2C32">
        <w:rPr>
          <w:rFonts w:ascii="Calibri" w:hAnsi="Calibri" w:cs="Calibri"/>
        </w:rPr>
        <w:t>performance measures</w:t>
      </w:r>
      <w:r w:rsidR="00CD79AC" w:rsidRPr="00ED230B">
        <w:rPr>
          <w:rFonts w:ascii="Calibri" w:hAnsi="Calibri" w:cs="Calibri"/>
        </w:rPr>
        <w:t xml:space="preserve"> </w:t>
      </w:r>
      <w:r w:rsidR="005E4D3B" w:rsidRPr="00ED230B">
        <w:rPr>
          <w:rFonts w:ascii="Calibri" w:hAnsi="Calibri" w:cs="Calibri"/>
        </w:rPr>
        <w:t xml:space="preserve">could be used as the core set of metrics </w:t>
      </w:r>
      <w:r w:rsidR="001D6CFE">
        <w:rPr>
          <w:rFonts w:ascii="Calibri" w:hAnsi="Calibri" w:cs="Calibri"/>
        </w:rPr>
        <w:t>in the Plan for Demonstrating Impact</w:t>
      </w:r>
      <w:r w:rsidR="00C36144" w:rsidRPr="00ED230B">
        <w:rPr>
          <w:rFonts w:ascii="Calibri" w:hAnsi="Calibri" w:cs="Calibri"/>
        </w:rPr>
        <w:t xml:space="preserve"> to reduce reporting requirements for higher education providers. </w:t>
      </w:r>
    </w:p>
    <w:p w14:paraId="182156DC" w14:textId="1E737E42" w:rsidR="000D6F42" w:rsidRPr="002844A1" w:rsidRDefault="002844A1" w:rsidP="002844A1">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2.7.2 </w:t>
      </w:r>
      <w:r w:rsidR="000D6F42" w:rsidRPr="002844A1">
        <w:rPr>
          <w:rFonts w:asciiTheme="minorHAnsi" w:eastAsia="Times New Roman" w:hAnsiTheme="minorHAnsi" w:cstheme="minorHAnsi"/>
          <w:color w:val="002C3E" w:themeColor="background2"/>
          <w:lang w:eastAsia="en-AU"/>
        </w:rPr>
        <w:t xml:space="preserve">Incentivising performance </w:t>
      </w:r>
      <w:r w:rsidR="00A5111F" w:rsidRPr="002844A1">
        <w:rPr>
          <w:rFonts w:asciiTheme="minorHAnsi" w:eastAsia="Times New Roman" w:hAnsiTheme="minorHAnsi" w:cstheme="minorHAnsi"/>
          <w:color w:val="002C3E" w:themeColor="background2"/>
          <w:lang w:eastAsia="en-AU"/>
        </w:rPr>
        <w:t>through financial incentives</w:t>
      </w:r>
    </w:p>
    <w:p w14:paraId="520DE8B9" w14:textId="686A0C0F" w:rsidR="000D6F42" w:rsidRPr="00ED230B" w:rsidRDefault="000D6F42" w:rsidP="00E2275C">
      <w:pPr>
        <w:spacing w:after="120" w:line="240" w:lineRule="auto"/>
        <w:rPr>
          <w:rFonts w:ascii="Calibri" w:hAnsi="Calibri" w:cs="Calibri"/>
        </w:rPr>
      </w:pPr>
      <w:r w:rsidRPr="00ED230B">
        <w:rPr>
          <w:rFonts w:ascii="Calibri" w:hAnsi="Calibri" w:cs="Calibri"/>
        </w:rPr>
        <w:t xml:space="preserve">The Panel has been asked to provide advice on whether and how to link </w:t>
      </w:r>
      <w:r w:rsidR="0045014C">
        <w:rPr>
          <w:rFonts w:ascii="Calibri" w:hAnsi="Calibri" w:cs="Calibri"/>
        </w:rPr>
        <w:t>performance measures</w:t>
      </w:r>
      <w:r w:rsidRPr="00ED230B">
        <w:rPr>
          <w:rFonts w:ascii="Calibri" w:hAnsi="Calibri" w:cs="Calibri"/>
        </w:rPr>
        <w:t xml:space="preserve"> to funding. The evidence from international initiatives to promote teaching quality in the higher education sector indicates that both greater transparency on the quality of </w:t>
      </w:r>
      <w:r w:rsidR="004228B0">
        <w:rPr>
          <w:rFonts w:ascii="Calibri" w:hAnsi="Calibri" w:cs="Calibri"/>
        </w:rPr>
        <w:t>ITE programs</w:t>
      </w:r>
      <w:r w:rsidRPr="00ED230B">
        <w:rPr>
          <w:rFonts w:ascii="Calibri" w:hAnsi="Calibri" w:cs="Calibri"/>
        </w:rPr>
        <w:t xml:space="preserve"> and financial incentives can promote improved quality in ITE. The Panel is interested in understanding </w:t>
      </w:r>
      <w:r>
        <w:rPr>
          <w:rFonts w:ascii="Calibri" w:hAnsi="Calibri" w:cs="Calibri"/>
        </w:rPr>
        <w:t>i</w:t>
      </w:r>
      <w:r w:rsidRPr="00ED230B">
        <w:rPr>
          <w:rFonts w:ascii="Calibri" w:hAnsi="Calibri" w:cs="Calibri"/>
        </w:rPr>
        <w:t xml:space="preserve">f </w:t>
      </w:r>
      <w:r w:rsidRPr="00ED230B">
        <w:rPr>
          <w:rFonts w:ascii="Calibri" w:hAnsi="Calibri" w:cs="Calibri"/>
        </w:rPr>
        <w:lastRenderedPageBreak/>
        <w:t xml:space="preserve">financial incentives are an effective way of improving quality and </w:t>
      </w:r>
      <w:r w:rsidR="0028594C">
        <w:rPr>
          <w:rFonts w:ascii="Calibri" w:hAnsi="Calibri" w:cs="Calibri"/>
        </w:rPr>
        <w:t>which funding option outlined would encourage the greatest quality improvements</w:t>
      </w:r>
      <w:r w:rsidRPr="00ED230B">
        <w:rPr>
          <w:rFonts w:ascii="Calibri" w:hAnsi="Calibri" w:cs="Calibri"/>
        </w:rPr>
        <w:t>.</w:t>
      </w:r>
    </w:p>
    <w:p w14:paraId="0E383C4E" w14:textId="5568A13D" w:rsidR="000A721D" w:rsidRPr="00F53F28" w:rsidRDefault="00D20CEB" w:rsidP="00F53F28">
      <w:pPr>
        <w:pStyle w:val="Heading3"/>
        <w:spacing w:before="0" w:after="120" w:line="240" w:lineRule="auto"/>
        <w:rPr>
          <w:rFonts w:eastAsia="Times New Roman"/>
          <w:szCs w:val="32"/>
          <w:lang w:eastAsia="en-AU"/>
        </w:rPr>
      </w:pPr>
      <w:bookmarkStart w:id="72" w:name="_Toc128649091"/>
      <w:bookmarkStart w:id="73" w:name="_Toc130217447"/>
      <w:r w:rsidRPr="00F53F28">
        <w:rPr>
          <w:rFonts w:eastAsia="Times New Roman"/>
          <w:szCs w:val="32"/>
          <w:lang w:eastAsia="en-AU"/>
        </w:rPr>
        <w:t xml:space="preserve">2.8 </w:t>
      </w:r>
      <w:r w:rsidR="00B707E9" w:rsidRPr="00F53F28">
        <w:rPr>
          <w:rFonts w:eastAsia="Times New Roman"/>
          <w:szCs w:val="32"/>
          <w:lang w:eastAsia="en-AU"/>
        </w:rPr>
        <w:t>Considerations</w:t>
      </w:r>
      <w:bookmarkEnd w:id="72"/>
      <w:bookmarkEnd w:id="73"/>
      <w:r w:rsidR="00B707E9" w:rsidRPr="00F53F28">
        <w:rPr>
          <w:rFonts w:eastAsia="Times New Roman"/>
          <w:szCs w:val="32"/>
          <w:lang w:eastAsia="en-AU"/>
        </w:rPr>
        <w:t> </w:t>
      </w:r>
    </w:p>
    <w:p w14:paraId="033732E2" w14:textId="43E6E376" w:rsidR="00FC6451" w:rsidRPr="00EC4E3A" w:rsidRDefault="00EC4E3A" w:rsidP="00EC4E3A">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2.8.1 </w:t>
      </w:r>
      <w:r w:rsidR="0068095C" w:rsidRPr="00EC4E3A">
        <w:rPr>
          <w:rFonts w:asciiTheme="minorHAnsi" w:eastAsia="Times New Roman" w:hAnsiTheme="minorHAnsi" w:cstheme="minorHAnsi"/>
          <w:color w:val="002C3E" w:themeColor="background2"/>
          <w:lang w:eastAsia="en-AU"/>
        </w:rPr>
        <w:t>Flexibility of funding</w:t>
      </w:r>
    </w:p>
    <w:p w14:paraId="0AA1865C" w14:textId="22340802" w:rsidR="007D5540" w:rsidRDefault="005549A8" w:rsidP="00AA7E6E">
      <w:pPr>
        <w:spacing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The funding envelope for higher education </w:t>
      </w:r>
      <w:r w:rsidR="004F6F08">
        <w:rPr>
          <w:rFonts w:ascii="Calibri" w:eastAsia="Times New Roman" w:hAnsi="Calibri" w:cs="Calibri"/>
          <w:lang w:eastAsia="en-AU"/>
        </w:rPr>
        <w:t>gives</w:t>
      </w:r>
      <w:r w:rsidR="00554196">
        <w:rPr>
          <w:rFonts w:ascii="Calibri" w:eastAsia="Times New Roman" w:hAnsi="Calibri" w:cs="Calibri"/>
          <w:lang w:eastAsia="en-AU"/>
        </w:rPr>
        <w:t xml:space="preserve"> </w:t>
      </w:r>
      <w:r w:rsidR="00C21670">
        <w:rPr>
          <w:rFonts w:ascii="Calibri" w:eastAsia="Times New Roman" w:hAnsi="Calibri" w:cs="Calibri"/>
          <w:lang w:eastAsia="en-AU"/>
        </w:rPr>
        <w:t>flexibility to accommodate addition</w:t>
      </w:r>
      <w:r w:rsidR="00554196">
        <w:rPr>
          <w:rFonts w:ascii="Calibri" w:eastAsia="Times New Roman" w:hAnsi="Calibri" w:cs="Calibri"/>
          <w:lang w:eastAsia="en-AU"/>
        </w:rPr>
        <w:t>al</w:t>
      </w:r>
      <w:r w:rsidR="00C21670">
        <w:rPr>
          <w:rFonts w:ascii="Calibri" w:eastAsia="Times New Roman" w:hAnsi="Calibri" w:cs="Calibri"/>
          <w:lang w:eastAsia="en-AU"/>
        </w:rPr>
        <w:t xml:space="preserve"> student demand for ITE. </w:t>
      </w:r>
      <w:r w:rsidR="00DD05CC">
        <w:rPr>
          <w:rFonts w:ascii="Calibri" w:eastAsia="Times New Roman" w:hAnsi="Calibri" w:cs="Calibri"/>
          <w:lang w:eastAsia="en-AU"/>
        </w:rPr>
        <w:t xml:space="preserve">The Panel is interested in understanding whether </w:t>
      </w:r>
      <w:r w:rsidR="008F78C6">
        <w:rPr>
          <w:rFonts w:ascii="Calibri" w:eastAsia="Times New Roman" w:hAnsi="Calibri" w:cs="Calibri"/>
          <w:lang w:eastAsia="en-AU"/>
        </w:rPr>
        <w:t>additional funding is</w:t>
      </w:r>
      <w:r w:rsidR="00B33AC8">
        <w:rPr>
          <w:rFonts w:ascii="Calibri" w:eastAsia="Times New Roman" w:hAnsi="Calibri" w:cs="Calibri"/>
          <w:lang w:eastAsia="en-AU"/>
        </w:rPr>
        <w:t xml:space="preserve"> necessary to reward higher performing providers</w:t>
      </w:r>
      <w:r w:rsidR="00DD05CC">
        <w:rPr>
          <w:rFonts w:ascii="Calibri" w:eastAsia="Times New Roman" w:hAnsi="Calibri" w:cs="Calibri"/>
          <w:lang w:eastAsia="en-AU"/>
        </w:rPr>
        <w:t>,</w:t>
      </w:r>
      <w:r w:rsidR="00B33AC8">
        <w:rPr>
          <w:rFonts w:ascii="Calibri" w:eastAsia="Times New Roman" w:hAnsi="Calibri" w:cs="Calibri"/>
          <w:lang w:eastAsia="en-AU"/>
        </w:rPr>
        <w:t xml:space="preserve"> if they can </w:t>
      </w:r>
      <w:r w:rsidR="00FE6CBF">
        <w:rPr>
          <w:rFonts w:ascii="Calibri" w:eastAsia="Times New Roman" w:hAnsi="Calibri" w:cs="Calibri"/>
          <w:lang w:eastAsia="en-AU"/>
        </w:rPr>
        <w:t>already</w:t>
      </w:r>
      <w:r w:rsidR="00B33AC8">
        <w:rPr>
          <w:rFonts w:ascii="Calibri" w:eastAsia="Times New Roman" w:hAnsi="Calibri" w:cs="Calibri"/>
          <w:lang w:eastAsia="en-AU"/>
        </w:rPr>
        <w:t xml:space="preserve"> accommodate </w:t>
      </w:r>
      <w:r w:rsidR="00AB56D9">
        <w:rPr>
          <w:rFonts w:ascii="Calibri" w:eastAsia="Times New Roman" w:hAnsi="Calibri" w:cs="Calibri"/>
          <w:lang w:eastAsia="en-AU"/>
        </w:rPr>
        <w:t xml:space="preserve">any </w:t>
      </w:r>
      <w:r w:rsidR="00B33AC8">
        <w:rPr>
          <w:rFonts w:ascii="Calibri" w:eastAsia="Times New Roman" w:hAnsi="Calibri" w:cs="Calibri"/>
          <w:lang w:eastAsia="en-AU"/>
        </w:rPr>
        <w:t xml:space="preserve">additional student demand </w:t>
      </w:r>
      <w:r w:rsidR="008D276E">
        <w:rPr>
          <w:rFonts w:ascii="Calibri" w:eastAsia="Times New Roman" w:hAnsi="Calibri" w:cs="Calibri"/>
          <w:lang w:eastAsia="en-AU"/>
        </w:rPr>
        <w:t xml:space="preserve">within their </w:t>
      </w:r>
      <w:r w:rsidR="00AB56D9">
        <w:rPr>
          <w:rFonts w:ascii="Calibri" w:eastAsia="Times New Roman" w:hAnsi="Calibri" w:cs="Calibri"/>
          <w:lang w:eastAsia="en-AU"/>
        </w:rPr>
        <w:t xml:space="preserve">existing </w:t>
      </w:r>
      <w:r w:rsidR="008D276E">
        <w:rPr>
          <w:rFonts w:ascii="Calibri" w:eastAsia="Times New Roman" w:hAnsi="Calibri" w:cs="Calibri"/>
          <w:lang w:eastAsia="en-AU"/>
        </w:rPr>
        <w:t xml:space="preserve">funding envelope. </w:t>
      </w:r>
      <w:r w:rsidR="005C1E7A">
        <w:rPr>
          <w:rFonts w:ascii="Calibri" w:eastAsia="Times New Roman" w:hAnsi="Calibri" w:cs="Calibri"/>
          <w:lang w:eastAsia="en-AU"/>
        </w:rPr>
        <w:br/>
      </w:r>
    </w:p>
    <w:p w14:paraId="676BAC3F" w14:textId="77777777" w:rsidR="007D5540" w:rsidRDefault="007D5540" w:rsidP="00AA7E6E">
      <w:pPr>
        <w:spacing w:line="240" w:lineRule="auto"/>
        <w:textAlignment w:val="baseline"/>
        <w:rPr>
          <w:rFonts w:ascii="Calibri" w:eastAsia="Times New Roman" w:hAnsi="Calibri" w:cs="Calibri"/>
          <w:lang w:eastAsia="en-AU"/>
        </w:rPr>
      </w:pPr>
    </w:p>
    <w:p w14:paraId="56740104" w14:textId="179C9EC5" w:rsidR="00C038E1" w:rsidRPr="00255E99" w:rsidRDefault="00C038E1" w:rsidP="00C038E1">
      <w:pPr>
        <w:pStyle w:val="ListParagraph"/>
        <w:framePr w:hSpace="180" w:wrap="around" w:vAnchor="text" w:hAnchor="margin" w:y="114"/>
        <w:numPr>
          <w:ilvl w:val="0"/>
          <w:numId w:val="6"/>
        </w:numPr>
        <w:ind w:left="1080"/>
        <w:rPr>
          <w:i/>
          <w:iCs/>
          <w:sz w:val="22"/>
          <w:szCs w:val="22"/>
        </w:rPr>
      </w:pPr>
      <w:r>
        <w:rPr>
          <w:b/>
          <w:sz w:val="22"/>
          <w:szCs w:val="22"/>
        </w:rPr>
        <w:t xml:space="preserve">ITE </w:t>
      </w:r>
      <w:r w:rsidR="00EC5E6A">
        <w:rPr>
          <w:b/>
          <w:bCs/>
          <w:sz w:val="22"/>
          <w:szCs w:val="22"/>
        </w:rPr>
        <w:t>p</w:t>
      </w:r>
      <w:r w:rsidR="4868A4CF" w:rsidRPr="5CDA2473">
        <w:rPr>
          <w:b/>
          <w:bCs/>
          <w:sz w:val="22"/>
          <w:szCs w:val="22"/>
        </w:rPr>
        <w:t>erformance</w:t>
      </w:r>
      <w:r>
        <w:rPr>
          <w:b/>
          <w:sz w:val="22"/>
          <w:szCs w:val="22"/>
        </w:rPr>
        <w:t xml:space="preserve"> </w:t>
      </w:r>
      <w:r w:rsidR="00EC5E6A">
        <w:rPr>
          <w:b/>
          <w:sz w:val="22"/>
          <w:szCs w:val="22"/>
        </w:rPr>
        <w:t>m</w:t>
      </w:r>
      <w:r>
        <w:rPr>
          <w:b/>
          <w:sz w:val="22"/>
          <w:szCs w:val="22"/>
        </w:rPr>
        <w:t>easure</w:t>
      </w:r>
      <w:r w:rsidR="00EC5E6A">
        <w:rPr>
          <w:b/>
          <w:sz w:val="22"/>
          <w:szCs w:val="22"/>
        </w:rPr>
        <w:t>s</w:t>
      </w:r>
      <w:r>
        <w:rPr>
          <w:b/>
          <w:sz w:val="22"/>
          <w:szCs w:val="22"/>
        </w:rPr>
        <w:t xml:space="preserve">: </w:t>
      </w:r>
      <w:r w:rsidR="00D647E5" w:rsidRPr="00630076">
        <w:rPr>
          <w:sz w:val="22"/>
          <w:szCs w:val="22"/>
        </w:rPr>
        <w:t xml:space="preserve">Are there additional </w:t>
      </w:r>
      <w:r w:rsidRPr="00630076">
        <w:rPr>
          <w:sz w:val="22"/>
          <w:szCs w:val="22"/>
        </w:rPr>
        <w:t>indicators</w:t>
      </w:r>
      <w:r w:rsidR="00D647E5" w:rsidRPr="00630076">
        <w:rPr>
          <w:sz w:val="22"/>
          <w:szCs w:val="22"/>
        </w:rPr>
        <w:t xml:space="preserve"> that should be considered</w:t>
      </w:r>
      <w:r w:rsidRPr="00630076">
        <w:rPr>
          <w:sz w:val="22"/>
          <w:szCs w:val="22"/>
        </w:rPr>
        <w:t xml:space="preserve">? </w:t>
      </w:r>
      <w:r w:rsidR="46242992" w:rsidRPr="64212D36">
        <w:rPr>
          <w:sz w:val="22"/>
          <w:szCs w:val="22"/>
        </w:rPr>
        <w:t xml:space="preserve">To what extent </w:t>
      </w:r>
      <w:r w:rsidR="46242992" w:rsidRPr="264ED87E">
        <w:rPr>
          <w:sz w:val="22"/>
          <w:szCs w:val="22"/>
        </w:rPr>
        <w:t>should</w:t>
      </w:r>
      <w:r w:rsidRPr="00630076">
        <w:rPr>
          <w:sz w:val="22"/>
          <w:szCs w:val="22"/>
        </w:rPr>
        <w:t xml:space="preserve"> </w:t>
      </w:r>
      <w:r w:rsidR="00BE1574">
        <w:rPr>
          <w:sz w:val="22"/>
          <w:szCs w:val="22"/>
        </w:rPr>
        <w:t>the per</w:t>
      </w:r>
      <w:r w:rsidR="000F74E7">
        <w:rPr>
          <w:sz w:val="22"/>
          <w:szCs w:val="22"/>
        </w:rPr>
        <w:t>formance measures</w:t>
      </w:r>
      <w:r w:rsidRPr="00630076">
        <w:rPr>
          <w:sz w:val="22"/>
          <w:szCs w:val="22"/>
        </w:rPr>
        <w:t xml:space="preserve"> form the core part of the evidence requirements in provider’s Plans For Demonstrating Impact required in the Accreditation Standards and Procedures?</w:t>
      </w:r>
      <w:r>
        <w:rPr>
          <w:sz w:val="22"/>
          <w:szCs w:val="22"/>
        </w:rPr>
        <w:t xml:space="preserve"> </w:t>
      </w:r>
    </w:p>
    <w:p w14:paraId="6BF9DF79" w14:textId="1CE939FE" w:rsidR="00945A71" w:rsidRPr="00945A71" w:rsidRDefault="00C038E1" w:rsidP="14CC0CE4">
      <w:pPr>
        <w:pStyle w:val="ListParagraph"/>
        <w:framePr w:hSpace="180" w:wrap="around" w:vAnchor="text" w:hAnchor="margin" w:y="114"/>
        <w:numPr>
          <w:ilvl w:val="0"/>
          <w:numId w:val="6"/>
        </w:numPr>
        <w:ind w:left="1080"/>
        <w:rPr>
          <w:i/>
          <w:iCs/>
          <w:sz w:val="22"/>
          <w:szCs w:val="22"/>
        </w:rPr>
      </w:pPr>
      <w:r w:rsidRPr="00945A71">
        <w:rPr>
          <w:b/>
          <w:sz w:val="22"/>
          <w:szCs w:val="22"/>
        </w:rPr>
        <w:t xml:space="preserve">Public </w:t>
      </w:r>
      <w:r w:rsidR="523C9396" w:rsidRPr="60050C1A">
        <w:rPr>
          <w:b/>
          <w:bCs/>
          <w:sz w:val="22"/>
          <w:szCs w:val="22"/>
        </w:rPr>
        <w:t>reporting</w:t>
      </w:r>
      <w:r w:rsidRPr="00945A71">
        <w:rPr>
          <w:b/>
          <w:sz w:val="22"/>
          <w:szCs w:val="22"/>
        </w:rPr>
        <w:t>:</w:t>
      </w:r>
      <w:r w:rsidRPr="00945A71">
        <w:rPr>
          <w:i/>
          <w:sz w:val="22"/>
          <w:szCs w:val="22"/>
        </w:rPr>
        <w:t xml:space="preserve"> </w:t>
      </w:r>
      <w:r w:rsidR="00EE78CE" w:rsidRPr="00945A71">
        <w:rPr>
          <w:sz w:val="22"/>
          <w:szCs w:val="22"/>
        </w:rPr>
        <w:t xml:space="preserve">Should the </w:t>
      </w:r>
      <w:r w:rsidR="009F4CA4" w:rsidRPr="00945A71">
        <w:rPr>
          <w:sz w:val="22"/>
          <w:szCs w:val="22"/>
        </w:rPr>
        <w:t>Australian Teacher Workforce Data collection be the basis for reporting and publi</w:t>
      </w:r>
      <w:r w:rsidR="00C238FF" w:rsidRPr="00945A71">
        <w:rPr>
          <w:sz w:val="22"/>
          <w:szCs w:val="22"/>
        </w:rPr>
        <w:t xml:space="preserve">cising the </w:t>
      </w:r>
      <w:r w:rsidR="0AB2F97B" w:rsidRPr="1DE9CB95">
        <w:rPr>
          <w:sz w:val="22"/>
          <w:szCs w:val="22"/>
        </w:rPr>
        <w:t>performance measures</w:t>
      </w:r>
      <w:r w:rsidR="00C238FF" w:rsidRPr="1DE9CB95">
        <w:rPr>
          <w:sz w:val="22"/>
          <w:szCs w:val="22"/>
        </w:rPr>
        <w:t>?</w:t>
      </w:r>
      <w:r w:rsidR="00C238FF" w:rsidRPr="00945A71">
        <w:rPr>
          <w:sz w:val="22"/>
          <w:szCs w:val="22"/>
        </w:rPr>
        <w:t xml:space="preserve"> Are there </w:t>
      </w:r>
      <w:r w:rsidR="00585F29" w:rsidRPr="00945A71">
        <w:rPr>
          <w:sz w:val="22"/>
          <w:szCs w:val="22"/>
        </w:rPr>
        <w:t xml:space="preserve">other approaches for </w:t>
      </w:r>
      <w:r w:rsidR="52F6BDF5" w:rsidRPr="6E85EB48">
        <w:rPr>
          <w:sz w:val="22"/>
          <w:szCs w:val="22"/>
        </w:rPr>
        <w:t>reporting the performance measures</w:t>
      </w:r>
      <w:r w:rsidR="00694522" w:rsidRPr="00945A71">
        <w:rPr>
          <w:sz w:val="22"/>
          <w:szCs w:val="22"/>
        </w:rPr>
        <w:t>?</w:t>
      </w:r>
      <w:r w:rsidR="00917D91" w:rsidRPr="00945A71">
        <w:rPr>
          <w:sz w:val="22"/>
          <w:szCs w:val="22"/>
        </w:rPr>
        <w:t xml:space="preserve"> </w:t>
      </w:r>
    </w:p>
    <w:p w14:paraId="4B8711F4" w14:textId="17A0F496" w:rsidR="00945A71" w:rsidRPr="00945A71" w:rsidRDefault="4D6960B7" w:rsidP="00945A71">
      <w:pPr>
        <w:pStyle w:val="ListParagraph"/>
        <w:framePr w:hSpace="180" w:wrap="around" w:vAnchor="text" w:hAnchor="margin" w:y="114"/>
        <w:numPr>
          <w:ilvl w:val="0"/>
          <w:numId w:val="6"/>
        </w:numPr>
        <w:ind w:left="1080"/>
        <w:rPr>
          <w:i/>
          <w:iCs/>
          <w:sz w:val="22"/>
          <w:szCs w:val="22"/>
        </w:rPr>
      </w:pPr>
      <w:r w:rsidRPr="58EEFCE8">
        <w:rPr>
          <w:b/>
          <w:sz w:val="22"/>
          <w:szCs w:val="22"/>
        </w:rPr>
        <w:t xml:space="preserve">Public </w:t>
      </w:r>
      <w:r w:rsidR="7BFB2B0A" w:rsidRPr="58EEFCE8">
        <w:rPr>
          <w:b/>
          <w:bCs/>
          <w:sz w:val="22"/>
          <w:szCs w:val="22"/>
        </w:rPr>
        <w:t>transparency</w:t>
      </w:r>
      <w:r w:rsidRPr="60050C1A">
        <w:rPr>
          <w:sz w:val="22"/>
          <w:szCs w:val="22"/>
        </w:rPr>
        <w:t xml:space="preserve">: </w:t>
      </w:r>
      <w:r w:rsidR="002B0BE2">
        <w:rPr>
          <w:sz w:val="22"/>
          <w:szCs w:val="22"/>
        </w:rPr>
        <w:t>If made publicly available, a</w:t>
      </w:r>
      <w:r w:rsidR="000F51DA">
        <w:rPr>
          <w:sz w:val="22"/>
          <w:szCs w:val="22"/>
        </w:rPr>
        <w:t>re these performance measures</w:t>
      </w:r>
      <w:r w:rsidR="00C038E1" w:rsidRPr="00945A71">
        <w:rPr>
          <w:sz w:val="22"/>
          <w:szCs w:val="22"/>
        </w:rPr>
        <w:t xml:space="preserve"> sufficient to drive </w:t>
      </w:r>
      <w:r w:rsidR="0000298B">
        <w:rPr>
          <w:sz w:val="22"/>
          <w:szCs w:val="22"/>
        </w:rPr>
        <w:t>quality</w:t>
      </w:r>
      <w:r w:rsidR="00C038E1" w:rsidRPr="00945A71">
        <w:rPr>
          <w:sz w:val="22"/>
          <w:szCs w:val="22"/>
        </w:rPr>
        <w:t xml:space="preserve"> improvement</w:t>
      </w:r>
      <w:r w:rsidR="002B0BE2">
        <w:rPr>
          <w:sz w:val="22"/>
          <w:szCs w:val="22"/>
        </w:rPr>
        <w:t xml:space="preserve"> in ITE</w:t>
      </w:r>
      <w:r w:rsidR="00C038E1" w:rsidRPr="00945A71">
        <w:rPr>
          <w:sz w:val="22"/>
          <w:szCs w:val="22"/>
        </w:rPr>
        <w:t>?</w:t>
      </w:r>
    </w:p>
    <w:p w14:paraId="3331FB2B" w14:textId="285276CE" w:rsidR="00C038E1" w:rsidRPr="00945A71" w:rsidRDefault="00C038E1" w:rsidP="00C038E1">
      <w:pPr>
        <w:pStyle w:val="ListParagraph"/>
        <w:framePr w:hSpace="180" w:wrap="around" w:vAnchor="text" w:hAnchor="margin" w:y="114"/>
        <w:numPr>
          <w:ilvl w:val="0"/>
          <w:numId w:val="6"/>
        </w:numPr>
        <w:ind w:left="1080"/>
        <w:rPr>
          <w:i/>
          <w:sz w:val="22"/>
          <w:szCs w:val="22"/>
        </w:rPr>
      </w:pPr>
      <w:r w:rsidRPr="00FF4E4D">
        <w:rPr>
          <w:b/>
          <w:sz w:val="22"/>
          <w:szCs w:val="22"/>
        </w:rPr>
        <w:t>Transition funding to support performance improvement:</w:t>
      </w:r>
      <w:r w:rsidRPr="00D21A7A">
        <w:rPr>
          <w:i/>
          <w:iCs/>
          <w:sz w:val="22"/>
          <w:szCs w:val="22"/>
        </w:rPr>
        <w:t xml:space="preserve"> </w:t>
      </w:r>
      <w:r w:rsidRPr="00945A71">
        <w:rPr>
          <w:sz w:val="22"/>
          <w:szCs w:val="22"/>
        </w:rPr>
        <w:t>How could</w:t>
      </w:r>
      <w:r w:rsidR="00191075" w:rsidRPr="00945A71">
        <w:rPr>
          <w:sz w:val="22"/>
          <w:szCs w:val="22"/>
        </w:rPr>
        <w:t xml:space="preserve"> </w:t>
      </w:r>
      <w:r w:rsidRPr="00945A71">
        <w:rPr>
          <w:sz w:val="22"/>
          <w:szCs w:val="22"/>
        </w:rPr>
        <w:t>transition funding be used to</w:t>
      </w:r>
      <w:r w:rsidR="00945A71" w:rsidRPr="00945A71">
        <w:rPr>
          <w:sz w:val="22"/>
          <w:szCs w:val="22"/>
        </w:rPr>
        <w:t xml:space="preserve"> </w:t>
      </w:r>
      <w:r w:rsidRPr="00945A71">
        <w:rPr>
          <w:sz w:val="22"/>
          <w:szCs w:val="22"/>
        </w:rPr>
        <w:t xml:space="preserve">set higher education providers on a path to improving the quality of their </w:t>
      </w:r>
      <w:r w:rsidR="002970C3">
        <w:rPr>
          <w:sz w:val="22"/>
          <w:szCs w:val="22"/>
        </w:rPr>
        <w:t>programs</w:t>
      </w:r>
      <w:r w:rsidRPr="00945A71">
        <w:rPr>
          <w:sz w:val="22"/>
          <w:szCs w:val="22"/>
        </w:rPr>
        <w:t xml:space="preserve">? </w:t>
      </w:r>
    </w:p>
    <w:p w14:paraId="2C8CFFFA" w14:textId="7061EF10" w:rsidR="00BA638B" w:rsidRPr="006B2082" w:rsidRDefault="00C038E1" w:rsidP="00244A52">
      <w:pPr>
        <w:pStyle w:val="ListParagraph"/>
        <w:framePr w:hSpace="180" w:wrap="around" w:vAnchor="text" w:hAnchor="margin" w:y="114"/>
        <w:numPr>
          <w:ilvl w:val="0"/>
          <w:numId w:val="6"/>
        </w:numPr>
        <w:ind w:left="1080"/>
        <w:rPr>
          <w:i/>
          <w:sz w:val="20"/>
          <w:szCs w:val="20"/>
        </w:rPr>
      </w:pPr>
      <w:r w:rsidRPr="00FF4E4D">
        <w:rPr>
          <w:b/>
          <w:sz w:val="22"/>
          <w:szCs w:val="22"/>
        </w:rPr>
        <w:t xml:space="preserve">Excellence pool for higher quality </w:t>
      </w:r>
      <w:r w:rsidR="002970C3">
        <w:rPr>
          <w:b/>
          <w:sz w:val="22"/>
          <w:szCs w:val="22"/>
        </w:rPr>
        <w:t>programs</w:t>
      </w:r>
      <w:r w:rsidRPr="00FF4E4D">
        <w:rPr>
          <w:b/>
          <w:sz w:val="22"/>
          <w:szCs w:val="22"/>
        </w:rPr>
        <w:t>:</w:t>
      </w:r>
      <w:r w:rsidRPr="00FF4E4D">
        <w:rPr>
          <w:i/>
          <w:sz w:val="22"/>
          <w:szCs w:val="22"/>
        </w:rPr>
        <w:t xml:space="preserve"> </w:t>
      </w:r>
      <w:r w:rsidR="00BA638B" w:rsidRPr="006B2082">
        <w:rPr>
          <w:color w:val="000000"/>
          <w:sz w:val="22"/>
          <w:szCs w:val="22"/>
          <w:lang w:eastAsia="en-AU"/>
        </w:rPr>
        <w:t>How could a system of reward funding be best designed to support high performing ITE programs and encourage them to increase their enrolments? Are there any risks to such an approach and if so, how should they be addressed?</w:t>
      </w:r>
    </w:p>
    <w:p w14:paraId="1392ACA3" w14:textId="1F8F5184" w:rsidR="00A66AAB" w:rsidRDefault="007D5540" w:rsidP="00C038E1">
      <w:pPr>
        <w:spacing w:after="0" w:line="240" w:lineRule="auto"/>
        <w:ind w:left="360" w:firstLine="720"/>
        <w:textAlignment w:val="baseline"/>
        <w:rPr>
          <w:rFonts w:eastAsia="Times New Roman" w:cstheme="minorHAnsi"/>
          <w:i/>
          <w:lang w:eastAsia="en-AU"/>
        </w:rPr>
      </w:pPr>
      <w:r>
        <w:rPr>
          <w:rFonts w:ascii="Calibri Light" w:eastAsia="Times New Roman" w:hAnsi="Calibri Light" w:cs="Calibri Light"/>
          <w:noProof/>
          <w:color w:val="2F5496"/>
          <w:sz w:val="32"/>
          <w:szCs w:val="32"/>
          <w:shd w:val="clear" w:color="auto" w:fill="E6E6E6"/>
          <w:lang w:eastAsia="en-AU"/>
        </w:rPr>
        <mc:AlternateContent>
          <mc:Choice Requires="wpg">
            <w:drawing>
              <wp:anchor distT="0" distB="0" distL="114300" distR="114300" simplePos="0" relativeHeight="251658248" behindDoc="0" locked="0" layoutInCell="1" allowOverlap="1" wp14:anchorId="303AFA56" wp14:editId="014EDF1C">
                <wp:simplePos x="0" y="0"/>
                <wp:positionH relativeFrom="margin">
                  <wp:align>center</wp:align>
                </wp:positionH>
                <wp:positionV relativeFrom="paragraph">
                  <wp:posOffset>-582295</wp:posOffset>
                </wp:positionV>
                <wp:extent cx="5731510" cy="763905"/>
                <wp:effectExtent l="0" t="0" r="21590" b="0"/>
                <wp:wrapNone/>
                <wp:docPr id="206" name="Group 206"/>
                <wp:cNvGraphicFramePr/>
                <a:graphic xmlns:a="http://schemas.openxmlformats.org/drawingml/2006/main">
                  <a:graphicData uri="http://schemas.microsoft.com/office/word/2010/wordprocessingGroup">
                    <wpg:wgp>
                      <wpg:cNvGrpSpPr/>
                      <wpg:grpSpPr>
                        <a:xfrm>
                          <a:off x="0" y="0"/>
                          <a:ext cx="5731510" cy="763905"/>
                          <a:chOff x="0" y="0"/>
                          <a:chExt cx="5731529" cy="763905"/>
                        </a:xfrm>
                      </wpg:grpSpPr>
                      <wps:wsp>
                        <wps:cNvPr id="207" name="Text Box 207"/>
                        <wps:cNvSpPr txBox="1"/>
                        <wps:spPr>
                          <a:xfrm>
                            <a:off x="204717" y="191069"/>
                            <a:ext cx="5526812" cy="395785"/>
                          </a:xfrm>
                          <a:prstGeom prst="rect">
                            <a:avLst/>
                          </a:prstGeom>
                          <a:solidFill>
                            <a:schemeClr val="accent2">
                              <a:lumMod val="75000"/>
                            </a:schemeClr>
                          </a:solidFill>
                          <a:ln w="6350">
                            <a:solidFill>
                              <a:schemeClr val="accent1"/>
                            </a:solidFill>
                          </a:ln>
                        </wps:spPr>
                        <wps:txbx>
                          <w:txbxContent>
                            <w:p w14:paraId="14743850" w14:textId="77777777" w:rsidR="00DC514C" w:rsidRPr="009D1170" w:rsidRDefault="00DC514C" w:rsidP="00DC514C">
                              <w:pPr>
                                <w:ind w:firstLine="720"/>
                                <w:rPr>
                                  <w:color w:val="002C3E" w:themeColor="background2"/>
                                  <w:sz w:val="28"/>
                                  <w:szCs w:val="28"/>
                                </w:rPr>
                              </w:pPr>
                              <w:r w:rsidRPr="009D1170">
                                <w:rPr>
                                  <w:rFonts w:eastAsia="Times New Roman"/>
                                  <w:color w:val="002C3E" w:themeColor="background2"/>
                                  <w:sz w:val="28"/>
                                  <w:szCs w:val="28"/>
                                  <w:lang w:eastAsia="en-AU"/>
                                </w:rPr>
                                <w:t>Discussion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8" name="Group 208"/>
                        <wpg:cNvGrpSpPr/>
                        <wpg:grpSpPr>
                          <a:xfrm>
                            <a:off x="0" y="0"/>
                            <a:ext cx="763905" cy="763905"/>
                            <a:chOff x="0" y="0"/>
                            <a:chExt cx="763905" cy="763905"/>
                          </a:xfrm>
                        </wpg:grpSpPr>
                        <wps:wsp>
                          <wps:cNvPr id="209" name="Oval 209"/>
                          <wps:cNvSpPr/>
                          <wps:spPr>
                            <a:xfrm>
                              <a:off x="150125" y="163773"/>
                              <a:ext cx="464024" cy="42308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0" name="Graphic 210" descr="Help with solid fill"/>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63905" cy="763905"/>
                            </a:xfrm>
                            <a:prstGeom prst="rect">
                              <a:avLst/>
                            </a:prstGeom>
                          </pic:spPr>
                        </pic:pic>
                      </wpg:grpSp>
                    </wpg:wgp>
                  </a:graphicData>
                </a:graphic>
              </wp:anchor>
            </w:drawing>
          </mc:Choice>
          <mc:Fallback xmlns:w16du="http://schemas.microsoft.com/office/word/2023/wordml/word16du" xmlns:oel="http://schemas.microsoft.com/office/2019/extlst">
            <w:pict>
              <v:group w14:anchorId="303AFA56" id="Group 206" o:spid="_x0000_s1087" style="position:absolute;left:0;text-align:left;margin-left:0;margin-top:-45.85pt;width:451.3pt;height:60.15pt;z-index:251658248;mso-position-horizontal:center;mso-position-horizontal-relative:margin" coordsize="57315,76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">
                <v:shape id="Text Box 207" o:spid="_x0000_s1088" type="#_x0000_t202" style="position:absolute;left:2047;top:1910;width:55268;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" fillcolor="#fab501 [2405]" strokecolor="#ebab12 [3204]" strokeweight=".5pt">
                  <v:textbox>
                    <w:txbxContent>
                      <w:p w14:paraId="14743850" w14:textId="77777777" w:rsidR="00DC514C" w:rsidRPr="009D1170" w:rsidRDefault="00DC514C" w:rsidP="00DC514C">
                        <w:pPr>
                          <w:ind w:firstLine="720"/>
                          <w:rPr>
                            <w:color w:val="002C3E" w:themeColor="background2"/>
                            <w:sz w:val="28"/>
                            <w:szCs w:val="28"/>
                          </w:rPr>
                        </w:pPr>
                        <w:r w:rsidRPr="009D1170">
                          <w:rPr>
                            <w:rFonts w:eastAsia="Times New Roman"/>
                            <w:color w:val="002C3E" w:themeColor="background2"/>
                            <w:sz w:val="28"/>
                            <w:szCs w:val="28"/>
                            <w:lang w:eastAsia="en-AU"/>
                          </w:rPr>
                          <w:t>Discussion questions </w:t>
                        </w:r>
                      </w:p>
                    </w:txbxContent>
                  </v:textbox>
                </v:shape>
                <v:group id="Group 208" o:spid="_x0000_s1089" style="position:absolute;width:7639;height:7639" coordsize="7639,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oval id="Oval 209" o:spid="_x0000_s1090" style="position:absolute;left:1501;top:1637;width:4640;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" fillcolor="white [3212]" strokecolor="white [3212]" strokeweight="1pt">
                    <v:stroke joinstyle="miter"/>
                  </v:oval>
                  <v:shape id="Graphic 210" o:spid="_x0000_s1091" type="#_x0000_t75" alt="Help with solid fill" style="position:absolute;width:7639;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">
                    <v:imagedata r:id="rId53" o:title="Help with solid fill"/>
                  </v:shape>
                </v:group>
                <w10:wrap anchorx="margin"/>
              </v:group>
            </w:pict>
          </mc:Fallback>
        </mc:AlternateContent>
      </w:r>
    </w:p>
    <w:p w14:paraId="7D850C37" w14:textId="010763F7" w:rsidR="00C038E1" w:rsidRDefault="00BF6A25" w:rsidP="00C038E1">
      <w:pPr>
        <w:spacing w:after="0" w:line="240" w:lineRule="auto"/>
        <w:ind w:left="360" w:firstLine="720"/>
        <w:textAlignment w:val="baseline"/>
        <w:rPr>
          <w:rFonts w:eastAsia="Times New Roman" w:cstheme="minorHAnsi"/>
          <w:sz w:val="24"/>
          <w:szCs w:val="24"/>
          <w:lang w:eastAsia="en-AU"/>
        </w:rPr>
      </w:pPr>
      <w:r w:rsidRPr="00ED230B">
        <w:rPr>
          <w:rFonts w:eastAsia="Times New Roman" w:cstheme="minorHAnsi"/>
          <w:i/>
          <w:lang w:eastAsia="en-AU"/>
        </w:rPr>
        <w:t>In your responses, please provide supporting evidence.</w:t>
      </w:r>
    </w:p>
    <w:p w14:paraId="078A42CA" w14:textId="77777777" w:rsidR="00945A71" w:rsidRDefault="00945A71">
      <w:pPr>
        <w:spacing w:after="160"/>
        <w:rPr>
          <w:rFonts w:asciiTheme="majorHAnsi" w:eastAsia="Times New Roman" w:hAnsiTheme="majorHAnsi" w:cstheme="majorBidi"/>
          <w:b/>
          <w:color w:val="002C3E" w:themeColor="background2"/>
          <w:sz w:val="44"/>
          <w:szCs w:val="44"/>
          <w:lang w:eastAsia="en-AU"/>
        </w:rPr>
      </w:pPr>
      <w:bookmarkStart w:id="74" w:name="_Toc127978384"/>
      <w:r>
        <w:rPr>
          <w:rFonts w:asciiTheme="majorHAnsi" w:eastAsia="Times New Roman" w:hAnsiTheme="majorHAnsi"/>
          <w:b/>
          <w:color w:val="002C3E" w:themeColor="background2"/>
          <w:sz w:val="44"/>
          <w:szCs w:val="44"/>
          <w:lang w:eastAsia="en-AU"/>
        </w:rPr>
        <w:br w:type="page"/>
      </w:r>
    </w:p>
    <w:p w14:paraId="66C052F7" w14:textId="0260BD2D" w:rsidR="00B707E9" w:rsidRPr="00C038E1" w:rsidRDefault="00B707E9" w:rsidP="61BD85FC">
      <w:pPr>
        <w:pStyle w:val="Heading1"/>
        <w:spacing w:before="0" w:after="240" w:line="240" w:lineRule="auto"/>
        <w:jc w:val="left"/>
        <w:rPr>
          <w:rFonts w:asciiTheme="minorHAnsi" w:eastAsia="Times New Roman" w:hAnsiTheme="minorHAnsi" w:cstheme="minorBidi"/>
          <w:color w:val="auto"/>
          <w:sz w:val="24"/>
          <w:szCs w:val="24"/>
          <w:lang w:eastAsia="en-AU"/>
        </w:rPr>
      </w:pPr>
      <w:bookmarkStart w:id="75" w:name="_Toc128649092"/>
      <w:bookmarkStart w:id="76" w:name="_Toc130217448"/>
      <w:r w:rsidRPr="61BD85FC">
        <w:rPr>
          <w:rFonts w:asciiTheme="majorHAnsi" w:eastAsia="Times New Roman" w:hAnsiTheme="majorHAnsi"/>
          <w:b/>
          <w:bCs/>
          <w:color w:val="002C3E" w:themeColor="background2"/>
          <w:sz w:val="44"/>
          <w:szCs w:val="44"/>
          <w:lang w:eastAsia="en-AU"/>
        </w:rPr>
        <w:lastRenderedPageBreak/>
        <w:t>Reform Area 3: Improving the quality of practical experience in teaching</w:t>
      </w:r>
      <w:bookmarkEnd w:id="74"/>
      <w:bookmarkEnd w:id="75"/>
      <w:bookmarkEnd w:id="76"/>
      <w:r w:rsidRPr="61BD85FC">
        <w:rPr>
          <w:rFonts w:asciiTheme="majorHAnsi" w:eastAsia="Times New Roman" w:hAnsiTheme="majorHAnsi"/>
          <w:b/>
          <w:bCs/>
          <w:color w:val="002C3E" w:themeColor="background2"/>
          <w:sz w:val="44"/>
          <w:szCs w:val="44"/>
          <w:lang w:eastAsia="en-AU"/>
        </w:rPr>
        <w:t>  </w:t>
      </w:r>
    </w:p>
    <w:p w14:paraId="563E71AE" w14:textId="6D9EBEED" w:rsidR="00B73FAB" w:rsidRPr="00B73FAB" w:rsidRDefault="7989D9EC" w:rsidP="00C2035F">
      <w:pPr>
        <w:spacing w:before="240" w:after="120" w:line="240" w:lineRule="auto"/>
        <w:rPr>
          <w:rFonts w:ascii="Calibri" w:eastAsia="Times New Roman" w:hAnsi="Calibri" w:cs="Calibri"/>
          <w:color w:val="000000"/>
          <w:lang w:eastAsia="en-AU"/>
        </w:rPr>
      </w:pPr>
      <w:r w:rsidRPr="2C03F412">
        <w:rPr>
          <w:rFonts w:ascii="Calibri" w:eastAsia="Times New Roman" w:hAnsi="Calibri" w:cs="Calibri"/>
          <w:color w:val="000000" w:themeColor="text1"/>
          <w:lang w:eastAsia="en-AU"/>
        </w:rPr>
        <w:t>Integrating theory and practice in ITE is important to contextualise learning and enabl</w:t>
      </w:r>
      <w:r w:rsidR="6E8E6CB3" w:rsidRPr="2C03F412">
        <w:rPr>
          <w:rFonts w:ascii="Calibri" w:eastAsia="Times New Roman" w:hAnsi="Calibri" w:cs="Calibri"/>
          <w:color w:val="000000" w:themeColor="text1"/>
          <w:lang w:eastAsia="en-AU"/>
        </w:rPr>
        <w:t>ing</w:t>
      </w:r>
      <w:r w:rsidRPr="2C03F412">
        <w:rPr>
          <w:rFonts w:ascii="Calibri" w:eastAsia="Times New Roman" w:hAnsi="Calibri" w:cs="Calibri"/>
          <w:color w:val="000000" w:themeColor="text1"/>
          <w:lang w:eastAsia="en-AU"/>
        </w:rPr>
        <w:t xml:space="preserve"> </w:t>
      </w:r>
      <w:r w:rsidR="4925FBE0" w:rsidRPr="2C03F412">
        <w:rPr>
          <w:rFonts w:ascii="Calibri" w:eastAsia="Times New Roman" w:hAnsi="Calibri" w:cs="Calibri"/>
          <w:color w:val="000000" w:themeColor="text1"/>
          <w:lang w:eastAsia="en-AU"/>
        </w:rPr>
        <w:t xml:space="preserve">ITE students </w:t>
      </w:r>
      <w:r w:rsidRPr="2C03F412">
        <w:rPr>
          <w:rFonts w:ascii="Calibri" w:eastAsia="Times New Roman" w:hAnsi="Calibri" w:cs="Calibri"/>
          <w:color w:val="000000" w:themeColor="text1"/>
          <w:lang w:eastAsia="en-AU"/>
        </w:rPr>
        <w:t xml:space="preserve">to practise and refine skills. </w:t>
      </w:r>
      <w:r w:rsidR="68B14809" w:rsidRPr="2C03F412">
        <w:rPr>
          <w:rFonts w:ascii="Calibri" w:eastAsia="Times New Roman" w:hAnsi="Calibri" w:cs="Calibri"/>
          <w:color w:val="000000" w:themeColor="text1"/>
          <w:lang w:eastAsia="en-AU"/>
        </w:rPr>
        <w:t>Pract</w:t>
      </w:r>
      <w:r w:rsidR="6D4CA878" w:rsidRPr="2C03F412">
        <w:rPr>
          <w:rFonts w:ascii="Calibri" w:eastAsia="Times New Roman" w:hAnsi="Calibri" w:cs="Calibri"/>
          <w:color w:val="000000" w:themeColor="text1"/>
          <w:lang w:eastAsia="en-AU"/>
        </w:rPr>
        <w:t>ical experience</w:t>
      </w:r>
      <w:r w:rsidRPr="2C03F412">
        <w:rPr>
          <w:rFonts w:ascii="Calibri" w:eastAsia="Times New Roman" w:hAnsi="Calibri" w:cs="Calibri"/>
          <w:color w:val="000000" w:themeColor="text1"/>
          <w:lang w:eastAsia="en-AU"/>
        </w:rPr>
        <w:t xml:space="preserve"> placements enable ITE students to apply and </w:t>
      </w:r>
      <w:r w:rsidR="6C0725CE" w:rsidRPr="2C03F412">
        <w:rPr>
          <w:rFonts w:ascii="Calibri" w:eastAsia="Times New Roman" w:hAnsi="Calibri" w:cs="Calibri"/>
          <w:color w:val="000000" w:themeColor="text1"/>
          <w:lang w:eastAsia="en-AU"/>
        </w:rPr>
        <w:t xml:space="preserve">develop their skills </w:t>
      </w:r>
      <w:r w:rsidRPr="2C03F412">
        <w:rPr>
          <w:rFonts w:ascii="Calibri" w:eastAsia="Times New Roman" w:hAnsi="Calibri" w:cs="Calibri"/>
          <w:color w:val="000000" w:themeColor="text1"/>
          <w:lang w:eastAsia="en-AU"/>
        </w:rPr>
        <w:t xml:space="preserve">while they prepare themselves for the classroom. </w:t>
      </w:r>
    </w:p>
    <w:p w14:paraId="629D4ACF" w14:textId="1B62DD01" w:rsidR="00B73FAB" w:rsidRPr="00B73FAB" w:rsidRDefault="00B73FAB" w:rsidP="34A74965">
      <w:pPr>
        <w:spacing w:after="120" w:line="240" w:lineRule="auto"/>
        <w:rPr>
          <w:rFonts w:ascii="Calibri" w:eastAsia="Times New Roman" w:hAnsi="Calibri" w:cs="Calibri"/>
          <w:color w:val="000000"/>
          <w:lang w:eastAsia="en-AU"/>
        </w:rPr>
      </w:pPr>
      <w:r w:rsidRPr="7E737FDB">
        <w:rPr>
          <w:rFonts w:ascii="Calibri" w:eastAsia="Times New Roman" w:hAnsi="Calibri" w:cs="Calibri"/>
          <w:color w:val="000000" w:themeColor="text1"/>
          <w:lang w:eastAsia="en-AU"/>
        </w:rPr>
        <w:t>Practic</w:t>
      </w:r>
      <w:r w:rsidR="3BAD9A9C" w:rsidRPr="7E737FDB">
        <w:rPr>
          <w:rFonts w:ascii="Calibri" w:eastAsia="Times New Roman" w:hAnsi="Calibri" w:cs="Calibri"/>
          <w:color w:val="000000" w:themeColor="text1"/>
          <w:lang w:eastAsia="en-AU"/>
        </w:rPr>
        <w:t>al experience</w:t>
      </w:r>
      <w:r w:rsidRPr="34A74965">
        <w:rPr>
          <w:rFonts w:ascii="Calibri" w:eastAsia="Times New Roman" w:hAnsi="Calibri" w:cs="Calibri"/>
          <w:color w:val="000000" w:themeColor="text1"/>
          <w:lang w:eastAsia="en-AU"/>
        </w:rPr>
        <w:t xml:space="preserve"> has been a focus of </w:t>
      </w:r>
      <w:r w:rsidR="005551FA">
        <w:rPr>
          <w:rFonts w:ascii="Calibri" w:eastAsia="Times New Roman" w:hAnsi="Calibri" w:cs="Calibri"/>
          <w:color w:val="000000" w:themeColor="text1"/>
          <w:lang w:eastAsia="en-AU"/>
        </w:rPr>
        <w:t>several</w:t>
      </w:r>
      <w:r w:rsidRPr="34A74965">
        <w:rPr>
          <w:rFonts w:ascii="Calibri" w:eastAsia="Times New Roman" w:hAnsi="Calibri" w:cs="Calibri"/>
          <w:color w:val="000000" w:themeColor="text1"/>
          <w:lang w:eastAsia="en-AU"/>
        </w:rPr>
        <w:t xml:space="preserve"> reviews and actions, including the TEMAG review</w:t>
      </w:r>
      <w:r w:rsidR="00013E67">
        <w:rPr>
          <w:rFonts w:ascii="Calibri" w:eastAsia="Times New Roman" w:hAnsi="Calibri" w:cs="Calibri"/>
          <w:color w:val="000000" w:themeColor="text1"/>
          <w:lang w:eastAsia="en-AU"/>
        </w:rPr>
        <w:t xml:space="preserve"> (2014) and more recently the</w:t>
      </w:r>
      <w:r w:rsidR="00013E67" w:rsidRPr="34A74965">
        <w:rPr>
          <w:rFonts w:ascii="Calibri" w:eastAsia="Times New Roman" w:hAnsi="Calibri" w:cs="Calibri"/>
          <w:color w:val="000000" w:themeColor="text1"/>
          <w:lang w:eastAsia="en-AU"/>
        </w:rPr>
        <w:t xml:space="preserve"> </w:t>
      </w:r>
      <w:r w:rsidRPr="34A74965">
        <w:rPr>
          <w:rFonts w:ascii="Calibri" w:eastAsia="Times New Roman" w:hAnsi="Calibri" w:cs="Calibri"/>
          <w:color w:val="000000" w:themeColor="text1"/>
          <w:lang w:eastAsia="en-AU"/>
        </w:rPr>
        <w:t xml:space="preserve">QITE review. These have highlighted the importance of high-quality </w:t>
      </w:r>
      <w:bookmarkStart w:id="77" w:name="_Hlk129014693"/>
      <w:r w:rsidR="5B8D9CD4" w:rsidRPr="2F9182EA">
        <w:rPr>
          <w:rFonts w:ascii="Calibri" w:eastAsia="Times New Roman" w:hAnsi="Calibri" w:cs="Calibri"/>
          <w:color w:val="000000" w:themeColor="text1"/>
          <w:lang w:eastAsia="en-AU"/>
        </w:rPr>
        <w:t>practic</w:t>
      </w:r>
      <w:r w:rsidR="4DFF8EC0" w:rsidRPr="2F9182EA">
        <w:rPr>
          <w:rFonts w:ascii="Calibri" w:eastAsia="Times New Roman" w:hAnsi="Calibri" w:cs="Calibri"/>
          <w:color w:val="000000" w:themeColor="text1"/>
          <w:lang w:eastAsia="en-AU"/>
        </w:rPr>
        <w:t>al experience</w:t>
      </w:r>
      <w:r w:rsidR="00BB72BE">
        <w:rPr>
          <w:rFonts w:ascii="Calibri" w:eastAsia="Times New Roman" w:hAnsi="Calibri" w:cs="Calibri"/>
          <w:color w:val="000000" w:themeColor="text1"/>
          <w:lang w:eastAsia="en-AU"/>
        </w:rPr>
        <w:t xml:space="preserve"> </w:t>
      </w:r>
      <w:bookmarkEnd w:id="77"/>
      <w:r w:rsidRPr="34A74965">
        <w:rPr>
          <w:rFonts w:ascii="Calibri" w:eastAsia="Times New Roman" w:hAnsi="Calibri" w:cs="Calibri"/>
          <w:color w:val="000000" w:themeColor="text1"/>
          <w:lang w:eastAsia="en-AU"/>
        </w:rPr>
        <w:t>but acknowledged the complexity and resource-intensive</w:t>
      </w:r>
      <w:r w:rsidR="00D8093B" w:rsidRPr="34A74965">
        <w:rPr>
          <w:rFonts w:ascii="Calibri" w:eastAsia="Times New Roman" w:hAnsi="Calibri" w:cs="Calibri"/>
          <w:color w:val="000000" w:themeColor="text1"/>
          <w:lang w:eastAsia="en-AU"/>
        </w:rPr>
        <w:t xml:space="preserve"> nature</w:t>
      </w:r>
      <w:r w:rsidRPr="34A74965">
        <w:rPr>
          <w:rFonts w:ascii="Calibri" w:eastAsia="Times New Roman" w:hAnsi="Calibri" w:cs="Calibri"/>
          <w:color w:val="000000" w:themeColor="text1"/>
          <w:lang w:eastAsia="en-AU"/>
        </w:rPr>
        <w:t xml:space="preserve"> of </w:t>
      </w:r>
      <w:r w:rsidR="00096310">
        <w:rPr>
          <w:rFonts w:ascii="Calibri" w:eastAsia="Times New Roman" w:hAnsi="Calibri" w:cs="Calibri"/>
          <w:color w:val="000000" w:themeColor="text1"/>
          <w:lang w:eastAsia="en-AU"/>
        </w:rPr>
        <w:t>its</w:t>
      </w:r>
      <w:r w:rsidRPr="34A74965">
        <w:rPr>
          <w:rFonts w:ascii="Calibri" w:eastAsia="Times New Roman" w:hAnsi="Calibri" w:cs="Calibri"/>
          <w:color w:val="000000" w:themeColor="text1"/>
          <w:lang w:eastAsia="en-AU"/>
        </w:rPr>
        <w:t xml:space="preserve"> delivery. </w:t>
      </w:r>
      <w:r w:rsidR="5B8D9CD4" w:rsidRPr="2F9182EA">
        <w:rPr>
          <w:rFonts w:ascii="Calibri" w:eastAsia="Times New Roman" w:hAnsi="Calibri" w:cs="Calibri"/>
          <w:color w:val="000000" w:themeColor="text1"/>
          <w:lang w:eastAsia="en-AU"/>
        </w:rPr>
        <w:t>Practic</w:t>
      </w:r>
      <w:r w:rsidR="5D458CED" w:rsidRPr="2F9182EA">
        <w:rPr>
          <w:rFonts w:ascii="Calibri" w:eastAsia="Times New Roman" w:hAnsi="Calibri" w:cs="Calibri"/>
          <w:color w:val="000000" w:themeColor="text1"/>
          <w:lang w:eastAsia="en-AU"/>
        </w:rPr>
        <w:t xml:space="preserve">al experience </w:t>
      </w:r>
      <w:r w:rsidRPr="34A74965">
        <w:rPr>
          <w:rFonts w:ascii="Calibri" w:eastAsia="Times New Roman" w:hAnsi="Calibri" w:cs="Calibri"/>
          <w:color w:val="000000" w:themeColor="text1"/>
          <w:lang w:eastAsia="en-AU"/>
        </w:rPr>
        <w:t>design and delivery var</w:t>
      </w:r>
      <w:r w:rsidR="003C4683">
        <w:rPr>
          <w:rFonts w:ascii="Calibri" w:eastAsia="Times New Roman" w:hAnsi="Calibri" w:cs="Calibri"/>
          <w:color w:val="000000" w:themeColor="text1"/>
          <w:lang w:eastAsia="en-AU"/>
        </w:rPr>
        <w:t>ies</w:t>
      </w:r>
      <w:r w:rsidRPr="34A74965">
        <w:rPr>
          <w:rFonts w:ascii="Calibri" w:eastAsia="Times New Roman" w:hAnsi="Calibri" w:cs="Calibri"/>
          <w:color w:val="000000" w:themeColor="text1"/>
          <w:lang w:eastAsia="en-AU"/>
        </w:rPr>
        <w:t xml:space="preserve"> significantly across jurisdictions, </w:t>
      </w:r>
      <w:r w:rsidR="00E4388F">
        <w:rPr>
          <w:rFonts w:ascii="Calibri" w:eastAsia="Times New Roman" w:hAnsi="Calibri" w:cs="Calibri"/>
          <w:color w:val="000000" w:themeColor="text1"/>
          <w:lang w:eastAsia="en-AU"/>
        </w:rPr>
        <w:t>higher education</w:t>
      </w:r>
      <w:r w:rsidR="00E4388F" w:rsidRPr="34A74965">
        <w:rPr>
          <w:rFonts w:ascii="Calibri" w:eastAsia="Times New Roman" w:hAnsi="Calibri" w:cs="Calibri"/>
          <w:color w:val="000000" w:themeColor="text1"/>
          <w:lang w:eastAsia="en-AU"/>
        </w:rPr>
        <w:t xml:space="preserve"> </w:t>
      </w:r>
      <w:r w:rsidRPr="34A74965">
        <w:rPr>
          <w:rFonts w:ascii="Calibri" w:eastAsia="Times New Roman" w:hAnsi="Calibri" w:cs="Calibri"/>
          <w:color w:val="000000" w:themeColor="text1"/>
          <w:lang w:eastAsia="en-AU"/>
        </w:rPr>
        <w:t>providers and schools. This leads to a spectrum of ITE student experiences across hundreds of ITE programs.  </w:t>
      </w:r>
    </w:p>
    <w:p w14:paraId="1BD753F2" w14:textId="702DAFF4" w:rsidR="00B707E9" w:rsidRDefault="00B73FAB" w:rsidP="00AA7E6E">
      <w:pPr>
        <w:spacing w:line="240" w:lineRule="auto"/>
        <w:rPr>
          <w:rFonts w:ascii="Calibri" w:eastAsia="Times New Roman" w:hAnsi="Calibri" w:cs="Calibri"/>
          <w:sz w:val="24"/>
          <w:szCs w:val="24"/>
          <w:lang w:eastAsia="en-AU"/>
        </w:rPr>
      </w:pPr>
      <w:r w:rsidRPr="1247CB6A">
        <w:rPr>
          <w:rFonts w:ascii="Calibri" w:eastAsia="Times New Roman" w:hAnsi="Calibri" w:cs="Calibri"/>
          <w:color w:val="000000" w:themeColor="text1"/>
          <w:lang w:eastAsia="en-AU"/>
        </w:rPr>
        <w:t xml:space="preserve">The Panel has been </w:t>
      </w:r>
      <w:r w:rsidR="002B6EB1">
        <w:rPr>
          <w:rFonts w:ascii="Calibri" w:eastAsia="Times New Roman" w:hAnsi="Calibri" w:cs="Calibri"/>
          <w:color w:val="000000" w:themeColor="text1"/>
          <w:lang w:eastAsia="en-AU"/>
        </w:rPr>
        <w:t>asked to</w:t>
      </w:r>
      <w:r w:rsidRPr="1247CB6A">
        <w:rPr>
          <w:rFonts w:ascii="Calibri" w:eastAsia="Times New Roman" w:hAnsi="Calibri" w:cs="Calibri"/>
          <w:color w:val="000000" w:themeColor="text1"/>
          <w:lang w:eastAsia="en-AU"/>
        </w:rPr>
        <w:t xml:space="preserve"> provid</w:t>
      </w:r>
      <w:r w:rsidR="00E959EA">
        <w:rPr>
          <w:rFonts w:ascii="Calibri" w:eastAsia="Times New Roman" w:hAnsi="Calibri" w:cs="Calibri"/>
          <w:color w:val="000000" w:themeColor="text1"/>
          <w:lang w:eastAsia="en-AU"/>
        </w:rPr>
        <w:t>e</w:t>
      </w:r>
      <w:r w:rsidRPr="1247CB6A">
        <w:rPr>
          <w:rFonts w:ascii="Calibri" w:eastAsia="Times New Roman" w:hAnsi="Calibri" w:cs="Calibri"/>
          <w:color w:val="000000" w:themeColor="text1"/>
          <w:lang w:eastAsia="en-AU"/>
        </w:rPr>
        <w:t xml:space="preserve"> advice to Government on how to improve the quality of </w:t>
      </w:r>
      <w:r w:rsidR="008C7249">
        <w:rPr>
          <w:rFonts w:ascii="Calibri" w:eastAsia="Times New Roman" w:hAnsi="Calibri" w:cs="Calibri"/>
          <w:color w:val="000000" w:themeColor="text1"/>
          <w:lang w:eastAsia="en-AU"/>
        </w:rPr>
        <w:t xml:space="preserve">the </w:t>
      </w:r>
      <w:r w:rsidRPr="1247CB6A">
        <w:rPr>
          <w:rFonts w:ascii="Calibri" w:eastAsia="Times New Roman" w:hAnsi="Calibri" w:cs="Calibri"/>
          <w:color w:val="000000" w:themeColor="text1"/>
          <w:lang w:eastAsia="en-AU"/>
        </w:rPr>
        <w:t>practical experience</w:t>
      </w:r>
      <w:r w:rsidR="002F7BB3">
        <w:rPr>
          <w:rFonts w:ascii="Calibri" w:eastAsia="Times New Roman" w:hAnsi="Calibri" w:cs="Calibri"/>
          <w:color w:val="000000" w:themeColor="text1"/>
          <w:lang w:eastAsia="en-AU"/>
        </w:rPr>
        <w:t xml:space="preserve"> in teaching</w:t>
      </w:r>
      <w:r w:rsidRPr="1247CB6A">
        <w:rPr>
          <w:rFonts w:ascii="Calibri" w:eastAsia="Times New Roman" w:hAnsi="Calibri" w:cs="Calibri"/>
          <w:color w:val="000000" w:themeColor="text1"/>
          <w:lang w:eastAsia="en-AU"/>
        </w:rPr>
        <w:t xml:space="preserve">. </w:t>
      </w:r>
      <w:r w:rsidR="00BE63A9">
        <w:rPr>
          <w:rFonts w:ascii="Calibri" w:eastAsia="Times New Roman" w:hAnsi="Calibri" w:cs="Calibri"/>
          <w:color w:val="000000" w:themeColor="text1"/>
          <w:lang w:eastAsia="en-AU"/>
        </w:rPr>
        <w:t>The Panel</w:t>
      </w:r>
      <w:r w:rsidRPr="1247CB6A">
        <w:rPr>
          <w:rFonts w:ascii="Calibri" w:eastAsia="Times New Roman" w:hAnsi="Calibri" w:cs="Calibri"/>
          <w:color w:val="000000" w:themeColor="text1"/>
          <w:lang w:eastAsia="en-AU"/>
        </w:rPr>
        <w:t xml:space="preserve"> </w:t>
      </w:r>
      <w:r w:rsidR="000A721D" w:rsidRPr="1247CB6A">
        <w:rPr>
          <w:rFonts w:ascii="Calibri" w:eastAsia="Times New Roman" w:hAnsi="Calibri" w:cs="Calibri"/>
          <w:color w:val="000000" w:themeColor="text1"/>
          <w:lang w:eastAsia="en-AU"/>
        </w:rPr>
        <w:t>engaged</w:t>
      </w:r>
      <w:r w:rsidRPr="1247CB6A">
        <w:rPr>
          <w:rFonts w:ascii="Calibri" w:eastAsia="Times New Roman" w:hAnsi="Calibri" w:cs="Calibri"/>
          <w:color w:val="000000" w:themeColor="text1"/>
          <w:lang w:eastAsia="en-AU"/>
        </w:rPr>
        <w:t xml:space="preserve"> </w:t>
      </w:r>
      <w:proofErr w:type="spellStart"/>
      <w:r w:rsidRPr="1247CB6A">
        <w:rPr>
          <w:rFonts w:ascii="Calibri" w:eastAsia="Times New Roman" w:hAnsi="Calibri" w:cs="Calibri"/>
          <w:color w:val="000000" w:themeColor="text1"/>
          <w:lang w:eastAsia="en-AU"/>
        </w:rPr>
        <w:t>dandolopartners</w:t>
      </w:r>
      <w:proofErr w:type="spellEnd"/>
      <w:r w:rsidRPr="1247CB6A">
        <w:rPr>
          <w:rFonts w:ascii="Calibri" w:eastAsia="Times New Roman" w:hAnsi="Calibri" w:cs="Calibri"/>
          <w:color w:val="000000" w:themeColor="text1"/>
          <w:lang w:eastAsia="en-AU"/>
        </w:rPr>
        <w:t xml:space="preserve"> to help understand the challenges and opportunities to produce consistent, high-quality delivery of placements across ITE </w:t>
      </w:r>
      <w:r w:rsidR="00A32BE6">
        <w:rPr>
          <w:rFonts w:ascii="Calibri" w:eastAsia="Times New Roman" w:hAnsi="Calibri" w:cs="Calibri"/>
          <w:color w:val="000000" w:themeColor="text1"/>
          <w:lang w:eastAsia="en-AU"/>
        </w:rPr>
        <w:t>programs</w:t>
      </w:r>
      <w:r w:rsidRPr="1247CB6A">
        <w:rPr>
          <w:rFonts w:ascii="Calibri" w:eastAsia="Times New Roman" w:hAnsi="Calibri" w:cs="Calibri"/>
          <w:color w:val="000000" w:themeColor="text1"/>
          <w:lang w:eastAsia="en-AU"/>
        </w:rPr>
        <w:t xml:space="preserve">. </w:t>
      </w:r>
      <w:r w:rsidR="00D70EA2">
        <w:rPr>
          <w:rFonts w:ascii="Calibri" w:eastAsia="Times New Roman" w:hAnsi="Calibri" w:cs="Calibri"/>
          <w:color w:val="000000" w:themeColor="text1"/>
          <w:lang w:eastAsia="en-AU"/>
        </w:rPr>
        <w:t xml:space="preserve">Case study examples have been </w:t>
      </w:r>
      <w:r w:rsidR="002F40C9">
        <w:rPr>
          <w:rFonts w:ascii="Calibri" w:eastAsia="Times New Roman" w:hAnsi="Calibri" w:cs="Calibri"/>
          <w:color w:val="000000" w:themeColor="text1"/>
          <w:lang w:eastAsia="en-AU"/>
        </w:rPr>
        <w:t>included</w:t>
      </w:r>
      <w:r w:rsidR="00100926">
        <w:rPr>
          <w:rFonts w:ascii="Calibri" w:eastAsia="Times New Roman" w:hAnsi="Calibri" w:cs="Calibri"/>
          <w:color w:val="000000" w:themeColor="text1"/>
          <w:lang w:eastAsia="en-AU"/>
        </w:rPr>
        <w:t xml:space="preserve"> to demonstrate the breadth of approaches used across Australia. </w:t>
      </w:r>
      <w:r w:rsidR="6168492E" w:rsidRPr="1247CB6A">
        <w:rPr>
          <w:rFonts w:ascii="Calibri" w:eastAsia="Times New Roman" w:hAnsi="Calibri" w:cs="Calibri"/>
          <w:color w:val="000000" w:themeColor="text1"/>
          <w:lang w:eastAsia="en-AU"/>
        </w:rPr>
        <w:t>It is important to acknowledge that the evidence base</w:t>
      </w:r>
      <w:r w:rsidR="00FC226E">
        <w:rPr>
          <w:rFonts w:ascii="Calibri" w:eastAsia="Times New Roman" w:hAnsi="Calibri" w:cs="Calibri"/>
          <w:color w:val="000000" w:themeColor="text1"/>
          <w:lang w:eastAsia="en-AU"/>
        </w:rPr>
        <w:t xml:space="preserve"> on </w:t>
      </w:r>
      <w:r w:rsidR="00676D4E">
        <w:rPr>
          <w:rFonts w:ascii="Calibri" w:eastAsia="Times New Roman" w:hAnsi="Calibri" w:cs="Calibri"/>
          <w:color w:val="000000" w:themeColor="text1"/>
          <w:lang w:eastAsia="en-AU"/>
        </w:rPr>
        <w:t xml:space="preserve">practical experience </w:t>
      </w:r>
      <w:r w:rsidR="00FC226E">
        <w:rPr>
          <w:rFonts w:ascii="Calibri" w:eastAsia="Times New Roman" w:hAnsi="Calibri" w:cs="Calibri"/>
          <w:color w:val="000000" w:themeColor="text1"/>
          <w:lang w:eastAsia="en-AU"/>
        </w:rPr>
        <w:t>is limited and</w:t>
      </w:r>
      <w:r w:rsidR="6168492E" w:rsidRPr="1247CB6A">
        <w:rPr>
          <w:rFonts w:ascii="Calibri" w:eastAsia="Times New Roman" w:hAnsi="Calibri" w:cs="Calibri"/>
          <w:color w:val="000000" w:themeColor="text1"/>
          <w:lang w:eastAsia="en-AU"/>
        </w:rPr>
        <w:t xml:space="preserve"> does not provide a </w:t>
      </w:r>
      <w:r w:rsidR="7C1EF0D5" w:rsidRPr="099E3A7B">
        <w:rPr>
          <w:rFonts w:ascii="Calibri" w:eastAsia="Times New Roman" w:hAnsi="Calibri" w:cs="Calibri"/>
          <w:color w:val="000000" w:themeColor="text1"/>
          <w:lang w:eastAsia="en-AU"/>
        </w:rPr>
        <w:t>singular</w:t>
      </w:r>
      <w:r w:rsidR="6168492E" w:rsidRPr="1247CB6A">
        <w:rPr>
          <w:rFonts w:ascii="Calibri" w:eastAsia="Times New Roman" w:hAnsi="Calibri" w:cs="Calibri"/>
          <w:color w:val="000000" w:themeColor="text1"/>
          <w:lang w:eastAsia="en-AU"/>
        </w:rPr>
        <w:t xml:space="preserve"> </w:t>
      </w:r>
      <w:r w:rsidR="6EF919F9" w:rsidRPr="1247CB6A">
        <w:rPr>
          <w:rFonts w:ascii="Calibri" w:eastAsia="Times New Roman" w:hAnsi="Calibri" w:cs="Calibri"/>
          <w:color w:val="000000" w:themeColor="text1"/>
          <w:lang w:eastAsia="en-AU"/>
        </w:rPr>
        <w:t>view of how high</w:t>
      </w:r>
      <w:r w:rsidR="009777C6">
        <w:rPr>
          <w:rFonts w:ascii="Calibri" w:eastAsia="Times New Roman" w:hAnsi="Calibri" w:cs="Calibri"/>
          <w:color w:val="000000" w:themeColor="text1"/>
          <w:lang w:eastAsia="en-AU"/>
        </w:rPr>
        <w:t>-</w:t>
      </w:r>
      <w:r w:rsidR="6EF919F9" w:rsidRPr="1247CB6A">
        <w:rPr>
          <w:rFonts w:ascii="Calibri" w:eastAsia="Times New Roman" w:hAnsi="Calibri" w:cs="Calibri"/>
          <w:color w:val="000000" w:themeColor="text1"/>
          <w:lang w:eastAsia="en-AU"/>
        </w:rPr>
        <w:t xml:space="preserve">quality </w:t>
      </w:r>
      <w:r w:rsidR="00676D4E">
        <w:rPr>
          <w:rFonts w:ascii="Calibri" w:eastAsia="Times New Roman" w:hAnsi="Calibri" w:cs="Calibri"/>
          <w:color w:val="000000" w:themeColor="text1"/>
          <w:lang w:eastAsia="en-AU"/>
        </w:rPr>
        <w:t xml:space="preserve">practical experience </w:t>
      </w:r>
      <w:r w:rsidR="6EF919F9" w:rsidRPr="1247CB6A">
        <w:rPr>
          <w:rFonts w:ascii="Calibri" w:eastAsia="Times New Roman" w:hAnsi="Calibri" w:cs="Calibri"/>
          <w:color w:val="000000" w:themeColor="text1"/>
          <w:lang w:eastAsia="en-AU"/>
        </w:rPr>
        <w:t>should be delivered</w:t>
      </w:r>
      <w:r w:rsidR="58320FF0" w:rsidRPr="099E3A7B">
        <w:rPr>
          <w:rFonts w:ascii="Calibri" w:eastAsia="Times New Roman" w:hAnsi="Calibri" w:cs="Calibri"/>
          <w:color w:val="000000" w:themeColor="text1"/>
          <w:lang w:eastAsia="en-AU"/>
        </w:rPr>
        <w:t xml:space="preserve"> across different contexts</w:t>
      </w:r>
      <w:r w:rsidR="6EF919F9" w:rsidRPr="099E3A7B">
        <w:rPr>
          <w:rFonts w:ascii="Calibri" w:eastAsia="Times New Roman" w:hAnsi="Calibri" w:cs="Calibri"/>
          <w:color w:val="000000" w:themeColor="text1"/>
          <w:lang w:eastAsia="en-AU"/>
        </w:rPr>
        <w:t>.</w:t>
      </w:r>
      <w:r w:rsidR="6EF919F9" w:rsidRPr="1247CB6A">
        <w:rPr>
          <w:rFonts w:ascii="Calibri" w:eastAsia="Times New Roman" w:hAnsi="Calibri" w:cs="Calibri"/>
          <w:color w:val="000000" w:themeColor="text1"/>
          <w:lang w:eastAsia="en-AU"/>
        </w:rPr>
        <w:t xml:space="preserve"> </w:t>
      </w:r>
      <w:r w:rsidR="00E3770F">
        <w:rPr>
          <w:rFonts w:ascii="Calibri" w:eastAsia="Times New Roman" w:hAnsi="Calibri" w:cs="Calibri"/>
          <w:color w:val="000000" w:themeColor="text1"/>
          <w:lang w:eastAsia="en-AU"/>
        </w:rPr>
        <w:t xml:space="preserve">Case study examples have been included to demonstrate the breadth of approaches used across Australia. </w:t>
      </w:r>
      <w:r w:rsidR="6EF919F9" w:rsidRPr="1247CB6A">
        <w:rPr>
          <w:rFonts w:ascii="Calibri" w:eastAsia="Times New Roman" w:hAnsi="Calibri" w:cs="Calibri"/>
          <w:color w:val="000000" w:themeColor="text1"/>
          <w:lang w:eastAsia="en-AU"/>
        </w:rPr>
        <w:t xml:space="preserve">The </w:t>
      </w:r>
      <w:r w:rsidR="2B4797BE" w:rsidRPr="1247CB6A">
        <w:rPr>
          <w:rFonts w:ascii="Calibri" w:eastAsia="Times New Roman" w:hAnsi="Calibri" w:cs="Calibri"/>
          <w:color w:val="000000" w:themeColor="text1"/>
          <w:lang w:eastAsia="en-AU"/>
        </w:rPr>
        <w:t>identified</w:t>
      </w:r>
      <w:r w:rsidR="6EF919F9" w:rsidRPr="1247CB6A">
        <w:rPr>
          <w:rFonts w:ascii="Calibri" w:eastAsia="Times New Roman" w:hAnsi="Calibri" w:cs="Calibri"/>
          <w:color w:val="000000" w:themeColor="text1"/>
          <w:lang w:eastAsia="en-AU"/>
        </w:rPr>
        <w:t xml:space="preserve"> challenges and opportunities were</w:t>
      </w:r>
      <w:r w:rsidRPr="1247CB6A">
        <w:rPr>
          <w:rFonts w:ascii="Calibri" w:eastAsia="Times New Roman" w:hAnsi="Calibri" w:cs="Calibri"/>
          <w:color w:val="000000" w:themeColor="text1"/>
          <w:lang w:eastAsia="en-AU"/>
        </w:rPr>
        <w:t xml:space="preserve"> informed by a review of existing literature and initial stakeholder consultation with </w:t>
      </w:r>
      <w:r w:rsidR="007C19A1">
        <w:rPr>
          <w:rFonts w:ascii="Calibri" w:eastAsia="Times New Roman" w:hAnsi="Calibri" w:cs="Calibri"/>
          <w:color w:val="000000" w:themeColor="text1"/>
          <w:lang w:eastAsia="en-AU"/>
        </w:rPr>
        <w:t>higher education</w:t>
      </w:r>
      <w:r w:rsidRPr="1247CB6A">
        <w:rPr>
          <w:rFonts w:ascii="Calibri" w:eastAsia="Times New Roman" w:hAnsi="Calibri" w:cs="Calibri"/>
          <w:color w:val="000000" w:themeColor="text1"/>
          <w:lang w:eastAsia="en-AU"/>
        </w:rPr>
        <w:t xml:space="preserve"> providers, education departments, TRAs and peak sector organisations.</w:t>
      </w:r>
      <w:r w:rsidR="00B707E9" w:rsidRPr="00B707E9">
        <w:rPr>
          <w:rFonts w:ascii="Calibri" w:eastAsia="Times New Roman" w:hAnsi="Calibri" w:cs="Calibri"/>
          <w:sz w:val="24"/>
          <w:szCs w:val="24"/>
          <w:lang w:eastAsia="en-AU"/>
        </w:rPr>
        <w:t> </w:t>
      </w:r>
    </w:p>
    <w:p w14:paraId="2EBC1D31" w14:textId="77777777" w:rsidR="00B707E9" w:rsidRPr="00C11A9D" w:rsidRDefault="00B707E9" w:rsidP="00AA7E6E">
      <w:pPr>
        <w:pStyle w:val="Heading2"/>
        <w:spacing w:before="0" w:line="240" w:lineRule="auto"/>
        <w:rPr>
          <w:rFonts w:eastAsia="Times New Roman"/>
          <w:color w:val="002C3E" w:themeColor="background2"/>
          <w:sz w:val="40"/>
          <w:szCs w:val="40"/>
          <w:lang w:eastAsia="en-AU"/>
        </w:rPr>
      </w:pPr>
      <w:bookmarkStart w:id="78" w:name="_Toc127978385"/>
      <w:bookmarkStart w:id="79" w:name="_Toc128649093"/>
      <w:bookmarkStart w:id="80" w:name="_Toc130217449"/>
      <w:r w:rsidRPr="000740F1">
        <w:rPr>
          <w:rFonts w:eastAsia="Times New Roman"/>
          <w:color w:val="002C3E" w:themeColor="background2"/>
          <w:sz w:val="36"/>
          <w:szCs w:val="36"/>
          <w:lang w:eastAsia="en-AU"/>
        </w:rPr>
        <w:t>Key findings</w:t>
      </w:r>
      <w:bookmarkEnd w:id="78"/>
      <w:bookmarkEnd w:id="79"/>
      <w:bookmarkEnd w:id="80"/>
      <w:r w:rsidRPr="000740F1">
        <w:rPr>
          <w:rFonts w:eastAsia="Times New Roman"/>
          <w:color w:val="002C3E" w:themeColor="background2"/>
          <w:sz w:val="36"/>
          <w:szCs w:val="36"/>
          <w:lang w:eastAsia="en-AU"/>
        </w:rPr>
        <w:t> </w:t>
      </w:r>
    </w:p>
    <w:p w14:paraId="262D9F24" w14:textId="3E91AAF0" w:rsidR="00B707E9" w:rsidRPr="00F53F28" w:rsidRDefault="00AC75DF" w:rsidP="739DFC48">
      <w:pPr>
        <w:pStyle w:val="Heading3"/>
        <w:spacing w:before="0" w:after="120" w:line="240" w:lineRule="auto"/>
        <w:rPr>
          <w:rFonts w:eastAsia="Times New Roman"/>
          <w:lang w:eastAsia="en-AU"/>
        </w:rPr>
      </w:pPr>
      <w:bookmarkStart w:id="81" w:name="_Toc130217450"/>
      <w:bookmarkStart w:id="82" w:name="_Toc127978386"/>
      <w:bookmarkStart w:id="83" w:name="_Toc128649094"/>
      <w:r w:rsidRPr="739DFC48">
        <w:rPr>
          <w:rFonts w:eastAsia="Times New Roman"/>
          <w:lang w:eastAsia="en-AU"/>
        </w:rPr>
        <w:t xml:space="preserve">3.1 </w:t>
      </w:r>
      <w:r w:rsidR="00B707E9" w:rsidRPr="739DFC48">
        <w:rPr>
          <w:rFonts w:eastAsia="Times New Roman"/>
          <w:lang w:eastAsia="en-AU"/>
        </w:rPr>
        <w:t>Current arrangements for delivering practic</w:t>
      </w:r>
      <w:r w:rsidR="71714D9D" w:rsidRPr="739DFC48">
        <w:rPr>
          <w:rFonts w:eastAsia="Times New Roman"/>
          <w:lang w:eastAsia="en-AU"/>
        </w:rPr>
        <w:t>al experience</w:t>
      </w:r>
      <w:bookmarkEnd w:id="81"/>
      <w:r w:rsidR="00B707E9" w:rsidRPr="739DFC48">
        <w:rPr>
          <w:rFonts w:eastAsia="Times New Roman"/>
          <w:lang w:eastAsia="en-AU"/>
        </w:rPr>
        <w:t xml:space="preserve"> </w:t>
      </w:r>
      <w:bookmarkEnd w:id="82"/>
      <w:bookmarkEnd w:id="83"/>
    </w:p>
    <w:p w14:paraId="32824D20" w14:textId="3951D2B5" w:rsidR="00B73FAB" w:rsidRDefault="007C19A1" w:rsidP="739DFC48">
      <w:pPr>
        <w:spacing w:after="0" w:line="240" w:lineRule="auto"/>
        <w:rPr>
          <w:rFonts w:eastAsiaTheme="minorEastAsia"/>
        </w:rPr>
      </w:pPr>
      <w:r w:rsidRPr="739DFC48">
        <w:rPr>
          <w:rFonts w:eastAsiaTheme="minorEastAsia"/>
        </w:rPr>
        <w:t>Higher education</w:t>
      </w:r>
      <w:r w:rsidR="00B73FAB" w:rsidRPr="739DFC48">
        <w:rPr>
          <w:rFonts w:eastAsiaTheme="minorEastAsia"/>
        </w:rPr>
        <w:t xml:space="preserve"> providers </w:t>
      </w:r>
      <w:r w:rsidRPr="739DFC48">
        <w:rPr>
          <w:rFonts w:eastAsiaTheme="minorEastAsia"/>
        </w:rPr>
        <w:t xml:space="preserve">delivering ITE </w:t>
      </w:r>
      <w:r w:rsidR="00B73FAB" w:rsidRPr="739DFC48">
        <w:rPr>
          <w:rFonts w:eastAsiaTheme="minorEastAsia"/>
        </w:rPr>
        <w:t xml:space="preserve">must ensure that </w:t>
      </w:r>
      <w:r w:rsidR="1CB8F689" w:rsidRPr="739DFC48">
        <w:rPr>
          <w:rFonts w:eastAsiaTheme="minorEastAsia"/>
        </w:rPr>
        <w:t>practical experience</w:t>
      </w:r>
      <w:r w:rsidR="00B73FAB" w:rsidRPr="739DFC48">
        <w:rPr>
          <w:rFonts w:eastAsiaTheme="minorEastAsia"/>
        </w:rPr>
        <w:t xml:space="preserve"> placements meet the minimum accreditation requirements in </w:t>
      </w:r>
      <w:r w:rsidR="009F79D2" w:rsidRPr="739DFC48">
        <w:rPr>
          <w:rFonts w:eastAsiaTheme="minorEastAsia"/>
        </w:rPr>
        <w:t xml:space="preserve">the </w:t>
      </w:r>
      <w:r w:rsidR="00B73FAB" w:rsidRPr="739DFC48">
        <w:rPr>
          <w:rFonts w:eastAsiaTheme="minorEastAsia"/>
          <w:color w:val="000000" w:themeColor="text1"/>
        </w:rPr>
        <w:t>Accreditation Standards and Procedures</w:t>
      </w:r>
      <w:r w:rsidR="00B73FAB" w:rsidRPr="739DFC48">
        <w:rPr>
          <w:rFonts w:eastAsiaTheme="minorEastAsia"/>
        </w:rPr>
        <w:t>. The application of these standards is assessed by the relevant TRA in each jurisdiction. Th</w:t>
      </w:r>
      <w:r w:rsidR="007C120F" w:rsidRPr="739DFC48">
        <w:rPr>
          <w:rFonts w:eastAsiaTheme="minorEastAsia"/>
        </w:rPr>
        <w:t>e standards</w:t>
      </w:r>
      <w:r w:rsidR="00B73FAB" w:rsidRPr="739DFC48">
        <w:rPr>
          <w:rFonts w:eastAsiaTheme="minorEastAsia"/>
        </w:rPr>
        <w:t xml:space="preserve"> include placements must be:</w:t>
      </w:r>
    </w:p>
    <w:p w14:paraId="4BD594DF" w14:textId="258162D5" w:rsidR="00B73FAB" w:rsidRPr="0074771F" w:rsidRDefault="007C120F" w:rsidP="0074771F">
      <w:pPr>
        <w:pStyle w:val="ListParagraph"/>
        <w:numPr>
          <w:ilvl w:val="0"/>
          <w:numId w:val="12"/>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a</w:t>
      </w:r>
      <w:r w:rsidR="00B73FAB" w:rsidRPr="0074771F">
        <w:rPr>
          <w:rFonts w:ascii="Calibri" w:eastAsia="Times New Roman" w:hAnsi="Calibri" w:cs="Calibri"/>
          <w:color w:val="000000"/>
          <w:sz w:val="22"/>
          <w:szCs w:val="22"/>
          <w:lang w:eastAsia="en-AU"/>
        </w:rPr>
        <w:t>t least 80 days for undergraduate and 60 days for postgraduate programs</w:t>
      </w:r>
    </w:p>
    <w:p w14:paraId="5BBD1D74" w14:textId="599C6B66" w:rsidR="00B73FAB" w:rsidRPr="0074771F" w:rsidRDefault="007C120F" w:rsidP="0074771F">
      <w:pPr>
        <w:pStyle w:val="ListParagraph"/>
        <w:numPr>
          <w:ilvl w:val="0"/>
          <w:numId w:val="12"/>
        </w:numPr>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s</w:t>
      </w:r>
      <w:r w:rsidR="00B73FAB" w:rsidRPr="0074771F">
        <w:rPr>
          <w:rFonts w:ascii="Calibri" w:eastAsia="Times New Roman" w:hAnsi="Calibri" w:cs="Calibri"/>
          <w:color w:val="000000"/>
          <w:sz w:val="22"/>
          <w:szCs w:val="22"/>
          <w:lang w:eastAsia="en-AU"/>
        </w:rPr>
        <w:t>upervised and assessed</w:t>
      </w:r>
      <w:r>
        <w:rPr>
          <w:rFonts w:ascii="Calibri" w:eastAsia="Times New Roman" w:hAnsi="Calibri" w:cs="Calibri"/>
          <w:color w:val="000000"/>
          <w:sz w:val="22"/>
          <w:szCs w:val="22"/>
          <w:lang w:eastAsia="en-AU"/>
        </w:rPr>
        <w:t>, and</w:t>
      </w:r>
    </w:p>
    <w:p w14:paraId="5C024723" w14:textId="60D10484" w:rsidR="00B73FAB" w:rsidRPr="0074771F" w:rsidRDefault="007C120F" w:rsidP="0074771F">
      <w:pPr>
        <w:pStyle w:val="ListParagraph"/>
        <w:numPr>
          <w:ilvl w:val="0"/>
          <w:numId w:val="12"/>
        </w:numPr>
        <w:spacing w:after="120"/>
        <w:ind w:left="714" w:hanging="357"/>
        <w:textAlignment w:val="baseline"/>
        <w:rPr>
          <w:rFonts w:ascii="Calibri" w:eastAsia="Times New Roman" w:hAnsi="Calibri" w:cs="Calibri"/>
          <w:color w:val="000000"/>
          <w:sz w:val="22"/>
          <w:szCs w:val="22"/>
          <w:lang w:eastAsia="en-AU"/>
        </w:rPr>
      </w:pPr>
      <w:r>
        <w:rPr>
          <w:rFonts w:ascii="Calibri" w:eastAsia="Times New Roman" w:hAnsi="Calibri" w:cs="Calibri"/>
          <w:color w:val="000000"/>
          <w:sz w:val="22"/>
          <w:szCs w:val="22"/>
          <w:lang w:eastAsia="en-AU"/>
        </w:rPr>
        <w:t>u</w:t>
      </w:r>
      <w:r w:rsidR="00B73FAB" w:rsidRPr="0074771F">
        <w:rPr>
          <w:rFonts w:ascii="Calibri" w:eastAsia="Times New Roman" w:hAnsi="Calibri" w:cs="Calibri"/>
          <w:color w:val="000000"/>
          <w:sz w:val="22"/>
          <w:szCs w:val="22"/>
          <w:lang w:eastAsia="en-AU"/>
        </w:rPr>
        <w:t>ndertaken over a substantial and sustained period</w:t>
      </w:r>
      <w:r>
        <w:rPr>
          <w:rFonts w:ascii="Calibri" w:eastAsia="Times New Roman" w:hAnsi="Calibri" w:cs="Calibri"/>
          <w:color w:val="000000"/>
          <w:sz w:val="22"/>
          <w:szCs w:val="22"/>
          <w:lang w:eastAsia="en-AU"/>
        </w:rPr>
        <w:t>.</w:t>
      </w:r>
    </w:p>
    <w:p w14:paraId="5E4BFF4E" w14:textId="1DAF5ED8" w:rsidR="00B73FAB" w:rsidRDefault="00B73FAB" w:rsidP="00AA7E6E">
      <w:pPr>
        <w:spacing w:line="240" w:lineRule="auto"/>
        <w:rPr>
          <w:rFonts w:eastAsiaTheme="minorEastAsia"/>
        </w:rPr>
      </w:pPr>
      <w:r w:rsidRPr="1110E4CD">
        <w:rPr>
          <w:rFonts w:eastAsiaTheme="minorEastAsia"/>
        </w:rPr>
        <w:t xml:space="preserve">The Australian Government provides funding for </w:t>
      </w:r>
      <w:r w:rsidR="3E991C48" w:rsidRPr="1110E4CD">
        <w:rPr>
          <w:rFonts w:eastAsiaTheme="minorEastAsia"/>
        </w:rPr>
        <w:t xml:space="preserve">practical experience </w:t>
      </w:r>
      <w:r w:rsidRPr="1110E4CD">
        <w:rPr>
          <w:rFonts w:eastAsiaTheme="minorEastAsia"/>
        </w:rPr>
        <w:t xml:space="preserve">to </w:t>
      </w:r>
      <w:r w:rsidR="007C19A1" w:rsidRPr="1110E4CD">
        <w:rPr>
          <w:rFonts w:eastAsiaTheme="minorEastAsia"/>
        </w:rPr>
        <w:t>higher education</w:t>
      </w:r>
      <w:r w:rsidRPr="1110E4CD">
        <w:rPr>
          <w:rFonts w:eastAsiaTheme="minorEastAsia"/>
        </w:rPr>
        <w:t xml:space="preserve"> providers, which includes payments for teacher mentors. Previously, this funding was ‘ring-fenced’. In addition, the Australian Government has historically provided broader funding to </w:t>
      </w:r>
      <w:r w:rsidR="000E2B3D" w:rsidRPr="1110E4CD">
        <w:rPr>
          <w:rFonts w:eastAsiaTheme="minorEastAsia"/>
        </w:rPr>
        <w:t>S</w:t>
      </w:r>
      <w:r w:rsidRPr="1110E4CD">
        <w:rPr>
          <w:rFonts w:eastAsiaTheme="minorEastAsia"/>
        </w:rPr>
        <w:t xml:space="preserve">tates and </w:t>
      </w:r>
      <w:r w:rsidR="000E2B3D" w:rsidRPr="1110E4CD">
        <w:rPr>
          <w:rFonts w:eastAsiaTheme="minorEastAsia"/>
        </w:rPr>
        <w:t>T</w:t>
      </w:r>
      <w:r w:rsidRPr="1110E4CD">
        <w:rPr>
          <w:rFonts w:eastAsiaTheme="minorEastAsia"/>
        </w:rPr>
        <w:t xml:space="preserve">erritories through National Partnership Agreements to support greater collaboration between </w:t>
      </w:r>
      <w:r w:rsidR="007C19A1" w:rsidRPr="1110E4CD">
        <w:rPr>
          <w:rFonts w:eastAsiaTheme="minorEastAsia"/>
        </w:rPr>
        <w:t>higher education</w:t>
      </w:r>
      <w:r w:rsidRPr="1110E4CD">
        <w:rPr>
          <w:rFonts w:eastAsiaTheme="minorEastAsia"/>
        </w:rPr>
        <w:t xml:space="preserve"> providers and schools – a key action arising from the TEMAG review. </w:t>
      </w:r>
      <w:r w:rsidR="00A8427D">
        <w:t xml:space="preserve">Funding continues to be included in the </w:t>
      </w:r>
      <w:r w:rsidR="000F5B67">
        <w:t xml:space="preserve">Australian </w:t>
      </w:r>
      <w:r w:rsidR="00A8427D">
        <w:rPr>
          <w:lang w:eastAsia="en-AU"/>
        </w:rPr>
        <w:t>Government</w:t>
      </w:r>
      <w:r w:rsidR="000F5B67">
        <w:rPr>
          <w:lang w:eastAsia="en-AU"/>
        </w:rPr>
        <w:t>’s</w:t>
      </w:r>
      <w:r w:rsidR="00A8427D">
        <w:rPr>
          <w:lang w:eastAsia="en-AU"/>
        </w:rPr>
        <w:t xml:space="preserve"> contribution for </w:t>
      </w:r>
      <w:r w:rsidR="00EC56D8">
        <w:rPr>
          <w:lang w:eastAsia="en-AU"/>
        </w:rPr>
        <w:t>E</w:t>
      </w:r>
      <w:r w:rsidR="00A8427D">
        <w:rPr>
          <w:lang w:eastAsia="en-AU"/>
        </w:rPr>
        <w:t xml:space="preserve">ducation courses but </w:t>
      </w:r>
      <w:r w:rsidR="00A8427D">
        <w:t>is no longer specified in CGS funding agreements.</w:t>
      </w:r>
    </w:p>
    <w:p w14:paraId="6C95FB6F" w14:textId="149509F5" w:rsidR="00B707E9" w:rsidRPr="00C11A9D" w:rsidRDefault="00AC75DF" w:rsidP="00AA7E6E">
      <w:pPr>
        <w:pStyle w:val="Heading3"/>
        <w:spacing w:before="0" w:after="120" w:line="240" w:lineRule="auto"/>
        <w:rPr>
          <w:rFonts w:eastAsia="Times New Roman"/>
          <w:lang w:eastAsia="en-AU"/>
        </w:rPr>
      </w:pPr>
      <w:bookmarkStart w:id="84" w:name="_Toc127978387"/>
      <w:bookmarkStart w:id="85" w:name="_Toc128649095"/>
      <w:bookmarkStart w:id="86" w:name="_Toc130217451"/>
      <w:r w:rsidRPr="1110E4CD">
        <w:rPr>
          <w:rFonts w:eastAsia="Times New Roman"/>
          <w:lang w:eastAsia="en-AU"/>
        </w:rPr>
        <w:t xml:space="preserve">3.2 </w:t>
      </w:r>
      <w:r w:rsidR="00B707E9" w:rsidRPr="1110E4CD">
        <w:rPr>
          <w:rFonts w:eastAsia="Times New Roman"/>
          <w:lang w:eastAsia="en-AU"/>
        </w:rPr>
        <w:t xml:space="preserve">Characteristics of high-quality </w:t>
      </w:r>
      <w:r w:rsidR="3206DEC7" w:rsidRPr="1110E4CD">
        <w:rPr>
          <w:rFonts w:eastAsia="Times New Roman"/>
          <w:lang w:eastAsia="en-AU"/>
        </w:rPr>
        <w:t>practical experience</w:t>
      </w:r>
      <w:r w:rsidR="00B707E9" w:rsidRPr="1110E4CD">
        <w:rPr>
          <w:rFonts w:eastAsia="Times New Roman"/>
          <w:lang w:eastAsia="en-AU"/>
        </w:rPr>
        <w:t xml:space="preserve"> placeme</w:t>
      </w:r>
      <w:r w:rsidR="00364FB5" w:rsidRPr="1110E4CD">
        <w:rPr>
          <w:rFonts w:eastAsia="Times New Roman"/>
          <w:lang w:eastAsia="en-AU"/>
        </w:rPr>
        <w:t>nts</w:t>
      </w:r>
      <w:bookmarkEnd w:id="84"/>
      <w:bookmarkEnd w:id="85"/>
      <w:bookmarkEnd w:id="86"/>
      <w:r w:rsidR="00B707E9" w:rsidRPr="1110E4CD">
        <w:rPr>
          <w:rFonts w:eastAsia="Times New Roman"/>
          <w:lang w:eastAsia="en-AU"/>
        </w:rPr>
        <w:t> </w:t>
      </w:r>
    </w:p>
    <w:p w14:paraId="3390F850" w14:textId="0236A7E6" w:rsidR="00B707E9" w:rsidRPr="00614C0D" w:rsidRDefault="00B73FAB" w:rsidP="1110E4CD">
      <w:pPr>
        <w:pStyle w:val="paragraph"/>
        <w:spacing w:before="0" w:beforeAutospacing="0" w:after="240" w:afterAutospacing="0"/>
        <w:rPr>
          <w:rFonts w:asciiTheme="minorHAnsi" w:hAnsiTheme="minorHAnsi" w:cstheme="minorBidi"/>
        </w:rPr>
      </w:pPr>
      <w:r w:rsidRPr="1110E4CD">
        <w:rPr>
          <w:rStyle w:val="normaltextrun"/>
          <w:rFonts w:asciiTheme="minorHAnsi" w:eastAsiaTheme="minorEastAsia" w:hAnsiTheme="minorHAnsi" w:cstheme="minorBidi"/>
          <w:color w:val="000000" w:themeColor="text1"/>
          <w:sz w:val="22"/>
          <w:szCs w:val="22"/>
        </w:rPr>
        <w:t xml:space="preserve">There is no clear evidence that a single model of </w:t>
      </w:r>
      <w:r w:rsidR="09284FCD" w:rsidRPr="07091717">
        <w:rPr>
          <w:rStyle w:val="normaltextrun"/>
          <w:rFonts w:asciiTheme="minorHAnsi" w:eastAsiaTheme="minorEastAsia" w:hAnsiTheme="minorHAnsi" w:cstheme="minorBidi"/>
          <w:color w:val="000000" w:themeColor="text1"/>
          <w:sz w:val="22"/>
          <w:szCs w:val="22"/>
        </w:rPr>
        <w:t xml:space="preserve">practical experience </w:t>
      </w:r>
      <w:r w:rsidRPr="1110E4CD">
        <w:rPr>
          <w:rStyle w:val="normaltextrun"/>
          <w:rFonts w:asciiTheme="minorHAnsi" w:eastAsiaTheme="minorEastAsia" w:hAnsiTheme="minorHAnsi" w:cstheme="minorBidi"/>
          <w:color w:val="000000" w:themeColor="text1"/>
          <w:sz w:val="22"/>
          <w:szCs w:val="22"/>
        </w:rPr>
        <w:t xml:space="preserve">will deliver consistent, high-quality placements across all contexts. However, national and international exemplars reveal that there are several consistent characteristics of </w:t>
      </w:r>
      <w:r w:rsidR="0004550E" w:rsidRPr="1110E4CD">
        <w:rPr>
          <w:rStyle w:val="normaltextrun"/>
          <w:rFonts w:asciiTheme="minorHAnsi" w:eastAsiaTheme="minorEastAsia" w:hAnsiTheme="minorHAnsi" w:cstheme="minorBidi"/>
          <w:color w:val="000000" w:themeColor="text1"/>
          <w:sz w:val="22"/>
          <w:szCs w:val="22"/>
        </w:rPr>
        <w:t xml:space="preserve">high-quality </w:t>
      </w:r>
      <w:r w:rsidRPr="1110E4CD">
        <w:rPr>
          <w:rStyle w:val="normaltextrun"/>
          <w:rFonts w:asciiTheme="minorHAnsi" w:eastAsiaTheme="minorEastAsia" w:hAnsiTheme="minorHAnsi" w:cstheme="minorBidi"/>
          <w:color w:val="000000" w:themeColor="text1"/>
          <w:sz w:val="22"/>
          <w:szCs w:val="22"/>
        </w:rPr>
        <w:t>placements.</w:t>
      </w:r>
      <w:r w:rsidRPr="1110E4CD">
        <w:rPr>
          <w:rStyle w:val="eop"/>
          <w:rFonts w:asciiTheme="minorHAnsi" w:eastAsiaTheme="minorEastAsia" w:hAnsiTheme="minorHAnsi" w:cstheme="minorBidi"/>
          <w:color w:val="000000" w:themeColor="text1"/>
          <w:sz w:val="22"/>
          <w:szCs w:val="22"/>
        </w:rPr>
        <w:t> </w:t>
      </w:r>
    </w:p>
    <w:p w14:paraId="2D1FAC6C" w14:textId="2A82CD2C" w:rsidR="46E7CACB" w:rsidRPr="003F1B51" w:rsidRDefault="00F53F28" w:rsidP="003F1B51">
      <w:pPr>
        <w:pStyle w:val="Heading4"/>
        <w:spacing w:before="240" w:line="240" w:lineRule="auto"/>
        <w:rPr>
          <w:rFonts w:ascii="Calibri" w:eastAsia="Calibri" w:hAnsi="Calibri" w:cs="Calibri"/>
          <w:color w:val="002C3E" w:themeColor="background2"/>
        </w:rPr>
      </w:pPr>
      <w:r w:rsidRPr="067DA2FC">
        <w:rPr>
          <w:rFonts w:ascii="Calibri" w:eastAsia="Calibri" w:hAnsi="Calibri" w:cs="Calibri"/>
          <w:color w:val="002C3E" w:themeColor="background2"/>
        </w:rPr>
        <w:lastRenderedPageBreak/>
        <w:t xml:space="preserve">3.2.1 </w:t>
      </w:r>
      <w:r w:rsidR="2C9565B6" w:rsidRPr="067DA2FC">
        <w:rPr>
          <w:rFonts w:ascii="Calibri" w:eastAsia="Calibri" w:hAnsi="Calibri" w:cs="Calibri"/>
          <w:color w:val="002C3E" w:themeColor="background2"/>
        </w:rPr>
        <w:t>Integrating theory and practice</w:t>
      </w:r>
    </w:p>
    <w:p w14:paraId="285FADE5" w14:textId="05D3C314" w:rsidR="00AC3C94" w:rsidRDefault="00AC3C94" w:rsidP="00300DEB">
      <w:pPr>
        <w:spacing w:after="120" w:line="240" w:lineRule="auto"/>
      </w:pPr>
      <w:r>
        <w:t xml:space="preserve">Research into high quality ITE programs identifies the integration of theory and practice across the program as a key feature enabling graduate teachers to effectively tap into their knowledge when teaching (Darling-Hammond et al. 2019). A study by the New York City (NYC) Teacher Pathways Project in 2009 reported that graduate teacher effectiveness was predicted by the level of alignment and integration across ITE program coursework and </w:t>
      </w:r>
      <w:r w:rsidR="00A91C38">
        <w:t xml:space="preserve">practical </w:t>
      </w:r>
      <w:r>
        <w:t xml:space="preserve">experiences (Boyd et al 2009). </w:t>
      </w:r>
    </w:p>
    <w:p w14:paraId="7ED7FEE7" w14:textId="191DD7AF" w:rsidR="00AC3C94" w:rsidRPr="00406E9B" w:rsidRDefault="00AC3C94" w:rsidP="00F15C8B">
      <w:pPr>
        <w:spacing w:after="120" w:line="240" w:lineRule="auto"/>
      </w:pPr>
      <w:r w:rsidRPr="00406E9B">
        <w:t>This highlight</w:t>
      </w:r>
      <w:r w:rsidR="00300DEB">
        <w:t>s</w:t>
      </w:r>
      <w:r w:rsidRPr="00406E9B">
        <w:t xml:space="preserve"> the importan</w:t>
      </w:r>
      <w:r w:rsidR="0006735E">
        <w:t>ce</w:t>
      </w:r>
      <w:r w:rsidRPr="00406E9B">
        <w:t xml:space="preserve"> of co-development of the curriculum so that educators/mentors working with ITE students during </w:t>
      </w:r>
      <w:r w:rsidR="00145449">
        <w:t>practical experience placements</w:t>
      </w:r>
      <w:r w:rsidR="00145449" w:rsidRPr="00406E9B">
        <w:t xml:space="preserve"> </w:t>
      </w:r>
      <w:r w:rsidRPr="00406E9B">
        <w:t xml:space="preserve">are aware of what is being learned </w:t>
      </w:r>
      <w:r w:rsidR="005D2512">
        <w:t>in their course</w:t>
      </w:r>
      <w:r w:rsidRPr="00406E9B">
        <w:t>.</w:t>
      </w:r>
      <w:r w:rsidR="00EE5135">
        <w:t xml:space="preserve"> </w:t>
      </w:r>
      <w:r w:rsidR="00603154">
        <w:t>A</w:t>
      </w:r>
      <w:r w:rsidRPr="00406E9B">
        <w:t xml:space="preserve">ctivities prior to, during and after </w:t>
      </w:r>
      <w:r w:rsidR="00145449">
        <w:t>placement</w:t>
      </w:r>
      <w:r w:rsidRPr="00406E9B">
        <w:t xml:space="preserve"> that </w:t>
      </w:r>
      <w:r w:rsidR="0056500A">
        <w:t xml:space="preserve">are </w:t>
      </w:r>
      <w:r w:rsidRPr="00406E9B">
        <w:t xml:space="preserve">central to </w:t>
      </w:r>
      <w:r w:rsidR="004A602C">
        <w:t xml:space="preserve">preparing ITE students </w:t>
      </w:r>
      <w:r w:rsidR="00E20CD1">
        <w:t>for the classroom as beginning teachers include</w:t>
      </w:r>
      <w:r w:rsidR="00123745">
        <w:t xml:space="preserve">: </w:t>
      </w:r>
      <w:r w:rsidR="000B5EF9">
        <w:t xml:space="preserve">providing </w:t>
      </w:r>
      <w:r w:rsidR="00123745">
        <w:t xml:space="preserve">a </w:t>
      </w:r>
      <w:r w:rsidRPr="00406E9B">
        <w:t>conceptual understanding of the practice to be undertaken and skill level required before</w:t>
      </w:r>
      <w:r w:rsidR="003C4683">
        <w:t xml:space="preserve"> placement</w:t>
      </w:r>
      <w:r w:rsidRPr="00406E9B">
        <w:t xml:space="preserve">; having peer and other forms of support during </w:t>
      </w:r>
      <w:r w:rsidR="00200CAC">
        <w:t>their placement</w:t>
      </w:r>
      <w:r w:rsidRPr="00406E9B">
        <w:t xml:space="preserve">, </w:t>
      </w:r>
      <w:r w:rsidR="00E61C93">
        <w:t xml:space="preserve">and </w:t>
      </w:r>
      <w:r w:rsidRPr="00406E9B">
        <w:t>g</w:t>
      </w:r>
      <w:r w:rsidR="001F3E9F">
        <w:t>iving</w:t>
      </w:r>
      <w:r w:rsidRPr="00406E9B">
        <w:t xml:space="preserve"> students the opportunity to share, reflect and critically appraise their experience </w:t>
      </w:r>
      <w:r w:rsidR="00142E7D">
        <w:t>after their placement</w:t>
      </w:r>
      <w:r w:rsidR="000B5EF9">
        <w:t xml:space="preserve"> (Billet 2009)</w:t>
      </w:r>
      <w:r w:rsidRPr="00406E9B">
        <w:t>.</w:t>
      </w:r>
    </w:p>
    <w:p w14:paraId="0CB1728B" w14:textId="2A82CD2C" w:rsidR="00AC3C94" w:rsidRDefault="00AC3C94" w:rsidP="00F15C8B">
      <w:pPr>
        <w:spacing w:after="120" w:line="240" w:lineRule="auto"/>
      </w:pPr>
      <w:r>
        <w:t>Looking beyond ITE, the link between theory and practice is embedded in the structure of medical education, which draws on the principles of adult learning theory by pairing knowledge with practice to facilitate meaningful learning (</w:t>
      </w:r>
      <w:proofErr w:type="spellStart"/>
      <w:r>
        <w:t>Wijnen</w:t>
      </w:r>
      <w:proofErr w:type="spellEnd"/>
      <w:r>
        <w:t xml:space="preserve">-Meijer et al. 2020). Medical students receive early experience in clinical </w:t>
      </w:r>
      <w:r w:rsidRPr="00406E9B">
        <w:t xml:space="preserve">problem solving, while clinical practice is interspersed with continued science learning throughout the program to contextualise theory and practice. Over time, medical programs progressively increase clinical practice and decrease classroom learning to build medical students’ skills and maximise opportunities for improvement. </w:t>
      </w:r>
    </w:p>
    <w:p w14:paraId="3EF1ACFE" w14:textId="0ACE380D" w:rsidR="4B77F9AC" w:rsidRDefault="00F53F28" w:rsidP="1247CB6A">
      <w:pPr>
        <w:pStyle w:val="Heading4"/>
        <w:spacing w:before="240" w:line="240" w:lineRule="auto"/>
        <w:rPr>
          <w:rFonts w:ascii="Calibri" w:eastAsia="Calibri" w:hAnsi="Calibri" w:cs="Calibri"/>
          <w:bCs/>
          <w:iCs w:val="0"/>
          <w:color w:val="002C3E" w:themeColor="background2"/>
          <w:szCs w:val="28"/>
        </w:rPr>
      </w:pPr>
      <w:r>
        <w:rPr>
          <w:rFonts w:ascii="Calibri" w:eastAsia="Calibri" w:hAnsi="Calibri" w:cs="Calibri"/>
          <w:bCs/>
          <w:iCs w:val="0"/>
          <w:color w:val="002C3E" w:themeColor="background2"/>
          <w:szCs w:val="28"/>
        </w:rPr>
        <w:t xml:space="preserve">3.2.2 </w:t>
      </w:r>
      <w:r w:rsidR="4B77F9AC" w:rsidRPr="1247CB6A">
        <w:rPr>
          <w:rFonts w:ascii="Calibri" w:eastAsia="Calibri" w:hAnsi="Calibri" w:cs="Calibri"/>
          <w:bCs/>
          <w:iCs w:val="0"/>
          <w:color w:val="002C3E" w:themeColor="background2"/>
          <w:szCs w:val="28"/>
        </w:rPr>
        <w:t>Facilitated by effective provider-school partnerships   </w:t>
      </w:r>
    </w:p>
    <w:p w14:paraId="79852CAB" w14:textId="3C2DA0B6" w:rsidR="4B77F9AC" w:rsidRDefault="4B77F9AC" w:rsidP="1247CB6A">
      <w:pPr>
        <w:spacing w:after="0" w:line="240" w:lineRule="auto"/>
        <w:rPr>
          <w:rFonts w:ascii="Calibri" w:eastAsia="Calibri" w:hAnsi="Calibri" w:cs="Calibri"/>
          <w:color w:val="000000" w:themeColor="text1"/>
          <w:sz w:val="24"/>
          <w:szCs w:val="24"/>
        </w:rPr>
      </w:pPr>
      <w:r w:rsidRPr="1247CB6A">
        <w:rPr>
          <w:rStyle w:val="normaltextrun"/>
          <w:rFonts w:ascii="Calibri" w:eastAsia="Calibri" w:hAnsi="Calibri" w:cs="Calibri"/>
          <w:color w:val="000000" w:themeColor="text1"/>
        </w:rPr>
        <w:t xml:space="preserve">An effective, collaborative provider-school partnership bridges the gap between </w:t>
      </w:r>
      <w:r w:rsidR="00B64473">
        <w:rPr>
          <w:rStyle w:val="normaltextrun"/>
          <w:rFonts w:ascii="Calibri" w:eastAsia="Calibri" w:hAnsi="Calibri" w:cs="Calibri"/>
          <w:color w:val="000000" w:themeColor="text1"/>
        </w:rPr>
        <w:t xml:space="preserve">theory </w:t>
      </w:r>
      <w:r w:rsidRPr="1247CB6A">
        <w:rPr>
          <w:rStyle w:val="normaltextrun"/>
          <w:rFonts w:ascii="Calibri" w:eastAsia="Calibri" w:hAnsi="Calibri" w:cs="Calibri"/>
          <w:color w:val="000000" w:themeColor="text1"/>
        </w:rPr>
        <w:t xml:space="preserve">and practice to produce high-quality </w:t>
      </w:r>
      <w:r w:rsidR="4F1B6861" w:rsidRPr="30788575">
        <w:rPr>
          <w:rStyle w:val="normaltextrun"/>
          <w:rFonts w:ascii="Calibri" w:eastAsia="Calibri" w:hAnsi="Calibri" w:cs="Calibri"/>
          <w:color w:val="000000" w:themeColor="text1"/>
        </w:rPr>
        <w:t>practical</w:t>
      </w:r>
      <w:r w:rsidRPr="30788575">
        <w:rPr>
          <w:rStyle w:val="normaltextrun"/>
          <w:rFonts w:ascii="Calibri" w:eastAsia="Calibri" w:hAnsi="Calibri" w:cs="Calibri"/>
          <w:color w:val="000000" w:themeColor="text1"/>
        </w:rPr>
        <w:t xml:space="preserve"> experience</w:t>
      </w:r>
      <w:r w:rsidR="7D794DC9" w:rsidRPr="30788575">
        <w:rPr>
          <w:rStyle w:val="normaltextrun"/>
          <w:rFonts w:ascii="Calibri" w:eastAsia="Calibri" w:hAnsi="Calibri" w:cs="Calibri"/>
          <w:color w:val="000000" w:themeColor="text1"/>
        </w:rPr>
        <w:t xml:space="preserve"> </w:t>
      </w:r>
      <w:r w:rsidR="7D794DC9" w:rsidRPr="27CCE560">
        <w:rPr>
          <w:rStyle w:val="normaltextrun"/>
          <w:rFonts w:ascii="Calibri" w:eastAsia="Calibri" w:hAnsi="Calibri" w:cs="Calibri"/>
          <w:color w:val="000000" w:themeColor="text1"/>
        </w:rPr>
        <w:t>placement</w:t>
      </w:r>
      <w:r w:rsidR="003C4683">
        <w:rPr>
          <w:rStyle w:val="normaltextrun"/>
          <w:rFonts w:ascii="Calibri" w:eastAsia="Calibri" w:hAnsi="Calibri" w:cs="Calibri"/>
          <w:color w:val="000000" w:themeColor="text1"/>
        </w:rPr>
        <w:t xml:space="preserve"> </w:t>
      </w:r>
      <w:r w:rsidRPr="1247CB6A">
        <w:rPr>
          <w:rStyle w:val="normaltextrun"/>
          <w:rFonts w:ascii="Calibri" w:eastAsia="Calibri" w:hAnsi="Calibri" w:cs="Calibri"/>
          <w:color w:val="000000" w:themeColor="text1"/>
        </w:rPr>
        <w:t xml:space="preserve">and </w:t>
      </w:r>
      <w:r w:rsidR="00CF5B75">
        <w:rPr>
          <w:rStyle w:val="normaltextrun"/>
          <w:rFonts w:ascii="Calibri" w:eastAsia="Calibri" w:hAnsi="Calibri" w:cs="Calibri"/>
          <w:color w:val="000000" w:themeColor="text1"/>
        </w:rPr>
        <w:t>supports</w:t>
      </w:r>
      <w:r w:rsidRPr="1247CB6A">
        <w:rPr>
          <w:rStyle w:val="normaltextrun"/>
          <w:rFonts w:ascii="Calibri" w:eastAsia="Calibri" w:hAnsi="Calibri" w:cs="Calibri"/>
          <w:color w:val="000000" w:themeColor="text1"/>
        </w:rPr>
        <w:t xml:space="preserve"> schools to collaborate with providers in facilitating ITE student development (</w:t>
      </w:r>
      <w:r w:rsidR="005D6666">
        <w:rPr>
          <w:rStyle w:val="normaltextrun"/>
          <w:rFonts w:ascii="Calibri" w:eastAsia="Calibri" w:hAnsi="Calibri" w:cs="Calibri"/>
          <w:color w:val="000000" w:themeColor="text1"/>
        </w:rPr>
        <w:t>QITE Review</w:t>
      </w:r>
      <w:r w:rsidRPr="1247CB6A">
        <w:rPr>
          <w:rStyle w:val="normaltextrun"/>
          <w:rFonts w:ascii="Calibri" w:eastAsia="Calibri" w:hAnsi="Calibri" w:cs="Calibri"/>
          <w:color w:val="000000" w:themeColor="text1"/>
        </w:rPr>
        <w:t>). These partnerships are characterised by:</w:t>
      </w:r>
      <w:r w:rsidRPr="1247CB6A">
        <w:rPr>
          <w:rStyle w:val="normaltextrun"/>
          <w:rFonts w:ascii="Calibri" w:eastAsia="Calibri" w:hAnsi="Calibri" w:cs="Calibri"/>
          <w:color w:val="000000" w:themeColor="text1"/>
          <w:sz w:val="24"/>
          <w:szCs w:val="24"/>
        </w:rPr>
        <w:t> </w:t>
      </w:r>
    </w:p>
    <w:p w14:paraId="38AC7EAE" w14:textId="28E823ED" w:rsidR="4B77F9AC" w:rsidRDefault="4B77F9AC" w:rsidP="00C82C6F">
      <w:pPr>
        <w:pStyle w:val="ListParagraph"/>
        <w:numPr>
          <w:ilvl w:val="0"/>
          <w:numId w:val="41"/>
        </w:numPr>
        <w:ind w:left="567" w:hanging="283"/>
        <w:rPr>
          <w:rFonts w:ascii="Calibri" w:eastAsia="Calibri" w:hAnsi="Calibri" w:cs="Calibri"/>
          <w:color w:val="000000" w:themeColor="text1"/>
          <w:sz w:val="22"/>
          <w:szCs w:val="22"/>
        </w:rPr>
      </w:pPr>
      <w:r w:rsidRPr="1247CB6A">
        <w:rPr>
          <w:rStyle w:val="normaltextrun"/>
          <w:rFonts w:ascii="Calibri" w:eastAsia="Calibri" w:hAnsi="Calibri" w:cs="Calibri"/>
          <w:color w:val="000000" w:themeColor="text1"/>
          <w:sz w:val="22"/>
          <w:szCs w:val="22"/>
        </w:rPr>
        <w:t>comprehensive roles and responsibilities for all parties, including school and university staff </w:t>
      </w:r>
    </w:p>
    <w:p w14:paraId="4C84A33D" w14:textId="6CB6FC48" w:rsidR="00AB363A" w:rsidRDefault="00AB363A" w:rsidP="006B2082">
      <w:pPr>
        <w:pStyle w:val="ListParagraph"/>
        <w:numPr>
          <w:ilvl w:val="0"/>
          <w:numId w:val="41"/>
        </w:numPr>
        <w:ind w:left="567" w:hanging="283"/>
        <w:rPr>
          <w:rStyle w:val="normaltextrun"/>
          <w:rFonts w:ascii="Calibri" w:eastAsia="Calibri" w:hAnsi="Calibri" w:cs="Calibri"/>
          <w:color w:val="000000" w:themeColor="text1"/>
          <w:sz w:val="22"/>
          <w:szCs w:val="22"/>
        </w:rPr>
      </w:pPr>
      <w:r w:rsidRPr="1247CB6A">
        <w:rPr>
          <w:rStyle w:val="normaltextrun"/>
          <w:rFonts w:ascii="Calibri" w:eastAsia="Calibri" w:hAnsi="Calibri" w:cs="Calibri"/>
          <w:color w:val="000000" w:themeColor="text1"/>
          <w:sz w:val="22"/>
          <w:szCs w:val="22"/>
        </w:rPr>
        <w:t>cohesion between current ITE teaching theory and mentor teachers’ classroom practice, in some cases delivered through Practice Advisor or Professional Experience Coordinator roles</w:t>
      </w:r>
    </w:p>
    <w:p w14:paraId="177746AF" w14:textId="42F95768" w:rsidR="4B77F9AC" w:rsidRDefault="4B77F9AC" w:rsidP="006B2082">
      <w:pPr>
        <w:pStyle w:val="ListParagraph"/>
        <w:numPr>
          <w:ilvl w:val="0"/>
          <w:numId w:val="41"/>
        </w:numPr>
        <w:ind w:left="567" w:hanging="283"/>
        <w:rPr>
          <w:rFonts w:ascii="Calibri" w:eastAsia="Calibri" w:hAnsi="Calibri" w:cs="Calibri"/>
          <w:color w:val="000000" w:themeColor="text1"/>
          <w:sz w:val="22"/>
          <w:szCs w:val="22"/>
        </w:rPr>
      </w:pPr>
      <w:r w:rsidRPr="1247CB6A">
        <w:rPr>
          <w:rStyle w:val="normaltextrun"/>
          <w:rFonts w:ascii="Calibri" w:eastAsia="Calibri" w:hAnsi="Calibri" w:cs="Calibri"/>
          <w:color w:val="000000" w:themeColor="text1"/>
          <w:sz w:val="22"/>
          <w:szCs w:val="22"/>
        </w:rPr>
        <w:t>feedback loops for communication and collaboration between providers and schools</w:t>
      </w:r>
    </w:p>
    <w:p w14:paraId="55DF7426" w14:textId="42DBF173" w:rsidR="4B77F9AC" w:rsidRDefault="4B77F9AC" w:rsidP="006B2082">
      <w:pPr>
        <w:pStyle w:val="ListParagraph"/>
        <w:numPr>
          <w:ilvl w:val="0"/>
          <w:numId w:val="41"/>
        </w:numPr>
        <w:ind w:left="567" w:hanging="283"/>
        <w:rPr>
          <w:rFonts w:ascii="Calibri" w:eastAsia="Calibri" w:hAnsi="Calibri" w:cs="Calibri"/>
          <w:color w:val="000000" w:themeColor="text1"/>
          <w:sz w:val="22"/>
          <w:szCs w:val="22"/>
        </w:rPr>
      </w:pPr>
      <w:r w:rsidRPr="1247CB6A">
        <w:rPr>
          <w:rStyle w:val="normaltextrun"/>
          <w:rFonts w:ascii="Calibri" w:eastAsia="Calibri" w:hAnsi="Calibri" w:cs="Calibri"/>
          <w:color w:val="000000" w:themeColor="text1"/>
          <w:sz w:val="22"/>
          <w:szCs w:val="22"/>
        </w:rPr>
        <w:t>mechanisms for tracking ITE students’ progress towards the Graduate Teacher Standards</w:t>
      </w:r>
      <w:r w:rsidR="00FE1B5D">
        <w:rPr>
          <w:rStyle w:val="normaltextrun"/>
          <w:rFonts w:ascii="Calibri" w:eastAsia="Calibri" w:hAnsi="Calibri" w:cs="Calibri"/>
          <w:color w:val="000000" w:themeColor="text1"/>
          <w:sz w:val="22"/>
          <w:szCs w:val="22"/>
        </w:rPr>
        <w:t>,</w:t>
      </w:r>
      <w:r w:rsidRPr="1247CB6A">
        <w:rPr>
          <w:rStyle w:val="normaltextrun"/>
          <w:rFonts w:ascii="Calibri" w:eastAsia="Calibri" w:hAnsi="Calibri" w:cs="Calibri"/>
          <w:color w:val="000000" w:themeColor="text1"/>
          <w:sz w:val="22"/>
          <w:szCs w:val="22"/>
        </w:rPr>
        <w:t xml:space="preserve"> and </w:t>
      </w:r>
    </w:p>
    <w:p w14:paraId="7877C811" w14:textId="4C59CCBE" w:rsidR="4B77F9AC" w:rsidRDefault="4B77F9AC" w:rsidP="006B2082">
      <w:pPr>
        <w:pStyle w:val="ListParagraph"/>
        <w:numPr>
          <w:ilvl w:val="0"/>
          <w:numId w:val="41"/>
        </w:numPr>
        <w:ind w:left="567" w:hanging="283"/>
        <w:rPr>
          <w:rStyle w:val="normaltextrun"/>
          <w:rFonts w:ascii="Calibri" w:eastAsia="Calibri" w:hAnsi="Calibri" w:cs="Calibri"/>
          <w:color w:val="000000" w:themeColor="text1"/>
          <w:sz w:val="22"/>
          <w:szCs w:val="22"/>
        </w:rPr>
      </w:pPr>
      <w:r w:rsidRPr="1247CB6A">
        <w:rPr>
          <w:rStyle w:val="normaltextrun"/>
          <w:rFonts w:ascii="Calibri" w:eastAsia="Calibri" w:hAnsi="Calibri" w:cs="Calibri"/>
          <w:color w:val="000000" w:themeColor="text1"/>
          <w:sz w:val="22"/>
          <w:szCs w:val="22"/>
        </w:rPr>
        <w:t>coordination of placements.</w:t>
      </w:r>
    </w:p>
    <w:p w14:paraId="4B0E29AF" w14:textId="77777777" w:rsidR="00D70273" w:rsidRPr="003D2A93" w:rsidRDefault="00D70273" w:rsidP="006B2082">
      <w:pPr>
        <w:spacing w:after="80"/>
        <w:rPr>
          <w:rFonts w:ascii="Calibri" w:eastAsia="Calibri" w:hAnsi="Calibri" w:cs="Calibri"/>
          <w:color w:val="000000" w:themeColor="text1"/>
        </w:rPr>
      </w:pPr>
    </w:p>
    <w:tbl>
      <w:tblPr>
        <w:tblStyle w:val="EDU-Basi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EBB9" w:themeFill="accent2" w:themeFillTint="66"/>
        <w:tblLook w:val="04A0" w:firstRow="1" w:lastRow="0" w:firstColumn="1" w:lastColumn="0" w:noHBand="0" w:noVBand="1"/>
      </w:tblPr>
      <w:tblGrid>
        <w:gridCol w:w="9016"/>
      </w:tblGrid>
      <w:tr w:rsidR="00D70273" w:rsidRPr="00407370" w14:paraId="657C4CB7" w14:textId="77777777" w:rsidTr="00F634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shd w:val="clear" w:color="auto" w:fill="FEEBB9" w:themeFill="accent2" w:themeFillTint="66"/>
          </w:tcPr>
          <w:p w14:paraId="7961FF27" w14:textId="2C106426" w:rsidR="00D70273" w:rsidRPr="003D277A" w:rsidRDefault="00D70273" w:rsidP="00F6346E">
            <w:pPr>
              <w:spacing w:before="0" w:beforeAutospacing="0" w:after="0" w:afterAutospacing="0"/>
              <w:rPr>
                <w:rFonts w:eastAsiaTheme="minorEastAsia"/>
                <w:color w:val="auto"/>
              </w:rPr>
            </w:pPr>
            <w:r w:rsidRPr="00363A0D">
              <w:rPr>
                <w:rFonts w:eastAsiaTheme="minorEastAsia"/>
                <w:b/>
                <w:bCs/>
                <w:color w:val="auto"/>
              </w:rPr>
              <w:t>Case study: Teaching Schools program, Northern Territory (NT)</w:t>
            </w:r>
            <w:r>
              <w:rPr>
                <w:rFonts w:eastAsiaTheme="minorEastAsia"/>
                <w:b/>
                <w:bCs/>
                <w:color w:val="auto"/>
              </w:rPr>
              <w:br/>
            </w:r>
            <w:r w:rsidRPr="00C86EAB">
              <w:rPr>
                <w:rFonts w:eastAsiaTheme="minorEastAsia"/>
                <w:color w:val="auto"/>
              </w:rPr>
              <w:t>Charles Darwin University (CDU) and the NT Department of Education and Training (DET) have developed a Teaching Schools agreement where students can undertake professional experience in designated partnership schools. The model demonstrates the increased efficiency and benefits which result from a well-run partnership agreement, and has been responsible for a 46</w:t>
            </w:r>
            <w:r w:rsidR="00F057F7">
              <w:rPr>
                <w:rFonts w:eastAsiaTheme="minorEastAsia"/>
                <w:color w:val="auto"/>
              </w:rPr>
              <w:t xml:space="preserve"> per cent</w:t>
            </w:r>
            <w:r w:rsidRPr="00C86EAB">
              <w:rPr>
                <w:rFonts w:eastAsiaTheme="minorEastAsia"/>
                <w:color w:val="auto"/>
              </w:rPr>
              <w:t xml:space="preserve"> increase (from 423 to 923) in ITE student placements between 2020 and 2021 (Charles Darwin University 2021).</w:t>
            </w:r>
            <w:r w:rsidRPr="00C86EAB">
              <w:rPr>
                <w:rFonts w:eastAsiaTheme="minorEastAsia"/>
                <w:color w:val="auto"/>
              </w:rPr>
              <w:br/>
              <w:t>These partnerships facilitate:</w:t>
            </w:r>
          </w:p>
          <w:p w14:paraId="3F86808A" w14:textId="56C1FF85" w:rsidR="00D70273" w:rsidRPr="00C86EAB" w:rsidRDefault="00D70273" w:rsidP="00F6346E">
            <w:pPr>
              <w:pStyle w:val="ListParagraph"/>
              <w:numPr>
                <w:ilvl w:val="0"/>
                <w:numId w:val="53"/>
              </w:numPr>
              <w:spacing w:before="0" w:beforeAutospacing="0" w:afterAutospacing="0"/>
              <w:ind w:left="714" w:hanging="357"/>
              <w:rPr>
                <w:rFonts w:eastAsiaTheme="minorEastAsia"/>
                <w:b/>
                <w:bCs/>
                <w:color w:val="auto"/>
                <w:sz w:val="22"/>
                <w:szCs w:val="22"/>
              </w:rPr>
            </w:pPr>
            <w:r w:rsidRPr="00C86EAB">
              <w:rPr>
                <w:rFonts w:eastAsiaTheme="minorEastAsia"/>
                <w:color w:val="auto"/>
                <w:sz w:val="22"/>
                <w:szCs w:val="22"/>
              </w:rPr>
              <w:t xml:space="preserve">a close working relationship between CDU and partnership schools </w:t>
            </w:r>
            <w:r>
              <w:rPr>
                <w:rFonts w:eastAsiaTheme="minorEastAsia"/>
                <w:color w:val="auto"/>
                <w:sz w:val="22"/>
                <w:szCs w:val="22"/>
              </w:rPr>
              <w:t>for managing placements</w:t>
            </w:r>
          </w:p>
          <w:p w14:paraId="25FE1443" w14:textId="6B747259" w:rsidR="00D70273" w:rsidRPr="00C86EAB" w:rsidRDefault="00D70273" w:rsidP="00F6346E">
            <w:pPr>
              <w:pStyle w:val="ListParagraph"/>
              <w:numPr>
                <w:ilvl w:val="0"/>
                <w:numId w:val="53"/>
              </w:numPr>
              <w:rPr>
                <w:rFonts w:eastAsiaTheme="minorEastAsia"/>
                <w:b/>
                <w:bCs/>
                <w:color w:val="auto"/>
                <w:sz w:val="22"/>
                <w:szCs w:val="22"/>
              </w:rPr>
            </w:pPr>
            <w:r w:rsidRPr="00C86EAB">
              <w:rPr>
                <w:rFonts w:eastAsiaTheme="minorEastAsia"/>
                <w:color w:val="auto"/>
                <w:sz w:val="22"/>
                <w:szCs w:val="22"/>
              </w:rPr>
              <w:t>resources for mentors including guides for planning and assessment of placements and templates for observation/reflection</w:t>
            </w:r>
          </w:p>
          <w:p w14:paraId="1F5C17EC" w14:textId="3C98ECEF" w:rsidR="00D70273" w:rsidRPr="00C86EAB" w:rsidRDefault="00D70273" w:rsidP="00F6346E">
            <w:pPr>
              <w:pStyle w:val="ListParagraph"/>
              <w:numPr>
                <w:ilvl w:val="0"/>
                <w:numId w:val="53"/>
              </w:numPr>
              <w:rPr>
                <w:rFonts w:eastAsiaTheme="minorEastAsia"/>
                <w:b/>
                <w:bCs/>
                <w:color w:val="auto"/>
                <w:sz w:val="22"/>
                <w:szCs w:val="22"/>
              </w:rPr>
            </w:pPr>
            <w:r w:rsidRPr="00C86EAB">
              <w:rPr>
                <w:rFonts w:eastAsiaTheme="minorEastAsia"/>
                <w:color w:val="auto"/>
                <w:sz w:val="22"/>
                <w:szCs w:val="22"/>
              </w:rPr>
              <w:t>an ongoing conversation and mutual support between CDU and NT DET</w:t>
            </w:r>
            <w:r w:rsidR="007611C7">
              <w:rPr>
                <w:rFonts w:eastAsiaTheme="minorEastAsia"/>
                <w:color w:val="auto"/>
                <w:sz w:val="22"/>
                <w:szCs w:val="22"/>
              </w:rPr>
              <w:t>,</w:t>
            </w:r>
            <w:r w:rsidRPr="00C86EAB">
              <w:rPr>
                <w:rFonts w:eastAsiaTheme="minorEastAsia"/>
                <w:color w:val="auto"/>
                <w:sz w:val="22"/>
                <w:szCs w:val="22"/>
              </w:rPr>
              <w:t xml:space="preserve"> and</w:t>
            </w:r>
          </w:p>
          <w:p w14:paraId="2B0E7A73" w14:textId="77777777" w:rsidR="00D70273" w:rsidRPr="00363A0D" w:rsidRDefault="00D70273" w:rsidP="00F6346E">
            <w:pPr>
              <w:pStyle w:val="ListParagraph"/>
              <w:numPr>
                <w:ilvl w:val="0"/>
                <w:numId w:val="53"/>
              </w:numPr>
              <w:rPr>
                <w:rFonts w:eastAsiaTheme="minorEastAsia"/>
                <w:b/>
                <w:bCs/>
                <w:color w:val="auto"/>
              </w:rPr>
            </w:pPr>
            <w:r w:rsidRPr="00C86EAB">
              <w:rPr>
                <w:rFonts w:eastAsiaTheme="minorEastAsia"/>
                <w:color w:val="auto"/>
                <w:sz w:val="22"/>
                <w:szCs w:val="22"/>
              </w:rPr>
              <w:t>ongoing professional learning and development for mentor teachers and ‘Professional Learning Leader’s in schools.</w:t>
            </w:r>
          </w:p>
        </w:tc>
      </w:tr>
    </w:tbl>
    <w:p w14:paraId="046B9B45" w14:textId="1B6B1BEF" w:rsidR="288CD610" w:rsidRDefault="288CD610" w:rsidP="0023696D">
      <w:pPr>
        <w:spacing w:after="0" w:line="240" w:lineRule="auto"/>
        <w:rPr>
          <w:rStyle w:val="normaltextrun"/>
          <w:rFonts w:ascii="Calibri" w:eastAsia="Calibri" w:hAnsi="Calibri" w:cs="Calibri"/>
          <w:color w:val="000000" w:themeColor="text1"/>
        </w:rPr>
      </w:pPr>
    </w:p>
    <w:tbl>
      <w:tblPr>
        <w:tblpPr w:leftFromText="180" w:rightFromText="180" w:vertAnchor="text" w:horzAnchor="margin" w:tblpY="406"/>
        <w:tblW w:w="9120" w:type="dxa"/>
        <w:shd w:val="clear" w:color="auto" w:fill="FEEBB9" w:themeFill="accent2" w:themeFillTint="66"/>
        <w:tblCellMar>
          <w:left w:w="0" w:type="dxa"/>
          <w:right w:w="0" w:type="dxa"/>
        </w:tblCellMar>
        <w:tblLook w:val="04A0" w:firstRow="1" w:lastRow="0" w:firstColumn="1" w:lastColumn="0" w:noHBand="0" w:noVBand="1"/>
      </w:tblPr>
      <w:tblGrid>
        <w:gridCol w:w="9120"/>
      </w:tblGrid>
      <w:tr w:rsidR="003D2A93" w:rsidRPr="00B707E9" w14:paraId="2B56358E" w14:textId="77777777" w:rsidTr="003D2A93">
        <w:trPr>
          <w:trHeight w:val="993"/>
        </w:trPr>
        <w:tc>
          <w:tcPr>
            <w:tcW w:w="9120" w:type="dxa"/>
            <w:shd w:val="clear" w:color="auto" w:fill="FEEBB9" w:themeFill="accent2" w:themeFillTint="66"/>
          </w:tcPr>
          <w:p w14:paraId="25CF4591" w14:textId="0C1CFE60" w:rsidR="003D2A93" w:rsidRPr="008151AF" w:rsidRDefault="003D2A93" w:rsidP="00DB0433">
            <w:pPr>
              <w:shd w:val="clear" w:color="auto" w:fill="FEEBB9" w:themeFill="accent2" w:themeFillTint="66"/>
              <w:spacing w:after="0" w:line="240" w:lineRule="auto"/>
              <w:rPr>
                <w:rFonts w:ascii="Calibri" w:eastAsiaTheme="minorEastAsia" w:hAnsi="Calibri" w:cs="Calibri"/>
                <w:color w:val="000000" w:themeColor="text1"/>
                <w:lang w:val="en-US"/>
              </w:rPr>
            </w:pPr>
            <w:r w:rsidRPr="008151AF">
              <w:rPr>
                <w:rFonts w:ascii="Calibri" w:eastAsiaTheme="minorEastAsia" w:hAnsi="Calibri" w:cs="Calibri"/>
                <w:b/>
                <w:bCs/>
                <w:color w:val="000000" w:themeColor="text1"/>
                <w:lang w:val="en-US"/>
              </w:rPr>
              <w:t>Case study: The NSW Hub School Program</w:t>
            </w:r>
            <w:r>
              <w:rPr>
                <w:rFonts w:ascii="Calibri" w:eastAsiaTheme="minorEastAsia" w:hAnsi="Calibri" w:cs="Calibri"/>
                <w:b/>
                <w:bCs/>
                <w:color w:val="000000" w:themeColor="text1"/>
                <w:lang w:val="en-US"/>
              </w:rPr>
              <w:t>, New South Wales</w:t>
            </w:r>
            <w:r w:rsidRPr="008151AF">
              <w:rPr>
                <w:rFonts w:ascii="Calibri" w:eastAsiaTheme="minorEastAsia" w:hAnsi="Calibri" w:cs="Calibri"/>
                <w:b/>
                <w:bCs/>
                <w:color w:val="000000" w:themeColor="text1"/>
                <w:lang w:val="en-US"/>
              </w:rPr>
              <w:br/>
            </w:r>
            <w:r w:rsidRPr="008151AF">
              <w:rPr>
                <w:rFonts w:ascii="Calibri" w:eastAsiaTheme="minorEastAsia" w:hAnsi="Calibri" w:cs="Calibri"/>
                <w:color w:val="000000" w:themeColor="text1"/>
                <w:lang w:val="en-US"/>
              </w:rPr>
              <w:t xml:space="preserve">The NSW Hub School program is a system-level framework which comprises of partnerships between 26 </w:t>
            </w:r>
            <w:r>
              <w:rPr>
                <w:rFonts w:ascii="Calibri" w:eastAsiaTheme="minorEastAsia" w:hAnsi="Calibri" w:cs="Calibri"/>
                <w:color w:val="000000" w:themeColor="text1"/>
                <w:lang w:val="en-US"/>
              </w:rPr>
              <w:t>higher education</w:t>
            </w:r>
            <w:r w:rsidRPr="008151AF">
              <w:rPr>
                <w:rFonts w:ascii="Calibri" w:eastAsiaTheme="minorEastAsia" w:hAnsi="Calibri" w:cs="Calibri"/>
                <w:color w:val="000000" w:themeColor="text1"/>
                <w:lang w:val="en-US"/>
              </w:rPr>
              <w:t xml:space="preserve"> providers and 45 schools that are grouped into 20 ‘Hubs’. The ‘Hubs’ work together to deliver a networked and mutually beneficial approach to delivering </w:t>
            </w:r>
            <w:r w:rsidR="00511C57">
              <w:rPr>
                <w:rFonts w:ascii="Calibri" w:eastAsiaTheme="minorEastAsia" w:hAnsi="Calibri" w:cs="Calibri"/>
                <w:color w:val="000000" w:themeColor="text1"/>
                <w:lang w:val="en-US"/>
              </w:rPr>
              <w:t xml:space="preserve">placements </w:t>
            </w:r>
            <w:r w:rsidRPr="008151AF">
              <w:rPr>
                <w:rFonts w:ascii="Calibri" w:eastAsiaTheme="minorEastAsia" w:hAnsi="Calibri" w:cs="Calibri"/>
                <w:color w:val="000000" w:themeColor="text1"/>
                <w:lang w:val="en-US"/>
              </w:rPr>
              <w:t xml:space="preserve">across system actors via effective provider-school partnerships. The program includes initiatives targeting: </w:t>
            </w:r>
          </w:p>
          <w:p w14:paraId="1BAC8EE4" w14:textId="51C666AA" w:rsidR="003D2A93" w:rsidRPr="008151AF" w:rsidRDefault="003D2A93" w:rsidP="00DB0433">
            <w:pPr>
              <w:pStyle w:val="ListParagraph"/>
              <w:numPr>
                <w:ilvl w:val="0"/>
                <w:numId w:val="15"/>
              </w:numPr>
              <w:rPr>
                <w:rFonts w:ascii="Calibri" w:eastAsiaTheme="minorEastAsia" w:hAnsi="Calibri" w:cs="Calibri"/>
                <w:color w:val="000000" w:themeColor="text1"/>
                <w:sz w:val="22"/>
                <w:szCs w:val="22"/>
                <w:lang w:val="en-US"/>
              </w:rPr>
            </w:pPr>
            <w:r w:rsidRPr="008151AF">
              <w:rPr>
                <w:rFonts w:ascii="Calibri" w:eastAsiaTheme="minorEastAsia" w:hAnsi="Calibri" w:cs="Calibri"/>
                <w:color w:val="000000" w:themeColor="text1"/>
                <w:sz w:val="22"/>
                <w:szCs w:val="22"/>
                <w:lang w:val="en-US"/>
              </w:rPr>
              <w:t>mentor teachers – professional learning in mentoring skills</w:t>
            </w:r>
          </w:p>
          <w:p w14:paraId="45F271AE" w14:textId="6F3CAA59" w:rsidR="003D2A93" w:rsidRPr="008151AF" w:rsidRDefault="003D2A93" w:rsidP="00DB0433">
            <w:pPr>
              <w:pStyle w:val="ListParagraph"/>
              <w:numPr>
                <w:ilvl w:val="0"/>
                <w:numId w:val="15"/>
              </w:numPr>
              <w:rPr>
                <w:rFonts w:ascii="Calibri" w:eastAsiaTheme="minorEastAsia" w:hAnsi="Calibri" w:cs="Calibri"/>
                <w:color w:val="000000" w:themeColor="text1"/>
                <w:sz w:val="22"/>
                <w:szCs w:val="22"/>
                <w:lang w:val="en-US"/>
              </w:rPr>
            </w:pPr>
            <w:r w:rsidRPr="008151AF">
              <w:rPr>
                <w:rFonts w:ascii="Calibri" w:eastAsiaTheme="minorEastAsia" w:hAnsi="Calibri" w:cs="Calibri"/>
                <w:color w:val="000000" w:themeColor="text1"/>
                <w:sz w:val="22"/>
                <w:szCs w:val="22"/>
                <w:lang w:val="en-US"/>
              </w:rPr>
              <w:t>ITE students – improved supervising models, communities of practice, support sessions, professional learning, resources, immersion in the school community and modified ITE</w:t>
            </w:r>
            <w:r w:rsidR="00D269FA">
              <w:t xml:space="preserve"> </w:t>
            </w:r>
            <w:r w:rsidR="00D269FA" w:rsidRPr="00D269FA">
              <w:rPr>
                <w:sz w:val="22"/>
                <w:szCs w:val="22"/>
              </w:rPr>
              <w:t>program</w:t>
            </w:r>
            <w:r w:rsidR="00D269FA" w:rsidRPr="00D269FA">
              <w:rPr>
                <w:rFonts w:ascii="Calibri" w:eastAsiaTheme="minorEastAsia" w:hAnsi="Calibri" w:cs="Calibri"/>
                <w:color w:val="000000" w:themeColor="text1"/>
                <w:sz w:val="20"/>
                <w:szCs w:val="20"/>
                <w:lang w:val="en-US"/>
              </w:rPr>
              <w:t xml:space="preserve"> </w:t>
            </w:r>
            <w:r w:rsidRPr="008151AF">
              <w:rPr>
                <w:rFonts w:ascii="Calibri" w:eastAsiaTheme="minorEastAsia" w:hAnsi="Calibri" w:cs="Calibri"/>
                <w:color w:val="000000" w:themeColor="text1"/>
                <w:sz w:val="22"/>
                <w:szCs w:val="22"/>
                <w:lang w:val="en-US"/>
              </w:rPr>
              <w:t>delivery</w:t>
            </w:r>
          </w:p>
          <w:p w14:paraId="01000A8A" w14:textId="50DC857C" w:rsidR="003D2A93" w:rsidRPr="008151AF" w:rsidRDefault="003D2A93" w:rsidP="00DB0433">
            <w:pPr>
              <w:pStyle w:val="ListParagraph"/>
              <w:numPr>
                <w:ilvl w:val="0"/>
                <w:numId w:val="15"/>
              </w:numPr>
              <w:rPr>
                <w:rFonts w:ascii="Calibri" w:eastAsiaTheme="minorEastAsia" w:hAnsi="Calibri" w:cs="Calibri"/>
                <w:color w:val="000000" w:themeColor="text1"/>
                <w:sz w:val="22"/>
                <w:szCs w:val="22"/>
                <w:lang w:val="en-US"/>
              </w:rPr>
            </w:pPr>
            <w:r w:rsidRPr="008151AF">
              <w:rPr>
                <w:rFonts w:ascii="Calibri" w:eastAsiaTheme="minorEastAsia" w:hAnsi="Calibri" w:cs="Calibri"/>
                <w:color w:val="000000" w:themeColor="text1"/>
                <w:sz w:val="22"/>
                <w:szCs w:val="22"/>
                <w:lang w:val="en-US"/>
              </w:rPr>
              <w:t xml:space="preserve">partner schools - funding, sharing resources and professional learning with other schools and communication with other schools and </w:t>
            </w:r>
            <w:r>
              <w:rPr>
                <w:rFonts w:ascii="Calibri" w:eastAsiaTheme="minorEastAsia" w:hAnsi="Calibri" w:cs="Calibri"/>
                <w:color w:val="000000" w:themeColor="text1"/>
                <w:sz w:val="22"/>
                <w:szCs w:val="22"/>
                <w:lang w:val="en-US"/>
              </w:rPr>
              <w:t>higher education</w:t>
            </w:r>
            <w:r w:rsidRPr="008151AF">
              <w:rPr>
                <w:rFonts w:ascii="Calibri" w:eastAsiaTheme="minorEastAsia" w:hAnsi="Calibri" w:cs="Calibri"/>
                <w:color w:val="000000" w:themeColor="text1"/>
                <w:sz w:val="22"/>
                <w:szCs w:val="22"/>
                <w:lang w:val="en-US"/>
              </w:rPr>
              <w:t xml:space="preserve"> providers</w:t>
            </w:r>
          </w:p>
          <w:p w14:paraId="79A0F9F1" w14:textId="2BC165AF" w:rsidR="003D2A93" w:rsidRPr="008151AF" w:rsidRDefault="003D2A93" w:rsidP="00DB0433">
            <w:pPr>
              <w:pStyle w:val="ListParagraph"/>
              <w:numPr>
                <w:ilvl w:val="0"/>
                <w:numId w:val="15"/>
              </w:numPr>
              <w:spacing w:after="120"/>
              <w:rPr>
                <w:rFonts w:ascii="Calibri" w:eastAsiaTheme="minorEastAsia" w:hAnsi="Calibri" w:cs="Calibri"/>
                <w:color w:val="000000" w:themeColor="text1"/>
                <w:sz w:val="22"/>
                <w:szCs w:val="22"/>
                <w:lang w:val="en-US"/>
              </w:rPr>
            </w:pPr>
            <w:r w:rsidRPr="008151AF">
              <w:rPr>
                <w:rFonts w:ascii="Calibri" w:eastAsiaTheme="minorEastAsia" w:hAnsi="Calibri" w:cs="Calibri"/>
                <w:color w:val="000000" w:themeColor="text1"/>
                <w:sz w:val="22"/>
                <w:szCs w:val="22"/>
                <w:lang w:val="en-US"/>
              </w:rPr>
              <w:t>implementation of the program – in-school Professional Experience Coordinators, dedicated staff, and evaluation programs, scheduling changes to accommodate needs of schools</w:t>
            </w:r>
            <w:r w:rsidR="007611C7">
              <w:rPr>
                <w:rFonts w:ascii="Calibri" w:eastAsiaTheme="minorEastAsia" w:hAnsi="Calibri" w:cs="Calibri"/>
                <w:color w:val="000000" w:themeColor="text1"/>
                <w:sz w:val="22"/>
                <w:szCs w:val="22"/>
                <w:lang w:val="en-US"/>
              </w:rPr>
              <w:t>,</w:t>
            </w:r>
            <w:r w:rsidRPr="008151AF">
              <w:rPr>
                <w:rFonts w:ascii="Calibri" w:eastAsiaTheme="minorEastAsia" w:hAnsi="Calibri" w:cs="Calibri"/>
                <w:color w:val="000000" w:themeColor="text1"/>
                <w:sz w:val="22"/>
                <w:szCs w:val="22"/>
                <w:lang w:val="en-US"/>
              </w:rPr>
              <w:t xml:space="preserve"> and</w:t>
            </w:r>
          </w:p>
          <w:p w14:paraId="2FA17A07" w14:textId="24B7E8A9" w:rsidR="003D2A93" w:rsidRPr="008151AF" w:rsidRDefault="003D2A93" w:rsidP="00DB0433">
            <w:pPr>
              <w:pStyle w:val="ListParagraph"/>
              <w:numPr>
                <w:ilvl w:val="0"/>
                <w:numId w:val="15"/>
              </w:numPr>
              <w:spacing w:after="120"/>
              <w:rPr>
                <w:rFonts w:ascii="Calibri" w:eastAsiaTheme="minorEastAsia" w:hAnsi="Calibri" w:cs="Calibri"/>
                <w:color w:val="000000" w:themeColor="text1"/>
                <w:sz w:val="22"/>
                <w:szCs w:val="22"/>
                <w:lang w:val="en-US"/>
              </w:rPr>
            </w:pPr>
            <w:r w:rsidRPr="008151AF">
              <w:rPr>
                <w:rFonts w:ascii="Calibri" w:eastAsiaTheme="minorEastAsia" w:hAnsi="Calibri" w:cs="Calibri"/>
                <w:color w:val="000000" w:themeColor="text1"/>
                <w:sz w:val="22"/>
                <w:szCs w:val="22"/>
                <w:lang w:val="en-US"/>
              </w:rPr>
              <w:t xml:space="preserve">input into ITE </w:t>
            </w:r>
            <w:r>
              <w:rPr>
                <w:rFonts w:ascii="Calibri" w:eastAsiaTheme="minorEastAsia" w:hAnsi="Calibri" w:cs="Calibri"/>
                <w:color w:val="000000" w:themeColor="text1"/>
                <w:sz w:val="22"/>
                <w:szCs w:val="22"/>
                <w:lang w:val="en-US"/>
              </w:rPr>
              <w:t>programs</w:t>
            </w:r>
            <w:r w:rsidRPr="008151AF">
              <w:rPr>
                <w:rFonts w:ascii="Calibri" w:eastAsiaTheme="minorEastAsia" w:hAnsi="Calibri" w:cs="Calibri"/>
                <w:color w:val="000000" w:themeColor="text1"/>
                <w:sz w:val="22"/>
                <w:szCs w:val="22"/>
                <w:lang w:val="en-US"/>
              </w:rPr>
              <w:t xml:space="preserve"> – covering practical strategies, identifying gaps in ITE </w:t>
            </w:r>
            <w:r w:rsidR="00D269FA" w:rsidRPr="00D269FA">
              <w:rPr>
                <w:sz w:val="22"/>
                <w:szCs w:val="22"/>
              </w:rPr>
              <w:t>program</w:t>
            </w:r>
            <w:r w:rsidR="00D269FA" w:rsidRPr="00D269FA">
              <w:rPr>
                <w:rFonts w:ascii="Calibri" w:eastAsiaTheme="minorEastAsia" w:hAnsi="Calibri" w:cs="Calibri"/>
                <w:color w:val="000000" w:themeColor="text1"/>
                <w:sz w:val="20"/>
                <w:szCs w:val="20"/>
                <w:lang w:val="en-US"/>
              </w:rPr>
              <w:t xml:space="preserve"> </w:t>
            </w:r>
            <w:r w:rsidRPr="008151AF">
              <w:rPr>
                <w:rFonts w:ascii="Calibri" w:eastAsiaTheme="minorEastAsia" w:hAnsi="Calibri" w:cs="Calibri"/>
                <w:color w:val="000000" w:themeColor="text1"/>
                <w:sz w:val="22"/>
                <w:szCs w:val="22"/>
                <w:lang w:val="en-US"/>
              </w:rPr>
              <w:t xml:space="preserve">content. </w:t>
            </w:r>
          </w:p>
          <w:p w14:paraId="60D33E13" w14:textId="77777777" w:rsidR="003D2A93" w:rsidRPr="008151AF" w:rsidRDefault="003D2A93" w:rsidP="00DB0433">
            <w:pPr>
              <w:spacing w:after="0" w:line="240" w:lineRule="auto"/>
              <w:rPr>
                <w:rFonts w:ascii="Calibri" w:eastAsiaTheme="minorEastAsia" w:hAnsi="Calibri" w:cs="Calibri"/>
                <w:i/>
                <w:iCs/>
                <w:color w:val="000000" w:themeColor="text1"/>
                <w:shd w:val="clear" w:color="auto" w:fill="B8DBFF" w:themeFill="text2" w:themeFillTint="33"/>
                <w:lang w:val="en-US"/>
              </w:rPr>
            </w:pPr>
            <w:r w:rsidRPr="008151AF">
              <w:rPr>
                <w:rFonts w:ascii="Calibri" w:eastAsiaTheme="minorEastAsia" w:hAnsi="Calibri" w:cs="Calibri"/>
                <w:color w:val="000000" w:themeColor="text1"/>
                <w:lang w:val="en-US"/>
              </w:rPr>
              <w:t>This model aims to resolve challenges such as:</w:t>
            </w:r>
          </w:p>
          <w:p w14:paraId="23014F72" w14:textId="36F9D863" w:rsidR="003D2A93" w:rsidRPr="008151AF" w:rsidRDefault="003D2A93" w:rsidP="00DB0433">
            <w:pPr>
              <w:pStyle w:val="ListParagraph"/>
              <w:numPr>
                <w:ilvl w:val="0"/>
                <w:numId w:val="15"/>
              </w:numPr>
              <w:rPr>
                <w:rFonts w:ascii="Calibri" w:eastAsiaTheme="minorEastAsia" w:hAnsi="Calibri" w:cs="Calibri"/>
                <w:color w:val="000000" w:themeColor="text1"/>
                <w:sz w:val="22"/>
                <w:szCs w:val="22"/>
                <w:lang w:val="en-US"/>
              </w:rPr>
            </w:pPr>
            <w:r w:rsidRPr="008151AF">
              <w:rPr>
                <w:rFonts w:ascii="Calibri" w:eastAsiaTheme="minorEastAsia" w:hAnsi="Calibri" w:cs="Calibri"/>
                <w:color w:val="000000" w:themeColor="text1"/>
                <w:sz w:val="22"/>
                <w:szCs w:val="22"/>
                <w:lang w:val="en-US"/>
              </w:rPr>
              <w:t>difficulty in finding appropriate placements for ITE students</w:t>
            </w:r>
          </w:p>
          <w:p w14:paraId="04519B83" w14:textId="6679416C" w:rsidR="003D2A93" w:rsidRPr="008151AF" w:rsidRDefault="003D2A93" w:rsidP="00DB0433">
            <w:pPr>
              <w:pStyle w:val="ListParagraph"/>
              <w:numPr>
                <w:ilvl w:val="0"/>
                <w:numId w:val="15"/>
              </w:numPr>
              <w:rPr>
                <w:rFonts w:ascii="Calibri" w:eastAsiaTheme="minorEastAsia" w:hAnsi="Calibri" w:cs="Calibri"/>
                <w:color w:val="000000" w:themeColor="text1"/>
                <w:sz w:val="22"/>
                <w:szCs w:val="22"/>
                <w:lang w:val="en-US"/>
              </w:rPr>
            </w:pPr>
            <w:r w:rsidRPr="008151AF">
              <w:rPr>
                <w:rFonts w:ascii="Calibri" w:eastAsiaTheme="minorEastAsia" w:hAnsi="Calibri" w:cs="Calibri"/>
                <w:color w:val="000000" w:themeColor="text1"/>
                <w:sz w:val="22"/>
                <w:szCs w:val="22"/>
                <w:lang w:val="en-US"/>
              </w:rPr>
              <w:t xml:space="preserve">integration between ITE </w:t>
            </w:r>
            <w:r w:rsidR="00D269FA" w:rsidRPr="00D269FA">
              <w:rPr>
                <w:sz w:val="22"/>
                <w:szCs w:val="22"/>
              </w:rPr>
              <w:t>program</w:t>
            </w:r>
            <w:r w:rsidR="00D269FA" w:rsidRPr="00D269FA">
              <w:rPr>
                <w:rFonts w:ascii="Calibri" w:eastAsiaTheme="minorEastAsia" w:hAnsi="Calibri" w:cs="Calibri"/>
                <w:color w:val="000000" w:themeColor="text1"/>
                <w:sz w:val="20"/>
                <w:szCs w:val="20"/>
                <w:lang w:val="en-US"/>
              </w:rPr>
              <w:t xml:space="preserve"> </w:t>
            </w:r>
            <w:r w:rsidRPr="008151AF">
              <w:rPr>
                <w:rFonts w:ascii="Calibri" w:eastAsiaTheme="minorEastAsia" w:hAnsi="Calibri" w:cs="Calibri"/>
                <w:color w:val="000000" w:themeColor="text1"/>
                <w:sz w:val="22"/>
                <w:szCs w:val="22"/>
                <w:lang w:val="en-US"/>
              </w:rPr>
              <w:t xml:space="preserve">content and </w:t>
            </w:r>
            <w:r w:rsidR="00A356A0">
              <w:rPr>
                <w:rFonts w:ascii="Calibri" w:eastAsiaTheme="minorEastAsia" w:hAnsi="Calibri" w:cs="Calibri"/>
                <w:color w:val="000000" w:themeColor="text1"/>
                <w:sz w:val="22"/>
                <w:szCs w:val="22"/>
                <w:lang w:val="en-US"/>
              </w:rPr>
              <w:t xml:space="preserve">practical experience </w:t>
            </w:r>
          </w:p>
          <w:p w14:paraId="49C7B4ED" w14:textId="57E50F5A" w:rsidR="003D2A93" w:rsidRPr="008151AF" w:rsidRDefault="003D2A93" w:rsidP="00DB0433">
            <w:pPr>
              <w:pStyle w:val="ListParagraph"/>
              <w:numPr>
                <w:ilvl w:val="0"/>
                <w:numId w:val="15"/>
              </w:numPr>
              <w:rPr>
                <w:rFonts w:ascii="Calibri" w:eastAsiaTheme="minorEastAsia" w:hAnsi="Calibri" w:cs="Calibri"/>
                <w:color w:val="000000" w:themeColor="text1"/>
                <w:sz w:val="22"/>
                <w:szCs w:val="22"/>
                <w:lang w:val="en-US"/>
              </w:rPr>
            </w:pPr>
            <w:r w:rsidRPr="008151AF">
              <w:rPr>
                <w:rFonts w:ascii="Calibri" w:eastAsiaTheme="minorEastAsia" w:hAnsi="Calibri" w:cs="Calibri"/>
                <w:color w:val="000000" w:themeColor="text1"/>
                <w:sz w:val="22"/>
                <w:szCs w:val="22"/>
                <w:lang w:val="en-US"/>
              </w:rPr>
              <w:t>variance in the quality of placements across schools</w:t>
            </w:r>
            <w:r w:rsidR="007611C7">
              <w:rPr>
                <w:rFonts w:ascii="Calibri" w:eastAsiaTheme="minorEastAsia" w:hAnsi="Calibri" w:cs="Calibri"/>
                <w:color w:val="000000" w:themeColor="text1"/>
                <w:sz w:val="22"/>
                <w:szCs w:val="22"/>
                <w:lang w:val="en-US"/>
              </w:rPr>
              <w:t>,</w:t>
            </w:r>
            <w:r w:rsidRPr="008151AF">
              <w:rPr>
                <w:rFonts w:ascii="Calibri" w:eastAsiaTheme="minorEastAsia" w:hAnsi="Calibri" w:cs="Calibri"/>
                <w:color w:val="000000" w:themeColor="text1"/>
                <w:sz w:val="22"/>
                <w:szCs w:val="22"/>
                <w:lang w:val="en-US"/>
              </w:rPr>
              <w:t xml:space="preserve"> and</w:t>
            </w:r>
          </w:p>
          <w:p w14:paraId="0D74B4C1" w14:textId="77777777" w:rsidR="003D2A93" w:rsidRPr="008151AF" w:rsidRDefault="003D2A93" w:rsidP="00DB0433">
            <w:pPr>
              <w:pStyle w:val="ListParagraph"/>
              <w:numPr>
                <w:ilvl w:val="0"/>
                <w:numId w:val="15"/>
              </w:numPr>
              <w:spacing w:after="120"/>
              <w:rPr>
                <w:rFonts w:ascii="Calibri" w:eastAsiaTheme="minorEastAsia" w:hAnsi="Calibri" w:cs="Calibri"/>
                <w:color w:val="000000" w:themeColor="text1"/>
                <w:sz w:val="22"/>
                <w:szCs w:val="22"/>
                <w:lang w:val="en-US"/>
              </w:rPr>
            </w:pPr>
            <w:r w:rsidRPr="008151AF">
              <w:rPr>
                <w:rFonts w:ascii="Calibri" w:eastAsiaTheme="minorEastAsia" w:hAnsi="Calibri" w:cs="Calibri"/>
                <w:color w:val="000000" w:themeColor="text1"/>
                <w:sz w:val="22"/>
                <w:szCs w:val="22"/>
                <w:lang w:val="en-US"/>
              </w:rPr>
              <w:t xml:space="preserve">the high administration cost and relationship maintenance. </w:t>
            </w:r>
          </w:p>
          <w:p w14:paraId="5146FC9F" w14:textId="77777777" w:rsidR="003D2A93" w:rsidRPr="00166183" w:rsidRDefault="003D2A93" w:rsidP="00DB0433">
            <w:pPr>
              <w:spacing w:after="120" w:line="240" w:lineRule="auto"/>
              <w:rPr>
                <w:b/>
                <w:i/>
                <w:u w:val="single"/>
              </w:rPr>
            </w:pPr>
            <w:r w:rsidRPr="008151AF">
              <w:rPr>
                <w:rFonts w:ascii="Calibri" w:eastAsiaTheme="minorEastAsia" w:hAnsi="Calibri" w:cs="Calibri"/>
                <w:color w:val="000000" w:themeColor="text1"/>
                <w:lang w:val="en-US"/>
              </w:rPr>
              <w:t xml:space="preserve">A 2018 NSW Department of Education evaluation of the Hub School program identified benefits for all parties including students, mentor teachers, partner schools and </w:t>
            </w:r>
            <w:r>
              <w:rPr>
                <w:rFonts w:ascii="Calibri" w:eastAsiaTheme="minorEastAsia" w:hAnsi="Calibri" w:cs="Calibri"/>
                <w:color w:val="000000" w:themeColor="text1"/>
                <w:lang w:val="en-US"/>
              </w:rPr>
              <w:t>higher education</w:t>
            </w:r>
            <w:r w:rsidRPr="008151AF">
              <w:rPr>
                <w:rFonts w:ascii="Calibri" w:eastAsiaTheme="minorEastAsia" w:hAnsi="Calibri" w:cs="Calibri"/>
                <w:color w:val="000000" w:themeColor="text1"/>
                <w:lang w:val="en-US"/>
              </w:rPr>
              <w:t xml:space="preserve"> providers</w:t>
            </w:r>
            <w:r>
              <w:rPr>
                <w:rFonts w:ascii="Calibri" w:eastAsiaTheme="minorEastAsia" w:hAnsi="Calibri" w:cs="Calibri"/>
                <w:color w:val="000000" w:themeColor="text1"/>
                <w:lang w:val="en-US"/>
              </w:rPr>
              <w:t>.</w:t>
            </w:r>
          </w:p>
        </w:tc>
      </w:tr>
    </w:tbl>
    <w:p w14:paraId="0658C2EA" w14:textId="72C487AB" w:rsidR="00B73FAB" w:rsidRPr="00711725" w:rsidRDefault="00F53F28" w:rsidP="008D1B2F">
      <w:pPr>
        <w:pStyle w:val="Heading4"/>
        <w:spacing w:before="120" w:line="240" w:lineRule="auto"/>
        <w:rPr>
          <w:rFonts w:asciiTheme="minorHAnsi" w:hAnsiTheme="minorHAnsi" w:cstheme="minorHAnsi"/>
          <w:color w:val="002C3E" w:themeColor="background2"/>
          <w:lang w:eastAsia="en-AU"/>
        </w:rPr>
      </w:pPr>
      <w:r>
        <w:rPr>
          <w:rFonts w:asciiTheme="minorHAnsi" w:hAnsiTheme="minorHAnsi" w:cstheme="minorHAnsi"/>
          <w:color w:val="002C3E" w:themeColor="background2"/>
          <w:lang w:eastAsia="en-AU"/>
        </w:rPr>
        <w:t xml:space="preserve">3.2.3 </w:t>
      </w:r>
      <w:r w:rsidR="00B707E9" w:rsidRPr="00711725">
        <w:rPr>
          <w:rFonts w:asciiTheme="minorHAnsi" w:hAnsiTheme="minorHAnsi" w:cstheme="minorHAnsi"/>
          <w:color w:val="002C3E" w:themeColor="background2"/>
          <w:lang w:eastAsia="en-AU"/>
        </w:rPr>
        <w:t>Well</w:t>
      </w:r>
      <w:r w:rsidR="00A83F83" w:rsidRPr="00711725">
        <w:rPr>
          <w:rFonts w:asciiTheme="minorHAnsi" w:hAnsiTheme="minorHAnsi" w:cstheme="minorHAnsi"/>
          <w:color w:val="002C3E" w:themeColor="background2"/>
          <w:lang w:eastAsia="en-AU"/>
        </w:rPr>
        <w:t>-</w:t>
      </w:r>
      <w:r w:rsidR="00B707E9" w:rsidRPr="00711725">
        <w:rPr>
          <w:rFonts w:asciiTheme="minorHAnsi" w:hAnsiTheme="minorHAnsi" w:cstheme="minorHAnsi"/>
          <w:color w:val="002C3E" w:themeColor="background2"/>
          <w:lang w:eastAsia="en-AU"/>
        </w:rPr>
        <w:t>structured</w:t>
      </w:r>
      <w:r w:rsidR="00433309" w:rsidRPr="00711725">
        <w:rPr>
          <w:rFonts w:asciiTheme="minorHAnsi" w:hAnsiTheme="minorHAnsi" w:cstheme="minorHAnsi"/>
          <w:color w:val="002C3E" w:themeColor="background2"/>
          <w:lang w:eastAsia="en-AU"/>
        </w:rPr>
        <w:t xml:space="preserve"> and well-timed </w:t>
      </w:r>
    </w:p>
    <w:p w14:paraId="163A3A4A" w14:textId="36D1F724" w:rsidR="00B73FAB" w:rsidRPr="00614C0D" w:rsidRDefault="00063713" w:rsidP="00B73FAB">
      <w:pPr>
        <w:pStyle w:val="paragraph"/>
        <w:spacing w:before="0" w:beforeAutospacing="0" w:after="0" w:afterAutospacing="0"/>
        <w:textAlignment w:val="baseline"/>
        <w:rPr>
          <w:rStyle w:val="normaltextrun"/>
          <w:rFonts w:ascii="Calibri" w:eastAsiaTheme="minorEastAsia" w:hAnsi="Calibri" w:cs="Calibri"/>
          <w:sz w:val="22"/>
          <w:szCs w:val="22"/>
        </w:rPr>
      </w:pPr>
      <w:r>
        <w:rPr>
          <w:rStyle w:val="normaltextrun"/>
          <w:rFonts w:ascii="Calibri" w:eastAsiaTheme="minorEastAsia" w:hAnsi="Calibri" w:cs="Calibri"/>
          <w:color w:val="000000" w:themeColor="text1"/>
          <w:sz w:val="22"/>
          <w:szCs w:val="22"/>
        </w:rPr>
        <w:t>Practical experience</w:t>
      </w:r>
      <w:r w:rsidR="00B73FAB" w:rsidRPr="00614C0D">
        <w:rPr>
          <w:rStyle w:val="normaltextrun"/>
          <w:rFonts w:ascii="Calibri" w:eastAsiaTheme="minorEastAsia" w:hAnsi="Calibri" w:cs="Calibri"/>
          <w:color w:val="000000" w:themeColor="text1"/>
          <w:sz w:val="22"/>
          <w:szCs w:val="22"/>
        </w:rPr>
        <w:t xml:space="preserve"> placements should be well-structured</w:t>
      </w:r>
      <w:r w:rsidR="365A2E95" w:rsidRPr="60A88B71">
        <w:rPr>
          <w:rStyle w:val="normaltextrun"/>
          <w:rFonts w:ascii="Calibri" w:eastAsiaTheme="minorEastAsia" w:hAnsi="Calibri" w:cs="Calibri"/>
          <w:color w:val="000000" w:themeColor="text1"/>
          <w:sz w:val="22"/>
          <w:szCs w:val="22"/>
        </w:rPr>
        <w:t xml:space="preserve"> and well timed</w:t>
      </w:r>
      <w:r w:rsidR="00B73FAB" w:rsidRPr="00614C0D">
        <w:rPr>
          <w:rStyle w:val="normaltextrun"/>
          <w:rFonts w:ascii="Calibri" w:eastAsiaTheme="minorEastAsia" w:hAnsi="Calibri" w:cs="Calibri"/>
          <w:color w:val="000000" w:themeColor="text1"/>
          <w:sz w:val="22"/>
          <w:szCs w:val="22"/>
        </w:rPr>
        <w:t>, which means:</w:t>
      </w:r>
      <w:r w:rsidR="00B73FAB" w:rsidRPr="00614C0D">
        <w:rPr>
          <w:rStyle w:val="normaltextrun"/>
          <w:rFonts w:ascii="Calibri" w:eastAsiaTheme="minorEastAsia" w:hAnsi="Calibri" w:cs="Calibri"/>
          <w:sz w:val="22"/>
          <w:szCs w:val="22"/>
        </w:rPr>
        <w:t> </w:t>
      </w:r>
    </w:p>
    <w:p w14:paraId="52DAF3F6" w14:textId="3BD51C7E" w:rsidR="00B73FAB" w:rsidRPr="00614C0D" w:rsidRDefault="00B73FAB" w:rsidP="00645BD5">
      <w:pPr>
        <w:pStyle w:val="ListParagraph"/>
        <w:numPr>
          <w:ilvl w:val="0"/>
          <w:numId w:val="14"/>
        </w:numPr>
        <w:rPr>
          <w:rFonts w:ascii="Calibri" w:eastAsiaTheme="minorEastAsia" w:hAnsi="Calibri" w:cs="Calibri"/>
          <w:sz w:val="22"/>
          <w:szCs w:val="22"/>
        </w:rPr>
      </w:pPr>
      <w:r w:rsidRPr="00614C0D">
        <w:rPr>
          <w:rFonts w:ascii="Calibri" w:eastAsiaTheme="minorEastAsia" w:hAnsi="Calibri" w:cs="Calibri"/>
          <w:b/>
          <w:sz w:val="22"/>
          <w:szCs w:val="22"/>
        </w:rPr>
        <w:t>Properly sequenced</w:t>
      </w:r>
      <w:r w:rsidRPr="00614C0D">
        <w:rPr>
          <w:rFonts w:ascii="Calibri" w:eastAsiaTheme="minorEastAsia" w:hAnsi="Calibri" w:cs="Calibri"/>
          <w:sz w:val="22"/>
          <w:szCs w:val="22"/>
        </w:rPr>
        <w:t xml:space="preserve"> – </w:t>
      </w:r>
      <w:r w:rsidR="00715D81">
        <w:rPr>
          <w:rFonts w:ascii="Calibri" w:eastAsiaTheme="minorEastAsia" w:hAnsi="Calibri" w:cs="Calibri"/>
          <w:sz w:val="22"/>
          <w:szCs w:val="22"/>
        </w:rPr>
        <w:t xml:space="preserve">in line with ‘3.2.1 – Integrating theory and practice’, </w:t>
      </w:r>
      <w:r w:rsidR="00804EA4">
        <w:rPr>
          <w:rFonts w:ascii="Calibri" w:eastAsiaTheme="minorEastAsia" w:hAnsi="Calibri" w:cs="Calibri"/>
          <w:sz w:val="22"/>
          <w:szCs w:val="22"/>
        </w:rPr>
        <w:t>it</w:t>
      </w:r>
      <w:r w:rsidR="00C520FE">
        <w:rPr>
          <w:rFonts w:ascii="Calibri" w:eastAsiaTheme="minorEastAsia" w:hAnsi="Calibri" w:cs="Calibri"/>
          <w:sz w:val="22"/>
          <w:szCs w:val="22"/>
        </w:rPr>
        <w:t xml:space="preserve"> </w:t>
      </w:r>
      <w:r w:rsidRPr="00614C0D">
        <w:rPr>
          <w:rFonts w:ascii="Calibri" w:eastAsiaTheme="minorEastAsia" w:hAnsi="Calibri" w:cs="Calibri"/>
          <w:sz w:val="22"/>
          <w:szCs w:val="22"/>
        </w:rPr>
        <w:t xml:space="preserve">should incrementally </w:t>
      </w:r>
      <w:r w:rsidR="006E7557">
        <w:rPr>
          <w:rFonts w:ascii="Calibri" w:eastAsiaTheme="minorEastAsia" w:hAnsi="Calibri" w:cs="Calibri"/>
          <w:sz w:val="22"/>
          <w:szCs w:val="22"/>
        </w:rPr>
        <w:t>enable</w:t>
      </w:r>
      <w:r w:rsidRPr="00614C0D">
        <w:rPr>
          <w:rFonts w:ascii="Calibri" w:eastAsiaTheme="minorEastAsia" w:hAnsi="Calibri" w:cs="Calibri"/>
          <w:sz w:val="22"/>
          <w:szCs w:val="22"/>
        </w:rPr>
        <w:t xml:space="preserve"> ITE students to apply and practice their learning in a way that allows for scaffolded skill development (</w:t>
      </w:r>
      <w:r w:rsidR="00B01557">
        <w:rPr>
          <w:rFonts w:ascii="Calibri" w:eastAsiaTheme="minorEastAsia" w:hAnsi="Calibri" w:cs="Calibri"/>
          <w:sz w:val="22"/>
          <w:szCs w:val="22"/>
        </w:rPr>
        <w:t xml:space="preserve">Le </w:t>
      </w:r>
      <w:proofErr w:type="spellStart"/>
      <w:r w:rsidR="00B01557">
        <w:rPr>
          <w:rFonts w:ascii="Calibri" w:eastAsiaTheme="minorEastAsia" w:hAnsi="Calibri" w:cs="Calibri"/>
          <w:sz w:val="22"/>
          <w:szCs w:val="22"/>
        </w:rPr>
        <w:t>Cornu</w:t>
      </w:r>
      <w:proofErr w:type="spellEnd"/>
      <w:r w:rsidRPr="00614C0D">
        <w:rPr>
          <w:rFonts w:ascii="Calibri" w:eastAsiaTheme="minorEastAsia" w:hAnsi="Calibri" w:cs="Calibri"/>
          <w:sz w:val="22"/>
          <w:szCs w:val="22"/>
        </w:rPr>
        <w:t xml:space="preserve"> 2015). For example, ITE students may benefit from being given greater levels of direct guidance for discrete topics during the initial placement, followed by more independent, generalised responsibilities in later </w:t>
      </w:r>
      <w:r w:rsidR="00D6560A">
        <w:rPr>
          <w:rFonts w:ascii="Calibri" w:eastAsiaTheme="minorEastAsia" w:hAnsi="Calibri" w:cs="Calibri"/>
          <w:sz w:val="22"/>
          <w:szCs w:val="22"/>
        </w:rPr>
        <w:t>placements</w:t>
      </w:r>
      <w:r w:rsidRPr="00614C0D">
        <w:rPr>
          <w:rFonts w:ascii="Calibri" w:eastAsiaTheme="minorEastAsia" w:hAnsi="Calibri" w:cs="Calibri"/>
          <w:sz w:val="22"/>
          <w:szCs w:val="22"/>
        </w:rPr>
        <w:t xml:space="preserve">. </w:t>
      </w:r>
    </w:p>
    <w:p w14:paraId="34CDFE5B" w14:textId="7BC0B811" w:rsidR="00B73FAB" w:rsidRPr="00614C0D" w:rsidRDefault="00B73FAB" w:rsidP="00645BD5">
      <w:pPr>
        <w:pStyle w:val="ListParagraph"/>
        <w:numPr>
          <w:ilvl w:val="0"/>
          <w:numId w:val="14"/>
        </w:numPr>
        <w:rPr>
          <w:rFonts w:ascii="Calibri" w:eastAsiaTheme="minorEastAsia" w:hAnsi="Calibri" w:cs="Calibri"/>
          <w:sz w:val="22"/>
          <w:szCs w:val="22"/>
        </w:rPr>
      </w:pPr>
      <w:r w:rsidRPr="00614C0D">
        <w:rPr>
          <w:rFonts w:ascii="Calibri" w:eastAsiaTheme="minorEastAsia" w:hAnsi="Calibri" w:cs="Calibri"/>
          <w:b/>
          <w:sz w:val="22"/>
          <w:szCs w:val="22"/>
        </w:rPr>
        <w:t>Focused on practical skills</w:t>
      </w:r>
      <w:r w:rsidRPr="00614C0D">
        <w:rPr>
          <w:rFonts w:ascii="Calibri" w:eastAsiaTheme="minorEastAsia" w:hAnsi="Calibri" w:cs="Calibri"/>
          <w:sz w:val="22"/>
          <w:szCs w:val="22"/>
        </w:rPr>
        <w:t xml:space="preserve"> – </w:t>
      </w:r>
      <w:r w:rsidR="00804EA4">
        <w:rPr>
          <w:rFonts w:ascii="Calibri" w:eastAsiaTheme="minorEastAsia" w:hAnsi="Calibri" w:cs="Calibri"/>
          <w:sz w:val="22"/>
          <w:szCs w:val="22"/>
        </w:rPr>
        <w:t xml:space="preserve">it </w:t>
      </w:r>
      <w:r w:rsidRPr="00614C0D">
        <w:rPr>
          <w:rFonts w:ascii="Calibri" w:eastAsiaTheme="minorEastAsia" w:hAnsi="Calibri" w:cs="Calibri"/>
          <w:sz w:val="22"/>
          <w:szCs w:val="22"/>
        </w:rPr>
        <w:t>should focus on more practical skills that must be learned and practiced in a classroom setting, such as behavioural management and teaching diverse learners (Grattan Institute 2017).  </w:t>
      </w:r>
    </w:p>
    <w:p w14:paraId="6CEBC6D9" w14:textId="5FB42079" w:rsidR="00A17DF6" w:rsidRDefault="00765EBA" w:rsidP="004C6DFD">
      <w:pPr>
        <w:pStyle w:val="ListParagraph"/>
        <w:numPr>
          <w:ilvl w:val="0"/>
          <w:numId w:val="14"/>
        </w:numPr>
        <w:spacing w:after="240"/>
        <w:ind w:left="357" w:hanging="357"/>
        <w:rPr>
          <w:rFonts w:ascii="Calibri" w:hAnsi="Calibri" w:cs="Calibri"/>
          <w:sz w:val="22"/>
          <w:szCs w:val="22"/>
        </w:rPr>
      </w:pPr>
      <w:r w:rsidRPr="00614C0D">
        <w:rPr>
          <w:rStyle w:val="normaltextrun"/>
          <w:rFonts w:ascii="Calibri" w:eastAsiaTheme="majorEastAsia" w:hAnsi="Calibri" w:cs="Calibri"/>
          <w:b/>
          <w:color w:val="000000" w:themeColor="text1"/>
          <w:sz w:val="22"/>
          <w:szCs w:val="22"/>
        </w:rPr>
        <w:t>Well-timed</w:t>
      </w:r>
      <w:r w:rsidRPr="00614C0D">
        <w:rPr>
          <w:rStyle w:val="normaltextrun"/>
          <w:rFonts w:ascii="Calibri" w:eastAsiaTheme="majorEastAsia" w:hAnsi="Calibri" w:cs="Calibri"/>
          <w:color w:val="000000" w:themeColor="text1"/>
          <w:sz w:val="22"/>
          <w:szCs w:val="22"/>
        </w:rPr>
        <w:t xml:space="preserve">: Research does not prescribe specific ideal timing, however generally </w:t>
      </w:r>
      <w:r w:rsidR="00DC019B">
        <w:rPr>
          <w:rStyle w:val="normaltextrun"/>
          <w:rFonts w:ascii="Calibri" w:eastAsiaTheme="majorEastAsia" w:hAnsi="Calibri" w:cs="Calibri"/>
          <w:color w:val="000000" w:themeColor="text1"/>
          <w:sz w:val="22"/>
          <w:szCs w:val="22"/>
        </w:rPr>
        <w:t>good</w:t>
      </w:r>
      <w:r w:rsidRPr="00614C0D">
        <w:rPr>
          <w:rStyle w:val="normaltextrun"/>
          <w:rFonts w:ascii="Calibri" w:eastAsiaTheme="majorEastAsia" w:hAnsi="Calibri" w:cs="Calibri"/>
          <w:color w:val="000000" w:themeColor="text1"/>
          <w:sz w:val="22"/>
          <w:szCs w:val="22"/>
        </w:rPr>
        <w:t xml:space="preserve"> practice is seen as having ITE students undertake </w:t>
      </w:r>
      <w:r w:rsidR="009F7105">
        <w:rPr>
          <w:rStyle w:val="normaltextrun"/>
          <w:rFonts w:ascii="Calibri" w:eastAsiaTheme="majorEastAsia" w:hAnsi="Calibri" w:cs="Calibri"/>
          <w:color w:val="000000" w:themeColor="text1"/>
          <w:sz w:val="22"/>
          <w:szCs w:val="22"/>
        </w:rPr>
        <w:t>practical experience</w:t>
      </w:r>
      <w:r w:rsidRPr="00614C0D">
        <w:rPr>
          <w:rStyle w:val="normaltextrun"/>
          <w:rFonts w:ascii="Calibri" w:eastAsiaTheme="majorEastAsia" w:hAnsi="Calibri" w:cs="Calibri"/>
          <w:color w:val="000000" w:themeColor="text1"/>
          <w:sz w:val="22"/>
          <w:szCs w:val="22"/>
        </w:rPr>
        <w:t xml:space="preserve"> early, more frequently, at different points in the school year</w:t>
      </w:r>
      <w:r w:rsidR="002F3B1F">
        <w:rPr>
          <w:rStyle w:val="normaltextrun"/>
          <w:rFonts w:ascii="Calibri" w:eastAsiaTheme="majorEastAsia" w:hAnsi="Calibri" w:cs="Calibri"/>
          <w:color w:val="000000" w:themeColor="text1"/>
          <w:sz w:val="22"/>
          <w:szCs w:val="22"/>
        </w:rPr>
        <w:t>, with</w:t>
      </w:r>
      <w:r w:rsidRPr="00614C0D">
        <w:rPr>
          <w:rStyle w:val="normaltextrun"/>
          <w:rFonts w:ascii="Calibri" w:eastAsiaTheme="majorEastAsia" w:hAnsi="Calibri" w:cs="Calibri"/>
          <w:color w:val="000000" w:themeColor="text1"/>
          <w:sz w:val="22"/>
          <w:szCs w:val="22"/>
        </w:rPr>
        <w:t xml:space="preserve"> the opportunity for placements of longer duration </w:t>
      </w:r>
      <w:r w:rsidR="00E63D4C">
        <w:rPr>
          <w:rStyle w:val="normaltextrun"/>
          <w:rFonts w:ascii="Calibri" w:eastAsiaTheme="majorEastAsia" w:hAnsi="Calibri" w:cs="Calibri"/>
          <w:color w:val="000000" w:themeColor="text1"/>
          <w:sz w:val="22"/>
          <w:szCs w:val="22"/>
        </w:rPr>
        <w:t>to</w:t>
      </w:r>
      <w:r w:rsidRPr="00614C0D">
        <w:rPr>
          <w:rStyle w:val="normaltextrun"/>
          <w:rFonts w:ascii="Calibri" w:eastAsiaTheme="majorEastAsia" w:hAnsi="Calibri" w:cs="Calibri"/>
          <w:color w:val="000000" w:themeColor="text1"/>
          <w:sz w:val="22"/>
          <w:szCs w:val="22"/>
        </w:rPr>
        <w:t xml:space="preserve"> allow ITE students to better relate </w:t>
      </w:r>
      <w:r w:rsidR="00B64473">
        <w:rPr>
          <w:rStyle w:val="normaltextrun"/>
          <w:rFonts w:ascii="Calibri" w:eastAsiaTheme="majorEastAsia" w:hAnsi="Calibri" w:cs="Calibri"/>
          <w:color w:val="000000" w:themeColor="text1"/>
          <w:sz w:val="22"/>
          <w:szCs w:val="22"/>
        </w:rPr>
        <w:t xml:space="preserve">theory </w:t>
      </w:r>
      <w:r w:rsidRPr="00614C0D">
        <w:rPr>
          <w:rStyle w:val="normaltextrun"/>
          <w:rFonts w:ascii="Calibri" w:eastAsiaTheme="majorEastAsia" w:hAnsi="Calibri" w:cs="Calibri"/>
          <w:color w:val="000000" w:themeColor="text1"/>
          <w:sz w:val="22"/>
          <w:szCs w:val="22"/>
        </w:rPr>
        <w:t xml:space="preserve">to practice and understand the responsibilities of teaching.  </w:t>
      </w:r>
      <w:r w:rsidRPr="00614C0D">
        <w:rPr>
          <w:rFonts w:ascii="Calibri" w:hAnsi="Calibri" w:cs="Calibri"/>
          <w:sz w:val="22"/>
          <w:szCs w:val="22"/>
        </w:rPr>
        <w:t>An earlier</w:t>
      </w:r>
      <w:r w:rsidR="00A87D53">
        <w:rPr>
          <w:rFonts w:ascii="Calibri" w:hAnsi="Calibri" w:cs="Calibri"/>
          <w:sz w:val="22"/>
          <w:szCs w:val="22"/>
        </w:rPr>
        <w:t xml:space="preserve"> </w:t>
      </w:r>
      <w:r w:rsidR="00AB24FF">
        <w:rPr>
          <w:rFonts w:ascii="Calibri" w:hAnsi="Calibri" w:cs="Calibri"/>
          <w:sz w:val="22"/>
          <w:szCs w:val="22"/>
        </w:rPr>
        <w:t>placement</w:t>
      </w:r>
      <w:r w:rsidRPr="00614C0D">
        <w:rPr>
          <w:rFonts w:ascii="Calibri" w:hAnsi="Calibri" w:cs="Calibri"/>
          <w:sz w:val="22"/>
          <w:szCs w:val="22"/>
        </w:rPr>
        <w:t xml:space="preserve"> means ITE students can better contextualise their learning and determine whether they are committed to their teacher career (AITSL, 2015). A variety of placement timings exposes ITE students to a broader range of teacher duties (such as term planning, data collection and report writing)</w:t>
      </w:r>
      <w:r w:rsidR="007E6A73" w:rsidRPr="00614C0D">
        <w:rPr>
          <w:rFonts w:ascii="Calibri" w:hAnsi="Calibri" w:cs="Calibri"/>
          <w:sz w:val="22"/>
          <w:szCs w:val="22"/>
        </w:rPr>
        <w:t xml:space="preserve"> </w:t>
      </w:r>
      <w:r w:rsidRPr="00614C0D">
        <w:rPr>
          <w:rFonts w:ascii="Calibri" w:hAnsi="Calibri" w:cs="Calibri"/>
          <w:sz w:val="22"/>
          <w:szCs w:val="22"/>
        </w:rPr>
        <w:t>(</w:t>
      </w:r>
      <w:r w:rsidR="005D6666">
        <w:rPr>
          <w:rFonts w:ascii="Calibri" w:hAnsi="Calibri" w:cs="Calibri"/>
          <w:sz w:val="22"/>
          <w:szCs w:val="22"/>
        </w:rPr>
        <w:t>QITE Review</w:t>
      </w:r>
      <w:r w:rsidRPr="00614C0D">
        <w:rPr>
          <w:rFonts w:ascii="Calibri" w:hAnsi="Calibri" w:cs="Calibri"/>
          <w:sz w:val="22"/>
          <w:szCs w:val="22"/>
        </w:rPr>
        <w:t xml:space="preserve">). The longer an ITE student is placed in a school, the greater their connection to mentors, school students and the community (TEMAG 2014; </w:t>
      </w:r>
      <w:r w:rsidR="005D6666">
        <w:rPr>
          <w:rFonts w:ascii="Calibri" w:hAnsi="Calibri" w:cs="Calibri"/>
          <w:sz w:val="22"/>
          <w:szCs w:val="22"/>
        </w:rPr>
        <w:t>QITE Review</w:t>
      </w:r>
      <w:r w:rsidRPr="00614C0D">
        <w:rPr>
          <w:rFonts w:ascii="Calibri" w:hAnsi="Calibri" w:cs="Calibri"/>
          <w:sz w:val="22"/>
          <w:szCs w:val="22"/>
        </w:rPr>
        <w:t xml:space="preserve">). However, longer placements can involve a trade-off with diversity of </w:t>
      </w:r>
      <w:r w:rsidR="008C4519">
        <w:rPr>
          <w:rFonts w:ascii="Calibri" w:hAnsi="Calibri" w:cs="Calibri"/>
          <w:sz w:val="22"/>
          <w:szCs w:val="22"/>
        </w:rPr>
        <w:t>experience.</w:t>
      </w:r>
    </w:p>
    <w:p w14:paraId="6F14CEDC" w14:textId="032301D3" w:rsidR="00A17DF6" w:rsidRPr="006B2082" w:rsidRDefault="00F56E75" w:rsidP="006B2082">
      <w:pPr>
        <w:spacing w:after="160"/>
        <w:rPr>
          <w:rStyle w:val="eop"/>
          <w:rFonts w:ascii="Calibri" w:hAnsi="Calibri" w:cs="Calibri"/>
        </w:rPr>
      </w:pPr>
      <w:r>
        <w:rPr>
          <w:rFonts w:ascii="Calibri" w:hAnsi="Calibri" w:cs="Calibri"/>
        </w:rPr>
        <w:br w:type="page"/>
      </w:r>
    </w:p>
    <w:tbl>
      <w:tblPr>
        <w:tblStyle w:val="EDU-Basic"/>
        <w:tblW w:w="0" w:type="auto"/>
        <w:tblLook w:val="04A0" w:firstRow="1" w:lastRow="0" w:firstColumn="1" w:lastColumn="0" w:noHBand="0" w:noVBand="1"/>
      </w:tblPr>
      <w:tblGrid>
        <w:gridCol w:w="9016"/>
      </w:tblGrid>
      <w:tr w:rsidR="00CC19A4" w14:paraId="51918E7C" w14:textId="77777777" w:rsidTr="00CC1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shd w:val="clear" w:color="auto" w:fill="FEEBB9" w:themeFill="accent2" w:themeFillTint="66"/>
          </w:tcPr>
          <w:p w14:paraId="1E0A67E1" w14:textId="77777777" w:rsidR="00CC19A4" w:rsidRDefault="00CC19A4" w:rsidP="00A46C0A">
            <w:pPr>
              <w:spacing w:before="0" w:beforeAutospacing="0" w:after="0" w:afterAutospacing="0"/>
              <w:rPr>
                <w:rFonts w:cstheme="minorHAnsi"/>
                <w:b/>
              </w:rPr>
            </w:pPr>
            <w:r w:rsidRPr="00CC19A4">
              <w:rPr>
                <w:rFonts w:cstheme="minorHAnsi"/>
                <w:b/>
                <w:color w:val="auto"/>
              </w:rPr>
              <w:lastRenderedPageBreak/>
              <w:t>Case study: University of Notre Dame - Bachelor of Education, Western Australia (WA)</w:t>
            </w:r>
          </w:p>
          <w:p w14:paraId="75C2E9D5" w14:textId="4FB71743" w:rsidR="00CC19A4" w:rsidRPr="00DB0433" w:rsidRDefault="00CC19A4" w:rsidP="00D24C1F">
            <w:pPr>
              <w:spacing w:before="0" w:beforeAutospacing="0" w:after="0" w:afterAutospacing="0"/>
              <w:rPr>
                <w:rFonts w:cstheme="minorHAnsi"/>
                <w:b/>
              </w:rPr>
            </w:pPr>
            <w:r w:rsidRPr="00D24C1F">
              <w:rPr>
                <w:rFonts w:cstheme="minorHAnsi"/>
                <w:color w:val="auto"/>
              </w:rPr>
              <w:t xml:space="preserve">University of Notre Dame Australia offers substantially more than the minimum number of </w:t>
            </w:r>
            <w:r w:rsidR="00D50C37" w:rsidRPr="00D50C37">
              <w:rPr>
                <w:rFonts w:cstheme="minorHAnsi"/>
                <w:color w:val="auto"/>
              </w:rPr>
              <w:t xml:space="preserve">practical experience </w:t>
            </w:r>
            <w:r w:rsidRPr="00D24C1F">
              <w:rPr>
                <w:rFonts w:cstheme="minorHAnsi"/>
                <w:color w:val="auto"/>
              </w:rPr>
              <w:t xml:space="preserve">days. Their Bachelor of Education in WA offers a total of 160 days, doubling the minimum requirements. </w:t>
            </w:r>
            <w:r w:rsidR="00D50C37">
              <w:rPr>
                <w:rFonts w:cstheme="minorHAnsi"/>
                <w:color w:val="auto"/>
              </w:rPr>
              <w:t>P</w:t>
            </w:r>
            <w:r w:rsidR="00D50C37" w:rsidRPr="00D50C37">
              <w:rPr>
                <w:rFonts w:cstheme="minorHAnsi"/>
                <w:color w:val="auto"/>
              </w:rPr>
              <w:t xml:space="preserve">ractical experience </w:t>
            </w:r>
            <w:r w:rsidR="00B462EC" w:rsidRPr="00D24C1F">
              <w:rPr>
                <w:rFonts w:cstheme="minorHAnsi"/>
                <w:color w:val="auto"/>
              </w:rPr>
              <w:t>tend</w:t>
            </w:r>
            <w:r w:rsidR="00B462EC" w:rsidRPr="00D24C1F">
              <w:rPr>
                <w:rFonts w:cstheme="minorHAnsi"/>
              </w:rPr>
              <w:t>s</w:t>
            </w:r>
            <w:r w:rsidRPr="00D24C1F">
              <w:rPr>
                <w:rFonts w:cstheme="minorHAnsi"/>
                <w:color w:val="auto"/>
              </w:rPr>
              <w:t xml:space="preserve"> to be longer ~10 week blocks. This allows ITE students to better immerse themselves in the school community and experience the full school term cycle. Longer </w:t>
            </w:r>
            <w:r w:rsidR="00D50C37" w:rsidRPr="00D50C37">
              <w:rPr>
                <w:rFonts w:cstheme="minorHAnsi"/>
                <w:color w:val="auto"/>
              </w:rPr>
              <w:t xml:space="preserve">practical experience </w:t>
            </w:r>
            <w:r w:rsidRPr="00D24C1F">
              <w:rPr>
                <w:rFonts w:cstheme="minorHAnsi"/>
                <w:color w:val="auto"/>
              </w:rPr>
              <w:t xml:space="preserve">also </w:t>
            </w:r>
            <w:r w:rsidR="00B462EC" w:rsidRPr="00D24C1F">
              <w:rPr>
                <w:rFonts w:cstheme="minorHAnsi"/>
                <w:color w:val="auto"/>
              </w:rPr>
              <w:t>allow</w:t>
            </w:r>
            <w:r w:rsidRPr="00D24C1F">
              <w:rPr>
                <w:rFonts w:cstheme="minorHAnsi"/>
                <w:color w:val="auto"/>
              </w:rPr>
              <w:t xml:space="preserve"> for greater mentor reflection and feedback, which both enhance ITE students’ capacities and enthusiasm to continue teaching. </w:t>
            </w:r>
          </w:p>
        </w:tc>
      </w:tr>
    </w:tbl>
    <w:p w14:paraId="448731DA" w14:textId="63A183F0" w:rsidR="00B707E9" w:rsidRPr="00B74E51" w:rsidRDefault="00F53F28" w:rsidP="00A04DB7">
      <w:pPr>
        <w:pStyle w:val="Heading4"/>
        <w:spacing w:before="240" w:line="240" w:lineRule="auto"/>
        <w:rPr>
          <w:rFonts w:asciiTheme="minorHAnsi" w:hAnsiTheme="minorHAnsi" w:cstheme="minorBidi"/>
          <w:color w:val="002C3E" w:themeColor="background2"/>
          <w:lang w:eastAsia="en-AU"/>
        </w:rPr>
      </w:pPr>
      <w:r>
        <w:rPr>
          <w:rFonts w:asciiTheme="minorHAnsi" w:hAnsiTheme="minorHAnsi" w:cstheme="minorBidi"/>
          <w:color w:val="002C3E" w:themeColor="background2"/>
          <w:lang w:eastAsia="en-AU"/>
        </w:rPr>
        <w:t>3.2.</w:t>
      </w:r>
      <w:r w:rsidR="00010DD6">
        <w:rPr>
          <w:rFonts w:asciiTheme="minorHAnsi" w:hAnsiTheme="minorHAnsi" w:cstheme="minorBidi"/>
          <w:color w:val="002C3E" w:themeColor="background2"/>
          <w:lang w:eastAsia="en-AU"/>
        </w:rPr>
        <w:t>4</w:t>
      </w:r>
      <w:r>
        <w:rPr>
          <w:rFonts w:asciiTheme="minorHAnsi" w:hAnsiTheme="minorHAnsi" w:cstheme="minorBidi"/>
          <w:color w:val="002C3E" w:themeColor="background2"/>
          <w:lang w:eastAsia="en-AU"/>
        </w:rPr>
        <w:t xml:space="preserve"> </w:t>
      </w:r>
      <w:r w:rsidR="00B707E9" w:rsidRPr="534D04FA">
        <w:rPr>
          <w:rFonts w:asciiTheme="minorHAnsi" w:hAnsiTheme="minorHAnsi" w:cstheme="minorBidi"/>
          <w:color w:val="002C3E" w:themeColor="background2"/>
          <w:lang w:eastAsia="en-AU"/>
        </w:rPr>
        <w:t xml:space="preserve">Delivered in high-quality, collaborative </w:t>
      </w:r>
      <w:r w:rsidR="00E65038" w:rsidRPr="534D04FA">
        <w:rPr>
          <w:rFonts w:asciiTheme="minorHAnsi" w:hAnsiTheme="minorHAnsi" w:cstheme="minorBidi"/>
          <w:color w:val="002C3E" w:themeColor="background2"/>
          <w:lang w:eastAsia="en-AU"/>
        </w:rPr>
        <w:t>schools</w:t>
      </w:r>
      <w:r w:rsidR="00B707E9" w:rsidRPr="534D04FA">
        <w:rPr>
          <w:rFonts w:asciiTheme="minorHAnsi" w:hAnsiTheme="minorHAnsi" w:cstheme="minorBidi"/>
          <w:color w:val="002C3E" w:themeColor="background2"/>
          <w:lang w:eastAsia="en-AU"/>
        </w:rPr>
        <w:t xml:space="preserve"> with capacity for placements  </w:t>
      </w:r>
    </w:p>
    <w:p w14:paraId="729F1FDE" w14:textId="24BAFA58" w:rsidR="00CB6D0E" w:rsidRPr="00A04DB7" w:rsidRDefault="00B73FAB" w:rsidP="00A04DB7">
      <w:pPr>
        <w:pStyle w:val="paragraph"/>
        <w:spacing w:before="0" w:beforeAutospacing="0" w:after="240" w:afterAutospacing="0"/>
        <w:textAlignment w:val="baseline"/>
        <w:rPr>
          <w:rFonts w:asciiTheme="minorHAnsi" w:eastAsiaTheme="minorEastAsia" w:hAnsiTheme="minorHAnsi" w:cstheme="minorBidi"/>
          <w:sz w:val="22"/>
          <w:szCs w:val="22"/>
        </w:rPr>
      </w:pPr>
      <w:r w:rsidRPr="10479CB5">
        <w:rPr>
          <w:rStyle w:val="normaltextrun"/>
          <w:rFonts w:asciiTheme="minorHAnsi" w:eastAsiaTheme="minorEastAsia" w:hAnsiTheme="minorHAnsi" w:cstheme="minorBidi"/>
          <w:color w:val="000000" w:themeColor="text1"/>
          <w:sz w:val="22"/>
          <w:szCs w:val="22"/>
        </w:rPr>
        <w:t xml:space="preserve">Schools are more likely to deliver high-quality </w:t>
      </w:r>
      <w:r w:rsidR="00A87D53">
        <w:rPr>
          <w:rStyle w:val="normaltextrun"/>
          <w:rFonts w:asciiTheme="minorHAnsi" w:eastAsiaTheme="minorEastAsia" w:hAnsiTheme="minorHAnsi" w:cstheme="minorBidi"/>
          <w:color w:val="000000" w:themeColor="text1"/>
          <w:sz w:val="22"/>
          <w:szCs w:val="22"/>
        </w:rPr>
        <w:t xml:space="preserve">practical </w:t>
      </w:r>
      <w:r w:rsidRPr="10479CB5">
        <w:rPr>
          <w:rStyle w:val="normaltextrun"/>
          <w:rFonts w:asciiTheme="minorHAnsi" w:eastAsiaTheme="minorEastAsia" w:hAnsiTheme="minorHAnsi" w:cstheme="minorBidi"/>
          <w:color w:val="000000" w:themeColor="text1"/>
          <w:sz w:val="22"/>
          <w:szCs w:val="22"/>
        </w:rPr>
        <w:t>experience</w:t>
      </w:r>
      <w:r w:rsidR="00A87D53">
        <w:rPr>
          <w:rStyle w:val="normaltextrun"/>
          <w:rFonts w:asciiTheme="minorHAnsi" w:eastAsiaTheme="minorEastAsia" w:hAnsiTheme="minorHAnsi" w:cstheme="minorBidi"/>
          <w:color w:val="000000" w:themeColor="text1"/>
          <w:sz w:val="22"/>
          <w:szCs w:val="22"/>
        </w:rPr>
        <w:t xml:space="preserve"> </w:t>
      </w:r>
      <w:r w:rsidRPr="10479CB5">
        <w:rPr>
          <w:rStyle w:val="normaltextrun"/>
          <w:rFonts w:asciiTheme="minorHAnsi" w:eastAsiaTheme="minorEastAsia" w:hAnsiTheme="minorHAnsi" w:cstheme="minorBidi"/>
          <w:color w:val="000000" w:themeColor="text1"/>
          <w:sz w:val="22"/>
          <w:szCs w:val="22"/>
        </w:rPr>
        <w:t>and adequate student learning opportunities for ITE students if they have enough capacity</w:t>
      </w:r>
      <w:r>
        <w:rPr>
          <w:rStyle w:val="normaltextrun"/>
          <w:rFonts w:asciiTheme="minorHAnsi" w:eastAsiaTheme="minorEastAsia" w:hAnsiTheme="minorHAnsi" w:cstheme="minorBidi"/>
          <w:color w:val="000000" w:themeColor="text1"/>
          <w:sz w:val="22"/>
          <w:szCs w:val="22"/>
        </w:rPr>
        <w:t xml:space="preserve"> to manage logistics of placements</w:t>
      </w:r>
      <w:r w:rsidR="00E65038">
        <w:rPr>
          <w:rStyle w:val="normaltextrun"/>
          <w:rFonts w:asciiTheme="minorHAnsi" w:eastAsiaTheme="minorEastAsia" w:hAnsiTheme="minorHAnsi" w:cstheme="minorBidi"/>
          <w:color w:val="000000" w:themeColor="text1"/>
          <w:sz w:val="22"/>
          <w:szCs w:val="22"/>
        </w:rPr>
        <w:t xml:space="preserve">, </w:t>
      </w:r>
      <w:r>
        <w:rPr>
          <w:rStyle w:val="normaltextrun"/>
          <w:rFonts w:asciiTheme="minorHAnsi" w:eastAsiaTheme="minorEastAsia" w:hAnsiTheme="minorHAnsi" w:cstheme="minorBidi"/>
          <w:color w:val="000000" w:themeColor="text1"/>
          <w:sz w:val="22"/>
          <w:szCs w:val="22"/>
        </w:rPr>
        <w:t xml:space="preserve">teachers </w:t>
      </w:r>
      <w:r w:rsidR="00952F7E">
        <w:rPr>
          <w:rStyle w:val="normaltextrun"/>
          <w:rFonts w:asciiTheme="minorHAnsi" w:eastAsiaTheme="minorEastAsia" w:hAnsiTheme="minorHAnsi" w:cstheme="minorBidi"/>
          <w:color w:val="000000" w:themeColor="text1"/>
          <w:sz w:val="22"/>
          <w:szCs w:val="22"/>
        </w:rPr>
        <w:t>have</w:t>
      </w:r>
      <w:r>
        <w:rPr>
          <w:rStyle w:val="normaltextrun"/>
          <w:rFonts w:asciiTheme="minorHAnsi" w:eastAsiaTheme="minorEastAsia" w:hAnsiTheme="minorHAnsi" w:cstheme="minorBidi"/>
          <w:color w:val="000000" w:themeColor="text1"/>
          <w:sz w:val="22"/>
          <w:szCs w:val="22"/>
        </w:rPr>
        <w:t xml:space="preserve"> </w:t>
      </w:r>
      <w:r w:rsidRPr="10479CB5">
        <w:rPr>
          <w:rStyle w:val="normaltextrun"/>
          <w:rFonts w:asciiTheme="minorHAnsi" w:eastAsiaTheme="minorEastAsia" w:hAnsiTheme="minorHAnsi" w:cstheme="minorBidi"/>
          <w:color w:val="000000" w:themeColor="text1"/>
          <w:sz w:val="22"/>
          <w:szCs w:val="22"/>
        </w:rPr>
        <w:t>allotted time to mentor ITE students</w:t>
      </w:r>
      <w:r w:rsidR="00E65038">
        <w:rPr>
          <w:rStyle w:val="normaltextrun"/>
          <w:rFonts w:asciiTheme="minorHAnsi" w:eastAsiaTheme="minorEastAsia" w:hAnsiTheme="minorHAnsi" w:cstheme="minorBidi"/>
          <w:color w:val="000000" w:themeColor="text1"/>
          <w:sz w:val="22"/>
          <w:szCs w:val="22"/>
        </w:rPr>
        <w:t xml:space="preserve"> and have the expertise to develop practice</w:t>
      </w:r>
      <w:r w:rsidRPr="59D8C368">
        <w:rPr>
          <w:rStyle w:val="normaltextrun"/>
          <w:rFonts w:asciiTheme="minorHAnsi" w:eastAsiaTheme="minorEastAsia" w:hAnsiTheme="minorHAnsi" w:cstheme="minorBidi"/>
          <w:color w:val="000000" w:themeColor="text1"/>
          <w:sz w:val="22"/>
          <w:szCs w:val="22"/>
        </w:rPr>
        <w:t xml:space="preserve"> </w:t>
      </w:r>
      <w:r w:rsidRPr="3686AD61">
        <w:rPr>
          <w:rStyle w:val="normaltextrun"/>
          <w:rFonts w:asciiTheme="minorHAnsi" w:eastAsiaTheme="minorEastAsia" w:hAnsiTheme="minorHAnsi" w:cstheme="minorBidi"/>
          <w:color w:val="000000" w:themeColor="text1"/>
          <w:sz w:val="22"/>
          <w:szCs w:val="22"/>
        </w:rPr>
        <w:t xml:space="preserve">(TEMAG </w:t>
      </w:r>
      <w:r w:rsidRPr="654744A1">
        <w:rPr>
          <w:rStyle w:val="normaltextrun"/>
          <w:rFonts w:asciiTheme="minorHAnsi" w:eastAsiaTheme="minorEastAsia" w:hAnsiTheme="minorHAnsi" w:cstheme="minorBidi"/>
          <w:color w:val="000000" w:themeColor="text1"/>
          <w:sz w:val="22"/>
          <w:szCs w:val="22"/>
        </w:rPr>
        <w:t>2014</w:t>
      </w:r>
      <w:r w:rsidRPr="18EBF15F">
        <w:rPr>
          <w:rStyle w:val="normaltextrun"/>
          <w:rFonts w:asciiTheme="minorHAnsi" w:eastAsiaTheme="minorEastAsia" w:hAnsiTheme="minorHAnsi" w:cstheme="minorBidi"/>
          <w:color w:val="000000" w:themeColor="text1"/>
          <w:sz w:val="22"/>
          <w:szCs w:val="22"/>
        </w:rPr>
        <w:t xml:space="preserve">; </w:t>
      </w:r>
      <w:proofErr w:type="spellStart"/>
      <w:r w:rsidRPr="56521322">
        <w:rPr>
          <w:rStyle w:val="normaltextrun"/>
          <w:rFonts w:asciiTheme="minorHAnsi" w:eastAsiaTheme="minorEastAsia" w:hAnsiTheme="minorHAnsi" w:cstheme="minorBidi"/>
          <w:color w:val="000000" w:themeColor="text1"/>
          <w:sz w:val="22"/>
          <w:szCs w:val="22"/>
        </w:rPr>
        <w:t>Ronfeldt</w:t>
      </w:r>
      <w:proofErr w:type="spellEnd"/>
      <w:r w:rsidRPr="56521322">
        <w:rPr>
          <w:rStyle w:val="normaltextrun"/>
          <w:rFonts w:asciiTheme="minorHAnsi" w:eastAsiaTheme="minorEastAsia" w:hAnsiTheme="minorHAnsi" w:cstheme="minorBidi"/>
          <w:color w:val="000000" w:themeColor="text1"/>
          <w:sz w:val="22"/>
          <w:szCs w:val="22"/>
        </w:rPr>
        <w:t xml:space="preserve"> </w:t>
      </w:r>
      <w:r w:rsidRPr="0C76DDCA">
        <w:rPr>
          <w:rStyle w:val="normaltextrun"/>
          <w:rFonts w:asciiTheme="minorHAnsi" w:eastAsiaTheme="minorEastAsia" w:hAnsiTheme="minorHAnsi" w:cstheme="minorBidi"/>
          <w:color w:val="000000" w:themeColor="text1"/>
          <w:sz w:val="22"/>
          <w:szCs w:val="22"/>
        </w:rPr>
        <w:t>2021</w:t>
      </w:r>
      <w:r w:rsidRPr="56521322">
        <w:rPr>
          <w:rStyle w:val="normaltextrun"/>
          <w:rFonts w:asciiTheme="minorHAnsi" w:eastAsiaTheme="minorEastAsia" w:hAnsiTheme="minorHAnsi" w:cstheme="minorBidi"/>
          <w:color w:val="000000" w:themeColor="text1"/>
          <w:sz w:val="22"/>
          <w:szCs w:val="22"/>
        </w:rPr>
        <w:t>).</w:t>
      </w:r>
      <w:r w:rsidRPr="10479CB5">
        <w:rPr>
          <w:rStyle w:val="normaltextrun"/>
          <w:rFonts w:asciiTheme="minorHAnsi" w:eastAsiaTheme="minorEastAsia" w:hAnsiTheme="minorHAnsi" w:cstheme="minorBidi"/>
          <w:color w:val="000000" w:themeColor="text1"/>
          <w:sz w:val="22"/>
          <w:szCs w:val="22"/>
        </w:rPr>
        <w:t xml:space="preserve"> </w:t>
      </w:r>
      <w:r>
        <w:rPr>
          <w:rStyle w:val="normaltextrun"/>
          <w:rFonts w:asciiTheme="minorHAnsi" w:eastAsiaTheme="minorEastAsia" w:hAnsiTheme="minorHAnsi" w:cstheme="minorBidi"/>
          <w:color w:val="000000" w:themeColor="text1"/>
          <w:sz w:val="22"/>
          <w:szCs w:val="22"/>
        </w:rPr>
        <w:t xml:space="preserve">Many jurisdictions </w:t>
      </w:r>
      <w:r w:rsidR="00E65038">
        <w:rPr>
          <w:rStyle w:val="normaltextrun"/>
          <w:rFonts w:asciiTheme="minorHAnsi" w:eastAsiaTheme="minorEastAsia" w:hAnsiTheme="minorHAnsi" w:cstheme="minorBidi"/>
          <w:color w:val="000000" w:themeColor="text1"/>
          <w:sz w:val="22"/>
          <w:szCs w:val="22"/>
        </w:rPr>
        <w:t xml:space="preserve">and </w:t>
      </w:r>
      <w:r w:rsidR="007C19A1">
        <w:rPr>
          <w:rStyle w:val="normaltextrun"/>
          <w:rFonts w:asciiTheme="minorHAnsi" w:eastAsiaTheme="minorEastAsia" w:hAnsiTheme="minorHAnsi" w:cstheme="minorBidi"/>
          <w:color w:val="000000" w:themeColor="text1"/>
          <w:sz w:val="22"/>
          <w:szCs w:val="22"/>
        </w:rPr>
        <w:t>higher education</w:t>
      </w:r>
      <w:r w:rsidR="00E65038">
        <w:rPr>
          <w:rStyle w:val="normaltextrun"/>
          <w:rFonts w:asciiTheme="minorHAnsi" w:eastAsiaTheme="minorEastAsia" w:hAnsiTheme="minorHAnsi" w:cstheme="minorBidi"/>
          <w:color w:val="000000" w:themeColor="text1"/>
          <w:sz w:val="22"/>
          <w:szCs w:val="22"/>
        </w:rPr>
        <w:t xml:space="preserve"> providers </w:t>
      </w:r>
      <w:r>
        <w:rPr>
          <w:rStyle w:val="normaltextrun"/>
          <w:rFonts w:asciiTheme="minorHAnsi" w:eastAsiaTheme="minorEastAsia" w:hAnsiTheme="minorHAnsi" w:cstheme="minorBidi"/>
          <w:color w:val="000000" w:themeColor="text1"/>
          <w:sz w:val="22"/>
          <w:szCs w:val="22"/>
        </w:rPr>
        <w:t>have a delivery model which seeks to ensure placements are in high</w:t>
      </w:r>
      <w:r w:rsidR="009777C6">
        <w:rPr>
          <w:rStyle w:val="normaltextrun"/>
          <w:rFonts w:asciiTheme="minorHAnsi" w:eastAsiaTheme="minorEastAsia" w:hAnsiTheme="minorHAnsi" w:cstheme="minorBidi"/>
          <w:color w:val="000000" w:themeColor="text1"/>
          <w:sz w:val="22"/>
          <w:szCs w:val="22"/>
        </w:rPr>
        <w:t>-</w:t>
      </w:r>
      <w:r>
        <w:rPr>
          <w:rStyle w:val="normaltextrun"/>
          <w:rFonts w:asciiTheme="minorHAnsi" w:eastAsiaTheme="minorEastAsia" w:hAnsiTheme="minorHAnsi" w:cstheme="minorBidi"/>
          <w:color w:val="000000" w:themeColor="text1"/>
          <w:sz w:val="22"/>
          <w:szCs w:val="22"/>
        </w:rPr>
        <w:t>quality teaching environments</w:t>
      </w:r>
      <w:r w:rsidR="00E65038">
        <w:rPr>
          <w:rStyle w:val="normaltextrun"/>
          <w:rFonts w:asciiTheme="minorHAnsi" w:eastAsiaTheme="minorEastAsia" w:hAnsiTheme="minorHAnsi" w:cstheme="minorBidi"/>
          <w:color w:val="000000" w:themeColor="text1"/>
          <w:sz w:val="22"/>
          <w:szCs w:val="22"/>
        </w:rPr>
        <w:t>, such as the ACT Affiliated School Program and the NSW Hub School Program</w:t>
      </w:r>
      <w:r w:rsidR="365A5637" w:rsidRPr="0E07D930">
        <w:rPr>
          <w:rStyle w:val="normaltextrun"/>
          <w:rFonts w:asciiTheme="minorHAnsi" w:eastAsiaTheme="minorEastAsia" w:hAnsiTheme="minorHAnsi" w:cstheme="minorBidi"/>
          <w:color w:val="000000" w:themeColor="text1"/>
          <w:sz w:val="22"/>
          <w:szCs w:val="22"/>
        </w:rPr>
        <w:t>.</w:t>
      </w:r>
      <w:r>
        <w:rPr>
          <w:rStyle w:val="normaltextrun"/>
          <w:rFonts w:asciiTheme="minorHAnsi" w:eastAsiaTheme="minorEastAsia" w:hAnsiTheme="minorHAnsi" w:cstheme="minorBidi"/>
          <w:color w:val="000000" w:themeColor="text1"/>
          <w:sz w:val="22"/>
          <w:szCs w:val="22"/>
        </w:rPr>
        <w:t xml:space="preserve"> </w:t>
      </w:r>
      <w:bookmarkStart w:id="87" w:name="_Hlk127541652"/>
      <w:r w:rsidR="000F189E">
        <w:rPr>
          <w:rStyle w:val="normaltextrun"/>
          <w:rFonts w:asciiTheme="minorHAnsi" w:eastAsiaTheme="minorEastAsia" w:hAnsiTheme="minorHAnsi" w:cstheme="minorBidi"/>
          <w:color w:val="000000" w:themeColor="text1"/>
          <w:sz w:val="22"/>
          <w:szCs w:val="22"/>
        </w:rPr>
        <w:t xml:space="preserve">It is noted that </w:t>
      </w:r>
      <w:r w:rsidR="47CA0463" w:rsidRPr="248CBFA0">
        <w:rPr>
          <w:rStyle w:val="normaltextrun"/>
          <w:rFonts w:asciiTheme="minorHAnsi" w:eastAsiaTheme="minorEastAsia" w:hAnsiTheme="minorHAnsi" w:cstheme="minorBidi"/>
          <w:color w:val="000000" w:themeColor="text1"/>
          <w:sz w:val="22"/>
          <w:szCs w:val="22"/>
        </w:rPr>
        <w:t>placements</w:t>
      </w:r>
      <w:r w:rsidR="000F189E">
        <w:rPr>
          <w:rStyle w:val="normaltextrun"/>
          <w:rFonts w:asciiTheme="minorHAnsi" w:eastAsiaTheme="minorEastAsia" w:hAnsiTheme="minorHAnsi" w:cstheme="minorBidi"/>
          <w:color w:val="000000" w:themeColor="text1"/>
          <w:sz w:val="22"/>
          <w:szCs w:val="22"/>
        </w:rPr>
        <w:t xml:space="preserve"> in high-quality, collaborative schools can involve a trade-off with diversity of experience.</w:t>
      </w:r>
    </w:p>
    <w:tbl>
      <w:tblPr>
        <w:tblW w:w="9120" w:type="dxa"/>
        <w:tblInd w:w="-180" w:type="dxa"/>
        <w:shd w:val="clear" w:color="auto" w:fill="FEEBB9" w:themeFill="accent2" w:themeFillTint="66"/>
        <w:tblCellMar>
          <w:left w:w="0" w:type="dxa"/>
          <w:right w:w="0" w:type="dxa"/>
        </w:tblCellMar>
        <w:tblLook w:val="04A0" w:firstRow="1" w:lastRow="0" w:firstColumn="1" w:lastColumn="0" w:noHBand="0" w:noVBand="1"/>
      </w:tblPr>
      <w:tblGrid>
        <w:gridCol w:w="9120"/>
      </w:tblGrid>
      <w:tr w:rsidR="00CB6D0E" w:rsidRPr="00B707E9" w14:paraId="725C8E26" w14:textId="77777777" w:rsidTr="007E59A4">
        <w:trPr>
          <w:trHeight w:val="1305"/>
        </w:trPr>
        <w:tc>
          <w:tcPr>
            <w:tcW w:w="9120" w:type="dxa"/>
            <w:shd w:val="clear" w:color="auto" w:fill="FEEBB9" w:themeFill="accent2" w:themeFillTint="66"/>
          </w:tcPr>
          <w:p w14:paraId="22055F7E" w14:textId="630AA5A6" w:rsidR="00CB6D0E" w:rsidRPr="008151AF" w:rsidRDefault="00CB6D0E" w:rsidP="00DB0433">
            <w:pPr>
              <w:spacing w:after="0" w:line="240" w:lineRule="auto"/>
              <w:rPr>
                <w:rFonts w:ascii="Calibri" w:hAnsi="Calibri" w:cs="Calibri"/>
                <w:b/>
                <w:bCs/>
                <w:u w:val="single"/>
              </w:rPr>
            </w:pPr>
            <w:bookmarkStart w:id="88" w:name="_Hlk127541635"/>
            <w:bookmarkStart w:id="89" w:name="_Hlk127541967"/>
            <w:r w:rsidRPr="00CB6D0E">
              <w:rPr>
                <w:rFonts w:cstheme="minorHAnsi"/>
                <w:b/>
                <w:bCs/>
              </w:rPr>
              <w:t>Case study: ACT Affiliated Schools Program</w:t>
            </w:r>
            <w:r w:rsidR="00C664F0">
              <w:rPr>
                <w:rFonts w:cstheme="minorHAnsi"/>
                <w:b/>
                <w:bCs/>
              </w:rPr>
              <w:t>, Australian Capital Territory</w:t>
            </w:r>
            <w:r>
              <w:rPr>
                <w:rFonts w:cstheme="minorHAnsi"/>
                <w:b/>
                <w:bCs/>
                <w:i/>
                <w:iCs/>
                <w:u w:val="single"/>
              </w:rPr>
              <w:br/>
            </w:r>
            <w:r w:rsidRPr="008151AF">
              <w:rPr>
                <w:rFonts w:ascii="Calibri" w:eastAsia="Arial Narrow" w:hAnsi="Calibri" w:cs="Calibri"/>
              </w:rPr>
              <w:t>The ACT Affiliated Schools Program is a collaborative partnership between the University of Canberra, 26 selected ACT public schools and the ACT Government. It is built on a research-based, shared vision for innovation focusing on developing quality ITE education</w:t>
            </w:r>
            <w:r w:rsidRPr="008151AF">
              <w:rPr>
                <w:rFonts w:ascii="Calibri" w:eastAsia="Arial Narrow" w:hAnsi="Calibri" w:cs="Calibri"/>
                <w:lang w:val="en-US"/>
              </w:rPr>
              <w:t>. The program is a reciprocal model between providers and schools and incorporates:</w:t>
            </w:r>
          </w:p>
          <w:p w14:paraId="432D3430" w14:textId="3E044925" w:rsidR="00CB6D0E" w:rsidRPr="008151AF" w:rsidRDefault="00CB6D0E" w:rsidP="00DB0433">
            <w:pPr>
              <w:pStyle w:val="ListParagraph"/>
              <w:numPr>
                <w:ilvl w:val="0"/>
                <w:numId w:val="13"/>
              </w:numPr>
              <w:rPr>
                <w:rFonts w:ascii="Calibri" w:eastAsia="Arial Narrow" w:hAnsi="Calibri" w:cs="Calibri"/>
                <w:sz w:val="22"/>
                <w:szCs w:val="22"/>
                <w:lang w:val="en-US"/>
              </w:rPr>
            </w:pPr>
            <w:r w:rsidRPr="008151AF">
              <w:rPr>
                <w:rFonts w:ascii="Calibri" w:eastAsia="Arial Narrow" w:hAnsi="Calibri" w:cs="Calibri"/>
                <w:sz w:val="22"/>
                <w:szCs w:val="22"/>
                <w:lang w:val="en-US"/>
              </w:rPr>
              <w:t>school based ITE student education clinics</w:t>
            </w:r>
          </w:p>
          <w:p w14:paraId="3837F4B6" w14:textId="4576E82F" w:rsidR="00CB6D0E" w:rsidRPr="008151AF" w:rsidRDefault="00FD4483" w:rsidP="00DB0433">
            <w:pPr>
              <w:pStyle w:val="ListParagraph"/>
              <w:numPr>
                <w:ilvl w:val="0"/>
                <w:numId w:val="13"/>
              </w:numPr>
              <w:rPr>
                <w:rFonts w:ascii="Calibri" w:eastAsia="Arial Narrow" w:hAnsi="Calibri" w:cs="Calibri"/>
                <w:sz w:val="22"/>
                <w:szCs w:val="22"/>
                <w:lang w:val="en-US"/>
              </w:rPr>
            </w:pPr>
            <w:r>
              <w:rPr>
                <w:rFonts w:ascii="Calibri" w:eastAsia="Arial Narrow" w:hAnsi="Calibri" w:cs="Calibri"/>
                <w:sz w:val="22"/>
                <w:szCs w:val="22"/>
                <w:lang w:val="en-US"/>
              </w:rPr>
              <w:t>i</w:t>
            </w:r>
            <w:r w:rsidR="00CB6D0E" w:rsidRPr="008151AF">
              <w:rPr>
                <w:rFonts w:ascii="Calibri" w:eastAsia="Arial Narrow" w:hAnsi="Calibri" w:cs="Calibri"/>
                <w:sz w:val="22"/>
                <w:szCs w:val="22"/>
                <w:lang w:val="en-US"/>
              </w:rPr>
              <w:t>nclud</w:t>
            </w:r>
            <w:r w:rsidR="004E2765">
              <w:rPr>
                <w:rFonts w:ascii="Calibri" w:eastAsia="Arial Narrow" w:hAnsi="Calibri" w:cs="Calibri"/>
                <w:sz w:val="22"/>
                <w:szCs w:val="22"/>
                <w:lang w:val="en-US"/>
              </w:rPr>
              <w:t>es</w:t>
            </w:r>
            <w:r w:rsidR="00CB6D0E" w:rsidRPr="008151AF">
              <w:rPr>
                <w:rFonts w:ascii="Calibri" w:eastAsia="Arial Narrow" w:hAnsi="Calibri" w:cs="Calibri"/>
                <w:sz w:val="22"/>
                <w:szCs w:val="22"/>
                <w:lang w:val="en-US"/>
              </w:rPr>
              <w:t xml:space="preserve"> academics and teachers working together to provide </w:t>
            </w:r>
            <w:r w:rsidR="00F411D3">
              <w:rPr>
                <w:rFonts w:ascii="Calibri" w:eastAsia="Arial Narrow" w:hAnsi="Calibri" w:cs="Calibri"/>
                <w:sz w:val="22"/>
                <w:szCs w:val="22"/>
                <w:lang w:val="en-US"/>
              </w:rPr>
              <w:t>high quality</w:t>
            </w:r>
            <w:r w:rsidR="00CB6D0E" w:rsidRPr="008151AF">
              <w:rPr>
                <w:rFonts w:ascii="Calibri" w:eastAsia="Arial Narrow" w:hAnsi="Calibri" w:cs="Calibri"/>
                <w:sz w:val="22"/>
                <w:szCs w:val="22"/>
                <w:lang w:val="en-US"/>
              </w:rPr>
              <w:t xml:space="preserve"> </w:t>
            </w:r>
            <w:r w:rsidR="00F411D3">
              <w:rPr>
                <w:rFonts w:ascii="Calibri" w:eastAsia="Arial Narrow" w:hAnsi="Calibri" w:cs="Calibri"/>
                <w:sz w:val="22"/>
                <w:szCs w:val="22"/>
                <w:lang w:val="en-US"/>
              </w:rPr>
              <w:t>practical experiences</w:t>
            </w:r>
          </w:p>
          <w:p w14:paraId="55B3AF0D" w14:textId="7DB62172" w:rsidR="00CB6D0E" w:rsidRPr="008151AF" w:rsidRDefault="00CB6D0E" w:rsidP="00DB0433">
            <w:pPr>
              <w:pStyle w:val="ListParagraph"/>
              <w:numPr>
                <w:ilvl w:val="0"/>
                <w:numId w:val="13"/>
              </w:numPr>
              <w:rPr>
                <w:rFonts w:ascii="Calibri" w:eastAsia="Arial Narrow" w:hAnsi="Calibri" w:cs="Calibri"/>
                <w:sz w:val="22"/>
                <w:szCs w:val="22"/>
                <w:lang w:val="en-US"/>
              </w:rPr>
            </w:pPr>
            <w:r w:rsidRPr="008151AF">
              <w:rPr>
                <w:rFonts w:ascii="Calibri" w:eastAsia="Arial Narrow" w:hAnsi="Calibri" w:cs="Calibri"/>
                <w:sz w:val="22"/>
                <w:szCs w:val="22"/>
                <w:lang w:val="en-US"/>
              </w:rPr>
              <w:t>university-facilitated professional learning for teachers</w:t>
            </w:r>
          </w:p>
          <w:p w14:paraId="694F63C1" w14:textId="4F2E1277" w:rsidR="00CB6D0E" w:rsidRPr="008151AF" w:rsidRDefault="00CB6D0E" w:rsidP="00DB0433">
            <w:pPr>
              <w:pStyle w:val="ListParagraph"/>
              <w:numPr>
                <w:ilvl w:val="0"/>
                <w:numId w:val="13"/>
              </w:numPr>
              <w:rPr>
                <w:rFonts w:ascii="Calibri" w:eastAsia="Arial Narrow" w:hAnsi="Calibri" w:cs="Calibri"/>
                <w:sz w:val="22"/>
                <w:szCs w:val="22"/>
                <w:lang w:val="en-US"/>
              </w:rPr>
            </w:pPr>
            <w:r w:rsidRPr="008151AF">
              <w:rPr>
                <w:rFonts w:ascii="Calibri" w:eastAsia="Arial Narrow" w:hAnsi="Calibri" w:cs="Calibri"/>
                <w:sz w:val="22"/>
                <w:szCs w:val="22"/>
                <w:lang w:val="en-US"/>
              </w:rPr>
              <w:t>research driven school and system improvement</w:t>
            </w:r>
          </w:p>
          <w:p w14:paraId="25B2E1BE" w14:textId="2217DD05" w:rsidR="00CB6D0E" w:rsidRPr="008151AF" w:rsidRDefault="00CB6D0E" w:rsidP="00DB0433">
            <w:pPr>
              <w:pStyle w:val="ListParagraph"/>
              <w:numPr>
                <w:ilvl w:val="0"/>
                <w:numId w:val="13"/>
              </w:numPr>
              <w:rPr>
                <w:rFonts w:ascii="Calibri" w:eastAsia="Arial Narrow" w:hAnsi="Calibri" w:cs="Calibri"/>
                <w:sz w:val="22"/>
                <w:szCs w:val="22"/>
                <w:lang w:val="en-US"/>
              </w:rPr>
            </w:pPr>
            <w:r w:rsidRPr="008151AF">
              <w:rPr>
                <w:rFonts w:ascii="Calibri" w:eastAsia="Arial Narrow" w:hAnsi="Calibri" w:cs="Calibri"/>
                <w:sz w:val="22"/>
                <w:szCs w:val="22"/>
                <w:lang w:val="en-US"/>
              </w:rPr>
              <w:t>school-based research projects to meet school and system needs</w:t>
            </w:r>
            <w:r w:rsidR="00B462EC">
              <w:rPr>
                <w:rFonts w:ascii="Calibri" w:eastAsia="Arial Narrow" w:hAnsi="Calibri" w:cs="Calibri"/>
                <w:sz w:val="22"/>
                <w:szCs w:val="22"/>
                <w:lang w:val="en-US"/>
              </w:rPr>
              <w:t>,</w:t>
            </w:r>
            <w:r w:rsidRPr="008151AF">
              <w:rPr>
                <w:rFonts w:ascii="Calibri" w:eastAsia="Arial Narrow" w:hAnsi="Calibri" w:cs="Calibri"/>
                <w:sz w:val="22"/>
                <w:szCs w:val="22"/>
                <w:lang w:val="en-US"/>
              </w:rPr>
              <w:t xml:space="preserve"> and</w:t>
            </w:r>
          </w:p>
          <w:p w14:paraId="5A8B0ED0" w14:textId="73BDEA2B" w:rsidR="00CB6D0E" w:rsidRPr="008151AF" w:rsidRDefault="00CB6D0E" w:rsidP="00DB0433">
            <w:pPr>
              <w:pStyle w:val="ListParagraph"/>
              <w:numPr>
                <w:ilvl w:val="0"/>
                <w:numId w:val="13"/>
              </w:numPr>
              <w:spacing w:after="120"/>
              <w:ind w:left="714" w:hanging="357"/>
              <w:rPr>
                <w:rFonts w:ascii="Calibri" w:eastAsia="Arial Narrow" w:hAnsi="Calibri" w:cs="Calibri"/>
                <w:sz w:val="22"/>
                <w:szCs w:val="22"/>
                <w:lang w:val="en-US"/>
              </w:rPr>
            </w:pPr>
            <w:r w:rsidRPr="008151AF">
              <w:rPr>
                <w:rFonts w:ascii="Calibri" w:eastAsia="Arial Narrow" w:hAnsi="Calibri" w:cs="Calibri"/>
                <w:sz w:val="22"/>
                <w:szCs w:val="22"/>
                <w:lang w:val="en-US"/>
              </w:rPr>
              <w:t>teacher and leader scholarships.</w:t>
            </w:r>
          </w:p>
          <w:p w14:paraId="5D968441" w14:textId="7E29C60B" w:rsidR="00CB6D0E" w:rsidRPr="00CB6D0E" w:rsidRDefault="00CB6D0E" w:rsidP="00DB0433">
            <w:pPr>
              <w:spacing w:line="240" w:lineRule="auto"/>
              <w:rPr>
                <w:b/>
                <w:i/>
                <w:u w:val="single"/>
              </w:rPr>
            </w:pPr>
            <w:r w:rsidRPr="008151AF">
              <w:rPr>
                <w:rFonts w:ascii="Calibri" w:eastAsia="Arial Narrow" w:hAnsi="Calibri" w:cs="Calibri"/>
                <w:lang w:val="en-US"/>
              </w:rPr>
              <w:t xml:space="preserve">This program was designed and developed using the Mutual Affiliation for Sustained Transformation (MAST) model. The MAST model seeks to use lessons learned through studies such as school-university partnerships and work-integrated learning. </w:t>
            </w:r>
            <w:bookmarkEnd w:id="88"/>
          </w:p>
        </w:tc>
      </w:tr>
    </w:tbl>
    <w:p w14:paraId="7AB05B19" w14:textId="71E8E899" w:rsidR="008F589E" w:rsidRPr="00B74E51" w:rsidRDefault="008F589E" w:rsidP="008F589E">
      <w:pPr>
        <w:pStyle w:val="Heading4"/>
        <w:spacing w:before="480" w:line="240" w:lineRule="auto"/>
        <w:rPr>
          <w:rFonts w:asciiTheme="minorHAnsi" w:hAnsiTheme="minorHAnsi" w:cstheme="minorBidi"/>
          <w:color w:val="002C3E" w:themeColor="background2"/>
          <w:lang w:eastAsia="en-AU"/>
        </w:rPr>
      </w:pPr>
      <w:bookmarkStart w:id="90" w:name="_Toc127978388"/>
      <w:bookmarkStart w:id="91" w:name="_Toc128649096"/>
      <w:bookmarkEnd w:id="87"/>
      <w:bookmarkEnd w:id="89"/>
      <w:r>
        <w:rPr>
          <w:rFonts w:asciiTheme="minorHAnsi" w:hAnsiTheme="minorHAnsi" w:cstheme="minorBidi"/>
          <w:color w:val="002C3E" w:themeColor="background2"/>
          <w:lang w:eastAsia="en-AU"/>
        </w:rPr>
        <w:t>3.2.</w:t>
      </w:r>
      <w:r w:rsidR="00010DD6">
        <w:rPr>
          <w:rFonts w:asciiTheme="minorHAnsi" w:hAnsiTheme="minorHAnsi" w:cstheme="minorBidi"/>
          <w:color w:val="002C3E" w:themeColor="background2"/>
          <w:lang w:eastAsia="en-AU"/>
        </w:rPr>
        <w:t>5</w:t>
      </w:r>
      <w:r>
        <w:rPr>
          <w:rFonts w:asciiTheme="minorHAnsi" w:hAnsiTheme="minorHAnsi" w:cstheme="minorBidi"/>
          <w:color w:val="002C3E" w:themeColor="background2"/>
          <w:lang w:eastAsia="en-AU"/>
        </w:rPr>
        <w:t xml:space="preserve"> </w:t>
      </w:r>
      <w:r w:rsidRPr="534D04FA">
        <w:rPr>
          <w:rFonts w:asciiTheme="minorHAnsi" w:hAnsiTheme="minorHAnsi" w:cstheme="minorBidi"/>
          <w:color w:val="002C3E" w:themeColor="background2"/>
          <w:lang w:eastAsia="en-AU"/>
        </w:rPr>
        <w:t>Overseen by capable teacher mentors  </w:t>
      </w:r>
    </w:p>
    <w:p w14:paraId="5AA3CC8F" w14:textId="19067E16" w:rsidR="008F589E" w:rsidRPr="00A04DB7" w:rsidRDefault="008F589E" w:rsidP="00632936">
      <w:pPr>
        <w:pStyle w:val="paragraph"/>
        <w:spacing w:before="0" w:beforeAutospacing="0" w:after="120" w:afterAutospacing="0"/>
        <w:textAlignment w:val="baseline"/>
        <w:rPr>
          <w:rFonts w:ascii="Calibri" w:eastAsiaTheme="minorEastAsia" w:hAnsi="Calibri" w:cs="Calibri"/>
          <w:sz w:val="22"/>
          <w:szCs w:val="22"/>
        </w:rPr>
      </w:pPr>
      <w:r w:rsidRPr="00614C0D">
        <w:rPr>
          <w:rStyle w:val="normaltextrun"/>
          <w:rFonts w:ascii="Calibri" w:eastAsiaTheme="minorEastAsia" w:hAnsi="Calibri" w:cs="Calibri"/>
          <w:color w:val="000000" w:themeColor="text1"/>
          <w:sz w:val="22"/>
          <w:szCs w:val="22"/>
        </w:rPr>
        <w:t>Skilled teacher mentors are crucial to ensuring high-quality experiences for ITE students (</w:t>
      </w:r>
      <w:r w:rsidR="005D6666">
        <w:rPr>
          <w:rStyle w:val="normaltextrun"/>
          <w:rFonts w:ascii="Calibri" w:eastAsiaTheme="minorEastAsia" w:hAnsi="Calibri" w:cs="Calibri"/>
          <w:color w:val="000000" w:themeColor="text1"/>
          <w:sz w:val="22"/>
          <w:szCs w:val="22"/>
        </w:rPr>
        <w:t>QITE Review</w:t>
      </w:r>
      <w:r w:rsidRPr="00614C0D">
        <w:rPr>
          <w:rStyle w:val="normaltextrun"/>
          <w:rFonts w:ascii="Calibri" w:eastAsiaTheme="minorEastAsia" w:hAnsi="Calibri" w:cs="Calibri"/>
          <w:color w:val="000000" w:themeColor="text1"/>
          <w:sz w:val="22"/>
          <w:szCs w:val="22"/>
        </w:rPr>
        <w:t>). A capable mentor is an experienced teacher</w:t>
      </w:r>
      <w:r w:rsidR="0039681F">
        <w:rPr>
          <w:rStyle w:val="normaltextrun"/>
          <w:rFonts w:ascii="Calibri" w:eastAsiaTheme="minorEastAsia" w:hAnsi="Calibri" w:cs="Calibri"/>
          <w:color w:val="000000" w:themeColor="text1"/>
          <w:sz w:val="22"/>
          <w:szCs w:val="22"/>
        </w:rPr>
        <w:t>,</w:t>
      </w:r>
      <w:r w:rsidRPr="00614C0D">
        <w:rPr>
          <w:rStyle w:val="normaltextrun"/>
          <w:rFonts w:ascii="Calibri" w:eastAsiaTheme="minorEastAsia" w:hAnsi="Calibri" w:cs="Calibri"/>
          <w:color w:val="000000" w:themeColor="text1"/>
          <w:sz w:val="22"/>
          <w:szCs w:val="22"/>
        </w:rPr>
        <w:t xml:space="preserve"> trained in supervision and willing to invest time and thought into the role. </w:t>
      </w:r>
      <w:r w:rsidR="00D76DB1">
        <w:rPr>
          <w:rStyle w:val="normaltextrun"/>
          <w:rFonts w:ascii="Calibri" w:eastAsiaTheme="minorEastAsia" w:hAnsi="Calibri" w:cs="Calibri"/>
          <w:color w:val="000000" w:themeColor="text1"/>
          <w:sz w:val="22"/>
          <w:szCs w:val="22"/>
        </w:rPr>
        <w:t>M</w:t>
      </w:r>
      <w:r w:rsidRPr="00614C0D">
        <w:rPr>
          <w:rStyle w:val="normaltextrun"/>
          <w:rFonts w:ascii="Calibri" w:eastAsiaTheme="minorEastAsia" w:hAnsi="Calibri" w:cs="Calibri"/>
          <w:color w:val="000000" w:themeColor="text1"/>
          <w:sz w:val="22"/>
          <w:szCs w:val="22"/>
        </w:rPr>
        <w:t xml:space="preserve">entor teachers </w:t>
      </w:r>
      <w:r w:rsidRPr="00614C0D">
        <w:rPr>
          <w:rFonts w:ascii="Calibri" w:eastAsiaTheme="minorEastAsia" w:hAnsi="Calibri" w:cs="Calibri"/>
          <w:sz w:val="22"/>
          <w:szCs w:val="22"/>
        </w:rPr>
        <w:t>are able to self-critique their professional practice and to assist ITE students to self-reflect</w:t>
      </w:r>
      <w:r w:rsidR="006536A8">
        <w:rPr>
          <w:rFonts w:ascii="Calibri" w:eastAsiaTheme="minorEastAsia" w:hAnsi="Calibri" w:cs="Calibri"/>
          <w:sz w:val="22"/>
          <w:szCs w:val="22"/>
        </w:rPr>
        <w:t>. Mentor teachers</w:t>
      </w:r>
      <w:r w:rsidRPr="00614C0D">
        <w:rPr>
          <w:rFonts w:ascii="Calibri" w:eastAsiaTheme="minorEastAsia" w:hAnsi="Calibri" w:cs="Calibri"/>
          <w:sz w:val="22"/>
          <w:szCs w:val="22"/>
        </w:rPr>
        <w:t xml:space="preserve"> </w:t>
      </w:r>
      <w:r w:rsidR="00F9737D">
        <w:rPr>
          <w:rFonts w:ascii="Calibri" w:eastAsiaTheme="minorEastAsia" w:hAnsi="Calibri" w:cs="Calibri"/>
          <w:sz w:val="22"/>
          <w:szCs w:val="22"/>
        </w:rPr>
        <w:t xml:space="preserve">should </w:t>
      </w:r>
      <w:r w:rsidRPr="00614C0D">
        <w:rPr>
          <w:rFonts w:ascii="Calibri" w:eastAsiaTheme="minorEastAsia" w:hAnsi="Calibri" w:cs="Calibri"/>
          <w:sz w:val="22"/>
          <w:szCs w:val="22"/>
        </w:rPr>
        <w:t xml:space="preserve">understand the </w:t>
      </w:r>
      <w:r w:rsidR="00F9737D">
        <w:rPr>
          <w:rFonts w:ascii="Calibri" w:eastAsiaTheme="minorEastAsia" w:hAnsi="Calibri" w:cs="Calibri"/>
          <w:sz w:val="22"/>
          <w:szCs w:val="22"/>
        </w:rPr>
        <w:t xml:space="preserve">Graduate </w:t>
      </w:r>
      <w:r w:rsidRPr="53127238">
        <w:rPr>
          <w:rFonts w:ascii="Calibri" w:eastAsiaTheme="minorEastAsia" w:hAnsi="Calibri" w:cs="Calibri"/>
          <w:sz w:val="22"/>
          <w:szCs w:val="22"/>
        </w:rPr>
        <w:t xml:space="preserve">Teacher Standards </w:t>
      </w:r>
      <w:r w:rsidRPr="00614C0D">
        <w:rPr>
          <w:rFonts w:ascii="Calibri" w:eastAsiaTheme="minorEastAsia" w:hAnsi="Calibri" w:cs="Calibri"/>
          <w:sz w:val="22"/>
          <w:szCs w:val="22"/>
        </w:rPr>
        <w:t>and effectively judge ITE students’ performance against these. </w:t>
      </w:r>
    </w:p>
    <w:p w14:paraId="2937D652" w14:textId="5E25D09E" w:rsidR="00632936" w:rsidRPr="00A04DB7" w:rsidRDefault="00632936" w:rsidP="008F589E">
      <w:pPr>
        <w:pStyle w:val="paragraph"/>
        <w:spacing w:before="0" w:beforeAutospacing="0" w:after="240" w:afterAutospacing="0"/>
        <w:textAlignment w:val="baseline"/>
        <w:rPr>
          <w:rFonts w:ascii="Calibri" w:eastAsiaTheme="minorEastAsia" w:hAnsi="Calibri" w:cs="Calibri"/>
          <w:sz w:val="22"/>
          <w:szCs w:val="22"/>
        </w:rPr>
      </w:pPr>
      <w:r w:rsidRPr="00E41632">
        <w:rPr>
          <w:rFonts w:ascii="Calibri" w:eastAsiaTheme="minorEastAsia" w:hAnsi="Calibri" w:cs="Calibri"/>
          <w:sz w:val="22"/>
          <w:szCs w:val="22"/>
        </w:rPr>
        <w:t xml:space="preserve">Some higher education providers have </w:t>
      </w:r>
      <w:r w:rsidRPr="00E41632">
        <w:rPr>
          <w:rStyle w:val="normaltextrun"/>
          <w:rFonts w:ascii="Calibri" w:eastAsia="Calibri" w:hAnsi="Calibri" w:cs="Calibri"/>
          <w:color w:val="000000" w:themeColor="text1"/>
          <w:sz w:val="22"/>
          <w:szCs w:val="22"/>
        </w:rPr>
        <w:t xml:space="preserve">Practice Advisor roles, </w:t>
      </w:r>
      <w:r w:rsidRPr="00E135AC">
        <w:rPr>
          <w:rFonts w:ascii="Calibri" w:hAnsi="Calibri" w:cs="Calibri"/>
          <w:color w:val="212121"/>
          <w:sz w:val="22"/>
          <w:szCs w:val="22"/>
          <w:lang w:eastAsia="en-GB"/>
        </w:rPr>
        <w:t>to strengthen the connection between theory and practice, as well as provide support and coaching to both ITE students and teacher mentors.</w:t>
      </w:r>
    </w:p>
    <w:tbl>
      <w:tblPr>
        <w:tblW w:w="9120" w:type="dxa"/>
        <w:tblInd w:w="-180" w:type="dxa"/>
        <w:shd w:val="clear" w:color="auto" w:fill="FEEBB9" w:themeFill="accent2" w:themeFillTint="66"/>
        <w:tblCellMar>
          <w:left w:w="0" w:type="dxa"/>
          <w:right w:w="0" w:type="dxa"/>
        </w:tblCellMar>
        <w:tblLook w:val="04A0" w:firstRow="1" w:lastRow="0" w:firstColumn="1" w:lastColumn="0" w:noHBand="0" w:noVBand="1"/>
      </w:tblPr>
      <w:tblGrid>
        <w:gridCol w:w="9120"/>
      </w:tblGrid>
      <w:tr w:rsidR="008F589E" w:rsidRPr="00B707E9" w14:paraId="353BBDCF" w14:textId="77777777" w:rsidTr="00B82B5C">
        <w:trPr>
          <w:trHeight w:val="1305"/>
        </w:trPr>
        <w:tc>
          <w:tcPr>
            <w:tcW w:w="9120" w:type="dxa"/>
            <w:shd w:val="clear" w:color="auto" w:fill="FEEBB9" w:themeFill="accent2" w:themeFillTint="66"/>
          </w:tcPr>
          <w:p w14:paraId="58EB7B2A" w14:textId="16507410" w:rsidR="008F589E" w:rsidRPr="009635DE" w:rsidRDefault="008F589E" w:rsidP="00B82B5C">
            <w:pPr>
              <w:spacing w:after="0"/>
              <w:rPr>
                <w:rFonts w:eastAsiaTheme="minorEastAsia"/>
                <w:b/>
                <w:bCs/>
                <w:color w:val="000000" w:themeColor="text1"/>
                <w:lang w:val="en-US"/>
              </w:rPr>
            </w:pPr>
            <w:r w:rsidRPr="009635DE">
              <w:rPr>
                <w:rFonts w:eastAsiaTheme="minorEastAsia"/>
                <w:b/>
                <w:bCs/>
                <w:color w:val="000000" w:themeColor="text1"/>
                <w:lang w:val="en-US"/>
              </w:rPr>
              <w:lastRenderedPageBreak/>
              <w:t xml:space="preserve">Case study: La Trobe </w:t>
            </w:r>
            <w:r>
              <w:rPr>
                <w:rFonts w:eastAsiaTheme="minorEastAsia"/>
                <w:b/>
                <w:bCs/>
                <w:color w:val="000000" w:themeColor="text1"/>
                <w:lang w:val="en-US"/>
              </w:rPr>
              <w:t xml:space="preserve">University - </w:t>
            </w:r>
            <w:r w:rsidRPr="009635DE">
              <w:rPr>
                <w:rFonts w:eastAsiaTheme="minorEastAsia"/>
                <w:b/>
                <w:bCs/>
                <w:color w:val="000000" w:themeColor="text1"/>
                <w:lang w:val="en-US"/>
              </w:rPr>
              <w:t>Nexus Practice Advisors</w:t>
            </w:r>
            <w:r w:rsidR="00472E82">
              <w:rPr>
                <w:rFonts w:eastAsiaTheme="minorEastAsia"/>
                <w:b/>
                <w:bCs/>
                <w:color w:val="000000" w:themeColor="text1"/>
                <w:lang w:val="en-US"/>
              </w:rPr>
              <w:t xml:space="preserve"> and Cohort Model</w:t>
            </w:r>
            <w:r>
              <w:rPr>
                <w:rFonts w:eastAsiaTheme="minorEastAsia"/>
                <w:b/>
                <w:bCs/>
                <w:color w:val="000000" w:themeColor="text1"/>
                <w:lang w:val="en-US"/>
              </w:rPr>
              <w:t>, Victoria (VIC)</w:t>
            </w:r>
          </w:p>
          <w:p w14:paraId="0CC32F2B" w14:textId="4B9A51B4" w:rsidR="00FA0119" w:rsidRPr="00614C0D" w:rsidRDefault="00FA0119" w:rsidP="00DB0433">
            <w:pPr>
              <w:spacing w:after="120" w:line="240" w:lineRule="auto"/>
              <w:rPr>
                <w:rFonts w:ascii="Calibri" w:hAnsi="Calibri" w:cs="Calibri"/>
                <w:color w:val="212121"/>
                <w:sz w:val="20"/>
                <w:szCs w:val="20"/>
                <w:lang w:eastAsia="en-GB"/>
              </w:rPr>
            </w:pPr>
            <w:r w:rsidRPr="00614C0D">
              <w:rPr>
                <w:rFonts w:ascii="Calibri" w:hAnsi="Calibri" w:cs="Calibri"/>
                <w:color w:val="212121"/>
                <w:lang w:eastAsia="en-GB"/>
              </w:rPr>
              <w:t xml:space="preserve">The Cohort Professional Experience Model involves placing six or more </w:t>
            </w:r>
            <w:r>
              <w:rPr>
                <w:rFonts w:ascii="Calibri" w:hAnsi="Calibri" w:cs="Calibri"/>
                <w:color w:val="212121"/>
                <w:lang w:eastAsia="en-GB"/>
              </w:rPr>
              <w:t>ITE students</w:t>
            </w:r>
            <w:r w:rsidRPr="00614C0D">
              <w:rPr>
                <w:rFonts w:ascii="Calibri" w:hAnsi="Calibri" w:cs="Calibri"/>
                <w:color w:val="212121"/>
                <w:lang w:eastAsia="en-GB"/>
              </w:rPr>
              <w:t xml:space="preserve"> at the one site and allocating a University Practice Advisor to support the professional experience. The group of </w:t>
            </w:r>
            <w:r>
              <w:rPr>
                <w:rFonts w:ascii="Calibri" w:hAnsi="Calibri" w:cs="Calibri"/>
                <w:color w:val="212121"/>
                <w:lang w:eastAsia="en-GB"/>
              </w:rPr>
              <w:t>ITE students</w:t>
            </w:r>
            <w:r w:rsidRPr="00614C0D">
              <w:rPr>
                <w:rFonts w:ascii="Calibri" w:hAnsi="Calibri" w:cs="Calibri"/>
                <w:color w:val="212121"/>
                <w:lang w:eastAsia="en-GB"/>
              </w:rPr>
              <w:t xml:space="preserve"> form a cohort of practice – supporting each other to work through the professional challenges of their placement. This model also creates a cohort of mentors who can share expertise and knowledge across the group, improving the quality of mentoring for all. </w:t>
            </w:r>
          </w:p>
          <w:p w14:paraId="3AD9165D" w14:textId="36F530FB" w:rsidR="008F589E" w:rsidRPr="009635DE" w:rsidRDefault="00FA0119" w:rsidP="00DB0433">
            <w:pPr>
              <w:spacing w:after="120" w:line="240" w:lineRule="auto"/>
              <w:rPr>
                <w:color w:val="212121"/>
                <w:sz w:val="20"/>
                <w:szCs w:val="20"/>
                <w:lang w:eastAsia="en-GB"/>
              </w:rPr>
            </w:pPr>
            <w:r>
              <w:rPr>
                <w:color w:val="212121"/>
                <w:lang w:eastAsia="en-GB"/>
              </w:rPr>
              <w:t>Placement</w:t>
            </w:r>
            <w:r w:rsidR="008F589E">
              <w:rPr>
                <w:color w:val="212121"/>
                <w:lang w:eastAsia="en-GB"/>
              </w:rPr>
              <w:t xml:space="preserve"> assessment data shows that </w:t>
            </w:r>
            <w:r>
              <w:rPr>
                <w:color w:val="212121"/>
                <w:lang w:eastAsia="en-GB"/>
              </w:rPr>
              <w:t>ITE students</w:t>
            </w:r>
            <w:r w:rsidR="008F589E">
              <w:rPr>
                <w:color w:val="212121"/>
                <w:lang w:eastAsia="en-GB"/>
              </w:rPr>
              <w:t xml:space="preserve"> on placements structured this way are more successful than those on traditional 1:1 placements. </w:t>
            </w:r>
          </w:p>
        </w:tc>
      </w:tr>
    </w:tbl>
    <w:p w14:paraId="64F53C98" w14:textId="41F17A6F" w:rsidR="007C3B3D" w:rsidRPr="00153ABD" w:rsidRDefault="00EB244C" w:rsidP="00E34049">
      <w:pPr>
        <w:pStyle w:val="Heading3"/>
        <w:spacing w:before="120" w:after="120" w:line="240" w:lineRule="auto"/>
        <w:contextualSpacing/>
        <w:rPr>
          <w:rFonts w:eastAsia="Times New Roman"/>
          <w:sz w:val="24"/>
          <w:lang w:eastAsia="en-AU"/>
        </w:rPr>
      </w:pPr>
      <w:bookmarkStart w:id="92" w:name="_Toc130217452"/>
      <w:r>
        <w:rPr>
          <w:rFonts w:eastAsia="Times New Roman"/>
          <w:lang w:eastAsia="en-AU"/>
        </w:rPr>
        <w:t xml:space="preserve">3.3 </w:t>
      </w:r>
      <w:r w:rsidR="007C3B3D" w:rsidRPr="534D04FA">
        <w:rPr>
          <w:rFonts w:eastAsia="Times New Roman"/>
          <w:lang w:eastAsia="en-AU"/>
        </w:rPr>
        <w:t xml:space="preserve">Key challenges to </w:t>
      </w:r>
      <w:r w:rsidR="00032258">
        <w:rPr>
          <w:rFonts w:eastAsia="Times New Roman"/>
          <w:lang w:eastAsia="en-AU"/>
        </w:rPr>
        <w:t>delivering</w:t>
      </w:r>
      <w:r w:rsidR="007C3B3D" w:rsidRPr="534D04FA">
        <w:rPr>
          <w:rFonts w:eastAsia="Times New Roman"/>
          <w:lang w:eastAsia="en-AU"/>
        </w:rPr>
        <w:t xml:space="preserve"> high</w:t>
      </w:r>
      <w:r w:rsidR="009777C6">
        <w:rPr>
          <w:rFonts w:eastAsia="Times New Roman"/>
          <w:lang w:eastAsia="en-AU"/>
        </w:rPr>
        <w:t>-</w:t>
      </w:r>
      <w:r w:rsidR="00F1625E" w:rsidRPr="534D04FA">
        <w:rPr>
          <w:rFonts w:eastAsia="Times New Roman"/>
          <w:lang w:eastAsia="en-AU"/>
        </w:rPr>
        <w:t>quality</w:t>
      </w:r>
      <w:r w:rsidR="00A87D53">
        <w:rPr>
          <w:rFonts w:eastAsia="Times New Roman"/>
          <w:lang w:eastAsia="en-AU"/>
        </w:rPr>
        <w:t xml:space="preserve"> practical </w:t>
      </w:r>
      <w:r w:rsidR="65907077" w:rsidRPr="3AB8C162">
        <w:rPr>
          <w:rFonts w:eastAsia="Times New Roman"/>
          <w:lang w:eastAsia="en-AU"/>
        </w:rPr>
        <w:t>experience</w:t>
      </w:r>
      <w:bookmarkEnd w:id="92"/>
      <w:r w:rsidR="00F1625E" w:rsidRPr="534D04FA" w:rsidDel="00A87D53">
        <w:rPr>
          <w:rFonts w:eastAsia="Times New Roman"/>
          <w:lang w:eastAsia="en-AU"/>
        </w:rPr>
        <w:t xml:space="preserve"> </w:t>
      </w:r>
      <w:r w:rsidR="00F1625E" w:rsidRPr="534D04FA">
        <w:rPr>
          <w:rFonts w:eastAsia="Times New Roman"/>
          <w:lang w:eastAsia="en-AU"/>
        </w:rPr>
        <w:t xml:space="preserve"> </w:t>
      </w:r>
      <w:bookmarkEnd w:id="90"/>
      <w:bookmarkEnd w:id="91"/>
    </w:p>
    <w:p w14:paraId="3B4675BE" w14:textId="54F935AB" w:rsidR="00B707E9" w:rsidRPr="00614C0D" w:rsidRDefault="00B707E9" w:rsidP="00A04DB7">
      <w:pPr>
        <w:spacing w:line="240" w:lineRule="auto"/>
        <w:textAlignment w:val="baseline"/>
        <w:rPr>
          <w:rFonts w:eastAsia="Times New Roman" w:cstheme="minorHAnsi"/>
          <w:lang w:eastAsia="en-AU"/>
        </w:rPr>
      </w:pPr>
      <w:r w:rsidRPr="48ED2A53">
        <w:rPr>
          <w:rFonts w:eastAsia="Times New Roman"/>
          <w:color w:val="000000" w:themeColor="text1"/>
          <w:lang w:eastAsia="en-AU"/>
        </w:rPr>
        <w:t xml:space="preserve">Despite reform efforts since TEMAG, key challenges persist in delivering consistently high-quality </w:t>
      </w:r>
      <w:r w:rsidR="00A87D53">
        <w:rPr>
          <w:rFonts w:eastAsia="Times New Roman"/>
          <w:color w:val="000000" w:themeColor="text1"/>
          <w:lang w:eastAsia="en-AU"/>
        </w:rPr>
        <w:t>practical experience</w:t>
      </w:r>
      <w:r w:rsidRPr="48ED2A53">
        <w:rPr>
          <w:rFonts w:eastAsia="Times New Roman"/>
          <w:color w:val="000000" w:themeColor="text1"/>
          <w:lang w:eastAsia="en-AU"/>
        </w:rPr>
        <w:t>.</w:t>
      </w:r>
      <w:r w:rsidRPr="48ED2A53">
        <w:rPr>
          <w:rFonts w:eastAsia="Times New Roman"/>
          <w:color w:val="000000" w:themeColor="text1"/>
          <w:sz w:val="24"/>
          <w:szCs w:val="24"/>
          <w:lang w:eastAsia="en-AU"/>
        </w:rPr>
        <w:t>   </w:t>
      </w:r>
    </w:p>
    <w:p w14:paraId="43A15E8F" w14:textId="778CB111" w:rsidR="001A620E" w:rsidRDefault="00F53F28" w:rsidP="48ED2A53">
      <w:pPr>
        <w:spacing w:after="120" w:line="240" w:lineRule="auto"/>
        <w:rPr>
          <w:rFonts w:ascii="Calibri" w:eastAsiaTheme="minorEastAsia" w:hAnsi="Calibri" w:cs="Calibri"/>
          <w:color w:val="000000" w:themeColor="text1"/>
        </w:rPr>
      </w:pPr>
      <w:r w:rsidRPr="00F53F28">
        <w:rPr>
          <w:rStyle w:val="Heading4Char"/>
          <w:rFonts w:asciiTheme="minorHAnsi" w:hAnsiTheme="minorHAnsi" w:cstheme="minorHAnsi"/>
          <w:color w:val="002C3E" w:themeColor="background2"/>
        </w:rPr>
        <w:t xml:space="preserve">3.3.1 </w:t>
      </w:r>
      <w:r w:rsidR="1A6A78A7" w:rsidRPr="00F53F28">
        <w:rPr>
          <w:rStyle w:val="Heading4Char"/>
          <w:rFonts w:asciiTheme="minorHAnsi" w:hAnsiTheme="minorHAnsi" w:cstheme="minorHAnsi"/>
          <w:color w:val="002C3E" w:themeColor="background2"/>
        </w:rPr>
        <w:t>P</w:t>
      </w:r>
      <w:r w:rsidR="6C510922" w:rsidRPr="00F53F28">
        <w:rPr>
          <w:rStyle w:val="Heading4Char"/>
          <w:rFonts w:asciiTheme="minorHAnsi" w:hAnsiTheme="minorHAnsi" w:cstheme="minorHAnsi"/>
          <w:color w:val="002C3E" w:themeColor="background2"/>
        </w:rPr>
        <w:t>rovider</w:t>
      </w:r>
      <w:r w:rsidR="6B2544AE" w:rsidRPr="00F53F28">
        <w:rPr>
          <w:rStyle w:val="Heading4Char"/>
          <w:rFonts w:asciiTheme="minorHAnsi" w:hAnsiTheme="minorHAnsi" w:cstheme="minorHAnsi"/>
          <w:color w:val="002C3E" w:themeColor="background2"/>
        </w:rPr>
        <w:t>-school partnerships and delivery models that are not fit-for-purpose</w:t>
      </w:r>
      <w:r w:rsidR="6B2544AE" w:rsidRPr="00F53F28">
        <w:rPr>
          <w:rFonts w:eastAsiaTheme="majorEastAsia"/>
          <w:b/>
          <w:bCs/>
          <w:color w:val="002C3E" w:themeColor="background2"/>
          <w:sz w:val="28"/>
          <w:szCs w:val="28"/>
          <w:lang w:eastAsia="en-AU"/>
        </w:rPr>
        <w:t>  </w:t>
      </w:r>
      <w:r w:rsidR="6B2544AE">
        <w:br/>
      </w:r>
      <w:r w:rsidR="6B2544AE" w:rsidRPr="48ED2A53">
        <w:rPr>
          <w:rFonts w:ascii="Calibri" w:eastAsiaTheme="minorEastAsia" w:hAnsi="Calibri" w:cs="Calibri"/>
          <w:color w:val="000000" w:themeColor="text1"/>
        </w:rPr>
        <w:t xml:space="preserve">Standard 5.1 of the Accreditation Standards and Procedures requires providers to establish formal partnerships between higher education providers and schools to facilitate placements. </w:t>
      </w:r>
      <w:r w:rsidR="00660142">
        <w:rPr>
          <w:rFonts w:ascii="Calibri" w:eastAsiaTheme="minorEastAsia" w:hAnsi="Calibri" w:cs="Calibri"/>
          <w:color w:val="000000" w:themeColor="text1"/>
        </w:rPr>
        <w:t>Some</w:t>
      </w:r>
      <w:r w:rsidR="6B2544AE" w:rsidRPr="48ED2A53">
        <w:rPr>
          <w:rFonts w:ascii="Calibri" w:eastAsiaTheme="minorEastAsia" w:hAnsi="Calibri" w:cs="Calibri"/>
          <w:color w:val="000000" w:themeColor="text1"/>
        </w:rPr>
        <w:t xml:space="preserve"> </w:t>
      </w:r>
      <w:r w:rsidR="00FD05BD">
        <w:rPr>
          <w:rFonts w:ascii="Calibri" w:eastAsiaTheme="minorEastAsia" w:hAnsi="Calibri" w:cs="Calibri"/>
          <w:color w:val="000000" w:themeColor="text1"/>
        </w:rPr>
        <w:t>jurisdictions have established system-level partnerships or agreements</w:t>
      </w:r>
      <w:r w:rsidR="6B2544AE" w:rsidRPr="48ED2A53">
        <w:rPr>
          <w:rFonts w:ascii="Calibri" w:eastAsiaTheme="minorEastAsia" w:hAnsi="Calibri" w:cs="Calibri"/>
          <w:color w:val="000000" w:themeColor="text1"/>
        </w:rPr>
        <w:t xml:space="preserve"> between State </w:t>
      </w:r>
      <w:r w:rsidR="00AE527B">
        <w:rPr>
          <w:rFonts w:ascii="Calibri" w:eastAsiaTheme="minorEastAsia" w:hAnsi="Calibri" w:cs="Calibri"/>
          <w:color w:val="000000" w:themeColor="text1"/>
        </w:rPr>
        <w:t>and</w:t>
      </w:r>
      <w:r w:rsidR="6B2544AE" w:rsidRPr="48ED2A53">
        <w:rPr>
          <w:rFonts w:ascii="Calibri" w:eastAsiaTheme="minorEastAsia" w:hAnsi="Calibri" w:cs="Calibri"/>
          <w:color w:val="000000" w:themeColor="text1"/>
        </w:rPr>
        <w:t xml:space="preserve"> Territory governments, providers and schools </w:t>
      </w:r>
      <w:r w:rsidR="002B31AC">
        <w:rPr>
          <w:rFonts w:ascii="Calibri" w:eastAsiaTheme="minorEastAsia" w:hAnsi="Calibri" w:cs="Calibri"/>
          <w:color w:val="000000" w:themeColor="text1"/>
        </w:rPr>
        <w:t>to</w:t>
      </w:r>
      <w:r w:rsidR="6B2544AE" w:rsidRPr="48ED2A53">
        <w:rPr>
          <w:rFonts w:ascii="Calibri" w:eastAsiaTheme="minorEastAsia" w:hAnsi="Calibri" w:cs="Calibri"/>
          <w:color w:val="000000" w:themeColor="text1"/>
        </w:rPr>
        <w:t xml:space="preserve"> support the coordination </w:t>
      </w:r>
      <w:r w:rsidR="001A620E">
        <w:rPr>
          <w:rFonts w:ascii="Calibri" w:eastAsiaTheme="minorEastAsia" w:hAnsi="Calibri" w:cs="Calibri"/>
          <w:color w:val="000000" w:themeColor="text1"/>
        </w:rPr>
        <w:t xml:space="preserve">and delivery </w:t>
      </w:r>
      <w:r w:rsidR="6B2544AE" w:rsidRPr="48ED2A53">
        <w:rPr>
          <w:rFonts w:ascii="Calibri" w:eastAsiaTheme="minorEastAsia" w:hAnsi="Calibri" w:cs="Calibri"/>
          <w:color w:val="000000" w:themeColor="text1"/>
        </w:rPr>
        <w:t xml:space="preserve">of </w:t>
      </w:r>
      <w:r w:rsidR="006F6993">
        <w:rPr>
          <w:rFonts w:ascii="Calibri" w:eastAsiaTheme="minorEastAsia" w:hAnsi="Calibri" w:cs="Calibri"/>
          <w:color w:val="000000" w:themeColor="text1"/>
        </w:rPr>
        <w:t>practical experience</w:t>
      </w:r>
      <w:r w:rsidR="001A620E">
        <w:rPr>
          <w:rFonts w:ascii="Calibri" w:eastAsiaTheme="minorEastAsia" w:hAnsi="Calibri" w:cs="Calibri"/>
          <w:color w:val="000000" w:themeColor="text1"/>
        </w:rPr>
        <w:t>.</w:t>
      </w:r>
    </w:p>
    <w:p w14:paraId="341B04DD" w14:textId="72FB157D" w:rsidR="6B2544AE" w:rsidRDefault="00F7332B" w:rsidP="48ED2A53">
      <w:pPr>
        <w:spacing w:after="120" w:line="240" w:lineRule="auto"/>
        <w:rPr>
          <w:rStyle w:val="normaltextrun"/>
          <w:rFonts w:ascii="Calibri" w:eastAsiaTheme="minorEastAsia" w:hAnsi="Calibri" w:cs="Calibri"/>
          <w:color w:val="000000" w:themeColor="text1"/>
        </w:rPr>
      </w:pPr>
      <w:r>
        <w:rPr>
          <w:rFonts w:ascii="Calibri" w:eastAsiaTheme="minorEastAsia" w:hAnsi="Calibri" w:cs="Calibri"/>
          <w:color w:val="000000" w:themeColor="text1"/>
        </w:rPr>
        <w:t>However, in other jurisdictions</w:t>
      </w:r>
      <w:r w:rsidR="009501A2">
        <w:rPr>
          <w:rFonts w:ascii="Calibri" w:eastAsiaTheme="minorEastAsia" w:hAnsi="Calibri" w:cs="Calibri"/>
          <w:color w:val="000000" w:themeColor="text1"/>
        </w:rPr>
        <w:t xml:space="preserve"> </w:t>
      </w:r>
      <w:r w:rsidR="6B2544AE" w:rsidRPr="48ED2A53">
        <w:rPr>
          <w:rFonts w:ascii="Calibri" w:eastAsiaTheme="minorEastAsia" w:hAnsi="Calibri" w:cs="Calibri"/>
          <w:color w:val="000000" w:themeColor="text1"/>
        </w:rPr>
        <w:t>there is a lack of consistency in</w:t>
      </w:r>
      <w:r w:rsidR="009501A2">
        <w:rPr>
          <w:rFonts w:ascii="Calibri" w:eastAsiaTheme="minorEastAsia" w:hAnsi="Calibri" w:cs="Calibri"/>
          <w:color w:val="000000" w:themeColor="text1"/>
        </w:rPr>
        <w:t xml:space="preserve"> the scope and specificity of</w:t>
      </w:r>
      <w:r w:rsidR="6B2544AE" w:rsidRPr="48ED2A53">
        <w:rPr>
          <w:rFonts w:ascii="Calibri" w:eastAsiaTheme="minorEastAsia" w:hAnsi="Calibri" w:cs="Calibri"/>
          <w:color w:val="000000" w:themeColor="text1"/>
        </w:rPr>
        <w:t xml:space="preserve"> formal partnerships </w:t>
      </w:r>
      <w:r w:rsidR="001C1CC6">
        <w:rPr>
          <w:rFonts w:ascii="Calibri" w:eastAsiaTheme="minorEastAsia" w:hAnsi="Calibri" w:cs="Calibri"/>
          <w:color w:val="000000" w:themeColor="text1"/>
        </w:rPr>
        <w:t>between higher education providers and schools</w:t>
      </w:r>
      <w:r w:rsidR="002D06BF">
        <w:rPr>
          <w:rFonts w:ascii="Calibri" w:eastAsiaTheme="minorEastAsia" w:hAnsi="Calibri" w:cs="Calibri"/>
          <w:color w:val="000000" w:themeColor="text1"/>
        </w:rPr>
        <w:t>,</w:t>
      </w:r>
      <w:r w:rsidR="6B2544AE" w:rsidRPr="48ED2A53">
        <w:rPr>
          <w:rFonts w:ascii="Calibri" w:eastAsiaTheme="minorEastAsia" w:hAnsi="Calibri" w:cs="Calibri"/>
          <w:color w:val="000000" w:themeColor="text1"/>
        </w:rPr>
        <w:t xml:space="preserve"> and the delivery models used to ensure high-quality placements. According to stakeholder consultation, in many jurisdictions this causes coordination processes to be decentralised and reliant on individual providers (or even ITE students themselves). This can result in inconsistent, inefficient, ad-hoc ITE student to school matching process, which may be evidenced by difficulty matching student </w:t>
      </w:r>
      <w:r w:rsidR="00D13D9D">
        <w:rPr>
          <w:rFonts w:ascii="Calibri" w:eastAsiaTheme="minorEastAsia" w:hAnsi="Calibri" w:cs="Calibri"/>
          <w:color w:val="000000" w:themeColor="text1"/>
        </w:rPr>
        <w:t xml:space="preserve">a </w:t>
      </w:r>
      <w:r w:rsidR="6B2544AE" w:rsidRPr="48ED2A53">
        <w:rPr>
          <w:rFonts w:ascii="Calibri" w:eastAsiaTheme="minorEastAsia" w:hAnsi="Calibri" w:cs="Calibri"/>
          <w:color w:val="000000" w:themeColor="text1"/>
        </w:rPr>
        <w:t xml:space="preserve">with an appropriate school and rushed placement arrangements (TEMAG 2014). </w:t>
      </w:r>
    </w:p>
    <w:p w14:paraId="5175FDA7" w14:textId="52E789A3" w:rsidR="0023696D" w:rsidRDefault="6B2544AE" w:rsidP="48ED2A53">
      <w:pPr>
        <w:spacing w:line="240" w:lineRule="auto"/>
        <w:rPr>
          <w:rFonts w:ascii="Calibri" w:eastAsiaTheme="minorEastAsia" w:hAnsi="Calibri" w:cs="Calibri"/>
          <w:color w:val="000000" w:themeColor="text1"/>
        </w:rPr>
      </w:pPr>
      <w:r w:rsidRPr="48ED2A53">
        <w:rPr>
          <w:rFonts w:ascii="Calibri" w:eastAsiaTheme="minorEastAsia" w:hAnsi="Calibri" w:cs="Calibri"/>
          <w:color w:val="000000" w:themeColor="text1"/>
        </w:rPr>
        <w:t xml:space="preserve">Once an ITE student is placed in a school, the </w:t>
      </w:r>
      <w:r w:rsidR="0065575F">
        <w:rPr>
          <w:rFonts w:ascii="Calibri" w:eastAsiaTheme="minorEastAsia" w:hAnsi="Calibri" w:cs="Calibri"/>
          <w:color w:val="000000" w:themeColor="text1"/>
        </w:rPr>
        <w:t>lack of specificity in</w:t>
      </w:r>
      <w:r w:rsidR="0065575F" w:rsidRPr="48ED2A53">
        <w:rPr>
          <w:rFonts w:ascii="Calibri" w:eastAsiaTheme="minorEastAsia" w:hAnsi="Calibri" w:cs="Calibri"/>
          <w:color w:val="000000" w:themeColor="text1"/>
        </w:rPr>
        <w:t xml:space="preserve"> </w:t>
      </w:r>
      <w:r w:rsidRPr="48ED2A53">
        <w:rPr>
          <w:rFonts w:ascii="Calibri" w:eastAsiaTheme="minorEastAsia" w:hAnsi="Calibri" w:cs="Calibri"/>
          <w:color w:val="000000" w:themeColor="text1"/>
        </w:rPr>
        <w:t xml:space="preserve">partnership agreements </w:t>
      </w:r>
      <w:r w:rsidR="0065575F">
        <w:rPr>
          <w:rFonts w:ascii="Calibri" w:eastAsiaTheme="minorEastAsia" w:hAnsi="Calibri" w:cs="Calibri"/>
          <w:color w:val="000000" w:themeColor="text1"/>
        </w:rPr>
        <w:t>can</w:t>
      </w:r>
      <w:r w:rsidR="0065575F" w:rsidRPr="48ED2A53">
        <w:rPr>
          <w:rFonts w:ascii="Calibri" w:eastAsiaTheme="minorEastAsia" w:hAnsi="Calibri" w:cs="Calibri"/>
          <w:color w:val="000000" w:themeColor="text1"/>
        </w:rPr>
        <w:t xml:space="preserve"> </w:t>
      </w:r>
      <w:r w:rsidR="0065575F">
        <w:rPr>
          <w:rFonts w:ascii="Calibri" w:eastAsiaTheme="minorEastAsia" w:hAnsi="Calibri" w:cs="Calibri"/>
          <w:color w:val="000000" w:themeColor="text1"/>
        </w:rPr>
        <w:t>result in</w:t>
      </w:r>
      <w:r w:rsidR="0065575F" w:rsidRPr="48ED2A53">
        <w:rPr>
          <w:rFonts w:ascii="Calibri" w:eastAsiaTheme="minorEastAsia" w:hAnsi="Calibri" w:cs="Calibri"/>
          <w:color w:val="000000" w:themeColor="text1"/>
        </w:rPr>
        <w:t xml:space="preserve"> </w:t>
      </w:r>
      <w:r w:rsidR="0065575F">
        <w:rPr>
          <w:rFonts w:ascii="Calibri" w:eastAsiaTheme="minorEastAsia" w:hAnsi="Calibri" w:cs="Calibri"/>
          <w:color w:val="000000" w:themeColor="text1"/>
        </w:rPr>
        <w:t>unclear</w:t>
      </w:r>
      <w:r w:rsidR="0065575F" w:rsidRPr="48ED2A53">
        <w:rPr>
          <w:rFonts w:ascii="Calibri" w:eastAsiaTheme="minorEastAsia" w:hAnsi="Calibri" w:cs="Calibri"/>
          <w:color w:val="000000" w:themeColor="text1"/>
        </w:rPr>
        <w:t xml:space="preserve"> </w:t>
      </w:r>
      <w:r w:rsidRPr="48ED2A53">
        <w:rPr>
          <w:rFonts w:ascii="Calibri" w:eastAsiaTheme="minorEastAsia" w:hAnsi="Calibri" w:cs="Calibri"/>
          <w:color w:val="000000" w:themeColor="text1"/>
        </w:rPr>
        <w:t xml:space="preserve">roles and responsibilities </w:t>
      </w:r>
      <w:r w:rsidR="0065575F">
        <w:rPr>
          <w:rFonts w:ascii="Calibri" w:eastAsiaTheme="minorEastAsia" w:hAnsi="Calibri" w:cs="Calibri"/>
          <w:color w:val="000000" w:themeColor="text1"/>
        </w:rPr>
        <w:t>as well as</w:t>
      </w:r>
      <w:r w:rsidRPr="48ED2A53">
        <w:rPr>
          <w:rFonts w:ascii="Calibri" w:eastAsiaTheme="minorEastAsia" w:hAnsi="Calibri" w:cs="Calibri"/>
          <w:color w:val="000000" w:themeColor="text1"/>
        </w:rPr>
        <w:t xml:space="preserve"> misalignment between </w:t>
      </w:r>
      <w:r w:rsidR="0065575F">
        <w:rPr>
          <w:rFonts w:ascii="Calibri" w:eastAsiaTheme="minorEastAsia" w:hAnsi="Calibri" w:cs="Calibri"/>
          <w:color w:val="000000" w:themeColor="text1"/>
        </w:rPr>
        <w:t xml:space="preserve">the </w:t>
      </w:r>
      <w:r w:rsidRPr="48ED2A53">
        <w:rPr>
          <w:rFonts w:ascii="Calibri" w:eastAsiaTheme="minorEastAsia" w:hAnsi="Calibri" w:cs="Calibri"/>
          <w:color w:val="000000" w:themeColor="text1"/>
        </w:rPr>
        <w:t xml:space="preserve">development </w:t>
      </w:r>
      <w:r w:rsidR="0065575F" w:rsidRPr="48ED2A53">
        <w:rPr>
          <w:rFonts w:ascii="Calibri" w:eastAsiaTheme="minorEastAsia" w:hAnsi="Calibri" w:cs="Calibri"/>
          <w:color w:val="000000" w:themeColor="text1"/>
        </w:rPr>
        <w:t>need</w:t>
      </w:r>
      <w:r w:rsidR="0065575F">
        <w:rPr>
          <w:rFonts w:ascii="Calibri" w:eastAsiaTheme="minorEastAsia" w:hAnsi="Calibri" w:cs="Calibri"/>
          <w:color w:val="000000" w:themeColor="text1"/>
        </w:rPr>
        <w:t>s</w:t>
      </w:r>
      <w:r w:rsidR="0065575F" w:rsidRPr="48ED2A53">
        <w:rPr>
          <w:rFonts w:ascii="Calibri" w:eastAsiaTheme="minorEastAsia" w:hAnsi="Calibri" w:cs="Calibri"/>
          <w:color w:val="000000" w:themeColor="text1"/>
        </w:rPr>
        <w:t xml:space="preserve"> </w:t>
      </w:r>
      <w:r w:rsidR="0065575F">
        <w:rPr>
          <w:rFonts w:ascii="Calibri" w:eastAsiaTheme="minorEastAsia" w:hAnsi="Calibri" w:cs="Calibri"/>
          <w:color w:val="000000" w:themeColor="text1"/>
        </w:rPr>
        <w:t>of ITE students</w:t>
      </w:r>
      <w:r w:rsidRPr="48ED2A53">
        <w:rPr>
          <w:rFonts w:ascii="Calibri" w:eastAsiaTheme="minorEastAsia" w:hAnsi="Calibri" w:cs="Calibri"/>
          <w:color w:val="000000" w:themeColor="text1"/>
        </w:rPr>
        <w:t xml:space="preserve"> and </w:t>
      </w:r>
      <w:r w:rsidR="00F33080">
        <w:rPr>
          <w:rFonts w:ascii="Calibri" w:eastAsiaTheme="minorEastAsia" w:hAnsi="Calibri" w:cs="Calibri"/>
          <w:color w:val="000000" w:themeColor="text1"/>
        </w:rPr>
        <w:t>the</w:t>
      </w:r>
      <w:r w:rsidR="00CD406B">
        <w:rPr>
          <w:rFonts w:ascii="Calibri" w:eastAsiaTheme="minorEastAsia" w:hAnsi="Calibri" w:cs="Calibri"/>
          <w:color w:val="000000" w:themeColor="text1"/>
        </w:rPr>
        <w:t xml:space="preserve"> </w:t>
      </w:r>
      <w:r w:rsidRPr="48ED2A53">
        <w:rPr>
          <w:rFonts w:ascii="Calibri" w:eastAsiaTheme="minorEastAsia" w:hAnsi="Calibri" w:cs="Calibri"/>
          <w:color w:val="000000" w:themeColor="text1"/>
        </w:rPr>
        <w:t>focus</w:t>
      </w:r>
      <w:r w:rsidR="00F33080">
        <w:rPr>
          <w:rFonts w:ascii="Calibri" w:eastAsiaTheme="minorEastAsia" w:hAnsi="Calibri" w:cs="Calibri"/>
          <w:color w:val="000000" w:themeColor="text1"/>
        </w:rPr>
        <w:t xml:space="preserve"> of placements</w:t>
      </w:r>
      <w:r w:rsidRPr="48ED2A53">
        <w:rPr>
          <w:rFonts w:ascii="Calibri" w:eastAsiaTheme="minorEastAsia" w:hAnsi="Calibri" w:cs="Calibri"/>
          <w:color w:val="000000" w:themeColor="text1"/>
        </w:rPr>
        <w:t>.</w:t>
      </w:r>
    </w:p>
    <w:p w14:paraId="1DEE1D52" w14:textId="339E14B8" w:rsidR="00084BB1" w:rsidRDefault="0023696D" w:rsidP="0023696D">
      <w:pPr>
        <w:spacing w:after="160"/>
        <w:rPr>
          <w:rStyle w:val="normaltextrun"/>
          <w:rFonts w:ascii="Calibri" w:eastAsiaTheme="minorEastAsia" w:hAnsi="Calibri" w:cs="Calibri"/>
          <w:color w:val="000000" w:themeColor="text1"/>
        </w:rPr>
      </w:pPr>
      <w:r>
        <w:rPr>
          <w:rFonts w:ascii="Calibri" w:eastAsiaTheme="minorEastAsia" w:hAnsi="Calibri" w:cs="Calibri"/>
          <w:color w:val="000000" w:themeColor="text1"/>
        </w:rPr>
        <w:br w:type="page"/>
      </w:r>
    </w:p>
    <w:tbl>
      <w:tblPr>
        <w:tblStyle w:val="EDU-Basic"/>
        <w:tblW w:w="0" w:type="auto"/>
        <w:tblLook w:val="04A0" w:firstRow="1" w:lastRow="0" w:firstColumn="1" w:lastColumn="0" w:noHBand="0" w:noVBand="1"/>
      </w:tblPr>
      <w:tblGrid>
        <w:gridCol w:w="9016"/>
      </w:tblGrid>
      <w:tr w:rsidR="00E07E65" w14:paraId="0069C017" w14:textId="77777777" w:rsidTr="00E07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shd w:val="clear" w:color="auto" w:fill="FEEBB9" w:themeFill="accent2" w:themeFillTint="66"/>
          </w:tcPr>
          <w:p w14:paraId="37DE0017" w14:textId="30CD40C0" w:rsidR="0035532D" w:rsidRPr="0035532D" w:rsidRDefault="0035532D" w:rsidP="00742767">
            <w:pPr>
              <w:spacing w:before="0" w:beforeAutospacing="0" w:after="0" w:afterAutospacing="0"/>
              <w:rPr>
                <w:rFonts w:ascii="Calibri" w:hAnsi="Calibri" w:cs="Calibri"/>
                <w:b/>
                <w:bCs/>
                <w:color w:val="auto"/>
              </w:rPr>
            </w:pPr>
            <w:bookmarkStart w:id="93" w:name="_Hlk127541950"/>
            <w:r w:rsidRPr="0035532D">
              <w:rPr>
                <w:rFonts w:cstheme="minorHAnsi"/>
                <w:b/>
                <w:bCs/>
                <w:color w:val="auto"/>
              </w:rPr>
              <w:lastRenderedPageBreak/>
              <w:t>Case study: Victorian provider collaborative agreements</w:t>
            </w:r>
            <w:r w:rsidRPr="0035532D">
              <w:rPr>
                <w:rFonts w:cstheme="minorHAnsi"/>
                <w:b/>
                <w:bCs/>
                <w:color w:val="auto"/>
              </w:rPr>
              <w:br/>
            </w:r>
            <w:r w:rsidRPr="0035532D">
              <w:rPr>
                <w:rFonts w:ascii="Calibri" w:hAnsi="Calibri" w:cs="Calibri"/>
                <w:color w:val="auto"/>
              </w:rPr>
              <w:t>The Victorian Department of Education</w:t>
            </w:r>
            <w:r w:rsidRPr="0035532D">
              <w:rPr>
                <w:rFonts w:ascii="Calibri" w:eastAsiaTheme="minorEastAsia" w:hAnsi="Calibri" w:cs="Calibri"/>
                <w:color w:val="auto"/>
                <w:lang w:val="en-US"/>
              </w:rPr>
              <w:t xml:space="preserve"> and ITE providers have </w:t>
            </w:r>
            <w:r w:rsidRPr="0035532D">
              <w:rPr>
                <w:rFonts w:ascii="Calibri" w:hAnsi="Calibri" w:cs="Calibri"/>
                <w:color w:val="auto"/>
                <w:lang w:val="en-US"/>
              </w:rPr>
              <w:t>recently</w:t>
            </w:r>
            <w:r w:rsidRPr="0035532D">
              <w:rPr>
                <w:rFonts w:ascii="Calibri" w:eastAsiaTheme="minorEastAsia" w:hAnsi="Calibri" w:cs="Calibri"/>
                <w:color w:val="auto"/>
                <w:lang w:val="en-US"/>
              </w:rPr>
              <w:t xml:space="preserve"> established a r</w:t>
            </w:r>
            <w:r w:rsidRPr="0035532D">
              <w:rPr>
                <w:rFonts w:ascii="Calibri" w:hAnsi="Calibri" w:cs="Calibri"/>
                <w:color w:val="auto"/>
                <w:lang w:val="en-US"/>
              </w:rPr>
              <w:t xml:space="preserve">evised </w:t>
            </w:r>
            <w:r w:rsidRPr="0035532D">
              <w:rPr>
                <w:rFonts w:ascii="Calibri" w:eastAsiaTheme="minorEastAsia" w:hAnsi="Calibri" w:cs="Calibri"/>
                <w:color w:val="auto"/>
                <w:lang w:val="en-US"/>
              </w:rPr>
              <w:t xml:space="preserve">framework for strategic collaboration to improve ITE student </w:t>
            </w:r>
            <w:r w:rsidR="00B64473">
              <w:rPr>
                <w:rFonts w:ascii="Calibri" w:eastAsiaTheme="minorEastAsia" w:hAnsi="Calibri" w:cs="Calibri"/>
                <w:color w:val="auto"/>
                <w:lang w:val="en-US"/>
              </w:rPr>
              <w:t>practical experience</w:t>
            </w:r>
            <w:r w:rsidRPr="0035532D">
              <w:rPr>
                <w:rFonts w:ascii="Calibri" w:eastAsiaTheme="minorEastAsia" w:hAnsi="Calibri" w:cs="Calibri"/>
                <w:color w:val="auto"/>
                <w:lang w:val="en-US"/>
              </w:rPr>
              <w:t xml:space="preserve">. They have agreed to benchmark practices and processes that apply to </w:t>
            </w:r>
            <w:r w:rsidR="00B64473">
              <w:rPr>
                <w:rFonts w:ascii="Calibri" w:eastAsiaTheme="minorEastAsia" w:hAnsi="Calibri" w:cs="Calibri"/>
                <w:color w:val="auto"/>
                <w:lang w:val="en-US"/>
              </w:rPr>
              <w:t>practical experience</w:t>
            </w:r>
            <w:r w:rsidRPr="0035532D">
              <w:rPr>
                <w:rFonts w:ascii="Calibri" w:eastAsiaTheme="minorEastAsia" w:hAnsi="Calibri" w:cs="Calibri"/>
                <w:color w:val="auto"/>
                <w:lang w:val="en-US"/>
              </w:rPr>
              <w:t xml:space="preserve"> placements in all Victorian government schools. These practices and processes are designed to make it easier for schools to host </w:t>
            </w:r>
            <w:r w:rsidR="00855F8B">
              <w:rPr>
                <w:rFonts w:ascii="Calibri" w:eastAsiaTheme="minorEastAsia" w:hAnsi="Calibri" w:cs="Calibri"/>
                <w:color w:val="auto"/>
                <w:lang w:val="en-US"/>
              </w:rPr>
              <w:t>placement</w:t>
            </w:r>
            <w:r w:rsidR="002B4167">
              <w:rPr>
                <w:rFonts w:ascii="Calibri" w:eastAsiaTheme="minorEastAsia" w:hAnsi="Calibri" w:cs="Calibri"/>
                <w:color w:val="auto"/>
                <w:lang w:val="en-US"/>
              </w:rPr>
              <w:t>s</w:t>
            </w:r>
            <w:r w:rsidRPr="0035532D">
              <w:rPr>
                <w:rFonts w:ascii="Calibri" w:eastAsiaTheme="minorEastAsia" w:hAnsi="Calibri" w:cs="Calibri"/>
                <w:color w:val="auto"/>
                <w:lang w:val="en-US"/>
              </w:rPr>
              <w:t xml:space="preserve"> to increase Victorian Government schools’ capacity to support placements. The r</w:t>
            </w:r>
            <w:r w:rsidRPr="0035532D">
              <w:rPr>
                <w:rFonts w:ascii="Calibri" w:hAnsi="Calibri" w:cs="Calibri"/>
                <w:color w:val="auto"/>
                <w:lang w:val="en-US"/>
              </w:rPr>
              <w:t xml:space="preserve">evised </w:t>
            </w:r>
            <w:r w:rsidRPr="0035532D">
              <w:rPr>
                <w:rFonts w:ascii="Calibri" w:eastAsiaTheme="minorEastAsia" w:hAnsi="Calibri" w:cs="Calibri"/>
                <w:color w:val="auto"/>
                <w:lang w:val="en-US"/>
              </w:rPr>
              <w:t xml:space="preserve">framework includes a Memorandum of Understanding (MOU) between DET and ITE Providers </w:t>
            </w:r>
            <w:r w:rsidRPr="0035532D">
              <w:rPr>
                <w:rFonts w:ascii="Calibri" w:hAnsi="Calibri" w:cs="Calibri"/>
                <w:color w:val="auto"/>
                <w:lang w:val="en-US"/>
              </w:rPr>
              <w:t>(non-binding)</w:t>
            </w:r>
            <w:r w:rsidRPr="0035532D">
              <w:rPr>
                <w:rFonts w:ascii="Calibri" w:eastAsiaTheme="minorEastAsia" w:hAnsi="Calibri" w:cs="Calibri"/>
                <w:color w:val="auto"/>
                <w:lang w:val="en-US"/>
              </w:rPr>
              <w:t>. The initiatives outlined in the MOU aim to:</w:t>
            </w:r>
          </w:p>
          <w:p w14:paraId="5AB63365" w14:textId="3566C490" w:rsidR="0035532D" w:rsidRPr="0035532D" w:rsidRDefault="0035532D" w:rsidP="00742767">
            <w:pPr>
              <w:pStyle w:val="ListParagraph"/>
              <w:numPr>
                <w:ilvl w:val="0"/>
                <w:numId w:val="14"/>
              </w:numPr>
              <w:spacing w:before="0" w:beforeAutospacing="0" w:afterAutospacing="0"/>
              <w:rPr>
                <w:rFonts w:ascii="Calibri" w:eastAsiaTheme="minorEastAsia" w:hAnsi="Calibri" w:cs="Calibri"/>
                <w:color w:val="auto"/>
                <w:sz w:val="22"/>
                <w:szCs w:val="22"/>
              </w:rPr>
            </w:pPr>
            <w:r w:rsidRPr="0035532D">
              <w:rPr>
                <w:rFonts w:ascii="Calibri" w:eastAsiaTheme="minorEastAsia" w:hAnsi="Calibri" w:cs="Calibri"/>
                <w:color w:val="auto"/>
                <w:sz w:val="22"/>
                <w:szCs w:val="22"/>
              </w:rPr>
              <w:t xml:space="preserve">streamline the processes associated with </w:t>
            </w:r>
            <w:r w:rsidR="00B64473">
              <w:rPr>
                <w:rFonts w:ascii="Calibri" w:eastAsiaTheme="minorEastAsia" w:hAnsi="Calibri" w:cs="Calibri"/>
                <w:color w:val="auto"/>
                <w:sz w:val="22"/>
                <w:szCs w:val="22"/>
              </w:rPr>
              <w:t>practical experience</w:t>
            </w:r>
            <w:r w:rsidRPr="0035532D">
              <w:rPr>
                <w:rFonts w:ascii="Calibri" w:eastAsiaTheme="minorEastAsia" w:hAnsi="Calibri" w:cs="Calibri"/>
                <w:color w:val="auto"/>
                <w:sz w:val="22"/>
                <w:szCs w:val="22"/>
              </w:rPr>
              <w:t xml:space="preserve"> (e.g., setting booking windows to support predictability in provider communication with schools, supporting planning, creating standard assessment templates)</w:t>
            </w:r>
          </w:p>
          <w:p w14:paraId="1ADE8DA6" w14:textId="428FA7EC" w:rsidR="0035532D" w:rsidRPr="0035532D" w:rsidRDefault="0035532D" w:rsidP="0035532D">
            <w:pPr>
              <w:pStyle w:val="ListParagraph"/>
              <w:numPr>
                <w:ilvl w:val="0"/>
                <w:numId w:val="14"/>
              </w:numPr>
              <w:rPr>
                <w:rFonts w:ascii="Calibri" w:eastAsiaTheme="minorEastAsia" w:hAnsi="Calibri" w:cs="Calibri"/>
                <w:color w:val="auto"/>
                <w:sz w:val="22"/>
                <w:szCs w:val="22"/>
              </w:rPr>
            </w:pPr>
            <w:r w:rsidRPr="0035532D">
              <w:rPr>
                <w:rFonts w:ascii="Calibri" w:eastAsiaTheme="minorEastAsia" w:hAnsi="Calibri" w:cs="Calibri"/>
                <w:color w:val="auto"/>
                <w:sz w:val="22"/>
                <w:szCs w:val="22"/>
              </w:rPr>
              <w:t xml:space="preserve">support improvement in </w:t>
            </w:r>
            <w:r w:rsidR="00DA47BF">
              <w:rPr>
                <w:rFonts w:ascii="Calibri" w:eastAsiaTheme="minorEastAsia" w:hAnsi="Calibri" w:cs="Calibri"/>
                <w:color w:val="auto"/>
                <w:sz w:val="22"/>
                <w:szCs w:val="22"/>
              </w:rPr>
              <w:t xml:space="preserve">the </w:t>
            </w:r>
            <w:r w:rsidRPr="0035532D">
              <w:rPr>
                <w:rFonts w:ascii="Calibri" w:eastAsiaTheme="minorEastAsia" w:hAnsi="Calibri" w:cs="Calibri"/>
                <w:color w:val="auto"/>
                <w:sz w:val="22"/>
                <w:szCs w:val="22"/>
              </w:rPr>
              <w:t xml:space="preserve">quality of </w:t>
            </w:r>
            <w:r w:rsidR="00B64473">
              <w:rPr>
                <w:rFonts w:ascii="Calibri" w:eastAsiaTheme="minorEastAsia" w:hAnsi="Calibri" w:cs="Calibri"/>
                <w:color w:val="auto"/>
                <w:sz w:val="22"/>
                <w:szCs w:val="22"/>
              </w:rPr>
              <w:t>practical</w:t>
            </w:r>
            <w:r w:rsidRPr="0035532D">
              <w:rPr>
                <w:rFonts w:ascii="Calibri" w:eastAsiaTheme="minorEastAsia" w:hAnsi="Calibri" w:cs="Calibri"/>
                <w:color w:val="auto"/>
                <w:sz w:val="22"/>
                <w:szCs w:val="22"/>
              </w:rPr>
              <w:t xml:space="preserve"> experience</w:t>
            </w:r>
            <w:r w:rsidR="00B64473">
              <w:rPr>
                <w:rFonts w:ascii="Calibri" w:eastAsiaTheme="minorEastAsia" w:hAnsi="Calibri" w:cs="Calibri"/>
                <w:color w:val="auto"/>
                <w:sz w:val="22"/>
                <w:szCs w:val="22"/>
              </w:rPr>
              <w:t xml:space="preserve"> </w:t>
            </w:r>
            <w:r w:rsidRPr="0035532D">
              <w:rPr>
                <w:rFonts w:ascii="Calibri" w:eastAsiaTheme="minorEastAsia" w:hAnsi="Calibri" w:cs="Calibri"/>
                <w:color w:val="auto"/>
                <w:sz w:val="22"/>
                <w:szCs w:val="22"/>
              </w:rPr>
              <w:t xml:space="preserve">(e.g., setting roles and responsibilities to provide level of support required for </w:t>
            </w:r>
            <w:r w:rsidR="002B59D8">
              <w:rPr>
                <w:rFonts w:ascii="Calibri" w:eastAsiaTheme="minorEastAsia" w:hAnsi="Calibri" w:cs="Calibri"/>
                <w:color w:val="auto"/>
                <w:sz w:val="22"/>
                <w:szCs w:val="22"/>
              </w:rPr>
              <w:t>ITE students</w:t>
            </w:r>
            <w:r w:rsidRPr="0035532D">
              <w:rPr>
                <w:rFonts w:ascii="Calibri" w:eastAsiaTheme="minorEastAsia" w:hAnsi="Calibri" w:cs="Calibri"/>
                <w:color w:val="auto"/>
                <w:sz w:val="22"/>
                <w:szCs w:val="22"/>
              </w:rPr>
              <w:t>)</w:t>
            </w:r>
          </w:p>
          <w:p w14:paraId="66ECD89E" w14:textId="1C29D9E2" w:rsidR="0035532D" w:rsidRPr="0035532D" w:rsidRDefault="0035532D" w:rsidP="0035532D">
            <w:pPr>
              <w:pStyle w:val="ListParagraph"/>
              <w:numPr>
                <w:ilvl w:val="0"/>
                <w:numId w:val="14"/>
              </w:numPr>
              <w:rPr>
                <w:rFonts w:ascii="Calibri" w:eastAsiaTheme="minorEastAsia" w:hAnsi="Calibri" w:cs="Calibri"/>
                <w:color w:val="auto"/>
                <w:sz w:val="22"/>
                <w:szCs w:val="22"/>
              </w:rPr>
            </w:pPr>
            <w:r w:rsidRPr="0035532D">
              <w:rPr>
                <w:rFonts w:ascii="Calibri" w:eastAsiaTheme="minorEastAsia" w:hAnsi="Calibri" w:cs="Calibri"/>
                <w:color w:val="auto"/>
                <w:sz w:val="22"/>
                <w:szCs w:val="22"/>
              </w:rPr>
              <w:t xml:space="preserve">increase the quantity of </w:t>
            </w:r>
            <w:r w:rsidR="00AB47EA">
              <w:rPr>
                <w:rFonts w:ascii="Calibri" w:eastAsiaTheme="minorEastAsia" w:hAnsi="Calibri" w:cs="Calibri"/>
                <w:color w:val="auto"/>
                <w:sz w:val="22"/>
                <w:szCs w:val="22"/>
              </w:rPr>
              <w:t>placement</w:t>
            </w:r>
            <w:r w:rsidRPr="0035532D">
              <w:rPr>
                <w:rFonts w:ascii="Calibri" w:eastAsiaTheme="minorEastAsia" w:hAnsi="Calibri" w:cs="Calibri"/>
                <w:color w:val="auto"/>
                <w:sz w:val="22"/>
                <w:szCs w:val="22"/>
              </w:rPr>
              <w:t xml:space="preserve"> opportunities across the system</w:t>
            </w:r>
          </w:p>
          <w:p w14:paraId="273F11E5" w14:textId="51C2FDF9" w:rsidR="0035532D" w:rsidRPr="0035532D" w:rsidRDefault="0035532D" w:rsidP="0035532D">
            <w:pPr>
              <w:pStyle w:val="ListParagraph"/>
              <w:numPr>
                <w:ilvl w:val="0"/>
                <w:numId w:val="14"/>
              </w:numPr>
              <w:spacing w:after="120"/>
              <w:rPr>
                <w:rFonts w:ascii="Calibri" w:eastAsiaTheme="minorEastAsia" w:hAnsi="Calibri" w:cs="Calibri"/>
                <w:color w:val="auto"/>
                <w:sz w:val="22"/>
                <w:szCs w:val="22"/>
              </w:rPr>
            </w:pPr>
            <w:r w:rsidRPr="0035532D">
              <w:rPr>
                <w:rFonts w:ascii="Calibri" w:eastAsiaTheme="minorEastAsia" w:hAnsi="Calibri" w:cs="Calibri"/>
                <w:color w:val="auto"/>
                <w:sz w:val="22"/>
                <w:szCs w:val="22"/>
              </w:rPr>
              <w:t>deliver a more sustainable workforce supply across Victoria (e.g. providing a list of priority subject and geographic areas to align placements with forecast demand)</w:t>
            </w:r>
            <w:r w:rsidR="007611C7">
              <w:rPr>
                <w:rFonts w:ascii="Calibri" w:eastAsiaTheme="minorEastAsia" w:hAnsi="Calibri" w:cs="Calibri"/>
                <w:color w:val="auto"/>
                <w:sz w:val="22"/>
                <w:szCs w:val="22"/>
              </w:rPr>
              <w:t>,</w:t>
            </w:r>
            <w:r w:rsidRPr="0035532D">
              <w:rPr>
                <w:rFonts w:ascii="Calibri" w:eastAsiaTheme="minorEastAsia" w:hAnsi="Calibri" w:cs="Calibri"/>
                <w:color w:val="auto"/>
                <w:sz w:val="22"/>
                <w:szCs w:val="22"/>
              </w:rPr>
              <w:t xml:space="preserve"> and</w:t>
            </w:r>
          </w:p>
          <w:p w14:paraId="55A11BA8" w14:textId="77777777" w:rsidR="00CC19A4" w:rsidRPr="00CC19A4" w:rsidRDefault="0035532D" w:rsidP="00C574CD">
            <w:pPr>
              <w:pStyle w:val="ListParagraph"/>
              <w:numPr>
                <w:ilvl w:val="0"/>
                <w:numId w:val="14"/>
              </w:numPr>
              <w:spacing w:before="0" w:beforeAutospacing="0" w:after="120" w:afterAutospacing="0"/>
              <w:ind w:left="357" w:hanging="357"/>
              <w:rPr>
                <w:rFonts w:ascii="Calibri" w:eastAsiaTheme="minorEastAsia" w:hAnsi="Calibri" w:cs="Calibri"/>
                <w:color w:val="auto"/>
                <w:sz w:val="22"/>
                <w:szCs w:val="22"/>
              </w:rPr>
            </w:pPr>
            <w:r w:rsidRPr="0035532D">
              <w:rPr>
                <w:rFonts w:ascii="Calibri" w:eastAsiaTheme="minorEastAsia" w:hAnsi="Calibri" w:cs="Calibri"/>
                <w:color w:val="auto"/>
                <w:sz w:val="22"/>
                <w:szCs w:val="22"/>
              </w:rPr>
              <w:t>inform school improvement programs and innovation in ITE.</w:t>
            </w:r>
          </w:p>
          <w:p w14:paraId="30387192" w14:textId="0D74D1CB" w:rsidR="00E07E65" w:rsidRPr="00CC19A4" w:rsidRDefault="0035532D" w:rsidP="00A46C0A">
            <w:pPr>
              <w:spacing w:before="0" w:beforeAutospacing="0" w:after="100"/>
              <w:rPr>
                <w:rStyle w:val="Heading4Char"/>
                <w:rFonts w:ascii="Calibri" w:eastAsiaTheme="minorEastAsia" w:hAnsi="Calibri" w:cs="Calibri"/>
                <w:b w:val="0"/>
                <w:iCs w:val="0"/>
                <w:color w:val="auto"/>
                <w:sz w:val="22"/>
              </w:rPr>
            </w:pPr>
            <w:r w:rsidRPr="00CC19A4">
              <w:rPr>
                <w:rFonts w:ascii="Calibri" w:eastAsiaTheme="minorEastAsia" w:hAnsi="Calibri" w:cs="Calibri"/>
                <w:color w:val="000000" w:themeColor="text1"/>
                <w:lang w:val="en-US"/>
              </w:rPr>
              <w:t>These same parties have also signed an information sharing agreement with the Victorian Institute of Teaching which will enable better use of current ITE data and streamlining of future data collection and sharing across the system to improve the delivery of ITE</w:t>
            </w:r>
            <w:bookmarkEnd w:id="93"/>
            <w:r w:rsidRPr="00CC19A4">
              <w:rPr>
                <w:rFonts w:ascii="Calibri" w:eastAsiaTheme="minorEastAsia" w:hAnsi="Calibri" w:cs="Calibri"/>
                <w:color w:val="000000" w:themeColor="text1"/>
                <w:lang w:val="en-US"/>
              </w:rPr>
              <w:t>.</w:t>
            </w:r>
          </w:p>
        </w:tc>
      </w:tr>
    </w:tbl>
    <w:p w14:paraId="4E5CF68B" w14:textId="77777777" w:rsidR="00E07E65" w:rsidRDefault="00E07E65" w:rsidP="2009948C">
      <w:pPr>
        <w:spacing w:after="0" w:line="240" w:lineRule="auto"/>
        <w:rPr>
          <w:rStyle w:val="Heading4Char"/>
          <w:rFonts w:asciiTheme="minorHAnsi" w:hAnsiTheme="minorHAnsi" w:cstheme="minorHAnsi"/>
          <w:color w:val="002C3E" w:themeColor="background2"/>
        </w:rPr>
      </w:pPr>
    </w:p>
    <w:p w14:paraId="104DC6F2" w14:textId="1BF25338" w:rsidR="17E0EF3E" w:rsidRPr="00F53F28" w:rsidRDefault="00F53F28" w:rsidP="2009948C">
      <w:pPr>
        <w:spacing w:after="0" w:line="240" w:lineRule="auto"/>
        <w:rPr>
          <w:rStyle w:val="Heading4Char"/>
          <w:rFonts w:asciiTheme="minorHAnsi" w:hAnsiTheme="minorHAnsi" w:cstheme="minorHAnsi"/>
          <w:color w:val="002C3E" w:themeColor="background2"/>
        </w:rPr>
      </w:pPr>
      <w:r w:rsidRPr="00F53F28">
        <w:rPr>
          <w:rStyle w:val="Heading4Char"/>
          <w:rFonts w:asciiTheme="minorHAnsi" w:hAnsiTheme="minorHAnsi" w:cstheme="minorHAnsi"/>
          <w:color w:val="002C3E" w:themeColor="background2"/>
        </w:rPr>
        <w:t xml:space="preserve">3.3.2 </w:t>
      </w:r>
      <w:r w:rsidR="17E0EF3E" w:rsidRPr="00F53F28">
        <w:rPr>
          <w:rStyle w:val="Heading4Char"/>
          <w:rFonts w:asciiTheme="minorHAnsi" w:hAnsiTheme="minorHAnsi" w:cstheme="minorHAnsi"/>
          <w:color w:val="002C3E" w:themeColor="background2"/>
        </w:rPr>
        <w:t>Variable support for high</w:t>
      </w:r>
      <w:r w:rsidR="009777C6">
        <w:rPr>
          <w:rStyle w:val="Heading4Char"/>
          <w:rFonts w:asciiTheme="minorHAnsi" w:hAnsiTheme="minorHAnsi" w:cstheme="minorHAnsi"/>
          <w:color w:val="002C3E" w:themeColor="background2"/>
        </w:rPr>
        <w:t>-</w:t>
      </w:r>
      <w:r w:rsidR="17E0EF3E" w:rsidRPr="00F53F28">
        <w:rPr>
          <w:rStyle w:val="Heading4Char"/>
          <w:rFonts w:asciiTheme="minorHAnsi" w:hAnsiTheme="minorHAnsi" w:cstheme="minorHAnsi"/>
          <w:color w:val="002C3E" w:themeColor="background2"/>
        </w:rPr>
        <w:t xml:space="preserve">quality </w:t>
      </w:r>
      <w:r w:rsidR="00B64473">
        <w:rPr>
          <w:rStyle w:val="Heading4Char"/>
          <w:rFonts w:asciiTheme="minorHAnsi" w:hAnsiTheme="minorHAnsi" w:cstheme="minorHAnsi"/>
          <w:color w:val="002C3E" w:themeColor="background2"/>
        </w:rPr>
        <w:t>practical experience</w:t>
      </w:r>
      <w:r w:rsidR="17E0EF3E" w:rsidRPr="00F53F28">
        <w:rPr>
          <w:rStyle w:val="Heading4Char"/>
          <w:rFonts w:asciiTheme="minorHAnsi" w:hAnsiTheme="minorHAnsi" w:cstheme="minorHAnsi"/>
          <w:color w:val="002C3E" w:themeColor="background2"/>
        </w:rPr>
        <w:t xml:space="preserve"> </w:t>
      </w:r>
    </w:p>
    <w:p w14:paraId="14D07E48" w14:textId="12CE2B5C" w:rsidR="17E0EF3E" w:rsidRDefault="17E0EF3E" w:rsidP="2009948C">
      <w:pPr>
        <w:spacing w:after="0"/>
        <w:rPr>
          <w:rStyle w:val="normaltextrun"/>
          <w:rFonts w:eastAsia="Times New Roman"/>
          <w:color w:val="000000" w:themeColor="text1"/>
          <w:lang w:eastAsia="en-AU"/>
        </w:rPr>
      </w:pPr>
      <w:r w:rsidRPr="2009948C">
        <w:rPr>
          <w:rStyle w:val="normaltextrun"/>
          <w:rFonts w:eastAsia="Times New Roman"/>
          <w:color w:val="000000" w:themeColor="text1"/>
          <w:lang w:eastAsia="en-AU"/>
        </w:rPr>
        <w:t xml:space="preserve">Arrangements to support high-quality placements across jurisdictions, </w:t>
      </w:r>
      <w:r w:rsidR="008A6F2A">
        <w:rPr>
          <w:rStyle w:val="normaltextrun"/>
          <w:rFonts w:eastAsia="Times New Roman"/>
          <w:color w:val="000000" w:themeColor="text1"/>
          <w:lang w:eastAsia="en-AU"/>
        </w:rPr>
        <w:t>higher education</w:t>
      </w:r>
      <w:r w:rsidRPr="2009948C">
        <w:rPr>
          <w:rStyle w:val="normaltextrun"/>
          <w:rFonts w:eastAsia="Times New Roman"/>
          <w:color w:val="000000" w:themeColor="text1"/>
          <w:lang w:eastAsia="en-AU"/>
        </w:rPr>
        <w:t xml:space="preserve"> providers and school sectors vary considerably. These arrangements are often resource-intensive, particularly where there are no nationally</w:t>
      </w:r>
      <w:r w:rsidR="003A79CB">
        <w:rPr>
          <w:rStyle w:val="normaltextrun"/>
          <w:rFonts w:eastAsia="Times New Roman"/>
          <w:color w:val="000000" w:themeColor="text1"/>
          <w:lang w:eastAsia="en-AU"/>
        </w:rPr>
        <w:t xml:space="preserve"> </w:t>
      </w:r>
      <w:r w:rsidRPr="2009948C">
        <w:rPr>
          <w:rStyle w:val="normaltextrun"/>
          <w:rFonts w:eastAsia="Times New Roman"/>
          <w:color w:val="000000" w:themeColor="text1"/>
          <w:lang w:eastAsia="en-AU"/>
        </w:rPr>
        <w:t>recognised best-practice approaches. For example:</w:t>
      </w:r>
    </w:p>
    <w:p w14:paraId="0D3F0234" w14:textId="3A6F3E39" w:rsidR="001F5C3A" w:rsidRDefault="001F5C3A" w:rsidP="001F5C3A">
      <w:pPr>
        <w:pStyle w:val="ListParagraph"/>
        <w:numPr>
          <w:ilvl w:val="0"/>
          <w:numId w:val="19"/>
        </w:numPr>
        <w:ind w:left="720"/>
        <w:rPr>
          <w:b/>
          <w:bCs/>
          <w:sz w:val="22"/>
          <w:szCs w:val="22"/>
        </w:rPr>
      </w:pPr>
      <w:r w:rsidRPr="2009948C">
        <w:rPr>
          <w:b/>
          <w:bCs/>
          <w:sz w:val="22"/>
          <w:szCs w:val="22"/>
        </w:rPr>
        <w:t>System-level partnerships –</w:t>
      </w:r>
      <w:r w:rsidRPr="2009948C">
        <w:rPr>
          <w:sz w:val="22"/>
          <w:szCs w:val="22"/>
        </w:rPr>
        <w:t xml:space="preserve"> Some jurisdictions have no formal partnerships between employers and </w:t>
      </w:r>
      <w:r>
        <w:rPr>
          <w:sz w:val="22"/>
          <w:szCs w:val="22"/>
        </w:rPr>
        <w:t>higher education</w:t>
      </w:r>
      <w:r w:rsidRPr="2009948C">
        <w:rPr>
          <w:sz w:val="22"/>
          <w:szCs w:val="22"/>
        </w:rPr>
        <w:t xml:space="preserve"> providers in place. Partnerships that do exist at the jurisdiction or provider level vary in terms of parties (some do not include non-government systems) and specificity (some only set out in</w:t>
      </w:r>
      <w:r>
        <w:rPr>
          <w:sz w:val="22"/>
          <w:szCs w:val="22"/>
        </w:rPr>
        <w:t xml:space="preserve"> </w:t>
      </w:r>
      <w:r w:rsidRPr="2009948C">
        <w:rPr>
          <w:sz w:val="22"/>
          <w:szCs w:val="22"/>
        </w:rPr>
        <w:t>principle agreement to deliver high</w:t>
      </w:r>
      <w:r>
        <w:rPr>
          <w:sz w:val="22"/>
          <w:szCs w:val="22"/>
        </w:rPr>
        <w:t>-</w:t>
      </w:r>
      <w:r w:rsidRPr="2009948C">
        <w:rPr>
          <w:sz w:val="22"/>
          <w:szCs w:val="22"/>
        </w:rPr>
        <w:t xml:space="preserve">quality </w:t>
      </w:r>
      <w:r w:rsidR="00B64473">
        <w:rPr>
          <w:sz w:val="22"/>
          <w:szCs w:val="22"/>
        </w:rPr>
        <w:t>practical experience</w:t>
      </w:r>
      <w:r w:rsidRPr="2009948C">
        <w:rPr>
          <w:sz w:val="22"/>
          <w:szCs w:val="22"/>
        </w:rPr>
        <w:t>, whereas others set out specific actions and processes).</w:t>
      </w:r>
    </w:p>
    <w:p w14:paraId="7014E5C1" w14:textId="6E99396B" w:rsidR="001F5C3A" w:rsidRDefault="001F5C3A" w:rsidP="001F5C3A">
      <w:pPr>
        <w:pStyle w:val="ListParagraph"/>
        <w:numPr>
          <w:ilvl w:val="0"/>
          <w:numId w:val="19"/>
        </w:numPr>
        <w:spacing w:after="240"/>
        <w:ind w:left="714" w:hanging="357"/>
      </w:pPr>
      <w:r w:rsidRPr="28BDA523">
        <w:rPr>
          <w:b/>
          <w:bCs/>
          <w:sz w:val="22"/>
          <w:szCs w:val="22"/>
        </w:rPr>
        <w:t>Delivery models –</w:t>
      </w:r>
      <w:r>
        <w:rPr>
          <w:b/>
          <w:bCs/>
          <w:sz w:val="22"/>
          <w:szCs w:val="22"/>
        </w:rPr>
        <w:t xml:space="preserve"> </w:t>
      </w:r>
      <w:r w:rsidR="007B0725">
        <w:rPr>
          <w:sz w:val="22"/>
          <w:szCs w:val="22"/>
        </w:rPr>
        <w:t>Some jurisdictions</w:t>
      </w:r>
      <w:r w:rsidRPr="28BDA523">
        <w:rPr>
          <w:sz w:val="22"/>
          <w:szCs w:val="22"/>
        </w:rPr>
        <w:t xml:space="preserve"> have comprehensive system-level </w:t>
      </w:r>
      <w:r w:rsidR="00937098">
        <w:rPr>
          <w:sz w:val="22"/>
          <w:szCs w:val="22"/>
        </w:rPr>
        <w:t>delivery-models</w:t>
      </w:r>
      <w:r w:rsidRPr="28BDA523">
        <w:rPr>
          <w:sz w:val="22"/>
          <w:szCs w:val="22"/>
        </w:rPr>
        <w:t xml:space="preserve"> for how they </w:t>
      </w:r>
      <w:r w:rsidR="00FF10D2">
        <w:rPr>
          <w:sz w:val="22"/>
          <w:szCs w:val="22"/>
        </w:rPr>
        <w:t>facilitate</w:t>
      </w:r>
      <w:r w:rsidRPr="28BDA523">
        <w:rPr>
          <w:sz w:val="22"/>
          <w:szCs w:val="22"/>
        </w:rPr>
        <w:t xml:space="preserve"> </w:t>
      </w:r>
      <w:r w:rsidR="00B64473">
        <w:rPr>
          <w:sz w:val="22"/>
          <w:szCs w:val="22"/>
        </w:rPr>
        <w:t>practical experience</w:t>
      </w:r>
      <w:r w:rsidRPr="28BDA523">
        <w:rPr>
          <w:sz w:val="22"/>
          <w:szCs w:val="22"/>
        </w:rPr>
        <w:t>. Others may fund programs to meet specific policy objectives (e.g. regional and remote placements, placements that become part of employment-based pathways)</w:t>
      </w:r>
      <w:r w:rsidR="00767357">
        <w:rPr>
          <w:sz w:val="22"/>
          <w:szCs w:val="22"/>
        </w:rPr>
        <w:t xml:space="preserve"> or are provider based</w:t>
      </w:r>
      <w:r w:rsidRPr="28BDA523">
        <w:rPr>
          <w:sz w:val="22"/>
          <w:szCs w:val="22"/>
        </w:rPr>
        <w:t>.</w:t>
      </w:r>
    </w:p>
    <w:p w14:paraId="16B8BA69" w14:textId="4A256B0F" w:rsidR="17E0EF3E" w:rsidRDefault="17E0EF3E" w:rsidP="00C11E32">
      <w:pPr>
        <w:pStyle w:val="ListParagraph"/>
        <w:numPr>
          <w:ilvl w:val="0"/>
          <w:numId w:val="19"/>
        </w:numPr>
        <w:spacing w:after="120"/>
        <w:ind w:left="714" w:hanging="357"/>
        <w:rPr>
          <w:b/>
          <w:bCs/>
          <w:sz w:val="22"/>
          <w:szCs w:val="22"/>
        </w:rPr>
      </w:pPr>
      <w:r w:rsidRPr="2009948C">
        <w:rPr>
          <w:b/>
          <w:bCs/>
          <w:sz w:val="22"/>
          <w:szCs w:val="22"/>
        </w:rPr>
        <w:t xml:space="preserve">Support for mentor teachers – </w:t>
      </w:r>
      <w:r w:rsidRPr="2009948C">
        <w:rPr>
          <w:sz w:val="22"/>
          <w:szCs w:val="22"/>
        </w:rPr>
        <w:t xml:space="preserve">There is high variation in support and guidance for mentor teachers. Some jurisdictions provide little or no guidance. Other jurisdictional approaches range from high-level policies outlining broad roles and responsibilities to more detailed frameworks to support mentoring activities. </w:t>
      </w:r>
    </w:p>
    <w:p w14:paraId="31EC65DD" w14:textId="55A65B31" w:rsidR="00EE39C4" w:rsidRPr="00827A3D" w:rsidRDefault="00F53F28" w:rsidP="40FBDE8F">
      <w:pPr>
        <w:pStyle w:val="paragraph"/>
        <w:spacing w:before="0" w:beforeAutospacing="0" w:after="120" w:afterAutospacing="0"/>
        <w:textAlignment w:val="baseline"/>
        <w:rPr>
          <w:rStyle w:val="normaltextrun"/>
          <w:rFonts w:asciiTheme="minorHAnsi" w:eastAsiaTheme="majorEastAsia" w:hAnsiTheme="minorHAnsi" w:cstheme="minorBidi"/>
          <w:sz w:val="22"/>
          <w:szCs w:val="22"/>
        </w:rPr>
      </w:pPr>
      <w:r w:rsidRPr="00F53F28">
        <w:rPr>
          <w:rStyle w:val="Heading4Char"/>
          <w:rFonts w:asciiTheme="minorHAnsi" w:hAnsiTheme="minorHAnsi" w:cstheme="minorHAnsi"/>
          <w:color w:val="002C3E" w:themeColor="background2"/>
        </w:rPr>
        <w:t xml:space="preserve">3.3.3 </w:t>
      </w:r>
      <w:r w:rsidR="00B707E9" w:rsidRPr="00F53F28">
        <w:rPr>
          <w:rStyle w:val="Heading4Char"/>
          <w:rFonts w:asciiTheme="minorHAnsi" w:hAnsiTheme="minorHAnsi" w:cstheme="minorHAnsi"/>
          <w:color w:val="002C3E" w:themeColor="background2"/>
        </w:rPr>
        <w:t>Unclear expectations for structure and timing of placements</w:t>
      </w:r>
      <w:r w:rsidR="00B707E9" w:rsidRPr="00F53F28">
        <w:rPr>
          <w:rFonts w:asciiTheme="minorHAnsi" w:hAnsiTheme="minorHAnsi" w:cstheme="minorBidi"/>
          <w:b/>
          <w:color w:val="002C3E" w:themeColor="background2"/>
          <w:sz w:val="22"/>
          <w:szCs w:val="22"/>
        </w:rPr>
        <w:t>  </w:t>
      </w:r>
      <w:r w:rsidR="008151AF">
        <w:br/>
      </w:r>
      <w:r w:rsidR="00EE39C4" w:rsidRPr="616D2A1B">
        <w:rPr>
          <w:rStyle w:val="normaltextrun"/>
          <w:rFonts w:asciiTheme="minorHAnsi" w:eastAsiaTheme="majorEastAsia" w:hAnsiTheme="minorHAnsi" w:cstheme="minorBidi"/>
          <w:sz w:val="22"/>
          <w:szCs w:val="22"/>
        </w:rPr>
        <w:t xml:space="preserve">The requirements for </w:t>
      </w:r>
      <w:r w:rsidR="00B64473">
        <w:rPr>
          <w:rStyle w:val="normaltextrun"/>
          <w:rFonts w:asciiTheme="minorHAnsi" w:eastAsiaTheme="majorEastAsia" w:hAnsiTheme="minorHAnsi" w:cstheme="minorBidi"/>
          <w:sz w:val="22"/>
          <w:szCs w:val="22"/>
        </w:rPr>
        <w:t>practical experience</w:t>
      </w:r>
      <w:r w:rsidR="00EE39C4" w:rsidRPr="616D2A1B">
        <w:rPr>
          <w:rStyle w:val="normaltextrun"/>
          <w:rFonts w:asciiTheme="minorHAnsi" w:eastAsiaTheme="majorEastAsia" w:hAnsiTheme="minorHAnsi" w:cstheme="minorBidi"/>
          <w:sz w:val="22"/>
          <w:szCs w:val="22"/>
        </w:rPr>
        <w:t xml:space="preserve"> placements are </w:t>
      </w:r>
      <w:r w:rsidR="00EE39C4">
        <w:rPr>
          <w:rStyle w:val="normaltextrun"/>
          <w:rFonts w:asciiTheme="minorHAnsi" w:eastAsiaTheme="majorEastAsia" w:hAnsiTheme="minorHAnsi" w:cstheme="minorBidi"/>
          <w:sz w:val="22"/>
          <w:szCs w:val="22"/>
        </w:rPr>
        <w:t>set</w:t>
      </w:r>
      <w:r w:rsidR="00EE39C4" w:rsidRPr="616D2A1B">
        <w:rPr>
          <w:rStyle w:val="normaltextrun"/>
          <w:rFonts w:asciiTheme="minorHAnsi" w:eastAsiaTheme="majorEastAsia" w:hAnsiTheme="minorHAnsi" w:cstheme="minorBidi"/>
          <w:sz w:val="22"/>
          <w:szCs w:val="22"/>
        </w:rPr>
        <w:t xml:space="preserve"> out in the</w:t>
      </w:r>
      <w:r w:rsidR="00EE39C4">
        <w:rPr>
          <w:rStyle w:val="normaltextrun"/>
          <w:rFonts w:asciiTheme="minorHAnsi" w:eastAsiaTheme="majorEastAsia" w:hAnsiTheme="minorHAnsi" w:cstheme="minorBidi"/>
          <w:sz w:val="22"/>
          <w:szCs w:val="22"/>
        </w:rPr>
        <w:t xml:space="preserve"> Accreditation Standards and Procedures</w:t>
      </w:r>
      <w:r w:rsidR="00EE39C4" w:rsidRPr="616D2A1B">
        <w:rPr>
          <w:rStyle w:val="normaltextrun"/>
          <w:rFonts w:asciiTheme="minorHAnsi" w:eastAsiaTheme="majorEastAsia" w:hAnsiTheme="minorHAnsi" w:cstheme="minorBidi"/>
          <w:sz w:val="22"/>
          <w:szCs w:val="22"/>
        </w:rPr>
        <w:t>. This includes clear communication requirements between providers and schools, expected outcomes for ITE student</w:t>
      </w:r>
      <w:r w:rsidR="0048755E">
        <w:rPr>
          <w:rStyle w:val="normaltextrun"/>
          <w:rFonts w:asciiTheme="minorHAnsi" w:eastAsiaTheme="majorEastAsia" w:hAnsiTheme="minorHAnsi" w:cstheme="minorBidi"/>
          <w:sz w:val="22"/>
          <w:szCs w:val="22"/>
        </w:rPr>
        <w:t>s</w:t>
      </w:r>
      <w:r w:rsidR="00EE39C4" w:rsidRPr="616D2A1B">
        <w:rPr>
          <w:rStyle w:val="normaltextrun"/>
          <w:rFonts w:asciiTheme="minorHAnsi" w:eastAsiaTheme="majorEastAsia" w:hAnsiTheme="minorHAnsi" w:cstheme="minorBidi"/>
          <w:sz w:val="22"/>
          <w:szCs w:val="22"/>
        </w:rPr>
        <w:t xml:space="preserve"> and the minimum number of days ITE students must spend on placement</w:t>
      </w:r>
      <w:r w:rsidR="00EE39C4" w:rsidRPr="791A6E1C">
        <w:rPr>
          <w:rStyle w:val="normaltextrun"/>
          <w:rFonts w:asciiTheme="minorHAnsi" w:eastAsiaTheme="majorEastAsia" w:hAnsiTheme="minorHAnsi" w:cstheme="minorBidi"/>
          <w:sz w:val="22"/>
          <w:szCs w:val="22"/>
        </w:rPr>
        <w:t xml:space="preserve"> (</w:t>
      </w:r>
      <w:r w:rsidR="00B01557">
        <w:rPr>
          <w:rStyle w:val="normaltextrun"/>
          <w:rFonts w:asciiTheme="minorHAnsi" w:eastAsiaTheme="majorEastAsia" w:hAnsiTheme="minorHAnsi" w:cstheme="minorBidi"/>
          <w:sz w:val="22"/>
          <w:szCs w:val="22"/>
        </w:rPr>
        <w:t xml:space="preserve">Le </w:t>
      </w:r>
      <w:proofErr w:type="spellStart"/>
      <w:r w:rsidR="00B01557">
        <w:rPr>
          <w:rStyle w:val="normaltextrun"/>
          <w:rFonts w:asciiTheme="minorHAnsi" w:eastAsiaTheme="majorEastAsia" w:hAnsiTheme="minorHAnsi" w:cstheme="minorBidi"/>
          <w:sz w:val="22"/>
          <w:szCs w:val="22"/>
        </w:rPr>
        <w:t>Cornu</w:t>
      </w:r>
      <w:proofErr w:type="spellEnd"/>
      <w:r w:rsidR="00EE39C4" w:rsidRPr="03B5AACE">
        <w:rPr>
          <w:rStyle w:val="normaltextrun"/>
          <w:rFonts w:asciiTheme="minorHAnsi" w:eastAsiaTheme="majorEastAsia" w:hAnsiTheme="minorHAnsi" w:cstheme="minorBidi"/>
          <w:sz w:val="22"/>
          <w:szCs w:val="22"/>
        </w:rPr>
        <w:t xml:space="preserve"> 2015</w:t>
      </w:r>
      <w:r w:rsidR="00EE39C4" w:rsidRPr="4767C481">
        <w:rPr>
          <w:rStyle w:val="normaltextrun"/>
          <w:rFonts w:asciiTheme="minorHAnsi" w:eastAsiaTheme="majorEastAsia" w:hAnsiTheme="minorHAnsi" w:cstheme="minorBidi"/>
          <w:sz w:val="22"/>
          <w:szCs w:val="22"/>
        </w:rPr>
        <w:t>).</w:t>
      </w:r>
      <w:r w:rsidR="00EE39C4" w:rsidRPr="616D2A1B">
        <w:rPr>
          <w:rStyle w:val="normaltextrun"/>
          <w:rFonts w:asciiTheme="minorHAnsi" w:eastAsiaTheme="majorEastAsia" w:hAnsiTheme="minorHAnsi" w:cstheme="minorBidi"/>
          <w:sz w:val="22"/>
          <w:szCs w:val="22"/>
        </w:rPr>
        <w:t xml:space="preserve"> However, there is a lack of specificity as to </w:t>
      </w:r>
      <w:r w:rsidR="00EE39C4" w:rsidRPr="616D2A1B">
        <w:rPr>
          <w:rStyle w:val="normaltextrun"/>
          <w:rFonts w:asciiTheme="minorHAnsi" w:eastAsiaTheme="majorEastAsia" w:hAnsiTheme="minorHAnsi" w:cstheme="minorBidi"/>
          <w:i/>
          <w:iCs/>
          <w:sz w:val="22"/>
          <w:szCs w:val="22"/>
        </w:rPr>
        <w:t>how</w:t>
      </w:r>
      <w:r w:rsidR="00EE39C4" w:rsidRPr="616D2A1B">
        <w:rPr>
          <w:rStyle w:val="normaltextrun"/>
          <w:rFonts w:asciiTheme="minorHAnsi" w:eastAsiaTheme="majorEastAsia" w:hAnsiTheme="minorHAnsi" w:cstheme="minorBidi"/>
          <w:sz w:val="22"/>
          <w:szCs w:val="22"/>
        </w:rPr>
        <w:t xml:space="preserve"> this should be achieved.</w:t>
      </w:r>
    </w:p>
    <w:p w14:paraId="550C8BD4" w14:textId="662EC984" w:rsidR="00EE39C4" w:rsidRPr="00827A3D" w:rsidRDefault="00EE39C4" w:rsidP="00DB4D72">
      <w:pPr>
        <w:spacing w:after="120" w:line="240" w:lineRule="auto"/>
        <w:rPr>
          <w:rFonts w:eastAsiaTheme="minorEastAsia"/>
        </w:rPr>
      </w:pPr>
      <w:r w:rsidRPr="616D2A1B">
        <w:rPr>
          <w:rFonts w:eastAsiaTheme="minorEastAsia"/>
        </w:rPr>
        <w:t xml:space="preserve">While some </w:t>
      </w:r>
      <w:r w:rsidRPr="2A3B32B7">
        <w:rPr>
          <w:rFonts w:eastAsiaTheme="minorEastAsia"/>
        </w:rPr>
        <w:t>jurisdictions</w:t>
      </w:r>
      <w:r w:rsidRPr="616D2A1B">
        <w:rPr>
          <w:rFonts w:eastAsiaTheme="minorEastAsia"/>
        </w:rPr>
        <w:t xml:space="preserve"> have put mechanisms in place to clarify expectations for </w:t>
      </w:r>
      <w:r w:rsidR="00B64473">
        <w:rPr>
          <w:rFonts w:eastAsiaTheme="minorEastAsia"/>
        </w:rPr>
        <w:t>practical experience</w:t>
      </w:r>
      <w:r w:rsidRPr="616D2A1B">
        <w:rPr>
          <w:rFonts w:eastAsiaTheme="minorEastAsia"/>
        </w:rPr>
        <w:t xml:space="preserve"> design and delivery, such as Victoria through their collaborative agreements</w:t>
      </w:r>
      <w:r w:rsidR="00E65038">
        <w:rPr>
          <w:rFonts w:eastAsiaTheme="minorEastAsia"/>
        </w:rPr>
        <w:t xml:space="preserve"> or NSW through its Professional Experience Hub</w:t>
      </w:r>
      <w:r w:rsidRPr="616D2A1B">
        <w:rPr>
          <w:rFonts w:eastAsiaTheme="minorEastAsia"/>
        </w:rPr>
        <w:t xml:space="preserve">, </w:t>
      </w:r>
      <w:r w:rsidRPr="50F477B3">
        <w:rPr>
          <w:rFonts w:eastAsiaTheme="minorEastAsia"/>
        </w:rPr>
        <w:t>these</w:t>
      </w:r>
      <w:r w:rsidRPr="616D2A1B">
        <w:rPr>
          <w:rFonts w:eastAsiaTheme="minorEastAsia"/>
        </w:rPr>
        <w:t xml:space="preserve"> are not universal, leaving providers and schools to navigate these requirements. </w:t>
      </w:r>
    </w:p>
    <w:p w14:paraId="4EE77552" w14:textId="7F506156" w:rsidR="00EE39C4" w:rsidRDefault="00F53F28" w:rsidP="00DB4D72">
      <w:pPr>
        <w:pStyle w:val="paragraph"/>
        <w:spacing w:before="0" w:beforeAutospacing="0" w:after="120" w:afterAutospacing="0"/>
        <w:textAlignment w:val="baseline"/>
        <w:rPr>
          <w:rFonts w:ascii="Calibri" w:eastAsiaTheme="minorEastAsia" w:hAnsi="Calibri" w:cs="Calibri"/>
          <w:color w:val="000000" w:themeColor="text1"/>
          <w:sz w:val="22"/>
          <w:szCs w:val="22"/>
        </w:rPr>
      </w:pPr>
      <w:r w:rsidRPr="00F53F28">
        <w:rPr>
          <w:rStyle w:val="Heading4Char"/>
          <w:rFonts w:asciiTheme="minorHAnsi" w:hAnsiTheme="minorHAnsi" w:cstheme="minorHAnsi"/>
          <w:color w:val="002C3E" w:themeColor="background2"/>
        </w:rPr>
        <w:lastRenderedPageBreak/>
        <w:t xml:space="preserve">3.3.4 </w:t>
      </w:r>
      <w:r w:rsidR="00B707E9" w:rsidRPr="00F53F28">
        <w:rPr>
          <w:rStyle w:val="Heading4Char"/>
          <w:rFonts w:asciiTheme="minorHAnsi" w:hAnsiTheme="minorHAnsi" w:cstheme="minorHAnsi"/>
          <w:color w:val="002C3E" w:themeColor="background2"/>
        </w:rPr>
        <w:t>Limited teacher mentor capacity</w:t>
      </w:r>
      <w:r w:rsidR="00E65038" w:rsidRPr="00F53F28">
        <w:rPr>
          <w:rStyle w:val="Heading4Char"/>
          <w:rFonts w:asciiTheme="minorHAnsi" w:hAnsiTheme="minorHAnsi" w:cstheme="minorHAnsi"/>
          <w:color w:val="002C3E" w:themeColor="background2"/>
        </w:rPr>
        <w:t xml:space="preserve"> and </w:t>
      </w:r>
      <w:r w:rsidR="00B707E9" w:rsidRPr="00F53F28">
        <w:rPr>
          <w:rStyle w:val="Heading4Char"/>
          <w:rFonts w:asciiTheme="minorHAnsi" w:hAnsiTheme="minorHAnsi" w:cstheme="minorHAnsi"/>
          <w:color w:val="002C3E" w:themeColor="background2"/>
        </w:rPr>
        <w:t>capability</w:t>
      </w:r>
      <w:r w:rsidR="00E65038" w:rsidRPr="00F53F28" w:rsidDel="00E65038">
        <w:rPr>
          <w:rFonts w:asciiTheme="minorHAnsi" w:eastAsiaTheme="majorEastAsia" w:hAnsiTheme="minorHAnsi" w:cstheme="minorBidi"/>
          <w:b/>
          <w:color w:val="002C3E" w:themeColor="background2"/>
          <w:sz w:val="28"/>
          <w:szCs w:val="28"/>
        </w:rPr>
        <w:t xml:space="preserve"> </w:t>
      </w:r>
      <w:r w:rsidR="00F1625E">
        <w:rPr>
          <w:rFonts w:eastAsiaTheme="majorEastAsia"/>
        </w:rPr>
        <w:br/>
      </w:r>
      <w:r w:rsidR="00EE39C4">
        <w:rPr>
          <w:rStyle w:val="normaltextrun"/>
          <w:rFonts w:asciiTheme="minorHAnsi" w:eastAsiaTheme="majorEastAsia" w:hAnsiTheme="minorHAnsi" w:cstheme="minorBidi"/>
          <w:color w:val="000000" w:themeColor="text1"/>
          <w:sz w:val="22"/>
          <w:szCs w:val="22"/>
        </w:rPr>
        <w:t>Stakeholder consultation suggested that m</w:t>
      </w:r>
      <w:r w:rsidR="00EE39C4" w:rsidRPr="22AA2F06">
        <w:rPr>
          <w:rStyle w:val="normaltextrun"/>
          <w:rFonts w:asciiTheme="minorHAnsi" w:eastAsiaTheme="majorEastAsia" w:hAnsiTheme="minorHAnsi" w:cstheme="minorBidi"/>
          <w:color w:val="000000" w:themeColor="text1"/>
          <w:sz w:val="22"/>
          <w:szCs w:val="22"/>
        </w:rPr>
        <w:t>any teachers do not feel they have the time to mentor ITE students beyond their existing teaching demands</w:t>
      </w:r>
      <w:r w:rsidR="00EE39C4" w:rsidRPr="001A2944">
        <w:rPr>
          <w:rStyle w:val="normaltextrun"/>
          <w:rFonts w:asciiTheme="minorHAnsi" w:eastAsiaTheme="majorEastAsia" w:hAnsiTheme="minorHAnsi" w:cstheme="minorBidi"/>
          <w:color w:val="000000" w:themeColor="text1"/>
          <w:sz w:val="22"/>
          <w:szCs w:val="22"/>
        </w:rPr>
        <w:t>.</w:t>
      </w:r>
      <w:r w:rsidR="00EE39C4" w:rsidRPr="22AA2F06">
        <w:rPr>
          <w:rStyle w:val="normaltextrun"/>
          <w:rFonts w:asciiTheme="minorHAnsi" w:eastAsiaTheme="majorEastAsia" w:hAnsiTheme="minorHAnsi" w:cstheme="minorBidi"/>
          <w:color w:val="000000" w:themeColor="text1"/>
          <w:sz w:val="22"/>
          <w:szCs w:val="22"/>
        </w:rPr>
        <w:t xml:space="preserve"> Current processes for selecting mentors are typically ad-hoc and unstructured. Poorly planned selection can lead to high variation in </w:t>
      </w:r>
      <w:r w:rsidR="00EE39C4" w:rsidRPr="00614C0D">
        <w:rPr>
          <w:rStyle w:val="normaltextrun"/>
          <w:rFonts w:ascii="Calibri" w:eastAsiaTheme="majorEastAsia" w:hAnsi="Calibri" w:cs="Calibri"/>
          <w:color w:val="000000" w:themeColor="text1"/>
          <w:sz w:val="22"/>
          <w:szCs w:val="22"/>
        </w:rPr>
        <w:t>a school’s mentor cohort in terms of experience, capability and investment in the role. Mentors may also be unaware of – or lack access to – professional development opportunities that would improve their capability. For example, an evaluation of AITSL’s Supervising Preservice Teachers program demonstrated that while the program was effective, many teachers were unaware of its benefits (</w:t>
      </w:r>
      <w:proofErr w:type="spellStart"/>
      <w:r w:rsidR="00EE39C4" w:rsidRPr="00614C0D">
        <w:rPr>
          <w:rStyle w:val="normaltextrun"/>
          <w:rFonts w:ascii="Calibri" w:eastAsiaTheme="majorEastAsia" w:hAnsi="Calibri" w:cs="Calibri"/>
          <w:color w:val="000000" w:themeColor="text1"/>
          <w:sz w:val="22"/>
          <w:szCs w:val="22"/>
        </w:rPr>
        <w:t>Ronfeldt</w:t>
      </w:r>
      <w:proofErr w:type="spellEnd"/>
      <w:r w:rsidR="00EE39C4" w:rsidRPr="00614C0D">
        <w:rPr>
          <w:rStyle w:val="normaltextrun"/>
          <w:rFonts w:ascii="Calibri" w:eastAsiaTheme="majorEastAsia" w:hAnsi="Calibri" w:cs="Calibri"/>
          <w:color w:val="000000" w:themeColor="text1"/>
          <w:sz w:val="22"/>
          <w:szCs w:val="22"/>
        </w:rPr>
        <w:t xml:space="preserve"> 2021). Furthermore, stakeholder consultation suggested that t</w:t>
      </w:r>
      <w:r w:rsidR="00EE39C4" w:rsidRPr="00614C0D">
        <w:rPr>
          <w:rFonts w:ascii="Calibri" w:eastAsiaTheme="minorEastAsia" w:hAnsi="Calibri" w:cs="Calibri"/>
          <w:color w:val="000000" w:themeColor="text1"/>
          <w:sz w:val="22"/>
          <w:szCs w:val="22"/>
        </w:rPr>
        <w:t xml:space="preserve">eacher workforce shortages compound the scarcity of teacher mentors. </w:t>
      </w:r>
    </w:p>
    <w:p w14:paraId="2764055A" w14:textId="073CAB6C" w:rsidR="00791FD2" w:rsidRPr="00334EE5" w:rsidRDefault="00F53F28" w:rsidP="00DB4D72">
      <w:pPr>
        <w:spacing w:after="120" w:line="240" w:lineRule="auto"/>
        <w:textAlignment w:val="baseline"/>
        <w:rPr>
          <w:rStyle w:val="normaltextrun"/>
          <w:rFonts w:eastAsia="Times New Roman"/>
          <w:color w:val="000000" w:themeColor="text1"/>
          <w:lang w:eastAsia="en-AU"/>
        </w:rPr>
      </w:pPr>
      <w:r w:rsidRPr="00F53F28">
        <w:rPr>
          <w:rStyle w:val="Heading4Char"/>
          <w:rFonts w:asciiTheme="minorHAnsi" w:hAnsiTheme="minorHAnsi" w:cstheme="minorHAnsi"/>
          <w:color w:val="002C3E" w:themeColor="background2"/>
        </w:rPr>
        <w:t xml:space="preserve">3.3.5 </w:t>
      </w:r>
      <w:r w:rsidR="00EE39C4" w:rsidRPr="00F53F28">
        <w:rPr>
          <w:rStyle w:val="Heading4Char"/>
          <w:rFonts w:asciiTheme="minorHAnsi" w:hAnsiTheme="minorHAnsi" w:cstheme="minorHAnsi"/>
          <w:color w:val="002C3E" w:themeColor="background2"/>
        </w:rPr>
        <w:t xml:space="preserve">Acute and specific challenges to delivering high-quality </w:t>
      </w:r>
      <w:r w:rsidR="00B64473">
        <w:rPr>
          <w:rStyle w:val="Heading4Char"/>
          <w:rFonts w:asciiTheme="minorHAnsi" w:hAnsiTheme="minorHAnsi" w:cstheme="minorHAnsi"/>
          <w:color w:val="002C3E" w:themeColor="background2"/>
        </w:rPr>
        <w:t>practical experience</w:t>
      </w:r>
      <w:r w:rsidR="00EE39C4" w:rsidRPr="00F53F28">
        <w:rPr>
          <w:rStyle w:val="Heading4Char"/>
          <w:rFonts w:asciiTheme="minorHAnsi" w:hAnsiTheme="minorHAnsi" w:cstheme="minorHAnsi"/>
          <w:color w:val="002C3E" w:themeColor="background2"/>
        </w:rPr>
        <w:t xml:space="preserve"> in </w:t>
      </w:r>
      <w:r w:rsidR="0033538B" w:rsidRPr="00F53F28">
        <w:rPr>
          <w:rStyle w:val="Heading4Char"/>
          <w:rFonts w:asciiTheme="minorHAnsi" w:hAnsiTheme="minorHAnsi" w:cstheme="minorHAnsi"/>
          <w:color w:val="002C3E" w:themeColor="background2"/>
        </w:rPr>
        <w:t>regional, rural and remote (</w:t>
      </w:r>
      <w:r w:rsidR="00EE39C4" w:rsidRPr="00F53F28">
        <w:rPr>
          <w:rStyle w:val="Heading4Char"/>
          <w:rFonts w:asciiTheme="minorHAnsi" w:hAnsiTheme="minorHAnsi" w:cstheme="minorHAnsi"/>
          <w:color w:val="002C3E" w:themeColor="background2"/>
        </w:rPr>
        <w:t>RRR</w:t>
      </w:r>
      <w:r w:rsidR="0033538B" w:rsidRPr="00F53F28">
        <w:rPr>
          <w:rStyle w:val="Heading4Char"/>
          <w:rFonts w:asciiTheme="minorHAnsi" w:hAnsiTheme="minorHAnsi" w:cstheme="minorHAnsi"/>
          <w:color w:val="002C3E" w:themeColor="background2"/>
        </w:rPr>
        <w:t>)</w:t>
      </w:r>
      <w:r w:rsidR="00EE39C4" w:rsidRPr="00F53F28">
        <w:rPr>
          <w:rStyle w:val="Heading4Char"/>
          <w:rFonts w:asciiTheme="minorHAnsi" w:hAnsiTheme="minorHAnsi" w:cstheme="minorHAnsi"/>
          <w:color w:val="002C3E" w:themeColor="background2"/>
        </w:rPr>
        <w:t xml:space="preserve"> contexts</w:t>
      </w:r>
      <w:r w:rsidR="00EE39C4">
        <w:br/>
      </w:r>
      <w:r w:rsidR="00EE39C4" w:rsidRPr="10479CB5">
        <w:rPr>
          <w:rStyle w:val="normaltextrun"/>
          <w:rFonts w:eastAsia="Times New Roman"/>
          <w:color w:val="000000" w:themeColor="text1"/>
          <w:lang w:eastAsia="en-AU"/>
        </w:rPr>
        <w:t xml:space="preserve">RRR </w:t>
      </w:r>
      <w:r w:rsidR="00DD7106">
        <w:rPr>
          <w:rStyle w:val="normaltextrun"/>
          <w:rFonts w:eastAsia="Times New Roman"/>
          <w:color w:val="000000" w:themeColor="text1"/>
          <w:lang w:eastAsia="en-AU"/>
        </w:rPr>
        <w:t>schools</w:t>
      </w:r>
      <w:r w:rsidR="00EE39C4" w:rsidRPr="10479CB5">
        <w:rPr>
          <w:rStyle w:val="normaltextrun"/>
          <w:rFonts w:eastAsia="Times New Roman"/>
          <w:color w:val="000000" w:themeColor="text1"/>
          <w:lang w:eastAsia="en-AU"/>
        </w:rPr>
        <w:t xml:space="preserve"> generally have less capacity </w:t>
      </w:r>
      <w:r w:rsidR="00EE39C4">
        <w:rPr>
          <w:rStyle w:val="normaltextrun"/>
          <w:rFonts w:eastAsia="Times New Roman"/>
          <w:color w:val="000000" w:themeColor="text1"/>
          <w:lang w:eastAsia="en-AU"/>
        </w:rPr>
        <w:t xml:space="preserve">and capability </w:t>
      </w:r>
      <w:r w:rsidR="00EE39C4" w:rsidRPr="10479CB5">
        <w:rPr>
          <w:rStyle w:val="normaltextrun"/>
          <w:rFonts w:eastAsia="Times New Roman"/>
          <w:color w:val="000000" w:themeColor="text1"/>
          <w:lang w:eastAsia="en-AU"/>
        </w:rPr>
        <w:t>to host ITE students</w:t>
      </w:r>
      <w:r w:rsidR="00EE39C4" w:rsidRPr="009363AF">
        <w:rPr>
          <w:rStyle w:val="normaltextrun"/>
          <w:rFonts w:eastAsia="Times New Roman"/>
          <w:color w:val="000000" w:themeColor="text1"/>
          <w:lang w:eastAsia="en-AU"/>
        </w:rPr>
        <w:t xml:space="preserve">, </w:t>
      </w:r>
      <w:r w:rsidR="007C40AD" w:rsidRPr="009363AF">
        <w:rPr>
          <w:rStyle w:val="normaltextrun"/>
          <w:rFonts w:eastAsia="Times New Roman"/>
          <w:color w:val="000000" w:themeColor="text1"/>
          <w:lang w:eastAsia="en-AU"/>
        </w:rPr>
        <w:t xml:space="preserve">because for example they can have </w:t>
      </w:r>
      <w:r w:rsidR="00EE39C4" w:rsidRPr="009363AF">
        <w:rPr>
          <w:rStyle w:val="normaltextrun"/>
          <w:rFonts w:eastAsia="Times New Roman"/>
          <w:color w:val="000000" w:themeColor="text1"/>
          <w:lang w:eastAsia="en-AU"/>
        </w:rPr>
        <w:t>a high proportion of early career teachers in these schools</w:t>
      </w:r>
      <w:r w:rsidR="00EE39C4" w:rsidRPr="1827C63C">
        <w:rPr>
          <w:rStyle w:val="normaltextrun"/>
          <w:rFonts w:eastAsia="Times New Roman"/>
          <w:color w:val="000000" w:themeColor="text1"/>
          <w:lang w:eastAsia="en-AU"/>
        </w:rPr>
        <w:t xml:space="preserve"> (Downes </w:t>
      </w:r>
      <w:r w:rsidR="008B312A">
        <w:rPr>
          <w:rStyle w:val="normaltextrun"/>
          <w:rFonts w:eastAsia="Times New Roman"/>
          <w:color w:val="000000" w:themeColor="text1"/>
          <w:lang w:eastAsia="en-AU"/>
        </w:rPr>
        <w:t>and</w:t>
      </w:r>
      <w:r w:rsidR="00EE39C4" w:rsidRPr="1827C63C">
        <w:rPr>
          <w:rStyle w:val="normaltextrun"/>
          <w:rFonts w:eastAsia="Times New Roman"/>
          <w:color w:val="000000" w:themeColor="text1"/>
          <w:lang w:eastAsia="en-AU"/>
        </w:rPr>
        <w:t xml:space="preserve"> Roberts 2017</w:t>
      </w:r>
      <w:r w:rsidR="00EE39C4" w:rsidRPr="50B055A5">
        <w:rPr>
          <w:rStyle w:val="normaltextrun"/>
          <w:rFonts w:eastAsia="Times New Roman"/>
          <w:color w:val="000000" w:themeColor="text1"/>
          <w:lang w:eastAsia="en-AU"/>
        </w:rPr>
        <w:t>).</w:t>
      </w:r>
      <w:r w:rsidR="00EE39C4">
        <w:rPr>
          <w:rStyle w:val="normaltextrun"/>
          <w:rFonts w:eastAsia="Times New Roman"/>
          <w:color w:val="000000" w:themeColor="text1"/>
          <w:lang w:eastAsia="en-AU"/>
        </w:rPr>
        <w:t xml:space="preserve"> </w:t>
      </w:r>
      <w:r w:rsidR="00EE39C4" w:rsidRPr="681ECDD9">
        <w:rPr>
          <w:rStyle w:val="normaltextrun"/>
          <w:rFonts w:eastAsia="Times New Roman"/>
          <w:color w:val="000000" w:themeColor="text1"/>
          <w:lang w:eastAsia="en-AU"/>
        </w:rPr>
        <w:t xml:space="preserve">Stakeholder </w:t>
      </w:r>
      <w:r w:rsidR="00EE39C4" w:rsidRPr="72BA0A8A">
        <w:rPr>
          <w:rStyle w:val="normaltextrun"/>
          <w:rFonts w:eastAsia="Times New Roman"/>
          <w:color w:val="000000" w:themeColor="text1"/>
          <w:lang w:eastAsia="en-AU"/>
        </w:rPr>
        <w:t xml:space="preserve">consultation highlighted </w:t>
      </w:r>
      <w:r w:rsidR="00EE39C4" w:rsidRPr="4F67F483">
        <w:rPr>
          <w:rStyle w:val="normaltextrun"/>
          <w:rFonts w:eastAsia="Times New Roman"/>
          <w:color w:val="000000" w:themeColor="text1"/>
          <w:lang w:eastAsia="en-AU"/>
        </w:rPr>
        <w:t>the</w:t>
      </w:r>
      <w:r w:rsidR="00EE39C4" w:rsidRPr="10479CB5">
        <w:rPr>
          <w:rStyle w:val="normaltextrun"/>
          <w:rFonts w:eastAsia="Times New Roman"/>
          <w:color w:val="000000" w:themeColor="text1"/>
          <w:lang w:eastAsia="en-AU"/>
        </w:rPr>
        <w:t xml:space="preserve"> unique and significant role RRR schools play in community life means that ITE students need to be not only be ‘classroom</w:t>
      </w:r>
      <w:r w:rsidR="00CC5F7D">
        <w:rPr>
          <w:rStyle w:val="normaltextrun"/>
          <w:rFonts w:eastAsia="Times New Roman"/>
          <w:color w:val="000000" w:themeColor="text1"/>
          <w:lang w:eastAsia="en-AU"/>
        </w:rPr>
        <w:t xml:space="preserve"> r</w:t>
      </w:r>
      <w:r w:rsidR="00EE39C4" w:rsidRPr="10479CB5">
        <w:rPr>
          <w:rStyle w:val="normaltextrun"/>
          <w:rFonts w:eastAsia="Times New Roman"/>
          <w:color w:val="000000" w:themeColor="text1"/>
          <w:lang w:eastAsia="en-AU"/>
        </w:rPr>
        <w:t>eady’ but ‘community</w:t>
      </w:r>
      <w:r w:rsidR="00CC5F7D">
        <w:rPr>
          <w:rStyle w:val="normaltextrun"/>
          <w:rFonts w:eastAsia="Times New Roman"/>
          <w:color w:val="000000" w:themeColor="text1"/>
          <w:lang w:eastAsia="en-AU"/>
        </w:rPr>
        <w:t xml:space="preserve"> </w:t>
      </w:r>
      <w:r w:rsidR="00EE39C4" w:rsidRPr="10479CB5">
        <w:rPr>
          <w:rStyle w:val="normaltextrun"/>
          <w:rFonts w:eastAsia="Times New Roman"/>
          <w:color w:val="000000" w:themeColor="text1"/>
          <w:lang w:eastAsia="en-AU"/>
        </w:rPr>
        <w:t>ready’ to be set up for success</w:t>
      </w:r>
      <w:r w:rsidR="00EE39C4" w:rsidRPr="00D8CF59">
        <w:rPr>
          <w:rStyle w:val="normaltextrun"/>
          <w:rFonts w:eastAsia="Times New Roman"/>
          <w:color w:val="000000" w:themeColor="text1"/>
          <w:lang w:eastAsia="en-AU"/>
        </w:rPr>
        <w:t xml:space="preserve"> (</w:t>
      </w:r>
      <w:r w:rsidR="00B01557">
        <w:rPr>
          <w:rStyle w:val="normaltextrun"/>
          <w:rFonts w:eastAsia="Times New Roman"/>
          <w:color w:val="000000" w:themeColor="text1"/>
          <w:lang w:eastAsia="en-AU"/>
        </w:rPr>
        <w:t xml:space="preserve">Le </w:t>
      </w:r>
      <w:proofErr w:type="spellStart"/>
      <w:r w:rsidR="00B01557">
        <w:rPr>
          <w:rStyle w:val="normaltextrun"/>
          <w:rFonts w:eastAsia="Times New Roman"/>
          <w:color w:val="000000" w:themeColor="text1"/>
          <w:lang w:eastAsia="en-AU"/>
        </w:rPr>
        <w:t>Cornu</w:t>
      </w:r>
      <w:proofErr w:type="spellEnd"/>
      <w:r w:rsidR="00EE39C4" w:rsidRPr="00D8CF59">
        <w:rPr>
          <w:rStyle w:val="normaltextrun"/>
          <w:rFonts w:eastAsia="Times New Roman"/>
          <w:color w:val="000000" w:themeColor="text1"/>
          <w:lang w:eastAsia="en-AU"/>
        </w:rPr>
        <w:t xml:space="preserve"> </w:t>
      </w:r>
      <w:r w:rsidR="00EE39C4" w:rsidRPr="489536DE">
        <w:rPr>
          <w:rStyle w:val="normaltextrun"/>
          <w:rFonts w:eastAsia="Times New Roman"/>
          <w:color w:val="000000" w:themeColor="text1"/>
          <w:lang w:eastAsia="en-AU"/>
        </w:rPr>
        <w:t>2015).</w:t>
      </w:r>
      <w:r w:rsidR="00EE39C4" w:rsidRPr="10479CB5">
        <w:rPr>
          <w:rStyle w:val="normaltextrun"/>
          <w:rFonts w:eastAsia="Times New Roman"/>
          <w:color w:val="000000" w:themeColor="text1"/>
          <w:lang w:eastAsia="en-AU"/>
        </w:rPr>
        <w:t xml:space="preserve"> This is particularly important for </w:t>
      </w:r>
      <w:r w:rsidR="00B64473">
        <w:rPr>
          <w:rStyle w:val="normaltextrun"/>
          <w:rFonts w:eastAsia="Times New Roman"/>
          <w:color w:val="000000" w:themeColor="text1"/>
          <w:lang w:eastAsia="en-AU"/>
        </w:rPr>
        <w:t>practical experience placements</w:t>
      </w:r>
      <w:r w:rsidR="00EE39C4" w:rsidRPr="10479CB5">
        <w:rPr>
          <w:rStyle w:val="normaltextrun"/>
          <w:rFonts w:eastAsia="Times New Roman"/>
          <w:color w:val="000000" w:themeColor="text1"/>
          <w:lang w:eastAsia="en-AU"/>
        </w:rPr>
        <w:t xml:space="preserve"> in remote</w:t>
      </w:r>
      <w:r w:rsidR="00EE39C4" w:rsidRPr="002E565C">
        <w:rPr>
          <w:rStyle w:val="normaltextrun"/>
          <w:rFonts w:eastAsiaTheme="minorEastAsia"/>
          <w:color w:val="000000" w:themeColor="text1"/>
          <w:lang w:eastAsia="en-AU"/>
        </w:rPr>
        <w:t xml:space="preserve"> </w:t>
      </w:r>
      <w:r w:rsidR="003F63FA">
        <w:rPr>
          <w:rStyle w:val="normaltextrun"/>
          <w:rFonts w:eastAsiaTheme="minorEastAsia"/>
          <w:color w:val="000000" w:themeColor="text1"/>
          <w:lang w:eastAsia="en-AU"/>
        </w:rPr>
        <w:t>First Nations</w:t>
      </w:r>
      <w:r w:rsidR="00EE39C4" w:rsidRPr="002E565C">
        <w:rPr>
          <w:rStyle w:val="normaltextrun"/>
          <w:rFonts w:eastAsiaTheme="minorEastAsia"/>
          <w:color w:val="000000" w:themeColor="text1"/>
          <w:lang w:eastAsia="en-AU"/>
        </w:rPr>
        <w:t xml:space="preserve"> communities, and many ITE students may lack cultural </w:t>
      </w:r>
      <w:r w:rsidR="00EE39C4" w:rsidRPr="008A6BB5">
        <w:rPr>
          <w:rStyle w:val="normaltextrun"/>
          <w:rFonts w:eastAsiaTheme="minorEastAsia"/>
          <w:lang w:eastAsia="en-AU"/>
        </w:rPr>
        <w:t xml:space="preserve">competency </w:t>
      </w:r>
      <w:r w:rsidR="00EE39C4" w:rsidRPr="008A6BB5">
        <w:rPr>
          <w:rFonts w:eastAsiaTheme="minorEastAsia"/>
        </w:rPr>
        <w:t>(</w:t>
      </w:r>
      <w:proofErr w:type="spellStart"/>
      <w:r w:rsidR="00EE39C4" w:rsidRPr="008A6BB5">
        <w:rPr>
          <w:rFonts w:eastAsiaTheme="minorEastAsia"/>
        </w:rPr>
        <w:t>Ure</w:t>
      </w:r>
      <w:proofErr w:type="spellEnd"/>
      <w:r w:rsidR="00EE39C4" w:rsidRPr="008A6BB5">
        <w:rPr>
          <w:rFonts w:eastAsiaTheme="minorEastAsia"/>
        </w:rPr>
        <w:t xml:space="preserve"> et al. 2017)</w:t>
      </w:r>
      <w:r w:rsidR="00EE39C4" w:rsidRPr="008A6BB5">
        <w:rPr>
          <w:rStyle w:val="normaltextrun"/>
          <w:rFonts w:eastAsiaTheme="minorEastAsia"/>
          <w:lang w:eastAsia="en-AU"/>
        </w:rPr>
        <w:t>. The</w:t>
      </w:r>
      <w:r w:rsidR="00EE39C4" w:rsidRPr="008A6BB5">
        <w:rPr>
          <w:rStyle w:val="normaltextrun"/>
          <w:rFonts w:eastAsia="Times New Roman"/>
          <w:lang w:eastAsia="en-AU"/>
        </w:rPr>
        <w:t xml:space="preserve">se </w:t>
      </w:r>
      <w:r w:rsidR="00EE39C4" w:rsidRPr="616D2A1B">
        <w:rPr>
          <w:rStyle w:val="normaltextrun"/>
          <w:rFonts w:eastAsia="Times New Roman"/>
          <w:color w:val="000000" w:themeColor="text1"/>
          <w:lang w:eastAsia="en-AU"/>
        </w:rPr>
        <w:t>placements</w:t>
      </w:r>
      <w:r w:rsidR="00EE39C4" w:rsidRPr="10479CB5">
        <w:rPr>
          <w:rStyle w:val="normaltextrun"/>
          <w:rFonts w:eastAsia="Times New Roman"/>
          <w:color w:val="000000" w:themeColor="text1"/>
          <w:lang w:eastAsia="en-AU"/>
        </w:rPr>
        <w:t xml:space="preserve"> may also be less attractive for ITE students relocating from metro / interstate origins due to</w:t>
      </w:r>
      <w:r w:rsidR="00EE39C4">
        <w:rPr>
          <w:rStyle w:val="normaltextrun"/>
          <w:rFonts w:eastAsia="Times New Roman"/>
          <w:color w:val="000000" w:themeColor="text1"/>
          <w:lang w:eastAsia="en-AU"/>
        </w:rPr>
        <w:t xml:space="preserve"> financial and personal challenges, such as transport, accommodation, social isolation</w:t>
      </w:r>
      <w:r w:rsidR="00EE39C4" w:rsidRPr="616D2A1B">
        <w:rPr>
          <w:rStyle w:val="normaltextrun"/>
          <w:rFonts w:eastAsia="Times New Roman"/>
          <w:color w:val="000000" w:themeColor="text1"/>
          <w:lang w:eastAsia="en-AU"/>
        </w:rPr>
        <w:t xml:space="preserve"> and</w:t>
      </w:r>
      <w:r w:rsidR="00EE39C4">
        <w:rPr>
          <w:rStyle w:val="normaltextrun"/>
          <w:rFonts w:eastAsia="Times New Roman"/>
          <w:color w:val="000000" w:themeColor="text1"/>
          <w:lang w:eastAsia="en-AU"/>
        </w:rPr>
        <w:t xml:space="preserve"> access to essential services. </w:t>
      </w:r>
    </w:p>
    <w:tbl>
      <w:tblPr>
        <w:tblStyle w:val="EDU-Basic"/>
        <w:tblW w:w="0" w:type="auto"/>
        <w:tblLook w:val="04A0" w:firstRow="1" w:lastRow="0" w:firstColumn="1" w:lastColumn="0" w:noHBand="0" w:noVBand="1"/>
      </w:tblPr>
      <w:tblGrid>
        <w:gridCol w:w="9016"/>
      </w:tblGrid>
      <w:tr w:rsidR="004E087A" w14:paraId="1D4705ED" w14:textId="77777777" w:rsidTr="24144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il"/>
              <w:left w:val="nil"/>
              <w:bottom w:val="nil"/>
              <w:right w:val="nil"/>
            </w:tcBorders>
            <w:shd w:val="clear" w:color="auto" w:fill="FEEBB9" w:themeFill="accent2" w:themeFillTint="66"/>
          </w:tcPr>
          <w:p w14:paraId="15325D96" w14:textId="77777777" w:rsidR="00F74A75" w:rsidRPr="002B7F37" w:rsidRDefault="00F74A75" w:rsidP="002D3979">
            <w:pPr>
              <w:spacing w:before="0" w:beforeAutospacing="0" w:after="0" w:afterAutospacing="0"/>
              <w:rPr>
                <w:rFonts w:eastAsiaTheme="minorEastAsia"/>
                <w:b/>
                <w:color w:val="000000" w:themeColor="text1"/>
                <w:lang w:val="en-US"/>
              </w:rPr>
            </w:pPr>
            <w:r w:rsidRPr="002B7F37">
              <w:rPr>
                <w:rFonts w:eastAsiaTheme="minorEastAsia"/>
                <w:b/>
                <w:color w:val="000000" w:themeColor="text1"/>
                <w:lang w:val="en-US"/>
              </w:rPr>
              <w:t>Case study: Partnering for Remote Education Experience Project (</w:t>
            </w:r>
            <w:proofErr w:type="spellStart"/>
            <w:r w:rsidRPr="002B7F37">
              <w:rPr>
                <w:rFonts w:eastAsiaTheme="minorEastAsia"/>
                <w:b/>
                <w:color w:val="000000" w:themeColor="text1"/>
                <w:lang w:val="en-US"/>
              </w:rPr>
              <w:t>PREEpard</w:t>
            </w:r>
            <w:proofErr w:type="spellEnd"/>
            <w:r w:rsidRPr="002B7F37">
              <w:rPr>
                <w:rFonts w:eastAsiaTheme="minorEastAsia"/>
                <w:b/>
                <w:color w:val="000000" w:themeColor="text1"/>
                <w:lang w:val="en-US"/>
              </w:rPr>
              <w:t xml:space="preserve">), Victorian Department of Education and Monash University </w:t>
            </w:r>
          </w:p>
          <w:p w14:paraId="483D080D" w14:textId="1DFA9CEC" w:rsidR="00F74A75" w:rsidRPr="002B7F37" w:rsidRDefault="00F74A75" w:rsidP="2414454B">
            <w:pPr>
              <w:spacing w:before="0" w:beforeAutospacing="0" w:after="0" w:afterAutospacing="0"/>
              <w:rPr>
                <w:rFonts w:eastAsiaTheme="minorEastAsia"/>
                <w:color w:val="000000" w:themeColor="text1"/>
                <w:lang w:val="en-US"/>
              </w:rPr>
            </w:pPr>
            <w:r w:rsidRPr="2414454B">
              <w:rPr>
                <w:rFonts w:eastAsiaTheme="minorEastAsia"/>
                <w:color w:val="000000" w:themeColor="text1"/>
                <w:lang w:val="en-US"/>
              </w:rPr>
              <w:t xml:space="preserve">This project’s approach to ITE students </w:t>
            </w:r>
            <w:r w:rsidR="00B64473" w:rsidRPr="2414454B">
              <w:rPr>
                <w:rFonts w:eastAsiaTheme="minorEastAsia"/>
                <w:color w:val="auto"/>
                <w:lang w:val="en-US"/>
              </w:rPr>
              <w:t>practical experience</w:t>
            </w:r>
            <w:r w:rsidRPr="2414454B">
              <w:rPr>
                <w:rFonts w:eastAsiaTheme="minorEastAsia"/>
                <w:color w:val="auto"/>
                <w:lang w:val="en-US"/>
              </w:rPr>
              <w:t xml:space="preserve"> </w:t>
            </w:r>
            <w:r w:rsidRPr="2414454B">
              <w:rPr>
                <w:rFonts w:eastAsiaTheme="minorEastAsia"/>
                <w:color w:val="000000" w:themeColor="text1"/>
                <w:lang w:val="en-US"/>
              </w:rPr>
              <w:t xml:space="preserve">placements in remote contexts was underpinned by strong school, community and ITE provider relationships. The project provided high-level recruitment, preparation, resources, support and guidance to ITE students completing their </w:t>
            </w:r>
            <w:r w:rsidR="00B64473" w:rsidRPr="2414454B">
              <w:rPr>
                <w:rFonts w:eastAsiaTheme="minorEastAsia"/>
                <w:color w:val="auto"/>
                <w:lang w:val="en-US"/>
              </w:rPr>
              <w:t>practical experience</w:t>
            </w:r>
            <w:r w:rsidRPr="2414454B">
              <w:rPr>
                <w:rFonts w:eastAsiaTheme="minorEastAsia"/>
                <w:color w:val="auto"/>
                <w:lang w:val="en-US"/>
              </w:rPr>
              <w:t xml:space="preserve"> placements </w:t>
            </w:r>
            <w:r w:rsidRPr="2414454B">
              <w:rPr>
                <w:rFonts w:eastAsiaTheme="minorEastAsia"/>
                <w:color w:val="000000" w:themeColor="text1"/>
                <w:lang w:val="en-US"/>
              </w:rPr>
              <w:t>in RRR context. Researchers developed curriculum and professional experience resources for ITE providers to use to prepare ITE students for placements in schools and remote Aboriginal and Torres Strait communities, including:</w:t>
            </w:r>
          </w:p>
          <w:p w14:paraId="686ABC47" w14:textId="409628F3" w:rsidR="00F74A75" w:rsidRPr="002B7F37" w:rsidRDefault="00F74A75" w:rsidP="002D3979">
            <w:pPr>
              <w:pStyle w:val="ListParagraph"/>
              <w:numPr>
                <w:ilvl w:val="0"/>
                <w:numId w:val="15"/>
              </w:numPr>
              <w:spacing w:before="0" w:beforeAutospacing="0" w:afterAutospacing="0"/>
              <w:ind w:left="714" w:hanging="357"/>
              <w:rPr>
                <w:rFonts w:eastAsiaTheme="minorEastAsia"/>
                <w:color w:val="000000" w:themeColor="text1"/>
                <w:sz w:val="22"/>
                <w:szCs w:val="22"/>
                <w:lang w:val="en-US"/>
              </w:rPr>
            </w:pPr>
            <w:r w:rsidRPr="002B7F37">
              <w:rPr>
                <w:rFonts w:eastAsiaTheme="minorEastAsia"/>
                <w:color w:val="000000" w:themeColor="text1"/>
                <w:sz w:val="22"/>
                <w:szCs w:val="22"/>
                <w:lang w:val="en-US"/>
              </w:rPr>
              <w:t>A literature review providing background information</w:t>
            </w:r>
          </w:p>
          <w:p w14:paraId="61C5DCA9" w14:textId="5BADD6E8" w:rsidR="00F74A75" w:rsidRPr="002B7F37" w:rsidRDefault="00F74A75" w:rsidP="002D3979">
            <w:pPr>
              <w:pStyle w:val="ListParagraph"/>
              <w:numPr>
                <w:ilvl w:val="0"/>
                <w:numId w:val="15"/>
              </w:numPr>
              <w:spacing w:before="0" w:beforeAutospacing="0" w:afterAutospacing="0"/>
              <w:rPr>
                <w:rFonts w:eastAsiaTheme="minorEastAsia"/>
                <w:color w:val="000000" w:themeColor="text1"/>
                <w:sz w:val="22"/>
                <w:szCs w:val="22"/>
                <w:lang w:val="en-US"/>
              </w:rPr>
            </w:pPr>
            <w:r w:rsidRPr="002B7F37">
              <w:rPr>
                <w:rFonts w:eastAsiaTheme="minorEastAsia"/>
                <w:color w:val="000000" w:themeColor="text1"/>
                <w:sz w:val="22"/>
                <w:szCs w:val="22"/>
                <w:lang w:val="en-US"/>
              </w:rPr>
              <w:t>A set of protocols and principles to guide remote placement experience</w:t>
            </w:r>
          </w:p>
          <w:p w14:paraId="7EAF3CAC" w14:textId="08F986B0" w:rsidR="00F74A75" w:rsidRPr="002B7F37" w:rsidRDefault="00F74A75" w:rsidP="002D3979">
            <w:pPr>
              <w:pStyle w:val="ListParagraph"/>
              <w:numPr>
                <w:ilvl w:val="0"/>
                <w:numId w:val="15"/>
              </w:numPr>
              <w:spacing w:before="0" w:beforeAutospacing="0" w:afterAutospacing="0"/>
              <w:rPr>
                <w:rFonts w:eastAsiaTheme="minorEastAsia"/>
                <w:color w:val="000000" w:themeColor="text1"/>
                <w:sz w:val="22"/>
                <w:szCs w:val="22"/>
                <w:lang w:val="en-US"/>
              </w:rPr>
            </w:pPr>
            <w:r w:rsidRPr="002B7F37">
              <w:rPr>
                <w:rFonts w:eastAsiaTheme="minorEastAsia"/>
                <w:color w:val="000000" w:themeColor="text1"/>
                <w:sz w:val="22"/>
                <w:szCs w:val="22"/>
                <w:lang w:val="en-US"/>
              </w:rPr>
              <w:t>An Indigenous Curriculum unit outline for use in ITE programs that focused on Indigenous Studies and Indigenous Education</w:t>
            </w:r>
            <w:r w:rsidR="007611C7">
              <w:rPr>
                <w:rFonts w:eastAsiaTheme="minorEastAsia"/>
                <w:color w:val="000000" w:themeColor="text1"/>
                <w:sz w:val="22"/>
                <w:szCs w:val="22"/>
                <w:lang w:val="en-US"/>
              </w:rPr>
              <w:t>,</w:t>
            </w:r>
            <w:r w:rsidRPr="002B7F37">
              <w:rPr>
                <w:rFonts w:eastAsiaTheme="minorEastAsia"/>
                <w:color w:val="000000" w:themeColor="text1"/>
                <w:sz w:val="22"/>
                <w:szCs w:val="22"/>
                <w:lang w:val="en-US"/>
              </w:rPr>
              <w:t xml:space="preserve"> and</w:t>
            </w:r>
          </w:p>
          <w:p w14:paraId="47E7A8E4" w14:textId="3AED2C3D" w:rsidR="004E087A" w:rsidRPr="00F74A75" w:rsidRDefault="00F74A75" w:rsidP="002D3979">
            <w:pPr>
              <w:pStyle w:val="ListParagraph"/>
              <w:numPr>
                <w:ilvl w:val="0"/>
                <w:numId w:val="15"/>
              </w:numPr>
              <w:spacing w:before="0" w:beforeAutospacing="0" w:afterAutospacing="0"/>
              <w:rPr>
                <w:rStyle w:val="normaltextrun"/>
                <w:rFonts w:eastAsiaTheme="minorEastAsia"/>
                <w:i/>
                <w:color w:val="000000" w:themeColor="text1"/>
                <w:sz w:val="22"/>
                <w:szCs w:val="22"/>
                <w:lang w:val="en-US"/>
              </w:rPr>
            </w:pPr>
            <w:r w:rsidRPr="002B7F37">
              <w:rPr>
                <w:rFonts w:eastAsiaTheme="minorEastAsia"/>
                <w:color w:val="000000" w:themeColor="text1"/>
                <w:sz w:val="22"/>
                <w:szCs w:val="22"/>
                <w:lang w:val="en-US"/>
              </w:rPr>
              <w:t>A capstone module divided into pre-, mid-, and post-</w:t>
            </w:r>
            <w:r w:rsidR="00A87D53">
              <w:rPr>
                <w:rFonts w:eastAsiaTheme="minorEastAsia"/>
                <w:color w:val="000000" w:themeColor="text1"/>
                <w:sz w:val="22"/>
                <w:szCs w:val="22"/>
                <w:lang w:val="en-US"/>
              </w:rPr>
              <w:t>practical experience</w:t>
            </w:r>
            <w:r w:rsidRPr="002B7F37">
              <w:rPr>
                <w:rFonts w:eastAsiaTheme="minorEastAsia"/>
                <w:color w:val="000000" w:themeColor="text1"/>
                <w:sz w:val="22"/>
                <w:szCs w:val="22"/>
                <w:lang w:val="en-US"/>
              </w:rPr>
              <w:t xml:space="preserve"> learning, practice and reflection, to guide and </w:t>
            </w:r>
            <w:r w:rsidRPr="00DC6A09">
              <w:rPr>
                <w:rFonts w:eastAsiaTheme="minorEastAsia"/>
                <w:color w:val="000000" w:themeColor="text1"/>
                <w:sz w:val="22"/>
                <w:szCs w:val="22"/>
                <w:lang w:val="en-US"/>
              </w:rPr>
              <w:t xml:space="preserve">strengthen </w:t>
            </w:r>
            <w:r w:rsidR="00D17CB0" w:rsidRPr="00DC6A09">
              <w:rPr>
                <w:rFonts w:eastAsiaTheme="minorEastAsia"/>
                <w:color w:val="000000" w:themeColor="text1"/>
                <w:sz w:val="22"/>
                <w:szCs w:val="22"/>
                <w:lang w:val="en-US"/>
              </w:rPr>
              <w:t>practical</w:t>
            </w:r>
            <w:r w:rsidRPr="00DC6A09">
              <w:rPr>
                <w:rFonts w:eastAsiaTheme="minorEastAsia"/>
                <w:color w:val="000000" w:themeColor="text1"/>
                <w:sz w:val="22"/>
                <w:szCs w:val="22"/>
                <w:lang w:val="en-US"/>
              </w:rPr>
              <w:t xml:space="preserve"> experience</w:t>
            </w:r>
            <w:r w:rsidR="00D17CB0" w:rsidRPr="006B2082">
              <w:rPr>
                <w:rFonts w:eastAsiaTheme="minorEastAsia"/>
                <w:color w:val="auto"/>
                <w:sz w:val="22"/>
                <w:szCs w:val="22"/>
                <w:lang w:val="en-US"/>
              </w:rPr>
              <w:t xml:space="preserve"> </w:t>
            </w:r>
            <w:r w:rsidR="00D17CB0">
              <w:rPr>
                <w:rFonts w:eastAsiaTheme="minorEastAsia"/>
                <w:color w:val="000000" w:themeColor="text1"/>
                <w:sz w:val="22"/>
                <w:szCs w:val="22"/>
                <w:lang w:val="en-US"/>
              </w:rPr>
              <w:t>placements</w:t>
            </w:r>
            <w:r w:rsidRPr="002B7F37">
              <w:rPr>
                <w:rFonts w:eastAsiaTheme="minorEastAsia"/>
                <w:color w:val="000000" w:themeColor="text1"/>
                <w:sz w:val="22"/>
                <w:szCs w:val="22"/>
                <w:lang w:val="en-US"/>
              </w:rPr>
              <w:t>.</w:t>
            </w:r>
          </w:p>
        </w:tc>
      </w:tr>
    </w:tbl>
    <w:p w14:paraId="1639EBFC" w14:textId="58803B71" w:rsidR="005727FA" w:rsidRPr="00F53F28" w:rsidRDefault="00F53F28" w:rsidP="00F53F28">
      <w:pPr>
        <w:pStyle w:val="Heading4"/>
        <w:rPr>
          <w:rFonts w:asciiTheme="minorHAnsi" w:hAnsiTheme="minorHAnsi" w:cstheme="minorHAnsi"/>
          <w:color w:val="002C3E" w:themeColor="background2"/>
          <w:lang w:eastAsia="en-AU"/>
        </w:rPr>
      </w:pPr>
      <w:r w:rsidRPr="00F53F28">
        <w:rPr>
          <w:rFonts w:asciiTheme="minorHAnsi" w:hAnsiTheme="minorHAnsi" w:cstheme="minorHAnsi"/>
          <w:color w:val="002C3E" w:themeColor="background2"/>
          <w:lang w:eastAsia="en-AU"/>
        </w:rPr>
        <w:t xml:space="preserve">3.3.6 </w:t>
      </w:r>
      <w:r w:rsidR="00837749" w:rsidRPr="00F53F28">
        <w:rPr>
          <w:rFonts w:asciiTheme="minorHAnsi" w:hAnsiTheme="minorHAnsi" w:cstheme="minorHAnsi"/>
          <w:color w:val="002C3E" w:themeColor="background2"/>
          <w:lang w:eastAsia="en-AU"/>
        </w:rPr>
        <w:t xml:space="preserve">Lack of flexibility </w:t>
      </w:r>
      <w:r w:rsidR="007E0A62" w:rsidRPr="00F53F28">
        <w:rPr>
          <w:rFonts w:asciiTheme="minorHAnsi" w:hAnsiTheme="minorHAnsi" w:cstheme="minorHAnsi"/>
          <w:color w:val="002C3E" w:themeColor="background2"/>
          <w:lang w:eastAsia="en-AU"/>
        </w:rPr>
        <w:t xml:space="preserve">and support </w:t>
      </w:r>
      <w:r w:rsidR="00876637" w:rsidRPr="00F53F28">
        <w:rPr>
          <w:rFonts w:asciiTheme="minorHAnsi" w:hAnsiTheme="minorHAnsi" w:cstheme="minorHAnsi"/>
          <w:color w:val="002C3E" w:themeColor="background2"/>
          <w:lang w:eastAsia="en-AU"/>
        </w:rPr>
        <w:t xml:space="preserve">for </w:t>
      </w:r>
      <w:r w:rsidR="00F7211F" w:rsidRPr="00F53F28">
        <w:rPr>
          <w:rFonts w:asciiTheme="minorHAnsi" w:hAnsiTheme="minorHAnsi" w:cstheme="minorHAnsi"/>
          <w:color w:val="002C3E" w:themeColor="background2"/>
          <w:lang w:eastAsia="en-AU"/>
        </w:rPr>
        <w:t xml:space="preserve">students </w:t>
      </w:r>
      <w:r w:rsidR="001319BB" w:rsidRPr="00F53F28">
        <w:rPr>
          <w:rFonts w:asciiTheme="minorHAnsi" w:hAnsiTheme="minorHAnsi" w:cstheme="minorHAnsi"/>
          <w:color w:val="002C3E" w:themeColor="background2"/>
          <w:lang w:eastAsia="en-AU"/>
        </w:rPr>
        <w:t xml:space="preserve">with </w:t>
      </w:r>
      <w:r w:rsidR="005727FA" w:rsidRPr="00F53F28">
        <w:rPr>
          <w:rFonts w:asciiTheme="minorHAnsi" w:hAnsiTheme="minorHAnsi" w:cstheme="minorHAnsi"/>
          <w:color w:val="002C3E" w:themeColor="background2"/>
          <w:lang w:eastAsia="en-AU"/>
        </w:rPr>
        <w:t>competing commitments </w:t>
      </w:r>
      <w:r w:rsidR="0085689F">
        <w:rPr>
          <w:rFonts w:asciiTheme="minorHAnsi" w:hAnsiTheme="minorHAnsi" w:cstheme="minorHAnsi"/>
          <w:color w:val="002C3E" w:themeColor="background2"/>
          <w:lang w:eastAsia="en-AU"/>
        </w:rPr>
        <w:t>and different needs</w:t>
      </w:r>
    </w:p>
    <w:p w14:paraId="0C825357" w14:textId="23D79B44" w:rsidR="00EB244C" w:rsidRPr="00EB244C" w:rsidRDefault="005727FA" w:rsidP="004C6DFD">
      <w:pPr>
        <w:spacing w:line="240" w:lineRule="auto"/>
        <w:textAlignment w:val="baseline"/>
      </w:pPr>
      <w:r w:rsidRPr="1E71A8D9">
        <w:rPr>
          <w:rFonts w:ascii="Calibri" w:eastAsia="Times New Roman" w:hAnsi="Calibri" w:cs="Calibri"/>
          <w:color w:val="000000" w:themeColor="text1"/>
          <w:lang w:eastAsia="en-AU"/>
        </w:rPr>
        <w:t xml:space="preserve">While many ITE programs offer flexibility for university-based components (e.g. the ability to study </w:t>
      </w:r>
      <w:r w:rsidRPr="6FCD4AC6">
        <w:rPr>
          <w:rFonts w:ascii="Calibri" w:eastAsia="Times New Roman" w:hAnsi="Calibri" w:cs="Calibri"/>
          <w:color w:val="000000" w:themeColor="text1"/>
          <w:lang w:eastAsia="en-AU"/>
        </w:rPr>
        <w:t>part-time or online; ability to undertake intensive subjects at certain times), this is not</w:t>
      </w:r>
      <w:r w:rsidR="007F196F" w:rsidRPr="6FCD4AC6">
        <w:rPr>
          <w:rFonts w:ascii="Calibri" w:eastAsia="Times New Roman" w:hAnsi="Calibri" w:cs="Calibri"/>
          <w:color w:val="000000" w:themeColor="text1"/>
          <w:lang w:eastAsia="en-AU"/>
        </w:rPr>
        <w:t xml:space="preserve"> </w:t>
      </w:r>
      <w:r w:rsidRPr="6FCD4AC6">
        <w:rPr>
          <w:rFonts w:ascii="Calibri" w:eastAsia="Times New Roman" w:hAnsi="Calibri" w:cs="Calibri"/>
          <w:color w:val="000000" w:themeColor="text1"/>
          <w:lang w:eastAsia="en-AU"/>
        </w:rPr>
        <w:t xml:space="preserve">the case </w:t>
      </w:r>
      <w:r w:rsidR="001A23EE">
        <w:rPr>
          <w:rFonts w:ascii="Calibri" w:eastAsia="Times New Roman" w:hAnsi="Calibri" w:cs="Calibri"/>
          <w:color w:val="000000" w:themeColor="text1"/>
          <w:lang w:eastAsia="en-AU"/>
        </w:rPr>
        <w:t>for</w:t>
      </w:r>
      <w:r w:rsidR="001A23EE" w:rsidRPr="6FCD4AC6">
        <w:rPr>
          <w:rFonts w:ascii="Calibri" w:eastAsia="Times New Roman" w:hAnsi="Calibri" w:cs="Calibri"/>
          <w:color w:val="000000" w:themeColor="text1"/>
          <w:lang w:eastAsia="en-AU"/>
        </w:rPr>
        <w:t xml:space="preserve"> </w:t>
      </w:r>
      <w:r w:rsidR="00D17CB0">
        <w:rPr>
          <w:rFonts w:ascii="Calibri" w:eastAsia="Times New Roman" w:hAnsi="Calibri" w:cs="Calibri"/>
          <w:color w:val="000000" w:themeColor="text1"/>
          <w:lang w:eastAsia="en-AU"/>
        </w:rPr>
        <w:t>practical experience</w:t>
      </w:r>
      <w:r w:rsidRPr="6FCD4AC6">
        <w:rPr>
          <w:rFonts w:ascii="Calibri" w:eastAsia="Times New Roman" w:hAnsi="Calibri" w:cs="Calibri"/>
          <w:color w:val="000000" w:themeColor="text1"/>
          <w:lang w:eastAsia="en-AU"/>
        </w:rPr>
        <w:t xml:space="preserve">. The need to undertake full-time in person placements </w:t>
      </w:r>
      <w:r w:rsidR="007F196F" w:rsidRPr="6FCD4AC6">
        <w:rPr>
          <w:rFonts w:ascii="Calibri" w:eastAsia="Times New Roman" w:hAnsi="Calibri" w:cs="Calibri"/>
          <w:color w:val="000000" w:themeColor="text1"/>
          <w:lang w:eastAsia="en-AU"/>
        </w:rPr>
        <w:t>can present</w:t>
      </w:r>
      <w:r w:rsidR="00B273F3" w:rsidRPr="6FCD4AC6">
        <w:rPr>
          <w:rFonts w:ascii="Calibri" w:eastAsia="Times New Roman" w:hAnsi="Calibri" w:cs="Calibri"/>
          <w:color w:val="000000" w:themeColor="text1"/>
          <w:lang w:eastAsia="en-AU"/>
        </w:rPr>
        <w:t xml:space="preserve"> a </w:t>
      </w:r>
      <w:r w:rsidR="007054A2" w:rsidRPr="6FCD4AC6">
        <w:rPr>
          <w:rFonts w:ascii="Calibri" w:eastAsia="Times New Roman" w:hAnsi="Calibri" w:cs="Calibri"/>
          <w:color w:val="000000" w:themeColor="text1"/>
          <w:lang w:eastAsia="en-AU"/>
        </w:rPr>
        <w:t>significant challenge for students with work or family commitments</w:t>
      </w:r>
      <w:r w:rsidR="009A4F61" w:rsidRPr="6FCD4AC6">
        <w:rPr>
          <w:rFonts w:ascii="Calibri" w:eastAsia="Times New Roman" w:hAnsi="Calibri" w:cs="Calibri"/>
          <w:color w:val="000000" w:themeColor="text1"/>
          <w:lang w:eastAsia="en-AU"/>
        </w:rPr>
        <w:t>.</w:t>
      </w:r>
      <w:r w:rsidRPr="6FCD4AC6">
        <w:rPr>
          <w:rFonts w:ascii="Calibri" w:eastAsia="Times New Roman" w:hAnsi="Calibri" w:cs="Calibri"/>
          <w:color w:val="000000" w:themeColor="text1"/>
          <w:lang w:eastAsia="en-AU"/>
        </w:rPr>
        <w:t xml:space="preserve"> </w:t>
      </w:r>
      <w:r w:rsidR="00B33F72">
        <w:rPr>
          <w:rFonts w:ascii="Calibri" w:eastAsia="Times New Roman" w:hAnsi="Calibri" w:cs="Calibri"/>
          <w:color w:val="000000" w:themeColor="text1"/>
          <w:lang w:eastAsia="en-AU"/>
        </w:rPr>
        <w:t xml:space="preserve">Similarly, for ITE students with particular learning or physical needs, the rigid nature of placement can present a challenge. </w:t>
      </w:r>
      <w:r w:rsidR="00720B22" w:rsidRPr="6FCD4AC6">
        <w:rPr>
          <w:rFonts w:ascii="Calibri" w:eastAsia="Times New Roman" w:hAnsi="Calibri" w:cs="Calibri"/>
          <w:color w:val="000000" w:themeColor="text1"/>
          <w:lang w:eastAsia="en-AU"/>
        </w:rPr>
        <w:t xml:space="preserve">This </w:t>
      </w:r>
      <w:r w:rsidR="00A277DA" w:rsidRPr="6FCD4AC6">
        <w:rPr>
          <w:rFonts w:ascii="Calibri" w:eastAsia="Times New Roman" w:hAnsi="Calibri" w:cs="Calibri"/>
          <w:color w:val="000000" w:themeColor="text1"/>
          <w:lang w:eastAsia="en-AU"/>
        </w:rPr>
        <w:t xml:space="preserve">can result in students </w:t>
      </w:r>
      <w:r w:rsidR="00F47DEE" w:rsidRPr="6FCD4AC6">
        <w:rPr>
          <w:rFonts w:ascii="Calibri" w:eastAsia="Times New Roman" w:hAnsi="Calibri" w:cs="Calibri"/>
          <w:color w:val="000000" w:themeColor="text1"/>
          <w:lang w:eastAsia="en-AU"/>
        </w:rPr>
        <w:t>switching courses or leaving university altogether.</w:t>
      </w:r>
      <w:r w:rsidRPr="6FCD4AC6">
        <w:rPr>
          <w:rFonts w:ascii="Calibri" w:eastAsia="Times New Roman" w:hAnsi="Calibri" w:cs="Calibri"/>
          <w:color w:val="000000" w:themeColor="text1"/>
          <w:lang w:eastAsia="en-AU"/>
        </w:rPr>
        <w:t> </w:t>
      </w:r>
    </w:p>
    <w:p w14:paraId="30F21E14" w14:textId="063804A1" w:rsidR="00B707E9" w:rsidRPr="0065663C" w:rsidRDefault="00B707E9" w:rsidP="0065663C">
      <w:pPr>
        <w:pStyle w:val="Heading2"/>
        <w:spacing w:before="240" w:line="240" w:lineRule="auto"/>
        <w:rPr>
          <w:rFonts w:eastAsia="Times New Roman"/>
          <w:color w:val="002C3E" w:themeColor="background2"/>
          <w:sz w:val="36"/>
          <w:szCs w:val="36"/>
          <w:lang w:eastAsia="en-AU"/>
        </w:rPr>
      </w:pPr>
      <w:bookmarkStart w:id="94" w:name="_Toc127978389"/>
      <w:bookmarkStart w:id="95" w:name="_Toc128649097"/>
      <w:bookmarkStart w:id="96" w:name="_Toc130217453"/>
      <w:r w:rsidRPr="0065663C">
        <w:rPr>
          <w:rFonts w:eastAsia="Times New Roman"/>
          <w:color w:val="002C3E" w:themeColor="background2"/>
          <w:sz w:val="36"/>
          <w:szCs w:val="36"/>
          <w:lang w:eastAsia="en-AU"/>
        </w:rPr>
        <w:lastRenderedPageBreak/>
        <w:t>Discussion</w:t>
      </w:r>
      <w:bookmarkEnd w:id="94"/>
      <w:bookmarkEnd w:id="95"/>
      <w:bookmarkEnd w:id="96"/>
    </w:p>
    <w:p w14:paraId="54EDF7DA" w14:textId="64383D17" w:rsidR="004A09ED" w:rsidRPr="00B707E9" w:rsidRDefault="6165C7E6" w:rsidP="00E2275C">
      <w:pPr>
        <w:spacing w:after="120" w:line="240" w:lineRule="auto"/>
        <w:textAlignment w:val="baseline"/>
        <w:rPr>
          <w:rFonts w:ascii="Calibri" w:eastAsia="Times New Roman" w:hAnsi="Calibri" w:cs="Calibri"/>
          <w:lang w:eastAsia="en-AU"/>
        </w:rPr>
      </w:pPr>
      <w:r w:rsidRPr="2C03F412">
        <w:rPr>
          <w:rFonts w:ascii="Calibri" w:eastAsia="Times New Roman" w:hAnsi="Calibri" w:cs="Calibri"/>
          <w:lang w:eastAsia="en-AU"/>
        </w:rPr>
        <w:t xml:space="preserve">The Panel has identified the following opportunities to support consistent, high-quality </w:t>
      </w:r>
      <w:r w:rsidR="44D9A4AC" w:rsidRPr="2C03F412">
        <w:rPr>
          <w:rFonts w:ascii="Calibri" w:eastAsia="Times New Roman" w:hAnsi="Calibri" w:cs="Calibri"/>
          <w:lang w:eastAsia="en-AU"/>
        </w:rPr>
        <w:t>practical experience</w:t>
      </w:r>
      <w:r w:rsidRPr="2C03F412">
        <w:rPr>
          <w:rFonts w:ascii="Calibri" w:eastAsia="Times New Roman" w:hAnsi="Calibri" w:cs="Calibri"/>
          <w:lang w:eastAsia="en-AU"/>
        </w:rPr>
        <w:t xml:space="preserve"> across all jurisdictions, providers and schools. </w:t>
      </w:r>
    </w:p>
    <w:p w14:paraId="00B63053" w14:textId="3F7B0BD4" w:rsidR="00D02572" w:rsidRPr="00E2275C" w:rsidRDefault="00EB244C" w:rsidP="00E2275C">
      <w:pPr>
        <w:pStyle w:val="Heading3"/>
        <w:spacing w:before="120" w:after="120" w:line="240" w:lineRule="auto"/>
        <w:rPr>
          <w:rFonts w:eastAsia="Times New Roman"/>
          <w:lang w:eastAsia="en-AU"/>
        </w:rPr>
      </w:pPr>
      <w:bookmarkStart w:id="97" w:name="_Toc127978390"/>
      <w:bookmarkStart w:id="98" w:name="_Toc128649098"/>
      <w:bookmarkStart w:id="99" w:name="_Toc130217454"/>
      <w:r>
        <w:rPr>
          <w:rFonts w:eastAsia="Times New Roman"/>
          <w:lang w:eastAsia="en-AU"/>
        </w:rPr>
        <w:t xml:space="preserve">3.4 </w:t>
      </w:r>
      <w:r w:rsidR="00D02572" w:rsidRPr="00E2275C">
        <w:rPr>
          <w:rFonts w:eastAsia="Times New Roman"/>
          <w:lang w:eastAsia="en-AU"/>
        </w:rPr>
        <w:t>Opportunities</w:t>
      </w:r>
      <w:bookmarkEnd w:id="97"/>
      <w:bookmarkEnd w:id="98"/>
      <w:bookmarkEnd w:id="99"/>
    </w:p>
    <w:p w14:paraId="0AAEAAED" w14:textId="7F5C68CC" w:rsidR="4E8B0FA5" w:rsidRDefault="00F53F28" w:rsidP="00876F97">
      <w:pPr>
        <w:pStyle w:val="Heading4"/>
        <w:spacing w:before="240"/>
        <w:rPr>
          <w:rFonts w:asciiTheme="minorHAnsi" w:eastAsia="Times New Roman" w:hAnsiTheme="minorHAnsi" w:cstheme="minorBidi"/>
          <w:b w:val="0"/>
          <w:color w:val="000000" w:themeColor="text1"/>
          <w:lang w:eastAsia="en-AU"/>
        </w:rPr>
      </w:pPr>
      <w:r>
        <w:rPr>
          <w:rFonts w:asciiTheme="minorHAnsi" w:eastAsia="Times New Roman" w:hAnsiTheme="minorHAnsi" w:cstheme="minorBidi"/>
          <w:color w:val="002C3E" w:themeColor="background2"/>
          <w:lang w:eastAsia="en-AU"/>
        </w:rPr>
        <w:t xml:space="preserve">3.4.1 </w:t>
      </w:r>
      <w:r w:rsidR="4E8B0FA5" w:rsidRPr="0006735E">
        <w:rPr>
          <w:rFonts w:asciiTheme="minorHAnsi" w:hAnsiTheme="minorHAnsi" w:cstheme="minorBidi"/>
          <w:color w:val="002C3E" w:themeColor="background2"/>
        </w:rPr>
        <w:t xml:space="preserve">Develop more </w:t>
      </w:r>
      <w:r w:rsidR="4E8B0FA5" w:rsidRPr="1C98320F">
        <w:rPr>
          <w:rFonts w:asciiTheme="minorHAnsi" w:hAnsiTheme="minorHAnsi" w:cstheme="minorBidi"/>
          <w:color w:val="002C3E" w:themeColor="background2"/>
        </w:rPr>
        <w:t>comprehensive system</w:t>
      </w:r>
      <w:r w:rsidR="006E18E6">
        <w:rPr>
          <w:rFonts w:asciiTheme="minorHAnsi" w:hAnsiTheme="minorHAnsi" w:cstheme="minorBidi"/>
          <w:color w:val="002C3E" w:themeColor="background2"/>
        </w:rPr>
        <w:t xml:space="preserve"> </w:t>
      </w:r>
      <w:r w:rsidR="4E8B0FA5" w:rsidRPr="1C98320F">
        <w:rPr>
          <w:rFonts w:asciiTheme="minorHAnsi" w:hAnsiTheme="minorHAnsi" w:cstheme="minorBidi"/>
          <w:color w:val="002C3E" w:themeColor="background2"/>
        </w:rPr>
        <w:t>level agreements between school sectors and higher education providers</w:t>
      </w:r>
    </w:p>
    <w:p w14:paraId="1AD3FA91" w14:textId="74821F52" w:rsidR="4E8B0FA5" w:rsidRDefault="4E8B0FA5" w:rsidP="1C98320F">
      <w:pPr>
        <w:spacing w:after="0"/>
        <w:rPr>
          <w:rFonts w:eastAsiaTheme="minorEastAsia"/>
        </w:rPr>
      </w:pPr>
      <w:r w:rsidRPr="1C98320F">
        <w:rPr>
          <w:rFonts w:eastAsiaTheme="minorEastAsia"/>
        </w:rPr>
        <w:t xml:space="preserve">The Panel sees an opportunity for developing more comprehensive system level agreements between school systems (state and territory governments and the non-government sector) and higher education providers. These would provide a framework for arranging </w:t>
      </w:r>
      <w:r w:rsidR="00D17CB0">
        <w:rPr>
          <w:rFonts w:eastAsiaTheme="minorEastAsia"/>
        </w:rPr>
        <w:t>practical experience</w:t>
      </w:r>
      <w:r w:rsidRPr="1C98320F">
        <w:rPr>
          <w:rFonts w:eastAsiaTheme="minorEastAsia"/>
        </w:rPr>
        <w:t xml:space="preserve"> placements within their sectors to improve quality and quantity of available placements and reduce the burden on schools, teachers and higher education providers for arranging and managing these placements. This could be particularly beneficial for regional and remote schools where the administrative burden on schools can be particularly acute. These agreements could outline:</w:t>
      </w:r>
    </w:p>
    <w:p w14:paraId="5E838838" w14:textId="77777777" w:rsidR="4E8B0FA5" w:rsidRDefault="4E8B0FA5" w:rsidP="007D6F33">
      <w:pPr>
        <w:pStyle w:val="ListParagraph"/>
        <w:numPr>
          <w:ilvl w:val="0"/>
          <w:numId w:val="21"/>
        </w:numPr>
        <w:rPr>
          <w:rFonts w:eastAsiaTheme="minorEastAsia"/>
          <w:sz w:val="22"/>
          <w:szCs w:val="22"/>
        </w:rPr>
      </w:pPr>
      <w:r w:rsidRPr="1C98320F">
        <w:rPr>
          <w:rFonts w:eastAsiaTheme="minorEastAsia"/>
          <w:sz w:val="22"/>
          <w:szCs w:val="22"/>
        </w:rPr>
        <w:t>agreed roles and responsibilities</w:t>
      </w:r>
    </w:p>
    <w:p w14:paraId="0F88810C" w14:textId="3CA18975" w:rsidR="4E8B0FA5" w:rsidRDefault="4E8B0FA5" w:rsidP="007D6F33">
      <w:pPr>
        <w:pStyle w:val="ListParagraph"/>
        <w:numPr>
          <w:ilvl w:val="0"/>
          <w:numId w:val="21"/>
        </w:numPr>
        <w:rPr>
          <w:rFonts w:eastAsiaTheme="minorEastAsia"/>
          <w:sz w:val="22"/>
          <w:szCs w:val="22"/>
        </w:rPr>
      </w:pPr>
      <w:r w:rsidRPr="1C98320F">
        <w:rPr>
          <w:rFonts w:eastAsiaTheme="minorEastAsia"/>
          <w:sz w:val="22"/>
          <w:szCs w:val="22"/>
        </w:rPr>
        <w:t>standardised reporting and assessment templates</w:t>
      </w:r>
      <w:r w:rsidR="0015134C">
        <w:rPr>
          <w:rFonts w:eastAsiaTheme="minorEastAsia"/>
          <w:sz w:val="22"/>
          <w:szCs w:val="22"/>
        </w:rPr>
        <w:t>, and</w:t>
      </w:r>
      <w:r w:rsidRPr="1C98320F">
        <w:rPr>
          <w:rFonts w:eastAsiaTheme="minorEastAsia"/>
          <w:sz w:val="22"/>
          <w:szCs w:val="22"/>
        </w:rPr>
        <w:t xml:space="preserve"> </w:t>
      </w:r>
    </w:p>
    <w:p w14:paraId="50DAC144" w14:textId="0ECD3A22" w:rsidR="4E8B0FA5" w:rsidRDefault="4E8B0FA5" w:rsidP="00DB4D72">
      <w:pPr>
        <w:pStyle w:val="ListParagraph"/>
        <w:numPr>
          <w:ilvl w:val="0"/>
          <w:numId w:val="21"/>
        </w:numPr>
        <w:spacing w:after="120"/>
        <w:ind w:left="714" w:hanging="357"/>
        <w:rPr>
          <w:rFonts w:eastAsiaTheme="minorEastAsia"/>
          <w:sz w:val="22"/>
          <w:szCs w:val="22"/>
        </w:rPr>
      </w:pPr>
      <w:r w:rsidRPr="1C98320F">
        <w:rPr>
          <w:rFonts w:eastAsiaTheme="minorEastAsia"/>
          <w:sz w:val="22"/>
          <w:szCs w:val="22"/>
        </w:rPr>
        <w:t>a streamlined process for matching placement supply and demand</w:t>
      </w:r>
      <w:r w:rsidR="0015134C">
        <w:rPr>
          <w:rFonts w:eastAsiaTheme="minorEastAsia"/>
          <w:sz w:val="22"/>
          <w:szCs w:val="22"/>
        </w:rPr>
        <w:t>.</w:t>
      </w:r>
    </w:p>
    <w:p w14:paraId="6935DBCF" w14:textId="601A9FE2" w:rsidR="00B707E9" w:rsidRPr="00D2241D" w:rsidRDefault="00F53F28" w:rsidP="00A04DB7">
      <w:pPr>
        <w:pStyle w:val="Heading4"/>
        <w:spacing w:before="0" w:line="240" w:lineRule="auto"/>
        <w:rPr>
          <w:rFonts w:asciiTheme="minorHAnsi" w:eastAsia="Times New Roman" w:hAnsiTheme="minorHAnsi" w:cstheme="minorBidi"/>
          <w:b w:val="0"/>
          <w:color w:val="000000" w:themeColor="text1"/>
          <w:lang w:eastAsia="en-AU"/>
        </w:rPr>
      </w:pPr>
      <w:r>
        <w:rPr>
          <w:rFonts w:asciiTheme="minorHAnsi" w:eastAsia="Times New Roman" w:hAnsiTheme="minorHAnsi" w:cstheme="minorBidi"/>
          <w:color w:val="002C3E" w:themeColor="background2"/>
          <w:lang w:eastAsia="en-AU"/>
        </w:rPr>
        <w:t xml:space="preserve">3.4.2 </w:t>
      </w:r>
      <w:r w:rsidR="00B707E9" w:rsidRPr="754ACA14">
        <w:rPr>
          <w:rFonts w:asciiTheme="minorHAnsi" w:eastAsia="Times New Roman" w:hAnsiTheme="minorHAnsi" w:cstheme="minorBidi"/>
          <w:color w:val="002C3E" w:themeColor="background2"/>
          <w:lang w:eastAsia="en-AU"/>
        </w:rPr>
        <w:t xml:space="preserve">Set </w:t>
      </w:r>
      <w:r w:rsidR="00BD1C26">
        <w:rPr>
          <w:rFonts w:asciiTheme="minorHAnsi" w:eastAsia="Times New Roman" w:hAnsiTheme="minorHAnsi" w:cstheme="minorBidi"/>
          <w:color w:val="002C3E" w:themeColor="background2"/>
          <w:lang w:eastAsia="en-AU"/>
        </w:rPr>
        <w:t>a</w:t>
      </w:r>
      <w:r w:rsidR="00B707E9" w:rsidRPr="754ACA14">
        <w:rPr>
          <w:rFonts w:asciiTheme="minorHAnsi" w:eastAsia="Times New Roman" w:hAnsiTheme="minorHAnsi" w:cstheme="minorBidi"/>
          <w:color w:val="002C3E" w:themeColor="background2"/>
          <w:lang w:eastAsia="en-AU"/>
        </w:rPr>
        <w:t xml:space="preserve"> national </w:t>
      </w:r>
      <w:r w:rsidR="22E2C7AB" w:rsidRPr="31A04C2E">
        <w:rPr>
          <w:rFonts w:asciiTheme="minorHAnsi" w:eastAsia="Times New Roman" w:hAnsiTheme="minorHAnsi" w:cstheme="minorBidi"/>
          <w:color w:val="002C3E" w:themeColor="background2"/>
          <w:lang w:eastAsia="en-AU"/>
        </w:rPr>
        <w:t xml:space="preserve">framework </w:t>
      </w:r>
      <w:r w:rsidR="00B707E9" w:rsidRPr="31A04C2E">
        <w:rPr>
          <w:rFonts w:asciiTheme="minorHAnsi" w:eastAsia="Times New Roman" w:hAnsiTheme="minorHAnsi" w:cstheme="minorBidi"/>
          <w:color w:val="002C3E" w:themeColor="background2"/>
          <w:lang w:eastAsia="en-AU"/>
        </w:rPr>
        <w:t>on</w:t>
      </w:r>
      <w:r w:rsidR="00B707E9" w:rsidRPr="754ACA14">
        <w:rPr>
          <w:rFonts w:asciiTheme="minorHAnsi" w:eastAsia="Times New Roman" w:hAnsiTheme="minorHAnsi" w:cstheme="minorBidi"/>
          <w:color w:val="002C3E" w:themeColor="background2"/>
          <w:lang w:eastAsia="en-AU"/>
        </w:rPr>
        <w:t xml:space="preserve"> high</w:t>
      </w:r>
      <w:r w:rsidR="009777C6">
        <w:rPr>
          <w:rFonts w:asciiTheme="minorHAnsi" w:eastAsia="Times New Roman" w:hAnsiTheme="minorHAnsi" w:cstheme="minorBidi"/>
          <w:color w:val="002C3E" w:themeColor="background2"/>
          <w:lang w:eastAsia="en-AU"/>
        </w:rPr>
        <w:t>-</w:t>
      </w:r>
      <w:r w:rsidR="00B707E9" w:rsidRPr="754ACA14">
        <w:rPr>
          <w:rFonts w:asciiTheme="minorHAnsi" w:eastAsia="Times New Roman" w:hAnsiTheme="minorHAnsi" w:cstheme="minorBidi"/>
          <w:color w:val="002C3E" w:themeColor="background2"/>
          <w:lang w:eastAsia="en-AU"/>
        </w:rPr>
        <w:t xml:space="preserve">quality </w:t>
      </w:r>
      <w:r w:rsidR="00D17CB0">
        <w:rPr>
          <w:rFonts w:asciiTheme="minorHAnsi" w:eastAsia="Times New Roman" w:hAnsiTheme="minorHAnsi" w:cstheme="minorBidi"/>
          <w:color w:val="002C3E" w:themeColor="background2"/>
          <w:lang w:eastAsia="en-AU"/>
        </w:rPr>
        <w:t>practical experience</w:t>
      </w:r>
      <w:r w:rsidR="00B707E9" w:rsidRPr="754ACA14">
        <w:rPr>
          <w:rFonts w:asciiTheme="minorHAnsi" w:eastAsia="Times New Roman" w:hAnsiTheme="minorHAnsi" w:cstheme="minorBidi"/>
          <w:color w:val="002C3E" w:themeColor="background2"/>
          <w:lang w:eastAsia="en-AU"/>
        </w:rPr>
        <w:t>, building on jurisdictional practices  </w:t>
      </w:r>
    </w:p>
    <w:p w14:paraId="215B26E5" w14:textId="2B0FB985" w:rsidR="00EE39C4" w:rsidRPr="00614C0D" w:rsidRDefault="00EE39C4" w:rsidP="00334EE5">
      <w:pPr>
        <w:spacing w:after="0"/>
        <w:rPr>
          <w:rFonts w:ascii="Calibri" w:eastAsiaTheme="minorEastAsia" w:hAnsi="Calibri" w:cs="Calibri"/>
        </w:rPr>
      </w:pPr>
      <w:r w:rsidRPr="00614C0D">
        <w:rPr>
          <w:rFonts w:ascii="Calibri" w:eastAsiaTheme="minorEastAsia" w:hAnsi="Calibri" w:cs="Calibri"/>
          <w:color w:val="000000" w:themeColor="text1"/>
        </w:rPr>
        <w:t>The Panel sees an opportunity to develop national guidelines for high</w:t>
      </w:r>
      <w:r w:rsidR="009777C6">
        <w:rPr>
          <w:rFonts w:ascii="Calibri" w:eastAsiaTheme="minorEastAsia" w:hAnsi="Calibri" w:cs="Calibri"/>
          <w:color w:val="000000" w:themeColor="text1"/>
        </w:rPr>
        <w:t>-</w:t>
      </w:r>
      <w:r w:rsidRPr="00614C0D">
        <w:rPr>
          <w:rFonts w:ascii="Calibri" w:eastAsiaTheme="minorEastAsia" w:hAnsi="Calibri" w:cs="Calibri"/>
          <w:color w:val="000000" w:themeColor="text1"/>
        </w:rPr>
        <w:t xml:space="preserve">quality </w:t>
      </w:r>
      <w:r w:rsidR="00D17CB0">
        <w:rPr>
          <w:rFonts w:ascii="Calibri" w:eastAsiaTheme="minorEastAsia" w:hAnsi="Calibri" w:cs="Calibri"/>
          <w:color w:val="000000" w:themeColor="text1"/>
        </w:rPr>
        <w:t>practical experience</w:t>
      </w:r>
      <w:r w:rsidRPr="00614C0D">
        <w:rPr>
          <w:rFonts w:ascii="Calibri" w:eastAsiaTheme="minorEastAsia" w:hAnsi="Calibri" w:cs="Calibri"/>
          <w:color w:val="000000" w:themeColor="text1"/>
        </w:rPr>
        <w:t xml:space="preserve"> to support higher education providers and schools to more effectively and efficiently meet requirements for </w:t>
      </w:r>
      <w:r w:rsidR="00D17CB0">
        <w:rPr>
          <w:rFonts w:ascii="Calibri" w:eastAsiaTheme="minorEastAsia" w:hAnsi="Calibri" w:cs="Calibri"/>
          <w:color w:val="000000" w:themeColor="text1"/>
        </w:rPr>
        <w:t>practical experience placements</w:t>
      </w:r>
      <w:r w:rsidRPr="00614C0D">
        <w:rPr>
          <w:rFonts w:ascii="Calibri" w:eastAsiaTheme="minorEastAsia" w:hAnsi="Calibri" w:cs="Calibri"/>
          <w:color w:val="000000" w:themeColor="text1"/>
        </w:rPr>
        <w:t xml:space="preserve"> set out in the Accreditation Standards and Procedures. This would build on existing resources to provide specific guidance and support for placing ITE students in schools, including in regional, rural and remote locations. This could include: </w:t>
      </w:r>
    </w:p>
    <w:p w14:paraId="40EFDC68" w14:textId="154CFD9C" w:rsidR="00EE39C4" w:rsidRPr="00614C0D" w:rsidRDefault="007A41D5" w:rsidP="007D6F33">
      <w:pPr>
        <w:pStyle w:val="ListParagraph"/>
        <w:numPr>
          <w:ilvl w:val="0"/>
          <w:numId w:val="20"/>
        </w:numPr>
        <w:rPr>
          <w:rFonts w:ascii="Calibri" w:eastAsiaTheme="minorEastAsia" w:hAnsi="Calibri" w:cs="Calibri"/>
          <w:sz w:val="22"/>
          <w:szCs w:val="22"/>
        </w:rPr>
      </w:pPr>
      <w:r>
        <w:rPr>
          <w:rFonts w:ascii="Calibri" w:eastAsiaTheme="minorEastAsia" w:hAnsi="Calibri" w:cs="Calibri"/>
          <w:sz w:val="22"/>
          <w:szCs w:val="22"/>
        </w:rPr>
        <w:t>n</w:t>
      </w:r>
      <w:r w:rsidR="00EE39C4" w:rsidRPr="00614C0D">
        <w:rPr>
          <w:rFonts w:ascii="Calibri" w:eastAsiaTheme="minorEastAsia" w:hAnsi="Calibri" w:cs="Calibri"/>
          <w:sz w:val="22"/>
          <w:szCs w:val="22"/>
        </w:rPr>
        <w:t xml:space="preserve">ational guidelines on key design features to supplement the accreditation standards, such as timing, structure, sequencing and </w:t>
      </w:r>
      <w:r w:rsidR="009A3AD7">
        <w:rPr>
          <w:rFonts w:ascii="Calibri" w:eastAsiaTheme="minorEastAsia" w:hAnsi="Calibri" w:cs="Calibri"/>
          <w:sz w:val="22"/>
          <w:szCs w:val="22"/>
        </w:rPr>
        <w:t>integration of theory and practice</w:t>
      </w:r>
      <w:r w:rsidR="00EE39C4" w:rsidRPr="00614C0D">
        <w:rPr>
          <w:rFonts w:ascii="Calibri" w:eastAsiaTheme="minorEastAsia" w:hAnsi="Calibri" w:cs="Calibri"/>
          <w:sz w:val="22"/>
          <w:szCs w:val="22"/>
        </w:rPr>
        <w:t xml:space="preserve"> </w:t>
      </w:r>
    </w:p>
    <w:p w14:paraId="4CE76AFB" w14:textId="380AE04C" w:rsidR="00EE39C4" w:rsidRPr="00614C0D" w:rsidRDefault="007A41D5" w:rsidP="007D6F33">
      <w:pPr>
        <w:pStyle w:val="ListParagraph"/>
        <w:numPr>
          <w:ilvl w:val="0"/>
          <w:numId w:val="20"/>
        </w:numPr>
        <w:rPr>
          <w:rFonts w:ascii="Calibri" w:eastAsiaTheme="minorEastAsia" w:hAnsi="Calibri" w:cs="Calibri"/>
          <w:sz w:val="22"/>
          <w:szCs w:val="22"/>
        </w:rPr>
      </w:pPr>
      <w:r>
        <w:rPr>
          <w:rFonts w:ascii="Calibri" w:eastAsiaTheme="minorEastAsia" w:hAnsi="Calibri" w:cs="Calibri"/>
          <w:sz w:val="22"/>
          <w:szCs w:val="22"/>
        </w:rPr>
        <w:t>n</w:t>
      </w:r>
      <w:r w:rsidR="00EE39C4" w:rsidRPr="00614C0D">
        <w:rPr>
          <w:rFonts w:ascii="Calibri" w:eastAsiaTheme="minorEastAsia" w:hAnsi="Calibri" w:cs="Calibri"/>
          <w:sz w:val="22"/>
          <w:szCs w:val="22"/>
        </w:rPr>
        <w:t>ationally</w:t>
      </w:r>
      <w:r w:rsidR="09E53A14" w:rsidRPr="0E07D930">
        <w:rPr>
          <w:rFonts w:ascii="Calibri" w:eastAsiaTheme="minorEastAsia" w:hAnsi="Calibri" w:cs="Calibri"/>
          <w:sz w:val="22"/>
          <w:szCs w:val="22"/>
        </w:rPr>
        <w:t xml:space="preserve"> </w:t>
      </w:r>
      <w:r w:rsidR="00EE39C4" w:rsidRPr="00614C0D">
        <w:rPr>
          <w:rFonts w:ascii="Calibri" w:eastAsiaTheme="minorEastAsia" w:hAnsi="Calibri" w:cs="Calibri"/>
          <w:sz w:val="22"/>
          <w:szCs w:val="22"/>
        </w:rPr>
        <w:t xml:space="preserve">consistent templates incorporating these key design features </w:t>
      </w:r>
    </w:p>
    <w:p w14:paraId="64FFF9EB" w14:textId="45A9F86D" w:rsidR="00EE39C4" w:rsidRPr="00614C0D" w:rsidRDefault="007A41D5" w:rsidP="007D6F33">
      <w:pPr>
        <w:pStyle w:val="ListParagraph"/>
        <w:numPr>
          <w:ilvl w:val="0"/>
          <w:numId w:val="20"/>
        </w:numPr>
        <w:rPr>
          <w:rFonts w:ascii="Calibri" w:eastAsiaTheme="minorEastAsia" w:hAnsi="Calibri" w:cs="Calibri"/>
          <w:sz w:val="22"/>
          <w:szCs w:val="22"/>
        </w:rPr>
      </w:pPr>
      <w:r>
        <w:rPr>
          <w:rFonts w:ascii="Calibri" w:eastAsiaTheme="minorEastAsia" w:hAnsi="Calibri" w:cs="Calibri"/>
          <w:sz w:val="22"/>
          <w:szCs w:val="22"/>
        </w:rPr>
        <w:t>c</w:t>
      </w:r>
      <w:r w:rsidR="0048771A" w:rsidRPr="00614C0D">
        <w:rPr>
          <w:rFonts w:ascii="Calibri" w:eastAsiaTheme="minorEastAsia" w:hAnsi="Calibri" w:cs="Calibri"/>
          <w:sz w:val="22"/>
          <w:szCs w:val="22"/>
        </w:rPr>
        <w:t xml:space="preserve">hecklists </w:t>
      </w:r>
      <w:r w:rsidR="00EE39C4" w:rsidRPr="00614C0D">
        <w:rPr>
          <w:rFonts w:ascii="Calibri" w:eastAsiaTheme="minorEastAsia" w:hAnsi="Calibri" w:cs="Calibri"/>
          <w:sz w:val="22"/>
          <w:szCs w:val="22"/>
        </w:rPr>
        <w:t xml:space="preserve">for providers and schools to complete collaboratively before putting a </w:t>
      </w:r>
      <w:r w:rsidR="00D17CB0">
        <w:rPr>
          <w:rFonts w:ascii="Calibri" w:eastAsiaTheme="minorEastAsia" w:hAnsi="Calibri" w:cs="Calibri"/>
          <w:sz w:val="22"/>
          <w:szCs w:val="22"/>
        </w:rPr>
        <w:t>practical experience</w:t>
      </w:r>
      <w:r w:rsidR="00EE39C4" w:rsidRPr="00614C0D">
        <w:rPr>
          <w:rFonts w:ascii="Calibri" w:eastAsiaTheme="minorEastAsia" w:hAnsi="Calibri" w:cs="Calibri"/>
          <w:sz w:val="22"/>
          <w:szCs w:val="22"/>
        </w:rPr>
        <w:t xml:space="preserve"> model into practice</w:t>
      </w:r>
      <w:r w:rsidR="002247B0" w:rsidRPr="00614C0D">
        <w:rPr>
          <w:rFonts w:ascii="Calibri" w:eastAsiaTheme="minorEastAsia" w:hAnsi="Calibri" w:cs="Calibri"/>
          <w:sz w:val="22"/>
          <w:szCs w:val="22"/>
        </w:rPr>
        <w:t>, including respective roles and responsibilities</w:t>
      </w:r>
    </w:p>
    <w:p w14:paraId="4B23AB4D" w14:textId="6E1836FE" w:rsidR="00EE39C4" w:rsidRPr="00614C0D" w:rsidRDefault="007A41D5" w:rsidP="007D6F33">
      <w:pPr>
        <w:pStyle w:val="ListParagraph"/>
        <w:numPr>
          <w:ilvl w:val="0"/>
          <w:numId w:val="20"/>
        </w:numPr>
        <w:rPr>
          <w:rFonts w:ascii="Calibri" w:eastAsiaTheme="minorEastAsia" w:hAnsi="Calibri" w:cs="Calibri"/>
          <w:sz w:val="22"/>
          <w:szCs w:val="22"/>
        </w:rPr>
      </w:pPr>
      <w:r>
        <w:rPr>
          <w:rFonts w:ascii="Calibri" w:eastAsiaTheme="minorEastAsia" w:hAnsi="Calibri" w:cs="Calibri"/>
          <w:sz w:val="22"/>
          <w:szCs w:val="22"/>
        </w:rPr>
        <w:t>a</w:t>
      </w:r>
      <w:r w:rsidR="00EE39C4" w:rsidRPr="00614C0D">
        <w:rPr>
          <w:rFonts w:ascii="Calibri" w:eastAsiaTheme="minorEastAsia" w:hAnsi="Calibri" w:cs="Calibri"/>
          <w:sz w:val="22"/>
          <w:szCs w:val="22"/>
        </w:rPr>
        <w:t xml:space="preserve"> framework for best-practice supervision and mentorship that includes standards and templates for mentor teachers</w:t>
      </w:r>
      <w:r>
        <w:rPr>
          <w:rFonts w:ascii="Calibri" w:eastAsiaTheme="minorEastAsia" w:hAnsi="Calibri" w:cs="Calibri"/>
          <w:sz w:val="22"/>
          <w:szCs w:val="22"/>
        </w:rPr>
        <w:t>, and</w:t>
      </w:r>
    </w:p>
    <w:p w14:paraId="14BE51FE" w14:textId="27E17EA0" w:rsidR="00B707E9" w:rsidRPr="0065663C" w:rsidRDefault="007A41D5" w:rsidP="00DB4D72">
      <w:pPr>
        <w:pStyle w:val="ListParagraph"/>
        <w:numPr>
          <w:ilvl w:val="0"/>
          <w:numId w:val="20"/>
        </w:numPr>
        <w:spacing w:after="120"/>
        <w:ind w:left="714" w:hanging="357"/>
        <w:rPr>
          <w:rFonts w:ascii="Calibri" w:eastAsiaTheme="minorEastAsia" w:hAnsi="Calibri" w:cs="Calibri"/>
          <w:sz w:val="22"/>
          <w:szCs w:val="22"/>
        </w:rPr>
      </w:pPr>
      <w:r>
        <w:rPr>
          <w:rFonts w:ascii="Calibri" w:eastAsiaTheme="minorEastAsia" w:hAnsi="Calibri" w:cs="Calibri"/>
          <w:sz w:val="22"/>
          <w:szCs w:val="22"/>
        </w:rPr>
        <w:t>s</w:t>
      </w:r>
      <w:r w:rsidR="00994E29" w:rsidRPr="00614C0D">
        <w:rPr>
          <w:rFonts w:ascii="Calibri" w:eastAsiaTheme="minorEastAsia" w:hAnsi="Calibri" w:cs="Calibri"/>
          <w:sz w:val="22"/>
          <w:szCs w:val="22"/>
        </w:rPr>
        <w:t>tandardised reporting and assessment templates</w:t>
      </w:r>
      <w:r w:rsidR="0015134C">
        <w:rPr>
          <w:rFonts w:ascii="Calibri" w:eastAsiaTheme="minorEastAsia" w:hAnsi="Calibri" w:cs="Calibri"/>
          <w:sz w:val="22"/>
          <w:szCs w:val="22"/>
        </w:rPr>
        <w:t>.</w:t>
      </w:r>
    </w:p>
    <w:p w14:paraId="220FB5CE" w14:textId="0D1F4A08" w:rsidR="00B707E9" w:rsidRPr="00D2241D" w:rsidRDefault="00F53F28" w:rsidP="338F2727">
      <w:pPr>
        <w:pStyle w:val="Heading4"/>
        <w:spacing w:before="220" w:line="240" w:lineRule="auto"/>
        <w:rPr>
          <w:rFonts w:asciiTheme="minorHAnsi" w:eastAsia="Times New Roman" w:hAnsiTheme="minorHAnsi" w:cstheme="minorBidi"/>
          <w:b w:val="0"/>
          <w:color w:val="000000" w:themeColor="text1"/>
          <w:lang w:eastAsia="en-AU"/>
        </w:rPr>
      </w:pPr>
      <w:r>
        <w:rPr>
          <w:rFonts w:asciiTheme="minorHAnsi" w:eastAsia="Times New Roman" w:hAnsiTheme="minorHAnsi" w:cstheme="minorBidi"/>
          <w:color w:val="002C3E" w:themeColor="background2"/>
          <w:lang w:eastAsia="en-AU"/>
        </w:rPr>
        <w:t xml:space="preserve">3.4.3 </w:t>
      </w:r>
      <w:r w:rsidR="7CEC0E5C" w:rsidRPr="338F2727">
        <w:rPr>
          <w:rFonts w:asciiTheme="minorHAnsi" w:eastAsia="Times New Roman" w:hAnsiTheme="minorHAnsi" w:cstheme="minorBidi"/>
          <w:color w:val="002C3E" w:themeColor="background2"/>
          <w:lang w:eastAsia="en-AU"/>
        </w:rPr>
        <w:t>Encourage centres of excellence</w:t>
      </w:r>
      <w:r w:rsidR="00EF23D7">
        <w:rPr>
          <w:rFonts w:asciiTheme="minorHAnsi" w:eastAsia="Times New Roman" w:hAnsiTheme="minorHAnsi" w:cstheme="minorBidi"/>
          <w:color w:val="002C3E" w:themeColor="background2"/>
          <w:lang w:eastAsia="en-AU"/>
        </w:rPr>
        <w:t>, such as hub schools,</w:t>
      </w:r>
      <w:r w:rsidR="7CEC0E5C" w:rsidRPr="338F2727">
        <w:rPr>
          <w:rFonts w:asciiTheme="minorHAnsi" w:eastAsia="Times New Roman" w:hAnsiTheme="minorHAnsi" w:cstheme="minorBidi"/>
          <w:color w:val="002C3E" w:themeColor="background2"/>
          <w:lang w:eastAsia="en-AU"/>
        </w:rPr>
        <w:t xml:space="preserve"> to build and share expertise  </w:t>
      </w:r>
    </w:p>
    <w:p w14:paraId="6188D9A4" w14:textId="216C46BD" w:rsidR="00EE39C4" w:rsidRPr="00614C0D" w:rsidRDefault="00C84DE0" w:rsidP="00676963">
      <w:pPr>
        <w:spacing w:after="120" w:line="240" w:lineRule="auto"/>
        <w:rPr>
          <w:rFonts w:ascii="Calibri" w:eastAsiaTheme="minorEastAsia" w:hAnsi="Calibri" w:cs="Calibri"/>
        </w:rPr>
      </w:pPr>
      <w:r>
        <w:rPr>
          <w:rFonts w:ascii="Calibri" w:hAnsi="Calibri" w:cs="Calibri"/>
        </w:rPr>
        <w:t>Some jurisdictions</w:t>
      </w:r>
      <w:r w:rsidR="0014146F" w:rsidRPr="00614C0D">
        <w:rPr>
          <w:rFonts w:ascii="Calibri" w:hAnsi="Calibri" w:cs="Calibri"/>
        </w:rPr>
        <w:t xml:space="preserve"> have comprehensive system-level approaches for how they deliver </w:t>
      </w:r>
      <w:r w:rsidR="00D17CB0">
        <w:rPr>
          <w:rFonts w:ascii="Calibri" w:hAnsi="Calibri" w:cs="Calibri"/>
        </w:rPr>
        <w:t>practical experience</w:t>
      </w:r>
      <w:r w:rsidR="0014146F" w:rsidRPr="00614C0D">
        <w:rPr>
          <w:rFonts w:ascii="Calibri" w:hAnsi="Calibri" w:cs="Calibri"/>
        </w:rPr>
        <w:t xml:space="preserve">. </w:t>
      </w:r>
      <w:r w:rsidR="00EE39C4" w:rsidRPr="00614C0D">
        <w:rPr>
          <w:rFonts w:ascii="Calibri" w:eastAsiaTheme="minorEastAsia" w:hAnsi="Calibri" w:cs="Calibri"/>
        </w:rPr>
        <w:t xml:space="preserve">The Panel sees an opportunity to support </w:t>
      </w:r>
      <w:r w:rsidR="0014146F" w:rsidRPr="00614C0D">
        <w:rPr>
          <w:rFonts w:ascii="Calibri" w:eastAsiaTheme="minorEastAsia" w:hAnsi="Calibri" w:cs="Calibri"/>
        </w:rPr>
        <w:t xml:space="preserve">adoption of similar delivery models where </w:t>
      </w:r>
      <w:r w:rsidR="00EE39C4" w:rsidRPr="00614C0D">
        <w:rPr>
          <w:rFonts w:ascii="Calibri" w:eastAsiaTheme="minorEastAsia" w:hAnsi="Calibri" w:cs="Calibri"/>
        </w:rPr>
        <w:t xml:space="preserve">particular schools specialise in providing </w:t>
      </w:r>
      <w:r w:rsidR="00EF23D7">
        <w:rPr>
          <w:rFonts w:ascii="Calibri" w:eastAsiaTheme="minorEastAsia" w:hAnsi="Calibri" w:cs="Calibri"/>
        </w:rPr>
        <w:t xml:space="preserve">or facilitating </w:t>
      </w:r>
      <w:r w:rsidR="00EE39C4" w:rsidRPr="00614C0D">
        <w:rPr>
          <w:rFonts w:ascii="Calibri" w:eastAsiaTheme="minorEastAsia" w:hAnsi="Calibri" w:cs="Calibri"/>
        </w:rPr>
        <w:t xml:space="preserve">consistent, high-quality placements for ITE students. </w:t>
      </w:r>
      <w:r w:rsidR="002D6AF8" w:rsidRPr="00614C0D">
        <w:rPr>
          <w:rFonts w:ascii="Calibri" w:eastAsiaTheme="minorEastAsia" w:hAnsi="Calibri" w:cs="Calibri"/>
        </w:rPr>
        <w:t xml:space="preserve">These schools </w:t>
      </w:r>
      <w:r w:rsidR="00EE39C4" w:rsidRPr="00614C0D">
        <w:rPr>
          <w:rFonts w:ascii="Calibri" w:eastAsiaTheme="minorEastAsia" w:hAnsi="Calibri" w:cs="Calibri"/>
        </w:rPr>
        <w:t xml:space="preserve">can provide a different range of experiences for ITE students, including exposure to diverse learners and regional and remote contexts. These schools </w:t>
      </w:r>
      <w:r w:rsidR="000D3B4C" w:rsidRPr="00614C0D">
        <w:rPr>
          <w:rFonts w:ascii="Calibri" w:eastAsiaTheme="minorEastAsia" w:hAnsi="Calibri" w:cs="Calibri"/>
        </w:rPr>
        <w:t xml:space="preserve">in partnership with higher education providers </w:t>
      </w:r>
      <w:r w:rsidR="00EE39C4" w:rsidRPr="00614C0D">
        <w:rPr>
          <w:rFonts w:ascii="Calibri" w:eastAsiaTheme="minorEastAsia" w:hAnsi="Calibri" w:cs="Calibri"/>
        </w:rPr>
        <w:t>can also support improved quality of</w:t>
      </w:r>
      <w:r w:rsidR="00D17CB0">
        <w:rPr>
          <w:rFonts w:ascii="Calibri" w:eastAsiaTheme="minorEastAsia" w:hAnsi="Calibri" w:cs="Calibri"/>
        </w:rPr>
        <w:t xml:space="preserve"> practical experience</w:t>
      </w:r>
      <w:r w:rsidR="00EE39C4" w:rsidRPr="00614C0D" w:rsidDel="00D17CB0">
        <w:rPr>
          <w:rFonts w:ascii="Calibri" w:eastAsiaTheme="minorEastAsia" w:hAnsi="Calibri" w:cs="Calibri"/>
        </w:rPr>
        <w:t xml:space="preserve"> </w:t>
      </w:r>
      <w:r w:rsidR="00EE39C4" w:rsidRPr="00614C0D">
        <w:rPr>
          <w:rFonts w:ascii="Calibri" w:eastAsiaTheme="minorEastAsia" w:hAnsi="Calibri" w:cs="Calibri"/>
        </w:rPr>
        <w:t>across schools by modelling and sharing evidence on what good placements look like</w:t>
      </w:r>
      <w:r w:rsidR="000D3B4C" w:rsidRPr="00614C0D">
        <w:rPr>
          <w:rFonts w:ascii="Calibri" w:eastAsiaTheme="minorEastAsia" w:hAnsi="Calibri" w:cs="Calibri"/>
        </w:rPr>
        <w:t xml:space="preserve">. </w:t>
      </w:r>
      <w:r w:rsidR="00EE39C4" w:rsidRPr="00614C0D">
        <w:rPr>
          <w:rFonts w:ascii="Calibri" w:eastAsiaTheme="minorEastAsia" w:hAnsi="Calibri" w:cs="Calibri"/>
        </w:rPr>
        <w:t xml:space="preserve">These schools can also benefit from becoming a centre of excellence in </w:t>
      </w:r>
      <w:r w:rsidR="00D17CB0">
        <w:rPr>
          <w:rFonts w:ascii="Calibri" w:eastAsiaTheme="minorEastAsia" w:hAnsi="Calibri" w:cs="Calibri"/>
        </w:rPr>
        <w:t>practical experience</w:t>
      </w:r>
      <w:r w:rsidR="00EE39C4" w:rsidRPr="00614C0D">
        <w:rPr>
          <w:rFonts w:ascii="Calibri" w:eastAsiaTheme="minorEastAsia" w:hAnsi="Calibri" w:cs="Calibri"/>
        </w:rPr>
        <w:t xml:space="preserve"> by developing their teacher pipeline and accessing professional learning. </w:t>
      </w:r>
    </w:p>
    <w:p w14:paraId="0EB7F8ED" w14:textId="51E27BA1" w:rsidR="00EE39C4" w:rsidRPr="00614C0D" w:rsidRDefault="00EE39C4" w:rsidP="00DB4D72">
      <w:pPr>
        <w:spacing w:after="120" w:line="240" w:lineRule="auto"/>
        <w:rPr>
          <w:rFonts w:ascii="Calibri" w:eastAsiaTheme="minorEastAsia" w:hAnsi="Calibri" w:cs="Calibri"/>
          <w:lang w:val="en-US"/>
        </w:rPr>
      </w:pPr>
      <w:r w:rsidRPr="00614C0D">
        <w:rPr>
          <w:rFonts w:ascii="Calibri" w:eastAsiaTheme="minorEastAsia" w:hAnsi="Calibri" w:cs="Calibri"/>
          <w:color w:val="000000" w:themeColor="text1"/>
          <w:lang w:val="en-US"/>
        </w:rPr>
        <w:lastRenderedPageBreak/>
        <w:t xml:space="preserve">Supporting these schools in regional, rural and remote areas could also be used to trial approaches </w:t>
      </w:r>
      <w:r w:rsidRPr="00614C0D">
        <w:rPr>
          <w:rStyle w:val="normaltextrun"/>
          <w:rFonts w:ascii="Calibri" w:eastAsia="Times New Roman" w:hAnsi="Calibri" w:cs="Calibri"/>
          <w:color w:val="000000" w:themeColor="text1"/>
          <w:lang w:eastAsia="en-AU"/>
        </w:rPr>
        <w:t xml:space="preserve">to delivering high-quality </w:t>
      </w:r>
      <w:r w:rsidR="00D17CB0">
        <w:rPr>
          <w:rStyle w:val="normaltextrun"/>
          <w:rFonts w:ascii="Calibri" w:eastAsia="Times New Roman" w:hAnsi="Calibri" w:cs="Calibri"/>
          <w:color w:val="000000" w:themeColor="text1"/>
          <w:lang w:eastAsia="en-AU"/>
        </w:rPr>
        <w:t>practical experience</w:t>
      </w:r>
      <w:r w:rsidRPr="00614C0D">
        <w:rPr>
          <w:rStyle w:val="normaltextrun"/>
          <w:rFonts w:ascii="Calibri" w:eastAsia="Times New Roman" w:hAnsi="Calibri" w:cs="Calibri"/>
          <w:color w:val="000000" w:themeColor="text1"/>
          <w:lang w:eastAsia="en-AU"/>
        </w:rPr>
        <w:t xml:space="preserve"> in these locations.</w:t>
      </w:r>
      <w:r w:rsidRPr="00614C0D">
        <w:rPr>
          <w:rFonts w:ascii="Calibri" w:eastAsiaTheme="minorEastAsia" w:hAnsi="Calibri" w:cs="Calibri"/>
          <w:color w:val="000000" w:themeColor="text1"/>
          <w:lang w:val="en-US"/>
        </w:rPr>
        <w:t xml:space="preserve"> These models could encapsulate v</w:t>
      </w:r>
      <w:r w:rsidRPr="00614C0D">
        <w:rPr>
          <w:rFonts w:ascii="Calibri" w:eastAsiaTheme="minorEastAsia" w:hAnsi="Calibri" w:cs="Calibri"/>
          <w:lang w:val="en-US"/>
        </w:rPr>
        <w:t xml:space="preserve">irtual delivery, rapid placements, roaming supervisors and cultural competency support. </w:t>
      </w:r>
    </w:p>
    <w:p w14:paraId="19526862" w14:textId="13481D5D" w:rsidR="6D91B8E8" w:rsidRPr="0007621B" w:rsidRDefault="00F53F28" w:rsidP="004D2952">
      <w:pPr>
        <w:pStyle w:val="Heading4"/>
        <w:spacing w:before="22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3.4.4 </w:t>
      </w:r>
      <w:r w:rsidR="6D91B8E8" w:rsidRPr="0007621B">
        <w:rPr>
          <w:rFonts w:asciiTheme="minorHAnsi" w:eastAsia="Times New Roman" w:hAnsiTheme="minorHAnsi" w:cstheme="minorHAnsi"/>
          <w:color w:val="002C3E" w:themeColor="background2"/>
          <w:lang w:eastAsia="en-AU"/>
        </w:rPr>
        <w:t>Provide targeted support for students with competing commitments</w:t>
      </w:r>
      <w:r w:rsidR="00EF23D7">
        <w:rPr>
          <w:rFonts w:asciiTheme="minorHAnsi" w:eastAsia="Times New Roman" w:hAnsiTheme="minorHAnsi" w:cstheme="minorHAnsi"/>
          <w:color w:val="002C3E" w:themeColor="background2"/>
          <w:lang w:eastAsia="en-AU"/>
        </w:rPr>
        <w:t>, learning needs,</w:t>
      </w:r>
      <w:r w:rsidR="6D91B8E8" w:rsidRPr="0007621B">
        <w:rPr>
          <w:rFonts w:asciiTheme="minorHAnsi" w:eastAsia="Times New Roman" w:hAnsiTheme="minorHAnsi" w:cstheme="minorHAnsi"/>
          <w:color w:val="002C3E" w:themeColor="background2"/>
          <w:lang w:eastAsia="en-AU"/>
        </w:rPr>
        <w:t xml:space="preserve"> </w:t>
      </w:r>
      <w:r w:rsidR="6D91B8E8" w:rsidRPr="0007621B">
        <w:rPr>
          <w:rFonts w:asciiTheme="minorHAnsi" w:eastAsia="Calibri" w:hAnsiTheme="minorHAnsi" w:cstheme="minorHAnsi"/>
          <w:color w:val="002C3E" w:themeColor="background2"/>
          <w:lang w:val="en-US"/>
        </w:rPr>
        <w:t>and in areas of workforce need</w:t>
      </w:r>
    </w:p>
    <w:p w14:paraId="4F729DBB" w14:textId="78ADA773" w:rsidR="6D91B8E8" w:rsidRDefault="6D91B8E8" w:rsidP="00E2275C">
      <w:pPr>
        <w:spacing w:after="120" w:line="240" w:lineRule="auto"/>
      </w:pPr>
      <w:r w:rsidRPr="515A45B2">
        <w:rPr>
          <w:rFonts w:ascii="Calibri" w:eastAsia="Calibri" w:hAnsi="Calibri" w:cs="Calibri"/>
          <w:color w:val="000000" w:themeColor="text1"/>
          <w:lang w:val="en-US"/>
        </w:rPr>
        <w:t>The need to undertake full-time in person placements can present a significant challenge for students with work or family commitments</w:t>
      </w:r>
      <w:r w:rsidR="00830BE1">
        <w:rPr>
          <w:rFonts w:ascii="Calibri" w:eastAsia="Calibri" w:hAnsi="Calibri" w:cs="Calibri"/>
          <w:color w:val="000000" w:themeColor="text1"/>
          <w:lang w:val="en-US"/>
        </w:rPr>
        <w:t xml:space="preserve"> or those with learning or physical needs</w:t>
      </w:r>
      <w:r w:rsidRPr="515A45B2">
        <w:rPr>
          <w:rFonts w:ascii="Calibri" w:eastAsia="Calibri" w:hAnsi="Calibri" w:cs="Calibri"/>
          <w:color w:val="000000" w:themeColor="text1"/>
          <w:lang w:val="en-US"/>
        </w:rPr>
        <w:t xml:space="preserve">. This can pose a barrier to higher education providers offering earlier and/or longer placements due to the increasing risk of student attrition. The Panel sees an opportunity to provide targeted support to students with competing commitments </w:t>
      </w:r>
      <w:r w:rsidR="00305F0E">
        <w:rPr>
          <w:rFonts w:ascii="Calibri" w:eastAsia="Calibri" w:hAnsi="Calibri" w:cs="Calibri"/>
          <w:color w:val="000000" w:themeColor="text1"/>
          <w:lang w:val="en-US"/>
        </w:rPr>
        <w:t xml:space="preserve">or those with learning or physical needs </w:t>
      </w:r>
      <w:r w:rsidRPr="515A45B2">
        <w:rPr>
          <w:rFonts w:ascii="Calibri" w:eastAsia="Calibri" w:hAnsi="Calibri" w:cs="Calibri"/>
          <w:color w:val="000000" w:themeColor="text1"/>
          <w:lang w:val="en-US"/>
        </w:rPr>
        <w:t xml:space="preserve">and to students in areas of workforce need to increase the likelihood of completing their </w:t>
      </w:r>
      <w:r w:rsidR="002970C3">
        <w:rPr>
          <w:rFonts w:ascii="Calibri" w:eastAsia="Calibri" w:hAnsi="Calibri" w:cs="Calibri"/>
          <w:color w:val="000000" w:themeColor="text1"/>
          <w:lang w:val="en-US"/>
        </w:rPr>
        <w:t>ITE program</w:t>
      </w:r>
      <w:r w:rsidRPr="515A45B2">
        <w:rPr>
          <w:rFonts w:ascii="Calibri" w:eastAsia="Calibri" w:hAnsi="Calibri" w:cs="Calibri"/>
          <w:color w:val="000000" w:themeColor="text1"/>
          <w:lang w:val="en-US"/>
        </w:rPr>
        <w:t xml:space="preserve">.  </w:t>
      </w:r>
    </w:p>
    <w:p w14:paraId="72B9D522" w14:textId="3E939937" w:rsidR="00B707E9" w:rsidRPr="00E2275C" w:rsidRDefault="00EB244C" w:rsidP="00E2275C">
      <w:pPr>
        <w:pStyle w:val="Heading3"/>
        <w:spacing w:before="120" w:after="120" w:line="240" w:lineRule="auto"/>
        <w:rPr>
          <w:rFonts w:eastAsia="Times New Roman"/>
          <w:lang w:eastAsia="en-AU"/>
        </w:rPr>
      </w:pPr>
      <w:bookmarkStart w:id="100" w:name="_Toc127978391"/>
      <w:bookmarkStart w:id="101" w:name="_Toc128649099"/>
      <w:bookmarkStart w:id="102" w:name="_Toc130217455"/>
      <w:r>
        <w:rPr>
          <w:rFonts w:eastAsia="Times New Roman"/>
          <w:lang w:eastAsia="en-AU"/>
        </w:rPr>
        <w:t xml:space="preserve">3.5 </w:t>
      </w:r>
      <w:r w:rsidR="00B707E9" w:rsidRPr="00E2275C">
        <w:rPr>
          <w:rFonts w:eastAsia="Times New Roman"/>
          <w:lang w:eastAsia="en-AU"/>
        </w:rPr>
        <w:t>Considerations</w:t>
      </w:r>
      <w:bookmarkEnd w:id="100"/>
      <w:bookmarkEnd w:id="101"/>
      <w:bookmarkEnd w:id="102"/>
      <w:r w:rsidR="00B707E9" w:rsidRPr="00E2275C">
        <w:rPr>
          <w:rFonts w:eastAsia="Times New Roman"/>
          <w:lang w:eastAsia="en-AU"/>
        </w:rPr>
        <w:t> </w:t>
      </w:r>
    </w:p>
    <w:p w14:paraId="4229AE59" w14:textId="00FD2CA4" w:rsidR="004D2952" w:rsidRPr="00EB244C" w:rsidRDefault="00F53F28" w:rsidP="00DB4D72">
      <w:pPr>
        <w:spacing w:after="0" w:line="240" w:lineRule="auto"/>
        <w:rPr>
          <w:rFonts w:ascii="Calibri" w:eastAsia="Times New Roman" w:hAnsi="Calibri" w:cs="Calibri"/>
          <w:lang w:eastAsia="en-AU"/>
        </w:rPr>
      </w:pPr>
      <w:r>
        <w:rPr>
          <w:rStyle w:val="Heading4Char"/>
          <w:rFonts w:asciiTheme="minorHAnsi" w:hAnsiTheme="minorHAnsi" w:cstheme="minorHAnsi"/>
          <w:color w:val="002C3E" w:themeColor="background2"/>
        </w:rPr>
        <w:t xml:space="preserve">3.5.1 </w:t>
      </w:r>
      <w:r w:rsidR="00EE39C4" w:rsidRPr="00C00A78">
        <w:rPr>
          <w:rStyle w:val="Heading4Char"/>
          <w:rFonts w:asciiTheme="minorHAnsi" w:hAnsiTheme="minorHAnsi" w:cstheme="minorHAnsi"/>
          <w:color w:val="002C3E" w:themeColor="background2"/>
        </w:rPr>
        <w:t>Existing partnership arrangements</w:t>
      </w:r>
      <w:r w:rsidR="00EE39C4">
        <w:br/>
      </w:r>
      <w:r w:rsidR="00B707E9" w:rsidRPr="00614C0D">
        <w:rPr>
          <w:rFonts w:ascii="Calibri" w:eastAsiaTheme="minorEastAsia" w:hAnsi="Calibri" w:cs="Calibri"/>
        </w:rPr>
        <w:t xml:space="preserve">As shown in the listed case studies, the Panel notes that there are </w:t>
      </w:r>
      <w:r w:rsidR="005B72ED">
        <w:rPr>
          <w:rFonts w:ascii="Calibri" w:eastAsiaTheme="minorEastAsia" w:hAnsi="Calibri" w:cs="Calibri"/>
        </w:rPr>
        <w:t>existing</w:t>
      </w:r>
      <w:r w:rsidR="00B707E9" w:rsidRPr="00614C0D">
        <w:rPr>
          <w:rFonts w:ascii="Calibri" w:eastAsiaTheme="minorEastAsia" w:hAnsi="Calibri" w:cs="Calibri"/>
        </w:rPr>
        <w:t xml:space="preserve"> partnerships and arrangements in place between providers, schools and other relevant bodies to deliver high-quality </w:t>
      </w:r>
      <w:r w:rsidR="00D17CB0">
        <w:rPr>
          <w:rFonts w:ascii="Calibri" w:eastAsiaTheme="minorEastAsia" w:hAnsi="Calibri" w:cs="Calibri"/>
        </w:rPr>
        <w:t>practical experience</w:t>
      </w:r>
      <w:r w:rsidR="00B707E9" w:rsidRPr="00614C0D">
        <w:rPr>
          <w:rFonts w:ascii="Calibri" w:eastAsiaTheme="minorEastAsia" w:hAnsi="Calibri" w:cs="Calibri"/>
        </w:rPr>
        <w:t xml:space="preserve">. The Panel is interested in understanding the extent to which these identified opportunities would improve the quality of </w:t>
      </w:r>
      <w:r w:rsidR="00D17CB0">
        <w:rPr>
          <w:rFonts w:ascii="Calibri" w:eastAsiaTheme="minorEastAsia" w:hAnsi="Calibri" w:cs="Calibri"/>
        </w:rPr>
        <w:t xml:space="preserve">practical experience </w:t>
      </w:r>
      <w:r w:rsidR="00B707E9" w:rsidRPr="00614C0D">
        <w:rPr>
          <w:rFonts w:ascii="Calibri" w:eastAsiaTheme="minorEastAsia" w:hAnsi="Calibri" w:cs="Calibri"/>
        </w:rPr>
        <w:t>without adversely impacting existing arrangements.</w:t>
      </w:r>
    </w:p>
    <w:p w14:paraId="430CB461" w14:textId="418CADEA" w:rsidR="00B707E9" w:rsidRPr="00C00A78" w:rsidRDefault="00F53F28" w:rsidP="0023696D">
      <w:pPr>
        <w:pStyle w:val="Heading4"/>
        <w:spacing w:before="120"/>
        <w:rPr>
          <w:rFonts w:asciiTheme="minorHAnsi" w:eastAsia="Times New Roman" w:hAnsiTheme="minorHAnsi" w:cstheme="minorHAnsi"/>
          <w:b w:val="0"/>
          <w:color w:val="000000" w:themeColor="text1"/>
          <w:lang w:eastAsia="en-AU"/>
        </w:rPr>
      </w:pPr>
      <w:r>
        <w:rPr>
          <w:rFonts w:asciiTheme="minorHAnsi" w:hAnsiTheme="minorHAnsi" w:cstheme="minorHAnsi"/>
          <w:color w:val="002C3E" w:themeColor="background2"/>
        </w:rPr>
        <w:t xml:space="preserve">3.5.2 </w:t>
      </w:r>
      <w:r w:rsidR="00B707E9" w:rsidRPr="00C00A78">
        <w:rPr>
          <w:rFonts w:asciiTheme="minorHAnsi" w:hAnsiTheme="minorHAnsi" w:cstheme="minorHAnsi"/>
          <w:color w:val="002C3E" w:themeColor="background2"/>
        </w:rPr>
        <w:t>Costs</w:t>
      </w:r>
      <w:r w:rsidR="00B707E9" w:rsidRPr="00C00A78">
        <w:rPr>
          <w:rFonts w:asciiTheme="minorHAnsi" w:eastAsia="Times New Roman" w:hAnsiTheme="minorHAnsi" w:cstheme="minorHAnsi"/>
          <w:color w:val="000000" w:themeColor="text1"/>
          <w:lang w:eastAsia="en-AU"/>
        </w:rPr>
        <w:t>  </w:t>
      </w:r>
    </w:p>
    <w:p w14:paraId="35E09F91" w14:textId="1AA1E60F" w:rsidR="007202B9" w:rsidRPr="0023696D" w:rsidRDefault="007202B9" w:rsidP="00A04DB7">
      <w:pPr>
        <w:spacing w:line="240" w:lineRule="auto"/>
        <w:textAlignment w:val="baseline"/>
        <w:rPr>
          <w:rFonts w:ascii="Calibri" w:eastAsiaTheme="minorEastAsia" w:hAnsi="Calibri" w:cs="Calibri"/>
          <w:color w:val="000000" w:themeColor="text1"/>
        </w:rPr>
      </w:pPr>
      <w:r>
        <w:rPr>
          <w:rFonts w:ascii="Calibri Light" w:eastAsia="Times New Roman" w:hAnsi="Calibri Light" w:cs="Calibri Light"/>
          <w:noProof/>
          <w:color w:val="2F5496"/>
          <w:szCs w:val="32"/>
          <w:shd w:val="clear" w:color="auto" w:fill="E6E6E6"/>
          <w:lang w:eastAsia="en-AU"/>
        </w:rPr>
        <mc:AlternateContent>
          <mc:Choice Requires="wpg">
            <w:drawing>
              <wp:anchor distT="0" distB="0" distL="114300" distR="114300" simplePos="0" relativeHeight="251658249" behindDoc="0" locked="0" layoutInCell="1" allowOverlap="1" wp14:anchorId="7C4C214B" wp14:editId="64235A73">
                <wp:simplePos x="0" y="0"/>
                <wp:positionH relativeFrom="margin">
                  <wp:posOffset>-137795</wp:posOffset>
                </wp:positionH>
                <wp:positionV relativeFrom="paragraph">
                  <wp:posOffset>796480</wp:posOffset>
                </wp:positionV>
                <wp:extent cx="5731510" cy="763905"/>
                <wp:effectExtent l="0" t="0" r="21590" b="0"/>
                <wp:wrapNone/>
                <wp:docPr id="232" name="Group 232"/>
                <wp:cNvGraphicFramePr/>
                <a:graphic xmlns:a="http://schemas.openxmlformats.org/drawingml/2006/main">
                  <a:graphicData uri="http://schemas.microsoft.com/office/word/2010/wordprocessingGroup">
                    <wpg:wgp>
                      <wpg:cNvGrpSpPr/>
                      <wpg:grpSpPr>
                        <a:xfrm>
                          <a:off x="0" y="0"/>
                          <a:ext cx="5731510" cy="763905"/>
                          <a:chOff x="0" y="0"/>
                          <a:chExt cx="5731529" cy="763905"/>
                        </a:xfrm>
                      </wpg:grpSpPr>
                      <wps:wsp>
                        <wps:cNvPr id="233" name="Text Box 233"/>
                        <wps:cNvSpPr txBox="1"/>
                        <wps:spPr>
                          <a:xfrm>
                            <a:off x="204717" y="245662"/>
                            <a:ext cx="5526812" cy="286601"/>
                          </a:xfrm>
                          <a:prstGeom prst="rect">
                            <a:avLst/>
                          </a:prstGeom>
                          <a:solidFill>
                            <a:schemeClr val="accent2">
                              <a:lumMod val="75000"/>
                            </a:schemeClr>
                          </a:solidFill>
                          <a:ln w="6350">
                            <a:solidFill>
                              <a:schemeClr val="accent1"/>
                            </a:solidFill>
                          </a:ln>
                        </wps:spPr>
                        <wps:txbx>
                          <w:txbxContent>
                            <w:p w14:paraId="602600F9" w14:textId="77777777" w:rsidR="00556EA0" w:rsidRPr="009D1170" w:rsidRDefault="00556EA0" w:rsidP="00556EA0">
                              <w:pPr>
                                <w:ind w:firstLine="720"/>
                                <w:rPr>
                                  <w:color w:val="002C3E" w:themeColor="background2"/>
                                  <w:sz w:val="28"/>
                                  <w:szCs w:val="28"/>
                                </w:rPr>
                              </w:pPr>
                              <w:r w:rsidRPr="009D1170">
                                <w:rPr>
                                  <w:rFonts w:eastAsia="Times New Roman"/>
                                  <w:color w:val="002C3E" w:themeColor="background2"/>
                                  <w:sz w:val="28"/>
                                  <w:szCs w:val="28"/>
                                  <w:lang w:eastAsia="en-AU"/>
                                </w:rPr>
                                <w:t>Discussion questions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cNvPr id="234" name="Group 234"/>
                        <wpg:cNvGrpSpPr/>
                        <wpg:grpSpPr>
                          <a:xfrm>
                            <a:off x="0" y="0"/>
                            <a:ext cx="763905" cy="763905"/>
                            <a:chOff x="0" y="0"/>
                            <a:chExt cx="763905" cy="763905"/>
                          </a:xfrm>
                        </wpg:grpSpPr>
                        <wps:wsp>
                          <wps:cNvPr id="235" name="Oval 235"/>
                          <wps:cNvSpPr/>
                          <wps:spPr>
                            <a:xfrm>
                              <a:off x="150125" y="163773"/>
                              <a:ext cx="464024" cy="42308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Graphic 236" descr="Help with solid fill"/>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63905" cy="763905"/>
                            </a:xfrm>
                            <a:prstGeom prst="rect">
                              <a:avLst/>
                            </a:prstGeom>
                          </pic:spPr>
                        </pic:pic>
                      </wpg:grpSp>
                    </wpg:wgp>
                  </a:graphicData>
                </a:graphic>
              </wp:anchor>
            </w:drawing>
          </mc:Choice>
          <mc:Fallback xmlns:w16du="http://schemas.microsoft.com/office/word/2023/wordml/word16du" xmlns:oel="http://schemas.microsoft.com/office/2019/extlst">
            <w:pict>
              <v:group w14:anchorId="7C4C214B" id="Group 232" o:spid="_x0000_s1092" style="position:absolute;margin-left:-10.85pt;margin-top:62.7pt;width:451.3pt;height:60.15pt;z-index:251658249;mso-position-horizontal-relative:margin" coordsize="57315,76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">
                <v:shape id="Text Box 233" o:spid="_x0000_s1093" type="#_x0000_t202" style="position:absolute;left:2047;top:2456;width:55268;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" fillcolor="#fab501 [2405]" strokecolor="#ebab12 [3204]" strokeweight=".5pt">
                  <v:textbox inset=",1mm,,1mm">
                    <w:txbxContent>
                      <w:p w14:paraId="602600F9" w14:textId="77777777" w:rsidR="00556EA0" w:rsidRPr="009D1170" w:rsidRDefault="00556EA0" w:rsidP="00556EA0">
                        <w:pPr>
                          <w:ind w:firstLine="720"/>
                          <w:rPr>
                            <w:color w:val="002C3E" w:themeColor="background2"/>
                            <w:sz w:val="28"/>
                            <w:szCs w:val="28"/>
                          </w:rPr>
                        </w:pPr>
                        <w:r w:rsidRPr="009D1170">
                          <w:rPr>
                            <w:rFonts w:eastAsia="Times New Roman"/>
                            <w:color w:val="002C3E" w:themeColor="background2"/>
                            <w:sz w:val="28"/>
                            <w:szCs w:val="28"/>
                            <w:lang w:eastAsia="en-AU"/>
                          </w:rPr>
                          <w:t>Discussion questions </w:t>
                        </w:r>
                      </w:p>
                    </w:txbxContent>
                  </v:textbox>
                </v:shape>
                <v:group id="Group 234" o:spid="_x0000_s1094" style="position:absolute;width:7639;height:7639" coordsize="7639,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oval id="Oval 235" o:spid="_x0000_s1095" style="position:absolute;left:1501;top:1637;width:4640;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" fillcolor="white [3212]" strokecolor="white [3212]" strokeweight="1pt">
                    <v:stroke joinstyle="miter"/>
                  </v:oval>
                  <v:shape id="Graphic 236" o:spid="_x0000_s1096" type="#_x0000_t75" alt="Help with solid fill" style="position:absolute;width:7639;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">
                    <v:imagedata r:id="rId53" o:title="Help with solid fill"/>
                  </v:shape>
                </v:group>
                <w10:wrap anchorx="margin"/>
              </v:group>
            </w:pict>
          </mc:Fallback>
        </mc:AlternateContent>
      </w:r>
      <w:r w:rsidR="00D17CB0">
        <w:rPr>
          <w:rFonts w:ascii="Calibri" w:eastAsiaTheme="minorEastAsia" w:hAnsi="Calibri" w:cs="Calibri"/>
          <w:color w:val="000000" w:themeColor="text1"/>
        </w:rPr>
        <w:t>Practical experience</w:t>
      </w:r>
      <w:r w:rsidR="00EE39C4" w:rsidRPr="00B65E2D">
        <w:rPr>
          <w:rFonts w:ascii="Calibri" w:eastAsiaTheme="minorEastAsia" w:hAnsi="Calibri" w:cs="Calibri"/>
          <w:color w:val="000000" w:themeColor="text1"/>
        </w:rPr>
        <w:t xml:space="preserve"> can be a relatively expensive component of an ITE program. </w:t>
      </w:r>
      <w:r w:rsidR="008A6F2A">
        <w:rPr>
          <w:rFonts w:ascii="Calibri" w:eastAsiaTheme="minorEastAsia" w:hAnsi="Calibri" w:cs="Calibri"/>
          <w:color w:val="000000" w:themeColor="text1"/>
        </w:rPr>
        <w:t>Higher education</w:t>
      </w:r>
      <w:r w:rsidR="00EE39C4" w:rsidRPr="00B65E2D">
        <w:rPr>
          <w:rFonts w:ascii="Calibri" w:eastAsiaTheme="minorEastAsia" w:hAnsi="Calibri" w:cs="Calibri"/>
          <w:color w:val="000000" w:themeColor="text1"/>
        </w:rPr>
        <w:t xml:space="preserve"> providers estimate that the cost of delivering placements has increased over time, due to higher expectations for quality and the costs associated with bespoke matching and coordination processes. The Panel notes that the identified opportunities </w:t>
      </w:r>
      <w:r w:rsidR="00C90823">
        <w:rPr>
          <w:rFonts w:ascii="Calibri" w:eastAsiaTheme="minorEastAsia" w:hAnsi="Calibri" w:cs="Calibri"/>
          <w:color w:val="000000" w:themeColor="text1"/>
        </w:rPr>
        <w:t>may</w:t>
      </w:r>
      <w:r w:rsidR="00C90823" w:rsidRPr="00B65E2D">
        <w:rPr>
          <w:rFonts w:ascii="Calibri" w:eastAsiaTheme="minorEastAsia" w:hAnsi="Calibri" w:cs="Calibri"/>
          <w:color w:val="000000" w:themeColor="text1"/>
        </w:rPr>
        <w:t xml:space="preserve"> </w:t>
      </w:r>
      <w:r w:rsidR="00EE39C4" w:rsidRPr="00B65E2D">
        <w:rPr>
          <w:rFonts w:ascii="Calibri" w:eastAsiaTheme="minorEastAsia" w:hAnsi="Calibri" w:cs="Calibri"/>
          <w:color w:val="000000" w:themeColor="text1"/>
        </w:rPr>
        <w:t>require funding but that they could also improve the efficiency of placements.</w:t>
      </w:r>
      <w:r w:rsidR="0023696D">
        <w:rPr>
          <w:rFonts w:ascii="Calibri" w:eastAsiaTheme="minorEastAsia" w:hAnsi="Calibri" w:cs="Calibri"/>
          <w:color w:val="000000" w:themeColor="text1"/>
        </w:rPr>
        <w:br/>
      </w:r>
      <w:r w:rsidR="0023696D">
        <w:rPr>
          <w:rFonts w:ascii="Calibri" w:eastAsiaTheme="minorEastAsia" w:hAnsi="Calibri" w:cs="Calibri"/>
          <w:color w:val="000000" w:themeColor="text1"/>
        </w:rPr>
        <w:br/>
      </w:r>
    </w:p>
    <w:p w14:paraId="7A51FD58" w14:textId="1179ED42" w:rsidR="004A09ED" w:rsidRPr="00E95C5D" w:rsidRDefault="78FD6B44" w:rsidP="1247CB6A">
      <w:pPr>
        <w:numPr>
          <w:ilvl w:val="0"/>
          <w:numId w:val="16"/>
        </w:numPr>
        <w:spacing w:after="0" w:line="240" w:lineRule="auto"/>
        <w:contextualSpacing/>
        <w:textAlignment w:val="baseline"/>
        <w:rPr>
          <w:rFonts w:ascii="Calibri" w:eastAsia="Times New Roman" w:hAnsi="Calibri" w:cs="Calibri"/>
          <w:lang w:eastAsia="en-AU"/>
        </w:rPr>
      </w:pPr>
      <w:r w:rsidRPr="1247CB6A">
        <w:rPr>
          <w:rFonts w:ascii="Calibri" w:eastAsia="Times New Roman" w:hAnsi="Calibri" w:cs="Calibri"/>
          <w:b/>
          <w:bCs/>
          <w:lang w:eastAsia="en-AU"/>
        </w:rPr>
        <w:t xml:space="preserve">System level agreements: </w:t>
      </w:r>
      <w:r w:rsidRPr="1247CB6A">
        <w:rPr>
          <w:rFonts w:ascii="Calibri" w:eastAsia="Times New Roman" w:hAnsi="Calibri" w:cs="Calibri"/>
          <w:lang w:eastAsia="en-AU"/>
        </w:rPr>
        <w:t xml:space="preserve">Would establishing more comprehensive </w:t>
      </w:r>
      <w:r w:rsidRPr="1247CB6A">
        <w:rPr>
          <w:rFonts w:ascii="Calibri" w:hAnsi="Calibri" w:cs="Calibri"/>
        </w:rPr>
        <w:t>system level agreements between school sectors</w:t>
      </w:r>
      <w:r w:rsidR="0008188D">
        <w:rPr>
          <w:rFonts w:ascii="Calibri" w:hAnsi="Calibri" w:cs="Calibri"/>
        </w:rPr>
        <w:t>/systems</w:t>
      </w:r>
      <w:r w:rsidRPr="1247CB6A">
        <w:rPr>
          <w:rFonts w:ascii="Calibri" w:hAnsi="Calibri" w:cs="Calibri"/>
        </w:rPr>
        <w:t xml:space="preserve"> and higher education providers address challenges in the </w:t>
      </w:r>
      <w:r w:rsidRPr="1247CB6A">
        <w:rPr>
          <w:rFonts w:ascii="Calibri" w:eastAsiaTheme="minorEastAsia" w:hAnsi="Calibri" w:cs="Calibri"/>
          <w:color w:val="000000" w:themeColor="text1"/>
        </w:rPr>
        <w:t xml:space="preserve">school matching process and deliver more effective placements? </w:t>
      </w:r>
      <w:r w:rsidR="74F1BA13" w:rsidRPr="062B80AC">
        <w:rPr>
          <w:rFonts w:ascii="Calibri" w:eastAsiaTheme="minorEastAsia" w:hAnsi="Calibri" w:cs="Calibri"/>
          <w:color w:val="000000" w:themeColor="text1"/>
        </w:rPr>
        <w:t xml:space="preserve">How </w:t>
      </w:r>
      <w:r w:rsidR="514F1ED9" w:rsidRPr="062B80AC">
        <w:rPr>
          <w:rFonts w:ascii="Calibri" w:eastAsiaTheme="minorEastAsia" w:hAnsi="Calibri" w:cs="Calibri"/>
          <w:color w:val="000000" w:themeColor="text1"/>
        </w:rPr>
        <w:t xml:space="preserve">could </w:t>
      </w:r>
      <w:r w:rsidR="009EB069" w:rsidRPr="062B80AC">
        <w:rPr>
          <w:rFonts w:ascii="Calibri" w:eastAsiaTheme="minorEastAsia" w:hAnsi="Calibri" w:cs="Calibri"/>
          <w:color w:val="000000" w:themeColor="text1"/>
        </w:rPr>
        <w:t xml:space="preserve">these agreements </w:t>
      </w:r>
      <w:r w:rsidR="6C30748B" w:rsidRPr="062B80AC">
        <w:rPr>
          <w:rFonts w:ascii="Calibri" w:eastAsiaTheme="minorEastAsia" w:hAnsi="Calibri" w:cs="Calibri"/>
          <w:color w:val="000000" w:themeColor="text1"/>
        </w:rPr>
        <w:t>complement current</w:t>
      </w:r>
      <w:r w:rsidR="009EB069" w:rsidRPr="062B80AC">
        <w:rPr>
          <w:rFonts w:ascii="Calibri" w:eastAsiaTheme="minorEastAsia" w:hAnsi="Calibri" w:cs="Calibri"/>
          <w:color w:val="000000" w:themeColor="text1"/>
        </w:rPr>
        <w:t xml:space="preserve"> localise</w:t>
      </w:r>
      <w:r w:rsidR="005703A0">
        <w:rPr>
          <w:rFonts w:ascii="Calibri" w:eastAsiaTheme="minorEastAsia" w:hAnsi="Calibri" w:cs="Calibri"/>
          <w:color w:val="000000" w:themeColor="text1"/>
        </w:rPr>
        <w:t>d</w:t>
      </w:r>
      <w:r w:rsidR="009EB069" w:rsidRPr="062B80AC">
        <w:rPr>
          <w:rFonts w:ascii="Calibri" w:eastAsiaTheme="minorEastAsia" w:hAnsi="Calibri" w:cs="Calibri"/>
          <w:color w:val="000000" w:themeColor="text1"/>
        </w:rPr>
        <w:t xml:space="preserve"> arrangements?</w:t>
      </w:r>
      <w:r w:rsidR="009EB069" w:rsidRPr="062B80AC">
        <w:rPr>
          <w:rFonts w:ascii="Calibri" w:hAnsi="Calibri" w:cs="Calibri"/>
          <w:b/>
          <w:bCs/>
        </w:rPr>
        <w:t xml:space="preserve"> </w:t>
      </w:r>
    </w:p>
    <w:p w14:paraId="1D527BAC" w14:textId="0BA6350C" w:rsidR="004A09ED" w:rsidRPr="00E95C5D" w:rsidRDefault="2F84C5AA" w:rsidP="1247CB6A">
      <w:pPr>
        <w:numPr>
          <w:ilvl w:val="0"/>
          <w:numId w:val="16"/>
        </w:numPr>
        <w:spacing w:after="0" w:line="240" w:lineRule="auto"/>
        <w:contextualSpacing/>
        <w:textAlignment w:val="baseline"/>
        <w:rPr>
          <w:rFonts w:ascii="Calibri" w:eastAsia="Times New Roman" w:hAnsi="Calibri" w:cs="Calibri"/>
          <w:lang w:eastAsia="en-AU"/>
        </w:rPr>
      </w:pPr>
      <w:r w:rsidRPr="062B80AC">
        <w:rPr>
          <w:rFonts w:ascii="Calibri" w:eastAsia="Times New Roman" w:hAnsi="Calibri" w:cs="Calibri"/>
          <w:b/>
          <w:bCs/>
          <w:lang w:eastAsia="en-AU"/>
        </w:rPr>
        <w:t>Centres of excellence</w:t>
      </w:r>
      <w:r w:rsidR="78FD6B44" w:rsidRPr="1247CB6A">
        <w:rPr>
          <w:rFonts w:ascii="Calibri" w:eastAsia="Times New Roman" w:hAnsi="Calibri" w:cs="Calibri"/>
          <w:b/>
          <w:bCs/>
          <w:lang w:eastAsia="en-AU"/>
        </w:rPr>
        <w:t>:</w:t>
      </w:r>
      <w:r w:rsidR="78FD6B44" w:rsidRPr="1247CB6A">
        <w:rPr>
          <w:rFonts w:ascii="Calibri" w:eastAsia="Times New Roman" w:hAnsi="Calibri" w:cs="Calibri"/>
          <w:lang w:eastAsia="en-AU"/>
        </w:rPr>
        <w:t xml:space="preserve"> Would </w:t>
      </w:r>
      <w:r w:rsidR="57AB865C" w:rsidRPr="062B80AC">
        <w:rPr>
          <w:rFonts w:ascii="Calibri" w:eastAsia="Times New Roman" w:hAnsi="Calibri" w:cs="Calibri"/>
          <w:lang w:eastAsia="en-AU"/>
        </w:rPr>
        <w:t>encouraging centres of excellence</w:t>
      </w:r>
      <w:r w:rsidR="78FD6B44" w:rsidRPr="1247CB6A">
        <w:rPr>
          <w:rFonts w:ascii="Calibri" w:eastAsia="Times New Roman" w:hAnsi="Calibri" w:cs="Calibri"/>
          <w:lang w:eastAsia="en-AU"/>
        </w:rPr>
        <w:t xml:space="preserve">, such as </w:t>
      </w:r>
      <w:r w:rsidR="6EA80860" w:rsidRPr="062B80AC">
        <w:rPr>
          <w:rFonts w:ascii="Calibri" w:eastAsia="Times New Roman" w:hAnsi="Calibri" w:cs="Calibri"/>
          <w:lang w:eastAsia="en-AU"/>
        </w:rPr>
        <w:t>hub</w:t>
      </w:r>
      <w:r w:rsidR="78FD6B44" w:rsidRPr="1247CB6A">
        <w:rPr>
          <w:rFonts w:ascii="Calibri" w:eastAsia="Times New Roman" w:hAnsi="Calibri" w:cs="Calibri"/>
          <w:lang w:eastAsia="en-AU"/>
        </w:rPr>
        <w:t xml:space="preserve"> schools, support high-quality </w:t>
      </w:r>
      <w:r w:rsidR="005B1575">
        <w:rPr>
          <w:rFonts w:ascii="Calibri" w:eastAsia="Times New Roman" w:hAnsi="Calibri" w:cs="Calibri"/>
          <w:lang w:eastAsia="en-AU"/>
        </w:rPr>
        <w:t>practical experience</w:t>
      </w:r>
      <w:r w:rsidR="78FD6B44" w:rsidRPr="1247CB6A">
        <w:rPr>
          <w:rFonts w:ascii="Calibri" w:eastAsia="Times New Roman" w:hAnsi="Calibri" w:cs="Calibri"/>
          <w:lang w:eastAsia="en-AU"/>
        </w:rPr>
        <w:t xml:space="preserve">? </w:t>
      </w:r>
      <w:r w:rsidR="66876AFB" w:rsidRPr="062B80AC">
        <w:rPr>
          <w:rFonts w:ascii="Calibri" w:eastAsia="Times New Roman" w:hAnsi="Calibri" w:cs="Calibri"/>
          <w:lang w:eastAsia="en-AU"/>
        </w:rPr>
        <w:t>What are the impediments to delivering these centres of excellence?</w:t>
      </w:r>
    </w:p>
    <w:p w14:paraId="6A9001AD" w14:textId="024DB9F2" w:rsidR="004A09ED" w:rsidRPr="00E95C5D" w:rsidRDefault="23FEEE7D" w:rsidP="00645BD5">
      <w:pPr>
        <w:numPr>
          <w:ilvl w:val="0"/>
          <w:numId w:val="16"/>
        </w:numPr>
        <w:spacing w:after="0" w:line="240" w:lineRule="auto"/>
        <w:contextualSpacing/>
        <w:textAlignment w:val="baseline"/>
        <w:rPr>
          <w:rFonts w:ascii="Calibri" w:eastAsia="Times New Roman" w:hAnsi="Calibri" w:cs="Calibri"/>
          <w:b/>
          <w:bCs/>
          <w:lang w:eastAsia="en-AU"/>
        </w:rPr>
      </w:pPr>
      <w:r w:rsidRPr="062B80AC">
        <w:rPr>
          <w:rFonts w:ascii="Calibri" w:eastAsia="Times New Roman" w:hAnsi="Calibri" w:cs="Calibri"/>
          <w:b/>
          <w:bCs/>
          <w:lang w:eastAsia="en-AU"/>
        </w:rPr>
        <w:t>National</w:t>
      </w:r>
      <w:r w:rsidR="0D9C8FCB" w:rsidRPr="062B80AC">
        <w:rPr>
          <w:rFonts w:ascii="Calibri" w:eastAsia="Times New Roman" w:hAnsi="Calibri" w:cs="Calibri"/>
          <w:b/>
          <w:bCs/>
          <w:lang w:eastAsia="en-AU"/>
        </w:rPr>
        <w:t xml:space="preserve"> </w:t>
      </w:r>
      <w:r w:rsidR="604174CB" w:rsidRPr="062B80AC">
        <w:rPr>
          <w:rFonts w:ascii="Calibri" w:eastAsia="Times New Roman" w:hAnsi="Calibri" w:cs="Calibri"/>
          <w:b/>
          <w:bCs/>
          <w:lang w:eastAsia="en-AU"/>
        </w:rPr>
        <w:t>frameworks</w:t>
      </w:r>
      <w:r w:rsidR="004A09ED" w:rsidRPr="00E95C5D">
        <w:rPr>
          <w:rFonts w:ascii="Calibri" w:eastAsia="Times New Roman" w:hAnsi="Calibri" w:cs="Calibri"/>
          <w:b/>
          <w:bCs/>
          <w:lang w:eastAsia="en-AU"/>
        </w:rPr>
        <w:t>:</w:t>
      </w:r>
      <w:r w:rsidR="00DA4AA7" w:rsidRPr="00E95C5D">
        <w:rPr>
          <w:rFonts w:ascii="Calibri" w:eastAsia="Times New Roman" w:hAnsi="Calibri" w:cs="Calibri"/>
          <w:b/>
          <w:bCs/>
          <w:lang w:eastAsia="en-AU"/>
        </w:rPr>
        <w:t xml:space="preserve"> </w:t>
      </w:r>
      <w:r w:rsidR="00DA4AA7" w:rsidRPr="00E95C5D">
        <w:rPr>
          <w:rFonts w:ascii="Calibri" w:eastAsia="Times New Roman" w:hAnsi="Calibri" w:cs="Calibri"/>
          <w:lang w:eastAsia="en-AU"/>
        </w:rPr>
        <w:t>Would</w:t>
      </w:r>
      <w:r w:rsidR="004A09ED" w:rsidRPr="00E95C5D">
        <w:rPr>
          <w:rFonts w:ascii="Calibri" w:eastAsia="Times New Roman" w:hAnsi="Calibri" w:cs="Calibri"/>
          <w:lang w:eastAsia="en-AU"/>
        </w:rPr>
        <w:t xml:space="preserve"> higher education providers, schools and teachers benefit from more specific guidance in delivering </w:t>
      </w:r>
      <w:r w:rsidR="00D17CB0">
        <w:rPr>
          <w:rFonts w:ascii="Calibri" w:eastAsia="Times New Roman" w:hAnsi="Calibri" w:cs="Calibri"/>
          <w:lang w:eastAsia="en-AU"/>
        </w:rPr>
        <w:t>practical experience</w:t>
      </w:r>
      <w:r w:rsidR="004A09ED" w:rsidRPr="00E95C5D">
        <w:rPr>
          <w:rFonts w:ascii="Calibri" w:eastAsia="Times New Roman" w:hAnsi="Calibri" w:cs="Calibri"/>
          <w:lang w:eastAsia="en-AU"/>
        </w:rPr>
        <w:t>? What guidance would be beneficial to address key barriers to high</w:t>
      </w:r>
      <w:r w:rsidR="009777C6">
        <w:rPr>
          <w:rFonts w:ascii="Calibri" w:eastAsia="Times New Roman" w:hAnsi="Calibri" w:cs="Calibri"/>
          <w:lang w:eastAsia="en-AU"/>
        </w:rPr>
        <w:t>-</w:t>
      </w:r>
      <w:r w:rsidR="004A09ED" w:rsidRPr="00E95C5D">
        <w:rPr>
          <w:rFonts w:ascii="Calibri" w:eastAsia="Times New Roman" w:hAnsi="Calibri" w:cs="Calibri"/>
          <w:lang w:eastAsia="en-AU"/>
        </w:rPr>
        <w:t xml:space="preserve">quality </w:t>
      </w:r>
      <w:r w:rsidR="00D17CB0">
        <w:rPr>
          <w:rFonts w:ascii="Calibri" w:eastAsia="Times New Roman" w:hAnsi="Calibri" w:cs="Calibri"/>
          <w:lang w:eastAsia="en-AU"/>
        </w:rPr>
        <w:t>practical experience</w:t>
      </w:r>
      <w:r w:rsidR="004A09ED" w:rsidRPr="00E95C5D">
        <w:rPr>
          <w:rFonts w:ascii="Calibri" w:eastAsia="Times New Roman" w:hAnsi="Calibri" w:cs="Calibri"/>
          <w:lang w:eastAsia="en-AU"/>
        </w:rPr>
        <w:t>?</w:t>
      </w:r>
      <w:r w:rsidR="00DA4AA7" w:rsidRPr="00E95C5D">
        <w:rPr>
          <w:rFonts w:ascii="Calibri" w:eastAsia="Times New Roman" w:hAnsi="Calibri" w:cs="Calibri"/>
          <w:b/>
          <w:bCs/>
          <w:lang w:eastAsia="en-AU"/>
        </w:rPr>
        <w:t xml:space="preserve"> </w:t>
      </w:r>
    </w:p>
    <w:p w14:paraId="0DA3921F" w14:textId="7A54211B" w:rsidR="003B6071" w:rsidRDefault="003B6071" w:rsidP="00645BD5">
      <w:pPr>
        <w:numPr>
          <w:ilvl w:val="0"/>
          <w:numId w:val="16"/>
        </w:numPr>
        <w:spacing w:after="0" w:line="240" w:lineRule="auto"/>
        <w:contextualSpacing/>
        <w:textAlignment w:val="baseline"/>
        <w:rPr>
          <w:rFonts w:ascii="Calibri" w:eastAsia="Times New Roman" w:hAnsi="Calibri" w:cs="Calibri"/>
          <w:lang w:eastAsia="en-AU"/>
        </w:rPr>
      </w:pPr>
      <w:r>
        <w:rPr>
          <w:rFonts w:ascii="Calibri" w:eastAsia="Times New Roman" w:hAnsi="Calibri" w:cs="Calibri"/>
          <w:b/>
          <w:bCs/>
          <w:lang w:eastAsia="en-AU"/>
        </w:rPr>
        <w:t xml:space="preserve">Student support during </w:t>
      </w:r>
      <w:r w:rsidR="00D17CB0">
        <w:rPr>
          <w:rFonts w:ascii="Calibri" w:eastAsia="Times New Roman" w:hAnsi="Calibri" w:cs="Calibri"/>
          <w:b/>
          <w:bCs/>
          <w:lang w:eastAsia="en-AU"/>
        </w:rPr>
        <w:t>placements</w:t>
      </w:r>
      <w:r>
        <w:rPr>
          <w:rFonts w:ascii="Calibri" w:eastAsia="Times New Roman" w:hAnsi="Calibri" w:cs="Calibri"/>
          <w:b/>
          <w:bCs/>
          <w:lang w:eastAsia="en-AU"/>
        </w:rPr>
        <w:t>:</w:t>
      </w:r>
      <w:r>
        <w:rPr>
          <w:rFonts w:ascii="Calibri" w:eastAsia="Times New Roman" w:hAnsi="Calibri" w:cs="Calibri"/>
          <w:lang w:eastAsia="en-AU"/>
        </w:rPr>
        <w:t xml:space="preserve"> What support for students would be beneficial to assist in managing their </w:t>
      </w:r>
      <w:r w:rsidR="00D17CB0">
        <w:rPr>
          <w:rFonts w:ascii="Calibri" w:eastAsia="Times New Roman" w:hAnsi="Calibri" w:cs="Calibri"/>
          <w:lang w:eastAsia="en-AU"/>
        </w:rPr>
        <w:t xml:space="preserve">practical experience </w:t>
      </w:r>
      <w:r>
        <w:rPr>
          <w:rFonts w:ascii="Calibri" w:eastAsia="Times New Roman" w:hAnsi="Calibri" w:cs="Calibri"/>
          <w:lang w:eastAsia="en-AU"/>
        </w:rPr>
        <w:t>requirements?</w:t>
      </w:r>
    </w:p>
    <w:p w14:paraId="051DFED4" w14:textId="3A7E90A9" w:rsidR="00536BE4" w:rsidRPr="00536BE4" w:rsidRDefault="00C8564A" w:rsidP="00536BE4">
      <w:pPr>
        <w:numPr>
          <w:ilvl w:val="0"/>
          <w:numId w:val="16"/>
        </w:numPr>
        <w:spacing w:after="0" w:line="240" w:lineRule="auto"/>
        <w:contextualSpacing/>
        <w:textAlignment w:val="baseline"/>
        <w:rPr>
          <w:rFonts w:ascii="Calibri" w:eastAsia="Times New Roman" w:hAnsi="Calibri" w:cs="Calibri"/>
          <w:lang w:eastAsia="en-AU"/>
        </w:rPr>
      </w:pPr>
      <w:r>
        <w:rPr>
          <w:rFonts w:ascii="Calibri" w:eastAsia="Times New Roman" w:hAnsi="Calibri" w:cs="Calibri"/>
          <w:b/>
          <w:bCs/>
          <w:lang w:eastAsia="en-AU"/>
        </w:rPr>
        <w:t xml:space="preserve">Integrating theory and practice: </w:t>
      </w:r>
      <w:r w:rsidR="00536BE4" w:rsidRPr="00536BE4">
        <w:rPr>
          <w:rFonts w:eastAsia="Times New Roman"/>
        </w:rPr>
        <w:t xml:space="preserve">How can </w:t>
      </w:r>
      <w:r w:rsidR="00D17CB0">
        <w:rPr>
          <w:rFonts w:eastAsia="Times New Roman"/>
        </w:rPr>
        <w:t xml:space="preserve">practical </w:t>
      </w:r>
      <w:r w:rsidR="00536BE4" w:rsidRPr="00536BE4">
        <w:rPr>
          <w:rFonts w:eastAsia="Times New Roman"/>
        </w:rPr>
        <w:t>experience</w:t>
      </w:r>
      <w:r w:rsidR="00D17CB0">
        <w:rPr>
          <w:rFonts w:eastAsia="Times New Roman"/>
        </w:rPr>
        <w:t xml:space="preserve"> </w:t>
      </w:r>
      <w:r w:rsidR="00536BE4" w:rsidRPr="00536BE4">
        <w:rPr>
          <w:rFonts w:eastAsia="Times New Roman"/>
        </w:rPr>
        <w:t>be better integrated with the academic component of ITE programs to support ITE student learning and preparedness to teach?</w:t>
      </w:r>
    </w:p>
    <w:p w14:paraId="26BB420D" w14:textId="6AB0CC1E" w:rsidR="699A58FE" w:rsidRDefault="6EF4910A" w:rsidP="699A58FE">
      <w:pPr>
        <w:numPr>
          <w:ilvl w:val="0"/>
          <w:numId w:val="16"/>
        </w:numPr>
        <w:spacing w:after="0" w:line="240" w:lineRule="auto"/>
        <w:contextualSpacing/>
        <w:rPr>
          <w:rFonts w:ascii="Calibri" w:eastAsia="Times New Roman" w:hAnsi="Calibri" w:cs="Calibri"/>
          <w:lang w:eastAsia="en-AU"/>
        </w:rPr>
      </w:pPr>
      <w:r w:rsidRPr="1247CB6A">
        <w:rPr>
          <w:rFonts w:ascii="Calibri" w:eastAsia="Times New Roman" w:hAnsi="Calibri" w:cs="Calibri"/>
          <w:b/>
          <w:bCs/>
          <w:lang w:eastAsia="en-AU"/>
        </w:rPr>
        <w:t>Role</w:t>
      </w:r>
      <w:r w:rsidR="3F879DB3" w:rsidRPr="1247CB6A">
        <w:rPr>
          <w:rFonts w:ascii="Calibri" w:eastAsia="Times New Roman" w:hAnsi="Calibri" w:cs="Calibri"/>
          <w:b/>
          <w:bCs/>
          <w:lang w:eastAsia="en-AU"/>
        </w:rPr>
        <w:t xml:space="preserve"> of schools in supporting </w:t>
      </w:r>
      <w:r w:rsidR="005B1575">
        <w:rPr>
          <w:rFonts w:ascii="Calibri" w:eastAsia="Times New Roman" w:hAnsi="Calibri" w:cs="Calibri"/>
          <w:b/>
          <w:bCs/>
          <w:lang w:eastAsia="en-AU"/>
        </w:rPr>
        <w:t>practical experience</w:t>
      </w:r>
      <w:r w:rsidR="00AF39DF">
        <w:rPr>
          <w:rFonts w:ascii="Calibri" w:eastAsia="Times New Roman" w:hAnsi="Calibri" w:cs="Calibri"/>
          <w:b/>
          <w:bCs/>
          <w:lang w:eastAsia="en-AU"/>
        </w:rPr>
        <w:t>:</w:t>
      </w:r>
      <w:r w:rsidR="59131E72" w:rsidRPr="062B80AC">
        <w:rPr>
          <w:rFonts w:ascii="Calibri" w:eastAsia="Times New Roman" w:hAnsi="Calibri" w:cs="Calibri"/>
          <w:b/>
          <w:bCs/>
          <w:lang w:eastAsia="en-AU"/>
        </w:rPr>
        <w:t xml:space="preserve"> </w:t>
      </w:r>
      <w:r w:rsidR="5379680F" w:rsidRPr="062B80AC">
        <w:rPr>
          <w:rFonts w:ascii="Calibri" w:eastAsia="Times New Roman" w:hAnsi="Calibri" w:cs="Calibri"/>
          <w:lang w:eastAsia="en-AU"/>
        </w:rPr>
        <w:t>What incentives</w:t>
      </w:r>
      <w:r w:rsidR="3F879DB3" w:rsidRPr="1247CB6A">
        <w:rPr>
          <w:rFonts w:ascii="Calibri" w:eastAsia="Times New Roman" w:hAnsi="Calibri" w:cs="Calibri"/>
          <w:lang w:eastAsia="en-AU"/>
        </w:rPr>
        <w:t xml:space="preserve"> can </w:t>
      </w:r>
      <w:r w:rsidR="5379680F" w:rsidRPr="062B80AC">
        <w:rPr>
          <w:rFonts w:ascii="Calibri" w:eastAsia="Times New Roman" w:hAnsi="Calibri" w:cs="Calibri"/>
          <w:lang w:eastAsia="en-AU"/>
        </w:rPr>
        <w:t xml:space="preserve">be offered to </w:t>
      </w:r>
      <w:r w:rsidR="3F879DB3" w:rsidRPr="1247CB6A">
        <w:rPr>
          <w:rFonts w:ascii="Calibri" w:eastAsia="Times New Roman" w:hAnsi="Calibri" w:cs="Calibri"/>
          <w:lang w:eastAsia="en-AU"/>
        </w:rPr>
        <w:t xml:space="preserve">schools </w:t>
      </w:r>
      <w:r w:rsidR="5379680F" w:rsidRPr="062B80AC">
        <w:rPr>
          <w:rFonts w:ascii="Calibri" w:eastAsia="Times New Roman" w:hAnsi="Calibri" w:cs="Calibri"/>
          <w:lang w:eastAsia="en-AU"/>
        </w:rPr>
        <w:t>to be more active participants in</w:t>
      </w:r>
      <w:r w:rsidR="25B1A71A" w:rsidRPr="062B80AC">
        <w:rPr>
          <w:rFonts w:ascii="Calibri" w:eastAsia="Times New Roman" w:hAnsi="Calibri" w:cs="Calibri"/>
          <w:lang w:eastAsia="en-AU"/>
        </w:rPr>
        <w:t xml:space="preserve"> ITE</w:t>
      </w:r>
      <w:r w:rsidR="3F879DB3" w:rsidRPr="1247CB6A">
        <w:rPr>
          <w:rFonts w:ascii="Calibri" w:eastAsia="Times New Roman" w:hAnsi="Calibri" w:cs="Calibri"/>
          <w:lang w:eastAsia="en-AU"/>
        </w:rPr>
        <w:t xml:space="preserve"> </w:t>
      </w:r>
      <w:r w:rsidR="00C81FAE">
        <w:rPr>
          <w:rFonts w:ascii="Calibri" w:eastAsia="Times New Roman" w:hAnsi="Calibri" w:cs="Calibri"/>
          <w:lang w:eastAsia="en-AU"/>
        </w:rPr>
        <w:t>placements</w:t>
      </w:r>
      <w:r w:rsidR="2530BDA7" w:rsidRPr="1247CB6A">
        <w:rPr>
          <w:rFonts w:ascii="Calibri" w:eastAsia="Times New Roman" w:hAnsi="Calibri" w:cs="Calibri"/>
          <w:lang w:eastAsia="en-AU"/>
        </w:rPr>
        <w:t>?</w:t>
      </w:r>
    </w:p>
    <w:p w14:paraId="31AA5A30" w14:textId="77777777" w:rsidR="00A33707" w:rsidRDefault="00A33707" w:rsidP="00850401">
      <w:pPr>
        <w:pStyle w:val="ListParagraph"/>
        <w:ind w:left="1440"/>
        <w:textAlignment w:val="baseline"/>
        <w:rPr>
          <w:rFonts w:ascii="Calibri" w:eastAsia="Times New Roman" w:hAnsi="Calibri" w:cs="Calibri"/>
          <w:i/>
          <w:sz w:val="22"/>
          <w:szCs w:val="22"/>
          <w:lang w:eastAsia="en-AU"/>
        </w:rPr>
      </w:pPr>
    </w:p>
    <w:p w14:paraId="725ED577" w14:textId="0491459F" w:rsidR="008151AF" w:rsidRPr="0023696D" w:rsidRDefault="00850401" w:rsidP="0023696D">
      <w:pPr>
        <w:pStyle w:val="ListParagraph"/>
        <w:ind w:left="1440"/>
        <w:textAlignment w:val="baseline"/>
        <w:rPr>
          <w:rFonts w:ascii="Calibri" w:eastAsia="Times New Roman" w:hAnsi="Calibri" w:cs="Calibri"/>
          <w:sz w:val="22"/>
          <w:szCs w:val="22"/>
          <w:lang w:eastAsia="en-AU"/>
        </w:rPr>
      </w:pPr>
      <w:r w:rsidRPr="006638B1">
        <w:rPr>
          <w:rFonts w:ascii="Calibri" w:eastAsia="Times New Roman" w:hAnsi="Calibri" w:cs="Calibri"/>
          <w:i/>
          <w:sz w:val="22"/>
          <w:szCs w:val="22"/>
          <w:lang w:eastAsia="en-AU"/>
        </w:rPr>
        <w:t>In your responses, please provide supporting evidence.</w:t>
      </w:r>
      <w:r w:rsidRPr="006638B1">
        <w:rPr>
          <w:rFonts w:ascii="Calibri" w:eastAsia="Times New Roman" w:hAnsi="Calibri" w:cs="Calibri"/>
          <w:sz w:val="22"/>
          <w:szCs w:val="22"/>
          <w:lang w:eastAsia="en-AU"/>
        </w:rPr>
        <w:t> </w:t>
      </w:r>
    </w:p>
    <w:p w14:paraId="79095B1E" w14:textId="6D6F3AB9" w:rsidR="00EC6B48" w:rsidRPr="0065663C" w:rsidRDefault="00B707E9" w:rsidP="61BD85FC">
      <w:pPr>
        <w:pStyle w:val="Heading1"/>
        <w:spacing w:before="0" w:after="240" w:line="240" w:lineRule="auto"/>
        <w:jc w:val="left"/>
        <w:rPr>
          <w:rFonts w:asciiTheme="majorHAnsi" w:eastAsia="Times New Roman" w:hAnsiTheme="majorHAnsi"/>
          <w:b/>
          <w:bCs/>
          <w:color w:val="002C3E" w:themeColor="background2"/>
          <w:sz w:val="44"/>
          <w:szCs w:val="44"/>
          <w:lang w:eastAsia="en-AU"/>
        </w:rPr>
      </w:pPr>
      <w:bookmarkStart w:id="103" w:name="_Toc127978392"/>
      <w:bookmarkStart w:id="104" w:name="_Toc128649100"/>
      <w:bookmarkStart w:id="105" w:name="_Toc130217456"/>
      <w:r w:rsidRPr="61BD85FC">
        <w:rPr>
          <w:rFonts w:asciiTheme="majorHAnsi" w:eastAsia="Times New Roman" w:hAnsiTheme="majorHAnsi"/>
          <w:b/>
          <w:bCs/>
          <w:color w:val="002C3E" w:themeColor="background2"/>
          <w:sz w:val="44"/>
          <w:szCs w:val="44"/>
          <w:lang w:eastAsia="en-AU"/>
        </w:rPr>
        <w:lastRenderedPageBreak/>
        <w:t>Reform Area 4: Improve postgraduate ITE for mid-career entrants</w:t>
      </w:r>
      <w:bookmarkEnd w:id="103"/>
      <w:bookmarkEnd w:id="104"/>
      <w:bookmarkEnd w:id="105"/>
      <w:r w:rsidRPr="61BD85FC">
        <w:rPr>
          <w:rFonts w:asciiTheme="majorHAnsi" w:eastAsia="Times New Roman" w:hAnsiTheme="majorHAnsi"/>
          <w:b/>
          <w:bCs/>
          <w:color w:val="002C3E" w:themeColor="background2"/>
          <w:sz w:val="44"/>
          <w:szCs w:val="44"/>
          <w:lang w:eastAsia="en-AU"/>
        </w:rPr>
        <w:t> </w:t>
      </w:r>
    </w:p>
    <w:p w14:paraId="595D53BA" w14:textId="5EF84240" w:rsidR="00B707E9" w:rsidRPr="00B707E9" w:rsidRDefault="00B707E9" w:rsidP="0061464F">
      <w:pPr>
        <w:spacing w:before="120" w:after="120" w:line="240" w:lineRule="auto"/>
        <w:textAlignment w:val="baseline"/>
        <w:rPr>
          <w:rFonts w:ascii="Calibri" w:eastAsia="Times New Roman" w:hAnsi="Calibri" w:cs="Calibri"/>
          <w:lang w:eastAsia="en-AU"/>
        </w:rPr>
      </w:pPr>
      <w:r w:rsidRPr="00B707E9">
        <w:rPr>
          <w:rFonts w:ascii="Calibri" w:eastAsia="Times New Roman" w:hAnsi="Calibri" w:cs="Calibri"/>
          <w:lang w:eastAsia="en-AU"/>
        </w:rPr>
        <w:t xml:space="preserve">Increasing the number of mid-career ITE entrants </w:t>
      </w:r>
      <w:r w:rsidR="000B1BD1">
        <w:rPr>
          <w:rFonts w:ascii="Calibri" w:eastAsia="Times New Roman" w:hAnsi="Calibri" w:cs="Calibri"/>
          <w:lang w:eastAsia="en-AU"/>
        </w:rPr>
        <w:t>c</w:t>
      </w:r>
      <w:r w:rsidR="00A94B46">
        <w:rPr>
          <w:rFonts w:ascii="Calibri" w:eastAsia="Times New Roman" w:hAnsi="Calibri" w:cs="Calibri"/>
          <w:lang w:eastAsia="en-AU"/>
        </w:rPr>
        <w:t>an</w:t>
      </w:r>
      <w:r w:rsidR="000B1BD1" w:rsidRPr="00B707E9">
        <w:rPr>
          <w:rFonts w:ascii="Calibri" w:eastAsia="Times New Roman" w:hAnsi="Calibri" w:cs="Calibri"/>
          <w:lang w:eastAsia="en-AU"/>
        </w:rPr>
        <w:t xml:space="preserve"> </w:t>
      </w:r>
      <w:r w:rsidRPr="00B707E9">
        <w:rPr>
          <w:rFonts w:ascii="Calibri" w:eastAsia="Times New Roman" w:hAnsi="Calibri" w:cs="Calibri"/>
          <w:lang w:eastAsia="en-AU"/>
        </w:rPr>
        <w:t xml:space="preserve">help to address teacher shortages and improve diversity in the teaching profession. However, mid-career cohorts face different barriers than their school leaver counterparts when it comes to entering ITE </w:t>
      </w:r>
      <w:r w:rsidR="00A32BE6">
        <w:rPr>
          <w:rFonts w:ascii="Calibri" w:eastAsia="Times New Roman" w:hAnsi="Calibri" w:cs="Calibri"/>
          <w:lang w:eastAsia="en-AU"/>
        </w:rPr>
        <w:t>programs</w:t>
      </w:r>
      <w:r w:rsidRPr="00B707E9">
        <w:rPr>
          <w:rFonts w:ascii="Calibri" w:eastAsia="Times New Roman" w:hAnsi="Calibri" w:cs="Calibri"/>
          <w:lang w:eastAsia="en-AU"/>
        </w:rPr>
        <w:t>, transitioning to classroom teaching and remaining in the teaching profession.  </w:t>
      </w:r>
    </w:p>
    <w:p w14:paraId="026F27DF" w14:textId="4FC29632" w:rsidR="00B707E9" w:rsidRPr="00B707E9" w:rsidRDefault="00B707E9" w:rsidP="068E8CC2">
      <w:pPr>
        <w:spacing w:after="120" w:line="240" w:lineRule="auto"/>
        <w:textAlignment w:val="baseline"/>
        <w:rPr>
          <w:rFonts w:ascii="Calibri" w:eastAsia="Times New Roman" w:hAnsi="Calibri" w:cs="Calibri"/>
          <w:lang w:eastAsia="en-AU"/>
        </w:rPr>
      </w:pPr>
      <w:r w:rsidRPr="00B707E9">
        <w:rPr>
          <w:rFonts w:ascii="Calibri" w:eastAsia="Times New Roman" w:hAnsi="Calibri" w:cs="Calibri"/>
          <w:lang w:eastAsia="en-AU"/>
        </w:rPr>
        <w:t>The QITE review made several recommendations regarding attracting mid-career cohorts into teaching, including the provision of evidence-based incentives and alternative pathways into teaching. Bespoke programs targeted at mid-career cohorts now exist in most Australian jurisdictions, but most of these programs are still in their infancy with evidence about their effectiveness still emerging. </w:t>
      </w:r>
    </w:p>
    <w:p w14:paraId="54B62FEE" w14:textId="1B938D51" w:rsidR="00B707E9" w:rsidRPr="00B707E9" w:rsidRDefault="00B707E9" w:rsidP="007674D4">
      <w:pPr>
        <w:spacing w:after="120" w:line="240" w:lineRule="auto"/>
        <w:textAlignment w:val="baseline"/>
        <w:rPr>
          <w:rFonts w:ascii="Calibri" w:eastAsia="Times New Roman" w:hAnsi="Calibri" w:cs="Calibri"/>
          <w:lang w:eastAsia="en-AU"/>
        </w:rPr>
      </w:pPr>
      <w:r w:rsidRPr="7A14428E">
        <w:rPr>
          <w:rFonts w:ascii="Calibri" w:eastAsia="Times New Roman" w:hAnsi="Calibri" w:cs="Calibri"/>
          <w:color w:val="000000" w:themeColor="text1"/>
          <w:lang w:eastAsia="en-AU"/>
        </w:rPr>
        <w:t xml:space="preserve">The Panel has been asked to provide advice to Government on improving postgraduate ITE to attract mid-career </w:t>
      </w:r>
      <w:r w:rsidR="005B1575">
        <w:rPr>
          <w:rFonts w:ascii="Calibri" w:eastAsia="Times New Roman" w:hAnsi="Calibri" w:cs="Calibri"/>
          <w:color w:val="000000" w:themeColor="text1"/>
          <w:lang w:eastAsia="en-AU"/>
        </w:rPr>
        <w:t>entrants</w:t>
      </w:r>
      <w:r w:rsidRPr="7A14428E">
        <w:rPr>
          <w:rFonts w:ascii="Calibri" w:eastAsia="Times New Roman" w:hAnsi="Calibri" w:cs="Calibri"/>
          <w:color w:val="000000" w:themeColor="text1"/>
          <w:lang w:eastAsia="en-AU"/>
        </w:rPr>
        <w:t xml:space="preserve">. The Panel </w:t>
      </w:r>
      <w:r w:rsidR="009008E5">
        <w:rPr>
          <w:rFonts w:ascii="Calibri" w:eastAsia="Times New Roman" w:hAnsi="Calibri" w:cs="Calibri"/>
          <w:color w:val="000000" w:themeColor="text1"/>
          <w:lang w:eastAsia="en-AU"/>
        </w:rPr>
        <w:t>engaged</w:t>
      </w:r>
      <w:r w:rsidRPr="7A14428E">
        <w:rPr>
          <w:rFonts w:ascii="Calibri" w:eastAsia="Times New Roman" w:hAnsi="Calibri" w:cs="Calibri"/>
          <w:color w:val="000000" w:themeColor="text1"/>
          <w:lang w:eastAsia="en-AU"/>
        </w:rPr>
        <w:t xml:space="preserve"> </w:t>
      </w:r>
      <w:proofErr w:type="spellStart"/>
      <w:r w:rsidRPr="7A14428E">
        <w:rPr>
          <w:rFonts w:ascii="Calibri" w:eastAsia="Times New Roman" w:hAnsi="Calibri" w:cs="Calibri"/>
          <w:color w:val="000000" w:themeColor="text1"/>
          <w:lang w:eastAsia="en-AU"/>
        </w:rPr>
        <w:t>dandolopartners</w:t>
      </w:r>
      <w:proofErr w:type="spellEnd"/>
      <w:r w:rsidRPr="7A14428E">
        <w:rPr>
          <w:rFonts w:ascii="Calibri" w:eastAsia="Times New Roman" w:hAnsi="Calibri" w:cs="Calibri"/>
          <w:color w:val="000000" w:themeColor="text1"/>
          <w:lang w:eastAsia="en-AU"/>
        </w:rPr>
        <w:t xml:space="preserve"> to assess how programs could be improved to attract mid-career entrants into ITE, building on the range of existing ITE pathway programs targeting mid-career professionals. This involved a review of existing literature on mid-career pathways, and initial stakeholder consultation with </w:t>
      </w:r>
      <w:r w:rsidR="008A6F2A">
        <w:rPr>
          <w:rFonts w:ascii="Calibri" w:eastAsia="Times New Roman" w:hAnsi="Calibri" w:cs="Calibri"/>
          <w:color w:val="000000" w:themeColor="text1"/>
          <w:lang w:eastAsia="en-AU"/>
        </w:rPr>
        <w:t>higher education</w:t>
      </w:r>
      <w:r w:rsidRPr="7A14428E">
        <w:rPr>
          <w:rFonts w:ascii="Calibri" w:eastAsia="Times New Roman" w:hAnsi="Calibri" w:cs="Calibri"/>
          <w:color w:val="000000" w:themeColor="text1"/>
          <w:lang w:eastAsia="en-AU"/>
        </w:rPr>
        <w:t xml:space="preserve"> providers, education departments, TRAs and peak sector organisations.  </w:t>
      </w:r>
    </w:p>
    <w:p w14:paraId="6C598DEE" w14:textId="77777777" w:rsidR="00B707E9" w:rsidRPr="0065663C" w:rsidRDefault="00B707E9" w:rsidP="007272DB">
      <w:pPr>
        <w:pStyle w:val="Heading2"/>
        <w:spacing w:before="0" w:line="240" w:lineRule="auto"/>
        <w:rPr>
          <w:rFonts w:ascii="Calibri" w:eastAsia="Times New Roman" w:hAnsi="Calibri" w:cs="Calibri"/>
          <w:color w:val="002C3E" w:themeColor="background2"/>
          <w:sz w:val="36"/>
          <w:szCs w:val="36"/>
          <w:lang w:eastAsia="en-AU"/>
        </w:rPr>
      </w:pPr>
      <w:bookmarkStart w:id="106" w:name="_Toc127978393"/>
      <w:bookmarkStart w:id="107" w:name="_Toc128649101"/>
      <w:bookmarkStart w:id="108" w:name="_Toc130217457"/>
      <w:r w:rsidRPr="0065663C">
        <w:rPr>
          <w:rFonts w:eastAsia="Times New Roman"/>
          <w:color w:val="002C3E" w:themeColor="background2"/>
          <w:sz w:val="36"/>
          <w:szCs w:val="36"/>
          <w:lang w:eastAsia="en-AU"/>
        </w:rPr>
        <w:t>Key findings</w:t>
      </w:r>
      <w:bookmarkEnd w:id="106"/>
      <w:bookmarkEnd w:id="107"/>
      <w:bookmarkEnd w:id="108"/>
      <w:r w:rsidRPr="0065663C">
        <w:rPr>
          <w:rFonts w:eastAsia="Times New Roman"/>
          <w:color w:val="002C3E" w:themeColor="background2"/>
          <w:sz w:val="36"/>
          <w:szCs w:val="36"/>
          <w:lang w:eastAsia="en-AU"/>
        </w:rPr>
        <w:t> </w:t>
      </w:r>
    </w:p>
    <w:p w14:paraId="17F17D13" w14:textId="2CF3DC57" w:rsidR="00B707E9" w:rsidRPr="005F5B97" w:rsidRDefault="00A5001E" w:rsidP="007272DB">
      <w:pPr>
        <w:pStyle w:val="Heading3"/>
        <w:spacing w:before="0" w:after="120" w:line="240" w:lineRule="auto"/>
        <w:rPr>
          <w:rFonts w:eastAsia="Times New Roman"/>
          <w:lang w:eastAsia="en-AU"/>
        </w:rPr>
      </w:pPr>
      <w:bookmarkStart w:id="109" w:name="_Toc127978394"/>
      <w:bookmarkStart w:id="110" w:name="_Toc128649102"/>
      <w:bookmarkStart w:id="111" w:name="_Toc130217458"/>
      <w:r>
        <w:rPr>
          <w:rFonts w:eastAsia="Times New Roman"/>
          <w:lang w:eastAsia="en-AU"/>
        </w:rPr>
        <w:t xml:space="preserve">4.1 </w:t>
      </w:r>
      <w:r w:rsidR="00B707E9" w:rsidRPr="005F5B97">
        <w:rPr>
          <w:rFonts w:eastAsia="Times New Roman"/>
          <w:lang w:eastAsia="en-AU"/>
        </w:rPr>
        <w:t>Characteristics of mid-career cohorts</w:t>
      </w:r>
      <w:bookmarkEnd w:id="109"/>
      <w:bookmarkEnd w:id="110"/>
      <w:bookmarkEnd w:id="111"/>
      <w:r w:rsidR="00B707E9" w:rsidRPr="005F5B97">
        <w:rPr>
          <w:rFonts w:eastAsia="Times New Roman"/>
          <w:lang w:eastAsia="en-AU"/>
        </w:rPr>
        <w:t> </w:t>
      </w:r>
    </w:p>
    <w:p w14:paraId="1B361054" w14:textId="6160BEB6" w:rsidR="00B707E9" w:rsidRPr="00B707E9" w:rsidRDefault="00B707E9" w:rsidP="00BB7CCE">
      <w:pPr>
        <w:spacing w:after="120" w:line="240" w:lineRule="auto"/>
        <w:textAlignment w:val="baseline"/>
        <w:rPr>
          <w:rFonts w:ascii="Calibri" w:eastAsia="Times New Roman" w:hAnsi="Calibri" w:cs="Calibri"/>
          <w:lang w:eastAsia="en-AU"/>
        </w:rPr>
      </w:pPr>
      <w:r w:rsidRPr="068E8CC2">
        <w:rPr>
          <w:rFonts w:ascii="Calibri" w:eastAsia="Times New Roman" w:hAnsi="Calibri" w:cs="Calibri"/>
          <w:color w:val="000000" w:themeColor="text1"/>
          <w:lang w:eastAsia="en-AU"/>
        </w:rPr>
        <w:t>Mid-career cohorts have a lot to offer to schools by bringing considerable professional and life experience to teaching. They may have had successful careers in other fields, including in leadership roles and can bring strong skills working with children.  </w:t>
      </w:r>
    </w:p>
    <w:p w14:paraId="700162D3" w14:textId="6E056A67" w:rsidR="00B707E9" w:rsidRPr="00B707E9" w:rsidRDefault="00B707E9" w:rsidP="00BB7CCE">
      <w:pPr>
        <w:spacing w:after="120" w:line="240" w:lineRule="auto"/>
        <w:textAlignment w:val="baseline"/>
        <w:rPr>
          <w:rFonts w:ascii="Calibri" w:eastAsia="Times New Roman" w:hAnsi="Calibri" w:cs="Calibri"/>
          <w:b/>
          <w:color w:val="000000" w:themeColor="text1"/>
          <w:lang w:eastAsia="en-AU"/>
        </w:rPr>
      </w:pPr>
      <w:r w:rsidRPr="37C3463D">
        <w:rPr>
          <w:rFonts w:ascii="Calibri" w:eastAsia="Times New Roman" w:hAnsi="Calibri" w:cs="Calibri"/>
          <w:color w:val="000000" w:themeColor="text1"/>
          <w:lang w:eastAsia="en-AU"/>
        </w:rPr>
        <w:t xml:space="preserve">Mid-career cohorts may be motivated to pursue a career in teaching due to altruistic reasons (such as a desire to serve society; and a sense of care and commitment), and/or perceptions about teaching as a secure </w:t>
      </w:r>
      <w:r w:rsidR="00AF39DF" w:rsidRPr="37C3463D">
        <w:rPr>
          <w:rFonts w:ascii="Calibri" w:eastAsia="Times New Roman" w:hAnsi="Calibri" w:cs="Calibri"/>
          <w:color w:val="000000" w:themeColor="text1"/>
          <w:lang w:eastAsia="en-AU"/>
        </w:rPr>
        <w:t>career and</w:t>
      </w:r>
      <w:r w:rsidRPr="37C3463D">
        <w:rPr>
          <w:rFonts w:ascii="Calibri" w:eastAsia="Times New Roman" w:hAnsi="Calibri" w:cs="Calibri"/>
          <w:color w:val="000000" w:themeColor="text1"/>
          <w:lang w:eastAsia="en-AU"/>
        </w:rPr>
        <w:t xml:space="preserve"> </w:t>
      </w:r>
      <w:r w:rsidR="009B2856">
        <w:rPr>
          <w:rFonts w:ascii="Calibri" w:eastAsia="Times New Roman" w:hAnsi="Calibri" w:cs="Calibri"/>
          <w:color w:val="000000" w:themeColor="text1"/>
          <w:lang w:eastAsia="en-AU"/>
        </w:rPr>
        <w:t xml:space="preserve">providing </w:t>
      </w:r>
      <w:r w:rsidRPr="37C3463D">
        <w:rPr>
          <w:rFonts w:ascii="Calibri" w:eastAsia="Times New Roman" w:hAnsi="Calibri" w:cs="Calibri"/>
          <w:color w:val="000000" w:themeColor="text1"/>
          <w:lang w:eastAsia="en-AU"/>
        </w:rPr>
        <w:t>family-work balance. Many that transition will incur a pay cut, which may mean they are ‘doing it for the right reasons’ (which may also explain why many career-change teachers elect to work in low-SES schools)</w:t>
      </w:r>
      <w:r w:rsidR="00E82A03">
        <w:rPr>
          <w:rFonts w:ascii="Calibri" w:eastAsia="Times New Roman" w:hAnsi="Calibri" w:cs="Calibri"/>
          <w:color w:val="000000" w:themeColor="text1"/>
          <w:lang w:eastAsia="en-AU"/>
        </w:rPr>
        <w:t xml:space="preserve"> </w:t>
      </w:r>
      <w:r w:rsidR="00E82A03" w:rsidRPr="177DEA51">
        <w:rPr>
          <w:rFonts w:ascii="Calibri" w:eastAsia="Calibri" w:hAnsi="Calibri" w:cs="Calibri"/>
          <w:color w:val="000000" w:themeColor="text1"/>
        </w:rPr>
        <w:t>(</w:t>
      </w:r>
      <w:proofErr w:type="spellStart"/>
      <w:r w:rsidR="00A671C9" w:rsidRPr="0031772C">
        <w:rPr>
          <w:rFonts w:ascii="Calibri" w:hAnsi="Calibri" w:cs="Calibri"/>
        </w:rPr>
        <w:t>Dadvand</w:t>
      </w:r>
      <w:proofErr w:type="spellEnd"/>
      <w:r w:rsidR="00A671C9" w:rsidRPr="0031772C">
        <w:rPr>
          <w:rFonts w:ascii="Calibri" w:hAnsi="Calibri" w:cs="Calibri"/>
        </w:rPr>
        <w:t xml:space="preserve"> B</w:t>
      </w:r>
      <w:r w:rsidR="00A671C9">
        <w:rPr>
          <w:rFonts w:ascii="Calibri" w:hAnsi="Calibri" w:cs="Calibri"/>
        </w:rPr>
        <w:t xml:space="preserve"> et al. </w:t>
      </w:r>
      <w:r w:rsidR="00E82A03" w:rsidRPr="177DEA51">
        <w:rPr>
          <w:rFonts w:ascii="Calibri" w:eastAsia="Calibri" w:hAnsi="Calibri" w:cs="Calibri"/>
          <w:color w:val="000000" w:themeColor="text1"/>
        </w:rPr>
        <w:t>2021</w:t>
      </w:r>
      <w:r w:rsidRPr="37C3463D">
        <w:rPr>
          <w:rFonts w:ascii="Calibri" w:eastAsia="Times New Roman" w:hAnsi="Calibri" w:cs="Calibri"/>
          <w:color w:val="000000" w:themeColor="text1"/>
          <w:lang w:eastAsia="en-AU"/>
        </w:rPr>
        <w:t>).</w:t>
      </w:r>
    </w:p>
    <w:p w14:paraId="310E54A0" w14:textId="17A9D41B" w:rsidR="00B707E9" w:rsidRPr="00B707E9" w:rsidRDefault="00B707E9" w:rsidP="00BB7CCE">
      <w:pPr>
        <w:spacing w:after="120" w:line="240" w:lineRule="auto"/>
        <w:textAlignment w:val="baseline"/>
        <w:rPr>
          <w:rFonts w:ascii="Calibri" w:eastAsia="Times New Roman" w:hAnsi="Calibri" w:cs="Calibri"/>
          <w:lang w:eastAsia="en-AU"/>
        </w:rPr>
      </w:pPr>
      <w:r w:rsidRPr="00B707E9">
        <w:rPr>
          <w:rFonts w:ascii="Calibri" w:eastAsia="Times New Roman" w:hAnsi="Calibri" w:cs="Calibri"/>
          <w:color w:val="000000"/>
          <w:lang w:eastAsia="en-AU"/>
        </w:rPr>
        <w:t>While there is currently little research indicating how many mid-career individuals would be open to a career in teaching, a survey of mid-career individuals by the Behavioural Economics Team of the Australian Government (BETA) found that one in ten were planning a career transition to teaching, and that one in three were open to the idea</w:t>
      </w:r>
      <w:r w:rsidR="0085426A">
        <w:rPr>
          <w:rFonts w:ascii="Calibri" w:eastAsia="Times New Roman" w:hAnsi="Calibri" w:cs="Calibri"/>
          <w:color w:val="000000"/>
          <w:lang w:eastAsia="en-AU"/>
        </w:rPr>
        <w:t xml:space="preserve"> </w:t>
      </w:r>
      <w:r w:rsidR="0085426A" w:rsidRPr="2D5D8B48">
        <w:rPr>
          <w:rFonts w:ascii="Calibri" w:eastAsia="Calibri" w:hAnsi="Calibri" w:cs="Calibri"/>
          <w:color w:val="000000" w:themeColor="text1"/>
        </w:rPr>
        <w:t>(BETA 2022</w:t>
      </w:r>
      <w:r w:rsidR="0085426A" w:rsidRPr="10C7F6F4">
        <w:rPr>
          <w:rFonts w:ascii="Calibri" w:eastAsia="Calibri" w:hAnsi="Calibri" w:cs="Calibri"/>
          <w:color w:val="000000" w:themeColor="text1"/>
        </w:rPr>
        <w:t>)</w:t>
      </w:r>
      <w:r w:rsidRPr="00B707E9">
        <w:rPr>
          <w:rFonts w:ascii="Calibri" w:eastAsia="Times New Roman" w:hAnsi="Calibri" w:cs="Calibri"/>
          <w:color w:val="000000"/>
          <w:lang w:eastAsia="en-AU"/>
        </w:rPr>
        <w:t>.</w:t>
      </w:r>
      <w:r w:rsidR="0085426A">
        <w:rPr>
          <w:rFonts w:ascii="Calibri" w:eastAsia="Times New Roman" w:hAnsi="Calibri" w:cs="Calibri"/>
          <w:color w:val="000000"/>
          <w:lang w:eastAsia="en-AU"/>
        </w:rPr>
        <w:t xml:space="preserve"> Supporting m</w:t>
      </w:r>
      <w:r w:rsidRPr="00B707E9">
        <w:rPr>
          <w:rFonts w:ascii="Calibri" w:eastAsia="Times New Roman" w:hAnsi="Calibri" w:cs="Calibri"/>
          <w:color w:val="000000"/>
          <w:lang w:eastAsia="en-AU"/>
        </w:rPr>
        <w:t>id-career cohorts to transition into teaching can contribute to addressing specific workforce challenges, including improving the diversity of the teaching profession and addressing specific supply challenges (e.g. in particular subject areas and locations). </w:t>
      </w:r>
    </w:p>
    <w:p w14:paraId="0DD14024" w14:textId="15AB7038" w:rsidR="00B707E9" w:rsidRPr="005F5B97" w:rsidRDefault="00A5001E" w:rsidP="007272DB">
      <w:pPr>
        <w:pStyle w:val="Heading3"/>
        <w:spacing w:before="0" w:after="120" w:line="240" w:lineRule="auto"/>
        <w:rPr>
          <w:rFonts w:eastAsia="Times New Roman"/>
          <w:lang w:eastAsia="en-AU"/>
        </w:rPr>
      </w:pPr>
      <w:bookmarkStart w:id="112" w:name="_Toc127978395"/>
      <w:bookmarkStart w:id="113" w:name="_Toc128649103"/>
      <w:bookmarkStart w:id="114" w:name="_Toc130217459"/>
      <w:r>
        <w:rPr>
          <w:rFonts w:eastAsia="Times New Roman"/>
          <w:lang w:eastAsia="en-AU"/>
        </w:rPr>
        <w:t xml:space="preserve">4.2 </w:t>
      </w:r>
      <w:r w:rsidR="00B707E9" w:rsidRPr="005F5B97">
        <w:rPr>
          <w:rFonts w:eastAsia="Times New Roman"/>
          <w:lang w:eastAsia="en-AU"/>
        </w:rPr>
        <w:t>Barriers to engaging mid-career cohorts in</w:t>
      </w:r>
      <w:r w:rsidR="007771EA" w:rsidRPr="005F5B97">
        <w:rPr>
          <w:rFonts w:eastAsia="Times New Roman"/>
          <w:lang w:eastAsia="en-AU"/>
        </w:rPr>
        <w:t xml:space="preserve">to </w:t>
      </w:r>
      <w:r w:rsidR="00B707E9" w:rsidRPr="005F5B97">
        <w:rPr>
          <w:rFonts w:eastAsia="Times New Roman"/>
          <w:lang w:eastAsia="en-AU"/>
        </w:rPr>
        <w:t>teaching</w:t>
      </w:r>
      <w:bookmarkEnd w:id="112"/>
      <w:bookmarkEnd w:id="113"/>
      <w:bookmarkEnd w:id="114"/>
      <w:r w:rsidR="00B707E9" w:rsidRPr="005F5B97">
        <w:rPr>
          <w:rFonts w:eastAsia="Times New Roman"/>
          <w:lang w:eastAsia="en-AU"/>
        </w:rPr>
        <w:t> </w:t>
      </w:r>
    </w:p>
    <w:p w14:paraId="35F56F94" w14:textId="02FE240D" w:rsidR="00B707E9" w:rsidRPr="00B707E9" w:rsidRDefault="00B707E9" w:rsidP="007272DB">
      <w:pPr>
        <w:spacing w:line="240" w:lineRule="auto"/>
        <w:textAlignment w:val="baseline"/>
        <w:rPr>
          <w:rFonts w:ascii="Calibri" w:eastAsia="Times New Roman" w:hAnsi="Calibri" w:cs="Calibri"/>
          <w:lang w:eastAsia="en-AU"/>
        </w:rPr>
      </w:pPr>
      <w:r w:rsidRPr="00B707E9">
        <w:rPr>
          <w:rFonts w:ascii="Calibri" w:eastAsia="Times New Roman" w:hAnsi="Calibri" w:cs="Calibri"/>
          <w:color w:val="000000"/>
          <w:lang w:eastAsia="en-AU"/>
        </w:rPr>
        <w:t>Mid-career cohorts considering a transition to teaching face a number of key barriers that can prevent them entering ITE, transitioning to teaching following their ITE degrees, or remaining in teaching. It is worth noting that many of these barriers would generally apply to most mid-career professionals considering a career change, not just those transitioning into teaching.  </w:t>
      </w:r>
    </w:p>
    <w:p w14:paraId="23C64AF2" w14:textId="3E3C57F4" w:rsidR="00B707E9" w:rsidRPr="004B3DC3" w:rsidRDefault="009622B9" w:rsidP="00D549F5">
      <w:pPr>
        <w:pStyle w:val="Heading4"/>
        <w:spacing w:before="240"/>
        <w:rPr>
          <w:rFonts w:asciiTheme="minorHAnsi" w:eastAsia="Times New Roman" w:hAnsiTheme="minorHAnsi" w:cstheme="minorHAnsi"/>
          <w:b w:val="0"/>
          <w:color w:val="000000" w:themeColor="text1"/>
          <w:lang w:eastAsia="en-AU"/>
        </w:rPr>
      </w:pPr>
      <w:r>
        <w:rPr>
          <w:rFonts w:asciiTheme="minorHAnsi" w:eastAsia="Times New Roman" w:hAnsiTheme="minorHAnsi" w:cstheme="minorHAnsi"/>
          <w:color w:val="002C3E" w:themeColor="background2"/>
          <w:lang w:eastAsia="en-AU"/>
        </w:rPr>
        <w:lastRenderedPageBreak/>
        <w:t xml:space="preserve">4.2.1 </w:t>
      </w:r>
      <w:r w:rsidR="00B707E9" w:rsidRPr="004B3DC3">
        <w:rPr>
          <w:rFonts w:asciiTheme="minorHAnsi" w:eastAsia="Times New Roman" w:hAnsiTheme="minorHAnsi" w:cstheme="minorHAnsi"/>
          <w:color w:val="002C3E" w:themeColor="background2"/>
          <w:lang w:eastAsia="en-AU"/>
        </w:rPr>
        <w:t>Financial </w:t>
      </w:r>
    </w:p>
    <w:p w14:paraId="769EAC6C" w14:textId="5CF712E9" w:rsidR="00B707E9" w:rsidRPr="00B707E9" w:rsidRDefault="00B707E9" w:rsidP="00B56782">
      <w:pPr>
        <w:spacing w:after="120" w:line="240" w:lineRule="auto"/>
        <w:textAlignment w:val="baseline"/>
        <w:rPr>
          <w:rFonts w:ascii="Calibri" w:eastAsia="Times New Roman" w:hAnsi="Calibri" w:cs="Calibri"/>
          <w:lang w:eastAsia="en-AU"/>
        </w:rPr>
      </w:pPr>
      <w:r w:rsidRPr="00B707E9">
        <w:rPr>
          <w:rFonts w:ascii="Calibri" w:eastAsia="Times New Roman" w:hAnsi="Calibri" w:cs="Calibri"/>
          <w:color w:val="000000"/>
          <w:lang w:eastAsia="en-AU"/>
        </w:rPr>
        <w:t>Research and stakeholder consultations suggest that financial barriers are the most significant barrier to entry for mid-career cohorts</w:t>
      </w:r>
      <w:r w:rsidR="00143336">
        <w:rPr>
          <w:rFonts w:ascii="Calibri" w:eastAsia="Times New Roman" w:hAnsi="Calibri" w:cs="Calibri"/>
          <w:color w:val="000000"/>
          <w:lang w:eastAsia="en-AU"/>
        </w:rPr>
        <w:t xml:space="preserve"> </w:t>
      </w:r>
      <w:r w:rsidR="00143336" w:rsidRPr="10C7F6F4">
        <w:rPr>
          <w:rFonts w:ascii="Calibri" w:eastAsia="Calibri" w:hAnsi="Calibri" w:cs="Calibri"/>
          <w:color w:val="000000" w:themeColor="text1"/>
        </w:rPr>
        <w:t>(BETA 2022)</w:t>
      </w:r>
      <w:r w:rsidRPr="00B707E9">
        <w:rPr>
          <w:rFonts w:ascii="Calibri" w:eastAsia="Times New Roman" w:hAnsi="Calibri" w:cs="Calibri"/>
          <w:color w:val="000000"/>
          <w:lang w:eastAsia="en-AU"/>
        </w:rPr>
        <w:t xml:space="preserve">. Mid-career cohorts generally have greater personal and financial responsibilities than their school-leaver counterparts (e.g. many have caring responsibilities for children or parents; and financial obligations such as mortgages). Specific financial barriers they face include: loss of income during the period of the ITE degree (which can be most acute during full-time, unpaid </w:t>
      </w:r>
      <w:r w:rsidR="00D50C37" w:rsidRPr="00D50C37">
        <w:rPr>
          <w:rFonts w:ascii="Calibri" w:eastAsia="Times New Roman" w:hAnsi="Calibri" w:cs="Calibri"/>
          <w:color w:val="000000"/>
          <w:lang w:eastAsia="en-AU"/>
        </w:rPr>
        <w:t xml:space="preserve">practical experience </w:t>
      </w:r>
      <w:r w:rsidRPr="00B707E9">
        <w:rPr>
          <w:rFonts w:ascii="Calibri" w:eastAsia="Times New Roman" w:hAnsi="Calibri" w:cs="Calibri"/>
          <w:color w:val="000000"/>
          <w:lang w:eastAsia="en-AU"/>
        </w:rPr>
        <w:t>placements); the pay cut commonly incurred when switching to teaching; and the requirement to pay course fees/incur student debt.  </w:t>
      </w:r>
    </w:p>
    <w:p w14:paraId="0DF6A3FC" w14:textId="2987E97D" w:rsidR="002269C9" w:rsidRDefault="009622B9" w:rsidP="00B56782">
      <w:pPr>
        <w:spacing w:after="120" w:line="240" w:lineRule="auto"/>
        <w:textAlignment w:val="baseline"/>
        <w:rPr>
          <w:rFonts w:ascii="Calibri" w:eastAsia="Times New Roman" w:hAnsi="Calibri" w:cs="Calibri"/>
          <w:b/>
          <w:color w:val="000000" w:themeColor="text1"/>
          <w:lang w:eastAsia="en-AU"/>
        </w:rPr>
      </w:pPr>
      <w:r>
        <w:rPr>
          <w:rStyle w:val="Heading4Char"/>
          <w:rFonts w:asciiTheme="minorHAnsi" w:hAnsiTheme="minorHAnsi" w:cstheme="minorHAnsi"/>
          <w:color w:val="002C3E" w:themeColor="background2"/>
        </w:rPr>
        <w:t xml:space="preserve">4.2.2 </w:t>
      </w:r>
      <w:r w:rsidR="002970C3">
        <w:rPr>
          <w:rStyle w:val="Heading4Char"/>
          <w:rFonts w:asciiTheme="minorHAnsi" w:hAnsiTheme="minorHAnsi" w:cstheme="minorHAnsi"/>
          <w:color w:val="002C3E" w:themeColor="background2"/>
        </w:rPr>
        <w:t>Program</w:t>
      </w:r>
      <w:r w:rsidR="00B707E9" w:rsidRPr="004B3DC3">
        <w:rPr>
          <w:rStyle w:val="Heading4Char"/>
          <w:rFonts w:asciiTheme="minorHAnsi" w:hAnsiTheme="minorHAnsi" w:cstheme="minorHAnsi"/>
          <w:color w:val="002C3E" w:themeColor="background2"/>
        </w:rPr>
        <w:t xml:space="preserve"> length </w:t>
      </w:r>
      <w:r w:rsidR="00904D5C" w:rsidRPr="004B3DC3">
        <w:rPr>
          <w:rStyle w:val="Heading4Char"/>
          <w:rFonts w:asciiTheme="minorHAnsi" w:hAnsiTheme="minorHAnsi" w:cstheme="minorHAnsi"/>
          <w:color w:val="002C3E" w:themeColor="background2"/>
        </w:rPr>
        <w:t>and content</w:t>
      </w:r>
      <w:r w:rsidR="002269C9">
        <w:br/>
      </w:r>
      <w:r w:rsidR="00FB653A" w:rsidRPr="1E71A8D9">
        <w:rPr>
          <w:rFonts w:ascii="Calibri" w:eastAsia="Times New Roman" w:hAnsi="Calibri" w:cs="Calibri"/>
          <w:color w:val="000000" w:themeColor="text1"/>
          <w:lang w:eastAsia="en-AU"/>
        </w:rPr>
        <w:t>Closely related to loss of income while studying is the length of post-graduate teaching pathways. A mid-career changer with an undergraduate degree usually requires a</w:t>
      </w:r>
      <w:r w:rsidR="00EB0FDF">
        <w:rPr>
          <w:rFonts w:ascii="Calibri" w:eastAsia="Times New Roman" w:hAnsi="Calibri" w:cs="Calibri"/>
          <w:color w:val="000000" w:themeColor="text1"/>
          <w:lang w:eastAsia="en-AU"/>
        </w:rPr>
        <w:t xml:space="preserve">t </w:t>
      </w:r>
      <w:r w:rsidR="00FB653A" w:rsidRPr="1E71A8D9">
        <w:rPr>
          <w:rFonts w:ascii="Calibri" w:eastAsia="Times New Roman" w:hAnsi="Calibri" w:cs="Calibri"/>
          <w:color w:val="000000" w:themeColor="text1"/>
          <w:lang w:eastAsia="en-AU"/>
        </w:rPr>
        <w:t xml:space="preserve">a minimum a two-year Master of Teaching to qualify as a teacher. </w:t>
      </w:r>
      <w:r w:rsidR="00275ABC" w:rsidRPr="00116B97">
        <w:rPr>
          <w:rFonts w:ascii="Calibri" w:eastAsia="Times New Roman" w:hAnsi="Calibri" w:cs="Calibri"/>
          <w:lang w:eastAsia="en-AU"/>
        </w:rPr>
        <w:t xml:space="preserve">In undertaking a </w:t>
      </w:r>
      <w:proofErr w:type="spellStart"/>
      <w:r w:rsidR="00275ABC" w:rsidRPr="00116B97">
        <w:rPr>
          <w:rFonts w:ascii="Calibri" w:eastAsia="Times New Roman" w:hAnsi="Calibri" w:cs="Calibri"/>
          <w:lang w:eastAsia="en-AU"/>
        </w:rPr>
        <w:t>Masters</w:t>
      </w:r>
      <w:proofErr w:type="spellEnd"/>
      <w:r w:rsidR="00275ABC" w:rsidRPr="00116B97">
        <w:rPr>
          <w:rFonts w:ascii="Calibri" w:eastAsia="Times New Roman" w:hAnsi="Calibri" w:cs="Calibri"/>
          <w:lang w:eastAsia="en-AU"/>
        </w:rPr>
        <w:t xml:space="preserve"> degree, the Australian Qualifications Framework states that the volume of learning is typically </w:t>
      </w:r>
      <w:r w:rsidR="00275ABC">
        <w:rPr>
          <w:rFonts w:ascii="Calibri" w:eastAsia="Times New Roman" w:hAnsi="Calibri" w:cs="Calibri"/>
          <w:lang w:eastAsia="en-AU"/>
        </w:rPr>
        <w:t>one to two</w:t>
      </w:r>
      <w:r w:rsidR="00275ABC" w:rsidRPr="00116B97">
        <w:rPr>
          <w:rFonts w:ascii="Calibri" w:eastAsia="Times New Roman" w:hAnsi="Calibri" w:cs="Calibri"/>
          <w:lang w:eastAsia="en-AU"/>
        </w:rPr>
        <w:t xml:space="preserve"> years. When the qualification is in a different discipline, which would usually be the case for mid-career changers, the volume of learning is two years following a </w:t>
      </w:r>
      <w:r w:rsidR="00291B20" w:rsidRPr="00116B97">
        <w:rPr>
          <w:rFonts w:ascii="Calibri" w:eastAsia="Times New Roman" w:hAnsi="Calibri" w:cs="Calibri"/>
          <w:lang w:eastAsia="en-AU"/>
        </w:rPr>
        <w:t>bachelor’s degree</w:t>
      </w:r>
      <w:r w:rsidR="00275ABC" w:rsidRPr="00116B97">
        <w:rPr>
          <w:rFonts w:ascii="Calibri" w:eastAsia="Times New Roman" w:hAnsi="Calibri" w:cs="Calibri"/>
          <w:lang w:eastAsia="en-AU"/>
        </w:rPr>
        <w:t xml:space="preserve"> or </w:t>
      </w:r>
      <w:r w:rsidR="00275ABC">
        <w:rPr>
          <w:rFonts w:ascii="Calibri" w:eastAsia="Times New Roman" w:hAnsi="Calibri" w:cs="Calibri"/>
          <w:lang w:eastAsia="en-AU"/>
        </w:rPr>
        <w:t>one and a half</w:t>
      </w:r>
      <w:r w:rsidR="00275ABC" w:rsidRPr="00116B97">
        <w:rPr>
          <w:rFonts w:ascii="Calibri" w:eastAsia="Times New Roman" w:hAnsi="Calibri" w:cs="Calibri"/>
          <w:lang w:eastAsia="en-AU"/>
        </w:rPr>
        <w:t xml:space="preserve"> years following a Bachelor Honours Degree</w:t>
      </w:r>
      <w:r w:rsidR="00275ABC" w:rsidRPr="00275ABC">
        <w:rPr>
          <w:rFonts w:ascii="Calibri" w:eastAsia="Times New Roman" w:hAnsi="Calibri" w:cs="Calibri"/>
          <w:lang w:eastAsia="en-AU"/>
        </w:rPr>
        <w:t>.</w:t>
      </w:r>
      <w:r w:rsidR="00275ABC" w:rsidRPr="00275ABC">
        <w:t xml:space="preserve"> </w:t>
      </w:r>
      <w:r w:rsidR="00FB653A" w:rsidRPr="1E71A8D9">
        <w:rPr>
          <w:rFonts w:ascii="Calibri" w:eastAsia="Times New Roman" w:hAnsi="Calibri" w:cs="Calibri"/>
          <w:color w:val="000000" w:themeColor="text1"/>
          <w:lang w:eastAsia="en-AU"/>
        </w:rPr>
        <w:t xml:space="preserve">The QITE review confirmed that the length of the ITE </w:t>
      </w:r>
      <w:r w:rsidR="00D269FA">
        <w:t>program</w:t>
      </w:r>
      <w:r w:rsidR="00D269FA" w:rsidRPr="1E71A8D9">
        <w:rPr>
          <w:rFonts w:ascii="Calibri" w:eastAsia="Times New Roman" w:hAnsi="Calibri" w:cs="Calibri"/>
          <w:color w:val="000000" w:themeColor="text1"/>
          <w:lang w:eastAsia="en-AU"/>
        </w:rPr>
        <w:t xml:space="preserve"> </w:t>
      </w:r>
      <w:r w:rsidR="00FB653A" w:rsidRPr="1E71A8D9">
        <w:rPr>
          <w:rFonts w:ascii="Calibri" w:eastAsia="Times New Roman" w:hAnsi="Calibri" w:cs="Calibri"/>
          <w:color w:val="000000" w:themeColor="text1"/>
          <w:lang w:eastAsia="en-AU"/>
        </w:rPr>
        <w:t>– and the period of time that the student must forego income – was a significant barrier to attracting mid-career cohorts into ITE</w:t>
      </w:r>
      <w:r w:rsidR="00FB653A" w:rsidRPr="7296FBBC">
        <w:rPr>
          <w:rFonts w:ascii="Calibri" w:eastAsia="Times New Roman" w:hAnsi="Calibri" w:cs="Calibri"/>
          <w:color w:val="000000" w:themeColor="text1"/>
          <w:lang w:eastAsia="en-AU"/>
        </w:rPr>
        <w:t>.</w:t>
      </w:r>
      <w:r w:rsidR="00FB653A" w:rsidRPr="1E71A8D9">
        <w:rPr>
          <w:rFonts w:ascii="Calibri" w:eastAsia="Times New Roman" w:hAnsi="Calibri" w:cs="Calibri"/>
          <w:color w:val="000000" w:themeColor="text1"/>
          <w:lang w:eastAsia="en-AU"/>
        </w:rPr>
        <w:t xml:space="preserve"> In a choice experiment of mid-career individuals conducted by BETA, the ability to undertake a condensed one-year </w:t>
      </w:r>
      <w:r w:rsidR="002970C3">
        <w:rPr>
          <w:rFonts w:ascii="Calibri" w:eastAsia="Times New Roman" w:hAnsi="Calibri" w:cs="Calibri"/>
          <w:color w:val="000000" w:themeColor="text1"/>
          <w:lang w:eastAsia="en-AU"/>
        </w:rPr>
        <w:t>ITE program</w:t>
      </w:r>
      <w:r w:rsidR="00FB653A" w:rsidRPr="1E71A8D9">
        <w:rPr>
          <w:rFonts w:ascii="Calibri" w:eastAsia="Times New Roman" w:hAnsi="Calibri" w:cs="Calibri"/>
          <w:color w:val="000000" w:themeColor="text1"/>
          <w:lang w:eastAsia="en-AU"/>
        </w:rPr>
        <w:t xml:space="preserve"> was seen as equally attractive as a $20,000 increase in top pay (though not all survey participants were aware of the two-year requirement</w:t>
      </w:r>
      <w:r w:rsidR="00FB653A" w:rsidRPr="2969FAF0">
        <w:rPr>
          <w:rFonts w:ascii="Calibri" w:eastAsia="Times New Roman" w:hAnsi="Calibri" w:cs="Calibri"/>
          <w:color w:val="000000" w:themeColor="text1"/>
          <w:lang w:eastAsia="en-AU"/>
        </w:rPr>
        <w:t xml:space="preserve">) </w:t>
      </w:r>
      <w:r w:rsidR="00FB653A" w:rsidRPr="2969FAF0">
        <w:rPr>
          <w:rFonts w:ascii="Calibri" w:eastAsia="Calibri" w:hAnsi="Calibri" w:cs="Calibri"/>
          <w:color w:val="000000" w:themeColor="text1"/>
        </w:rPr>
        <w:t>(BETA 2022)</w:t>
      </w:r>
      <w:r w:rsidR="00FB653A" w:rsidRPr="2969FAF0">
        <w:rPr>
          <w:rFonts w:ascii="Calibri" w:eastAsia="Times New Roman" w:hAnsi="Calibri" w:cs="Calibri"/>
          <w:color w:val="000000" w:themeColor="text1"/>
          <w:lang w:eastAsia="en-AU"/>
        </w:rPr>
        <w:t>.</w:t>
      </w:r>
      <w:r w:rsidR="00597E41">
        <w:rPr>
          <w:rFonts w:ascii="Calibri" w:eastAsia="Times New Roman" w:hAnsi="Calibri" w:cs="Calibri"/>
          <w:color w:val="000000" w:themeColor="text1"/>
          <w:lang w:eastAsia="en-AU"/>
        </w:rPr>
        <w:t xml:space="preserve"> </w:t>
      </w:r>
      <w:r w:rsidR="00597E41">
        <w:rPr>
          <w:rFonts w:ascii="Calibri" w:eastAsia="Times New Roman" w:hAnsi="Calibri" w:cs="Calibri"/>
          <w:lang w:eastAsia="en-AU"/>
        </w:rPr>
        <w:t xml:space="preserve">In addition, </w:t>
      </w:r>
      <w:r w:rsidR="002970C3">
        <w:rPr>
          <w:rFonts w:ascii="Calibri" w:eastAsia="Times New Roman" w:hAnsi="Calibri" w:cs="Calibri"/>
          <w:lang w:eastAsia="en-AU"/>
        </w:rPr>
        <w:t>program</w:t>
      </w:r>
      <w:r w:rsidR="00597E41">
        <w:rPr>
          <w:rFonts w:ascii="Calibri" w:eastAsia="Times New Roman" w:hAnsi="Calibri" w:cs="Calibri"/>
          <w:lang w:eastAsia="en-AU"/>
        </w:rPr>
        <w:t xml:space="preserve"> content must be tailored to address the specific challenges faced by the mid-career cohort (see below)</w:t>
      </w:r>
      <w:r w:rsidR="00EE74B9">
        <w:rPr>
          <w:rFonts w:ascii="Calibri" w:eastAsia="Times New Roman" w:hAnsi="Calibri" w:cs="Calibri"/>
          <w:lang w:eastAsia="en-AU"/>
        </w:rPr>
        <w:t>.</w:t>
      </w:r>
    </w:p>
    <w:p w14:paraId="7B67EAEC" w14:textId="0BFAC2CB" w:rsidR="00B707E9" w:rsidRPr="004B3DC3" w:rsidRDefault="009622B9" w:rsidP="007272DB">
      <w:pPr>
        <w:pStyle w:val="Heading4"/>
        <w:spacing w:before="0" w:line="240" w:lineRule="auto"/>
        <w:rPr>
          <w:rStyle w:val="Heading4Char"/>
          <w:rFonts w:asciiTheme="minorHAnsi" w:hAnsiTheme="minorHAnsi" w:cstheme="minorHAnsi"/>
          <w:b/>
          <w:color w:val="002C3E" w:themeColor="background2"/>
        </w:rPr>
      </w:pPr>
      <w:r>
        <w:rPr>
          <w:rStyle w:val="Heading4Char"/>
          <w:rFonts w:asciiTheme="minorHAnsi" w:hAnsiTheme="minorHAnsi" w:cstheme="minorHAnsi"/>
          <w:b/>
          <w:color w:val="002C3E" w:themeColor="background2"/>
        </w:rPr>
        <w:t xml:space="preserve">4.2.3 </w:t>
      </w:r>
      <w:r w:rsidR="00B707E9" w:rsidRPr="004B3DC3">
        <w:rPr>
          <w:rStyle w:val="Heading4Char"/>
          <w:rFonts w:asciiTheme="minorHAnsi" w:hAnsiTheme="minorHAnsi" w:cstheme="minorHAnsi"/>
          <w:b/>
          <w:color w:val="002C3E" w:themeColor="background2"/>
        </w:rPr>
        <w:t>Competing commitments </w:t>
      </w:r>
    </w:p>
    <w:p w14:paraId="31EBA366" w14:textId="3EAE3630" w:rsidR="00B707E9" w:rsidRPr="00721C2A" w:rsidRDefault="00F55084" w:rsidP="00B56782">
      <w:pPr>
        <w:spacing w:after="120" w:line="240" w:lineRule="auto"/>
        <w:textAlignment w:val="baseline"/>
        <w:rPr>
          <w:rFonts w:ascii="Calibri" w:eastAsia="Times New Roman" w:hAnsi="Calibri" w:cs="Calibri"/>
          <w:color w:val="000000"/>
          <w:lang w:eastAsia="en-AU"/>
        </w:rPr>
      </w:pPr>
      <w:r>
        <w:rPr>
          <w:rFonts w:ascii="Calibri" w:eastAsia="Times New Roman" w:hAnsi="Calibri" w:cs="Calibri"/>
          <w:color w:val="000000" w:themeColor="text1"/>
          <w:lang w:eastAsia="en-AU"/>
        </w:rPr>
        <w:t>As mentioned above, w</w:t>
      </w:r>
      <w:r w:rsidRPr="1E71A8D9">
        <w:rPr>
          <w:rFonts w:ascii="Calibri" w:eastAsia="Times New Roman" w:hAnsi="Calibri" w:cs="Calibri"/>
          <w:color w:val="000000" w:themeColor="text1"/>
          <w:lang w:eastAsia="en-AU"/>
        </w:rPr>
        <w:t>hile many ITE programs offer flexibility for university-based components</w:t>
      </w:r>
      <w:r>
        <w:rPr>
          <w:rFonts w:ascii="Calibri" w:eastAsia="Times New Roman" w:hAnsi="Calibri" w:cs="Calibri"/>
          <w:color w:val="000000" w:themeColor="text1"/>
          <w:lang w:eastAsia="en-AU"/>
        </w:rPr>
        <w:t xml:space="preserve">, </w:t>
      </w:r>
      <w:r w:rsidRPr="008151AF">
        <w:rPr>
          <w:rFonts w:ascii="Calibri" w:eastAsia="Times New Roman" w:hAnsi="Calibri" w:cs="Calibri"/>
          <w:color w:val="000000"/>
          <w:lang w:eastAsia="en-AU"/>
        </w:rPr>
        <w:t xml:space="preserve">this is not the case across the board. This can create challenges for mid-career cohorts with competing responsibilities. The need to undertake full-time in person </w:t>
      </w:r>
      <w:r w:rsidR="00D50C37" w:rsidRPr="00D50C37">
        <w:rPr>
          <w:rFonts w:ascii="Calibri" w:eastAsia="Times New Roman" w:hAnsi="Calibri" w:cs="Calibri"/>
          <w:color w:val="000000"/>
          <w:lang w:eastAsia="en-AU"/>
        </w:rPr>
        <w:t xml:space="preserve">practical experience </w:t>
      </w:r>
      <w:r w:rsidRPr="008151AF">
        <w:rPr>
          <w:rFonts w:ascii="Calibri" w:eastAsia="Times New Roman" w:hAnsi="Calibri" w:cs="Calibri"/>
          <w:color w:val="000000"/>
          <w:lang w:eastAsia="en-AU"/>
        </w:rPr>
        <w:t xml:space="preserve">placements is often the greatest challenge, as placements can be difficult to manage in conjunction with part-time work </w:t>
      </w:r>
      <w:r>
        <w:rPr>
          <w:rFonts w:ascii="Calibri" w:eastAsia="Times New Roman" w:hAnsi="Calibri" w:cs="Calibri"/>
          <w:color w:val="000000"/>
          <w:lang w:eastAsia="en-AU"/>
        </w:rPr>
        <w:t xml:space="preserve">and family commitments. </w:t>
      </w:r>
    </w:p>
    <w:p w14:paraId="68DA530A" w14:textId="72C24157" w:rsidR="003878F1" w:rsidRPr="004B3DC3" w:rsidRDefault="009622B9" w:rsidP="007272DB">
      <w:pPr>
        <w:pStyle w:val="Heading4"/>
        <w:spacing w:before="0" w:line="240" w:lineRule="auto"/>
        <w:rPr>
          <w:rFonts w:asciiTheme="minorHAnsi" w:eastAsia="Times New Roman" w:hAnsiTheme="minorHAnsi" w:cstheme="minorHAnsi"/>
          <w:b w:val="0"/>
          <w:color w:val="000000" w:themeColor="text1"/>
          <w:lang w:eastAsia="en-AU"/>
        </w:rPr>
      </w:pPr>
      <w:r>
        <w:rPr>
          <w:rFonts w:asciiTheme="minorHAnsi" w:eastAsia="Times New Roman" w:hAnsiTheme="minorHAnsi" w:cstheme="minorHAnsi"/>
          <w:color w:val="002C3E" w:themeColor="background2"/>
          <w:lang w:eastAsia="en-AU"/>
        </w:rPr>
        <w:t xml:space="preserve">4.2.4 </w:t>
      </w:r>
      <w:r w:rsidR="003878F1" w:rsidRPr="004B3DC3">
        <w:rPr>
          <w:rFonts w:asciiTheme="minorHAnsi" w:eastAsia="Times New Roman" w:hAnsiTheme="minorHAnsi" w:cstheme="minorHAnsi"/>
          <w:color w:val="002C3E" w:themeColor="background2"/>
          <w:lang w:eastAsia="en-AU"/>
        </w:rPr>
        <w:t>Status of the teaching profession  </w:t>
      </w:r>
    </w:p>
    <w:p w14:paraId="5FD1938F" w14:textId="238A215C" w:rsidR="003878F1" w:rsidRPr="00C457A8" w:rsidRDefault="003878F1" w:rsidP="00D15336">
      <w:pPr>
        <w:spacing w:after="120" w:line="240" w:lineRule="auto"/>
        <w:textAlignment w:val="baseline"/>
        <w:rPr>
          <w:rFonts w:ascii="Calibri" w:eastAsia="Calibri" w:hAnsi="Calibri" w:cs="Calibri"/>
          <w:color w:val="000000" w:themeColor="text1"/>
        </w:rPr>
      </w:pPr>
      <w:r w:rsidRPr="790E2AC6">
        <w:rPr>
          <w:rFonts w:ascii="Calibri" w:eastAsia="Times New Roman" w:hAnsi="Calibri" w:cs="Calibri"/>
          <w:color w:val="000000" w:themeColor="text1"/>
          <w:lang w:eastAsia="en-AU"/>
        </w:rPr>
        <w:t>The National Teacher Workforce Action Plan recognises that further work is needed to raise the status of the teaching profession. Mid-career cohorts may be deterred from considering a transition to teaching due to lack of information or awareness about the benefits of teaching, in addition to concerns about workload</w:t>
      </w:r>
      <w:r w:rsidRPr="18258FE8">
        <w:rPr>
          <w:rFonts w:ascii="Calibri" w:eastAsia="Times New Roman" w:hAnsi="Calibri" w:cs="Calibri"/>
          <w:color w:val="000000" w:themeColor="text1"/>
          <w:lang w:eastAsia="en-AU"/>
        </w:rPr>
        <w:t xml:space="preserve"> (Heffernan et al</w:t>
      </w:r>
      <w:r w:rsidR="00A5001E">
        <w:rPr>
          <w:rFonts w:ascii="Calibri" w:eastAsia="Times New Roman" w:hAnsi="Calibri" w:cs="Calibri"/>
          <w:color w:val="000000" w:themeColor="text1"/>
          <w:lang w:eastAsia="en-AU"/>
        </w:rPr>
        <w:t>.</w:t>
      </w:r>
      <w:r w:rsidRPr="18258FE8">
        <w:rPr>
          <w:rFonts w:ascii="Calibri" w:eastAsia="Times New Roman" w:hAnsi="Calibri" w:cs="Calibri"/>
          <w:color w:val="000000" w:themeColor="text1"/>
          <w:lang w:eastAsia="en-AU"/>
        </w:rPr>
        <w:t xml:space="preserve"> 2019),</w:t>
      </w:r>
      <w:r w:rsidRPr="790E2AC6">
        <w:rPr>
          <w:rFonts w:ascii="Calibri" w:eastAsia="Times New Roman" w:hAnsi="Calibri" w:cs="Calibri"/>
          <w:color w:val="000000" w:themeColor="text1"/>
          <w:lang w:eastAsia="en-AU"/>
        </w:rPr>
        <w:t xml:space="preserve"> noting that stress and pressure associated with the teaching profession reportedly increased during the COVID-19 pandemic (one study found that over 90</w:t>
      </w:r>
      <w:r w:rsidR="00F057F7">
        <w:rPr>
          <w:rFonts w:ascii="Calibri" w:eastAsia="Times New Roman" w:hAnsi="Calibri" w:cs="Calibri"/>
          <w:color w:val="000000" w:themeColor="text1"/>
          <w:lang w:eastAsia="en-AU"/>
        </w:rPr>
        <w:t xml:space="preserve"> per cent</w:t>
      </w:r>
      <w:r w:rsidRPr="790E2AC6">
        <w:rPr>
          <w:rFonts w:ascii="Calibri" w:eastAsia="Times New Roman" w:hAnsi="Calibri" w:cs="Calibri"/>
          <w:color w:val="000000" w:themeColor="text1"/>
          <w:lang w:eastAsia="en-AU"/>
        </w:rPr>
        <w:t xml:space="preserve"> of teachers agreed that their workload had become more demanding during this time, increasing their stress levels)</w:t>
      </w:r>
      <w:r w:rsidRPr="4CBCA86F">
        <w:rPr>
          <w:rFonts w:ascii="Calibri" w:eastAsia="Times New Roman" w:hAnsi="Calibri" w:cs="Calibri"/>
          <w:color w:val="000000" w:themeColor="text1"/>
          <w:lang w:eastAsia="en-AU"/>
        </w:rPr>
        <w:t xml:space="preserve"> </w:t>
      </w:r>
      <w:r w:rsidRPr="4CBCA86F">
        <w:rPr>
          <w:rFonts w:ascii="Calibri" w:eastAsia="Calibri" w:hAnsi="Calibri" w:cs="Calibri"/>
          <w:color w:val="000000" w:themeColor="text1"/>
        </w:rPr>
        <w:t>(Billet et al. 2022).</w:t>
      </w:r>
    </w:p>
    <w:p w14:paraId="37E857CC" w14:textId="1FAA55BB" w:rsidR="00B707E9" w:rsidRPr="005524EB" w:rsidRDefault="009622B9" w:rsidP="61BD85FC">
      <w:pPr>
        <w:pStyle w:val="Heading4"/>
        <w:spacing w:before="0" w:line="240" w:lineRule="auto"/>
        <w:rPr>
          <w:rFonts w:asciiTheme="minorHAnsi" w:eastAsia="Times New Roman" w:hAnsiTheme="minorHAnsi" w:cstheme="minorBidi"/>
          <w:b w:val="0"/>
          <w:color w:val="002C3E" w:themeColor="background2"/>
          <w:lang w:eastAsia="en-AU"/>
        </w:rPr>
      </w:pPr>
      <w:r>
        <w:rPr>
          <w:rFonts w:asciiTheme="minorHAnsi" w:eastAsia="Times New Roman" w:hAnsiTheme="minorHAnsi" w:cstheme="minorBidi"/>
          <w:color w:val="002C3E" w:themeColor="background2"/>
          <w:lang w:eastAsia="en-AU"/>
        </w:rPr>
        <w:t xml:space="preserve">4.2.5 </w:t>
      </w:r>
      <w:r w:rsidR="00B707E9" w:rsidRPr="61BD85FC">
        <w:rPr>
          <w:rFonts w:asciiTheme="minorHAnsi" w:eastAsia="Times New Roman" w:hAnsiTheme="minorHAnsi" w:cstheme="minorBidi"/>
          <w:color w:val="002C3E" w:themeColor="background2"/>
          <w:lang w:eastAsia="en-AU"/>
        </w:rPr>
        <w:t>Lack of recognition of prior experience  </w:t>
      </w:r>
    </w:p>
    <w:p w14:paraId="775465EC" w14:textId="21AE9261" w:rsidR="00813CF4" w:rsidRPr="004A582D" w:rsidRDefault="00B707E9" w:rsidP="00D15336">
      <w:pPr>
        <w:spacing w:after="120" w:line="240" w:lineRule="auto"/>
        <w:textAlignment w:val="baseline"/>
        <w:rPr>
          <w:rFonts w:ascii="Calibri" w:eastAsia="Times New Roman" w:hAnsi="Calibri" w:cs="Calibri"/>
          <w:lang w:eastAsia="en-AU"/>
        </w:rPr>
      </w:pPr>
      <w:r w:rsidRPr="2823BE7B">
        <w:rPr>
          <w:rFonts w:ascii="Calibri" w:eastAsia="Times New Roman" w:hAnsi="Calibri" w:cs="Calibri"/>
          <w:color w:val="000000" w:themeColor="text1"/>
          <w:lang w:eastAsia="en-AU"/>
        </w:rPr>
        <w:t>Mid-career cohorts may bring with them valuable professional knowledge and skills from their previous careers and personal lives, but often these skills</w:t>
      </w:r>
      <w:r w:rsidR="005B1CD5" w:rsidRPr="2823BE7B">
        <w:rPr>
          <w:rFonts w:ascii="Calibri" w:eastAsia="Times New Roman" w:hAnsi="Calibri" w:cs="Calibri"/>
          <w:color w:val="000000" w:themeColor="text1"/>
          <w:lang w:eastAsia="en-AU"/>
        </w:rPr>
        <w:t xml:space="preserve"> where relevant</w:t>
      </w:r>
      <w:r w:rsidRPr="2823BE7B">
        <w:rPr>
          <w:rFonts w:ascii="Calibri" w:eastAsia="Times New Roman" w:hAnsi="Calibri" w:cs="Calibri"/>
          <w:color w:val="000000" w:themeColor="text1"/>
          <w:lang w:eastAsia="en-AU"/>
        </w:rPr>
        <w:t xml:space="preserve"> are not formally acknowledged. This is true both at the point of entry into an ITE degree and the point of transitioning to teaching.  </w:t>
      </w:r>
    </w:p>
    <w:p w14:paraId="14F208B5" w14:textId="2C0DA35E" w:rsidR="00B707E9" w:rsidRPr="004B3DC3" w:rsidRDefault="009622B9" w:rsidP="007272DB">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4.2.6 </w:t>
      </w:r>
      <w:r w:rsidR="00B707E9" w:rsidRPr="004B3DC3">
        <w:rPr>
          <w:rFonts w:asciiTheme="minorHAnsi" w:eastAsia="Times New Roman" w:hAnsiTheme="minorHAnsi" w:cstheme="minorHAnsi"/>
          <w:color w:val="002C3E" w:themeColor="background2"/>
          <w:lang w:eastAsia="en-AU"/>
        </w:rPr>
        <w:t>Specific transition challenges faced by mid-career cohorts</w:t>
      </w:r>
      <w:r w:rsidR="00B707E9" w:rsidRPr="004B3DC3">
        <w:rPr>
          <w:rFonts w:asciiTheme="minorHAnsi" w:eastAsia="Times New Roman" w:hAnsiTheme="minorHAnsi" w:cstheme="minorHAnsi"/>
          <w:color w:val="000000" w:themeColor="text1"/>
          <w:lang w:eastAsia="en-AU"/>
        </w:rPr>
        <w:t> </w:t>
      </w:r>
    </w:p>
    <w:p w14:paraId="55E43BB0" w14:textId="7AEBAAB1" w:rsidR="00202DE8" w:rsidRPr="00CC7B3E" w:rsidRDefault="00466A08" w:rsidP="000E6800">
      <w:pPr>
        <w:spacing w:after="120" w:line="240" w:lineRule="auto"/>
        <w:textAlignment w:val="baseline"/>
        <w:rPr>
          <w:rFonts w:ascii="Calibri" w:eastAsia="Times New Roman" w:hAnsi="Calibri" w:cs="Calibri"/>
          <w:lang w:eastAsia="en-AU"/>
        </w:rPr>
      </w:pPr>
      <w:r w:rsidRPr="1E71A8D9">
        <w:rPr>
          <w:rFonts w:ascii="Calibri" w:eastAsia="Times New Roman" w:hAnsi="Calibri" w:cs="Calibri"/>
          <w:color w:val="000000" w:themeColor="text1"/>
          <w:lang w:eastAsia="en-AU"/>
        </w:rPr>
        <w:t xml:space="preserve">Mid-career individuals may face specific challenges during the transition into the teaching profession (which can also be the case for other professions). </w:t>
      </w:r>
      <w:r w:rsidRPr="4CBCA86F">
        <w:rPr>
          <w:rFonts w:ascii="Calibri" w:eastAsia="Times New Roman" w:hAnsi="Calibri" w:cs="Calibri"/>
          <w:color w:val="000000" w:themeColor="text1"/>
          <w:lang w:eastAsia="en-AU"/>
        </w:rPr>
        <w:t>Examples include</w:t>
      </w:r>
      <w:r w:rsidRPr="4CBCA86F">
        <w:rPr>
          <w:rFonts w:ascii="Calibri" w:eastAsia="Times New Roman" w:hAnsi="Calibri" w:cs="Calibri"/>
          <w:i/>
          <w:iCs/>
          <w:color w:val="000000" w:themeColor="text1"/>
          <w:lang w:eastAsia="en-AU"/>
        </w:rPr>
        <w:t xml:space="preserve"> </w:t>
      </w:r>
      <w:r w:rsidRPr="4CBCA86F">
        <w:rPr>
          <w:rFonts w:ascii="Calibri" w:eastAsia="Times New Roman" w:hAnsi="Calibri" w:cs="Calibri"/>
          <w:color w:val="000000" w:themeColor="text1"/>
          <w:lang w:eastAsia="en-AU"/>
        </w:rPr>
        <w:t>the difficulty with ‘going back to square one’ as a student, where they</w:t>
      </w:r>
      <w:r w:rsidRPr="4CBCA86F">
        <w:rPr>
          <w:rFonts w:ascii="Calibri" w:eastAsia="Times New Roman" w:hAnsi="Calibri" w:cs="Calibri"/>
          <w:i/>
          <w:iCs/>
          <w:color w:val="000000" w:themeColor="text1"/>
          <w:lang w:eastAsia="en-AU"/>
        </w:rPr>
        <w:t xml:space="preserve"> </w:t>
      </w:r>
      <w:r w:rsidRPr="4CBCA86F">
        <w:rPr>
          <w:rFonts w:ascii="Calibri" w:eastAsia="Times New Roman" w:hAnsi="Calibri" w:cs="Calibri"/>
          <w:color w:val="000000" w:themeColor="text1"/>
          <w:lang w:eastAsia="en-AU"/>
        </w:rPr>
        <w:t xml:space="preserve">may experience greater frustration about a perceived misalignment between theory and practice </w:t>
      </w:r>
      <w:r w:rsidRPr="4CBCA86F">
        <w:rPr>
          <w:rFonts w:ascii="Calibri" w:eastAsia="Calibri" w:hAnsi="Calibri" w:cs="Calibri"/>
          <w:color w:val="000000" w:themeColor="text1"/>
        </w:rPr>
        <w:t>(</w:t>
      </w:r>
      <w:proofErr w:type="spellStart"/>
      <w:r w:rsidRPr="4CBCA86F">
        <w:rPr>
          <w:rFonts w:ascii="Calibri" w:eastAsia="Calibri" w:hAnsi="Calibri" w:cs="Calibri"/>
          <w:color w:val="000000" w:themeColor="text1"/>
        </w:rPr>
        <w:t>Varadharajan</w:t>
      </w:r>
      <w:proofErr w:type="spellEnd"/>
      <w:r w:rsidRPr="4CBCA86F">
        <w:rPr>
          <w:rFonts w:ascii="Calibri" w:eastAsia="Calibri" w:hAnsi="Calibri" w:cs="Calibri"/>
          <w:color w:val="000000" w:themeColor="text1"/>
        </w:rPr>
        <w:t xml:space="preserve"> et al. 2018), </w:t>
      </w:r>
      <w:r w:rsidRPr="4CBCA86F">
        <w:rPr>
          <w:rFonts w:ascii="Calibri" w:eastAsia="Times New Roman" w:hAnsi="Calibri" w:cs="Calibri"/>
          <w:color w:val="000000" w:themeColor="text1"/>
          <w:lang w:eastAsia="en-AU"/>
        </w:rPr>
        <w:t xml:space="preserve">as well as difficultly working in schools (especially where </w:t>
      </w:r>
      <w:r w:rsidR="00572D6F">
        <w:rPr>
          <w:rFonts w:ascii="Calibri" w:eastAsia="Times New Roman" w:hAnsi="Calibri" w:cs="Calibri"/>
          <w:color w:val="000000" w:themeColor="text1"/>
          <w:lang w:eastAsia="en-AU"/>
        </w:rPr>
        <w:t xml:space="preserve">mid-career individuals feel </w:t>
      </w:r>
      <w:r w:rsidRPr="4CBCA86F">
        <w:rPr>
          <w:rFonts w:ascii="Calibri" w:eastAsia="Times New Roman" w:hAnsi="Calibri" w:cs="Calibri"/>
          <w:color w:val="000000" w:themeColor="text1"/>
          <w:lang w:eastAsia="en-AU"/>
        </w:rPr>
        <w:t xml:space="preserve">a school may not </w:t>
      </w:r>
      <w:r w:rsidR="00572D6F">
        <w:rPr>
          <w:rFonts w:ascii="Calibri" w:eastAsia="Times New Roman" w:hAnsi="Calibri" w:cs="Calibri"/>
          <w:color w:val="000000" w:themeColor="text1"/>
          <w:lang w:eastAsia="en-AU"/>
        </w:rPr>
        <w:t>recognise</w:t>
      </w:r>
      <w:r w:rsidRPr="4CBCA86F">
        <w:rPr>
          <w:rFonts w:ascii="Calibri" w:eastAsia="Times New Roman" w:hAnsi="Calibri" w:cs="Calibri"/>
          <w:color w:val="000000" w:themeColor="text1"/>
          <w:lang w:eastAsia="en-AU"/>
        </w:rPr>
        <w:t xml:space="preserve"> their prior professional experience). </w:t>
      </w:r>
      <w:r w:rsidRPr="1E71A8D9">
        <w:rPr>
          <w:rFonts w:ascii="Calibri" w:eastAsia="Times New Roman" w:hAnsi="Calibri" w:cs="Calibri"/>
          <w:color w:val="000000" w:themeColor="text1"/>
          <w:lang w:eastAsia="en-AU"/>
        </w:rPr>
        <w:t xml:space="preserve">Other challenges include those inherent in the teaching job itself (such as </w:t>
      </w:r>
      <w:r w:rsidRPr="1E71A8D9">
        <w:rPr>
          <w:rFonts w:ascii="Calibri" w:eastAsia="Times New Roman" w:hAnsi="Calibri" w:cs="Calibri"/>
          <w:color w:val="000000" w:themeColor="text1"/>
          <w:lang w:eastAsia="en-AU"/>
        </w:rPr>
        <w:lastRenderedPageBreak/>
        <w:t>workload and physical demands</w:t>
      </w:r>
      <w:r w:rsidRPr="3B45ECAD">
        <w:rPr>
          <w:rFonts w:ascii="Arial Narrow" w:eastAsia="Arial Narrow" w:hAnsi="Arial Narrow" w:cs="Arial Narrow"/>
          <w:color w:val="000000" w:themeColor="text1"/>
        </w:rPr>
        <w:t xml:space="preserve"> </w:t>
      </w:r>
      <w:r w:rsidRPr="00777320">
        <w:rPr>
          <w:rFonts w:ascii="Calibri" w:eastAsia="Times New Roman" w:hAnsi="Calibri" w:cs="Calibri"/>
          <w:color w:val="000000" w:themeColor="text1"/>
          <w:lang w:eastAsia="en-AU"/>
        </w:rPr>
        <w:t>(Bauer et al. 2017)</w:t>
      </w:r>
      <w:r w:rsidRPr="3B45ECAD">
        <w:rPr>
          <w:rFonts w:ascii="Calibri" w:eastAsia="Times New Roman" w:hAnsi="Calibri" w:cs="Calibri"/>
          <w:color w:val="000000" w:themeColor="text1"/>
          <w:lang w:eastAsia="en-AU"/>
        </w:rPr>
        <w:t>)</w:t>
      </w:r>
      <w:r w:rsidRPr="1E71A8D9">
        <w:rPr>
          <w:rFonts w:ascii="Calibri" w:eastAsia="Times New Roman" w:hAnsi="Calibri" w:cs="Calibri"/>
          <w:color w:val="000000" w:themeColor="text1"/>
          <w:lang w:eastAsia="en-AU"/>
        </w:rPr>
        <w:t xml:space="preserve"> and the lack of locational flexibility (noting many mid-career cohorts are less able to relocate than school leaver counterparts, due to caring and other responsibilities).  </w:t>
      </w:r>
    </w:p>
    <w:p w14:paraId="18101132" w14:textId="5186E49C" w:rsidR="00B707E9" w:rsidRPr="005F5B97" w:rsidRDefault="00A5001E" w:rsidP="007272DB">
      <w:pPr>
        <w:pStyle w:val="Heading3"/>
        <w:spacing w:before="0" w:after="120" w:line="240" w:lineRule="auto"/>
        <w:rPr>
          <w:rFonts w:eastAsia="Times New Roman"/>
          <w:lang w:eastAsia="en-AU"/>
        </w:rPr>
      </w:pPr>
      <w:bookmarkStart w:id="115" w:name="_Toc127978396"/>
      <w:bookmarkStart w:id="116" w:name="_Toc128649104"/>
      <w:bookmarkStart w:id="117" w:name="_Toc130217460"/>
      <w:r>
        <w:rPr>
          <w:rFonts w:eastAsia="Times New Roman"/>
          <w:lang w:eastAsia="en-AU"/>
        </w:rPr>
        <w:t xml:space="preserve">4.3 </w:t>
      </w:r>
      <w:r w:rsidR="00B707E9" w:rsidRPr="005F5B97">
        <w:rPr>
          <w:rFonts w:eastAsia="Times New Roman"/>
          <w:lang w:eastAsia="en-AU"/>
        </w:rPr>
        <w:t xml:space="preserve">Mid-career pathways </w:t>
      </w:r>
      <w:r w:rsidR="00F74F97" w:rsidRPr="005F5B97">
        <w:rPr>
          <w:rFonts w:eastAsia="Times New Roman"/>
          <w:lang w:eastAsia="en-AU"/>
        </w:rPr>
        <w:t>across</w:t>
      </w:r>
      <w:r w:rsidR="00B707E9" w:rsidRPr="005F5B97">
        <w:rPr>
          <w:rFonts w:eastAsia="Times New Roman"/>
          <w:lang w:eastAsia="en-AU"/>
        </w:rPr>
        <w:t xml:space="preserve"> Australia</w:t>
      </w:r>
      <w:bookmarkEnd w:id="115"/>
      <w:bookmarkEnd w:id="116"/>
      <w:bookmarkEnd w:id="117"/>
      <w:r w:rsidR="00B707E9" w:rsidRPr="005F5B97">
        <w:rPr>
          <w:rFonts w:eastAsia="Times New Roman"/>
          <w:lang w:eastAsia="en-AU"/>
        </w:rPr>
        <w:t> </w:t>
      </w:r>
    </w:p>
    <w:p w14:paraId="3652A810" w14:textId="66D73252" w:rsidR="00FF167A" w:rsidRPr="00345DCB" w:rsidRDefault="00B707E9" w:rsidP="007272DB">
      <w:pPr>
        <w:spacing w:after="0" w:line="240" w:lineRule="auto"/>
        <w:textAlignment w:val="baseline"/>
        <w:rPr>
          <w:rFonts w:ascii="Calibri" w:eastAsia="Times New Roman" w:hAnsi="Calibri" w:cs="Calibri"/>
          <w:sz w:val="20"/>
          <w:szCs w:val="20"/>
          <w:lang w:eastAsia="en-AU"/>
        </w:rPr>
      </w:pPr>
      <w:r w:rsidRPr="008151AF">
        <w:rPr>
          <w:rFonts w:ascii="Calibri" w:eastAsia="Times New Roman" w:hAnsi="Calibri" w:cs="Calibri"/>
          <w:lang w:eastAsia="en-AU"/>
        </w:rPr>
        <w:t xml:space="preserve">Bespoke programs aimed at attracting mid-career cohorts to teaching have emerged over recent years, and now exist in most jurisdictions. Governments, </w:t>
      </w:r>
      <w:r w:rsidR="008A6F2A">
        <w:rPr>
          <w:rFonts w:ascii="Calibri" w:eastAsia="Times New Roman" w:hAnsi="Calibri" w:cs="Calibri"/>
          <w:lang w:eastAsia="en-AU"/>
        </w:rPr>
        <w:t>higher education</w:t>
      </w:r>
      <w:r w:rsidRPr="008151AF">
        <w:rPr>
          <w:rFonts w:ascii="Calibri" w:eastAsia="Times New Roman" w:hAnsi="Calibri" w:cs="Calibri"/>
          <w:lang w:eastAsia="en-AU"/>
        </w:rPr>
        <w:t xml:space="preserve"> providers and schools all have distinct roles to play in delivering pathways aimed at mid-career candidates: </w:t>
      </w:r>
    </w:p>
    <w:p w14:paraId="6FB35101" w14:textId="68B25591" w:rsidR="00300871" w:rsidRPr="006034C8" w:rsidRDefault="00300871" w:rsidP="00645BD5">
      <w:pPr>
        <w:pStyle w:val="ListParagraph"/>
        <w:numPr>
          <w:ilvl w:val="0"/>
          <w:numId w:val="17"/>
        </w:numPr>
        <w:textAlignment w:val="baseline"/>
        <w:rPr>
          <w:rFonts w:ascii="Calibri" w:eastAsia="Times New Roman" w:hAnsi="Calibri" w:cs="Calibri"/>
          <w:sz w:val="22"/>
          <w:szCs w:val="22"/>
          <w:lang w:eastAsia="en-AU"/>
        </w:rPr>
      </w:pPr>
      <w:r w:rsidRPr="008151AF">
        <w:rPr>
          <w:rFonts w:ascii="Calibri" w:eastAsia="Times New Roman" w:hAnsi="Calibri" w:cs="Calibri"/>
          <w:sz w:val="22"/>
          <w:szCs w:val="22"/>
          <w:lang w:eastAsia="en-AU"/>
        </w:rPr>
        <w:t xml:space="preserve">State and </w:t>
      </w:r>
      <w:r>
        <w:rPr>
          <w:rFonts w:ascii="Calibri" w:eastAsia="Times New Roman" w:hAnsi="Calibri" w:cs="Calibri"/>
          <w:sz w:val="22"/>
          <w:szCs w:val="22"/>
          <w:lang w:eastAsia="en-AU"/>
        </w:rPr>
        <w:t>T</w:t>
      </w:r>
      <w:r w:rsidRPr="008151AF">
        <w:rPr>
          <w:rFonts w:ascii="Calibri" w:eastAsia="Times New Roman" w:hAnsi="Calibri" w:cs="Calibri"/>
          <w:sz w:val="22"/>
          <w:szCs w:val="22"/>
          <w:lang w:eastAsia="en-AU"/>
        </w:rPr>
        <w:t xml:space="preserve">erritory governments play a role in initiating and funding bespoke programs that are delivered in partnership with one or more </w:t>
      </w:r>
      <w:r w:rsidR="008A6F2A">
        <w:rPr>
          <w:rFonts w:ascii="Calibri" w:eastAsia="Times New Roman" w:hAnsi="Calibri" w:cs="Calibri"/>
          <w:sz w:val="22"/>
          <w:szCs w:val="22"/>
          <w:lang w:eastAsia="en-AU"/>
        </w:rPr>
        <w:t>higher education</w:t>
      </w:r>
      <w:r w:rsidRPr="008151AF">
        <w:rPr>
          <w:rFonts w:ascii="Calibri" w:eastAsia="Times New Roman" w:hAnsi="Calibri" w:cs="Calibri"/>
          <w:sz w:val="22"/>
          <w:szCs w:val="22"/>
          <w:lang w:eastAsia="en-AU"/>
        </w:rPr>
        <w:t xml:space="preserve"> providers. For example, in areas of limited supply to attract teachers.</w:t>
      </w:r>
    </w:p>
    <w:p w14:paraId="1C0645EE" w14:textId="1C899D74" w:rsidR="00CB328B" w:rsidRPr="008151AF" w:rsidRDefault="008A6F2A" w:rsidP="00645BD5">
      <w:pPr>
        <w:pStyle w:val="ListParagraph"/>
        <w:numPr>
          <w:ilvl w:val="0"/>
          <w:numId w:val="17"/>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Higher education</w:t>
      </w:r>
      <w:r w:rsidR="00B707E9" w:rsidRPr="008151AF">
        <w:rPr>
          <w:rFonts w:ascii="Calibri" w:eastAsia="Times New Roman" w:hAnsi="Calibri" w:cs="Calibri"/>
          <w:sz w:val="22"/>
          <w:szCs w:val="22"/>
          <w:lang w:eastAsia="en-AU"/>
        </w:rPr>
        <w:t xml:space="preserve"> providers have a critical role to play in promoting and delivering tailored ITE </w:t>
      </w:r>
      <w:r w:rsidR="00A32BE6">
        <w:rPr>
          <w:rFonts w:ascii="Calibri" w:eastAsia="Times New Roman" w:hAnsi="Calibri" w:cs="Calibri"/>
          <w:sz w:val="22"/>
          <w:szCs w:val="22"/>
          <w:lang w:eastAsia="en-AU"/>
        </w:rPr>
        <w:t>programs</w:t>
      </w:r>
      <w:r w:rsidR="00B707E9" w:rsidRPr="008151AF">
        <w:rPr>
          <w:rFonts w:ascii="Calibri" w:eastAsia="Times New Roman" w:hAnsi="Calibri" w:cs="Calibri"/>
          <w:sz w:val="22"/>
          <w:szCs w:val="22"/>
          <w:lang w:eastAsia="en-AU"/>
        </w:rPr>
        <w:t xml:space="preserve"> to attract mid-career cohorts. </w:t>
      </w:r>
    </w:p>
    <w:p w14:paraId="49EE9682" w14:textId="77777777" w:rsidR="00B707E9" w:rsidRPr="00345DCB" w:rsidRDefault="00B707E9" w:rsidP="00645BD5">
      <w:pPr>
        <w:pStyle w:val="ListParagraph"/>
        <w:numPr>
          <w:ilvl w:val="0"/>
          <w:numId w:val="17"/>
        </w:numPr>
        <w:textAlignment w:val="baseline"/>
        <w:rPr>
          <w:rFonts w:ascii="Calibri" w:eastAsia="Times New Roman" w:hAnsi="Calibri" w:cs="Calibri"/>
          <w:sz w:val="20"/>
          <w:szCs w:val="20"/>
          <w:lang w:eastAsia="en-AU"/>
        </w:rPr>
      </w:pPr>
      <w:r w:rsidRPr="008151AF">
        <w:rPr>
          <w:rFonts w:ascii="Calibri" w:eastAsia="Times New Roman" w:hAnsi="Calibri" w:cs="Calibri"/>
          <w:sz w:val="22"/>
          <w:szCs w:val="22"/>
          <w:lang w:eastAsia="en-AU"/>
        </w:rPr>
        <w:t>The Australian Government can also play a role supporting bespoke pathways</w:t>
      </w:r>
      <w:r w:rsidR="1F0C6D71" w:rsidRPr="008151AF">
        <w:rPr>
          <w:rFonts w:ascii="Calibri" w:eastAsia="Times New Roman" w:hAnsi="Calibri" w:cs="Calibri"/>
          <w:sz w:val="22"/>
          <w:szCs w:val="22"/>
          <w:lang w:eastAsia="en-AU"/>
        </w:rPr>
        <w:t xml:space="preserve"> by </w:t>
      </w:r>
      <w:r w:rsidRPr="008151AF">
        <w:rPr>
          <w:rFonts w:ascii="Calibri" w:eastAsia="Times New Roman" w:hAnsi="Calibri" w:cs="Calibri"/>
          <w:sz w:val="22"/>
          <w:szCs w:val="22"/>
          <w:lang w:eastAsia="en-AU"/>
        </w:rPr>
        <w:t>support</w:t>
      </w:r>
      <w:r w:rsidR="7AF98AE0" w:rsidRPr="008151AF">
        <w:rPr>
          <w:rFonts w:ascii="Calibri" w:eastAsia="Times New Roman" w:hAnsi="Calibri" w:cs="Calibri"/>
          <w:sz w:val="22"/>
          <w:szCs w:val="22"/>
          <w:lang w:eastAsia="en-AU"/>
        </w:rPr>
        <w:t>ing programs which target mid-career cohorts</w:t>
      </w:r>
      <w:r w:rsidR="00E2488A">
        <w:rPr>
          <w:rFonts w:ascii="Calibri" w:eastAsia="Times New Roman" w:hAnsi="Calibri" w:cs="Calibri"/>
          <w:sz w:val="22"/>
          <w:szCs w:val="22"/>
          <w:lang w:eastAsia="en-AU"/>
        </w:rPr>
        <w:t>,</w:t>
      </w:r>
      <w:r w:rsidR="7AF98AE0" w:rsidRPr="008151AF">
        <w:rPr>
          <w:rFonts w:ascii="Calibri" w:eastAsia="Times New Roman" w:hAnsi="Calibri" w:cs="Calibri"/>
          <w:sz w:val="22"/>
          <w:szCs w:val="22"/>
          <w:lang w:eastAsia="en-AU"/>
        </w:rPr>
        <w:t xml:space="preserve"> e</w:t>
      </w:r>
      <w:r w:rsidR="00E2488A">
        <w:rPr>
          <w:rFonts w:ascii="Calibri" w:eastAsia="Times New Roman" w:hAnsi="Calibri" w:cs="Calibri"/>
          <w:sz w:val="22"/>
          <w:szCs w:val="22"/>
          <w:lang w:eastAsia="en-AU"/>
        </w:rPr>
        <w:t>.</w:t>
      </w:r>
      <w:r w:rsidR="7AF98AE0" w:rsidRPr="008151AF">
        <w:rPr>
          <w:rFonts w:ascii="Calibri" w:eastAsia="Times New Roman" w:hAnsi="Calibri" w:cs="Calibri"/>
          <w:sz w:val="22"/>
          <w:szCs w:val="22"/>
          <w:lang w:eastAsia="en-AU"/>
        </w:rPr>
        <w:t>g</w:t>
      </w:r>
      <w:r w:rsidR="00E2488A">
        <w:rPr>
          <w:rFonts w:ascii="Calibri" w:eastAsia="Times New Roman" w:hAnsi="Calibri" w:cs="Calibri"/>
          <w:sz w:val="22"/>
          <w:szCs w:val="22"/>
          <w:lang w:eastAsia="en-AU"/>
        </w:rPr>
        <w:t>.</w:t>
      </w:r>
      <w:r w:rsidRPr="008151AF">
        <w:rPr>
          <w:rFonts w:ascii="Calibri" w:eastAsia="Times New Roman" w:hAnsi="Calibri" w:cs="Calibri"/>
          <w:sz w:val="22"/>
          <w:szCs w:val="22"/>
          <w:lang w:eastAsia="en-AU"/>
        </w:rPr>
        <w:t xml:space="preserve"> High Achieving Teachers program</w:t>
      </w:r>
      <w:r w:rsidR="44BE77AF" w:rsidRPr="008151AF">
        <w:rPr>
          <w:rFonts w:ascii="Calibri" w:eastAsia="Times New Roman" w:hAnsi="Calibri" w:cs="Calibri"/>
          <w:sz w:val="22"/>
          <w:szCs w:val="22"/>
          <w:lang w:eastAsia="en-AU"/>
        </w:rPr>
        <w:t>.</w:t>
      </w:r>
    </w:p>
    <w:p w14:paraId="6035A58D" w14:textId="74A5F985" w:rsidR="00B707E9" w:rsidRPr="008151AF" w:rsidRDefault="00B707E9" w:rsidP="00645BD5">
      <w:pPr>
        <w:pStyle w:val="ListParagraph"/>
        <w:numPr>
          <w:ilvl w:val="0"/>
          <w:numId w:val="17"/>
        </w:numPr>
        <w:spacing w:after="120"/>
        <w:ind w:left="714" w:hanging="357"/>
        <w:textAlignment w:val="baseline"/>
        <w:rPr>
          <w:rFonts w:ascii="Calibri" w:eastAsia="Times New Roman" w:hAnsi="Calibri" w:cs="Calibri"/>
          <w:sz w:val="22"/>
          <w:szCs w:val="22"/>
          <w:lang w:eastAsia="en-AU"/>
        </w:rPr>
      </w:pPr>
      <w:r w:rsidRPr="008151AF">
        <w:rPr>
          <w:rFonts w:ascii="Calibri" w:eastAsia="Times New Roman" w:hAnsi="Calibri" w:cs="Calibri"/>
          <w:sz w:val="22"/>
          <w:szCs w:val="22"/>
          <w:lang w:eastAsia="en-AU"/>
        </w:rPr>
        <w:t xml:space="preserve">Schools </w:t>
      </w:r>
      <w:r w:rsidR="1E366292" w:rsidRPr="008151AF">
        <w:rPr>
          <w:rFonts w:ascii="Calibri" w:eastAsia="Times New Roman" w:hAnsi="Calibri" w:cs="Calibri"/>
          <w:sz w:val="22"/>
          <w:szCs w:val="22"/>
          <w:lang w:eastAsia="en-AU"/>
        </w:rPr>
        <w:t>can</w:t>
      </w:r>
      <w:r w:rsidR="304E76DC" w:rsidRPr="008151AF">
        <w:rPr>
          <w:rFonts w:ascii="Calibri" w:eastAsia="Times New Roman" w:hAnsi="Calibri" w:cs="Calibri"/>
          <w:sz w:val="22"/>
          <w:szCs w:val="22"/>
          <w:lang w:eastAsia="en-AU"/>
        </w:rPr>
        <w:t xml:space="preserve"> e</w:t>
      </w:r>
      <w:r w:rsidRPr="008151AF">
        <w:rPr>
          <w:rFonts w:ascii="Calibri" w:eastAsia="Times New Roman" w:hAnsi="Calibri" w:cs="Calibri"/>
          <w:sz w:val="22"/>
          <w:szCs w:val="22"/>
          <w:lang w:eastAsia="en-AU"/>
        </w:rPr>
        <w:t>nsur</w:t>
      </w:r>
      <w:r w:rsidR="65ACB20F" w:rsidRPr="008151AF">
        <w:rPr>
          <w:rFonts w:ascii="Calibri" w:eastAsia="Times New Roman" w:hAnsi="Calibri" w:cs="Calibri"/>
          <w:sz w:val="22"/>
          <w:szCs w:val="22"/>
          <w:lang w:eastAsia="en-AU"/>
        </w:rPr>
        <w:t>e</w:t>
      </w:r>
      <w:r w:rsidRPr="008151AF">
        <w:rPr>
          <w:rFonts w:ascii="Calibri" w:eastAsia="Times New Roman" w:hAnsi="Calibri" w:cs="Calibri"/>
          <w:sz w:val="22"/>
          <w:szCs w:val="22"/>
          <w:lang w:eastAsia="en-AU"/>
        </w:rPr>
        <w:t xml:space="preserve"> that school leaders are equipped to support the specific needs of mid-career cohorts</w:t>
      </w:r>
      <w:r w:rsidR="052BA936" w:rsidRPr="008151AF">
        <w:rPr>
          <w:rFonts w:ascii="Calibri" w:eastAsia="Times New Roman" w:hAnsi="Calibri" w:cs="Calibri"/>
          <w:sz w:val="22"/>
          <w:szCs w:val="22"/>
          <w:lang w:eastAsia="en-AU"/>
        </w:rPr>
        <w:t>.</w:t>
      </w:r>
    </w:p>
    <w:p w14:paraId="051CEBC4" w14:textId="77777777" w:rsidR="00B707E9" w:rsidRPr="00B707E9" w:rsidRDefault="00B707E9" w:rsidP="00D15336">
      <w:pPr>
        <w:spacing w:after="120" w:line="240" w:lineRule="auto"/>
        <w:textAlignment w:val="baseline"/>
        <w:rPr>
          <w:rFonts w:ascii="Calibri" w:eastAsia="Times New Roman" w:hAnsi="Calibri" w:cs="Calibri"/>
          <w:color w:val="000000"/>
          <w:lang w:eastAsia="en-AU"/>
        </w:rPr>
      </w:pPr>
      <w:r w:rsidRPr="48CACF1A">
        <w:rPr>
          <w:rFonts w:ascii="Calibri" w:eastAsia="Times New Roman" w:hAnsi="Calibri" w:cs="Calibri"/>
          <w:color w:val="000000" w:themeColor="text1"/>
          <w:lang w:eastAsia="en-AU"/>
        </w:rPr>
        <w:t xml:space="preserve">Pathways that target mid-career cohorts </w:t>
      </w:r>
      <w:r w:rsidR="0BEFDC80" w:rsidRPr="43DB207A">
        <w:rPr>
          <w:rFonts w:ascii="Calibri" w:eastAsia="Times New Roman" w:hAnsi="Calibri" w:cs="Calibri"/>
          <w:color w:val="000000" w:themeColor="text1"/>
          <w:lang w:eastAsia="en-AU"/>
        </w:rPr>
        <w:t>primarily have</w:t>
      </w:r>
      <w:r w:rsidRPr="48CACF1A">
        <w:rPr>
          <w:rFonts w:ascii="Calibri" w:eastAsia="Times New Roman" w:hAnsi="Calibri" w:cs="Calibri"/>
          <w:color w:val="000000" w:themeColor="text1"/>
          <w:lang w:eastAsia="en-AU"/>
        </w:rPr>
        <w:t xml:space="preserve"> </w:t>
      </w:r>
      <w:r w:rsidR="00205F40" w:rsidRPr="18DC17DA">
        <w:rPr>
          <w:rFonts w:ascii="Calibri" w:eastAsia="Times New Roman" w:hAnsi="Calibri" w:cs="Calibri"/>
          <w:color w:val="000000" w:themeColor="text1"/>
          <w:lang w:eastAsia="en-AU"/>
        </w:rPr>
        <w:t xml:space="preserve">common </w:t>
      </w:r>
      <w:r w:rsidRPr="18DC17DA">
        <w:rPr>
          <w:rFonts w:ascii="Calibri" w:eastAsia="Times New Roman" w:hAnsi="Calibri" w:cs="Calibri"/>
          <w:color w:val="000000" w:themeColor="text1"/>
          <w:lang w:eastAsia="en-AU"/>
        </w:rPr>
        <w:t>key</w:t>
      </w:r>
      <w:r w:rsidRPr="48CACF1A">
        <w:rPr>
          <w:rFonts w:ascii="Calibri" w:eastAsia="Times New Roman" w:hAnsi="Calibri" w:cs="Calibri"/>
          <w:color w:val="000000" w:themeColor="text1"/>
          <w:lang w:eastAsia="en-AU"/>
        </w:rPr>
        <w:t xml:space="preserve"> characteristics. Individual pathways will combine a number of these characteristics, depending on target cohort and context. </w:t>
      </w:r>
    </w:p>
    <w:p w14:paraId="38FF7EFA" w14:textId="5085EE05" w:rsidR="00B707E9" w:rsidRPr="004B3DC3" w:rsidRDefault="00A87FBD" w:rsidP="007272DB">
      <w:pPr>
        <w:pStyle w:val="Heading4"/>
        <w:spacing w:before="0" w:line="240" w:lineRule="auto"/>
        <w:rPr>
          <w:rFonts w:asciiTheme="minorHAnsi" w:eastAsia="Times New Roman" w:hAnsiTheme="minorHAnsi" w:cstheme="minorHAnsi"/>
          <w:b w:val="0"/>
          <w:color w:val="000000"/>
          <w:lang w:eastAsia="en-AU"/>
        </w:rPr>
      </w:pPr>
      <w:r>
        <w:rPr>
          <w:rFonts w:asciiTheme="minorHAnsi" w:eastAsia="Times New Roman" w:hAnsiTheme="minorHAnsi" w:cstheme="minorHAnsi"/>
          <w:color w:val="002C3E" w:themeColor="background2"/>
          <w:lang w:eastAsia="en-AU"/>
        </w:rPr>
        <w:t xml:space="preserve">4.3.1 </w:t>
      </w:r>
      <w:r w:rsidR="00B707E9" w:rsidRPr="004B3DC3">
        <w:rPr>
          <w:rFonts w:asciiTheme="minorHAnsi" w:eastAsia="Times New Roman" w:hAnsiTheme="minorHAnsi" w:cstheme="minorHAnsi"/>
          <w:color w:val="002C3E" w:themeColor="background2"/>
          <w:lang w:eastAsia="en-AU"/>
        </w:rPr>
        <w:t xml:space="preserve">Shorter </w:t>
      </w:r>
      <w:r w:rsidR="002970C3">
        <w:rPr>
          <w:rFonts w:asciiTheme="minorHAnsi" w:eastAsia="Times New Roman" w:hAnsiTheme="minorHAnsi" w:cstheme="minorHAnsi"/>
          <w:color w:val="002C3E" w:themeColor="background2"/>
          <w:lang w:eastAsia="en-AU"/>
        </w:rPr>
        <w:t>program</w:t>
      </w:r>
      <w:r w:rsidR="00B707E9" w:rsidRPr="004B3DC3">
        <w:rPr>
          <w:rFonts w:asciiTheme="minorHAnsi" w:eastAsia="Times New Roman" w:hAnsiTheme="minorHAnsi" w:cstheme="minorHAnsi"/>
          <w:color w:val="002C3E" w:themeColor="background2"/>
          <w:lang w:eastAsia="en-AU"/>
        </w:rPr>
        <w:t xml:space="preserve"> length </w:t>
      </w:r>
    </w:p>
    <w:p w14:paraId="095761EB" w14:textId="1F5D72D0" w:rsidR="009D6018" w:rsidRDefault="009D6018" w:rsidP="00466F6E">
      <w:pPr>
        <w:spacing w:after="120"/>
        <w:rPr>
          <w:rFonts w:ascii="Calibri" w:eastAsia="Times New Roman" w:hAnsi="Calibri" w:cs="Calibri"/>
          <w:lang w:eastAsia="en-AU"/>
        </w:rPr>
      </w:pPr>
      <w:r w:rsidRPr="008151AF">
        <w:rPr>
          <w:rFonts w:ascii="Calibri" w:eastAsia="Times New Roman" w:hAnsi="Calibri" w:cs="Calibri"/>
          <w:lang w:eastAsia="en-AU"/>
        </w:rPr>
        <w:t xml:space="preserve">Postgraduate programs aimed at attracting mid-career cohorts into ITE often do so by offering a shorter </w:t>
      </w:r>
      <w:r w:rsidR="002970C3">
        <w:rPr>
          <w:rFonts w:ascii="Calibri" w:eastAsia="Times New Roman" w:hAnsi="Calibri" w:cs="Calibri"/>
          <w:lang w:eastAsia="en-AU"/>
        </w:rPr>
        <w:t>program</w:t>
      </w:r>
      <w:r w:rsidRPr="008151AF">
        <w:rPr>
          <w:rFonts w:ascii="Calibri" w:eastAsia="Times New Roman" w:hAnsi="Calibri" w:cs="Calibri"/>
          <w:lang w:eastAsia="en-AU"/>
        </w:rPr>
        <w:t xml:space="preserve"> length</w:t>
      </w:r>
      <w:r w:rsidRPr="1A5832E0">
        <w:rPr>
          <w:rFonts w:ascii="Calibri" w:eastAsia="Times New Roman" w:hAnsi="Calibri" w:cs="Calibri"/>
          <w:lang w:eastAsia="en-AU"/>
        </w:rPr>
        <w:t xml:space="preserve"> </w:t>
      </w:r>
      <w:r w:rsidRPr="00116B97">
        <w:rPr>
          <w:rFonts w:ascii="Calibri" w:eastAsia="Times New Roman" w:hAnsi="Calibri" w:cs="Calibri"/>
          <w:lang w:eastAsia="en-AU"/>
        </w:rPr>
        <w:t>(</w:t>
      </w:r>
      <w:r w:rsidR="002970C3">
        <w:rPr>
          <w:rFonts w:ascii="Calibri" w:eastAsia="Times New Roman" w:hAnsi="Calibri" w:cs="Calibri"/>
          <w:lang w:eastAsia="en-AU"/>
        </w:rPr>
        <w:t>QITE Review</w:t>
      </w:r>
      <w:r w:rsidRPr="00116B97">
        <w:rPr>
          <w:rFonts w:ascii="Calibri" w:eastAsia="Times New Roman" w:hAnsi="Calibri" w:cs="Calibri"/>
          <w:lang w:eastAsia="en-AU"/>
        </w:rPr>
        <w:t>)</w:t>
      </w:r>
      <w:r w:rsidRPr="1A5832E0">
        <w:rPr>
          <w:rFonts w:ascii="Calibri" w:eastAsia="Times New Roman" w:hAnsi="Calibri" w:cs="Calibri"/>
          <w:lang w:eastAsia="en-AU"/>
        </w:rPr>
        <w:t>.</w:t>
      </w:r>
      <w:r w:rsidRPr="008151AF">
        <w:rPr>
          <w:rFonts w:ascii="Calibri" w:eastAsia="Times New Roman" w:hAnsi="Calibri" w:cs="Calibri"/>
          <w:lang w:eastAsia="en-AU"/>
        </w:rPr>
        <w:t xml:space="preserve"> Shorter </w:t>
      </w:r>
      <w:r w:rsidR="002970C3">
        <w:rPr>
          <w:rFonts w:ascii="Calibri" w:eastAsia="Times New Roman" w:hAnsi="Calibri" w:cs="Calibri"/>
          <w:lang w:eastAsia="en-AU"/>
        </w:rPr>
        <w:t>programs</w:t>
      </w:r>
      <w:r w:rsidRPr="008151AF">
        <w:rPr>
          <w:rFonts w:ascii="Calibri" w:eastAsia="Times New Roman" w:hAnsi="Calibri" w:cs="Calibri"/>
          <w:lang w:eastAsia="en-AU"/>
        </w:rPr>
        <w:t xml:space="preserve"> are attractive to mid-career cohorts because they reduce the amount of time out of the workforce and loss of income. To meet this demand, many </w:t>
      </w:r>
      <w:r w:rsidR="008A6F2A">
        <w:rPr>
          <w:rFonts w:ascii="Calibri" w:eastAsia="Times New Roman" w:hAnsi="Calibri" w:cs="Calibri"/>
          <w:lang w:eastAsia="en-AU"/>
        </w:rPr>
        <w:t>higher education</w:t>
      </w:r>
      <w:r w:rsidRPr="008151AF">
        <w:rPr>
          <w:rFonts w:ascii="Calibri" w:eastAsia="Times New Roman" w:hAnsi="Calibri" w:cs="Calibri"/>
          <w:lang w:eastAsia="en-AU"/>
        </w:rPr>
        <w:t xml:space="preserve"> providers around Australia offer accelerated programs, which </w:t>
      </w:r>
      <w:r>
        <w:rPr>
          <w:rFonts w:ascii="Calibri" w:eastAsia="Times New Roman" w:hAnsi="Calibri" w:cs="Calibri"/>
          <w:lang w:eastAsia="en-AU"/>
        </w:rPr>
        <w:t xml:space="preserve">condense the time required to complete a Master of Teaching. </w:t>
      </w:r>
    </w:p>
    <w:p w14:paraId="25A8F98A" w14:textId="6D043677" w:rsidR="000C7458" w:rsidRPr="00B707E9" w:rsidRDefault="009D6018" w:rsidP="007272DB">
      <w:pPr>
        <w:spacing w:line="240" w:lineRule="auto"/>
        <w:textAlignment w:val="baseline"/>
        <w:rPr>
          <w:rFonts w:ascii="Calibri" w:eastAsia="Times New Roman" w:hAnsi="Calibri" w:cs="Calibri"/>
          <w:sz w:val="20"/>
          <w:szCs w:val="20"/>
          <w:lang w:eastAsia="en-AU"/>
        </w:rPr>
      </w:pPr>
      <w:r w:rsidRPr="008151AF">
        <w:rPr>
          <w:rFonts w:ascii="Calibri" w:eastAsia="Times New Roman" w:hAnsi="Calibri" w:cs="Calibri"/>
          <w:lang w:eastAsia="en-AU"/>
        </w:rPr>
        <w:t xml:space="preserve">Typically, such </w:t>
      </w:r>
      <w:r w:rsidR="002970C3">
        <w:rPr>
          <w:rFonts w:ascii="Calibri" w:eastAsia="Times New Roman" w:hAnsi="Calibri" w:cs="Calibri"/>
          <w:lang w:eastAsia="en-AU"/>
        </w:rPr>
        <w:t>programs</w:t>
      </w:r>
      <w:r w:rsidRPr="008151AF">
        <w:rPr>
          <w:rFonts w:ascii="Calibri" w:eastAsia="Times New Roman" w:hAnsi="Calibri" w:cs="Calibri"/>
          <w:lang w:eastAsia="en-AU"/>
        </w:rPr>
        <w:t xml:space="preserve"> are completed in around 18 months, but they can be completed in as little as 1.3 years. Under such models, the content of the </w:t>
      </w:r>
      <w:r w:rsidR="002970C3">
        <w:rPr>
          <w:rFonts w:ascii="Calibri" w:eastAsia="Times New Roman" w:hAnsi="Calibri" w:cs="Calibri"/>
          <w:lang w:eastAsia="en-AU"/>
        </w:rPr>
        <w:t>program</w:t>
      </w:r>
      <w:r w:rsidRPr="008151AF">
        <w:rPr>
          <w:rFonts w:ascii="Calibri" w:eastAsia="Times New Roman" w:hAnsi="Calibri" w:cs="Calibri"/>
          <w:lang w:eastAsia="en-AU"/>
        </w:rPr>
        <w:t xml:space="preserve"> itself is not cut down or </w:t>
      </w:r>
      <w:r w:rsidR="00291B20" w:rsidRPr="008151AF">
        <w:rPr>
          <w:rFonts w:ascii="Calibri" w:eastAsia="Times New Roman" w:hAnsi="Calibri" w:cs="Calibri"/>
          <w:lang w:eastAsia="en-AU"/>
        </w:rPr>
        <w:t>altered but</w:t>
      </w:r>
      <w:r w:rsidRPr="008151AF">
        <w:rPr>
          <w:rFonts w:ascii="Calibri" w:eastAsia="Times New Roman" w:hAnsi="Calibri" w:cs="Calibri"/>
          <w:lang w:eastAsia="en-AU"/>
        </w:rPr>
        <w:t xml:space="preserve"> is condensed into a shorter time-frame – often requiring students to undertake a summer trimester. Consultations with </w:t>
      </w:r>
      <w:r w:rsidR="008A6F2A">
        <w:rPr>
          <w:rFonts w:ascii="Calibri" w:eastAsia="Times New Roman" w:hAnsi="Calibri" w:cs="Calibri"/>
          <w:lang w:eastAsia="en-AU"/>
        </w:rPr>
        <w:t>higher education</w:t>
      </w:r>
      <w:r w:rsidRPr="008151AF">
        <w:rPr>
          <w:rFonts w:ascii="Calibri" w:eastAsia="Times New Roman" w:hAnsi="Calibri" w:cs="Calibri"/>
          <w:lang w:eastAsia="en-AU"/>
        </w:rPr>
        <w:t xml:space="preserve"> providers indicated that there is little scope to further shorten this timeframe without changes to the </w:t>
      </w:r>
      <w:r w:rsidR="40C22D78" w:rsidRPr="65ABAD61">
        <w:rPr>
          <w:rFonts w:ascii="Calibri" w:eastAsia="Times New Roman" w:hAnsi="Calibri" w:cs="Calibri"/>
          <w:lang w:eastAsia="en-AU"/>
        </w:rPr>
        <w:t>A</w:t>
      </w:r>
      <w:r w:rsidRPr="008151AF">
        <w:rPr>
          <w:rFonts w:ascii="Calibri" w:eastAsia="Times New Roman" w:hAnsi="Calibri" w:cs="Calibri"/>
          <w:lang w:eastAsia="en-AU"/>
        </w:rPr>
        <w:t xml:space="preserve">ccreditation </w:t>
      </w:r>
      <w:r w:rsidR="447A6ACB" w:rsidRPr="159091E7">
        <w:rPr>
          <w:rFonts w:ascii="Calibri" w:eastAsia="Times New Roman" w:hAnsi="Calibri" w:cs="Calibri"/>
          <w:lang w:eastAsia="en-AU"/>
        </w:rPr>
        <w:t>S</w:t>
      </w:r>
      <w:r w:rsidRPr="008151AF">
        <w:rPr>
          <w:rFonts w:ascii="Calibri" w:eastAsia="Times New Roman" w:hAnsi="Calibri" w:cs="Calibri"/>
          <w:lang w:eastAsia="en-AU"/>
        </w:rPr>
        <w:t xml:space="preserve">tandards. These accelerated programs are already intense for students, and providers face a scheduling challenge to fit theoretical and </w:t>
      </w:r>
      <w:r w:rsidR="00D50C37" w:rsidRPr="00D50C37">
        <w:rPr>
          <w:rFonts w:ascii="Calibri" w:eastAsia="Times New Roman" w:hAnsi="Calibri" w:cs="Calibri"/>
          <w:lang w:eastAsia="en-AU"/>
        </w:rPr>
        <w:t xml:space="preserve">practical experience </w:t>
      </w:r>
      <w:r w:rsidRPr="008151AF">
        <w:rPr>
          <w:rFonts w:ascii="Calibri" w:eastAsia="Times New Roman" w:hAnsi="Calibri" w:cs="Calibri"/>
          <w:lang w:eastAsia="en-AU"/>
        </w:rPr>
        <w:t>requirements within these timeframes.  </w:t>
      </w:r>
    </w:p>
    <w:p w14:paraId="5E79D748" w14:textId="065AA3AA" w:rsidR="000C7458" w:rsidRPr="008263B3" w:rsidRDefault="000C7458" w:rsidP="007272DB">
      <w:pPr>
        <w:shd w:val="clear" w:color="auto" w:fill="FEEBB9" w:themeFill="accent2" w:themeFillTint="66"/>
        <w:spacing w:line="240" w:lineRule="auto"/>
        <w:rPr>
          <w:rFonts w:eastAsiaTheme="minorEastAsia"/>
          <w:color w:val="000000" w:themeColor="text1"/>
        </w:rPr>
      </w:pPr>
      <w:r w:rsidRPr="008151AF">
        <w:rPr>
          <w:rFonts w:eastAsiaTheme="minorEastAsia"/>
          <w:b/>
          <w:bCs/>
          <w:color w:val="000000" w:themeColor="text1"/>
        </w:rPr>
        <w:t>Case Study: University of Newcastle Master of Teaching (Secondary) – Fast Track</w:t>
      </w:r>
      <w:r w:rsidRPr="008151AF">
        <w:rPr>
          <w:rFonts w:eastAsiaTheme="minorEastAsia"/>
          <w:color w:val="000000" w:themeColor="text1"/>
        </w:rPr>
        <w:t> </w:t>
      </w:r>
      <w:r>
        <w:br/>
      </w:r>
      <w:r w:rsidRPr="008151AF">
        <w:rPr>
          <w:rFonts w:eastAsiaTheme="minorEastAsia"/>
          <w:color w:val="000000" w:themeColor="text1"/>
        </w:rPr>
        <w:t xml:space="preserve">The University of Newcastle Master of Teaching (Secondary) allows students to study in trimesters, fast-tracking what is usually a 2-year degree into 18 months. As such, the content is delivered over a compressed period, but is not otherwise different. </w:t>
      </w:r>
      <w:r w:rsidR="00D50C37">
        <w:rPr>
          <w:rFonts w:eastAsiaTheme="minorEastAsia"/>
          <w:color w:val="000000" w:themeColor="text1"/>
        </w:rPr>
        <w:t>P</w:t>
      </w:r>
      <w:r w:rsidR="00D50C37" w:rsidRPr="00D50C37">
        <w:rPr>
          <w:rFonts w:eastAsiaTheme="minorEastAsia"/>
          <w:color w:val="000000" w:themeColor="text1"/>
        </w:rPr>
        <w:t xml:space="preserve">ractical experience </w:t>
      </w:r>
      <w:r w:rsidRPr="008151AF">
        <w:rPr>
          <w:rFonts w:eastAsiaTheme="minorEastAsia"/>
          <w:color w:val="000000" w:themeColor="text1"/>
        </w:rPr>
        <w:t xml:space="preserve">requirements are built into the 18-month period. The course includes simulated learning environments </w:t>
      </w:r>
      <w:proofErr w:type="spellStart"/>
      <w:r w:rsidRPr="008151AF">
        <w:rPr>
          <w:rFonts w:eastAsiaTheme="minorEastAsia"/>
          <w:color w:val="000000" w:themeColor="text1"/>
        </w:rPr>
        <w:t>SimTeach</w:t>
      </w:r>
      <w:proofErr w:type="spellEnd"/>
      <w:r w:rsidRPr="008151AF">
        <w:rPr>
          <w:rFonts w:eastAsiaTheme="minorEastAsia"/>
          <w:color w:val="000000" w:themeColor="text1"/>
        </w:rPr>
        <w:t xml:space="preserve">, </w:t>
      </w:r>
      <w:proofErr w:type="spellStart"/>
      <w:r w:rsidRPr="008151AF">
        <w:rPr>
          <w:rFonts w:eastAsiaTheme="minorEastAsia"/>
          <w:color w:val="000000" w:themeColor="text1"/>
        </w:rPr>
        <w:t>SimSchool</w:t>
      </w:r>
      <w:proofErr w:type="spellEnd"/>
      <w:r w:rsidRPr="008151AF">
        <w:rPr>
          <w:rFonts w:eastAsiaTheme="minorEastAsia"/>
          <w:color w:val="000000" w:themeColor="text1"/>
        </w:rPr>
        <w:t xml:space="preserve"> and </w:t>
      </w:r>
      <w:proofErr w:type="spellStart"/>
      <w:r w:rsidRPr="008151AF">
        <w:rPr>
          <w:rFonts w:eastAsiaTheme="minorEastAsia"/>
          <w:color w:val="000000" w:themeColor="text1"/>
        </w:rPr>
        <w:t>SimCave</w:t>
      </w:r>
      <w:proofErr w:type="spellEnd"/>
      <w:r w:rsidRPr="008151AF">
        <w:rPr>
          <w:rFonts w:eastAsiaTheme="minorEastAsia"/>
          <w:color w:val="000000" w:themeColor="text1"/>
        </w:rPr>
        <w:t>, designed as safe, interactive spaces for students to practice before entering the classroom.</w:t>
      </w:r>
      <w:r w:rsidRPr="008151AF">
        <w:rPr>
          <w:rFonts w:eastAsiaTheme="minorEastAsia"/>
          <w:i/>
          <w:iCs/>
          <w:color w:val="000000" w:themeColor="text1"/>
        </w:rPr>
        <w:t>  </w:t>
      </w:r>
    </w:p>
    <w:p w14:paraId="59276BB6" w14:textId="64E6DF69" w:rsidR="00794ECC" w:rsidRPr="00592751" w:rsidRDefault="00A87FBD" w:rsidP="007272DB">
      <w:pPr>
        <w:pStyle w:val="Heading4"/>
        <w:spacing w:before="0" w:line="240" w:lineRule="auto"/>
        <w:rPr>
          <w:rFonts w:asciiTheme="minorHAnsi" w:eastAsia="Times New Roman" w:hAnsiTheme="minorHAnsi" w:cstheme="minorHAnsi"/>
          <w:b w:val="0"/>
          <w:color w:val="002C3E" w:themeColor="background2"/>
          <w:lang w:eastAsia="en-AU"/>
        </w:rPr>
      </w:pPr>
      <w:r>
        <w:rPr>
          <w:rFonts w:asciiTheme="minorHAnsi" w:eastAsia="Times New Roman" w:hAnsiTheme="minorHAnsi" w:cstheme="minorHAnsi"/>
          <w:color w:val="002C3E" w:themeColor="background2"/>
          <w:lang w:eastAsia="en-AU"/>
        </w:rPr>
        <w:t xml:space="preserve">4.3.2 </w:t>
      </w:r>
      <w:r w:rsidR="003B3DFA" w:rsidRPr="00592751">
        <w:rPr>
          <w:rFonts w:asciiTheme="minorHAnsi" w:eastAsia="Times New Roman" w:hAnsiTheme="minorHAnsi" w:cstheme="minorHAnsi"/>
          <w:color w:val="002C3E" w:themeColor="background2"/>
          <w:lang w:eastAsia="en-AU"/>
        </w:rPr>
        <w:t>P</w:t>
      </w:r>
      <w:r w:rsidR="00794ECC" w:rsidRPr="00592751">
        <w:rPr>
          <w:rFonts w:asciiTheme="minorHAnsi" w:eastAsia="Times New Roman" w:hAnsiTheme="minorHAnsi" w:cstheme="minorHAnsi"/>
          <w:color w:val="002C3E" w:themeColor="background2"/>
          <w:lang w:eastAsia="en-AU"/>
        </w:rPr>
        <w:t xml:space="preserve">aid employment during the </w:t>
      </w:r>
      <w:r w:rsidR="002970C3">
        <w:rPr>
          <w:rFonts w:asciiTheme="minorHAnsi" w:eastAsia="Times New Roman" w:hAnsiTheme="minorHAnsi" w:cstheme="minorHAnsi"/>
          <w:color w:val="002C3E" w:themeColor="background2"/>
          <w:lang w:eastAsia="en-AU"/>
        </w:rPr>
        <w:t>program</w:t>
      </w:r>
      <w:r w:rsidR="00794ECC" w:rsidRPr="00592751">
        <w:rPr>
          <w:rFonts w:asciiTheme="minorHAnsi" w:eastAsia="Times New Roman" w:hAnsiTheme="minorHAnsi" w:cstheme="minorHAnsi"/>
          <w:color w:val="002C3E" w:themeColor="background2"/>
          <w:lang w:eastAsia="en-AU"/>
        </w:rPr>
        <w:t> </w:t>
      </w:r>
    </w:p>
    <w:p w14:paraId="6F4022E0" w14:textId="1262B1A9" w:rsidR="00877698" w:rsidRDefault="00794ECC" w:rsidP="002269C9">
      <w:pPr>
        <w:spacing w:after="120" w:line="240" w:lineRule="auto"/>
        <w:textAlignment w:val="baseline"/>
        <w:rPr>
          <w:rFonts w:ascii="Calibri" w:eastAsia="Times New Roman" w:hAnsi="Calibri" w:cs="Calibri"/>
          <w:color w:val="000000" w:themeColor="text1"/>
          <w:lang w:eastAsia="en-AU"/>
        </w:rPr>
      </w:pPr>
      <w:r w:rsidRPr="008151AF">
        <w:rPr>
          <w:rFonts w:ascii="Calibri" w:eastAsia="Times New Roman" w:hAnsi="Calibri" w:cs="Calibri"/>
          <w:color w:val="000000" w:themeColor="text1"/>
          <w:lang w:eastAsia="en-AU"/>
        </w:rPr>
        <w:t xml:space="preserve">There are many examples in Australia of mid-career pathways that offer students the opportunity to undertake relevant paid employment while completing their ITE </w:t>
      </w:r>
      <w:r w:rsidR="00D269FA">
        <w:t>program</w:t>
      </w:r>
      <w:r w:rsidRPr="008151AF">
        <w:rPr>
          <w:rFonts w:ascii="Calibri" w:eastAsia="Times New Roman" w:hAnsi="Calibri" w:cs="Calibri"/>
          <w:color w:val="000000" w:themeColor="text1"/>
          <w:lang w:eastAsia="en-AU"/>
        </w:rPr>
        <w:t>, in order to address the loss of income</w:t>
      </w:r>
      <w:r w:rsidR="00097C99">
        <w:rPr>
          <w:rFonts w:ascii="Calibri" w:eastAsia="Times New Roman" w:hAnsi="Calibri" w:cs="Calibri"/>
          <w:color w:val="000000" w:themeColor="text1"/>
          <w:lang w:eastAsia="en-AU"/>
        </w:rPr>
        <w:t xml:space="preserve"> while studying</w:t>
      </w:r>
      <w:r w:rsidRPr="008151AF">
        <w:rPr>
          <w:rFonts w:ascii="Calibri" w:eastAsia="Times New Roman" w:hAnsi="Calibri" w:cs="Calibri"/>
          <w:color w:val="000000" w:themeColor="text1"/>
          <w:lang w:eastAsia="en-AU"/>
        </w:rPr>
        <w:t>. Such approaches can involve either working</w:t>
      </w:r>
      <w:r w:rsidR="007723DD">
        <w:rPr>
          <w:rFonts w:ascii="Calibri" w:eastAsia="Times New Roman" w:hAnsi="Calibri" w:cs="Calibri"/>
          <w:color w:val="000000" w:themeColor="text1"/>
          <w:lang w:eastAsia="en-AU"/>
        </w:rPr>
        <w:t xml:space="preserve"> </w:t>
      </w:r>
      <w:r w:rsidR="007723DD" w:rsidRPr="008151AF">
        <w:rPr>
          <w:rFonts w:ascii="Calibri" w:eastAsia="Times New Roman" w:hAnsi="Calibri" w:cs="Calibri"/>
          <w:color w:val="000000" w:themeColor="text1"/>
          <w:lang w:eastAsia="en-AU"/>
        </w:rPr>
        <w:t xml:space="preserve">as a teacher in a paid capacity towards the end of the ITE </w:t>
      </w:r>
      <w:r w:rsidR="00D269FA">
        <w:t>program</w:t>
      </w:r>
      <w:r w:rsidR="00D269FA">
        <w:rPr>
          <w:rFonts w:ascii="Calibri" w:eastAsia="Times New Roman" w:hAnsi="Calibri" w:cs="Calibri"/>
          <w:color w:val="000000" w:themeColor="text1"/>
          <w:lang w:eastAsia="en-AU"/>
        </w:rPr>
        <w:t xml:space="preserve"> </w:t>
      </w:r>
      <w:r w:rsidR="007723DD">
        <w:rPr>
          <w:rFonts w:ascii="Calibri" w:eastAsia="Times New Roman" w:hAnsi="Calibri" w:cs="Calibri"/>
          <w:color w:val="000000" w:themeColor="text1"/>
          <w:lang w:eastAsia="en-AU"/>
        </w:rPr>
        <w:t>or working</w:t>
      </w:r>
      <w:r w:rsidRPr="008151AF">
        <w:rPr>
          <w:rFonts w:ascii="Calibri" w:eastAsia="Times New Roman" w:hAnsi="Calibri" w:cs="Calibri"/>
          <w:color w:val="000000" w:themeColor="text1"/>
          <w:lang w:eastAsia="en-AU"/>
        </w:rPr>
        <w:t xml:space="preserve"> as a part-time paraprofessional throughout the ITE </w:t>
      </w:r>
      <w:r w:rsidR="00D269FA">
        <w:t>program</w:t>
      </w:r>
      <w:r w:rsidR="00EF128F">
        <w:rPr>
          <w:rFonts w:ascii="Calibri" w:eastAsia="Times New Roman" w:hAnsi="Calibri" w:cs="Calibri"/>
          <w:color w:val="000000" w:themeColor="text1"/>
          <w:lang w:eastAsia="en-AU"/>
        </w:rPr>
        <w:t>.</w:t>
      </w:r>
    </w:p>
    <w:p w14:paraId="70EF2DCA" w14:textId="3E546C3D" w:rsidR="00877698" w:rsidRDefault="003E0311" w:rsidP="27EC3925">
      <w:pPr>
        <w:spacing w:after="120" w:line="240" w:lineRule="auto"/>
        <w:textAlignment w:val="baseline"/>
        <w:rPr>
          <w:rFonts w:ascii="Calibri" w:eastAsia="Times New Roman" w:hAnsi="Calibri" w:cs="Calibri"/>
          <w:lang w:eastAsia="en-AU"/>
        </w:rPr>
      </w:pPr>
      <w:r>
        <w:rPr>
          <w:rFonts w:ascii="Calibri" w:eastAsia="Times New Roman" w:hAnsi="Calibri" w:cs="Calibri"/>
          <w:lang w:eastAsia="en-AU"/>
        </w:rPr>
        <w:lastRenderedPageBreak/>
        <w:t>T</w:t>
      </w:r>
      <w:r w:rsidR="00B600CB" w:rsidRPr="008151AF">
        <w:rPr>
          <w:rFonts w:ascii="Calibri" w:eastAsia="Times New Roman" w:hAnsi="Calibri" w:cs="Calibri"/>
          <w:lang w:eastAsia="en-AU"/>
        </w:rPr>
        <w:t xml:space="preserve">eacher pathways involve ITE students being paid to teach unsupervised during the period of study. Theoretical ITE content is generally front-loaded, with paid teaching occurring later in the </w:t>
      </w:r>
      <w:r w:rsidR="002970C3">
        <w:rPr>
          <w:rFonts w:ascii="Calibri" w:eastAsia="Times New Roman" w:hAnsi="Calibri" w:cs="Calibri"/>
          <w:lang w:eastAsia="en-AU"/>
        </w:rPr>
        <w:t>program</w:t>
      </w:r>
      <w:r w:rsidR="00B600CB" w:rsidRPr="008151AF">
        <w:rPr>
          <w:rFonts w:ascii="Calibri" w:eastAsia="Times New Roman" w:hAnsi="Calibri" w:cs="Calibri"/>
          <w:lang w:eastAsia="en-AU"/>
        </w:rPr>
        <w:t xml:space="preserve">. Students will typically be assigned less than a full teaching load, to allow for time to complete their studies / access supports such as coaching and mentoring. Teach for Australia’s </w:t>
      </w:r>
      <w:r w:rsidR="00194B9B">
        <w:rPr>
          <w:rFonts w:ascii="Calibri" w:eastAsia="Times New Roman" w:hAnsi="Calibri" w:cs="Calibri"/>
          <w:lang w:eastAsia="en-AU"/>
        </w:rPr>
        <w:t>(TFA)</w:t>
      </w:r>
      <w:r w:rsidR="00B600CB" w:rsidRPr="008151AF">
        <w:rPr>
          <w:rFonts w:ascii="Calibri" w:eastAsia="Times New Roman" w:hAnsi="Calibri" w:cs="Calibri"/>
          <w:lang w:eastAsia="en-AU"/>
        </w:rPr>
        <w:t xml:space="preserve"> Leadership Development Program is the longest running earn as you learn teacher pathway in Australia, but such programs also exist at a state level employing different regulatory approaches. Enabling students to earn money for teaching while studying addresses the loss of income barrier for part of the degree, while also contributing to teacher supply.</w:t>
      </w:r>
    </w:p>
    <w:p w14:paraId="23EC80A4" w14:textId="79E56774" w:rsidR="00664933" w:rsidRDefault="009D6825" w:rsidP="007272DB">
      <w:pPr>
        <w:spacing w:line="240" w:lineRule="auto"/>
        <w:rPr>
          <w:rFonts w:ascii="Calibri" w:eastAsia="Times New Roman" w:hAnsi="Calibri" w:cs="Calibri"/>
          <w:lang w:eastAsia="en-AU"/>
        </w:rPr>
      </w:pPr>
      <w:r w:rsidRPr="008151AF">
        <w:rPr>
          <w:rFonts w:ascii="Calibri" w:eastAsia="Times New Roman" w:hAnsi="Calibri" w:cs="Calibri"/>
          <w:lang w:eastAsia="en-AU"/>
        </w:rPr>
        <w:t xml:space="preserve">In </w:t>
      </w:r>
      <w:r w:rsidR="003B3DFA">
        <w:rPr>
          <w:rFonts w:ascii="Calibri" w:eastAsia="Times New Roman" w:hAnsi="Calibri" w:cs="Calibri"/>
          <w:lang w:eastAsia="en-AU"/>
        </w:rPr>
        <w:t>paraprofessional</w:t>
      </w:r>
      <w:r w:rsidRPr="008151AF">
        <w:rPr>
          <w:rFonts w:ascii="Calibri" w:eastAsia="Times New Roman" w:hAnsi="Calibri" w:cs="Calibri"/>
          <w:lang w:eastAsia="en-AU"/>
        </w:rPr>
        <w:t xml:space="preserve"> employment-based pathways, ITE students work part-time as a paraprofessional in a school while completing their </w:t>
      </w:r>
      <w:r w:rsidR="002970C3">
        <w:rPr>
          <w:rFonts w:ascii="Calibri" w:eastAsia="Times New Roman" w:hAnsi="Calibri" w:cs="Calibri"/>
          <w:lang w:eastAsia="en-AU"/>
        </w:rPr>
        <w:t>ITE program</w:t>
      </w:r>
      <w:r w:rsidRPr="008151AF">
        <w:rPr>
          <w:rFonts w:ascii="Calibri" w:eastAsia="Times New Roman" w:hAnsi="Calibri" w:cs="Calibri"/>
          <w:lang w:eastAsia="en-AU"/>
        </w:rPr>
        <w:t xml:space="preserve"> (e.g. teacher aide; education support officer). These pathways also enable career changers to earn money while studying, in a role that is relevant to the ITE qualification. However, employing students as paraprofessionals, rather than teachers, means they are not taking on the significant responsibility of teaching unsupervised before they finish their studies. Because of this, such employment can also start from an earlier point during the </w:t>
      </w:r>
      <w:r w:rsidR="002970C3">
        <w:rPr>
          <w:rFonts w:ascii="Calibri" w:eastAsia="Times New Roman" w:hAnsi="Calibri" w:cs="Calibri"/>
          <w:lang w:eastAsia="en-AU"/>
        </w:rPr>
        <w:t>program</w:t>
      </w:r>
      <w:r w:rsidRPr="008151AF">
        <w:rPr>
          <w:rFonts w:ascii="Calibri" w:eastAsia="Times New Roman" w:hAnsi="Calibri" w:cs="Calibri"/>
          <w:lang w:eastAsia="en-AU"/>
        </w:rPr>
        <w:t xml:space="preserve"> (i.e. there is less pressure to front-load theoretical content so that the student is prepared to teach unsupervised).</w:t>
      </w:r>
    </w:p>
    <w:p w14:paraId="28BCAFFE" w14:textId="5E456B5A" w:rsidR="00E34D1D" w:rsidRDefault="00E34D1D" w:rsidP="008C1D1A">
      <w:pPr>
        <w:shd w:val="clear" w:color="auto" w:fill="FEEBB9" w:themeFill="accent2" w:themeFillTint="66"/>
        <w:spacing w:after="0"/>
        <w:rPr>
          <w:rFonts w:ascii="Calibri" w:eastAsia="Times New Roman" w:hAnsi="Calibri" w:cs="Calibri"/>
          <w:lang w:eastAsia="en-AU"/>
        </w:rPr>
      </w:pPr>
      <w:r w:rsidRPr="008151AF">
        <w:rPr>
          <w:rFonts w:eastAsiaTheme="minorEastAsia"/>
          <w:b/>
          <w:bCs/>
          <w:color w:val="000000" w:themeColor="text1"/>
        </w:rPr>
        <w:t xml:space="preserve">Case Study: </w:t>
      </w:r>
      <w:r w:rsidR="0098796D" w:rsidRPr="0098796D">
        <w:rPr>
          <w:rFonts w:eastAsiaTheme="minorEastAsia"/>
          <w:b/>
          <w:bCs/>
          <w:color w:val="000000" w:themeColor="text1"/>
        </w:rPr>
        <w:t>Teach for Australia’s Leadership Development Program</w:t>
      </w:r>
      <w:r w:rsidRPr="008151AF">
        <w:rPr>
          <w:rFonts w:eastAsiaTheme="minorEastAsia"/>
          <w:b/>
          <w:bCs/>
          <w:i/>
          <w:iCs/>
          <w:color w:val="000000" w:themeColor="text1"/>
        </w:rPr>
        <w:br/>
      </w:r>
      <w:r w:rsidR="00194B9B">
        <w:rPr>
          <w:rFonts w:ascii="Calibri" w:eastAsia="Times New Roman" w:hAnsi="Calibri" w:cs="Calibri"/>
          <w:lang w:eastAsia="en-AU"/>
        </w:rPr>
        <w:t>TFA’s</w:t>
      </w:r>
      <w:r w:rsidR="008C1D1A" w:rsidRPr="008C1D1A">
        <w:rPr>
          <w:rFonts w:ascii="Calibri" w:eastAsia="Times New Roman" w:hAnsi="Calibri" w:cs="Calibri"/>
          <w:lang w:eastAsia="en-AU"/>
        </w:rPr>
        <w:t xml:space="preserve"> Leadership Development Program is Australia’s longest-running employment-based pathway to teaching. This two-year program is open to mid-career entrants, though many TFA Associates undertake the program immediately following conclusion of an undergraduate degree. TFA Associates complete a six-week residential program, then commence a paid teaching placement with a 0.8 load in a low SES school. Associates graduate with a Master of Teaching. Given the intensity of the work / study load, Associates are heavily supported, including through coaching and mentoring.</w:t>
      </w:r>
    </w:p>
    <w:p w14:paraId="09AE0324" w14:textId="77DC21CF" w:rsidR="00E34D1D" w:rsidRDefault="00E34D1D" w:rsidP="007272DB">
      <w:pPr>
        <w:spacing w:line="240" w:lineRule="auto"/>
        <w:rPr>
          <w:rFonts w:ascii="Calibri" w:eastAsia="Times New Roman" w:hAnsi="Calibri" w:cs="Calibri"/>
          <w:lang w:eastAsia="en-AU"/>
        </w:rPr>
      </w:pPr>
    </w:p>
    <w:p w14:paraId="50AD8675" w14:textId="690C6FA4" w:rsidR="00B707E9" w:rsidRPr="009933AA" w:rsidRDefault="00A87FBD" w:rsidP="007272DB">
      <w:pPr>
        <w:pStyle w:val="Heading4"/>
        <w:spacing w:before="0" w:line="240" w:lineRule="auto"/>
        <w:rPr>
          <w:rFonts w:asciiTheme="minorHAnsi" w:eastAsia="Times New Roman" w:hAnsiTheme="minorHAnsi" w:cstheme="minorHAnsi"/>
          <w:b w:val="0"/>
          <w:color w:val="002C3E" w:themeColor="background2"/>
          <w:lang w:eastAsia="en-AU"/>
        </w:rPr>
      </w:pPr>
      <w:r>
        <w:rPr>
          <w:rFonts w:asciiTheme="minorHAnsi" w:eastAsia="Times New Roman" w:hAnsiTheme="minorHAnsi" w:cstheme="minorHAnsi"/>
          <w:color w:val="002C3E" w:themeColor="background2"/>
          <w:lang w:eastAsia="en-AU"/>
        </w:rPr>
        <w:t xml:space="preserve">4.3.3 </w:t>
      </w:r>
      <w:r w:rsidR="00B707E9" w:rsidRPr="009933AA">
        <w:rPr>
          <w:rFonts w:asciiTheme="minorHAnsi" w:eastAsia="Times New Roman" w:hAnsiTheme="minorHAnsi" w:cstheme="minorHAnsi"/>
          <w:color w:val="002C3E" w:themeColor="background2"/>
          <w:lang w:eastAsia="en-AU"/>
        </w:rPr>
        <w:t>Flexibility </w:t>
      </w:r>
    </w:p>
    <w:p w14:paraId="77F97C0A" w14:textId="4AF91A87" w:rsidR="2D36B4AD" w:rsidRPr="00C457A8" w:rsidRDefault="00B707E9" w:rsidP="007272DB">
      <w:pPr>
        <w:spacing w:line="240" w:lineRule="auto"/>
        <w:textAlignment w:val="baseline"/>
        <w:rPr>
          <w:rFonts w:ascii="Calibri" w:eastAsia="Times New Roman" w:hAnsi="Calibri" w:cs="Calibri"/>
          <w:color w:val="000000"/>
          <w:lang w:eastAsia="en-AU"/>
        </w:rPr>
      </w:pPr>
      <w:r w:rsidRPr="008151AF">
        <w:rPr>
          <w:rFonts w:ascii="Calibri" w:eastAsia="Times New Roman" w:hAnsi="Calibri" w:cs="Calibri"/>
          <w:color w:val="000000" w:themeColor="text1"/>
          <w:lang w:eastAsia="en-AU"/>
        </w:rPr>
        <w:t xml:space="preserve">While many providers offer accelerated </w:t>
      </w:r>
      <w:r w:rsidR="002970C3">
        <w:rPr>
          <w:rFonts w:ascii="Calibri" w:eastAsia="Times New Roman" w:hAnsi="Calibri" w:cs="Calibri"/>
          <w:color w:val="000000" w:themeColor="text1"/>
          <w:lang w:eastAsia="en-AU"/>
        </w:rPr>
        <w:t>programs</w:t>
      </w:r>
      <w:r w:rsidRPr="008151AF">
        <w:rPr>
          <w:rFonts w:ascii="Calibri" w:eastAsia="Times New Roman" w:hAnsi="Calibri" w:cs="Calibri"/>
          <w:color w:val="000000" w:themeColor="text1"/>
          <w:lang w:eastAsia="en-AU"/>
        </w:rPr>
        <w:t xml:space="preserve">, the intensity of such </w:t>
      </w:r>
      <w:r w:rsidR="002970C3">
        <w:rPr>
          <w:rFonts w:ascii="Calibri" w:eastAsia="Times New Roman" w:hAnsi="Calibri" w:cs="Calibri"/>
          <w:color w:val="000000" w:themeColor="text1"/>
          <w:lang w:eastAsia="en-AU"/>
        </w:rPr>
        <w:t>programs</w:t>
      </w:r>
      <w:r w:rsidRPr="008151AF">
        <w:rPr>
          <w:rFonts w:ascii="Calibri" w:eastAsia="Times New Roman" w:hAnsi="Calibri" w:cs="Calibri"/>
          <w:color w:val="000000" w:themeColor="text1"/>
          <w:lang w:eastAsia="en-AU"/>
        </w:rPr>
        <w:t xml:space="preserve"> mean they will not be suitable for all types of mid-career cohorts. Many students </w:t>
      </w:r>
      <w:r w:rsidR="00300713">
        <w:rPr>
          <w:rFonts w:ascii="Calibri" w:eastAsia="Times New Roman" w:hAnsi="Calibri" w:cs="Calibri"/>
          <w:color w:val="000000" w:themeColor="text1"/>
          <w:lang w:eastAsia="en-AU"/>
        </w:rPr>
        <w:t>(</w:t>
      </w:r>
      <w:r w:rsidRPr="008151AF">
        <w:rPr>
          <w:rFonts w:ascii="Calibri" w:eastAsia="Times New Roman" w:hAnsi="Calibri" w:cs="Calibri"/>
          <w:color w:val="000000" w:themeColor="text1"/>
          <w:lang w:eastAsia="en-AU"/>
        </w:rPr>
        <w:t>e.g. those with caring responsibilities</w:t>
      </w:r>
      <w:r w:rsidR="00C31E79">
        <w:rPr>
          <w:rFonts w:ascii="Calibri" w:eastAsia="Times New Roman" w:hAnsi="Calibri" w:cs="Calibri"/>
          <w:color w:val="000000" w:themeColor="text1"/>
          <w:lang w:eastAsia="en-AU"/>
        </w:rPr>
        <w:t>,</w:t>
      </w:r>
      <w:r w:rsidRPr="008151AF">
        <w:rPr>
          <w:rFonts w:ascii="Calibri" w:eastAsia="Times New Roman" w:hAnsi="Calibri" w:cs="Calibri"/>
          <w:color w:val="000000" w:themeColor="text1"/>
          <w:lang w:eastAsia="en-AU"/>
        </w:rPr>
        <w:t xml:space="preserve"> those seeking to upskill over time while remaining in existing paraprofessional jobs</w:t>
      </w:r>
      <w:r w:rsidR="00300713">
        <w:rPr>
          <w:rFonts w:ascii="Calibri" w:eastAsia="Times New Roman" w:hAnsi="Calibri" w:cs="Calibri"/>
          <w:color w:val="000000" w:themeColor="text1"/>
          <w:lang w:eastAsia="en-AU"/>
        </w:rPr>
        <w:t>)</w:t>
      </w:r>
      <w:r w:rsidRPr="008151AF">
        <w:rPr>
          <w:rFonts w:ascii="Calibri" w:eastAsia="Times New Roman" w:hAnsi="Calibri" w:cs="Calibri"/>
          <w:color w:val="000000" w:themeColor="text1"/>
          <w:lang w:eastAsia="en-AU"/>
        </w:rPr>
        <w:t xml:space="preserve"> may require a more flexible part-time model. Providers use different approaches to maximise flexibility in their existing programs by offering part-time study options; allowing students to study online or blend online and in-person learning; providing opportunities to finish the </w:t>
      </w:r>
      <w:r w:rsidR="002970C3">
        <w:rPr>
          <w:rFonts w:ascii="Calibri" w:eastAsia="Times New Roman" w:hAnsi="Calibri" w:cs="Calibri"/>
          <w:color w:val="000000" w:themeColor="text1"/>
          <w:lang w:eastAsia="en-AU"/>
        </w:rPr>
        <w:t>program</w:t>
      </w:r>
      <w:r w:rsidRPr="008151AF">
        <w:rPr>
          <w:rFonts w:ascii="Calibri" w:eastAsia="Times New Roman" w:hAnsi="Calibri" w:cs="Calibri"/>
          <w:color w:val="000000" w:themeColor="text1"/>
          <w:lang w:eastAsia="en-AU"/>
        </w:rPr>
        <w:t xml:space="preserve"> over a longer period of time; and ensuring students have access to institutional supports (e.g. support to develop digital literacy skills).   </w:t>
      </w:r>
    </w:p>
    <w:p w14:paraId="48FF4EE7" w14:textId="09BD2F36" w:rsidR="00B707E9" w:rsidRPr="006B2082" w:rsidRDefault="00A87FBD" w:rsidP="007272DB">
      <w:pPr>
        <w:pStyle w:val="Heading4"/>
        <w:spacing w:before="0" w:line="240" w:lineRule="auto"/>
        <w:rPr>
          <w:rFonts w:asciiTheme="minorHAnsi" w:eastAsia="Times New Roman" w:hAnsiTheme="minorHAnsi" w:cstheme="minorHAnsi"/>
          <w:color w:val="002C3E" w:themeColor="background2"/>
          <w:lang w:eastAsia="en-AU"/>
        </w:rPr>
      </w:pPr>
      <w:r>
        <w:rPr>
          <w:rFonts w:asciiTheme="minorHAnsi" w:eastAsia="Times New Roman" w:hAnsiTheme="minorHAnsi" w:cstheme="minorHAnsi"/>
          <w:color w:val="002C3E" w:themeColor="background2"/>
          <w:lang w:eastAsia="en-AU"/>
        </w:rPr>
        <w:t xml:space="preserve">4.3.4 </w:t>
      </w:r>
      <w:r w:rsidR="00B707E9" w:rsidRPr="0028145D">
        <w:rPr>
          <w:rFonts w:asciiTheme="minorHAnsi" w:eastAsia="Times New Roman" w:hAnsiTheme="minorHAnsi" w:cstheme="minorHAnsi"/>
          <w:color w:val="002C3E" w:themeColor="background2"/>
          <w:lang w:eastAsia="en-AU"/>
        </w:rPr>
        <w:t>Provision of financial incen</w:t>
      </w:r>
      <w:r w:rsidR="00B707E9" w:rsidRPr="006B2082">
        <w:rPr>
          <w:rFonts w:asciiTheme="minorHAnsi" w:eastAsia="Times New Roman" w:hAnsiTheme="minorHAnsi" w:cstheme="minorHAnsi"/>
          <w:color w:val="002C3E" w:themeColor="background2"/>
          <w:lang w:eastAsia="en-AU"/>
        </w:rPr>
        <w:t>tives </w:t>
      </w:r>
    </w:p>
    <w:p w14:paraId="730D7C5E" w14:textId="621D9D0B" w:rsidR="00B707E9" w:rsidRPr="007272DB" w:rsidRDefault="004C42B9" w:rsidP="007272DB">
      <w:pPr>
        <w:spacing w:line="240" w:lineRule="auto"/>
        <w:textAlignment w:val="baseline"/>
        <w:rPr>
          <w:rFonts w:ascii="Calibri" w:eastAsia="Times New Roman" w:hAnsi="Calibri" w:cs="Calibri"/>
          <w:lang w:eastAsia="en-AU"/>
        </w:rPr>
      </w:pPr>
      <w:r w:rsidRPr="0028145D">
        <w:rPr>
          <w:rFonts w:eastAsia="Times New Roman" w:cstheme="minorHAnsi"/>
          <w:lang w:eastAsia="en-AU"/>
        </w:rPr>
        <w:t xml:space="preserve">Direct financial incentives can also lower the cost </w:t>
      </w:r>
      <w:r w:rsidRPr="008151AF">
        <w:rPr>
          <w:rFonts w:ascii="Calibri" w:eastAsia="Times New Roman" w:hAnsi="Calibri" w:cs="Calibri"/>
          <w:lang w:eastAsia="en-AU"/>
        </w:rPr>
        <w:t>of transitioning to teaching</w:t>
      </w:r>
      <w:r w:rsidRPr="27E752EC">
        <w:rPr>
          <w:rFonts w:ascii="Calibri" w:eastAsia="Calibri" w:hAnsi="Calibri" w:cs="Calibri"/>
          <w:color w:val="000000" w:themeColor="text1"/>
        </w:rPr>
        <w:t xml:space="preserve"> (BETA 2022)</w:t>
      </w:r>
      <w:r w:rsidRPr="27E752EC">
        <w:rPr>
          <w:rFonts w:ascii="Calibri" w:eastAsia="Times New Roman" w:hAnsi="Calibri" w:cs="Calibri"/>
          <w:lang w:eastAsia="en-AU"/>
        </w:rPr>
        <w:t>.</w:t>
      </w:r>
      <w:r w:rsidRPr="008151AF">
        <w:rPr>
          <w:rFonts w:ascii="Calibri" w:eastAsia="Times New Roman" w:hAnsi="Calibri" w:cs="Calibri"/>
          <w:lang w:eastAsia="en-AU"/>
        </w:rPr>
        <w:t xml:space="preserve"> State government-supported pathways often include incentives such as scholarships, training allowances, subsidised course fees and completion bonuses. While financial incentives are designed to reduce the cost of switching, they will not fully offset that cost for most career changers. For this reason, it is important that they are coupled with other approaches (e.g. appealing to intrinsic motivations). </w:t>
      </w:r>
    </w:p>
    <w:p w14:paraId="318B0EAF" w14:textId="77777777" w:rsidR="0023696D" w:rsidRDefault="0023696D">
      <w:pPr>
        <w:spacing w:after="160"/>
        <w:rPr>
          <w:rFonts w:eastAsiaTheme="minorEastAsia"/>
          <w:b/>
          <w:bCs/>
          <w:color w:val="000000" w:themeColor="text1"/>
        </w:rPr>
      </w:pPr>
      <w:r>
        <w:rPr>
          <w:rFonts w:eastAsiaTheme="minorEastAsia"/>
          <w:b/>
          <w:bCs/>
          <w:color w:val="000000" w:themeColor="text1"/>
        </w:rPr>
        <w:br w:type="page"/>
      </w:r>
    </w:p>
    <w:p w14:paraId="7EBDE8AD" w14:textId="54288534" w:rsidR="00BE3AE8" w:rsidRPr="00BB6882" w:rsidRDefault="000C38ED" w:rsidP="007272DB">
      <w:pPr>
        <w:shd w:val="clear" w:color="auto" w:fill="FEEBB9" w:themeFill="accent2" w:themeFillTint="66"/>
        <w:spacing w:line="240" w:lineRule="auto"/>
        <w:rPr>
          <w:rFonts w:eastAsiaTheme="minorEastAsia"/>
          <w:color w:val="000000" w:themeColor="text1"/>
          <w:lang w:val="en-US"/>
        </w:rPr>
      </w:pPr>
      <w:r w:rsidRPr="008151AF">
        <w:rPr>
          <w:rFonts w:eastAsiaTheme="minorEastAsia"/>
          <w:b/>
          <w:bCs/>
          <w:color w:val="000000" w:themeColor="text1"/>
        </w:rPr>
        <w:lastRenderedPageBreak/>
        <w:t>Case study: Queensland, Turn to Teaching</w:t>
      </w:r>
      <w:r w:rsidRPr="00E80E0D">
        <w:rPr>
          <w:rFonts w:eastAsiaTheme="minorEastAsia"/>
          <w:b/>
          <w:bCs/>
          <w:color w:val="000000" w:themeColor="text1"/>
        </w:rPr>
        <w:t> </w:t>
      </w:r>
      <w:r>
        <w:br/>
      </w:r>
      <w:r w:rsidRPr="00E80E0D">
        <w:rPr>
          <w:rFonts w:eastAsiaTheme="minorEastAsia"/>
          <w:color w:val="000000" w:themeColor="text1"/>
        </w:rPr>
        <w:t>The Queensland Government-funded Turn to Teaching program targets cohorts in high-demand subjects and locations. It provides students with a $20,000 scholarship during the first year, as well as benefits for relocation / working in rural and remote locations. During the second year, students gain Permission to Teach and teach a 50 per cent load in a government school. Students have access to a supervising teacher, mentor and community of practice to share their experiences. Following the program, students receive an offer of permanent employment as a teacher in a priority subject area or region.  </w:t>
      </w:r>
    </w:p>
    <w:p w14:paraId="676915FC" w14:textId="35518DFB" w:rsidR="00B707E9" w:rsidRPr="0028145D" w:rsidRDefault="00A87FBD" w:rsidP="007272DB">
      <w:pPr>
        <w:pStyle w:val="Heading4"/>
        <w:spacing w:before="0" w:line="240" w:lineRule="auto"/>
        <w:rPr>
          <w:rFonts w:asciiTheme="minorHAnsi" w:eastAsia="Times New Roman" w:hAnsiTheme="minorHAnsi" w:cstheme="minorHAnsi"/>
          <w:b w:val="0"/>
          <w:color w:val="000000" w:themeColor="text1"/>
          <w:lang w:eastAsia="en-AU"/>
        </w:rPr>
      </w:pPr>
      <w:r>
        <w:rPr>
          <w:rFonts w:asciiTheme="minorHAnsi" w:eastAsia="Times New Roman" w:hAnsiTheme="minorHAnsi" w:cstheme="minorHAnsi"/>
          <w:color w:val="002C3E" w:themeColor="background2"/>
          <w:lang w:eastAsia="en-AU"/>
        </w:rPr>
        <w:t xml:space="preserve">4.3.5 </w:t>
      </w:r>
      <w:r w:rsidR="00B707E9" w:rsidRPr="0028145D">
        <w:rPr>
          <w:rFonts w:asciiTheme="minorHAnsi" w:eastAsia="Times New Roman" w:hAnsiTheme="minorHAnsi" w:cstheme="minorHAnsi"/>
          <w:color w:val="002C3E" w:themeColor="background2"/>
          <w:lang w:eastAsia="en-AU"/>
        </w:rPr>
        <w:t>Guarantees of employment </w:t>
      </w:r>
    </w:p>
    <w:p w14:paraId="75867751" w14:textId="77988BE8" w:rsidR="00B707E9" w:rsidRPr="00C457A8" w:rsidRDefault="00B707E9" w:rsidP="00D15336">
      <w:pPr>
        <w:spacing w:after="120" w:line="240" w:lineRule="auto"/>
        <w:textAlignment w:val="baseline"/>
        <w:rPr>
          <w:rFonts w:ascii="Calibri" w:eastAsia="Times New Roman" w:hAnsi="Calibri" w:cs="Calibri"/>
          <w:lang w:eastAsia="en-AU"/>
        </w:rPr>
      </w:pPr>
      <w:r w:rsidRPr="008151AF">
        <w:rPr>
          <w:rFonts w:ascii="Calibri" w:eastAsia="Times New Roman" w:hAnsi="Calibri" w:cs="Calibri"/>
          <w:lang w:eastAsia="en-AU"/>
        </w:rPr>
        <w:t>Some state governments guarantee employment in government schools following completion of programs. Most often, this is a general guarantee of employment somewhere in the state; in other programs, a particular region might be specified. Offers of employment can provide increased certainty / lower the risk associated with a career transition for mid-career changers.  </w:t>
      </w:r>
    </w:p>
    <w:p w14:paraId="429C59AF" w14:textId="7F7543D9" w:rsidR="00B707E9" w:rsidRPr="0028145D" w:rsidRDefault="00A87FBD" w:rsidP="007272DB">
      <w:pPr>
        <w:pStyle w:val="Heading4"/>
        <w:spacing w:before="0" w:line="240" w:lineRule="auto"/>
        <w:rPr>
          <w:rFonts w:asciiTheme="minorHAnsi" w:eastAsia="Times New Roman" w:hAnsiTheme="minorHAnsi" w:cstheme="minorHAnsi"/>
          <w:b w:val="0"/>
          <w:color w:val="000000" w:themeColor="text1"/>
          <w:lang w:eastAsia="en-AU"/>
        </w:rPr>
      </w:pPr>
      <w:r>
        <w:rPr>
          <w:rFonts w:asciiTheme="minorHAnsi" w:eastAsia="Times New Roman" w:hAnsiTheme="minorHAnsi" w:cstheme="minorHAnsi"/>
          <w:color w:val="002C3E" w:themeColor="background2"/>
          <w:lang w:eastAsia="en-AU"/>
        </w:rPr>
        <w:t xml:space="preserve">4.3.6 </w:t>
      </w:r>
      <w:r w:rsidR="00B707E9" w:rsidRPr="0028145D">
        <w:rPr>
          <w:rFonts w:asciiTheme="minorHAnsi" w:eastAsia="Times New Roman" w:hAnsiTheme="minorHAnsi" w:cstheme="minorHAnsi"/>
          <w:color w:val="002C3E" w:themeColor="background2"/>
          <w:lang w:eastAsia="en-AU"/>
        </w:rPr>
        <w:t>Additional coaching / mentoring support </w:t>
      </w:r>
    </w:p>
    <w:p w14:paraId="6C5B7BF6" w14:textId="77777777" w:rsidR="00B707E9" w:rsidRPr="0028145D" w:rsidRDefault="00B707E9" w:rsidP="00D15336">
      <w:pPr>
        <w:spacing w:after="120" w:line="240" w:lineRule="auto"/>
        <w:textAlignment w:val="baseline"/>
        <w:rPr>
          <w:rFonts w:eastAsia="Times New Roman" w:cstheme="minorHAnsi"/>
          <w:sz w:val="20"/>
          <w:szCs w:val="20"/>
          <w:lang w:eastAsia="en-AU"/>
        </w:rPr>
      </w:pPr>
      <w:r w:rsidRPr="008151AF">
        <w:rPr>
          <w:rFonts w:ascii="Calibri" w:eastAsia="Times New Roman" w:hAnsi="Calibri" w:cs="Calibri"/>
          <w:lang w:eastAsia="en-AU"/>
        </w:rPr>
        <w:t>Providing additional coaching and mentoring support is also a key characteristic to attract – and as importantly, to retain – mid-career cohorts into ITE and teaching. Many bespoke programs offer students additional coaching and mentoring support</w:t>
      </w:r>
      <w:r w:rsidR="5BBE4085" w:rsidRPr="008151AF">
        <w:rPr>
          <w:rFonts w:ascii="Calibri" w:eastAsia="Times New Roman" w:hAnsi="Calibri" w:cs="Calibri"/>
          <w:lang w:eastAsia="en-AU"/>
        </w:rPr>
        <w:t xml:space="preserve"> </w:t>
      </w:r>
      <w:r w:rsidRPr="008151AF">
        <w:rPr>
          <w:rFonts w:ascii="Calibri" w:eastAsia="Times New Roman" w:hAnsi="Calibri" w:cs="Calibri"/>
          <w:lang w:eastAsia="en-AU"/>
        </w:rPr>
        <w:t>and build the time for the student to undertake these activities into the design of the pathway.  </w:t>
      </w:r>
    </w:p>
    <w:p w14:paraId="7E779E07" w14:textId="15CA7480" w:rsidR="00B707E9" w:rsidRPr="005F5B97" w:rsidRDefault="00863555" w:rsidP="007272DB">
      <w:pPr>
        <w:pStyle w:val="Heading3"/>
        <w:spacing w:before="0" w:after="240" w:line="240" w:lineRule="auto"/>
        <w:rPr>
          <w:rFonts w:eastAsia="Times New Roman"/>
          <w:lang w:eastAsia="en-AU"/>
        </w:rPr>
      </w:pPr>
      <w:bookmarkStart w:id="118" w:name="_Toc127978397"/>
      <w:bookmarkStart w:id="119" w:name="_Toc128649105"/>
      <w:bookmarkStart w:id="120" w:name="_Toc130217461"/>
      <w:r>
        <w:rPr>
          <w:rFonts w:eastAsia="Times New Roman"/>
          <w:lang w:eastAsia="en-AU"/>
        </w:rPr>
        <w:t xml:space="preserve">4.4 </w:t>
      </w:r>
      <w:r w:rsidR="00B707E9" w:rsidRPr="005F5B97">
        <w:rPr>
          <w:rFonts w:eastAsia="Times New Roman"/>
          <w:lang w:eastAsia="en-AU"/>
        </w:rPr>
        <w:t>Barriers to delivering mid-career pathways</w:t>
      </w:r>
      <w:bookmarkEnd w:id="118"/>
      <w:bookmarkEnd w:id="119"/>
      <w:bookmarkEnd w:id="120"/>
      <w:r w:rsidR="00B707E9" w:rsidRPr="00A54CDC">
        <w:rPr>
          <w:rFonts w:eastAsia="Times New Roman"/>
          <w:lang w:eastAsia="en-AU"/>
        </w:rPr>
        <w:t> </w:t>
      </w:r>
    </w:p>
    <w:p w14:paraId="3B79FC07" w14:textId="7AE9A0F0" w:rsidR="00F9075A" w:rsidRDefault="00300871" w:rsidP="00720B51">
      <w:pPr>
        <w:spacing w:after="120" w:line="240" w:lineRule="auto"/>
        <w:textAlignment w:val="baseline"/>
        <w:rPr>
          <w:rFonts w:ascii="Calibri" w:eastAsia="Times New Roman" w:hAnsi="Calibri" w:cs="Calibri"/>
          <w:color w:val="000000" w:themeColor="text1"/>
          <w:lang w:val="en-GB" w:eastAsia="en-AU"/>
        </w:rPr>
      </w:pPr>
      <w:r>
        <w:rPr>
          <w:rFonts w:ascii="Calibri" w:eastAsia="Times New Roman" w:hAnsi="Calibri" w:cs="Calibri"/>
          <w:color w:val="000000" w:themeColor="text1"/>
          <w:lang w:val="en-GB" w:eastAsia="en-AU"/>
        </w:rPr>
        <w:t xml:space="preserve">Governments and </w:t>
      </w:r>
      <w:r w:rsidR="008A6F2A">
        <w:rPr>
          <w:rFonts w:ascii="Calibri" w:eastAsia="Times New Roman" w:hAnsi="Calibri" w:cs="Calibri"/>
          <w:color w:val="000000" w:themeColor="text1"/>
          <w:lang w:val="en-GB" w:eastAsia="en-AU"/>
        </w:rPr>
        <w:t>higher education</w:t>
      </w:r>
      <w:r w:rsidR="00F9075A" w:rsidRPr="4251B9E0">
        <w:rPr>
          <w:rFonts w:ascii="Calibri" w:eastAsia="Times New Roman" w:hAnsi="Calibri" w:cs="Calibri"/>
          <w:color w:val="000000" w:themeColor="text1"/>
          <w:lang w:val="en-GB" w:eastAsia="en-AU"/>
        </w:rPr>
        <w:t xml:space="preserve"> providers face barriers </w:t>
      </w:r>
      <w:r w:rsidR="00F9075A">
        <w:rPr>
          <w:rFonts w:ascii="Calibri" w:eastAsia="Times New Roman" w:hAnsi="Calibri" w:cs="Calibri"/>
          <w:color w:val="000000" w:themeColor="text1"/>
          <w:lang w:val="en-GB" w:eastAsia="en-AU"/>
        </w:rPr>
        <w:t>to</w:t>
      </w:r>
      <w:r w:rsidR="00F9075A" w:rsidRPr="4251B9E0">
        <w:rPr>
          <w:rFonts w:ascii="Calibri" w:eastAsia="Times New Roman" w:hAnsi="Calibri" w:cs="Calibri"/>
          <w:color w:val="000000" w:themeColor="text1"/>
          <w:lang w:val="en-GB" w:eastAsia="en-AU"/>
        </w:rPr>
        <w:t xml:space="preserve"> </w:t>
      </w:r>
      <w:r w:rsidR="00F9075A">
        <w:rPr>
          <w:rFonts w:ascii="Calibri" w:eastAsia="Times New Roman" w:hAnsi="Calibri" w:cs="Calibri"/>
          <w:color w:val="000000" w:themeColor="text1"/>
          <w:lang w:val="en-GB" w:eastAsia="en-AU"/>
        </w:rPr>
        <w:t>developing and delivering</w:t>
      </w:r>
      <w:r w:rsidR="00F9075A" w:rsidRPr="4251B9E0">
        <w:rPr>
          <w:rFonts w:ascii="Calibri" w:eastAsia="Times New Roman" w:hAnsi="Calibri" w:cs="Calibri"/>
          <w:color w:val="000000" w:themeColor="text1"/>
          <w:lang w:val="en-GB" w:eastAsia="en-AU"/>
        </w:rPr>
        <w:t xml:space="preserve"> bespoke mid-career pathways</w:t>
      </w:r>
      <w:r w:rsidR="00F9075A">
        <w:rPr>
          <w:rFonts w:ascii="Calibri" w:eastAsia="Times New Roman" w:hAnsi="Calibri" w:cs="Calibri"/>
          <w:color w:val="000000" w:themeColor="text1"/>
          <w:lang w:val="en-GB" w:eastAsia="en-AU"/>
        </w:rPr>
        <w:t xml:space="preserve">. </w:t>
      </w:r>
    </w:p>
    <w:p w14:paraId="60C472FD" w14:textId="46C271F1" w:rsidR="005F7954" w:rsidRPr="0028145D" w:rsidRDefault="00A87FBD" w:rsidP="007272DB">
      <w:pPr>
        <w:pStyle w:val="Heading4"/>
        <w:spacing w:before="0" w:line="240" w:lineRule="auto"/>
        <w:rPr>
          <w:rFonts w:asciiTheme="minorHAnsi" w:eastAsia="Times New Roman" w:hAnsiTheme="minorHAnsi" w:cstheme="minorHAnsi"/>
          <w:color w:val="002C3E" w:themeColor="background2"/>
          <w:lang w:val="en-GB" w:eastAsia="en-AU"/>
        </w:rPr>
      </w:pPr>
      <w:r>
        <w:rPr>
          <w:rFonts w:asciiTheme="minorHAnsi" w:eastAsia="Times New Roman" w:hAnsiTheme="minorHAnsi" w:cstheme="minorHAnsi"/>
          <w:color w:val="002C3E" w:themeColor="background2"/>
          <w:lang w:val="en-GB" w:eastAsia="en-AU"/>
        </w:rPr>
        <w:t xml:space="preserve">4.4.1 </w:t>
      </w:r>
      <w:r w:rsidR="00F9075A" w:rsidRPr="0028145D">
        <w:rPr>
          <w:rFonts w:asciiTheme="minorHAnsi" w:eastAsia="Times New Roman" w:hAnsiTheme="minorHAnsi" w:cstheme="minorHAnsi"/>
          <w:color w:val="002C3E" w:themeColor="background2"/>
          <w:lang w:val="en-GB" w:eastAsia="en-AU"/>
        </w:rPr>
        <w:t xml:space="preserve">Mid-career pathways can be challenging to design </w:t>
      </w:r>
    </w:p>
    <w:p w14:paraId="42AF2756" w14:textId="3834FA5E" w:rsidR="00F9075A" w:rsidRDefault="00F9075A" w:rsidP="00720B51">
      <w:pPr>
        <w:spacing w:after="120" w:line="240" w:lineRule="auto"/>
        <w:textAlignment w:val="baseline"/>
        <w:rPr>
          <w:rFonts w:ascii="Calibri" w:eastAsia="Times New Roman" w:hAnsi="Calibri" w:cs="Calibri"/>
          <w:color w:val="000000" w:themeColor="text1"/>
          <w:lang w:val="en-GB" w:eastAsia="en-AU"/>
        </w:rPr>
      </w:pPr>
      <w:r w:rsidRPr="00D44DF9">
        <w:rPr>
          <w:rFonts w:ascii="Calibri" w:eastAsia="Times New Roman" w:hAnsi="Calibri" w:cs="Calibri"/>
          <w:color w:val="000000" w:themeColor="text1"/>
          <w:lang w:val="en-GB" w:eastAsia="en-AU"/>
        </w:rPr>
        <w:t>As mid-career pathways are still in their infancy in Australia, many approaches are still being piloted. There is a lack of evidence for providers and governments to identify ‘best practice’ design</w:t>
      </w:r>
      <w:r>
        <w:rPr>
          <w:rFonts w:ascii="Calibri" w:eastAsia="Times New Roman" w:hAnsi="Calibri" w:cs="Calibri"/>
          <w:color w:val="000000" w:themeColor="text1"/>
          <w:lang w:val="en-GB" w:eastAsia="en-AU"/>
        </w:rPr>
        <w:t xml:space="preserve"> and </w:t>
      </w:r>
      <w:r w:rsidRPr="00D44DF9">
        <w:rPr>
          <w:rFonts w:ascii="Calibri" w:eastAsia="Times New Roman" w:hAnsi="Calibri" w:cs="Calibri"/>
          <w:color w:val="000000" w:themeColor="text1"/>
          <w:lang w:val="en-GB" w:eastAsia="en-AU"/>
        </w:rPr>
        <w:t>recognise key components which make a program effective.</w:t>
      </w:r>
      <w:r>
        <w:rPr>
          <w:rFonts w:ascii="Calibri" w:eastAsia="Times New Roman" w:hAnsi="Calibri" w:cs="Calibri"/>
          <w:color w:val="000000" w:themeColor="text1"/>
          <w:lang w:val="en-GB" w:eastAsia="en-AU"/>
        </w:rPr>
        <w:t xml:space="preserve"> </w:t>
      </w:r>
    </w:p>
    <w:p w14:paraId="092A512C" w14:textId="3834FA5E" w:rsidR="00450755" w:rsidRPr="0028145D" w:rsidRDefault="00450755" w:rsidP="00450755">
      <w:pPr>
        <w:pStyle w:val="Heading4"/>
        <w:spacing w:before="0" w:line="240" w:lineRule="auto"/>
        <w:rPr>
          <w:rFonts w:asciiTheme="minorHAnsi" w:eastAsia="Times New Roman" w:hAnsiTheme="minorHAnsi" w:cstheme="minorBidi"/>
          <w:color w:val="000000" w:themeColor="text1"/>
          <w:lang w:val="en-GB" w:eastAsia="en-AU"/>
        </w:rPr>
      </w:pPr>
      <w:r w:rsidRPr="067DA2FC">
        <w:rPr>
          <w:rFonts w:asciiTheme="minorHAnsi" w:eastAsia="Times New Roman" w:hAnsiTheme="minorHAnsi" w:cstheme="minorBidi"/>
          <w:color w:val="002C3E" w:themeColor="background2"/>
          <w:lang w:val="en-GB" w:eastAsia="en-AU"/>
        </w:rPr>
        <w:t>4.4.2 Must meet teacher registration requirements</w:t>
      </w:r>
      <w:r w:rsidRPr="067DA2FC">
        <w:rPr>
          <w:rFonts w:asciiTheme="minorHAnsi" w:eastAsia="Times New Roman" w:hAnsiTheme="minorHAnsi" w:cstheme="minorBidi"/>
          <w:color w:val="000000" w:themeColor="text1"/>
          <w:lang w:val="en-GB" w:eastAsia="en-AU"/>
        </w:rPr>
        <w:t> </w:t>
      </w:r>
    </w:p>
    <w:p w14:paraId="3778B17E" w14:textId="3834FA5E" w:rsidR="00450755" w:rsidRPr="007F4F1A" w:rsidRDefault="00450755" w:rsidP="00450755">
      <w:pPr>
        <w:pStyle w:val="Heading4"/>
        <w:spacing w:before="0" w:line="240" w:lineRule="auto"/>
        <w:rPr>
          <w:rFonts w:ascii="Calibri" w:eastAsia="Times New Roman" w:hAnsi="Calibri" w:cs="Calibri"/>
          <w:b w:val="0"/>
          <w:iCs w:val="0"/>
          <w:color w:val="000000" w:themeColor="text1"/>
          <w:sz w:val="22"/>
          <w:lang w:val="en-GB" w:eastAsia="en-AU"/>
        </w:rPr>
      </w:pPr>
      <w:r w:rsidRPr="007F4F1A">
        <w:rPr>
          <w:rFonts w:ascii="Calibri" w:eastAsia="Times New Roman" w:hAnsi="Calibri" w:cs="Calibri"/>
          <w:b w:val="0"/>
          <w:iCs w:val="0"/>
          <w:color w:val="000000" w:themeColor="text1"/>
          <w:sz w:val="22"/>
          <w:lang w:val="en-GB" w:eastAsia="en-AU"/>
        </w:rPr>
        <w:t>Where mid-career pathways are particularly novel, this can necessitate deep engagement with regulators and TRAs to ensure programs meet teacher registration requirements </w:t>
      </w:r>
    </w:p>
    <w:p w14:paraId="2C3E0491" w14:textId="173A43F4" w:rsidR="00450755" w:rsidRDefault="00450755" w:rsidP="00450755">
      <w:pPr>
        <w:spacing w:after="120" w:line="240" w:lineRule="auto"/>
        <w:textAlignment w:val="baseline"/>
        <w:rPr>
          <w:rFonts w:ascii="Calibri" w:eastAsia="Times New Roman" w:hAnsi="Calibri" w:cs="Calibri"/>
          <w:color w:val="000000" w:themeColor="text1"/>
          <w:lang w:val="en-GB" w:eastAsia="en-AU"/>
        </w:rPr>
      </w:pPr>
      <w:r w:rsidRPr="00651E34">
        <w:rPr>
          <w:rFonts w:ascii="Calibri" w:eastAsia="Times New Roman" w:hAnsi="Calibri" w:cs="Calibri"/>
          <w:color w:val="000000" w:themeColor="text1"/>
          <w:lang w:val="en-GB" w:eastAsia="en-AU"/>
        </w:rPr>
        <w:t xml:space="preserve">For example, several jurisdictions already have arrangements allowing students to be paid to teach unsupervised during their ITE </w:t>
      </w:r>
      <w:r w:rsidR="00D269FA">
        <w:t>program</w:t>
      </w:r>
      <w:r w:rsidR="00D269FA" w:rsidRPr="00651E34">
        <w:rPr>
          <w:rFonts w:ascii="Calibri" w:eastAsia="Times New Roman" w:hAnsi="Calibri" w:cs="Calibri"/>
          <w:color w:val="000000" w:themeColor="text1"/>
          <w:lang w:val="en-GB" w:eastAsia="en-AU"/>
        </w:rPr>
        <w:t xml:space="preserve"> </w:t>
      </w:r>
      <w:r w:rsidRPr="00651E34">
        <w:rPr>
          <w:rFonts w:ascii="Calibri" w:eastAsia="Times New Roman" w:hAnsi="Calibri" w:cs="Calibri"/>
          <w:color w:val="000000" w:themeColor="text1"/>
          <w:lang w:val="en-GB" w:eastAsia="en-AU"/>
        </w:rPr>
        <w:t xml:space="preserve">(e.g. through Permission to Teach arrangements in Victoria; Limited Authority to Teach in Tasmania). Implementing such arrangements can involve engaging with regulators to secure approvals, or coming up with practical workarounds to ensure students are able to fulfil their ITE requirements (e.g. finding ways for paid teaching placements to be counted towards </w:t>
      </w:r>
      <w:r w:rsidR="00D50C37" w:rsidRPr="2F9182EA">
        <w:rPr>
          <w:rFonts w:ascii="Calibri" w:eastAsia="Times New Roman" w:hAnsi="Calibri" w:cs="Calibri"/>
          <w:color w:val="000000" w:themeColor="text1"/>
          <w:lang w:eastAsia="en-AU"/>
        </w:rPr>
        <w:t>practical experience</w:t>
      </w:r>
      <w:r w:rsidR="00D50C37">
        <w:rPr>
          <w:rFonts w:ascii="Calibri" w:eastAsia="Times New Roman" w:hAnsi="Calibri" w:cs="Calibri"/>
          <w:color w:val="000000" w:themeColor="text1"/>
          <w:lang w:eastAsia="en-AU"/>
        </w:rPr>
        <w:t xml:space="preserve"> </w:t>
      </w:r>
      <w:r w:rsidRPr="00651E34">
        <w:rPr>
          <w:rFonts w:ascii="Calibri" w:eastAsia="Times New Roman" w:hAnsi="Calibri" w:cs="Calibri"/>
          <w:color w:val="000000" w:themeColor="text1"/>
          <w:lang w:val="en-GB" w:eastAsia="en-AU"/>
        </w:rPr>
        <w:t xml:space="preserve">requirements to fulfil </w:t>
      </w:r>
      <w:r w:rsidR="002970C3">
        <w:rPr>
          <w:rFonts w:ascii="Calibri" w:eastAsia="Times New Roman" w:hAnsi="Calibri" w:cs="Calibri"/>
          <w:color w:val="000000" w:themeColor="text1"/>
          <w:lang w:val="en-GB" w:eastAsia="en-AU"/>
        </w:rPr>
        <w:t>program</w:t>
      </w:r>
      <w:r w:rsidRPr="00651E34">
        <w:rPr>
          <w:rFonts w:ascii="Calibri" w:eastAsia="Times New Roman" w:hAnsi="Calibri" w:cs="Calibri"/>
          <w:color w:val="000000" w:themeColor="text1"/>
          <w:lang w:val="en-GB" w:eastAsia="en-AU"/>
        </w:rPr>
        <w:t xml:space="preserve"> requirements). </w:t>
      </w:r>
    </w:p>
    <w:p w14:paraId="435E050B" w14:textId="1717234B" w:rsidR="005F7954" w:rsidRPr="0028145D" w:rsidRDefault="00A87FBD" w:rsidP="007272DB">
      <w:pPr>
        <w:pStyle w:val="Heading4"/>
        <w:spacing w:before="0" w:line="240" w:lineRule="auto"/>
        <w:rPr>
          <w:rFonts w:asciiTheme="minorHAnsi" w:eastAsia="Times New Roman" w:hAnsiTheme="minorHAnsi" w:cstheme="minorHAnsi"/>
          <w:color w:val="002C3E" w:themeColor="background2"/>
          <w:lang w:val="en-GB" w:eastAsia="en-AU"/>
        </w:rPr>
      </w:pPr>
      <w:r>
        <w:rPr>
          <w:rFonts w:asciiTheme="minorHAnsi" w:eastAsia="Times New Roman" w:hAnsiTheme="minorHAnsi" w:cstheme="minorHAnsi"/>
          <w:color w:val="002C3E" w:themeColor="background2"/>
          <w:lang w:val="en-GB" w:eastAsia="en-AU"/>
        </w:rPr>
        <w:t>4.4.</w:t>
      </w:r>
      <w:r w:rsidR="00450755">
        <w:rPr>
          <w:rFonts w:asciiTheme="minorHAnsi" w:eastAsia="Times New Roman" w:hAnsiTheme="minorHAnsi" w:cstheme="minorHAnsi"/>
          <w:color w:val="002C3E" w:themeColor="background2"/>
          <w:lang w:val="en-GB" w:eastAsia="en-AU"/>
        </w:rPr>
        <w:t>3</w:t>
      </w:r>
      <w:r>
        <w:rPr>
          <w:rFonts w:asciiTheme="minorHAnsi" w:eastAsia="Times New Roman" w:hAnsiTheme="minorHAnsi" w:cstheme="minorHAnsi"/>
          <w:color w:val="002C3E" w:themeColor="background2"/>
          <w:lang w:val="en-GB" w:eastAsia="en-AU"/>
        </w:rPr>
        <w:t xml:space="preserve"> </w:t>
      </w:r>
      <w:r w:rsidR="00F9075A" w:rsidRPr="0028145D">
        <w:rPr>
          <w:rFonts w:asciiTheme="minorHAnsi" w:eastAsia="Times New Roman" w:hAnsiTheme="minorHAnsi" w:cstheme="minorHAnsi"/>
          <w:color w:val="002C3E" w:themeColor="background2"/>
          <w:lang w:val="en-GB" w:eastAsia="en-AU"/>
        </w:rPr>
        <w:t xml:space="preserve">Mid-career pathways can be costly to deliver </w:t>
      </w:r>
    </w:p>
    <w:p w14:paraId="5484F38B" w14:textId="3834FA5E" w:rsidR="00F9075A" w:rsidRPr="00083430" w:rsidRDefault="00F9075A" w:rsidP="00720B51">
      <w:pPr>
        <w:spacing w:after="120" w:line="240" w:lineRule="auto"/>
        <w:rPr>
          <w:rFonts w:ascii="Calibri" w:eastAsia="Times New Roman" w:hAnsi="Calibri" w:cs="Calibri"/>
          <w:color w:val="000000" w:themeColor="text1"/>
          <w:lang w:val="en-GB" w:eastAsia="en-AU"/>
        </w:rPr>
      </w:pPr>
      <w:r>
        <w:rPr>
          <w:rFonts w:ascii="Calibri" w:eastAsia="Times New Roman" w:hAnsi="Calibri" w:cs="Calibri"/>
          <w:color w:val="000000" w:themeColor="text1"/>
          <w:lang w:val="en-GB" w:eastAsia="en-AU"/>
        </w:rPr>
        <w:t xml:space="preserve">Depending on the pathway, costs may include </w:t>
      </w:r>
      <w:r w:rsidRPr="00651E34">
        <w:rPr>
          <w:rFonts w:ascii="Calibri" w:eastAsia="Times New Roman" w:hAnsi="Calibri" w:cs="Calibri"/>
          <w:color w:val="000000" w:themeColor="text1"/>
          <w:lang w:val="en-GB" w:eastAsia="en-AU"/>
        </w:rPr>
        <w:t xml:space="preserve">paying </w:t>
      </w:r>
      <w:r>
        <w:rPr>
          <w:rFonts w:ascii="Calibri" w:eastAsia="Times New Roman" w:hAnsi="Calibri" w:cs="Calibri"/>
          <w:color w:val="000000" w:themeColor="text1"/>
          <w:lang w:val="en-GB" w:eastAsia="en-AU"/>
        </w:rPr>
        <w:t xml:space="preserve">direct </w:t>
      </w:r>
      <w:r w:rsidRPr="00651E34">
        <w:rPr>
          <w:rFonts w:ascii="Calibri" w:eastAsia="Times New Roman" w:hAnsi="Calibri" w:cs="Calibri"/>
          <w:color w:val="000000" w:themeColor="text1"/>
          <w:lang w:val="en-GB" w:eastAsia="en-AU"/>
        </w:rPr>
        <w:t>financial incentives</w:t>
      </w:r>
      <w:r>
        <w:rPr>
          <w:rFonts w:ascii="Calibri" w:eastAsia="Times New Roman" w:hAnsi="Calibri" w:cs="Calibri"/>
          <w:color w:val="000000" w:themeColor="text1"/>
          <w:lang w:val="en-GB" w:eastAsia="en-AU"/>
        </w:rPr>
        <w:t xml:space="preserve"> to students (e.g. scholarships and bursaries)</w:t>
      </w:r>
      <w:r w:rsidRPr="00651E34">
        <w:rPr>
          <w:rFonts w:ascii="Calibri" w:eastAsia="Times New Roman" w:hAnsi="Calibri" w:cs="Calibri"/>
          <w:color w:val="000000" w:themeColor="text1"/>
          <w:lang w:val="en-GB" w:eastAsia="en-AU"/>
        </w:rPr>
        <w:t xml:space="preserve">; increased </w:t>
      </w:r>
      <w:r>
        <w:rPr>
          <w:rFonts w:ascii="Calibri" w:eastAsia="Times New Roman" w:hAnsi="Calibri" w:cs="Calibri"/>
          <w:color w:val="000000" w:themeColor="text1"/>
          <w:lang w:val="en-GB" w:eastAsia="en-AU"/>
        </w:rPr>
        <w:t xml:space="preserve">delivery </w:t>
      </w:r>
      <w:r w:rsidRPr="00651E34">
        <w:rPr>
          <w:rFonts w:ascii="Calibri" w:eastAsia="Times New Roman" w:hAnsi="Calibri" w:cs="Calibri"/>
          <w:color w:val="000000" w:themeColor="text1"/>
          <w:lang w:val="en-GB" w:eastAsia="en-AU"/>
        </w:rPr>
        <w:t>costs</w:t>
      </w:r>
      <w:r>
        <w:rPr>
          <w:rFonts w:ascii="Calibri" w:eastAsia="Times New Roman" w:hAnsi="Calibri" w:cs="Calibri"/>
          <w:color w:val="000000" w:themeColor="text1"/>
          <w:lang w:val="en-GB" w:eastAsia="en-AU"/>
        </w:rPr>
        <w:t xml:space="preserve"> (e.g. where programs include intensive student supports); or increased administrative costs (e.g. to undertake matching for earn-as-you-learn pathways). There is also no guarantee that there will be sufficient demand to fill all available places in mid-career pathways</w:t>
      </w:r>
      <w:r w:rsidR="00F37034">
        <w:rPr>
          <w:rFonts w:ascii="Calibri" w:eastAsia="Times New Roman" w:hAnsi="Calibri" w:cs="Calibri"/>
          <w:color w:val="000000" w:themeColor="text1"/>
          <w:lang w:val="en-GB" w:eastAsia="en-AU"/>
        </w:rPr>
        <w:t>,</w:t>
      </w:r>
      <w:r>
        <w:rPr>
          <w:rFonts w:ascii="Calibri" w:eastAsia="Times New Roman" w:hAnsi="Calibri" w:cs="Calibri"/>
          <w:color w:val="000000" w:themeColor="text1"/>
          <w:lang w:val="en-GB" w:eastAsia="en-AU"/>
        </w:rPr>
        <w:t xml:space="preserve"> so providers and governments run the risk of incurring high costs to develop programs with little payoff in terms of uptake.</w:t>
      </w:r>
    </w:p>
    <w:p w14:paraId="717862E3" w14:textId="78B73B75" w:rsidR="0003587B" w:rsidRPr="0028145D" w:rsidRDefault="00A87FBD" w:rsidP="007272DB">
      <w:pPr>
        <w:pStyle w:val="Heading4"/>
        <w:spacing w:before="0" w:line="240" w:lineRule="auto"/>
        <w:rPr>
          <w:rFonts w:asciiTheme="minorHAnsi" w:eastAsia="Times New Roman" w:hAnsiTheme="minorHAnsi" w:cstheme="minorHAnsi"/>
          <w:color w:val="002C3E" w:themeColor="background2"/>
          <w:lang w:val="en-GB" w:eastAsia="en-AU"/>
        </w:rPr>
      </w:pPr>
      <w:r>
        <w:rPr>
          <w:rFonts w:asciiTheme="minorHAnsi" w:eastAsia="Times New Roman" w:hAnsiTheme="minorHAnsi" w:cstheme="minorHAnsi"/>
          <w:color w:val="002C3E" w:themeColor="background2"/>
          <w:lang w:val="en-GB" w:eastAsia="en-AU"/>
        </w:rPr>
        <w:lastRenderedPageBreak/>
        <w:t xml:space="preserve">4.4.4 </w:t>
      </w:r>
      <w:r w:rsidR="00B41139">
        <w:rPr>
          <w:rFonts w:asciiTheme="minorHAnsi" w:eastAsia="Times New Roman" w:hAnsiTheme="minorHAnsi" w:cstheme="minorHAnsi"/>
          <w:color w:val="002C3E" w:themeColor="background2"/>
          <w:lang w:val="en-GB" w:eastAsia="en-AU"/>
        </w:rPr>
        <w:t>I</w:t>
      </w:r>
      <w:r w:rsidR="00F9075A" w:rsidRPr="0028145D">
        <w:rPr>
          <w:rFonts w:asciiTheme="minorHAnsi" w:eastAsia="Times New Roman" w:hAnsiTheme="minorHAnsi" w:cstheme="minorHAnsi"/>
          <w:color w:val="002C3E" w:themeColor="background2"/>
          <w:lang w:val="en-GB" w:eastAsia="en-AU"/>
        </w:rPr>
        <w:t xml:space="preserve">mplementing new systems and procedures </w:t>
      </w:r>
    </w:p>
    <w:p w14:paraId="1B4DD599" w14:textId="3BD0E0C8" w:rsidR="006103C9" w:rsidRPr="00BB6882" w:rsidRDefault="00B41139" w:rsidP="00B41139">
      <w:pPr>
        <w:pStyle w:val="Heading4"/>
        <w:spacing w:before="0" w:line="240" w:lineRule="auto"/>
        <w:rPr>
          <w:rFonts w:ascii="Calibri" w:eastAsia="Times New Roman" w:hAnsi="Calibri" w:cs="Calibri"/>
          <w:color w:val="000000" w:themeColor="text1"/>
          <w:lang w:val="en-GB" w:eastAsia="en-AU"/>
        </w:rPr>
      </w:pPr>
      <w:r w:rsidRPr="00B41139">
        <w:rPr>
          <w:rFonts w:ascii="Calibri" w:eastAsia="Times New Roman" w:hAnsi="Calibri" w:cs="Calibri"/>
          <w:b w:val="0"/>
          <w:iCs w:val="0"/>
          <w:color w:val="000000" w:themeColor="text1"/>
          <w:sz w:val="22"/>
          <w:lang w:val="en-GB" w:eastAsia="en-AU"/>
        </w:rPr>
        <w:t xml:space="preserve">Delivering bespoke mid-career pathways can also require </w:t>
      </w:r>
      <w:r w:rsidR="008A6F2A">
        <w:rPr>
          <w:rFonts w:ascii="Calibri" w:eastAsia="Times New Roman" w:hAnsi="Calibri" w:cs="Calibri"/>
          <w:b w:val="0"/>
          <w:iCs w:val="0"/>
          <w:color w:val="000000" w:themeColor="text1"/>
          <w:sz w:val="22"/>
          <w:lang w:val="en-GB" w:eastAsia="en-AU"/>
        </w:rPr>
        <w:t>higher education</w:t>
      </w:r>
      <w:r w:rsidRPr="00B41139">
        <w:rPr>
          <w:rFonts w:ascii="Calibri" w:eastAsia="Times New Roman" w:hAnsi="Calibri" w:cs="Calibri"/>
          <w:b w:val="0"/>
          <w:iCs w:val="0"/>
          <w:color w:val="000000" w:themeColor="text1"/>
          <w:sz w:val="22"/>
          <w:lang w:val="en-GB" w:eastAsia="en-AU"/>
        </w:rPr>
        <w:t xml:space="preserve"> providers to change the way </w:t>
      </w:r>
      <w:r w:rsidR="002970C3">
        <w:rPr>
          <w:rFonts w:ascii="Calibri" w:eastAsia="Times New Roman" w:hAnsi="Calibri" w:cs="Calibri"/>
          <w:b w:val="0"/>
          <w:iCs w:val="0"/>
          <w:color w:val="000000" w:themeColor="text1"/>
          <w:sz w:val="22"/>
          <w:lang w:val="en-GB" w:eastAsia="en-AU"/>
        </w:rPr>
        <w:t>programs</w:t>
      </w:r>
      <w:r w:rsidRPr="00B41139">
        <w:rPr>
          <w:rFonts w:ascii="Calibri" w:eastAsia="Times New Roman" w:hAnsi="Calibri" w:cs="Calibri"/>
          <w:b w:val="0"/>
          <w:iCs w:val="0"/>
          <w:color w:val="000000" w:themeColor="text1"/>
          <w:sz w:val="22"/>
          <w:lang w:val="en-GB" w:eastAsia="en-AU"/>
        </w:rPr>
        <w:t xml:space="preserve"> work in practice and implementing new systems and procedures</w:t>
      </w:r>
      <w:r w:rsidR="00106F4F">
        <w:rPr>
          <w:rFonts w:ascii="Calibri" w:eastAsia="Times New Roman" w:hAnsi="Calibri" w:cs="Calibri"/>
          <w:b w:val="0"/>
          <w:iCs w:val="0"/>
          <w:color w:val="000000" w:themeColor="text1"/>
          <w:sz w:val="22"/>
          <w:lang w:val="en-GB" w:eastAsia="en-AU"/>
        </w:rPr>
        <w:t xml:space="preserve">. </w:t>
      </w:r>
      <w:r w:rsidR="00F9075A" w:rsidRPr="00B41139">
        <w:rPr>
          <w:rFonts w:ascii="Calibri" w:eastAsia="Times New Roman" w:hAnsi="Calibri" w:cs="Calibri"/>
          <w:b w:val="0"/>
          <w:iCs w:val="0"/>
          <w:color w:val="000000" w:themeColor="text1"/>
          <w:sz w:val="22"/>
          <w:lang w:val="en-GB" w:eastAsia="en-AU"/>
        </w:rPr>
        <w:t xml:space="preserve">This may include, for example, changes in scheduling (e.g. </w:t>
      </w:r>
      <w:r w:rsidR="00F9075A" w:rsidRPr="00B41139">
        <w:rPr>
          <w:rFonts w:ascii="Calibri" w:eastAsia="Times New Roman" w:hAnsi="Calibri" w:cs="Calibri"/>
          <w:b w:val="0"/>
          <w:color w:val="000000" w:themeColor="text1"/>
          <w:sz w:val="22"/>
          <w:lang w:val="en-GB" w:eastAsia="en-AU"/>
        </w:rPr>
        <w:t>intensive delivery of some subjects in the case of accelerated progr</w:t>
      </w:r>
      <w:r w:rsidR="00F9075A" w:rsidRPr="00730A15">
        <w:rPr>
          <w:rFonts w:ascii="Calibri" w:eastAsia="Times New Roman" w:hAnsi="Calibri" w:cs="Calibri"/>
          <w:b w:val="0"/>
          <w:color w:val="000000" w:themeColor="text1"/>
          <w:sz w:val="22"/>
          <w:lang w:val="en-GB" w:eastAsia="en-AU"/>
        </w:rPr>
        <w:t xml:space="preserve">ams); changes to how </w:t>
      </w:r>
      <w:r w:rsidR="00D50C37" w:rsidRPr="00D50C37">
        <w:rPr>
          <w:rFonts w:ascii="Calibri" w:eastAsia="Times New Roman" w:hAnsi="Calibri" w:cs="Calibri"/>
          <w:b w:val="0"/>
          <w:color w:val="000000" w:themeColor="text1"/>
          <w:sz w:val="22"/>
          <w:lang w:val="en-GB" w:eastAsia="en-AU"/>
        </w:rPr>
        <w:t xml:space="preserve">practical experience </w:t>
      </w:r>
      <w:r w:rsidR="00D50C37">
        <w:rPr>
          <w:rFonts w:ascii="Calibri" w:eastAsia="Times New Roman" w:hAnsi="Calibri" w:cs="Calibri"/>
          <w:b w:val="0"/>
          <w:color w:val="000000" w:themeColor="text1"/>
          <w:sz w:val="22"/>
          <w:lang w:val="en-GB" w:eastAsia="en-AU"/>
        </w:rPr>
        <w:t>is</w:t>
      </w:r>
      <w:r w:rsidR="00F9075A" w:rsidRPr="00730A15">
        <w:rPr>
          <w:rFonts w:ascii="Calibri" w:eastAsia="Times New Roman" w:hAnsi="Calibri" w:cs="Calibri"/>
          <w:b w:val="0"/>
          <w:color w:val="000000" w:themeColor="text1"/>
          <w:sz w:val="22"/>
          <w:lang w:val="en-GB" w:eastAsia="en-AU"/>
        </w:rPr>
        <w:t xml:space="preserve"> coordinated and assessed; and, in the case of employment</w:t>
      </w:r>
      <w:r w:rsidR="00286E96">
        <w:rPr>
          <w:rFonts w:ascii="Calibri" w:eastAsia="Times New Roman" w:hAnsi="Calibri" w:cs="Calibri"/>
          <w:b w:val="0"/>
          <w:color w:val="000000" w:themeColor="text1"/>
          <w:sz w:val="22"/>
          <w:lang w:val="en-GB" w:eastAsia="en-AU"/>
        </w:rPr>
        <w:t xml:space="preserve"> </w:t>
      </w:r>
      <w:r w:rsidR="00F9075A" w:rsidRPr="00730A15">
        <w:rPr>
          <w:rFonts w:ascii="Calibri" w:eastAsia="Times New Roman" w:hAnsi="Calibri" w:cs="Calibri"/>
          <w:b w:val="0"/>
          <w:color w:val="000000" w:themeColor="text1"/>
          <w:sz w:val="22"/>
          <w:lang w:val="en-GB" w:eastAsia="en-AU"/>
        </w:rPr>
        <w:t>based pathways, the need to build or deepen partnerships with schools in order for these components to be delivered.</w:t>
      </w:r>
      <w:r w:rsidR="00F9075A">
        <w:rPr>
          <w:rFonts w:ascii="Calibri" w:eastAsia="Times New Roman" w:hAnsi="Calibri" w:cs="Calibri"/>
          <w:color w:val="000000" w:themeColor="text1"/>
          <w:lang w:val="en-GB" w:eastAsia="en-AU"/>
        </w:rPr>
        <w:t xml:space="preserve"> </w:t>
      </w:r>
    </w:p>
    <w:p w14:paraId="4B113A81" w14:textId="4EF44E02" w:rsidR="00B41139" w:rsidRDefault="00B41139" w:rsidP="00B41139">
      <w:pPr>
        <w:pStyle w:val="Heading2"/>
        <w:spacing w:before="240"/>
        <w:rPr>
          <w:rFonts w:eastAsia="Times New Roman"/>
          <w:color w:val="002C3E" w:themeColor="background2"/>
          <w:sz w:val="36"/>
          <w:szCs w:val="36"/>
          <w:lang w:eastAsia="en-AU"/>
        </w:rPr>
      </w:pPr>
      <w:bookmarkStart w:id="121" w:name="_Toc128649106"/>
      <w:bookmarkStart w:id="122" w:name="_Toc130217462"/>
      <w:bookmarkStart w:id="123" w:name="_Toc127978398"/>
      <w:r>
        <w:rPr>
          <w:rFonts w:eastAsia="Times New Roman"/>
          <w:color w:val="002C3E" w:themeColor="background2"/>
          <w:sz w:val="36"/>
          <w:szCs w:val="36"/>
          <w:lang w:eastAsia="en-AU"/>
        </w:rPr>
        <w:t>Discussion</w:t>
      </w:r>
      <w:bookmarkEnd w:id="121"/>
      <w:bookmarkEnd w:id="122"/>
    </w:p>
    <w:p w14:paraId="34987F9E" w14:textId="750C3C1C" w:rsidR="00B707E9" w:rsidRPr="006103C9" w:rsidRDefault="00863555" w:rsidP="00B41139">
      <w:pPr>
        <w:pStyle w:val="Heading3"/>
        <w:spacing w:before="120" w:after="120" w:line="240" w:lineRule="auto"/>
        <w:rPr>
          <w:rFonts w:ascii="Calibri" w:eastAsia="Times New Roman" w:hAnsi="Calibri" w:cs="Calibri"/>
          <w:b w:val="0"/>
          <w:sz w:val="24"/>
          <w:lang w:eastAsia="en-AU"/>
        </w:rPr>
      </w:pPr>
      <w:bookmarkStart w:id="124" w:name="_Toc128649107"/>
      <w:bookmarkStart w:id="125" w:name="_Toc130217463"/>
      <w:r>
        <w:rPr>
          <w:rFonts w:eastAsia="Times New Roman"/>
          <w:lang w:eastAsia="en-AU"/>
        </w:rPr>
        <w:t xml:space="preserve">4.5 </w:t>
      </w:r>
      <w:r w:rsidR="00B707E9" w:rsidRPr="00B41139">
        <w:rPr>
          <w:rFonts w:eastAsia="Times New Roman"/>
          <w:lang w:eastAsia="en-AU"/>
        </w:rPr>
        <w:t>Opportunities</w:t>
      </w:r>
      <w:bookmarkEnd w:id="123"/>
      <w:bookmarkEnd w:id="124"/>
      <w:bookmarkEnd w:id="125"/>
      <w:r w:rsidR="00B707E9" w:rsidRPr="00B41139">
        <w:rPr>
          <w:rFonts w:eastAsia="Times New Roman"/>
          <w:lang w:eastAsia="en-AU"/>
        </w:rPr>
        <w:t> </w:t>
      </w:r>
    </w:p>
    <w:p w14:paraId="04E6C337" w14:textId="1797B9C2" w:rsidR="00B707E9" w:rsidRPr="006B3255" w:rsidRDefault="00A87FBD" w:rsidP="006B3255">
      <w:pPr>
        <w:pStyle w:val="Heading4"/>
        <w:spacing w:before="120" w:line="297" w:lineRule="atLeast"/>
        <w:rPr>
          <w:rFonts w:eastAsia="Times New Roman"/>
          <w:szCs w:val="28"/>
        </w:rPr>
      </w:pPr>
      <w:r>
        <w:rPr>
          <w:rFonts w:asciiTheme="minorHAnsi" w:eastAsia="Times New Roman" w:hAnsiTheme="minorHAnsi" w:cstheme="minorBidi"/>
          <w:color w:val="002C3E" w:themeColor="background2"/>
          <w:lang w:eastAsia="en-AU"/>
        </w:rPr>
        <w:t xml:space="preserve">4.5.1 </w:t>
      </w:r>
      <w:r w:rsidR="006B3255" w:rsidRPr="006B3255">
        <w:rPr>
          <w:rFonts w:asciiTheme="minorHAnsi" w:eastAsia="Times New Roman" w:hAnsiTheme="minorHAnsi" w:cstheme="minorBidi"/>
          <w:color w:val="002C3E" w:themeColor="background2"/>
          <w:lang w:eastAsia="en-AU"/>
        </w:rPr>
        <w:t>Better pathways for mid-career entrants</w:t>
      </w:r>
    </w:p>
    <w:p w14:paraId="7275EB8F" w14:textId="77777777" w:rsidR="004642A9" w:rsidRDefault="004642A9" w:rsidP="00075F31">
      <w:pPr>
        <w:spacing w:after="120" w:line="240" w:lineRule="auto"/>
        <w:textAlignment w:val="baseline"/>
      </w:pPr>
      <w:r>
        <w:t xml:space="preserve">The Panel views a </w:t>
      </w:r>
      <w:proofErr w:type="spellStart"/>
      <w:r>
        <w:t>Masters</w:t>
      </w:r>
      <w:proofErr w:type="spellEnd"/>
      <w:r>
        <w:t xml:space="preserve"> degree as the appropriate qualification level to provide postgraduate ITE students with the appropriate level of pedagogical, disciplinary, content and practical knowledge required to be successful in the classroom. The Panel does not see a case for returning to a one year Graduate Diploma of Education as a way of shortening the time spent out of the workforce, as it is not academically and professionally proportionate with the complexity and status of teaching. </w:t>
      </w:r>
    </w:p>
    <w:p w14:paraId="555EDE84" w14:textId="7790963B" w:rsidR="004642A9" w:rsidRDefault="004642A9" w:rsidP="00075F31">
      <w:pPr>
        <w:spacing w:after="120" w:line="240" w:lineRule="auto"/>
        <w:textAlignment w:val="baseline"/>
      </w:pPr>
      <w:r>
        <w:t>The Panel considers there is scope to attract more mid-career entrants</w:t>
      </w:r>
      <w:r>
        <w:rPr>
          <w:rStyle w:val="apple-converted-space"/>
        </w:rPr>
        <w:t> </w:t>
      </w:r>
      <w:r>
        <w:t xml:space="preserve">through developing </w:t>
      </w:r>
      <w:r w:rsidR="009739C5">
        <w:t>accelerated academic</w:t>
      </w:r>
      <w:r>
        <w:t xml:space="preserve"> pathways as part of a </w:t>
      </w:r>
      <w:proofErr w:type="spellStart"/>
      <w:r>
        <w:t>Masters</w:t>
      </w:r>
      <w:proofErr w:type="spellEnd"/>
      <w:r>
        <w:t xml:space="preserve"> degree, allowing postgraduate ITE students to more quickly enter the workforce while maintaining existing standards. For example, the National Teacher Workforce Action Plan includes an action to streamline</w:t>
      </w:r>
      <w:r>
        <w:rPr>
          <w:rStyle w:val="apple-converted-space"/>
        </w:rPr>
        <w:t> </w:t>
      </w:r>
      <w:r>
        <w:t xml:space="preserve">alternative authorisation to teach arrangements while maintaining standards. Streamlining authorisation could support an internship model where Masters students complete some of the practical elements of their degree under paid employment conditions. This could shorten the time mid-career entrants are not in employment by providing ITE programs with the flexibility to focus on academic content at the beginning of the program and meeting other more practical requirements during the period of employment, such as </w:t>
      </w:r>
      <w:r w:rsidR="00D50C37" w:rsidRPr="00D50C37">
        <w:t xml:space="preserve">practical experience </w:t>
      </w:r>
      <w:r>
        <w:t xml:space="preserve">placements, </w:t>
      </w:r>
      <w:r w:rsidR="00A214DC">
        <w:t>TPAs</w:t>
      </w:r>
      <w:r>
        <w:t xml:space="preserve"> and particular </w:t>
      </w:r>
      <w:r w:rsidR="033AF2F7">
        <w:t>Teach</w:t>
      </w:r>
      <w:r w:rsidR="5CCB200A">
        <w:t xml:space="preserve">er </w:t>
      </w:r>
      <w:r w:rsidR="033AF2F7">
        <w:t xml:space="preserve">Standards (e.g. </w:t>
      </w:r>
      <w:r>
        <w:t>Standard 6 – Engage in Professional Learning). </w:t>
      </w:r>
    </w:p>
    <w:p w14:paraId="7C3D7297" w14:textId="17E4DA88" w:rsidR="00B707E9" w:rsidRPr="00FF42C3" w:rsidRDefault="00A87FBD" w:rsidP="00B41139">
      <w:pPr>
        <w:pStyle w:val="Heading4"/>
        <w:spacing w:before="120"/>
        <w:rPr>
          <w:rFonts w:ascii="Calibri" w:eastAsia="Times New Roman" w:hAnsi="Calibri" w:cs="Calibri"/>
          <w:b w:val="0"/>
          <w:color w:val="000000" w:themeColor="text1"/>
          <w:lang w:eastAsia="en-AU"/>
        </w:rPr>
      </w:pPr>
      <w:r>
        <w:rPr>
          <w:rFonts w:ascii="Calibri" w:eastAsia="Times New Roman" w:hAnsi="Calibri" w:cs="Calibri"/>
          <w:color w:val="002C3E" w:themeColor="background2"/>
          <w:lang w:eastAsia="en-AU"/>
        </w:rPr>
        <w:t xml:space="preserve">4.5.2 </w:t>
      </w:r>
      <w:r w:rsidR="00B707E9" w:rsidRPr="00653F7F">
        <w:rPr>
          <w:rFonts w:ascii="Calibri" w:eastAsia="Times New Roman" w:hAnsi="Calibri" w:cs="Calibri"/>
          <w:color w:val="002C3E" w:themeColor="background2"/>
          <w:lang w:eastAsia="en-AU"/>
        </w:rPr>
        <w:t>Developing and disseminating evidence</w:t>
      </w:r>
      <w:r w:rsidR="00844BDC" w:rsidRPr="00592751">
        <w:rPr>
          <w:rFonts w:asciiTheme="minorHAnsi" w:eastAsia="Times New Roman" w:hAnsiTheme="minorHAnsi" w:cstheme="minorHAnsi"/>
          <w:color w:val="002C3E" w:themeColor="background2"/>
          <w:lang w:eastAsia="en-AU"/>
        </w:rPr>
        <w:t xml:space="preserve"> </w:t>
      </w:r>
      <w:r w:rsidR="00844BDC" w:rsidRPr="00CC7B3E">
        <w:rPr>
          <w:rFonts w:ascii="Calibri" w:eastAsia="Times New Roman" w:hAnsi="Calibri" w:cs="Calibri"/>
          <w:color w:val="002C3E" w:themeColor="background2"/>
          <w:lang w:eastAsia="en-AU"/>
        </w:rPr>
        <w:t>and</w:t>
      </w:r>
      <w:r w:rsidR="00B707E9" w:rsidRPr="00CC7B3E">
        <w:rPr>
          <w:rFonts w:ascii="Calibri" w:eastAsia="Times New Roman" w:hAnsi="Calibri" w:cs="Calibri"/>
          <w:color w:val="002C3E" w:themeColor="background2"/>
          <w:lang w:eastAsia="en-AU"/>
        </w:rPr>
        <w:t xml:space="preserve"> best-practice guidance </w:t>
      </w:r>
    </w:p>
    <w:p w14:paraId="5C61F33B" w14:textId="4AF922AD" w:rsidR="00BB0D57" w:rsidRPr="008151AF" w:rsidRDefault="00B707E9" w:rsidP="007272DB">
      <w:pPr>
        <w:spacing w:after="0" w:line="240" w:lineRule="auto"/>
        <w:textAlignment w:val="baseline"/>
        <w:rPr>
          <w:rFonts w:ascii="Calibri" w:eastAsia="Times New Roman" w:hAnsi="Calibri" w:cs="Calibri"/>
          <w:lang w:eastAsia="en-AU"/>
        </w:rPr>
      </w:pPr>
      <w:r w:rsidRPr="008151AF">
        <w:rPr>
          <w:rFonts w:ascii="Calibri" w:eastAsia="Times New Roman" w:hAnsi="Calibri" w:cs="Calibri"/>
          <w:lang w:eastAsia="en-AU"/>
        </w:rPr>
        <w:t xml:space="preserve">Mid-career programs are in their infancy and evidence on their effectiveness is still emerging. </w:t>
      </w:r>
      <w:r w:rsidR="00844BDC">
        <w:rPr>
          <w:rFonts w:ascii="Calibri" w:eastAsia="Times New Roman" w:hAnsi="Calibri" w:cs="Calibri"/>
          <w:lang w:eastAsia="en-AU"/>
        </w:rPr>
        <w:t>The future</w:t>
      </w:r>
      <w:r w:rsidRPr="008151AF">
        <w:rPr>
          <w:rFonts w:ascii="Calibri" w:eastAsia="Times New Roman" w:hAnsi="Calibri" w:cs="Calibri"/>
          <w:lang w:eastAsia="en-AU"/>
        </w:rPr>
        <w:t xml:space="preserve"> development </w:t>
      </w:r>
      <w:r w:rsidR="00751B8C">
        <w:rPr>
          <w:rFonts w:ascii="Calibri" w:eastAsia="Times New Roman" w:hAnsi="Calibri" w:cs="Calibri"/>
          <w:lang w:eastAsia="en-AU"/>
        </w:rPr>
        <w:t xml:space="preserve">of </w:t>
      </w:r>
      <w:r w:rsidRPr="008151AF">
        <w:rPr>
          <w:rFonts w:ascii="Calibri" w:eastAsia="Times New Roman" w:hAnsi="Calibri" w:cs="Calibri"/>
          <w:lang w:eastAsia="en-AU"/>
        </w:rPr>
        <w:t>mid-career pathways</w:t>
      </w:r>
      <w:r w:rsidR="00844BDC">
        <w:rPr>
          <w:rFonts w:ascii="Calibri" w:eastAsia="Times New Roman" w:hAnsi="Calibri" w:cs="Calibri"/>
          <w:lang w:eastAsia="en-AU"/>
        </w:rPr>
        <w:t xml:space="preserve"> </w:t>
      </w:r>
      <w:r w:rsidR="00751B8C">
        <w:rPr>
          <w:rFonts w:ascii="Calibri" w:eastAsia="Times New Roman" w:hAnsi="Calibri" w:cs="Calibri"/>
          <w:lang w:eastAsia="en-AU"/>
        </w:rPr>
        <w:t>could</w:t>
      </w:r>
      <w:r w:rsidR="00844BDC">
        <w:rPr>
          <w:rFonts w:ascii="Calibri" w:eastAsia="Times New Roman" w:hAnsi="Calibri" w:cs="Calibri"/>
          <w:lang w:eastAsia="en-AU"/>
        </w:rPr>
        <w:t xml:space="preserve"> be improved</w:t>
      </w:r>
      <w:r w:rsidRPr="008151AF">
        <w:rPr>
          <w:rFonts w:ascii="Calibri" w:eastAsia="Times New Roman" w:hAnsi="Calibri" w:cs="Calibri"/>
          <w:lang w:eastAsia="en-AU"/>
        </w:rPr>
        <w:t xml:space="preserve"> by: </w:t>
      </w:r>
    </w:p>
    <w:p w14:paraId="34BCF953" w14:textId="75D70219" w:rsidR="00BB0D57" w:rsidRPr="008151AF" w:rsidRDefault="00380EE7" w:rsidP="00645BD5">
      <w:pPr>
        <w:pStyle w:val="ListParagraph"/>
        <w:numPr>
          <w:ilvl w:val="0"/>
          <w:numId w:val="18"/>
        </w:numPr>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d</w:t>
      </w:r>
      <w:r w:rsidR="00137FB9" w:rsidRPr="00B86720">
        <w:rPr>
          <w:rFonts w:ascii="Calibri" w:eastAsia="Times New Roman" w:hAnsi="Calibri" w:cs="Calibri"/>
          <w:sz w:val="22"/>
          <w:szCs w:val="22"/>
          <w:lang w:eastAsia="en-AU"/>
        </w:rPr>
        <w:t>isseminating evidence; and developing best-practice guidance from evaluation</w:t>
      </w:r>
      <w:r w:rsidR="00B86720" w:rsidRPr="00B86720">
        <w:rPr>
          <w:rFonts w:ascii="Calibri" w:eastAsia="Times New Roman" w:hAnsi="Calibri" w:cs="Calibri"/>
          <w:sz w:val="22"/>
          <w:szCs w:val="22"/>
          <w:lang w:eastAsia="en-AU"/>
        </w:rPr>
        <w:t>s</w:t>
      </w:r>
      <w:r w:rsidR="00107AFF">
        <w:rPr>
          <w:rFonts w:ascii="Calibri" w:eastAsia="Times New Roman" w:hAnsi="Calibri" w:cs="Calibri"/>
          <w:sz w:val="22"/>
          <w:szCs w:val="22"/>
          <w:lang w:eastAsia="en-AU"/>
        </w:rPr>
        <w:t xml:space="preserve"> i</w:t>
      </w:r>
      <w:r w:rsidR="00B707E9" w:rsidRPr="008151AF">
        <w:rPr>
          <w:rFonts w:ascii="Calibri" w:eastAsia="Times New Roman" w:hAnsi="Calibri" w:cs="Calibri"/>
          <w:sz w:val="22"/>
          <w:szCs w:val="22"/>
          <w:lang w:eastAsia="en-AU"/>
        </w:rPr>
        <w:t>dentify</w:t>
      </w:r>
      <w:r w:rsidR="00B86720">
        <w:rPr>
          <w:rFonts w:ascii="Calibri" w:eastAsia="Times New Roman" w:hAnsi="Calibri" w:cs="Calibri"/>
          <w:sz w:val="22"/>
          <w:szCs w:val="22"/>
          <w:lang w:eastAsia="en-AU"/>
        </w:rPr>
        <w:t>ing</w:t>
      </w:r>
      <w:r w:rsidR="00B707E9" w:rsidRPr="008151AF">
        <w:rPr>
          <w:rFonts w:ascii="Calibri" w:eastAsia="Times New Roman" w:hAnsi="Calibri" w:cs="Calibri"/>
          <w:sz w:val="22"/>
          <w:szCs w:val="22"/>
          <w:lang w:eastAsia="en-AU"/>
        </w:rPr>
        <w:t xml:space="preserve"> the critical features for successful design and implementation</w:t>
      </w:r>
      <w:r>
        <w:rPr>
          <w:rFonts w:ascii="Calibri" w:eastAsia="Times New Roman" w:hAnsi="Calibri" w:cs="Calibri"/>
          <w:sz w:val="22"/>
          <w:szCs w:val="22"/>
          <w:lang w:eastAsia="en-AU"/>
        </w:rPr>
        <w:t>, and</w:t>
      </w:r>
    </w:p>
    <w:p w14:paraId="5B80A93E" w14:textId="28C56062" w:rsidR="00B707E9" w:rsidRPr="00986702" w:rsidRDefault="00380EE7" w:rsidP="00075F31">
      <w:pPr>
        <w:pStyle w:val="ListParagraph"/>
        <w:numPr>
          <w:ilvl w:val="0"/>
          <w:numId w:val="18"/>
        </w:numPr>
        <w:spacing w:after="120"/>
        <w:ind w:left="714" w:hanging="357"/>
        <w:textAlignment w:val="baseline"/>
        <w:rPr>
          <w:rFonts w:ascii="Calibri" w:eastAsia="Times New Roman" w:hAnsi="Calibri" w:cs="Calibri"/>
          <w:sz w:val="22"/>
          <w:szCs w:val="22"/>
          <w:lang w:eastAsia="en-AU"/>
        </w:rPr>
      </w:pPr>
      <w:r>
        <w:rPr>
          <w:rFonts w:ascii="Calibri" w:eastAsia="Times New Roman" w:hAnsi="Calibri" w:cs="Calibri"/>
          <w:sz w:val="22"/>
          <w:szCs w:val="22"/>
          <w:lang w:eastAsia="en-AU"/>
        </w:rPr>
        <w:t>p</w:t>
      </w:r>
      <w:r w:rsidR="00020826">
        <w:rPr>
          <w:rFonts w:ascii="Calibri" w:eastAsia="Times New Roman" w:hAnsi="Calibri" w:cs="Calibri"/>
          <w:sz w:val="22"/>
          <w:szCs w:val="22"/>
          <w:lang w:eastAsia="en-AU"/>
        </w:rPr>
        <w:t xml:space="preserve">iloting </w:t>
      </w:r>
      <w:r w:rsidR="00B707E9" w:rsidRPr="008151AF">
        <w:rPr>
          <w:rFonts w:ascii="Calibri" w:eastAsia="Times New Roman" w:hAnsi="Calibri" w:cs="Calibri"/>
          <w:sz w:val="22"/>
          <w:szCs w:val="22"/>
          <w:lang w:eastAsia="en-AU"/>
        </w:rPr>
        <w:t xml:space="preserve">promising features that may not currently have a solid evidence base </w:t>
      </w:r>
      <w:r w:rsidR="00986702">
        <w:rPr>
          <w:rFonts w:ascii="Calibri" w:eastAsia="Times New Roman" w:hAnsi="Calibri" w:cs="Calibri"/>
          <w:sz w:val="22"/>
          <w:szCs w:val="22"/>
          <w:lang w:eastAsia="en-AU"/>
        </w:rPr>
        <w:t xml:space="preserve">or where for specific cohorts </w:t>
      </w:r>
      <w:r w:rsidR="00986702" w:rsidRPr="006C05ED">
        <w:rPr>
          <w:rFonts w:ascii="Calibri" w:eastAsia="Times New Roman" w:hAnsi="Calibri" w:cs="Calibri"/>
          <w:sz w:val="22"/>
          <w:szCs w:val="22"/>
          <w:lang w:eastAsia="en-AU"/>
        </w:rPr>
        <w:t>whether critical features need to be adjusted for context.</w:t>
      </w:r>
    </w:p>
    <w:p w14:paraId="71E99A25" w14:textId="331DE327" w:rsidR="00B707E9" w:rsidRPr="0028145D" w:rsidRDefault="00A87FBD" w:rsidP="00B41139">
      <w:pPr>
        <w:pStyle w:val="Heading4"/>
        <w:spacing w:before="120"/>
        <w:rPr>
          <w:rFonts w:asciiTheme="minorHAnsi" w:eastAsia="Times New Roman" w:hAnsiTheme="minorHAnsi" w:cstheme="minorHAnsi"/>
          <w:b w:val="0"/>
          <w:color w:val="000000" w:themeColor="text1"/>
          <w:lang w:eastAsia="en-AU"/>
        </w:rPr>
      </w:pPr>
      <w:r>
        <w:rPr>
          <w:rFonts w:asciiTheme="minorHAnsi" w:eastAsia="Times New Roman" w:hAnsiTheme="minorHAnsi" w:cstheme="minorHAnsi"/>
          <w:color w:val="002C3E" w:themeColor="background2"/>
          <w:lang w:eastAsia="en-AU"/>
        </w:rPr>
        <w:t xml:space="preserve">4.5.3 </w:t>
      </w:r>
      <w:r w:rsidR="00EA1C2E" w:rsidRPr="0028145D">
        <w:rPr>
          <w:rFonts w:asciiTheme="minorHAnsi" w:eastAsia="Times New Roman" w:hAnsiTheme="minorHAnsi" w:cstheme="minorHAnsi"/>
          <w:color w:val="002C3E" w:themeColor="background2"/>
          <w:lang w:eastAsia="en-AU"/>
        </w:rPr>
        <w:t xml:space="preserve">Improving flexibility in program </w:t>
      </w:r>
      <w:r w:rsidR="00B707E9" w:rsidRPr="0028145D">
        <w:rPr>
          <w:rFonts w:asciiTheme="minorHAnsi" w:eastAsia="Times New Roman" w:hAnsiTheme="minorHAnsi" w:cstheme="minorHAnsi"/>
          <w:color w:val="002C3E" w:themeColor="background2"/>
          <w:lang w:eastAsia="en-AU"/>
        </w:rPr>
        <w:t>delivery</w:t>
      </w:r>
    </w:p>
    <w:p w14:paraId="4D70FC32" w14:textId="23545AFA" w:rsidR="006103C9" w:rsidRPr="00BB6882" w:rsidRDefault="0063312E" w:rsidP="007272DB">
      <w:pPr>
        <w:spacing w:line="240" w:lineRule="auto"/>
        <w:textAlignment w:val="baseline"/>
        <w:rPr>
          <w:rFonts w:ascii="Calibri" w:eastAsia="Times New Roman" w:hAnsi="Calibri" w:cs="Calibri"/>
          <w:color w:val="000000"/>
          <w:lang w:eastAsia="en-AU"/>
        </w:rPr>
      </w:pPr>
      <w:r>
        <w:rPr>
          <w:rFonts w:ascii="Calibri" w:eastAsia="Times New Roman" w:hAnsi="Calibri" w:cs="Calibri"/>
          <w:lang w:eastAsia="en-AU"/>
        </w:rPr>
        <w:t xml:space="preserve">While providers use </w:t>
      </w:r>
      <w:r w:rsidRPr="008151AF">
        <w:rPr>
          <w:rFonts w:ascii="Calibri" w:eastAsia="Times New Roman" w:hAnsi="Calibri" w:cs="Calibri"/>
          <w:color w:val="000000" w:themeColor="text1"/>
          <w:lang w:eastAsia="en-AU"/>
        </w:rPr>
        <w:t xml:space="preserve">different approaches to </w:t>
      </w:r>
      <w:r w:rsidR="00154016">
        <w:rPr>
          <w:rFonts w:ascii="Calibri" w:eastAsia="Times New Roman" w:hAnsi="Calibri" w:cs="Calibri"/>
          <w:color w:val="000000" w:themeColor="text1"/>
          <w:lang w:eastAsia="en-AU"/>
        </w:rPr>
        <w:t>attract and</w:t>
      </w:r>
      <w:r w:rsidR="00172919">
        <w:rPr>
          <w:rFonts w:ascii="Calibri" w:eastAsia="Times New Roman" w:hAnsi="Calibri" w:cs="Calibri"/>
          <w:color w:val="000000" w:themeColor="text1"/>
          <w:lang w:eastAsia="en-AU"/>
        </w:rPr>
        <w:t xml:space="preserve"> </w:t>
      </w:r>
      <w:r w:rsidR="003E13A1">
        <w:rPr>
          <w:rFonts w:ascii="Calibri" w:eastAsia="Times New Roman" w:hAnsi="Calibri" w:cs="Calibri"/>
          <w:color w:val="000000" w:themeColor="text1"/>
          <w:lang w:eastAsia="en-AU"/>
        </w:rPr>
        <w:t xml:space="preserve">support mid-career cohorts, such as by </w:t>
      </w:r>
      <w:r w:rsidR="003E13A1" w:rsidRPr="008151AF">
        <w:rPr>
          <w:rFonts w:ascii="Calibri" w:eastAsia="Times New Roman" w:hAnsi="Calibri" w:cs="Calibri"/>
          <w:color w:val="000000" w:themeColor="text1"/>
          <w:lang w:eastAsia="en-AU"/>
        </w:rPr>
        <w:t>allowing students to study online or blend online and in-person learning</w:t>
      </w:r>
      <w:r w:rsidR="003E13A1">
        <w:rPr>
          <w:rFonts w:ascii="Calibri" w:eastAsia="Times New Roman" w:hAnsi="Calibri" w:cs="Calibri"/>
          <w:color w:val="000000" w:themeColor="text1"/>
          <w:lang w:eastAsia="en-AU"/>
        </w:rPr>
        <w:t xml:space="preserve">, this </w:t>
      </w:r>
      <w:r w:rsidR="00386EAA">
        <w:rPr>
          <w:rFonts w:ascii="Calibri" w:eastAsia="Times New Roman" w:hAnsi="Calibri" w:cs="Calibri"/>
          <w:color w:val="000000" w:themeColor="text1"/>
          <w:lang w:eastAsia="en-AU"/>
        </w:rPr>
        <w:t xml:space="preserve">could be more </w:t>
      </w:r>
      <w:r w:rsidR="00421118">
        <w:rPr>
          <w:rFonts w:ascii="Calibri" w:eastAsia="Times New Roman" w:hAnsi="Calibri" w:cs="Calibri"/>
          <w:color w:val="000000" w:themeColor="text1"/>
          <w:lang w:eastAsia="en-AU"/>
        </w:rPr>
        <w:t xml:space="preserve">consistently </w:t>
      </w:r>
      <w:r w:rsidR="003E13A1">
        <w:rPr>
          <w:rFonts w:ascii="Calibri" w:eastAsia="Times New Roman" w:hAnsi="Calibri" w:cs="Calibri"/>
          <w:color w:val="000000" w:themeColor="text1"/>
          <w:lang w:eastAsia="en-AU"/>
        </w:rPr>
        <w:t xml:space="preserve">available across all higher education providers. </w:t>
      </w:r>
    </w:p>
    <w:p w14:paraId="209BF323" w14:textId="307AB9EB" w:rsidR="00B707E9" w:rsidRPr="006103C9" w:rsidRDefault="00863555" w:rsidP="00B41139">
      <w:pPr>
        <w:pStyle w:val="Heading3"/>
        <w:spacing w:before="120" w:after="120" w:line="240" w:lineRule="auto"/>
        <w:rPr>
          <w:rFonts w:ascii="Calibri" w:eastAsia="Times New Roman" w:hAnsi="Calibri" w:cs="Calibri"/>
          <w:b w:val="0"/>
          <w:sz w:val="24"/>
          <w:lang w:eastAsia="en-AU"/>
        </w:rPr>
      </w:pPr>
      <w:bookmarkStart w:id="126" w:name="_Toc127978399"/>
      <w:bookmarkStart w:id="127" w:name="_Toc128649108"/>
      <w:bookmarkStart w:id="128" w:name="_Toc130217464"/>
      <w:r>
        <w:rPr>
          <w:rFonts w:eastAsia="Times New Roman"/>
          <w:lang w:eastAsia="en-AU"/>
        </w:rPr>
        <w:t xml:space="preserve">4.6 </w:t>
      </w:r>
      <w:r w:rsidR="00B707E9" w:rsidRPr="00B41139">
        <w:rPr>
          <w:rFonts w:eastAsia="Times New Roman"/>
          <w:lang w:eastAsia="en-AU"/>
        </w:rPr>
        <w:t>Considerations</w:t>
      </w:r>
      <w:bookmarkEnd w:id="126"/>
      <w:bookmarkEnd w:id="127"/>
      <w:bookmarkEnd w:id="128"/>
      <w:r w:rsidR="00B707E9" w:rsidRPr="00B41139">
        <w:rPr>
          <w:rFonts w:eastAsia="Times New Roman"/>
          <w:lang w:eastAsia="en-AU"/>
        </w:rPr>
        <w:t> </w:t>
      </w:r>
    </w:p>
    <w:p w14:paraId="265207F9" w14:textId="70E86D90" w:rsidR="00B707E9" w:rsidRPr="007272DB" w:rsidRDefault="00A87FBD" w:rsidP="007272DB">
      <w:pPr>
        <w:pStyle w:val="Heading4"/>
        <w:spacing w:before="0" w:line="240" w:lineRule="auto"/>
        <w:rPr>
          <w:rFonts w:ascii="Calibri" w:eastAsia="Times New Roman" w:hAnsi="Calibri" w:cs="Calibri"/>
          <w:color w:val="002C3E" w:themeColor="background2"/>
          <w:lang w:eastAsia="en-AU"/>
        </w:rPr>
      </w:pPr>
      <w:r>
        <w:rPr>
          <w:rFonts w:ascii="Calibri" w:eastAsia="Times New Roman" w:hAnsi="Calibri" w:cs="Calibri"/>
          <w:color w:val="002C3E" w:themeColor="background2"/>
          <w:lang w:eastAsia="en-AU"/>
        </w:rPr>
        <w:t xml:space="preserve">4.6.1 </w:t>
      </w:r>
      <w:r w:rsidR="00B707E9" w:rsidRPr="007272DB">
        <w:rPr>
          <w:rFonts w:ascii="Calibri" w:eastAsia="Times New Roman" w:hAnsi="Calibri" w:cs="Calibri"/>
          <w:color w:val="002C3E" w:themeColor="background2"/>
          <w:lang w:eastAsia="en-AU"/>
        </w:rPr>
        <w:t>Cost and supply </w:t>
      </w:r>
    </w:p>
    <w:p w14:paraId="6F12C085" w14:textId="69936E6D" w:rsidR="00BB6882" w:rsidRDefault="000A2F36" w:rsidP="002269C9">
      <w:pPr>
        <w:spacing w:after="120"/>
        <w:textAlignment w:val="baseline"/>
        <w:rPr>
          <w:rFonts w:ascii="Calibri" w:eastAsia="Times New Roman" w:hAnsi="Calibri" w:cs="Calibri"/>
          <w:lang w:eastAsia="en-AU"/>
        </w:rPr>
      </w:pPr>
      <w:r>
        <w:rPr>
          <w:rFonts w:ascii="Calibri" w:eastAsia="Times New Roman" w:hAnsi="Calibri" w:cs="Calibri"/>
          <w:lang w:eastAsia="en-AU"/>
        </w:rPr>
        <w:t>Mid-career programs are costly to deliver</w:t>
      </w:r>
      <w:r w:rsidR="001123E8">
        <w:rPr>
          <w:rFonts w:ascii="Calibri" w:eastAsia="Times New Roman" w:hAnsi="Calibri" w:cs="Calibri"/>
          <w:lang w:eastAsia="en-AU"/>
        </w:rPr>
        <w:t>.</w:t>
      </w:r>
      <w:r>
        <w:rPr>
          <w:rFonts w:ascii="Calibri" w:eastAsia="Times New Roman" w:hAnsi="Calibri" w:cs="Calibri"/>
          <w:lang w:eastAsia="en-AU"/>
        </w:rPr>
        <w:t xml:space="preserve"> </w:t>
      </w:r>
      <w:r w:rsidR="004C6D70" w:rsidRPr="004C6D70">
        <w:rPr>
          <w:rFonts w:ascii="Calibri" w:eastAsia="Times New Roman" w:hAnsi="Calibri" w:cs="Calibri"/>
          <w:lang w:eastAsia="en-AU"/>
        </w:rPr>
        <w:t>Bespoke models which provide a high level of support to ITE students and allow a gradual increase of responsibilities over time are associated with improved teacher quality. But because these models are the most expensive to deliver, their potential to address overall supply challenges in the short term is limited. </w:t>
      </w:r>
      <w:r w:rsidR="001802BC">
        <w:rPr>
          <w:rFonts w:ascii="Calibri" w:eastAsia="Times New Roman" w:hAnsi="Calibri" w:cs="Calibri"/>
          <w:lang w:eastAsia="en-AU"/>
        </w:rPr>
        <w:t>Conversely, p</w:t>
      </w:r>
      <w:r w:rsidR="00C664F1" w:rsidRPr="00C664F1">
        <w:rPr>
          <w:rFonts w:ascii="Calibri" w:eastAsia="Times New Roman" w:hAnsi="Calibri" w:cs="Calibri"/>
          <w:lang w:eastAsia="en-AU"/>
        </w:rPr>
        <w:t xml:space="preserve">athways that shorten the </w:t>
      </w:r>
      <w:r w:rsidR="00C664F1" w:rsidRPr="00C664F1">
        <w:rPr>
          <w:rFonts w:ascii="Calibri" w:eastAsia="Times New Roman" w:hAnsi="Calibri" w:cs="Calibri"/>
          <w:lang w:eastAsia="en-AU"/>
        </w:rPr>
        <w:lastRenderedPageBreak/>
        <w:t>length of ITE programs,</w:t>
      </w:r>
      <w:r w:rsidR="004F3DCF">
        <w:rPr>
          <w:rFonts w:ascii="Calibri" w:eastAsia="Times New Roman" w:hAnsi="Calibri" w:cs="Calibri"/>
          <w:lang w:eastAsia="en-AU"/>
        </w:rPr>
        <w:t xml:space="preserve"> such as through greater </w:t>
      </w:r>
      <w:r w:rsidR="002970C3">
        <w:rPr>
          <w:rFonts w:ascii="Calibri" w:eastAsia="Times New Roman" w:hAnsi="Calibri" w:cs="Calibri"/>
          <w:lang w:eastAsia="en-AU"/>
        </w:rPr>
        <w:t>program</w:t>
      </w:r>
      <w:r w:rsidR="004F3DCF">
        <w:rPr>
          <w:rFonts w:ascii="Calibri" w:eastAsia="Times New Roman" w:hAnsi="Calibri" w:cs="Calibri"/>
          <w:lang w:eastAsia="en-AU"/>
        </w:rPr>
        <w:t xml:space="preserve"> </w:t>
      </w:r>
      <w:r w:rsidR="001802BC">
        <w:rPr>
          <w:rFonts w:ascii="Calibri" w:eastAsia="Times New Roman" w:hAnsi="Calibri" w:cs="Calibri"/>
          <w:lang w:eastAsia="en-AU"/>
        </w:rPr>
        <w:t>intensity</w:t>
      </w:r>
      <w:r w:rsidR="004F3DCF">
        <w:rPr>
          <w:rFonts w:ascii="Calibri" w:eastAsia="Times New Roman" w:hAnsi="Calibri" w:cs="Calibri"/>
          <w:lang w:eastAsia="en-AU"/>
        </w:rPr>
        <w:t>, can be more scalable but</w:t>
      </w:r>
      <w:r w:rsidR="000A5FFF">
        <w:rPr>
          <w:rFonts w:ascii="Calibri" w:eastAsia="Times New Roman" w:hAnsi="Calibri" w:cs="Calibri"/>
          <w:lang w:eastAsia="en-AU"/>
        </w:rPr>
        <w:t xml:space="preserve"> </w:t>
      </w:r>
      <w:r w:rsidR="000A5FFF" w:rsidRPr="00C664F1">
        <w:rPr>
          <w:rFonts w:ascii="Calibri" w:eastAsia="Times New Roman" w:hAnsi="Calibri" w:cs="Calibri"/>
          <w:lang w:eastAsia="en-AU"/>
        </w:rPr>
        <w:t>unless sufficient support is provided to ITE students</w:t>
      </w:r>
      <w:r w:rsidR="004F3DCF">
        <w:rPr>
          <w:rFonts w:ascii="Calibri" w:eastAsia="Times New Roman" w:hAnsi="Calibri" w:cs="Calibri"/>
          <w:lang w:eastAsia="en-AU"/>
        </w:rPr>
        <w:t xml:space="preserve"> can adversely affect supply </w:t>
      </w:r>
      <w:r w:rsidR="000A5FFF">
        <w:rPr>
          <w:rFonts w:ascii="Calibri" w:eastAsia="Times New Roman" w:hAnsi="Calibri" w:cs="Calibri"/>
          <w:lang w:eastAsia="en-AU"/>
        </w:rPr>
        <w:t xml:space="preserve">through increased attrition </w:t>
      </w:r>
      <w:r w:rsidR="0023696D">
        <w:rPr>
          <w:rFonts w:ascii="Calibri Light" w:eastAsia="Times New Roman" w:hAnsi="Calibri Light" w:cs="Calibri Light"/>
          <w:noProof/>
          <w:color w:val="2F5496"/>
          <w:szCs w:val="32"/>
          <w:shd w:val="clear" w:color="auto" w:fill="E6E6E6"/>
          <w:lang w:eastAsia="en-AU"/>
        </w:rPr>
        <mc:AlternateContent>
          <mc:Choice Requires="wpg">
            <w:drawing>
              <wp:anchor distT="0" distB="0" distL="114300" distR="114300" simplePos="0" relativeHeight="251658254" behindDoc="0" locked="0" layoutInCell="1" allowOverlap="1" wp14:anchorId="6764B9B8" wp14:editId="511382B0">
                <wp:simplePos x="0" y="0"/>
                <wp:positionH relativeFrom="margin">
                  <wp:posOffset>0</wp:posOffset>
                </wp:positionH>
                <wp:positionV relativeFrom="paragraph">
                  <wp:posOffset>614235</wp:posOffset>
                </wp:positionV>
                <wp:extent cx="5731510" cy="763905"/>
                <wp:effectExtent l="0" t="0" r="21590" b="0"/>
                <wp:wrapNone/>
                <wp:docPr id="4" name="Group 4"/>
                <wp:cNvGraphicFramePr/>
                <a:graphic xmlns:a="http://schemas.openxmlformats.org/drawingml/2006/main">
                  <a:graphicData uri="http://schemas.microsoft.com/office/word/2010/wordprocessingGroup">
                    <wpg:wgp>
                      <wpg:cNvGrpSpPr/>
                      <wpg:grpSpPr>
                        <a:xfrm>
                          <a:off x="0" y="0"/>
                          <a:ext cx="5731510" cy="763905"/>
                          <a:chOff x="0" y="0"/>
                          <a:chExt cx="5731529" cy="763905"/>
                        </a:xfrm>
                      </wpg:grpSpPr>
                      <wps:wsp>
                        <wps:cNvPr id="5" name="Text Box 5"/>
                        <wps:cNvSpPr txBox="1"/>
                        <wps:spPr>
                          <a:xfrm>
                            <a:off x="204717" y="245662"/>
                            <a:ext cx="5526812" cy="286601"/>
                          </a:xfrm>
                          <a:prstGeom prst="rect">
                            <a:avLst/>
                          </a:prstGeom>
                          <a:solidFill>
                            <a:schemeClr val="accent2">
                              <a:lumMod val="75000"/>
                            </a:schemeClr>
                          </a:solidFill>
                          <a:ln w="6350">
                            <a:solidFill>
                              <a:schemeClr val="accent1"/>
                            </a:solidFill>
                          </a:ln>
                        </wps:spPr>
                        <wps:txbx>
                          <w:txbxContent>
                            <w:p w14:paraId="73B31994" w14:textId="77777777" w:rsidR="00C81450" w:rsidRPr="009D1170" w:rsidRDefault="00C81450" w:rsidP="00C81450">
                              <w:pPr>
                                <w:ind w:firstLine="720"/>
                                <w:rPr>
                                  <w:color w:val="002C3E" w:themeColor="background2"/>
                                  <w:sz w:val="28"/>
                                  <w:szCs w:val="28"/>
                                </w:rPr>
                              </w:pPr>
                              <w:r w:rsidRPr="009D1170">
                                <w:rPr>
                                  <w:rFonts w:eastAsia="Times New Roman"/>
                                  <w:color w:val="002C3E" w:themeColor="background2"/>
                                  <w:sz w:val="28"/>
                                  <w:szCs w:val="28"/>
                                  <w:lang w:eastAsia="en-AU"/>
                                </w:rPr>
                                <w:t>Discussion questions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cNvPr id="7" name="Group 7"/>
                        <wpg:cNvGrpSpPr/>
                        <wpg:grpSpPr>
                          <a:xfrm>
                            <a:off x="0" y="0"/>
                            <a:ext cx="763905" cy="763905"/>
                            <a:chOff x="0" y="0"/>
                            <a:chExt cx="763905" cy="763905"/>
                          </a:xfrm>
                        </wpg:grpSpPr>
                        <wps:wsp>
                          <wps:cNvPr id="8" name="Oval 8"/>
                          <wps:cNvSpPr/>
                          <wps:spPr>
                            <a:xfrm>
                              <a:off x="150125" y="163773"/>
                              <a:ext cx="464024" cy="42308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Graphic 10" descr="Help with solid fill"/>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63905" cy="7639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6764B9B8" id="Group 4" o:spid="_x0000_s1097" style="position:absolute;margin-left:0;margin-top:48.35pt;width:451.3pt;height:60.15pt;z-index:251658254;mso-position-horizontal-relative:margin;mso-width-relative:margin;mso-height-relative:margin" coordsize="57315,76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">
                <v:shape id="Text Box 5" o:spid="_x0000_s1098" type="#_x0000_t202" style="position:absolute;left:2047;top:2456;width:55268;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" fillcolor="#fab501 [2405]" strokecolor="#ebab12 [3204]" strokeweight=".5pt">
                  <v:textbox inset=",1mm,,1mm">
                    <w:txbxContent>
                      <w:p w14:paraId="73B31994" w14:textId="77777777" w:rsidR="00C81450" w:rsidRPr="009D1170" w:rsidRDefault="00C81450" w:rsidP="00C81450">
                        <w:pPr>
                          <w:ind w:firstLine="720"/>
                          <w:rPr>
                            <w:color w:val="002C3E" w:themeColor="background2"/>
                            <w:sz w:val="28"/>
                            <w:szCs w:val="28"/>
                          </w:rPr>
                        </w:pPr>
                        <w:r w:rsidRPr="009D1170">
                          <w:rPr>
                            <w:rFonts w:eastAsia="Times New Roman"/>
                            <w:color w:val="002C3E" w:themeColor="background2"/>
                            <w:sz w:val="28"/>
                            <w:szCs w:val="28"/>
                            <w:lang w:eastAsia="en-AU"/>
                          </w:rPr>
                          <w:t>Discussion questions </w:t>
                        </w:r>
                      </w:p>
                    </w:txbxContent>
                  </v:textbox>
                </v:shape>
                <v:group id="Group 7" o:spid="_x0000_s1099" style="position:absolute;width:7639;height:7639" coordsize="7639,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8" o:spid="_x0000_s1100" style="position:absolute;left:1501;top:1637;width:4640;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" fillcolor="white [3212]" strokecolor="white [3212]" strokeweight="1pt">
                    <v:stroke joinstyle="miter"/>
                  </v:oval>
                  <v:shape id="Graphic 10" o:spid="_x0000_s1101" type="#_x0000_t75" alt="Help with solid fill" style="position:absolute;width:7639;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">
                    <v:imagedata r:id="rId53" o:title="Help with solid fill"/>
                  </v:shape>
                </v:group>
                <w10:wrap anchorx="margin"/>
              </v:group>
            </w:pict>
          </mc:Fallback>
        </mc:AlternateContent>
      </w:r>
      <w:r w:rsidR="000A5FFF">
        <w:rPr>
          <w:rFonts w:ascii="Calibri" w:eastAsia="Times New Roman" w:hAnsi="Calibri" w:cs="Calibri"/>
          <w:lang w:eastAsia="en-AU"/>
        </w:rPr>
        <w:t xml:space="preserve">due to burn out. </w:t>
      </w:r>
    </w:p>
    <w:p w14:paraId="07D3D0BE" w14:textId="77433D4B" w:rsidR="00C81450" w:rsidRDefault="00C81450" w:rsidP="002269C9">
      <w:pPr>
        <w:spacing w:after="120"/>
        <w:textAlignment w:val="baseline"/>
        <w:rPr>
          <w:rFonts w:ascii="Calibri" w:eastAsia="Times New Roman" w:hAnsi="Calibri" w:cs="Calibri"/>
          <w:lang w:eastAsia="en-AU"/>
        </w:rPr>
      </w:pPr>
    </w:p>
    <w:p w14:paraId="5612ED72" w14:textId="5751F74C" w:rsidR="00BE61FA" w:rsidRDefault="00BE61FA" w:rsidP="002269C9">
      <w:pPr>
        <w:spacing w:after="120"/>
        <w:textAlignment w:val="baseline"/>
        <w:rPr>
          <w:rFonts w:ascii="Calibri" w:eastAsia="Times New Roman" w:hAnsi="Calibri" w:cs="Calibri"/>
          <w:lang w:eastAsia="en-AU"/>
        </w:rPr>
      </w:pPr>
    </w:p>
    <w:p w14:paraId="2AB82675" w14:textId="2F7C3616" w:rsidR="00BE61FA" w:rsidRPr="00537C23" w:rsidRDefault="000D0FC5" w:rsidP="002269C9">
      <w:pPr>
        <w:spacing w:after="120"/>
        <w:textAlignment w:val="baseline"/>
        <w:rPr>
          <w:rFonts w:ascii="Calibri" w:eastAsia="Times New Roman" w:hAnsi="Calibri" w:cs="Calibri"/>
          <w:lang w:eastAsia="en-AU"/>
        </w:rPr>
      </w:pPr>
      <w:r>
        <w:rPr>
          <w:rFonts w:ascii="Calibri" w:eastAsia="Times New Roman" w:hAnsi="Calibri" w:cs="Calibri"/>
          <w:lang w:eastAsia="en-AU"/>
        </w:rPr>
        <w:tab/>
      </w:r>
    </w:p>
    <w:p w14:paraId="444ED8D7" w14:textId="3D045BEE" w:rsidR="007E6460" w:rsidRPr="007E6460" w:rsidRDefault="00D15336" w:rsidP="007E6460">
      <w:pPr>
        <w:pStyle w:val="ListParagraph"/>
        <w:numPr>
          <w:ilvl w:val="1"/>
          <w:numId w:val="7"/>
        </w:numPr>
        <w:textAlignment w:val="baseline"/>
        <w:rPr>
          <w:rFonts w:ascii="Calibri" w:eastAsia="Times New Roman" w:hAnsi="Calibri" w:cs="Calibri"/>
          <w:sz w:val="22"/>
          <w:szCs w:val="22"/>
          <w:lang w:eastAsia="en-AU"/>
        </w:rPr>
      </w:pPr>
      <w:r>
        <w:rPr>
          <w:rFonts w:ascii="Calibri" w:eastAsia="Times New Roman" w:hAnsi="Calibri" w:cs="Calibri"/>
          <w:b/>
          <w:bCs/>
          <w:sz w:val="22"/>
          <w:szCs w:val="22"/>
          <w:lang w:eastAsia="en-AU"/>
        </w:rPr>
        <w:t>Better pathways for mid-career entrants</w:t>
      </w:r>
      <w:r w:rsidR="005243EF" w:rsidRPr="005243EF">
        <w:rPr>
          <w:rFonts w:ascii="Calibri" w:eastAsia="Times New Roman" w:hAnsi="Calibri" w:cs="Calibri"/>
          <w:b/>
          <w:bCs/>
          <w:sz w:val="22"/>
          <w:szCs w:val="22"/>
          <w:lang w:eastAsia="en-AU"/>
        </w:rPr>
        <w:t>:</w:t>
      </w:r>
      <w:r w:rsidR="005243EF">
        <w:rPr>
          <w:rFonts w:ascii="Calibri" w:eastAsia="Times New Roman" w:hAnsi="Calibri" w:cs="Calibri"/>
          <w:sz w:val="22"/>
          <w:szCs w:val="22"/>
          <w:lang w:eastAsia="en-AU"/>
        </w:rPr>
        <w:t xml:space="preserve"> </w:t>
      </w:r>
      <w:r w:rsidRPr="00D15336">
        <w:rPr>
          <w:rFonts w:ascii="Calibri" w:eastAsia="Times New Roman" w:hAnsi="Calibri" w:cs="Calibri"/>
          <w:sz w:val="22"/>
          <w:szCs w:val="22"/>
          <w:lang w:eastAsia="en-AU"/>
        </w:rPr>
        <w:t>How can Masters degrees be structured so that mid-career entrants can assume roles in the classroom within 12-18 months instead of two years</w:t>
      </w:r>
      <w:r w:rsidRPr="007E6460">
        <w:rPr>
          <w:rFonts w:ascii="Calibri" w:eastAsia="Times New Roman" w:hAnsi="Calibri" w:cs="Calibri"/>
          <w:sz w:val="22"/>
          <w:szCs w:val="22"/>
          <w:lang w:eastAsia="en-AU"/>
        </w:rPr>
        <w:t xml:space="preserve">? </w:t>
      </w:r>
      <w:r w:rsidR="007E6460" w:rsidRPr="007E6460">
        <w:rPr>
          <w:sz w:val="22"/>
          <w:szCs w:val="22"/>
        </w:rPr>
        <w:t>What changes to regulatory arrangements are needed to enable this?</w:t>
      </w:r>
    </w:p>
    <w:p w14:paraId="7CB92906" w14:textId="26BF8CF8" w:rsidR="00853F98" w:rsidRPr="00FF42C3" w:rsidRDefault="005243EF" w:rsidP="00645BD5">
      <w:pPr>
        <w:pStyle w:val="ListParagraph"/>
        <w:numPr>
          <w:ilvl w:val="1"/>
          <w:numId w:val="7"/>
        </w:numPr>
        <w:textAlignment w:val="baseline"/>
        <w:rPr>
          <w:rFonts w:ascii="Calibri" w:eastAsia="Times New Roman" w:hAnsi="Calibri" w:cs="Calibri"/>
          <w:sz w:val="22"/>
          <w:szCs w:val="22"/>
          <w:lang w:eastAsia="en-AU"/>
        </w:rPr>
      </w:pPr>
      <w:r w:rsidRPr="005243EF">
        <w:rPr>
          <w:rFonts w:ascii="Calibri" w:eastAsia="Times New Roman" w:hAnsi="Calibri" w:cs="Calibri"/>
          <w:b/>
          <w:bCs/>
          <w:sz w:val="22"/>
          <w:szCs w:val="22"/>
          <w:lang w:eastAsia="en-AU"/>
        </w:rPr>
        <w:t>Building the evidence base:</w:t>
      </w:r>
      <w:r>
        <w:rPr>
          <w:rFonts w:ascii="Calibri" w:eastAsia="Times New Roman" w:hAnsi="Calibri" w:cs="Calibri"/>
          <w:sz w:val="22"/>
          <w:szCs w:val="22"/>
          <w:lang w:eastAsia="en-AU"/>
        </w:rPr>
        <w:t xml:space="preserve"> </w:t>
      </w:r>
      <w:r w:rsidR="00853F98" w:rsidRPr="00FF42C3">
        <w:rPr>
          <w:rFonts w:ascii="Calibri" w:eastAsia="Times New Roman" w:hAnsi="Calibri" w:cs="Calibri"/>
          <w:sz w:val="22"/>
          <w:szCs w:val="22"/>
          <w:lang w:eastAsia="en-AU"/>
        </w:rPr>
        <w:t>Would a framework for assessing the success of mid-career programs assist in sharing lessons learned in designing mid-career programs?  </w:t>
      </w:r>
    </w:p>
    <w:p w14:paraId="24EBBB63" w14:textId="436B69DB" w:rsidR="00950102" w:rsidRDefault="008D2F59" w:rsidP="00645BD5">
      <w:pPr>
        <w:pStyle w:val="ListParagraph"/>
        <w:numPr>
          <w:ilvl w:val="1"/>
          <w:numId w:val="7"/>
        </w:numPr>
        <w:textAlignment w:val="baseline"/>
        <w:rPr>
          <w:rFonts w:ascii="Calibri" w:eastAsia="Times New Roman" w:hAnsi="Calibri" w:cs="Calibri"/>
          <w:sz w:val="22"/>
          <w:szCs w:val="22"/>
          <w:lang w:eastAsia="en-AU"/>
        </w:rPr>
      </w:pPr>
      <w:r w:rsidRPr="008D2F59">
        <w:rPr>
          <w:rFonts w:ascii="Calibri" w:eastAsia="Times New Roman" w:hAnsi="Calibri" w:cs="Calibri"/>
          <w:b/>
          <w:bCs/>
          <w:sz w:val="22"/>
          <w:szCs w:val="22"/>
          <w:lang w:eastAsia="en-AU"/>
        </w:rPr>
        <w:t>Increasing flexibility:</w:t>
      </w:r>
      <w:r>
        <w:rPr>
          <w:rFonts w:ascii="Calibri" w:eastAsia="Times New Roman" w:hAnsi="Calibri" w:cs="Calibri"/>
          <w:sz w:val="22"/>
          <w:szCs w:val="22"/>
          <w:lang w:eastAsia="en-AU"/>
        </w:rPr>
        <w:t xml:space="preserve"> </w:t>
      </w:r>
      <w:r w:rsidR="001123E8">
        <w:rPr>
          <w:rFonts w:ascii="Calibri" w:eastAsia="Times New Roman" w:hAnsi="Calibri" w:cs="Calibri"/>
          <w:sz w:val="22"/>
          <w:szCs w:val="22"/>
          <w:lang w:eastAsia="en-AU"/>
        </w:rPr>
        <w:t xml:space="preserve">Is their </w:t>
      </w:r>
      <w:r w:rsidR="009455A0">
        <w:rPr>
          <w:rFonts w:ascii="Calibri" w:eastAsia="Times New Roman" w:hAnsi="Calibri" w:cs="Calibri"/>
          <w:sz w:val="22"/>
          <w:szCs w:val="22"/>
          <w:lang w:eastAsia="en-AU"/>
        </w:rPr>
        <w:t>sufficient flexibility</w:t>
      </w:r>
      <w:r w:rsidR="00390123">
        <w:rPr>
          <w:rFonts w:ascii="Calibri" w:eastAsia="Times New Roman" w:hAnsi="Calibri" w:cs="Calibri"/>
          <w:sz w:val="22"/>
          <w:szCs w:val="22"/>
          <w:lang w:eastAsia="en-AU"/>
        </w:rPr>
        <w:t xml:space="preserve"> </w:t>
      </w:r>
      <w:r w:rsidR="008C4A17">
        <w:rPr>
          <w:rFonts w:ascii="Calibri" w:eastAsia="Times New Roman" w:hAnsi="Calibri" w:cs="Calibri"/>
          <w:sz w:val="22"/>
          <w:szCs w:val="22"/>
          <w:lang w:eastAsia="en-AU"/>
        </w:rPr>
        <w:t>in providers delivery of ITE</w:t>
      </w:r>
      <w:r w:rsidR="00390123">
        <w:rPr>
          <w:rFonts w:ascii="Calibri" w:eastAsia="Times New Roman" w:hAnsi="Calibri" w:cs="Calibri"/>
          <w:sz w:val="22"/>
          <w:szCs w:val="22"/>
          <w:lang w:eastAsia="en-AU"/>
        </w:rPr>
        <w:t xml:space="preserve"> </w:t>
      </w:r>
      <w:r w:rsidR="004C5C43">
        <w:rPr>
          <w:rFonts w:ascii="Calibri" w:eastAsia="Times New Roman" w:hAnsi="Calibri" w:cs="Calibri"/>
          <w:sz w:val="22"/>
          <w:szCs w:val="22"/>
          <w:lang w:eastAsia="en-AU"/>
        </w:rPr>
        <w:t>to cater to the circumstances of</w:t>
      </w:r>
      <w:r w:rsidR="00390123">
        <w:rPr>
          <w:rFonts w:ascii="Calibri" w:eastAsia="Times New Roman" w:hAnsi="Calibri" w:cs="Calibri"/>
          <w:sz w:val="22"/>
          <w:szCs w:val="22"/>
          <w:lang w:eastAsia="en-AU"/>
        </w:rPr>
        <w:t xml:space="preserve"> </w:t>
      </w:r>
      <w:r w:rsidR="00E94441">
        <w:rPr>
          <w:rFonts w:ascii="Calibri" w:eastAsia="Times New Roman" w:hAnsi="Calibri" w:cs="Calibri"/>
          <w:sz w:val="22"/>
          <w:szCs w:val="22"/>
          <w:lang w:eastAsia="en-AU"/>
        </w:rPr>
        <w:t xml:space="preserve">mid-career </w:t>
      </w:r>
      <w:r w:rsidR="00C74AE1">
        <w:rPr>
          <w:rFonts w:ascii="Calibri" w:eastAsia="Times New Roman" w:hAnsi="Calibri" w:cs="Calibri"/>
          <w:sz w:val="22"/>
          <w:szCs w:val="22"/>
          <w:lang w:eastAsia="en-AU"/>
        </w:rPr>
        <w:t>entrants</w:t>
      </w:r>
      <w:r w:rsidR="00E7423B">
        <w:rPr>
          <w:rFonts w:ascii="Calibri" w:eastAsia="Times New Roman" w:hAnsi="Calibri" w:cs="Calibri"/>
          <w:sz w:val="22"/>
          <w:szCs w:val="22"/>
          <w:lang w:eastAsia="en-AU"/>
        </w:rPr>
        <w:t xml:space="preserve">? </w:t>
      </w:r>
    </w:p>
    <w:p w14:paraId="7628AD3D" w14:textId="77777777" w:rsidR="005A5030" w:rsidRPr="00FF42C3" w:rsidRDefault="005A5030" w:rsidP="00096E58">
      <w:pPr>
        <w:pStyle w:val="ListParagraph"/>
        <w:textAlignment w:val="baseline"/>
        <w:rPr>
          <w:rFonts w:ascii="Calibri" w:eastAsia="Times New Roman" w:hAnsi="Calibri" w:cs="Calibri"/>
          <w:sz w:val="22"/>
          <w:szCs w:val="22"/>
          <w:lang w:eastAsia="en-AU"/>
        </w:rPr>
      </w:pPr>
    </w:p>
    <w:p w14:paraId="5D969330" w14:textId="233CFFA9" w:rsidR="00950102" w:rsidRPr="00C038E1" w:rsidRDefault="00850401" w:rsidP="00C038E1">
      <w:pPr>
        <w:pStyle w:val="ListParagraph"/>
        <w:ind w:firstLine="698"/>
        <w:textAlignment w:val="baseline"/>
        <w:rPr>
          <w:rFonts w:ascii="Calibri" w:eastAsia="Times New Roman" w:hAnsi="Calibri" w:cs="Calibri"/>
          <w:sz w:val="22"/>
          <w:szCs w:val="22"/>
          <w:lang w:eastAsia="en-AU"/>
        </w:rPr>
      </w:pPr>
      <w:r w:rsidRPr="00827606">
        <w:rPr>
          <w:rFonts w:ascii="Calibri" w:eastAsia="Times New Roman" w:hAnsi="Calibri" w:cs="Calibri"/>
          <w:i/>
          <w:iCs/>
          <w:sz w:val="22"/>
          <w:szCs w:val="22"/>
          <w:lang w:eastAsia="en-AU"/>
        </w:rPr>
        <w:t>In your responses, please provide supporting evidence.</w:t>
      </w:r>
    </w:p>
    <w:p w14:paraId="228A73F1" w14:textId="1C0D3D22" w:rsidR="00CC7B3E" w:rsidRDefault="00CC7B3E">
      <w:pPr>
        <w:spacing w:after="160"/>
        <w:rPr>
          <w:rFonts w:eastAsia="Times New Roman"/>
          <w:b/>
          <w:color w:val="002C3E" w:themeColor="background2"/>
          <w:sz w:val="44"/>
          <w:szCs w:val="44"/>
          <w:lang w:eastAsia="en-AU"/>
        </w:rPr>
      </w:pPr>
    </w:p>
    <w:p w14:paraId="6499C903" w14:textId="6808F4A5" w:rsidR="00905862" w:rsidRPr="00905862" w:rsidRDefault="00905862">
      <w:pPr>
        <w:spacing w:after="160"/>
        <w:rPr>
          <w:rFonts w:eastAsia="Times New Roman"/>
          <w:b/>
          <w:color w:val="002C3E" w:themeColor="background2"/>
          <w:sz w:val="44"/>
          <w:szCs w:val="44"/>
          <w:lang w:eastAsia="en-AU"/>
        </w:rPr>
      </w:pPr>
      <w:r>
        <w:rPr>
          <w:rFonts w:eastAsia="Times New Roman"/>
          <w:b/>
          <w:color w:val="002C3E" w:themeColor="background2"/>
          <w:sz w:val="44"/>
          <w:szCs w:val="44"/>
          <w:lang w:eastAsia="en-AU"/>
        </w:rPr>
        <w:br w:type="page"/>
      </w:r>
    </w:p>
    <w:p w14:paraId="7F7EBBCF" w14:textId="77777777" w:rsidR="00B707E9" w:rsidRPr="0028145D" w:rsidRDefault="00B707E9" w:rsidP="007272DB">
      <w:pPr>
        <w:pStyle w:val="Heading1"/>
        <w:spacing w:before="0" w:after="240" w:line="240" w:lineRule="auto"/>
        <w:jc w:val="left"/>
        <w:rPr>
          <w:rFonts w:asciiTheme="majorHAnsi" w:eastAsia="Times New Roman" w:hAnsiTheme="majorHAnsi" w:cstheme="majorHAnsi"/>
          <w:b/>
          <w:color w:val="002C3E" w:themeColor="background2"/>
          <w:sz w:val="44"/>
          <w:szCs w:val="44"/>
          <w:lang w:eastAsia="en-AU"/>
        </w:rPr>
      </w:pPr>
      <w:bookmarkStart w:id="129" w:name="_Toc127978400"/>
      <w:bookmarkStart w:id="130" w:name="_Toc130217465"/>
      <w:bookmarkStart w:id="131" w:name="_Toc128649109"/>
      <w:r w:rsidRPr="0028145D">
        <w:rPr>
          <w:rFonts w:asciiTheme="majorHAnsi" w:eastAsia="Times New Roman" w:hAnsiTheme="majorHAnsi" w:cstheme="majorHAnsi"/>
          <w:b/>
          <w:color w:val="002C3E" w:themeColor="background2"/>
          <w:sz w:val="44"/>
          <w:szCs w:val="44"/>
          <w:lang w:eastAsia="en-AU"/>
        </w:rPr>
        <w:lastRenderedPageBreak/>
        <w:t>References</w:t>
      </w:r>
      <w:bookmarkEnd w:id="129"/>
      <w:bookmarkEnd w:id="130"/>
      <w:r w:rsidRPr="0028145D">
        <w:rPr>
          <w:rFonts w:asciiTheme="majorHAnsi" w:eastAsia="Times New Roman" w:hAnsiTheme="majorHAnsi" w:cstheme="majorHAnsi"/>
          <w:b/>
          <w:color w:val="002C3E" w:themeColor="background2"/>
          <w:sz w:val="44"/>
          <w:szCs w:val="44"/>
          <w:lang w:eastAsia="en-AU"/>
        </w:rPr>
        <w:t> </w:t>
      </w:r>
      <w:bookmarkEnd w:id="131"/>
    </w:p>
    <w:p w14:paraId="4318E69F" w14:textId="24B332AC" w:rsidR="0095160B" w:rsidRDefault="0095160B" w:rsidP="73471CB5">
      <w:pPr>
        <w:pStyle w:val="ListParagraph"/>
        <w:numPr>
          <w:ilvl w:val="0"/>
          <w:numId w:val="34"/>
        </w:numPr>
        <w:spacing w:after="60"/>
        <w:rPr>
          <w:sz w:val="22"/>
          <w:szCs w:val="22"/>
        </w:rPr>
      </w:pPr>
      <w:r w:rsidRPr="73471CB5">
        <w:rPr>
          <w:sz w:val="22"/>
          <w:szCs w:val="22"/>
        </w:rPr>
        <w:t>A</w:t>
      </w:r>
      <w:r w:rsidR="0049299E" w:rsidRPr="73471CB5">
        <w:rPr>
          <w:sz w:val="22"/>
          <w:szCs w:val="22"/>
        </w:rPr>
        <w:t xml:space="preserve">ustralian </w:t>
      </w:r>
      <w:r w:rsidRPr="73471CB5">
        <w:rPr>
          <w:sz w:val="22"/>
          <w:szCs w:val="22"/>
        </w:rPr>
        <w:t>A</w:t>
      </w:r>
      <w:r w:rsidR="0049299E" w:rsidRPr="73471CB5">
        <w:rPr>
          <w:sz w:val="22"/>
          <w:szCs w:val="22"/>
        </w:rPr>
        <w:t xml:space="preserve">ssociation of </w:t>
      </w:r>
      <w:r w:rsidR="00B31404" w:rsidRPr="73471CB5">
        <w:rPr>
          <w:sz w:val="22"/>
          <w:szCs w:val="22"/>
        </w:rPr>
        <w:t>M</w:t>
      </w:r>
      <w:r w:rsidR="0049299E" w:rsidRPr="73471CB5">
        <w:rPr>
          <w:sz w:val="22"/>
          <w:szCs w:val="22"/>
        </w:rPr>
        <w:t xml:space="preserve">athematics </w:t>
      </w:r>
      <w:r w:rsidR="00B31404" w:rsidRPr="73471CB5">
        <w:rPr>
          <w:sz w:val="22"/>
          <w:szCs w:val="22"/>
        </w:rPr>
        <w:t>T</w:t>
      </w:r>
      <w:r w:rsidR="0049299E" w:rsidRPr="73471CB5">
        <w:rPr>
          <w:sz w:val="22"/>
          <w:szCs w:val="22"/>
        </w:rPr>
        <w:t>eachers</w:t>
      </w:r>
      <w:r w:rsidR="00B9011F" w:rsidRPr="73471CB5">
        <w:rPr>
          <w:sz w:val="22"/>
          <w:szCs w:val="22"/>
        </w:rPr>
        <w:t xml:space="preserve"> (</w:t>
      </w:r>
      <w:r w:rsidR="00E0277A" w:rsidRPr="73471CB5">
        <w:rPr>
          <w:sz w:val="22"/>
          <w:szCs w:val="22"/>
        </w:rPr>
        <w:t>AAMT)</w:t>
      </w:r>
      <w:r w:rsidR="00B9011F" w:rsidRPr="73471CB5">
        <w:rPr>
          <w:sz w:val="22"/>
          <w:szCs w:val="22"/>
        </w:rPr>
        <w:t xml:space="preserve"> (1998)</w:t>
      </w:r>
      <w:r w:rsidR="00096AB8" w:rsidRPr="73471CB5">
        <w:rPr>
          <w:sz w:val="22"/>
          <w:szCs w:val="22"/>
        </w:rPr>
        <w:t xml:space="preserve">, </w:t>
      </w:r>
      <w:r w:rsidR="0055514A" w:rsidRPr="73471CB5">
        <w:rPr>
          <w:sz w:val="22"/>
          <w:szCs w:val="22"/>
        </w:rPr>
        <w:t xml:space="preserve">Policy on Numeracy Education in Schools, </w:t>
      </w:r>
      <w:r w:rsidR="00E31244" w:rsidRPr="73471CB5">
        <w:rPr>
          <w:sz w:val="22"/>
          <w:szCs w:val="22"/>
        </w:rPr>
        <w:t>AAMT.</w:t>
      </w:r>
    </w:p>
    <w:p w14:paraId="07C256B8" w14:textId="3FB0CF89" w:rsidR="73471CB5" w:rsidRDefault="6972A575" w:rsidP="73471CB5">
      <w:pPr>
        <w:pStyle w:val="ListParagraph"/>
        <w:numPr>
          <w:ilvl w:val="0"/>
          <w:numId w:val="34"/>
        </w:numPr>
        <w:spacing w:after="60"/>
        <w:rPr>
          <w:sz w:val="22"/>
          <w:szCs w:val="22"/>
        </w:rPr>
      </w:pPr>
      <w:r w:rsidRPr="61848430">
        <w:rPr>
          <w:sz w:val="22"/>
          <w:szCs w:val="22"/>
        </w:rPr>
        <w:t>Australian Curriculum</w:t>
      </w:r>
      <w:r w:rsidR="01C7646C" w:rsidRPr="641642CD">
        <w:rPr>
          <w:sz w:val="22"/>
          <w:szCs w:val="22"/>
        </w:rPr>
        <w:t>,</w:t>
      </w:r>
      <w:r w:rsidR="01C7646C" w:rsidRPr="141C0993">
        <w:rPr>
          <w:sz w:val="22"/>
          <w:szCs w:val="22"/>
        </w:rPr>
        <w:t xml:space="preserve"> </w:t>
      </w:r>
      <w:r w:rsidRPr="61848430">
        <w:rPr>
          <w:sz w:val="22"/>
          <w:szCs w:val="22"/>
        </w:rPr>
        <w:t xml:space="preserve">Assessment </w:t>
      </w:r>
      <w:r w:rsidR="72DA5248" w:rsidRPr="141C0993">
        <w:rPr>
          <w:sz w:val="22"/>
          <w:szCs w:val="22"/>
        </w:rPr>
        <w:t xml:space="preserve">and </w:t>
      </w:r>
      <w:r w:rsidRPr="61848430">
        <w:rPr>
          <w:sz w:val="22"/>
          <w:szCs w:val="22"/>
        </w:rPr>
        <w:t>Reporting Authority (ACARA) (</w:t>
      </w:r>
      <w:r w:rsidR="0BAA5B07" w:rsidRPr="1775F862">
        <w:rPr>
          <w:sz w:val="22"/>
          <w:szCs w:val="22"/>
        </w:rPr>
        <w:t>2022</w:t>
      </w:r>
      <w:r w:rsidRPr="61848430">
        <w:rPr>
          <w:sz w:val="22"/>
          <w:szCs w:val="22"/>
        </w:rPr>
        <w:t>),</w:t>
      </w:r>
      <w:r w:rsidR="53E392D0" w:rsidRPr="141C0993">
        <w:rPr>
          <w:sz w:val="22"/>
          <w:szCs w:val="22"/>
        </w:rPr>
        <w:t xml:space="preserve"> </w:t>
      </w:r>
      <w:r w:rsidR="53E392D0" w:rsidRPr="78F6248D">
        <w:rPr>
          <w:rFonts w:ascii="Calibri" w:eastAsia="Calibri" w:hAnsi="Calibri" w:cs="Calibri"/>
          <w:sz w:val="22"/>
          <w:szCs w:val="22"/>
          <w:lang w:val="en-US"/>
        </w:rPr>
        <w:t>Australian Curriculum: Mathematics</w:t>
      </w:r>
      <w:r w:rsidR="53E392D0" w:rsidRPr="141C0993">
        <w:rPr>
          <w:sz w:val="22"/>
          <w:szCs w:val="22"/>
        </w:rPr>
        <w:t xml:space="preserve"> </w:t>
      </w:r>
      <w:r w:rsidR="0BAA5B07" w:rsidRPr="1775F862">
        <w:rPr>
          <w:sz w:val="22"/>
          <w:szCs w:val="22"/>
        </w:rPr>
        <w:t>V9.0</w:t>
      </w:r>
    </w:p>
    <w:p w14:paraId="644C090B" w14:textId="27985064" w:rsidR="78F6248D" w:rsidRDefault="6972A575" w:rsidP="78F6248D">
      <w:pPr>
        <w:pStyle w:val="ListParagraph"/>
        <w:numPr>
          <w:ilvl w:val="0"/>
          <w:numId w:val="34"/>
        </w:numPr>
        <w:spacing w:after="60"/>
        <w:rPr>
          <w:sz w:val="22"/>
          <w:szCs w:val="22"/>
        </w:rPr>
      </w:pPr>
      <w:r w:rsidRPr="73471CB5">
        <w:rPr>
          <w:sz w:val="22"/>
          <w:szCs w:val="22"/>
        </w:rPr>
        <w:t>Australian Curriculum</w:t>
      </w:r>
      <w:r w:rsidR="01C7646C" w:rsidRPr="73471CB5">
        <w:rPr>
          <w:sz w:val="22"/>
          <w:szCs w:val="22"/>
        </w:rPr>
        <w:t xml:space="preserve">, </w:t>
      </w:r>
      <w:r w:rsidRPr="73471CB5">
        <w:rPr>
          <w:sz w:val="22"/>
          <w:szCs w:val="22"/>
        </w:rPr>
        <w:t xml:space="preserve">Assessment </w:t>
      </w:r>
      <w:r w:rsidR="72DA5248" w:rsidRPr="73471CB5">
        <w:rPr>
          <w:sz w:val="22"/>
          <w:szCs w:val="22"/>
        </w:rPr>
        <w:t xml:space="preserve">and </w:t>
      </w:r>
      <w:r w:rsidRPr="73471CB5">
        <w:rPr>
          <w:sz w:val="22"/>
          <w:szCs w:val="22"/>
        </w:rPr>
        <w:t>Reporting Authority (ACARA) (2018),</w:t>
      </w:r>
      <w:r w:rsidR="53E392D0" w:rsidRPr="73471CB5">
        <w:rPr>
          <w:sz w:val="22"/>
          <w:szCs w:val="22"/>
        </w:rPr>
        <w:t xml:space="preserve"> </w:t>
      </w:r>
      <w:r w:rsidR="53E392D0" w:rsidRPr="73471CB5">
        <w:rPr>
          <w:rFonts w:ascii="Calibri" w:eastAsia="Calibri" w:hAnsi="Calibri" w:cs="Calibri"/>
          <w:sz w:val="22"/>
          <w:szCs w:val="22"/>
          <w:lang w:val="en-US"/>
        </w:rPr>
        <w:t>Australian Curriculum: Mathematics</w:t>
      </w:r>
      <w:r w:rsidR="53E392D0" w:rsidRPr="73471CB5">
        <w:rPr>
          <w:sz w:val="22"/>
          <w:szCs w:val="22"/>
        </w:rPr>
        <w:t xml:space="preserve"> V8.</w:t>
      </w:r>
      <w:r w:rsidR="18629818" w:rsidRPr="73471CB5">
        <w:rPr>
          <w:sz w:val="22"/>
          <w:szCs w:val="22"/>
        </w:rPr>
        <w:t>4</w:t>
      </w:r>
    </w:p>
    <w:p w14:paraId="01D5E134" w14:textId="68D4B461" w:rsidR="00544946" w:rsidRPr="00D73D0F" w:rsidRDefault="005545CE" w:rsidP="00242E7E">
      <w:pPr>
        <w:pStyle w:val="ListParagraph"/>
        <w:numPr>
          <w:ilvl w:val="0"/>
          <w:numId w:val="34"/>
        </w:numPr>
        <w:spacing w:after="60"/>
        <w:contextualSpacing w:val="0"/>
        <w:rPr>
          <w:rFonts w:cstheme="minorHAnsi"/>
          <w:sz w:val="22"/>
          <w:szCs w:val="22"/>
        </w:rPr>
      </w:pPr>
      <w:proofErr w:type="spellStart"/>
      <w:r w:rsidRPr="78F6248D">
        <w:rPr>
          <w:sz w:val="22"/>
          <w:szCs w:val="22"/>
        </w:rPr>
        <w:t>Adesope</w:t>
      </w:r>
      <w:proofErr w:type="spellEnd"/>
      <w:r w:rsidRPr="78F6248D">
        <w:rPr>
          <w:sz w:val="22"/>
          <w:szCs w:val="22"/>
        </w:rPr>
        <w:t xml:space="preserve"> OO, </w:t>
      </w:r>
      <w:proofErr w:type="spellStart"/>
      <w:r w:rsidRPr="78F6248D">
        <w:rPr>
          <w:sz w:val="22"/>
          <w:szCs w:val="22"/>
        </w:rPr>
        <w:t>Trevisan</w:t>
      </w:r>
      <w:proofErr w:type="spellEnd"/>
      <w:r w:rsidRPr="78F6248D">
        <w:rPr>
          <w:sz w:val="22"/>
          <w:szCs w:val="22"/>
        </w:rPr>
        <w:t xml:space="preserve"> DA and Sundararajan N (2017) ‘Rethinking the Use of Tests: A Meta-Analysis of Practice Testing’, Review of Educational Research, 87(3)</w:t>
      </w:r>
      <w:r w:rsidR="0091731C" w:rsidRPr="78F6248D">
        <w:rPr>
          <w:sz w:val="22"/>
          <w:szCs w:val="22"/>
        </w:rPr>
        <w:t>, pp.</w:t>
      </w:r>
      <w:r w:rsidRPr="78F6248D">
        <w:rPr>
          <w:sz w:val="22"/>
          <w:szCs w:val="22"/>
        </w:rPr>
        <w:t>659–701</w:t>
      </w:r>
      <w:r w:rsidR="00180C88" w:rsidRPr="78F6248D">
        <w:rPr>
          <w:sz w:val="22"/>
          <w:szCs w:val="22"/>
        </w:rPr>
        <w:t>.</w:t>
      </w:r>
    </w:p>
    <w:p w14:paraId="3B6F17D8" w14:textId="48BCCD75" w:rsidR="001C6EB2" w:rsidRPr="00D73D0F" w:rsidRDefault="001C6EB2" w:rsidP="007D6F33">
      <w:pPr>
        <w:pStyle w:val="ListParagraph"/>
        <w:numPr>
          <w:ilvl w:val="0"/>
          <w:numId w:val="34"/>
        </w:numPr>
        <w:spacing w:after="60"/>
        <w:contextualSpacing w:val="0"/>
        <w:rPr>
          <w:rFonts w:cstheme="minorHAnsi"/>
          <w:sz w:val="22"/>
          <w:szCs w:val="22"/>
        </w:rPr>
      </w:pPr>
      <w:r w:rsidRPr="78F6248D">
        <w:rPr>
          <w:sz w:val="22"/>
          <w:szCs w:val="22"/>
        </w:rPr>
        <w:t>AERO (2021), ‘</w:t>
      </w:r>
      <w:r w:rsidR="00796150" w:rsidRPr="78F6248D">
        <w:rPr>
          <w:sz w:val="22"/>
          <w:szCs w:val="22"/>
        </w:rPr>
        <w:t>Focused classrooms: Managing the classroom to maximise learning</w:t>
      </w:r>
      <w:r w:rsidRPr="78F6248D">
        <w:rPr>
          <w:sz w:val="22"/>
          <w:szCs w:val="22"/>
        </w:rPr>
        <w:t>’, Australian Education Research Organisation (AERO)</w:t>
      </w:r>
      <w:r w:rsidR="00280BDC" w:rsidRPr="78F6248D">
        <w:rPr>
          <w:sz w:val="22"/>
          <w:szCs w:val="22"/>
        </w:rPr>
        <w:t>.</w:t>
      </w:r>
      <w:r w:rsidR="00E050F4" w:rsidRPr="78F6248D">
        <w:rPr>
          <w:sz w:val="22"/>
          <w:szCs w:val="22"/>
        </w:rPr>
        <w:t xml:space="preserve"> </w:t>
      </w:r>
    </w:p>
    <w:p w14:paraId="3F985847" w14:textId="79BB6CC5"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Agarwal P (2019) ‘Retrieval Practice &amp; Bloom’s Taxonomy: Do Students Need Fact Knowledge Before Higher Order Learning?’, Journal of Educational Psychology, 111</w:t>
      </w:r>
      <w:r w:rsidR="0091731C" w:rsidRPr="78F6248D">
        <w:rPr>
          <w:sz w:val="22"/>
          <w:szCs w:val="22"/>
        </w:rPr>
        <w:t>, pp.</w:t>
      </w:r>
      <w:r w:rsidRPr="78F6248D">
        <w:rPr>
          <w:sz w:val="22"/>
          <w:szCs w:val="22"/>
        </w:rPr>
        <w:t>189–209</w:t>
      </w:r>
      <w:r w:rsidR="00180C88" w:rsidRPr="78F6248D">
        <w:rPr>
          <w:sz w:val="22"/>
          <w:szCs w:val="22"/>
        </w:rPr>
        <w:t>.</w:t>
      </w:r>
    </w:p>
    <w:p w14:paraId="527F5FD4" w14:textId="3155D18E"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proofErr w:type="spellStart"/>
      <w:r w:rsidRPr="78F6248D">
        <w:rPr>
          <w:rFonts w:asciiTheme="minorHAnsi" w:eastAsiaTheme="minorEastAsia" w:hAnsiTheme="minorHAnsi" w:cstheme="minorBidi"/>
          <w:sz w:val="22"/>
        </w:rPr>
        <w:t>Agresti</w:t>
      </w:r>
      <w:proofErr w:type="spellEnd"/>
      <w:r w:rsidRPr="78F6248D">
        <w:rPr>
          <w:rFonts w:asciiTheme="minorHAnsi" w:eastAsiaTheme="minorEastAsia" w:hAnsiTheme="minorHAnsi" w:cstheme="minorBidi"/>
          <w:sz w:val="22"/>
        </w:rPr>
        <w:t xml:space="preserve"> A</w:t>
      </w:r>
      <w:r w:rsidR="009457BE" w:rsidRPr="78F6248D">
        <w:rPr>
          <w:rFonts w:asciiTheme="minorHAnsi" w:eastAsiaTheme="minorEastAsia" w:hAnsiTheme="minorHAnsi" w:cstheme="minorBidi"/>
          <w:sz w:val="22"/>
        </w:rPr>
        <w:t xml:space="preserve"> and</w:t>
      </w:r>
      <w:r w:rsidRPr="78F6248D">
        <w:rPr>
          <w:rFonts w:asciiTheme="minorHAnsi" w:eastAsiaTheme="minorEastAsia" w:hAnsiTheme="minorHAnsi" w:cstheme="minorBidi"/>
          <w:sz w:val="22"/>
        </w:rPr>
        <w:t xml:space="preserve"> </w:t>
      </w:r>
      <w:proofErr w:type="spellStart"/>
      <w:r w:rsidRPr="78F6248D">
        <w:rPr>
          <w:rFonts w:asciiTheme="minorHAnsi" w:eastAsiaTheme="minorEastAsia" w:hAnsiTheme="minorHAnsi" w:cstheme="minorBidi"/>
          <w:sz w:val="22"/>
        </w:rPr>
        <w:t>Coull</w:t>
      </w:r>
      <w:proofErr w:type="spellEnd"/>
      <w:r w:rsidRPr="78F6248D">
        <w:rPr>
          <w:rFonts w:asciiTheme="minorHAnsi" w:eastAsiaTheme="minorEastAsia" w:hAnsiTheme="minorHAnsi" w:cstheme="minorBidi"/>
          <w:sz w:val="22"/>
        </w:rPr>
        <w:t xml:space="preserve"> BA (1998) </w:t>
      </w:r>
      <w:r w:rsidR="006A0735"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Approximate is Better than “Exact” for Interval Estimation of Binomial Proportions</w:t>
      </w:r>
      <w:r w:rsidR="006A0735" w:rsidRPr="78F6248D">
        <w:rPr>
          <w:rFonts w:asciiTheme="minorHAnsi" w:eastAsiaTheme="minorEastAsia" w:hAnsiTheme="minorHAnsi" w:cstheme="minorBidi"/>
          <w:sz w:val="22"/>
        </w:rPr>
        <w:t>’</w:t>
      </w:r>
      <w:r w:rsidR="0091731C"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The American Statistician, 52, pp.119-126</w:t>
      </w:r>
      <w:r w:rsidR="00280BDC" w:rsidRPr="78F6248D">
        <w:rPr>
          <w:rFonts w:asciiTheme="minorHAnsi" w:eastAsiaTheme="minorEastAsia" w:hAnsiTheme="minorHAnsi" w:cstheme="minorBidi"/>
          <w:sz w:val="22"/>
        </w:rPr>
        <w:t>.</w:t>
      </w:r>
    </w:p>
    <w:p w14:paraId="62EC4910" w14:textId="6B38F5D6" w:rsidR="00D72565" w:rsidRPr="00D73D0F" w:rsidRDefault="00D72565" w:rsidP="007D6F33">
      <w:pPr>
        <w:pStyle w:val="CommentText"/>
        <w:numPr>
          <w:ilvl w:val="0"/>
          <w:numId w:val="34"/>
        </w:numPr>
        <w:spacing w:after="60"/>
        <w:rPr>
          <w:rFonts w:eastAsiaTheme="minorEastAsia" w:cstheme="minorHAnsi"/>
          <w:sz w:val="22"/>
          <w:szCs w:val="22"/>
        </w:rPr>
      </w:pPr>
      <w:r w:rsidRPr="78F6248D">
        <w:rPr>
          <w:rFonts w:eastAsiaTheme="minorEastAsia"/>
          <w:sz w:val="22"/>
          <w:szCs w:val="22"/>
        </w:rPr>
        <w:t xml:space="preserve">AITSL (2018) ‘Australian professional standards for teachers’, </w:t>
      </w:r>
      <w:r w:rsidR="00804051" w:rsidRPr="78F6248D">
        <w:rPr>
          <w:rFonts w:eastAsiaTheme="minorEastAsia"/>
          <w:sz w:val="22"/>
          <w:szCs w:val="22"/>
        </w:rPr>
        <w:t>Australian Institute for Teaching and School Leadership</w:t>
      </w:r>
      <w:r w:rsidR="00CB5A99" w:rsidRPr="78F6248D">
        <w:rPr>
          <w:rFonts w:eastAsiaTheme="minorEastAsia"/>
          <w:sz w:val="22"/>
          <w:szCs w:val="22"/>
        </w:rPr>
        <w:t xml:space="preserve"> (AITSL)</w:t>
      </w:r>
      <w:r w:rsidR="00280BDC" w:rsidRPr="78F6248D">
        <w:rPr>
          <w:rFonts w:eastAsiaTheme="minorEastAsia"/>
          <w:sz w:val="22"/>
          <w:szCs w:val="22"/>
        </w:rPr>
        <w:t>.</w:t>
      </w:r>
    </w:p>
    <w:p w14:paraId="1DBBC494" w14:textId="49BD8F04" w:rsidR="00D72565" w:rsidRPr="00D73D0F" w:rsidRDefault="00D72565"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 xml:space="preserve">AITSL (2019) ‘Initial teacher education: Data report 2019’, </w:t>
      </w:r>
      <w:r w:rsidR="00804051" w:rsidRPr="78F6248D">
        <w:rPr>
          <w:rFonts w:asciiTheme="minorHAnsi" w:eastAsiaTheme="minorEastAsia" w:hAnsiTheme="minorHAnsi" w:cstheme="minorBidi"/>
          <w:sz w:val="22"/>
        </w:rPr>
        <w:t>Australian Institute for Teaching and School Leadership</w:t>
      </w:r>
      <w:r w:rsidR="0083223C" w:rsidRPr="78F6248D">
        <w:rPr>
          <w:rFonts w:asciiTheme="minorHAnsi" w:eastAsiaTheme="minorEastAsia" w:hAnsiTheme="minorHAnsi" w:cstheme="minorBidi"/>
          <w:sz w:val="22"/>
        </w:rPr>
        <w:t xml:space="preserve"> (AITSL)</w:t>
      </w:r>
      <w:r w:rsidR="00280BDC" w:rsidRPr="78F6248D">
        <w:rPr>
          <w:rFonts w:asciiTheme="minorHAnsi" w:eastAsiaTheme="minorEastAsia" w:hAnsiTheme="minorHAnsi" w:cstheme="minorBidi"/>
          <w:sz w:val="22"/>
        </w:rPr>
        <w:t>.</w:t>
      </w:r>
    </w:p>
    <w:p w14:paraId="47712C78" w14:textId="79BBFB24" w:rsidR="00D72565" w:rsidRPr="00D73D0F" w:rsidRDefault="00D72565" w:rsidP="007D6F33">
      <w:pPr>
        <w:pStyle w:val="ListParagraph"/>
        <w:numPr>
          <w:ilvl w:val="0"/>
          <w:numId w:val="34"/>
        </w:numPr>
        <w:spacing w:after="60"/>
        <w:contextualSpacing w:val="0"/>
        <w:rPr>
          <w:rFonts w:cstheme="minorHAnsi"/>
          <w:sz w:val="22"/>
          <w:szCs w:val="22"/>
        </w:rPr>
      </w:pPr>
      <w:r w:rsidRPr="78F6248D">
        <w:rPr>
          <w:sz w:val="22"/>
          <w:szCs w:val="22"/>
        </w:rPr>
        <w:t>AITSL (</w:t>
      </w:r>
      <w:r w:rsidR="003D6A36" w:rsidRPr="78F6248D">
        <w:rPr>
          <w:sz w:val="22"/>
          <w:szCs w:val="22"/>
        </w:rPr>
        <w:t>2022a</w:t>
      </w:r>
      <w:r w:rsidRPr="78F6248D">
        <w:rPr>
          <w:sz w:val="22"/>
          <w:szCs w:val="22"/>
        </w:rPr>
        <w:t xml:space="preserve">) ‘Accreditation of initial teacher education programs in Australia: Standards and Procedures’, </w:t>
      </w:r>
      <w:r w:rsidR="0083223C" w:rsidRPr="78F6248D">
        <w:rPr>
          <w:rFonts w:eastAsiaTheme="minorEastAsia"/>
          <w:sz w:val="22"/>
          <w:szCs w:val="22"/>
        </w:rPr>
        <w:t>Australian Institute for Teaching and School Leadership (AITSL)</w:t>
      </w:r>
      <w:r w:rsidR="00280BDC" w:rsidRPr="78F6248D">
        <w:rPr>
          <w:rFonts w:eastAsiaTheme="minorEastAsia"/>
          <w:sz w:val="22"/>
          <w:szCs w:val="22"/>
        </w:rPr>
        <w:t>.</w:t>
      </w:r>
    </w:p>
    <w:p w14:paraId="5BC3D51A" w14:textId="554DBE0E" w:rsidR="00D72565" w:rsidRPr="00D73D0F" w:rsidRDefault="00D72565" w:rsidP="007D6F33">
      <w:pPr>
        <w:pStyle w:val="CommentText"/>
        <w:numPr>
          <w:ilvl w:val="0"/>
          <w:numId w:val="34"/>
        </w:numPr>
        <w:spacing w:after="60"/>
        <w:rPr>
          <w:rFonts w:eastAsiaTheme="minorEastAsia" w:cstheme="minorHAnsi"/>
          <w:sz w:val="22"/>
          <w:szCs w:val="22"/>
        </w:rPr>
      </w:pPr>
      <w:r w:rsidRPr="78F6248D">
        <w:rPr>
          <w:rFonts w:eastAsiaTheme="minorEastAsia"/>
          <w:sz w:val="22"/>
          <w:szCs w:val="22"/>
        </w:rPr>
        <w:t xml:space="preserve">AITSL (2022b) ‘Teaching Performance Assessment’, </w:t>
      </w:r>
      <w:r w:rsidR="0083223C" w:rsidRPr="78F6248D">
        <w:rPr>
          <w:rFonts w:eastAsiaTheme="minorEastAsia"/>
          <w:sz w:val="22"/>
          <w:szCs w:val="22"/>
        </w:rPr>
        <w:t>Australian Institute for Teaching and School Leadership (AITSL)</w:t>
      </w:r>
      <w:r w:rsidR="00280BDC" w:rsidRPr="78F6248D">
        <w:rPr>
          <w:rFonts w:eastAsiaTheme="minorEastAsia"/>
          <w:sz w:val="22"/>
          <w:szCs w:val="22"/>
        </w:rPr>
        <w:t>.</w:t>
      </w:r>
    </w:p>
    <w:p w14:paraId="02D33AAA" w14:textId="1711C41D" w:rsidR="00D72565" w:rsidRPr="00D73D0F" w:rsidRDefault="00D72565" w:rsidP="007D6F33">
      <w:pPr>
        <w:pStyle w:val="ListParagraph"/>
        <w:numPr>
          <w:ilvl w:val="0"/>
          <w:numId w:val="34"/>
        </w:numPr>
        <w:spacing w:after="60"/>
        <w:contextualSpacing w:val="0"/>
        <w:rPr>
          <w:rFonts w:cstheme="minorHAnsi"/>
          <w:sz w:val="22"/>
          <w:szCs w:val="22"/>
        </w:rPr>
      </w:pPr>
      <w:r w:rsidRPr="78F6248D">
        <w:rPr>
          <w:sz w:val="22"/>
          <w:szCs w:val="22"/>
        </w:rPr>
        <w:t>AITSL (2022</w:t>
      </w:r>
      <w:r w:rsidR="00B23033" w:rsidRPr="78F6248D">
        <w:rPr>
          <w:sz w:val="22"/>
          <w:szCs w:val="22"/>
        </w:rPr>
        <w:t>c</w:t>
      </w:r>
      <w:r w:rsidRPr="78F6248D">
        <w:rPr>
          <w:sz w:val="22"/>
          <w:szCs w:val="22"/>
        </w:rPr>
        <w:t>) ‘Building a culturally responsive Australian teaching workforce: Toolkit and Report’, Australian Institute for Teaching and School Leadership (AITSL).</w:t>
      </w:r>
    </w:p>
    <w:p w14:paraId="7C7E34AA" w14:textId="2A0A728E" w:rsidR="00D72565" w:rsidRPr="00D73D0F" w:rsidRDefault="00D72565" w:rsidP="007D6F33">
      <w:pPr>
        <w:pStyle w:val="ListParagraph"/>
        <w:numPr>
          <w:ilvl w:val="0"/>
          <w:numId w:val="34"/>
        </w:numPr>
        <w:spacing w:after="60"/>
        <w:contextualSpacing w:val="0"/>
        <w:rPr>
          <w:rFonts w:cstheme="minorHAnsi"/>
          <w:sz w:val="22"/>
          <w:szCs w:val="22"/>
        </w:rPr>
      </w:pPr>
      <w:r w:rsidRPr="78F6248D">
        <w:rPr>
          <w:sz w:val="22"/>
          <w:szCs w:val="22"/>
        </w:rPr>
        <w:t>AITSL (2022</w:t>
      </w:r>
      <w:r w:rsidR="00B23033" w:rsidRPr="78F6248D">
        <w:rPr>
          <w:sz w:val="22"/>
          <w:szCs w:val="22"/>
        </w:rPr>
        <w:t>d</w:t>
      </w:r>
      <w:r w:rsidRPr="78F6248D">
        <w:rPr>
          <w:sz w:val="22"/>
          <w:szCs w:val="22"/>
        </w:rPr>
        <w:t xml:space="preserve">) </w:t>
      </w:r>
      <w:r w:rsidR="002B464C" w:rsidRPr="78F6248D">
        <w:rPr>
          <w:sz w:val="22"/>
          <w:szCs w:val="22"/>
        </w:rPr>
        <w:t>‘</w:t>
      </w:r>
      <w:r w:rsidRPr="78F6248D">
        <w:rPr>
          <w:sz w:val="22"/>
          <w:szCs w:val="22"/>
        </w:rPr>
        <w:t>Building a culturally responsive Australian teaching workforce: final report for Indigenous cultural competency project</w:t>
      </w:r>
      <w:r w:rsidR="002B464C" w:rsidRPr="78F6248D">
        <w:rPr>
          <w:sz w:val="22"/>
          <w:szCs w:val="22"/>
        </w:rPr>
        <w:t>’</w:t>
      </w:r>
      <w:r w:rsidRPr="78F6248D">
        <w:rPr>
          <w:sz w:val="22"/>
          <w:szCs w:val="22"/>
        </w:rPr>
        <w:t>, Australian Institute for Teaching and School Leadership (AITSL)</w:t>
      </w:r>
      <w:r w:rsidR="00280BDC" w:rsidRPr="78F6248D">
        <w:rPr>
          <w:sz w:val="22"/>
          <w:szCs w:val="22"/>
        </w:rPr>
        <w:t>.</w:t>
      </w:r>
    </w:p>
    <w:p w14:paraId="7E2999FC" w14:textId="29A91812"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lang w:val="en-US"/>
        </w:rPr>
      </w:pPr>
      <w:r w:rsidRPr="78F6248D">
        <w:rPr>
          <w:rFonts w:asciiTheme="minorHAnsi" w:eastAsiaTheme="minorEastAsia" w:hAnsiTheme="minorHAnsi" w:cstheme="minorBidi"/>
          <w:sz w:val="22"/>
          <w:lang w:val="en-US"/>
        </w:rPr>
        <w:t>Allen JM, Howells K</w:t>
      </w:r>
      <w:r w:rsidR="00C15B0C" w:rsidRPr="78F6248D">
        <w:rPr>
          <w:rFonts w:asciiTheme="minorHAnsi" w:eastAsiaTheme="minorEastAsia" w:hAnsiTheme="minorHAnsi" w:cstheme="minorBidi"/>
          <w:sz w:val="22"/>
          <w:lang w:val="en-US"/>
        </w:rPr>
        <w:t xml:space="preserve"> and</w:t>
      </w:r>
      <w:r w:rsidRPr="78F6248D">
        <w:rPr>
          <w:rFonts w:asciiTheme="minorHAnsi" w:eastAsiaTheme="minorEastAsia" w:hAnsiTheme="minorHAnsi" w:cstheme="minorBidi"/>
          <w:sz w:val="22"/>
          <w:lang w:val="en-US"/>
        </w:rPr>
        <w:t xml:space="preserve"> Radford R (2013) </w:t>
      </w:r>
      <w:r w:rsidR="00286A82" w:rsidRPr="78F6248D">
        <w:rPr>
          <w:rFonts w:asciiTheme="minorHAnsi" w:eastAsiaTheme="minorEastAsia" w:hAnsiTheme="minorHAnsi" w:cstheme="minorBidi"/>
          <w:sz w:val="22"/>
          <w:lang w:val="en-US"/>
        </w:rPr>
        <w:t>‘</w:t>
      </w:r>
      <w:r w:rsidRPr="78F6248D">
        <w:rPr>
          <w:rFonts w:asciiTheme="minorHAnsi" w:eastAsiaTheme="minorEastAsia" w:hAnsiTheme="minorHAnsi" w:cstheme="minorBidi"/>
          <w:sz w:val="22"/>
          <w:lang w:val="en-US"/>
        </w:rPr>
        <w:t>A ‘partnership in teaching excellence’: Ways in which one school–university partnership has fostered teacher development</w:t>
      </w:r>
      <w:r w:rsidR="00286A82" w:rsidRPr="78F6248D">
        <w:rPr>
          <w:rFonts w:asciiTheme="minorHAnsi" w:eastAsiaTheme="minorEastAsia" w:hAnsiTheme="minorHAnsi" w:cstheme="minorBidi"/>
          <w:sz w:val="22"/>
          <w:lang w:val="en-US"/>
        </w:rPr>
        <w:t>’,</w:t>
      </w:r>
      <w:r w:rsidRPr="78F6248D">
        <w:rPr>
          <w:rFonts w:asciiTheme="minorHAnsi" w:eastAsiaTheme="minorEastAsia" w:hAnsiTheme="minorHAnsi" w:cstheme="minorBidi"/>
          <w:sz w:val="22"/>
          <w:lang w:val="en-US"/>
        </w:rPr>
        <w:t xml:space="preserve"> Asia-Pacific Journal of Teacher Education, 41(1), </w:t>
      </w:r>
      <w:r w:rsidR="00286A82" w:rsidRPr="78F6248D">
        <w:rPr>
          <w:rFonts w:asciiTheme="minorHAnsi" w:eastAsiaTheme="minorEastAsia" w:hAnsiTheme="minorHAnsi" w:cstheme="minorBidi"/>
          <w:sz w:val="22"/>
          <w:lang w:val="en-US"/>
        </w:rPr>
        <w:t>pp.</w:t>
      </w:r>
      <w:r w:rsidRPr="78F6248D">
        <w:rPr>
          <w:rFonts w:asciiTheme="minorHAnsi" w:eastAsiaTheme="minorEastAsia" w:hAnsiTheme="minorHAnsi" w:cstheme="minorBidi"/>
          <w:sz w:val="22"/>
          <w:lang w:val="en-US"/>
        </w:rPr>
        <w:t>99-110</w:t>
      </w:r>
    </w:p>
    <w:p w14:paraId="1D05589A" w14:textId="4E728901"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Alter P and Haydon T (2017) ‘Characteristics of Effective Classroom Rules: A Review of the Literature’, Teacher Education and Special Education, 40(2)</w:t>
      </w:r>
      <w:r w:rsidR="00B56F95" w:rsidRPr="78F6248D">
        <w:rPr>
          <w:sz w:val="22"/>
          <w:szCs w:val="22"/>
        </w:rPr>
        <w:t>, pp.</w:t>
      </w:r>
      <w:r w:rsidRPr="78F6248D">
        <w:rPr>
          <w:sz w:val="22"/>
          <w:szCs w:val="22"/>
        </w:rPr>
        <w:t>114–127.</w:t>
      </w:r>
    </w:p>
    <w:p w14:paraId="7124CFC1" w14:textId="54AF3537"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Anderson PJ and Rhea ZM (2018) ‘Rights-based Indigenous education in Australia: evidence-based policy to pedagogy’, Evidence-Based Learning and Teaching: A Look into Australian Classrooms</w:t>
      </w:r>
      <w:r w:rsidR="00B56F95" w:rsidRPr="78F6248D">
        <w:rPr>
          <w:sz w:val="22"/>
          <w:szCs w:val="22"/>
        </w:rPr>
        <w:t>, pp.</w:t>
      </w:r>
      <w:r w:rsidRPr="78F6248D">
        <w:rPr>
          <w:sz w:val="22"/>
          <w:szCs w:val="22"/>
        </w:rPr>
        <w:t>205–216.</w:t>
      </w:r>
    </w:p>
    <w:p w14:paraId="2C4307B7" w14:textId="1AFED2EB"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Anderson PJ, Diamond ZM and Diamond JF (2021) ‘Embracing and resisting Indigenist perspectives in Australian pre-service teacher education’, Post-Imperial Perspectives on Indigenous Education: Lessons from Japan and Australia</w:t>
      </w:r>
      <w:r w:rsidR="00D72A6A" w:rsidRPr="78F6248D">
        <w:rPr>
          <w:sz w:val="22"/>
          <w:szCs w:val="22"/>
        </w:rPr>
        <w:t>, pp.</w:t>
      </w:r>
      <w:r w:rsidRPr="78F6248D">
        <w:rPr>
          <w:sz w:val="22"/>
          <w:szCs w:val="22"/>
        </w:rPr>
        <w:t>126–150.</w:t>
      </w:r>
    </w:p>
    <w:p w14:paraId="228BC0D6" w14:textId="199678B2"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Ansari D (2008) ‘Effects of development and enculturation on number representation in the brain’, Nature Reviews Neuroscience, 9(4)</w:t>
      </w:r>
      <w:r w:rsidR="00141FD2" w:rsidRPr="78F6248D">
        <w:rPr>
          <w:sz w:val="22"/>
          <w:szCs w:val="22"/>
        </w:rPr>
        <w:t>, pp.</w:t>
      </w:r>
      <w:r w:rsidRPr="78F6248D">
        <w:rPr>
          <w:sz w:val="22"/>
          <w:szCs w:val="22"/>
        </w:rPr>
        <w:t>278–291</w:t>
      </w:r>
      <w:r w:rsidR="00180C88" w:rsidRPr="78F6248D">
        <w:rPr>
          <w:sz w:val="22"/>
          <w:szCs w:val="22"/>
        </w:rPr>
        <w:t>.</w:t>
      </w:r>
    </w:p>
    <w:p w14:paraId="6671A4E9" w14:textId="2EC0C00E"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Archer AL and Hughes CA (2011) </w:t>
      </w:r>
      <w:r w:rsidR="008555DA" w:rsidRPr="78F6248D">
        <w:rPr>
          <w:sz w:val="22"/>
          <w:szCs w:val="22"/>
        </w:rPr>
        <w:t>‘</w:t>
      </w:r>
      <w:r w:rsidRPr="78F6248D">
        <w:rPr>
          <w:sz w:val="22"/>
          <w:szCs w:val="22"/>
        </w:rPr>
        <w:t>Explicit Instruction: Effective and Efficient Teaching</w:t>
      </w:r>
      <w:r w:rsidR="008555DA" w:rsidRPr="78F6248D">
        <w:rPr>
          <w:sz w:val="22"/>
          <w:szCs w:val="22"/>
        </w:rPr>
        <w:t>’</w:t>
      </w:r>
      <w:r w:rsidRPr="78F6248D">
        <w:rPr>
          <w:sz w:val="22"/>
          <w:szCs w:val="22"/>
        </w:rPr>
        <w:t>.</w:t>
      </w:r>
    </w:p>
    <w:p w14:paraId="42DF34EC" w14:textId="27D9CB63" w:rsidR="00550611" w:rsidRPr="00D73D0F" w:rsidRDefault="00550611"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 xml:space="preserve">Australian Government Department of Education (2022) ‘Issues paper: Teacher workforce shortages’, </w:t>
      </w:r>
      <w:r w:rsidR="009B490A" w:rsidRPr="78F6248D">
        <w:rPr>
          <w:rFonts w:asciiTheme="minorHAnsi" w:eastAsiaTheme="minorEastAsia" w:hAnsiTheme="minorHAnsi" w:cstheme="minorBidi"/>
          <w:sz w:val="22"/>
        </w:rPr>
        <w:t>Australian Government Department of Education</w:t>
      </w:r>
      <w:r w:rsidR="00894FF8" w:rsidRPr="78F6248D">
        <w:rPr>
          <w:rFonts w:asciiTheme="minorHAnsi" w:eastAsiaTheme="minorEastAsia" w:hAnsiTheme="minorHAnsi" w:cstheme="minorBidi"/>
          <w:sz w:val="22"/>
        </w:rPr>
        <w:t>.</w:t>
      </w:r>
    </w:p>
    <w:p w14:paraId="004830A3" w14:textId="3677DEF0" w:rsidR="00567F02" w:rsidRPr="00D73D0F" w:rsidRDefault="00567F02" w:rsidP="007D6F33">
      <w:pPr>
        <w:pStyle w:val="ListParagraph"/>
        <w:numPr>
          <w:ilvl w:val="0"/>
          <w:numId w:val="34"/>
        </w:numPr>
        <w:spacing w:after="60"/>
        <w:contextualSpacing w:val="0"/>
        <w:rPr>
          <w:rFonts w:cstheme="minorHAnsi"/>
          <w:sz w:val="22"/>
          <w:szCs w:val="22"/>
        </w:rPr>
      </w:pPr>
      <w:r w:rsidRPr="78F6248D">
        <w:rPr>
          <w:sz w:val="22"/>
          <w:szCs w:val="22"/>
        </w:rPr>
        <w:lastRenderedPageBreak/>
        <w:t>Australian Government Education Ministers (2019) ‘Alice Springs (</w:t>
      </w:r>
      <w:proofErr w:type="spellStart"/>
      <w:r w:rsidRPr="78F6248D">
        <w:rPr>
          <w:sz w:val="22"/>
          <w:szCs w:val="22"/>
        </w:rPr>
        <w:t>Mparntwe</w:t>
      </w:r>
      <w:proofErr w:type="spellEnd"/>
      <w:r w:rsidRPr="78F6248D">
        <w:rPr>
          <w:sz w:val="22"/>
          <w:szCs w:val="22"/>
        </w:rPr>
        <w:t>) Education Declaration’,</w:t>
      </w:r>
      <w:r w:rsidR="00BF788A" w:rsidRPr="78F6248D">
        <w:rPr>
          <w:sz w:val="22"/>
          <w:szCs w:val="22"/>
        </w:rPr>
        <w:t xml:space="preserve"> </w:t>
      </w:r>
      <w:r w:rsidR="004B64A2" w:rsidRPr="78F6248D">
        <w:rPr>
          <w:sz w:val="22"/>
          <w:szCs w:val="22"/>
        </w:rPr>
        <w:t xml:space="preserve">Education Council, </w:t>
      </w:r>
      <w:r w:rsidR="00381923" w:rsidRPr="78F6248D">
        <w:rPr>
          <w:sz w:val="22"/>
          <w:szCs w:val="22"/>
        </w:rPr>
        <w:t xml:space="preserve">Australian Government </w:t>
      </w:r>
      <w:r w:rsidR="00BF788A" w:rsidRPr="78F6248D">
        <w:rPr>
          <w:sz w:val="22"/>
          <w:szCs w:val="22"/>
        </w:rPr>
        <w:t>Department of Education,</w:t>
      </w:r>
      <w:r w:rsidR="00381923" w:rsidRPr="78F6248D">
        <w:rPr>
          <w:sz w:val="22"/>
          <w:szCs w:val="22"/>
        </w:rPr>
        <w:t xml:space="preserve"> Skills and Employment</w:t>
      </w:r>
      <w:r w:rsidRPr="78F6248D">
        <w:rPr>
          <w:sz w:val="22"/>
          <w:szCs w:val="22"/>
        </w:rPr>
        <w:t>.</w:t>
      </w:r>
    </w:p>
    <w:p w14:paraId="7DCE811F" w14:textId="5B1364A0"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u w:val="single"/>
        </w:rPr>
      </w:pPr>
      <w:r w:rsidRPr="78F6248D">
        <w:rPr>
          <w:rFonts w:asciiTheme="minorHAnsi" w:eastAsiaTheme="minorEastAsia" w:hAnsiTheme="minorHAnsi" w:cstheme="minorBidi"/>
          <w:sz w:val="22"/>
        </w:rPr>
        <w:t>Bahr</w:t>
      </w:r>
      <w:r w:rsidR="00E66AA1"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N </w:t>
      </w:r>
      <w:r w:rsidR="00E66AA1" w:rsidRPr="78F6248D">
        <w:rPr>
          <w:rFonts w:asciiTheme="minorHAnsi" w:eastAsiaTheme="minorEastAsia" w:hAnsiTheme="minorHAnsi" w:cstheme="minorBidi"/>
          <w:sz w:val="22"/>
        </w:rPr>
        <w:t>and</w:t>
      </w:r>
      <w:r w:rsidRPr="78F6248D">
        <w:rPr>
          <w:rFonts w:asciiTheme="minorHAnsi" w:eastAsiaTheme="minorEastAsia" w:hAnsiTheme="minorHAnsi" w:cstheme="minorBidi"/>
          <w:sz w:val="22"/>
        </w:rPr>
        <w:t xml:space="preserve"> Mellor</w:t>
      </w:r>
      <w:r w:rsidR="00E66AA1"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S (2016) </w:t>
      </w:r>
      <w:r w:rsidR="00E66AA1"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Australian Education Review: Building quality in teaching and teacher education</w:t>
      </w:r>
      <w:r w:rsidR="00E66AA1"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Australian Council for Educational Research</w:t>
      </w:r>
      <w:r w:rsidR="00E66AA1" w:rsidRPr="78F6248D">
        <w:rPr>
          <w:rFonts w:asciiTheme="minorHAnsi" w:eastAsiaTheme="minorEastAsia" w:hAnsiTheme="minorHAnsi" w:cstheme="minorBidi"/>
          <w:sz w:val="22"/>
        </w:rPr>
        <w:t xml:space="preserve"> (AERO)</w:t>
      </w:r>
      <w:r w:rsidR="00280BDC" w:rsidRPr="78F6248D">
        <w:rPr>
          <w:rFonts w:asciiTheme="minorHAnsi" w:eastAsiaTheme="minorEastAsia" w:hAnsiTheme="minorHAnsi" w:cstheme="minorBidi"/>
          <w:sz w:val="22"/>
        </w:rPr>
        <w:t>.</w:t>
      </w:r>
    </w:p>
    <w:p w14:paraId="763C7E1D" w14:textId="233A874D"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Bastian</w:t>
      </w:r>
      <w:r w:rsidR="00CC6C38"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K, Sun</w:t>
      </w:r>
      <w:r w:rsidR="00CC6C38"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M</w:t>
      </w:r>
      <w:r w:rsidR="00CC6C38" w:rsidRPr="78F6248D">
        <w:rPr>
          <w:rFonts w:asciiTheme="minorHAnsi" w:eastAsiaTheme="minorEastAsia" w:hAnsiTheme="minorHAnsi" w:cstheme="minorBidi"/>
          <w:sz w:val="22"/>
        </w:rPr>
        <w:t xml:space="preserve"> and </w:t>
      </w:r>
      <w:r w:rsidRPr="78F6248D">
        <w:rPr>
          <w:rFonts w:asciiTheme="minorHAnsi" w:eastAsiaTheme="minorEastAsia" w:hAnsiTheme="minorHAnsi" w:cstheme="minorBidi"/>
          <w:sz w:val="22"/>
        </w:rPr>
        <w:t xml:space="preserve">Lynn H (2017) </w:t>
      </w:r>
      <w:r w:rsidR="00CC6C38"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What Do Graduate Surveys Tell Us About Teacher Preparation Quality?</w:t>
      </w:r>
      <w:r w:rsidR="00CC6C38" w:rsidRPr="78F6248D">
        <w:rPr>
          <w:rFonts w:asciiTheme="minorHAnsi" w:eastAsiaTheme="minorEastAsia" w:hAnsiTheme="minorHAnsi" w:cstheme="minorBidi"/>
          <w:sz w:val="22"/>
        </w:rPr>
        <w:t>’,</w:t>
      </w:r>
      <w:r w:rsidR="002435C2" w:rsidRPr="78F6248D">
        <w:rPr>
          <w:rFonts w:asciiTheme="minorHAnsi" w:eastAsiaTheme="minorEastAsia" w:hAnsiTheme="minorHAnsi" w:cstheme="minorBidi"/>
          <w:sz w:val="22"/>
        </w:rPr>
        <w:t xml:space="preserve"> Education Policy Initiative at Carolina (EPIC)</w:t>
      </w:r>
      <w:r w:rsidR="00280BDC" w:rsidRPr="78F6248D">
        <w:rPr>
          <w:rFonts w:asciiTheme="minorHAnsi" w:eastAsiaTheme="minorEastAsia" w:hAnsiTheme="minorHAnsi" w:cstheme="minorBidi"/>
          <w:sz w:val="22"/>
        </w:rPr>
        <w:t>.</w:t>
      </w:r>
    </w:p>
    <w:p w14:paraId="09BF287B" w14:textId="0CFBA6ED" w:rsidR="005545CE" w:rsidRPr="00D73D0F" w:rsidRDefault="005545CE" w:rsidP="007D6F33">
      <w:pPr>
        <w:pStyle w:val="ListParagraph"/>
        <w:numPr>
          <w:ilvl w:val="0"/>
          <w:numId w:val="34"/>
        </w:numPr>
        <w:tabs>
          <w:tab w:val="left" w:pos="7089"/>
        </w:tabs>
        <w:spacing w:after="60"/>
        <w:contextualSpacing w:val="0"/>
        <w:rPr>
          <w:rFonts w:eastAsiaTheme="minorEastAsia" w:cstheme="minorHAnsi"/>
          <w:color w:val="000000" w:themeColor="text1"/>
          <w:sz w:val="22"/>
          <w:szCs w:val="22"/>
        </w:rPr>
      </w:pPr>
      <w:r w:rsidRPr="78F6248D">
        <w:rPr>
          <w:rFonts w:eastAsiaTheme="minorEastAsia"/>
          <w:color w:val="000000" w:themeColor="text1"/>
          <w:sz w:val="22"/>
          <w:szCs w:val="22"/>
        </w:rPr>
        <w:t>Bauer C, Thomas S</w:t>
      </w:r>
      <w:r w:rsidR="00071690" w:rsidRPr="78F6248D">
        <w:rPr>
          <w:rFonts w:eastAsiaTheme="minorEastAsia"/>
          <w:color w:val="000000" w:themeColor="text1"/>
          <w:sz w:val="22"/>
          <w:szCs w:val="22"/>
        </w:rPr>
        <w:t xml:space="preserve"> and </w:t>
      </w:r>
      <w:r w:rsidRPr="78F6248D">
        <w:rPr>
          <w:rFonts w:eastAsiaTheme="minorEastAsia"/>
          <w:color w:val="000000" w:themeColor="text1"/>
          <w:sz w:val="22"/>
          <w:szCs w:val="22"/>
        </w:rPr>
        <w:t>Sim C (2017)</w:t>
      </w:r>
      <w:r w:rsidR="00071690" w:rsidRPr="78F6248D">
        <w:rPr>
          <w:rFonts w:eastAsiaTheme="minorEastAsia"/>
          <w:color w:val="000000" w:themeColor="text1"/>
          <w:sz w:val="22"/>
          <w:szCs w:val="22"/>
        </w:rPr>
        <w:t xml:space="preserve"> </w:t>
      </w:r>
      <w:r w:rsidR="007A1566" w:rsidRPr="78F6248D">
        <w:rPr>
          <w:rFonts w:eastAsiaTheme="minorEastAsia"/>
          <w:color w:val="000000" w:themeColor="text1"/>
          <w:sz w:val="22"/>
          <w:szCs w:val="22"/>
        </w:rPr>
        <w:t>‘</w:t>
      </w:r>
      <w:r w:rsidRPr="78F6248D">
        <w:rPr>
          <w:rFonts w:eastAsiaTheme="minorEastAsia"/>
          <w:sz w:val="22"/>
          <w:szCs w:val="22"/>
        </w:rPr>
        <w:t>Mature age professionals: factors influencing their decision to make a career change into teaching</w:t>
      </w:r>
      <w:r w:rsidR="007A1566" w:rsidRPr="78F6248D">
        <w:rPr>
          <w:rFonts w:eastAsiaTheme="minorEastAsia"/>
          <w:sz w:val="22"/>
          <w:szCs w:val="22"/>
        </w:rPr>
        <w:t>’</w:t>
      </w:r>
      <w:r w:rsidRPr="78F6248D">
        <w:rPr>
          <w:rFonts w:eastAsiaTheme="minorEastAsia"/>
          <w:i/>
          <w:color w:val="000000" w:themeColor="text1"/>
          <w:sz w:val="22"/>
          <w:szCs w:val="22"/>
        </w:rPr>
        <w:t>,</w:t>
      </w:r>
      <w:r w:rsidRPr="78F6248D">
        <w:rPr>
          <w:rFonts w:eastAsiaTheme="minorEastAsia"/>
          <w:color w:val="000000" w:themeColor="text1"/>
          <w:sz w:val="22"/>
          <w:szCs w:val="22"/>
        </w:rPr>
        <w:t xml:space="preserve"> Issues in Educational Research</w:t>
      </w:r>
      <w:r w:rsidR="00BC0F85" w:rsidRPr="78F6248D">
        <w:rPr>
          <w:rFonts w:eastAsiaTheme="minorEastAsia"/>
          <w:color w:val="000000" w:themeColor="text1"/>
          <w:sz w:val="22"/>
          <w:szCs w:val="22"/>
        </w:rPr>
        <w:t xml:space="preserve">, </w:t>
      </w:r>
      <w:r w:rsidR="007A1566" w:rsidRPr="78F6248D">
        <w:rPr>
          <w:rFonts w:eastAsiaTheme="minorEastAsia"/>
          <w:color w:val="000000" w:themeColor="text1"/>
          <w:sz w:val="22"/>
          <w:szCs w:val="22"/>
        </w:rPr>
        <w:t>27(2), pp.185-197</w:t>
      </w:r>
      <w:r w:rsidR="00280BDC" w:rsidRPr="78F6248D">
        <w:rPr>
          <w:rFonts w:eastAsiaTheme="minorEastAsia"/>
          <w:color w:val="000000" w:themeColor="text1"/>
          <w:sz w:val="22"/>
          <w:szCs w:val="22"/>
        </w:rPr>
        <w:t>.</w:t>
      </w:r>
    </w:p>
    <w:p w14:paraId="0580B999" w14:textId="2CE0DF0A" w:rsidR="005545CE" w:rsidRPr="00D73D0F" w:rsidRDefault="005545CE" w:rsidP="007D6F33">
      <w:pPr>
        <w:pStyle w:val="ListParagraph"/>
        <w:numPr>
          <w:ilvl w:val="0"/>
          <w:numId w:val="34"/>
        </w:numPr>
        <w:tabs>
          <w:tab w:val="left" w:pos="7089"/>
        </w:tabs>
        <w:spacing w:after="60"/>
        <w:contextualSpacing w:val="0"/>
        <w:rPr>
          <w:rFonts w:eastAsiaTheme="minorEastAsia" w:cstheme="minorHAnsi"/>
          <w:color w:val="000000" w:themeColor="text1"/>
          <w:sz w:val="22"/>
          <w:szCs w:val="22"/>
          <w:lang w:eastAsia="en-AU"/>
        </w:rPr>
      </w:pPr>
      <w:r w:rsidRPr="78F6248D">
        <w:rPr>
          <w:rFonts w:eastAsiaTheme="minorEastAsia"/>
          <w:color w:val="000000" w:themeColor="text1"/>
          <w:sz w:val="22"/>
          <w:szCs w:val="22"/>
        </w:rPr>
        <w:t>Behavioural Economics Team of the Australian Government (BETA) (2022) ‘</w:t>
      </w:r>
      <w:r w:rsidRPr="78F6248D">
        <w:rPr>
          <w:rFonts w:eastAsiaTheme="minorEastAsia"/>
          <w:sz w:val="22"/>
          <w:szCs w:val="22"/>
        </w:rPr>
        <w:t>Incentivising Excellence: Attracting High-achieving Teaching Candidates</w:t>
      </w:r>
      <w:r w:rsidRPr="78F6248D">
        <w:rPr>
          <w:rFonts w:eastAsiaTheme="minorEastAsia"/>
          <w:color w:val="000000" w:themeColor="text1"/>
          <w:sz w:val="22"/>
          <w:szCs w:val="22"/>
        </w:rPr>
        <w:t>’</w:t>
      </w:r>
      <w:r w:rsidR="00746EE1" w:rsidRPr="78F6248D">
        <w:rPr>
          <w:rFonts w:eastAsiaTheme="minorEastAsia"/>
          <w:color w:val="000000" w:themeColor="text1"/>
          <w:sz w:val="22"/>
          <w:szCs w:val="22"/>
        </w:rPr>
        <w:t>, Australian Government Department of Prime Minister and Cabinet</w:t>
      </w:r>
      <w:r w:rsidR="00746EE1" w:rsidRPr="78F6248D">
        <w:rPr>
          <w:sz w:val="22"/>
          <w:szCs w:val="22"/>
        </w:rPr>
        <w:t xml:space="preserve">. </w:t>
      </w:r>
    </w:p>
    <w:p w14:paraId="365CDDED" w14:textId="09252EAE"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Berkeley S, Bender WN, Gregg </w:t>
      </w:r>
      <w:proofErr w:type="spellStart"/>
      <w:r w:rsidRPr="78F6248D">
        <w:rPr>
          <w:sz w:val="22"/>
          <w:szCs w:val="22"/>
        </w:rPr>
        <w:t>Peaster</w:t>
      </w:r>
      <w:proofErr w:type="spellEnd"/>
      <w:r w:rsidRPr="78F6248D">
        <w:rPr>
          <w:sz w:val="22"/>
          <w:szCs w:val="22"/>
        </w:rPr>
        <w:t xml:space="preserve"> L and Saunders L (2009) ‘Implementation of Response to Intervention: A Snapshot of Progress’, Journal of Learning Disabilities, 42(1)</w:t>
      </w:r>
      <w:r w:rsidR="00F04E79" w:rsidRPr="78F6248D">
        <w:rPr>
          <w:sz w:val="22"/>
          <w:szCs w:val="22"/>
        </w:rPr>
        <w:t>, pp.</w:t>
      </w:r>
      <w:r w:rsidRPr="78F6248D">
        <w:rPr>
          <w:sz w:val="22"/>
          <w:szCs w:val="22"/>
        </w:rPr>
        <w:t>85–95</w:t>
      </w:r>
      <w:r w:rsidR="00180C88" w:rsidRPr="78F6248D">
        <w:rPr>
          <w:sz w:val="22"/>
          <w:szCs w:val="22"/>
        </w:rPr>
        <w:t>.</w:t>
      </w:r>
    </w:p>
    <w:p w14:paraId="23BAA18B" w14:textId="2EC7E697" w:rsidR="005545CE" w:rsidRPr="00EE04C3" w:rsidRDefault="005545CE" w:rsidP="007D6F33">
      <w:pPr>
        <w:pStyle w:val="ListParagraph"/>
        <w:numPr>
          <w:ilvl w:val="0"/>
          <w:numId w:val="34"/>
        </w:numPr>
        <w:spacing w:after="60"/>
        <w:contextualSpacing w:val="0"/>
        <w:rPr>
          <w:rFonts w:cstheme="minorHAnsi"/>
          <w:sz w:val="22"/>
          <w:szCs w:val="22"/>
        </w:rPr>
      </w:pPr>
      <w:r w:rsidRPr="78F6248D">
        <w:rPr>
          <w:sz w:val="22"/>
          <w:szCs w:val="22"/>
        </w:rPr>
        <w:t>Berkeley S, Scanlon D, Bailey TR, Sutton JC and Sacco DM (2020) ‘A Snapshot of RTI Implementation a Decade Later: New Picture, Same Story’, Journal of Learning Disabilities, 53(5)</w:t>
      </w:r>
      <w:r w:rsidR="004830C7" w:rsidRPr="78F6248D">
        <w:rPr>
          <w:sz w:val="22"/>
          <w:szCs w:val="22"/>
        </w:rPr>
        <w:t>, pp.</w:t>
      </w:r>
      <w:r w:rsidRPr="78F6248D">
        <w:rPr>
          <w:sz w:val="22"/>
          <w:szCs w:val="22"/>
        </w:rPr>
        <w:t>332–342</w:t>
      </w:r>
      <w:r w:rsidR="00180C88" w:rsidRPr="78F6248D">
        <w:rPr>
          <w:sz w:val="22"/>
          <w:szCs w:val="22"/>
        </w:rPr>
        <w:t>.</w:t>
      </w:r>
    </w:p>
    <w:p w14:paraId="5A411A79" w14:textId="7838E4B8" w:rsidR="00EE04C3" w:rsidRPr="00705ACF" w:rsidRDefault="00324D1E" w:rsidP="007D6F33">
      <w:pPr>
        <w:pStyle w:val="ListParagraph"/>
        <w:numPr>
          <w:ilvl w:val="0"/>
          <w:numId w:val="34"/>
        </w:numPr>
        <w:spacing w:after="60"/>
        <w:contextualSpacing w:val="0"/>
        <w:rPr>
          <w:rFonts w:cstheme="minorHAnsi"/>
          <w:sz w:val="22"/>
          <w:szCs w:val="22"/>
        </w:rPr>
      </w:pPr>
      <w:proofErr w:type="spellStart"/>
      <w:r w:rsidRPr="00705ACF">
        <w:rPr>
          <w:sz w:val="22"/>
          <w:szCs w:val="22"/>
        </w:rPr>
        <w:t>Billett</w:t>
      </w:r>
      <w:proofErr w:type="spellEnd"/>
      <w:r w:rsidRPr="00705ACF">
        <w:rPr>
          <w:sz w:val="22"/>
          <w:szCs w:val="22"/>
        </w:rPr>
        <w:t>, S. (2009)</w:t>
      </w:r>
      <w:r w:rsidR="00D22BC5">
        <w:rPr>
          <w:sz w:val="22"/>
          <w:szCs w:val="22"/>
        </w:rPr>
        <w:t xml:space="preserve"> ‘</w:t>
      </w:r>
      <w:r w:rsidRPr="00705ACF">
        <w:rPr>
          <w:sz w:val="22"/>
          <w:szCs w:val="22"/>
        </w:rPr>
        <w:t>Developing agentic professionals through practice-based pedagogies. Sydney</w:t>
      </w:r>
      <w:r w:rsidR="00D22BC5">
        <w:rPr>
          <w:sz w:val="22"/>
          <w:szCs w:val="22"/>
        </w:rPr>
        <w:t>’</w:t>
      </w:r>
      <w:r w:rsidR="00DB131E">
        <w:rPr>
          <w:sz w:val="22"/>
          <w:szCs w:val="22"/>
        </w:rPr>
        <w:t>,</w:t>
      </w:r>
      <w:r w:rsidRPr="00705ACF">
        <w:rPr>
          <w:sz w:val="22"/>
          <w:szCs w:val="22"/>
        </w:rPr>
        <w:t xml:space="preserve"> Australian Learning and Teaching Council.</w:t>
      </w:r>
    </w:p>
    <w:p w14:paraId="4D2EE90A" w14:textId="2887B87D" w:rsidR="00B230F0" w:rsidRPr="00D73D0F" w:rsidRDefault="005545CE" w:rsidP="007D6F33">
      <w:pPr>
        <w:pStyle w:val="ListParagraph"/>
        <w:numPr>
          <w:ilvl w:val="0"/>
          <w:numId w:val="34"/>
        </w:numPr>
        <w:tabs>
          <w:tab w:val="left" w:pos="7089"/>
        </w:tabs>
        <w:spacing w:after="60"/>
        <w:contextualSpacing w:val="0"/>
        <w:rPr>
          <w:rFonts w:eastAsiaTheme="minorEastAsia" w:cstheme="minorHAnsi"/>
          <w:color w:val="000000" w:themeColor="text1"/>
          <w:sz w:val="22"/>
          <w:szCs w:val="22"/>
        </w:rPr>
      </w:pPr>
      <w:r w:rsidRPr="78F6248D">
        <w:rPr>
          <w:rFonts w:eastAsiaTheme="minorEastAsia"/>
          <w:color w:val="000000" w:themeColor="text1"/>
          <w:sz w:val="22"/>
          <w:szCs w:val="22"/>
        </w:rPr>
        <w:t>Billet P, Turner K</w:t>
      </w:r>
      <w:r w:rsidR="004830C7" w:rsidRPr="78F6248D">
        <w:rPr>
          <w:rFonts w:eastAsiaTheme="minorEastAsia"/>
          <w:color w:val="000000" w:themeColor="text1"/>
          <w:sz w:val="22"/>
          <w:szCs w:val="22"/>
        </w:rPr>
        <w:t xml:space="preserve"> and</w:t>
      </w:r>
      <w:r w:rsidRPr="78F6248D">
        <w:rPr>
          <w:rFonts w:eastAsiaTheme="minorEastAsia"/>
          <w:color w:val="000000" w:themeColor="text1"/>
          <w:sz w:val="22"/>
          <w:szCs w:val="22"/>
        </w:rPr>
        <w:t xml:space="preserve"> Li X (2022) </w:t>
      </w:r>
      <w:r w:rsidR="00AD5C63" w:rsidRPr="78F6248D">
        <w:rPr>
          <w:rFonts w:eastAsiaTheme="minorEastAsia"/>
          <w:color w:val="000000" w:themeColor="text1"/>
          <w:sz w:val="22"/>
          <w:szCs w:val="22"/>
        </w:rPr>
        <w:t>‘</w:t>
      </w:r>
      <w:r w:rsidRPr="78F6248D">
        <w:rPr>
          <w:rFonts w:eastAsiaTheme="minorEastAsia"/>
          <w:sz w:val="22"/>
          <w:szCs w:val="22"/>
        </w:rPr>
        <w:t>Australian teacher stress, well-being, self-efficacy, and safety during the COVID-19 pandemic</w:t>
      </w:r>
      <w:r w:rsidR="00AD5C63" w:rsidRPr="78F6248D">
        <w:rPr>
          <w:rFonts w:eastAsiaTheme="minorEastAsia"/>
          <w:sz w:val="22"/>
          <w:szCs w:val="22"/>
        </w:rPr>
        <w:t>’</w:t>
      </w:r>
      <w:r w:rsidRPr="78F6248D">
        <w:rPr>
          <w:rFonts w:eastAsiaTheme="minorEastAsia"/>
          <w:color w:val="000000" w:themeColor="text1"/>
          <w:sz w:val="22"/>
          <w:szCs w:val="22"/>
        </w:rPr>
        <w:t xml:space="preserve">, </w:t>
      </w:r>
      <w:r w:rsidR="0078487B" w:rsidRPr="78F6248D">
        <w:rPr>
          <w:rFonts w:eastAsiaTheme="minorEastAsia"/>
          <w:color w:val="000000" w:themeColor="text1"/>
          <w:sz w:val="22"/>
          <w:szCs w:val="22"/>
        </w:rPr>
        <w:t>Psychology</w:t>
      </w:r>
      <w:r w:rsidRPr="78F6248D">
        <w:rPr>
          <w:rFonts w:eastAsiaTheme="minorEastAsia"/>
          <w:color w:val="000000" w:themeColor="text1"/>
          <w:sz w:val="22"/>
          <w:szCs w:val="22"/>
        </w:rPr>
        <w:t xml:space="preserve"> </w:t>
      </w:r>
      <w:r w:rsidR="0078487B" w:rsidRPr="78F6248D">
        <w:rPr>
          <w:rFonts w:eastAsiaTheme="minorEastAsia"/>
          <w:color w:val="000000" w:themeColor="text1"/>
          <w:sz w:val="22"/>
          <w:szCs w:val="22"/>
        </w:rPr>
        <w:t xml:space="preserve">in the </w:t>
      </w:r>
      <w:r w:rsidRPr="78F6248D">
        <w:rPr>
          <w:rFonts w:eastAsiaTheme="minorEastAsia"/>
          <w:color w:val="000000" w:themeColor="text1"/>
          <w:sz w:val="22"/>
          <w:szCs w:val="22"/>
        </w:rPr>
        <w:t>Sc</w:t>
      </w:r>
      <w:r w:rsidR="0078487B" w:rsidRPr="78F6248D">
        <w:rPr>
          <w:rFonts w:eastAsiaTheme="minorEastAsia"/>
          <w:color w:val="000000" w:themeColor="text1"/>
          <w:sz w:val="22"/>
          <w:szCs w:val="22"/>
        </w:rPr>
        <w:t xml:space="preserve">hools, </w:t>
      </w:r>
      <w:r w:rsidR="00756892" w:rsidRPr="78F6248D">
        <w:rPr>
          <w:color w:val="212121"/>
          <w:sz w:val="22"/>
          <w:szCs w:val="22"/>
          <w:shd w:val="clear" w:color="auto" w:fill="FFFFFF"/>
        </w:rPr>
        <w:t>Wiley Periodicals</w:t>
      </w:r>
      <w:r w:rsidR="006E7CF8" w:rsidRPr="78F6248D">
        <w:rPr>
          <w:color w:val="212121"/>
          <w:sz w:val="22"/>
          <w:szCs w:val="22"/>
          <w:shd w:val="clear" w:color="auto" w:fill="FFFFFF"/>
        </w:rPr>
        <w:t>.</w:t>
      </w:r>
      <w:r w:rsidR="00DE6869" w:rsidRPr="78F6248D">
        <w:rPr>
          <w:rStyle w:val="id-label"/>
          <w:color w:val="212121"/>
          <w:sz w:val="22"/>
          <w:szCs w:val="22"/>
        </w:rPr>
        <w:t xml:space="preserve"> </w:t>
      </w:r>
    </w:p>
    <w:p w14:paraId="69E3072E" w14:textId="0D1D851A"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Black P and </w:t>
      </w:r>
      <w:proofErr w:type="spellStart"/>
      <w:r w:rsidRPr="78F6248D">
        <w:rPr>
          <w:sz w:val="22"/>
          <w:szCs w:val="22"/>
        </w:rPr>
        <w:t>Wiliam</w:t>
      </w:r>
      <w:proofErr w:type="spellEnd"/>
      <w:r w:rsidRPr="78F6248D">
        <w:rPr>
          <w:sz w:val="22"/>
          <w:szCs w:val="22"/>
        </w:rPr>
        <w:t xml:space="preserve"> D (1998a) ‘Assessment and classroom learning’, Assessment in Education: principles, policy &amp; practice, 5(1)</w:t>
      </w:r>
      <w:r w:rsidR="00EF0D0D" w:rsidRPr="78F6248D">
        <w:rPr>
          <w:sz w:val="22"/>
          <w:szCs w:val="22"/>
        </w:rPr>
        <w:t>, pp.</w:t>
      </w:r>
      <w:r w:rsidRPr="78F6248D">
        <w:rPr>
          <w:sz w:val="22"/>
          <w:szCs w:val="22"/>
        </w:rPr>
        <w:t>7–74</w:t>
      </w:r>
      <w:r w:rsidR="00280BDC" w:rsidRPr="78F6248D">
        <w:rPr>
          <w:sz w:val="22"/>
          <w:szCs w:val="22"/>
        </w:rPr>
        <w:t>.</w:t>
      </w:r>
    </w:p>
    <w:p w14:paraId="45976FB0" w14:textId="3D001D53"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Black P and </w:t>
      </w:r>
      <w:proofErr w:type="spellStart"/>
      <w:r w:rsidRPr="78F6248D">
        <w:rPr>
          <w:sz w:val="22"/>
          <w:szCs w:val="22"/>
        </w:rPr>
        <w:t>Wiliam</w:t>
      </w:r>
      <w:proofErr w:type="spellEnd"/>
      <w:r w:rsidRPr="78F6248D">
        <w:rPr>
          <w:sz w:val="22"/>
          <w:szCs w:val="22"/>
        </w:rPr>
        <w:t xml:space="preserve"> D (1998b) ‘Inside the Black Box: Raising Standards Through Classroom Assessment’, Phi Delta </w:t>
      </w:r>
      <w:proofErr w:type="spellStart"/>
      <w:r w:rsidRPr="78F6248D">
        <w:rPr>
          <w:sz w:val="22"/>
          <w:szCs w:val="22"/>
        </w:rPr>
        <w:t>Kappan</w:t>
      </w:r>
      <w:proofErr w:type="spellEnd"/>
      <w:r w:rsidRPr="78F6248D">
        <w:rPr>
          <w:sz w:val="22"/>
          <w:szCs w:val="22"/>
        </w:rPr>
        <w:t>, 80(2)</w:t>
      </w:r>
      <w:r w:rsidR="00EF0D0D" w:rsidRPr="78F6248D">
        <w:rPr>
          <w:sz w:val="22"/>
          <w:szCs w:val="22"/>
        </w:rPr>
        <w:t>, pp.</w:t>
      </w:r>
      <w:r w:rsidRPr="78F6248D">
        <w:rPr>
          <w:sz w:val="22"/>
          <w:szCs w:val="22"/>
        </w:rPr>
        <w:t>139–14</w:t>
      </w:r>
      <w:r w:rsidR="00D7145A" w:rsidRPr="78F6248D">
        <w:rPr>
          <w:sz w:val="22"/>
          <w:szCs w:val="22"/>
        </w:rPr>
        <w:t>8.</w:t>
      </w:r>
    </w:p>
    <w:p w14:paraId="5DA49611" w14:textId="5D14B017"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Bloom BS (1968) ‘Learning for Mastery. Instruction and Curriculum’, Evaluation Comment, 1(2).</w:t>
      </w:r>
    </w:p>
    <w:p w14:paraId="0E1DEFEF" w14:textId="1C0B18F7"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Burn</w:t>
      </w:r>
      <w:r w:rsidR="00DE6869"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K</w:t>
      </w:r>
      <w:r w:rsidR="00DE6869" w:rsidRPr="78F6248D">
        <w:rPr>
          <w:rFonts w:asciiTheme="minorHAnsi" w:eastAsiaTheme="minorEastAsia" w:hAnsiTheme="minorHAnsi" w:cstheme="minorBidi"/>
          <w:sz w:val="22"/>
        </w:rPr>
        <w:t xml:space="preserve"> and</w:t>
      </w:r>
      <w:r w:rsidRPr="78F6248D">
        <w:rPr>
          <w:rFonts w:asciiTheme="minorHAnsi" w:eastAsiaTheme="minorEastAsia" w:hAnsiTheme="minorHAnsi" w:cstheme="minorBidi"/>
          <w:sz w:val="22"/>
        </w:rPr>
        <w:t xml:space="preserve"> Mutton T (2015) </w:t>
      </w:r>
      <w:r w:rsidR="00DE6869"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A review of ‘research-informed clinical practice’ in Initial Teacher Education</w:t>
      </w:r>
      <w:r w:rsidR="00DE6869"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Oxford Review of Education</w:t>
      </w:r>
      <w:r w:rsidR="00DE6869"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41(2), </w:t>
      </w:r>
      <w:r w:rsidR="00DE6869" w:rsidRPr="78F6248D">
        <w:rPr>
          <w:rFonts w:asciiTheme="minorHAnsi" w:eastAsiaTheme="minorEastAsia" w:hAnsiTheme="minorHAnsi" w:cstheme="minorBidi"/>
          <w:sz w:val="22"/>
        </w:rPr>
        <w:t>pp.</w:t>
      </w:r>
      <w:r w:rsidRPr="78F6248D">
        <w:rPr>
          <w:rFonts w:asciiTheme="minorHAnsi" w:eastAsiaTheme="minorEastAsia" w:hAnsiTheme="minorHAnsi" w:cstheme="minorBidi"/>
          <w:sz w:val="22"/>
        </w:rPr>
        <w:t>217-233</w:t>
      </w:r>
      <w:r w:rsidR="00DE6869"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w:t>
      </w:r>
    </w:p>
    <w:p w14:paraId="2D8A4A90" w14:textId="2424EF22"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Burns MK and Symington T (2002) ‘A Meta-analysis of Prereferral Intervention Teams: Student and Systemic Outcomes’, Journal of School Psychology, 40(5)</w:t>
      </w:r>
      <w:r w:rsidR="00DE6869" w:rsidRPr="78F6248D">
        <w:rPr>
          <w:sz w:val="22"/>
          <w:szCs w:val="22"/>
        </w:rPr>
        <w:t>, pp.</w:t>
      </w:r>
      <w:r w:rsidRPr="78F6248D">
        <w:rPr>
          <w:sz w:val="22"/>
          <w:szCs w:val="22"/>
        </w:rPr>
        <w:t>437–447</w:t>
      </w:r>
      <w:r w:rsidR="00180C88" w:rsidRPr="78F6248D">
        <w:rPr>
          <w:sz w:val="22"/>
          <w:szCs w:val="22"/>
        </w:rPr>
        <w:t>.</w:t>
      </w:r>
    </w:p>
    <w:p w14:paraId="2D5B4CA2" w14:textId="0CE7294B"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Burns MK, Appleton JJ and </w:t>
      </w:r>
      <w:proofErr w:type="spellStart"/>
      <w:r w:rsidRPr="78F6248D">
        <w:rPr>
          <w:sz w:val="22"/>
          <w:szCs w:val="22"/>
        </w:rPr>
        <w:t>Stehouwer</w:t>
      </w:r>
      <w:proofErr w:type="spellEnd"/>
      <w:r w:rsidRPr="78F6248D">
        <w:rPr>
          <w:sz w:val="22"/>
          <w:szCs w:val="22"/>
        </w:rPr>
        <w:t xml:space="preserve"> JD (2005) ‘Meta-Analytic Review of Responsiveness</w:t>
      </w:r>
      <w:r w:rsidR="00BC3FF3" w:rsidRPr="78F6248D">
        <w:rPr>
          <w:sz w:val="22"/>
          <w:szCs w:val="22"/>
        </w:rPr>
        <w:t xml:space="preserve"> </w:t>
      </w:r>
      <w:r w:rsidRPr="78F6248D">
        <w:rPr>
          <w:sz w:val="22"/>
          <w:szCs w:val="22"/>
        </w:rPr>
        <w:t>To Intervention Research: Examining Field-Based and Research-Implemented Models’, Journal of Psychoeducational Assessment, 23(4)</w:t>
      </w:r>
      <w:r w:rsidR="00ED7892" w:rsidRPr="78F6248D">
        <w:rPr>
          <w:sz w:val="22"/>
          <w:szCs w:val="22"/>
        </w:rPr>
        <w:t>, pp.</w:t>
      </w:r>
      <w:r w:rsidRPr="78F6248D">
        <w:rPr>
          <w:sz w:val="22"/>
          <w:szCs w:val="22"/>
        </w:rPr>
        <w:t>381–394</w:t>
      </w:r>
      <w:r w:rsidR="00180C88" w:rsidRPr="78F6248D">
        <w:rPr>
          <w:sz w:val="22"/>
          <w:szCs w:val="22"/>
        </w:rPr>
        <w:t>.</w:t>
      </w:r>
    </w:p>
    <w:p w14:paraId="22979FEC" w14:textId="4DA72820"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Burroughs N, Gardner J,</w:t>
      </w:r>
      <w:r w:rsidR="00164406"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Lee Y, Guo S, Touitou I, Jansen</w:t>
      </w:r>
      <w:r w:rsidR="00ED7892"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K</w:t>
      </w:r>
      <w:r w:rsidR="00ED7892" w:rsidRPr="78F6248D">
        <w:rPr>
          <w:rFonts w:asciiTheme="minorHAnsi" w:eastAsiaTheme="minorEastAsia" w:hAnsiTheme="minorHAnsi" w:cstheme="minorBidi"/>
          <w:sz w:val="22"/>
        </w:rPr>
        <w:t xml:space="preserve"> and</w:t>
      </w:r>
      <w:r w:rsidRPr="78F6248D">
        <w:rPr>
          <w:rFonts w:asciiTheme="minorHAnsi" w:eastAsiaTheme="minorEastAsia" w:hAnsiTheme="minorHAnsi" w:cstheme="minorBidi"/>
          <w:sz w:val="22"/>
        </w:rPr>
        <w:t xml:space="preserve"> Schmidt W</w:t>
      </w:r>
      <w:r w:rsidR="00ED7892"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(2019)</w:t>
      </w:r>
      <w:r w:rsidR="00805669"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A review of the literature on teacher effectiveness and student outcomes</w:t>
      </w:r>
      <w:r w:rsidR="00EF4C52"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Teaching for </w:t>
      </w:r>
      <w:r w:rsidR="006E7E2C" w:rsidRPr="78F6248D">
        <w:rPr>
          <w:rFonts w:asciiTheme="minorHAnsi" w:eastAsiaTheme="minorEastAsia" w:hAnsiTheme="minorHAnsi" w:cstheme="minorBidi"/>
          <w:sz w:val="22"/>
        </w:rPr>
        <w:t>E</w:t>
      </w:r>
      <w:r w:rsidRPr="78F6248D">
        <w:rPr>
          <w:rFonts w:asciiTheme="minorHAnsi" w:eastAsiaTheme="minorEastAsia" w:hAnsiTheme="minorHAnsi" w:cstheme="minorBidi"/>
          <w:sz w:val="22"/>
        </w:rPr>
        <w:t xml:space="preserve">xcellence and </w:t>
      </w:r>
      <w:r w:rsidR="006E7E2C" w:rsidRPr="78F6248D">
        <w:rPr>
          <w:rFonts w:asciiTheme="minorHAnsi" w:eastAsiaTheme="minorEastAsia" w:hAnsiTheme="minorHAnsi" w:cstheme="minorBidi"/>
          <w:sz w:val="22"/>
        </w:rPr>
        <w:t>E</w:t>
      </w:r>
      <w:r w:rsidRPr="78F6248D">
        <w:rPr>
          <w:rFonts w:asciiTheme="minorHAnsi" w:eastAsiaTheme="minorEastAsia" w:hAnsiTheme="minorHAnsi" w:cstheme="minorBidi"/>
          <w:sz w:val="22"/>
        </w:rPr>
        <w:t>quity</w:t>
      </w:r>
      <w:r w:rsidR="00EF4C52"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IEA Research for Education</w:t>
      </w:r>
      <w:r w:rsidR="004B741B" w:rsidRPr="78F6248D">
        <w:rPr>
          <w:rFonts w:asciiTheme="minorHAnsi" w:eastAsiaTheme="minorEastAsia" w:hAnsiTheme="minorHAnsi" w:cstheme="minorBidi"/>
          <w:sz w:val="22"/>
        </w:rPr>
        <w:t xml:space="preserve"> (IEAR), </w:t>
      </w:r>
      <w:r w:rsidRPr="78F6248D">
        <w:rPr>
          <w:rFonts w:asciiTheme="minorHAnsi" w:eastAsiaTheme="minorEastAsia" w:hAnsiTheme="minorHAnsi" w:cstheme="minorBidi"/>
          <w:sz w:val="22"/>
        </w:rPr>
        <w:t>6</w:t>
      </w:r>
      <w:r w:rsidR="004B741B"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Springer</w:t>
      </w:r>
      <w:r w:rsidR="00A977D9" w:rsidRPr="78F6248D">
        <w:rPr>
          <w:rFonts w:asciiTheme="minorHAnsi" w:eastAsiaTheme="minorEastAsia" w:hAnsiTheme="minorHAnsi" w:cstheme="minorBidi"/>
          <w:sz w:val="22"/>
        </w:rPr>
        <w:t>.</w:t>
      </w:r>
    </w:p>
    <w:p w14:paraId="2DDED5A3" w14:textId="6186F427"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Carpenter SK, Cepeda NJ, Rohrer D, Kang SHK and </w:t>
      </w:r>
      <w:proofErr w:type="spellStart"/>
      <w:r w:rsidRPr="78F6248D">
        <w:rPr>
          <w:sz w:val="22"/>
          <w:szCs w:val="22"/>
        </w:rPr>
        <w:t>Pashler</w:t>
      </w:r>
      <w:proofErr w:type="spellEnd"/>
      <w:r w:rsidRPr="78F6248D">
        <w:rPr>
          <w:sz w:val="22"/>
          <w:szCs w:val="22"/>
        </w:rPr>
        <w:t xml:space="preserve"> H (2012) ‘Using spacing to enhance diverse forms of learning: Review of recent research and implications for instruction’, Educational Psychology Review, 24</w:t>
      </w:r>
      <w:r w:rsidR="007D0532" w:rsidRPr="78F6248D">
        <w:rPr>
          <w:sz w:val="22"/>
          <w:szCs w:val="22"/>
        </w:rPr>
        <w:t>, pp.</w:t>
      </w:r>
      <w:r w:rsidRPr="78F6248D">
        <w:rPr>
          <w:sz w:val="22"/>
          <w:szCs w:val="22"/>
        </w:rPr>
        <w:t>369–378</w:t>
      </w:r>
      <w:r w:rsidR="00180C88" w:rsidRPr="78F6248D">
        <w:rPr>
          <w:sz w:val="22"/>
          <w:szCs w:val="22"/>
        </w:rPr>
        <w:t>.</w:t>
      </w:r>
    </w:p>
    <w:p w14:paraId="58B68AD5" w14:textId="36AFEDB7"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Carroll</w:t>
      </w:r>
      <w:r w:rsidR="001D1D44"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D, </w:t>
      </w:r>
      <w:proofErr w:type="spellStart"/>
      <w:r w:rsidRPr="78F6248D">
        <w:rPr>
          <w:rFonts w:asciiTheme="minorHAnsi" w:eastAsiaTheme="minorEastAsia" w:hAnsiTheme="minorHAnsi" w:cstheme="minorBidi"/>
          <w:sz w:val="22"/>
        </w:rPr>
        <w:t>Parasnis</w:t>
      </w:r>
      <w:proofErr w:type="spellEnd"/>
      <w:r w:rsidRPr="78F6248D">
        <w:rPr>
          <w:rFonts w:asciiTheme="minorHAnsi" w:eastAsiaTheme="minorEastAsia" w:hAnsiTheme="minorHAnsi" w:cstheme="minorBidi"/>
          <w:sz w:val="22"/>
        </w:rPr>
        <w:t xml:space="preserve"> J</w:t>
      </w:r>
      <w:r w:rsidR="001D1D44" w:rsidRPr="78F6248D">
        <w:rPr>
          <w:rFonts w:asciiTheme="minorHAnsi" w:eastAsiaTheme="minorEastAsia" w:hAnsiTheme="minorHAnsi" w:cstheme="minorBidi"/>
          <w:sz w:val="22"/>
        </w:rPr>
        <w:t xml:space="preserve"> and</w:t>
      </w:r>
      <w:r w:rsidRPr="78F6248D">
        <w:rPr>
          <w:rFonts w:asciiTheme="minorHAnsi" w:eastAsiaTheme="minorEastAsia" w:hAnsiTheme="minorHAnsi" w:cstheme="minorBidi"/>
          <w:sz w:val="22"/>
        </w:rPr>
        <w:t xml:space="preserve"> </w:t>
      </w:r>
      <w:proofErr w:type="spellStart"/>
      <w:r w:rsidRPr="78F6248D">
        <w:rPr>
          <w:rFonts w:asciiTheme="minorHAnsi" w:eastAsiaTheme="minorEastAsia" w:hAnsiTheme="minorHAnsi" w:cstheme="minorBidi"/>
          <w:sz w:val="22"/>
        </w:rPr>
        <w:t>Tani</w:t>
      </w:r>
      <w:proofErr w:type="spellEnd"/>
      <w:r w:rsidRPr="78F6248D">
        <w:rPr>
          <w:rFonts w:asciiTheme="minorHAnsi" w:eastAsiaTheme="minorEastAsia" w:hAnsiTheme="minorHAnsi" w:cstheme="minorBidi"/>
          <w:sz w:val="22"/>
        </w:rPr>
        <w:t xml:space="preserve"> M (2018)</w:t>
      </w:r>
      <w:r w:rsidR="001D1D44" w:rsidRPr="78F6248D">
        <w:rPr>
          <w:rFonts w:asciiTheme="minorHAnsi" w:eastAsiaTheme="minorEastAsia" w:hAnsiTheme="minorHAnsi" w:cstheme="minorBidi"/>
          <w:sz w:val="22"/>
        </w:rPr>
        <w:t>, ‘</w:t>
      </w:r>
      <w:r w:rsidRPr="78F6248D">
        <w:rPr>
          <w:rFonts w:asciiTheme="minorHAnsi" w:eastAsiaTheme="minorEastAsia" w:hAnsiTheme="minorHAnsi" w:cstheme="minorBidi"/>
          <w:sz w:val="22"/>
        </w:rPr>
        <w:t>Teaching, gender and labour market incentives</w:t>
      </w:r>
      <w:r w:rsidR="001D1D44" w:rsidRPr="78F6248D">
        <w:rPr>
          <w:rFonts w:asciiTheme="minorHAnsi" w:eastAsiaTheme="minorEastAsia" w:hAnsiTheme="minorHAnsi" w:cstheme="minorBidi"/>
          <w:sz w:val="22"/>
        </w:rPr>
        <w:t xml:space="preserve">’, </w:t>
      </w:r>
      <w:r w:rsidR="00434A88" w:rsidRPr="78F6248D">
        <w:rPr>
          <w:rFonts w:asciiTheme="minorHAnsi" w:eastAsiaTheme="minorEastAsia" w:hAnsiTheme="minorHAnsi" w:cstheme="minorBidi"/>
          <w:sz w:val="22"/>
        </w:rPr>
        <w:t>IZA Discussion</w:t>
      </w:r>
      <w:r w:rsidRPr="78F6248D">
        <w:rPr>
          <w:rFonts w:asciiTheme="minorHAnsi" w:eastAsiaTheme="minorEastAsia" w:hAnsiTheme="minorHAnsi" w:cstheme="minorBidi"/>
          <w:sz w:val="22"/>
        </w:rPr>
        <w:t xml:space="preserve"> Paper No.</w:t>
      </w:r>
      <w:r w:rsidR="00C740CC" w:rsidRPr="78F6248D">
        <w:rPr>
          <w:rFonts w:asciiTheme="minorHAnsi" w:eastAsiaTheme="minorEastAsia" w:hAnsiTheme="minorHAnsi" w:cstheme="minorBidi"/>
          <w:sz w:val="22"/>
        </w:rPr>
        <w:t>12027</w:t>
      </w:r>
      <w:r w:rsidR="001D1D44" w:rsidRPr="78F6248D">
        <w:rPr>
          <w:rFonts w:asciiTheme="minorHAnsi" w:eastAsiaTheme="minorEastAsia" w:hAnsiTheme="minorHAnsi" w:cstheme="minorBidi"/>
          <w:sz w:val="22"/>
        </w:rPr>
        <w:t>,</w:t>
      </w:r>
      <w:r w:rsidR="00434A88" w:rsidRPr="78F6248D">
        <w:rPr>
          <w:rFonts w:asciiTheme="minorHAnsi" w:eastAsiaTheme="minorEastAsia" w:hAnsiTheme="minorHAnsi" w:cstheme="minorBidi"/>
          <w:sz w:val="22"/>
        </w:rPr>
        <w:t xml:space="preserve"> SSRN</w:t>
      </w:r>
      <w:r w:rsidR="001D1D44" w:rsidRPr="78F6248D">
        <w:rPr>
          <w:rFonts w:asciiTheme="minorHAnsi" w:eastAsiaTheme="minorEastAsia" w:hAnsiTheme="minorHAnsi" w:cstheme="minorBidi"/>
          <w:sz w:val="22"/>
        </w:rPr>
        <w:t>.</w:t>
      </w:r>
    </w:p>
    <w:p w14:paraId="78965AEF" w14:textId="7D53E33C" w:rsidR="00943AD4" w:rsidRPr="00D73D0F" w:rsidRDefault="00943AD4" w:rsidP="007D6F33">
      <w:pPr>
        <w:pStyle w:val="ListParagraph"/>
        <w:numPr>
          <w:ilvl w:val="0"/>
          <w:numId w:val="34"/>
        </w:numPr>
        <w:spacing w:after="60"/>
        <w:contextualSpacing w:val="0"/>
        <w:rPr>
          <w:rFonts w:cstheme="minorHAnsi"/>
          <w:sz w:val="22"/>
          <w:szCs w:val="22"/>
        </w:rPr>
      </w:pPr>
      <w:r w:rsidRPr="78F6248D">
        <w:rPr>
          <w:sz w:val="22"/>
          <w:szCs w:val="22"/>
        </w:rPr>
        <w:t xml:space="preserve">Cepeda NJ, </w:t>
      </w:r>
      <w:proofErr w:type="spellStart"/>
      <w:r w:rsidRPr="78F6248D">
        <w:rPr>
          <w:sz w:val="22"/>
          <w:szCs w:val="22"/>
        </w:rPr>
        <w:t>Pashler</w:t>
      </w:r>
      <w:proofErr w:type="spellEnd"/>
      <w:r w:rsidRPr="78F6248D">
        <w:rPr>
          <w:sz w:val="22"/>
          <w:szCs w:val="22"/>
        </w:rPr>
        <w:t xml:space="preserve"> H, </w:t>
      </w:r>
      <w:proofErr w:type="spellStart"/>
      <w:r w:rsidRPr="78F6248D">
        <w:rPr>
          <w:sz w:val="22"/>
          <w:szCs w:val="22"/>
        </w:rPr>
        <w:t>Vul</w:t>
      </w:r>
      <w:proofErr w:type="spellEnd"/>
      <w:r w:rsidRPr="78F6248D">
        <w:rPr>
          <w:sz w:val="22"/>
          <w:szCs w:val="22"/>
        </w:rPr>
        <w:t xml:space="preserve"> E, </w:t>
      </w:r>
      <w:proofErr w:type="spellStart"/>
      <w:r w:rsidRPr="78F6248D">
        <w:rPr>
          <w:sz w:val="22"/>
          <w:szCs w:val="22"/>
        </w:rPr>
        <w:t>Wixted</w:t>
      </w:r>
      <w:proofErr w:type="spellEnd"/>
      <w:r w:rsidRPr="78F6248D">
        <w:rPr>
          <w:sz w:val="22"/>
          <w:szCs w:val="22"/>
        </w:rPr>
        <w:t xml:space="preserve"> JT and Rohrer D (2006) ‘Distributed practice in verbal recall tasks: A review and quantitative synthesis’, Psychological Bulletin, 132(3), pp.354–380</w:t>
      </w:r>
      <w:r w:rsidR="00180C88" w:rsidRPr="78F6248D">
        <w:rPr>
          <w:sz w:val="22"/>
          <w:szCs w:val="22"/>
        </w:rPr>
        <w:t>.</w:t>
      </w:r>
    </w:p>
    <w:p w14:paraId="3B2B8CD8" w14:textId="655DF356" w:rsidR="00943AD4" w:rsidRPr="00D73D0F" w:rsidRDefault="00943AD4" w:rsidP="007D6F33">
      <w:pPr>
        <w:pStyle w:val="ListParagraph"/>
        <w:numPr>
          <w:ilvl w:val="0"/>
          <w:numId w:val="34"/>
        </w:numPr>
        <w:spacing w:after="60"/>
        <w:contextualSpacing w:val="0"/>
        <w:rPr>
          <w:rFonts w:cstheme="minorHAnsi"/>
          <w:sz w:val="22"/>
          <w:szCs w:val="22"/>
        </w:rPr>
      </w:pPr>
      <w:r w:rsidRPr="78F6248D">
        <w:rPr>
          <w:sz w:val="22"/>
          <w:szCs w:val="22"/>
        </w:rPr>
        <w:lastRenderedPageBreak/>
        <w:t xml:space="preserve">Cepeda NJ, </w:t>
      </w:r>
      <w:proofErr w:type="spellStart"/>
      <w:r w:rsidRPr="78F6248D">
        <w:rPr>
          <w:sz w:val="22"/>
          <w:szCs w:val="22"/>
        </w:rPr>
        <w:t>Vul</w:t>
      </w:r>
      <w:proofErr w:type="spellEnd"/>
      <w:r w:rsidRPr="78F6248D">
        <w:rPr>
          <w:sz w:val="22"/>
          <w:szCs w:val="22"/>
        </w:rPr>
        <w:t xml:space="preserve"> E, Rohrer D, </w:t>
      </w:r>
      <w:proofErr w:type="spellStart"/>
      <w:r w:rsidRPr="78F6248D">
        <w:rPr>
          <w:sz w:val="22"/>
          <w:szCs w:val="22"/>
        </w:rPr>
        <w:t>Wixted</w:t>
      </w:r>
      <w:proofErr w:type="spellEnd"/>
      <w:r w:rsidRPr="78F6248D">
        <w:rPr>
          <w:sz w:val="22"/>
          <w:szCs w:val="22"/>
        </w:rPr>
        <w:t xml:space="preserve"> JT and </w:t>
      </w:r>
      <w:proofErr w:type="spellStart"/>
      <w:r w:rsidRPr="78F6248D">
        <w:rPr>
          <w:sz w:val="22"/>
          <w:szCs w:val="22"/>
        </w:rPr>
        <w:t>Pashler</w:t>
      </w:r>
      <w:proofErr w:type="spellEnd"/>
      <w:r w:rsidRPr="78F6248D">
        <w:rPr>
          <w:sz w:val="22"/>
          <w:szCs w:val="22"/>
        </w:rPr>
        <w:t xml:space="preserve"> H (2008) ‘Spacing effects in learning: a temporal ridgeline of optimal retention’, Psychological Science, 19(11), pp.1095–1102</w:t>
      </w:r>
      <w:r w:rsidR="00180C88" w:rsidRPr="78F6248D">
        <w:rPr>
          <w:sz w:val="22"/>
          <w:szCs w:val="22"/>
        </w:rPr>
        <w:t>.</w:t>
      </w:r>
    </w:p>
    <w:p w14:paraId="6DF8E531" w14:textId="0703FB66" w:rsidR="005545CE" w:rsidRPr="00D73D0F" w:rsidRDefault="00941ED8" w:rsidP="007D6F33">
      <w:pPr>
        <w:pStyle w:val="ListParagraph"/>
        <w:numPr>
          <w:ilvl w:val="0"/>
          <w:numId w:val="34"/>
        </w:numPr>
        <w:spacing w:after="60"/>
        <w:contextualSpacing w:val="0"/>
        <w:rPr>
          <w:rFonts w:cstheme="minorHAnsi"/>
          <w:sz w:val="22"/>
          <w:szCs w:val="22"/>
        </w:rPr>
      </w:pPr>
      <w:r w:rsidRPr="78F6248D">
        <w:rPr>
          <w:sz w:val="22"/>
          <w:szCs w:val="22"/>
        </w:rPr>
        <w:t>CESE</w:t>
      </w:r>
      <w:r w:rsidR="005545CE" w:rsidRPr="78F6248D">
        <w:rPr>
          <w:sz w:val="22"/>
          <w:szCs w:val="22"/>
        </w:rPr>
        <w:t xml:space="preserve"> (2017) </w:t>
      </w:r>
      <w:r w:rsidR="00C934A6" w:rsidRPr="78F6248D">
        <w:rPr>
          <w:sz w:val="22"/>
          <w:szCs w:val="22"/>
        </w:rPr>
        <w:t>‘</w:t>
      </w:r>
      <w:r w:rsidR="005545CE" w:rsidRPr="78F6248D">
        <w:rPr>
          <w:sz w:val="22"/>
          <w:szCs w:val="22"/>
        </w:rPr>
        <w:t>Cognitive load theory</w:t>
      </w:r>
      <w:r w:rsidR="00A05791" w:rsidRPr="78F6248D">
        <w:rPr>
          <w:sz w:val="22"/>
          <w:szCs w:val="22"/>
        </w:rPr>
        <w:t>: Research that teachers really need to understand</w:t>
      </w:r>
      <w:r w:rsidR="00C934A6" w:rsidRPr="78F6248D">
        <w:rPr>
          <w:sz w:val="22"/>
          <w:szCs w:val="22"/>
        </w:rPr>
        <w:t>’</w:t>
      </w:r>
      <w:r w:rsidR="005545CE" w:rsidRPr="78F6248D">
        <w:rPr>
          <w:sz w:val="22"/>
          <w:szCs w:val="22"/>
        </w:rPr>
        <w:t>,</w:t>
      </w:r>
      <w:r w:rsidR="001D7577" w:rsidRPr="78F6248D">
        <w:rPr>
          <w:sz w:val="22"/>
          <w:szCs w:val="22"/>
        </w:rPr>
        <w:t xml:space="preserve"> </w:t>
      </w:r>
      <w:r w:rsidR="00CB5A99" w:rsidRPr="78F6248D">
        <w:rPr>
          <w:sz w:val="22"/>
          <w:szCs w:val="22"/>
        </w:rPr>
        <w:t xml:space="preserve">Centre for Education Statistics and Evaluation (CESE), </w:t>
      </w:r>
      <w:r w:rsidR="001D7577" w:rsidRPr="78F6248D">
        <w:rPr>
          <w:sz w:val="22"/>
          <w:szCs w:val="22"/>
        </w:rPr>
        <w:t>NSW Government</w:t>
      </w:r>
      <w:r w:rsidR="00180C88" w:rsidRPr="78F6248D">
        <w:rPr>
          <w:sz w:val="22"/>
          <w:szCs w:val="22"/>
        </w:rPr>
        <w:t>.</w:t>
      </w:r>
    </w:p>
    <w:p w14:paraId="639AD70B" w14:textId="137F5AF0" w:rsidR="00F82D76" w:rsidRPr="00D73D0F" w:rsidRDefault="00CB5A99" w:rsidP="007D6F33">
      <w:pPr>
        <w:pStyle w:val="ListParagraph"/>
        <w:numPr>
          <w:ilvl w:val="0"/>
          <w:numId w:val="34"/>
        </w:numPr>
        <w:spacing w:after="60"/>
        <w:contextualSpacing w:val="0"/>
        <w:rPr>
          <w:rFonts w:cstheme="minorHAnsi"/>
          <w:sz w:val="22"/>
          <w:szCs w:val="22"/>
        </w:rPr>
      </w:pPr>
      <w:r w:rsidRPr="78F6248D">
        <w:rPr>
          <w:sz w:val="22"/>
          <w:szCs w:val="22"/>
        </w:rPr>
        <w:t>CESE</w:t>
      </w:r>
      <w:r w:rsidR="00F82D76" w:rsidRPr="78F6248D">
        <w:rPr>
          <w:sz w:val="22"/>
          <w:szCs w:val="22"/>
        </w:rPr>
        <w:t xml:space="preserve"> (2020) ‘Classroom management: Creating and maintaining positive learning environments’, </w:t>
      </w:r>
      <w:r w:rsidRPr="78F6248D">
        <w:rPr>
          <w:sz w:val="22"/>
          <w:szCs w:val="22"/>
        </w:rPr>
        <w:t xml:space="preserve">Centre for Education Statistics and Evaluation (CESE), </w:t>
      </w:r>
      <w:r w:rsidR="00F82D76" w:rsidRPr="78F6248D">
        <w:rPr>
          <w:sz w:val="22"/>
          <w:szCs w:val="22"/>
        </w:rPr>
        <w:t>NSW Government.</w:t>
      </w:r>
    </w:p>
    <w:p w14:paraId="0BE059D0" w14:textId="51D840F3"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Chaffee RK, </w:t>
      </w:r>
      <w:proofErr w:type="spellStart"/>
      <w:r w:rsidRPr="78F6248D">
        <w:rPr>
          <w:sz w:val="22"/>
          <w:szCs w:val="22"/>
        </w:rPr>
        <w:t>Briesch</w:t>
      </w:r>
      <w:proofErr w:type="spellEnd"/>
      <w:r w:rsidRPr="78F6248D">
        <w:rPr>
          <w:sz w:val="22"/>
          <w:szCs w:val="22"/>
        </w:rPr>
        <w:t xml:space="preserve"> AM, Johnson AH and Volpe RJ (2017) ‘A Meta-Analysis of Class-Wide Interventions for Supporting Student </w:t>
      </w:r>
      <w:proofErr w:type="spellStart"/>
      <w:r w:rsidRPr="78F6248D">
        <w:rPr>
          <w:sz w:val="22"/>
          <w:szCs w:val="22"/>
        </w:rPr>
        <w:t>Behavior</w:t>
      </w:r>
      <w:proofErr w:type="spellEnd"/>
      <w:r w:rsidRPr="78F6248D">
        <w:rPr>
          <w:sz w:val="22"/>
          <w:szCs w:val="22"/>
        </w:rPr>
        <w:t>’, School Psychology Review, 46(2)</w:t>
      </w:r>
      <w:r w:rsidR="00B149E9" w:rsidRPr="78F6248D">
        <w:rPr>
          <w:sz w:val="22"/>
          <w:szCs w:val="22"/>
        </w:rPr>
        <w:t>, pp.</w:t>
      </w:r>
      <w:r w:rsidRPr="78F6248D">
        <w:rPr>
          <w:sz w:val="22"/>
          <w:szCs w:val="22"/>
        </w:rPr>
        <w:t>149–164</w:t>
      </w:r>
      <w:r w:rsidR="00180C88" w:rsidRPr="78F6248D">
        <w:rPr>
          <w:sz w:val="22"/>
          <w:szCs w:val="22"/>
        </w:rPr>
        <w:t>.</w:t>
      </w:r>
    </w:p>
    <w:p w14:paraId="26964919" w14:textId="3B3BF77B" w:rsidR="000147AB" w:rsidRPr="00D73D0F" w:rsidRDefault="000147AB" w:rsidP="007D6F33">
      <w:pPr>
        <w:pStyle w:val="ListParagraph"/>
        <w:numPr>
          <w:ilvl w:val="0"/>
          <w:numId w:val="34"/>
        </w:numPr>
        <w:spacing w:after="60"/>
        <w:contextualSpacing w:val="0"/>
        <w:rPr>
          <w:rFonts w:cstheme="minorHAnsi"/>
          <w:sz w:val="22"/>
          <w:szCs w:val="22"/>
        </w:rPr>
      </w:pPr>
      <w:r w:rsidRPr="78F6248D">
        <w:rPr>
          <w:sz w:val="22"/>
          <w:szCs w:val="22"/>
        </w:rPr>
        <w:t xml:space="preserve">Charles Darwin University (2021) ‘CDU’s major investment to boost number of school teachers’, </w:t>
      </w:r>
      <w:r w:rsidR="000B1EAC" w:rsidRPr="78F6248D">
        <w:rPr>
          <w:sz w:val="22"/>
          <w:szCs w:val="22"/>
        </w:rPr>
        <w:t>Charles Darwin University (CDU) Australia</w:t>
      </w:r>
      <w:r w:rsidRPr="78F6248D">
        <w:rPr>
          <w:sz w:val="22"/>
          <w:szCs w:val="22"/>
        </w:rPr>
        <w:t>.</w:t>
      </w:r>
    </w:p>
    <w:p w14:paraId="38E231CB" w14:textId="78104DEF"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Chen O, Castro-Alonso JC, </w:t>
      </w:r>
      <w:proofErr w:type="spellStart"/>
      <w:r w:rsidRPr="78F6248D">
        <w:rPr>
          <w:sz w:val="22"/>
          <w:szCs w:val="22"/>
        </w:rPr>
        <w:t>Paas</w:t>
      </w:r>
      <w:proofErr w:type="spellEnd"/>
      <w:r w:rsidRPr="78F6248D">
        <w:rPr>
          <w:sz w:val="22"/>
          <w:szCs w:val="22"/>
        </w:rPr>
        <w:t xml:space="preserve"> F and </w:t>
      </w:r>
      <w:proofErr w:type="spellStart"/>
      <w:r w:rsidRPr="78F6248D">
        <w:rPr>
          <w:sz w:val="22"/>
          <w:szCs w:val="22"/>
        </w:rPr>
        <w:t>Sweller</w:t>
      </w:r>
      <w:proofErr w:type="spellEnd"/>
      <w:r w:rsidRPr="78F6248D">
        <w:rPr>
          <w:sz w:val="22"/>
          <w:szCs w:val="22"/>
        </w:rPr>
        <w:t xml:space="preserve"> J (2018) ‘Extending Cognitive Load Theory to Incorporate Working Memory Resource Depletion: Evidence from the Spacing Effect’, Educational Psychology Review, 30(2)</w:t>
      </w:r>
      <w:r w:rsidR="00D75301" w:rsidRPr="78F6248D">
        <w:rPr>
          <w:sz w:val="22"/>
          <w:szCs w:val="22"/>
        </w:rPr>
        <w:t>, pp.</w:t>
      </w:r>
      <w:r w:rsidRPr="78F6248D">
        <w:rPr>
          <w:sz w:val="22"/>
          <w:szCs w:val="22"/>
        </w:rPr>
        <w:t>483–501</w:t>
      </w:r>
      <w:r w:rsidR="00180C88" w:rsidRPr="78F6248D">
        <w:rPr>
          <w:sz w:val="22"/>
          <w:szCs w:val="22"/>
        </w:rPr>
        <w:t>.</w:t>
      </w:r>
    </w:p>
    <w:p w14:paraId="589CF92F" w14:textId="304C696B"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proofErr w:type="spellStart"/>
      <w:r w:rsidRPr="78F6248D">
        <w:rPr>
          <w:rFonts w:asciiTheme="minorHAnsi" w:eastAsiaTheme="minorEastAsia" w:hAnsiTheme="minorHAnsi" w:cstheme="minorBidi"/>
          <w:sz w:val="22"/>
        </w:rPr>
        <w:t>Coaldrake</w:t>
      </w:r>
      <w:proofErr w:type="spellEnd"/>
      <w:r w:rsidRPr="78F6248D">
        <w:rPr>
          <w:rFonts w:asciiTheme="minorHAnsi" w:eastAsiaTheme="minorEastAsia" w:hAnsiTheme="minorHAnsi" w:cstheme="minorBidi"/>
          <w:sz w:val="22"/>
        </w:rPr>
        <w:t xml:space="preserve"> P</w:t>
      </w:r>
      <w:r w:rsidR="00D75301" w:rsidRPr="78F6248D">
        <w:rPr>
          <w:rFonts w:asciiTheme="minorHAnsi" w:eastAsiaTheme="minorEastAsia" w:hAnsiTheme="minorHAnsi" w:cstheme="minorBidi"/>
          <w:sz w:val="22"/>
        </w:rPr>
        <w:t xml:space="preserve"> and</w:t>
      </w:r>
      <w:r w:rsidRPr="78F6248D">
        <w:rPr>
          <w:rFonts w:asciiTheme="minorHAnsi" w:eastAsiaTheme="minorEastAsia" w:hAnsiTheme="minorHAnsi" w:cstheme="minorBidi"/>
          <w:sz w:val="22"/>
        </w:rPr>
        <w:t xml:space="preserve"> Stedman L (2016) </w:t>
      </w:r>
      <w:r w:rsidR="00D75301"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Raising the stakes: gambling with the future of universities</w:t>
      </w:r>
      <w:r w:rsidR="00D75301"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(2</w:t>
      </w:r>
      <w:r w:rsidRPr="78F6248D">
        <w:rPr>
          <w:rFonts w:asciiTheme="minorHAnsi" w:eastAsiaTheme="minorEastAsia" w:hAnsiTheme="minorHAnsi" w:cstheme="minorBidi"/>
          <w:sz w:val="22"/>
          <w:vertAlign w:val="superscript"/>
        </w:rPr>
        <w:t>nd</w:t>
      </w:r>
      <w:r w:rsidRPr="78F6248D">
        <w:rPr>
          <w:rFonts w:asciiTheme="minorHAnsi" w:eastAsiaTheme="minorEastAsia" w:hAnsiTheme="minorHAnsi" w:cstheme="minorBidi"/>
          <w:sz w:val="22"/>
        </w:rPr>
        <w:t xml:space="preserve"> ed.)</w:t>
      </w:r>
      <w:r w:rsidR="00D75301"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University of Queensland Press. </w:t>
      </w:r>
    </w:p>
    <w:p w14:paraId="19106202" w14:textId="204DD627"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Cochran-Smith</w:t>
      </w:r>
      <w:r w:rsidR="00A60FC3"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M, Stringer Keefe E</w:t>
      </w:r>
      <w:r w:rsidR="00A60FC3" w:rsidRPr="78F6248D">
        <w:rPr>
          <w:rFonts w:asciiTheme="minorHAnsi" w:eastAsiaTheme="minorEastAsia" w:hAnsiTheme="minorHAnsi" w:cstheme="minorBidi"/>
          <w:sz w:val="22"/>
        </w:rPr>
        <w:t xml:space="preserve"> and</w:t>
      </w:r>
      <w:r w:rsidRPr="78F6248D">
        <w:rPr>
          <w:rFonts w:asciiTheme="minorHAnsi" w:eastAsiaTheme="minorEastAsia" w:hAnsiTheme="minorHAnsi" w:cstheme="minorBidi"/>
          <w:sz w:val="22"/>
        </w:rPr>
        <w:t xml:space="preserve"> Smith</w:t>
      </w:r>
      <w:r w:rsidR="00A60FC3"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RJ (2021) </w:t>
      </w:r>
      <w:r w:rsidR="00A60FC3"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A study in contrasts: Multiple-case perspectives on teacher preparation at new graduate schools of education</w:t>
      </w:r>
      <w:r w:rsidR="00A60FC3"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The New Educator, 17(1), </w:t>
      </w:r>
      <w:r w:rsidR="00A60FC3" w:rsidRPr="78F6248D">
        <w:rPr>
          <w:rFonts w:asciiTheme="minorHAnsi" w:eastAsiaTheme="minorEastAsia" w:hAnsiTheme="minorHAnsi" w:cstheme="minorBidi"/>
          <w:sz w:val="22"/>
        </w:rPr>
        <w:t>pp.</w:t>
      </w:r>
      <w:r w:rsidRPr="78F6248D">
        <w:rPr>
          <w:rFonts w:asciiTheme="minorHAnsi" w:eastAsiaTheme="minorEastAsia" w:hAnsiTheme="minorHAnsi" w:cstheme="minorBidi"/>
          <w:sz w:val="22"/>
        </w:rPr>
        <w:t xml:space="preserve">96-118. </w:t>
      </w:r>
    </w:p>
    <w:p w14:paraId="248CA9B7" w14:textId="75DC806E"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Cullen MA, Lindsay G, Hastings R, Denne L, Stanford C, </w:t>
      </w:r>
      <w:proofErr w:type="spellStart"/>
      <w:r w:rsidRPr="78F6248D">
        <w:rPr>
          <w:sz w:val="22"/>
          <w:szCs w:val="22"/>
        </w:rPr>
        <w:t>Beqiraq</w:t>
      </w:r>
      <w:proofErr w:type="spellEnd"/>
      <w:r w:rsidRPr="78F6248D">
        <w:rPr>
          <w:sz w:val="22"/>
          <w:szCs w:val="22"/>
        </w:rPr>
        <w:t xml:space="preserve"> L, Elahi F, </w:t>
      </w:r>
      <w:proofErr w:type="spellStart"/>
      <w:r w:rsidRPr="78F6248D">
        <w:rPr>
          <w:sz w:val="22"/>
          <w:szCs w:val="22"/>
        </w:rPr>
        <w:t>Gemegah</w:t>
      </w:r>
      <w:proofErr w:type="spellEnd"/>
      <w:r w:rsidRPr="78F6248D">
        <w:rPr>
          <w:sz w:val="22"/>
          <w:szCs w:val="22"/>
        </w:rPr>
        <w:t xml:space="preserve"> E, Hayden N, </w:t>
      </w:r>
      <w:proofErr w:type="spellStart"/>
      <w:r w:rsidRPr="78F6248D">
        <w:rPr>
          <w:sz w:val="22"/>
          <w:szCs w:val="22"/>
        </w:rPr>
        <w:t>Kander</w:t>
      </w:r>
      <w:proofErr w:type="spellEnd"/>
      <w:r w:rsidRPr="78F6248D">
        <w:rPr>
          <w:sz w:val="22"/>
          <w:szCs w:val="22"/>
        </w:rPr>
        <w:t xml:space="preserve"> I, </w:t>
      </w:r>
      <w:proofErr w:type="spellStart"/>
      <w:r w:rsidRPr="78F6248D">
        <w:rPr>
          <w:sz w:val="22"/>
          <w:szCs w:val="22"/>
        </w:rPr>
        <w:t>Lykomitrou</w:t>
      </w:r>
      <w:proofErr w:type="spellEnd"/>
      <w:r w:rsidRPr="78F6248D">
        <w:rPr>
          <w:sz w:val="22"/>
          <w:szCs w:val="22"/>
        </w:rPr>
        <w:t xml:space="preserve"> F and Zander J (2020) ‘Special Educational Needs in Mainstream Schools: Evidence Review’, Education Endowment Foundation, </w:t>
      </w:r>
      <w:r w:rsidR="00C43493" w:rsidRPr="78F6248D">
        <w:rPr>
          <w:sz w:val="22"/>
          <w:szCs w:val="22"/>
        </w:rPr>
        <w:t>London</w:t>
      </w:r>
      <w:r w:rsidR="00280BDC" w:rsidRPr="78F6248D">
        <w:rPr>
          <w:sz w:val="22"/>
          <w:szCs w:val="22"/>
        </w:rPr>
        <w:t>.</w:t>
      </w:r>
    </w:p>
    <w:p w14:paraId="53A6F88F" w14:textId="2695CE41" w:rsidR="00734A00" w:rsidRPr="00D73D0F" w:rsidRDefault="00734A00" w:rsidP="007D6F33">
      <w:pPr>
        <w:pStyle w:val="References"/>
        <w:numPr>
          <w:ilvl w:val="0"/>
          <w:numId w:val="34"/>
        </w:numPr>
        <w:spacing w:line="240" w:lineRule="auto"/>
        <w:rPr>
          <w:rFonts w:asciiTheme="minorHAnsi" w:eastAsiaTheme="minorEastAsia" w:hAnsiTheme="minorHAnsi" w:cstheme="minorHAnsi"/>
          <w:sz w:val="22"/>
        </w:rPr>
      </w:pPr>
      <w:proofErr w:type="spellStart"/>
      <w:r w:rsidRPr="78F6248D">
        <w:rPr>
          <w:rFonts w:asciiTheme="minorHAnsi" w:hAnsiTheme="minorHAnsi" w:cstheme="minorBidi"/>
          <w:sz w:val="22"/>
        </w:rPr>
        <w:t>Dadvand</w:t>
      </w:r>
      <w:proofErr w:type="spellEnd"/>
      <w:r w:rsidRPr="78F6248D">
        <w:rPr>
          <w:rFonts w:asciiTheme="minorHAnsi" w:hAnsiTheme="minorHAnsi" w:cstheme="minorBidi"/>
          <w:sz w:val="22"/>
        </w:rPr>
        <w:t xml:space="preserve"> B, </w:t>
      </w:r>
      <w:proofErr w:type="spellStart"/>
      <w:r w:rsidRPr="78F6248D">
        <w:rPr>
          <w:rFonts w:asciiTheme="minorHAnsi" w:hAnsiTheme="minorHAnsi" w:cstheme="minorBidi"/>
          <w:sz w:val="22"/>
        </w:rPr>
        <w:t>Dawborn</w:t>
      </w:r>
      <w:proofErr w:type="spellEnd"/>
      <w:r w:rsidRPr="78F6248D">
        <w:rPr>
          <w:rFonts w:asciiTheme="minorHAnsi" w:hAnsiTheme="minorHAnsi" w:cstheme="minorBidi"/>
          <w:sz w:val="22"/>
        </w:rPr>
        <w:t xml:space="preserve">-Gundlach M, van </w:t>
      </w:r>
      <w:proofErr w:type="spellStart"/>
      <w:r w:rsidRPr="78F6248D">
        <w:rPr>
          <w:rFonts w:asciiTheme="minorHAnsi" w:hAnsiTheme="minorHAnsi" w:cstheme="minorBidi"/>
          <w:sz w:val="22"/>
        </w:rPr>
        <w:t>Driel</w:t>
      </w:r>
      <w:proofErr w:type="spellEnd"/>
      <w:r w:rsidRPr="78F6248D">
        <w:rPr>
          <w:rFonts w:asciiTheme="minorHAnsi" w:hAnsiTheme="minorHAnsi" w:cstheme="minorBidi"/>
          <w:sz w:val="22"/>
        </w:rPr>
        <w:t xml:space="preserve"> J and </w:t>
      </w:r>
      <w:proofErr w:type="spellStart"/>
      <w:r w:rsidRPr="78F6248D">
        <w:rPr>
          <w:rFonts w:asciiTheme="minorHAnsi" w:hAnsiTheme="minorHAnsi" w:cstheme="minorBidi"/>
          <w:sz w:val="22"/>
        </w:rPr>
        <w:t>Speldewinde</w:t>
      </w:r>
      <w:proofErr w:type="spellEnd"/>
      <w:r w:rsidRPr="78F6248D">
        <w:rPr>
          <w:rFonts w:asciiTheme="minorHAnsi" w:hAnsiTheme="minorHAnsi" w:cstheme="minorBidi"/>
          <w:sz w:val="22"/>
        </w:rPr>
        <w:t xml:space="preserve"> C (2021) ‘Career-changers: Keeping them in the teaching profession’, Melbourne Graduate School of Education, The University of Melbourne</w:t>
      </w:r>
      <w:r w:rsidR="0031772C" w:rsidRPr="78F6248D">
        <w:rPr>
          <w:rFonts w:asciiTheme="minorHAnsi" w:hAnsiTheme="minorHAnsi" w:cstheme="minorBidi"/>
          <w:sz w:val="22"/>
        </w:rPr>
        <w:t>.</w:t>
      </w:r>
    </w:p>
    <w:p w14:paraId="435793CB" w14:textId="6B80D233"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Darling-Hammond</w:t>
      </w:r>
      <w:r w:rsidR="004A12BC"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L (2006)</w:t>
      </w:r>
      <w:r w:rsidR="004A12BC"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Constructing 21st-century teacher education</w:t>
      </w:r>
      <w:r w:rsidR="004A12BC"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Journal of Teacher Education, 57(3), </w:t>
      </w:r>
      <w:r w:rsidR="004A12BC" w:rsidRPr="78F6248D">
        <w:rPr>
          <w:rFonts w:asciiTheme="minorHAnsi" w:eastAsiaTheme="minorEastAsia" w:hAnsiTheme="minorHAnsi" w:cstheme="minorBidi"/>
          <w:sz w:val="22"/>
        </w:rPr>
        <w:t>pp.</w:t>
      </w:r>
      <w:r w:rsidRPr="78F6248D">
        <w:rPr>
          <w:rFonts w:asciiTheme="minorHAnsi" w:eastAsiaTheme="minorEastAsia" w:hAnsiTheme="minorHAnsi" w:cstheme="minorBidi"/>
          <w:sz w:val="22"/>
        </w:rPr>
        <w:t>300-314</w:t>
      </w:r>
      <w:r w:rsidR="00280BDC" w:rsidRPr="78F6248D">
        <w:rPr>
          <w:rFonts w:asciiTheme="minorHAnsi" w:eastAsiaTheme="minorEastAsia" w:hAnsiTheme="minorHAnsi" w:cstheme="minorBidi"/>
          <w:sz w:val="22"/>
        </w:rPr>
        <w:t>.</w:t>
      </w:r>
    </w:p>
    <w:p w14:paraId="11CDA313" w14:textId="7F1F15D7"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lang w:val="en-US"/>
        </w:rPr>
      </w:pPr>
      <w:r w:rsidRPr="78F6248D">
        <w:rPr>
          <w:rFonts w:asciiTheme="minorHAnsi" w:eastAsiaTheme="minorEastAsia" w:hAnsiTheme="minorHAnsi" w:cstheme="minorBidi"/>
          <w:sz w:val="22"/>
          <w:lang w:val="en-US"/>
        </w:rPr>
        <w:t xml:space="preserve">Darling-Hammond L, Saunders R, </w:t>
      </w:r>
      <w:proofErr w:type="spellStart"/>
      <w:r w:rsidRPr="78F6248D">
        <w:rPr>
          <w:rFonts w:asciiTheme="minorHAnsi" w:eastAsiaTheme="minorEastAsia" w:hAnsiTheme="minorHAnsi" w:cstheme="minorBidi"/>
          <w:sz w:val="22"/>
          <w:lang w:val="en-US"/>
        </w:rPr>
        <w:t>Podolsky</w:t>
      </w:r>
      <w:proofErr w:type="spellEnd"/>
      <w:r w:rsidRPr="78F6248D">
        <w:rPr>
          <w:rFonts w:asciiTheme="minorHAnsi" w:eastAsiaTheme="minorEastAsia" w:hAnsiTheme="minorHAnsi" w:cstheme="minorBidi"/>
          <w:sz w:val="22"/>
          <w:lang w:val="en-US"/>
        </w:rPr>
        <w:t xml:space="preserve"> A, </w:t>
      </w:r>
      <w:proofErr w:type="spellStart"/>
      <w:r w:rsidRPr="78F6248D">
        <w:rPr>
          <w:rFonts w:asciiTheme="minorHAnsi" w:eastAsiaTheme="minorEastAsia" w:hAnsiTheme="minorHAnsi" w:cstheme="minorBidi"/>
          <w:sz w:val="22"/>
          <w:lang w:val="en-US"/>
        </w:rPr>
        <w:t>Kini</w:t>
      </w:r>
      <w:proofErr w:type="spellEnd"/>
      <w:r w:rsidRPr="78F6248D">
        <w:rPr>
          <w:rFonts w:asciiTheme="minorHAnsi" w:eastAsiaTheme="minorEastAsia" w:hAnsiTheme="minorHAnsi" w:cstheme="minorBidi"/>
          <w:sz w:val="22"/>
          <w:lang w:val="en-US"/>
        </w:rPr>
        <w:t xml:space="preserve"> T, Espinoza D, </w:t>
      </w:r>
      <w:proofErr w:type="spellStart"/>
      <w:r w:rsidRPr="78F6248D">
        <w:rPr>
          <w:rFonts w:asciiTheme="minorHAnsi" w:eastAsiaTheme="minorEastAsia" w:hAnsiTheme="minorHAnsi" w:cstheme="minorBidi"/>
          <w:sz w:val="22"/>
          <w:lang w:val="en-US"/>
        </w:rPr>
        <w:t>Hyler</w:t>
      </w:r>
      <w:proofErr w:type="spellEnd"/>
      <w:r w:rsidRPr="78F6248D">
        <w:rPr>
          <w:rFonts w:asciiTheme="minorHAnsi" w:eastAsiaTheme="minorEastAsia" w:hAnsiTheme="minorHAnsi" w:cstheme="minorBidi"/>
          <w:sz w:val="22"/>
          <w:lang w:val="en-US"/>
        </w:rPr>
        <w:t xml:space="preserve"> M</w:t>
      </w:r>
      <w:r w:rsidR="004A12BC" w:rsidRPr="78F6248D">
        <w:rPr>
          <w:rFonts w:asciiTheme="minorHAnsi" w:eastAsiaTheme="minorEastAsia" w:hAnsiTheme="minorHAnsi" w:cstheme="minorBidi"/>
          <w:sz w:val="22"/>
          <w:lang w:val="en-US"/>
        </w:rPr>
        <w:t xml:space="preserve"> and</w:t>
      </w:r>
      <w:r w:rsidRPr="78F6248D">
        <w:rPr>
          <w:rFonts w:asciiTheme="minorHAnsi" w:eastAsiaTheme="minorEastAsia" w:hAnsiTheme="minorHAnsi" w:cstheme="minorBidi"/>
          <w:sz w:val="22"/>
          <w:lang w:val="en-US"/>
        </w:rPr>
        <w:t xml:space="preserve"> Carver-Thomas</w:t>
      </w:r>
      <w:r w:rsidR="004A12BC" w:rsidRPr="78F6248D">
        <w:rPr>
          <w:rFonts w:asciiTheme="minorHAnsi" w:eastAsiaTheme="minorEastAsia" w:hAnsiTheme="minorHAnsi" w:cstheme="minorBidi"/>
          <w:sz w:val="22"/>
          <w:lang w:val="en-US"/>
        </w:rPr>
        <w:t xml:space="preserve"> </w:t>
      </w:r>
      <w:r w:rsidRPr="78F6248D">
        <w:rPr>
          <w:rFonts w:asciiTheme="minorHAnsi" w:eastAsiaTheme="minorEastAsia" w:hAnsiTheme="minorHAnsi" w:cstheme="minorBidi"/>
          <w:sz w:val="22"/>
          <w:lang w:val="en-US"/>
        </w:rPr>
        <w:t>D</w:t>
      </w:r>
      <w:r w:rsidR="004A12BC" w:rsidRPr="78F6248D">
        <w:rPr>
          <w:rFonts w:asciiTheme="minorHAnsi" w:eastAsiaTheme="minorEastAsia" w:hAnsiTheme="minorHAnsi" w:cstheme="minorBidi"/>
          <w:sz w:val="22"/>
          <w:lang w:val="en-US"/>
        </w:rPr>
        <w:t xml:space="preserve"> </w:t>
      </w:r>
      <w:r w:rsidRPr="78F6248D">
        <w:rPr>
          <w:rFonts w:asciiTheme="minorHAnsi" w:eastAsiaTheme="minorEastAsia" w:hAnsiTheme="minorHAnsi" w:cstheme="minorBidi"/>
          <w:sz w:val="22"/>
          <w:lang w:val="en-US"/>
        </w:rPr>
        <w:t xml:space="preserve">(2019) </w:t>
      </w:r>
      <w:r w:rsidR="004A12BC" w:rsidRPr="78F6248D">
        <w:rPr>
          <w:rFonts w:asciiTheme="minorHAnsi" w:eastAsiaTheme="minorEastAsia" w:hAnsiTheme="minorHAnsi" w:cstheme="minorBidi"/>
          <w:sz w:val="22"/>
          <w:lang w:val="en-US"/>
        </w:rPr>
        <w:t>‘</w:t>
      </w:r>
      <w:r w:rsidRPr="78F6248D">
        <w:rPr>
          <w:rFonts w:asciiTheme="minorHAnsi" w:eastAsiaTheme="minorEastAsia" w:hAnsiTheme="minorHAnsi" w:cstheme="minorBidi"/>
          <w:sz w:val="22"/>
          <w:lang w:val="en-US"/>
        </w:rPr>
        <w:t>Best practices to recruit and retain well-prepared teachers in all classrooms</w:t>
      </w:r>
      <w:r w:rsidR="004A12BC" w:rsidRPr="78F6248D">
        <w:rPr>
          <w:rFonts w:asciiTheme="minorHAnsi" w:eastAsiaTheme="minorEastAsia" w:hAnsiTheme="minorHAnsi" w:cstheme="minorBidi"/>
          <w:sz w:val="22"/>
          <w:lang w:val="en-US"/>
        </w:rPr>
        <w:t xml:space="preserve">’, </w:t>
      </w:r>
      <w:r w:rsidRPr="78F6248D">
        <w:rPr>
          <w:rFonts w:asciiTheme="minorHAnsi" w:eastAsiaTheme="minorEastAsia" w:hAnsiTheme="minorHAnsi" w:cstheme="minorBidi"/>
          <w:sz w:val="22"/>
          <w:lang w:val="en-US"/>
        </w:rPr>
        <w:t>Learning Policy Institute</w:t>
      </w:r>
      <w:r w:rsidR="00280BDC" w:rsidRPr="78F6248D">
        <w:rPr>
          <w:rFonts w:asciiTheme="minorHAnsi" w:eastAsiaTheme="minorEastAsia" w:hAnsiTheme="minorHAnsi" w:cstheme="minorBidi"/>
          <w:sz w:val="22"/>
          <w:lang w:val="en-US"/>
        </w:rPr>
        <w:t>.</w:t>
      </w:r>
    </w:p>
    <w:p w14:paraId="25B74489" w14:textId="7C7CFC95"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Deans for Impact (2015) </w:t>
      </w:r>
      <w:r w:rsidR="000E1969" w:rsidRPr="78F6248D">
        <w:rPr>
          <w:sz w:val="22"/>
          <w:szCs w:val="22"/>
        </w:rPr>
        <w:t>‘</w:t>
      </w:r>
      <w:r w:rsidRPr="78F6248D">
        <w:rPr>
          <w:sz w:val="22"/>
          <w:szCs w:val="22"/>
        </w:rPr>
        <w:t>The Science of Learning</w:t>
      </w:r>
      <w:r w:rsidR="000E1969" w:rsidRPr="78F6248D">
        <w:rPr>
          <w:sz w:val="22"/>
          <w:szCs w:val="22"/>
        </w:rPr>
        <w:t>’</w:t>
      </w:r>
      <w:r w:rsidRPr="78F6248D">
        <w:rPr>
          <w:sz w:val="22"/>
          <w:szCs w:val="22"/>
        </w:rPr>
        <w:t>, Deans for Impact, Austin, Texas.</w:t>
      </w:r>
    </w:p>
    <w:p w14:paraId="02CD00C8" w14:textId="4006A279"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Dekker S, Lee N, Howard-Jones P and </w:t>
      </w:r>
      <w:proofErr w:type="spellStart"/>
      <w:r w:rsidRPr="78F6248D">
        <w:rPr>
          <w:sz w:val="22"/>
          <w:szCs w:val="22"/>
        </w:rPr>
        <w:t>Jolles</w:t>
      </w:r>
      <w:proofErr w:type="spellEnd"/>
      <w:r w:rsidRPr="78F6248D">
        <w:rPr>
          <w:sz w:val="22"/>
          <w:szCs w:val="22"/>
        </w:rPr>
        <w:t xml:space="preserve"> J (2012) ‘Neuromyths in Education: Prevalence and Predictors of Misconceptions among Teachers’, Frontiers in Psychology, 3.</w:t>
      </w:r>
    </w:p>
    <w:p w14:paraId="5FBD4EC6" w14:textId="53F6A401" w:rsidR="005545CE" w:rsidRPr="00D73D0F" w:rsidRDefault="00665C13" w:rsidP="007D6F33">
      <w:pPr>
        <w:pStyle w:val="References"/>
        <w:numPr>
          <w:ilvl w:val="0"/>
          <w:numId w:val="34"/>
        </w:numPr>
        <w:spacing w:line="240" w:lineRule="auto"/>
        <w:rPr>
          <w:rFonts w:asciiTheme="minorHAnsi" w:eastAsiaTheme="minorEastAsia" w:hAnsiTheme="minorHAnsi" w:cstheme="minorHAnsi"/>
          <w:sz w:val="22"/>
        </w:rPr>
      </w:pPr>
      <w:hyperlink r:id="rId68">
        <w:proofErr w:type="spellStart"/>
        <w:r w:rsidR="005545CE" w:rsidRPr="78F6248D">
          <w:rPr>
            <w:rStyle w:val="Hyperlink"/>
            <w:rFonts w:asciiTheme="minorHAnsi" w:eastAsiaTheme="minorEastAsia" w:hAnsiTheme="minorHAnsi" w:cstheme="minorBidi"/>
            <w:color w:val="auto"/>
            <w:sz w:val="22"/>
            <w:u w:val="none"/>
          </w:rPr>
          <w:t>Derrington</w:t>
        </w:r>
        <w:proofErr w:type="spellEnd"/>
        <w:r w:rsidR="005545CE" w:rsidRPr="78F6248D">
          <w:rPr>
            <w:rStyle w:val="Hyperlink"/>
            <w:rFonts w:asciiTheme="minorHAnsi" w:eastAsiaTheme="minorEastAsia" w:hAnsiTheme="minorHAnsi" w:cstheme="minorBidi"/>
            <w:color w:val="auto"/>
            <w:sz w:val="22"/>
            <w:u w:val="none"/>
          </w:rPr>
          <w:t>, ML</w:t>
        </w:r>
        <w:r w:rsidR="004737C5" w:rsidRPr="78F6248D">
          <w:rPr>
            <w:rStyle w:val="Hyperlink"/>
            <w:rFonts w:asciiTheme="minorHAnsi" w:eastAsiaTheme="minorEastAsia" w:hAnsiTheme="minorHAnsi" w:cstheme="minorBidi"/>
            <w:color w:val="auto"/>
            <w:sz w:val="22"/>
            <w:u w:val="none"/>
          </w:rPr>
          <w:t xml:space="preserve"> and</w:t>
        </w:r>
        <w:r w:rsidR="005545CE" w:rsidRPr="78F6248D">
          <w:rPr>
            <w:rStyle w:val="Hyperlink"/>
            <w:rFonts w:asciiTheme="minorHAnsi" w:eastAsiaTheme="minorEastAsia" w:hAnsiTheme="minorHAnsi" w:cstheme="minorBidi"/>
            <w:color w:val="auto"/>
            <w:sz w:val="22"/>
            <w:u w:val="none"/>
          </w:rPr>
          <w:t xml:space="preserve"> Campbell</w:t>
        </w:r>
        <w:r w:rsidR="004737C5" w:rsidRPr="78F6248D">
          <w:rPr>
            <w:rStyle w:val="Hyperlink"/>
            <w:rFonts w:asciiTheme="minorHAnsi" w:eastAsiaTheme="minorEastAsia" w:hAnsiTheme="minorHAnsi" w:cstheme="minorBidi"/>
            <w:color w:val="auto"/>
            <w:sz w:val="22"/>
            <w:u w:val="none"/>
          </w:rPr>
          <w:t xml:space="preserve"> </w:t>
        </w:r>
        <w:r w:rsidR="005545CE" w:rsidRPr="78F6248D">
          <w:rPr>
            <w:rStyle w:val="Hyperlink"/>
            <w:rFonts w:asciiTheme="minorHAnsi" w:eastAsiaTheme="minorEastAsia" w:hAnsiTheme="minorHAnsi" w:cstheme="minorBidi"/>
            <w:color w:val="auto"/>
            <w:sz w:val="22"/>
            <w:u w:val="none"/>
          </w:rPr>
          <w:t>JW</w:t>
        </w:r>
        <w:r w:rsidR="004737C5" w:rsidRPr="78F6248D">
          <w:rPr>
            <w:rStyle w:val="Hyperlink"/>
            <w:rFonts w:asciiTheme="minorHAnsi" w:eastAsiaTheme="minorEastAsia" w:hAnsiTheme="minorHAnsi" w:cstheme="minorBidi"/>
            <w:color w:val="auto"/>
            <w:sz w:val="22"/>
            <w:u w:val="none"/>
          </w:rPr>
          <w:t xml:space="preserve"> </w:t>
        </w:r>
        <w:r w:rsidR="005545CE" w:rsidRPr="78F6248D">
          <w:rPr>
            <w:rStyle w:val="Hyperlink"/>
            <w:rFonts w:asciiTheme="minorHAnsi" w:eastAsiaTheme="minorEastAsia" w:hAnsiTheme="minorHAnsi" w:cstheme="minorBidi"/>
            <w:color w:val="auto"/>
            <w:sz w:val="22"/>
            <w:u w:val="none"/>
          </w:rPr>
          <w:t>(2018)</w:t>
        </w:r>
        <w:r w:rsidR="004737C5" w:rsidRPr="78F6248D">
          <w:rPr>
            <w:rStyle w:val="Hyperlink"/>
            <w:rFonts w:asciiTheme="minorHAnsi" w:eastAsiaTheme="minorEastAsia" w:hAnsiTheme="minorHAnsi" w:cstheme="minorBidi"/>
            <w:color w:val="auto"/>
            <w:sz w:val="22"/>
            <w:u w:val="none"/>
          </w:rPr>
          <w:t xml:space="preserve"> ‘</w:t>
        </w:r>
        <w:r w:rsidR="005545CE" w:rsidRPr="78F6248D">
          <w:rPr>
            <w:rStyle w:val="Hyperlink"/>
            <w:rFonts w:asciiTheme="minorHAnsi" w:eastAsiaTheme="minorEastAsia" w:hAnsiTheme="minorHAnsi" w:cstheme="minorBidi"/>
            <w:color w:val="auto"/>
            <w:sz w:val="22"/>
            <w:u w:val="none"/>
          </w:rPr>
          <w:t>High-stakes teacher evaluation policy: US principals’ perspectives and variations in practice</w:t>
        </w:r>
        <w:r w:rsidR="004737C5" w:rsidRPr="78F6248D">
          <w:rPr>
            <w:rStyle w:val="Hyperlink"/>
            <w:rFonts w:asciiTheme="minorHAnsi" w:eastAsiaTheme="minorEastAsia" w:hAnsiTheme="minorHAnsi" w:cstheme="minorBidi"/>
            <w:color w:val="auto"/>
            <w:sz w:val="22"/>
            <w:u w:val="none"/>
          </w:rPr>
          <w:t>’,</w:t>
        </w:r>
        <w:r w:rsidR="005545CE" w:rsidRPr="78F6248D">
          <w:rPr>
            <w:rStyle w:val="Hyperlink"/>
            <w:rFonts w:asciiTheme="minorHAnsi" w:eastAsiaTheme="minorEastAsia" w:hAnsiTheme="minorHAnsi" w:cstheme="minorBidi"/>
            <w:color w:val="auto"/>
            <w:sz w:val="22"/>
            <w:u w:val="none"/>
          </w:rPr>
          <w:t xml:space="preserve"> </w:t>
        </w:r>
      </w:hyperlink>
      <w:hyperlink r:id="rId69">
        <w:r w:rsidR="005545CE" w:rsidRPr="78F6248D">
          <w:rPr>
            <w:rStyle w:val="Hyperlink"/>
            <w:rFonts w:asciiTheme="minorHAnsi" w:eastAsiaTheme="minorEastAsia" w:hAnsiTheme="minorHAnsi" w:cstheme="minorBidi"/>
            <w:color w:val="auto"/>
            <w:sz w:val="22"/>
            <w:u w:val="none"/>
          </w:rPr>
          <w:t>Teachers and Teaching</w:t>
        </w:r>
      </w:hyperlink>
      <w:hyperlink r:id="rId70">
        <w:r w:rsidR="005545CE" w:rsidRPr="78F6248D">
          <w:rPr>
            <w:rStyle w:val="Hyperlink"/>
            <w:rFonts w:asciiTheme="minorHAnsi" w:eastAsiaTheme="minorEastAsia" w:hAnsiTheme="minorHAnsi" w:cstheme="minorBidi"/>
            <w:color w:val="auto"/>
            <w:sz w:val="22"/>
            <w:u w:val="none"/>
          </w:rPr>
          <w:t xml:space="preserve">, </w:t>
        </w:r>
      </w:hyperlink>
      <w:hyperlink r:id="rId71">
        <w:r w:rsidR="005545CE" w:rsidRPr="78F6248D">
          <w:rPr>
            <w:rStyle w:val="Hyperlink"/>
            <w:rFonts w:asciiTheme="minorHAnsi" w:eastAsiaTheme="minorEastAsia" w:hAnsiTheme="minorHAnsi" w:cstheme="minorBidi"/>
            <w:color w:val="auto"/>
            <w:sz w:val="22"/>
            <w:u w:val="none"/>
          </w:rPr>
          <w:t>24</w:t>
        </w:r>
      </w:hyperlink>
      <w:r w:rsidR="005545CE" w:rsidRPr="78F6248D">
        <w:rPr>
          <w:rFonts w:asciiTheme="minorHAnsi" w:eastAsiaTheme="minorEastAsia" w:hAnsiTheme="minorHAnsi" w:cstheme="minorBidi"/>
          <w:sz w:val="22"/>
        </w:rPr>
        <w:t xml:space="preserve">(3), </w:t>
      </w:r>
      <w:r w:rsidR="004737C5" w:rsidRPr="78F6248D">
        <w:rPr>
          <w:rFonts w:asciiTheme="minorHAnsi" w:eastAsiaTheme="minorEastAsia" w:hAnsiTheme="minorHAnsi" w:cstheme="minorBidi"/>
          <w:sz w:val="22"/>
        </w:rPr>
        <w:t>pp.</w:t>
      </w:r>
      <w:r w:rsidR="005545CE" w:rsidRPr="78F6248D">
        <w:rPr>
          <w:rFonts w:asciiTheme="minorHAnsi" w:eastAsiaTheme="minorEastAsia" w:hAnsiTheme="minorHAnsi" w:cstheme="minorBidi"/>
          <w:sz w:val="22"/>
        </w:rPr>
        <w:t>246–262</w:t>
      </w:r>
      <w:r w:rsidR="00280BDC" w:rsidRPr="78F6248D">
        <w:rPr>
          <w:rFonts w:asciiTheme="minorHAnsi" w:eastAsiaTheme="minorEastAsia" w:hAnsiTheme="minorHAnsi" w:cstheme="minorBidi"/>
          <w:sz w:val="22"/>
        </w:rPr>
        <w:t>.</w:t>
      </w:r>
    </w:p>
    <w:p w14:paraId="697067CA" w14:textId="7DA9D8FB" w:rsidR="005545CE" w:rsidRPr="00D73D0F" w:rsidRDefault="005545CE" w:rsidP="007D6F33">
      <w:pPr>
        <w:pStyle w:val="ListParagraph"/>
        <w:numPr>
          <w:ilvl w:val="0"/>
          <w:numId w:val="34"/>
        </w:numPr>
        <w:spacing w:after="60"/>
        <w:contextualSpacing w:val="0"/>
        <w:rPr>
          <w:rFonts w:eastAsiaTheme="minorEastAsia" w:cstheme="minorHAnsi"/>
          <w:color w:val="000000"/>
          <w:sz w:val="22"/>
          <w:szCs w:val="22"/>
          <w:lang w:eastAsia="en-AU"/>
        </w:rPr>
      </w:pPr>
      <w:r w:rsidRPr="78F6248D">
        <w:rPr>
          <w:rFonts w:eastAsiaTheme="minorEastAsia"/>
          <w:color w:val="000000" w:themeColor="text1"/>
          <w:sz w:val="22"/>
          <w:szCs w:val="22"/>
          <w:lang w:eastAsia="en-AU"/>
        </w:rPr>
        <w:t>Downes</w:t>
      </w:r>
      <w:r w:rsidR="00803F5A" w:rsidRPr="78F6248D">
        <w:rPr>
          <w:rFonts w:eastAsiaTheme="minorEastAsia"/>
          <w:color w:val="000000" w:themeColor="text1"/>
          <w:sz w:val="22"/>
          <w:szCs w:val="22"/>
          <w:lang w:eastAsia="en-AU"/>
        </w:rPr>
        <w:t xml:space="preserve"> </w:t>
      </w:r>
      <w:r w:rsidRPr="78F6248D">
        <w:rPr>
          <w:rFonts w:eastAsiaTheme="minorEastAsia"/>
          <w:color w:val="000000" w:themeColor="text1"/>
          <w:sz w:val="22"/>
          <w:szCs w:val="22"/>
          <w:lang w:eastAsia="en-AU"/>
        </w:rPr>
        <w:t>M</w:t>
      </w:r>
      <w:r w:rsidR="00803F5A" w:rsidRPr="78F6248D">
        <w:rPr>
          <w:rFonts w:eastAsiaTheme="minorEastAsia"/>
          <w:color w:val="000000" w:themeColor="text1"/>
          <w:sz w:val="22"/>
          <w:szCs w:val="22"/>
          <w:lang w:eastAsia="en-AU"/>
        </w:rPr>
        <w:t xml:space="preserve"> and</w:t>
      </w:r>
      <w:r w:rsidRPr="78F6248D">
        <w:rPr>
          <w:rFonts w:eastAsiaTheme="minorEastAsia"/>
          <w:color w:val="000000" w:themeColor="text1"/>
          <w:sz w:val="22"/>
          <w:szCs w:val="22"/>
          <w:lang w:eastAsia="en-AU"/>
        </w:rPr>
        <w:t xml:space="preserve"> Roberts P (2017) ‘Staffing rural, remote &amp; isolated school Australia</w:t>
      </w:r>
      <w:r w:rsidR="004F369B" w:rsidRPr="78F6248D">
        <w:rPr>
          <w:rFonts w:eastAsiaTheme="minorEastAsia"/>
          <w:color w:val="000000" w:themeColor="text1"/>
          <w:sz w:val="22"/>
          <w:szCs w:val="22"/>
          <w:lang w:eastAsia="en-AU"/>
        </w:rPr>
        <w:t>: A review of the research literature (2004-2016)</w:t>
      </w:r>
      <w:r w:rsidRPr="78F6248D">
        <w:rPr>
          <w:rFonts w:eastAsiaTheme="minorEastAsia"/>
          <w:color w:val="000000" w:themeColor="text1"/>
          <w:sz w:val="22"/>
          <w:szCs w:val="22"/>
          <w:lang w:eastAsia="en-AU"/>
        </w:rPr>
        <w:t>’</w:t>
      </w:r>
      <w:r w:rsidR="00803F5A" w:rsidRPr="78F6248D">
        <w:rPr>
          <w:rFonts w:eastAsiaTheme="minorEastAsia"/>
          <w:color w:val="000000" w:themeColor="text1"/>
          <w:sz w:val="22"/>
          <w:szCs w:val="22"/>
          <w:lang w:eastAsia="en-AU"/>
        </w:rPr>
        <w:t>,</w:t>
      </w:r>
      <w:r w:rsidRPr="78F6248D">
        <w:rPr>
          <w:rFonts w:eastAsiaTheme="minorEastAsia"/>
          <w:color w:val="000000" w:themeColor="text1"/>
          <w:sz w:val="22"/>
          <w:szCs w:val="22"/>
          <w:lang w:eastAsia="en-AU"/>
        </w:rPr>
        <w:t xml:space="preserve"> The University of Canberra</w:t>
      </w:r>
      <w:r w:rsidR="007D65CE" w:rsidRPr="78F6248D">
        <w:rPr>
          <w:sz w:val="22"/>
          <w:szCs w:val="22"/>
        </w:rPr>
        <w:t xml:space="preserve">. </w:t>
      </w:r>
    </w:p>
    <w:p w14:paraId="184A9504" w14:textId="7C8EF39D"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Dunst CJ, Hamby</w:t>
      </w:r>
      <w:r w:rsidR="007A034A"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DW, </w:t>
      </w:r>
      <w:proofErr w:type="spellStart"/>
      <w:r w:rsidRPr="78F6248D">
        <w:rPr>
          <w:rFonts w:asciiTheme="minorHAnsi" w:eastAsiaTheme="minorEastAsia" w:hAnsiTheme="minorHAnsi" w:cstheme="minorBidi"/>
          <w:sz w:val="22"/>
        </w:rPr>
        <w:t>Howse</w:t>
      </w:r>
      <w:proofErr w:type="spellEnd"/>
      <w:r w:rsidR="007A034A"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RB, </w:t>
      </w:r>
      <w:proofErr w:type="spellStart"/>
      <w:r w:rsidRPr="78F6248D">
        <w:rPr>
          <w:rFonts w:asciiTheme="minorHAnsi" w:eastAsiaTheme="minorEastAsia" w:hAnsiTheme="minorHAnsi" w:cstheme="minorBidi"/>
          <w:sz w:val="22"/>
        </w:rPr>
        <w:t>Wilkie</w:t>
      </w:r>
      <w:proofErr w:type="spellEnd"/>
      <w:r w:rsidR="007A034A"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H </w:t>
      </w:r>
      <w:r w:rsidR="007A034A" w:rsidRPr="78F6248D">
        <w:rPr>
          <w:rFonts w:asciiTheme="minorHAnsi" w:eastAsiaTheme="minorEastAsia" w:hAnsiTheme="minorHAnsi" w:cstheme="minorBidi"/>
          <w:sz w:val="22"/>
        </w:rPr>
        <w:t xml:space="preserve">and </w:t>
      </w:r>
      <w:r w:rsidRPr="78F6248D">
        <w:rPr>
          <w:rFonts w:asciiTheme="minorHAnsi" w:eastAsiaTheme="minorEastAsia" w:hAnsiTheme="minorHAnsi" w:cstheme="minorBidi"/>
          <w:sz w:val="22"/>
        </w:rPr>
        <w:t xml:space="preserve">Annas K (2019) </w:t>
      </w:r>
      <w:r w:rsidR="007A034A" w:rsidRPr="78F6248D">
        <w:rPr>
          <w:rFonts w:asciiTheme="minorHAnsi" w:eastAsiaTheme="minorEastAsia" w:hAnsiTheme="minorHAnsi" w:cstheme="minorBidi"/>
          <w:sz w:val="22"/>
        </w:rPr>
        <w:t>‘</w:t>
      </w:r>
      <w:proofErr w:type="spellStart"/>
      <w:r w:rsidRPr="78F6248D">
        <w:rPr>
          <w:rFonts w:asciiTheme="minorHAnsi" w:eastAsiaTheme="minorEastAsia" w:hAnsiTheme="minorHAnsi" w:cstheme="minorBidi"/>
          <w:sz w:val="22"/>
        </w:rPr>
        <w:t>Metasynthesis</w:t>
      </w:r>
      <w:proofErr w:type="spellEnd"/>
      <w:r w:rsidRPr="78F6248D">
        <w:rPr>
          <w:rFonts w:asciiTheme="minorHAnsi" w:eastAsiaTheme="minorEastAsia" w:hAnsiTheme="minorHAnsi" w:cstheme="minorBidi"/>
          <w:sz w:val="22"/>
        </w:rPr>
        <w:t xml:space="preserve"> of preservice professional preparation and teacher education research studies</w:t>
      </w:r>
      <w:r w:rsidR="007A034A"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 xml:space="preserve"> Education Sciences, 9(50), </w:t>
      </w:r>
      <w:r w:rsidR="007A034A" w:rsidRPr="78F6248D">
        <w:rPr>
          <w:rFonts w:asciiTheme="minorHAnsi" w:eastAsiaTheme="minorEastAsia" w:hAnsiTheme="minorHAnsi" w:cstheme="minorBidi"/>
          <w:sz w:val="22"/>
        </w:rPr>
        <w:t>pp.</w:t>
      </w:r>
      <w:r w:rsidRPr="78F6248D">
        <w:rPr>
          <w:rFonts w:asciiTheme="minorHAnsi" w:eastAsiaTheme="minorEastAsia" w:hAnsiTheme="minorHAnsi" w:cstheme="minorBidi"/>
          <w:sz w:val="22"/>
        </w:rPr>
        <w:t>1-36</w:t>
      </w:r>
      <w:r w:rsidR="00180C88" w:rsidRPr="78F6248D">
        <w:rPr>
          <w:rFonts w:asciiTheme="minorHAnsi" w:eastAsiaTheme="minorEastAsia" w:hAnsiTheme="minorHAnsi" w:cstheme="minorBidi"/>
          <w:sz w:val="22"/>
        </w:rPr>
        <w:t>.</w:t>
      </w:r>
    </w:p>
    <w:p w14:paraId="3589B8E2" w14:textId="1C02D6F2"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Ellis ES and Worthington LA (1994) </w:t>
      </w:r>
      <w:r w:rsidR="004A26FD" w:rsidRPr="78F6248D">
        <w:rPr>
          <w:sz w:val="22"/>
          <w:szCs w:val="22"/>
        </w:rPr>
        <w:t>‘</w:t>
      </w:r>
      <w:r w:rsidRPr="78F6248D">
        <w:rPr>
          <w:sz w:val="22"/>
          <w:szCs w:val="22"/>
        </w:rPr>
        <w:t>Research synthesis on effective teaching principles and the design of quality tools for educators</w:t>
      </w:r>
      <w:r w:rsidR="004A26FD" w:rsidRPr="78F6248D">
        <w:rPr>
          <w:sz w:val="22"/>
          <w:szCs w:val="22"/>
        </w:rPr>
        <w:t>’</w:t>
      </w:r>
      <w:r w:rsidRPr="78F6248D">
        <w:rPr>
          <w:sz w:val="22"/>
          <w:szCs w:val="22"/>
        </w:rPr>
        <w:t xml:space="preserve">, </w:t>
      </w:r>
      <w:r w:rsidR="00DB27F6" w:rsidRPr="78F6248D">
        <w:rPr>
          <w:sz w:val="22"/>
          <w:szCs w:val="22"/>
        </w:rPr>
        <w:t xml:space="preserve">Technical Report No.5, </w:t>
      </w:r>
      <w:r w:rsidRPr="78F6248D">
        <w:rPr>
          <w:sz w:val="22"/>
          <w:szCs w:val="22"/>
        </w:rPr>
        <w:t xml:space="preserve">National </w:t>
      </w:r>
      <w:proofErr w:type="spellStart"/>
      <w:r w:rsidRPr="78F6248D">
        <w:rPr>
          <w:sz w:val="22"/>
          <w:szCs w:val="22"/>
        </w:rPr>
        <w:t>Center</w:t>
      </w:r>
      <w:proofErr w:type="spellEnd"/>
      <w:r w:rsidRPr="78F6248D">
        <w:rPr>
          <w:sz w:val="22"/>
          <w:szCs w:val="22"/>
        </w:rPr>
        <w:t xml:space="preserve"> to Improve the Tools of Educators, University of Oregon</w:t>
      </w:r>
      <w:r w:rsidR="0039176D" w:rsidRPr="78F6248D">
        <w:rPr>
          <w:sz w:val="22"/>
          <w:szCs w:val="22"/>
        </w:rPr>
        <w:t>.</w:t>
      </w:r>
    </w:p>
    <w:p w14:paraId="7F8693E9" w14:textId="03FAC381"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Ennis R, Royer D, Lane K and Griffith C (2017) ‘A Systematic Review of Precorrection in PK-12 Settings’, Education and Treatment of Children, 40</w:t>
      </w:r>
      <w:r w:rsidR="00DB27F6" w:rsidRPr="78F6248D">
        <w:rPr>
          <w:sz w:val="22"/>
          <w:szCs w:val="22"/>
        </w:rPr>
        <w:t>, pp.</w:t>
      </w:r>
      <w:r w:rsidRPr="78F6248D">
        <w:rPr>
          <w:sz w:val="22"/>
          <w:szCs w:val="22"/>
        </w:rPr>
        <w:t>465–495</w:t>
      </w:r>
      <w:r w:rsidR="00180C88" w:rsidRPr="78F6248D">
        <w:rPr>
          <w:sz w:val="22"/>
          <w:szCs w:val="22"/>
        </w:rPr>
        <w:t>.</w:t>
      </w:r>
    </w:p>
    <w:p w14:paraId="53DBFFB0" w14:textId="7736F0DD" w:rsidR="004C0F82" w:rsidRPr="005F4D1F" w:rsidRDefault="004C0F82" w:rsidP="005F4D1F">
      <w:pPr>
        <w:pStyle w:val="ListParagraph"/>
        <w:numPr>
          <w:ilvl w:val="0"/>
          <w:numId w:val="34"/>
        </w:numPr>
        <w:contextualSpacing w:val="0"/>
        <w:rPr>
          <w:rFonts w:eastAsia="Times New Roman"/>
          <w:sz w:val="22"/>
          <w:szCs w:val="22"/>
          <w:lang w:val="en-US"/>
        </w:rPr>
      </w:pPr>
      <w:r w:rsidRPr="005F4D1F">
        <w:rPr>
          <w:rFonts w:eastAsia="Times New Roman"/>
          <w:sz w:val="22"/>
          <w:szCs w:val="22"/>
          <w:lang w:val="en-US"/>
        </w:rPr>
        <w:lastRenderedPageBreak/>
        <w:t xml:space="preserve">Flores, M.M., Hinton, V., Strozier, S. (2014). Teaching Subtraction and Multiplication </w:t>
      </w:r>
      <w:r w:rsidR="002E5DB6">
        <w:rPr>
          <w:rFonts w:eastAsia="Times New Roman"/>
          <w:sz w:val="22"/>
          <w:szCs w:val="22"/>
          <w:lang w:val="en-US"/>
        </w:rPr>
        <w:t>w</w:t>
      </w:r>
      <w:r w:rsidRPr="005F4D1F">
        <w:rPr>
          <w:rFonts w:eastAsia="Times New Roman"/>
          <w:sz w:val="22"/>
          <w:szCs w:val="22"/>
          <w:lang w:val="en-US"/>
        </w:rPr>
        <w:t>ith Regrouping Using the Concrete-Representational-Abstract Sequence and Strategic Instruction Model</w:t>
      </w:r>
      <w:r w:rsidR="002E5DB6">
        <w:rPr>
          <w:rFonts w:eastAsia="Times New Roman"/>
          <w:sz w:val="22"/>
          <w:szCs w:val="22"/>
          <w:lang w:val="en-US"/>
        </w:rPr>
        <w:t>,</w:t>
      </w:r>
      <w:r w:rsidRPr="005F4D1F">
        <w:rPr>
          <w:rFonts w:eastAsia="Times New Roman"/>
          <w:sz w:val="22"/>
          <w:szCs w:val="22"/>
          <w:lang w:val="en-US"/>
        </w:rPr>
        <w:t xml:space="preserve"> Learning Disabilities Research &amp; Practice 29(2), </w:t>
      </w:r>
      <w:r w:rsidR="002E5DB6">
        <w:rPr>
          <w:rFonts w:eastAsia="Times New Roman"/>
          <w:sz w:val="22"/>
          <w:szCs w:val="22"/>
          <w:lang w:val="en-US"/>
        </w:rPr>
        <w:t>pp</w:t>
      </w:r>
      <w:r w:rsidRPr="005F4D1F">
        <w:rPr>
          <w:rFonts w:eastAsia="Times New Roman"/>
          <w:sz w:val="22"/>
          <w:szCs w:val="22"/>
          <w:lang w:val="en-US"/>
        </w:rPr>
        <w:t>75-88.</w:t>
      </w:r>
    </w:p>
    <w:p w14:paraId="68E549C1" w14:textId="0174073F"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78F6248D">
        <w:rPr>
          <w:rFonts w:asciiTheme="minorHAnsi" w:eastAsiaTheme="minorEastAsia" w:hAnsiTheme="minorHAnsi" w:cstheme="minorBidi"/>
          <w:sz w:val="22"/>
        </w:rPr>
        <w:t>FTTS</w:t>
      </w:r>
      <w:r w:rsidR="004125E5" w:rsidRPr="78F6248D">
        <w:rPr>
          <w:rFonts w:asciiTheme="minorHAnsi" w:eastAsiaTheme="minorEastAsia" w:hAnsiTheme="minorHAnsi" w:cstheme="minorBidi"/>
          <w:sz w:val="22"/>
        </w:rPr>
        <w:t xml:space="preserve"> </w:t>
      </w:r>
      <w:r w:rsidRPr="78F6248D">
        <w:rPr>
          <w:rFonts w:asciiTheme="minorHAnsi" w:eastAsiaTheme="minorEastAsia" w:hAnsiTheme="minorHAnsi" w:cstheme="minorBidi"/>
          <w:sz w:val="22"/>
        </w:rPr>
        <w:t xml:space="preserve">(n.d.) </w:t>
      </w:r>
      <w:r w:rsidR="00575008" w:rsidRPr="78F6248D">
        <w:rPr>
          <w:rFonts w:asciiTheme="minorHAnsi" w:eastAsiaTheme="minorEastAsia" w:hAnsiTheme="minorHAnsi" w:cstheme="minorBidi"/>
          <w:sz w:val="22"/>
        </w:rPr>
        <w:t>‘</w:t>
      </w:r>
      <w:r w:rsidRPr="78F6248D">
        <w:rPr>
          <w:rFonts w:asciiTheme="minorHAnsi" w:eastAsiaTheme="minorEastAsia" w:hAnsiTheme="minorHAnsi" w:cstheme="minorBidi"/>
          <w:sz w:val="22"/>
        </w:rPr>
        <w:t>FTTS</w:t>
      </w:r>
      <w:r w:rsidR="00575008" w:rsidRPr="78F6248D">
        <w:rPr>
          <w:rFonts w:asciiTheme="minorHAnsi" w:eastAsiaTheme="minorEastAsia" w:hAnsiTheme="minorHAnsi" w:cstheme="minorBidi"/>
          <w:sz w:val="22"/>
        </w:rPr>
        <w:t xml:space="preserve"> – Finish Teaching Training Schools’,</w:t>
      </w:r>
      <w:r w:rsidRPr="78F6248D">
        <w:rPr>
          <w:rFonts w:asciiTheme="minorHAnsi" w:eastAsiaTheme="minorEastAsia" w:hAnsiTheme="minorHAnsi" w:cstheme="minorBidi"/>
          <w:sz w:val="22"/>
        </w:rPr>
        <w:t xml:space="preserve"> Finish Teacher Training Schools</w:t>
      </w:r>
      <w:r w:rsidR="0039176D" w:rsidRPr="78F6248D">
        <w:rPr>
          <w:rFonts w:asciiTheme="minorHAnsi" w:hAnsiTheme="minorHAnsi" w:cstheme="minorBidi"/>
          <w:sz w:val="22"/>
        </w:rPr>
        <w:t>.</w:t>
      </w:r>
    </w:p>
    <w:p w14:paraId="3F4B518C" w14:textId="73BE95AF"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Geake J (2008) ‘</w:t>
      </w:r>
      <w:proofErr w:type="spellStart"/>
      <w:r w:rsidRPr="78F6248D">
        <w:rPr>
          <w:sz w:val="22"/>
          <w:szCs w:val="22"/>
        </w:rPr>
        <w:t>Neuromythologies</w:t>
      </w:r>
      <w:proofErr w:type="spellEnd"/>
      <w:r w:rsidRPr="78F6248D">
        <w:rPr>
          <w:sz w:val="22"/>
          <w:szCs w:val="22"/>
        </w:rPr>
        <w:t xml:space="preserve"> in education’, Educational Research, 50(2)</w:t>
      </w:r>
      <w:r w:rsidR="00C85221" w:rsidRPr="78F6248D">
        <w:rPr>
          <w:sz w:val="22"/>
          <w:szCs w:val="22"/>
        </w:rPr>
        <w:t>, pp.</w:t>
      </w:r>
      <w:r w:rsidRPr="78F6248D">
        <w:rPr>
          <w:sz w:val="22"/>
          <w:szCs w:val="22"/>
        </w:rPr>
        <w:t>123–133</w:t>
      </w:r>
      <w:r w:rsidR="00180C88" w:rsidRPr="78F6248D">
        <w:rPr>
          <w:sz w:val="22"/>
          <w:szCs w:val="22"/>
        </w:rPr>
        <w:t>.</w:t>
      </w:r>
    </w:p>
    <w:p w14:paraId="478438EF" w14:textId="1E88F6DD" w:rsidR="005545CE" w:rsidRPr="00D73D0F" w:rsidRDefault="005545CE" w:rsidP="007D6F33">
      <w:pPr>
        <w:pStyle w:val="ListParagraph"/>
        <w:numPr>
          <w:ilvl w:val="0"/>
          <w:numId w:val="34"/>
        </w:numPr>
        <w:spacing w:after="60"/>
        <w:contextualSpacing w:val="0"/>
        <w:rPr>
          <w:rFonts w:cstheme="minorHAnsi"/>
          <w:sz w:val="22"/>
          <w:szCs w:val="22"/>
        </w:rPr>
      </w:pPr>
      <w:r w:rsidRPr="78F6248D">
        <w:rPr>
          <w:sz w:val="22"/>
          <w:szCs w:val="22"/>
        </w:rPr>
        <w:t xml:space="preserve">Geake J (2009) </w:t>
      </w:r>
      <w:r w:rsidR="00C85221" w:rsidRPr="78F6248D">
        <w:rPr>
          <w:sz w:val="22"/>
          <w:szCs w:val="22"/>
        </w:rPr>
        <w:t>‘</w:t>
      </w:r>
      <w:r w:rsidRPr="78F6248D">
        <w:rPr>
          <w:sz w:val="22"/>
          <w:szCs w:val="22"/>
        </w:rPr>
        <w:t>The Brain At School: Educational Neuroscience In The Classroom: Educational Neuroscience in the Classroom</w:t>
      </w:r>
      <w:r w:rsidR="00C85221" w:rsidRPr="78F6248D">
        <w:rPr>
          <w:sz w:val="22"/>
          <w:szCs w:val="22"/>
        </w:rPr>
        <w:t>’</w:t>
      </w:r>
      <w:r w:rsidRPr="78F6248D">
        <w:rPr>
          <w:sz w:val="22"/>
          <w:szCs w:val="22"/>
        </w:rPr>
        <w:t>, McGraw-Hill Education</w:t>
      </w:r>
      <w:r w:rsidR="000D3FB9" w:rsidRPr="78F6248D">
        <w:rPr>
          <w:sz w:val="22"/>
          <w:szCs w:val="22"/>
        </w:rPr>
        <w:t>,</w:t>
      </w:r>
      <w:r w:rsidR="00885EC5" w:rsidRPr="78F6248D">
        <w:rPr>
          <w:sz w:val="22"/>
          <w:szCs w:val="22"/>
        </w:rPr>
        <w:t xml:space="preserve"> Maidenhead,</w:t>
      </w:r>
      <w:r w:rsidR="000D3FB9" w:rsidRPr="78F6248D">
        <w:rPr>
          <w:sz w:val="22"/>
          <w:szCs w:val="22"/>
        </w:rPr>
        <w:t xml:space="preserve"> UK</w:t>
      </w:r>
      <w:r w:rsidRPr="78F6248D">
        <w:rPr>
          <w:sz w:val="22"/>
          <w:szCs w:val="22"/>
        </w:rPr>
        <w:t>.</w:t>
      </w:r>
    </w:p>
    <w:p w14:paraId="4911DE1B" w14:textId="67AB7A0F" w:rsidR="006769D0" w:rsidRPr="006769D0" w:rsidRDefault="006769D0" w:rsidP="1D60EBE4">
      <w:pPr>
        <w:pStyle w:val="ListParagraph"/>
        <w:numPr>
          <w:ilvl w:val="0"/>
          <w:numId w:val="34"/>
        </w:numPr>
        <w:rPr>
          <w:rFonts w:eastAsia="Times New Roman"/>
          <w:sz w:val="22"/>
          <w:szCs w:val="22"/>
          <w:lang w:val="en-US"/>
        </w:rPr>
      </w:pPr>
      <w:r w:rsidRPr="006769D0">
        <w:rPr>
          <w:rFonts w:eastAsia="Times New Roman"/>
          <w:sz w:val="22"/>
          <w:szCs w:val="22"/>
        </w:rPr>
        <w:t xml:space="preserve">Geiger, V. (2018) </w:t>
      </w:r>
      <w:r w:rsidRPr="006769D0">
        <w:rPr>
          <w:rFonts w:eastAsia="Times New Roman"/>
          <w:sz w:val="22"/>
          <w:szCs w:val="22"/>
          <w:lang w:val="en-US"/>
        </w:rPr>
        <w:t xml:space="preserve">Generating Ideas for Numeracy Tasks across the Curriculum In Hunter, J., </w:t>
      </w:r>
      <w:proofErr w:type="spellStart"/>
      <w:r w:rsidRPr="006769D0">
        <w:rPr>
          <w:rFonts w:eastAsia="Times New Roman"/>
          <w:sz w:val="22"/>
          <w:szCs w:val="22"/>
          <w:lang w:val="en-US"/>
        </w:rPr>
        <w:t>Perger</w:t>
      </w:r>
      <w:proofErr w:type="spellEnd"/>
      <w:r w:rsidRPr="006769D0">
        <w:rPr>
          <w:rFonts w:eastAsia="Times New Roman"/>
          <w:sz w:val="22"/>
          <w:szCs w:val="22"/>
          <w:lang w:val="en-US"/>
        </w:rPr>
        <w:t>, P., &amp; Darragh, L. (Eds.). Making waves, opening spaces (Proceedings of the 41st annual conference of the Mathematics Education Research Group of Australasia) pp. 314-321</w:t>
      </w:r>
      <w:r w:rsidR="004C0F82">
        <w:rPr>
          <w:rFonts w:eastAsia="Times New Roman"/>
          <w:sz w:val="22"/>
          <w:szCs w:val="22"/>
          <w:lang w:val="en-US"/>
        </w:rPr>
        <w:t>,</w:t>
      </w:r>
      <w:r w:rsidRPr="006769D0">
        <w:rPr>
          <w:rFonts w:eastAsia="Times New Roman"/>
          <w:sz w:val="22"/>
          <w:szCs w:val="22"/>
          <w:lang w:val="en-US"/>
        </w:rPr>
        <w:t xml:space="preserve"> Auckland: MERGA.</w:t>
      </w:r>
    </w:p>
    <w:p w14:paraId="25E6ED49" w14:textId="541778DD" w:rsidR="6F6D06E9" w:rsidRDefault="6F6D06E9" w:rsidP="1D60EBE4">
      <w:pPr>
        <w:pStyle w:val="ListParagraph"/>
        <w:numPr>
          <w:ilvl w:val="0"/>
          <w:numId w:val="34"/>
        </w:numPr>
        <w:rPr>
          <w:rFonts w:ascii="Calibri" w:eastAsia="Calibri" w:hAnsi="Calibri" w:cs="Calibri"/>
          <w:sz w:val="22"/>
          <w:szCs w:val="22"/>
          <w:lang w:val="en-US"/>
        </w:rPr>
      </w:pPr>
      <w:r w:rsidRPr="1D60EBE4">
        <w:rPr>
          <w:rFonts w:ascii="Calibri" w:eastAsia="Calibri" w:hAnsi="Calibri" w:cs="Calibri"/>
          <w:sz w:val="22"/>
          <w:szCs w:val="22"/>
          <w:lang w:val="en-US"/>
        </w:rPr>
        <w:t xml:space="preserve">Geiger, V., </w:t>
      </w:r>
      <w:proofErr w:type="spellStart"/>
      <w:r w:rsidRPr="1D60EBE4">
        <w:rPr>
          <w:rFonts w:ascii="Calibri" w:eastAsia="Calibri" w:hAnsi="Calibri" w:cs="Calibri"/>
          <w:sz w:val="22"/>
          <w:szCs w:val="22"/>
          <w:lang w:val="en-US"/>
        </w:rPr>
        <w:t>Forgasz</w:t>
      </w:r>
      <w:proofErr w:type="spellEnd"/>
      <w:r w:rsidRPr="1D60EBE4">
        <w:rPr>
          <w:rFonts w:ascii="Calibri" w:eastAsia="Calibri" w:hAnsi="Calibri" w:cs="Calibri"/>
          <w:sz w:val="22"/>
          <w:szCs w:val="22"/>
          <w:lang w:val="en-US"/>
        </w:rPr>
        <w:t xml:space="preserve">, H., &amp; </w:t>
      </w:r>
      <w:proofErr w:type="spellStart"/>
      <w:r w:rsidRPr="1D60EBE4">
        <w:rPr>
          <w:rFonts w:ascii="Calibri" w:eastAsia="Calibri" w:hAnsi="Calibri" w:cs="Calibri"/>
          <w:sz w:val="22"/>
          <w:szCs w:val="22"/>
          <w:lang w:val="en-US"/>
        </w:rPr>
        <w:t>Goos</w:t>
      </w:r>
      <w:proofErr w:type="spellEnd"/>
      <w:r w:rsidRPr="1D60EBE4">
        <w:rPr>
          <w:rFonts w:ascii="Calibri" w:eastAsia="Calibri" w:hAnsi="Calibri" w:cs="Calibri"/>
          <w:sz w:val="22"/>
          <w:szCs w:val="22"/>
          <w:lang w:val="en-US"/>
        </w:rPr>
        <w:t xml:space="preserve">, M. (2015), ‘A critical orientation to numeracy across the </w:t>
      </w:r>
      <w:r w:rsidRPr="23B833FB">
        <w:rPr>
          <w:rFonts w:ascii="Calibri" w:eastAsia="Calibri" w:hAnsi="Calibri" w:cs="Calibri"/>
          <w:sz w:val="22"/>
          <w:szCs w:val="22"/>
          <w:lang w:val="en-US"/>
        </w:rPr>
        <w:t>curriculum’,</w:t>
      </w:r>
      <w:r w:rsidRPr="1D60EBE4">
        <w:rPr>
          <w:rFonts w:ascii="Calibri" w:eastAsia="Calibri" w:hAnsi="Calibri" w:cs="Calibri"/>
          <w:sz w:val="22"/>
          <w:szCs w:val="22"/>
          <w:lang w:val="en-US"/>
        </w:rPr>
        <w:t xml:space="preserve"> ZDM– Mathematics Education, 47(4), 611-624.</w:t>
      </w:r>
    </w:p>
    <w:p w14:paraId="3688F0D5" w14:textId="78391ED6" w:rsidR="005545CE" w:rsidRPr="00D73D0F" w:rsidRDefault="005545CE" w:rsidP="007D6F33">
      <w:pPr>
        <w:pStyle w:val="ListParagraph"/>
        <w:numPr>
          <w:ilvl w:val="0"/>
          <w:numId w:val="34"/>
        </w:numPr>
        <w:spacing w:after="60"/>
        <w:contextualSpacing w:val="0"/>
        <w:textAlignment w:val="baseline"/>
        <w:rPr>
          <w:rFonts w:eastAsiaTheme="minorEastAsia" w:cstheme="minorHAnsi"/>
          <w:color w:val="000000"/>
          <w:sz w:val="22"/>
          <w:szCs w:val="22"/>
          <w:lang w:eastAsia="en-AU"/>
        </w:rPr>
      </w:pPr>
      <w:r w:rsidRPr="1D60EBE4">
        <w:rPr>
          <w:rFonts w:eastAsiaTheme="minorEastAsia"/>
          <w:sz w:val="22"/>
          <w:szCs w:val="22"/>
          <w:lang w:eastAsia="en-AU"/>
        </w:rPr>
        <w:t>German Federal Ministry of Education and Research (</w:t>
      </w:r>
      <w:r w:rsidR="00A76897" w:rsidRPr="1D60EBE4">
        <w:rPr>
          <w:rFonts w:eastAsiaTheme="minorEastAsia"/>
          <w:sz w:val="22"/>
          <w:szCs w:val="22"/>
          <w:lang w:eastAsia="en-AU"/>
        </w:rPr>
        <w:t>2022</w:t>
      </w:r>
      <w:r w:rsidRPr="1D60EBE4">
        <w:rPr>
          <w:rFonts w:eastAsiaTheme="minorEastAsia"/>
          <w:sz w:val="22"/>
          <w:szCs w:val="22"/>
          <w:lang w:eastAsia="en-AU"/>
        </w:rPr>
        <w:t>) '</w:t>
      </w:r>
      <w:proofErr w:type="spellStart"/>
      <w:r w:rsidRPr="1D60EBE4">
        <w:rPr>
          <w:rFonts w:eastAsiaTheme="minorEastAsia"/>
          <w:sz w:val="22"/>
          <w:szCs w:val="22"/>
          <w:lang w:eastAsia="en-AU"/>
        </w:rPr>
        <w:t>Qualitätspakt</w:t>
      </w:r>
      <w:proofErr w:type="spellEnd"/>
      <w:r w:rsidRPr="1D60EBE4">
        <w:rPr>
          <w:rFonts w:eastAsiaTheme="minorEastAsia"/>
          <w:sz w:val="22"/>
          <w:szCs w:val="22"/>
          <w:lang w:eastAsia="en-AU"/>
        </w:rPr>
        <w:t xml:space="preserve"> </w:t>
      </w:r>
      <w:proofErr w:type="spellStart"/>
      <w:r w:rsidRPr="1D60EBE4">
        <w:rPr>
          <w:rFonts w:eastAsiaTheme="minorEastAsia"/>
          <w:color w:val="000000" w:themeColor="text1"/>
          <w:sz w:val="22"/>
          <w:szCs w:val="22"/>
          <w:lang w:eastAsia="en-AU"/>
        </w:rPr>
        <w:t>Lehre</w:t>
      </w:r>
      <w:proofErr w:type="spellEnd"/>
      <w:r w:rsidRPr="1D60EBE4">
        <w:rPr>
          <w:rFonts w:eastAsiaTheme="minorEastAsia"/>
          <w:color w:val="000000" w:themeColor="text1"/>
          <w:sz w:val="22"/>
          <w:szCs w:val="22"/>
          <w:lang w:eastAsia="en-AU"/>
        </w:rPr>
        <w:t>', German Federal Ministry of Education and Research</w:t>
      </w:r>
      <w:r w:rsidR="0039176D" w:rsidRPr="1D60EBE4">
        <w:rPr>
          <w:sz w:val="22"/>
          <w:szCs w:val="22"/>
        </w:rPr>
        <w:t>.</w:t>
      </w:r>
      <w:r w:rsidR="00C279B4" w:rsidRPr="1D60EBE4">
        <w:rPr>
          <w:sz w:val="22"/>
          <w:szCs w:val="22"/>
        </w:rPr>
        <w:t xml:space="preserve"> </w:t>
      </w:r>
    </w:p>
    <w:p w14:paraId="3E8BE436" w14:textId="746521EE"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lang w:val="en-US"/>
        </w:rPr>
      </w:pPr>
      <w:proofErr w:type="spellStart"/>
      <w:r w:rsidRPr="1D60EBE4">
        <w:rPr>
          <w:rFonts w:asciiTheme="minorHAnsi" w:eastAsiaTheme="minorEastAsia" w:hAnsiTheme="minorHAnsi" w:cstheme="minorBidi"/>
          <w:sz w:val="22"/>
          <w:lang w:val="en-US"/>
        </w:rPr>
        <w:t>Gershenson</w:t>
      </w:r>
      <w:proofErr w:type="spellEnd"/>
      <w:r w:rsidR="002D48F5" w:rsidRPr="1D60EBE4">
        <w:rPr>
          <w:rFonts w:asciiTheme="minorHAnsi" w:eastAsiaTheme="minorEastAsia" w:hAnsiTheme="minorHAnsi" w:cstheme="minorBidi"/>
          <w:sz w:val="22"/>
          <w:lang w:val="en-US"/>
        </w:rPr>
        <w:t xml:space="preserve"> </w:t>
      </w:r>
      <w:r w:rsidRPr="1D60EBE4">
        <w:rPr>
          <w:rFonts w:asciiTheme="minorHAnsi" w:eastAsiaTheme="minorEastAsia" w:hAnsiTheme="minorHAnsi" w:cstheme="minorBidi"/>
          <w:sz w:val="22"/>
          <w:lang w:val="en-US"/>
        </w:rPr>
        <w:t>S, Hart CMD, Hyman J, Lindsay CA</w:t>
      </w:r>
      <w:r w:rsidR="002D48F5" w:rsidRPr="1D60EBE4">
        <w:rPr>
          <w:rFonts w:asciiTheme="minorHAnsi" w:eastAsiaTheme="minorEastAsia" w:hAnsiTheme="minorHAnsi" w:cstheme="minorBidi"/>
          <w:sz w:val="22"/>
          <w:lang w:val="en-US"/>
        </w:rPr>
        <w:t xml:space="preserve"> and</w:t>
      </w:r>
      <w:r w:rsidRPr="1D60EBE4">
        <w:rPr>
          <w:rFonts w:asciiTheme="minorHAnsi" w:eastAsiaTheme="minorEastAsia" w:hAnsiTheme="minorHAnsi" w:cstheme="minorBidi"/>
          <w:sz w:val="22"/>
          <w:lang w:val="en-US"/>
        </w:rPr>
        <w:t xml:space="preserve"> Papageorge</w:t>
      </w:r>
      <w:r w:rsidR="002D48F5" w:rsidRPr="1D60EBE4">
        <w:rPr>
          <w:rFonts w:asciiTheme="minorHAnsi" w:eastAsiaTheme="minorEastAsia" w:hAnsiTheme="minorHAnsi" w:cstheme="minorBidi"/>
          <w:sz w:val="22"/>
          <w:lang w:val="en-US"/>
        </w:rPr>
        <w:t xml:space="preserve"> </w:t>
      </w:r>
      <w:r w:rsidRPr="1D60EBE4">
        <w:rPr>
          <w:rFonts w:asciiTheme="minorHAnsi" w:eastAsiaTheme="minorEastAsia" w:hAnsiTheme="minorHAnsi" w:cstheme="minorBidi"/>
          <w:sz w:val="22"/>
          <w:lang w:val="en-US"/>
        </w:rPr>
        <w:t>N</w:t>
      </w:r>
      <w:r w:rsidR="002D48F5" w:rsidRPr="1D60EBE4">
        <w:rPr>
          <w:rFonts w:asciiTheme="minorHAnsi" w:eastAsiaTheme="minorEastAsia" w:hAnsiTheme="minorHAnsi" w:cstheme="minorBidi"/>
          <w:sz w:val="22"/>
          <w:lang w:val="en-US"/>
        </w:rPr>
        <w:t>W</w:t>
      </w:r>
      <w:r w:rsidRPr="1D60EBE4">
        <w:rPr>
          <w:rFonts w:asciiTheme="minorHAnsi" w:eastAsiaTheme="minorEastAsia" w:hAnsiTheme="minorHAnsi" w:cstheme="minorBidi"/>
          <w:sz w:val="22"/>
          <w:lang w:val="en-US"/>
        </w:rPr>
        <w:t xml:space="preserve"> (2022) </w:t>
      </w:r>
      <w:r w:rsidR="002D48F5" w:rsidRPr="1D60EBE4">
        <w:rPr>
          <w:rFonts w:asciiTheme="minorHAnsi" w:eastAsiaTheme="minorEastAsia" w:hAnsiTheme="minorHAnsi" w:cstheme="minorBidi"/>
          <w:sz w:val="22"/>
          <w:lang w:val="en-US"/>
        </w:rPr>
        <w:t>‘</w:t>
      </w:r>
      <w:r w:rsidRPr="1D60EBE4">
        <w:rPr>
          <w:rFonts w:asciiTheme="minorHAnsi" w:eastAsiaTheme="minorEastAsia" w:hAnsiTheme="minorHAnsi" w:cstheme="minorBidi"/>
          <w:sz w:val="22"/>
          <w:lang w:val="en-US"/>
        </w:rPr>
        <w:t>The Long-Run Impacts of Same-Race Teachers</w:t>
      </w:r>
      <w:r w:rsidR="002D48F5" w:rsidRPr="1D60EBE4">
        <w:rPr>
          <w:rFonts w:asciiTheme="minorHAnsi" w:eastAsiaTheme="minorEastAsia" w:hAnsiTheme="minorHAnsi" w:cstheme="minorBidi"/>
          <w:sz w:val="22"/>
          <w:lang w:val="en-US"/>
        </w:rPr>
        <w:t>’,</w:t>
      </w:r>
      <w:r w:rsidRPr="1D60EBE4">
        <w:rPr>
          <w:rFonts w:asciiTheme="minorHAnsi" w:eastAsiaTheme="minorEastAsia" w:hAnsiTheme="minorHAnsi" w:cstheme="minorBidi"/>
          <w:sz w:val="22"/>
          <w:lang w:val="en-US"/>
        </w:rPr>
        <w:t xml:space="preserve"> American Economic Journal: Economic Policy, 14(4), </w:t>
      </w:r>
      <w:r w:rsidR="002D48F5" w:rsidRPr="1D60EBE4">
        <w:rPr>
          <w:rFonts w:asciiTheme="minorHAnsi" w:eastAsiaTheme="minorEastAsia" w:hAnsiTheme="minorHAnsi" w:cstheme="minorBidi"/>
          <w:sz w:val="22"/>
          <w:lang w:val="en-US"/>
        </w:rPr>
        <w:t>pp.</w:t>
      </w:r>
      <w:r w:rsidRPr="1D60EBE4">
        <w:rPr>
          <w:rFonts w:asciiTheme="minorHAnsi" w:eastAsiaTheme="minorEastAsia" w:hAnsiTheme="minorHAnsi" w:cstheme="minorBidi"/>
          <w:sz w:val="22"/>
          <w:lang w:val="en-US"/>
        </w:rPr>
        <w:t xml:space="preserve">300–342. </w:t>
      </w:r>
    </w:p>
    <w:p w14:paraId="3FA5CF6B" w14:textId="02F3EAD0" w:rsidR="00096D59" w:rsidRPr="00060169" w:rsidRDefault="00096D59" w:rsidP="4B344BF6">
      <w:pPr>
        <w:pStyle w:val="ListParagraph"/>
        <w:numPr>
          <w:ilvl w:val="0"/>
          <w:numId w:val="34"/>
        </w:numPr>
        <w:rPr>
          <w:rFonts w:eastAsia="Times New Roman"/>
          <w:sz w:val="22"/>
          <w:szCs w:val="22"/>
          <w:lang w:val="en-US"/>
        </w:rPr>
      </w:pPr>
      <w:proofErr w:type="spellStart"/>
      <w:r w:rsidRPr="00060169">
        <w:rPr>
          <w:rFonts w:eastAsia="Times New Roman"/>
          <w:sz w:val="22"/>
          <w:szCs w:val="22"/>
          <w:lang w:val="en-US"/>
        </w:rPr>
        <w:t>Goos</w:t>
      </w:r>
      <w:proofErr w:type="spellEnd"/>
      <w:r w:rsidRPr="00060169">
        <w:rPr>
          <w:rFonts w:eastAsia="Times New Roman"/>
          <w:sz w:val="22"/>
          <w:szCs w:val="22"/>
          <w:lang w:val="en-US"/>
        </w:rPr>
        <w:t xml:space="preserve">, </w:t>
      </w:r>
      <w:r w:rsidR="6FEC5368" w:rsidRPr="7977C03E">
        <w:rPr>
          <w:rFonts w:eastAsia="Times New Roman"/>
          <w:sz w:val="22"/>
          <w:szCs w:val="22"/>
          <w:lang w:val="en-US"/>
        </w:rPr>
        <w:t>M</w:t>
      </w:r>
      <w:r w:rsidR="74A57E0B" w:rsidRPr="3D094F60">
        <w:rPr>
          <w:rFonts w:eastAsia="Times New Roman"/>
          <w:sz w:val="22"/>
          <w:szCs w:val="22"/>
          <w:lang w:val="en-US"/>
        </w:rPr>
        <w:t>.</w:t>
      </w:r>
      <w:r w:rsidR="6FEC5368" w:rsidRPr="3D094F60">
        <w:rPr>
          <w:rFonts w:eastAsia="Times New Roman"/>
          <w:sz w:val="22"/>
          <w:szCs w:val="22"/>
          <w:lang w:val="en-US"/>
        </w:rPr>
        <w:t>,</w:t>
      </w:r>
      <w:r w:rsidRPr="00060169">
        <w:rPr>
          <w:rFonts w:eastAsia="Times New Roman"/>
          <w:sz w:val="22"/>
          <w:szCs w:val="22"/>
          <w:lang w:val="en-US"/>
        </w:rPr>
        <w:t xml:space="preserve"> Geiger, </w:t>
      </w:r>
      <w:r w:rsidR="6FEC5368" w:rsidRPr="40F8B1F2">
        <w:rPr>
          <w:rFonts w:eastAsia="Times New Roman"/>
          <w:sz w:val="22"/>
          <w:szCs w:val="22"/>
          <w:lang w:val="en-US"/>
        </w:rPr>
        <w:t>V</w:t>
      </w:r>
      <w:r w:rsidR="164E704D" w:rsidRPr="40F8B1F2">
        <w:rPr>
          <w:rFonts w:eastAsia="Times New Roman"/>
          <w:sz w:val="22"/>
          <w:szCs w:val="22"/>
          <w:lang w:val="en-US"/>
        </w:rPr>
        <w:t>.</w:t>
      </w:r>
      <w:r w:rsidR="6FEC5368" w:rsidRPr="40F8B1F2">
        <w:rPr>
          <w:rFonts w:eastAsia="Times New Roman"/>
          <w:sz w:val="22"/>
          <w:szCs w:val="22"/>
          <w:lang w:val="en-US"/>
        </w:rPr>
        <w:t>,</w:t>
      </w:r>
      <w:r w:rsidRPr="00060169">
        <w:rPr>
          <w:rFonts w:eastAsia="Times New Roman"/>
          <w:sz w:val="22"/>
          <w:szCs w:val="22"/>
          <w:lang w:val="en-US"/>
        </w:rPr>
        <w:t xml:space="preserve"> Dole, </w:t>
      </w:r>
      <w:r w:rsidR="65B86BE8" w:rsidRPr="3D094F60">
        <w:rPr>
          <w:rFonts w:eastAsia="Times New Roman"/>
          <w:sz w:val="22"/>
          <w:szCs w:val="22"/>
          <w:lang w:val="en-US"/>
        </w:rPr>
        <w:t>S.</w:t>
      </w:r>
      <w:r w:rsidR="6FEC5368" w:rsidRPr="3D094F60">
        <w:rPr>
          <w:rFonts w:eastAsia="Times New Roman"/>
          <w:sz w:val="22"/>
          <w:szCs w:val="22"/>
          <w:lang w:val="en-US"/>
        </w:rPr>
        <w:t>,</w:t>
      </w:r>
      <w:r w:rsidRPr="00060169">
        <w:rPr>
          <w:rFonts w:eastAsia="Times New Roman"/>
          <w:sz w:val="22"/>
          <w:szCs w:val="22"/>
          <w:lang w:val="en-US"/>
        </w:rPr>
        <w:t xml:space="preserve"> </w:t>
      </w:r>
      <w:proofErr w:type="spellStart"/>
      <w:r w:rsidRPr="00060169">
        <w:rPr>
          <w:rFonts w:eastAsia="Times New Roman"/>
          <w:sz w:val="22"/>
          <w:szCs w:val="22"/>
          <w:lang w:val="en-US"/>
        </w:rPr>
        <w:t>Forgasz</w:t>
      </w:r>
      <w:proofErr w:type="spellEnd"/>
      <w:r w:rsidRPr="00060169">
        <w:rPr>
          <w:rFonts w:eastAsia="Times New Roman"/>
          <w:sz w:val="22"/>
          <w:szCs w:val="22"/>
          <w:lang w:val="en-US"/>
        </w:rPr>
        <w:t xml:space="preserve">, </w:t>
      </w:r>
      <w:r w:rsidR="6FEC5368" w:rsidRPr="3D094F60">
        <w:rPr>
          <w:rFonts w:eastAsia="Times New Roman"/>
          <w:sz w:val="22"/>
          <w:szCs w:val="22"/>
          <w:lang w:val="en-US"/>
        </w:rPr>
        <w:t>H</w:t>
      </w:r>
      <w:r w:rsidR="4BA4602C" w:rsidRPr="3D094F60">
        <w:rPr>
          <w:rFonts w:eastAsia="Times New Roman"/>
          <w:sz w:val="22"/>
          <w:szCs w:val="22"/>
          <w:lang w:val="en-US"/>
        </w:rPr>
        <w:t>.</w:t>
      </w:r>
      <w:r w:rsidRPr="00060169">
        <w:rPr>
          <w:rFonts w:eastAsia="Times New Roman"/>
          <w:sz w:val="22"/>
          <w:szCs w:val="22"/>
          <w:lang w:val="en-US"/>
        </w:rPr>
        <w:t xml:space="preserve"> and Bennison, </w:t>
      </w:r>
      <w:r w:rsidR="70EB774F" w:rsidRPr="6540FE99">
        <w:rPr>
          <w:rFonts w:eastAsia="Times New Roman"/>
          <w:sz w:val="22"/>
          <w:szCs w:val="22"/>
          <w:lang w:val="en-US"/>
        </w:rPr>
        <w:t>A</w:t>
      </w:r>
      <w:r w:rsidR="6FEC5368" w:rsidRPr="6540FE99">
        <w:rPr>
          <w:rFonts w:eastAsia="Times New Roman"/>
          <w:sz w:val="22"/>
          <w:szCs w:val="22"/>
          <w:lang w:val="en-US"/>
        </w:rPr>
        <w:t>.</w:t>
      </w:r>
      <w:r w:rsidRPr="00060169">
        <w:rPr>
          <w:rFonts w:eastAsia="Times New Roman"/>
          <w:sz w:val="22"/>
          <w:szCs w:val="22"/>
          <w:lang w:val="en-US"/>
        </w:rPr>
        <w:t xml:space="preserve"> (2019)</w:t>
      </w:r>
      <w:r w:rsidR="00060169">
        <w:rPr>
          <w:rFonts w:eastAsia="Times New Roman"/>
          <w:sz w:val="22"/>
          <w:szCs w:val="22"/>
          <w:lang w:val="en-US"/>
        </w:rPr>
        <w:t>,</w:t>
      </w:r>
      <w:r w:rsidRPr="00060169">
        <w:rPr>
          <w:rFonts w:eastAsia="Times New Roman"/>
          <w:sz w:val="22"/>
          <w:szCs w:val="22"/>
          <w:lang w:val="en-US"/>
        </w:rPr>
        <w:t> Numeracy across the curriculum: Research-based strategies for enhancing and learning</w:t>
      </w:r>
      <w:r w:rsidR="00060169">
        <w:rPr>
          <w:rFonts w:eastAsia="Times New Roman"/>
          <w:sz w:val="22"/>
          <w:szCs w:val="22"/>
          <w:lang w:val="en-US"/>
        </w:rPr>
        <w:t>,</w:t>
      </w:r>
      <w:r w:rsidRPr="00060169">
        <w:rPr>
          <w:rFonts w:eastAsia="Times New Roman"/>
          <w:sz w:val="22"/>
          <w:szCs w:val="22"/>
          <w:lang w:val="en-US"/>
        </w:rPr>
        <w:t> Allen &amp; Unwin.</w:t>
      </w:r>
    </w:p>
    <w:p w14:paraId="29CA44C6" w14:textId="18C6AABC" w:rsidR="7372C4CB" w:rsidRDefault="7372C4CB" w:rsidP="4B344BF6">
      <w:pPr>
        <w:pStyle w:val="ListParagraph"/>
        <w:numPr>
          <w:ilvl w:val="0"/>
          <w:numId w:val="34"/>
        </w:numPr>
        <w:rPr>
          <w:rFonts w:ascii="Calibri" w:eastAsia="Calibri" w:hAnsi="Calibri" w:cs="Calibri"/>
          <w:sz w:val="22"/>
          <w:szCs w:val="22"/>
          <w:lang w:val="en-US"/>
        </w:rPr>
      </w:pPr>
      <w:proofErr w:type="spellStart"/>
      <w:r w:rsidRPr="4B344BF6">
        <w:rPr>
          <w:rFonts w:ascii="Calibri" w:eastAsia="Calibri" w:hAnsi="Calibri" w:cs="Calibri"/>
          <w:sz w:val="22"/>
          <w:szCs w:val="22"/>
          <w:lang w:val="en-US"/>
        </w:rPr>
        <w:t>Goos</w:t>
      </w:r>
      <w:proofErr w:type="spellEnd"/>
      <w:r w:rsidRPr="4B344BF6">
        <w:rPr>
          <w:rFonts w:ascii="Calibri" w:eastAsia="Calibri" w:hAnsi="Calibri" w:cs="Calibri"/>
          <w:sz w:val="22"/>
          <w:szCs w:val="22"/>
          <w:lang w:val="en-US"/>
        </w:rPr>
        <w:t>, M., Geiger, V., &amp; Dole, S. (2014</w:t>
      </w:r>
      <w:r w:rsidRPr="7F34874E">
        <w:rPr>
          <w:rFonts w:ascii="Calibri" w:eastAsia="Calibri" w:hAnsi="Calibri" w:cs="Calibri"/>
          <w:sz w:val="22"/>
          <w:szCs w:val="22"/>
          <w:lang w:val="en-US"/>
        </w:rPr>
        <w:t>)</w:t>
      </w:r>
      <w:r w:rsidRPr="4B344BF6">
        <w:rPr>
          <w:rFonts w:ascii="Calibri" w:eastAsia="Calibri" w:hAnsi="Calibri" w:cs="Calibri"/>
          <w:sz w:val="22"/>
          <w:szCs w:val="22"/>
          <w:lang w:val="en-US"/>
        </w:rPr>
        <w:t xml:space="preserve"> </w:t>
      </w:r>
      <w:r w:rsidR="51C731C5" w:rsidRPr="3DA13B6E">
        <w:rPr>
          <w:rFonts w:ascii="Calibri" w:eastAsia="Calibri" w:hAnsi="Calibri" w:cs="Calibri"/>
          <w:sz w:val="22"/>
          <w:szCs w:val="22"/>
          <w:lang w:val="en-US"/>
        </w:rPr>
        <w:t>‘</w:t>
      </w:r>
      <w:r w:rsidRPr="4B344BF6">
        <w:rPr>
          <w:rFonts w:ascii="Calibri" w:eastAsia="Calibri" w:hAnsi="Calibri" w:cs="Calibri"/>
          <w:sz w:val="22"/>
          <w:szCs w:val="22"/>
          <w:lang w:val="en-US"/>
        </w:rPr>
        <w:t xml:space="preserve">Transforming professional practice in numeracy </w:t>
      </w:r>
      <w:r w:rsidRPr="1A9B0CC2">
        <w:rPr>
          <w:rFonts w:ascii="Calibri" w:eastAsia="Calibri" w:hAnsi="Calibri" w:cs="Calibri"/>
          <w:sz w:val="22"/>
          <w:szCs w:val="22"/>
          <w:lang w:val="en-US"/>
        </w:rPr>
        <w:t>teaching</w:t>
      </w:r>
      <w:r w:rsidR="28827003" w:rsidRPr="1A9B0CC2">
        <w:rPr>
          <w:rFonts w:ascii="Calibri" w:eastAsia="Calibri" w:hAnsi="Calibri" w:cs="Calibri"/>
          <w:sz w:val="22"/>
          <w:szCs w:val="22"/>
          <w:lang w:val="en-US"/>
        </w:rPr>
        <w:t>’</w:t>
      </w:r>
      <w:r w:rsidRPr="4B344BF6">
        <w:rPr>
          <w:rFonts w:ascii="Calibri" w:eastAsia="Calibri" w:hAnsi="Calibri" w:cs="Calibri"/>
          <w:sz w:val="22"/>
          <w:szCs w:val="22"/>
          <w:lang w:val="en-US"/>
        </w:rPr>
        <w:t xml:space="preserve"> In Y. Li, E. Silver &amp; S. Li (Eds.), Transforming mathematics instruction: Multiple approaches and practices (pp. 81-102). New York: Springer.</w:t>
      </w:r>
    </w:p>
    <w:p w14:paraId="17BEB460" w14:textId="74FC8D1A"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lang w:val="en-US"/>
        </w:rPr>
      </w:pPr>
      <w:r w:rsidRPr="4B344BF6">
        <w:rPr>
          <w:rFonts w:asciiTheme="minorHAnsi" w:eastAsiaTheme="minorEastAsia" w:hAnsiTheme="minorHAnsi" w:cstheme="minorBidi"/>
          <w:sz w:val="22"/>
          <w:lang w:val="en-US"/>
        </w:rPr>
        <w:t>Gordon</w:t>
      </w:r>
      <w:r w:rsidR="008C4C8A" w:rsidRPr="4B344BF6">
        <w:rPr>
          <w:rFonts w:asciiTheme="minorHAnsi" w:eastAsiaTheme="minorEastAsia" w:hAnsiTheme="minorHAnsi" w:cstheme="minorBidi"/>
          <w:sz w:val="22"/>
          <w:lang w:val="en-US"/>
        </w:rPr>
        <w:t xml:space="preserve"> </w:t>
      </w:r>
      <w:r w:rsidRPr="4B344BF6">
        <w:rPr>
          <w:rFonts w:asciiTheme="minorHAnsi" w:eastAsiaTheme="minorEastAsia" w:hAnsiTheme="minorHAnsi" w:cstheme="minorBidi"/>
          <w:sz w:val="22"/>
          <w:lang w:val="en-US"/>
        </w:rPr>
        <w:t>AL (2020)</w:t>
      </w:r>
      <w:r w:rsidR="008C4C8A" w:rsidRPr="4B344BF6">
        <w:rPr>
          <w:rFonts w:asciiTheme="minorHAnsi" w:eastAsiaTheme="minorEastAsia" w:hAnsiTheme="minorHAnsi" w:cstheme="minorBidi"/>
          <w:sz w:val="22"/>
          <w:lang w:val="en-US"/>
        </w:rPr>
        <w:t xml:space="preserve"> ‘</w:t>
      </w:r>
      <w:r w:rsidRPr="4B344BF6">
        <w:rPr>
          <w:rFonts w:asciiTheme="minorHAnsi" w:eastAsiaTheme="minorEastAsia" w:hAnsiTheme="minorHAnsi" w:cstheme="minorBidi"/>
          <w:sz w:val="22"/>
          <w:lang w:val="en-US"/>
        </w:rPr>
        <w:t>Educate – mentor – nurture: Improving the transition from initial teacher education to qualified teacher status and beyond</w:t>
      </w:r>
      <w:r w:rsidR="008C4C8A" w:rsidRPr="4B344BF6">
        <w:rPr>
          <w:rFonts w:asciiTheme="minorHAnsi" w:eastAsiaTheme="minorEastAsia" w:hAnsiTheme="minorHAnsi" w:cstheme="minorBidi"/>
          <w:sz w:val="22"/>
          <w:lang w:val="en-US"/>
        </w:rPr>
        <w:t>’,</w:t>
      </w:r>
      <w:r w:rsidRPr="4B344BF6">
        <w:rPr>
          <w:rFonts w:asciiTheme="minorHAnsi" w:eastAsiaTheme="minorEastAsia" w:hAnsiTheme="minorHAnsi" w:cstheme="minorBidi"/>
          <w:sz w:val="22"/>
          <w:lang w:val="en-US"/>
        </w:rPr>
        <w:t xml:space="preserve"> Journal of Education for Teaching, 46(5), </w:t>
      </w:r>
      <w:r w:rsidR="008C4C8A" w:rsidRPr="4B344BF6">
        <w:rPr>
          <w:rFonts w:asciiTheme="minorHAnsi" w:eastAsiaTheme="minorEastAsia" w:hAnsiTheme="minorHAnsi" w:cstheme="minorBidi"/>
          <w:sz w:val="22"/>
          <w:lang w:val="en-US"/>
        </w:rPr>
        <w:t>pp.</w:t>
      </w:r>
      <w:r w:rsidRPr="4B344BF6">
        <w:rPr>
          <w:rFonts w:asciiTheme="minorHAnsi" w:eastAsiaTheme="minorEastAsia" w:hAnsiTheme="minorHAnsi" w:cstheme="minorBidi"/>
          <w:sz w:val="22"/>
          <w:lang w:val="en-US"/>
        </w:rPr>
        <w:t>664-675</w:t>
      </w:r>
      <w:r w:rsidR="00280BDC" w:rsidRPr="4B344BF6">
        <w:rPr>
          <w:rFonts w:asciiTheme="minorHAnsi" w:eastAsiaTheme="minorEastAsia" w:hAnsiTheme="minorHAnsi" w:cstheme="minorBidi"/>
          <w:sz w:val="22"/>
          <w:lang w:val="en-US"/>
        </w:rPr>
        <w:t>.</w:t>
      </w:r>
    </w:p>
    <w:p w14:paraId="680BF4A0" w14:textId="3C0D8DDD" w:rsidR="00D055BA" w:rsidRPr="00D73D0F" w:rsidRDefault="00D055BA" w:rsidP="007D6F33">
      <w:pPr>
        <w:pStyle w:val="ListParagraph"/>
        <w:numPr>
          <w:ilvl w:val="0"/>
          <w:numId w:val="34"/>
        </w:numPr>
        <w:spacing w:after="60"/>
        <w:contextualSpacing w:val="0"/>
        <w:rPr>
          <w:rFonts w:eastAsiaTheme="minorEastAsia" w:cstheme="minorHAnsi"/>
          <w:color w:val="000000"/>
          <w:sz w:val="22"/>
          <w:szCs w:val="22"/>
          <w:lang w:eastAsia="en-AU"/>
        </w:rPr>
      </w:pPr>
      <w:r w:rsidRPr="4B344BF6">
        <w:rPr>
          <w:rFonts w:eastAsiaTheme="minorEastAsia"/>
          <w:color w:val="000000" w:themeColor="text1"/>
          <w:sz w:val="22"/>
          <w:szCs w:val="22"/>
          <w:lang w:eastAsia="en-AU"/>
        </w:rPr>
        <w:t xml:space="preserve">Goss P and </w:t>
      </w:r>
      <w:proofErr w:type="spellStart"/>
      <w:r w:rsidRPr="4B344BF6">
        <w:rPr>
          <w:rFonts w:eastAsiaTheme="minorEastAsia"/>
          <w:color w:val="000000" w:themeColor="text1"/>
          <w:sz w:val="22"/>
          <w:szCs w:val="22"/>
          <w:lang w:eastAsia="en-AU"/>
        </w:rPr>
        <w:t>Sonnemann</w:t>
      </w:r>
      <w:proofErr w:type="spellEnd"/>
      <w:r w:rsidRPr="4B344BF6">
        <w:rPr>
          <w:rFonts w:eastAsiaTheme="minorEastAsia"/>
          <w:color w:val="000000" w:themeColor="text1"/>
          <w:sz w:val="22"/>
          <w:szCs w:val="22"/>
          <w:lang w:eastAsia="en-AU"/>
        </w:rPr>
        <w:t xml:space="preserve"> J (2017) ‘Engaging Students: Creating Classrooms That Improve Learning’, Grattan Institute</w:t>
      </w:r>
      <w:r w:rsidR="00A95563" w:rsidRPr="4B344BF6">
        <w:rPr>
          <w:sz w:val="22"/>
          <w:szCs w:val="22"/>
        </w:rPr>
        <w:t>.</w:t>
      </w:r>
    </w:p>
    <w:p w14:paraId="3817512E" w14:textId="43C57F65" w:rsidR="002E4F1E" w:rsidRPr="00D73D0F" w:rsidRDefault="005545CE" w:rsidP="5CCDE20D">
      <w:pPr>
        <w:pStyle w:val="ListParagraph"/>
        <w:numPr>
          <w:ilvl w:val="0"/>
          <w:numId w:val="34"/>
        </w:numPr>
        <w:autoSpaceDE w:val="0"/>
        <w:autoSpaceDN w:val="0"/>
        <w:adjustRightInd w:val="0"/>
        <w:spacing w:after="60"/>
        <w:rPr>
          <w:rFonts w:eastAsiaTheme="minorEastAsia"/>
          <w:sz w:val="22"/>
          <w:szCs w:val="22"/>
        </w:rPr>
      </w:pPr>
      <w:r w:rsidRPr="5CCDE20D">
        <w:rPr>
          <w:rFonts w:eastAsiaTheme="minorEastAsia"/>
          <w:sz w:val="22"/>
          <w:szCs w:val="22"/>
        </w:rPr>
        <w:t xml:space="preserve">Goss P, </w:t>
      </w:r>
      <w:proofErr w:type="spellStart"/>
      <w:r w:rsidRPr="5CCDE20D">
        <w:rPr>
          <w:rFonts w:eastAsiaTheme="minorEastAsia"/>
          <w:sz w:val="22"/>
          <w:szCs w:val="22"/>
        </w:rPr>
        <w:t>Sonnemann</w:t>
      </w:r>
      <w:proofErr w:type="spellEnd"/>
      <w:r w:rsidRPr="5CCDE20D">
        <w:rPr>
          <w:rFonts w:eastAsiaTheme="minorEastAsia"/>
          <w:sz w:val="22"/>
          <w:szCs w:val="22"/>
        </w:rPr>
        <w:t xml:space="preserve"> J and Nolan J (2019) </w:t>
      </w:r>
      <w:r w:rsidR="00A9100D" w:rsidRPr="5CCDE20D">
        <w:rPr>
          <w:rFonts w:eastAsiaTheme="minorEastAsia"/>
          <w:sz w:val="22"/>
          <w:szCs w:val="22"/>
        </w:rPr>
        <w:t>‘</w:t>
      </w:r>
      <w:r w:rsidRPr="5CCDE20D">
        <w:rPr>
          <w:rFonts w:eastAsiaTheme="minorEastAsia"/>
          <w:sz w:val="22"/>
          <w:szCs w:val="22"/>
        </w:rPr>
        <w:t>Attracting high achievers to teaching</w:t>
      </w:r>
      <w:r w:rsidR="00A9100D" w:rsidRPr="5CCDE20D">
        <w:rPr>
          <w:rFonts w:eastAsiaTheme="minorEastAsia"/>
          <w:sz w:val="22"/>
          <w:szCs w:val="22"/>
        </w:rPr>
        <w:t>’</w:t>
      </w:r>
      <w:r w:rsidRPr="5CCDE20D">
        <w:rPr>
          <w:rFonts w:eastAsiaTheme="minorEastAsia"/>
          <w:sz w:val="22"/>
          <w:szCs w:val="22"/>
        </w:rPr>
        <w:t>, Grattan Institute</w:t>
      </w:r>
      <w:r w:rsidR="00280BDC" w:rsidRPr="5CCDE20D">
        <w:rPr>
          <w:rFonts w:eastAsiaTheme="minorEastAsia"/>
          <w:sz w:val="22"/>
          <w:szCs w:val="22"/>
        </w:rPr>
        <w:t>.</w:t>
      </w:r>
    </w:p>
    <w:p w14:paraId="36F9A7AB" w14:textId="073FDB9A"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Graham S and Hebert M (2011) ‘Writing to Read: A Meta-Analysis of the Impact of Writing and Writing Instruction on Reading’, Harvard Educational Review, 81(4)</w:t>
      </w:r>
      <w:r w:rsidR="00F52166" w:rsidRPr="5CCDE20D">
        <w:rPr>
          <w:sz w:val="22"/>
          <w:szCs w:val="22"/>
        </w:rPr>
        <w:t>, pp.</w:t>
      </w:r>
      <w:r w:rsidRPr="5CCDE20D">
        <w:rPr>
          <w:sz w:val="22"/>
          <w:szCs w:val="22"/>
        </w:rPr>
        <w:t>710–744</w:t>
      </w:r>
      <w:r w:rsidR="00180C88" w:rsidRPr="5CCDE20D">
        <w:rPr>
          <w:sz w:val="22"/>
          <w:szCs w:val="22"/>
        </w:rPr>
        <w:t>.</w:t>
      </w:r>
    </w:p>
    <w:p w14:paraId="22A210A8" w14:textId="56E56AC0"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Graham S, </w:t>
      </w:r>
      <w:proofErr w:type="spellStart"/>
      <w:r w:rsidRPr="5CCDE20D">
        <w:rPr>
          <w:sz w:val="22"/>
          <w:szCs w:val="22"/>
        </w:rPr>
        <w:t>Kiuhara</w:t>
      </w:r>
      <w:proofErr w:type="spellEnd"/>
      <w:r w:rsidRPr="5CCDE20D">
        <w:rPr>
          <w:sz w:val="22"/>
          <w:szCs w:val="22"/>
        </w:rPr>
        <w:t xml:space="preserve"> SA and MacKay M (2020) ‘The Effects of Writing on Learning in Science, Social Studies, and Mathematics: A Meta-Analysis’, Review of Educational Research, 90(2)</w:t>
      </w:r>
      <w:r w:rsidR="00F52166" w:rsidRPr="5CCDE20D">
        <w:rPr>
          <w:sz w:val="22"/>
          <w:szCs w:val="22"/>
        </w:rPr>
        <w:t>, pp.</w:t>
      </w:r>
      <w:r w:rsidRPr="5CCDE20D">
        <w:rPr>
          <w:sz w:val="22"/>
          <w:szCs w:val="22"/>
        </w:rPr>
        <w:t>179–226</w:t>
      </w:r>
      <w:r w:rsidR="00180C88" w:rsidRPr="5CCDE20D">
        <w:rPr>
          <w:sz w:val="22"/>
          <w:szCs w:val="22"/>
        </w:rPr>
        <w:t>.</w:t>
      </w:r>
    </w:p>
    <w:p w14:paraId="616D17A7" w14:textId="5CDFA6B4" w:rsidR="005545CE" w:rsidRPr="00D73D0F" w:rsidRDefault="005545CE" w:rsidP="007D6F33">
      <w:pPr>
        <w:pStyle w:val="ListParagraph"/>
        <w:numPr>
          <w:ilvl w:val="0"/>
          <w:numId w:val="34"/>
        </w:numPr>
        <w:spacing w:after="60"/>
        <w:contextualSpacing w:val="0"/>
        <w:textAlignment w:val="baseline"/>
        <w:rPr>
          <w:rFonts w:eastAsiaTheme="minorEastAsia" w:cstheme="minorHAnsi"/>
          <w:color w:val="000000"/>
          <w:sz w:val="22"/>
          <w:szCs w:val="22"/>
          <w:lang w:eastAsia="en-AU"/>
        </w:rPr>
      </w:pPr>
      <w:r w:rsidRPr="5CCDE20D">
        <w:rPr>
          <w:rFonts w:eastAsiaTheme="minorEastAsia"/>
          <w:color w:val="000000" w:themeColor="text1"/>
          <w:sz w:val="22"/>
          <w:szCs w:val="22"/>
          <w:lang w:eastAsia="en-AU"/>
        </w:rPr>
        <w:t>Grove J (2017) 'Germany’s teaching excellence drive ‘creates new hierarchy’', Times Higher Education.</w:t>
      </w:r>
      <w:r w:rsidR="00EF68F4" w:rsidRPr="5CCDE20D">
        <w:rPr>
          <w:rFonts w:eastAsiaTheme="minorEastAsia"/>
          <w:color w:val="000000" w:themeColor="text1"/>
          <w:sz w:val="22"/>
          <w:szCs w:val="22"/>
          <w:lang w:eastAsia="en-AU"/>
        </w:rPr>
        <w:t xml:space="preserve"> </w:t>
      </w:r>
    </w:p>
    <w:p w14:paraId="31313D75" w14:textId="7944FB01"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lang w:val="en-US"/>
        </w:rPr>
      </w:pPr>
      <w:proofErr w:type="spellStart"/>
      <w:r w:rsidRPr="5CCDE20D">
        <w:rPr>
          <w:rFonts w:asciiTheme="minorHAnsi" w:eastAsiaTheme="minorEastAsia" w:hAnsiTheme="minorHAnsi" w:cstheme="minorBidi"/>
          <w:sz w:val="22"/>
          <w:lang w:val="en-US"/>
        </w:rPr>
        <w:t>Gruppetta</w:t>
      </w:r>
      <w:proofErr w:type="spellEnd"/>
      <w:r w:rsidR="002D730D"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M, Southgate</w:t>
      </w:r>
      <w:r w:rsidR="002D730D"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E, Ober</w:t>
      </w:r>
      <w:r w:rsidR="002D730D"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R, Cameron</w:t>
      </w:r>
      <w:r w:rsidR="0059218E"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 xml:space="preserve">L, </w:t>
      </w:r>
      <w:proofErr w:type="spellStart"/>
      <w:r w:rsidRPr="5CCDE20D">
        <w:rPr>
          <w:rFonts w:asciiTheme="minorHAnsi" w:eastAsiaTheme="minorEastAsia" w:hAnsiTheme="minorHAnsi" w:cstheme="minorBidi"/>
          <w:sz w:val="22"/>
          <w:lang w:val="en-US"/>
        </w:rPr>
        <w:t>Fischetti</w:t>
      </w:r>
      <w:proofErr w:type="spellEnd"/>
      <w:r w:rsidR="0059218E"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 xml:space="preserve">J, </w:t>
      </w:r>
      <w:proofErr w:type="spellStart"/>
      <w:r w:rsidRPr="5CCDE20D">
        <w:rPr>
          <w:rFonts w:asciiTheme="minorHAnsi" w:eastAsiaTheme="minorEastAsia" w:hAnsiTheme="minorHAnsi" w:cstheme="minorBidi"/>
          <w:sz w:val="22"/>
          <w:lang w:val="en-US"/>
        </w:rPr>
        <w:t>Thunig</w:t>
      </w:r>
      <w:proofErr w:type="spellEnd"/>
      <w:r w:rsidR="0059218E"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A, Heath</w:t>
      </w:r>
      <w:r w:rsidR="0059218E"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T, Burns</w:t>
      </w:r>
      <w:r w:rsidR="00CB6374"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K</w:t>
      </w:r>
      <w:r w:rsidR="00CB6374" w:rsidRPr="5CCDE20D">
        <w:rPr>
          <w:rFonts w:asciiTheme="minorHAnsi" w:eastAsiaTheme="minorEastAsia" w:hAnsiTheme="minorHAnsi" w:cstheme="minorBidi"/>
          <w:sz w:val="22"/>
          <w:lang w:val="en-US"/>
        </w:rPr>
        <w:t xml:space="preserve"> and</w:t>
      </w:r>
      <w:r w:rsidRPr="5CCDE20D">
        <w:rPr>
          <w:rFonts w:asciiTheme="minorHAnsi" w:eastAsiaTheme="minorEastAsia" w:hAnsiTheme="minorHAnsi" w:cstheme="minorBidi"/>
          <w:sz w:val="22"/>
          <w:lang w:val="en-US"/>
        </w:rPr>
        <w:t xml:space="preserve"> Clifto</w:t>
      </w:r>
      <w:r w:rsidR="00CB6374" w:rsidRPr="5CCDE20D">
        <w:rPr>
          <w:rFonts w:asciiTheme="minorHAnsi" w:eastAsiaTheme="minorEastAsia" w:hAnsiTheme="minorHAnsi" w:cstheme="minorBidi"/>
          <w:sz w:val="22"/>
          <w:lang w:val="en-US"/>
        </w:rPr>
        <w:t>n</w:t>
      </w:r>
      <w:r w:rsidRPr="5CCDE20D">
        <w:rPr>
          <w:rFonts w:asciiTheme="minorHAnsi" w:eastAsiaTheme="minorEastAsia" w:hAnsiTheme="minorHAnsi" w:cstheme="minorBidi"/>
          <w:sz w:val="22"/>
          <w:lang w:val="en-US"/>
        </w:rPr>
        <w:t xml:space="preserve"> S (2018) </w:t>
      </w:r>
      <w:r w:rsidR="00CB6374" w:rsidRPr="5CCDE20D">
        <w:rPr>
          <w:rFonts w:asciiTheme="minorHAnsi" w:eastAsiaTheme="minorEastAsia" w:hAnsiTheme="minorHAnsi" w:cstheme="minorBidi"/>
          <w:sz w:val="22"/>
          <w:lang w:val="en-US"/>
        </w:rPr>
        <w:t>‘</w:t>
      </w:r>
      <w:r w:rsidRPr="5CCDE20D">
        <w:rPr>
          <w:rFonts w:asciiTheme="minorHAnsi" w:eastAsiaTheme="minorEastAsia" w:hAnsiTheme="minorHAnsi" w:cstheme="minorBidi"/>
          <w:sz w:val="22"/>
          <w:lang w:val="en-US"/>
        </w:rPr>
        <w:t>Yarning the way: The role of Indigenous education paraprofessionals in guiding the post-school transitions of Aboriginal and Torres Strait Islander youth</w:t>
      </w:r>
      <w:r w:rsidR="00CB6374" w:rsidRPr="5CCDE20D">
        <w:rPr>
          <w:rFonts w:asciiTheme="minorHAnsi" w:eastAsiaTheme="minorEastAsia" w:hAnsiTheme="minorHAnsi" w:cstheme="minorBidi"/>
          <w:sz w:val="22"/>
          <w:lang w:val="en-US"/>
        </w:rPr>
        <w:t>’,</w:t>
      </w:r>
      <w:r w:rsidRPr="5CCDE20D">
        <w:rPr>
          <w:rFonts w:asciiTheme="minorHAnsi" w:eastAsiaTheme="minorEastAsia" w:hAnsiTheme="minorHAnsi" w:cstheme="minorBidi"/>
          <w:sz w:val="22"/>
          <w:lang w:val="en-US"/>
        </w:rPr>
        <w:t xml:space="preserve"> University of Newcastle. </w:t>
      </w:r>
    </w:p>
    <w:p w14:paraId="490F7889" w14:textId="3B2CCD2F" w:rsidR="005545CE" w:rsidRPr="00D73D0F" w:rsidRDefault="005545CE" w:rsidP="007D6F33">
      <w:pPr>
        <w:pStyle w:val="ListParagraph"/>
        <w:numPr>
          <w:ilvl w:val="0"/>
          <w:numId w:val="34"/>
        </w:numPr>
        <w:spacing w:after="60"/>
        <w:contextualSpacing w:val="0"/>
        <w:textAlignment w:val="baseline"/>
        <w:rPr>
          <w:rFonts w:eastAsiaTheme="minorEastAsia" w:cstheme="minorHAnsi"/>
          <w:color w:val="000000"/>
          <w:sz w:val="22"/>
          <w:szCs w:val="22"/>
          <w:lang w:eastAsia="en-AU"/>
        </w:rPr>
      </w:pPr>
      <w:r w:rsidRPr="5CCDE20D">
        <w:rPr>
          <w:rFonts w:eastAsiaTheme="minorEastAsia"/>
          <w:color w:val="000000" w:themeColor="text1"/>
          <w:sz w:val="22"/>
          <w:szCs w:val="22"/>
          <w:lang w:eastAsia="en-AU"/>
        </w:rPr>
        <w:t>Gunn</w:t>
      </w:r>
      <w:r w:rsidR="002A0541" w:rsidRPr="5CCDE20D">
        <w:rPr>
          <w:rFonts w:eastAsiaTheme="minorEastAsia"/>
          <w:color w:val="000000" w:themeColor="text1"/>
          <w:sz w:val="22"/>
          <w:szCs w:val="22"/>
          <w:lang w:eastAsia="en-AU"/>
        </w:rPr>
        <w:t xml:space="preserve"> </w:t>
      </w:r>
      <w:r w:rsidRPr="5CCDE20D">
        <w:rPr>
          <w:rFonts w:eastAsiaTheme="minorEastAsia"/>
          <w:color w:val="000000" w:themeColor="text1"/>
          <w:sz w:val="22"/>
          <w:szCs w:val="22"/>
          <w:lang w:eastAsia="en-AU"/>
        </w:rPr>
        <w:t xml:space="preserve">A (2018) </w:t>
      </w:r>
      <w:r w:rsidR="002A0541" w:rsidRPr="5CCDE20D">
        <w:rPr>
          <w:rFonts w:eastAsiaTheme="minorEastAsia"/>
          <w:color w:val="000000" w:themeColor="text1"/>
          <w:sz w:val="22"/>
          <w:szCs w:val="22"/>
          <w:lang w:eastAsia="en-AU"/>
        </w:rPr>
        <w:t>‘</w:t>
      </w:r>
      <w:r w:rsidRPr="5CCDE20D">
        <w:rPr>
          <w:rFonts w:eastAsiaTheme="minorEastAsia"/>
          <w:color w:val="000000" w:themeColor="text1"/>
          <w:sz w:val="22"/>
          <w:szCs w:val="22"/>
          <w:lang w:eastAsia="en-AU"/>
        </w:rPr>
        <w:t>The UK Teaching Excellence Framework (TEF): The Development of a New Transparency Tool</w:t>
      </w:r>
      <w:r w:rsidR="002A0541" w:rsidRPr="5CCDE20D">
        <w:rPr>
          <w:rFonts w:eastAsiaTheme="minorEastAsia"/>
          <w:color w:val="000000" w:themeColor="text1"/>
          <w:sz w:val="22"/>
          <w:szCs w:val="22"/>
          <w:lang w:eastAsia="en-AU"/>
        </w:rPr>
        <w:t>’,</w:t>
      </w:r>
      <w:r w:rsidRPr="5CCDE20D">
        <w:rPr>
          <w:rFonts w:eastAsiaTheme="minorEastAsia"/>
          <w:color w:val="000000" w:themeColor="text1"/>
          <w:sz w:val="22"/>
          <w:szCs w:val="22"/>
          <w:lang w:eastAsia="en-AU"/>
        </w:rPr>
        <w:t xml:space="preserve"> </w:t>
      </w:r>
      <w:proofErr w:type="spellStart"/>
      <w:r w:rsidRPr="5CCDE20D">
        <w:rPr>
          <w:rFonts w:eastAsiaTheme="minorEastAsia"/>
          <w:color w:val="000000" w:themeColor="text1"/>
          <w:sz w:val="22"/>
          <w:szCs w:val="22"/>
          <w:lang w:eastAsia="en-AU"/>
        </w:rPr>
        <w:t>Curaj</w:t>
      </w:r>
      <w:proofErr w:type="spellEnd"/>
      <w:r w:rsidRPr="5CCDE20D">
        <w:rPr>
          <w:rFonts w:eastAsiaTheme="minorEastAsia"/>
          <w:color w:val="000000" w:themeColor="text1"/>
          <w:sz w:val="22"/>
          <w:szCs w:val="22"/>
          <w:lang w:eastAsia="en-AU"/>
        </w:rPr>
        <w:t xml:space="preserve"> A, Deca</w:t>
      </w:r>
      <w:r w:rsidR="002A0541" w:rsidRPr="5CCDE20D">
        <w:rPr>
          <w:rFonts w:eastAsiaTheme="minorEastAsia"/>
          <w:color w:val="000000" w:themeColor="text1"/>
          <w:sz w:val="22"/>
          <w:szCs w:val="22"/>
          <w:lang w:eastAsia="en-AU"/>
        </w:rPr>
        <w:t xml:space="preserve"> </w:t>
      </w:r>
      <w:r w:rsidRPr="5CCDE20D">
        <w:rPr>
          <w:rFonts w:eastAsiaTheme="minorEastAsia"/>
          <w:color w:val="000000" w:themeColor="text1"/>
          <w:sz w:val="22"/>
          <w:szCs w:val="22"/>
          <w:lang w:eastAsia="en-AU"/>
        </w:rPr>
        <w:t>L</w:t>
      </w:r>
      <w:r w:rsidR="002A0541" w:rsidRPr="5CCDE20D">
        <w:rPr>
          <w:rFonts w:eastAsiaTheme="minorEastAsia"/>
          <w:color w:val="000000" w:themeColor="text1"/>
          <w:sz w:val="22"/>
          <w:szCs w:val="22"/>
          <w:lang w:eastAsia="en-AU"/>
        </w:rPr>
        <w:t xml:space="preserve"> and</w:t>
      </w:r>
      <w:r w:rsidRPr="5CCDE20D">
        <w:rPr>
          <w:rFonts w:eastAsiaTheme="minorEastAsia"/>
          <w:color w:val="000000" w:themeColor="text1"/>
          <w:sz w:val="22"/>
          <w:szCs w:val="22"/>
          <w:lang w:eastAsia="en-AU"/>
        </w:rPr>
        <w:t xml:space="preserve"> </w:t>
      </w:r>
      <w:proofErr w:type="spellStart"/>
      <w:r w:rsidRPr="5CCDE20D">
        <w:rPr>
          <w:rFonts w:eastAsiaTheme="minorEastAsia"/>
          <w:color w:val="000000" w:themeColor="text1"/>
          <w:sz w:val="22"/>
          <w:szCs w:val="22"/>
          <w:lang w:eastAsia="en-AU"/>
        </w:rPr>
        <w:t>Pricopie</w:t>
      </w:r>
      <w:proofErr w:type="spellEnd"/>
      <w:r w:rsidRPr="5CCDE20D">
        <w:rPr>
          <w:rFonts w:eastAsiaTheme="minorEastAsia"/>
          <w:color w:val="000000" w:themeColor="text1"/>
          <w:sz w:val="22"/>
          <w:szCs w:val="22"/>
          <w:lang w:eastAsia="en-AU"/>
        </w:rPr>
        <w:t xml:space="preserve"> R (eds)</w:t>
      </w:r>
      <w:r w:rsidR="002A0541" w:rsidRPr="5CCDE20D">
        <w:rPr>
          <w:rFonts w:eastAsiaTheme="minorEastAsia"/>
          <w:color w:val="000000" w:themeColor="text1"/>
          <w:sz w:val="22"/>
          <w:szCs w:val="22"/>
          <w:lang w:eastAsia="en-AU"/>
        </w:rPr>
        <w:t xml:space="preserve">, </w:t>
      </w:r>
      <w:r w:rsidRPr="5CCDE20D">
        <w:rPr>
          <w:rFonts w:eastAsiaTheme="minorEastAsia"/>
          <w:color w:val="000000" w:themeColor="text1"/>
          <w:sz w:val="22"/>
          <w:szCs w:val="22"/>
          <w:lang w:eastAsia="en-AU"/>
        </w:rPr>
        <w:t>European Higher Education Area: The Impact of Past and Future Policies</w:t>
      </w:r>
      <w:r w:rsidR="002A0541" w:rsidRPr="5CCDE20D">
        <w:rPr>
          <w:rFonts w:eastAsiaTheme="minorEastAsia"/>
          <w:color w:val="000000" w:themeColor="text1"/>
          <w:sz w:val="22"/>
          <w:szCs w:val="22"/>
          <w:lang w:eastAsia="en-AU"/>
        </w:rPr>
        <w:t>,</w:t>
      </w:r>
      <w:r w:rsidRPr="5CCDE20D">
        <w:rPr>
          <w:rFonts w:eastAsiaTheme="minorEastAsia"/>
          <w:color w:val="000000" w:themeColor="text1"/>
          <w:sz w:val="22"/>
          <w:szCs w:val="22"/>
          <w:lang w:eastAsia="en-AU"/>
        </w:rPr>
        <w:t xml:space="preserve"> Springer</w:t>
      </w:r>
      <w:r w:rsidR="00E33876" w:rsidRPr="5CCDE20D">
        <w:rPr>
          <w:rFonts w:eastAsiaTheme="minorEastAsia"/>
          <w:color w:val="000000" w:themeColor="text1"/>
          <w:sz w:val="22"/>
          <w:szCs w:val="22"/>
          <w:lang w:eastAsia="en-AU"/>
        </w:rPr>
        <w:t xml:space="preserve"> Nature, Cham</w:t>
      </w:r>
      <w:r w:rsidR="0039176D" w:rsidRPr="5CCDE20D">
        <w:rPr>
          <w:sz w:val="22"/>
          <w:szCs w:val="22"/>
        </w:rPr>
        <w:t>.</w:t>
      </w:r>
      <w:r w:rsidRPr="5CCDE20D">
        <w:rPr>
          <w:rFonts w:eastAsiaTheme="minorEastAsia"/>
          <w:color w:val="000000" w:themeColor="text1"/>
          <w:sz w:val="22"/>
          <w:szCs w:val="22"/>
          <w:lang w:eastAsia="en-AU"/>
        </w:rPr>
        <w:t>  </w:t>
      </w:r>
    </w:p>
    <w:p w14:paraId="71900119" w14:textId="52AA2437"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t>Guskey</w:t>
      </w:r>
      <w:proofErr w:type="spellEnd"/>
      <w:r w:rsidRPr="5CCDE20D">
        <w:rPr>
          <w:sz w:val="22"/>
          <w:szCs w:val="22"/>
        </w:rPr>
        <w:t xml:space="preserve"> T</w:t>
      </w:r>
      <w:r w:rsidR="00F84178" w:rsidRPr="5CCDE20D">
        <w:rPr>
          <w:sz w:val="22"/>
          <w:szCs w:val="22"/>
        </w:rPr>
        <w:t>R</w:t>
      </w:r>
      <w:r w:rsidRPr="5CCDE20D">
        <w:rPr>
          <w:sz w:val="22"/>
          <w:szCs w:val="22"/>
        </w:rPr>
        <w:t xml:space="preserve"> (2010) ‘Lessons of Mastery Learning’, Educational Leadership, 68(2)</w:t>
      </w:r>
      <w:r w:rsidR="004A5400" w:rsidRPr="5CCDE20D">
        <w:rPr>
          <w:sz w:val="22"/>
          <w:szCs w:val="22"/>
        </w:rPr>
        <w:t>, pp.</w:t>
      </w:r>
      <w:r w:rsidRPr="5CCDE20D">
        <w:rPr>
          <w:sz w:val="22"/>
          <w:szCs w:val="22"/>
        </w:rPr>
        <w:t>52–57.</w:t>
      </w:r>
    </w:p>
    <w:p w14:paraId="3C871A69" w14:textId="5F9A5DA4"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lang w:eastAsia="en-AU"/>
        </w:rPr>
      </w:pPr>
      <w:r w:rsidRPr="5CCDE20D">
        <w:rPr>
          <w:rFonts w:asciiTheme="minorHAnsi" w:eastAsiaTheme="minorEastAsia" w:hAnsiTheme="minorHAnsi" w:cstheme="minorBidi"/>
          <w:sz w:val="22"/>
          <w:lang w:eastAsia="en-AU"/>
        </w:rPr>
        <w:t xml:space="preserve">Hattie J (2008) </w:t>
      </w:r>
      <w:r w:rsidR="00F84178" w:rsidRPr="5CCDE20D">
        <w:rPr>
          <w:rFonts w:asciiTheme="minorHAnsi" w:eastAsiaTheme="minorEastAsia" w:hAnsiTheme="minorHAnsi" w:cstheme="minorBidi"/>
          <w:sz w:val="22"/>
          <w:lang w:eastAsia="en-AU"/>
        </w:rPr>
        <w:t>‘</w:t>
      </w:r>
      <w:r w:rsidRPr="5CCDE20D">
        <w:rPr>
          <w:rFonts w:asciiTheme="minorHAnsi" w:eastAsiaTheme="minorEastAsia" w:hAnsiTheme="minorHAnsi" w:cstheme="minorBidi"/>
          <w:sz w:val="22"/>
          <w:lang w:eastAsia="en-AU"/>
        </w:rPr>
        <w:t>Visible learnings: A synthesis of over 800 meta-analyses relating to achievement</w:t>
      </w:r>
      <w:r w:rsidR="00F84178" w:rsidRPr="5CCDE20D">
        <w:rPr>
          <w:rFonts w:asciiTheme="minorHAnsi" w:eastAsiaTheme="minorEastAsia" w:hAnsiTheme="minorHAnsi" w:cstheme="minorBidi"/>
          <w:sz w:val="22"/>
          <w:lang w:eastAsia="en-AU"/>
        </w:rPr>
        <w:t xml:space="preserve">’, </w:t>
      </w:r>
      <w:r w:rsidRPr="5CCDE20D">
        <w:rPr>
          <w:rFonts w:asciiTheme="minorHAnsi" w:eastAsiaTheme="minorEastAsia" w:hAnsiTheme="minorHAnsi" w:cstheme="minorBidi"/>
          <w:sz w:val="22"/>
          <w:lang w:eastAsia="en-AU"/>
        </w:rPr>
        <w:t xml:space="preserve">Routledge. </w:t>
      </w:r>
    </w:p>
    <w:p w14:paraId="260D1194" w14:textId="7D55F92C"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lang w:eastAsia="en-AU"/>
        </w:rPr>
      </w:pPr>
      <w:r w:rsidRPr="5CCDE20D">
        <w:rPr>
          <w:rFonts w:asciiTheme="minorHAnsi" w:eastAsiaTheme="minorEastAsia" w:hAnsiTheme="minorHAnsi" w:cstheme="minorBidi"/>
          <w:sz w:val="22"/>
          <w:lang w:eastAsia="en-AU"/>
        </w:rPr>
        <w:lastRenderedPageBreak/>
        <w:t>Hattie J (2012)</w:t>
      </w:r>
      <w:r w:rsidR="00A903F4" w:rsidRPr="5CCDE20D">
        <w:rPr>
          <w:rFonts w:asciiTheme="minorHAnsi" w:eastAsiaTheme="minorEastAsia" w:hAnsiTheme="minorHAnsi" w:cstheme="minorBidi"/>
          <w:sz w:val="22"/>
          <w:lang w:eastAsia="en-AU"/>
        </w:rPr>
        <w:t xml:space="preserve"> ‘</w:t>
      </w:r>
      <w:r w:rsidRPr="5CCDE20D">
        <w:rPr>
          <w:rFonts w:asciiTheme="minorHAnsi" w:eastAsiaTheme="minorEastAsia" w:hAnsiTheme="minorHAnsi" w:cstheme="minorBidi"/>
          <w:sz w:val="22"/>
          <w:lang w:eastAsia="en-AU"/>
        </w:rPr>
        <w:t>Visible classrooms for teachers: Maximizing impact on learning</w:t>
      </w:r>
      <w:r w:rsidR="00A903F4" w:rsidRPr="5CCDE20D">
        <w:rPr>
          <w:rFonts w:asciiTheme="minorHAnsi" w:eastAsiaTheme="minorEastAsia" w:hAnsiTheme="minorHAnsi" w:cstheme="minorBidi"/>
          <w:sz w:val="22"/>
          <w:lang w:eastAsia="en-AU"/>
        </w:rPr>
        <w:t>’,</w:t>
      </w:r>
      <w:r w:rsidRPr="5CCDE20D">
        <w:rPr>
          <w:rFonts w:asciiTheme="minorHAnsi" w:eastAsiaTheme="minorEastAsia" w:hAnsiTheme="minorHAnsi" w:cstheme="minorBidi"/>
          <w:sz w:val="22"/>
          <w:lang w:eastAsia="en-AU"/>
        </w:rPr>
        <w:t xml:space="preserve"> Routledge. </w:t>
      </w:r>
    </w:p>
    <w:p w14:paraId="5E680FAA" w14:textId="194F6FD5" w:rsidR="005545CE" w:rsidRPr="00D73D0F" w:rsidRDefault="005545CE" w:rsidP="007D6F33">
      <w:pPr>
        <w:pStyle w:val="ListParagraph"/>
        <w:numPr>
          <w:ilvl w:val="0"/>
          <w:numId w:val="34"/>
        </w:numPr>
        <w:autoSpaceDE w:val="0"/>
        <w:autoSpaceDN w:val="0"/>
        <w:adjustRightInd w:val="0"/>
        <w:spacing w:after="60"/>
        <w:contextualSpacing w:val="0"/>
        <w:rPr>
          <w:rFonts w:eastAsiaTheme="minorEastAsia" w:cstheme="minorHAnsi"/>
          <w:sz w:val="22"/>
          <w:szCs w:val="22"/>
        </w:rPr>
      </w:pPr>
      <w:r w:rsidRPr="5CCDE20D">
        <w:rPr>
          <w:rFonts w:eastAsiaTheme="minorEastAsia"/>
          <w:sz w:val="22"/>
          <w:szCs w:val="22"/>
        </w:rPr>
        <w:t>Heffernan A, Bright D, Longmuir F and Magyar B (2021) Perceptions of Australian schooling - what matters in 2021, Monash University.</w:t>
      </w:r>
    </w:p>
    <w:p w14:paraId="592DCFBD" w14:textId="552B5614" w:rsidR="005545CE" w:rsidRPr="00D73D0F" w:rsidRDefault="005545CE" w:rsidP="007D6F33">
      <w:pPr>
        <w:pStyle w:val="ListParagraph"/>
        <w:numPr>
          <w:ilvl w:val="0"/>
          <w:numId w:val="34"/>
        </w:numPr>
        <w:tabs>
          <w:tab w:val="left" w:pos="7089"/>
        </w:tabs>
        <w:spacing w:after="60"/>
        <w:contextualSpacing w:val="0"/>
        <w:rPr>
          <w:rFonts w:eastAsiaTheme="minorEastAsia" w:cstheme="minorHAnsi"/>
          <w:color w:val="000000" w:themeColor="text1"/>
          <w:sz w:val="22"/>
          <w:szCs w:val="22"/>
        </w:rPr>
      </w:pPr>
      <w:r w:rsidRPr="5CCDE20D">
        <w:rPr>
          <w:rFonts w:eastAsiaTheme="minorEastAsia"/>
          <w:color w:val="000000" w:themeColor="text1"/>
          <w:sz w:val="22"/>
          <w:szCs w:val="22"/>
        </w:rPr>
        <w:t xml:space="preserve">Heffernan A, Longmuir F, Bright D, Kim M et al. (2019) </w:t>
      </w:r>
      <w:r w:rsidR="00630B0F" w:rsidRPr="5CCDE20D">
        <w:rPr>
          <w:rFonts w:eastAsiaTheme="minorEastAsia"/>
          <w:color w:val="000000" w:themeColor="text1"/>
          <w:sz w:val="22"/>
          <w:szCs w:val="22"/>
        </w:rPr>
        <w:t>‘</w:t>
      </w:r>
      <w:r w:rsidRPr="5CCDE20D">
        <w:rPr>
          <w:rFonts w:eastAsiaTheme="minorEastAsia"/>
          <w:sz w:val="22"/>
          <w:szCs w:val="22"/>
        </w:rPr>
        <w:t>Perceptions of teachers and teaching in Australia</w:t>
      </w:r>
      <w:r w:rsidR="00630B0F" w:rsidRPr="5CCDE20D">
        <w:rPr>
          <w:rFonts w:eastAsiaTheme="minorEastAsia"/>
          <w:sz w:val="22"/>
          <w:szCs w:val="22"/>
        </w:rPr>
        <w:t>’</w:t>
      </w:r>
      <w:r w:rsidRPr="5CCDE20D">
        <w:rPr>
          <w:rFonts w:eastAsiaTheme="minorEastAsia"/>
          <w:i/>
          <w:color w:val="000000" w:themeColor="text1"/>
          <w:sz w:val="22"/>
          <w:szCs w:val="22"/>
        </w:rPr>
        <w:t>,</w:t>
      </w:r>
      <w:r w:rsidRPr="5CCDE20D">
        <w:rPr>
          <w:rFonts w:eastAsiaTheme="minorEastAsia"/>
          <w:color w:val="000000" w:themeColor="text1"/>
          <w:sz w:val="22"/>
          <w:szCs w:val="22"/>
        </w:rPr>
        <w:t xml:space="preserve"> Monash University.</w:t>
      </w:r>
    </w:p>
    <w:p w14:paraId="4D875D7A" w14:textId="56163156"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t>Heitink</w:t>
      </w:r>
      <w:proofErr w:type="spellEnd"/>
      <w:r w:rsidRPr="5CCDE20D">
        <w:rPr>
          <w:sz w:val="22"/>
          <w:szCs w:val="22"/>
        </w:rPr>
        <w:t xml:space="preserve"> MC, </w:t>
      </w:r>
      <w:proofErr w:type="spellStart"/>
      <w:r w:rsidRPr="5CCDE20D">
        <w:rPr>
          <w:sz w:val="22"/>
          <w:szCs w:val="22"/>
        </w:rPr>
        <w:t>Kleij</w:t>
      </w:r>
      <w:proofErr w:type="spellEnd"/>
      <w:r w:rsidRPr="5CCDE20D">
        <w:rPr>
          <w:sz w:val="22"/>
          <w:szCs w:val="22"/>
        </w:rPr>
        <w:t xml:space="preserve"> F van der, </w:t>
      </w:r>
      <w:proofErr w:type="spellStart"/>
      <w:r w:rsidRPr="5CCDE20D">
        <w:rPr>
          <w:sz w:val="22"/>
          <w:szCs w:val="22"/>
        </w:rPr>
        <w:t>Veldkamp</w:t>
      </w:r>
      <w:proofErr w:type="spellEnd"/>
      <w:r w:rsidRPr="5CCDE20D">
        <w:rPr>
          <w:sz w:val="22"/>
          <w:szCs w:val="22"/>
        </w:rPr>
        <w:t xml:space="preserve"> BP, </w:t>
      </w:r>
      <w:proofErr w:type="spellStart"/>
      <w:r w:rsidRPr="5CCDE20D">
        <w:rPr>
          <w:sz w:val="22"/>
          <w:szCs w:val="22"/>
        </w:rPr>
        <w:t>Schildkamp</w:t>
      </w:r>
      <w:proofErr w:type="spellEnd"/>
      <w:r w:rsidRPr="5CCDE20D">
        <w:rPr>
          <w:sz w:val="22"/>
          <w:szCs w:val="22"/>
        </w:rPr>
        <w:t xml:space="preserve"> K and Kippers WB (2016) ‘A systematic review of prerequisites for implementing assessment for learning in classroom practice’, Educational </w:t>
      </w:r>
      <w:r w:rsidR="00804796" w:rsidRPr="5CCDE20D">
        <w:rPr>
          <w:sz w:val="22"/>
          <w:szCs w:val="22"/>
        </w:rPr>
        <w:t>R</w:t>
      </w:r>
      <w:r w:rsidRPr="5CCDE20D">
        <w:rPr>
          <w:sz w:val="22"/>
          <w:szCs w:val="22"/>
        </w:rPr>
        <w:t xml:space="preserve">esearch </w:t>
      </w:r>
      <w:r w:rsidR="00804796" w:rsidRPr="5CCDE20D">
        <w:rPr>
          <w:sz w:val="22"/>
          <w:szCs w:val="22"/>
        </w:rPr>
        <w:t>R</w:t>
      </w:r>
      <w:r w:rsidRPr="5CCDE20D">
        <w:rPr>
          <w:sz w:val="22"/>
          <w:szCs w:val="22"/>
        </w:rPr>
        <w:t>eview, 17</w:t>
      </w:r>
      <w:r w:rsidR="00804796" w:rsidRPr="5CCDE20D">
        <w:rPr>
          <w:sz w:val="22"/>
          <w:szCs w:val="22"/>
        </w:rPr>
        <w:t>, pp.</w:t>
      </w:r>
      <w:r w:rsidRPr="5CCDE20D">
        <w:rPr>
          <w:sz w:val="22"/>
          <w:szCs w:val="22"/>
        </w:rPr>
        <w:t>50–62</w:t>
      </w:r>
      <w:r w:rsidR="00180C88" w:rsidRPr="5CCDE20D">
        <w:rPr>
          <w:sz w:val="22"/>
          <w:szCs w:val="22"/>
        </w:rPr>
        <w:t>.</w:t>
      </w:r>
    </w:p>
    <w:p w14:paraId="5D19E6AA" w14:textId="6CE2C6F7" w:rsidR="005545CE" w:rsidRPr="00D73D0F" w:rsidRDefault="000962D2" w:rsidP="007D6F33">
      <w:pPr>
        <w:pStyle w:val="References"/>
        <w:numPr>
          <w:ilvl w:val="0"/>
          <w:numId w:val="34"/>
        </w:numPr>
        <w:spacing w:line="240" w:lineRule="auto"/>
        <w:rPr>
          <w:rFonts w:asciiTheme="minorHAnsi" w:eastAsiaTheme="minorEastAsia" w:hAnsiTheme="minorHAnsi" w:cstheme="minorHAnsi"/>
          <w:sz w:val="22"/>
        </w:rPr>
      </w:pPr>
      <w:r w:rsidRPr="5CCDE20D">
        <w:rPr>
          <w:rFonts w:asciiTheme="minorHAnsi" w:eastAsiaTheme="minorEastAsia" w:hAnsiTheme="minorHAnsi" w:cstheme="minorBidi"/>
          <w:sz w:val="22"/>
        </w:rPr>
        <w:t>Higher Education Standards Framework</w:t>
      </w:r>
      <w:r w:rsidR="0080642B" w:rsidRPr="5CCDE20D">
        <w:rPr>
          <w:rFonts w:asciiTheme="minorHAnsi" w:eastAsiaTheme="minorEastAsia" w:hAnsiTheme="minorHAnsi" w:cstheme="minorBidi"/>
          <w:sz w:val="22"/>
        </w:rPr>
        <w:t xml:space="preserve"> (HES</w:t>
      </w:r>
      <w:r w:rsidR="00622F34" w:rsidRPr="5CCDE20D">
        <w:rPr>
          <w:rFonts w:asciiTheme="minorHAnsi" w:eastAsiaTheme="minorEastAsia" w:hAnsiTheme="minorHAnsi" w:cstheme="minorBidi"/>
          <w:sz w:val="22"/>
        </w:rPr>
        <w:t xml:space="preserve"> Framework</w:t>
      </w:r>
      <w:r w:rsidR="0080642B" w:rsidRPr="5CCDE20D">
        <w:rPr>
          <w:rFonts w:asciiTheme="minorHAnsi" w:eastAsiaTheme="minorEastAsia" w:hAnsiTheme="minorHAnsi" w:cstheme="minorBidi"/>
          <w:sz w:val="22"/>
        </w:rPr>
        <w:t>)</w:t>
      </w:r>
      <w:r w:rsidR="001E1EEA" w:rsidRPr="5CCDE20D">
        <w:rPr>
          <w:rFonts w:asciiTheme="minorHAnsi" w:eastAsiaTheme="minorEastAsia" w:hAnsiTheme="minorHAnsi" w:cstheme="minorBidi"/>
          <w:sz w:val="22"/>
        </w:rPr>
        <w:t xml:space="preserve"> </w:t>
      </w:r>
      <w:r w:rsidR="005545CE" w:rsidRPr="5CCDE20D">
        <w:rPr>
          <w:rFonts w:asciiTheme="minorHAnsi" w:eastAsiaTheme="minorEastAsia" w:hAnsiTheme="minorHAnsi" w:cstheme="minorBidi"/>
          <w:sz w:val="22"/>
        </w:rPr>
        <w:t xml:space="preserve">(2021) </w:t>
      </w:r>
      <w:r w:rsidR="001C1DD5" w:rsidRPr="5CCDE20D">
        <w:rPr>
          <w:rFonts w:asciiTheme="minorHAnsi" w:eastAsiaTheme="minorEastAsia" w:hAnsiTheme="minorHAnsi" w:cstheme="minorBidi"/>
          <w:sz w:val="22"/>
        </w:rPr>
        <w:t>‘</w:t>
      </w:r>
      <w:r w:rsidR="005545CE" w:rsidRPr="5CCDE20D">
        <w:rPr>
          <w:rFonts w:asciiTheme="minorHAnsi" w:eastAsiaTheme="minorEastAsia" w:hAnsiTheme="minorHAnsi" w:cstheme="minorBidi"/>
          <w:sz w:val="22"/>
        </w:rPr>
        <w:t>Higher Education Standards Framework (Threshold Standards) 2021</w:t>
      </w:r>
      <w:r w:rsidR="001C1DD5" w:rsidRPr="5CCDE20D">
        <w:rPr>
          <w:rFonts w:asciiTheme="minorHAnsi" w:eastAsiaTheme="minorEastAsia" w:hAnsiTheme="minorHAnsi" w:cstheme="minorBidi"/>
          <w:sz w:val="22"/>
        </w:rPr>
        <w:t>’,</w:t>
      </w:r>
      <w:r w:rsidR="005545CE" w:rsidRPr="5CCDE20D">
        <w:rPr>
          <w:rFonts w:asciiTheme="minorHAnsi" w:eastAsiaTheme="minorEastAsia" w:hAnsiTheme="minorHAnsi" w:cstheme="minorBidi"/>
          <w:sz w:val="22"/>
        </w:rPr>
        <w:t xml:space="preserve"> </w:t>
      </w:r>
      <w:r w:rsidR="00E55974" w:rsidRPr="5CCDE20D">
        <w:rPr>
          <w:rFonts w:asciiTheme="minorHAnsi" w:hAnsiTheme="minorHAnsi" w:cstheme="minorBidi"/>
          <w:sz w:val="22"/>
        </w:rPr>
        <w:t xml:space="preserve">Tertiary Education Quality and Standards Agency (TEQSA) Act 2011, </w:t>
      </w:r>
      <w:r w:rsidR="005545CE" w:rsidRPr="5CCDE20D">
        <w:rPr>
          <w:rFonts w:asciiTheme="minorHAnsi" w:eastAsiaTheme="minorEastAsia" w:hAnsiTheme="minorHAnsi" w:cstheme="minorBidi"/>
          <w:sz w:val="22"/>
        </w:rPr>
        <w:t>Australian Government</w:t>
      </w:r>
      <w:r w:rsidRPr="5CCDE20D">
        <w:rPr>
          <w:rFonts w:asciiTheme="minorHAnsi" w:hAnsiTheme="minorHAnsi" w:cstheme="minorBidi"/>
          <w:sz w:val="22"/>
        </w:rPr>
        <w:t>.</w:t>
      </w:r>
    </w:p>
    <w:p w14:paraId="3940E672" w14:textId="12A2EB9E" w:rsidR="007523F6" w:rsidRPr="00D73D0F" w:rsidRDefault="007523F6" w:rsidP="007D6F33">
      <w:pPr>
        <w:pStyle w:val="References"/>
        <w:numPr>
          <w:ilvl w:val="0"/>
          <w:numId w:val="34"/>
        </w:numPr>
        <w:spacing w:line="240" w:lineRule="auto"/>
        <w:rPr>
          <w:rFonts w:asciiTheme="minorHAnsi" w:eastAsiaTheme="minorEastAsia" w:hAnsiTheme="minorHAnsi" w:cstheme="minorHAnsi"/>
          <w:sz w:val="22"/>
        </w:rPr>
      </w:pPr>
      <w:r w:rsidRPr="5CCDE20D">
        <w:rPr>
          <w:rFonts w:asciiTheme="minorHAnsi" w:eastAsiaTheme="minorEastAsia" w:hAnsiTheme="minorHAnsi" w:cstheme="minorBidi"/>
          <w:sz w:val="22"/>
        </w:rPr>
        <w:t>Higher Education Statistics Agency (2022) ‘Statistical bulletins and first releases’, Higher Education Statistics Agency (HESA), UK</w:t>
      </w:r>
      <w:r w:rsidRPr="5CCDE20D">
        <w:rPr>
          <w:rFonts w:asciiTheme="minorHAnsi" w:hAnsiTheme="minorHAnsi" w:cstheme="minorBidi"/>
          <w:sz w:val="22"/>
        </w:rPr>
        <w:t>.</w:t>
      </w:r>
    </w:p>
    <w:p w14:paraId="45B2DD53" w14:textId="5FED6104"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5CCDE20D">
        <w:rPr>
          <w:rFonts w:asciiTheme="minorHAnsi" w:eastAsiaTheme="minorEastAsia" w:hAnsiTheme="minorHAnsi" w:cstheme="minorBidi"/>
          <w:sz w:val="22"/>
        </w:rPr>
        <w:t>Higher Education Statistics Agency</w:t>
      </w:r>
      <w:r w:rsidR="007A5111"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w:t>
      </w:r>
      <w:r w:rsidR="007A5111" w:rsidRPr="5CCDE20D">
        <w:rPr>
          <w:rFonts w:asciiTheme="minorHAnsi" w:eastAsiaTheme="minorEastAsia" w:hAnsiTheme="minorHAnsi" w:cstheme="minorBidi"/>
          <w:sz w:val="22"/>
        </w:rPr>
        <w:t>2023</w:t>
      </w:r>
      <w:r w:rsidRPr="5CCDE20D">
        <w:rPr>
          <w:rFonts w:asciiTheme="minorHAnsi" w:eastAsiaTheme="minorEastAsia" w:hAnsiTheme="minorHAnsi" w:cstheme="minorBidi"/>
          <w:sz w:val="22"/>
        </w:rPr>
        <w:t>)</w:t>
      </w:r>
      <w:r w:rsidR="00E74BC1"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Graduate Outcomes Survey Results record 2021/22</w:t>
      </w:r>
      <w:r w:rsidR="00E74BC1" w:rsidRPr="5CCDE20D">
        <w:rPr>
          <w:rFonts w:asciiTheme="minorHAnsi" w:eastAsiaTheme="minorEastAsia" w:hAnsiTheme="minorHAnsi" w:cstheme="minorBidi"/>
          <w:sz w:val="22"/>
        </w:rPr>
        <w:t>’</w:t>
      </w:r>
      <w:r w:rsidR="00B54C9C" w:rsidRPr="5CCDE20D">
        <w:rPr>
          <w:rFonts w:asciiTheme="minorHAnsi" w:eastAsiaTheme="minorEastAsia" w:hAnsiTheme="minorHAnsi" w:cstheme="minorBidi"/>
          <w:sz w:val="22"/>
        </w:rPr>
        <w:t xml:space="preserve">, </w:t>
      </w:r>
      <w:r w:rsidR="007A5111" w:rsidRPr="5CCDE20D">
        <w:rPr>
          <w:rFonts w:asciiTheme="minorHAnsi" w:eastAsiaTheme="minorEastAsia" w:hAnsiTheme="minorHAnsi" w:cstheme="minorBidi"/>
          <w:sz w:val="22"/>
        </w:rPr>
        <w:t xml:space="preserve">Version 1.3, </w:t>
      </w:r>
      <w:r w:rsidR="00B54C9C" w:rsidRPr="5CCDE20D">
        <w:rPr>
          <w:rFonts w:asciiTheme="minorHAnsi" w:eastAsiaTheme="minorEastAsia" w:hAnsiTheme="minorHAnsi" w:cstheme="minorBidi"/>
          <w:sz w:val="22"/>
        </w:rPr>
        <w:t>Higher Education</w:t>
      </w:r>
      <w:r w:rsidR="00F94FBC" w:rsidRPr="5CCDE20D">
        <w:rPr>
          <w:rFonts w:asciiTheme="minorHAnsi" w:eastAsiaTheme="minorEastAsia" w:hAnsiTheme="minorHAnsi" w:cstheme="minorBidi"/>
          <w:sz w:val="22"/>
        </w:rPr>
        <w:t xml:space="preserve"> Statistics Agency (HESA), UK</w:t>
      </w:r>
      <w:r w:rsidR="0039176D" w:rsidRPr="5CCDE20D">
        <w:rPr>
          <w:rFonts w:asciiTheme="minorHAnsi" w:hAnsiTheme="minorHAnsi" w:cstheme="minorBidi"/>
          <w:sz w:val="22"/>
        </w:rPr>
        <w:t>.</w:t>
      </w:r>
    </w:p>
    <w:p w14:paraId="604F0F3C" w14:textId="042200F3"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5CCDE20D">
        <w:rPr>
          <w:rFonts w:asciiTheme="minorHAnsi" w:eastAsiaTheme="minorEastAsia" w:hAnsiTheme="minorHAnsi" w:cstheme="minorBidi"/>
          <w:sz w:val="22"/>
        </w:rPr>
        <w:t>Hobson</w:t>
      </w:r>
      <w:r w:rsidR="00E7648B"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 xml:space="preserve">AJ, </w:t>
      </w:r>
      <w:proofErr w:type="spellStart"/>
      <w:r w:rsidRPr="5CCDE20D">
        <w:rPr>
          <w:rFonts w:asciiTheme="minorHAnsi" w:eastAsiaTheme="minorEastAsia" w:hAnsiTheme="minorHAnsi" w:cstheme="minorBidi"/>
          <w:sz w:val="22"/>
        </w:rPr>
        <w:t>Malderez</w:t>
      </w:r>
      <w:proofErr w:type="spellEnd"/>
      <w:r w:rsidRPr="5CCDE20D">
        <w:rPr>
          <w:rFonts w:asciiTheme="minorHAnsi" w:eastAsiaTheme="minorEastAsia" w:hAnsiTheme="minorHAnsi" w:cstheme="minorBidi"/>
          <w:sz w:val="22"/>
        </w:rPr>
        <w:t xml:space="preserve"> A, Tracey</w:t>
      </w:r>
      <w:r w:rsidR="00E7648B"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L, Homer</w:t>
      </w:r>
      <w:r w:rsidR="00E7648B"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M, Ashby P, Mitchell N, McIntyre J, Cooper D, Roper T, Chambers G</w:t>
      </w:r>
      <w:r w:rsidR="00E7648B" w:rsidRPr="5CCDE20D">
        <w:rPr>
          <w:rFonts w:asciiTheme="minorHAnsi" w:eastAsiaTheme="minorEastAsia" w:hAnsiTheme="minorHAnsi" w:cstheme="minorBidi"/>
          <w:sz w:val="22"/>
        </w:rPr>
        <w:t xml:space="preserve"> and</w:t>
      </w:r>
      <w:r w:rsidRPr="5CCDE20D">
        <w:rPr>
          <w:rFonts w:asciiTheme="minorHAnsi" w:eastAsiaTheme="minorEastAsia" w:hAnsiTheme="minorHAnsi" w:cstheme="minorBidi"/>
          <w:sz w:val="22"/>
        </w:rPr>
        <w:t xml:space="preserve"> Tomlinson P (2009)</w:t>
      </w:r>
      <w:r w:rsidR="00E7648B"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Becoming a teacher: Teachers’ experiences of initial teacher training, induction and early professional development</w:t>
      </w:r>
      <w:r w:rsidR="00E7648B"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 xml:space="preserve"> Research Report No DCSF-RR115</w:t>
      </w:r>
      <w:r w:rsidR="00E7648B"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Department for Children, Schools and Families</w:t>
      </w:r>
      <w:r w:rsidR="00280BDC" w:rsidRPr="5CCDE20D">
        <w:rPr>
          <w:rFonts w:asciiTheme="minorHAnsi" w:eastAsiaTheme="minorEastAsia" w:hAnsiTheme="minorHAnsi" w:cstheme="minorBidi"/>
          <w:sz w:val="22"/>
        </w:rPr>
        <w:t>.</w:t>
      </w:r>
    </w:p>
    <w:p w14:paraId="54085008" w14:textId="1C6664CB"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t>Hodgen</w:t>
      </w:r>
      <w:proofErr w:type="spellEnd"/>
      <w:r w:rsidRPr="5CCDE20D">
        <w:rPr>
          <w:sz w:val="22"/>
          <w:szCs w:val="22"/>
        </w:rPr>
        <w:t xml:space="preserve"> J, Foster C, Marks R and Brown M (2018) ‘Evidence for Review of Mathematics Teaching: Improving Mathematics in Key Stages Two and Three: Evidence Review’,</w:t>
      </w:r>
      <w:r w:rsidR="008B776F" w:rsidRPr="5CCDE20D">
        <w:rPr>
          <w:sz w:val="22"/>
          <w:szCs w:val="22"/>
        </w:rPr>
        <w:t xml:space="preserve"> </w:t>
      </w:r>
      <w:r w:rsidRPr="5CCDE20D">
        <w:rPr>
          <w:sz w:val="22"/>
          <w:szCs w:val="22"/>
        </w:rPr>
        <w:t xml:space="preserve">Education Endowment Foundation, </w:t>
      </w:r>
      <w:r w:rsidR="008B776F" w:rsidRPr="5CCDE20D">
        <w:rPr>
          <w:sz w:val="22"/>
          <w:szCs w:val="22"/>
        </w:rPr>
        <w:t>London.</w:t>
      </w:r>
    </w:p>
    <w:p w14:paraId="5DF31793" w14:textId="50E578B6"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Howard-Jones PA (2014) ‘Neuroscience and education: myths and messages’, Nature Reviews Neuroscience, 15(12)</w:t>
      </w:r>
      <w:r w:rsidR="009C07B1" w:rsidRPr="5CCDE20D">
        <w:rPr>
          <w:sz w:val="22"/>
          <w:szCs w:val="22"/>
        </w:rPr>
        <w:t>, pp.</w:t>
      </w:r>
      <w:r w:rsidRPr="5CCDE20D">
        <w:rPr>
          <w:sz w:val="22"/>
          <w:szCs w:val="22"/>
        </w:rPr>
        <w:t>817–824</w:t>
      </w:r>
      <w:r w:rsidR="00180C88" w:rsidRPr="5CCDE20D">
        <w:rPr>
          <w:sz w:val="22"/>
          <w:szCs w:val="22"/>
        </w:rPr>
        <w:t>.</w:t>
      </w:r>
    </w:p>
    <w:p w14:paraId="51DC45FB" w14:textId="411A1300"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lang w:eastAsia="en-AU"/>
        </w:rPr>
      </w:pPr>
      <w:r w:rsidRPr="5CCDE20D">
        <w:rPr>
          <w:rFonts w:asciiTheme="minorHAnsi" w:eastAsiaTheme="minorEastAsia" w:hAnsiTheme="minorHAnsi" w:cstheme="minorBidi"/>
          <w:sz w:val="22"/>
        </w:rPr>
        <w:t>Hudson</w:t>
      </w:r>
      <w:r w:rsidR="009C07B1"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S</w:t>
      </w:r>
      <w:r w:rsidR="009C07B1" w:rsidRPr="5CCDE20D">
        <w:rPr>
          <w:rFonts w:asciiTheme="minorHAnsi" w:eastAsiaTheme="minorEastAsia" w:hAnsiTheme="minorHAnsi" w:cstheme="minorBidi"/>
          <w:sz w:val="22"/>
        </w:rPr>
        <w:t xml:space="preserve"> and</w:t>
      </w:r>
      <w:r w:rsidRPr="5CCDE20D">
        <w:rPr>
          <w:rFonts w:asciiTheme="minorHAnsi" w:eastAsiaTheme="minorEastAsia" w:hAnsiTheme="minorHAnsi" w:cstheme="minorBidi"/>
          <w:sz w:val="22"/>
        </w:rPr>
        <w:t xml:space="preserve"> Hudson P (2013) </w:t>
      </w:r>
      <w:proofErr w:type="spellStart"/>
      <w:r w:rsidR="009C07B1"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Re</w:t>
      </w:r>
      <w:proofErr w:type="spellEnd"/>
      <w:r w:rsidRPr="5CCDE20D">
        <w:rPr>
          <w:rFonts w:asciiTheme="minorHAnsi" w:eastAsiaTheme="minorEastAsia" w:hAnsiTheme="minorHAnsi" w:cstheme="minorBidi"/>
          <w:sz w:val="22"/>
        </w:rPr>
        <w:t>-structuring preservice teacher education: Introducing the School-Community Integrated Learning (SCIL) pathway</w:t>
      </w:r>
      <w:r w:rsidR="009C07B1"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 xml:space="preserve"> Journal of Education and Learning, 2(1), </w:t>
      </w:r>
      <w:r w:rsidR="009C07B1" w:rsidRPr="5CCDE20D">
        <w:rPr>
          <w:rFonts w:asciiTheme="minorHAnsi" w:eastAsiaTheme="minorEastAsia" w:hAnsiTheme="minorHAnsi" w:cstheme="minorBidi"/>
          <w:sz w:val="22"/>
        </w:rPr>
        <w:t>pp.</w:t>
      </w:r>
      <w:r w:rsidRPr="5CCDE20D">
        <w:rPr>
          <w:rFonts w:asciiTheme="minorHAnsi" w:eastAsiaTheme="minorEastAsia" w:hAnsiTheme="minorHAnsi" w:cstheme="minorBidi"/>
          <w:sz w:val="22"/>
        </w:rPr>
        <w:t>9-19.</w:t>
      </w:r>
    </w:p>
    <w:p w14:paraId="0A759763" w14:textId="5DF612DE"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Hughes CA, Morris JR, Therrien WJ and Benson SK (2017) ‘Explicit instruction: Historical and contemporary contexts’, Learning Disabilities Research &amp; Practice, 32(3)</w:t>
      </w:r>
      <w:r w:rsidR="00413F97" w:rsidRPr="5CCDE20D">
        <w:rPr>
          <w:sz w:val="22"/>
          <w:szCs w:val="22"/>
        </w:rPr>
        <w:t>, pp.</w:t>
      </w:r>
      <w:r w:rsidRPr="5CCDE20D">
        <w:rPr>
          <w:sz w:val="22"/>
          <w:szCs w:val="22"/>
        </w:rPr>
        <w:t>140–148</w:t>
      </w:r>
      <w:r w:rsidR="00180C88" w:rsidRPr="5CCDE20D">
        <w:rPr>
          <w:sz w:val="22"/>
          <w:szCs w:val="22"/>
        </w:rPr>
        <w:t>.</w:t>
      </w:r>
    </w:p>
    <w:p w14:paraId="16214A4C" w14:textId="53C600BC" w:rsidR="00C85C8D" w:rsidRPr="00D73D0F" w:rsidRDefault="00C85C8D" w:rsidP="00242E7E">
      <w:pPr>
        <w:pStyle w:val="ListParagraph"/>
        <w:numPr>
          <w:ilvl w:val="0"/>
          <w:numId w:val="34"/>
        </w:numPr>
        <w:spacing w:after="60"/>
        <w:contextualSpacing w:val="0"/>
        <w:rPr>
          <w:rFonts w:cstheme="minorHAnsi"/>
          <w:sz w:val="22"/>
          <w:szCs w:val="22"/>
        </w:rPr>
      </w:pPr>
      <w:r w:rsidRPr="5CCDE20D">
        <w:rPr>
          <w:sz w:val="22"/>
          <w:szCs w:val="22"/>
        </w:rPr>
        <w:t>Hurst</w:t>
      </w:r>
      <w:r w:rsidR="0058314A" w:rsidRPr="5CCDE20D">
        <w:rPr>
          <w:sz w:val="22"/>
          <w:szCs w:val="22"/>
        </w:rPr>
        <w:t xml:space="preserve"> C</w:t>
      </w:r>
      <w:r w:rsidR="000678ED" w:rsidRPr="5CCDE20D">
        <w:rPr>
          <w:sz w:val="22"/>
          <w:szCs w:val="22"/>
        </w:rPr>
        <w:t xml:space="preserve"> and Hurrell D</w:t>
      </w:r>
      <w:r w:rsidR="0095174A" w:rsidRPr="5CCDE20D">
        <w:rPr>
          <w:sz w:val="22"/>
          <w:szCs w:val="22"/>
        </w:rPr>
        <w:t xml:space="preserve"> (</w:t>
      </w:r>
      <w:r w:rsidR="00016272" w:rsidRPr="5CCDE20D">
        <w:rPr>
          <w:sz w:val="22"/>
          <w:szCs w:val="22"/>
        </w:rPr>
        <w:t>2014), ‘Developing the Big Ideas of Number’</w:t>
      </w:r>
      <w:r w:rsidR="00B7677C" w:rsidRPr="5CCDE20D">
        <w:rPr>
          <w:sz w:val="22"/>
          <w:szCs w:val="22"/>
        </w:rPr>
        <w:t>,</w:t>
      </w:r>
      <w:r w:rsidR="004B3C0E" w:rsidRPr="5CCDE20D">
        <w:rPr>
          <w:sz w:val="22"/>
          <w:szCs w:val="22"/>
        </w:rPr>
        <w:t xml:space="preserve"> International Journal of International Studies in Mathematics.</w:t>
      </w:r>
    </w:p>
    <w:p w14:paraId="5C3D6557" w14:textId="600DE954"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lang w:val="en-US"/>
        </w:rPr>
      </w:pPr>
      <w:r w:rsidRPr="5CCDE20D">
        <w:rPr>
          <w:rFonts w:asciiTheme="minorHAnsi" w:eastAsiaTheme="minorEastAsia" w:hAnsiTheme="minorHAnsi" w:cstheme="minorBidi"/>
          <w:sz w:val="22"/>
          <w:lang w:val="en-US"/>
        </w:rPr>
        <w:t>Ingersoll</w:t>
      </w:r>
      <w:r w:rsidR="00FB2CB4"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R</w:t>
      </w:r>
      <w:r w:rsidR="00FB2CB4" w:rsidRPr="5CCDE20D">
        <w:rPr>
          <w:rFonts w:asciiTheme="minorHAnsi" w:eastAsiaTheme="minorEastAsia" w:hAnsiTheme="minorHAnsi" w:cstheme="minorBidi"/>
          <w:sz w:val="22"/>
          <w:lang w:val="en-US"/>
        </w:rPr>
        <w:t>,</w:t>
      </w:r>
      <w:r w:rsidRPr="5CCDE20D">
        <w:rPr>
          <w:rFonts w:asciiTheme="minorHAnsi" w:eastAsiaTheme="minorEastAsia" w:hAnsiTheme="minorHAnsi" w:cstheme="minorBidi"/>
          <w:sz w:val="22"/>
          <w:lang w:val="en-US"/>
        </w:rPr>
        <w:t xml:space="preserve"> May H</w:t>
      </w:r>
      <w:r w:rsidR="00FB2CB4" w:rsidRPr="5CCDE20D">
        <w:rPr>
          <w:rFonts w:asciiTheme="minorHAnsi" w:eastAsiaTheme="minorEastAsia" w:hAnsiTheme="minorHAnsi" w:cstheme="minorBidi"/>
          <w:sz w:val="22"/>
          <w:lang w:val="en-US"/>
        </w:rPr>
        <w:t xml:space="preserve"> and</w:t>
      </w:r>
      <w:r w:rsidRPr="5CCDE20D">
        <w:rPr>
          <w:rFonts w:asciiTheme="minorHAnsi" w:eastAsiaTheme="minorEastAsia" w:hAnsiTheme="minorHAnsi" w:cstheme="minorBidi"/>
          <w:sz w:val="22"/>
          <w:lang w:val="en-US"/>
        </w:rPr>
        <w:t xml:space="preserve"> Collins G (2019) </w:t>
      </w:r>
      <w:r w:rsidR="00FB2CB4" w:rsidRPr="5CCDE20D">
        <w:rPr>
          <w:rFonts w:asciiTheme="minorHAnsi" w:eastAsiaTheme="minorEastAsia" w:hAnsiTheme="minorHAnsi" w:cstheme="minorBidi"/>
          <w:sz w:val="22"/>
          <w:lang w:val="en-US"/>
        </w:rPr>
        <w:t>‘</w:t>
      </w:r>
      <w:r w:rsidRPr="5CCDE20D">
        <w:rPr>
          <w:rFonts w:asciiTheme="minorHAnsi" w:eastAsiaTheme="minorEastAsia" w:hAnsiTheme="minorHAnsi" w:cstheme="minorBidi"/>
          <w:sz w:val="22"/>
          <w:lang w:val="en-US"/>
        </w:rPr>
        <w:t>Recruitment, employment, retention and the minority teacher shortage</w:t>
      </w:r>
      <w:r w:rsidR="00FB2CB4"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 xml:space="preserve">Education Policy Analysis Archives, 27(37), </w:t>
      </w:r>
      <w:r w:rsidR="00FB2CB4" w:rsidRPr="5CCDE20D">
        <w:rPr>
          <w:rFonts w:asciiTheme="minorHAnsi" w:eastAsiaTheme="minorEastAsia" w:hAnsiTheme="minorHAnsi" w:cstheme="minorBidi"/>
          <w:sz w:val="22"/>
          <w:lang w:val="en-US"/>
        </w:rPr>
        <w:t>pp.</w:t>
      </w:r>
      <w:r w:rsidRPr="5CCDE20D">
        <w:rPr>
          <w:rFonts w:asciiTheme="minorHAnsi" w:eastAsiaTheme="minorEastAsia" w:hAnsiTheme="minorHAnsi" w:cstheme="minorBidi"/>
          <w:sz w:val="22"/>
          <w:lang w:val="en-US"/>
        </w:rPr>
        <w:t>1-42</w:t>
      </w:r>
      <w:r w:rsidR="00FB2CB4" w:rsidRPr="5CCDE20D">
        <w:rPr>
          <w:rFonts w:asciiTheme="minorHAnsi" w:eastAsiaTheme="minorEastAsia" w:hAnsiTheme="minorHAnsi" w:cstheme="minorBidi"/>
          <w:sz w:val="22"/>
          <w:lang w:val="en-US"/>
        </w:rPr>
        <w:t>.</w:t>
      </w:r>
    </w:p>
    <w:p w14:paraId="3A65932C" w14:textId="35A134C0"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Kang S (2016) ‘Spaced Repetition Promotes Efficient and Effective Learning: Policy Implications for Instruction’, Policy Insights from the </w:t>
      </w:r>
      <w:proofErr w:type="spellStart"/>
      <w:r w:rsidRPr="5CCDE20D">
        <w:rPr>
          <w:sz w:val="22"/>
          <w:szCs w:val="22"/>
        </w:rPr>
        <w:t>Behavioral</w:t>
      </w:r>
      <w:proofErr w:type="spellEnd"/>
      <w:r w:rsidRPr="5CCDE20D">
        <w:rPr>
          <w:sz w:val="22"/>
          <w:szCs w:val="22"/>
        </w:rPr>
        <w:t xml:space="preserve"> and Brain Sciences, 3</w:t>
      </w:r>
      <w:r w:rsidR="00180C88" w:rsidRPr="5CCDE20D">
        <w:rPr>
          <w:sz w:val="22"/>
          <w:szCs w:val="22"/>
        </w:rPr>
        <w:t>.</w:t>
      </w:r>
    </w:p>
    <w:p w14:paraId="65CBCD48" w14:textId="129580BC"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Kirschner P and Hendrick C (2020) </w:t>
      </w:r>
      <w:r w:rsidR="00FB2CB4" w:rsidRPr="5CCDE20D">
        <w:rPr>
          <w:sz w:val="22"/>
          <w:szCs w:val="22"/>
        </w:rPr>
        <w:t>‘</w:t>
      </w:r>
      <w:r w:rsidRPr="5CCDE20D">
        <w:rPr>
          <w:sz w:val="22"/>
          <w:szCs w:val="22"/>
        </w:rPr>
        <w:t>How Learning Happens: Seminal Works in Educational Psychology and What They Mean in Practice</w:t>
      </w:r>
      <w:r w:rsidR="00FB2CB4" w:rsidRPr="5CCDE20D">
        <w:rPr>
          <w:sz w:val="22"/>
          <w:szCs w:val="22"/>
        </w:rPr>
        <w:t>’</w:t>
      </w:r>
      <w:r w:rsidRPr="5CCDE20D">
        <w:rPr>
          <w:sz w:val="22"/>
          <w:szCs w:val="22"/>
        </w:rPr>
        <w:t>, Routledge, London</w:t>
      </w:r>
      <w:r w:rsidR="00180C88" w:rsidRPr="5CCDE20D">
        <w:rPr>
          <w:sz w:val="22"/>
          <w:szCs w:val="22"/>
        </w:rPr>
        <w:t>.</w:t>
      </w:r>
    </w:p>
    <w:p w14:paraId="568F3C3D" w14:textId="04ED1357"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Kirschner PA, </w:t>
      </w:r>
      <w:proofErr w:type="spellStart"/>
      <w:r w:rsidRPr="5CCDE20D">
        <w:rPr>
          <w:sz w:val="22"/>
          <w:szCs w:val="22"/>
        </w:rPr>
        <w:t>Sweller</w:t>
      </w:r>
      <w:proofErr w:type="spellEnd"/>
      <w:r w:rsidRPr="5CCDE20D">
        <w:rPr>
          <w:sz w:val="22"/>
          <w:szCs w:val="22"/>
        </w:rPr>
        <w:t xml:space="preserve"> J and Clark RE (2006) ‘Why minimal guidance during instruction does not work: an analysis of the failure of constructivist, discovery, problem-based, experiential, and inquiry-based teaching’, Educational Psychologist, 41(2)</w:t>
      </w:r>
      <w:r w:rsidR="00FB2CB4" w:rsidRPr="5CCDE20D">
        <w:rPr>
          <w:sz w:val="22"/>
          <w:szCs w:val="22"/>
        </w:rPr>
        <w:t>, pp.</w:t>
      </w:r>
      <w:r w:rsidRPr="5CCDE20D">
        <w:rPr>
          <w:sz w:val="22"/>
          <w:szCs w:val="22"/>
        </w:rPr>
        <w:t>75–86</w:t>
      </w:r>
      <w:r w:rsidR="00180C88" w:rsidRPr="5CCDE20D">
        <w:rPr>
          <w:sz w:val="22"/>
          <w:szCs w:val="22"/>
        </w:rPr>
        <w:t>.</w:t>
      </w:r>
    </w:p>
    <w:p w14:paraId="5006DE61" w14:textId="40819A63"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Lane R, </w:t>
      </w:r>
      <w:proofErr w:type="spellStart"/>
      <w:r w:rsidRPr="5CCDE20D">
        <w:rPr>
          <w:sz w:val="22"/>
          <w:szCs w:val="22"/>
        </w:rPr>
        <w:t>Parrila</w:t>
      </w:r>
      <w:proofErr w:type="spellEnd"/>
      <w:r w:rsidRPr="5CCDE20D">
        <w:rPr>
          <w:sz w:val="22"/>
          <w:szCs w:val="22"/>
        </w:rPr>
        <w:t xml:space="preserve"> R, Bower M, Bull R, Cavanagh M, Forbes A, Jones T, </w:t>
      </w:r>
      <w:proofErr w:type="spellStart"/>
      <w:r w:rsidRPr="5CCDE20D">
        <w:rPr>
          <w:sz w:val="22"/>
          <w:szCs w:val="22"/>
        </w:rPr>
        <w:t>Pellicano</w:t>
      </w:r>
      <w:proofErr w:type="spellEnd"/>
      <w:r w:rsidRPr="5CCDE20D">
        <w:rPr>
          <w:sz w:val="22"/>
          <w:szCs w:val="22"/>
        </w:rPr>
        <w:t xml:space="preserve"> L, Powell S, Ryan M and </w:t>
      </w:r>
      <w:proofErr w:type="spellStart"/>
      <w:r w:rsidRPr="5CCDE20D">
        <w:rPr>
          <w:sz w:val="22"/>
          <w:szCs w:val="22"/>
        </w:rPr>
        <w:t>Khosronejad</w:t>
      </w:r>
      <w:proofErr w:type="spellEnd"/>
      <w:r w:rsidRPr="5CCDE20D">
        <w:rPr>
          <w:sz w:val="22"/>
          <w:szCs w:val="22"/>
        </w:rPr>
        <w:t xml:space="preserve"> M (2019) </w:t>
      </w:r>
      <w:r w:rsidR="00FB2CB4" w:rsidRPr="5CCDE20D">
        <w:rPr>
          <w:sz w:val="22"/>
          <w:szCs w:val="22"/>
        </w:rPr>
        <w:t>‘</w:t>
      </w:r>
      <w:r w:rsidRPr="5CCDE20D">
        <w:rPr>
          <w:sz w:val="22"/>
          <w:szCs w:val="22"/>
        </w:rPr>
        <w:t>Formative Assessment Evidence and Practice Literature Review</w:t>
      </w:r>
      <w:r w:rsidR="00FB2CB4" w:rsidRPr="5CCDE20D">
        <w:rPr>
          <w:sz w:val="22"/>
          <w:szCs w:val="22"/>
        </w:rPr>
        <w:t>’</w:t>
      </w:r>
      <w:r w:rsidR="009D1527" w:rsidRPr="5CCDE20D">
        <w:rPr>
          <w:sz w:val="22"/>
          <w:szCs w:val="22"/>
        </w:rPr>
        <w:t>,</w:t>
      </w:r>
      <w:r w:rsidR="00FB2CB4" w:rsidRPr="5CCDE20D">
        <w:rPr>
          <w:sz w:val="22"/>
          <w:szCs w:val="22"/>
        </w:rPr>
        <w:t xml:space="preserve"> Australian Institute for Teaching and School Leadership</w:t>
      </w:r>
      <w:r w:rsidRPr="5CCDE20D">
        <w:rPr>
          <w:sz w:val="22"/>
          <w:szCs w:val="22"/>
        </w:rPr>
        <w:t xml:space="preserve"> </w:t>
      </w:r>
      <w:r w:rsidR="00FB2CB4" w:rsidRPr="5CCDE20D">
        <w:rPr>
          <w:sz w:val="22"/>
          <w:szCs w:val="22"/>
        </w:rPr>
        <w:t>(</w:t>
      </w:r>
      <w:r w:rsidRPr="5CCDE20D">
        <w:rPr>
          <w:sz w:val="22"/>
          <w:szCs w:val="22"/>
        </w:rPr>
        <w:t>AITSL</w:t>
      </w:r>
      <w:r w:rsidR="00FB2CB4" w:rsidRPr="5CCDE20D">
        <w:rPr>
          <w:sz w:val="22"/>
          <w:szCs w:val="22"/>
        </w:rPr>
        <w:t>),</w:t>
      </w:r>
      <w:r w:rsidRPr="5CCDE20D">
        <w:rPr>
          <w:sz w:val="22"/>
          <w:szCs w:val="22"/>
        </w:rPr>
        <w:t xml:space="preserve"> Melbourne</w:t>
      </w:r>
      <w:r w:rsidR="00FB2CB4" w:rsidRPr="5CCDE20D">
        <w:rPr>
          <w:sz w:val="22"/>
          <w:szCs w:val="22"/>
        </w:rPr>
        <w:t>.</w:t>
      </w:r>
    </w:p>
    <w:p w14:paraId="5D834E09" w14:textId="49D37714" w:rsidR="00CC6C38" w:rsidRPr="00D73D0F" w:rsidRDefault="00CC6C38" w:rsidP="007D6F33">
      <w:pPr>
        <w:pStyle w:val="ListParagraph"/>
        <w:numPr>
          <w:ilvl w:val="0"/>
          <w:numId w:val="34"/>
        </w:numPr>
        <w:spacing w:after="60"/>
        <w:contextualSpacing w:val="0"/>
        <w:rPr>
          <w:rFonts w:cstheme="minorHAnsi"/>
          <w:sz w:val="22"/>
          <w:szCs w:val="22"/>
        </w:rPr>
      </w:pPr>
      <w:r w:rsidRPr="5CCDE20D">
        <w:rPr>
          <w:rFonts w:eastAsiaTheme="minorEastAsia"/>
          <w:color w:val="000000" w:themeColor="text1"/>
          <w:sz w:val="22"/>
          <w:szCs w:val="22"/>
          <w:lang w:eastAsia="en-AU"/>
        </w:rPr>
        <w:t xml:space="preserve">Le </w:t>
      </w:r>
      <w:proofErr w:type="spellStart"/>
      <w:r w:rsidRPr="5CCDE20D">
        <w:rPr>
          <w:rFonts w:eastAsiaTheme="minorEastAsia"/>
          <w:color w:val="000000" w:themeColor="text1"/>
          <w:sz w:val="22"/>
          <w:szCs w:val="22"/>
          <w:lang w:eastAsia="en-AU"/>
        </w:rPr>
        <w:t>Cornu</w:t>
      </w:r>
      <w:proofErr w:type="spellEnd"/>
      <w:r w:rsidR="00777BF7" w:rsidRPr="5CCDE20D">
        <w:rPr>
          <w:rFonts w:eastAsiaTheme="minorEastAsia"/>
          <w:color w:val="000000" w:themeColor="text1"/>
          <w:sz w:val="22"/>
          <w:szCs w:val="22"/>
          <w:lang w:eastAsia="en-AU"/>
        </w:rPr>
        <w:t xml:space="preserve"> </w:t>
      </w:r>
      <w:r w:rsidRPr="5CCDE20D">
        <w:rPr>
          <w:rFonts w:eastAsiaTheme="minorEastAsia"/>
          <w:color w:val="000000" w:themeColor="text1"/>
          <w:sz w:val="22"/>
          <w:szCs w:val="22"/>
          <w:lang w:eastAsia="en-AU"/>
        </w:rPr>
        <w:t>R (2015) ‘Key components of effective professional experience in initial teacher education in Australia’,</w:t>
      </w:r>
      <w:r w:rsidRPr="5CCDE20D">
        <w:rPr>
          <w:rFonts w:eastAsiaTheme="minorEastAsia"/>
          <w:sz w:val="22"/>
          <w:szCs w:val="22"/>
        </w:rPr>
        <w:t xml:space="preserve"> Australian Institute for Teaching and School Leadership (AITSL)</w:t>
      </w:r>
      <w:r w:rsidR="00734D92" w:rsidRPr="5CCDE20D">
        <w:rPr>
          <w:sz w:val="22"/>
          <w:szCs w:val="22"/>
        </w:rPr>
        <w:t>.</w:t>
      </w:r>
    </w:p>
    <w:p w14:paraId="328E107F" w14:textId="2262BE42"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lastRenderedPageBreak/>
        <w:t xml:space="preserve">Lindsay G and Thompson DA (1997) </w:t>
      </w:r>
      <w:r w:rsidR="00734D92" w:rsidRPr="5CCDE20D">
        <w:rPr>
          <w:sz w:val="22"/>
          <w:szCs w:val="22"/>
        </w:rPr>
        <w:t>‘</w:t>
      </w:r>
      <w:r w:rsidRPr="5CCDE20D">
        <w:rPr>
          <w:sz w:val="22"/>
          <w:szCs w:val="22"/>
        </w:rPr>
        <w:t>Values Into Practice in Special Education</w:t>
      </w:r>
      <w:r w:rsidR="00734D92" w:rsidRPr="5CCDE20D">
        <w:rPr>
          <w:sz w:val="22"/>
          <w:szCs w:val="22"/>
        </w:rPr>
        <w:t>’</w:t>
      </w:r>
      <w:r w:rsidRPr="5CCDE20D">
        <w:rPr>
          <w:sz w:val="22"/>
          <w:szCs w:val="22"/>
        </w:rPr>
        <w:t>, D. Fulton Publishers</w:t>
      </w:r>
      <w:r w:rsidR="005736F7" w:rsidRPr="5CCDE20D">
        <w:rPr>
          <w:sz w:val="22"/>
          <w:szCs w:val="22"/>
        </w:rPr>
        <w:t>.</w:t>
      </w:r>
    </w:p>
    <w:p w14:paraId="0F1BA923" w14:textId="2CA5513B" w:rsidR="005545CE" w:rsidRPr="00D73D0F" w:rsidRDefault="005545CE" w:rsidP="007D6F33">
      <w:pPr>
        <w:pStyle w:val="ListParagraph"/>
        <w:numPr>
          <w:ilvl w:val="0"/>
          <w:numId w:val="34"/>
        </w:numPr>
        <w:autoSpaceDE w:val="0"/>
        <w:autoSpaceDN w:val="0"/>
        <w:adjustRightInd w:val="0"/>
        <w:spacing w:after="60"/>
        <w:contextualSpacing w:val="0"/>
        <w:rPr>
          <w:rFonts w:eastAsiaTheme="minorEastAsia" w:cstheme="minorHAnsi"/>
          <w:sz w:val="22"/>
          <w:szCs w:val="22"/>
        </w:rPr>
      </w:pPr>
      <w:r w:rsidRPr="5CCDE20D">
        <w:rPr>
          <w:rFonts w:eastAsiaTheme="minorEastAsia"/>
          <w:sz w:val="22"/>
          <w:szCs w:val="22"/>
        </w:rPr>
        <w:t>Mancenido Z (2021) 'How High Achievers Learn That They Should Not Become Teachers', Harvard Educational Review, 91(4)</w:t>
      </w:r>
      <w:r w:rsidR="005736F7" w:rsidRPr="5CCDE20D">
        <w:rPr>
          <w:rFonts w:eastAsiaTheme="minorEastAsia"/>
          <w:sz w:val="22"/>
          <w:szCs w:val="22"/>
        </w:rPr>
        <w:t>, pp.</w:t>
      </w:r>
      <w:r w:rsidRPr="5CCDE20D">
        <w:rPr>
          <w:rFonts w:eastAsiaTheme="minorEastAsia"/>
          <w:sz w:val="22"/>
          <w:szCs w:val="22"/>
        </w:rPr>
        <w:t xml:space="preserve">433-456. </w:t>
      </w:r>
    </w:p>
    <w:p w14:paraId="333464C1" w14:textId="59E1716F"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Martin AJ and Evans P (2018) ‘Load reduction instruction: Exploring a framework that assesses explicit instruction through to independent learning’, Teaching and Teacher Education, 73</w:t>
      </w:r>
      <w:r w:rsidR="00CB0ECD" w:rsidRPr="5CCDE20D">
        <w:rPr>
          <w:sz w:val="22"/>
          <w:szCs w:val="22"/>
        </w:rPr>
        <w:t>, pp.</w:t>
      </w:r>
      <w:r w:rsidRPr="5CCDE20D">
        <w:rPr>
          <w:sz w:val="22"/>
          <w:szCs w:val="22"/>
        </w:rPr>
        <w:t>203–214</w:t>
      </w:r>
      <w:r w:rsidR="00180C88" w:rsidRPr="5CCDE20D">
        <w:rPr>
          <w:sz w:val="22"/>
          <w:szCs w:val="22"/>
        </w:rPr>
        <w:t>.</w:t>
      </w:r>
    </w:p>
    <w:p w14:paraId="7C0A0D10" w14:textId="1FDFF416" w:rsidR="005545CE" w:rsidRPr="00D73D0F" w:rsidRDefault="005545CE" w:rsidP="007D6F33">
      <w:pPr>
        <w:pStyle w:val="References"/>
        <w:numPr>
          <w:ilvl w:val="0"/>
          <w:numId w:val="34"/>
        </w:numPr>
        <w:spacing w:line="240" w:lineRule="auto"/>
        <w:rPr>
          <w:rFonts w:asciiTheme="minorHAnsi" w:eastAsiaTheme="minorEastAsia" w:hAnsiTheme="minorHAnsi" w:cstheme="minorHAnsi"/>
          <w:b/>
          <w:sz w:val="22"/>
        </w:rPr>
      </w:pPr>
      <w:r w:rsidRPr="5CCDE20D">
        <w:rPr>
          <w:rFonts w:asciiTheme="minorHAnsi" w:eastAsiaTheme="minorEastAsia" w:hAnsiTheme="minorHAnsi" w:cstheme="minorBidi"/>
          <w:sz w:val="22"/>
        </w:rPr>
        <w:t>Mayer</w:t>
      </w:r>
      <w:r w:rsidR="00CB0ECD"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D, Dixon</w:t>
      </w:r>
      <w:r w:rsidR="00CB0ECD"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M, Kline</w:t>
      </w:r>
      <w:r w:rsidR="00CB0ECD"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 xml:space="preserve">J, </w:t>
      </w:r>
      <w:proofErr w:type="spellStart"/>
      <w:r w:rsidRPr="5CCDE20D">
        <w:rPr>
          <w:rFonts w:asciiTheme="minorHAnsi" w:eastAsiaTheme="minorEastAsia" w:hAnsiTheme="minorHAnsi" w:cstheme="minorBidi"/>
          <w:sz w:val="22"/>
        </w:rPr>
        <w:t>Kostogriz</w:t>
      </w:r>
      <w:proofErr w:type="spellEnd"/>
      <w:r w:rsidRPr="5CCDE20D">
        <w:rPr>
          <w:rFonts w:asciiTheme="minorHAnsi" w:eastAsiaTheme="minorEastAsia" w:hAnsiTheme="minorHAnsi" w:cstheme="minorBidi"/>
          <w:sz w:val="22"/>
        </w:rPr>
        <w:t xml:space="preserve"> A, Moss</w:t>
      </w:r>
      <w:r w:rsidR="00CB0ECD"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J, Rowan</w:t>
      </w:r>
      <w:r w:rsidR="00CB0ECD"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L, Walker-Gibbs</w:t>
      </w:r>
      <w:r w:rsidR="00CB0ECD"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B</w:t>
      </w:r>
      <w:r w:rsidR="00CB0ECD" w:rsidRPr="5CCDE20D">
        <w:rPr>
          <w:rFonts w:asciiTheme="minorHAnsi" w:eastAsiaTheme="minorEastAsia" w:hAnsiTheme="minorHAnsi" w:cstheme="minorBidi"/>
          <w:sz w:val="22"/>
        </w:rPr>
        <w:t xml:space="preserve"> and</w:t>
      </w:r>
      <w:r w:rsidRPr="5CCDE20D">
        <w:rPr>
          <w:rFonts w:asciiTheme="minorHAnsi" w:eastAsiaTheme="minorEastAsia" w:hAnsiTheme="minorHAnsi" w:cstheme="minorBidi"/>
          <w:sz w:val="22"/>
        </w:rPr>
        <w:t xml:space="preserve"> White</w:t>
      </w:r>
      <w:r w:rsidR="00CB0ECD"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 xml:space="preserve">S (2017) </w:t>
      </w:r>
      <w:r w:rsidR="00CB0ECD"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Studying the effectiveness of teacher education: Early career teachers in diverse settings</w:t>
      </w:r>
      <w:r w:rsidR="00CB0ECD"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Springer.</w:t>
      </w:r>
    </w:p>
    <w:p w14:paraId="38A8EC69" w14:textId="029708AA"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5CCDE20D">
        <w:rPr>
          <w:rFonts w:asciiTheme="minorHAnsi" w:eastAsiaTheme="minorEastAsia" w:hAnsiTheme="minorHAnsi" w:cstheme="minorBidi"/>
          <w:sz w:val="22"/>
        </w:rPr>
        <w:t>McLennan</w:t>
      </w:r>
      <w:r w:rsidR="009F2AD7"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B, McIlveen</w:t>
      </w:r>
      <w:r w:rsidR="009F2AD7"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P</w:t>
      </w:r>
      <w:r w:rsidR="009F2AD7" w:rsidRPr="5CCDE20D">
        <w:rPr>
          <w:rFonts w:asciiTheme="minorHAnsi" w:eastAsiaTheme="minorEastAsia" w:hAnsiTheme="minorHAnsi" w:cstheme="minorBidi"/>
          <w:sz w:val="22"/>
        </w:rPr>
        <w:t xml:space="preserve"> and</w:t>
      </w:r>
      <w:r w:rsidRPr="5CCDE20D">
        <w:rPr>
          <w:rFonts w:asciiTheme="minorHAnsi" w:eastAsiaTheme="minorEastAsia" w:hAnsiTheme="minorHAnsi" w:cstheme="minorBidi"/>
          <w:sz w:val="22"/>
        </w:rPr>
        <w:t xml:space="preserve"> </w:t>
      </w:r>
      <w:proofErr w:type="spellStart"/>
      <w:r w:rsidRPr="5CCDE20D">
        <w:rPr>
          <w:rFonts w:asciiTheme="minorHAnsi" w:eastAsiaTheme="minorEastAsia" w:hAnsiTheme="minorHAnsi" w:cstheme="minorBidi"/>
          <w:sz w:val="22"/>
        </w:rPr>
        <w:t>Perera</w:t>
      </w:r>
      <w:proofErr w:type="spellEnd"/>
      <w:r w:rsidRPr="5CCDE20D">
        <w:rPr>
          <w:rFonts w:asciiTheme="minorHAnsi" w:eastAsiaTheme="minorEastAsia" w:hAnsiTheme="minorHAnsi" w:cstheme="minorBidi"/>
          <w:sz w:val="22"/>
        </w:rPr>
        <w:t>, HN (2017)</w:t>
      </w:r>
      <w:r w:rsidR="009F2AD7"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Pre-service teachers’ self-efficacy mediates the relationship between career adaptability and career optimism</w:t>
      </w:r>
      <w:r w:rsidR="009F2AD7"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 xml:space="preserve"> Teaching and Teacher Education, 63, </w:t>
      </w:r>
      <w:r w:rsidR="009F2AD7" w:rsidRPr="5CCDE20D">
        <w:rPr>
          <w:rFonts w:asciiTheme="minorHAnsi" w:eastAsiaTheme="minorEastAsia" w:hAnsiTheme="minorHAnsi" w:cstheme="minorBidi"/>
          <w:sz w:val="22"/>
        </w:rPr>
        <w:t>pp.</w:t>
      </w:r>
      <w:r w:rsidRPr="5CCDE20D">
        <w:rPr>
          <w:rFonts w:asciiTheme="minorHAnsi" w:eastAsiaTheme="minorEastAsia" w:hAnsiTheme="minorHAnsi" w:cstheme="minorBidi"/>
          <w:sz w:val="22"/>
        </w:rPr>
        <w:t xml:space="preserve">176–185. </w:t>
      </w:r>
    </w:p>
    <w:p w14:paraId="49608BFF" w14:textId="29858091" w:rsidR="000E1969" w:rsidRPr="00D73D0F" w:rsidRDefault="000E1969" w:rsidP="007D6F33">
      <w:pPr>
        <w:pStyle w:val="ListParagraph"/>
        <w:numPr>
          <w:ilvl w:val="0"/>
          <w:numId w:val="34"/>
        </w:numPr>
        <w:spacing w:after="60"/>
        <w:contextualSpacing w:val="0"/>
        <w:rPr>
          <w:rFonts w:cstheme="minorHAnsi"/>
          <w:sz w:val="22"/>
          <w:szCs w:val="22"/>
        </w:rPr>
      </w:pPr>
      <w:r w:rsidRPr="5CCDE20D">
        <w:rPr>
          <w:sz w:val="22"/>
          <w:szCs w:val="22"/>
        </w:rPr>
        <w:t xml:space="preserve">Moore D, Benham-Clarke S, </w:t>
      </w:r>
      <w:proofErr w:type="spellStart"/>
      <w:r w:rsidRPr="5CCDE20D">
        <w:rPr>
          <w:sz w:val="22"/>
          <w:szCs w:val="22"/>
        </w:rPr>
        <w:t>Kenchington</w:t>
      </w:r>
      <w:proofErr w:type="spellEnd"/>
      <w:r w:rsidRPr="5CCDE20D">
        <w:rPr>
          <w:sz w:val="22"/>
          <w:szCs w:val="22"/>
        </w:rPr>
        <w:t xml:space="preserve"> R, Boyle C, Ford T, Hayes R, and Rogers M (2019) ‘Improving Behaviour in Schools: Evidence Review’, Graduate School of Education, University of Exeter</w:t>
      </w:r>
      <w:r w:rsidR="00180C88" w:rsidRPr="5CCDE20D">
        <w:rPr>
          <w:sz w:val="22"/>
          <w:szCs w:val="22"/>
        </w:rPr>
        <w:t>.</w:t>
      </w:r>
    </w:p>
    <w:p w14:paraId="7600CB36" w14:textId="5444FA41"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Moreton-Robinson A, Singh D, </w:t>
      </w:r>
      <w:proofErr w:type="spellStart"/>
      <w:r w:rsidRPr="5CCDE20D">
        <w:rPr>
          <w:sz w:val="22"/>
          <w:szCs w:val="22"/>
        </w:rPr>
        <w:t>Kolopenuk</w:t>
      </w:r>
      <w:proofErr w:type="spellEnd"/>
      <w:r w:rsidRPr="5CCDE20D">
        <w:rPr>
          <w:sz w:val="22"/>
          <w:szCs w:val="22"/>
        </w:rPr>
        <w:t xml:space="preserve"> J and Robinson A (2012) </w:t>
      </w:r>
      <w:r w:rsidR="008E088D" w:rsidRPr="5CCDE20D">
        <w:rPr>
          <w:sz w:val="22"/>
          <w:szCs w:val="22"/>
        </w:rPr>
        <w:t>‘</w:t>
      </w:r>
      <w:r w:rsidRPr="5CCDE20D">
        <w:rPr>
          <w:sz w:val="22"/>
          <w:szCs w:val="22"/>
        </w:rPr>
        <w:t>Learning the Lessons: Preservice Teacher Preparation for Teaching Aboriginal and Torres Strait Islander Students</w:t>
      </w:r>
      <w:r w:rsidR="008E088D" w:rsidRPr="5CCDE20D">
        <w:rPr>
          <w:sz w:val="22"/>
          <w:szCs w:val="22"/>
        </w:rPr>
        <w:t>’</w:t>
      </w:r>
      <w:r w:rsidRPr="5CCDE20D">
        <w:rPr>
          <w:sz w:val="22"/>
          <w:szCs w:val="22"/>
        </w:rPr>
        <w:t>, Australian Institute for Teaching and School Leadership</w:t>
      </w:r>
      <w:r w:rsidR="008E088D" w:rsidRPr="5CCDE20D">
        <w:rPr>
          <w:sz w:val="22"/>
          <w:szCs w:val="22"/>
        </w:rPr>
        <w:t xml:space="preserve"> (AITSL)</w:t>
      </w:r>
      <w:r w:rsidR="007C3691" w:rsidRPr="5CCDE20D">
        <w:rPr>
          <w:sz w:val="22"/>
          <w:szCs w:val="22"/>
        </w:rPr>
        <w:t xml:space="preserve"> </w:t>
      </w:r>
      <w:r w:rsidRPr="5CCDE20D">
        <w:rPr>
          <w:sz w:val="22"/>
          <w:szCs w:val="22"/>
        </w:rPr>
        <w:t>in partnership with the Queensland University of Technology Indigenous Studies Research Network</w:t>
      </w:r>
      <w:r w:rsidR="001B60EF" w:rsidRPr="5CCDE20D">
        <w:rPr>
          <w:sz w:val="22"/>
          <w:szCs w:val="22"/>
        </w:rPr>
        <w:t>.</w:t>
      </w:r>
    </w:p>
    <w:p w14:paraId="1780D865" w14:textId="0F7D623E" w:rsidR="005545CE" w:rsidRPr="00D73D0F" w:rsidRDefault="005545CE" w:rsidP="007D6F33">
      <w:pPr>
        <w:pStyle w:val="CommentText"/>
        <w:numPr>
          <w:ilvl w:val="0"/>
          <w:numId w:val="34"/>
        </w:numPr>
        <w:spacing w:after="60"/>
        <w:rPr>
          <w:rFonts w:eastAsiaTheme="minorEastAsia" w:cstheme="minorHAnsi"/>
          <w:sz w:val="22"/>
          <w:szCs w:val="22"/>
        </w:rPr>
      </w:pPr>
      <w:r w:rsidRPr="5CCDE20D">
        <w:rPr>
          <w:rFonts w:eastAsiaTheme="minorEastAsia"/>
          <w:sz w:val="22"/>
          <w:szCs w:val="22"/>
        </w:rPr>
        <w:t>National Council o</w:t>
      </w:r>
      <w:r w:rsidR="007E0450" w:rsidRPr="5CCDE20D">
        <w:rPr>
          <w:rFonts w:eastAsiaTheme="minorEastAsia"/>
          <w:sz w:val="22"/>
          <w:szCs w:val="22"/>
        </w:rPr>
        <w:t>n</w:t>
      </w:r>
      <w:r w:rsidRPr="5CCDE20D">
        <w:rPr>
          <w:rFonts w:eastAsiaTheme="minorEastAsia"/>
          <w:sz w:val="22"/>
          <w:szCs w:val="22"/>
        </w:rPr>
        <w:t xml:space="preserve"> Teacher Quality (2022) </w:t>
      </w:r>
      <w:r w:rsidR="00163919" w:rsidRPr="5CCDE20D">
        <w:rPr>
          <w:rFonts w:eastAsiaTheme="minorEastAsia"/>
          <w:sz w:val="22"/>
          <w:szCs w:val="22"/>
        </w:rPr>
        <w:t>‘</w:t>
      </w:r>
      <w:r w:rsidRPr="5CCDE20D">
        <w:rPr>
          <w:rFonts w:eastAsiaTheme="minorEastAsia"/>
          <w:sz w:val="22"/>
          <w:szCs w:val="22"/>
        </w:rPr>
        <w:t>Elementary Mathematics</w:t>
      </w:r>
      <w:r w:rsidR="00163919" w:rsidRPr="5CCDE20D">
        <w:rPr>
          <w:rFonts w:eastAsiaTheme="minorEastAsia"/>
          <w:sz w:val="22"/>
          <w:szCs w:val="22"/>
        </w:rPr>
        <w:t>’</w:t>
      </w:r>
      <w:r w:rsidRPr="5CCDE20D">
        <w:rPr>
          <w:rFonts w:eastAsiaTheme="minorEastAsia"/>
          <w:sz w:val="22"/>
          <w:szCs w:val="22"/>
        </w:rPr>
        <w:t>, National Council on Teacher Quality</w:t>
      </w:r>
      <w:r w:rsidR="00B10302" w:rsidRPr="5CCDE20D">
        <w:rPr>
          <w:rFonts w:eastAsiaTheme="minorEastAsia"/>
          <w:sz w:val="22"/>
          <w:szCs w:val="22"/>
        </w:rPr>
        <w:t xml:space="preserve"> (NCTQ)</w:t>
      </w:r>
      <w:r w:rsidRPr="5CCDE20D">
        <w:rPr>
          <w:rFonts w:eastAsiaTheme="minorEastAsia"/>
          <w:sz w:val="22"/>
          <w:szCs w:val="22"/>
        </w:rPr>
        <w:t>, Washington DC</w:t>
      </w:r>
      <w:r w:rsidR="001B60EF" w:rsidRPr="5CCDE20D">
        <w:rPr>
          <w:rFonts w:eastAsiaTheme="minorEastAsia"/>
          <w:sz w:val="22"/>
          <w:szCs w:val="22"/>
        </w:rPr>
        <w:t>.</w:t>
      </w:r>
    </w:p>
    <w:p w14:paraId="44FA653F" w14:textId="5E14FEBD" w:rsidR="005545CE" w:rsidRPr="00D73D0F" w:rsidRDefault="005545CE" w:rsidP="007D6F33">
      <w:pPr>
        <w:pStyle w:val="ListParagraph"/>
        <w:numPr>
          <w:ilvl w:val="0"/>
          <w:numId w:val="34"/>
        </w:numPr>
        <w:spacing w:after="60"/>
        <w:contextualSpacing w:val="0"/>
        <w:textAlignment w:val="baseline"/>
        <w:rPr>
          <w:rFonts w:eastAsiaTheme="minorEastAsia" w:cstheme="minorHAnsi"/>
          <w:sz w:val="22"/>
          <w:szCs w:val="22"/>
          <w:lang w:eastAsia="en-AU"/>
        </w:rPr>
      </w:pPr>
      <w:r w:rsidRPr="5CCDE20D">
        <w:rPr>
          <w:rFonts w:eastAsiaTheme="minorEastAsia"/>
          <w:color w:val="000000" w:themeColor="text1"/>
          <w:sz w:val="22"/>
          <w:szCs w:val="22"/>
          <w:lang w:eastAsia="en-AU"/>
        </w:rPr>
        <w:t>National Skills Commission (</w:t>
      </w:r>
      <w:r w:rsidR="00882CD2" w:rsidRPr="5CCDE20D">
        <w:rPr>
          <w:rFonts w:eastAsiaTheme="minorEastAsia"/>
          <w:color w:val="000000" w:themeColor="text1"/>
          <w:sz w:val="22"/>
          <w:szCs w:val="22"/>
          <w:lang w:eastAsia="en-AU"/>
        </w:rPr>
        <w:t>2022)</w:t>
      </w:r>
      <w:r w:rsidRPr="5CCDE20D">
        <w:rPr>
          <w:rFonts w:eastAsiaTheme="minorEastAsia"/>
          <w:sz w:val="22"/>
          <w:szCs w:val="22"/>
          <w:lang w:eastAsia="en-AU"/>
        </w:rPr>
        <w:t xml:space="preserve"> ‘</w:t>
      </w:r>
      <w:r w:rsidR="00DF5348" w:rsidRPr="5CCDE20D">
        <w:rPr>
          <w:rFonts w:eastAsiaTheme="minorEastAsia"/>
          <w:sz w:val="22"/>
          <w:szCs w:val="22"/>
          <w:lang w:eastAsia="en-AU"/>
        </w:rPr>
        <w:t xml:space="preserve">2022 </w:t>
      </w:r>
      <w:r w:rsidRPr="5CCDE20D">
        <w:rPr>
          <w:rFonts w:eastAsiaTheme="minorEastAsia"/>
          <w:sz w:val="22"/>
          <w:szCs w:val="22"/>
          <w:lang w:eastAsia="en-AU"/>
        </w:rPr>
        <w:t xml:space="preserve">Skills Priority List - Key Findings report’, </w:t>
      </w:r>
      <w:r w:rsidR="001B53E1" w:rsidRPr="5CCDE20D">
        <w:rPr>
          <w:rFonts w:eastAsiaTheme="minorEastAsia"/>
          <w:sz w:val="22"/>
          <w:szCs w:val="22"/>
          <w:lang w:eastAsia="en-AU"/>
        </w:rPr>
        <w:t xml:space="preserve">Australian Government </w:t>
      </w:r>
      <w:r w:rsidRPr="5CCDE20D">
        <w:rPr>
          <w:rFonts w:eastAsiaTheme="minorEastAsia"/>
          <w:sz w:val="22"/>
          <w:szCs w:val="22"/>
          <w:lang w:eastAsia="en-AU"/>
        </w:rPr>
        <w:t>National Skills Commission</w:t>
      </w:r>
      <w:r w:rsidR="001B60EF" w:rsidRPr="5CCDE20D">
        <w:rPr>
          <w:rFonts w:eastAsiaTheme="minorEastAsia"/>
          <w:sz w:val="22"/>
          <w:szCs w:val="22"/>
          <w:lang w:eastAsia="en-AU"/>
        </w:rPr>
        <w:t>.</w:t>
      </w:r>
    </w:p>
    <w:p w14:paraId="550AF176" w14:textId="327BECD5" w:rsidR="005545CE" w:rsidRDefault="005545CE" w:rsidP="007D6F33">
      <w:pPr>
        <w:pStyle w:val="References"/>
        <w:numPr>
          <w:ilvl w:val="0"/>
          <w:numId w:val="34"/>
        </w:numPr>
        <w:spacing w:line="240" w:lineRule="auto"/>
        <w:rPr>
          <w:rFonts w:asciiTheme="minorHAnsi" w:eastAsiaTheme="minorEastAsia" w:hAnsiTheme="minorHAnsi" w:cstheme="minorBidi"/>
          <w:sz w:val="22"/>
        </w:rPr>
      </w:pPr>
      <w:r w:rsidRPr="5CCDE20D">
        <w:rPr>
          <w:rFonts w:asciiTheme="minorHAnsi" w:eastAsiaTheme="minorEastAsia" w:hAnsiTheme="minorHAnsi" w:cstheme="minorBidi"/>
          <w:sz w:val="22"/>
        </w:rPr>
        <w:t>Nelson</w:t>
      </w:r>
      <w:r w:rsidR="00DF5348"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 xml:space="preserve">B (2003) </w:t>
      </w:r>
      <w:r w:rsidR="00DF5348"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Our Universities: Backing Australia's Future</w:t>
      </w:r>
      <w:r w:rsidR="00DF5348" w:rsidRPr="5CCDE20D">
        <w:rPr>
          <w:rFonts w:asciiTheme="minorHAnsi" w:eastAsiaTheme="minorEastAsia" w:hAnsiTheme="minorHAnsi" w:cstheme="minorBidi"/>
          <w:sz w:val="22"/>
        </w:rPr>
        <w:t xml:space="preserve">’, </w:t>
      </w:r>
      <w:r w:rsidR="00762740" w:rsidRPr="5CCDE20D">
        <w:rPr>
          <w:rFonts w:asciiTheme="minorHAnsi" w:eastAsiaTheme="minorEastAsia" w:hAnsiTheme="minorHAnsi" w:cstheme="minorBidi"/>
          <w:sz w:val="22"/>
        </w:rPr>
        <w:t>Department of Education, Science and Training, Canberra.</w:t>
      </w:r>
    </w:p>
    <w:p w14:paraId="1ED58EB5" w14:textId="77777777" w:rsidR="00774374" w:rsidRPr="00D73D0F" w:rsidRDefault="00774374" w:rsidP="00774374">
      <w:pPr>
        <w:pStyle w:val="ListParagraph"/>
        <w:numPr>
          <w:ilvl w:val="0"/>
          <w:numId w:val="34"/>
        </w:numPr>
        <w:spacing w:after="60"/>
        <w:contextualSpacing w:val="0"/>
        <w:textAlignment w:val="baseline"/>
        <w:rPr>
          <w:rFonts w:eastAsiaTheme="minorEastAsia" w:cstheme="minorHAnsi"/>
          <w:color w:val="000000"/>
          <w:sz w:val="22"/>
          <w:szCs w:val="22"/>
          <w:lang w:eastAsia="en-AU"/>
        </w:rPr>
      </w:pPr>
      <w:r w:rsidRPr="78F6248D">
        <w:rPr>
          <w:rFonts w:eastAsiaTheme="minorEastAsia"/>
          <w:color w:val="000000" w:themeColor="text1"/>
          <w:sz w:val="22"/>
          <w:szCs w:val="22"/>
          <w:lang w:eastAsia="en-AU"/>
        </w:rPr>
        <w:t>Next Steps: Report of the Quality Initial Teacher Education Review</w:t>
      </w:r>
      <w:r>
        <w:rPr>
          <w:rFonts w:eastAsiaTheme="minorEastAsia"/>
          <w:color w:val="000000" w:themeColor="text1"/>
          <w:sz w:val="22"/>
          <w:szCs w:val="22"/>
          <w:lang w:eastAsia="en-AU"/>
        </w:rPr>
        <w:t xml:space="preserve"> (2022).</w:t>
      </w:r>
    </w:p>
    <w:p w14:paraId="50C9D2B4" w14:textId="6E5971ED" w:rsidR="00D43AF5"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5CCDE20D">
        <w:rPr>
          <w:rFonts w:asciiTheme="minorHAnsi" w:eastAsiaTheme="minorEastAsia" w:hAnsiTheme="minorHAnsi" w:cstheme="minorBidi"/>
          <w:sz w:val="22"/>
        </w:rPr>
        <w:t>Ng</w:t>
      </w:r>
      <w:r w:rsidR="00762740"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PT, Lim</w:t>
      </w:r>
      <w:r w:rsidR="00762740"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KM, Low</w:t>
      </w:r>
      <w:r w:rsidR="00762740"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EL</w:t>
      </w:r>
      <w:r w:rsidR="00762740" w:rsidRPr="5CCDE20D">
        <w:rPr>
          <w:rFonts w:asciiTheme="minorHAnsi" w:eastAsiaTheme="minorEastAsia" w:hAnsiTheme="minorHAnsi" w:cstheme="minorBidi"/>
          <w:sz w:val="22"/>
        </w:rPr>
        <w:t xml:space="preserve"> and</w:t>
      </w:r>
      <w:r w:rsidRPr="5CCDE20D">
        <w:rPr>
          <w:rFonts w:asciiTheme="minorHAnsi" w:eastAsiaTheme="minorEastAsia" w:hAnsiTheme="minorHAnsi" w:cstheme="minorBidi"/>
          <w:sz w:val="22"/>
        </w:rPr>
        <w:t xml:space="preserve"> Hui C (2018) </w:t>
      </w:r>
      <w:r w:rsidR="00762740"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Provision of early field experiences for teacher candidates in Singapore and how it can contribute to teacher resilience and retention</w:t>
      </w:r>
      <w:r w:rsidR="00762740"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 xml:space="preserve">Teacher Development, 22(5), </w:t>
      </w:r>
      <w:r w:rsidR="00762740" w:rsidRPr="5CCDE20D">
        <w:rPr>
          <w:rFonts w:asciiTheme="minorHAnsi" w:eastAsiaTheme="minorEastAsia" w:hAnsiTheme="minorHAnsi" w:cstheme="minorBidi"/>
          <w:sz w:val="22"/>
        </w:rPr>
        <w:t>pp.</w:t>
      </w:r>
      <w:r w:rsidRPr="5CCDE20D">
        <w:rPr>
          <w:rFonts w:asciiTheme="minorHAnsi" w:eastAsiaTheme="minorEastAsia" w:hAnsiTheme="minorHAnsi" w:cstheme="minorBidi"/>
          <w:sz w:val="22"/>
        </w:rPr>
        <w:t>632–650</w:t>
      </w:r>
      <w:r w:rsidR="00D34784" w:rsidRPr="5CCDE20D">
        <w:rPr>
          <w:rFonts w:asciiTheme="minorHAnsi" w:eastAsiaTheme="minorEastAsia" w:hAnsiTheme="minorHAnsi" w:cstheme="minorBidi"/>
          <w:sz w:val="22"/>
        </w:rPr>
        <w:t>.</w:t>
      </w:r>
    </w:p>
    <w:p w14:paraId="79801A71" w14:textId="6B663D30" w:rsidR="0069740F" w:rsidRPr="00D73D0F" w:rsidRDefault="0069740F" w:rsidP="007D6F33">
      <w:pPr>
        <w:pStyle w:val="ListParagraph"/>
        <w:numPr>
          <w:ilvl w:val="0"/>
          <w:numId w:val="34"/>
        </w:numPr>
        <w:spacing w:after="60"/>
        <w:contextualSpacing w:val="0"/>
        <w:rPr>
          <w:rFonts w:cstheme="minorHAnsi"/>
          <w:sz w:val="22"/>
          <w:szCs w:val="22"/>
        </w:rPr>
      </w:pPr>
      <w:r w:rsidRPr="5CCDE20D">
        <w:rPr>
          <w:sz w:val="22"/>
          <w:szCs w:val="22"/>
        </w:rPr>
        <w:t>OECD (2002) ‘Understanding the Brain: Towards a New Learning Science’, Organisation for Economic Cooperation and Development (OECD</w:t>
      </w:r>
      <w:r w:rsidR="00180C88" w:rsidRPr="5CCDE20D">
        <w:rPr>
          <w:sz w:val="22"/>
          <w:szCs w:val="22"/>
        </w:rPr>
        <w:t>).</w:t>
      </w:r>
    </w:p>
    <w:p w14:paraId="43052068" w14:textId="272E5461" w:rsidR="00D43AF5"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5CCDE20D">
        <w:rPr>
          <w:rFonts w:asciiTheme="minorHAnsi" w:eastAsiaTheme="minorEastAsia" w:hAnsiTheme="minorHAnsi" w:cstheme="minorBidi"/>
          <w:sz w:val="22"/>
          <w:lang w:val="en-US"/>
        </w:rPr>
        <w:t>O’Sullivan</w:t>
      </w:r>
      <w:r w:rsidR="00ED638E"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K, Burns</w:t>
      </w:r>
      <w:r w:rsidR="00ED638E"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G</w:t>
      </w:r>
      <w:r w:rsidR="00ED638E" w:rsidRPr="5CCDE20D">
        <w:rPr>
          <w:rFonts w:asciiTheme="minorHAnsi" w:eastAsiaTheme="minorEastAsia" w:hAnsiTheme="minorHAnsi" w:cstheme="minorBidi"/>
          <w:sz w:val="22"/>
          <w:lang w:val="en-US"/>
        </w:rPr>
        <w:t xml:space="preserve"> and</w:t>
      </w:r>
      <w:r w:rsidRPr="5CCDE20D">
        <w:rPr>
          <w:rFonts w:asciiTheme="minorHAnsi" w:eastAsiaTheme="minorEastAsia" w:hAnsiTheme="minorHAnsi" w:cstheme="minorBidi"/>
          <w:sz w:val="22"/>
          <w:lang w:val="en-US"/>
        </w:rPr>
        <w:t xml:space="preserve"> Bird N (2019) </w:t>
      </w:r>
      <w:r w:rsidR="00ED638E" w:rsidRPr="5CCDE20D">
        <w:rPr>
          <w:rFonts w:asciiTheme="minorHAnsi" w:eastAsiaTheme="minorEastAsia" w:hAnsiTheme="minorHAnsi" w:cstheme="minorBidi"/>
          <w:sz w:val="22"/>
          <w:lang w:val="en-US"/>
        </w:rPr>
        <w:t>‘</w:t>
      </w:r>
      <w:r w:rsidRPr="5CCDE20D">
        <w:rPr>
          <w:rFonts w:asciiTheme="minorHAnsi" w:eastAsiaTheme="minorEastAsia" w:hAnsiTheme="minorHAnsi" w:cstheme="minorBidi"/>
          <w:sz w:val="22"/>
          <w:lang w:val="en-US"/>
        </w:rPr>
        <w:t xml:space="preserve">Diversifying Initial Teacher Education: Who </w:t>
      </w:r>
      <w:proofErr w:type="spellStart"/>
      <w:r w:rsidRPr="5CCDE20D">
        <w:rPr>
          <w:rFonts w:asciiTheme="minorHAnsi" w:eastAsiaTheme="minorEastAsia" w:hAnsiTheme="minorHAnsi" w:cstheme="minorBidi"/>
          <w:sz w:val="22"/>
          <w:lang w:val="en-US"/>
        </w:rPr>
        <w:t>Utilises</w:t>
      </w:r>
      <w:proofErr w:type="spellEnd"/>
      <w:r w:rsidRPr="5CCDE20D">
        <w:rPr>
          <w:rFonts w:asciiTheme="minorHAnsi" w:eastAsiaTheme="minorEastAsia" w:hAnsiTheme="minorHAnsi" w:cstheme="minorBidi"/>
          <w:sz w:val="22"/>
          <w:lang w:val="en-US"/>
        </w:rPr>
        <w:t xml:space="preserve"> Alternative Entry Routes to Teaching &amp; How They Compare to Direct Entry Students</w:t>
      </w:r>
      <w:r w:rsidR="00ED638E" w:rsidRPr="5CCDE20D">
        <w:rPr>
          <w:rFonts w:asciiTheme="minorHAnsi" w:eastAsiaTheme="minorEastAsia" w:hAnsiTheme="minorHAnsi" w:cstheme="minorBidi"/>
          <w:sz w:val="22"/>
          <w:lang w:val="en-US"/>
        </w:rPr>
        <w:t xml:space="preserve">’, </w:t>
      </w:r>
      <w:r w:rsidRPr="5CCDE20D">
        <w:rPr>
          <w:rFonts w:asciiTheme="minorHAnsi" w:eastAsiaTheme="minorEastAsia" w:hAnsiTheme="minorHAnsi" w:cstheme="minorBidi"/>
          <w:sz w:val="22"/>
          <w:lang w:val="en-US"/>
        </w:rPr>
        <w:t xml:space="preserve"> </w:t>
      </w:r>
      <w:r w:rsidR="00D43AF5" w:rsidRPr="5CCDE20D">
        <w:rPr>
          <w:rFonts w:asciiTheme="minorHAnsi" w:hAnsiTheme="minorHAnsi" w:cstheme="minorBidi"/>
          <w:color w:val="111111"/>
          <w:sz w:val="22"/>
        </w:rPr>
        <w:t>Polytechnic University of Valencia Congress</w:t>
      </w:r>
      <w:r w:rsidR="00911C0E" w:rsidRPr="5CCDE20D">
        <w:rPr>
          <w:rFonts w:asciiTheme="minorHAnsi" w:hAnsiTheme="minorHAnsi" w:cstheme="minorBidi"/>
          <w:color w:val="111111"/>
          <w:sz w:val="22"/>
        </w:rPr>
        <w:t>:</w:t>
      </w:r>
      <w:r w:rsidR="00D43AF5" w:rsidRPr="5CCDE20D">
        <w:rPr>
          <w:rFonts w:asciiTheme="minorHAnsi" w:hAnsiTheme="minorHAnsi" w:cstheme="minorBidi"/>
          <w:color w:val="111111"/>
          <w:sz w:val="22"/>
        </w:rPr>
        <w:t> Fifth International Conference on Higher Education Advances</w:t>
      </w:r>
      <w:r w:rsidR="00D34784" w:rsidRPr="5CCDE20D">
        <w:rPr>
          <w:rFonts w:asciiTheme="minorHAnsi" w:eastAsiaTheme="minorEastAsia" w:hAnsiTheme="minorHAnsi" w:cstheme="minorBidi"/>
          <w:sz w:val="22"/>
        </w:rPr>
        <w:t>.</w:t>
      </w:r>
    </w:p>
    <w:p w14:paraId="3D15CA05" w14:textId="0D40F0C3"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5CCDE20D">
        <w:rPr>
          <w:rFonts w:asciiTheme="minorHAnsi" w:eastAsiaTheme="minorEastAsia" w:hAnsiTheme="minorHAnsi" w:cstheme="minorBidi"/>
          <w:sz w:val="22"/>
        </w:rPr>
        <w:t>Ovenden-Hope</w:t>
      </w:r>
      <w:r w:rsidR="001D6604"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T, Blandford S, Cain T</w:t>
      </w:r>
      <w:r w:rsidR="00D42CAC" w:rsidRPr="5CCDE20D">
        <w:rPr>
          <w:rFonts w:asciiTheme="minorHAnsi" w:eastAsiaTheme="minorEastAsia" w:hAnsiTheme="minorHAnsi" w:cstheme="minorBidi"/>
          <w:sz w:val="22"/>
        </w:rPr>
        <w:t xml:space="preserve"> and</w:t>
      </w:r>
      <w:r w:rsidRPr="5CCDE20D">
        <w:rPr>
          <w:rFonts w:asciiTheme="minorHAnsi" w:eastAsiaTheme="minorEastAsia" w:hAnsiTheme="minorHAnsi" w:cstheme="minorBidi"/>
          <w:sz w:val="22"/>
        </w:rPr>
        <w:t xml:space="preserve"> Maxwell B (2018) </w:t>
      </w:r>
      <w:r w:rsidR="00D42CAC"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RETAIN early career teacher retention programme: Evaluating the role of research informed continuing professional development for a high quality, sustainable 21st century teaching profession</w:t>
      </w:r>
      <w:r w:rsidR="00D42CAC"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 xml:space="preserve"> Journal of Education for Teaching, 44(5), </w:t>
      </w:r>
      <w:r w:rsidR="00D42CAC" w:rsidRPr="5CCDE20D">
        <w:rPr>
          <w:rFonts w:asciiTheme="minorHAnsi" w:eastAsiaTheme="minorEastAsia" w:hAnsiTheme="minorHAnsi" w:cstheme="minorBidi"/>
          <w:sz w:val="22"/>
        </w:rPr>
        <w:t>pp.</w:t>
      </w:r>
      <w:r w:rsidRPr="5CCDE20D">
        <w:rPr>
          <w:rFonts w:asciiTheme="minorHAnsi" w:eastAsiaTheme="minorEastAsia" w:hAnsiTheme="minorHAnsi" w:cstheme="minorBidi"/>
          <w:sz w:val="22"/>
        </w:rPr>
        <w:t>590–607</w:t>
      </w:r>
      <w:r w:rsidR="00D34784" w:rsidRPr="5CCDE20D">
        <w:rPr>
          <w:rFonts w:asciiTheme="minorHAnsi" w:eastAsiaTheme="minorEastAsia" w:hAnsiTheme="minorHAnsi" w:cstheme="minorBidi"/>
          <w:sz w:val="22"/>
        </w:rPr>
        <w:t>.</w:t>
      </w:r>
    </w:p>
    <w:p w14:paraId="07F3FF41" w14:textId="3E67017C"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Panadero E and Jonsson A (2013) ‘The use of scoring rubrics for formative assessment purposes revisited: A review’, Educational Research Review, 9</w:t>
      </w:r>
      <w:r w:rsidR="000335BE" w:rsidRPr="5CCDE20D">
        <w:rPr>
          <w:sz w:val="22"/>
          <w:szCs w:val="22"/>
        </w:rPr>
        <w:t>, pp.</w:t>
      </w:r>
      <w:r w:rsidRPr="5CCDE20D">
        <w:rPr>
          <w:sz w:val="22"/>
          <w:szCs w:val="22"/>
        </w:rPr>
        <w:t>129–144</w:t>
      </w:r>
      <w:r w:rsidR="00180C88" w:rsidRPr="5CCDE20D">
        <w:rPr>
          <w:sz w:val="22"/>
          <w:szCs w:val="22"/>
        </w:rPr>
        <w:t>.</w:t>
      </w:r>
    </w:p>
    <w:p w14:paraId="3694277F" w14:textId="6AA16897"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t>Pashler</w:t>
      </w:r>
      <w:proofErr w:type="spellEnd"/>
      <w:r w:rsidRPr="5CCDE20D">
        <w:rPr>
          <w:sz w:val="22"/>
          <w:szCs w:val="22"/>
        </w:rPr>
        <w:t xml:space="preserve"> H (1994) ‘Dual-task interference in simple tasks: data and theory’, Psychological Bulletin, 116(2)</w:t>
      </w:r>
      <w:r w:rsidR="00BE4698" w:rsidRPr="5CCDE20D">
        <w:rPr>
          <w:sz w:val="22"/>
          <w:szCs w:val="22"/>
        </w:rPr>
        <w:t>, pp.</w:t>
      </w:r>
      <w:r w:rsidRPr="5CCDE20D">
        <w:rPr>
          <w:sz w:val="22"/>
          <w:szCs w:val="22"/>
        </w:rPr>
        <w:t>220–244</w:t>
      </w:r>
      <w:r w:rsidR="00180C88" w:rsidRPr="5CCDE20D">
        <w:rPr>
          <w:sz w:val="22"/>
          <w:szCs w:val="22"/>
        </w:rPr>
        <w:t>.</w:t>
      </w:r>
    </w:p>
    <w:p w14:paraId="6CBC0688" w14:textId="38EDF2B4"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t>Pashler</w:t>
      </w:r>
      <w:proofErr w:type="spellEnd"/>
      <w:r w:rsidRPr="5CCDE20D">
        <w:rPr>
          <w:sz w:val="22"/>
          <w:szCs w:val="22"/>
        </w:rPr>
        <w:t xml:space="preserve"> H, Kang SHK and Ip RY (2013) ‘Does Multitasking Impair Studying? Depends on Timing’, Applied Cognitive Psychology, 27(5)</w:t>
      </w:r>
      <w:r w:rsidR="009254DC" w:rsidRPr="5CCDE20D">
        <w:rPr>
          <w:sz w:val="22"/>
          <w:szCs w:val="22"/>
        </w:rPr>
        <w:t>, pp.</w:t>
      </w:r>
      <w:r w:rsidRPr="5CCDE20D">
        <w:rPr>
          <w:sz w:val="22"/>
          <w:szCs w:val="22"/>
        </w:rPr>
        <w:t>593–599</w:t>
      </w:r>
      <w:r w:rsidR="00180C88" w:rsidRPr="5CCDE20D">
        <w:rPr>
          <w:sz w:val="22"/>
          <w:szCs w:val="22"/>
        </w:rPr>
        <w:t>.</w:t>
      </w:r>
    </w:p>
    <w:p w14:paraId="04536F9E" w14:textId="4CCCC415"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lastRenderedPageBreak/>
        <w:t>Pasquinelli</w:t>
      </w:r>
      <w:proofErr w:type="spellEnd"/>
      <w:r w:rsidRPr="5CCDE20D">
        <w:rPr>
          <w:sz w:val="22"/>
          <w:szCs w:val="22"/>
        </w:rPr>
        <w:t xml:space="preserve"> E (2012) ‘Neuromyths: Why Do They Exist and Persist?’, Mind, Brain, and Education, 6(2)</w:t>
      </w:r>
      <w:r w:rsidR="00054848" w:rsidRPr="5CCDE20D">
        <w:rPr>
          <w:sz w:val="22"/>
          <w:szCs w:val="22"/>
        </w:rPr>
        <w:t>, pp.</w:t>
      </w:r>
      <w:r w:rsidRPr="5CCDE20D">
        <w:rPr>
          <w:sz w:val="22"/>
          <w:szCs w:val="22"/>
        </w:rPr>
        <w:t>89–96</w:t>
      </w:r>
      <w:r w:rsidR="00180C88" w:rsidRPr="5CCDE20D">
        <w:rPr>
          <w:sz w:val="22"/>
          <w:szCs w:val="22"/>
        </w:rPr>
        <w:t>.</w:t>
      </w:r>
    </w:p>
    <w:p w14:paraId="0FEDBC92" w14:textId="3A800CF7"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Perry T, Lea R, </w:t>
      </w:r>
      <w:proofErr w:type="spellStart"/>
      <w:r w:rsidRPr="5CCDE20D">
        <w:rPr>
          <w:sz w:val="22"/>
          <w:szCs w:val="22"/>
        </w:rPr>
        <w:t>Jørgensen</w:t>
      </w:r>
      <w:proofErr w:type="spellEnd"/>
      <w:r w:rsidRPr="5CCDE20D">
        <w:rPr>
          <w:sz w:val="22"/>
          <w:szCs w:val="22"/>
        </w:rPr>
        <w:t xml:space="preserve"> CR, </w:t>
      </w:r>
      <w:proofErr w:type="spellStart"/>
      <w:r w:rsidRPr="5CCDE20D">
        <w:rPr>
          <w:sz w:val="22"/>
          <w:szCs w:val="22"/>
        </w:rPr>
        <w:t>Cordingley</w:t>
      </w:r>
      <w:proofErr w:type="spellEnd"/>
      <w:r w:rsidRPr="5CCDE20D">
        <w:rPr>
          <w:sz w:val="22"/>
          <w:szCs w:val="22"/>
        </w:rPr>
        <w:t xml:space="preserve"> P, Shapiro K, </w:t>
      </w:r>
      <w:proofErr w:type="spellStart"/>
      <w:r w:rsidRPr="5CCDE20D">
        <w:rPr>
          <w:sz w:val="22"/>
          <w:szCs w:val="22"/>
        </w:rPr>
        <w:t>Youdell</w:t>
      </w:r>
      <w:proofErr w:type="spellEnd"/>
      <w:r w:rsidRPr="5CCDE20D">
        <w:rPr>
          <w:sz w:val="22"/>
          <w:szCs w:val="22"/>
        </w:rPr>
        <w:t xml:space="preserve"> D, Harrington J, </w:t>
      </w:r>
      <w:proofErr w:type="spellStart"/>
      <w:r w:rsidRPr="5CCDE20D">
        <w:rPr>
          <w:sz w:val="22"/>
          <w:szCs w:val="22"/>
        </w:rPr>
        <w:t>Fancourt</w:t>
      </w:r>
      <w:proofErr w:type="spellEnd"/>
      <w:r w:rsidRPr="5CCDE20D">
        <w:rPr>
          <w:sz w:val="22"/>
          <w:szCs w:val="22"/>
        </w:rPr>
        <w:t xml:space="preserve"> A, Crisp P, Gamble N and </w:t>
      </w:r>
      <w:proofErr w:type="spellStart"/>
      <w:r w:rsidRPr="5CCDE20D">
        <w:rPr>
          <w:sz w:val="22"/>
          <w:szCs w:val="22"/>
        </w:rPr>
        <w:t>Pomareda</w:t>
      </w:r>
      <w:proofErr w:type="spellEnd"/>
      <w:r w:rsidRPr="5CCDE20D">
        <w:rPr>
          <w:sz w:val="22"/>
          <w:szCs w:val="22"/>
        </w:rPr>
        <w:t xml:space="preserve"> C (2021) </w:t>
      </w:r>
      <w:r w:rsidR="00DD613B" w:rsidRPr="5CCDE20D">
        <w:rPr>
          <w:sz w:val="22"/>
          <w:szCs w:val="22"/>
        </w:rPr>
        <w:t>‘</w:t>
      </w:r>
      <w:r w:rsidRPr="5CCDE20D">
        <w:rPr>
          <w:sz w:val="22"/>
          <w:szCs w:val="22"/>
        </w:rPr>
        <w:t>Cognitive Science in the Classroom: Evidence and Practice Review</w:t>
      </w:r>
      <w:r w:rsidR="00DD613B" w:rsidRPr="5CCDE20D">
        <w:rPr>
          <w:sz w:val="22"/>
          <w:szCs w:val="22"/>
        </w:rPr>
        <w:t>’</w:t>
      </w:r>
      <w:r w:rsidRPr="5CCDE20D">
        <w:rPr>
          <w:sz w:val="22"/>
          <w:szCs w:val="22"/>
        </w:rPr>
        <w:t>, Education Endowment Foundation, London.</w:t>
      </w:r>
    </w:p>
    <w:p w14:paraId="2E67DB0C" w14:textId="59CF4B94" w:rsidR="005545CE" w:rsidRPr="00D73D0F" w:rsidRDefault="005545CE" w:rsidP="007D6F33">
      <w:pPr>
        <w:pStyle w:val="ListParagraph"/>
        <w:numPr>
          <w:ilvl w:val="0"/>
          <w:numId w:val="34"/>
        </w:numPr>
        <w:autoSpaceDE w:val="0"/>
        <w:autoSpaceDN w:val="0"/>
        <w:adjustRightInd w:val="0"/>
        <w:spacing w:after="60"/>
        <w:contextualSpacing w:val="0"/>
        <w:rPr>
          <w:rFonts w:eastAsiaTheme="minorEastAsia" w:cstheme="minorHAnsi"/>
          <w:sz w:val="22"/>
          <w:szCs w:val="22"/>
        </w:rPr>
      </w:pPr>
      <w:r w:rsidRPr="5CCDE20D">
        <w:rPr>
          <w:rFonts w:eastAsiaTheme="minorEastAsia"/>
          <w:sz w:val="22"/>
          <w:szCs w:val="22"/>
        </w:rPr>
        <w:t xml:space="preserve">Productivity Commission (2022) </w:t>
      </w:r>
      <w:r w:rsidR="003D69AA" w:rsidRPr="5CCDE20D">
        <w:rPr>
          <w:rFonts w:eastAsiaTheme="minorEastAsia"/>
          <w:sz w:val="22"/>
          <w:szCs w:val="22"/>
        </w:rPr>
        <w:t>‘</w:t>
      </w:r>
      <w:r w:rsidRPr="5CCDE20D">
        <w:rPr>
          <w:rFonts w:eastAsiaTheme="minorEastAsia"/>
          <w:sz w:val="22"/>
          <w:szCs w:val="22"/>
        </w:rPr>
        <w:t>5-Year Productivity Inquiry: From learning to growth</w:t>
      </w:r>
      <w:r w:rsidR="003D69AA" w:rsidRPr="5CCDE20D">
        <w:rPr>
          <w:rFonts w:eastAsiaTheme="minorEastAsia"/>
          <w:sz w:val="22"/>
          <w:szCs w:val="22"/>
        </w:rPr>
        <w:t>’</w:t>
      </w:r>
      <w:r w:rsidRPr="5CCDE20D">
        <w:rPr>
          <w:rFonts w:eastAsiaTheme="minorEastAsia"/>
          <w:sz w:val="22"/>
          <w:szCs w:val="22"/>
        </w:rPr>
        <w:t xml:space="preserve">, </w:t>
      </w:r>
      <w:r w:rsidR="004D48C2" w:rsidRPr="5CCDE20D">
        <w:rPr>
          <w:rFonts w:eastAsiaTheme="minorEastAsia"/>
          <w:sz w:val="22"/>
          <w:szCs w:val="22"/>
        </w:rPr>
        <w:t xml:space="preserve">Interim report no.5 – September 2022, </w:t>
      </w:r>
      <w:r w:rsidR="003D69AA" w:rsidRPr="5CCDE20D">
        <w:rPr>
          <w:rFonts w:eastAsiaTheme="minorEastAsia"/>
          <w:sz w:val="22"/>
          <w:szCs w:val="22"/>
        </w:rPr>
        <w:t>Australian Government Productivity Commission</w:t>
      </w:r>
      <w:r w:rsidR="00D34784" w:rsidRPr="5CCDE20D">
        <w:rPr>
          <w:rFonts w:eastAsiaTheme="minorEastAsia"/>
          <w:sz w:val="22"/>
          <w:szCs w:val="22"/>
        </w:rPr>
        <w:t>.</w:t>
      </w:r>
    </w:p>
    <w:p w14:paraId="1A8D1680" w14:textId="27C71468"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proofErr w:type="spellStart"/>
      <w:r w:rsidRPr="5CCDE20D">
        <w:rPr>
          <w:rFonts w:asciiTheme="minorHAnsi" w:eastAsiaTheme="minorEastAsia" w:hAnsiTheme="minorHAnsi" w:cstheme="minorBidi"/>
          <w:sz w:val="22"/>
        </w:rPr>
        <w:t>Rauschenberger</w:t>
      </w:r>
      <w:proofErr w:type="spellEnd"/>
      <w:r w:rsidR="008D77C8"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E, Adams P</w:t>
      </w:r>
      <w:r w:rsidR="008D77C8" w:rsidRPr="5CCDE20D">
        <w:rPr>
          <w:rFonts w:asciiTheme="minorHAnsi" w:eastAsiaTheme="minorEastAsia" w:hAnsiTheme="minorHAnsi" w:cstheme="minorBidi"/>
          <w:sz w:val="22"/>
        </w:rPr>
        <w:t xml:space="preserve"> and</w:t>
      </w:r>
      <w:r w:rsidRPr="5CCDE20D">
        <w:rPr>
          <w:rFonts w:asciiTheme="minorHAnsi" w:eastAsiaTheme="minorEastAsia" w:hAnsiTheme="minorHAnsi" w:cstheme="minorBidi"/>
          <w:sz w:val="22"/>
        </w:rPr>
        <w:t xml:space="preserve"> Kennedy</w:t>
      </w:r>
      <w:r w:rsidR="008D77C8"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 xml:space="preserve">A (2017) </w:t>
      </w:r>
      <w:r w:rsidR="008D77C8"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 xml:space="preserve">Measuring quality in ITE: A literature review for Scotland’s </w:t>
      </w:r>
      <w:proofErr w:type="spellStart"/>
      <w:r w:rsidRPr="5CCDE20D">
        <w:rPr>
          <w:rFonts w:asciiTheme="minorHAnsi" w:eastAsiaTheme="minorEastAsia" w:hAnsiTheme="minorHAnsi" w:cstheme="minorBidi"/>
          <w:sz w:val="22"/>
        </w:rPr>
        <w:t>MQuITE</w:t>
      </w:r>
      <w:proofErr w:type="spellEnd"/>
      <w:r w:rsidRPr="5CCDE20D">
        <w:rPr>
          <w:rFonts w:asciiTheme="minorHAnsi" w:eastAsiaTheme="minorEastAsia" w:hAnsiTheme="minorHAnsi" w:cstheme="minorBidi"/>
          <w:sz w:val="22"/>
        </w:rPr>
        <w:t xml:space="preserve"> study</w:t>
      </w:r>
      <w:r w:rsidR="008D77C8"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 xml:space="preserve"> Scottish Council of Deans of Education</w:t>
      </w:r>
      <w:r w:rsidR="000029E7" w:rsidRPr="5CCDE20D">
        <w:rPr>
          <w:rFonts w:asciiTheme="minorHAnsi" w:eastAsiaTheme="minorEastAsia" w:hAnsiTheme="minorHAnsi" w:cstheme="minorBidi"/>
          <w:sz w:val="22"/>
        </w:rPr>
        <w:t xml:space="preserve"> (SCDE)</w:t>
      </w:r>
      <w:r w:rsidR="00D34784" w:rsidRPr="5CCDE20D">
        <w:rPr>
          <w:rFonts w:asciiTheme="minorHAnsi" w:eastAsiaTheme="minorEastAsia" w:hAnsiTheme="minorHAnsi" w:cstheme="minorBidi"/>
          <w:sz w:val="22"/>
        </w:rPr>
        <w:t>.</w:t>
      </w:r>
    </w:p>
    <w:p w14:paraId="1D1A4C87" w14:textId="4D11576D"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Rhea ZM, Anderson PJ and Atkinson B (2012) </w:t>
      </w:r>
      <w:r w:rsidR="000029E7" w:rsidRPr="5CCDE20D">
        <w:rPr>
          <w:sz w:val="22"/>
          <w:szCs w:val="22"/>
        </w:rPr>
        <w:t>‘</w:t>
      </w:r>
      <w:r w:rsidRPr="5CCDE20D">
        <w:rPr>
          <w:sz w:val="22"/>
          <w:szCs w:val="22"/>
        </w:rPr>
        <w:t>Improving teaching in Aboriginal and Torres Strait Islander education: Australian Professional Standards for Teacher</w:t>
      </w:r>
      <w:r w:rsidR="000029E7" w:rsidRPr="5CCDE20D">
        <w:rPr>
          <w:sz w:val="22"/>
          <w:szCs w:val="22"/>
        </w:rPr>
        <w:t>s’</w:t>
      </w:r>
      <w:r w:rsidRPr="5CCDE20D">
        <w:rPr>
          <w:sz w:val="22"/>
          <w:szCs w:val="22"/>
        </w:rPr>
        <w:t>, Australian Institute for Teaching and School Leadership</w:t>
      </w:r>
      <w:r w:rsidR="00FC6692" w:rsidRPr="5CCDE20D">
        <w:rPr>
          <w:sz w:val="22"/>
          <w:szCs w:val="22"/>
        </w:rPr>
        <w:t xml:space="preserve"> (AITSL)</w:t>
      </w:r>
      <w:r w:rsidRPr="5CCDE20D">
        <w:rPr>
          <w:sz w:val="22"/>
          <w:szCs w:val="22"/>
        </w:rPr>
        <w:t>, Melbourne</w:t>
      </w:r>
      <w:r w:rsidR="000029E7" w:rsidRPr="5CCDE20D">
        <w:rPr>
          <w:sz w:val="22"/>
          <w:szCs w:val="22"/>
        </w:rPr>
        <w:t xml:space="preserve">, </w:t>
      </w:r>
      <w:r w:rsidRPr="5CCDE20D">
        <w:rPr>
          <w:sz w:val="22"/>
          <w:szCs w:val="22"/>
        </w:rPr>
        <w:t>in partnership with Monash University.</w:t>
      </w:r>
    </w:p>
    <w:p w14:paraId="14F6AB0A" w14:textId="71307106" w:rsidR="005545CE" w:rsidRPr="00D73D0F" w:rsidRDefault="005545CE" w:rsidP="007D6F33">
      <w:pPr>
        <w:pStyle w:val="ListParagraph"/>
        <w:numPr>
          <w:ilvl w:val="0"/>
          <w:numId w:val="34"/>
        </w:numPr>
        <w:spacing w:after="60"/>
        <w:ind w:left="714" w:hanging="357"/>
        <w:contextualSpacing w:val="0"/>
        <w:rPr>
          <w:rFonts w:cstheme="minorHAnsi"/>
          <w:sz w:val="22"/>
          <w:szCs w:val="22"/>
        </w:rPr>
      </w:pPr>
      <w:r w:rsidRPr="5CCDE20D">
        <w:rPr>
          <w:sz w:val="22"/>
          <w:szCs w:val="22"/>
        </w:rPr>
        <w:t>Roediger HL and Butler AC (2011) ‘The critical role of retrieval practice in long-term retention’, Trends in Cognitive Sciences, 15</w:t>
      </w:r>
      <w:r w:rsidR="00FA6F45" w:rsidRPr="5CCDE20D">
        <w:rPr>
          <w:sz w:val="22"/>
          <w:szCs w:val="22"/>
        </w:rPr>
        <w:t>, pp.</w:t>
      </w:r>
      <w:r w:rsidRPr="5CCDE20D">
        <w:rPr>
          <w:sz w:val="22"/>
          <w:szCs w:val="22"/>
        </w:rPr>
        <w:t>20–27.</w:t>
      </w:r>
    </w:p>
    <w:p w14:paraId="560C69DC" w14:textId="7AB1AFB7" w:rsidR="005545CE" w:rsidRPr="00D73D0F" w:rsidRDefault="005545CE" w:rsidP="007D6F33">
      <w:pPr>
        <w:pStyle w:val="ListParagraph"/>
        <w:numPr>
          <w:ilvl w:val="0"/>
          <w:numId w:val="34"/>
        </w:numPr>
        <w:spacing w:after="60"/>
        <w:ind w:left="714" w:hanging="357"/>
        <w:contextualSpacing w:val="0"/>
        <w:rPr>
          <w:rFonts w:eastAsiaTheme="minorEastAsia" w:cstheme="minorHAnsi"/>
          <w:color w:val="000000"/>
          <w:sz w:val="22"/>
          <w:szCs w:val="22"/>
          <w:lang w:eastAsia="en-AU"/>
        </w:rPr>
      </w:pPr>
      <w:proofErr w:type="spellStart"/>
      <w:r w:rsidRPr="5CCDE20D">
        <w:rPr>
          <w:rFonts w:eastAsiaTheme="minorEastAsia"/>
          <w:color w:val="000000" w:themeColor="text1"/>
          <w:sz w:val="22"/>
          <w:szCs w:val="22"/>
          <w:lang w:eastAsia="en-AU"/>
        </w:rPr>
        <w:t>Ronfeldt</w:t>
      </w:r>
      <w:proofErr w:type="spellEnd"/>
      <w:r w:rsidR="00FA6F45" w:rsidRPr="5CCDE20D">
        <w:rPr>
          <w:rFonts w:eastAsiaTheme="minorEastAsia"/>
          <w:color w:val="000000" w:themeColor="text1"/>
          <w:sz w:val="22"/>
          <w:szCs w:val="22"/>
          <w:lang w:eastAsia="en-AU"/>
        </w:rPr>
        <w:t xml:space="preserve"> </w:t>
      </w:r>
      <w:r w:rsidRPr="5CCDE20D">
        <w:rPr>
          <w:rFonts w:eastAsiaTheme="minorEastAsia"/>
          <w:color w:val="000000" w:themeColor="text1"/>
          <w:sz w:val="22"/>
          <w:szCs w:val="22"/>
          <w:lang w:eastAsia="en-AU"/>
        </w:rPr>
        <w:t>M (2021) ‘Links Among Teacher Preparation, Retention, and Teaching Effectiveness’</w:t>
      </w:r>
      <w:r w:rsidR="00FA6F45" w:rsidRPr="5CCDE20D">
        <w:rPr>
          <w:rFonts w:eastAsiaTheme="minorEastAsia"/>
          <w:color w:val="000000" w:themeColor="text1"/>
          <w:sz w:val="22"/>
          <w:szCs w:val="22"/>
          <w:lang w:eastAsia="en-AU"/>
        </w:rPr>
        <w:t xml:space="preserve">, </w:t>
      </w:r>
      <w:r w:rsidRPr="5CCDE20D">
        <w:rPr>
          <w:rFonts w:eastAsiaTheme="minorEastAsia"/>
          <w:color w:val="000000" w:themeColor="text1"/>
          <w:sz w:val="22"/>
          <w:szCs w:val="22"/>
          <w:lang w:eastAsia="en-AU"/>
        </w:rPr>
        <w:t>Evaluating and Improving Teacher Preparation Programs, National Academy of Education</w:t>
      </w:r>
      <w:r w:rsidR="00F448C9" w:rsidRPr="5CCDE20D">
        <w:rPr>
          <w:rFonts w:eastAsiaTheme="minorEastAsia"/>
          <w:color w:val="000000" w:themeColor="text1"/>
          <w:sz w:val="22"/>
          <w:szCs w:val="22"/>
          <w:lang w:eastAsia="en-AU"/>
        </w:rPr>
        <w:t>, Washington DC</w:t>
      </w:r>
      <w:r w:rsidR="00247760" w:rsidRPr="5CCDE20D">
        <w:rPr>
          <w:rFonts w:eastAsiaTheme="minorEastAsia"/>
          <w:color w:val="000000" w:themeColor="text1"/>
          <w:sz w:val="22"/>
          <w:szCs w:val="22"/>
          <w:lang w:eastAsia="en-AU"/>
        </w:rPr>
        <w:t>.</w:t>
      </w:r>
      <w:r w:rsidRPr="5CCDE20D">
        <w:rPr>
          <w:rFonts w:eastAsiaTheme="minorEastAsia"/>
          <w:color w:val="000000" w:themeColor="text1"/>
          <w:sz w:val="22"/>
          <w:szCs w:val="22"/>
          <w:lang w:eastAsia="en-AU"/>
        </w:rPr>
        <w:t xml:space="preserve"> </w:t>
      </w:r>
    </w:p>
    <w:p w14:paraId="354604D9" w14:textId="03395479" w:rsidR="005545CE" w:rsidRPr="00D73D0F" w:rsidRDefault="005545CE" w:rsidP="007D6F33">
      <w:pPr>
        <w:pStyle w:val="References"/>
        <w:numPr>
          <w:ilvl w:val="0"/>
          <w:numId w:val="34"/>
        </w:numPr>
        <w:spacing w:line="240" w:lineRule="auto"/>
        <w:ind w:left="714" w:hanging="357"/>
        <w:rPr>
          <w:rFonts w:asciiTheme="minorHAnsi" w:eastAsiaTheme="minorEastAsia" w:hAnsiTheme="minorHAnsi" w:cstheme="minorHAnsi"/>
          <w:sz w:val="22"/>
        </w:rPr>
      </w:pPr>
      <w:proofErr w:type="spellStart"/>
      <w:r w:rsidRPr="5CCDE20D">
        <w:rPr>
          <w:rFonts w:asciiTheme="minorHAnsi" w:eastAsiaTheme="minorEastAsia" w:hAnsiTheme="minorHAnsi" w:cstheme="minorBidi"/>
          <w:sz w:val="22"/>
        </w:rPr>
        <w:t>Ronfeldt</w:t>
      </w:r>
      <w:proofErr w:type="spellEnd"/>
      <w:r w:rsidR="001416A7"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M</w:t>
      </w:r>
      <w:r w:rsidR="001416A7" w:rsidRPr="5CCDE20D">
        <w:rPr>
          <w:rFonts w:asciiTheme="minorHAnsi" w:eastAsiaTheme="minorEastAsia" w:hAnsiTheme="minorHAnsi" w:cstheme="minorBidi"/>
          <w:sz w:val="22"/>
        </w:rPr>
        <w:t xml:space="preserve"> and</w:t>
      </w:r>
      <w:r w:rsidRPr="5CCDE20D">
        <w:rPr>
          <w:rFonts w:asciiTheme="minorHAnsi" w:eastAsiaTheme="minorEastAsia" w:hAnsiTheme="minorHAnsi" w:cstheme="minorBidi"/>
          <w:sz w:val="22"/>
        </w:rPr>
        <w:t xml:space="preserve"> McQueen K (2017) </w:t>
      </w:r>
      <w:r w:rsidR="001416A7"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Does New Teacher Induction Really Improve Retention?</w:t>
      </w:r>
      <w:r w:rsidR="001416A7"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 xml:space="preserve"> Journal of Teacher Education, 68(4), </w:t>
      </w:r>
      <w:r w:rsidR="001416A7" w:rsidRPr="5CCDE20D">
        <w:rPr>
          <w:rFonts w:asciiTheme="minorHAnsi" w:eastAsiaTheme="minorEastAsia" w:hAnsiTheme="minorHAnsi" w:cstheme="minorBidi"/>
          <w:sz w:val="22"/>
        </w:rPr>
        <w:t>pp.</w:t>
      </w:r>
      <w:r w:rsidRPr="5CCDE20D">
        <w:rPr>
          <w:rFonts w:asciiTheme="minorHAnsi" w:eastAsiaTheme="minorEastAsia" w:hAnsiTheme="minorHAnsi" w:cstheme="minorBidi"/>
          <w:sz w:val="22"/>
        </w:rPr>
        <w:t>394-410</w:t>
      </w:r>
      <w:r w:rsidR="00DE3BB8" w:rsidRPr="5CCDE20D">
        <w:rPr>
          <w:rFonts w:asciiTheme="minorHAnsi" w:eastAsiaTheme="minorEastAsia" w:hAnsiTheme="minorHAnsi" w:cstheme="minorBidi"/>
          <w:sz w:val="22"/>
        </w:rPr>
        <w:t>.</w:t>
      </w:r>
    </w:p>
    <w:p w14:paraId="5A34D032" w14:textId="28890849" w:rsidR="005545CE" w:rsidRPr="00D73D0F" w:rsidRDefault="005545CE" w:rsidP="007D6F33">
      <w:pPr>
        <w:pStyle w:val="ListParagraph"/>
        <w:numPr>
          <w:ilvl w:val="0"/>
          <w:numId w:val="34"/>
        </w:numPr>
        <w:spacing w:after="60"/>
        <w:ind w:left="714" w:hanging="357"/>
        <w:contextualSpacing w:val="0"/>
        <w:rPr>
          <w:rFonts w:cstheme="minorHAnsi"/>
          <w:sz w:val="22"/>
          <w:szCs w:val="22"/>
        </w:rPr>
      </w:pPr>
      <w:proofErr w:type="spellStart"/>
      <w:r w:rsidRPr="5CCDE20D">
        <w:rPr>
          <w:sz w:val="22"/>
          <w:szCs w:val="22"/>
        </w:rPr>
        <w:t>Rosenshine</w:t>
      </w:r>
      <w:proofErr w:type="spellEnd"/>
      <w:r w:rsidRPr="5CCDE20D">
        <w:rPr>
          <w:sz w:val="22"/>
          <w:szCs w:val="22"/>
        </w:rPr>
        <w:t xml:space="preserve"> B (2012) ‘Principles of Instruction: Research-Based Strategies That All Teachers Should Know’, American Educator, 36(1)</w:t>
      </w:r>
      <w:r w:rsidR="00DE3BB8" w:rsidRPr="5CCDE20D">
        <w:rPr>
          <w:sz w:val="22"/>
          <w:szCs w:val="22"/>
        </w:rPr>
        <w:t>, p</w:t>
      </w:r>
      <w:r w:rsidR="002922E6" w:rsidRPr="5CCDE20D">
        <w:rPr>
          <w:sz w:val="22"/>
          <w:szCs w:val="22"/>
        </w:rPr>
        <w:t>p</w:t>
      </w:r>
      <w:r w:rsidR="00DE3BB8" w:rsidRPr="5CCDE20D">
        <w:rPr>
          <w:sz w:val="22"/>
          <w:szCs w:val="22"/>
        </w:rPr>
        <w:t>.</w:t>
      </w:r>
      <w:r w:rsidRPr="5CCDE20D">
        <w:rPr>
          <w:sz w:val="22"/>
          <w:szCs w:val="22"/>
        </w:rPr>
        <w:t>12</w:t>
      </w:r>
      <w:r w:rsidR="002922E6" w:rsidRPr="5CCDE20D">
        <w:rPr>
          <w:sz w:val="22"/>
          <w:szCs w:val="22"/>
        </w:rPr>
        <w:t>-</w:t>
      </w:r>
      <w:r w:rsidR="00105AF7" w:rsidRPr="5CCDE20D">
        <w:rPr>
          <w:sz w:val="22"/>
          <w:szCs w:val="22"/>
        </w:rPr>
        <w:t>19</w:t>
      </w:r>
      <w:r w:rsidR="00D34784" w:rsidRPr="5CCDE20D">
        <w:rPr>
          <w:sz w:val="22"/>
          <w:szCs w:val="22"/>
        </w:rPr>
        <w:t>.</w:t>
      </w:r>
    </w:p>
    <w:p w14:paraId="3724066D" w14:textId="2C0F9331" w:rsidR="005545CE" w:rsidRPr="00D73D0F" w:rsidRDefault="005545CE" w:rsidP="007D6F33">
      <w:pPr>
        <w:pStyle w:val="References"/>
        <w:numPr>
          <w:ilvl w:val="0"/>
          <w:numId w:val="34"/>
        </w:numPr>
        <w:spacing w:line="240" w:lineRule="auto"/>
        <w:ind w:left="714" w:hanging="357"/>
        <w:rPr>
          <w:rFonts w:asciiTheme="minorHAnsi" w:eastAsiaTheme="minorEastAsia" w:hAnsiTheme="minorHAnsi" w:cstheme="minorHAnsi"/>
          <w:sz w:val="22"/>
        </w:rPr>
      </w:pPr>
      <w:r w:rsidRPr="5CCDE20D">
        <w:rPr>
          <w:rFonts w:asciiTheme="minorHAnsi" w:eastAsiaTheme="minorEastAsia" w:hAnsiTheme="minorHAnsi" w:cstheme="minorBidi"/>
          <w:sz w:val="22"/>
        </w:rPr>
        <w:t>Rowan</w:t>
      </w:r>
      <w:r w:rsidR="00105AF7"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 xml:space="preserve">L, Bourke T, </w:t>
      </w:r>
      <w:proofErr w:type="spellStart"/>
      <w:r w:rsidRPr="5CCDE20D">
        <w:rPr>
          <w:rFonts w:asciiTheme="minorHAnsi" w:eastAsiaTheme="minorEastAsia" w:hAnsiTheme="minorHAnsi" w:cstheme="minorBidi"/>
          <w:sz w:val="22"/>
        </w:rPr>
        <w:t>L’Estrange</w:t>
      </w:r>
      <w:proofErr w:type="spellEnd"/>
      <w:r w:rsidRPr="5CCDE20D">
        <w:rPr>
          <w:rFonts w:asciiTheme="minorHAnsi" w:eastAsiaTheme="minorEastAsia" w:hAnsiTheme="minorHAnsi" w:cstheme="minorBidi"/>
          <w:sz w:val="22"/>
        </w:rPr>
        <w:t xml:space="preserve"> L, Lunn Brownlee J, Ryan</w:t>
      </w:r>
      <w:r w:rsidR="00105AF7"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M, Walker S</w:t>
      </w:r>
      <w:r w:rsidR="00105AF7" w:rsidRPr="5CCDE20D">
        <w:rPr>
          <w:rFonts w:asciiTheme="minorHAnsi" w:eastAsiaTheme="minorEastAsia" w:hAnsiTheme="minorHAnsi" w:cstheme="minorBidi"/>
          <w:sz w:val="22"/>
        </w:rPr>
        <w:t xml:space="preserve"> and</w:t>
      </w:r>
      <w:r w:rsidRPr="5CCDE20D">
        <w:rPr>
          <w:rFonts w:asciiTheme="minorHAnsi" w:eastAsiaTheme="minorEastAsia" w:hAnsiTheme="minorHAnsi" w:cstheme="minorBidi"/>
          <w:sz w:val="22"/>
        </w:rPr>
        <w:t xml:space="preserve"> Churchward</w:t>
      </w:r>
      <w:r w:rsidR="00105AF7"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P</w:t>
      </w:r>
      <w:r w:rsidR="00105AF7"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 xml:space="preserve">(2021) </w:t>
      </w:r>
      <w:r w:rsidR="00105AF7"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How does initial teacher education research frame the challenge of preparing future teachers for student diversity in schools? A systematic review of literature</w:t>
      </w:r>
      <w:r w:rsidR="00105AF7"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 xml:space="preserve"> Review of Educational Research, 91(1), </w:t>
      </w:r>
      <w:r w:rsidR="00105AF7" w:rsidRPr="5CCDE20D">
        <w:rPr>
          <w:rFonts w:asciiTheme="minorHAnsi" w:eastAsiaTheme="minorEastAsia" w:hAnsiTheme="minorHAnsi" w:cstheme="minorBidi"/>
          <w:sz w:val="22"/>
        </w:rPr>
        <w:t>pp.</w:t>
      </w:r>
      <w:r w:rsidRPr="5CCDE20D">
        <w:rPr>
          <w:rFonts w:asciiTheme="minorHAnsi" w:eastAsiaTheme="minorEastAsia" w:hAnsiTheme="minorHAnsi" w:cstheme="minorBidi"/>
          <w:sz w:val="22"/>
        </w:rPr>
        <w:t xml:space="preserve">112-158. </w:t>
      </w:r>
    </w:p>
    <w:p w14:paraId="7C174B87" w14:textId="0A5213D4"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Rubie-Davies CM, Weinstein RS, Huang FL, Gregory A, Cowan PA and Cowan CP (2014) ‘Successive teacher expectation effects across the early school years’, Journal of Applied Developmental Psychology, 35</w:t>
      </w:r>
      <w:r w:rsidR="005B0273" w:rsidRPr="5CCDE20D">
        <w:rPr>
          <w:sz w:val="22"/>
          <w:szCs w:val="22"/>
        </w:rPr>
        <w:t>, pp.</w:t>
      </w:r>
      <w:r w:rsidRPr="5CCDE20D">
        <w:rPr>
          <w:sz w:val="22"/>
          <w:szCs w:val="22"/>
        </w:rPr>
        <w:t>181–191</w:t>
      </w:r>
      <w:r w:rsidR="00247760" w:rsidRPr="5CCDE20D">
        <w:rPr>
          <w:sz w:val="22"/>
          <w:szCs w:val="22"/>
        </w:rPr>
        <w:t>.</w:t>
      </w:r>
    </w:p>
    <w:p w14:paraId="24B96245" w14:textId="4BC1DA22"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proofErr w:type="spellStart"/>
      <w:r w:rsidRPr="5CCDE20D">
        <w:rPr>
          <w:rFonts w:asciiTheme="minorHAnsi" w:eastAsiaTheme="minorEastAsia" w:hAnsiTheme="minorHAnsi" w:cstheme="minorBidi"/>
          <w:sz w:val="22"/>
        </w:rPr>
        <w:t>Sahlberg</w:t>
      </w:r>
      <w:proofErr w:type="spellEnd"/>
      <w:r w:rsidR="005B0273"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P</w:t>
      </w:r>
      <w:r w:rsidR="005B0273" w:rsidRPr="5CCDE20D">
        <w:rPr>
          <w:rFonts w:asciiTheme="minorHAnsi" w:eastAsiaTheme="minorEastAsia" w:hAnsiTheme="minorHAnsi" w:cstheme="minorBidi"/>
          <w:sz w:val="22"/>
        </w:rPr>
        <w:t xml:space="preserve"> </w:t>
      </w:r>
      <w:r w:rsidRPr="5CCDE20D">
        <w:rPr>
          <w:rFonts w:asciiTheme="minorHAnsi" w:eastAsiaTheme="minorEastAsia" w:hAnsiTheme="minorHAnsi" w:cstheme="minorBidi"/>
          <w:sz w:val="22"/>
        </w:rPr>
        <w:t xml:space="preserve">(2012) </w:t>
      </w:r>
      <w:r w:rsidR="005B0273" w:rsidRPr="5CCDE20D">
        <w:rPr>
          <w:rFonts w:asciiTheme="minorHAnsi" w:eastAsiaTheme="minorEastAsia" w:hAnsiTheme="minorHAnsi" w:cstheme="minorBidi"/>
          <w:sz w:val="22"/>
        </w:rPr>
        <w:t>‘</w:t>
      </w:r>
      <w:r w:rsidRPr="5CCDE20D">
        <w:rPr>
          <w:rFonts w:asciiTheme="minorHAnsi" w:eastAsiaTheme="minorEastAsia" w:hAnsiTheme="minorHAnsi" w:cstheme="minorBidi"/>
          <w:sz w:val="22"/>
        </w:rPr>
        <w:t>The most wanted: Teachers and teacher education in Finland</w:t>
      </w:r>
      <w:r w:rsidR="005B0273" w:rsidRPr="5CCDE20D">
        <w:rPr>
          <w:rFonts w:asciiTheme="minorHAnsi" w:eastAsiaTheme="minorEastAsia" w:hAnsiTheme="minorHAnsi" w:cstheme="minorBidi"/>
          <w:sz w:val="22"/>
        </w:rPr>
        <w:t>’,</w:t>
      </w:r>
      <w:r w:rsidR="0044276F" w:rsidRPr="5CCDE20D">
        <w:rPr>
          <w:rFonts w:asciiTheme="minorHAnsi" w:eastAsiaTheme="minorEastAsia" w:hAnsiTheme="minorHAnsi" w:cstheme="minorBidi"/>
          <w:sz w:val="22"/>
        </w:rPr>
        <w:t xml:space="preserve"> in</w:t>
      </w:r>
      <w:r w:rsidRPr="5CCDE20D">
        <w:rPr>
          <w:rFonts w:asciiTheme="minorHAnsi" w:eastAsiaTheme="minorEastAsia" w:hAnsiTheme="minorHAnsi" w:cstheme="minorBidi"/>
          <w:sz w:val="22"/>
        </w:rPr>
        <w:t xml:space="preserve"> L. Darling-Hammond &amp; A. Lieberman (Eds.) Teacher education around the world: Changing policies and practices</w:t>
      </w:r>
      <w:r w:rsidR="0044276F" w:rsidRPr="5CCDE20D">
        <w:rPr>
          <w:rFonts w:asciiTheme="minorHAnsi" w:eastAsiaTheme="minorEastAsia" w:hAnsiTheme="minorHAnsi" w:cstheme="minorBidi"/>
          <w:sz w:val="22"/>
        </w:rPr>
        <w:t xml:space="preserve">, Routledge, </w:t>
      </w:r>
      <w:r w:rsidRPr="5CCDE20D">
        <w:rPr>
          <w:rFonts w:asciiTheme="minorHAnsi" w:eastAsiaTheme="minorEastAsia" w:hAnsiTheme="minorHAnsi" w:cstheme="minorBidi"/>
          <w:sz w:val="22"/>
        </w:rPr>
        <w:t>pp. 1–21.</w:t>
      </w:r>
    </w:p>
    <w:p w14:paraId="76FBBE04" w14:textId="7569811B"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t>Schildkamp</w:t>
      </w:r>
      <w:proofErr w:type="spellEnd"/>
      <w:r w:rsidRPr="5CCDE20D">
        <w:rPr>
          <w:sz w:val="22"/>
          <w:szCs w:val="22"/>
        </w:rPr>
        <w:t xml:space="preserve"> K (2019) ‘Data-based decision-making for school improvement: Research insights and gaps’, Educational Research, 61</w:t>
      </w:r>
      <w:r w:rsidR="00ED5C20" w:rsidRPr="5CCDE20D">
        <w:rPr>
          <w:sz w:val="22"/>
          <w:szCs w:val="22"/>
        </w:rPr>
        <w:t>, pp.</w:t>
      </w:r>
      <w:r w:rsidRPr="5CCDE20D">
        <w:rPr>
          <w:sz w:val="22"/>
          <w:szCs w:val="22"/>
        </w:rPr>
        <w:t>1–17</w:t>
      </w:r>
      <w:r w:rsidR="00247760" w:rsidRPr="5CCDE20D">
        <w:rPr>
          <w:sz w:val="22"/>
          <w:szCs w:val="22"/>
        </w:rPr>
        <w:t>.</w:t>
      </w:r>
    </w:p>
    <w:p w14:paraId="32B58E33" w14:textId="46DE3AAB"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t>Schildkamp</w:t>
      </w:r>
      <w:proofErr w:type="spellEnd"/>
      <w:r w:rsidRPr="5CCDE20D">
        <w:rPr>
          <w:sz w:val="22"/>
          <w:szCs w:val="22"/>
        </w:rPr>
        <w:t xml:space="preserve"> K, van der </w:t>
      </w:r>
      <w:proofErr w:type="spellStart"/>
      <w:r w:rsidRPr="5CCDE20D">
        <w:rPr>
          <w:sz w:val="22"/>
          <w:szCs w:val="22"/>
        </w:rPr>
        <w:t>Kleij</w:t>
      </w:r>
      <w:proofErr w:type="spellEnd"/>
      <w:r w:rsidRPr="5CCDE20D">
        <w:rPr>
          <w:sz w:val="22"/>
          <w:szCs w:val="22"/>
        </w:rPr>
        <w:t xml:space="preserve"> FM, </w:t>
      </w:r>
      <w:proofErr w:type="spellStart"/>
      <w:r w:rsidRPr="5CCDE20D">
        <w:rPr>
          <w:sz w:val="22"/>
          <w:szCs w:val="22"/>
        </w:rPr>
        <w:t>Heitink</w:t>
      </w:r>
      <w:proofErr w:type="spellEnd"/>
      <w:r w:rsidRPr="5CCDE20D">
        <w:rPr>
          <w:sz w:val="22"/>
          <w:szCs w:val="22"/>
        </w:rPr>
        <w:t xml:space="preserve"> MC, Kippers WB and </w:t>
      </w:r>
      <w:proofErr w:type="spellStart"/>
      <w:r w:rsidRPr="5CCDE20D">
        <w:rPr>
          <w:sz w:val="22"/>
          <w:szCs w:val="22"/>
        </w:rPr>
        <w:t>Veldkamp</w:t>
      </w:r>
      <w:proofErr w:type="spellEnd"/>
      <w:r w:rsidRPr="5CCDE20D">
        <w:rPr>
          <w:sz w:val="22"/>
          <w:szCs w:val="22"/>
        </w:rPr>
        <w:t xml:space="preserve"> BP (2020) ‘Formative assessment: A systematic review of critical teacher prerequisites for classroom practice’, International Journal of Educational Research, 103</w:t>
      </w:r>
      <w:r w:rsidR="00247760" w:rsidRPr="5CCDE20D">
        <w:rPr>
          <w:sz w:val="22"/>
          <w:szCs w:val="22"/>
        </w:rPr>
        <w:t>.</w:t>
      </w:r>
    </w:p>
    <w:p w14:paraId="7A1CFFFC" w14:textId="291E5E50" w:rsidR="005545CE" w:rsidRPr="00D73D0F" w:rsidRDefault="005545CE" w:rsidP="007D6F33">
      <w:pPr>
        <w:pStyle w:val="ListParagraph"/>
        <w:numPr>
          <w:ilvl w:val="0"/>
          <w:numId w:val="34"/>
        </w:numPr>
        <w:spacing w:after="60"/>
        <w:contextualSpacing w:val="0"/>
        <w:textAlignment w:val="baseline"/>
        <w:rPr>
          <w:rFonts w:eastAsiaTheme="minorEastAsia" w:cstheme="minorHAnsi"/>
          <w:color w:val="000000"/>
          <w:sz w:val="22"/>
          <w:szCs w:val="22"/>
          <w:lang w:eastAsia="en-AU"/>
        </w:rPr>
      </w:pPr>
      <w:r w:rsidRPr="5CCDE20D">
        <w:rPr>
          <w:rFonts w:eastAsiaTheme="minorEastAsia"/>
          <w:color w:val="000000" w:themeColor="text1"/>
          <w:sz w:val="22"/>
          <w:szCs w:val="22"/>
          <w:lang w:eastAsia="en-AU"/>
        </w:rPr>
        <w:t xml:space="preserve">Schmidt U, </w:t>
      </w:r>
      <w:proofErr w:type="spellStart"/>
      <w:r w:rsidRPr="5CCDE20D">
        <w:rPr>
          <w:rFonts w:eastAsiaTheme="minorEastAsia"/>
          <w:color w:val="000000" w:themeColor="text1"/>
          <w:sz w:val="22"/>
          <w:szCs w:val="22"/>
          <w:lang w:eastAsia="en-AU"/>
        </w:rPr>
        <w:t>Besch</w:t>
      </w:r>
      <w:proofErr w:type="spellEnd"/>
      <w:r w:rsidRPr="5CCDE20D">
        <w:rPr>
          <w:rFonts w:eastAsiaTheme="minorEastAsia"/>
          <w:color w:val="000000" w:themeColor="text1"/>
          <w:sz w:val="22"/>
          <w:szCs w:val="22"/>
          <w:lang w:eastAsia="en-AU"/>
        </w:rPr>
        <w:t xml:space="preserve"> C, Schulze K, </w:t>
      </w:r>
      <w:proofErr w:type="spellStart"/>
      <w:r w:rsidRPr="5CCDE20D">
        <w:rPr>
          <w:rFonts w:eastAsiaTheme="minorEastAsia"/>
          <w:color w:val="000000" w:themeColor="text1"/>
          <w:sz w:val="22"/>
          <w:szCs w:val="22"/>
          <w:lang w:eastAsia="en-AU"/>
        </w:rPr>
        <w:t>Heinzelmann</w:t>
      </w:r>
      <w:proofErr w:type="spellEnd"/>
      <w:r w:rsidRPr="5CCDE20D">
        <w:rPr>
          <w:rFonts w:eastAsiaTheme="minorEastAsia"/>
          <w:color w:val="000000" w:themeColor="text1"/>
          <w:sz w:val="22"/>
          <w:szCs w:val="22"/>
          <w:lang w:eastAsia="en-AU"/>
        </w:rPr>
        <w:t xml:space="preserve"> S and Andersson M (2020) </w:t>
      </w:r>
      <w:r w:rsidR="00C71ADA" w:rsidRPr="5CCDE20D">
        <w:rPr>
          <w:rFonts w:eastAsiaTheme="minorEastAsia"/>
          <w:color w:val="000000" w:themeColor="text1"/>
          <w:sz w:val="22"/>
          <w:szCs w:val="22"/>
          <w:lang w:eastAsia="en-AU"/>
        </w:rPr>
        <w:t>‘</w:t>
      </w:r>
      <w:r w:rsidRPr="5CCDE20D">
        <w:rPr>
          <w:rFonts w:eastAsiaTheme="minorEastAsia"/>
          <w:color w:val="000000" w:themeColor="text1"/>
          <w:sz w:val="22"/>
          <w:szCs w:val="22"/>
          <w:lang w:eastAsia="en-AU"/>
        </w:rPr>
        <w:t>Evaluation des Bund-Länder-</w:t>
      </w:r>
      <w:proofErr w:type="spellStart"/>
      <w:r w:rsidRPr="5CCDE20D">
        <w:rPr>
          <w:rFonts w:eastAsiaTheme="minorEastAsia"/>
          <w:color w:val="000000" w:themeColor="text1"/>
          <w:sz w:val="22"/>
          <w:szCs w:val="22"/>
          <w:lang w:eastAsia="en-AU"/>
        </w:rPr>
        <w:t>Programms</w:t>
      </w:r>
      <w:proofErr w:type="spellEnd"/>
      <w:r w:rsidRPr="5CCDE20D">
        <w:rPr>
          <w:rFonts w:eastAsiaTheme="minorEastAsia"/>
          <w:color w:val="000000" w:themeColor="text1"/>
          <w:sz w:val="22"/>
          <w:szCs w:val="22"/>
          <w:lang w:eastAsia="en-AU"/>
        </w:rPr>
        <w:t xml:space="preserve"> für </w:t>
      </w:r>
      <w:proofErr w:type="spellStart"/>
      <w:r w:rsidRPr="5CCDE20D">
        <w:rPr>
          <w:rFonts w:eastAsiaTheme="minorEastAsia"/>
          <w:color w:val="000000" w:themeColor="text1"/>
          <w:sz w:val="22"/>
          <w:szCs w:val="22"/>
          <w:lang w:eastAsia="en-AU"/>
        </w:rPr>
        <w:t>bessere</w:t>
      </w:r>
      <w:proofErr w:type="spellEnd"/>
      <w:r w:rsidRPr="5CCDE20D">
        <w:rPr>
          <w:rFonts w:eastAsiaTheme="minorEastAsia"/>
          <w:color w:val="000000" w:themeColor="text1"/>
          <w:sz w:val="22"/>
          <w:szCs w:val="22"/>
          <w:lang w:eastAsia="en-AU"/>
        </w:rPr>
        <w:t xml:space="preserve"> </w:t>
      </w:r>
      <w:proofErr w:type="spellStart"/>
      <w:r w:rsidRPr="5CCDE20D">
        <w:rPr>
          <w:rFonts w:eastAsiaTheme="minorEastAsia"/>
          <w:color w:val="000000" w:themeColor="text1"/>
          <w:sz w:val="22"/>
          <w:szCs w:val="22"/>
          <w:lang w:eastAsia="en-AU"/>
        </w:rPr>
        <w:t>Studienbedingungen</w:t>
      </w:r>
      <w:proofErr w:type="spellEnd"/>
      <w:r w:rsidRPr="5CCDE20D">
        <w:rPr>
          <w:rFonts w:eastAsiaTheme="minorEastAsia"/>
          <w:color w:val="000000" w:themeColor="text1"/>
          <w:sz w:val="22"/>
          <w:szCs w:val="22"/>
          <w:lang w:eastAsia="en-AU"/>
        </w:rPr>
        <w:t xml:space="preserve"> und </w:t>
      </w:r>
      <w:proofErr w:type="spellStart"/>
      <w:r w:rsidRPr="5CCDE20D">
        <w:rPr>
          <w:rFonts w:eastAsiaTheme="minorEastAsia"/>
          <w:color w:val="000000" w:themeColor="text1"/>
          <w:sz w:val="22"/>
          <w:szCs w:val="22"/>
          <w:lang w:eastAsia="en-AU"/>
        </w:rPr>
        <w:t>mehr</w:t>
      </w:r>
      <w:proofErr w:type="spellEnd"/>
      <w:r w:rsidRPr="5CCDE20D">
        <w:rPr>
          <w:rFonts w:eastAsiaTheme="minorEastAsia"/>
          <w:color w:val="000000" w:themeColor="text1"/>
          <w:sz w:val="22"/>
          <w:szCs w:val="22"/>
          <w:lang w:eastAsia="en-AU"/>
        </w:rPr>
        <w:t xml:space="preserve"> </w:t>
      </w:r>
      <w:proofErr w:type="spellStart"/>
      <w:r w:rsidRPr="5CCDE20D">
        <w:rPr>
          <w:rFonts w:eastAsiaTheme="minorEastAsia"/>
          <w:color w:val="000000" w:themeColor="text1"/>
          <w:sz w:val="22"/>
          <w:szCs w:val="22"/>
          <w:lang w:eastAsia="en-AU"/>
        </w:rPr>
        <w:t>Qualität</w:t>
      </w:r>
      <w:proofErr w:type="spellEnd"/>
      <w:r w:rsidRPr="5CCDE20D">
        <w:rPr>
          <w:rFonts w:eastAsiaTheme="minorEastAsia"/>
          <w:color w:val="000000" w:themeColor="text1"/>
          <w:sz w:val="22"/>
          <w:szCs w:val="22"/>
          <w:lang w:eastAsia="en-AU"/>
        </w:rPr>
        <w:t xml:space="preserve"> in der </w:t>
      </w:r>
      <w:proofErr w:type="spellStart"/>
      <w:r w:rsidRPr="5CCDE20D">
        <w:rPr>
          <w:rFonts w:eastAsiaTheme="minorEastAsia"/>
          <w:color w:val="000000" w:themeColor="text1"/>
          <w:sz w:val="22"/>
          <w:szCs w:val="22"/>
          <w:lang w:eastAsia="en-AU"/>
        </w:rPr>
        <w:t>Lehre</w:t>
      </w:r>
      <w:proofErr w:type="spellEnd"/>
      <w:r w:rsidR="00C71ADA" w:rsidRPr="5CCDE20D">
        <w:rPr>
          <w:rFonts w:eastAsiaTheme="minorEastAsia"/>
          <w:color w:val="000000" w:themeColor="text1"/>
          <w:sz w:val="22"/>
          <w:szCs w:val="22"/>
          <w:lang w:eastAsia="en-AU"/>
        </w:rPr>
        <w:t>’</w:t>
      </w:r>
      <w:r w:rsidRPr="5CCDE20D">
        <w:rPr>
          <w:rFonts w:eastAsiaTheme="minorEastAsia"/>
          <w:color w:val="000000" w:themeColor="text1"/>
          <w:sz w:val="22"/>
          <w:szCs w:val="22"/>
          <w:lang w:eastAsia="en-AU"/>
        </w:rPr>
        <w:t xml:space="preserve">, </w:t>
      </w:r>
      <w:proofErr w:type="spellStart"/>
      <w:r w:rsidRPr="5CCDE20D">
        <w:rPr>
          <w:rFonts w:eastAsiaTheme="minorEastAsia"/>
          <w:color w:val="000000" w:themeColor="text1"/>
          <w:sz w:val="22"/>
          <w:szCs w:val="22"/>
          <w:lang w:eastAsia="en-AU"/>
        </w:rPr>
        <w:t>Center</w:t>
      </w:r>
      <w:proofErr w:type="spellEnd"/>
      <w:r w:rsidRPr="5CCDE20D">
        <w:rPr>
          <w:rFonts w:eastAsiaTheme="minorEastAsia"/>
          <w:color w:val="000000" w:themeColor="text1"/>
          <w:sz w:val="22"/>
          <w:szCs w:val="22"/>
          <w:lang w:eastAsia="en-AU"/>
        </w:rPr>
        <w:t xml:space="preserve"> for Quality Assurance and Development</w:t>
      </w:r>
      <w:r w:rsidR="007A62DA" w:rsidRPr="5CCDE20D">
        <w:rPr>
          <w:rFonts w:eastAsiaTheme="minorEastAsia"/>
          <w:color w:val="000000" w:themeColor="text1"/>
          <w:sz w:val="22"/>
          <w:szCs w:val="22"/>
          <w:lang w:eastAsia="en-AU"/>
        </w:rPr>
        <w:t xml:space="preserve">, </w:t>
      </w:r>
      <w:hyperlink r:id="rId72">
        <w:r w:rsidR="007A62DA" w:rsidRPr="5CCDE20D">
          <w:rPr>
            <w:rFonts w:eastAsiaTheme="minorEastAsia"/>
            <w:color w:val="000000" w:themeColor="text1"/>
            <w:sz w:val="22"/>
            <w:szCs w:val="22"/>
            <w:lang w:eastAsia="en-AU"/>
          </w:rPr>
          <w:t>Johannes Gutenberg University</w:t>
        </w:r>
        <w:r w:rsidR="005F666B" w:rsidRPr="5CCDE20D">
          <w:rPr>
            <w:rFonts w:eastAsiaTheme="minorEastAsia"/>
            <w:color w:val="000000" w:themeColor="text1"/>
            <w:sz w:val="22"/>
            <w:szCs w:val="22"/>
            <w:lang w:eastAsia="en-AU"/>
          </w:rPr>
          <w:t>,</w:t>
        </w:r>
        <w:r w:rsidR="007A62DA" w:rsidRPr="5CCDE20D">
          <w:rPr>
            <w:rFonts w:eastAsiaTheme="minorEastAsia"/>
            <w:color w:val="000000" w:themeColor="text1"/>
            <w:sz w:val="22"/>
            <w:szCs w:val="22"/>
            <w:lang w:eastAsia="en-AU"/>
          </w:rPr>
          <w:t xml:space="preserve"> Mainz</w:t>
        </w:r>
      </w:hyperlink>
      <w:r w:rsidRPr="5CCDE20D">
        <w:rPr>
          <w:rFonts w:eastAsiaTheme="minorEastAsia"/>
          <w:color w:val="000000" w:themeColor="text1"/>
          <w:sz w:val="22"/>
          <w:szCs w:val="22"/>
          <w:lang w:eastAsia="en-AU"/>
        </w:rPr>
        <w:t>. </w:t>
      </w:r>
    </w:p>
    <w:p w14:paraId="606512F7" w14:textId="0682D363" w:rsidR="00614743" w:rsidRPr="00D73D0F" w:rsidRDefault="00614743" w:rsidP="00242E7E">
      <w:pPr>
        <w:pStyle w:val="ListParagraph"/>
        <w:numPr>
          <w:ilvl w:val="0"/>
          <w:numId w:val="34"/>
        </w:numPr>
        <w:spacing w:after="60"/>
        <w:contextualSpacing w:val="0"/>
        <w:textAlignment w:val="baseline"/>
        <w:rPr>
          <w:rFonts w:eastAsiaTheme="minorEastAsia" w:cstheme="minorHAnsi"/>
          <w:color w:val="000000"/>
          <w:sz w:val="22"/>
          <w:szCs w:val="22"/>
          <w:lang w:eastAsia="en-AU"/>
        </w:rPr>
      </w:pPr>
      <w:proofErr w:type="spellStart"/>
      <w:r w:rsidRPr="5CCDE20D">
        <w:rPr>
          <w:rFonts w:eastAsiaTheme="minorEastAsia"/>
          <w:color w:val="000000" w:themeColor="text1"/>
          <w:sz w:val="22"/>
          <w:szCs w:val="22"/>
          <w:lang w:eastAsia="en-AU"/>
        </w:rPr>
        <w:t>Siemon</w:t>
      </w:r>
      <w:proofErr w:type="spellEnd"/>
      <w:r w:rsidRPr="5CCDE20D">
        <w:rPr>
          <w:rFonts w:eastAsiaTheme="minorEastAsia"/>
          <w:color w:val="000000" w:themeColor="text1"/>
          <w:sz w:val="22"/>
          <w:szCs w:val="22"/>
          <w:lang w:eastAsia="en-AU"/>
        </w:rPr>
        <w:t xml:space="preserve"> D, </w:t>
      </w:r>
      <w:r w:rsidR="000B57E8" w:rsidRPr="5CCDE20D">
        <w:rPr>
          <w:rFonts w:eastAsiaTheme="minorEastAsia"/>
          <w:color w:val="000000" w:themeColor="text1"/>
          <w:sz w:val="22"/>
          <w:szCs w:val="22"/>
          <w:lang w:eastAsia="en-AU"/>
        </w:rPr>
        <w:t xml:space="preserve">‘Issues with the Teaching of Mathematics: </w:t>
      </w:r>
      <w:r w:rsidR="00A22373" w:rsidRPr="5CCDE20D">
        <w:rPr>
          <w:rFonts w:eastAsiaTheme="minorEastAsia"/>
          <w:color w:val="000000" w:themeColor="text1"/>
          <w:sz w:val="22"/>
          <w:szCs w:val="22"/>
          <w:lang w:eastAsia="en-AU"/>
        </w:rPr>
        <w:t>Teaching with the Big Ideas in Mathematics’</w:t>
      </w:r>
      <w:r w:rsidR="00210DDA" w:rsidRPr="5CCDE20D">
        <w:rPr>
          <w:rFonts w:eastAsiaTheme="minorEastAsia"/>
          <w:color w:val="000000" w:themeColor="text1"/>
          <w:sz w:val="22"/>
          <w:szCs w:val="22"/>
          <w:lang w:eastAsia="en-AU"/>
        </w:rPr>
        <w:t xml:space="preserve"> (2022)</w:t>
      </w:r>
      <w:r w:rsidR="0084151D" w:rsidRPr="5CCDE20D">
        <w:rPr>
          <w:rFonts w:eastAsiaTheme="minorEastAsia"/>
          <w:color w:val="000000" w:themeColor="text1"/>
          <w:sz w:val="22"/>
          <w:szCs w:val="22"/>
          <w:lang w:eastAsia="en-AU"/>
        </w:rPr>
        <w:t>, State of Victoria (Department of Education and Training</w:t>
      </w:r>
      <w:r w:rsidR="003A3176" w:rsidRPr="5CCDE20D">
        <w:rPr>
          <w:rFonts w:eastAsiaTheme="minorEastAsia"/>
          <w:color w:val="000000" w:themeColor="text1"/>
          <w:sz w:val="22"/>
          <w:szCs w:val="22"/>
          <w:lang w:eastAsia="en-AU"/>
        </w:rPr>
        <w:t>).</w:t>
      </w:r>
    </w:p>
    <w:p w14:paraId="45954EFF" w14:textId="5779972A"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Simonsen B, Fairbanks S, </w:t>
      </w:r>
      <w:proofErr w:type="spellStart"/>
      <w:r w:rsidRPr="5CCDE20D">
        <w:rPr>
          <w:sz w:val="22"/>
          <w:szCs w:val="22"/>
        </w:rPr>
        <w:t>Briesch</w:t>
      </w:r>
      <w:proofErr w:type="spellEnd"/>
      <w:r w:rsidRPr="5CCDE20D">
        <w:rPr>
          <w:sz w:val="22"/>
          <w:szCs w:val="22"/>
        </w:rPr>
        <w:t xml:space="preserve"> A, Myers D and </w:t>
      </w:r>
      <w:proofErr w:type="spellStart"/>
      <w:r w:rsidRPr="5CCDE20D">
        <w:rPr>
          <w:sz w:val="22"/>
          <w:szCs w:val="22"/>
        </w:rPr>
        <w:t>Sugai</w:t>
      </w:r>
      <w:proofErr w:type="spellEnd"/>
      <w:r w:rsidRPr="5CCDE20D">
        <w:rPr>
          <w:sz w:val="22"/>
          <w:szCs w:val="22"/>
        </w:rPr>
        <w:t xml:space="preserve"> G (2008) ‘Evidence-based practices in classroom management: Considerations for research to practice’, Education &amp; Treatment of Children, 31</w:t>
      </w:r>
      <w:r w:rsidR="005F666B" w:rsidRPr="5CCDE20D">
        <w:rPr>
          <w:sz w:val="22"/>
          <w:szCs w:val="22"/>
        </w:rPr>
        <w:t>, pp.</w:t>
      </w:r>
      <w:r w:rsidRPr="5CCDE20D">
        <w:rPr>
          <w:sz w:val="22"/>
          <w:szCs w:val="22"/>
        </w:rPr>
        <w:t>351–380</w:t>
      </w:r>
      <w:r w:rsidR="00D73D0F" w:rsidRPr="5CCDE20D">
        <w:rPr>
          <w:sz w:val="22"/>
          <w:szCs w:val="22"/>
        </w:rPr>
        <w:t>.</w:t>
      </w:r>
    </w:p>
    <w:p w14:paraId="0C046E92" w14:textId="65B1C287"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Son LK and Simon DA (2012) ‘Distributed learning: Data, metacognition, and educational implications’, Educational Psychology Review, 24</w:t>
      </w:r>
      <w:r w:rsidR="005F666B" w:rsidRPr="5CCDE20D">
        <w:rPr>
          <w:sz w:val="22"/>
          <w:szCs w:val="22"/>
        </w:rPr>
        <w:t>, pp.</w:t>
      </w:r>
      <w:r w:rsidRPr="5CCDE20D">
        <w:rPr>
          <w:sz w:val="22"/>
          <w:szCs w:val="22"/>
        </w:rPr>
        <w:t>379–399</w:t>
      </w:r>
      <w:r w:rsidR="00D73D0F" w:rsidRPr="5CCDE20D">
        <w:rPr>
          <w:sz w:val="22"/>
          <w:szCs w:val="22"/>
        </w:rPr>
        <w:t>.</w:t>
      </w:r>
    </w:p>
    <w:p w14:paraId="21129A07" w14:textId="32F33A65"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lastRenderedPageBreak/>
        <w:t xml:space="preserve">Sousa DA (2011) ‘Commentary: Mind, Brain, and Education: The Impact of Educational Neuroscience on the Science of Teaching’, </w:t>
      </w:r>
      <w:proofErr w:type="spellStart"/>
      <w:r w:rsidRPr="5CCDE20D">
        <w:rPr>
          <w:sz w:val="22"/>
          <w:szCs w:val="22"/>
        </w:rPr>
        <w:t>LEARNing</w:t>
      </w:r>
      <w:proofErr w:type="spellEnd"/>
      <w:r w:rsidRPr="5CCDE20D">
        <w:rPr>
          <w:sz w:val="22"/>
          <w:szCs w:val="22"/>
        </w:rPr>
        <w:t xml:space="preserve"> Landscapes, 5(1)</w:t>
      </w:r>
      <w:r w:rsidR="005F666B" w:rsidRPr="5CCDE20D">
        <w:rPr>
          <w:sz w:val="22"/>
          <w:szCs w:val="22"/>
        </w:rPr>
        <w:t>, pp.</w:t>
      </w:r>
      <w:r w:rsidRPr="5CCDE20D">
        <w:rPr>
          <w:sz w:val="22"/>
          <w:szCs w:val="22"/>
        </w:rPr>
        <w:t>37–43</w:t>
      </w:r>
      <w:r w:rsidR="00D73D0F" w:rsidRPr="5CCDE20D">
        <w:rPr>
          <w:sz w:val="22"/>
          <w:szCs w:val="22"/>
        </w:rPr>
        <w:t>.</w:t>
      </w:r>
    </w:p>
    <w:p w14:paraId="33C79A09" w14:textId="18A8CEAB"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5CCDE20D">
        <w:rPr>
          <w:rFonts w:asciiTheme="minorHAnsi" w:eastAsiaTheme="minorEastAsia" w:hAnsiTheme="minorHAnsi" w:cstheme="minorBidi"/>
          <w:sz w:val="22"/>
        </w:rPr>
        <w:t xml:space="preserve">State of Louisiana Board of Regents (2019) </w:t>
      </w:r>
      <w:r w:rsidR="00F81C2C" w:rsidRPr="5CCDE20D">
        <w:rPr>
          <w:rFonts w:asciiTheme="minorHAnsi" w:eastAsiaTheme="minorEastAsia" w:hAnsiTheme="minorHAnsi" w:cstheme="minorBidi"/>
          <w:sz w:val="22"/>
        </w:rPr>
        <w:t>‘</w:t>
      </w:r>
      <w:r w:rsidR="00F81C2C" w:rsidRPr="5CCDE20D">
        <w:rPr>
          <w:rStyle w:val="Strong"/>
          <w:rFonts w:asciiTheme="minorHAnsi" w:hAnsiTheme="minorHAnsi" w:cstheme="minorBidi"/>
          <w:b w:val="0"/>
          <w:color w:val="0A0A0A"/>
          <w:sz w:val="22"/>
          <w:shd w:val="clear" w:color="auto" w:fill="FEFEFE"/>
        </w:rPr>
        <w:t xml:space="preserve">Granting Resources and </w:t>
      </w:r>
      <w:r w:rsidR="00B77CF9" w:rsidRPr="5CCDE20D">
        <w:rPr>
          <w:rStyle w:val="Strong"/>
          <w:rFonts w:asciiTheme="minorHAnsi" w:hAnsiTheme="minorHAnsi" w:cstheme="minorBidi"/>
          <w:b w:val="0"/>
          <w:color w:val="0A0A0A"/>
          <w:sz w:val="22"/>
          <w:shd w:val="clear" w:color="auto" w:fill="FEFEFE"/>
        </w:rPr>
        <w:t xml:space="preserve">Autonomies for Diplomas </w:t>
      </w:r>
      <w:r w:rsidR="00F81C2C" w:rsidRPr="5CCDE20D">
        <w:rPr>
          <w:rFonts w:asciiTheme="minorHAnsi" w:eastAsiaTheme="minorEastAsia" w:hAnsiTheme="minorHAnsi" w:cstheme="minorBidi"/>
          <w:sz w:val="22"/>
        </w:rPr>
        <w:t xml:space="preserve">(GRAD) </w:t>
      </w:r>
      <w:r w:rsidRPr="5CCDE20D">
        <w:rPr>
          <w:rFonts w:asciiTheme="minorHAnsi" w:eastAsiaTheme="minorEastAsia" w:hAnsiTheme="minorHAnsi" w:cstheme="minorBidi"/>
          <w:sz w:val="22"/>
        </w:rPr>
        <w:t>Act</w:t>
      </w:r>
      <w:r w:rsidR="00F81C2C" w:rsidRPr="5CCDE20D">
        <w:rPr>
          <w:rFonts w:asciiTheme="minorHAnsi" w:eastAsiaTheme="minorEastAsia" w:hAnsiTheme="minorHAnsi" w:cstheme="minorBidi"/>
          <w:sz w:val="22"/>
        </w:rPr>
        <w:t>’</w:t>
      </w:r>
      <w:r w:rsidR="00D01997" w:rsidRPr="5CCDE20D">
        <w:rPr>
          <w:rFonts w:asciiTheme="minorHAnsi" w:eastAsiaTheme="minorEastAsia" w:hAnsiTheme="minorHAnsi" w:cstheme="minorBidi"/>
          <w:sz w:val="22"/>
        </w:rPr>
        <w:t>, State of Louisiana Board of Regents</w:t>
      </w:r>
      <w:r w:rsidR="00282613" w:rsidRPr="5CCDE20D">
        <w:rPr>
          <w:rFonts w:asciiTheme="minorHAnsi" w:eastAsiaTheme="minorEastAsia" w:hAnsiTheme="minorHAnsi" w:cstheme="minorBidi"/>
          <w:sz w:val="22"/>
        </w:rPr>
        <w:t>.</w:t>
      </w:r>
    </w:p>
    <w:p w14:paraId="0E7227EA" w14:textId="0DF4D1F8" w:rsidR="00B84645" w:rsidRPr="006C32EE" w:rsidRDefault="00B84645" w:rsidP="00B84645">
      <w:pPr>
        <w:pStyle w:val="ListParagraph"/>
        <w:numPr>
          <w:ilvl w:val="0"/>
          <w:numId w:val="34"/>
        </w:numPr>
        <w:rPr>
          <w:sz w:val="22"/>
          <w:szCs w:val="22"/>
        </w:rPr>
      </w:pPr>
      <w:r w:rsidRPr="006C32EE">
        <w:rPr>
          <w:sz w:val="22"/>
          <w:szCs w:val="22"/>
        </w:rPr>
        <w:t>Sullivan</w:t>
      </w:r>
      <w:r w:rsidR="003A18D5" w:rsidRPr="006C32EE">
        <w:rPr>
          <w:sz w:val="22"/>
          <w:szCs w:val="22"/>
        </w:rPr>
        <w:t xml:space="preserve"> P</w:t>
      </w:r>
      <w:r w:rsidR="006C0DB8" w:rsidRPr="006C32EE">
        <w:rPr>
          <w:sz w:val="22"/>
          <w:szCs w:val="22"/>
        </w:rPr>
        <w:t xml:space="preserve"> (2011)</w:t>
      </w:r>
      <w:r w:rsidR="00C52B11" w:rsidRPr="006C32EE">
        <w:rPr>
          <w:sz w:val="22"/>
          <w:szCs w:val="22"/>
        </w:rPr>
        <w:t xml:space="preserve"> ‘Teaching Mathematics: Using Research Informed Strategies</w:t>
      </w:r>
      <w:r w:rsidR="00943E21" w:rsidRPr="006C32EE">
        <w:rPr>
          <w:sz w:val="22"/>
          <w:szCs w:val="22"/>
        </w:rPr>
        <w:t xml:space="preserve">, ACER </w:t>
      </w:r>
      <w:r w:rsidR="005C4A51" w:rsidRPr="006C32EE">
        <w:rPr>
          <w:sz w:val="22"/>
          <w:szCs w:val="22"/>
        </w:rPr>
        <w:t>P</w:t>
      </w:r>
      <w:r w:rsidR="00943E21" w:rsidRPr="006C32EE">
        <w:rPr>
          <w:sz w:val="22"/>
          <w:szCs w:val="22"/>
        </w:rPr>
        <w:t>ress</w:t>
      </w:r>
      <w:r w:rsidR="006C32EE" w:rsidRPr="006C32EE">
        <w:rPr>
          <w:sz w:val="22"/>
          <w:szCs w:val="22"/>
        </w:rPr>
        <w:t>.</w:t>
      </w:r>
      <w:r w:rsidR="00C52B11" w:rsidRPr="006C32EE">
        <w:rPr>
          <w:sz w:val="22"/>
          <w:szCs w:val="22"/>
        </w:rPr>
        <w:t xml:space="preserve"> </w:t>
      </w:r>
    </w:p>
    <w:p w14:paraId="151261E2" w14:textId="71D7E799" w:rsidR="005545CE" w:rsidRPr="00D73D0F" w:rsidRDefault="005545CE" w:rsidP="007D6F33">
      <w:pPr>
        <w:pStyle w:val="ListParagraph"/>
        <w:numPr>
          <w:ilvl w:val="0"/>
          <w:numId w:val="34"/>
        </w:numPr>
        <w:spacing w:after="60"/>
        <w:contextualSpacing w:val="0"/>
        <w:rPr>
          <w:rFonts w:cstheme="minorHAnsi"/>
          <w:sz w:val="22"/>
          <w:szCs w:val="22"/>
        </w:rPr>
      </w:pPr>
      <w:r w:rsidRPr="5CCDE20D">
        <w:rPr>
          <w:sz w:val="22"/>
          <w:szCs w:val="22"/>
        </w:rPr>
        <w:t xml:space="preserve">Summerfield C and </w:t>
      </w:r>
      <w:proofErr w:type="spellStart"/>
      <w:r w:rsidRPr="5CCDE20D">
        <w:rPr>
          <w:sz w:val="22"/>
          <w:szCs w:val="22"/>
        </w:rPr>
        <w:t>Egner</w:t>
      </w:r>
      <w:proofErr w:type="spellEnd"/>
      <w:r w:rsidRPr="5CCDE20D">
        <w:rPr>
          <w:sz w:val="22"/>
          <w:szCs w:val="22"/>
        </w:rPr>
        <w:t xml:space="preserve"> T (2009) ‘Expectation (and attention) in visual cognition’, Trends in Cognitive Sciences, 13(9)</w:t>
      </w:r>
      <w:r w:rsidR="00282613" w:rsidRPr="5CCDE20D">
        <w:rPr>
          <w:sz w:val="22"/>
          <w:szCs w:val="22"/>
        </w:rPr>
        <w:t>, pp.</w:t>
      </w:r>
      <w:r w:rsidRPr="5CCDE20D">
        <w:rPr>
          <w:sz w:val="22"/>
          <w:szCs w:val="22"/>
        </w:rPr>
        <w:t>403–409</w:t>
      </w:r>
      <w:r w:rsidR="00D73D0F" w:rsidRPr="5CCDE20D">
        <w:rPr>
          <w:sz w:val="22"/>
          <w:szCs w:val="22"/>
        </w:rPr>
        <w:t>.</w:t>
      </w:r>
    </w:p>
    <w:p w14:paraId="7D41EA26" w14:textId="69A9D47A"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t>Sweller</w:t>
      </w:r>
      <w:proofErr w:type="spellEnd"/>
      <w:r w:rsidRPr="5CCDE20D">
        <w:rPr>
          <w:sz w:val="22"/>
          <w:szCs w:val="22"/>
        </w:rPr>
        <w:t xml:space="preserve"> J (2016) ‘Working memory, long-term memory, and instructional design’, Journal of Applied Research in Memory and Cognition, 5</w:t>
      </w:r>
      <w:r w:rsidR="00282613" w:rsidRPr="5CCDE20D">
        <w:rPr>
          <w:sz w:val="22"/>
          <w:szCs w:val="22"/>
        </w:rPr>
        <w:t>, pp.</w:t>
      </w:r>
      <w:r w:rsidRPr="5CCDE20D">
        <w:rPr>
          <w:sz w:val="22"/>
          <w:szCs w:val="22"/>
        </w:rPr>
        <w:t>360–367</w:t>
      </w:r>
      <w:r w:rsidR="00D73D0F" w:rsidRPr="5CCDE20D">
        <w:rPr>
          <w:sz w:val="22"/>
          <w:szCs w:val="22"/>
        </w:rPr>
        <w:t>.</w:t>
      </w:r>
    </w:p>
    <w:p w14:paraId="64C0A5D8" w14:textId="1B0A1BE3"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5CCDE20D">
        <w:rPr>
          <w:sz w:val="22"/>
          <w:szCs w:val="22"/>
        </w:rPr>
        <w:t>Sweller</w:t>
      </w:r>
      <w:proofErr w:type="spellEnd"/>
      <w:r w:rsidRPr="5CCDE20D">
        <w:rPr>
          <w:sz w:val="22"/>
          <w:szCs w:val="22"/>
        </w:rPr>
        <w:t xml:space="preserve"> J, Van </w:t>
      </w:r>
      <w:proofErr w:type="spellStart"/>
      <w:r w:rsidRPr="5CCDE20D">
        <w:rPr>
          <w:sz w:val="22"/>
          <w:szCs w:val="22"/>
        </w:rPr>
        <w:t>Merrienboer</w:t>
      </w:r>
      <w:proofErr w:type="spellEnd"/>
      <w:r w:rsidRPr="5CCDE20D">
        <w:rPr>
          <w:sz w:val="22"/>
          <w:szCs w:val="22"/>
        </w:rPr>
        <w:t xml:space="preserve"> JJG and </w:t>
      </w:r>
      <w:proofErr w:type="spellStart"/>
      <w:r w:rsidRPr="5CCDE20D">
        <w:rPr>
          <w:sz w:val="22"/>
          <w:szCs w:val="22"/>
        </w:rPr>
        <w:t>Paas</w:t>
      </w:r>
      <w:proofErr w:type="spellEnd"/>
      <w:r w:rsidRPr="5CCDE20D">
        <w:rPr>
          <w:sz w:val="22"/>
          <w:szCs w:val="22"/>
        </w:rPr>
        <w:t xml:space="preserve"> F (1998) ‘Cognitive Architecture and Instructional Design’, Educational Psychology Review, 10</w:t>
      </w:r>
      <w:r w:rsidR="00E535C2" w:rsidRPr="5CCDE20D">
        <w:rPr>
          <w:sz w:val="22"/>
          <w:szCs w:val="22"/>
        </w:rPr>
        <w:t>(3), pp.</w:t>
      </w:r>
      <w:r w:rsidRPr="5CCDE20D">
        <w:rPr>
          <w:sz w:val="22"/>
          <w:szCs w:val="22"/>
        </w:rPr>
        <w:t>251</w:t>
      </w:r>
      <w:r w:rsidR="00E535C2" w:rsidRPr="5CCDE20D">
        <w:rPr>
          <w:sz w:val="22"/>
          <w:szCs w:val="22"/>
        </w:rPr>
        <w:t>-296</w:t>
      </w:r>
      <w:r w:rsidR="00D73D0F" w:rsidRPr="5CCDE20D">
        <w:rPr>
          <w:sz w:val="22"/>
          <w:szCs w:val="22"/>
        </w:rPr>
        <w:t>.</w:t>
      </w:r>
    </w:p>
    <w:p w14:paraId="4DA73AFE" w14:textId="3E0CD62D" w:rsidR="005545CE" w:rsidRPr="00D73D0F" w:rsidRDefault="005545CE" w:rsidP="007D6F33">
      <w:pPr>
        <w:pStyle w:val="ListParagraph"/>
        <w:numPr>
          <w:ilvl w:val="0"/>
          <w:numId w:val="34"/>
        </w:numPr>
        <w:autoSpaceDE w:val="0"/>
        <w:autoSpaceDN w:val="0"/>
        <w:adjustRightInd w:val="0"/>
        <w:spacing w:after="60"/>
        <w:contextualSpacing w:val="0"/>
        <w:rPr>
          <w:rFonts w:eastAsiaTheme="minorEastAsia" w:cstheme="minorHAnsi"/>
          <w:sz w:val="22"/>
          <w:szCs w:val="22"/>
        </w:rPr>
      </w:pPr>
      <w:r w:rsidRPr="5CCDE20D">
        <w:rPr>
          <w:rFonts w:eastAsiaTheme="minorEastAsia"/>
          <w:sz w:val="22"/>
          <w:szCs w:val="22"/>
        </w:rPr>
        <w:t xml:space="preserve">TEMAG (2014) </w:t>
      </w:r>
      <w:r w:rsidR="00AC4D3B" w:rsidRPr="5CCDE20D">
        <w:rPr>
          <w:rFonts w:eastAsiaTheme="minorEastAsia"/>
          <w:sz w:val="22"/>
          <w:szCs w:val="22"/>
        </w:rPr>
        <w:t>‘</w:t>
      </w:r>
      <w:r w:rsidRPr="5CCDE20D">
        <w:rPr>
          <w:rFonts w:eastAsiaTheme="minorEastAsia"/>
          <w:sz w:val="22"/>
          <w:szCs w:val="22"/>
        </w:rPr>
        <w:t>Action Now: Classroom Ready Teachers</w:t>
      </w:r>
      <w:r w:rsidR="001C4F14" w:rsidRPr="5CCDE20D">
        <w:rPr>
          <w:rFonts w:eastAsiaTheme="minorEastAsia"/>
          <w:sz w:val="22"/>
          <w:szCs w:val="22"/>
        </w:rPr>
        <w:t xml:space="preserve"> – Report of the Teacher Education Ministerial Advisory Group (TEMAG)</w:t>
      </w:r>
      <w:r w:rsidR="00AC4D3B" w:rsidRPr="5CCDE20D">
        <w:rPr>
          <w:rFonts w:eastAsiaTheme="minorEastAsia"/>
          <w:sz w:val="22"/>
          <w:szCs w:val="22"/>
        </w:rPr>
        <w:t>’</w:t>
      </w:r>
      <w:r w:rsidRPr="5CCDE20D">
        <w:rPr>
          <w:rFonts w:eastAsiaTheme="minorEastAsia"/>
          <w:sz w:val="22"/>
          <w:szCs w:val="22"/>
        </w:rPr>
        <w:t xml:space="preserve">, </w:t>
      </w:r>
      <w:r w:rsidR="00AC4D3B" w:rsidRPr="5CCDE20D">
        <w:rPr>
          <w:rFonts w:eastAsiaTheme="minorEastAsia"/>
          <w:sz w:val="22"/>
          <w:szCs w:val="22"/>
        </w:rPr>
        <w:t>Australian Government Department of Education</w:t>
      </w:r>
      <w:r w:rsidRPr="5CCDE20D">
        <w:rPr>
          <w:rFonts w:eastAsiaTheme="minorEastAsia"/>
          <w:sz w:val="22"/>
          <w:szCs w:val="22"/>
        </w:rPr>
        <w:t>.</w:t>
      </w:r>
    </w:p>
    <w:p w14:paraId="238EEEDA" w14:textId="33518171" w:rsidR="005545CE" w:rsidRPr="00D73D0F" w:rsidRDefault="005545CE" w:rsidP="007D6F33">
      <w:pPr>
        <w:pStyle w:val="References"/>
        <w:numPr>
          <w:ilvl w:val="0"/>
          <w:numId w:val="34"/>
        </w:numPr>
        <w:spacing w:line="240" w:lineRule="auto"/>
        <w:rPr>
          <w:rFonts w:asciiTheme="minorHAnsi" w:eastAsiaTheme="minorEastAsia" w:hAnsiTheme="minorHAnsi" w:cstheme="minorBidi"/>
          <w:sz w:val="22"/>
        </w:rPr>
      </w:pPr>
      <w:r w:rsidRPr="080CEA6A">
        <w:rPr>
          <w:rFonts w:asciiTheme="minorHAnsi" w:eastAsiaTheme="minorEastAsia" w:hAnsiTheme="minorHAnsi" w:cstheme="minorBidi"/>
          <w:sz w:val="22"/>
        </w:rPr>
        <w:t xml:space="preserve">TEQSA (2017) </w:t>
      </w:r>
      <w:r w:rsidR="00CB0B22"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Characteristics of Australian higher education providers and their relation to first-year student attrition</w:t>
      </w:r>
      <w:r w:rsidR="00CB0B22"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 xml:space="preserve"> </w:t>
      </w:r>
      <w:r w:rsidR="00CB0B22" w:rsidRPr="080CEA6A">
        <w:rPr>
          <w:rFonts w:asciiTheme="minorHAnsi" w:eastAsiaTheme="minorEastAsia" w:hAnsiTheme="minorHAnsi" w:cstheme="minorBidi"/>
          <w:sz w:val="22"/>
        </w:rPr>
        <w:t xml:space="preserve">Australian Government </w:t>
      </w:r>
      <w:r w:rsidRPr="080CEA6A">
        <w:rPr>
          <w:rFonts w:asciiTheme="minorHAnsi" w:eastAsiaTheme="minorEastAsia" w:hAnsiTheme="minorHAnsi" w:cstheme="minorBidi"/>
          <w:sz w:val="22"/>
        </w:rPr>
        <w:t>Tertiary Education Quality and Standards Agency</w:t>
      </w:r>
      <w:r w:rsidR="00CB0B22" w:rsidRPr="080CEA6A">
        <w:rPr>
          <w:rFonts w:asciiTheme="minorHAnsi" w:eastAsiaTheme="minorEastAsia" w:hAnsiTheme="minorHAnsi" w:cstheme="minorBidi"/>
          <w:sz w:val="22"/>
        </w:rPr>
        <w:t xml:space="preserve"> (TEQSA)</w:t>
      </w:r>
      <w:r w:rsidR="00D34784" w:rsidRPr="080CEA6A">
        <w:rPr>
          <w:rFonts w:asciiTheme="minorHAnsi" w:eastAsiaTheme="minorEastAsia" w:hAnsiTheme="minorHAnsi" w:cstheme="minorBidi"/>
          <w:sz w:val="22"/>
        </w:rPr>
        <w:t>.</w:t>
      </w:r>
    </w:p>
    <w:p w14:paraId="0117AA68" w14:textId="27E9C08E" w:rsidR="0604AC93" w:rsidRDefault="0604AC93" w:rsidP="080CEA6A">
      <w:pPr>
        <w:pStyle w:val="ListParagraph"/>
        <w:numPr>
          <w:ilvl w:val="0"/>
          <w:numId w:val="34"/>
        </w:numPr>
        <w:rPr>
          <w:rFonts w:ascii="Calibri" w:eastAsia="Calibri" w:hAnsi="Calibri" w:cs="Calibri"/>
          <w:sz w:val="22"/>
          <w:szCs w:val="22"/>
          <w:lang w:val="en-US"/>
        </w:rPr>
      </w:pPr>
      <w:r w:rsidRPr="080CEA6A">
        <w:rPr>
          <w:rFonts w:ascii="Calibri" w:eastAsia="Calibri" w:hAnsi="Calibri" w:cs="Calibri"/>
          <w:sz w:val="22"/>
          <w:szCs w:val="22"/>
          <w:lang w:val="en-US"/>
        </w:rPr>
        <w:t>Tout, D. (2020</w:t>
      </w:r>
      <w:r w:rsidRPr="1F288AD7">
        <w:rPr>
          <w:rFonts w:ascii="Calibri" w:eastAsia="Calibri" w:hAnsi="Calibri" w:cs="Calibri"/>
          <w:sz w:val="22"/>
          <w:szCs w:val="22"/>
          <w:lang w:val="en-US"/>
        </w:rPr>
        <w:t>)</w:t>
      </w:r>
      <w:r w:rsidRPr="080CEA6A">
        <w:rPr>
          <w:rFonts w:ascii="Calibri" w:eastAsia="Calibri" w:hAnsi="Calibri" w:cs="Calibri"/>
          <w:sz w:val="22"/>
          <w:szCs w:val="22"/>
          <w:lang w:val="en-US"/>
        </w:rPr>
        <w:t xml:space="preserve"> ‘Critical connections between numeracy and </w:t>
      </w:r>
      <w:r w:rsidRPr="1F288AD7">
        <w:rPr>
          <w:rFonts w:ascii="Calibri" w:eastAsia="Calibri" w:hAnsi="Calibri" w:cs="Calibri"/>
          <w:sz w:val="22"/>
          <w:szCs w:val="22"/>
          <w:lang w:val="en-US"/>
        </w:rPr>
        <w:t>mathematics’,</w:t>
      </w:r>
      <w:r w:rsidRPr="080CEA6A">
        <w:rPr>
          <w:rFonts w:ascii="Calibri" w:eastAsia="Calibri" w:hAnsi="Calibri" w:cs="Calibri"/>
          <w:sz w:val="22"/>
          <w:szCs w:val="22"/>
          <w:lang w:val="en-US"/>
        </w:rPr>
        <w:t xml:space="preserve"> </w:t>
      </w:r>
      <w:r w:rsidR="310846CD" w:rsidRPr="1578C671">
        <w:rPr>
          <w:rFonts w:ascii="Calibri" w:eastAsia="Calibri" w:hAnsi="Calibri" w:cs="Calibri"/>
          <w:sz w:val="22"/>
          <w:szCs w:val="22"/>
          <w:lang w:val="en-US"/>
        </w:rPr>
        <w:t xml:space="preserve">State of </w:t>
      </w:r>
      <w:r w:rsidR="310846CD" w:rsidRPr="3870D9EF">
        <w:rPr>
          <w:rFonts w:ascii="Calibri" w:eastAsia="Calibri" w:hAnsi="Calibri" w:cs="Calibri"/>
          <w:sz w:val="22"/>
          <w:szCs w:val="22"/>
          <w:lang w:val="en-US"/>
        </w:rPr>
        <w:t xml:space="preserve">Victoria, </w:t>
      </w:r>
      <w:r w:rsidRPr="080CEA6A">
        <w:rPr>
          <w:rFonts w:ascii="Calibri" w:eastAsia="Calibri" w:hAnsi="Calibri" w:cs="Calibri"/>
          <w:sz w:val="22"/>
          <w:szCs w:val="22"/>
          <w:lang w:val="en-US"/>
        </w:rPr>
        <w:t>Department of Education and Training.</w:t>
      </w:r>
    </w:p>
    <w:p w14:paraId="3D2DB1FF" w14:textId="179FD0F1" w:rsidR="005545CE" w:rsidRPr="00D73D0F" w:rsidRDefault="005545CE" w:rsidP="007D6F33">
      <w:pPr>
        <w:pStyle w:val="ListParagraph"/>
        <w:numPr>
          <w:ilvl w:val="0"/>
          <w:numId w:val="34"/>
        </w:numPr>
        <w:spacing w:after="60"/>
        <w:contextualSpacing w:val="0"/>
        <w:textAlignment w:val="baseline"/>
        <w:rPr>
          <w:rFonts w:eastAsiaTheme="minorEastAsia" w:cstheme="minorHAnsi"/>
          <w:color w:val="000000"/>
          <w:sz w:val="22"/>
          <w:szCs w:val="22"/>
          <w:lang w:eastAsia="en-AU"/>
        </w:rPr>
      </w:pPr>
      <w:proofErr w:type="spellStart"/>
      <w:r w:rsidRPr="080CEA6A">
        <w:rPr>
          <w:rFonts w:eastAsiaTheme="minorEastAsia"/>
          <w:color w:val="000000" w:themeColor="text1"/>
          <w:sz w:val="22"/>
          <w:szCs w:val="22"/>
          <w:lang w:eastAsia="en-AU"/>
        </w:rPr>
        <w:t>Trendence</w:t>
      </w:r>
      <w:proofErr w:type="spellEnd"/>
      <w:r w:rsidRPr="080CEA6A">
        <w:rPr>
          <w:rFonts w:eastAsiaTheme="minorEastAsia"/>
          <w:color w:val="000000" w:themeColor="text1"/>
          <w:sz w:val="22"/>
          <w:szCs w:val="22"/>
          <w:lang w:eastAsia="en-AU"/>
        </w:rPr>
        <w:t xml:space="preserve"> UK (2017) </w:t>
      </w:r>
      <w:r w:rsidR="00225E03" w:rsidRPr="080CEA6A">
        <w:rPr>
          <w:rFonts w:eastAsiaTheme="minorEastAsia"/>
          <w:color w:val="000000" w:themeColor="text1"/>
          <w:sz w:val="22"/>
          <w:szCs w:val="22"/>
          <w:lang w:eastAsia="en-AU"/>
        </w:rPr>
        <w:t>‘</w:t>
      </w:r>
      <w:r w:rsidRPr="080CEA6A">
        <w:rPr>
          <w:rFonts w:eastAsiaTheme="minorEastAsia"/>
          <w:color w:val="000000" w:themeColor="text1"/>
          <w:sz w:val="22"/>
          <w:szCs w:val="22"/>
          <w:lang w:eastAsia="en-AU"/>
        </w:rPr>
        <w:t>Teaching excellence: the student perspective</w:t>
      </w:r>
      <w:r w:rsidR="00225E03" w:rsidRPr="080CEA6A">
        <w:rPr>
          <w:rFonts w:eastAsiaTheme="minorEastAsia"/>
          <w:color w:val="000000" w:themeColor="text1"/>
          <w:sz w:val="22"/>
          <w:szCs w:val="22"/>
          <w:lang w:eastAsia="en-AU"/>
        </w:rPr>
        <w:t>’</w:t>
      </w:r>
      <w:r w:rsidRPr="080CEA6A">
        <w:rPr>
          <w:rFonts w:eastAsiaTheme="minorEastAsia"/>
          <w:color w:val="000000" w:themeColor="text1"/>
          <w:sz w:val="22"/>
          <w:szCs w:val="22"/>
          <w:lang w:eastAsia="en-AU"/>
        </w:rPr>
        <w:t xml:space="preserve">, </w:t>
      </w:r>
      <w:proofErr w:type="spellStart"/>
      <w:r w:rsidRPr="080CEA6A">
        <w:rPr>
          <w:rFonts w:eastAsiaTheme="minorEastAsia"/>
          <w:color w:val="000000" w:themeColor="text1"/>
          <w:sz w:val="22"/>
          <w:szCs w:val="22"/>
          <w:lang w:eastAsia="en-AU"/>
        </w:rPr>
        <w:t>Trendence</w:t>
      </w:r>
      <w:proofErr w:type="spellEnd"/>
      <w:r w:rsidRPr="080CEA6A">
        <w:rPr>
          <w:rFonts w:eastAsiaTheme="minorEastAsia"/>
          <w:color w:val="000000" w:themeColor="text1"/>
          <w:sz w:val="22"/>
          <w:szCs w:val="22"/>
          <w:lang w:eastAsia="en-AU"/>
        </w:rPr>
        <w:t xml:space="preserve"> UK</w:t>
      </w:r>
      <w:r w:rsidR="00860766" w:rsidRPr="080CEA6A">
        <w:rPr>
          <w:sz w:val="22"/>
          <w:szCs w:val="22"/>
        </w:rPr>
        <w:t>.</w:t>
      </w:r>
    </w:p>
    <w:p w14:paraId="646AE50F" w14:textId="77777777" w:rsidR="005545CE" w:rsidRPr="00D73D0F" w:rsidRDefault="005545CE" w:rsidP="007D6F33">
      <w:pPr>
        <w:pStyle w:val="ListParagraph"/>
        <w:numPr>
          <w:ilvl w:val="0"/>
          <w:numId w:val="34"/>
        </w:numPr>
        <w:spacing w:after="60"/>
        <w:contextualSpacing w:val="0"/>
        <w:rPr>
          <w:rFonts w:eastAsiaTheme="minorEastAsia" w:cstheme="minorHAnsi"/>
          <w:color w:val="000000"/>
          <w:sz w:val="22"/>
          <w:szCs w:val="22"/>
          <w:lang w:eastAsia="en-AU"/>
        </w:rPr>
      </w:pPr>
      <w:proofErr w:type="spellStart"/>
      <w:r w:rsidRPr="080CEA6A">
        <w:rPr>
          <w:rFonts w:eastAsiaTheme="minorEastAsia"/>
          <w:color w:val="000000" w:themeColor="text1"/>
          <w:sz w:val="22"/>
          <w:szCs w:val="22"/>
          <w:lang w:eastAsia="en-AU"/>
        </w:rPr>
        <w:t>Ure</w:t>
      </w:r>
      <w:proofErr w:type="spellEnd"/>
      <w:r w:rsidRPr="080CEA6A">
        <w:rPr>
          <w:rFonts w:eastAsiaTheme="minorEastAsia"/>
          <w:color w:val="000000" w:themeColor="text1"/>
          <w:sz w:val="22"/>
          <w:szCs w:val="22"/>
          <w:lang w:eastAsia="en-AU"/>
        </w:rPr>
        <w:t xml:space="preserve">, C., Hay, I., Ledger, S., Morrison, C., Sweeney, T-A., </w:t>
      </w:r>
      <w:proofErr w:type="spellStart"/>
      <w:r w:rsidRPr="080CEA6A">
        <w:rPr>
          <w:rFonts w:eastAsiaTheme="minorEastAsia"/>
          <w:color w:val="000000" w:themeColor="text1"/>
          <w:sz w:val="22"/>
          <w:szCs w:val="22"/>
          <w:lang w:eastAsia="en-AU"/>
        </w:rPr>
        <w:t>Szandura</w:t>
      </w:r>
      <w:proofErr w:type="spellEnd"/>
      <w:r w:rsidRPr="080CEA6A">
        <w:rPr>
          <w:rFonts w:eastAsiaTheme="minorEastAsia"/>
          <w:color w:val="000000" w:themeColor="text1"/>
          <w:sz w:val="22"/>
          <w:szCs w:val="22"/>
          <w:lang w:eastAsia="en-AU"/>
        </w:rPr>
        <w:t>, A. (2017) ‘Professional experience in initial teacher education: a review of current practices in Australian ITE’ Macquarie University</w:t>
      </w:r>
    </w:p>
    <w:p w14:paraId="73E26569" w14:textId="42AFC083"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080CEA6A">
        <w:rPr>
          <w:sz w:val="22"/>
          <w:szCs w:val="22"/>
        </w:rPr>
        <w:t>Valdebenito</w:t>
      </w:r>
      <w:proofErr w:type="spellEnd"/>
      <w:r w:rsidRPr="080CEA6A">
        <w:rPr>
          <w:sz w:val="22"/>
          <w:szCs w:val="22"/>
        </w:rPr>
        <w:t xml:space="preserve"> S, Eisner M, Farrington DP, </w:t>
      </w:r>
      <w:proofErr w:type="spellStart"/>
      <w:r w:rsidRPr="080CEA6A">
        <w:rPr>
          <w:sz w:val="22"/>
          <w:szCs w:val="22"/>
        </w:rPr>
        <w:t>Ttofi</w:t>
      </w:r>
      <w:proofErr w:type="spellEnd"/>
      <w:r w:rsidRPr="080CEA6A">
        <w:rPr>
          <w:sz w:val="22"/>
          <w:szCs w:val="22"/>
        </w:rPr>
        <w:t xml:space="preserve"> MM and Sutherland A (2018) ‘School-based interventions for reducing disciplinary school exclusion: a systematic review’, Campbell Systematic Reviews, 14(1):</w:t>
      </w:r>
      <w:proofErr w:type="spellStart"/>
      <w:r w:rsidRPr="080CEA6A">
        <w:rPr>
          <w:sz w:val="22"/>
          <w:szCs w:val="22"/>
        </w:rPr>
        <w:t>i</w:t>
      </w:r>
      <w:proofErr w:type="spellEnd"/>
      <w:r w:rsidRPr="080CEA6A">
        <w:rPr>
          <w:sz w:val="22"/>
          <w:szCs w:val="22"/>
        </w:rPr>
        <w:t>–216</w:t>
      </w:r>
      <w:r w:rsidR="00D73D0F" w:rsidRPr="080CEA6A">
        <w:rPr>
          <w:sz w:val="22"/>
          <w:szCs w:val="22"/>
        </w:rPr>
        <w:t>.</w:t>
      </w:r>
    </w:p>
    <w:p w14:paraId="4F595BBD" w14:textId="5BC52295" w:rsidR="005545CE" w:rsidRPr="00D73D0F" w:rsidRDefault="005545CE" w:rsidP="007D6F33">
      <w:pPr>
        <w:pStyle w:val="ListParagraph"/>
        <w:numPr>
          <w:ilvl w:val="0"/>
          <w:numId w:val="34"/>
        </w:numPr>
        <w:tabs>
          <w:tab w:val="left" w:pos="7089"/>
        </w:tabs>
        <w:spacing w:after="60"/>
        <w:contextualSpacing w:val="0"/>
        <w:rPr>
          <w:rFonts w:eastAsiaTheme="minorEastAsia" w:cstheme="minorHAnsi"/>
          <w:color w:val="000000" w:themeColor="text1"/>
          <w:sz w:val="22"/>
          <w:szCs w:val="22"/>
        </w:rPr>
      </w:pPr>
      <w:proofErr w:type="spellStart"/>
      <w:r w:rsidRPr="080CEA6A">
        <w:rPr>
          <w:rFonts w:eastAsiaTheme="minorEastAsia"/>
          <w:color w:val="000000" w:themeColor="text1"/>
          <w:sz w:val="22"/>
          <w:szCs w:val="22"/>
        </w:rPr>
        <w:t>Varadharajan</w:t>
      </w:r>
      <w:proofErr w:type="spellEnd"/>
      <w:r w:rsidRPr="080CEA6A">
        <w:rPr>
          <w:rFonts w:eastAsiaTheme="minorEastAsia"/>
          <w:color w:val="000000" w:themeColor="text1"/>
          <w:sz w:val="22"/>
          <w:szCs w:val="22"/>
        </w:rPr>
        <w:t xml:space="preserve"> M, Buchanan J, Schuck S (2018) </w:t>
      </w:r>
      <w:r w:rsidR="000F3B1A" w:rsidRPr="080CEA6A">
        <w:rPr>
          <w:rFonts w:eastAsiaTheme="minorEastAsia"/>
          <w:color w:val="000000" w:themeColor="text1"/>
          <w:sz w:val="22"/>
          <w:szCs w:val="22"/>
        </w:rPr>
        <w:t>‘</w:t>
      </w:r>
      <w:r w:rsidRPr="080CEA6A">
        <w:rPr>
          <w:rFonts w:eastAsiaTheme="minorEastAsia"/>
          <w:sz w:val="22"/>
          <w:szCs w:val="22"/>
        </w:rPr>
        <w:t>Navigating and negotiating: Career changers in teacher education programs</w:t>
      </w:r>
      <w:r w:rsidR="000F3B1A" w:rsidRPr="080CEA6A">
        <w:rPr>
          <w:rFonts w:eastAsiaTheme="minorEastAsia"/>
          <w:sz w:val="22"/>
          <w:szCs w:val="22"/>
        </w:rPr>
        <w:t>’</w:t>
      </w:r>
      <w:r w:rsidRPr="080CEA6A">
        <w:rPr>
          <w:rFonts w:eastAsiaTheme="minorEastAsia"/>
          <w:color w:val="000000" w:themeColor="text1"/>
          <w:sz w:val="22"/>
          <w:szCs w:val="22"/>
        </w:rPr>
        <w:t>, Asia-Pacific Journal of Teacher Education</w:t>
      </w:r>
      <w:r w:rsidR="00A2003A" w:rsidRPr="080CEA6A">
        <w:rPr>
          <w:rFonts w:eastAsiaTheme="minorEastAsia"/>
          <w:color w:val="000000" w:themeColor="text1"/>
          <w:sz w:val="22"/>
          <w:szCs w:val="22"/>
        </w:rPr>
        <w:t>, 48(5), pp.</w:t>
      </w:r>
      <w:r w:rsidR="003C137F" w:rsidRPr="080CEA6A">
        <w:rPr>
          <w:rFonts w:eastAsiaTheme="minorEastAsia"/>
          <w:color w:val="000000" w:themeColor="text1"/>
          <w:sz w:val="22"/>
          <w:szCs w:val="22"/>
        </w:rPr>
        <w:t>477-</w:t>
      </w:r>
      <w:r w:rsidR="009B6ECB" w:rsidRPr="080CEA6A">
        <w:rPr>
          <w:rFonts w:eastAsiaTheme="minorEastAsia"/>
          <w:color w:val="000000" w:themeColor="text1"/>
          <w:sz w:val="22"/>
          <w:szCs w:val="22"/>
        </w:rPr>
        <w:t>490</w:t>
      </w:r>
      <w:r w:rsidR="00D34784" w:rsidRPr="080CEA6A">
        <w:rPr>
          <w:rFonts w:eastAsiaTheme="minorEastAsia"/>
          <w:color w:val="000000" w:themeColor="text1"/>
          <w:sz w:val="22"/>
          <w:szCs w:val="22"/>
        </w:rPr>
        <w:t>.</w:t>
      </w:r>
    </w:p>
    <w:p w14:paraId="3F265F25" w14:textId="2A82CD2C" w:rsidR="00B76E16" w:rsidRPr="00D73D0F" w:rsidRDefault="00B76E16" w:rsidP="007D6F33">
      <w:pPr>
        <w:pStyle w:val="References"/>
        <w:numPr>
          <w:ilvl w:val="0"/>
          <w:numId w:val="34"/>
        </w:numPr>
        <w:spacing w:line="240" w:lineRule="auto"/>
        <w:rPr>
          <w:rFonts w:asciiTheme="minorHAnsi" w:eastAsiaTheme="minorEastAsia" w:hAnsiTheme="minorHAnsi" w:cstheme="minorBidi"/>
          <w:sz w:val="22"/>
        </w:rPr>
      </w:pPr>
      <w:r w:rsidRPr="080CEA6A">
        <w:rPr>
          <w:rFonts w:asciiTheme="minorHAnsi" w:eastAsiaTheme="minorEastAsia" w:hAnsiTheme="minorHAnsi" w:cstheme="minorBidi"/>
          <w:sz w:val="22"/>
        </w:rPr>
        <w:t xml:space="preserve">Vivian D, </w:t>
      </w:r>
      <w:proofErr w:type="spellStart"/>
      <w:r w:rsidRPr="080CEA6A">
        <w:rPr>
          <w:rFonts w:asciiTheme="minorHAnsi" w:eastAsiaTheme="minorEastAsia" w:hAnsiTheme="minorHAnsi" w:cstheme="minorBidi"/>
          <w:sz w:val="22"/>
        </w:rPr>
        <w:t>Skone</w:t>
      </w:r>
      <w:proofErr w:type="spellEnd"/>
      <w:r w:rsidRPr="080CEA6A">
        <w:rPr>
          <w:rFonts w:asciiTheme="minorHAnsi" w:eastAsiaTheme="minorEastAsia" w:hAnsiTheme="minorHAnsi" w:cstheme="minorBidi"/>
          <w:sz w:val="22"/>
        </w:rPr>
        <w:t xml:space="preserve"> James A, </w:t>
      </w:r>
      <w:proofErr w:type="spellStart"/>
      <w:r w:rsidRPr="080CEA6A">
        <w:rPr>
          <w:rFonts w:asciiTheme="minorHAnsi" w:eastAsiaTheme="minorEastAsia" w:hAnsiTheme="minorHAnsi" w:cstheme="minorBidi"/>
          <w:sz w:val="22"/>
        </w:rPr>
        <w:t>Salamons</w:t>
      </w:r>
      <w:proofErr w:type="spellEnd"/>
      <w:r w:rsidRPr="080CEA6A">
        <w:rPr>
          <w:rFonts w:asciiTheme="minorHAnsi" w:eastAsiaTheme="minorEastAsia" w:hAnsiTheme="minorHAnsi" w:cstheme="minorBidi"/>
          <w:sz w:val="22"/>
        </w:rPr>
        <w:t xml:space="preserve"> D, Hazel Z, Felton J and Whittaker S (2019) ‘Evaluation of Provider-level TEF 2016–17 (Year 2): Measuring the initial impact of the TEF on the higher education landscape research report’, IFF Research Ltd., UK Government Department for Education</w:t>
      </w:r>
      <w:r w:rsidR="00D34784" w:rsidRPr="080CEA6A">
        <w:rPr>
          <w:rFonts w:asciiTheme="minorHAnsi" w:eastAsiaTheme="minorEastAsia" w:hAnsiTheme="minorHAnsi" w:cstheme="minorBidi"/>
          <w:sz w:val="22"/>
        </w:rPr>
        <w:t>.</w:t>
      </w:r>
    </w:p>
    <w:p w14:paraId="30D46916" w14:textId="2A82CD2C" w:rsidR="00761A50" w:rsidRPr="00761A50" w:rsidRDefault="00761A50" w:rsidP="00761A50">
      <w:pPr>
        <w:pStyle w:val="References"/>
        <w:numPr>
          <w:ilvl w:val="0"/>
          <w:numId w:val="34"/>
        </w:numPr>
        <w:spacing w:line="240" w:lineRule="auto"/>
        <w:rPr>
          <w:rFonts w:asciiTheme="minorHAnsi" w:eastAsiaTheme="minorEastAsia" w:hAnsiTheme="minorHAnsi" w:cstheme="minorBidi"/>
          <w:sz w:val="22"/>
        </w:rPr>
      </w:pPr>
      <w:r w:rsidRPr="00761A50">
        <w:rPr>
          <w:rFonts w:asciiTheme="minorHAnsi" w:eastAsiaTheme="minorEastAsia" w:hAnsiTheme="minorHAnsi" w:cstheme="minorBidi"/>
          <w:sz w:val="22"/>
        </w:rPr>
        <w:t xml:space="preserve">Van </w:t>
      </w:r>
      <w:proofErr w:type="spellStart"/>
      <w:r w:rsidRPr="00761A50">
        <w:rPr>
          <w:rFonts w:asciiTheme="minorHAnsi" w:eastAsiaTheme="minorEastAsia" w:hAnsiTheme="minorHAnsi" w:cstheme="minorBidi"/>
          <w:sz w:val="22"/>
        </w:rPr>
        <w:t>Overschelde</w:t>
      </w:r>
      <w:proofErr w:type="spellEnd"/>
      <w:r w:rsidRPr="00761A50">
        <w:rPr>
          <w:rFonts w:asciiTheme="minorHAnsi" w:eastAsiaTheme="minorEastAsia" w:hAnsiTheme="minorHAnsi" w:cstheme="minorBidi"/>
          <w:sz w:val="22"/>
        </w:rPr>
        <w:t xml:space="preserve">, J. P. (in press). Value lost: The hidden costs of teacher misassignment. In L. Hobbs &amp; G. </w:t>
      </w:r>
      <w:proofErr w:type="spellStart"/>
      <w:r w:rsidRPr="00761A50">
        <w:rPr>
          <w:rFonts w:asciiTheme="minorHAnsi" w:eastAsiaTheme="minorEastAsia" w:hAnsiTheme="minorHAnsi" w:cstheme="minorBidi"/>
          <w:sz w:val="22"/>
        </w:rPr>
        <w:t>Törner</w:t>
      </w:r>
      <w:proofErr w:type="spellEnd"/>
      <w:r w:rsidRPr="00761A50">
        <w:rPr>
          <w:rFonts w:asciiTheme="minorHAnsi" w:eastAsiaTheme="minorEastAsia" w:hAnsiTheme="minorHAnsi" w:cstheme="minorBidi"/>
          <w:sz w:val="22"/>
        </w:rPr>
        <w:t xml:space="preserve"> (Eds.), Out‐of‐Field Teaching Across the Teaching Disciplines and Contexts. Dordrecht: Springer.</w:t>
      </w:r>
    </w:p>
    <w:p w14:paraId="32213F66" w14:textId="25B8B353" w:rsidR="005545CE" w:rsidRPr="00D73D0F" w:rsidRDefault="005545CE" w:rsidP="007D6F33">
      <w:pPr>
        <w:pStyle w:val="ListParagraph"/>
        <w:numPr>
          <w:ilvl w:val="0"/>
          <w:numId w:val="34"/>
        </w:numPr>
        <w:spacing w:after="60"/>
        <w:contextualSpacing w:val="0"/>
        <w:rPr>
          <w:rFonts w:cstheme="minorHAnsi"/>
          <w:sz w:val="22"/>
          <w:szCs w:val="22"/>
        </w:rPr>
      </w:pPr>
      <w:proofErr w:type="spellStart"/>
      <w:r w:rsidRPr="080CEA6A">
        <w:rPr>
          <w:sz w:val="22"/>
          <w:szCs w:val="22"/>
        </w:rPr>
        <w:t>Wannarak</w:t>
      </w:r>
      <w:proofErr w:type="spellEnd"/>
      <w:r w:rsidRPr="080CEA6A">
        <w:rPr>
          <w:sz w:val="22"/>
          <w:szCs w:val="22"/>
        </w:rPr>
        <w:t xml:space="preserve"> R and Ruhl K (2008) ‘Seating arrangements that promote positive academic and behavioural outcomes: A review of empirical research’, Support for Learning, 23</w:t>
      </w:r>
      <w:r w:rsidR="003B7370" w:rsidRPr="080CEA6A">
        <w:rPr>
          <w:sz w:val="22"/>
          <w:szCs w:val="22"/>
        </w:rPr>
        <w:t>, pp.</w:t>
      </w:r>
      <w:r w:rsidRPr="080CEA6A">
        <w:rPr>
          <w:sz w:val="22"/>
          <w:szCs w:val="22"/>
        </w:rPr>
        <w:t>89–93</w:t>
      </w:r>
      <w:r w:rsidR="00D73D0F" w:rsidRPr="080CEA6A">
        <w:rPr>
          <w:sz w:val="22"/>
          <w:szCs w:val="22"/>
        </w:rPr>
        <w:t>.</w:t>
      </w:r>
    </w:p>
    <w:p w14:paraId="4089E872" w14:textId="7990070D"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proofErr w:type="spellStart"/>
      <w:r w:rsidRPr="080CEA6A">
        <w:rPr>
          <w:rFonts w:asciiTheme="minorHAnsi" w:eastAsiaTheme="minorEastAsia" w:hAnsiTheme="minorHAnsi" w:cstheme="minorBidi"/>
          <w:sz w:val="22"/>
        </w:rPr>
        <w:t>Wheelahan</w:t>
      </w:r>
      <w:proofErr w:type="spellEnd"/>
      <w:r w:rsidR="003B7370" w:rsidRPr="080CEA6A">
        <w:rPr>
          <w:rFonts w:asciiTheme="minorHAnsi" w:eastAsiaTheme="minorEastAsia" w:hAnsiTheme="minorHAnsi" w:cstheme="minorBidi"/>
          <w:sz w:val="22"/>
        </w:rPr>
        <w:t xml:space="preserve"> </w:t>
      </w:r>
      <w:r w:rsidRPr="080CEA6A">
        <w:rPr>
          <w:rFonts w:asciiTheme="minorHAnsi" w:eastAsiaTheme="minorEastAsia" w:hAnsiTheme="minorHAnsi" w:cstheme="minorBidi"/>
          <w:sz w:val="22"/>
        </w:rPr>
        <w:t xml:space="preserve">L (2007) </w:t>
      </w:r>
      <w:r w:rsidR="003B7370"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How not to fund teaching and learning</w:t>
      </w:r>
      <w:r w:rsidR="003B7370"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 xml:space="preserve"> Australian Universities Review, 49</w:t>
      </w:r>
      <w:r w:rsidR="00172942" w:rsidRPr="080CEA6A">
        <w:rPr>
          <w:rFonts w:asciiTheme="minorHAnsi" w:eastAsiaTheme="minorEastAsia" w:hAnsiTheme="minorHAnsi" w:cstheme="minorBidi"/>
          <w:sz w:val="22"/>
        </w:rPr>
        <w:t>(102)</w:t>
      </w:r>
      <w:r w:rsidRPr="080CEA6A">
        <w:rPr>
          <w:rFonts w:asciiTheme="minorHAnsi" w:eastAsiaTheme="minorEastAsia" w:hAnsiTheme="minorHAnsi" w:cstheme="minorBidi"/>
          <w:sz w:val="22"/>
        </w:rPr>
        <w:t xml:space="preserve">, </w:t>
      </w:r>
      <w:r w:rsidR="003B7370" w:rsidRPr="080CEA6A">
        <w:rPr>
          <w:rFonts w:asciiTheme="minorHAnsi" w:eastAsiaTheme="minorEastAsia" w:hAnsiTheme="minorHAnsi" w:cstheme="minorBidi"/>
          <w:sz w:val="22"/>
        </w:rPr>
        <w:t>pp.</w:t>
      </w:r>
      <w:r w:rsidRPr="080CEA6A">
        <w:rPr>
          <w:rFonts w:asciiTheme="minorHAnsi" w:eastAsiaTheme="minorEastAsia" w:hAnsiTheme="minorHAnsi" w:cstheme="minorBidi"/>
          <w:sz w:val="22"/>
        </w:rPr>
        <w:t>31–38</w:t>
      </w:r>
      <w:r w:rsidR="00313980" w:rsidRPr="080CEA6A">
        <w:rPr>
          <w:rFonts w:asciiTheme="minorHAnsi" w:hAnsiTheme="minorHAnsi" w:cstheme="minorBidi"/>
          <w:sz w:val="22"/>
        </w:rPr>
        <w:t>.</w:t>
      </w:r>
    </w:p>
    <w:p w14:paraId="05A746B1" w14:textId="1052DEFD"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080CEA6A">
        <w:rPr>
          <w:rFonts w:asciiTheme="minorHAnsi" w:eastAsiaTheme="minorEastAsia" w:hAnsiTheme="minorHAnsi" w:cstheme="minorBidi"/>
          <w:sz w:val="22"/>
        </w:rPr>
        <w:t>White</w:t>
      </w:r>
      <w:r w:rsidR="00313980" w:rsidRPr="080CEA6A">
        <w:rPr>
          <w:rFonts w:asciiTheme="minorHAnsi" w:eastAsiaTheme="minorEastAsia" w:hAnsiTheme="minorHAnsi" w:cstheme="minorBidi"/>
          <w:sz w:val="22"/>
        </w:rPr>
        <w:t xml:space="preserve"> </w:t>
      </w:r>
      <w:r w:rsidRPr="080CEA6A">
        <w:rPr>
          <w:rFonts w:asciiTheme="minorHAnsi" w:eastAsiaTheme="minorEastAsia" w:hAnsiTheme="minorHAnsi" w:cstheme="minorBidi"/>
          <w:sz w:val="22"/>
        </w:rPr>
        <w:t xml:space="preserve">ME, </w:t>
      </w:r>
      <w:proofErr w:type="spellStart"/>
      <w:r w:rsidRPr="080CEA6A">
        <w:rPr>
          <w:rFonts w:asciiTheme="minorHAnsi" w:eastAsiaTheme="minorEastAsia" w:hAnsiTheme="minorHAnsi" w:cstheme="minorBidi"/>
          <w:sz w:val="22"/>
        </w:rPr>
        <w:t>Hirschboeck</w:t>
      </w:r>
      <w:proofErr w:type="spellEnd"/>
      <w:r w:rsidR="00313980" w:rsidRPr="080CEA6A">
        <w:rPr>
          <w:rFonts w:asciiTheme="minorHAnsi" w:eastAsiaTheme="minorEastAsia" w:hAnsiTheme="minorHAnsi" w:cstheme="minorBidi"/>
          <w:sz w:val="22"/>
        </w:rPr>
        <w:t xml:space="preserve"> </w:t>
      </w:r>
      <w:r w:rsidRPr="080CEA6A">
        <w:rPr>
          <w:rFonts w:asciiTheme="minorHAnsi" w:eastAsiaTheme="minorEastAsia" w:hAnsiTheme="minorHAnsi" w:cstheme="minorBidi"/>
          <w:sz w:val="22"/>
        </w:rPr>
        <w:t>K, Donahue C</w:t>
      </w:r>
      <w:r w:rsidR="00313980" w:rsidRPr="080CEA6A">
        <w:rPr>
          <w:rFonts w:asciiTheme="minorHAnsi" w:eastAsiaTheme="minorEastAsia" w:hAnsiTheme="minorHAnsi" w:cstheme="minorBidi"/>
          <w:sz w:val="22"/>
        </w:rPr>
        <w:t xml:space="preserve"> and</w:t>
      </w:r>
      <w:r w:rsidRPr="080CEA6A">
        <w:rPr>
          <w:rFonts w:asciiTheme="minorHAnsi" w:eastAsiaTheme="minorEastAsia" w:hAnsiTheme="minorHAnsi" w:cstheme="minorBidi"/>
          <w:sz w:val="22"/>
        </w:rPr>
        <w:t xml:space="preserve"> Torre Gibney D (2020) </w:t>
      </w:r>
      <w:r w:rsidR="00313980"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Strengthening the data use and continuous improvement capacity of teacher preparation programs</w:t>
      </w:r>
      <w:r w:rsidR="00313980"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 xml:space="preserve"> </w:t>
      </w:r>
      <w:proofErr w:type="spellStart"/>
      <w:r w:rsidRPr="080CEA6A">
        <w:rPr>
          <w:rFonts w:asciiTheme="minorHAnsi" w:eastAsiaTheme="minorEastAsia" w:hAnsiTheme="minorHAnsi" w:cstheme="minorBidi"/>
          <w:sz w:val="22"/>
        </w:rPr>
        <w:t>WestEd</w:t>
      </w:r>
      <w:proofErr w:type="spellEnd"/>
      <w:r w:rsidR="00D34784" w:rsidRPr="080CEA6A">
        <w:rPr>
          <w:rFonts w:asciiTheme="minorHAnsi" w:eastAsiaTheme="minorEastAsia" w:hAnsiTheme="minorHAnsi" w:cstheme="minorBidi"/>
          <w:sz w:val="22"/>
        </w:rPr>
        <w:t>.</w:t>
      </w:r>
    </w:p>
    <w:p w14:paraId="7D4FAFA4" w14:textId="1A5C3383" w:rsidR="005545CE" w:rsidRPr="00D73D0F" w:rsidRDefault="005545CE" w:rsidP="007D6F33">
      <w:pPr>
        <w:pStyle w:val="ListParagraph"/>
        <w:numPr>
          <w:ilvl w:val="0"/>
          <w:numId w:val="34"/>
        </w:numPr>
        <w:spacing w:after="60"/>
        <w:contextualSpacing w:val="0"/>
        <w:rPr>
          <w:rFonts w:cstheme="minorHAnsi"/>
          <w:sz w:val="22"/>
          <w:szCs w:val="22"/>
        </w:rPr>
      </w:pPr>
      <w:r w:rsidRPr="080CEA6A">
        <w:rPr>
          <w:sz w:val="22"/>
          <w:szCs w:val="22"/>
        </w:rPr>
        <w:t xml:space="preserve">Wisniewski B, </w:t>
      </w:r>
      <w:proofErr w:type="spellStart"/>
      <w:r w:rsidRPr="080CEA6A">
        <w:rPr>
          <w:sz w:val="22"/>
          <w:szCs w:val="22"/>
        </w:rPr>
        <w:t>Zierer</w:t>
      </w:r>
      <w:proofErr w:type="spellEnd"/>
      <w:r w:rsidRPr="080CEA6A">
        <w:rPr>
          <w:sz w:val="22"/>
          <w:szCs w:val="22"/>
        </w:rPr>
        <w:t xml:space="preserve"> K and Hattie J (2020) ‘The Power of Feedback Revisited: A Meta-Analysis of Educational Feedback Research’, Frontiers in Psychology, 10, </w:t>
      </w:r>
      <w:r w:rsidR="00654AB9" w:rsidRPr="080CEA6A">
        <w:rPr>
          <w:sz w:val="22"/>
          <w:szCs w:val="22"/>
        </w:rPr>
        <w:t>no.3</w:t>
      </w:r>
      <w:r w:rsidR="00E22C25" w:rsidRPr="080CEA6A">
        <w:rPr>
          <w:sz w:val="22"/>
          <w:szCs w:val="22"/>
        </w:rPr>
        <w:t>087</w:t>
      </w:r>
      <w:r w:rsidR="00D73D0F" w:rsidRPr="080CEA6A">
        <w:rPr>
          <w:sz w:val="22"/>
          <w:szCs w:val="22"/>
        </w:rPr>
        <w:t>,</w:t>
      </w:r>
    </w:p>
    <w:p w14:paraId="75122162" w14:textId="74E39097" w:rsidR="005545CE"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080CEA6A">
        <w:rPr>
          <w:rFonts w:asciiTheme="minorHAnsi" w:eastAsiaTheme="minorEastAsia" w:hAnsiTheme="minorHAnsi" w:cstheme="minorBidi"/>
          <w:sz w:val="22"/>
        </w:rPr>
        <w:t>Wyatt-Smith</w:t>
      </w:r>
      <w:r w:rsidR="00E22C25" w:rsidRPr="080CEA6A">
        <w:rPr>
          <w:rFonts w:asciiTheme="minorHAnsi" w:eastAsiaTheme="minorEastAsia" w:hAnsiTheme="minorHAnsi" w:cstheme="minorBidi"/>
          <w:sz w:val="22"/>
        </w:rPr>
        <w:t xml:space="preserve"> </w:t>
      </w:r>
      <w:r w:rsidRPr="080CEA6A">
        <w:rPr>
          <w:rFonts w:asciiTheme="minorHAnsi" w:eastAsiaTheme="minorEastAsia" w:hAnsiTheme="minorHAnsi" w:cstheme="minorBidi"/>
          <w:sz w:val="22"/>
        </w:rPr>
        <w:t>C</w:t>
      </w:r>
      <w:r w:rsidR="00E22C25"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 xml:space="preserve"> Haynes M, Day C, Spallek M</w:t>
      </w:r>
      <w:r w:rsidR="00E22C25" w:rsidRPr="080CEA6A">
        <w:rPr>
          <w:rFonts w:asciiTheme="minorHAnsi" w:eastAsiaTheme="minorEastAsia" w:hAnsiTheme="minorHAnsi" w:cstheme="minorBidi"/>
          <w:sz w:val="22"/>
        </w:rPr>
        <w:t xml:space="preserve"> and</w:t>
      </w:r>
      <w:r w:rsidRPr="080CEA6A">
        <w:rPr>
          <w:rFonts w:asciiTheme="minorHAnsi" w:eastAsiaTheme="minorEastAsia" w:hAnsiTheme="minorHAnsi" w:cstheme="minorBidi"/>
          <w:sz w:val="22"/>
        </w:rPr>
        <w:t xml:space="preserve"> Smith A (2021) </w:t>
      </w:r>
      <w:r w:rsidR="00E22C25"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Quality of Initial Teacher Education Through Longitudinal Analysis of Linked Datasets: Study 1: Examining performance trajectories from admission to graduation: Executive Summary</w:t>
      </w:r>
      <w:r w:rsidR="00E22C25"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 xml:space="preserve"> Australian Government Department of Education</w:t>
      </w:r>
      <w:r w:rsidR="00E22C25" w:rsidRPr="080CEA6A">
        <w:rPr>
          <w:rFonts w:asciiTheme="minorHAnsi" w:eastAsiaTheme="minorEastAsia" w:hAnsiTheme="minorHAnsi" w:cstheme="minorBidi"/>
          <w:sz w:val="22"/>
        </w:rPr>
        <w:t>.</w:t>
      </w:r>
    </w:p>
    <w:p w14:paraId="14B76304" w14:textId="77777777" w:rsidR="00D73D0F"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080CEA6A">
        <w:rPr>
          <w:rFonts w:asciiTheme="minorHAnsi" w:eastAsiaTheme="minorEastAsia" w:hAnsiTheme="minorHAnsi" w:cstheme="minorBidi"/>
          <w:sz w:val="22"/>
        </w:rPr>
        <w:lastRenderedPageBreak/>
        <w:t>Wyatt-Smith</w:t>
      </w:r>
      <w:r w:rsidR="009D190A" w:rsidRPr="080CEA6A">
        <w:rPr>
          <w:rFonts w:asciiTheme="minorHAnsi" w:eastAsiaTheme="minorEastAsia" w:hAnsiTheme="minorHAnsi" w:cstheme="minorBidi"/>
          <w:sz w:val="22"/>
        </w:rPr>
        <w:t xml:space="preserve"> </w:t>
      </w:r>
      <w:r w:rsidRPr="080CEA6A">
        <w:rPr>
          <w:rFonts w:asciiTheme="minorHAnsi" w:eastAsiaTheme="minorEastAsia" w:hAnsiTheme="minorHAnsi" w:cstheme="minorBidi"/>
          <w:sz w:val="22"/>
        </w:rPr>
        <w:t>C, Spallek M, Smith</w:t>
      </w:r>
      <w:r w:rsidR="009D190A" w:rsidRPr="080CEA6A">
        <w:rPr>
          <w:rFonts w:asciiTheme="minorHAnsi" w:eastAsiaTheme="minorEastAsia" w:hAnsiTheme="minorHAnsi" w:cstheme="minorBidi"/>
          <w:sz w:val="22"/>
        </w:rPr>
        <w:t xml:space="preserve"> </w:t>
      </w:r>
      <w:r w:rsidRPr="080CEA6A">
        <w:rPr>
          <w:rFonts w:asciiTheme="minorHAnsi" w:eastAsiaTheme="minorEastAsia" w:hAnsiTheme="minorHAnsi" w:cstheme="minorBidi"/>
          <w:sz w:val="22"/>
        </w:rPr>
        <w:t>A, Day C</w:t>
      </w:r>
      <w:r w:rsidR="009D190A" w:rsidRPr="080CEA6A">
        <w:rPr>
          <w:rFonts w:asciiTheme="minorHAnsi" w:eastAsiaTheme="minorEastAsia" w:hAnsiTheme="minorHAnsi" w:cstheme="minorBidi"/>
          <w:sz w:val="22"/>
        </w:rPr>
        <w:t xml:space="preserve"> and</w:t>
      </w:r>
      <w:r w:rsidRPr="080CEA6A">
        <w:rPr>
          <w:rFonts w:asciiTheme="minorHAnsi" w:eastAsiaTheme="minorEastAsia" w:hAnsiTheme="minorHAnsi" w:cstheme="minorBidi"/>
          <w:sz w:val="22"/>
        </w:rPr>
        <w:t xml:space="preserve"> Ryan J (2022) </w:t>
      </w:r>
      <w:r w:rsidR="009D190A"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Improving postgraduate pathways: Evidence-informed innovations for attraction, progression and supporting transition into teaching</w:t>
      </w:r>
      <w:r w:rsidR="009D190A"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 xml:space="preserve"> </w:t>
      </w:r>
      <w:r w:rsidR="00A62025" w:rsidRPr="080CEA6A">
        <w:rPr>
          <w:rFonts w:asciiTheme="minorHAnsi" w:eastAsiaTheme="minorEastAsia" w:hAnsiTheme="minorHAnsi" w:cstheme="minorBidi"/>
          <w:sz w:val="22"/>
        </w:rPr>
        <w:t>prepared</w:t>
      </w:r>
      <w:r w:rsidRPr="080CEA6A">
        <w:rPr>
          <w:rFonts w:asciiTheme="minorHAnsi" w:eastAsiaTheme="minorEastAsia" w:hAnsiTheme="minorHAnsi" w:cstheme="minorBidi"/>
          <w:sz w:val="22"/>
        </w:rPr>
        <w:t xml:space="preserve"> for the Queensland Department of Education</w:t>
      </w:r>
      <w:r w:rsidR="00264A55" w:rsidRPr="080CEA6A">
        <w:rPr>
          <w:rFonts w:asciiTheme="minorHAnsi" w:eastAsiaTheme="minorEastAsia" w:hAnsiTheme="minorHAnsi" w:cstheme="minorBidi"/>
          <w:sz w:val="22"/>
        </w:rPr>
        <w:t xml:space="preserve">, </w:t>
      </w:r>
      <w:r w:rsidRPr="080CEA6A">
        <w:rPr>
          <w:rFonts w:asciiTheme="minorHAnsi" w:eastAsiaTheme="minorEastAsia" w:hAnsiTheme="minorHAnsi" w:cstheme="minorBidi"/>
          <w:sz w:val="22"/>
        </w:rPr>
        <w:t>Australian Catholic University.</w:t>
      </w:r>
    </w:p>
    <w:p w14:paraId="617317A2" w14:textId="55F78BB4" w:rsidR="00B036BB" w:rsidRPr="00D73D0F" w:rsidRDefault="005545CE" w:rsidP="007D6F33">
      <w:pPr>
        <w:pStyle w:val="References"/>
        <w:numPr>
          <w:ilvl w:val="0"/>
          <w:numId w:val="34"/>
        </w:numPr>
        <w:spacing w:line="240" w:lineRule="auto"/>
        <w:rPr>
          <w:rFonts w:asciiTheme="minorHAnsi" w:eastAsiaTheme="minorEastAsia" w:hAnsiTheme="minorHAnsi" w:cstheme="minorHAnsi"/>
          <w:sz w:val="22"/>
        </w:rPr>
      </w:pPr>
      <w:r w:rsidRPr="080CEA6A">
        <w:rPr>
          <w:rFonts w:asciiTheme="minorHAnsi" w:eastAsiaTheme="minorEastAsia" w:hAnsiTheme="minorHAnsi" w:cstheme="minorBidi"/>
          <w:sz w:val="22"/>
        </w:rPr>
        <w:t xml:space="preserve">Young K (2020) </w:t>
      </w:r>
      <w:r w:rsidR="008E42E0"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Innovation in initial teacher education through a school–university partnership</w:t>
      </w:r>
      <w:r w:rsidR="008E42E0" w:rsidRPr="080CEA6A">
        <w:rPr>
          <w:rFonts w:asciiTheme="minorHAnsi" w:eastAsiaTheme="minorEastAsia" w:hAnsiTheme="minorHAnsi" w:cstheme="minorBidi"/>
          <w:sz w:val="22"/>
        </w:rPr>
        <w:t>’,</w:t>
      </w:r>
      <w:r w:rsidRPr="080CEA6A">
        <w:rPr>
          <w:rFonts w:asciiTheme="minorHAnsi" w:eastAsiaTheme="minorEastAsia" w:hAnsiTheme="minorHAnsi" w:cstheme="minorBidi"/>
          <w:sz w:val="22"/>
        </w:rPr>
        <w:t xml:space="preserve"> Journal of Curriculum and Teaching, 9(1), </w:t>
      </w:r>
      <w:r w:rsidR="008E42E0" w:rsidRPr="080CEA6A">
        <w:rPr>
          <w:rFonts w:asciiTheme="minorHAnsi" w:eastAsiaTheme="minorEastAsia" w:hAnsiTheme="minorHAnsi" w:cstheme="minorBidi"/>
          <w:sz w:val="22"/>
        </w:rPr>
        <w:t>pp.</w:t>
      </w:r>
      <w:r w:rsidRPr="080CEA6A">
        <w:rPr>
          <w:rFonts w:asciiTheme="minorHAnsi" w:eastAsiaTheme="minorEastAsia" w:hAnsiTheme="minorHAnsi" w:cstheme="minorBidi"/>
          <w:sz w:val="22"/>
        </w:rPr>
        <w:t>15-29</w:t>
      </w:r>
      <w:r w:rsidR="008E42E0" w:rsidRPr="080CEA6A">
        <w:rPr>
          <w:rFonts w:asciiTheme="minorHAnsi" w:eastAsiaTheme="minorEastAsia" w:hAnsiTheme="minorHAnsi" w:cstheme="minorBidi"/>
          <w:sz w:val="22"/>
        </w:rPr>
        <w:t>.</w:t>
      </w:r>
    </w:p>
    <w:p w14:paraId="24220699" w14:textId="77777777" w:rsidR="00A56A37" w:rsidRPr="00497B48" w:rsidRDefault="00A56A37" w:rsidP="004C6DFD">
      <w:pPr>
        <w:keepNext/>
        <w:keepLines/>
        <w:spacing w:line="240" w:lineRule="auto"/>
        <w:outlineLvl w:val="0"/>
      </w:pPr>
    </w:p>
    <w:sectPr w:rsidR="00A56A37" w:rsidRPr="00497B48" w:rsidSect="00FF75BA">
      <w:footerReference w:type="default" r:id="rId7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9FD30" w14:textId="77777777" w:rsidR="00BB34E5" w:rsidRDefault="00BB34E5" w:rsidP="000A6228">
      <w:pPr>
        <w:spacing w:after="0" w:line="240" w:lineRule="auto"/>
      </w:pPr>
      <w:r>
        <w:separator/>
      </w:r>
    </w:p>
  </w:endnote>
  <w:endnote w:type="continuationSeparator" w:id="0">
    <w:p w14:paraId="7ED373A4" w14:textId="77777777" w:rsidR="00BB34E5" w:rsidRDefault="00BB34E5" w:rsidP="000A6228">
      <w:pPr>
        <w:spacing w:after="0" w:line="240" w:lineRule="auto"/>
      </w:pPr>
      <w:r>
        <w:continuationSeparator/>
      </w:r>
    </w:p>
  </w:endnote>
  <w:endnote w:type="continuationNotice" w:id="1">
    <w:p w14:paraId="09729244" w14:textId="77777777" w:rsidR="00BB34E5" w:rsidRDefault="00BB34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Light">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Lato Bold">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Montserrat Ligh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B5CB" w14:textId="77777777" w:rsidR="00665C13" w:rsidRDefault="00665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0C45" w14:textId="77777777" w:rsidR="00665C13" w:rsidRDefault="00665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9F0B" w14:textId="77777777" w:rsidR="00665C13" w:rsidRDefault="00665C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1FF" w14:textId="04F97F72" w:rsidR="00221D8F" w:rsidRDefault="00F76C9D">
    <w:pPr>
      <w:pStyle w:val="Footer"/>
    </w:pPr>
    <w:r w:rsidRPr="00F76C9D">
      <w:t xml:space="preserve">Teacher Education </w:t>
    </w:r>
    <w:r w:rsidR="00721E66" w:rsidRPr="00F76C9D">
      <w:t xml:space="preserve">Expert </w:t>
    </w:r>
    <w:r w:rsidRPr="00F76C9D">
      <w:t xml:space="preserve">Panel </w:t>
    </w:r>
    <w:r w:rsidR="0063726F">
      <w:t>Discussion Paper</w:t>
    </w:r>
    <w:r w:rsidRPr="00F76C9D">
      <w:t xml:space="preserve"> 2023</w:t>
    </w:r>
    <w:r w:rsidR="00221D8F">
      <w:t xml:space="preserve"> | </w:t>
    </w:r>
    <w:r w:rsidR="00221D8F" w:rsidRPr="00AF1F18">
      <w:rPr>
        <w:color w:val="2B579A"/>
        <w:shd w:val="clear" w:color="auto" w:fill="E6E6E6"/>
      </w:rPr>
      <w:fldChar w:fldCharType="begin"/>
    </w:r>
    <w:r w:rsidR="00221D8F" w:rsidRPr="00AF1F18">
      <w:instrText xml:space="preserve"> PAGE   \* MERGEFORMAT </w:instrText>
    </w:r>
    <w:r w:rsidR="00221D8F" w:rsidRPr="00AF1F18">
      <w:rPr>
        <w:color w:val="2B579A"/>
        <w:shd w:val="clear" w:color="auto" w:fill="E6E6E6"/>
      </w:rPr>
      <w:fldChar w:fldCharType="separate"/>
    </w:r>
    <w:r w:rsidR="00221D8F" w:rsidRPr="00AF1F18">
      <w:t>1</w:t>
    </w:r>
    <w:r w:rsidR="00221D8F" w:rsidRPr="00AF1F18">
      <w:rPr>
        <w:color w:val="2B579A"/>
        <w:shd w:val="clear" w:color="auto" w:fill="E6E6E6"/>
      </w:rPr>
      <w:fldChar w:fldCharType="end"/>
    </w:r>
    <w:r>
      <w:rPr>
        <w:noProof/>
        <w:color w:val="2B579A"/>
        <w:shd w:val="clear" w:color="auto" w:fill="E6E6E6"/>
      </w:rPr>
      <w:drawing>
        <wp:anchor distT="0" distB="0" distL="114300" distR="114300" simplePos="0" relativeHeight="251658240" behindDoc="1" locked="1" layoutInCell="1" allowOverlap="1" wp14:anchorId="6A129456" wp14:editId="7750FFBF">
          <wp:simplePos x="914400" y="10068560"/>
          <wp:positionH relativeFrom="page">
            <wp:align>left</wp:align>
          </wp:positionH>
          <wp:positionV relativeFrom="page">
            <wp:align>bottom</wp:align>
          </wp:positionV>
          <wp:extent cx="7560000" cy="230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3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7A3D9" w14:textId="77777777" w:rsidR="00BB34E5" w:rsidRDefault="00BB34E5" w:rsidP="000A6228">
      <w:pPr>
        <w:spacing w:after="0" w:line="240" w:lineRule="auto"/>
      </w:pPr>
      <w:r>
        <w:separator/>
      </w:r>
    </w:p>
  </w:footnote>
  <w:footnote w:type="continuationSeparator" w:id="0">
    <w:p w14:paraId="58294F83" w14:textId="77777777" w:rsidR="00BB34E5" w:rsidRDefault="00BB34E5" w:rsidP="000A6228">
      <w:pPr>
        <w:spacing w:after="0" w:line="240" w:lineRule="auto"/>
      </w:pPr>
      <w:r>
        <w:continuationSeparator/>
      </w:r>
    </w:p>
  </w:footnote>
  <w:footnote w:type="continuationNotice" w:id="1">
    <w:p w14:paraId="7338693F" w14:textId="77777777" w:rsidR="00BB34E5" w:rsidRDefault="00BB34E5">
      <w:pPr>
        <w:spacing w:after="0" w:line="240" w:lineRule="auto"/>
      </w:pPr>
    </w:p>
  </w:footnote>
  <w:footnote w:id="2">
    <w:p w14:paraId="305F2386" w14:textId="6B7FB99D" w:rsidR="00117F77" w:rsidRDefault="00117F77">
      <w:pPr>
        <w:pStyle w:val="FootnoteText"/>
      </w:pPr>
      <w:r>
        <w:rPr>
          <w:rStyle w:val="FootnoteReference"/>
        </w:rPr>
        <w:footnoteRef/>
      </w:r>
      <w:r>
        <w:t xml:space="preserve"> </w:t>
      </w:r>
      <w:r w:rsidR="00CF5A5D">
        <w:t>For example, t</w:t>
      </w:r>
      <w:r>
        <w:t xml:space="preserve">he Australian Catholic University </w:t>
      </w:r>
      <w:r w:rsidR="002377DF">
        <w:t xml:space="preserve">has </w:t>
      </w:r>
      <w:r>
        <w:t xml:space="preserve">reported </w:t>
      </w:r>
      <w:r w:rsidR="001F03D3" w:rsidRPr="001F03D3">
        <w:t>a 39 per cent reduction in education enrolments at the Ballarat campus since 2020, a 23 per cent reduction at Sydney and a 20 per cent drop at the Brisbane campus</w:t>
      </w:r>
      <w:r w:rsidR="007802D1">
        <w:t xml:space="preserve">: </w:t>
      </w:r>
      <w:hyperlink r:id="rId1" w:history="1">
        <w:r w:rsidR="007802D1">
          <w:rPr>
            <w:rStyle w:val="Hyperlink"/>
          </w:rPr>
          <w:t>Australian Catholic University to cut 110 jobs (smh.com.au)</w:t>
        </w:r>
      </w:hyperlink>
      <w:r w:rsidR="007802D1">
        <w:t>.</w:t>
      </w:r>
    </w:p>
  </w:footnote>
  <w:footnote w:id="3">
    <w:p w14:paraId="0CBDCF51" w14:textId="367C5AE6" w:rsidR="00705306" w:rsidRPr="00CF7ACB" w:rsidRDefault="00705306" w:rsidP="00705306">
      <w:pPr>
        <w:rPr>
          <w:rFonts w:ascii="Calibri" w:hAnsi="Calibri" w:cs="Calibri"/>
        </w:rPr>
      </w:pPr>
      <w:r>
        <w:rPr>
          <w:rStyle w:val="FootnoteReference"/>
        </w:rPr>
        <w:footnoteRef/>
      </w:r>
      <w:r>
        <w:t xml:space="preserve"> </w:t>
      </w:r>
      <w:r w:rsidRPr="00BD657C">
        <w:rPr>
          <w:sz w:val="18"/>
          <w:szCs w:val="18"/>
          <w:lang w:val="en-US"/>
        </w:rPr>
        <w:t>Measured as the average performance of the previous four years based on available data , noting that comparisons to averages of previous five years are more commonly applied</w:t>
      </w:r>
      <w:r w:rsidRPr="0069003E">
        <w:rPr>
          <w:sz w:val="16"/>
          <w:szCs w:val="16"/>
          <w:lang w:val="en-US"/>
        </w:rPr>
        <w:t xml:space="preserve"> (</w:t>
      </w:r>
      <w:hyperlink r:id="rId2" w:history="1">
        <w:r w:rsidRPr="0069003E">
          <w:rPr>
            <w:rStyle w:val="Hyperlink"/>
            <w:sz w:val="16"/>
            <w:szCs w:val="16"/>
          </w:rPr>
          <w:t>https://www.abs.gov.au/statistics/health/causes-death/provisional-mortality-statistics/jan-2020-dec-2021</w:t>
        </w:r>
      </w:hyperlink>
      <w:r w:rsidRPr="0069003E">
        <w:rPr>
          <w:sz w:val="16"/>
          <w:szCs w:val="16"/>
        </w:rPr>
        <w:t xml:space="preserve">, </w:t>
      </w:r>
      <w:hyperlink r:id="rId3" w:history="1">
        <w:r w:rsidRPr="0069003E">
          <w:rPr>
            <w:rStyle w:val="Hyperlink"/>
            <w:sz w:val="16"/>
            <w:szCs w:val="16"/>
          </w:rPr>
          <w:t>https://www.aihw.gov.au/getmedia/a69ee08a-857f-412b-b617-a29acb66a475/aihw-phe-287.pdf.aspx?inline=true</w:t>
        </w:r>
      </w:hyperlink>
      <w:r w:rsidRPr="0069003E">
        <w:rPr>
          <w:sz w:val="16"/>
          <w:szCs w:val="16"/>
        </w:rPr>
        <w:t>)</w:t>
      </w:r>
      <w:r w:rsidR="00BD657C">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9C92" w14:textId="77777777" w:rsidR="00665C13" w:rsidRDefault="00665C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B78B" w14:textId="77777777" w:rsidR="00665C13" w:rsidRDefault="00665C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B024" w14:textId="77777777" w:rsidR="00665C13" w:rsidRDefault="00665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997"/>
    <w:multiLevelType w:val="hybridMultilevel"/>
    <w:tmpl w:val="249CD7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1C6FF7"/>
    <w:multiLevelType w:val="hybridMultilevel"/>
    <w:tmpl w:val="58B6A7DA"/>
    <w:lvl w:ilvl="0" w:tplc="FA4E07D8">
      <w:start w:val="1"/>
      <w:numFmt w:val="decimal"/>
      <w:lvlText w:val="%1."/>
      <w:lvlJc w:val="left"/>
      <w:pPr>
        <w:ind w:left="360" w:hanging="360"/>
      </w:pPr>
      <w:rPr>
        <w:rFonts w:asciiTheme="minorHAnsi" w:hAnsiTheme="minorHAnsi" w:cstheme="minorBidi" w:hint="default"/>
        <w:b/>
        <w:bCs/>
        <w:sz w:val="2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17004E"/>
    <w:multiLevelType w:val="hybridMultilevel"/>
    <w:tmpl w:val="4E8E173E"/>
    <w:lvl w:ilvl="0" w:tplc="9E16526C">
      <w:start w:val="1"/>
      <w:numFmt w:val="bullet"/>
      <w:pStyle w:val="NormalTextBulleted"/>
      <w:lvlText w:val=""/>
      <w:lvlJc w:val="left"/>
      <w:pPr>
        <w:ind w:left="360" w:hanging="360"/>
      </w:pPr>
      <w:rPr>
        <w:rFonts w:ascii="Symbol" w:hAnsi="Symbol" w:hint="default"/>
        <w:color w:val="3C105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3E1BED"/>
    <w:multiLevelType w:val="multilevel"/>
    <w:tmpl w:val="1852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9605C"/>
    <w:multiLevelType w:val="hybridMultilevel"/>
    <w:tmpl w:val="8B48D5C8"/>
    <w:lvl w:ilvl="0" w:tplc="E5B01FC6">
      <w:start w:val="1"/>
      <w:numFmt w:val="decimal"/>
      <w:lvlText w:val="%1."/>
      <w:lvlJc w:val="left"/>
      <w:pPr>
        <w:ind w:left="720" w:hanging="360"/>
      </w:pPr>
      <w:rPr>
        <w:rFonts w:asciiTheme="minorHAnsi" w:hAnsiTheme="minorHAnsi" w:cstheme="minorHAnsi"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4D7500"/>
    <w:multiLevelType w:val="hybridMultilevel"/>
    <w:tmpl w:val="214CA23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0E0C220A"/>
    <w:multiLevelType w:val="hybridMultilevel"/>
    <w:tmpl w:val="493C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9E1DEA"/>
    <w:multiLevelType w:val="hybridMultilevel"/>
    <w:tmpl w:val="BA246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BB47EB"/>
    <w:multiLevelType w:val="hybridMultilevel"/>
    <w:tmpl w:val="A90EE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782F9A"/>
    <w:multiLevelType w:val="hybridMultilevel"/>
    <w:tmpl w:val="FE82524C"/>
    <w:lvl w:ilvl="0" w:tplc="B08EC586">
      <w:start w:val="1"/>
      <w:numFmt w:val="bullet"/>
      <w:lvlText w:val=""/>
      <w:lvlJc w:val="left"/>
      <w:pPr>
        <w:ind w:left="720" w:hanging="360"/>
      </w:pPr>
      <w:rPr>
        <w:rFonts w:ascii="Symbol" w:hAnsi="Symbol" w:hint="default"/>
      </w:rPr>
    </w:lvl>
    <w:lvl w:ilvl="1" w:tplc="28440DA4">
      <w:start w:val="1"/>
      <w:numFmt w:val="bullet"/>
      <w:lvlText w:val="o"/>
      <w:lvlJc w:val="left"/>
      <w:pPr>
        <w:ind w:left="1440" w:hanging="360"/>
      </w:pPr>
      <w:rPr>
        <w:rFonts w:ascii="Courier New" w:hAnsi="Courier New" w:hint="default"/>
      </w:rPr>
    </w:lvl>
    <w:lvl w:ilvl="2" w:tplc="A348840A">
      <w:start w:val="1"/>
      <w:numFmt w:val="bullet"/>
      <w:lvlText w:val=""/>
      <w:lvlJc w:val="left"/>
      <w:pPr>
        <w:ind w:left="2160" w:hanging="360"/>
      </w:pPr>
      <w:rPr>
        <w:rFonts w:ascii="Wingdings" w:hAnsi="Wingdings" w:hint="default"/>
      </w:rPr>
    </w:lvl>
    <w:lvl w:ilvl="3" w:tplc="FAD42018">
      <w:start w:val="1"/>
      <w:numFmt w:val="bullet"/>
      <w:lvlText w:val=""/>
      <w:lvlJc w:val="left"/>
      <w:pPr>
        <w:ind w:left="2880" w:hanging="360"/>
      </w:pPr>
      <w:rPr>
        <w:rFonts w:ascii="Symbol" w:hAnsi="Symbol" w:hint="default"/>
      </w:rPr>
    </w:lvl>
    <w:lvl w:ilvl="4" w:tplc="8EA4BDC0">
      <w:start w:val="1"/>
      <w:numFmt w:val="bullet"/>
      <w:lvlText w:val="o"/>
      <w:lvlJc w:val="left"/>
      <w:pPr>
        <w:ind w:left="3600" w:hanging="360"/>
      </w:pPr>
      <w:rPr>
        <w:rFonts w:ascii="Courier New" w:hAnsi="Courier New" w:hint="default"/>
      </w:rPr>
    </w:lvl>
    <w:lvl w:ilvl="5" w:tplc="19485AFE">
      <w:start w:val="1"/>
      <w:numFmt w:val="bullet"/>
      <w:lvlText w:val=""/>
      <w:lvlJc w:val="left"/>
      <w:pPr>
        <w:ind w:left="4320" w:hanging="360"/>
      </w:pPr>
      <w:rPr>
        <w:rFonts w:ascii="Wingdings" w:hAnsi="Wingdings" w:hint="default"/>
      </w:rPr>
    </w:lvl>
    <w:lvl w:ilvl="6" w:tplc="5B065448">
      <w:start w:val="1"/>
      <w:numFmt w:val="bullet"/>
      <w:lvlText w:val=""/>
      <w:lvlJc w:val="left"/>
      <w:pPr>
        <w:ind w:left="5040" w:hanging="360"/>
      </w:pPr>
      <w:rPr>
        <w:rFonts w:ascii="Symbol" w:hAnsi="Symbol" w:hint="default"/>
      </w:rPr>
    </w:lvl>
    <w:lvl w:ilvl="7" w:tplc="D4A079C4">
      <w:start w:val="1"/>
      <w:numFmt w:val="bullet"/>
      <w:lvlText w:val="o"/>
      <w:lvlJc w:val="left"/>
      <w:pPr>
        <w:ind w:left="5760" w:hanging="360"/>
      </w:pPr>
      <w:rPr>
        <w:rFonts w:ascii="Courier New" w:hAnsi="Courier New" w:hint="default"/>
      </w:rPr>
    </w:lvl>
    <w:lvl w:ilvl="8" w:tplc="D5D62B98">
      <w:start w:val="1"/>
      <w:numFmt w:val="bullet"/>
      <w:lvlText w:val=""/>
      <w:lvlJc w:val="left"/>
      <w:pPr>
        <w:ind w:left="6480" w:hanging="360"/>
      </w:pPr>
      <w:rPr>
        <w:rFonts w:ascii="Wingdings" w:hAnsi="Wingdings" w:hint="default"/>
      </w:rPr>
    </w:lvl>
  </w:abstractNum>
  <w:abstractNum w:abstractNumId="12" w15:restartNumberingAfterBreak="0">
    <w:nsid w:val="18AD5CF7"/>
    <w:multiLevelType w:val="hybridMultilevel"/>
    <w:tmpl w:val="14CE6530"/>
    <w:lvl w:ilvl="0" w:tplc="469ADBCA">
      <w:start w:val="1"/>
      <w:numFmt w:val="decimal"/>
      <w:lvlText w:val="%1."/>
      <w:lvlJc w:val="left"/>
      <w:pPr>
        <w:ind w:left="360" w:hanging="360"/>
      </w:pPr>
      <w:rPr>
        <w:rFonts w:hint="default"/>
        <w:b/>
        <w:bCs/>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916E4B"/>
    <w:multiLevelType w:val="hybridMultilevel"/>
    <w:tmpl w:val="F2D433F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CE3B00A"/>
    <w:multiLevelType w:val="hybridMultilevel"/>
    <w:tmpl w:val="FFFFFFFF"/>
    <w:lvl w:ilvl="0" w:tplc="B94663D4">
      <w:start w:val="1"/>
      <w:numFmt w:val="bullet"/>
      <w:lvlText w:val="·"/>
      <w:lvlJc w:val="left"/>
      <w:pPr>
        <w:ind w:left="720" w:hanging="360"/>
      </w:pPr>
      <w:rPr>
        <w:rFonts w:ascii="Symbol" w:hAnsi="Symbol" w:hint="default"/>
      </w:rPr>
    </w:lvl>
    <w:lvl w:ilvl="1" w:tplc="41EC769A">
      <w:start w:val="1"/>
      <w:numFmt w:val="bullet"/>
      <w:lvlText w:val="o"/>
      <w:lvlJc w:val="left"/>
      <w:pPr>
        <w:ind w:left="1440" w:hanging="360"/>
      </w:pPr>
      <w:rPr>
        <w:rFonts w:ascii="Courier New" w:hAnsi="Courier New" w:hint="default"/>
      </w:rPr>
    </w:lvl>
    <w:lvl w:ilvl="2" w:tplc="91A00B3A">
      <w:start w:val="1"/>
      <w:numFmt w:val="bullet"/>
      <w:lvlText w:val=""/>
      <w:lvlJc w:val="left"/>
      <w:pPr>
        <w:ind w:left="2160" w:hanging="360"/>
      </w:pPr>
      <w:rPr>
        <w:rFonts w:ascii="Wingdings" w:hAnsi="Wingdings" w:hint="default"/>
      </w:rPr>
    </w:lvl>
    <w:lvl w:ilvl="3" w:tplc="14623632">
      <w:start w:val="1"/>
      <w:numFmt w:val="bullet"/>
      <w:lvlText w:val=""/>
      <w:lvlJc w:val="left"/>
      <w:pPr>
        <w:ind w:left="2880" w:hanging="360"/>
      </w:pPr>
      <w:rPr>
        <w:rFonts w:ascii="Symbol" w:hAnsi="Symbol" w:hint="default"/>
      </w:rPr>
    </w:lvl>
    <w:lvl w:ilvl="4" w:tplc="9AB81098">
      <w:start w:val="1"/>
      <w:numFmt w:val="bullet"/>
      <w:lvlText w:val="o"/>
      <w:lvlJc w:val="left"/>
      <w:pPr>
        <w:ind w:left="3600" w:hanging="360"/>
      </w:pPr>
      <w:rPr>
        <w:rFonts w:ascii="Courier New" w:hAnsi="Courier New" w:hint="default"/>
      </w:rPr>
    </w:lvl>
    <w:lvl w:ilvl="5" w:tplc="EE5851B2">
      <w:start w:val="1"/>
      <w:numFmt w:val="bullet"/>
      <w:lvlText w:val=""/>
      <w:lvlJc w:val="left"/>
      <w:pPr>
        <w:ind w:left="4320" w:hanging="360"/>
      </w:pPr>
      <w:rPr>
        <w:rFonts w:ascii="Wingdings" w:hAnsi="Wingdings" w:hint="default"/>
      </w:rPr>
    </w:lvl>
    <w:lvl w:ilvl="6" w:tplc="7AB25FDE">
      <w:start w:val="1"/>
      <w:numFmt w:val="bullet"/>
      <w:lvlText w:val=""/>
      <w:lvlJc w:val="left"/>
      <w:pPr>
        <w:ind w:left="5040" w:hanging="360"/>
      </w:pPr>
      <w:rPr>
        <w:rFonts w:ascii="Symbol" w:hAnsi="Symbol" w:hint="default"/>
      </w:rPr>
    </w:lvl>
    <w:lvl w:ilvl="7" w:tplc="6166F052">
      <w:start w:val="1"/>
      <w:numFmt w:val="bullet"/>
      <w:lvlText w:val="o"/>
      <w:lvlJc w:val="left"/>
      <w:pPr>
        <w:ind w:left="5760" w:hanging="360"/>
      </w:pPr>
      <w:rPr>
        <w:rFonts w:ascii="Courier New" w:hAnsi="Courier New" w:hint="default"/>
      </w:rPr>
    </w:lvl>
    <w:lvl w:ilvl="8" w:tplc="05BEAD10">
      <w:start w:val="1"/>
      <w:numFmt w:val="bullet"/>
      <w:lvlText w:val=""/>
      <w:lvlJc w:val="left"/>
      <w:pPr>
        <w:ind w:left="6480" w:hanging="360"/>
      </w:pPr>
      <w:rPr>
        <w:rFonts w:ascii="Wingdings" w:hAnsi="Wingdings" w:hint="default"/>
      </w:rPr>
    </w:lvl>
  </w:abstractNum>
  <w:abstractNum w:abstractNumId="16" w15:restartNumberingAfterBreak="0">
    <w:nsid w:val="233C712A"/>
    <w:multiLevelType w:val="hybridMultilevel"/>
    <w:tmpl w:val="3CB8C7B8"/>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5D402E"/>
    <w:multiLevelType w:val="multilevel"/>
    <w:tmpl w:val="B074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5D029B"/>
    <w:multiLevelType w:val="hybridMultilevel"/>
    <w:tmpl w:val="8F8677F4"/>
    <w:lvl w:ilvl="0" w:tplc="52F4B900">
      <w:start w:val="1"/>
      <w:numFmt w:val="bullet"/>
      <w:lvlText w:val="·"/>
      <w:lvlJc w:val="left"/>
      <w:pPr>
        <w:ind w:left="720" w:hanging="360"/>
      </w:pPr>
      <w:rPr>
        <w:rFonts w:ascii="Symbol" w:hAnsi="Symbol" w:hint="default"/>
      </w:rPr>
    </w:lvl>
    <w:lvl w:ilvl="1" w:tplc="C0528450">
      <w:start w:val="1"/>
      <w:numFmt w:val="bullet"/>
      <w:lvlText w:val="o"/>
      <w:lvlJc w:val="left"/>
      <w:pPr>
        <w:ind w:left="1440" w:hanging="360"/>
      </w:pPr>
      <w:rPr>
        <w:rFonts w:ascii="Courier New" w:hAnsi="Courier New" w:hint="default"/>
      </w:rPr>
    </w:lvl>
    <w:lvl w:ilvl="2" w:tplc="63E6EFCC">
      <w:start w:val="1"/>
      <w:numFmt w:val="bullet"/>
      <w:lvlText w:val=""/>
      <w:lvlJc w:val="left"/>
      <w:pPr>
        <w:ind w:left="2160" w:hanging="360"/>
      </w:pPr>
      <w:rPr>
        <w:rFonts w:ascii="Wingdings" w:hAnsi="Wingdings" w:hint="default"/>
      </w:rPr>
    </w:lvl>
    <w:lvl w:ilvl="3" w:tplc="1A8CE61C">
      <w:start w:val="1"/>
      <w:numFmt w:val="bullet"/>
      <w:lvlText w:val=""/>
      <w:lvlJc w:val="left"/>
      <w:pPr>
        <w:ind w:left="2880" w:hanging="360"/>
      </w:pPr>
      <w:rPr>
        <w:rFonts w:ascii="Symbol" w:hAnsi="Symbol" w:hint="default"/>
      </w:rPr>
    </w:lvl>
    <w:lvl w:ilvl="4" w:tplc="67C8CA0E">
      <w:start w:val="1"/>
      <w:numFmt w:val="bullet"/>
      <w:lvlText w:val="o"/>
      <w:lvlJc w:val="left"/>
      <w:pPr>
        <w:ind w:left="3600" w:hanging="360"/>
      </w:pPr>
      <w:rPr>
        <w:rFonts w:ascii="Courier New" w:hAnsi="Courier New" w:hint="default"/>
      </w:rPr>
    </w:lvl>
    <w:lvl w:ilvl="5" w:tplc="30FEE710">
      <w:start w:val="1"/>
      <w:numFmt w:val="bullet"/>
      <w:lvlText w:val=""/>
      <w:lvlJc w:val="left"/>
      <w:pPr>
        <w:ind w:left="4320" w:hanging="360"/>
      </w:pPr>
      <w:rPr>
        <w:rFonts w:ascii="Wingdings" w:hAnsi="Wingdings" w:hint="default"/>
      </w:rPr>
    </w:lvl>
    <w:lvl w:ilvl="6" w:tplc="00865BFE">
      <w:start w:val="1"/>
      <w:numFmt w:val="bullet"/>
      <w:lvlText w:val=""/>
      <w:lvlJc w:val="left"/>
      <w:pPr>
        <w:ind w:left="5040" w:hanging="360"/>
      </w:pPr>
      <w:rPr>
        <w:rFonts w:ascii="Symbol" w:hAnsi="Symbol" w:hint="default"/>
      </w:rPr>
    </w:lvl>
    <w:lvl w:ilvl="7" w:tplc="8F7C2C76">
      <w:start w:val="1"/>
      <w:numFmt w:val="bullet"/>
      <w:lvlText w:val="o"/>
      <w:lvlJc w:val="left"/>
      <w:pPr>
        <w:ind w:left="5760" w:hanging="360"/>
      </w:pPr>
      <w:rPr>
        <w:rFonts w:ascii="Courier New" w:hAnsi="Courier New" w:hint="default"/>
      </w:rPr>
    </w:lvl>
    <w:lvl w:ilvl="8" w:tplc="FC887EB6">
      <w:start w:val="1"/>
      <w:numFmt w:val="bullet"/>
      <w:lvlText w:val=""/>
      <w:lvlJc w:val="left"/>
      <w:pPr>
        <w:ind w:left="6480" w:hanging="360"/>
      </w:pPr>
      <w:rPr>
        <w:rFonts w:ascii="Wingdings" w:hAnsi="Wingdings" w:hint="default"/>
      </w:rPr>
    </w:lvl>
  </w:abstractNum>
  <w:abstractNum w:abstractNumId="19" w15:restartNumberingAfterBreak="0">
    <w:nsid w:val="29FC8BA8"/>
    <w:multiLevelType w:val="hybridMultilevel"/>
    <w:tmpl w:val="FFFFFFFF"/>
    <w:lvl w:ilvl="0" w:tplc="BCFC88DC">
      <w:start w:val="1"/>
      <w:numFmt w:val="bullet"/>
      <w:lvlText w:val=""/>
      <w:lvlJc w:val="left"/>
      <w:pPr>
        <w:ind w:left="720" w:hanging="360"/>
      </w:pPr>
      <w:rPr>
        <w:rFonts w:ascii="Symbol" w:hAnsi="Symbol" w:hint="default"/>
      </w:rPr>
    </w:lvl>
    <w:lvl w:ilvl="1" w:tplc="ECE6B9E2">
      <w:start w:val="1"/>
      <w:numFmt w:val="bullet"/>
      <w:lvlText w:val="o"/>
      <w:lvlJc w:val="left"/>
      <w:pPr>
        <w:ind w:left="1440" w:hanging="360"/>
      </w:pPr>
      <w:rPr>
        <w:rFonts w:ascii="Courier New" w:hAnsi="Courier New" w:hint="default"/>
      </w:rPr>
    </w:lvl>
    <w:lvl w:ilvl="2" w:tplc="9528CB42">
      <w:start w:val="1"/>
      <w:numFmt w:val="bullet"/>
      <w:lvlText w:val=""/>
      <w:lvlJc w:val="left"/>
      <w:pPr>
        <w:ind w:left="2160" w:hanging="360"/>
      </w:pPr>
      <w:rPr>
        <w:rFonts w:ascii="Wingdings" w:hAnsi="Wingdings" w:hint="default"/>
      </w:rPr>
    </w:lvl>
    <w:lvl w:ilvl="3" w:tplc="198C5576">
      <w:start w:val="1"/>
      <w:numFmt w:val="bullet"/>
      <w:lvlText w:val=""/>
      <w:lvlJc w:val="left"/>
      <w:pPr>
        <w:ind w:left="2880" w:hanging="360"/>
      </w:pPr>
      <w:rPr>
        <w:rFonts w:ascii="Symbol" w:hAnsi="Symbol" w:hint="default"/>
      </w:rPr>
    </w:lvl>
    <w:lvl w:ilvl="4" w:tplc="1A6AC156">
      <w:start w:val="1"/>
      <w:numFmt w:val="bullet"/>
      <w:lvlText w:val="o"/>
      <w:lvlJc w:val="left"/>
      <w:pPr>
        <w:ind w:left="3600" w:hanging="360"/>
      </w:pPr>
      <w:rPr>
        <w:rFonts w:ascii="Courier New" w:hAnsi="Courier New" w:hint="default"/>
      </w:rPr>
    </w:lvl>
    <w:lvl w:ilvl="5" w:tplc="B0F420CC">
      <w:start w:val="1"/>
      <w:numFmt w:val="bullet"/>
      <w:lvlText w:val=""/>
      <w:lvlJc w:val="left"/>
      <w:pPr>
        <w:ind w:left="4320" w:hanging="360"/>
      </w:pPr>
      <w:rPr>
        <w:rFonts w:ascii="Wingdings" w:hAnsi="Wingdings" w:hint="default"/>
      </w:rPr>
    </w:lvl>
    <w:lvl w:ilvl="6" w:tplc="9E6AC246">
      <w:start w:val="1"/>
      <w:numFmt w:val="bullet"/>
      <w:lvlText w:val=""/>
      <w:lvlJc w:val="left"/>
      <w:pPr>
        <w:ind w:left="5040" w:hanging="360"/>
      </w:pPr>
      <w:rPr>
        <w:rFonts w:ascii="Symbol" w:hAnsi="Symbol" w:hint="default"/>
      </w:rPr>
    </w:lvl>
    <w:lvl w:ilvl="7" w:tplc="849CF8BC">
      <w:start w:val="1"/>
      <w:numFmt w:val="bullet"/>
      <w:lvlText w:val="o"/>
      <w:lvlJc w:val="left"/>
      <w:pPr>
        <w:ind w:left="5760" w:hanging="360"/>
      </w:pPr>
      <w:rPr>
        <w:rFonts w:ascii="Courier New" w:hAnsi="Courier New" w:hint="default"/>
      </w:rPr>
    </w:lvl>
    <w:lvl w:ilvl="8" w:tplc="0FA44F96">
      <w:start w:val="1"/>
      <w:numFmt w:val="bullet"/>
      <w:lvlText w:val=""/>
      <w:lvlJc w:val="left"/>
      <w:pPr>
        <w:ind w:left="6480" w:hanging="360"/>
      </w:pPr>
      <w:rPr>
        <w:rFonts w:ascii="Wingdings" w:hAnsi="Wingdings" w:hint="default"/>
      </w:rPr>
    </w:lvl>
  </w:abstractNum>
  <w:abstractNum w:abstractNumId="20" w15:restartNumberingAfterBreak="0">
    <w:nsid w:val="2ABE7118"/>
    <w:multiLevelType w:val="multilevel"/>
    <w:tmpl w:val="FF60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0C211C"/>
    <w:multiLevelType w:val="hybridMultilevel"/>
    <w:tmpl w:val="F856B47A"/>
    <w:lvl w:ilvl="0" w:tplc="FFFFFFFF">
      <w:start w:val="1"/>
      <w:numFmt w:val="bullet"/>
      <w:lvlText w:val="•"/>
      <w:lvlJc w:val="left"/>
      <w:pPr>
        <w:ind w:left="1440" w:hanging="360"/>
      </w:pPr>
      <w:rPr>
        <w:rFonts w:ascii="Calibri" w:hAnsi="Calibri" w:hint="default"/>
      </w:rPr>
    </w:lvl>
    <w:lvl w:ilvl="1" w:tplc="0C09000F">
      <w:start w:val="1"/>
      <w:numFmt w:val="decimal"/>
      <w:lvlText w:val="%2."/>
      <w:lvlJc w:val="left"/>
      <w:pPr>
        <w:ind w:left="1800" w:hanging="360"/>
      </w:p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C64378D"/>
    <w:multiLevelType w:val="hybridMultilevel"/>
    <w:tmpl w:val="8FDA332E"/>
    <w:lvl w:ilvl="0" w:tplc="FFFFFFF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FF46B62"/>
    <w:multiLevelType w:val="hybridMultilevel"/>
    <w:tmpl w:val="5DA4C71C"/>
    <w:lvl w:ilvl="0" w:tplc="1076D0BC">
      <w:start w:val="1"/>
      <w:numFmt w:val="decimal"/>
      <w:lvlText w:val="%1."/>
      <w:lvlJc w:val="left"/>
      <w:pPr>
        <w:ind w:left="765" w:hanging="360"/>
      </w:pPr>
      <w:rPr>
        <w:rFonts w:ascii="Calibri" w:eastAsia="Times New Roman" w:hAnsi="Calibri" w:cs="Calibri"/>
        <w:b/>
        <w:bCs/>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331729F1"/>
    <w:multiLevelType w:val="hybridMultilevel"/>
    <w:tmpl w:val="60F877E4"/>
    <w:lvl w:ilvl="0" w:tplc="0C090001">
      <w:start w:val="1"/>
      <w:numFmt w:val="bullet"/>
      <w:lvlText w:val=""/>
      <w:lvlJc w:val="left"/>
      <w:pPr>
        <w:ind w:left="1088" w:hanging="360"/>
      </w:pPr>
      <w:rPr>
        <w:rFonts w:ascii="Symbol" w:hAnsi="Symbol" w:hint="default"/>
      </w:rPr>
    </w:lvl>
    <w:lvl w:ilvl="1" w:tplc="0C090003" w:tentative="1">
      <w:start w:val="1"/>
      <w:numFmt w:val="bullet"/>
      <w:lvlText w:val="o"/>
      <w:lvlJc w:val="left"/>
      <w:pPr>
        <w:ind w:left="1808" w:hanging="360"/>
      </w:pPr>
      <w:rPr>
        <w:rFonts w:ascii="Courier New" w:hAnsi="Courier New" w:cs="Courier New" w:hint="default"/>
      </w:rPr>
    </w:lvl>
    <w:lvl w:ilvl="2" w:tplc="0C090005" w:tentative="1">
      <w:start w:val="1"/>
      <w:numFmt w:val="bullet"/>
      <w:lvlText w:val=""/>
      <w:lvlJc w:val="left"/>
      <w:pPr>
        <w:ind w:left="2528" w:hanging="360"/>
      </w:pPr>
      <w:rPr>
        <w:rFonts w:ascii="Wingdings" w:hAnsi="Wingdings" w:hint="default"/>
      </w:rPr>
    </w:lvl>
    <w:lvl w:ilvl="3" w:tplc="0C090001" w:tentative="1">
      <w:start w:val="1"/>
      <w:numFmt w:val="bullet"/>
      <w:lvlText w:val=""/>
      <w:lvlJc w:val="left"/>
      <w:pPr>
        <w:ind w:left="3248" w:hanging="360"/>
      </w:pPr>
      <w:rPr>
        <w:rFonts w:ascii="Symbol" w:hAnsi="Symbol" w:hint="default"/>
      </w:rPr>
    </w:lvl>
    <w:lvl w:ilvl="4" w:tplc="0C090003" w:tentative="1">
      <w:start w:val="1"/>
      <w:numFmt w:val="bullet"/>
      <w:lvlText w:val="o"/>
      <w:lvlJc w:val="left"/>
      <w:pPr>
        <w:ind w:left="3968" w:hanging="360"/>
      </w:pPr>
      <w:rPr>
        <w:rFonts w:ascii="Courier New" w:hAnsi="Courier New" w:cs="Courier New" w:hint="default"/>
      </w:rPr>
    </w:lvl>
    <w:lvl w:ilvl="5" w:tplc="0C090005" w:tentative="1">
      <w:start w:val="1"/>
      <w:numFmt w:val="bullet"/>
      <w:lvlText w:val=""/>
      <w:lvlJc w:val="left"/>
      <w:pPr>
        <w:ind w:left="4688" w:hanging="360"/>
      </w:pPr>
      <w:rPr>
        <w:rFonts w:ascii="Wingdings" w:hAnsi="Wingdings" w:hint="default"/>
      </w:rPr>
    </w:lvl>
    <w:lvl w:ilvl="6" w:tplc="0C090001" w:tentative="1">
      <w:start w:val="1"/>
      <w:numFmt w:val="bullet"/>
      <w:lvlText w:val=""/>
      <w:lvlJc w:val="left"/>
      <w:pPr>
        <w:ind w:left="5408" w:hanging="360"/>
      </w:pPr>
      <w:rPr>
        <w:rFonts w:ascii="Symbol" w:hAnsi="Symbol" w:hint="default"/>
      </w:rPr>
    </w:lvl>
    <w:lvl w:ilvl="7" w:tplc="0C090003" w:tentative="1">
      <w:start w:val="1"/>
      <w:numFmt w:val="bullet"/>
      <w:lvlText w:val="o"/>
      <w:lvlJc w:val="left"/>
      <w:pPr>
        <w:ind w:left="6128" w:hanging="360"/>
      </w:pPr>
      <w:rPr>
        <w:rFonts w:ascii="Courier New" w:hAnsi="Courier New" w:cs="Courier New" w:hint="default"/>
      </w:rPr>
    </w:lvl>
    <w:lvl w:ilvl="8" w:tplc="0C090005" w:tentative="1">
      <w:start w:val="1"/>
      <w:numFmt w:val="bullet"/>
      <w:lvlText w:val=""/>
      <w:lvlJc w:val="left"/>
      <w:pPr>
        <w:ind w:left="6848" w:hanging="360"/>
      </w:pPr>
      <w:rPr>
        <w:rFonts w:ascii="Wingdings" w:hAnsi="Wingdings" w:hint="default"/>
      </w:rPr>
    </w:lvl>
  </w:abstractNum>
  <w:abstractNum w:abstractNumId="26" w15:restartNumberingAfterBreak="0">
    <w:nsid w:val="3435153E"/>
    <w:multiLevelType w:val="multilevel"/>
    <w:tmpl w:val="4576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4DB7417"/>
    <w:multiLevelType w:val="hybridMultilevel"/>
    <w:tmpl w:val="D7FA2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B4C0E21"/>
    <w:multiLevelType w:val="hybridMultilevel"/>
    <w:tmpl w:val="EB54A60C"/>
    <w:lvl w:ilvl="0" w:tplc="FFFFFFFF">
      <w:start w:val="1"/>
      <w:numFmt w:val="bullet"/>
      <w:lvlText w:val="•"/>
      <w:lvlJc w:val="left"/>
      <w:pPr>
        <w:ind w:left="360" w:hanging="360"/>
      </w:pPr>
      <w:rPr>
        <w:rFonts w:ascii="Calibri" w:hAnsi="Calibri"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3B527887"/>
    <w:multiLevelType w:val="hybridMultilevel"/>
    <w:tmpl w:val="2A00A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A5756B"/>
    <w:multiLevelType w:val="hybridMultilevel"/>
    <w:tmpl w:val="6DD87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1626C9"/>
    <w:multiLevelType w:val="hybridMultilevel"/>
    <w:tmpl w:val="21FC12B0"/>
    <w:lvl w:ilvl="0" w:tplc="3BF236B8">
      <w:start w:val="1"/>
      <w:numFmt w:val="bullet"/>
      <w:lvlText w:val="·"/>
      <w:lvlJc w:val="left"/>
      <w:pPr>
        <w:ind w:left="720" w:hanging="360"/>
      </w:pPr>
      <w:rPr>
        <w:rFonts w:ascii="Symbol" w:hAnsi="Symbol" w:hint="default"/>
      </w:rPr>
    </w:lvl>
    <w:lvl w:ilvl="1" w:tplc="828800E8">
      <w:start w:val="1"/>
      <w:numFmt w:val="bullet"/>
      <w:lvlText w:val="o"/>
      <w:lvlJc w:val="left"/>
      <w:pPr>
        <w:ind w:left="1440" w:hanging="360"/>
      </w:pPr>
      <w:rPr>
        <w:rFonts w:ascii="Courier New" w:hAnsi="Courier New" w:hint="default"/>
      </w:rPr>
    </w:lvl>
    <w:lvl w:ilvl="2" w:tplc="25207F36">
      <w:start w:val="1"/>
      <w:numFmt w:val="bullet"/>
      <w:lvlText w:val=""/>
      <w:lvlJc w:val="left"/>
      <w:pPr>
        <w:ind w:left="2160" w:hanging="360"/>
      </w:pPr>
      <w:rPr>
        <w:rFonts w:ascii="Wingdings" w:hAnsi="Wingdings" w:hint="default"/>
      </w:rPr>
    </w:lvl>
    <w:lvl w:ilvl="3" w:tplc="A378C8A0">
      <w:start w:val="1"/>
      <w:numFmt w:val="bullet"/>
      <w:lvlText w:val=""/>
      <w:lvlJc w:val="left"/>
      <w:pPr>
        <w:ind w:left="2880" w:hanging="360"/>
      </w:pPr>
      <w:rPr>
        <w:rFonts w:ascii="Symbol" w:hAnsi="Symbol" w:hint="default"/>
      </w:rPr>
    </w:lvl>
    <w:lvl w:ilvl="4" w:tplc="5AC844D4">
      <w:start w:val="1"/>
      <w:numFmt w:val="bullet"/>
      <w:lvlText w:val="o"/>
      <w:lvlJc w:val="left"/>
      <w:pPr>
        <w:ind w:left="3600" w:hanging="360"/>
      </w:pPr>
      <w:rPr>
        <w:rFonts w:ascii="Courier New" w:hAnsi="Courier New" w:hint="default"/>
      </w:rPr>
    </w:lvl>
    <w:lvl w:ilvl="5" w:tplc="D5C6AA26">
      <w:start w:val="1"/>
      <w:numFmt w:val="bullet"/>
      <w:lvlText w:val=""/>
      <w:lvlJc w:val="left"/>
      <w:pPr>
        <w:ind w:left="4320" w:hanging="360"/>
      </w:pPr>
      <w:rPr>
        <w:rFonts w:ascii="Wingdings" w:hAnsi="Wingdings" w:hint="default"/>
      </w:rPr>
    </w:lvl>
    <w:lvl w:ilvl="6" w:tplc="FBDAA868">
      <w:start w:val="1"/>
      <w:numFmt w:val="bullet"/>
      <w:lvlText w:val=""/>
      <w:lvlJc w:val="left"/>
      <w:pPr>
        <w:ind w:left="5040" w:hanging="360"/>
      </w:pPr>
      <w:rPr>
        <w:rFonts w:ascii="Symbol" w:hAnsi="Symbol" w:hint="default"/>
      </w:rPr>
    </w:lvl>
    <w:lvl w:ilvl="7" w:tplc="0B9817A8">
      <w:start w:val="1"/>
      <w:numFmt w:val="bullet"/>
      <w:lvlText w:val="o"/>
      <w:lvlJc w:val="left"/>
      <w:pPr>
        <w:ind w:left="5760" w:hanging="360"/>
      </w:pPr>
      <w:rPr>
        <w:rFonts w:ascii="Courier New" w:hAnsi="Courier New" w:hint="default"/>
      </w:rPr>
    </w:lvl>
    <w:lvl w:ilvl="8" w:tplc="051EA368">
      <w:start w:val="1"/>
      <w:numFmt w:val="bullet"/>
      <w:lvlText w:val=""/>
      <w:lvlJc w:val="left"/>
      <w:pPr>
        <w:ind w:left="6480" w:hanging="360"/>
      </w:pPr>
      <w:rPr>
        <w:rFonts w:ascii="Wingdings" w:hAnsi="Wingdings" w:hint="default"/>
      </w:rPr>
    </w:lvl>
  </w:abstractNum>
  <w:abstractNum w:abstractNumId="33" w15:restartNumberingAfterBreak="0">
    <w:nsid w:val="41A51809"/>
    <w:multiLevelType w:val="multilevel"/>
    <w:tmpl w:val="7896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DB0D65"/>
    <w:multiLevelType w:val="hybridMultilevel"/>
    <w:tmpl w:val="FFFFFFFF"/>
    <w:lvl w:ilvl="0" w:tplc="77DA494C">
      <w:start w:val="1"/>
      <w:numFmt w:val="bullet"/>
      <w:lvlText w:val=""/>
      <w:lvlJc w:val="left"/>
      <w:pPr>
        <w:ind w:left="720" w:hanging="360"/>
      </w:pPr>
      <w:rPr>
        <w:rFonts w:ascii="Symbol" w:hAnsi="Symbol" w:hint="default"/>
      </w:rPr>
    </w:lvl>
    <w:lvl w:ilvl="1" w:tplc="68282146">
      <w:start w:val="1"/>
      <w:numFmt w:val="bullet"/>
      <w:lvlText w:val="o"/>
      <w:lvlJc w:val="left"/>
      <w:pPr>
        <w:ind w:left="1440" w:hanging="360"/>
      </w:pPr>
      <w:rPr>
        <w:rFonts w:ascii="Courier New" w:hAnsi="Courier New" w:hint="default"/>
      </w:rPr>
    </w:lvl>
    <w:lvl w:ilvl="2" w:tplc="DD2465EC">
      <w:start w:val="1"/>
      <w:numFmt w:val="bullet"/>
      <w:lvlText w:val=""/>
      <w:lvlJc w:val="left"/>
      <w:pPr>
        <w:ind w:left="2160" w:hanging="360"/>
      </w:pPr>
      <w:rPr>
        <w:rFonts w:ascii="Wingdings" w:hAnsi="Wingdings" w:hint="default"/>
      </w:rPr>
    </w:lvl>
    <w:lvl w:ilvl="3" w:tplc="88CC8E92">
      <w:start w:val="1"/>
      <w:numFmt w:val="bullet"/>
      <w:lvlText w:val=""/>
      <w:lvlJc w:val="left"/>
      <w:pPr>
        <w:ind w:left="2880" w:hanging="360"/>
      </w:pPr>
      <w:rPr>
        <w:rFonts w:ascii="Symbol" w:hAnsi="Symbol" w:hint="default"/>
      </w:rPr>
    </w:lvl>
    <w:lvl w:ilvl="4" w:tplc="1166DEDC">
      <w:start w:val="1"/>
      <w:numFmt w:val="bullet"/>
      <w:lvlText w:val="o"/>
      <w:lvlJc w:val="left"/>
      <w:pPr>
        <w:ind w:left="3600" w:hanging="360"/>
      </w:pPr>
      <w:rPr>
        <w:rFonts w:ascii="Courier New" w:hAnsi="Courier New" w:hint="default"/>
      </w:rPr>
    </w:lvl>
    <w:lvl w:ilvl="5" w:tplc="5C242AF2">
      <w:start w:val="1"/>
      <w:numFmt w:val="bullet"/>
      <w:lvlText w:val=""/>
      <w:lvlJc w:val="left"/>
      <w:pPr>
        <w:ind w:left="4320" w:hanging="360"/>
      </w:pPr>
      <w:rPr>
        <w:rFonts w:ascii="Wingdings" w:hAnsi="Wingdings" w:hint="default"/>
      </w:rPr>
    </w:lvl>
    <w:lvl w:ilvl="6" w:tplc="E59AE05C">
      <w:start w:val="1"/>
      <w:numFmt w:val="bullet"/>
      <w:lvlText w:val=""/>
      <w:lvlJc w:val="left"/>
      <w:pPr>
        <w:ind w:left="5040" w:hanging="360"/>
      </w:pPr>
      <w:rPr>
        <w:rFonts w:ascii="Symbol" w:hAnsi="Symbol" w:hint="default"/>
      </w:rPr>
    </w:lvl>
    <w:lvl w:ilvl="7" w:tplc="E4AC1672">
      <w:start w:val="1"/>
      <w:numFmt w:val="bullet"/>
      <w:lvlText w:val="o"/>
      <w:lvlJc w:val="left"/>
      <w:pPr>
        <w:ind w:left="5760" w:hanging="360"/>
      </w:pPr>
      <w:rPr>
        <w:rFonts w:ascii="Courier New" w:hAnsi="Courier New" w:hint="default"/>
      </w:rPr>
    </w:lvl>
    <w:lvl w:ilvl="8" w:tplc="6876FECE">
      <w:start w:val="1"/>
      <w:numFmt w:val="bullet"/>
      <w:lvlText w:val=""/>
      <w:lvlJc w:val="left"/>
      <w:pPr>
        <w:ind w:left="6480" w:hanging="360"/>
      </w:pPr>
      <w:rPr>
        <w:rFonts w:ascii="Wingdings" w:hAnsi="Wingdings" w:hint="default"/>
      </w:rPr>
    </w:lvl>
  </w:abstractNum>
  <w:abstractNum w:abstractNumId="35" w15:restartNumberingAfterBreak="0">
    <w:nsid w:val="45EC2EA4"/>
    <w:multiLevelType w:val="hybridMultilevel"/>
    <w:tmpl w:val="E46ED59E"/>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FFFFFFFF">
      <w:numFmt w:val="bullet"/>
      <w:lvlText w:val="•"/>
      <w:lvlJc w:val="left"/>
      <w:pPr>
        <w:ind w:left="2160" w:hanging="360"/>
      </w:pPr>
      <w:rPr>
        <w:rFonts w:ascii="Calibri" w:eastAsiaTheme="minorHAnsi" w:hAnsi="Calibri" w:cs="Calibri"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77E788F"/>
    <w:multiLevelType w:val="hybridMultilevel"/>
    <w:tmpl w:val="B9AEE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0B620F"/>
    <w:multiLevelType w:val="hybridMultilevel"/>
    <w:tmpl w:val="5E068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5D48FB"/>
    <w:multiLevelType w:val="multilevel"/>
    <w:tmpl w:val="7D94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2AC692A"/>
    <w:multiLevelType w:val="hybridMultilevel"/>
    <w:tmpl w:val="2E641E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5207125"/>
    <w:multiLevelType w:val="hybridMultilevel"/>
    <w:tmpl w:val="D2602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507181"/>
    <w:multiLevelType w:val="hybridMultilevel"/>
    <w:tmpl w:val="860ACF7A"/>
    <w:styleLink w:val="Bulleted"/>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C28456B"/>
    <w:multiLevelType w:val="hybridMultilevel"/>
    <w:tmpl w:val="974844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5C56210D"/>
    <w:multiLevelType w:val="hybridMultilevel"/>
    <w:tmpl w:val="DF266D72"/>
    <w:lvl w:ilvl="0" w:tplc="D140277A">
      <w:start w:val="1"/>
      <w:numFmt w:val="decimal"/>
      <w:pStyle w:val="NormalTextNumbered"/>
      <w:lvlText w:val="%1."/>
      <w:lvlJc w:val="left"/>
      <w:pPr>
        <w:ind w:left="360" w:hanging="360"/>
      </w:pPr>
      <w:rPr>
        <w:rFonts w:hint="default"/>
        <w:b w:val="0"/>
        <w:color w:val="361461"/>
      </w:rPr>
    </w:lvl>
    <w:lvl w:ilvl="1" w:tplc="133C437C">
      <w:start w:val="1"/>
      <w:numFmt w:val="lowerLetter"/>
      <w:lvlText w:val="%2."/>
      <w:lvlJc w:val="left"/>
      <w:pPr>
        <w:ind w:left="1440" w:hanging="360"/>
      </w:pPr>
      <w:rPr>
        <w:color w:val="AF7F0D" w:themeColor="accent1" w:themeShade="B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D26466E"/>
    <w:multiLevelType w:val="hybridMultilevel"/>
    <w:tmpl w:val="55923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5927BB"/>
    <w:multiLevelType w:val="hybridMultilevel"/>
    <w:tmpl w:val="F160B7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0BC677C"/>
    <w:multiLevelType w:val="hybridMultilevel"/>
    <w:tmpl w:val="85FECD1E"/>
    <w:lvl w:ilvl="0" w:tplc="FFFFFFFF">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2B6D5F"/>
    <w:multiLevelType w:val="hybridMultilevel"/>
    <w:tmpl w:val="363045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2E70BE1"/>
    <w:multiLevelType w:val="multilevel"/>
    <w:tmpl w:val="CCB617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AF7F75"/>
    <w:multiLevelType w:val="multilevel"/>
    <w:tmpl w:val="DEB8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F962F9"/>
    <w:multiLevelType w:val="hybridMultilevel"/>
    <w:tmpl w:val="114CF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F610ED"/>
    <w:multiLevelType w:val="hybridMultilevel"/>
    <w:tmpl w:val="276CE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6F3029"/>
    <w:multiLevelType w:val="hybridMultilevel"/>
    <w:tmpl w:val="7AF2F6F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A95202E"/>
    <w:multiLevelType w:val="hybridMultilevel"/>
    <w:tmpl w:val="F276407C"/>
    <w:lvl w:ilvl="0" w:tplc="323C7C5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CE6682"/>
    <w:multiLevelType w:val="hybridMultilevel"/>
    <w:tmpl w:val="90708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DD73F4"/>
    <w:multiLevelType w:val="hybridMultilevel"/>
    <w:tmpl w:val="5CD497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6E5C02D3"/>
    <w:multiLevelType w:val="multilevel"/>
    <w:tmpl w:val="EFB48A3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0106CE0"/>
    <w:multiLevelType w:val="multilevel"/>
    <w:tmpl w:val="200A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10F0AAA"/>
    <w:multiLevelType w:val="multilevel"/>
    <w:tmpl w:val="A91AF2E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1" w15:restartNumberingAfterBreak="0">
    <w:nsid w:val="78FC200F"/>
    <w:multiLevelType w:val="hybridMultilevel"/>
    <w:tmpl w:val="382E8918"/>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7"/>
  </w:num>
  <w:num w:numId="4">
    <w:abstractNumId w:val="60"/>
  </w:num>
  <w:num w:numId="5">
    <w:abstractNumId w:val="42"/>
  </w:num>
  <w:num w:numId="6">
    <w:abstractNumId w:val="21"/>
  </w:num>
  <w:num w:numId="7">
    <w:abstractNumId w:val="61"/>
  </w:num>
  <w:num w:numId="8">
    <w:abstractNumId w:val="46"/>
  </w:num>
  <w:num w:numId="9">
    <w:abstractNumId w:val="56"/>
  </w:num>
  <w:num w:numId="10">
    <w:abstractNumId w:val="40"/>
  </w:num>
  <w:num w:numId="11">
    <w:abstractNumId w:val="48"/>
  </w:num>
  <w:num w:numId="12">
    <w:abstractNumId w:val="52"/>
  </w:num>
  <w:num w:numId="13">
    <w:abstractNumId w:val="34"/>
  </w:num>
  <w:num w:numId="14">
    <w:abstractNumId w:val="29"/>
  </w:num>
  <w:num w:numId="15">
    <w:abstractNumId w:val="32"/>
  </w:num>
  <w:num w:numId="16">
    <w:abstractNumId w:val="43"/>
  </w:num>
  <w:num w:numId="17">
    <w:abstractNumId w:val="8"/>
  </w:num>
  <w:num w:numId="18">
    <w:abstractNumId w:val="38"/>
  </w:num>
  <w:num w:numId="19">
    <w:abstractNumId w:val="27"/>
  </w:num>
  <w:num w:numId="20">
    <w:abstractNumId w:val="18"/>
  </w:num>
  <w:num w:numId="21">
    <w:abstractNumId w:val="19"/>
  </w:num>
  <w:num w:numId="22">
    <w:abstractNumId w:val="2"/>
  </w:num>
  <w:num w:numId="23">
    <w:abstractNumId w:val="44"/>
  </w:num>
  <w:num w:numId="24">
    <w:abstractNumId w:val="49"/>
  </w:num>
  <w:num w:numId="25">
    <w:abstractNumId w:val="59"/>
  </w:num>
  <w:num w:numId="26">
    <w:abstractNumId w:val="41"/>
  </w:num>
  <w:num w:numId="27">
    <w:abstractNumId w:val="22"/>
  </w:num>
  <w:num w:numId="28">
    <w:abstractNumId w:val="33"/>
  </w:num>
  <w:num w:numId="29">
    <w:abstractNumId w:val="20"/>
  </w:num>
  <w:num w:numId="30">
    <w:abstractNumId w:val="50"/>
  </w:num>
  <w:num w:numId="31">
    <w:abstractNumId w:val="16"/>
  </w:num>
  <w:num w:numId="32">
    <w:abstractNumId w:val="9"/>
  </w:num>
  <w:num w:numId="33">
    <w:abstractNumId w:val="14"/>
  </w:num>
  <w:num w:numId="34">
    <w:abstractNumId w:val="54"/>
  </w:num>
  <w:num w:numId="35">
    <w:abstractNumId w:val="53"/>
  </w:num>
  <w:num w:numId="36">
    <w:abstractNumId w:val="24"/>
  </w:num>
  <w:num w:numId="37">
    <w:abstractNumId w:val="1"/>
  </w:num>
  <w:num w:numId="38">
    <w:abstractNumId w:val="15"/>
  </w:num>
  <w:num w:numId="39">
    <w:abstractNumId w:val="12"/>
  </w:num>
  <w:num w:numId="40">
    <w:abstractNumId w:val="39"/>
  </w:num>
  <w:num w:numId="41">
    <w:abstractNumId w:val="11"/>
  </w:num>
  <w:num w:numId="42">
    <w:abstractNumId w:val="57"/>
  </w:num>
  <w:num w:numId="43">
    <w:abstractNumId w:val="10"/>
  </w:num>
  <w:num w:numId="44">
    <w:abstractNumId w:val="6"/>
  </w:num>
  <w:num w:numId="45">
    <w:abstractNumId w:val="35"/>
  </w:num>
  <w:num w:numId="46">
    <w:abstractNumId w:val="55"/>
  </w:num>
  <w:num w:numId="47">
    <w:abstractNumId w:val="25"/>
  </w:num>
  <w:num w:numId="48">
    <w:abstractNumId w:val="31"/>
  </w:num>
  <w:num w:numId="49">
    <w:abstractNumId w:val="36"/>
  </w:num>
  <w:num w:numId="50">
    <w:abstractNumId w:val="4"/>
  </w:num>
  <w:num w:numId="51">
    <w:abstractNumId w:val="0"/>
  </w:num>
  <w:num w:numId="52">
    <w:abstractNumId w:val="51"/>
  </w:num>
  <w:num w:numId="53">
    <w:abstractNumId w:val="37"/>
  </w:num>
  <w:num w:numId="54">
    <w:abstractNumId w:val="30"/>
  </w:num>
  <w:num w:numId="55">
    <w:abstractNumId w:val="17"/>
  </w:num>
  <w:num w:numId="56">
    <w:abstractNumId w:val="26"/>
  </w:num>
  <w:num w:numId="57">
    <w:abstractNumId w:val="58"/>
  </w:num>
  <w:num w:numId="58">
    <w:abstractNumId w:val="3"/>
  </w:num>
  <w:num w:numId="59">
    <w:abstractNumId w:val="45"/>
  </w:num>
  <w:num w:numId="60">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90"/>
    <w:rsid w:val="0000036D"/>
    <w:rsid w:val="000009A1"/>
    <w:rsid w:val="00000B18"/>
    <w:rsid w:val="00000D96"/>
    <w:rsid w:val="00000E06"/>
    <w:rsid w:val="000013BE"/>
    <w:rsid w:val="00001530"/>
    <w:rsid w:val="00001592"/>
    <w:rsid w:val="000018F5"/>
    <w:rsid w:val="00001B01"/>
    <w:rsid w:val="0000208A"/>
    <w:rsid w:val="00002294"/>
    <w:rsid w:val="00002534"/>
    <w:rsid w:val="00002974"/>
    <w:rsid w:val="0000298B"/>
    <w:rsid w:val="000029E7"/>
    <w:rsid w:val="00002BA8"/>
    <w:rsid w:val="00002C82"/>
    <w:rsid w:val="00002EB7"/>
    <w:rsid w:val="00003554"/>
    <w:rsid w:val="000035E8"/>
    <w:rsid w:val="0000363F"/>
    <w:rsid w:val="00003EA7"/>
    <w:rsid w:val="000040C3"/>
    <w:rsid w:val="00004193"/>
    <w:rsid w:val="00004197"/>
    <w:rsid w:val="000041B7"/>
    <w:rsid w:val="0000436E"/>
    <w:rsid w:val="000044B5"/>
    <w:rsid w:val="0000451E"/>
    <w:rsid w:val="000046CB"/>
    <w:rsid w:val="000046F8"/>
    <w:rsid w:val="0000475E"/>
    <w:rsid w:val="00004AB2"/>
    <w:rsid w:val="00004D0A"/>
    <w:rsid w:val="00004D78"/>
    <w:rsid w:val="00005483"/>
    <w:rsid w:val="00005495"/>
    <w:rsid w:val="00005667"/>
    <w:rsid w:val="00005B38"/>
    <w:rsid w:val="00005FE0"/>
    <w:rsid w:val="00005FE6"/>
    <w:rsid w:val="0000607A"/>
    <w:rsid w:val="00006238"/>
    <w:rsid w:val="00006911"/>
    <w:rsid w:val="0000698A"/>
    <w:rsid w:val="000071CE"/>
    <w:rsid w:val="000075DA"/>
    <w:rsid w:val="00007619"/>
    <w:rsid w:val="00007657"/>
    <w:rsid w:val="000079C8"/>
    <w:rsid w:val="00007DAB"/>
    <w:rsid w:val="00007FD2"/>
    <w:rsid w:val="000105BD"/>
    <w:rsid w:val="000109D5"/>
    <w:rsid w:val="00010DD6"/>
    <w:rsid w:val="00011211"/>
    <w:rsid w:val="00011328"/>
    <w:rsid w:val="000114C3"/>
    <w:rsid w:val="00011544"/>
    <w:rsid w:val="00011595"/>
    <w:rsid w:val="00011679"/>
    <w:rsid w:val="0001176D"/>
    <w:rsid w:val="000117F4"/>
    <w:rsid w:val="000118F7"/>
    <w:rsid w:val="00012366"/>
    <w:rsid w:val="0001241A"/>
    <w:rsid w:val="00012B27"/>
    <w:rsid w:val="00012DF3"/>
    <w:rsid w:val="00012F8C"/>
    <w:rsid w:val="0001312D"/>
    <w:rsid w:val="00013538"/>
    <w:rsid w:val="00013624"/>
    <w:rsid w:val="000137E7"/>
    <w:rsid w:val="00013B70"/>
    <w:rsid w:val="00013D85"/>
    <w:rsid w:val="00013E67"/>
    <w:rsid w:val="00014045"/>
    <w:rsid w:val="0001409C"/>
    <w:rsid w:val="00014625"/>
    <w:rsid w:val="00014781"/>
    <w:rsid w:val="000147AB"/>
    <w:rsid w:val="000149B3"/>
    <w:rsid w:val="00015AA8"/>
    <w:rsid w:val="00015CCA"/>
    <w:rsid w:val="00015E1A"/>
    <w:rsid w:val="00016272"/>
    <w:rsid w:val="000162A0"/>
    <w:rsid w:val="000163D3"/>
    <w:rsid w:val="0001673D"/>
    <w:rsid w:val="00016B6D"/>
    <w:rsid w:val="000170F8"/>
    <w:rsid w:val="00017156"/>
    <w:rsid w:val="00017166"/>
    <w:rsid w:val="00017562"/>
    <w:rsid w:val="000175EA"/>
    <w:rsid w:val="00017660"/>
    <w:rsid w:val="00020266"/>
    <w:rsid w:val="00020826"/>
    <w:rsid w:val="00020920"/>
    <w:rsid w:val="0002098A"/>
    <w:rsid w:val="000209B5"/>
    <w:rsid w:val="00020D08"/>
    <w:rsid w:val="0002105C"/>
    <w:rsid w:val="000214CE"/>
    <w:rsid w:val="00021807"/>
    <w:rsid w:val="00021B30"/>
    <w:rsid w:val="00021FBE"/>
    <w:rsid w:val="0002226E"/>
    <w:rsid w:val="00022328"/>
    <w:rsid w:val="00022CE3"/>
    <w:rsid w:val="0002323A"/>
    <w:rsid w:val="00023BEC"/>
    <w:rsid w:val="00024036"/>
    <w:rsid w:val="000240A9"/>
    <w:rsid w:val="0002413F"/>
    <w:rsid w:val="0002419A"/>
    <w:rsid w:val="00024209"/>
    <w:rsid w:val="00024766"/>
    <w:rsid w:val="000247F6"/>
    <w:rsid w:val="000248DD"/>
    <w:rsid w:val="000248E7"/>
    <w:rsid w:val="000248EC"/>
    <w:rsid w:val="000249A1"/>
    <w:rsid w:val="00025358"/>
    <w:rsid w:val="000258AF"/>
    <w:rsid w:val="00025B7E"/>
    <w:rsid w:val="00025EBB"/>
    <w:rsid w:val="00025F4E"/>
    <w:rsid w:val="0002600B"/>
    <w:rsid w:val="000260C8"/>
    <w:rsid w:val="0002656F"/>
    <w:rsid w:val="00026752"/>
    <w:rsid w:val="00026A94"/>
    <w:rsid w:val="00026AD7"/>
    <w:rsid w:val="00026AFA"/>
    <w:rsid w:val="00026E5B"/>
    <w:rsid w:val="00026EA8"/>
    <w:rsid w:val="00027117"/>
    <w:rsid w:val="0002720F"/>
    <w:rsid w:val="000279C3"/>
    <w:rsid w:val="00027BA5"/>
    <w:rsid w:val="00027C09"/>
    <w:rsid w:val="00030489"/>
    <w:rsid w:val="0003057A"/>
    <w:rsid w:val="000309E5"/>
    <w:rsid w:val="00030D98"/>
    <w:rsid w:val="00031585"/>
    <w:rsid w:val="0003161E"/>
    <w:rsid w:val="00031641"/>
    <w:rsid w:val="000316C3"/>
    <w:rsid w:val="00031741"/>
    <w:rsid w:val="00031871"/>
    <w:rsid w:val="00031C56"/>
    <w:rsid w:val="00031D02"/>
    <w:rsid w:val="00031D70"/>
    <w:rsid w:val="00032146"/>
    <w:rsid w:val="000321A1"/>
    <w:rsid w:val="00032258"/>
    <w:rsid w:val="00032281"/>
    <w:rsid w:val="000329AD"/>
    <w:rsid w:val="00032A3E"/>
    <w:rsid w:val="00032B9E"/>
    <w:rsid w:val="00032BE2"/>
    <w:rsid w:val="00032C37"/>
    <w:rsid w:val="00032FD7"/>
    <w:rsid w:val="000331F3"/>
    <w:rsid w:val="00033293"/>
    <w:rsid w:val="000335BE"/>
    <w:rsid w:val="000338A2"/>
    <w:rsid w:val="00033C1D"/>
    <w:rsid w:val="00033DF6"/>
    <w:rsid w:val="00033E3C"/>
    <w:rsid w:val="00034124"/>
    <w:rsid w:val="0003426C"/>
    <w:rsid w:val="000342A7"/>
    <w:rsid w:val="0003453D"/>
    <w:rsid w:val="000345A6"/>
    <w:rsid w:val="0003469F"/>
    <w:rsid w:val="00034BFB"/>
    <w:rsid w:val="00034E0A"/>
    <w:rsid w:val="00035763"/>
    <w:rsid w:val="0003587B"/>
    <w:rsid w:val="00036238"/>
    <w:rsid w:val="00036486"/>
    <w:rsid w:val="0003654A"/>
    <w:rsid w:val="000368AB"/>
    <w:rsid w:val="00036937"/>
    <w:rsid w:val="00036BF9"/>
    <w:rsid w:val="00037ABD"/>
    <w:rsid w:val="00037E68"/>
    <w:rsid w:val="0004060A"/>
    <w:rsid w:val="00040695"/>
    <w:rsid w:val="000407B8"/>
    <w:rsid w:val="00040AE5"/>
    <w:rsid w:val="00040D80"/>
    <w:rsid w:val="000410F3"/>
    <w:rsid w:val="00041203"/>
    <w:rsid w:val="0004124B"/>
    <w:rsid w:val="000413CD"/>
    <w:rsid w:val="0004141B"/>
    <w:rsid w:val="00041B96"/>
    <w:rsid w:val="00041ECD"/>
    <w:rsid w:val="00041F87"/>
    <w:rsid w:val="000428C8"/>
    <w:rsid w:val="000429BE"/>
    <w:rsid w:val="00042EFC"/>
    <w:rsid w:val="0004329F"/>
    <w:rsid w:val="000432BF"/>
    <w:rsid w:val="0004344B"/>
    <w:rsid w:val="00043494"/>
    <w:rsid w:val="000436A7"/>
    <w:rsid w:val="000436C8"/>
    <w:rsid w:val="00043774"/>
    <w:rsid w:val="00043A1E"/>
    <w:rsid w:val="00043D8F"/>
    <w:rsid w:val="00043FDB"/>
    <w:rsid w:val="000440BF"/>
    <w:rsid w:val="000441E5"/>
    <w:rsid w:val="00044403"/>
    <w:rsid w:val="0004470A"/>
    <w:rsid w:val="00044755"/>
    <w:rsid w:val="0004492B"/>
    <w:rsid w:val="00044AB1"/>
    <w:rsid w:val="00044D13"/>
    <w:rsid w:val="00044D7C"/>
    <w:rsid w:val="00045388"/>
    <w:rsid w:val="0004550E"/>
    <w:rsid w:val="000456AB"/>
    <w:rsid w:val="00045777"/>
    <w:rsid w:val="00046369"/>
    <w:rsid w:val="0004652C"/>
    <w:rsid w:val="0004674F"/>
    <w:rsid w:val="00046BD7"/>
    <w:rsid w:val="000470C2"/>
    <w:rsid w:val="000474EA"/>
    <w:rsid w:val="00047575"/>
    <w:rsid w:val="00047904"/>
    <w:rsid w:val="00047AE8"/>
    <w:rsid w:val="00047F77"/>
    <w:rsid w:val="00050350"/>
    <w:rsid w:val="00050367"/>
    <w:rsid w:val="0005037E"/>
    <w:rsid w:val="0005044C"/>
    <w:rsid w:val="00050D66"/>
    <w:rsid w:val="00050F10"/>
    <w:rsid w:val="00050F4F"/>
    <w:rsid w:val="00051179"/>
    <w:rsid w:val="000513E6"/>
    <w:rsid w:val="000514CB"/>
    <w:rsid w:val="00051896"/>
    <w:rsid w:val="00051C5E"/>
    <w:rsid w:val="00052012"/>
    <w:rsid w:val="000521D7"/>
    <w:rsid w:val="0005245F"/>
    <w:rsid w:val="00052469"/>
    <w:rsid w:val="00052DF8"/>
    <w:rsid w:val="00052EBF"/>
    <w:rsid w:val="000531B0"/>
    <w:rsid w:val="00053DF8"/>
    <w:rsid w:val="00053DF9"/>
    <w:rsid w:val="0005401F"/>
    <w:rsid w:val="00054848"/>
    <w:rsid w:val="00054850"/>
    <w:rsid w:val="00054C79"/>
    <w:rsid w:val="00054CCB"/>
    <w:rsid w:val="00054E96"/>
    <w:rsid w:val="00054EF9"/>
    <w:rsid w:val="00055185"/>
    <w:rsid w:val="00055351"/>
    <w:rsid w:val="000555E8"/>
    <w:rsid w:val="0005575C"/>
    <w:rsid w:val="00055B9D"/>
    <w:rsid w:val="00055C8A"/>
    <w:rsid w:val="00055E2A"/>
    <w:rsid w:val="00055F55"/>
    <w:rsid w:val="00056177"/>
    <w:rsid w:val="00056674"/>
    <w:rsid w:val="00056E6A"/>
    <w:rsid w:val="0005729D"/>
    <w:rsid w:val="000576A6"/>
    <w:rsid w:val="00057F68"/>
    <w:rsid w:val="00060103"/>
    <w:rsid w:val="00060169"/>
    <w:rsid w:val="0006017B"/>
    <w:rsid w:val="00060189"/>
    <w:rsid w:val="0006034B"/>
    <w:rsid w:val="0006043B"/>
    <w:rsid w:val="000604C2"/>
    <w:rsid w:val="000607F2"/>
    <w:rsid w:val="00060B18"/>
    <w:rsid w:val="000610B0"/>
    <w:rsid w:val="000610FE"/>
    <w:rsid w:val="000611FB"/>
    <w:rsid w:val="0006120C"/>
    <w:rsid w:val="00061717"/>
    <w:rsid w:val="00061779"/>
    <w:rsid w:val="00061D82"/>
    <w:rsid w:val="00061E03"/>
    <w:rsid w:val="00062988"/>
    <w:rsid w:val="00063012"/>
    <w:rsid w:val="00063542"/>
    <w:rsid w:val="0006358F"/>
    <w:rsid w:val="00063713"/>
    <w:rsid w:val="000641F8"/>
    <w:rsid w:val="0006438A"/>
    <w:rsid w:val="000644EB"/>
    <w:rsid w:val="00064569"/>
    <w:rsid w:val="00064BD6"/>
    <w:rsid w:val="00064D86"/>
    <w:rsid w:val="00064E06"/>
    <w:rsid w:val="0006524B"/>
    <w:rsid w:val="00065388"/>
    <w:rsid w:val="000656E1"/>
    <w:rsid w:val="0006588A"/>
    <w:rsid w:val="000658BA"/>
    <w:rsid w:val="000658CC"/>
    <w:rsid w:val="0006683A"/>
    <w:rsid w:val="00066ABC"/>
    <w:rsid w:val="00066AF3"/>
    <w:rsid w:val="00066BA1"/>
    <w:rsid w:val="000670A9"/>
    <w:rsid w:val="000671C6"/>
    <w:rsid w:val="0006735E"/>
    <w:rsid w:val="000678ED"/>
    <w:rsid w:val="000679C9"/>
    <w:rsid w:val="00067A06"/>
    <w:rsid w:val="00067A8F"/>
    <w:rsid w:val="00067EE1"/>
    <w:rsid w:val="000700F1"/>
    <w:rsid w:val="0007030A"/>
    <w:rsid w:val="00070541"/>
    <w:rsid w:val="000705DB"/>
    <w:rsid w:val="00070F1A"/>
    <w:rsid w:val="00071328"/>
    <w:rsid w:val="0007157F"/>
    <w:rsid w:val="000715F6"/>
    <w:rsid w:val="00071612"/>
    <w:rsid w:val="00071690"/>
    <w:rsid w:val="00071A5D"/>
    <w:rsid w:val="00071B73"/>
    <w:rsid w:val="00071B97"/>
    <w:rsid w:val="00071BEB"/>
    <w:rsid w:val="00071C5A"/>
    <w:rsid w:val="00071C8A"/>
    <w:rsid w:val="00072034"/>
    <w:rsid w:val="00072758"/>
    <w:rsid w:val="00072A99"/>
    <w:rsid w:val="000733FD"/>
    <w:rsid w:val="000735DF"/>
    <w:rsid w:val="000737BC"/>
    <w:rsid w:val="00073BA5"/>
    <w:rsid w:val="00073F91"/>
    <w:rsid w:val="000740F1"/>
    <w:rsid w:val="00074645"/>
    <w:rsid w:val="00074687"/>
    <w:rsid w:val="000749F5"/>
    <w:rsid w:val="00074A7B"/>
    <w:rsid w:val="00074B45"/>
    <w:rsid w:val="00074CDC"/>
    <w:rsid w:val="00074D79"/>
    <w:rsid w:val="0007512A"/>
    <w:rsid w:val="000754BD"/>
    <w:rsid w:val="0007588C"/>
    <w:rsid w:val="00075F31"/>
    <w:rsid w:val="000760E7"/>
    <w:rsid w:val="00076214"/>
    <w:rsid w:val="0007621B"/>
    <w:rsid w:val="00076438"/>
    <w:rsid w:val="000767F9"/>
    <w:rsid w:val="000769B0"/>
    <w:rsid w:val="00076A81"/>
    <w:rsid w:val="00076FDB"/>
    <w:rsid w:val="000771FE"/>
    <w:rsid w:val="000775A9"/>
    <w:rsid w:val="000775D2"/>
    <w:rsid w:val="00077F08"/>
    <w:rsid w:val="00080658"/>
    <w:rsid w:val="000807F6"/>
    <w:rsid w:val="000808E8"/>
    <w:rsid w:val="00080D52"/>
    <w:rsid w:val="000810D1"/>
    <w:rsid w:val="000813D5"/>
    <w:rsid w:val="000813E5"/>
    <w:rsid w:val="0008188D"/>
    <w:rsid w:val="00081A98"/>
    <w:rsid w:val="00081CA2"/>
    <w:rsid w:val="00081DF4"/>
    <w:rsid w:val="00081E13"/>
    <w:rsid w:val="000821E9"/>
    <w:rsid w:val="0008283F"/>
    <w:rsid w:val="00082845"/>
    <w:rsid w:val="00082ADA"/>
    <w:rsid w:val="00082AEF"/>
    <w:rsid w:val="00082E76"/>
    <w:rsid w:val="00083029"/>
    <w:rsid w:val="0008321B"/>
    <w:rsid w:val="00083237"/>
    <w:rsid w:val="00083447"/>
    <w:rsid w:val="000835C4"/>
    <w:rsid w:val="00083BE0"/>
    <w:rsid w:val="00083CA2"/>
    <w:rsid w:val="000840E5"/>
    <w:rsid w:val="000840FE"/>
    <w:rsid w:val="00084108"/>
    <w:rsid w:val="0008433F"/>
    <w:rsid w:val="0008434D"/>
    <w:rsid w:val="000843A6"/>
    <w:rsid w:val="000843E9"/>
    <w:rsid w:val="000846E3"/>
    <w:rsid w:val="000848E9"/>
    <w:rsid w:val="00084A3B"/>
    <w:rsid w:val="00084BAD"/>
    <w:rsid w:val="00084BB1"/>
    <w:rsid w:val="00084BBF"/>
    <w:rsid w:val="0008500C"/>
    <w:rsid w:val="000850A3"/>
    <w:rsid w:val="0008529A"/>
    <w:rsid w:val="00085443"/>
    <w:rsid w:val="00085996"/>
    <w:rsid w:val="0008599B"/>
    <w:rsid w:val="00085D71"/>
    <w:rsid w:val="00085EAF"/>
    <w:rsid w:val="000866D1"/>
    <w:rsid w:val="000866ED"/>
    <w:rsid w:val="00086904"/>
    <w:rsid w:val="00086933"/>
    <w:rsid w:val="00086996"/>
    <w:rsid w:val="00086CB3"/>
    <w:rsid w:val="00086CBD"/>
    <w:rsid w:val="00086F70"/>
    <w:rsid w:val="00086F83"/>
    <w:rsid w:val="000871A4"/>
    <w:rsid w:val="00087373"/>
    <w:rsid w:val="00087502"/>
    <w:rsid w:val="00087A3A"/>
    <w:rsid w:val="00090781"/>
    <w:rsid w:val="00090AA1"/>
    <w:rsid w:val="00091180"/>
    <w:rsid w:val="00091634"/>
    <w:rsid w:val="00091861"/>
    <w:rsid w:val="00091BC5"/>
    <w:rsid w:val="00091C5E"/>
    <w:rsid w:val="00091D05"/>
    <w:rsid w:val="00091DA4"/>
    <w:rsid w:val="0009224D"/>
    <w:rsid w:val="0009230C"/>
    <w:rsid w:val="000932C5"/>
    <w:rsid w:val="0009366C"/>
    <w:rsid w:val="0009380B"/>
    <w:rsid w:val="00093837"/>
    <w:rsid w:val="0009405B"/>
    <w:rsid w:val="000946B5"/>
    <w:rsid w:val="00094D5B"/>
    <w:rsid w:val="000953AA"/>
    <w:rsid w:val="00095572"/>
    <w:rsid w:val="00095762"/>
    <w:rsid w:val="000957D1"/>
    <w:rsid w:val="00095B1B"/>
    <w:rsid w:val="00095FDF"/>
    <w:rsid w:val="000962D2"/>
    <w:rsid w:val="00096310"/>
    <w:rsid w:val="00096AB8"/>
    <w:rsid w:val="00096D59"/>
    <w:rsid w:val="00096D87"/>
    <w:rsid w:val="00096E58"/>
    <w:rsid w:val="000970B8"/>
    <w:rsid w:val="00097175"/>
    <w:rsid w:val="000972D8"/>
    <w:rsid w:val="00097AE4"/>
    <w:rsid w:val="00097C99"/>
    <w:rsid w:val="00097FDD"/>
    <w:rsid w:val="000A03B5"/>
    <w:rsid w:val="000A0B58"/>
    <w:rsid w:val="000A115B"/>
    <w:rsid w:val="000A115C"/>
    <w:rsid w:val="000A1306"/>
    <w:rsid w:val="000A1477"/>
    <w:rsid w:val="000A14BE"/>
    <w:rsid w:val="000A1987"/>
    <w:rsid w:val="000A20E4"/>
    <w:rsid w:val="000A2288"/>
    <w:rsid w:val="000A22BA"/>
    <w:rsid w:val="000A27E7"/>
    <w:rsid w:val="000A2AD1"/>
    <w:rsid w:val="000A2AEC"/>
    <w:rsid w:val="000A2C5D"/>
    <w:rsid w:val="000A2F36"/>
    <w:rsid w:val="000A31C6"/>
    <w:rsid w:val="000A3558"/>
    <w:rsid w:val="000A383A"/>
    <w:rsid w:val="000A3A7C"/>
    <w:rsid w:val="000A4031"/>
    <w:rsid w:val="000A44A0"/>
    <w:rsid w:val="000A4688"/>
    <w:rsid w:val="000A4F0F"/>
    <w:rsid w:val="000A4F30"/>
    <w:rsid w:val="000A51A4"/>
    <w:rsid w:val="000A521B"/>
    <w:rsid w:val="000A5372"/>
    <w:rsid w:val="000A58C4"/>
    <w:rsid w:val="000A59CC"/>
    <w:rsid w:val="000A5A5C"/>
    <w:rsid w:val="000A5F0C"/>
    <w:rsid w:val="000A5FFF"/>
    <w:rsid w:val="000A6228"/>
    <w:rsid w:val="000A6962"/>
    <w:rsid w:val="000A6F4F"/>
    <w:rsid w:val="000A6F95"/>
    <w:rsid w:val="000A7082"/>
    <w:rsid w:val="000A711A"/>
    <w:rsid w:val="000A721D"/>
    <w:rsid w:val="000A7309"/>
    <w:rsid w:val="000A75A9"/>
    <w:rsid w:val="000A7902"/>
    <w:rsid w:val="000A7962"/>
    <w:rsid w:val="000A796D"/>
    <w:rsid w:val="000A7FA6"/>
    <w:rsid w:val="000B000D"/>
    <w:rsid w:val="000B003F"/>
    <w:rsid w:val="000B0F14"/>
    <w:rsid w:val="000B11FC"/>
    <w:rsid w:val="000B12D5"/>
    <w:rsid w:val="000B1387"/>
    <w:rsid w:val="000B1459"/>
    <w:rsid w:val="000B1496"/>
    <w:rsid w:val="000B15B2"/>
    <w:rsid w:val="000B169F"/>
    <w:rsid w:val="000B180F"/>
    <w:rsid w:val="000B1BD1"/>
    <w:rsid w:val="000B1D61"/>
    <w:rsid w:val="000B1E96"/>
    <w:rsid w:val="000B1EAC"/>
    <w:rsid w:val="000B24B3"/>
    <w:rsid w:val="000B2504"/>
    <w:rsid w:val="000B262F"/>
    <w:rsid w:val="000B2668"/>
    <w:rsid w:val="000B2B03"/>
    <w:rsid w:val="000B2C4F"/>
    <w:rsid w:val="000B2FF6"/>
    <w:rsid w:val="000B3076"/>
    <w:rsid w:val="000B30B8"/>
    <w:rsid w:val="000B31BF"/>
    <w:rsid w:val="000B34A8"/>
    <w:rsid w:val="000B397A"/>
    <w:rsid w:val="000B3E05"/>
    <w:rsid w:val="000B448C"/>
    <w:rsid w:val="000B4551"/>
    <w:rsid w:val="000B458D"/>
    <w:rsid w:val="000B480D"/>
    <w:rsid w:val="000B5074"/>
    <w:rsid w:val="000B53C1"/>
    <w:rsid w:val="000B577D"/>
    <w:rsid w:val="000B57E8"/>
    <w:rsid w:val="000B5D40"/>
    <w:rsid w:val="000B5E2A"/>
    <w:rsid w:val="000B5EF9"/>
    <w:rsid w:val="000B66AD"/>
    <w:rsid w:val="000B6A5B"/>
    <w:rsid w:val="000B6CCA"/>
    <w:rsid w:val="000B6E26"/>
    <w:rsid w:val="000B71D3"/>
    <w:rsid w:val="000B728A"/>
    <w:rsid w:val="000B746A"/>
    <w:rsid w:val="000B7CBC"/>
    <w:rsid w:val="000B7EC6"/>
    <w:rsid w:val="000B7FBE"/>
    <w:rsid w:val="000C0047"/>
    <w:rsid w:val="000C0265"/>
    <w:rsid w:val="000C0813"/>
    <w:rsid w:val="000C0837"/>
    <w:rsid w:val="000C0BA2"/>
    <w:rsid w:val="000C0CBE"/>
    <w:rsid w:val="000C1164"/>
    <w:rsid w:val="000C1273"/>
    <w:rsid w:val="000C17E4"/>
    <w:rsid w:val="000C1D37"/>
    <w:rsid w:val="000C2155"/>
    <w:rsid w:val="000C21AF"/>
    <w:rsid w:val="000C2225"/>
    <w:rsid w:val="000C2377"/>
    <w:rsid w:val="000C25E5"/>
    <w:rsid w:val="000C28A9"/>
    <w:rsid w:val="000C302A"/>
    <w:rsid w:val="000C38ED"/>
    <w:rsid w:val="000C3ADE"/>
    <w:rsid w:val="000C3B6A"/>
    <w:rsid w:val="000C405F"/>
    <w:rsid w:val="000C44AF"/>
    <w:rsid w:val="000C4868"/>
    <w:rsid w:val="000C4B5C"/>
    <w:rsid w:val="000C5226"/>
    <w:rsid w:val="000C578E"/>
    <w:rsid w:val="000C587F"/>
    <w:rsid w:val="000C58A9"/>
    <w:rsid w:val="000C5DA7"/>
    <w:rsid w:val="000C5E05"/>
    <w:rsid w:val="000C5E48"/>
    <w:rsid w:val="000C5FC0"/>
    <w:rsid w:val="000C68EA"/>
    <w:rsid w:val="000C7189"/>
    <w:rsid w:val="000C7206"/>
    <w:rsid w:val="000C7458"/>
    <w:rsid w:val="000C76F5"/>
    <w:rsid w:val="000C771B"/>
    <w:rsid w:val="000C78D2"/>
    <w:rsid w:val="000C7D57"/>
    <w:rsid w:val="000D00A4"/>
    <w:rsid w:val="000D03C1"/>
    <w:rsid w:val="000D05A0"/>
    <w:rsid w:val="000D062D"/>
    <w:rsid w:val="000D081F"/>
    <w:rsid w:val="000D0A8F"/>
    <w:rsid w:val="000D0B7A"/>
    <w:rsid w:val="000D0D61"/>
    <w:rsid w:val="000D0DC1"/>
    <w:rsid w:val="000D0FC5"/>
    <w:rsid w:val="000D1393"/>
    <w:rsid w:val="000D1A8A"/>
    <w:rsid w:val="000D1B0A"/>
    <w:rsid w:val="000D1DEC"/>
    <w:rsid w:val="000D239A"/>
    <w:rsid w:val="000D28CE"/>
    <w:rsid w:val="000D29FD"/>
    <w:rsid w:val="000D31CF"/>
    <w:rsid w:val="000D377E"/>
    <w:rsid w:val="000D3A0B"/>
    <w:rsid w:val="000D3B4C"/>
    <w:rsid w:val="000D3D01"/>
    <w:rsid w:val="000D3FB9"/>
    <w:rsid w:val="000D407F"/>
    <w:rsid w:val="000D432A"/>
    <w:rsid w:val="000D44D8"/>
    <w:rsid w:val="000D45F7"/>
    <w:rsid w:val="000D47EF"/>
    <w:rsid w:val="000D485F"/>
    <w:rsid w:val="000D583E"/>
    <w:rsid w:val="000D5C9C"/>
    <w:rsid w:val="000D5CF6"/>
    <w:rsid w:val="000D5DFE"/>
    <w:rsid w:val="000D6345"/>
    <w:rsid w:val="000D63FE"/>
    <w:rsid w:val="000D675B"/>
    <w:rsid w:val="000D6C21"/>
    <w:rsid w:val="000D6F42"/>
    <w:rsid w:val="000D70BD"/>
    <w:rsid w:val="000D733B"/>
    <w:rsid w:val="000D79C6"/>
    <w:rsid w:val="000E0179"/>
    <w:rsid w:val="000E024B"/>
    <w:rsid w:val="000E033A"/>
    <w:rsid w:val="000E03FC"/>
    <w:rsid w:val="000E06D9"/>
    <w:rsid w:val="000E089B"/>
    <w:rsid w:val="000E0A7E"/>
    <w:rsid w:val="000E0FCD"/>
    <w:rsid w:val="000E0FDF"/>
    <w:rsid w:val="000E103C"/>
    <w:rsid w:val="000E1189"/>
    <w:rsid w:val="000E12AF"/>
    <w:rsid w:val="000E13D4"/>
    <w:rsid w:val="000E13FA"/>
    <w:rsid w:val="000E14D9"/>
    <w:rsid w:val="000E161C"/>
    <w:rsid w:val="000E17DC"/>
    <w:rsid w:val="000E1871"/>
    <w:rsid w:val="000E1969"/>
    <w:rsid w:val="000E1E85"/>
    <w:rsid w:val="000E2378"/>
    <w:rsid w:val="000E25B6"/>
    <w:rsid w:val="000E2B3D"/>
    <w:rsid w:val="000E310A"/>
    <w:rsid w:val="000E38EE"/>
    <w:rsid w:val="000E3CFC"/>
    <w:rsid w:val="000E4060"/>
    <w:rsid w:val="000E4189"/>
    <w:rsid w:val="000E4247"/>
    <w:rsid w:val="000E4826"/>
    <w:rsid w:val="000E4FE5"/>
    <w:rsid w:val="000E5296"/>
    <w:rsid w:val="000E529B"/>
    <w:rsid w:val="000E52F2"/>
    <w:rsid w:val="000E5966"/>
    <w:rsid w:val="000E5AF6"/>
    <w:rsid w:val="000E5B5A"/>
    <w:rsid w:val="000E5B93"/>
    <w:rsid w:val="000E5F30"/>
    <w:rsid w:val="000E5F6D"/>
    <w:rsid w:val="000E6416"/>
    <w:rsid w:val="000E6570"/>
    <w:rsid w:val="000E6800"/>
    <w:rsid w:val="000E6982"/>
    <w:rsid w:val="000E6A08"/>
    <w:rsid w:val="000E704F"/>
    <w:rsid w:val="000E724B"/>
    <w:rsid w:val="000E742A"/>
    <w:rsid w:val="000E770D"/>
    <w:rsid w:val="000E7901"/>
    <w:rsid w:val="000E7B38"/>
    <w:rsid w:val="000E7E8F"/>
    <w:rsid w:val="000F0113"/>
    <w:rsid w:val="000F0455"/>
    <w:rsid w:val="000F06D6"/>
    <w:rsid w:val="000F0934"/>
    <w:rsid w:val="000F09E0"/>
    <w:rsid w:val="000F0D54"/>
    <w:rsid w:val="000F12FC"/>
    <w:rsid w:val="000F151E"/>
    <w:rsid w:val="000F15B9"/>
    <w:rsid w:val="000F189E"/>
    <w:rsid w:val="000F18A6"/>
    <w:rsid w:val="000F190B"/>
    <w:rsid w:val="000F1C97"/>
    <w:rsid w:val="000F1CF4"/>
    <w:rsid w:val="000F1D7D"/>
    <w:rsid w:val="000F1E91"/>
    <w:rsid w:val="000F2A7D"/>
    <w:rsid w:val="000F3B1A"/>
    <w:rsid w:val="000F3B98"/>
    <w:rsid w:val="000F3F6C"/>
    <w:rsid w:val="000F41D0"/>
    <w:rsid w:val="000F424F"/>
    <w:rsid w:val="000F4566"/>
    <w:rsid w:val="000F488D"/>
    <w:rsid w:val="000F49C7"/>
    <w:rsid w:val="000F4B18"/>
    <w:rsid w:val="000F4BD0"/>
    <w:rsid w:val="000F4CC2"/>
    <w:rsid w:val="000F51DA"/>
    <w:rsid w:val="000F5532"/>
    <w:rsid w:val="000F57C0"/>
    <w:rsid w:val="000F5838"/>
    <w:rsid w:val="000F5B67"/>
    <w:rsid w:val="000F5D9F"/>
    <w:rsid w:val="000F61B2"/>
    <w:rsid w:val="000F698D"/>
    <w:rsid w:val="000F69E8"/>
    <w:rsid w:val="000F7122"/>
    <w:rsid w:val="000F7347"/>
    <w:rsid w:val="000F7426"/>
    <w:rsid w:val="000F74E7"/>
    <w:rsid w:val="000F75C0"/>
    <w:rsid w:val="000F766A"/>
    <w:rsid w:val="000FC93A"/>
    <w:rsid w:val="0010055B"/>
    <w:rsid w:val="001006FF"/>
    <w:rsid w:val="00100718"/>
    <w:rsid w:val="00100729"/>
    <w:rsid w:val="001007DB"/>
    <w:rsid w:val="00100926"/>
    <w:rsid w:val="00100B23"/>
    <w:rsid w:val="00100B57"/>
    <w:rsid w:val="00101880"/>
    <w:rsid w:val="001020B5"/>
    <w:rsid w:val="0010221C"/>
    <w:rsid w:val="001024B4"/>
    <w:rsid w:val="001025BD"/>
    <w:rsid w:val="00102687"/>
    <w:rsid w:val="00102BA3"/>
    <w:rsid w:val="00102CE2"/>
    <w:rsid w:val="0010304F"/>
    <w:rsid w:val="001031A7"/>
    <w:rsid w:val="00103395"/>
    <w:rsid w:val="001034B7"/>
    <w:rsid w:val="00103730"/>
    <w:rsid w:val="00103926"/>
    <w:rsid w:val="001039FB"/>
    <w:rsid w:val="00103EDD"/>
    <w:rsid w:val="001041F1"/>
    <w:rsid w:val="00104437"/>
    <w:rsid w:val="0010445F"/>
    <w:rsid w:val="00104611"/>
    <w:rsid w:val="0010494D"/>
    <w:rsid w:val="00104A5D"/>
    <w:rsid w:val="00104CFD"/>
    <w:rsid w:val="00104E66"/>
    <w:rsid w:val="00104FFF"/>
    <w:rsid w:val="001054A1"/>
    <w:rsid w:val="001057F6"/>
    <w:rsid w:val="001058DB"/>
    <w:rsid w:val="001059DA"/>
    <w:rsid w:val="00105AF1"/>
    <w:rsid w:val="00105AF7"/>
    <w:rsid w:val="00106629"/>
    <w:rsid w:val="00106860"/>
    <w:rsid w:val="001068EE"/>
    <w:rsid w:val="00106B89"/>
    <w:rsid w:val="00106DA1"/>
    <w:rsid w:val="00106F27"/>
    <w:rsid w:val="00106F4F"/>
    <w:rsid w:val="00107439"/>
    <w:rsid w:val="00107807"/>
    <w:rsid w:val="00107831"/>
    <w:rsid w:val="001079ED"/>
    <w:rsid w:val="00107A95"/>
    <w:rsid w:val="00107AFF"/>
    <w:rsid w:val="00107CCA"/>
    <w:rsid w:val="00107D87"/>
    <w:rsid w:val="00107DD5"/>
    <w:rsid w:val="00110110"/>
    <w:rsid w:val="00110185"/>
    <w:rsid w:val="001104A5"/>
    <w:rsid w:val="00110633"/>
    <w:rsid w:val="00110853"/>
    <w:rsid w:val="00111196"/>
    <w:rsid w:val="0011137A"/>
    <w:rsid w:val="001113F1"/>
    <w:rsid w:val="00111726"/>
    <w:rsid w:val="001119FC"/>
    <w:rsid w:val="00112287"/>
    <w:rsid w:val="001123E8"/>
    <w:rsid w:val="00112469"/>
    <w:rsid w:val="0011247E"/>
    <w:rsid w:val="00112500"/>
    <w:rsid w:val="00112725"/>
    <w:rsid w:val="001129B1"/>
    <w:rsid w:val="00112BB8"/>
    <w:rsid w:val="001131D7"/>
    <w:rsid w:val="001132E3"/>
    <w:rsid w:val="00113600"/>
    <w:rsid w:val="00113664"/>
    <w:rsid w:val="001136DA"/>
    <w:rsid w:val="001139D9"/>
    <w:rsid w:val="00113A59"/>
    <w:rsid w:val="00114826"/>
    <w:rsid w:val="00114AE5"/>
    <w:rsid w:val="00114CE4"/>
    <w:rsid w:val="00115A7F"/>
    <w:rsid w:val="001161FA"/>
    <w:rsid w:val="00116682"/>
    <w:rsid w:val="00116B97"/>
    <w:rsid w:val="00117294"/>
    <w:rsid w:val="00117A2D"/>
    <w:rsid w:val="00117C64"/>
    <w:rsid w:val="00117E8F"/>
    <w:rsid w:val="00117F77"/>
    <w:rsid w:val="00120F41"/>
    <w:rsid w:val="00121119"/>
    <w:rsid w:val="00121239"/>
    <w:rsid w:val="001212BD"/>
    <w:rsid w:val="00121546"/>
    <w:rsid w:val="001217B6"/>
    <w:rsid w:val="00121AA6"/>
    <w:rsid w:val="00122183"/>
    <w:rsid w:val="001221C1"/>
    <w:rsid w:val="00122B11"/>
    <w:rsid w:val="00122E57"/>
    <w:rsid w:val="0012343A"/>
    <w:rsid w:val="00123635"/>
    <w:rsid w:val="00123745"/>
    <w:rsid w:val="00123817"/>
    <w:rsid w:val="001238F6"/>
    <w:rsid w:val="0012391C"/>
    <w:rsid w:val="00123B02"/>
    <w:rsid w:val="00123B88"/>
    <w:rsid w:val="00123EAF"/>
    <w:rsid w:val="00124183"/>
    <w:rsid w:val="001243B6"/>
    <w:rsid w:val="001243BD"/>
    <w:rsid w:val="0012448D"/>
    <w:rsid w:val="00124A7D"/>
    <w:rsid w:val="00124BF8"/>
    <w:rsid w:val="001250C1"/>
    <w:rsid w:val="0012511E"/>
    <w:rsid w:val="00125A02"/>
    <w:rsid w:val="00125C99"/>
    <w:rsid w:val="001260C9"/>
    <w:rsid w:val="00126195"/>
    <w:rsid w:val="0012636A"/>
    <w:rsid w:val="00126401"/>
    <w:rsid w:val="00126827"/>
    <w:rsid w:val="00126952"/>
    <w:rsid w:val="00126A91"/>
    <w:rsid w:val="00126C2B"/>
    <w:rsid w:val="00126C61"/>
    <w:rsid w:val="0012744F"/>
    <w:rsid w:val="001274F5"/>
    <w:rsid w:val="00127874"/>
    <w:rsid w:val="00127B90"/>
    <w:rsid w:val="00127D40"/>
    <w:rsid w:val="00130165"/>
    <w:rsid w:val="001301C5"/>
    <w:rsid w:val="00130724"/>
    <w:rsid w:val="001308BB"/>
    <w:rsid w:val="00130A76"/>
    <w:rsid w:val="00130EFC"/>
    <w:rsid w:val="001311E5"/>
    <w:rsid w:val="00131303"/>
    <w:rsid w:val="00131442"/>
    <w:rsid w:val="00131891"/>
    <w:rsid w:val="0013199C"/>
    <w:rsid w:val="001319BB"/>
    <w:rsid w:val="00131C24"/>
    <w:rsid w:val="001322B2"/>
    <w:rsid w:val="00132318"/>
    <w:rsid w:val="00132360"/>
    <w:rsid w:val="001324E6"/>
    <w:rsid w:val="0013252C"/>
    <w:rsid w:val="00132BBE"/>
    <w:rsid w:val="00132BF0"/>
    <w:rsid w:val="00132F59"/>
    <w:rsid w:val="001334E6"/>
    <w:rsid w:val="001339D5"/>
    <w:rsid w:val="00133B8D"/>
    <w:rsid w:val="00133E4B"/>
    <w:rsid w:val="00133EE4"/>
    <w:rsid w:val="00133EFE"/>
    <w:rsid w:val="001342D1"/>
    <w:rsid w:val="001345DF"/>
    <w:rsid w:val="0013517A"/>
    <w:rsid w:val="00135694"/>
    <w:rsid w:val="00135CDA"/>
    <w:rsid w:val="00136114"/>
    <w:rsid w:val="0013611E"/>
    <w:rsid w:val="00136353"/>
    <w:rsid w:val="001368BC"/>
    <w:rsid w:val="00136B79"/>
    <w:rsid w:val="00136DF5"/>
    <w:rsid w:val="00136E80"/>
    <w:rsid w:val="001372FF"/>
    <w:rsid w:val="00137339"/>
    <w:rsid w:val="00137592"/>
    <w:rsid w:val="00137A7E"/>
    <w:rsid w:val="00137B8F"/>
    <w:rsid w:val="00137D6B"/>
    <w:rsid w:val="00137DBC"/>
    <w:rsid w:val="00137FB9"/>
    <w:rsid w:val="00140C8B"/>
    <w:rsid w:val="001410D7"/>
    <w:rsid w:val="001412DA"/>
    <w:rsid w:val="00141443"/>
    <w:rsid w:val="0014146F"/>
    <w:rsid w:val="001416A7"/>
    <w:rsid w:val="00141ACC"/>
    <w:rsid w:val="00141FD2"/>
    <w:rsid w:val="001421EA"/>
    <w:rsid w:val="00142462"/>
    <w:rsid w:val="00142568"/>
    <w:rsid w:val="001427C5"/>
    <w:rsid w:val="00142A80"/>
    <w:rsid w:val="00142CCB"/>
    <w:rsid w:val="00142E7D"/>
    <w:rsid w:val="001431B6"/>
    <w:rsid w:val="00143336"/>
    <w:rsid w:val="00143685"/>
    <w:rsid w:val="001437B4"/>
    <w:rsid w:val="0014398B"/>
    <w:rsid w:val="00143ABA"/>
    <w:rsid w:val="00143AC2"/>
    <w:rsid w:val="00143BA2"/>
    <w:rsid w:val="00143C56"/>
    <w:rsid w:val="00143ED7"/>
    <w:rsid w:val="00144065"/>
    <w:rsid w:val="001440CD"/>
    <w:rsid w:val="00144220"/>
    <w:rsid w:val="00144631"/>
    <w:rsid w:val="00144788"/>
    <w:rsid w:val="00144F61"/>
    <w:rsid w:val="00145037"/>
    <w:rsid w:val="00145449"/>
    <w:rsid w:val="00145519"/>
    <w:rsid w:val="001455CD"/>
    <w:rsid w:val="00145E5E"/>
    <w:rsid w:val="001461A7"/>
    <w:rsid w:val="001464CD"/>
    <w:rsid w:val="00146B91"/>
    <w:rsid w:val="00146C0F"/>
    <w:rsid w:val="00146C19"/>
    <w:rsid w:val="00146C4D"/>
    <w:rsid w:val="00146CDB"/>
    <w:rsid w:val="0014710D"/>
    <w:rsid w:val="00147166"/>
    <w:rsid w:val="001474C3"/>
    <w:rsid w:val="00147B1D"/>
    <w:rsid w:val="00147BF4"/>
    <w:rsid w:val="00147E9A"/>
    <w:rsid w:val="00150320"/>
    <w:rsid w:val="001503B3"/>
    <w:rsid w:val="0015081A"/>
    <w:rsid w:val="00150911"/>
    <w:rsid w:val="00150B30"/>
    <w:rsid w:val="00150B75"/>
    <w:rsid w:val="00150C0D"/>
    <w:rsid w:val="00150E26"/>
    <w:rsid w:val="001511B8"/>
    <w:rsid w:val="0015134C"/>
    <w:rsid w:val="001515BF"/>
    <w:rsid w:val="0015169C"/>
    <w:rsid w:val="00151C65"/>
    <w:rsid w:val="001527AC"/>
    <w:rsid w:val="001527DF"/>
    <w:rsid w:val="00152AA5"/>
    <w:rsid w:val="00152BEB"/>
    <w:rsid w:val="00152DB2"/>
    <w:rsid w:val="00152FF7"/>
    <w:rsid w:val="001531A0"/>
    <w:rsid w:val="001531E2"/>
    <w:rsid w:val="0015370C"/>
    <w:rsid w:val="001537E4"/>
    <w:rsid w:val="00153840"/>
    <w:rsid w:val="00153ABD"/>
    <w:rsid w:val="00153ADD"/>
    <w:rsid w:val="00153B6A"/>
    <w:rsid w:val="00154016"/>
    <w:rsid w:val="001540EB"/>
    <w:rsid w:val="0015411A"/>
    <w:rsid w:val="00154382"/>
    <w:rsid w:val="001547FB"/>
    <w:rsid w:val="00154927"/>
    <w:rsid w:val="001551EF"/>
    <w:rsid w:val="001555E9"/>
    <w:rsid w:val="0015569D"/>
    <w:rsid w:val="001558F5"/>
    <w:rsid w:val="00155B51"/>
    <w:rsid w:val="001565F8"/>
    <w:rsid w:val="00156784"/>
    <w:rsid w:val="00156965"/>
    <w:rsid w:val="001573A9"/>
    <w:rsid w:val="0015783A"/>
    <w:rsid w:val="00157D0A"/>
    <w:rsid w:val="001600C1"/>
    <w:rsid w:val="00160756"/>
    <w:rsid w:val="00160958"/>
    <w:rsid w:val="00160AE7"/>
    <w:rsid w:val="00160BC9"/>
    <w:rsid w:val="00160D9C"/>
    <w:rsid w:val="00161159"/>
    <w:rsid w:val="00161244"/>
    <w:rsid w:val="001613ED"/>
    <w:rsid w:val="00161CAB"/>
    <w:rsid w:val="00161E73"/>
    <w:rsid w:val="001626BC"/>
    <w:rsid w:val="001627D7"/>
    <w:rsid w:val="00162807"/>
    <w:rsid w:val="00162A18"/>
    <w:rsid w:val="00162A4C"/>
    <w:rsid w:val="00162D08"/>
    <w:rsid w:val="00162D7D"/>
    <w:rsid w:val="001634BD"/>
    <w:rsid w:val="00163710"/>
    <w:rsid w:val="00163919"/>
    <w:rsid w:val="00163992"/>
    <w:rsid w:val="00164014"/>
    <w:rsid w:val="00164406"/>
    <w:rsid w:val="00164501"/>
    <w:rsid w:val="00164C9A"/>
    <w:rsid w:val="00164F38"/>
    <w:rsid w:val="00165202"/>
    <w:rsid w:val="001653B1"/>
    <w:rsid w:val="001653BA"/>
    <w:rsid w:val="00165630"/>
    <w:rsid w:val="00165941"/>
    <w:rsid w:val="00165A2C"/>
    <w:rsid w:val="00165B25"/>
    <w:rsid w:val="00165DE5"/>
    <w:rsid w:val="00166183"/>
    <w:rsid w:val="00166740"/>
    <w:rsid w:val="00166880"/>
    <w:rsid w:val="001668C4"/>
    <w:rsid w:val="00166D0E"/>
    <w:rsid w:val="00166EDD"/>
    <w:rsid w:val="001674D8"/>
    <w:rsid w:val="00170164"/>
    <w:rsid w:val="00170373"/>
    <w:rsid w:val="001706E4"/>
    <w:rsid w:val="001711CD"/>
    <w:rsid w:val="0017134D"/>
    <w:rsid w:val="0017135F"/>
    <w:rsid w:val="001713F5"/>
    <w:rsid w:val="0017154C"/>
    <w:rsid w:val="00171B29"/>
    <w:rsid w:val="001720C9"/>
    <w:rsid w:val="00172182"/>
    <w:rsid w:val="00172598"/>
    <w:rsid w:val="001726C2"/>
    <w:rsid w:val="00172919"/>
    <w:rsid w:val="00172942"/>
    <w:rsid w:val="00172BFA"/>
    <w:rsid w:val="00172C4E"/>
    <w:rsid w:val="00172E6F"/>
    <w:rsid w:val="00172E87"/>
    <w:rsid w:val="00172ED2"/>
    <w:rsid w:val="001734A6"/>
    <w:rsid w:val="001734B7"/>
    <w:rsid w:val="001737AA"/>
    <w:rsid w:val="001739B9"/>
    <w:rsid w:val="00173C19"/>
    <w:rsid w:val="00174069"/>
    <w:rsid w:val="001740D5"/>
    <w:rsid w:val="00174486"/>
    <w:rsid w:val="00174E93"/>
    <w:rsid w:val="00174FFB"/>
    <w:rsid w:val="00175103"/>
    <w:rsid w:val="00175215"/>
    <w:rsid w:val="001754CF"/>
    <w:rsid w:val="00175740"/>
    <w:rsid w:val="00175C26"/>
    <w:rsid w:val="00175EF3"/>
    <w:rsid w:val="00175EF8"/>
    <w:rsid w:val="001761A0"/>
    <w:rsid w:val="001761C5"/>
    <w:rsid w:val="0017623D"/>
    <w:rsid w:val="001762B4"/>
    <w:rsid w:val="00176558"/>
    <w:rsid w:val="0017688C"/>
    <w:rsid w:val="00176B67"/>
    <w:rsid w:val="00176BBC"/>
    <w:rsid w:val="00176C1A"/>
    <w:rsid w:val="00176D2A"/>
    <w:rsid w:val="00176FE7"/>
    <w:rsid w:val="001774BB"/>
    <w:rsid w:val="001775B9"/>
    <w:rsid w:val="00177704"/>
    <w:rsid w:val="00180246"/>
    <w:rsid w:val="001802BC"/>
    <w:rsid w:val="00180B79"/>
    <w:rsid w:val="00180BDE"/>
    <w:rsid w:val="00180C34"/>
    <w:rsid w:val="00180C88"/>
    <w:rsid w:val="00180D79"/>
    <w:rsid w:val="00180E40"/>
    <w:rsid w:val="00180EDB"/>
    <w:rsid w:val="0018127A"/>
    <w:rsid w:val="00181A16"/>
    <w:rsid w:val="00181DC8"/>
    <w:rsid w:val="001821DF"/>
    <w:rsid w:val="001821E1"/>
    <w:rsid w:val="001827AB"/>
    <w:rsid w:val="00182919"/>
    <w:rsid w:val="00182A9D"/>
    <w:rsid w:val="00182ED3"/>
    <w:rsid w:val="00183135"/>
    <w:rsid w:val="00183487"/>
    <w:rsid w:val="001836B7"/>
    <w:rsid w:val="001836FD"/>
    <w:rsid w:val="00183D75"/>
    <w:rsid w:val="001841D5"/>
    <w:rsid w:val="0018429F"/>
    <w:rsid w:val="001845B4"/>
    <w:rsid w:val="00184605"/>
    <w:rsid w:val="001846FD"/>
    <w:rsid w:val="00184D40"/>
    <w:rsid w:val="00185189"/>
    <w:rsid w:val="001858C6"/>
    <w:rsid w:val="00185C88"/>
    <w:rsid w:val="00186476"/>
    <w:rsid w:val="00186735"/>
    <w:rsid w:val="00186767"/>
    <w:rsid w:val="00186B77"/>
    <w:rsid w:val="00186D3D"/>
    <w:rsid w:val="00186D6C"/>
    <w:rsid w:val="00186FE1"/>
    <w:rsid w:val="001876BE"/>
    <w:rsid w:val="00187A3C"/>
    <w:rsid w:val="00187A4A"/>
    <w:rsid w:val="0019021E"/>
    <w:rsid w:val="00190469"/>
    <w:rsid w:val="00190A4D"/>
    <w:rsid w:val="00190A79"/>
    <w:rsid w:val="00190B7C"/>
    <w:rsid w:val="00190BD7"/>
    <w:rsid w:val="00190CEE"/>
    <w:rsid w:val="00191075"/>
    <w:rsid w:val="001910B7"/>
    <w:rsid w:val="001910EA"/>
    <w:rsid w:val="001911E4"/>
    <w:rsid w:val="00191659"/>
    <w:rsid w:val="0019272F"/>
    <w:rsid w:val="00192744"/>
    <w:rsid w:val="001934C1"/>
    <w:rsid w:val="0019357A"/>
    <w:rsid w:val="001936C3"/>
    <w:rsid w:val="00193B54"/>
    <w:rsid w:val="00193BDE"/>
    <w:rsid w:val="00193D04"/>
    <w:rsid w:val="001940B1"/>
    <w:rsid w:val="0019415B"/>
    <w:rsid w:val="00194280"/>
    <w:rsid w:val="001948D4"/>
    <w:rsid w:val="00194B41"/>
    <w:rsid w:val="00194B9B"/>
    <w:rsid w:val="00194BC7"/>
    <w:rsid w:val="00194D5D"/>
    <w:rsid w:val="00194FF2"/>
    <w:rsid w:val="00195401"/>
    <w:rsid w:val="001957C0"/>
    <w:rsid w:val="00195D6C"/>
    <w:rsid w:val="00196026"/>
    <w:rsid w:val="0019631B"/>
    <w:rsid w:val="001964F7"/>
    <w:rsid w:val="0019655C"/>
    <w:rsid w:val="0019658C"/>
    <w:rsid w:val="00196A94"/>
    <w:rsid w:val="00196E66"/>
    <w:rsid w:val="001971D0"/>
    <w:rsid w:val="00197543"/>
    <w:rsid w:val="001975FB"/>
    <w:rsid w:val="0019771F"/>
    <w:rsid w:val="00197759"/>
    <w:rsid w:val="00197810"/>
    <w:rsid w:val="00197E52"/>
    <w:rsid w:val="00197FB6"/>
    <w:rsid w:val="001A005D"/>
    <w:rsid w:val="001A02C3"/>
    <w:rsid w:val="001A0F7C"/>
    <w:rsid w:val="001A1055"/>
    <w:rsid w:val="001A1B42"/>
    <w:rsid w:val="001A1BA4"/>
    <w:rsid w:val="001A1BBD"/>
    <w:rsid w:val="001A1C28"/>
    <w:rsid w:val="001A1ECE"/>
    <w:rsid w:val="001A1F15"/>
    <w:rsid w:val="001A1F4E"/>
    <w:rsid w:val="001A2001"/>
    <w:rsid w:val="001A23EE"/>
    <w:rsid w:val="001A25B2"/>
    <w:rsid w:val="001A2606"/>
    <w:rsid w:val="001A2A74"/>
    <w:rsid w:val="001A2B23"/>
    <w:rsid w:val="001A2E88"/>
    <w:rsid w:val="001A306C"/>
    <w:rsid w:val="001A30D3"/>
    <w:rsid w:val="001A35DD"/>
    <w:rsid w:val="001A3AAB"/>
    <w:rsid w:val="001A3F78"/>
    <w:rsid w:val="001A4730"/>
    <w:rsid w:val="001A49F5"/>
    <w:rsid w:val="001A4DAA"/>
    <w:rsid w:val="001A4F1E"/>
    <w:rsid w:val="001A4F2A"/>
    <w:rsid w:val="001A51E7"/>
    <w:rsid w:val="001A5355"/>
    <w:rsid w:val="001A5646"/>
    <w:rsid w:val="001A579F"/>
    <w:rsid w:val="001A57E9"/>
    <w:rsid w:val="001A5800"/>
    <w:rsid w:val="001A620E"/>
    <w:rsid w:val="001A636B"/>
    <w:rsid w:val="001A65E8"/>
    <w:rsid w:val="001A6601"/>
    <w:rsid w:val="001A6703"/>
    <w:rsid w:val="001A6B39"/>
    <w:rsid w:val="001A6D8C"/>
    <w:rsid w:val="001A6DB3"/>
    <w:rsid w:val="001A6F51"/>
    <w:rsid w:val="001A72CB"/>
    <w:rsid w:val="001A72CC"/>
    <w:rsid w:val="001A74A6"/>
    <w:rsid w:val="001A7BDD"/>
    <w:rsid w:val="001A7C93"/>
    <w:rsid w:val="001B0283"/>
    <w:rsid w:val="001B04A9"/>
    <w:rsid w:val="001B0514"/>
    <w:rsid w:val="001B0638"/>
    <w:rsid w:val="001B0721"/>
    <w:rsid w:val="001B0731"/>
    <w:rsid w:val="001B0A2F"/>
    <w:rsid w:val="001B0EE9"/>
    <w:rsid w:val="001B1510"/>
    <w:rsid w:val="001B17E8"/>
    <w:rsid w:val="001B19EB"/>
    <w:rsid w:val="001B1BA8"/>
    <w:rsid w:val="001B2250"/>
    <w:rsid w:val="001B2360"/>
    <w:rsid w:val="001B27B0"/>
    <w:rsid w:val="001B2819"/>
    <w:rsid w:val="001B2887"/>
    <w:rsid w:val="001B2981"/>
    <w:rsid w:val="001B2A22"/>
    <w:rsid w:val="001B2D08"/>
    <w:rsid w:val="001B3719"/>
    <w:rsid w:val="001B3747"/>
    <w:rsid w:val="001B39CC"/>
    <w:rsid w:val="001B3BAC"/>
    <w:rsid w:val="001B3C49"/>
    <w:rsid w:val="001B3CEE"/>
    <w:rsid w:val="001B3E52"/>
    <w:rsid w:val="001B403C"/>
    <w:rsid w:val="001B407F"/>
    <w:rsid w:val="001B4585"/>
    <w:rsid w:val="001B4709"/>
    <w:rsid w:val="001B4910"/>
    <w:rsid w:val="001B4BAE"/>
    <w:rsid w:val="001B4C93"/>
    <w:rsid w:val="001B4F20"/>
    <w:rsid w:val="001B52D4"/>
    <w:rsid w:val="001B53E1"/>
    <w:rsid w:val="001B5A3A"/>
    <w:rsid w:val="001B60EF"/>
    <w:rsid w:val="001B6184"/>
    <w:rsid w:val="001B6229"/>
    <w:rsid w:val="001B6362"/>
    <w:rsid w:val="001B6432"/>
    <w:rsid w:val="001B64AF"/>
    <w:rsid w:val="001B6601"/>
    <w:rsid w:val="001B6645"/>
    <w:rsid w:val="001B6740"/>
    <w:rsid w:val="001B6B10"/>
    <w:rsid w:val="001B72BE"/>
    <w:rsid w:val="001B73C1"/>
    <w:rsid w:val="001B7591"/>
    <w:rsid w:val="001B78D6"/>
    <w:rsid w:val="001B79B3"/>
    <w:rsid w:val="001B7B38"/>
    <w:rsid w:val="001B7BF1"/>
    <w:rsid w:val="001B7C40"/>
    <w:rsid w:val="001C01F4"/>
    <w:rsid w:val="001C02AC"/>
    <w:rsid w:val="001C04E7"/>
    <w:rsid w:val="001C0B0A"/>
    <w:rsid w:val="001C0C12"/>
    <w:rsid w:val="001C0FDC"/>
    <w:rsid w:val="001C1092"/>
    <w:rsid w:val="001C1523"/>
    <w:rsid w:val="001C1A5E"/>
    <w:rsid w:val="001C1AEC"/>
    <w:rsid w:val="001C1CC6"/>
    <w:rsid w:val="001C1DD5"/>
    <w:rsid w:val="001C20F6"/>
    <w:rsid w:val="001C22C7"/>
    <w:rsid w:val="001C2654"/>
    <w:rsid w:val="001C268B"/>
    <w:rsid w:val="001C2BB0"/>
    <w:rsid w:val="001C314E"/>
    <w:rsid w:val="001C347E"/>
    <w:rsid w:val="001C357F"/>
    <w:rsid w:val="001C3A94"/>
    <w:rsid w:val="001C3C70"/>
    <w:rsid w:val="001C3D23"/>
    <w:rsid w:val="001C3EE6"/>
    <w:rsid w:val="001C476A"/>
    <w:rsid w:val="001C4817"/>
    <w:rsid w:val="001C48EE"/>
    <w:rsid w:val="001C4A2F"/>
    <w:rsid w:val="001C4E25"/>
    <w:rsid w:val="001C4F14"/>
    <w:rsid w:val="001C54C7"/>
    <w:rsid w:val="001C5582"/>
    <w:rsid w:val="001C57C3"/>
    <w:rsid w:val="001C5991"/>
    <w:rsid w:val="001C5CD2"/>
    <w:rsid w:val="001C61DB"/>
    <w:rsid w:val="001C661A"/>
    <w:rsid w:val="001C6A4A"/>
    <w:rsid w:val="001C6B31"/>
    <w:rsid w:val="001C6E25"/>
    <w:rsid w:val="001C6EB2"/>
    <w:rsid w:val="001C75C2"/>
    <w:rsid w:val="001C77FA"/>
    <w:rsid w:val="001C79E9"/>
    <w:rsid w:val="001C7BA6"/>
    <w:rsid w:val="001C7CB9"/>
    <w:rsid w:val="001C7CF4"/>
    <w:rsid w:val="001D0737"/>
    <w:rsid w:val="001D0A77"/>
    <w:rsid w:val="001D0B18"/>
    <w:rsid w:val="001D0CEB"/>
    <w:rsid w:val="001D1361"/>
    <w:rsid w:val="001D156D"/>
    <w:rsid w:val="001D197F"/>
    <w:rsid w:val="001D1A0A"/>
    <w:rsid w:val="001D1CBD"/>
    <w:rsid w:val="001D1D44"/>
    <w:rsid w:val="001D1D7E"/>
    <w:rsid w:val="001D1E42"/>
    <w:rsid w:val="001D2021"/>
    <w:rsid w:val="001D20C5"/>
    <w:rsid w:val="001D23C2"/>
    <w:rsid w:val="001D277A"/>
    <w:rsid w:val="001D285F"/>
    <w:rsid w:val="001D307B"/>
    <w:rsid w:val="001D30A7"/>
    <w:rsid w:val="001D38A7"/>
    <w:rsid w:val="001D3982"/>
    <w:rsid w:val="001D3DF9"/>
    <w:rsid w:val="001D3EEC"/>
    <w:rsid w:val="001D4B1B"/>
    <w:rsid w:val="001D50C5"/>
    <w:rsid w:val="001D597E"/>
    <w:rsid w:val="001D5C6B"/>
    <w:rsid w:val="001D61F3"/>
    <w:rsid w:val="001D659C"/>
    <w:rsid w:val="001D6604"/>
    <w:rsid w:val="001D6CFE"/>
    <w:rsid w:val="001D6D80"/>
    <w:rsid w:val="001D6FE4"/>
    <w:rsid w:val="001D7551"/>
    <w:rsid w:val="001D7568"/>
    <w:rsid w:val="001D7577"/>
    <w:rsid w:val="001D7E57"/>
    <w:rsid w:val="001D7E82"/>
    <w:rsid w:val="001E0620"/>
    <w:rsid w:val="001E08DD"/>
    <w:rsid w:val="001E0F43"/>
    <w:rsid w:val="001E1C02"/>
    <w:rsid w:val="001E1D04"/>
    <w:rsid w:val="001E1EEA"/>
    <w:rsid w:val="001E2003"/>
    <w:rsid w:val="001E292B"/>
    <w:rsid w:val="001E2CA1"/>
    <w:rsid w:val="001E2EC5"/>
    <w:rsid w:val="001E3528"/>
    <w:rsid w:val="001E3592"/>
    <w:rsid w:val="001E3C31"/>
    <w:rsid w:val="001E3C40"/>
    <w:rsid w:val="001E3C61"/>
    <w:rsid w:val="001E3EC3"/>
    <w:rsid w:val="001E3FD7"/>
    <w:rsid w:val="001E41AE"/>
    <w:rsid w:val="001E466E"/>
    <w:rsid w:val="001E46C9"/>
    <w:rsid w:val="001E4CD4"/>
    <w:rsid w:val="001E4FCE"/>
    <w:rsid w:val="001E5E9B"/>
    <w:rsid w:val="001E5EBA"/>
    <w:rsid w:val="001E5FAC"/>
    <w:rsid w:val="001E60E1"/>
    <w:rsid w:val="001E6283"/>
    <w:rsid w:val="001E6788"/>
    <w:rsid w:val="001E6E79"/>
    <w:rsid w:val="001E7273"/>
    <w:rsid w:val="001E739F"/>
    <w:rsid w:val="001E7483"/>
    <w:rsid w:val="001E7543"/>
    <w:rsid w:val="001E77ED"/>
    <w:rsid w:val="001E7913"/>
    <w:rsid w:val="001E7C6C"/>
    <w:rsid w:val="001E7DB8"/>
    <w:rsid w:val="001F0026"/>
    <w:rsid w:val="001F00BC"/>
    <w:rsid w:val="001F03D3"/>
    <w:rsid w:val="001F0449"/>
    <w:rsid w:val="001F097C"/>
    <w:rsid w:val="001F1073"/>
    <w:rsid w:val="001F1335"/>
    <w:rsid w:val="001F15D3"/>
    <w:rsid w:val="001F17BB"/>
    <w:rsid w:val="001F1937"/>
    <w:rsid w:val="001F1C7D"/>
    <w:rsid w:val="001F1DC2"/>
    <w:rsid w:val="001F21D2"/>
    <w:rsid w:val="001F23B5"/>
    <w:rsid w:val="001F28D4"/>
    <w:rsid w:val="001F2AD0"/>
    <w:rsid w:val="001F2F4B"/>
    <w:rsid w:val="001F3202"/>
    <w:rsid w:val="001F3231"/>
    <w:rsid w:val="001F329B"/>
    <w:rsid w:val="001F33DA"/>
    <w:rsid w:val="001F3623"/>
    <w:rsid w:val="001F3BB6"/>
    <w:rsid w:val="001F3C5B"/>
    <w:rsid w:val="001F3E29"/>
    <w:rsid w:val="001F3E9F"/>
    <w:rsid w:val="001F3FF0"/>
    <w:rsid w:val="001F4931"/>
    <w:rsid w:val="001F4E8B"/>
    <w:rsid w:val="001F5135"/>
    <w:rsid w:val="001F5168"/>
    <w:rsid w:val="001F59D4"/>
    <w:rsid w:val="001F5C3A"/>
    <w:rsid w:val="001F5C57"/>
    <w:rsid w:val="001F5CFB"/>
    <w:rsid w:val="001F5D95"/>
    <w:rsid w:val="001F5E78"/>
    <w:rsid w:val="001F5FB3"/>
    <w:rsid w:val="001F627A"/>
    <w:rsid w:val="001F6281"/>
    <w:rsid w:val="001F65FE"/>
    <w:rsid w:val="001F675D"/>
    <w:rsid w:val="001F6E21"/>
    <w:rsid w:val="001F718C"/>
    <w:rsid w:val="001F73D1"/>
    <w:rsid w:val="001F7A0F"/>
    <w:rsid w:val="001F7CF1"/>
    <w:rsid w:val="001F7DE1"/>
    <w:rsid w:val="001F7EE5"/>
    <w:rsid w:val="001F7EEC"/>
    <w:rsid w:val="001F7FF8"/>
    <w:rsid w:val="002002B9"/>
    <w:rsid w:val="002004E8"/>
    <w:rsid w:val="0020052D"/>
    <w:rsid w:val="00200B50"/>
    <w:rsid w:val="00200BE3"/>
    <w:rsid w:val="00200C4C"/>
    <w:rsid w:val="00200CAC"/>
    <w:rsid w:val="0020186C"/>
    <w:rsid w:val="002018B0"/>
    <w:rsid w:val="00201959"/>
    <w:rsid w:val="00201A97"/>
    <w:rsid w:val="00201F5E"/>
    <w:rsid w:val="002020F7"/>
    <w:rsid w:val="002022CF"/>
    <w:rsid w:val="002023BC"/>
    <w:rsid w:val="002024A6"/>
    <w:rsid w:val="002025CB"/>
    <w:rsid w:val="00202640"/>
    <w:rsid w:val="00202A59"/>
    <w:rsid w:val="00202D05"/>
    <w:rsid w:val="00202DE8"/>
    <w:rsid w:val="00203242"/>
    <w:rsid w:val="00203647"/>
    <w:rsid w:val="002036D1"/>
    <w:rsid w:val="002039E5"/>
    <w:rsid w:val="00203BAD"/>
    <w:rsid w:val="002041DE"/>
    <w:rsid w:val="00204382"/>
    <w:rsid w:val="00204739"/>
    <w:rsid w:val="00204BD7"/>
    <w:rsid w:val="00204CD7"/>
    <w:rsid w:val="00205183"/>
    <w:rsid w:val="002054C6"/>
    <w:rsid w:val="00205676"/>
    <w:rsid w:val="0020574C"/>
    <w:rsid w:val="00205780"/>
    <w:rsid w:val="00205999"/>
    <w:rsid w:val="00205D29"/>
    <w:rsid w:val="00205D82"/>
    <w:rsid w:val="00205F40"/>
    <w:rsid w:val="00205F99"/>
    <w:rsid w:val="00206B0D"/>
    <w:rsid w:val="00206ED7"/>
    <w:rsid w:val="00207134"/>
    <w:rsid w:val="00207425"/>
    <w:rsid w:val="0020767D"/>
    <w:rsid w:val="002076FD"/>
    <w:rsid w:val="00207C2E"/>
    <w:rsid w:val="00207D0D"/>
    <w:rsid w:val="00207DBF"/>
    <w:rsid w:val="00207F51"/>
    <w:rsid w:val="0021033D"/>
    <w:rsid w:val="00210393"/>
    <w:rsid w:val="002104C3"/>
    <w:rsid w:val="00210978"/>
    <w:rsid w:val="00210980"/>
    <w:rsid w:val="00210DDA"/>
    <w:rsid w:val="0021123A"/>
    <w:rsid w:val="002112BF"/>
    <w:rsid w:val="002115B5"/>
    <w:rsid w:val="00211941"/>
    <w:rsid w:val="00211AC8"/>
    <w:rsid w:val="00211E85"/>
    <w:rsid w:val="002120CD"/>
    <w:rsid w:val="002120F2"/>
    <w:rsid w:val="002123AC"/>
    <w:rsid w:val="0021393D"/>
    <w:rsid w:val="00213C25"/>
    <w:rsid w:val="00213F9F"/>
    <w:rsid w:val="00213FE1"/>
    <w:rsid w:val="002144E7"/>
    <w:rsid w:val="002144F9"/>
    <w:rsid w:val="00214828"/>
    <w:rsid w:val="00214892"/>
    <w:rsid w:val="00214A6E"/>
    <w:rsid w:val="00214C96"/>
    <w:rsid w:val="00214E9D"/>
    <w:rsid w:val="002157EE"/>
    <w:rsid w:val="002159E5"/>
    <w:rsid w:val="00215E71"/>
    <w:rsid w:val="00215F0A"/>
    <w:rsid w:val="002163DD"/>
    <w:rsid w:val="002163E5"/>
    <w:rsid w:val="002164E4"/>
    <w:rsid w:val="002165C0"/>
    <w:rsid w:val="002165F0"/>
    <w:rsid w:val="0021663E"/>
    <w:rsid w:val="00216917"/>
    <w:rsid w:val="00216EC7"/>
    <w:rsid w:val="00216FBA"/>
    <w:rsid w:val="002170B9"/>
    <w:rsid w:val="002173BA"/>
    <w:rsid w:val="0021748E"/>
    <w:rsid w:val="00217536"/>
    <w:rsid w:val="0021759C"/>
    <w:rsid w:val="00217A0F"/>
    <w:rsid w:val="00217ACA"/>
    <w:rsid w:val="00217C86"/>
    <w:rsid w:val="0022001D"/>
    <w:rsid w:val="00220128"/>
    <w:rsid w:val="002207A1"/>
    <w:rsid w:val="002208AB"/>
    <w:rsid w:val="00220B59"/>
    <w:rsid w:val="00220BA3"/>
    <w:rsid w:val="00220CB1"/>
    <w:rsid w:val="00221400"/>
    <w:rsid w:val="00221D8F"/>
    <w:rsid w:val="00222064"/>
    <w:rsid w:val="002220A3"/>
    <w:rsid w:val="00222B48"/>
    <w:rsid w:val="00222CAF"/>
    <w:rsid w:val="002230DA"/>
    <w:rsid w:val="00223953"/>
    <w:rsid w:val="00223B35"/>
    <w:rsid w:val="00223B36"/>
    <w:rsid w:val="0022401B"/>
    <w:rsid w:val="002243CD"/>
    <w:rsid w:val="00224508"/>
    <w:rsid w:val="00224642"/>
    <w:rsid w:val="002247B0"/>
    <w:rsid w:val="00225468"/>
    <w:rsid w:val="0022551B"/>
    <w:rsid w:val="002256B4"/>
    <w:rsid w:val="00225D2B"/>
    <w:rsid w:val="00225E03"/>
    <w:rsid w:val="00226026"/>
    <w:rsid w:val="00226078"/>
    <w:rsid w:val="002260C9"/>
    <w:rsid w:val="002261BE"/>
    <w:rsid w:val="00226451"/>
    <w:rsid w:val="00226725"/>
    <w:rsid w:val="00226909"/>
    <w:rsid w:val="002269C9"/>
    <w:rsid w:val="00226F6F"/>
    <w:rsid w:val="002272DB"/>
    <w:rsid w:val="00227597"/>
    <w:rsid w:val="002275DE"/>
    <w:rsid w:val="0022789D"/>
    <w:rsid w:val="002279FD"/>
    <w:rsid w:val="00227A50"/>
    <w:rsid w:val="00227ACB"/>
    <w:rsid w:val="00227B4A"/>
    <w:rsid w:val="00227DB2"/>
    <w:rsid w:val="00227F16"/>
    <w:rsid w:val="002306BF"/>
    <w:rsid w:val="00230ED1"/>
    <w:rsid w:val="00230FEB"/>
    <w:rsid w:val="00231275"/>
    <w:rsid w:val="0023164D"/>
    <w:rsid w:val="00231BE6"/>
    <w:rsid w:val="0023203D"/>
    <w:rsid w:val="00232BDE"/>
    <w:rsid w:val="00232F36"/>
    <w:rsid w:val="00233374"/>
    <w:rsid w:val="002334A5"/>
    <w:rsid w:val="00233953"/>
    <w:rsid w:val="00233A99"/>
    <w:rsid w:val="00233F30"/>
    <w:rsid w:val="00234239"/>
    <w:rsid w:val="002344AB"/>
    <w:rsid w:val="0023467D"/>
    <w:rsid w:val="002346CD"/>
    <w:rsid w:val="002349D2"/>
    <w:rsid w:val="00234FC9"/>
    <w:rsid w:val="002351AF"/>
    <w:rsid w:val="00235236"/>
    <w:rsid w:val="00235DAB"/>
    <w:rsid w:val="00235DDF"/>
    <w:rsid w:val="0023613D"/>
    <w:rsid w:val="00236153"/>
    <w:rsid w:val="002365A2"/>
    <w:rsid w:val="00236778"/>
    <w:rsid w:val="00236962"/>
    <w:rsid w:val="0023696D"/>
    <w:rsid w:val="00236BF4"/>
    <w:rsid w:val="00236CBE"/>
    <w:rsid w:val="00236D0B"/>
    <w:rsid w:val="00236DC1"/>
    <w:rsid w:val="0023777A"/>
    <w:rsid w:val="002377DF"/>
    <w:rsid w:val="00237CCA"/>
    <w:rsid w:val="00237D94"/>
    <w:rsid w:val="00237E04"/>
    <w:rsid w:val="00237E69"/>
    <w:rsid w:val="0024031A"/>
    <w:rsid w:val="00240992"/>
    <w:rsid w:val="00240B7C"/>
    <w:rsid w:val="00240B87"/>
    <w:rsid w:val="00240C97"/>
    <w:rsid w:val="00240F12"/>
    <w:rsid w:val="002410CC"/>
    <w:rsid w:val="00241B36"/>
    <w:rsid w:val="0024214F"/>
    <w:rsid w:val="0024233D"/>
    <w:rsid w:val="002423CB"/>
    <w:rsid w:val="00242413"/>
    <w:rsid w:val="00242525"/>
    <w:rsid w:val="00242C23"/>
    <w:rsid w:val="00242D56"/>
    <w:rsid w:val="00242E44"/>
    <w:rsid w:val="00242E7E"/>
    <w:rsid w:val="00243234"/>
    <w:rsid w:val="0024332C"/>
    <w:rsid w:val="002433A2"/>
    <w:rsid w:val="002435C2"/>
    <w:rsid w:val="002438DB"/>
    <w:rsid w:val="002439E7"/>
    <w:rsid w:val="00243AE0"/>
    <w:rsid w:val="00243B53"/>
    <w:rsid w:val="00243D4E"/>
    <w:rsid w:val="002442DE"/>
    <w:rsid w:val="00244385"/>
    <w:rsid w:val="002443F0"/>
    <w:rsid w:val="0024444E"/>
    <w:rsid w:val="00244704"/>
    <w:rsid w:val="00244A14"/>
    <w:rsid w:val="00244A52"/>
    <w:rsid w:val="00244CA8"/>
    <w:rsid w:val="00245103"/>
    <w:rsid w:val="0024522A"/>
    <w:rsid w:val="00245303"/>
    <w:rsid w:val="00245328"/>
    <w:rsid w:val="0024558E"/>
    <w:rsid w:val="0024576A"/>
    <w:rsid w:val="002459BC"/>
    <w:rsid w:val="00245A4C"/>
    <w:rsid w:val="00245C6A"/>
    <w:rsid w:val="00245D04"/>
    <w:rsid w:val="00245DCC"/>
    <w:rsid w:val="0024605F"/>
    <w:rsid w:val="002461C7"/>
    <w:rsid w:val="00246677"/>
    <w:rsid w:val="00246ABE"/>
    <w:rsid w:val="00246C06"/>
    <w:rsid w:val="00246DB4"/>
    <w:rsid w:val="00246E2F"/>
    <w:rsid w:val="00246F1C"/>
    <w:rsid w:val="00247238"/>
    <w:rsid w:val="002474DE"/>
    <w:rsid w:val="00247519"/>
    <w:rsid w:val="00247760"/>
    <w:rsid w:val="00247B74"/>
    <w:rsid w:val="00247BA5"/>
    <w:rsid w:val="0025008F"/>
    <w:rsid w:val="002505B8"/>
    <w:rsid w:val="00250640"/>
    <w:rsid w:val="0025068D"/>
    <w:rsid w:val="00250ADC"/>
    <w:rsid w:val="00250CBB"/>
    <w:rsid w:val="00250E7B"/>
    <w:rsid w:val="00251613"/>
    <w:rsid w:val="00251DE5"/>
    <w:rsid w:val="00251E46"/>
    <w:rsid w:val="002522D1"/>
    <w:rsid w:val="002523AC"/>
    <w:rsid w:val="002525C4"/>
    <w:rsid w:val="00252A77"/>
    <w:rsid w:val="00252C9A"/>
    <w:rsid w:val="00254549"/>
    <w:rsid w:val="00254AE9"/>
    <w:rsid w:val="00254EA0"/>
    <w:rsid w:val="0025521E"/>
    <w:rsid w:val="002553E3"/>
    <w:rsid w:val="00255618"/>
    <w:rsid w:val="0025571E"/>
    <w:rsid w:val="00255998"/>
    <w:rsid w:val="00255B50"/>
    <w:rsid w:val="00255D5D"/>
    <w:rsid w:val="00255E99"/>
    <w:rsid w:val="00256000"/>
    <w:rsid w:val="00256472"/>
    <w:rsid w:val="00256941"/>
    <w:rsid w:val="00256978"/>
    <w:rsid w:val="00257198"/>
    <w:rsid w:val="00257368"/>
    <w:rsid w:val="002576AD"/>
    <w:rsid w:val="00257A8D"/>
    <w:rsid w:val="00257C2E"/>
    <w:rsid w:val="00257CF2"/>
    <w:rsid w:val="00257ECF"/>
    <w:rsid w:val="002600E7"/>
    <w:rsid w:val="00260376"/>
    <w:rsid w:val="00260EC5"/>
    <w:rsid w:val="00260ED8"/>
    <w:rsid w:val="00261262"/>
    <w:rsid w:val="0026144A"/>
    <w:rsid w:val="00261586"/>
    <w:rsid w:val="002618E3"/>
    <w:rsid w:val="00262173"/>
    <w:rsid w:val="0026224C"/>
    <w:rsid w:val="0026286A"/>
    <w:rsid w:val="00262B76"/>
    <w:rsid w:val="00262BC0"/>
    <w:rsid w:val="00262BF7"/>
    <w:rsid w:val="00262D1B"/>
    <w:rsid w:val="00262D8C"/>
    <w:rsid w:val="002636AE"/>
    <w:rsid w:val="002639F4"/>
    <w:rsid w:val="00263D4A"/>
    <w:rsid w:val="00264183"/>
    <w:rsid w:val="002641B3"/>
    <w:rsid w:val="002642D7"/>
    <w:rsid w:val="0026495E"/>
    <w:rsid w:val="002649E0"/>
    <w:rsid w:val="00264A55"/>
    <w:rsid w:val="00264EFC"/>
    <w:rsid w:val="0026524C"/>
    <w:rsid w:val="002652C6"/>
    <w:rsid w:val="00265321"/>
    <w:rsid w:val="00265584"/>
    <w:rsid w:val="002659BC"/>
    <w:rsid w:val="00265B8A"/>
    <w:rsid w:val="00266411"/>
    <w:rsid w:val="00266424"/>
    <w:rsid w:val="0026670C"/>
    <w:rsid w:val="00266943"/>
    <w:rsid w:val="00267147"/>
    <w:rsid w:val="00267A23"/>
    <w:rsid w:val="00267BDB"/>
    <w:rsid w:val="0027021E"/>
    <w:rsid w:val="002706E0"/>
    <w:rsid w:val="002707CB"/>
    <w:rsid w:val="00271280"/>
    <w:rsid w:val="002718E2"/>
    <w:rsid w:val="00271971"/>
    <w:rsid w:val="00272025"/>
    <w:rsid w:val="00272694"/>
    <w:rsid w:val="002727F9"/>
    <w:rsid w:val="00272A7C"/>
    <w:rsid w:val="00272D7E"/>
    <w:rsid w:val="00272DD5"/>
    <w:rsid w:val="002734D1"/>
    <w:rsid w:val="00273577"/>
    <w:rsid w:val="0027396B"/>
    <w:rsid w:val="00273C03"/>
    <w:rsid w:val="00273CF6"/>
    <w:rsid w:val="00273D38"/>
    <w:rsid w:val="00273FE3"/>
    <w:rsid w:val="002747E3"/>
    <w:rsid w:val="002749DA"/>
    <w:rsid w:val="00274BA7"/>
    <w:rsid w:val="00274BAA"/>
    <w:rsid w:val="00274C25"/>
    <w:rsid w:val="002750AB"/>
    <w:rsid w:val="00275603"/>
    <w:rsid w:val="00275AB6"/>
    <w:rsid w:val="00275ABC"/>
    <w:rsid w:val="00275E4A"/>
    <w:rsid w:val="00276047"/>
    <w:rsid w:val="00276205"/>
    <w:rsid w:val="00276482"/>
    <w:rsid w:val="00276563"/>
    <w:rsid w:val="00276921"/>
    <w:rsid w:val="00276A24"/>
    <w:rsid w:val="00276B69"/>
    <w:rsid w:val="00276CFE"/>
    <w:rsid w:val="002770F0"/>
    <w:rsid w:val="0027763C"/>
    <w:rsid w:val="00277A2B"/>
    <w:rsid w:val="00277D5F"/>
    <w:rsid w:val="00280551"/>
    <w:rsid w:val="002805F0"/>
    <w:rsid w:val="002807BB"/>
    <w:rsid w:val="002808A7"/>
    <w:rsid w:val="00280911"/>
    <w:rsid w:val="00280BDC"/>
    <w:rsid w:val="00280F28"/>
    <w:rsid w:val="00280FA9"/>
    <w:rsid w:val="00281043"/>
    <w:rsid w:val="002812AD"/>
    <w:rsid w:val="0028145D"/>
    <w:rsid w:val="00281666"/>
    <w:rsid w:val="00281C68"/>
    <w:rsid w:val="00281CE2"/>
    <w:rsid w:val="00282613"/>
    <w:rsid w:val="002828BC"/>
    <w:rsid w:val="0028291F"/>
    <w:rsid w:val="00282A02"/>
    <w:rsid w:val="00282EDD"/>
    <w:rsid w:val="00282F8D"/>
    <w:rsid w:val="0028356E"/>
    <w:rsid w:val="00283873"/>
    <w:rsid w:val="00283C7C"/>
    <w:rsid w:val="002844A1"/>
    <w:rsid w:val="00284C29"/>
    <w:rsid w:val="00284F0E"/>
    <w:rsid w:val="00284FE5"/>
    <w:rsid w:val="00285068"/>
    <w:rsid w:val="00285277"/>
    <w:rsid w:val="0028594C"/>
    <w:rsid w:val="002859F0"/>
    <w:rsid w:val="00286603"/>
    <w:rsid w:val="00286776"/>
    <w:rsid w:val="00286A82"/>
    <w:rsid w:val="00286E96"/>
    <w:rsid w:val="00286F92"/>
    <w:rsid w:val="0028760D"/>
    <w:rsid w:val="00287ADF"/>
    <w:rsid w:val="00287BC6"/>
    <w:rsid w:val="00290359"/>
    <w:rsid w:val="00290521"/>
    <w:rsid w:val="00290736"/>
    <w:rsid w:val="002908A3"/>
    <w:rsid w:val="00290912"/>
    <w:rsid w:val="00290A3A"/>
    <w:rsid w:val="00291930"/>
    <w:rsid w:val="00291B20"/>
    <w:rsid w:val="00291E8B"/>
    <w:rsid w:val="00292023"/>
    <w:rsid w:val="00292061"/>
    <w:rsid w:val="002922E6"/>
    <w:rsid w:val="002923EA"/>
    <w:rsid w:val="002925C1"/>
    <w:rsid w:val="002926CE"/>
    <w:rsid w:val="00292795"/>
    <w:rsid w:val="002928A7"/>
    <w:rsid w:val="0029293E"/>
    <w:rsid w:val="00292B08"/>
    <w:rsid w:val="00292B83"/>
    <w:rsid w:val="00292C9A"/>
    <w:rsid w:val="00292EE6"/>
    <w:rsid w:val="002932F4"/>
    <w:rsid w:val="00293D72"/>
    <w:rsid w:val="00294335"/>
    <w:rsid w:val="002943A5"/>
    <w:rsid w:val="002943E9"/>
    <w:rsid w:val="0029441D"/>
    <w:rsid w:val="00294B98"/>
    <w:rsid w:val="00294C96"/>
    <w:rsid w:val="00294EB9"/>
    <w:rsid w:val="00295365"/>
    <w:rsid w:val="0029556D"/>
    <w:rsid w:val="00295745"/>
    <w:rsid w:val="002957CE"/>
    <w:rsid w:val="0029595F"/>
    <w:rsid w:val="00295A74"/>
    <w:rsid w:val="002963FC"/>
    <w:rsid w:val="00296770"/>
    <w:rsid w:val="00296A1A"/>
    <w:rsid w:val="002970C3"/>
    <w:rsid w:val="002970D6"/>
    <w:rsid w:val="0029712B"/>
    <w:rsid w:val="002971DF"/>
    <w:rsid w:val="002974B6"/>
    <w:rsid w:val="00297848"/>
    <w:rsid w:val="002978DF"/>
    <w:rsid w:val="00297D1E"/>
    <w:rsid w:val="00297E6F"/>
    <w:rsid w:val="002A00E5"/>
    <w:rsid w:val="002A0153"/>
    <w:rsid w:val="002A01FE"/>
    <w:rsid w:val="002A030E"/>
    <w:rsid w:val="002A0376"/>
    <w:rsid w:val="002A0541"/>
    <w:rsid w:val="002A07F2"/>
    <w:rsid w:val="002A0995"/>
    <w:rsid w:val="002A0EC7"/>
    <w:rsid w:val="002A10C6"/>
    <w:rsid w:val="002A11E8"/>
    <w:rsid w:val="002A12B9"/>
    <w:rsid w:val="002A1468"/>
    <w:rsid w:val="002A14C6"/>
    <w:rsid w:val="002A14F0"/>
    <w:rsid w:val="002A15C6"/>
    <w:rsid w:val="002A1862"/>
    <w:rsid w:val="002A1A39"/>
    <w:rsid w:val="002A1B40"/>
    <w:rsid w:val="002A1BF4"/>
    <w:rsid w:val="002A24EF"/>
    <w:rsid w:val="002A255A"/>
    <w:rsid w:val="002A2945"/>
    <w:rsid w:val="002A2CEC"/>
    <w:rsid w:val="002A2DF9"/>
    <w:rsid w:val="002A343B"/>
    <w:rsid w:val="002A3B9A"/>
    <w:rsid w:val="002A4120"/>
    <w:rsid w:val="002A43C1"/>
    <w:rsid w:val="002A4458"/>
    <w:rsid w:val="002A4676"/>
    <w:rsid w:val="002A46F2"/>
    <w:rsid w:val="002A47AF"/>
    <w:rsid w:val="002A4A6D"/>
    <w:rsid w:val="002A4E4A"/>
    <w:rsid w:val="002A5638"/>
    <w:rsid w:val="002A5C97"/>
    <w:rsid w:val="002A6350"/>
    <w:rsid w:val="002A65F7"/>
    <w:rsid w:val="002A66C9"/>
    <w:rsid w:val="002A689D"/>
    <w:rsid w:val="002A6A41"/>
    <w:rsid w:val="002A6A71"/>
    <w:rsid w:val="002A6ADF"/>
    <w:rsid w:val="002A6B32"/>
    <w:rsid w:val="002A6C62"/>
    <w:rsid w:val="002A6FD0"/>
    <w:rsid w:val="002A72CD"/>
    <w:rsid w:val="002A74FF"/>
    <w:rsid w:val="002A763A"/>
    <w:rsid w:val="002A7850"/>
    <w:rsid w:val="002A7889"/>
    <w:rsid w:val="002A7AF3"/>
    <w:rsid w:val="002A7D26"/>
    <w:rsid w:val="002B0591"/>
    <w:rsid w:val="002B0BE2"/>
    <w:rsid w:val="002B0BF9"/>
    <w:rsid w:val="002B10A3"/>
    <w:rsid w:val="002B1293"/>
    <w:rsid w:val="002B132E"/>
    <w:rsid w:val="002B1388"/>
    <w:rsid w:val="002B163C"/>
    <w:rsid w:val="002B16F5"/>
    <w:rsid w:val="002B1832"/>
    <w:rsid w:val="002B1929"/>
    <w:rsid w:val="002B1EA8"/>
    <w:rsid w:val="002B2162"/>
    <w:rsid w:val="002B2321"/>
    <w:rsid w:val="002B2398"/>
    <w:rsid w:val="002B283E"/>
    <w:rsid w:val="002B2C29"/>
    <w:rsid w:val="002B31AC"/>
    <w:rsid w:val="002B327D"/>
    <w:rsid w:val="002B33FA"/>
    <w:rsid w:val="002B3638"/>
    <w:rsid w:val="002B37A1"/>
    <w:rsid w:val="002B37DB"/>
    <w:rsid w:val="002B3B9B"/>
    <w:rsid w:val="002B3CCE"/>
    <w:rsid w:val="002B3D43"/>
    <w:rsid w:val="002B403F"/>
    <w:rsid w:val="002B4167"/>
    <w:rsid w:val="002B41A9"/>
    <w:rsid w:val="002B439F"/>
    <w:rsid w:val="002B464C"/>
    <w:rsid w:val="002B49C9"/>
    <w:rsid w:val="002B4BA8"/>
    <w:rsid w:val="002B4D97"/>
    <w:rsid w:val="002B4F92"/>
    <w:rsid w:val="002B50A9"/>
    <w:rsid w:val="002B5790"/>
    <w:rsid w:val="002B59D8"/>
    <w:rsid w:val="002B5C8E"/>
    <w:rsid w:val="002B5F9A"/>
    <w:rsid w:val="002B6019"/>
    <w:rsid w:val="002B69C3"/>
    <w:rsid w:val="002B6EB1"/>
    <w:rsid w:val="002B6EE7"/>
    <w:rsid w:val="002B7004"/>
    <w:rsid w:val="002B721F"/>
    <w:rsid w:val="002B7F37"/>
    <w:rsid w:val="002B7FAA"/>
    <w:rsid w:val="002C07C5"/>
    <w:rsid w:val="002C0CEB"/>
    <w:rsid w:val="002C1707"/>
    <w:rsid w:val="002C18C3"/>
    <w:rsid w:val="002C1D55"/>
    <w:rsid w:val="002C1E2D"/>
    <w:rsid w:val="002C1EDF"/>
    <w:rsid w:val="002C264E"/>
    <w:rsid w:val="002C2893"/>
    <w:rsid w:val="002C29F9"/>
    <w:rsid w:val="002C2B8F"/>
    <w:rsid w:val="002C3224"/>
    <w:rsid w:val="002C3432"/>
    <w:rsid w:val="002C3577"/>
    <w:rsid w:val="002C38B7"/>
    <w:rsid w:val="002C405F"/>
    <w:rsid w:val="002C41AA"/>
    <w:rsid w:val="002C4413"/>
    <w:rsid w:val="002C4651"/>
    <w:rsid w:val="002C466E"/>
    <w:rsid w:val="002C4760"/>
    <w:rsid w:val="002C4A21"/>
    <w:rsid w:val="002C4CC6"/>
    <w:rsid w:val="002C515E"/>
    <w:rsid w:val="002C525D"/>
    <w:rsid w:val="002C5687"/>
    <w:rsid w:val="002C5935"/>
    <w:rsid w:val="002C5D63"/>
    <w:rsid w:val="002C5D9C"/>
    <w:rsid w:val="002C5DE1"/>
    <w:rsid w:val="002C5F97"/>
    <w:rsid w:val="002C60F9"/>
    <w:rsid w:val="002C6263"/>
    <w:rsid w:val="002C67C1"/>
    <w:rsid w:val="002C6879"/>
    <w:rsid w:val="002C6FFD"/>
    <w:rsid w:val="002C74AE"/>
    <w:rsid w:val="002C7850"/>
    <w:rsid w:val="002C796C"/>
    <w:rsid w:val="002C7C0D"/>
    <w:rsid w:val="002D002D"/>
    <w:rsid w:val="002D0041"/>
    <w:rsid w:val="002D0421"/>
    <w:rsid w:val="002D06BF"/>
    <w:rsid w:val="002D0767"/>
    <w:rsid w:val="002D0AD9"/>
    <w:rsid w:val="002D0B8A"/>
    <w:rsid w:val="002D0D21"/>
    <w:rsid w:val="002D0EB9"/>
    <w:rsid w:val="002D0F4A"/>
    <w:rsid w:val="002D11D5"/>
    <w:rsid w:val="002D150F"/>
    <w:rsid w:val="002D1880"/>
    <w:rsid w:val="002D1898"/>
    <w:rsid w:val="002D19A5"/>
    <w:rsid w:val="002D19C6"/>
    <w:rsid w:val="002D1A83"/>
    <w:rsid w:val="002D22C7"/>
    <w:rsid w:val="002D2468"/>
    <w:rsid w:val="002D2747"/>
    <w:rsid w:val="002D2B4F"/>
    <w:rsid w:val="002D2C68"/>
    <w:rsid w:val="002D2EF0"/>
    <w:rsid w:val="002D2FDD"/>
    <w:rsid w:val="002D3177"/>
    <w:rsid w:val="002D38B2"/>
    <w:rsid w:val="002D3979"/>
    <w:rsid w:val="002D3E00"/>
    <w:rsid w:val="002D4129"/>
    <w:rsid w:val="002D48F5"/>
    <w:rsid w:val="002D5679"/>
    <w:rsid w:val="002D589A"/>
    <w:rsid w:val="002D58D1"/>
    <w:rsid w:val="002D59F8"/>
    <w:rsid w:val="002D6645"/>
    <w:rsid w:val="002D666B"/>
    <w:rsid w:val="002D68B1"/>
    <w:rsid w:val="002D69B8"/>
    <w:rsid w:val="002D6AF8"/>
    <w:rsid w:val="002D6B58"/>
    <w:rsid w:val="002D6C05"/>
    <w:rsid w:val="002D6D4D"/>
    <w:rsid w:val="002D6F74"/>
    <w:rsid w:val="002D730D"/>
    <w:rsid w:val="002D74E9"/>
    <w:rsid w:val="002D772C"/>
    <w:rsid w:val="002D776F"/>
    <w:rsid w:val="002E02C6"/>
    <w:rsid w:val="002E04B4"/>
    <w:rsid w:val="002E087C"/>
    <w:rsid w:val="002E09AC"/>
    <w:rsid w:val="002E0C2B"/>
    <w:rsid w:val="002E0D2A"/>
    <w:rsid w:val="002E1090"/>
    <w:rsid w:val="002E1235"/>
    <w:rsid w:val="002E14BB"/>
    <w:rsid w:val="002E179A"/>
    <w:rsid w:val="002E1DA8"/>
    <w:rsid w:val="002E2041"/>
    <w:rsid w:val="002E2221"/>
    <w:rsid w:val="002E26C5"/>
    <w:rsid w:val="002E3B52"/>
    <w:rsid w:val="002E3C05"/>
    <w:rsid w:val="002E4340"/>
    <w:rsid w:val="002E4773"/>
    <w:rsid w:val="002E4832"/>
    <w:rsid w:val="002E4939"/>
    <w:rsid w:val="002E4D52"/>
    <w:rsid w:val="002E4F1E"/>
    <w:rsid w:val="002E4F93"/>
    <w:rsid w:val="002E5202"/>
    <w:rsid w:val="002E57C7"/>
    <w:rsid w:val="002E58DF"/>
    <w:rsid w:val="002E59B8"/>
    <w:rsid w:val="002E5A2B"/>
    <w:rsid w:val="002E5BAD"/>
    <w:rsid w:val="002E5DB6"/>
    <w:rsid w:val="002E5ECD"/>
    <w:rsid w:val="002E5F0D"/>
    <w:rsid w:val="002E5F20"/>
    <w:rsid w:val="002E60D7"/>
    <w:rsid w:val="002E618E"/>
    <w:rsid w:val="002E63C9"/>
    <w:rsid w:val="002E64F2"/>
    <w:rsid w:val="002E6B7D"/>
    <w:rsid w:val="002E6D00"/>
    <w:rsid w:val="002E6E89"/>
    <w:rsid w:val="002E7230"/>
    <w:rsid w:val="002E7671"/>
    <w:rsid w:val="002E79AB"/>
    <w:rsid w:val="002F000A"/>
    <w:rsid w:val="002F04FC"/>
    <w:rsid w:val="002F0527"/>
    <w:rsid w:val="002F0761"/>
    <w:rsid w:val="002F09D1"/>
    <w:rsid w:val="002F0D1D"/>
    <w:rsid w:val="002F0E26"/>
    <w:rsid w:val="002F125B"/>
    <w:rsid w:val="002F1289"/>
    <w:rsid w:val="002F17A1"/>
    <w:rsid w:val="002F1A80"/>
    <w:rsid w:val="002F1DCA"/>
    <w:rsid w:val="002F1E92"/>
    <w:rsid w:val="002F24BC"/>
    <w:rsid w:val="002F2811"/>
    <w:rsid w:val="002F2F54"/>
    <w:rsid w:val="002F3132"/>
    <w:rsid w:val="002F3381"/>
    <w:rsid w:val="002F37EC"/>
    <w:rsid w:val="002F38FD"/>
    <w:rsid w:val="002F3A6E"/>
    <w:rsid w:val="002F3B1F"/>
    <w:rsid w:val="002F3B47"/>
    <w:rsid w:val="002F3E23"/>
    <w:rsid w:val="002F4050"/>
    <w:rsid w:val="002F4078"/>
    <w:rsid w:val="002F40C9"/>
    <w:rsid w:val="002F40F2"/>
    <w:rsid w:val="002F42CA"/>
    <w:rsid w:val="002F42FE"/>
    <w:rsid w:val="002F43A9"/>
    <w:rsid w:val="002F4B55"/>
    <w:rsid w:val="002F4B77"/>
    <w:rsid w:val="002F51B3"/>
    <w:rsid w:val="002F538D"/>
    <w:rsid w:val="002F5AA7"/>
    <w:rsid w:val="002F5CE5"/>
    <w:rsid w:val="002F64C0"/>
    <w:rsid w:val="002F6683"/>
    <w:rsid w:val="002F681A"/>
    <w:rsid w:val="002F6D13"/>
    <w:rsid w:val="002F6E77"/>
    <w:rsid w:val="002F6F24"/>
    <w:rsid w:val="002F723D"/>
    <w:rsid w:val="002F7BB3"/>
    <w:rsid w:val="002F7BBD"/>
    <w:rsid w:val="003001A0"/>
    <w:rsid w:val="0030048E"/>
    <w:rsid w:val="00300713"/>
    <w:rsid w:val="003007B0"/>
    <w:rsid w:val="00300871"/>
    <w:rsid w:val="0030095E"/>
    <w:rsid w:val="00300A65"/>
    <w:rsid w:val="00300DEB"/>
    <w:rsid w:val="00301134"/>
    <w:rsid w:val="003011B7"/>
    <w:rsid w:val="00301319"/>
    <w:rsid w:val="00301664"/>
    <w:rsid w:val="003017C5"/>
    <w:rsid w:val="00302038"/>
    <w:rsid w:val="0030227D"/>
    <w:rsid w:val="00302319"/>
    <w:rsid w:val="00302356"/>
    <w:rsid w:val="003025CF"/>
    <w:rsid w:val="00302790"/>
    <w:rsid w:val="00302C57"/>
    <w:rsid w:val="0030337D"/>
    <w:rsid w:val="00303CD8"/>
    <w:rsid w:val="00303E0A"/>
    <w:rsid w:val="00304013"/>
    <w:rsid w:val="00304025"/>
    <w:rsid w:val="00304E3F"/>
    <w:rsid w:val="00304E71"/>
    <w:rsid w:val="00305178"/>
    <w:rsid w:val="0030517B"/>
    <w:rsid w:val="003051CA"/>
    <w:rsid w:val="003051F7"/>
    <w:rsid w:val="003053F1"/>
    <w:rsid w:val="0030554D"/>
    <w:rsid w:val="00305AD4"/>
    <w:rsid w:val="00305B9A"/>
    <w:rsid w:val="00305C23"/>
    <w:rsid w:val="00305C3F"/>
    <w:rsid w:val="00305F0E"/>
    <w:rsid w:val="00305F22"/>
    <w:rsid w:val="0030649C"/>
    <w:rsid w:val="0030688F"/>
    <w:rsid w:val="003069EA"/>
    <w:rsid w:val="00306CEC"/>
    <w:rsid w:val="00306D62"/>
    <w:rsid w:val="00306DFB"/>
    <w:rsid w:val="00306FBD"/>
    <w:rsid w:val="00307162"/>
    <w:rsid w:val="0030788A"/>
    <w:rsid w:val="00307B4C"/>
    <w:rsid w:val="003101CD"/>
    <w:rsid w:val="0031050A"/>
    <w:rsid w:val="003108E1"/>
    <w:rsid w:val="00310FC4"/>
    <w:rsid w:val="00311137"/>
    <w:rsid w:val="003113E5"/>
    <w:rsid w:val="0031152A"/>
    <w:rsid w:val="00311F8C"/>
    <w:rsid w:val="00312246"/>
    <w:rsid w:val="003123A0"/>
    <w:rsid w:val="0031251F"/>
    <w:rsid w:val="0031289D"/>
    <w:rsid w:val="0031292A"/>
    <w:rsid w:val="00312CCB"/>
    <w:rsid w:val="00312D90"/>
    <w:rsid w:val="0031302D"/>
    <w:rsid w:val="003132A0"/>
    <w:rsid w:val="0031361C"/>
    <w:rsid w:val="003137B5"/>
    <w:rsid w:val="00313980"/>
    <w:rsid w:val="003141F0"/>
    <w:rsid w:val="003143AA"/>
    <w:rsid w:val="0031494B"/>
    <w:rsid w:val="003149ED"/>
    <w:rsid w:val="00314AC6"/>
    <w:rsid w:val="00314EAD"/>
    <w:rsid w:val="00314ECA"/>
    <w:rsid w:val="00315107"/>
    <w:rsid w:val="0031510A"/>
    <w:rsid w:val="0031517A"/>
    <w:rsid w:val="00315282"/>
    <w:rsid w:val="00315923"/>
    <w:rsid w:val="00315C28"/>
    <w:rsid w:val="00315C64"/>
    <w:rsid w:val="00315E27"/>
    <w:rsid w:val="00316050"/>
    <w:rsid w:val="003160F1"/>
    <w:rsid w:val="003165A0"/>
    <w:rsid w:val="00316B1A"/>
    <w:rsid w:val="00316F88"/>
    <w:rsid w:val="0031718B"/>
    <w:rsid w:val="003174A7"/>
    <w:rsid w:val="00317617"/>
    <w:rsid w:val="0031772C"/>
    <w:rsid w:val="0031785B"/>
    <w:rsid w:val="003179A4"/>
    <w:rsid w:val="00317A54"/>
    <w:rsid w:val="00317CDF"/>
    <w:rsid w:val="00317E91"/>
    <w:rsid w:val="00320032"/>
    <w:rsid w:val="00320192"/>
    <w:rsid w:val="00320834"/>
    <w:rsid w:val="00320AB3"/>
    <w:rsid w:val="00320B05"/>
    <w:rsid w:val="00320C52"/>
    <w:rsid w:val="00320C9C"/>
    <w:rsid w:val="00321039"/>
    <w:rsid w:val="00321268"/>
    <w:rsid w:val="003213F8"/>
    <w:rsid w:val="0032220A"/>
    <w:rsid w:val="00322761"/>
    <w:rsid w:val="00322A07"/>
    <w:rsid w:val="00322A8F"/>
    <w:rsid w:val="00322CE3"/>
    <w:rsid w:val="00322E9A"/>
    <w:rsid w:val="00322EB7"/>
    <w:rsid w:val="00323119"/>
    <w:rsid w:val="0032313B"/>
    <w:rsid w:val="003231D0"/>
    <w:rsid w:val="0032323C"/>
    <w:rsid w:val="0032331E"/>
    <w:rsid w:val="0032348D"/>
    <w:rsid w:val="00323538"/>
    <w:rsid w:val="0032366F"/>
    <w:rsid w:val="00323886"/>
    <w:rsid w:val="00323A43"/>
    <w:rsid w:val="00323ADF"/>
    <w:rsid w:val="00323F0B"/>
    <w:rsid w:val="0032420F"/>
    <w:rsid w:val="003243AE"/>
    <w:rsid w:val="003243E3"/>
    <w:rsid w:val="00324451"/>
    <w:rsid w:val="0032479A"/>
    <w:rsid w:val="00324D1E"/>
    <w:rsid w:val="00325227"/>
    <w:rsid w:val="003254E2"/>
    <w:rsid w:val="003257A6"/>
    <w:rsid w:val="003257BE"/>
    <w:rsid w:val="003259BC"/>
    <w:rsid w:val="003262FD"/>
    <w:rsid w:val="003263C6"/>
    <w:rsid w:val="00326450"/>
    <w:rsid w:val="00326662"/>
    <w:rsid w:val="003266AE"/>
    <w:rsid w:val="00326E21"/>
    <w:rsid w:val="0032701D"/>
    <w:rsid w:val="0032738D"/>
    <w:rsid w:val="00327811"/>
    <w:rsid w:val="00327BC8"/>
    <w:rsid w:val="00327CF0"/>
    <w:rsid w:val="00327F57"/>
    <w:rsid w:val="00327FEF"/>
    <w:rsid w:val="003301D5"/>
    <w:rsid w:val="00330463"/>
    <w:rsid w:val="00330628"/>
    <w:rsid w:val="003308BA"/>
    <w:rsid w:val="003309CC"/>
    <w:rsid w:val="00331132"/>
    <w:rsid w:val="0033129F"/>
    <w:rsid w:val="00331452"/>
    <w:rsid w:val="003314CF"/>
    <w:rsid w:val="00331601"/>
    <w:rsid w:val="00331CFB"/>
    <w:rsid w:val="00332334"/>
    <w:rsid w:val="0033249B"/>
    <w:rsid w:val="0033289A"/>
    <w:rsid w:val="00332EF7"/>
    <w:rsid w:val="00332FF1"/>
    <w:rsid w:val="0033313E"/>
    <w:rsid w:val="0033363C"/>
    <w:rsid w:val="0033375F"/>
    <w:rsid w:val="003339FD"/>
    <w:rsid w:val="00333CC3"/>
    <w:rsid w:val="00334EE5"/>
    <w:rsid w:val="0033538B"/>
    <w:rsid w:val="00335485"/>
    <w:rsid w:val="0033555A"/>
    <w:rsid w:val="003355C7"/>
    <w:rsid w:val="00335B33"/>
    <w:rsid w:val="00335C4E"/>
    <w:rsid w:val="003365FC"/>
    <w:rsid w:val="00336627"/>
    <w:rsid w:val="0033694B"/>
    <w:rsid w:val="00336CFC"/>
    <w:rsid w:val="00336D56"/>
    <w:rsid w:val="00336D7D"/>
    <w:rsid w:val="00336EC3"/>
    <w:rsid w:val="0033709F"/>
    <w:rsid w:val="00337240"/>
    <w:rsid w:val="003375E4"/>
    <w:rsid w:val="00337C5A"/>
    <w:rsid w:val="00337F67"/>
    <w:rsid w:val="0034023C"/>
    <w:rsid w:val="00340BD4"/>
    <w:rsid w:val="00340DEE"/>
    <w:rsid w:val="003410EA"/>
    <w:rsid w:val="00341113"/>
    <w:rsid w:val="0034131F"/>
    <w:rsid w:val="003415DD"/>
    <w:rsid w:val="00341689"/>
    <w:rsid w:val="0034177C"/>
    <w:rsid w:val="0034178A"/>
    <w:rsid w:val="00341D06"/>
    <w:rsid w:val="00341DEB"/>
    <w:rsid w:val="0034224D"/>
    <w:rsid w:val="003425D1"/>
    <w:rsid w:val="003426DF"/>
    <w:rsid w:val="00343127"/>
    <w:rsid w:val="00343414"/>
    <w:rsid w:val="0034398A"/>
    <w:rsid w:val="00343C01"/>
    <w:rsid w:val="00343D46"/>
    <w:rsid w:val="00343F05"/>
    <w:rsid w:val="003447B4"/>
    <w:rsid w:val="00344B0F"/>
    <w:rsid w:val="00344D79"/>
    <w:rsid w:val="00344F33"/>
    <w:rsid w:val="003453EF"/>
    <w:rsid w:val="003457CA"/>
    <w:rsid w:val="00345892"/>
    <w:rsid w:val="0034597F"/>
    <w:rsid w:val="00345A26"/>
    <w:rsid w:val="00345DCB"/>
    <w:rsid w:val="00345E85"/>
    <w:rsid w:val="003461A9"/>
    <w:rsid w:val="00346519"/>
    <w:rsid w:val="003466E0"/>
    <w:rsid w:val="00346A05"/>
    <w:rsid w:val="00346BF1"/>
    <w:rsid w:val="00347642"/>
    <w:rsid w:val="003476B5"/>
    <w:rsid w:val="003479BB"/>
    <w:rsid w:val="00347A10"/>
    <w:rsid w:val="00347D30"/>
    <w:rsid w:val="00347E47"/>
    <w:rsid w:val="00347FBA"/>
    <w:rsid w:val="00347FBD"/>
    <w:rsid w:val="0035026C"/>
    <w:rsid w:val="003506F1"/>
    <w:rsid w:val="003508A1"/>
    <w:rsid w:val="003508B5"/>
    <w:rsid w:val="003508C7"/>
    <w:rsid w:val="00350D1E"/>
    <w:rsid w:val="0035113B"/>
    <w:rsid w:val="0035156C"/>
    <w:rsid w:val="003519F2"/>
    <w:rsid w:val="00351BF4"/>
    <w:rsid w:val="00351CEE"/>
    <w:rsid w:val="00351D1B"/>
    <w:rsid w:val="0035217A"/>
    <w:rsid w:val="003526A4"/>
    <w:rsid w:val="003528DC"/>
    <w:rsid w:val="00352A4D"/>
    <w:rsid w:val="00352A72"/>
    <w:rsid w:val="00352CED"/>
    <w:rsid w:val="00352E14"/>
    <w:rsid w:val="00353169"/>
    <w:rsid w:val="00353497"/>
    <w:rsid w:val="00353D1F"/>
    <w:rsid w:val="003541C0"/>
    <w:rsid w:val="003545AF"/>
    <w:rsid w:val="00354943"/>
    <w:rsid w:val="00355016"/>
    <w:rsid w:val="00355079"/>
    <w:rsid w:val="0035532D"/>
    <w:rsid w:val="003556AC"/>
    <w:rsid w:val="0035596C"/>
    <w:rsid w:val="00355C83"/>
    <w:rsid w:val="00355D1C"/>
    <w:rsid w:val="00355DAC"/>
    <w:rsid w:val="00355DE8"/>
    <w:rsid w:val="00356051"/>
    <w:rsid w:val="00356526"/>
    <w:rsid w:val="00356615"/>
    <w:rsid w:val="00356CFD"/>
    <w:rsid w:val="00357120"/>
    <w:rsid w:val="0035785D"/>
    <w:rsid w:val="00357B53"/>
    <w:rsid w:val="00357C23"/>
    <w:rsid w:val="00357C62"/>
    <w:rsid w:val="00357D75"/>
    <w:rsid w:val="003602DA"/>
    <w:rsid w:val="003609AE"/>
    <w:rsid w:val="00360ECA"/>
    <w:rsid w:val="003610D8"/>
    <w:rsid w:val="0036115D"/>
    <w:rsid w:val="003611B1"/>
    <w:rsid w:val="0036154D"/>
    <w:rsid w:val="003619B6"/>
    <w:rsid w:val="00361A1F"/>
    <w:rsid w:val="00362021"/>
    <w:rsid w:val="00362419"/>
    <w:rsid w:val="0036286C"/>
    <w:rsid w:val="00362932"/>
    <w:rsid w:val="003629C8"/>
    <w:rsid w:val="00362D7E"/>
    <w:rsid w:val="003638C6"/>
    <w:rsid w:val="00363A0D"/>
    <w:rsid w:val="00363F5D"/>
    <w:rsid w:val="00363FC8"/>
    <w:rsid w:val="0036418F"/>
    <w:rsid w:val="00364258"/>
    <w:rsid w:val="00364AFE"/>
    <w:rsid w:val="00364FB5"/>
    <w:rsid w:val="00365709"/>
    <w:rsid w:val="003657B0"/>
    <w:rsid w:val="00365B61"/>
    <w:rsid w:val="00365DA6"/>
    <w:rsid w:val="00365E28"/>
    <w:rsid w:val="00365EAC"/>
    <w:rsid w:val="003662A0"/>
    <w:rsid w:val="00366535"/>
    <w:rsid w:val="00366C26"/>
    <w:rsid w:val="003670C9"/>
    <w:rsid w:val="0036782D"/>
    <w:rsid w:val="00367CDB"/>
    <w:rsid w:val="0037073F"/>
    <w:rsid w:val="00370875"/>
    <w:rsid w:val="00371635"/>
    <w:rsid w:val="003719CB"/>
    <w:rsid w:val="003719D4"/>
    <w:rsid w:val="0037203F"/>
    <w:rsid w:val="00372254"/>
    <w:rsid w:val="00372411"/>
    <w:rsid w:val="003725F6"/>
    <w:rsid w:val="00372658"/>
    <w:rsid w:val="00372692"/>
    <w:rsid w:val="00372920"/>
    <w:rsid w:val="00372BFE"/>
    <w:rsid w:val="00372D1C"/>
    <w:rsid w:val="00372D66"/>
    <w:rsid w:val="00373630"/>
    <w:rsid w:val="00373D98"/>
    <w:rsid w:val="003740E2"/>
    <w:rsid w:val="00374122"/>
    <w:rsid w:val="003747E4"/>
    <w:rsid w:val="00374899"/>
    <w:rsid w:val="0037489E"/>
    <w:rsid w:val="00374A9F"/>
    <w:rsid w:val="00374C4B"/>
    <w:rsid w:val="00375212"/>
    <w:rsid w:val="003752A5"/>
    <w:rsid w:val="00375430"/>
    <w:rsid w:val="003755AC"/>
    <w:rsid w:val="00375C92"/>
    <w:rsid w:val="00375E49"/>
    <w:rsid w:val="0037621A"/>
    <w:rsid w:val="003762E6"/>
    <w:rsid w:val="003763F0"/>
    <w:rsid w:val="0037656F"/>
    <w:rsid w:val="003768CD"/>
    <w:rsid w:val="00376DBD"/>
    <w:rsid w:val="00376E02"/>
    <w:rsid w:val="003774C5"/>
    <w:rsid w:val="003777B6"/>
    <w:rsid w:val="00377AE9"/>
    <w:rsid w:val="00377C4D"/>
    <w:rsid w:val="00377D2A"/>
    <w:rsid w:val="00377FE4"/>
    <w:rsid w:val="00380163"/>
    <w:rsid w:val="00380B5B"/>
    <w:rsid w:val="00380E04"/>
    <w:rsid w:val="00380E35"/>
    <w:rsid w:val="00380EE7"/>
    <w:rsid w:val="0038148E"/>
    <w:rsid w:val="0038157B"/>
    <w:rsid w:val="00381763"/>
    <w:rsid w:val="003817DB"/>
    <w:rsid w:val="00381923"/>
    <w:rsid w:val="0038224A"/>
    <w:rsid w:val="003824FB"/>
    <w:rsid w:val="0038262B"/>
    <w:rsid w:val="0038297E"/>
    <w:rsid w:val="00382EEF"/>
    <w:rsid w:val="003836A3"/>
    <w:rsid w:val="00383B81"/>
    <w:rsid w:val="00383CCB"/>
    <w:rsid w:val="003840A1"/>
    <w:rsid w:val="003840AD"/>
    <w:rsid w:val="00384815"/>
    <w:rsid w:val="00384898"/>
    <w:rsid w:val="00384B22"/>
    <w:rsid w:val="0038511F"/>
    <w:rsid w:val="00385295"/>
    <w:rsid w:val="003855F7"/>
    <w:rsid w:val="0038597F"/>
    <w:rsid w:val="00385D77"/>
    <w:rsid w:val="00385F0C"/>
    <w:rsid w:val="003860E6"/>
    <w:rsid w:val="003864ED"/>
    <w:rsid w:val="00386CBA"/>
    <w:rsid w:val="00386EAA"/>
    <w:rsid w:val="00387660"/>
    <w:rsid w:val="003878A8"/>
    <w:rsid w:val="003878F1"/>
    <w:rsid w:val="00387ACD"/>
    <w:rsid w:val="00387D39"/>
    <w:rsid w:val="00387ED5"/>
    <w:rsid w:val="003900B6"/>
    <w:rsid w:val="00390123"/>
    <w:rsid w:val="00390425"/>
    <w:rsid w:val="00390508"/>
    <w:rsid w:val="003905A5"/>
    <w:rsid w:val="003905D0"/>
    <w:rsid w:val="00390785"/>
    <w:rsid w:val="0039088C"/>
    <w:rsid w:val="003908E5"/>
    <w:rsid w:val="00390A34"/>
    <w:rsid w:val="00390D1D"/>
    <w:rsid w:val="00390D2F"/>
    <w:rsid w:val="00391147"/>
    <w:rsid w:val="0039118D"/>
    <w:rsid w:val="003914E6"/>
    <w:rsid w:val="0039176D"/>
    <w:rsid w:val="00391A4E"/>
    <w:rsid w:val="00391DC3"/>
    <w:rsid w:val="00391F6D"/>
    <w:rsid w:val="0039217F"/>
    <w:rsid w:val="0039232E"/>
    <w:rsid w:val="003923C4"/>
    <w:rsid w:val="00392871"/>
    <w:rsid w:val="00392938"/>
    <w:rsid w:val="003929D2"/>
    <w:rsid w:val="00392E79"/>
    <w:rsid w:val="00393043"/>
    <w:rsid w:val="00393104"/>
    <w:rsid w:val="0039346C"/>
    <w:rsid w:val="003938F6"/>
    <w:rsid w:val="00393AAF"/>
    <w:rsid w:val="00393E86"/>
    <w:rsid w:val="00393F19"/>
    <w:rsid w:val="00393FD7"/>
    <w:rsid w:val="003940E5"/>
    <w:rsid w:val="003941EE"/>
    <w:rsid w:val="003943D8"/>
    <w:rsid w:val="003946E9"/>
    <w:rsid w:val="0039489C"/>
    <w:rsid w:val="00394BA8"/>
    <w:rsid w:val="0039519C"/>
    <w:rsid w:val="0039579D"/>
    <w:rsid w:val="00395A3D"/>
    <w:rsid w:val="00395DC3"/>
    <w:rsid w:val="00395EE8"/>
    <w:rsid w:val="00395F1B"/>
    <w:rsid w:val="003962C3"/>
    <w:rsid w:val="003966D5"/>
    <w:rsid w:val="0039681F"/>
    <w:rsid w:val="003968BA"/>
    <w:rsid w:val="00396AC9"/>
    <w:rsid w:val="00396D3C"/>
    <w:rsid w:val="00396DD4"/>
    <w:rsid w:val="00396EA9"/>
    <w:rsid w:val="00396EB9"/>
    <w:rsid w:val="003971C6"/>
    <w:rsid w:val="00397408"/>
    <w:rsid w:val="00397652"/>
    <w:rsid w:val="0039768A"/>
    <w:rsid w:val="0039777A"/>
    <w:rsid w:val="00397DB1"/>
    <w:rsid w:val="00397DEA"/>
    <w:rsid w:val="00397E2F"/>
    <w:rsid w:val="00397E87"/>
    <w:rsid w:val="003A027C"/>
    <w:rsid w:val="003A09B6"/>
    <w:rsid w:val="003A0AB9"/>
    <w:rsid w:val="003A0C21"/>
    <w:rsid w:val="003A0C65"/>
    <w:rsid w:val="003A0C90"/>
    <w:rsid w:val="003A0D22"/>
    <w:rsid w:val="003A1065"/>
    <w:rsid w:val="003A13F1"/>
    <w:rsid w:val="003A157A"/>
    <w:rsid w:val="003A16AF"/>
    <w:rsid w:val="003A18D5"/>
    <w:rsid w:val="003A2193"/>
    <w:rsid w:val="003A21D3"/>
    <w:rsid w:val="003A2AE6"/>
    <w:rsid w:val="003A3176"/>
    <w:rsid w:val="003A3210"/>
    <w:rsid w:val="003A3478"/>
    <w:rsid w:val="003A36FC"/>
    <w:rsid w:val="003A38E1"/>
    <w:rsid w:val="003A3A4A"/>
    <w:rsid w:val="003A3AB2"/>
    <w:rsid w:val="003A3B38"/>
    <w:rsid w:val="003A3E7D"/>
    <w:rsid w:val="003A448A"/>
    <w:rsid w:val="003A4828"/>
    <w:rsid w:val="003A4A91"/>
    <w:rsid w:val="003A4B78"/>
    <w:rsid w:val="003A4C4F"/>
    <w:rsid w:val="003A4EAF"/>
    <w:rsid w:val="003A5116"/>
    <w:rsid w:val="003A5C17"/>
    <w:rsid w:val="003A6857"/>
    <w:rsid w:val="003A6908"/>
    <w:rsid w:val="003A6B84"/>
    <w:rsid w:val="003A6E1C"/>
    <w:rsid w:val="003A7029"/>
    <w:rsid w:val="003A7768"/>
    <w:rsid w:val="003A7864"/>
    <w:rsid w:val="003A78A6"/>
    <w:rsid w:val="003A7910"/>
    <w:rsid w:val="003A79CB"/>
    <w:rsid w:val="003A7AA2"/>
    <w:rsid w:val="003A7AEE"/>
    <w:rsid w:val="003A7E11"/>
    <w:rsid w:val="003A7FA5"/>
    <w:rsid w:val="003B0152"/>
    <w:rsid w:val="003B097D"/>
    <w:rsid w:val="003B0CE7"/>
    <w:rsid w:val="003B0EBA"/>
    <w:rsid w:val="003B10AF"/>
    <w:rsid w:val="003B110D"/>
    <w:rsid w:val="003B1169"/>
    <w:rsid w:val="003B13AD"/>
    <w:rsid w:val="003B172F"/>
    <w:rsid w:val="003B1753"/>
    <w:rsid w:val="003B183D"/>
    <w:rsid w:val="003B224B"/>
    <w:rsid w:val="003B2E66"/>
    <w:rsid w:val="003B3145"/>
    <w:rsid w:val="003B333B"/>
    <w:rsid w:val="003B33C9"/>
    <w:rsid w:val="003B33F4"/>
    <w:rsid w:val="003B36B4"/>
    <w:rsid w:val="003B3DFA"/>
    <w:rsid w:val="003B3F17"/>
    <w:rsid w:val="003B3FA6"/>
    <w:rsid w:val="003B3FB1"/>
    <w:rsid w:val="003B4198"/>
    <w:rsid w:val="003B41D6"/>
    <w:rsid w:val="003B42F7"/>
    <w:rsid w:val="003B453F"/>
    <w:rsid w:val="003B4A8F"/>
    <w:rsid w:val="003B4E27"/>
    <w:rsid w:val="003B4FC4"/>
    <w:rsid w:val="003B5088"/>
    <w:rsid w:val="003B51AC"/>
    <w:rsid w:val="003B58B0"/>
    <w:rsid w:val="003B59A6"/>
    <w:rsid w:val="003B5AAE"/>
    <w:rsid w:val="003B5D14"/>
    <w:rsid w:val="003B6071"/>
    <w:rsid w:val="003B618C"/>
    <w:rsid w:val="003B63DD"/>
    <w:rsid w:val="003B6539"/>
    <w:rsid w:val="003B6A74"/>
    <w:rsid w:val="003B6EC5"/>
    <w:rsid w:val="003B72F4"/>
    <w:rsid w:val="003B7370"/>
    <w:rsid w:val="003B76CB"/>
    <w:rsid w:val="003B771F"/>
    <w:rsid w:val="003B77A0"/>
    <w:rsid w:val="003B7BF5"/>
    <w:rsid w:val="003B7C93"/>
    <w:rsid w:val="003B7D75"/>
    <w:rsid w:val="003B7EB9"/>
    <w:rsid w:val="003C01DE"/>
    <w:rsid w:val="003C0A98"/>
    <w:rsid w:val="003C0ECA"/>
    <w:rsid w:val="003C12E3"/>
    <w:rsid w:val="003C1303"/>
    <w:rsid w:val="003C137F"/>
    <w:rsid w:val="003C1442"/>
    <w:rsid w:val="003C1B9A"/>
    <w:rsid w:val="003C2B77"/>
    <w:rsid w:val="003C2C75"/>
    <w:rsid w:val="003C3CBD"/>
    <w:rsid w:val="003C3DAD"/>
    <w:rsid w:val="003C3DC8"/>
    <w:rsid w:val="003C4206"/>
    <w:rsid w:val="003C4683"/>
    <w:rsid w:val="003C4891"/>
    <w:rsid w:val="003C490A"/>
    <w:rsid w:val="003C4A65"/>
    <w:rsid w:val="003C5078"/>
    <w:rsid w:val="003C52B0"/>
    <w:rsid w:val="003C531E"/>
    <w:rsid w:val="003C546D"/>
    <w:rsid w:val="003C5498"/>
    <w:rsid w:val="003C559E"/>
    <w:rsid w:val="003C57BD"/>
    <w:rsid w:val="003C5A11"/>
    <w:rsid w:val="003C5A1A"/>
    <w:rsid w:val="003C60AC"/>
    <w:rsid w:val="003C66A9"/>
    <w:rsid w:val="003C6782"/>
    <w:rsid w:val="003C6804"/>
    <w:rsid w:val="003C6C08"/>
    <w:rsid w:val="003C6F09"/>
    <w:rsid w:val="003C707D"/>
    <w:rsid w:val="003C71C2"/>
    <w:rsid w:val="003C7639"/>
    <w:rsid w:val="003D05E1"/>
    <w:rsid w:val="003D0850"/>
    <w:rsid w:val="003D0AEF"/>
    <w:rsid w:val="003D0E6E"/>
    <w:rsid w:val="003D0E9E"/>
    <w:rsid w:val="003D0F5B"/>
    <w:rsid w:val="003D13FB"/>
    <w:rsid w:val="003D1482"/>
    <w:rsid w:val="003D155A"/>
    <w:rsid w:val="003D159B"/>
    <w:rsid w:val="003D1716"/>
    <w:rsid w:val="003D17AB"/>
    <w:rsid w:val="003D1851"/>
    <w:rsid w:val="003D1ACB"/>
    <w:rsid w:val="003D1B51"/>
    <w:rsid w:val="003D1CDE"/>
    <w:rsid w:val="003D1D77"/>
    <w:rsid w:val="003D1ED5"/>
    <w:rsid w:val="003D1F1A"/>
    <w:rsid w:val="003D2329"/>
    <w:rsid w:val="003D2357"/>
    <w:rsid w:val="003D24AD"/>
    <w:rsid w:val="003D277A"/>
    <w:rsid w:val="003D27A2"/>
    <w:rsid w:val="003D2A5C"/>
    <w:rsid w:val="003D2A93"/>
    <w:rsid w:val="003D3046"/>
    <w:rsid w:val="003D3271"/>
    <w:rsid w:val="003D39CC"/>
    <w:rsid w:val="003D3DA9"/>
    <w:rsid w:val="003D4022"/>
    <w:rsid w:val="003D4292"/>
    <w:rsid w:val="003D48E4"/>
    <w:rsid w:val="003D50CD"/>
    <w:rsid w:val="003D51C0"/>
    <w:rsid w:val="003D5405"/>
    <w:rsid w:val="003D541C"/>
    <w:rsid w:val="003D5482"/>
    <w:rsid w:val="003D54D8"/>
    <w:rsid w:val="003D558A"/>
    <w:rsid w:val="003D573F"/>
    <w:rsid w:val="003D58EE"/>
    <w:rsid w:val="003D5A85"/>
    <w:rsid w:val="003D5ACE"/>
    <w:rsid w:val="003D5FA9"/>
    <w:rsid w:val="003D606D"/>
    <w:rsid w:val="003D6372"/>
    <w:rsid w:val="003D6518"/>
    <w:rsid w:val="003D680D"/>
    <w:rsid w:val="003D6823"/>
    <w:rsid w:val="003D691F"/>
    <w:rsid w:val="003D693C"/>
    <w:rsid w:val="003D69AA"/>
    <w:rsid w:val="003D6A36"/>
    <w:rsid w:val="003D6A98"/>
    <w:rsid w:val="003D6B3E"/>
    <w:rsid w:val="003D6D71"/>
    <w:rsid w:val="003D7805"/>
    <w:rsid w:val="003D7D81"/>
    <w:rsid w:val="003E01E6"/>
    <w:rsid w:val="003E020E"/>
    <w:rsid w:val="003E029D"/>
    <w:rsid w:val="003E0311"/>
    <w:rsid w:val="003E038E"/>
    <w:rsid w:val="003E069D"/>
    <w:rsid w:val="003E0823"/>
    <w:rsid w:val="003E0AC2"/>
    <w:rsid w:val="003E0C07"/>
    <w:rsid w:val="003E13A1"/>
    <w:rsid w:val="003E1770"/>
    <w:rsid w:val="003E1A17"/>
    <w:rsid w:val="003E1AAA"/>
    <w:rsid w:val="003E1AEA"/>
    <w:rsid w:val="003E1BEC"/>
    <w:rsid w:val="003E1EE7"/>
    <w:rsid w:val="003E23DE"/>
    <w:rsid w:val="003E25D7"/>
    <w:rsid w:val="003E29B0"/>
    <w:rsid w:val="003E2A18"/>
    <w:rsid w:val="003E2BA9"/>
    <w:rsid w:val="003E3116"/>
    <w:rsid w:val="003E39E5"/>
    <w:rsid w:val="003E3FAE"/>
    <w:rsid w:val="003E477A"/>
    <w:rsid w:val="003E4B9C"/>
    <w:rsid w:val="003E4DF7"/>
    <w:rsid w:val="003E5BDF"/>
    <w:rsid w:val="003E60EB"/>
    <w:rsid w:val="003E62D6"/>
    <w:rsid w:val="003E65B8"/>
    <w:rsid w:val="003E6815"/>
    <w:rsid w:val="003E7D32"/>
    <w:rsid w:val="003E7F0F"/>
    <w:rsid w:val="003F02A0"/>
    <w:rsid w:val="003F05A1"/>
    <w:rsid w:val="003F0686"/>
    <w:rsid w:val="003F07E6"/>
    <w:rsid w:val="003F09A6"/>
    <w:rsid w:val="003F1108"/>
    <w:rsid w:val="003F15FA"/>
    <w:rsid w:val="003F16D0"/>
    <w:rsid w:val="003F1AAA"/>
    <w:rsid w:val="003F1B51"/>
    <w:rsid w:val="003F1C34"/>
    <w:rsid w:val="003F1E39"/>
    <w:rsid w:val="003F211E"/>
    <w:rsid w:val="003F21E4"/>
    <w:rsid w:val="003F2A40"/>
    <w:rsid w:val="003F2A57"/>
    <w:rsid w:val="003F2FEF"/>
    <w:rsid w:val="003F3320"/>
    <w:rsid w:val="003F38E2"/>
    <w:rsid w:val="003F3913"/>
    <w:rsid w:val="003F39C1"/>
    <w:rsid w:val="003F3A70"/>
    <w:rsid w:val="003F3A78"/>
    <w:rsid w:val="003F3EB2"/>
    <w:rsid w:val="003F404B"/>
    <w:rsid w:val="003F43DE"/>
    <w:rsid w:val="003F43FE"/>
    <w:rsid w:val="003F4BFC"/>
    <w:rsid w:val="003F57A0"/>
    <w:rsid w:val="003F5A79"/>
    <w:rsid w:val="003F5B40"/>
    <w:rsid w:val="003F5C9F"/>
    <w:rsid w:val="003F616F"/>
    <w:rsid w:val="003F6214"/>
    <w:rsid w:val="003F6386"/>
    <w:rsid w:val="003F63FA"/>
    <w:rsid w:val="003F6407"/>
    <w:rsid w:val="003F67AF"/>
    <w:rsid w:val="003F68BE"/>
    <w:rsid w:val="003F691E"/>
    <w:rsid w:val="003F69AC"/>
    <w:rsid w:val="003F6A16"/>
    <w:rsid w:val="003F6BCB"/>
    <w:rsid w:val="003F71E7"/>
    <w:rsid w:val="003F73F0"/>
    <w:rsid w:val="003F74FA"/>
    <w:rsid w:val="003F75B4"/>
    <w:rsid w:val="003F7814"/>
    <w:rsid w:val="003F79D9"/>
    <w:rsid w:val="003F7A3E"/>
    <w:rsid w:val="003F7D0F"/>
    <w:rsid w:val="003F7EBF"/>
    <w:rsid w:val="004001B0"/>
    <w:rsid w:val="00400681"/>
    <w:rsid w:val="004007D4"/>
    <w:rsid w:val="00400970"/>
    <w:rsid w:val="00400C51"/>
    <w:rsid w:val="004010F0"/>
    <w:rsid w:val="004012C2"/>
    <w:rsid w:val="0040155D"/>
    <w:rsid w:val="00401744"/>
    <w:rsid w:val="004019C5"/>
    <w:rsid w:val="00401A24"/>
    <w:rsid w:val="00401DC8"/>
    <w:rsid w:val="00401E2E"/>
    <w:rsid w:val="00401ECA"/>
    <w:rsid w:val="00401FDE"/>
    <w:rsid w:val="004020C2"/>
    <w:rsid w:val="004023E5"/>
    <w:rsid w:val="0040245B"/>
    <w:rsid w:val="00402AA5"/>
    <w:rsid w:val="00402C21"/>
    <w:rsid w:val="0040312C"/>
    <w:rsid w:val="0040334F"/>
    <w:rsid w:val="00403356"/>
    <w:rsid w:val="00403AF4"/>
    <w:rsid w:val="00403FE4"/>
    <w:rsid w:val="004040CA"/>
    <w:rsid w:val="00404533"/>
    <w:rsid w:val="0040521E"/>
    <w:rsid w:val="00405279"/>
    <w:rsid w:val="004052F5"/>
    <w:rsid w:val="00405D99"/>
    <w:rsid w:val="00405E33"/>
    <w:rsid w:val="00406E9B"/>
    <w:rsid w:val="00407370"/>
    <w:rsid w:val="00407427"/>
    <w:rsid w:val="00407730"/>
    <w:rsid w:val="0040791E"/>
    <w:rsid w:val="004079C6"/>
    <w:rsid w:val="00407BA8"/>
    <w:rsid w:val="00407C49"/>
    <w:rsid w:val="00407C4D"/>
    <w:rsid w:val="00407CF8"/>
    <w:rsid w:val="00407FEB"/>
    <w:rsid w:val="004104AF"/>
    <w:rsid w:val="00410502"/>
    <w:rsid w:val="0041059F"/>
    <w:rsid w:val="00410EC7"/>
    <w:rsid w:val="00410F71"/>
    <w:rsid w:val="00410FF1"/>
    <w:rsid w:val="00411DE0"/>
    <w:rsid w:val="0041208D"/>
    <w:rsid w:val="00412481"/>
    <w:rsid w:val="004125E5"/>
    <w:rsid w:val="00412F7D"/>
    <w:rsid w:val="004130EA"/>
    <w:rsid w:val="00413277"/>
    <w:rsid w:val="00413327"/>
    <w:rsid w:val="00413500"/>
    <w:rsid w:val="0041351A"/>
    <w:rsid w:val="00413749"/>
    <w:rsid w:val="00413BEB"/>
    <w:rsid w:val="00413C5A"/>
    <w:rsid w:val="00413F97"/>
    <w:rsid w:val="00414528"/>
    <w:rsid w:val="00414703"/>
    <w:rsid w:val="00414BAD"/>
    <w:rsid w:val="00414CA9"/>
    <w:rsid w:val="00414DE7"/>
    <w:rsid w:val="00415306"/>
    <w:rsid w:val="004154A9"/>
    <w:rsid w:val="0041577E"/>
    <w:rsid w:val="00415906"/>
    <w:rsid w:val="00416312"/>
    <w:rsid w:val="00416434"/>
    <w:rsid w:val="0041648D"/>
    <w:rsid w:val="004164E1"/>
    <w:rsid w:val="004166E2"/>
    <w:rsid w:val="00416BCB"/>
    <w:rsid w:val="0041713E"/>
    <w:rsid w:val="00417558"/>
    <w:rsid w:val="00417A1A"/>
    <w:rsid w:val="00417AD5"/>
    <w:rsid w:val="00417EBE"/>
    <w:rsid w:val="004206BA"/>
    <w:rsid w:val="00420907"/>
    <w:rsid w:val="0042096D"/>
    <w:rsid w:val="00420A51"/>
    <w:rsid w:val="00420AA5"/>
    <w:rsid w:val="00420DCF"/>
    <w:rsid w:val="00421118"/>
    <w:rsid w:val="004217BB"/>
    <w:rsid w:val="0042189D"/>
    <w:rsid w:val="0042195A"/>
    <w:rsid w:val="00421A7F"/>
    <w:rsid w:val="00421A99"/>
    <w:rsid w:val="00421C8F"/>
    <w:rsid w:val="00421CEB"/>
    <w:rsid w:val="00421D3F"/>
    <w:rsid w:val="004221EE"/>
    <w:rsid w:val="004222EF"/>
    <w:rsid w:val="0042236A"/>
    <w:rsid w:val="00422494"/>
    <w:rsid w:val="004228B0"/>
    <w:rsid w:val="004228E2"/>
    <w:rsid w:val="00422A76"/>
    <w:rsid w:val="00422F1D"/>
    <w:rsid w:val="00423785"/>
    <w:rsid w:val="004237CE"/>
    <w:rsid w:val="00423BAE"/>
    <w:rsid w:val="00424B2F"/>
    <w:rsid w:val="004251F5"/>
    <w:rsid w:val="004255DB"/>
    <w:rsid w:val="0042572A"/>
    <w:rsid w:val="00425AF0"/>
    <w:rsid w:val="0042601D"/>
    <w:rsid w:val="0042616D"/>
    <w:rsid w:val="004264C2"/>
    <w:rsid w:val="004264D9"/>
    <w:rsid w:val="004269A2"/>
    <w:rsid w:val="00426D17"/>
    <w:rsid w:val="00426E82"/>
    <w:rsid w:val="00426EF4"/>
    <w:rsid w:val="004273FA"/>
    <w:rsid w:val="004278E5"/>
    <w:rsid w:val="00427DE5"/>
    <w:rsid w:val="00427F48"/>
    <w:rsid w:val="00430431"/>
    <w:rsid w:val="00431022"/>
    <w:rsid w:val="004310B8"/>
    <w:rsid w:val="004313F2"/>
    <w:rsid w:val="0043149E"/>
    <w:rsid w:val="00431520"/>
    <w:rsid w:val="00431CBC"/>
    <w:rsid w:val="00431E1C"/>
    <w:rsid w:val="00431F8E"/>
    <w:rsid w:val="0043247B"/>
    <w:rsid w:val="00432591"/>
    <w:rsid w:val="00432B69"/>
    <w:rsid w:val="00432BE7"/>
    <w:rsid w:val="004330EE"/>
    <w:rsid w:val="004332E8"/>
    <w:rsid w:val="00433309"/>
    <w:rsid w:val="00433596"/>
    <w:rsid w:val="00433C29"/>
    <w:rsid w:val="00434A88"/>
    <w:rsid w:val="00434A9D"/>
    <w:rsid w:val="00434AFD"/>
    <w:rsid w:val="00434DAC"/>
    <w:rsid w:val="0043541E"/>
    <w:rsid w:val="00435455"/>
    <w:rsid w:val="0043593F"/>
    <w:rsid w:val="00435F6F"/>
    <w:rsid w:val="00436350"/>
    <w:rsid w:val="00436470"/>
    <w:rsid w:val="004364C5"/>
    <w:rsid w:val="00436563"/>
    <w:rsid w:val="004369A6"/>
    <w:rsid w:val="00436ABC"/>
    <w:rsid w:val="00436B50"/>
    <w:rsid w:val="00436C82"/>
    <w:rsid w:val="00436E17"/>
    <w:rsid w:val="004370CE"/>
    <w:rsid w:val="00437389"/>
    <w:rsid w:val="00437B73"/>
    <w:rsid w:val="00437B84"/>
    <w:rsid w:val="00437D9D"/>
    <w:rsid w:val="00437DE6"/>
    <w:rsid w:val="00440194"/>
    <w:rsid w:val="00440219"/>
    <w:rsid w:val="004403EE"/>
    <w:rsid w:val="00440B56"/>
    <w:rsid w:val="00440EF4"/>
    <w:rsid w:val="00441419"/>
    <w:rsid w:val="004415A2"/>
    <w:rsid w:val="00441744"/>
    <w:rsid w:val="004419D4"/>
    <w:rsid w:val="00441AA7"/>
    <w:rsid w:val="00441D47"/>
    <w:rsid w:val="00441DCC"/>
    <w:rsid w:val="00441F9D"/>
    <w:rsid w:val="0044230E"/>
    <w:rsid w:val="004423A5"/>
    <w:rsid w:val="004424E1"/>
    <w:rsid w:val="004426D9"/>
    <w:rsid w:val="0044276F"/>
    <w:rsid w:val="00442A82"/>
    <w:rsid w:val="00442EF3"/>
    <w:rsid w:val="00442F42"/>
    <w:rsid w:val="00442F51"/>
    <w:rsid w:val="00442F83"/>
    <w:rsid w:val="004430E3"/>
    <w:rsid w:val="00443660"/>
    <w:rsid w:val="0044495F"/>
    <w:rsid w:val="00444CC3"/>
    <w:rsid w:val="00444D67"/>
    <w:rsid w:val="00444F1A"/>
    <w:rsid w:val="00445126"/>
    <w:rsid w:val="004454A6"/>
    <w:rsid w:val="004455A1"/>
    <w:rsid w:val="00445AE7"/>
    <w:rsid w:val="00445D2C"/>
    <w:rsid w:val="00445D2E"/>
    <w:rsid w:val="004460CC"/>
    <w:rsid w:val="00446490"/>
    <w:rsid w:val="004466B6"/>
    <w:rsid w:val="0044672A"/>
    <w:rsid w:val="00446C8F"/>
    <w:rsid w:val="00446E1F"/>
    <w:rsid w:val="00446F62"/>
    <w:rsid w:val="00446F8A"/>
    <w:rsid w:val="00447039"/>
    <w:rsid w:val="00447198"/>
    <w:rsid w:val="004471F6"/>
    <w:rsid w:val="00447404"/>
    <w:rsid w:val="004477D0"/>
    <w:rsid w:val="00447BAF"/>
    <w:rsid w:val="00447BB3"/>
    <w:rsid w:val="0045014C"/>
    <w:rsid w:val="00450161"/>
    <w:rsid w:val="00450576"/>
    <w:rsid w:val="0045064B"/>
    <w:rsid w:val="00450755"/>
    <w:rsid w:val="0045089A"/>
    <w:rsid w:val="00450DA5"/>
    <w:rsid w:val="004512AA"/>
    <w:rsid w:val="00451A15"/>
    <w:rsid w:val="00451A8B"/>
    <w:rsid w:val="00451BB6"/>
    <w:rsid w:val="00452468"/>
    <w:rsid w:val="004525E4"/>
    <w:rsid w:val="0045262C"/>
    <w:rsid w:val="00452750"/>
    <w:rsid w:val="004528A3"/>
    <w:rsid w:val="00452BF6"/>
    <w:rsid w:val="00452D26"/>
    <w:rsid w:val="004532AC"/>
    <w:rsid w:val="00453858"/>
    <w:rsid w:val="0045392C"/>
    <w:rsid w:val="00453E77"/>
    <w:rsid w:val="004543DC"/>
    <w:rsid w:val="00454A2A"/>
    <w:rsid w:val="00454C2D"/>
    <w:rsid w:val="00454E2C"/>
    <w:rsid w:val="00455092"/>
    <w:rsid w:val="00455217"/>
    <w:rsid w:val="00455395"/>
    <w:rsid w:val="00455813"/>
    <w:rsid w:val="00455906"/>
    <w:rsid w:val="00455D8F"/>
    <w:rsid w:val="00455EF0"/>
    <w:rsid w:val="00456038"/>
    <w:rsid w:val="004560C5"/>
    <w:rsid w:val="0045616F"/>
    <w:rsid w:val="00456439"/>
    <w:rsid w:val="00456589"/>
    <w:rsid w:val="00456B61"/>
    <w:rsid w:val="00457200"/>
    <w:rsid w:val="00457761"/>
    <w:rsid w:val="004578E1"/>
    <w:rsid w:val="00460118"/>
    <w:rsid w:val="004601B1"/>
    <w:rsid w:val="00460B0E"/>
    <w:rsid w:val="00460BFF"/>
    <w:rsid w:val="004611D2"/>
    <w:rsid w:val="00461418"/>
    <w:rsid w:val="004615E3"/>
    <w:rsid w:val="00462F24"/>
    <w:rsid w:val="0046305D"/>
    <w:rsid w:val="0046307C"/>
    <w:rsid w:val="004633BF"/>
    <w:rsid w:val="0046370B"/>
    <w:rsid w:val="00463B8C"/>
    <w:rsid w:val="00463C42"/>
    <w:rsid w:val="00463CB5"/>
    <w:rsid w:val="00463D6F"/>
    <w:rsid w:val="00463DF4"/>
    <w:rsid w:val="004640F6"/>
    <w:rsid w:val="00464101"/>
    <w:rsid w:val="00464184"/>
    <w:rsid w:val="004642A9"/>
    <w:rsid w:val="00464492"/>
    <w:rsid w:val="0046486C"/>
    <w:rsid w:val="00464D2B"/>
    <w:rsid w:val="00464D59"/>
    <w:rsid w:val="00465353"/>
    <w:rsid w:val="0046542F"/>
    <w:rsid w:val="004656D0"/>
    <w:rsid w:val="004657CE"/>
    <w:rsid w:val="00465EB6"/>
    <w:rsid w:val="00465FC6"/>
    <w:rsid w:val="004660EA"/>
    <w:rsid w:val="0046631A"/>
    <w:rsid w:val="0046637F"/>
    <w:rsid w:val="004663AE"/>
    <w:rsid w:val="00466558"/>
    <w:rsid w:val="00466888"/>
    <w:rsid w:val="00466A08"/>
    <w:rsid w:val="00466AAB"/>
    <w:rsid w:val="00466BCC"/>
    <w:rsid w:val="00466C57"/>
    <w:rsid w:val="00466F6E"/>
    <w:rsid w:val="00467101"/>
    <w:rsid w:val="0046751D"/>
    <w:rsid w:val="00467632"/>
    <w:rsid w:val="00467759"/>
    <w:rsid w:val="00467823"/>
    <w:rsid w:val="004678A9"/>
    <w:rsid w:val="00467A03"/>
    <w:rsid w:val="00467E29"/>
    <w:rsid w:val="00467F86"/>
    <w:rsid w:val="004700C1"/>
    <w:rsid w:val="004702F1"/>
    <w:rsid w:val="00470810"/>
    <w:rsid w:val="00471A9B"/>
    <w:rsid w:val="00471E4D"/>
    <w:rsid w:val="00471EB1"/>
    <w:rsid w:val="00471EF3"/>
    <w:rsid w:val="00472729"/>
    <w:rsid w:val="0047285C"/>
    <w:rsid w:val="00472AE3"/>
    <w:rsid w:val="00472D9C"/>
    <w:rsid w:val="00472E82"/>
    <w:rsid w:val="00473323"/>
    <w:rsid w:val="004737C5"/>
    <w:rsid w:val="004738A3"/>
    <w:rsid w:val="004743C0"/>
    <w:rsid w:val="0047472A"/>
    <w:rsid w:val="00474BBB"/>
    <w:rsid w:val="00475683"/>
    <w:rsid w:val="00475A20"/>
    <w:rsid w:val="00475AE4"/>
    <w:rsid w:val="00475B91"/>
    <w:rsid w:val="00475CEB"/>
    <w:rsid w:val="00475F64"/>
    <w:rsid w:val="00476264"/>
    <w:rsid w:val="004766DD"/>
    <w:rsid w:val="00476F65"/>
    <w:rsid w:val="00477440"/>
    <w:rsid w:val="0047757B"/>
    <w:rsid w:val="004775D3"/>
    <w:rsid w:val="00477A9B"/>
    <w:rsid w:val="00477D02"/>
    <w:rsid w:val="0048001E"/>
    <w:rsid w:val="004801A4"/>
    <w:rsid w:val="00480213"/>
    <w:rsid w:val="00480248"/>
    <w:rsid w:val="00480CC9"/>
    <w:rsid w:val="004814C4"/>
    <w:rsid w:val="0048152B"/>
    <w:rsid w:val="004818A1"/>
    <w:rsid w:val="00481C24"/>
    <w:rsid w:val="00481ECC"/>
    <w:rsid w:val="00482C14"/>
    <w:rsid w:val="00482D8F"/>
    <w:rsid w:val="004830C7"/>
    <w:rsid w:val="0048329C"/>
    <w:rsid w:val="00483385"/>
    <w:rsid w:val="004834E3"/>
    <w:rsid w:val="00483A92"/>
    <w:rsid w:val="00484D02"/>
    <w:rsid w:val="00484D05"/>
    <w:rsid w:val="00484D17"/>
    <w:rsid w:val="0048501E"/>
    <w:rsid w:val="004850BB"/>
    <w:rsid w:val="00485A53"/>
    <w:rsid w:val="00485DDE"/>
    <w:rsid w:val="00485EA7"/>
    <w:rsid w:val="004861DE"/>
    <w:rsid w:val="004868EA"/>
    <w:rsid w:val="00486CEF"/>
    <w:rsid w:val="00487026"/>
    <w:rsid w:val="004873CC"/>
    <w:rsid w:val="0048755E"/>
    <w:rsid w:val="0048771A"/>
    <w:rsid w:val="004878B6"/>
    <w:rsid w:val="0048797F"/>
    <w:rsid w:val="00487B44"/>
    <w:rsid w:val="00487E95"/>
    <w:rsid w:val="00490022"/>
    <w:rsid w:val="0049004A"/>
    <w:rsid w:val="004906B0"/>
    <w:rsid w:val="0049080A"/>
    <w:rsid w:val="004908E7"/>
    <w:rsid w:val="00490C31"/>
    <w:rsid w:val="00490CB3"/>
    <w:rsid w:val="00490CD9"/>
    <w:rsid w:val="00490FC8"/>
    <w:rsid w:val="00491799"/>
    <w:rsid w:val="00491F92"/>
    <w:rsid w:val="00492333"/>
    <w:rsid w:val="00492351"/>
    <w:rsid w:val="00492695"/>
    <w:rsid w:val="0049299E"/>
    <w:rsid w:val="00492D6F"/>
    <w:rsid w:val="00492DBB"/>
    <w:rsid w:val="00493045"/>
    <w:rsid w:val="004930BF"/>
    <w:rsid w:val="004930DC"/>
    <w:rsid w:val="0049403E"/>
    <w:rsid w:val="004943C8"/>
    <w:rsid w:val="00494498"/>
    <w:rsid w:val="004944B1"/>
    <w:rsid w:val="004944D0"/>
    <w:rsid w:val="00494939"/>
    <w:rsid w:val="00494D61"/>
    <w:rsid w:val="00494E74"/>
    <w:rsid w:val="004956D0"/>
    <w:rsid w:val="00495F61"/>
    <w:rsid w:val="00495FA3"/>
    <w:rsid w:val="00495FF2"/>
    <w:rsid w:val="004963DE"/>
    <w:rsid w:val="004964FA"/>
    <w:rsid w:val="004968E5"/>
    <w:rsid w:val="004969F2"/>
    <w:rsid w:val="00496E16"/>
    <w:rsid w:val="00496EC8"/>
    <w:rsid w:val="00496EE6"/>
    <w:rsid w:val="00496F08"/>
    <w:rsid w:val="00496F15"/>
    <w:rsid w:val="00497137"/>
    <w:rsid w:val="004971C0"/>
    <w:rsid w:val="00497392"/>
    <w:rsid w:val="0049752A"/>
    <w:rsid w:val="00497A34"/>
    <w:rsid w:val="00497B87"/>
    <w:rsid w:val="00497C36"/>
    <w:rsid w:val="00497F8C"/>
    <w:rsid w:val="0049D262"/>
    <w:rsid w:val="004A014E"/>
    <w:rsid w:val="004A019E"/>
    <w:rsid w:val="004A05F2"/>
    <w:rsid w:val="004A06CD"/>
    <w:rsid w:val="004A09ED"/>
    <w:rsid w:val="004A0CA7"/>
    <w:rsid w:val="004A10C4"/>
    <w:rsid w:val="004A12BC"/>
    <w:rsid w:val="004A1302"/>
    <w:rsid w:val="004A20D8"/>
    <w:rsid w:val="004A250C"/>
    <w:rsid w:val="004A262E"/>
    <w:rsid w:val="004A26FD"/>
    <w:rsid w:val="004A2CCA"/>
    <w:rsid w:val="004A2F7C"/>
    <w:rsid w:val="004A3BCE"/>
    <w:rsid w:val="004A3FA4"/>
    <w:rsid w:val="004A3FF6"/>
    <w:rsid w:val="004A402E"/>
    <w:rsid w:val="004A4B6F"/>
    <w:rsid w:val="004A4CF9"/>
    <w:rsid w:val="004A4D9C"/>
    <w:rsid w:val="004A5400"/>
    <w:rsid w:val="004A5432"/>
    <w:rsid w:val="004A5769"/>
    <w:rsid w:val="004A582D"/>
    <w:rsid w:val="004A587B"/>
    <w:rsid w:val="004A602C"/>
    <w:rsid w:val="004A642D"/>
    <w:rsid w:val="004A6804"/>
    <w:rsid w:val="004A6D43"/>
    <w:rsid w:val="004A6E8F"/>
    <w:rsid w:val="004A7029"/>
    <w:rsid w:val="004A711C"/>
    <w:rsid w:val="004A74DA"/>
    <w:rsid w:val="004A7862"/>
    <w:rsid w:val="004A7C22"/>
    <w:rsid w:val="004B004A"/>
    <w:rsid w:val="004B03D9"/>
    <w:rsid w:val="004B0501"/>
    <w:rsid w:val="004B07A3"/>
    <w:rsid w:val="004B09BA"/>
    <w:rsid w:val="004B0F50"/>
    <w:rsid w:val="004B1040"/>
    <w:rsid w:val="004B13DC"/>
    <w:rsid w:val="004B1959"/>
    <w:rsid w:val="004B1C10"/>
    <w:rsid w:val="004B2179"/>
    <w:rsid w:val="004B22EC"/>
    <w:rsid w:val="004B2726"/>
    <w:rsid w:val="004B2BD1"/>
    <w:rsid w:val="004B2CFD"/>
    <w:rsid w:val="004B2E2F"/>
    <w:rsid w:val="004B2E52"/>
    <w:rsid w:val="004B2FB4"/>
    <w:rsid w:val="004B336B"/>
    <w:rsid w:val="004B36F1"/>
    <w:rsid w:val="004B3C0E"/>
    <w:rsid w:val="004B3C72"/>
    <w:rsid w:val="004B3DC3"/>
    <w:rsid w:val="004B3EF3"/>
    <w:rsid w:val="004B43FE"/>
    <w:rsid w:val="004B4417"/>
    <w:rsid w:val="004B4B21"/>
    <w:rsid w:val="004B4E40"/>
    <w:rsid w:val="004B5592"/>
    <w:rsid w:val="004B56DE"/>
    <w:rsid w:val="004B5EE2"/>
    <w:rsid w:val="004B5EF6"/>
    <w:rsid w:val="004B6124"/>
    <w:rsid w:val="004B64A2"/>
    <w:rsid w:val="004B6501"/>
    <w:rsid w:val="004B6560"/>
    <w:rsid w:val="004B69DE"/>
    <w:rsid w:val="004B6D7F"/>
    <w:rsid w:val="004B735F"/>
    <w:rsid w:val="004B7393"/>
    <w:rsid w:val="004B741B"/>
    <w:rsid w:val="004B74A2"/>
    <w:rsid w:val="004B758B"/>
    <w:rsid w:val="004B7E40"/>
    <w:rsid w:val="004B7F8C"/>
    <w:rsid w:val="004C01B2"/>
    <w:rsid w:val="004C06B5"/>
    <w:rsid w:val="004C0F82"/>
    <w:rsid w:val="004C12BE"/>
    <w:rsid w:val="004C1468"/>
    <w:rsid w:val="004C2033"/>
    <w:rsid w:val="004C2337"/>
    <w:rsid w:val="004C2483"/>
    <w:rsid w:val="004C288F"/>
    <w:rsid w:val="004C2A00"/>
    <w:rsid w:val="004C30A2"/>
    <w:rsid w:val="004C30C7"/>
    <w:rsid w:val="004C31C8"/>
    <w:rsid w:val="004C3212"/>
    <w:rsid w:val="004C33D9"/>
    <w:rsid w:val="004C3A1E"/>
    <w:rsid w:val="004C3ECD"/>
    <w:rsid w:val="004C42B9"/>
    <w:rsid w:val="004C4686"/>
    <w:rsid w:val="004C46D0"/>
    <w:rsid w:val="004C489D"/>
    <w:rsid w:val="004C4AD2"/>
    <w:rsid w:val="004C4EAD"/>
    <w:rsid w:val="004C5489"/>
    <w:rsid w:val="004C57E5"/>
    <w:rsid w:val="004C5C43"/>
    <w:rsid w:val="004C5E0E"/>
    <w:rsid w:val="004C5EEA"/>
    <w:rsid w:val="004C5FE2"/>
    <w:rsid w:val="004C63F9"/>
    <w:rsid w:val="004C6763"/>
    <w:rsid w:val="004C6D70"/>
    <w:rsid w:val="004C6DFD"/>
    <w:rsid w:val="004C7493"/>
    <w:rsid w:val="004C74E3"/>
    <w:rsid w:val="004C7F2E"/>
    <w:rsid w:val="004D0038"/>
    <w:rsid w:val="004D00B5"/>
    <w:rsid w:val="004D0C46"/>
    <w:rsid w:val="004D1736"/>
    <w:rsid w:val="004D1A15"/>
    <w:rsid w:val="004D20C1"/>
    <w:rsid w:val="004D2369"/>
    <w:rsid w:val="004D2632"/>
    <w:rsid w:val="004D2952"/>
    <w:rsid w:val="004D2965"/>
    <w:rsid w:val="004D34CD"/>
    <w:rsid w:val="004D36F9"/>
    <w:rsid w:val="004D3925"/>
    <w:rsid w:val="004D3AD5"/>
    <w:rsid w:val="004D3D86"/>
    <w:rsid w:val="004D414D"/>
    <w:rsid w:val="004D421D"/>
    <w:rsid w:val="004D427B"/>
    <w:rsid w:val="004D4477"/>
    <w:rsid w:val="004D456C"/>
    <w:rsid w:val="004D45D8"/>
    <w:rsid w:val="004D48C2"/>
    <w:rsid w:val="004D494D"/>
    <w:rsid w:val="004D4E8F"/>
    <w:rsid w:val="004D5535"/>
    <w:rsid w:val="004D5598"/>
    <w:rsid w:val="004D5D6C"/>
    <w:rsid w:val="004D6042"/>
    <w:rsid w:val="004D655E"/>
    <w:rsid w:val="004D6601"/>
    <w:rsid w:val="004D66C8"/>
    <w:rsid w:val="004D67F4"/>
    <w:rsid w:val="004D67FA"/>
    <w:rsid w:val="004D6C0B"/>
    <w:rsid w:val="004D6C8E"/>
    <w:rsid w:val="004D6D45"/>
    <w:rsid w:val="004D702F"/>
    <w:rsid w:val="004E087A"/>
    <w:rsid w:val="004E0938"/>
    <w:rsid w:val="004E0C26"/>
    <w:rsid w:val="004E140C"/>
    <w:rsid w:val="004E14C6"/>
    <w:rsid w:val="004E1654"/>
    <w:rsid w:val="004E18ED"/>
    <w:rsid w:val="004E1BD9"/>
    <w:rsid w:val="004E1D3A"/>
    <w:rsid w:val="004E1E0C"/>
    <w:rsid w:val="004E2298"/>
    <w:rsid w:val="004E251C"/>
    <w:rsid w:val="004E274F"/>
    <w:rsid w:val="004E2765"/>
    <w:rsid w:val="004E2B4F"/>
    <w:rsid w:val="004E383E"/>
    <w:rsid w:val="004E3F25"/>
    <w:rsid w:val="004E44E8"/>
    <w:rsid w:val="004E47B3"/>
    <w:rsid w:val="004E49A5"/>
    <w:rsid w:val="004E4B89"/>
    <w:rsid w:val="004E4D05"/>
    <w:rsid w:val="004E4DB7"/>
    <w:rsid w:val="004E4EBE"/>
    <w:rsid w:val="004E53D9"/>
    <w:rsid w:val="004E563D"/>
    <w:rsid w:val="004E5A17"/>
    <w:rsid w:val="004E5CF3"/>
    <w:rsid w:val="004E5E70"/>
    <w:rsid w:val="004E64F3"/>
    <w:rsid w:val="004E6C7C"/>
    <w:rsid w:val="004E6D8A"/>
    <w:rsid w:val="004E6DFA"/>
    <w:rsid w:val="004E70B6"/>
    <w:rsid w:val="004E7551"/>
    <w:rsid w:val="004E7689"/>
    <w:rsid w:val="004E7CDB"/>
    <w:rsid w:val="004E7FC0"/>
    <w:rsid w:val="004F0601"/>
    <w:rsid w:val="004F0673"/>
    <w:rsid w:val="004F06E3"/>
    <w:rsid w:val="004F077A"/>
    <w:rsid w:val="004F094F"/>
    <w:rsid w:val="004F0FB3"/>
    <w:rsid w:val="004F1077"/>
    <w:rsid w:val="004F156D"/>
    <w:rsid w:val="004F168E"/>
    <w:rsid w:val="004F16B2"/>
    <w:rsid w:val="004F1CFC"/>
    <w:rsid w:val="004F1E5A"/>
    <w:rsid w:val="004F24C3"/>
    <w:rsid w:val="004F24CA"/>
    <w:rsid w:val="004F2563"/>
    <w:rsid w:val="004F29BD"/>
    <w:rsid w:val="004F2B8C"/>
    <w:rsid w:val="004F2D89"/>
    <w:rsid w:val="004F2F2C"/>
    <w:rsid w:val="004F2F8A"/>
    <w:rsid w:val="004F307D"/>
    <w:rsid w:val="004F369B"/>
    <w:rsid w:val="004F3A97"/>
    <w:rsid w:val="004F3BBF"/>
    <w:rsid w:val="004F3BDC"/>
    <w:rsid w:val="004F3DCF"/>
    <w:rsid w:val="004F3EDD"/>
    <w:rsid w:val="004F4052"/>
    <w:rsid w:val="004F41E0"/>
    <w:rsid w:val="004F46FD"/>
    <w:rsid w:val="004F4E09"/>
    <w:rsid w:val="004F500C"/>
    <w:rsid w:val="004F518E"/>
    <w:rsid w:val="004F5809"/>
    <w:rsid w:val="004F5CA0"/>
    <w:rsid w:val="004F5D94"/>
    <w:rsid w:val="004F6215"/>
    <w:rsid w:val="004F63B3"/>
    <w:rsid w:val="004F6613"/>
    <w:rsid w:val="004F6653"/>
    <w:rsid w:val="004F665E"/>
    <w:rsid w:val="004F6821"/>
    <w:rsid w:val="004F6833"/>
    <w:rsid w:val="004F6D37"/>
    <w:rsid w:val="004F6E80"/>
    <w:rsid w:val="004F6F02"/>
    <w:rsid w:val="004F6F08"/>
    <w:rsid w:val="004F74B7"/>
    <w:rsid w:val="004F7608"/>
    <w:rsid w:val="004F76D5"/>
    <w:rsid w:val="004F778A"/>
    <w:rsid w:val="004F79CD"/>
    <w:rsid w:val="004F7E7B"/>
    <w:rsid w:val="00500329"/>
    <w:rsid w:val="0050043E"/>
    <w:rsid w:val="0050050C"/>
    <w:rsid w:val="00500B67"/>
    <w:rsid w:val="00500C72"/>
    <w:rsid w:val="00500FE1"/>
    <w:rsid w:val="00501082"/>
    <w:rsid w:val="0050161E"/>
    <w:rsid w:val="005016C6"/>
    <w:rsid w:val="00501862"/>
    <w:rsid w:val="00501D04"/>
    <w:rsid w:val="0050226C"/>
    <w:rsid w:val="005023D4"/>
    <w:rsid w:val="0050242C"/>
    <w:rsid w:val="00502B66"/>
    <w:rsid w:val="00503111"/>
    <w:rsid w:val="0050337A"/>
    <w:rsid w:val="005034D6"/>
    <w:rsid w:val="00503547"/>
    <w:rsid w:val="00504C65"/>
    <w:rsid w:val="00504DA3"/>
    <w:rsid w:val="00504E66"/>
    <w:rsid w:val="005052AF"/>
    <w:rsid w:val="00505771"/>
    <w:rsid w:val="00505C78"/>
    <w:rsid w:val="00505C8B"/>
    <w:rsid w:val="00505C93"/>
    <w:rsid w:val="00505E00"/>
    <w:rsid w:val="00505EB6"/>
    <w:rsid w:val="0050609D"/>
    <w:rsid w:val="0050622E"/>
    <w:rsid w:val="0050656E"/>
    <w:rsid w:val="005069A4"/>
    <w:rsid w:val="0050721D"/>
    <w:rsid w:val="00507349"/>
    <w:rsid w:val="00507506"/>
    <w:rsid w:val="005075A6"/>
    <w:rsid w:val="00507647"/>
    <w:rsid w:val="00507EDF"/>
    <w:rsid w:val="005102F1"/>
    <w:rsid w:val="00510316"/>
    <w:rsid w:val="0051056B"/>
    <w:rsid w:val="0051068B"/>
    <w:rsid w:val="00510B46"/>
    <w:rsid w:val="00510C67"/>
    <w:rsid w:val="00510E44"/>
    <w:rsid w:val="005119DA"/>
    <w:rsid w:val="00511C02"/>
    <w:rsid w:val="00511C57"/>
    <w:rsid w:val="00512B37"/>
    <w:rsid w:val="00513E86"/>
    <w:rsid w:val="00514826"/>
    <w:rsid w:val="00514DE5"/>
    <w:rsid w:val="00515260"/>
    <w:rsid w:val="0051532E"/>
    <w:rsid w:val="00515713"/>
    <w:rsid w:val="00515785"/>
    <w:rsid w:val="0051601D"/>
    <w:rsid w:val="005166BC"/>
    <w:rsid w:val="005169F5"/>
    <w:rsid w:val="005171F5"/>
    <w:rsid w:val="00517706"/>
    <w:rsid w:val="00520252"/>
    <w:rsid w:val="005205DD"/>
    <w:rsid w:val="00520648"/>
    <w:rsid w:val="005207AF"/>
    <w:rsid w:val="005209A9"/>
    <w:rsid w:val="005211A6"/>
    <w:rsid w:val="0052141E"/>
    <w:rsid w:val="00521683"/>
    <w:rsid w:val="005216D1"/>
    <w:rsid w:val="00521C7E"/>
    <w:rsid w:val="00521F96"/>
    <w:rsid w:val="00522903"/>
    <w:rsid w:val="00522B99"/>
    <w:rsid w:val="00522D49"/>
    <w:rsid w:val="00522ED4"/>
    <w:rsid w:val="00522F16"/>
    <w:rsid w:val="00522F89"/>
    <w:rsid w:val="0052315B"/>
    <w:rsid w:val="0052344A"/>
    <w:rsid w:val="0052345D"/>
    <w:rsid w:val="00523769"/>
    <w:rsid w:val="00523E1A"/>
    <w:rsid w:val="005243EF"/>
    <w:rsid w:val="00524959"/>
    <w:rsid w:val="00524CFE"/>
    <w:rsid w:val="00524DAC"/>
    <w:rsid w:val="00525904"/>
    <w:rsid w:val="00525D54"/>
    <w:rsid w:val="00525DC5"/>
    <w:rsid w:val="00525DEE"/>
    <w:rsid w:val="00526493"/>
    <w:rsid w:val="0052692A"/>
    <w:rsid w:val="00526B77"/>
    <w:rsid w:val="005275B1"/>
    <w:rsid w:val="00527941"/>
    <w:rsid w:val="00527F78"/>
    <w:rsid w:val="00530502"/>
    <w:rsid w:val="00530B9A"/>
    <w:rsid w:val="00530E16"/>
    <w:rsid w:val="00530E82"/>
    <w:rsid w:val="00531313"/>
    <w:rsid w:val="00531383"/>
    <w:rsid w:val="005314C4"/>
    <w:rsid w:val="00531725"/>
    <w:rsid w:val="00531854"/>
    <w:rsid w:val="00532045"/>
    <w:rsid w:val="005322CC"/>
    <w:rsid w:val="00532591"/>
    <w:rsid w:val="0053271A"/>
    <w:rsid w:val="00532A74"/>
    <w:rsid w:val="00532D52"/>
    <w:rsid w:val="00532EB5"/>
    <w:rsid w:val="00532FD5"/>
    <w:rsid w:val="005332D6"/>
    <w:rsid w:val="005336B4"/>
    <w:rsid w:val="00533B22"/>
    <w:rsid w:val="00533BA0"/>
    <w:rsid w:val="00533C0E"/>
    <w:rsid w:val="005342B6"/>
    <w:rsid w:val="0053460E"/>
    <w:rsid w:val="0053470D"/>
    <w:rsid w:val="00535218"/>
    <w:rsid w:val="00535267"/>
    <w:rsid w:val="005352B6"/>
    <w:rsid w:val="005353A3"/>
    <w:rsid w:val="005359E4"/>
    <w:rsid w:val="00535D72"/>
    <w:rsid w:val="00535E88"/>
    <w:rsid w:val="005360C6"/>
    <w:rsid w:val="005362D0"/>
    <w:rsid w:val="00536453"/>
    <w:rsid w:val="00536699"/>
    <w:rsid w:val="00536BE4"/>
    <w:rsid w:val="00536E60"/>
    <w:rsid w:val="00536F33"/>
    <w:rsid w:val="0053728E"/>
    <w:rsid w:val="0053759F"/>
    <w:rsid w:val="0053784E"/>
    <w:rsid w:val="00537953"/>
    <w:rsid w:val="00537AB3"/>
    <w:rsid w:val="00537B9B"/>
    <w:rsid w:val="00537C23"/>
    <w:rsid w:val="00537CB2"/>
    <w:rsid w:val="00537E69"/>
    <w:rsid w:val="00540AFB"/>
    <w:rsid w:val="00540B12"/>
    <w:rsid w:val="00540C6C"/>
    <w:rsid w:val="00540D4A"/>
    <w:rsid w:val="00540EAE"/>
    <w:rsid w:val="005410DB"/>
    <w:rsid w:val="005418DA"/>
    <w:rsid w:val="005419C8"/>
    <w:rsid w:val="005420A7"/>
    <w:rsid w:val="00542302"/>
    <w:rsid w:val="00542EA5"/>
    <w:rsid w:val="00542F2D"/>
    <w:rsid w:val="005434E3"/>
    <w:rsid w:val="005435B4"/>
    <w:rsid w:val="00543A66"/>
    <w:rsid w:val="0054435D"/>
    <w:rsid w:val="00544946"/>
    <w:rsid w:val="00544C76"/>
    <w:rsid w:val="00544CFA"/>
    <w:rsid w:val="0054500C"/>
    <w:rsid w:val="0054539C"/>
    <w:rsid w:val="00545B25"/>
    <w:rsid w:val="005462B9"/>
    <w:rsid w:val="005465BD"/>
    <w:rsid w:val="00546649"/>
    <w:rsid w:val="00546A6E"/>
    <w:rsid w:val="00546CFE"/>
    <w:rsid w:val="00546E06"/>
    <w:rsid w:val="005471B4"/>
    <w:rsid w:val="0054722E"/>
    <w:rsid w:val="005472B7"/>
    <w:rsid w:val="00547FC5"/>
    <w:rsid w:val="0054E2DA"/>
    <w:rsid w:val="00550052"/>
    <w:rsid w:val="0055051E"/>
    <w:rsid w:val="00550611"/>
    <w:rsid w:val="005507E1"/>
    <w:rsid w:val="00550A16"/>
    <w:rsid w:val="00550AA0"/>
    <w:rsid w:val="00550C62"/>
    <w:rsid w:val="00550CA2"/>
    <w:rsid w:val="00550FEF"/>
    <w:rsid w:val="0055143D"/>
    <w:rsid w:val="0055165D"/>
    <w:rsid w:val="00551C37"/>
    <w:rsid w:val="005524EB"/>
    <w:rsid w:val="0055293F"/>
    <w:rsid w:val="00552F38"/>
    <w:rsid w:val="00552F75"/>
    <w:rsid w:val="00553102"/>
    <w:rsid w:val="005532F7"/>
    <w:rsid w:val="00553677"/>
    <w:rsid w:val="00553746"/>
    <w:rsid w:val="00553BCB"/>
    <w:rsid w:val="005540CD"/>
    <w:rsid w:val="00554158"/>
    <w:rsid w:val="00554196"/>
    <w:rsid w:val="005545CE"/>
    <w:rsid w:val="005549A8"/>
    <w:rsid w:val="00555125"/>
    <w:rsid w:val="0055514A"/>
    <w:rsid w:val="005551FA"/>
    <w:rsid w:val="00555640"/>
    <w:rsid w:val="00555687"/>
    <w:rsid w:val="00555D1F"/>
    <w:rsid w:val="00555D3D"/>
    <w:rsid w:val="00555D53"/>
    <w:rsid w:val="00555FA0"/>
    <w:rsid w:val="005567AD"/>
    <w:rsid w:val="00556EA0"/>
    <w:rsid w:val="00556ECD"/>
    <w:rsid w:val="00556F95"/>
    <w:rsid w:val="00557332"/>
    <w:rsid w:val="0055774B"/>
    <w:rsid w:val="00557FF9"/>
    <w:rsid w:val="00560060"/>
    <w:rsid w:val="005600F4"/>
    <w:rsid w:val="005606DD"/>
    <w:rsid w:val="00560737"/>
    <w:rsid w:val="005609A2"/>
    <w:rsid w:val="00560AB5"/>
    <w:rsid w:val="00560B0A"/>
    <w:rsid w:val="00560B4D"/>
    <w:rsid w:val="00561170"/>
    <w:rsid w:val="0056179D"/>
    <w:rsid w:val="0056187D"/>
    <w:rsid w:val="00561DB1"/>
    <w:rsid w:val="00561DE2"/>
    <w:rsid w:val="00562017"/>
    <w:rsid w:val="00562321"/>
    <w:rsid w:val="0056248A"/>
    <w:rsid w:val="00562C84"/>
    <w:rsid w:val="00562D6E"/>
    <w:rsid w:val="00562E72"/>
    <w:rsid w:val="00562ED4"/>
    <w:rsid w:val="00562F57"/>
    <w:rsid w:val="00563114"/>
    <w:rsid w:val="0056344D"/>
    <w:rsid w:val="00563458"/>
    <w:rsid w:val="005636F6"/>
    <w:rsid w:val="005637EA"/>
    <w:rsid w:val="00563B23"/>
    <w:rsid w:val="00563B77"/>
    <w:rsid w:val="00563DE6"/>
    <w:rsid w:val="0056446A"/>
    <w:rsid w:val="00564B5D"/>
    <w:rsid w:val="00564DF5"/>
    <w:rsid w:val="0056500A"/>
    <w:rsid w:val="00565349"/>
    <w:rsid w:val="00565ACE"/>
    <w:rsid w:val="00565B48"/>
    <w:rsid w:val="00565B57"/>
    <w:rsid w:val="00565CDB"/>
    <w:rsid w:val="00567096"/>
    <w:rsid w:val="0056722A"/>
    <w:rsid w:val="005673D9"/>
    <w:rsid w:val="00567438"/>
    <w:rsid w:val="00567524"/>
    <w:rsid w:val="0056772A"/>
    <w:rsid w:val="00567926"/>
    <w:rsid w:val="0056799C"/>
    <w:rsid w:val="00567C1F"/>
    <w:rsid w:val="00567C4C"/>
    <w:rsid w:val="00567F02"/>
    <w:rsid w:val="005703A0"/>
    <w:rsid w:val="005704DF"/>
    <w:rsid w:val="00570AD5"/>
    <w:rsid w:val="00570C08"/>
    <w:rsid w:val="00570C4D"/>
    <w:rsid w:val="00571281"/>
    <w:rsid w:val="0057134C"/>
    <w:rsid w:val="0057152B"/>
    <w:rsid w:val="00571955"/>
    <w:rsid w:val="00571A04"/>
    <w:rsid w:val="00571B72"/>
    <w:rsid w:val="00571BBC"/>
    <w:rsid w:val="00571C88"/>
    <w:rsid w:val="00571DE0"/>
    <w:rsid w:val="00572041"/>
    <w:rsid w:val="00572216"/>
    <w:rsid w:val="00572284"/>
    <w:rsid w:val="005726C4"/>
    <w:rsid w:val="005727FA"/>
    <w:rsid w:val="005728B8"/>
    <w:rsid w:val="005728C0"/>
    <w:rsid w:val="00572A36"/>
    <w:rsid w:val="00572BAE"/>
    <w:rsid w:val="00572CAC"/>
    <w:rsid w:val="00572D6F"/>
    <w:rsid w:val="00572ECB"/>
    <w:rsid w:val="00572F82"/>
    <w:rsid w:val="005734AF"/>
    <w:rsid w:val="005736F7"/>
    <w:rsid w:val="005738D7"/>
    <w:rsid w:val="00573918"/>
    <w:rsid w:val="00573EDA"/>
    <w:rsid w:val="00574132"/>
    <w:rsid w:val="0057413F"/>
    <w:rsid w:val="0057439A"/>
    <w:rsid w:val="005744DF"/>
    <w:rsid w:val="005746E2"/>
    <w:rsid w:val="005746ED"/>
    <w:rsid w:val="005747B1"/>
    <w:rsid w:val="00574825"/>
    <w:rsid w:val="005749A3"/>
    <w:rsid w:val="00575008"/>
    <w:rsid w:val="00575485"/>
    <w:rsid w:val="005755F1"/>
    <w:rsid w:val="00575B45"/>
    <w:rsid w:val="00575BB2"/>
    <w:rsid w:val="00575E7C"/>
    <w:rsid w:val="00575FD6"/>
    <w:rsid w:val="00576165"/>
    <w:rsid w:val="0057648C"/>
    <w:rsid w:val="00576877"/>
    <w:rsid w:val="005769A2"/>
    <w:rsid w:val="00576ADC"/>
    <w:rsid w:val="00576EAA"/>
    <w:rsid w:val="00576F19"/>
    <w:rsid w:val="00576FB0"/>
    <w:rsid w:val="0057706B"/>
    <w:rsid w:val="00577202"/>
    <w:rsid w:val="0057767C"/>
    <w:rsid w:val="00577939"/>
    <w:rsid w:val="00577C68"/>
    <w:rsid w:val="00577FAD"/>
    <w:rsid w:val="00580609"/>
    <w:rsid w:val="00580AAD"/>
    <w:rsid w:val="00580CE4"/>
    <w:rsid w:val="0058172F"/>
    <w:rsid w:val="00581815"/>
    <w:rsid w:val="005819AB"/>
    <w:rsid w:val="00582012"/>
    <w:rsid w:val="005820F9"/>
    <w:rsid w:val="0058277C"/>
    <w:rsid w:val="00582FA4"/>
    <w:rsid w:val="0058314A"/>
    <w:rsid w:val="0058330F"/>
    <w:rsid w:val="00583E54"/>
    <w:rsid w:val="00583FA1"/>
    <w:rsid w:val="005840BB"/>
    <w:rsid w:val="005842E5"/>
    <w:rsid w:val="005842F5"/>
    <w:rsid w:val="005854AA"/>
    <w:rsid w:val="00585544"/>
    <w:rsid w:val="00585ED5"/>
    <w:rsid w:val="00585F21"/>
    <w:rsid w:val="00585F29"/>
    <w:rsid w:val="0058639A"/>
    <w:rsid w:val="0058675B"/>
    <w:rsid w:val="00586AB8"/>
    <w:rsid w:val="00586D76"/>
    <w:rsid w:val="005870BE"/>
    <w:rsid w:val="005871B0"/>
    <w:rsid w:val="00587246"/>
    <w:rsid w:val="00587407"/>
    <w:rsid w:val="00590B4A"/>
    <w:rsid w:val="00590E41"/>
    <w:rsid w:val="00590E6C"/>
    <w:rsid w:val="00591290"/>
    <w:rsid w:val="0059132A"/>
    <w:rsid w:val="0059136F"/>
    <w:rsid w:val="005916F8"/>
    <w:rsid w:val="005917BC"/>
    <w:rsid w:val="00591C77"/>
    <w:rsid w:val="00591D2D"/>
    <w:rsid w:val="00591E7F"/>
    <w:rsid w:val="0059218E"/>
    <w:rsid w:val="005921F8"/>
    <w:rsid w:val="00592355"/>
    <w:rsid w:val="005923C5"/>
    <w:rsid w:val="00592631"/>
    <w:rsid w:val="0059266D"/>
    <w:rsid w:val="00592751"/>
    <w:rsid w:val="005929EC"/>
    <w:rsid w:val="00592A37"/>
    <w:rsid w:val="00592C1B"/>
    <w:rsid w:val="00592EB1"/>
    <w:rsid w:val="005931DC"/>
    <w:rsid w:val="00593448"/>
    <w:rsid w:val="0059361C"/>
    <w:rsid w:val="005937A9"/>
    <w:rsid w:val="00593CC2"/>
    <w:rsid w:val="0059403F"/>
    <w:rsid w:val="00594565"/>
    <w:rsid w:val="00594A4E"/>
    <w:rsid w:val="00595072"/>
    <w:rsid w:val="005950E5"/>
    <w:rsid w:val="005953D4"/>
    <w:rsid w:val="005956A5"/>
    <w:rsid w:val="005956B3"/>
    <w:rsid w:val="00595BF2"/>
    <w:rsid w:val="00595D01"/>
    <w:rsid w:val="005960AF"/>
    <w:rsid w:val="00596450"/>
    <w:rsid w:val="005965CE"/>
    <w:rsid w:val="005973D3"/>
    <w:rsid w:val="00597452"/>
    <w:rsid w:val="0059758D"/>
    <w:rsid w:val="00597633"/>
    <w:rsid w:val="00597E41"/>
    <w:rsid w:val="00597F2A"/>
    <w:rsid w:val="00597FCD"/>
    <w:rsid w:val="005A0202"/>
    <w:rsid w:val="005A041B"/>
    <w:rsid w:val="005A05A0"/>
    <w:rsid w:val="005A0659"/>
    <w:rsid w:val="005A08CB"/>
    <w:rsid w:val="005A08EF"/>
    <w:rsid w:val="005A0BED"/>
    <w:rsid w:val="005A0C5C"/>
    <w:rsid w:val="005A0D0D"/>
    <w:rsid w:val="005A10A2"/>
    <w:rsid w:val="005A17A7"/>
    <w:rsid w:val="005A18F0"/>
    <w:rsid w:val="005A1A04"/>
    <w:rsid w:val="005A1A35"/>
    <w:rsid w:val="005A1C0B"/>
    <w:rsid w:val="005A1DB0"/>
    <w:rsid w:val="005A1E2D"/>
    <w:rsid w:val="005A1EFF"/>
    <w:rsid w:val="005A1F7F"/>
    <w:rsid w:val="005A20DF"/>
    <w:rsid w:val="005A2255"/>
    <w:rsid w:val="005A26BE"/>
    <w:rsid w:val="005A27C0"/>
    <w:rsid w:val="005A2D00"/>
    <w:rsid w:val="005A303B"/>
    <w:rsid w:val="005A306F"/>
    <w:rsid w:val="005A351D"/>
    <w:rsid w:val="005A35C2"/>
    <w:rsid w:val="005A381D"/>
    <w:rsid w:val="005A391F"/>
    <w:rsid w:val="005A3C92"/>
    <w:rsid w:val="005A3D1B"/>
    <w:rsid w:val="005A3FB9"/>
    <w:rsid w:val="005A463E"/>
    <w:rsid w:val="005A4BE1"/>
    <w:rsid w:val="005A502B"/>
    <w:rsid w:val="005A5030"/>
    <w:rsid w:val="005A504A"/>
    <w:rsid w:val="005A5128"/>
    <w:rsid w:val="005A5B33"/>
    <w:rsid w:val="005A5B67"/>
    <w:rsid w:val="005A5C8F"/>
    <w:rsid w:val="005A5D07"/>
    <w:rsid w:val="005A5F1D"/>
    <w:rsid w:val="005A6221"/>
    <w:rsid w:val="005A6449"/>
    <w:rsid w:val="005A6623"/>
    <w:rsid w:val="005A68AA"/>
    <w:rsid w:val="005A695F"/>
    <w:rsid w:val="005A699F"/>
    <w:rsid w:val="005A75C9"/>
    <w:rsid w:val="005A76BA"/>
    <w:rsid w:val="005A7829"/>
    <w:rsid w:val="005A7861"/>
    <w:rsid w:val="005A7A9A"/>
    <w:rsid w:val="005A7B13"/>
    <w:rsid w:val="005B01B7"/>
    <w:rsid w:val="005B0273"/>
    <w:rsid w:val="005B0543"/>
    <w:rsid w:val="005B0632"/>
    <w:rsid w:val="005B0A69"/>
    <w:rsid w:val="005B0B3D"/>
    <w:rsid w:val="005B0C06"/>
    <w:rsid w:val="005B117F"/>
    <w:rsid w:val="005B1228"/>
    <w:rsid w:val="005B1426"/>
    <w:rsid w:val="005B1575"/>
    <w:rsid w:val="005B187D"/>
    <w:rsid w:val="005B18F2"/>
    <w:rsid w:val="005B1B35"/>
    <w:rsid w:val="005B1CD5"/>
    <w:rsid w:val="005B1F98"/>
    <w:rsid w:val="005B202E"/>
    <w:rsid w:val="005B20CE"/>
    <w:rsid w:val="005B2309"/>
    <w:rsid w:val="005B241E"/>
    <w:rsid w:val="005B25F3"/>
    <w:rsid w:val="005B2D8D"/>
    <w:rsid w:val="005B3116"/>
    <w:rsid w:val="005B31EC"/>
    <w:rsid w:val="005B3401"/>
    <w:rsid w:val="005B3EB6"/>
    <w:rsid w:val="005B4A0F"/>
    <w:rsid w:val="005B4D26"/>
    <w:rsid w:val="005B4ED9"/>
    <w:rsid w:val="005B50B5"/>
    <w:rsid w:val="005B5260"/>
    <w:rsid w:val="005B571C"/>
    <w:rsid w:val="005B57A0"/>
    <w:rsid w:val="005B598B"/>
    <w:rsid w:val="005B5B52"/>
    <w:rsid w:val="005B5BB1"/>
    <w:rsid w:val="005B65A8"/>
    <w:rsid w:val="005B6D85"/>
    <w:rsid w:val="005B6E73"/>
    <w:rsid w:val="005B7152"/>
    <w:rsid w:val="005B72ED"/>
    <w:rsid w:val="005B733A"/>
    <w:rsid w:val="005B7883"/>
    <w:rsid w:val="005B7D3E"/>
    <w:rsid w:val="005C036C"/>
    <w:rsid w:val="005C0D05"/>
    <w:rsid w:val="005C0F4B"/>
    <w:rsid w:val="005C104F"/>
    <w:rsid w:val="005C1691"/>
    <w:rsid w:val="005C18F8"/>
    <w:rsid w:val="005C1945"/>
    <w:rsid w:val="005C1949"/>
    <w:rsid w:val="005C1A40"/>
    <w:rsid w:val="005C1E15"/>
    <w:rsid w:val="005C1E7A"/>
    <w:rsid w:val="005C22EC"/>
    <w:rsid w:val="005C28C1"/>
    <w:rsid w:val="005C2CCD"/>
    <w:rsid w:val="005C2DA2"/>
    <w:rsid w:val="005C2E23"/>
    <w:rsid w:val="005C2F7C"/>
    <w:rsid w:val="005C3358"/>
    <w:rsid w:val="005C371F"/>
    <w:rsid w:val="005C37B3"/>
    <w:rsid w:val="005C3D7F"/>
    <w:rsid w:val="005C3E1B"/>
    <w:rsid w:val="005C3E94"/>
    <w:rsid w:val="005C45B9"/>
    <w:rsid w:val="005C4A51"/>
    <w:rsid w:val="005C4AE8"/>
    <w:rsid w:val="005C4B67"/>
    <w:rsid w:val="005C4BCC"/>
    <w:rsid w:val="005C4C6D"/>
    <w:rsid w:val="005C541F"/>
    <w:rsid w:val="005C5636"/>
    <w:rsid w:val="005C5836"/>
    <w:rsid w:val="005C5983"/>
    <w:rsid w:val="005C5A56"/>
    <w:rsid w:val="005C5AF2"/>
    <w:rsid w:val="005C63DB"/>
    <w:rsid w:val="005C679A"/>
    <w:rsid w:val="005C6938"/>
    <w:rsid w:val="005C746D"/>
    <w:rsid w:val="005C74A9"/>
    <w:rsid w:val="005C75CE"/>
    <w:rsid w:val="005C7893"/>
    <w:rsid w:val="005C7A2E"/>
    <w:rsid w:val="005D02A7"/>
    <w:rsid w:val="005D02D0"/>
    <w:rsid w:val="005D02D7"/>
    <w:rsid w:val="005D085A"/>
    <w:rsid w:val="005D097C"/>
    <w:rsid w:val="005D09BC"/>
    <w:rsid w:val="005D1116"/>
    <w:rsid w:val="005D1203"/>
    <w:rsid w:val="005D16DD"/>
    <w:rsid w:val="005D17FC"/>
    <w:rsid w:val="005D1838"/>
    <w:rsid w:val="005D221C"/>
    <w:rsid w:val="005D2344"/>
    <w:rsid w:val="005D235E"/>
    <w:rsid w:val="005D2446"/>
    <w:rsid w:val="005D2512"/>
    <w:rsid w:val="005D25FA"/>
    <w:rsid w:val="005D266A"/>
    <w:rsid w:val="005D2970"/>
    <w:rsid w:val="005D2BFD"/>
    <w:rsid w:val="005D333C"/>
    <w:rsid w:val="005D339D"/>
    <w:rsid w:val="005D3FFB"/>
    <w:rsid w:val="005D40D8"/>
    <w:rsid w:val="005D4709"/>
    <w:rsid w:val="005D4B57"/>
    <w:rsid w:val="005D5017"/>
    <w:rsid w:val="005D529A"/>
    <w:rsid w:val="005D56D7"/>
    <w:rsid w:val="005D5833"/>
    <w:rsid w:val="005D5A2F"/>
    <w:rsid w:val="005D5A53"/>
    <w:rsid w:val="005D5B5A"/>
    <w:rsid w:val="005D5B82"/>
    <w:rsid w:val="005D62F9"/>
    <w:rsid w:val="005D63AD"/>
    <w:rsid w:val="005D657F"/>
    <w:rsid w:val="005D6666"/>
    <w:rsid w:val="005D6805"/>
    <w:rsid w:val="005D6989"/>
    <w:rsid w:val="005D6AB9"/>
    <w:rsid w:val="005D6ACF"/>
    <w:rsid w:val="005D6E49"/>
    <w:rsid w:val="005D7497"/>
    <w:rsid w:val="005D75E6"/>
    <w:rsid w:val="005D77BC"/>
    <w:rsid w:val="005D79F7"/>
    <w:rsid w:val="005D969B"/>
    <w:rsid w:val="005E06C5"/>
    <w:rsid w:val="005E0F10"/>
    <w:rsid w:val="005E10EC"/>
    <w:rsid w:val="005E1201"/>
    <w:rsid w:val="005E1354"/>
    <w:rsid w:val="005E1BA7"/>
    <w:rsid w:val="005E1E93"/>
    <w:rsid w:val="005E1EA2"/>
    <w:rsid w:val="005E1F3D"/>
    <w:rsid w:val="005E245A"/>
    <w:rsid w:val="005E2599"/>
    <w:rsid w:val="005E2A0D"/>
    <w:rsid w:val="005E2DEA"/>
    <w:rsid w:val="005E3822"/>
    <w:rsid w:val="005E3837"/>
    <w:rsid w:val="005E39E3"/>
    <w:rsid w:val="005E3ABD"/>
    <w:rsid w:val="005E3BF6"/>
    <w:rsid w:val="005E4248"/>
    <w:rsid w:val="005E4331"/>
    <w:rsid w:val="005E4372"/>
    <w:rsid w:val="005E4903"/>
    <w:rsid w:val="005E4C5E"/>
    <w:rsid w:val="005E4CF1"/>
    <w:rsid w:val="005E4D3B"/>
    <w:rsid w:val="005E4D8E"/>
    <w:rsid w:val="005E4E27"/>
    <w:rsid w:val="005E4EFD"/>
    <w:rsid w:val="005E50EF"/>
    <w:rsid w:val="005E511B"/>
    <w:rsid w:val="005E5F49"/>
    <w:rsid w:val="005E5F8C"/>
    <w:rsid w:val="005E6DF0"/>
    <w:rsid w:val="005E6FB9"/>
    <w:rsid w:val="005E70DE"/>
    <w:rsid w:val="005E75C6"/>
    <w:rsid w:val="005E7705"/>
    <w:rsid w:val="005E7865"/>
    <w:rsid w:val="005E7D2F"/>
    <w:rsid w:val="005E7EB5"/>
    <w:rsid w:val="005E7EBC"/>
    <w:rsid w:val="005F03A8"/>
    <w:rsid w:val="005F0944"/>
    <w:rsid w:val="005F0BC3"/>
    <w:rsid w:val="005F0CA2"/>
    <w:rsid w:val="005F126F"/>
    <w:rsid w:val="005F1A6A"/>
    <w:rsid w:val="005F1FDC"/>
    <w:rsid w:val="005F201C"/>
    <w:rsid w:val="005F20B0"/>
    <w:rsid w:val="005F24AF"/>
    <w:rsid w:val="005F2B4D"/>
    <w:rsid w:val="005F2E26"/>
    <w:rsid w:val="005F2FC3"/>
    <w:rsid w:val="005F3218"/>
    <w:rsid w:val="005F3407"/>
    <w:rsid w:val="005F37D3"/>
    <w:rsid w:val="005F3F8F"/>
    <w:rsid w:val="005F41E1"/>
    <w:rsid w:val="005F44C7"/>
    <w:rsid w:val="005F46F8"/>
    <w:rsid w:val="005F4876"/>
    <w:rsid w:val="005F4D1F"/>
    <w:rsid w:val="005F4F36"/>
    <w:rsid w:val="005F5046"/>
    <w:rsid w:val="005F571E"/>
    <w:rsid w:val="005F5B97"/>
    <w:rsid w:val="005F5BF1"/>
    <w:rsid w:val="005F5D22"/>
    <w:rsid w:val="005F5D4C"/>
    <w:rsid w:val="005F5E54"/>
    <w:rsid w:val="005F6570"/>
    <w:rsid w:val="005F663B"/>
    <w:rsid w:val="005F666B"/>
    <w:rsid w:val="005F6836"/>
    <w:rsid w:val="005F6B5B"/>
    <w:rsid w:val="005F6F0D"/>
    <w:rsid w:val="005F7307"/>
    <w:rsid w:val="005F767B"/>
    <w:rsid w:val="005F76EA"/>
    <w:rsid w:val="005F76F2"/>
    <w:rsid w:val="005F781D"/>
    <w:rsid w:val="005F794C"/>
    <w:rsid w:val="005F7954"/>
    <w:rsid w:val="005F7CCA"/>
    <w:rsid w:val="005F7E72"/>
    <w:rsid w:val="00600064"/>
    <w:rsid w:val="006001BE"/>
    <w:rsid w:val="00600226"/>
    <w:rsid w:val="0060062D"/>
    <w:rsid w:val="00600BC8"/>
    <w:rsid w:val="00600D57"/>
    <w:rsid w:val="00600FB4"/>
    <w:rsid w:val="00601058"/>
    <w:rsid w:val="0060112E"/>
    <w:rsid w:val="0060136F"/>
    <w:rsid w:val="00601503"/>
    <w:rsid w:val="006015EB"/>
    <w:rsid w:val="0060187D"/>
    <w:rsid w:val="006019B3"/>
    <w:rsid w:val="00602290"/>
    <w:rsid w:val="00602352"/>
    <w:rsid w:val="0060248C"/>
    <w:rsid w:val="00602EAB"/>
    <w:rsid w:val="006030BE"/>
    <w:rsid w:val="00603154"/>
    <w:rsid w:val="0060344D"/>
    <w:rsid w:val="006034C8"/>
    <w:rsid w:val="00603511"/>
    <w:rsid w:val="006036AC"/>
    <w:rsid w:val="00603C29"/>
    <w:rsid w:val="00603D5C"/>
    <w:rsid w:val="00603EE3"/>
    <w:rsid w:val="00604BC3"/>
    <w:rsid w:val="006051E7"/>
    <w:rsid w:val="006052D4"/>
    <w:rsid w:val="00605464"/>
    <w:rsid w:val="0060578C"/>
    <w:rsid w:val="00605864"/>
    <w:rsid w:val="00605B67"/>
    <w:rsid w:val="006063EB"/>
    <w:rsid w:val="006066CC"/>
    <w:rsid w:val="00606B5F"/>
    <w:rsid w:val="00606B79"/>
    <w:rsid w:val="00607808"/>
    <w:rsid w:val="00607932"/>
    <w:rsid w:val="0060796D"/>
    <w:rsid w:val="0060799A"/>
    <w:rsid w:val="00607A2A"/>
    <w:rsid w:val="006103C9"/>
    <w:rsid w:val="00610C16"/>
    <w:rsid w:val="00610CDB"/>
    <w:rsid w:val="00611329"/>
    <w:rsid w:val="00611339"/>
    <w:rsid w:val="006115CB"/>
    <w:rsid w:val="00611A25"/>
    <w:rsid w:val="00611C30"/>
    <w:rsid w:val="00611C60"/>
    <w:rsid w:val="00611E48"/>
    <w:rsid w:val="006124A1"/>
    <w:rsid w:val="006125E5"/>
    <w:rsid w:val="00612B87"/>
    <w:rsid w:val="00612BD0"/>
    <w:rsid w:val="0061301F"/>
    <w:rsid w:val="00613313"/>
    <w:rsid w:val="00613429"/>
    <w:rsid w:val="0061391C"/>
    <w:rsid w:val="0061449D"/>
    <w:rsid w:val="0061464F"/>
    <w:rsid w:val="006146E7"/>
    <w:rsid w:val="00614709"/>
    <w:rsid w:val="00614743"/>
    <w:rsid w:val="0061495D"/>
    <w:rsid w:val="00614BA7"/>
    <w:rsid w:val="00614C0D"/>
    <w:rsid w:val="00614C46"/>
    <w:rsid w:val="00614D91"/>
    <w:rsid w:val="006151C6"/>
    <w:rsid w:val="00615AB1"/>
    <w:rsid w:val="0061659B"/>
    <w:rsid w:val="0061694E"/>
    <w:rsid w:val="00616C0C"/>
    <w:rsid w:val="0061711C"/>
    <w:rsid w:val="0061726B"/>
    <w:rsid w:val="0061733D"/>
    <w:rsid w:val="00617A15"/>
    <w:rsid w:val="00617A6D"/>
    <w:rsid w:val="00617E56"/>
    <w:rsid w:val="00620072"/>
    <w:rsid w:val="00620115"/>
    <w:rsid w:val="006202CF"/>
    <w:rsid w:val="00620372"/>
    <w:rsid w:val="0062093C"/>
    <w:rsid w:val="00620A9B"/>
    <w:rsid w:val="006212A2"/>
    <w:rsid w:val="0062135A"/>
    <w:rsid w:val="00621620"/>
    <w:rsid w:val="00621A7B"/>
    <w:rsid w:val="00621D32"/>
    <w:rsid w:val="00622554"/>
    <w:rsid w:val="00622654"/>
    <w:rsid w:val="00622DBE"/>
    <w:rsid w:val="00622F34"/>
    <w:rsid w:val="006232DC"/>
    <w:rsid w:val="0062349D"/>
    <w:rsid w:val="00623781"/>
    <w:rsid w:val="00623843"/>
    <w:rsid w:val="00623B2D"/>
    <w:rsid w:val="00624105"/>
    <w:rsid w:val="0062414B"/>
    <w:rsid w:val="0062464C"/>
    <w:rsid w:val="00624891"/>
    <w:rsid w:val="00624A11"/>
    <w:rsid w:val="00624C38"/>
    <w:rsid w:val="00624E24"/>
    <w:rsid w:val="0062520E"/>
    <w:rsid w:val="00625259"/>
    <w:rsid w:val="006253E4"/>
    <w:rsid w:val="0062554A"/>
    <w:rsid w:val="00625B02"/>
    <w:rsid w:val="00625E46"/>
    <w:rsid w:val="00626088"/>
    <w:rsid w:val="00626CB6"/>
    <w:rsid w:val="006277E9"/>
    <w:rsid w:val="00627B91"/>
    <w:rsid w:val="00630076"/>
    <w:rsid w:val="00630149"/>
    <w:rsid w:val="00630309"/>
    <w:rsid w:val="0063083D"/>
    <w:rsid w:val="0063094F"/>
    <w:rsid w:val="00630B0F"/>
    <w:rsid w:val="00630BBB"/>
    <w:rsid w:val="00630C18"/>
    <w:rsid w:val="00630E41"/>
    <w:rsid w:val="006310C3"/>
    <w:rsid w:val="00631359"/>
    <w:rsid w:val="00631367"/>
    <w:rsid w:val="006313EC"/>
    <w:rsid w:val="006319B3"/>
    <w:rsid w:val="00631F04"/>
    <w:rsid w:val="006320D8"/>
    <w:rsid w:val="006326F1"/>
    <w:rsid w:val="00632936"/>
    <w:rsid w:val="00632A6D"/>
    <w:rsid w:val="00632B31"/>
    <w:rsid w:val="00632D80"/>
    <w:rsid w:val="00632EAB"/>
    <w:rsid w:val="00632F78"/>
    <w:rsid w:val="0063312E"/>
    <w:rsid w:val="006331AE"/>
    <w:rsid w:val="0063367A"/>
    <w:rsid w:val="0063371D"/>
    <w:rsid w:val="006339D1"/>
    <w:rsid w:val="00633BB8"/>
    <w:rsid w:val="00633BC7"/>
    <w:rsid w:val="00633E29"/>
    <w:rsid w:val="00633F25"/>
    <w:rsid w:val="006344CF"/>
    <w:rsid w:val="006347A7"/>
    <w:rsid w:val="00634978"/>
    <w:rsid w:val="00634DF4"/>
    <w:rsid w:val="0063528C"/>
    <w:rsid w:val="00635B67"/>
    <w:rsid w:val="00635C50"/>
    <w:rsid w:val="00635FD4"/>
    <w:rsid w:val="0063621E"/>
    <w:rsid w:val="0063656E"/>
    <w:rsid w:val="00636654"/>
    <w:rsid w:val="0063679A"/>
    <w:rsid w:val="00636819"/>
    <w:rsid w:val="00636B38"/>
    <w:rsid w:val="00636D8B"/>
    <w:rsid w:val="00636DBD"/>
    <w:rsid w:val="00636EFA"/>
    <w:rsid w:val="00636F90"/>
    <w:rsid w:val="00637154"/>
    <w:rsid w:val="00637172"/>
    <w:rsid w:val="0063726F"/>
    <w:rsid w:val="006373B9"/>
    <w:rsid w:val="0063740A"/>
    <w:rsid w:val="0063751F"/>
    <w:rsid w:val="00637931"/>
    <w:rsid w:val="00640000"/>
    <w:rsid w:val="00640222"/>
    <w:rsid w:val="00640371"/>
    <w:rsid w:val="006404CD"/>
    <w:rsid w:val="00640780"/>
    <w:rsid w:val="00640897"/>
    <w:rsid w:val="00640A46"/>
    <w:rsid w:val="006411AA"/>
    <w:rsid w:val="006414F4"/>
    <w:rsid w:val="00641579"/>
    <w:rsid w:val="006418C4"/>
    <w:rsid w:val="00641B21"/>
    <w:rsid w:val="00641CD7"/>
    <w:rsid w:val="00641E29"/>
    <w:rsid w:val="00641E59"/>
    <w:rsid w:val="00641E96"/>
    <w:rsid w:val="00642045"/>
    <w:rsid w:val="00642607"/>
    <w:rsid w:val="006426B5"/>
    <w:rsid w:val="00642713"/>
    <w:rsid w:val="0064279D"/>
    <w:rsid w:val="00643016"/>
    <w:rsid w:val="006430E8"/>
    <w:rsid w:val="0064353D"/>
    <w:rsid w:val="00643601"/>
    <w:rsid w:val="00643681"/>
    <w:rsid w:val="00643994"/>
    <w:rsid w:val="00643A1A"/>
    <w:rsid w:val="00643D90"/>
    <w:rsid w:val="00643DFB"/>
    <w:rsid w:val="00644192"/>
    <w:rsid w:val="00644554"/>
    <w:rsid w:val="00644964"/>
    <w:rsid w:val="00644C04"/>
    <w:rsid w:val="00644C56"/>
    <w:rsid w:val="00644CC5"/>
    <w:rsid w:val="00644F3B"/>
    <w:rsid w:val="00644FEA"/>
    <w:rsid w:val="0064525C"/>
    <w:rsid w:val="006457C8"/>
    <w:rsid w:val="00645BD5"/>
    <w:rsid w:val="00645D21"/>
    <w:rsid w:val="00646199"/>
    <w:rsid w:val="006464DB"/>
    <w:rsid w:val="0064681D"/>
    <w:rsid w:val="00646D8A"/>
    <w:rsid w:val="00646DE7"/>
    <w:rsid w:val="00647302"/>
    <w:rsid w:val="00647330"/>
    <w:rsid w:val="00647386"/>
    <w:rsid w:val="00647744"/>
    <w:rsid w:val="00647D1B"/>
    <w:rsid w:val="00647E03"/>
    <w:rsid w:val="006503C8"/>
    <w:rsid w:val="006506DE"/>
    <w:rsid w:val="006508B7"/>
    <w:rsid w:val="00650A8D"/>
    <w:rsid w:val="00650CB8"/>
    <w:rsid w:val="00650E4F"/>
    <w:rsid w:val="00650EE8"/>
    <w:rsid w:val="006511CC"/>
    <w:rsid w:val="006516E6"/>
    <w:rsid w:val="00651828"/>
    <w:rsid w:val="00651AD0"/>
    <w:rsid w:val="00652079"/>
    <w:rsid w:val="006520BB"/>
    <w:rsid w:val="0065212A"/>
    <w:rsid w:val="00652146"/>
    <w:rsid w:val="006523BA"/>
    <w:rsid w:val="0065250C"/>
    <w:rsid w:val="0065257A"/>
    <w:rsid w:val="00652ACC"/>
    <w:rsid w:val="0065309F"/>
    <w:rsid w:val="0065321A"/>
    <w:rsid w:val="006532B3"/>
    <w:rsid w:val="006532CC"/>
    <w:rsid w:val="0065339D"/>
    <w:rsid w:val="006533FF"/>
    <w:rsid w:val="00653510"/>
    <w:rsid w:val="006535B3"/>
    <w:rsid w:val="006535E8"/>
    <w:rsid w:val="006536A8"/>
    <w:rsid w:val="00653BA3"/>
    <w:rsid w:val="00653E22"/>
    <w:rsid w:val="00653F7F"/>
    <w:rsid w:val="00654078"/>
    <w:rsid w:val="0065415C"/>
    <w:rsid w:val="00654AB9"/>
    <w:rsid w:val="00654E20"/>
    <w:rsid w:val="00654F9B"/>
    <w:rsid w:val="0065515F"/>
    <w:rsid w:val="00655206"/>
    <w:rsid w:val="00655219"/>
    <w:rsid w:val="00655690"/>
    <w:rsid w:val="006556D0"/>
    <w:rsid w:val="0065575F"/>
    <w:rsid w:val="006557BA"/>
    <w:rsid w:val="00655A3A"/>
    <w:rsid w:val="00655B3A"/>
    <w:rsid w:val="00655D1C"/>
    <w:rsid w:val="006561D7"/>
    <w:rsid w:val="006563FA"/>
    <w:rsid w:val="0065656C"/>
    <w:rsid w:val="0065663C"/>
    <w:rsid w:val="006567B2"/>
    <w:rsid w:val="0065691D"/>
    <w:rsid w:val="00656B10"/>
    <w:rsid w:val="00656CCA"/>
    <w:rsid w:val="00657174"/>
    <w:rsid w:val="00657859"/>
    <w:rsid w:val="00657952"/>
    <w:rsid w:val="00657969"/>
    <w:rsid w:val="0066011E"/>
    <w:rsid w:val="00660142"/>
    <w:rsid w:val="006613F9"/>
    <w:rsid w:val="0066142A"/>
    <w:rsid w:val="006615E5"/>
    <w:rsid w:val="006619D0"/>
    <w:rsid w:val="00661B3B"/>
    <w:rsid w:val="00661DCB"/>
    <w:rsid w:val="006621D7"/>
    <w:rsid w:val="00662364"/>
    <w:rsid w:val="006625E6"/>
    <w:rsid w:val="006626A9"/>
    <w:rsid w:val="006626F4"/>
    <w:rsid w:val="0066291C"/>
    <w:rsid w:val="00663565"/>
    <w:rsid w:val="0066366D"/>
    <w:rsid w:val="00663734"/>
    <w:rsid w:val="006638B1"/>
    <w:rsid w:val="00663D0F"/>
    <w:rsid w:val="00663D9F"/>
    <w:rsid w:val="00663E52"/>
    <w:rsid w:val="00663E6D"/>
    <w:rsid w:val="006641B8"/>
    <w:rsid w:val="006641F4"/>
    <w:rsid w:val="00664556"/>
    <w:rsid w:val="00664933"/>
    <w:rsid w:val="0066496D"/>
    <w:rsid w:val="00664BE6"/>
    <w:rsid w:val="00664C36"/>
    <w:rsid w:val="0066508E"/>
    <w:rsid w:val="006650D5"/>
    <w:rsid w:val="00665521"/>
    <w:rsid w:val="0066566F"/>
    <w:rsid w:val="00665870"/>
    <w:rsid w:val="006659E8"/>
    <w:rsid w:val="00665BA7"/>
    <w:rsid w:val="00665C13"/>
    <w:rsid w:val="00665C46"/>
    <w:rsid w:val="00665E37"/>
    <w:rsid w:val="0066613B"/>
    <w:rsid w:val="006662B7"/>
    <w:rsid w:val="0066649D"/>
    <w:rsid w:val="0066686C"/>
    <w:rsid w:val="00666B94"/>
    <w:rsid w:val="00667367"/>
    <w:rsid w:val="006676B7"/>
    <w:rsid w:val="0066782D"/>
    <w:rsid w:val="00667986"/>
    <w:rsid w:val="00667E19"/>
    <w:rsid w:val="00670588"/>
    <w:rsid w:val="006709E1"/>
    <w:rsid w:val="00670B49"/>
    <w:rsid w:val="00670D5C"/>
    <w:rsid w:val="00670E35"/>
    <w:rsid w:val="00671466"/>
    <w:rsid w:val="00671539"/>
    <w:rsid w:val="00671BB2"/>
    <w:rsid w:val="00672963"/>
    <w:rsid w:val="00672EBD"/>
    <w:rsid w:val="006734F4"/>
    <w:rsid w:val="00673599"/>
    <w:rsid w:val="0067392E"/>
    <w:rsid w:val="00673A69"/>
    <w:rsid w:val="00673AC8"/>
    <w:rsid w:val="006744EA"/>
    <w:rsid w:val="00674590"/>
    <w:rsid w:val="00674715"/>
    <w:rsid w:val="00674A34"/>
    <w:rsid w:val="00674BAC"/>
    <w:rsid w:val="00674FDE"/>
    <w:rsid w:val="00675708"/>
    <w:rsid w:val="00675900"/>
    <w:rsid w:val="006759CC"/>
    <w:rsid w:val="00675A53"/>
    <w:rsid w:val="00675F5D"/>
    <w:rsid w:val="00676034"/>
    <w:rsid w:val="006766DC"/>
    <w:rsid w:val="006766FB"/>
    <w:rsid w:val="00676963"/>
    <w:rsid w:val="006769D0"/>
    <w:rsid w:val="00676B61"/>
    <w:rsid w:val="00676D4E"/>
    <w:rsid w:val="0067722E"/>
    <w:rsid w:val="0067737A"/>
    <w:rsid w:val="00677570"/>
    <w:rsid w:val="0067770D"/>
    <w:rsid w:val="00677A66"/>
    <w:rsid w:val="00677AA6"/>
    <w:rsid w:val="00677CF5"/>
    <w:rsid w:val="00677DF4"/>
    <w:rsid w:val="00677E2D"/>
    <w:rsid w:val="00677E93"/>
    <w:rsid w:val="006801C3"/>
    <w:rsid w:val="0068095C"/>
    <w:rsid w:val="00680A45"/>
    <w:rsid w:val="00680B91"/>
    <w:rsid w:val="00680C3C"/>
    <w:rsid w:val="00680FEF"/>
    <w:rsid w:val="0068126E"/>
    <w:rsid w:val="00681335"/>
    <w:rsid w:val="00681514"/>
    <w:rsid w:val="006815DB"/>
    <w:rsid w:val="00681723"/>
    <w:rsid w:val="00681C1D"/>
    <w:rsid w:val="00681E78"/>
    <w:rsid w:val="006822F3"/>
    <w:rsid w:val="006824B5"/>
    <w:rsid w:val="00682576"/>
    <w:rsid w:val="00682849"/>
    <w:rsid w:val="006828F0"/>
    <w:rsid w:val="00683052"/>
    <w:rsid w:val="0068310D"/>
    <w:rsid w:val="0068335D"/>
    <w:rsid w:val="006837F0"/>
    <w:rsid w:val="00683AB1"/>
    <w:rsid w:val="00683DCD"/>
    <w:rsid w:val="00684150"/>
    <w:rsid w:val="0068425E"/>
    <w:rsid w:val="00684693"/>
    <w:rsid w:val="00685114"/>
    <w:rsid w:val="006853B4"/>
    <w:rsid w:val="0068543A"/>
    <w:rsid w:val="006854F1"/>
    <w:rsid w:val="006855D7"/>
    <w:rsid w:val="006856E4"/>
    <w:rsid w:val="00685812"/>
    <w:rsid w:val="00685935"/>
    <w:rsid w:val="00685ADB"/>
    <w:rsid w:val="00685B20"/>
    <w:rsid w:val="00685EC7"/>
    <w:rsid w:val="0068617A"/>
    <w:rsid w:val="006862D3"/>
    <w:rsid w:val="006865B9"/>
    <w:rsid w:val="006866E1"/>
    <w:rsid w:val="00686774"/>
    <w:rsid w:val="00686C9F"/>
    <w:rsid w:val="0068724C"/>
    <w:rsid w:val="00687271"/>
    <w:rsid w:val="006874BC"/>
    <w:rsid w:val="00687D90"/>
    <w:rsid w:val="00687DA7"/>
    <w:rsid w:val="00690108"/>
    <w:rsid w:val="006907D9"/>
    <w:rsid w:val="0069094E"/>
    <w:rsid w:val="006915A3"/>
    <w:rsid w:val="00691818"/>
    <w:rsid w:val="00691962"/>
    <w:rsid w:val="006919D1"/>
    <w:rsid w:val="00691A67"/>
    <w:rsid w:val="00691C5A"/>
    <w:rsid w:val="00691D67"/>
    <w:rsid w:val="00691FB5"/>
    <w:rsid w:val="0069229F"/>
    <w:rsid w:val="0069258C"/>
    <w:rsid w:val="0069335C"/>
    <w:rsid w:val="006938EA"/>
    <w:rsid w:val="00694487"/>
    <w:rsid w:val="00694522"/>
    <w:rsid w:val="00694B55"/>
    <w:rsid w:val="00694D8B"/>
    <w:rsid w:val="00694FB8"/>
    <w:rsid w:val="00695357"/>
    <w:rsid w:val="0069543B"/>
    <w:rsid w:val="00695509"/>
    <w:rsid w:val="00695BDD"/>
    <w:rsid w:val="00695C31"/>
    <w:rsid w:val="00695EE6"/>
    <w:rsid w:val="00695F45"/>
    <w:rsid w:val="00695F63"/>
    <w:rsid w:val="006965C1"/>
    <w:rsid w:val="00696BB4"/>
    <w:rsid w:val="00696C63"/>
    <w:rsid w:val="00696CF9"/>
    <w:rsid w:val="00696D06"/>
    <w:rsid w:val="00696D39"/>
    <w:rsid w:val="0069705C"/>
    <w:rsid w:val="006970CC"/>
    <w:rsid w:val="00697387"/>
    <w:rsid w:val="0069740F"/>
    <w:rsid w:val="00697A4F"/>
    <w:rsid w:val="00697B97"/>
    <w:rsid w:val="006A0089"/>
    <w:rsid w:val="006A0380"/>
    <w:rsid w:val="006A0735"/>
    <w:rsid w:val="006A073B"/>
    <w:rsid w:val="006A095C"/>
    <w:rsid w:val="006A0B48"/>
    <w:rsid w:val="006A1035"/>
    <w:rsid w:val="006A1211"/>
    <w:rsid w:val="006A1424"/>
    <w:rsid w:val="006A1923"/>
    <w:rsid w:val="006A194C"/>
    <w:rsid w:val="006A19A6"/>
    <w:rsid w:val="006A1C6D"/>
    <w:rsid w:val="006A1D5E"/>
    <w:rsid w:val="006A255E"/>
    <w:rsid w:val="006A2984"/>
    <w:rsid w:val="006A2D29"/>
    <w:rsid w:val="006A2EF5"/>
    <w:rsid w:val="006A3272"/>
    <w:rsid w:val="006A3707"/>
    <w:rsid w:val="006A3D41"/>
    <w:rsid w:val="006A4516"/>
    <w:rsid w:val="006A451A"/>
    <w:rsid w:val="006A48C6"/>
    <w:rsid w:val="006A498D"/>
    <w:rsid w:val="006A4998"/>
    <w:rsid w:val="006A4A52"/>
    <w:rsid w:val="006A4B76"/>
    <w:rsid w:val="006A4DB5"/>
    <w:rsid w:val="006A5303"/>
    <w:rsid w:val="006A550C"/>
    <w:rsid w:val="006A582F"/>
    <w:rsid w:val="006A5C32"/>
    <w:rsid w:val="006A5E04"/>
    <w:rsid w:val="006A5FBD"/>
    <w:rsid w:val="006A618E"/>
    <w:rsid w:val="006A659F"/>
    <w:rsid w:val="006A6AB1"/>
    <w:rsid w:val="006A6ABB"/>
    <w:rsid w:val="006A6B20"/>
    <w:rsid w:val="006A6B79"/>
    <w:rsid w:val="006A71EE"/>
    <w:rsid w:val="006A72B6"/>
    <w:rsid w:val="006A781A"/>
    <w:rsid w:val="006A7A21"/>
    <w:rsid w:val="006A7B0B"/>
    <w:rsid w:val="006B0199"/>
    <w:rsid w:val="006B08AF"/>
    <w:rsid w:val="006B0933"/>
    <w:rsid w:val="006B0AC8"/>
    <w:rsid w:val="006B0B50"/>
    <w:rsid w:val="006B0FB9"/>
    <w:rsid w:val="006B1040"/>
    <w:rsid w:val="006B1224"/>
    <w:rsid w:val="006B195C"/>
    <w:rsid w:val="006B1BC0"/>
    <w:rsid w:val="006B1D5B"/>
    <w:rsid w:val="006B2082"/>
    <w:rsid w:val="006B222A"/>
    <w:rsid w:val="006B2DBC"/>
    <w:rsid w:val="006B2E8E"/>
    <w:rsid w:val="006B3151"/>
    <w:rsid w:val="006B31F4"/>
    <w:rsid w:val="006B3255"/>
    <w:rsid w:val="006B34E6"/>
    <w:rsid w:val="006B3861"/>
    <w:rsid w:val="006B3CB9"/>
    <w:rsid w:val="006B4650"/>
    <w:rsid w:val="006B469E"/>
    <w:rsid w:val="006B4875"/>
    <w:rsid w:val="006B5062"/>
    <w:rsid w:val="006B55A0"/>
    <w:rsid w:val="006B568D"/>
    <w:rsid w:val="006B58A4"/>
    <w:rsid w:val="006B5A9C"/>
    <w:rsid w:val="006B5BF1"/>
    <w:rsid w:val="006B5F2E"/>
    <w:rsid w:val="006B6309"/>
    <w:rsid w:val="006B6432"/>
    <w:rsid w:val="006B6434"/>
    <w:rsid w:val="006B6750"/>
    <w:rsid w:val="006B6D2D"/>
    <w:rsid w:val="006B6DF3"/>
    <w:rsid w:val="006B71FD"/>
    <w:rsid w:val="006B726C"/>
    <w:rsid w:val="006B72AC"/>
    <w:rsid w:val="006B7624"/>
    <w:rsid w:val="006B7E51"/>
    <w:rsid w:val="006C00CD"/>
    <w:rsid w:val="006C0342"/>
    <w:rsid w:val="006C0531"/>
    <w:rsid w:val="006C05ED"/>
    <w:rsid w:val="006C06C3"/>
    <w:rsid w:val="006C06F4"/>
    <w:rsid w:val="006C0C70"/>
    <w:rsid w:val="006C0DB8"/>
    <w:rsid w:val="006C0ECA"/>
    <w:rsid w:val="006C14BD"/>
    <w:rsid w:val="006C1977"/>
    <w:rsid w:val="006C1C13"/>
    <w:rsid w:val="006C1D40"/>
    <w:rsid w:val="006C20A4"/>
    <w:rsid w:val="006C212C"/>
    <w:rsid w:val="006C22F3"/>
    <w:rsid w:val="006C286D"/>
    <w:rsid w:val="006C2C1C"/>
    <w:rsid w:val="006C300E"/>
    <w:rsid w:val="006C32EE"/>
    <w:rsid w:val="006C34E0"/>
    <w:rsid w:val="006C3F71"/>
    <w:rsid w:val="006C40AE"/>
    <w:rsid w:val="006C47D7"/>
    <w:rsid w:val="006C49DF"/>
    <w:rsid w:val="006C4BF4"/>
    <w:rsid w:val="006C4EC9"/>
    <w:rsid w:val="006C5158"/>
    <w:rsid w:val="006C518A"/>
    <w:rsid w:val="006C53B7"/>
    <w:rsid w:val="006C56C1"/>
    <w:rsid w:val="006C5900"/>
    <w:rsid w:val="006C592D"/>
    <w:rsid w:val="006C596B"/>
    <w:rsid w:val="006C5C24"/>
    <w:rsid w:val="006C5D68"/>
    <w:rsid w:val="006C5D7D"/>
    <w:rsid w:val="006C650F"/>
    <w:rsid w:val="006C66B2"/>
    <w:rsid w:val="006C6702"/>
    <w:rsid w:val="006C6863"/>
    <w:rsid w:val="006C774C"/>
    <w:rsid w:val="006C7868"/>
    <w:rsid w:val="006C78E6"/>
    <w:rsid w:val="006C7C8E"/>
    <w:rsid w:val="006C7CBE"/>
    <w:rsid w:val="006D0297"/>
    <w:rsid w:val="006D02E3"/>
    <w:rsid w:val="006D032C"/>
    <w:rsid w:val="006D06A2"/>
    <w:rsid w:val="006D06AA"/>
    <w:rsid w:val="006D0DD6"/>
    <w:rsid w:val="006D0DDE"/>
    <w:rsid w:val="006D0DE9"/>
    <w:rsid w:val="006D1879"/>
    <w:rsid w:val="006D1A93"/>
    <w:rsid w:val="006D2E54"/>
    <w:rsid w:val="006D33D7"/>
    <w:rsid w:val="006D3816"/>
    <w:rsid w:val="006D39E5"/>
    <w:rsid w:val="006D3A3B"/>
    <w:rsid w:val="006D3EB8"/>
    <w:rsid w:val="006D40E6"/>
    <w:rsid w:val="006D4235"/>
    <w:rsid w:val="006D435A"/>
    <w:rsid w:val="006D4602"/>
    <w:rsid w:val="006D4711"/>
    <w:rsid w:val="006D4AAA"/>
    <w:rsid w:val="006D4F7F"/>
    <w:rsid w:val="006D52B6"/>
    <w:rsid w:val="006D569F"/>
    <w:rsid w:val="006D572D"/>
    <w:rsid w:val="006D5B5F"/>
    <w:rsid w:val="006D5CC3"/>
    <w:rsid w:val="006D5EAA"/>
    <w:rsid w:val="006D5EEB"/>
    <w:rsid w:val="006D5F21"/>
    <w:rsid w:val="006D6002"/>
    <w:rsid w:val="006D67F3"/>
    <w:rsid w:val="006D7173"/>
    <w:rsid w:val="006D7242"/>
    <w:rsid w:val="006D72AA"/>
    <w:rsid w:val="006D72F1"/>
    <w:rsid w:val="006D750A"/>
    <w:rsid w:val="006D77B6"/>
    <w:rsid w:val="006D7866"/>
    <w:rsid w:val="006D78FB"/>
    <w:rsid w:val="006D7F7A"/>
    <w:rsid w:val="006E0492"/>
    <w:rsid w:val="006E07FE"/>
    <w:rsid w:val="006E0801"/>
    <w:rsid w:val="006E115D"/>
    <w:rsid w:val="006E12DC"/>
    <w:rsid w:val="006E18E6"/>
    <w:rsid w:val="006E1FA0"/>
    <w:rsid w:val="006E212B"/>
    <w:rsid w:val="006E2201"/>
    <w:rsid w:val="006E25B2"/>
    <w:rsid w:val="006E26BC"/>
    <w:rsid w:val="006E29B4"/>
    <w:rsid w:val="006E2B0B"/>
    <w:rsid w:val="006E2BAB"/>
    <w:rsid w:val="006E2F7E"/>
    <w:rsid w:val="006E302F"/>
    <w:rsid w:val="006E3207"/>
    <w:rsid w:val="006E3415"/>
    <w:rsid w:val="006E3739"/>
    <w:rsid w:val="006E3A40"/>
    <w:rsid w:val="006E3C13"/>
    <w:rsid w:val="006E3D1C"/>
    <w:rsid w:val="006E3DF4"/>
    <w:rsid w:val="006E4C10"/>
    <w:rsid w:val="006E5027"/>
    <w:rsid w:val="006E546A"/>
    <w:rsid w:val="006E5E8D"/>
    <w:rsid w:val="006E608D"/>
    <w:rsid w:val="006E6267"/>
    <w:rsid w:val="006E6435"/>
    <w:rsid w:val="006E64AA"/>
    <w:rsid w:val="006E6933"/>
    <w:rsid w:val="006E69E8"/>
    <w:rsid w:val="006E6A3D"/>
    <w:rsid w:val="006E6C08"/>
    <w:rsid w:val="006E6E0E"/>
    <w:rsid w:val="006E6FE0"/>
    <w:rsid w:val="006E707D"/>
    <w:rsid w:val="006E7137"/>
    <w:rsid w:val="006E71FE"/>
    <w:rsid w:val="006E7557"/>
    <w:rsid w:val="006E75E1"/>
    <w:rsid w:val="006E7CF8"/>
    <w:rsid w:val="006E7E2C"/>
    <w:rsid w:val="006F0050"/>
    <w:rsid w:val="006F005F"/>
    <w:rsid w:val="006F00CD"/>
    <w:rsid w:val="006F0938"/>
    <w:rsid w:val="006F0C1C"/>
    <w:rsid w:val="006F1059"/>
    <w:rsid w:val="006F146C"/>
    <w:rsid w:val="006F1B82"/>
    <w:rsid w:val="006F1CC7"/>
    <w:rsid w:val="006F1E5A"/>
    <w:rsid w:val="006F1EB5"/>
    <w:rsid w:val="006F1FFF"/>
    <w:rsid w:val="006F23C4"/>
    <w:rsid w:val="006F26B0"/>
    <w:rsid w:val="006F28D4"/>
    <w:rsid w:val="006F2D2C"/>
    <w:rsid w:val="006F2D5F"/>
    <w:rsid w:val="006F2F62"/>
    <w:rsid w:val="006F33DA"/>
    <w:rsid w:val="006F33E6"/>
    <w:rsid w:val="006F33F4"/>
    <w:rsid w:val="006F36C9"/>
    <w:rsid w:val="006F37CF"/>
    <w:rsid w:val="006F3AD7"/>
    <w:rsid w:val="006F48F8"/>
    <w:rsid w:val="006F494F"/>
    <w:rsid w:val="006F4EED"/>
    <w:rsid w:val="006F4F87"/>
    <w:rsid w:val="006F4FC8"/>
    <w:rsid w:val="006F5477"/>
    <w:rsid w:val="006F58FA"/>
    <w:rsid w:val="006F59AF"/>
    <w:rsid w:val="006F695D"/>
    <w:rsid w:val="006F6993"/>
    <w:rsid w:val="006F6AFA"/>
    <w:rsid w:val="006F6D10"/>
    <w:rsid w:val="006F7D58"/>
    <w:rsid w:val="00700295"/>
    <w:rsid w:val="007004BD"/>
    <w:rsid w:val="0070059C"/>
    <w:rsid w:val="007005B0"/>
    <w:rsid w:val="007009EB"/>
    <w:rsid w:val="007017AD"/>
    <w:rsid w:val="0070190E"/>
    <w:rsid w:val="00701932"/>
    <w:rsid w:val="007019F7"/>
    <w:rsid w:val="00701DF1"/>
    <w:rsid w:val="00701FF1"/>
    <w:rsid w:val="00702299"/>
    <w:rsid w:val="007023C6"/>
    <w:rsid w:val="00702BD7"/>
    <w:rsid w:val="00702DC7"/>
    <w:rsid w:val="00703029"/>
    <w:rsid w:val="007036C0"/>
    <w:rsid w:val="0070375E"/>
    <w:rsid w:val="0070390D"/>
    <w:rsid w:val="00703A3A"/>
    <w:rsid w:val="00703D05"/>
    <w:rsid w:val="00703E2E"/>
    <w:rsid w:val="007044DF"/>
    <w:rsid w:val="0070467C"/>
    <w:rsid w:val="00704824"/>
    <w:rsid w:val="00704873"/>
    <w:rsid w:val="00704925"/>
    <w:rsid w:val="00704A05"/>
    <w:rsid w:val="00705306"/>
    <w:rsid w:val="007054A2"/>
    <w:rsid w:val="007056D7"/>
    <w:rsid w:val="007058C0"/>
    <w:rsid w:val="00705ACF"/>
    <w:rsid w:val="00705F7D"/>
    <w:rsid w:val="00706122"/>
    <w:rsid w:val="0070656D"/>
    <w:rsid w:val="007067D1"/>
    <w:rsid w:val="007067E4"/>
    <w:rsid w:val="00706838"/>
    <w:rsid w:val="00706BFD"/>
    <w:rsid w:val="00706C5C"/>
    <w:rsid w:val="00706FF1"/>
    <w:rsid w:val="007071DB"/>
    <w:rsid w:val="00707B20"/>
    <w:rsid w:val="00707C6B"/>
    <w:rsid w:val="00707DEE"/>
    <w:rsid w:val="0071036D"/>
    <w:rsid w:val="007103F4"/>
    <w:rsid w:val="00710444"/>
    <w:rsid w:val="0071079F"/>
    <w:rsid w:val="00710B0E"/>
    <w:rsid w:val="00710CCF"/>
    <w:rsid w:val="00710DD5"/>
    <w:rsid w:val="00710EAE"/>
    <w:rsid w:val="00711725"/>
    <w:rsid w:val="0071182E"/>
    <w:rsid w:val="00711AAA"/>
    <w:rsid w:val="00711C18"/>
    <w:rsid w:val="007121A7"/>
    <w:rsid w:val="007121F8"/>
    <w:rsid w:val="00712415"/>
    <w:rsid w:val="0071267C"/>
    <w:rsid w:val="00712A48"/>
    <w:rsid w:val="00712ABC"/>
    <w:rsid w:val="00712B94"/>
    <w:rsid w:val="00712F6D"/>
    <w:rsid w:val="00713745"/>
    <w:rsid w:val="00714018"/>
    <w:rsid w:val="0071421E"/>
    <w:rsid w:val="007144F1"/>
    <w:rsid w:val="0071454D"/>
    <w:rsid w:val="00714A45"/>
    <w:rsid w:val="00714F22"/>
    <w:rsid w:val="0071560F"/>
    <w:rsid w:val="007157CF"/>
    <w:rsid w:val="0071593A"/>
    <w:rsid w:val="00715D81"/>
    <w:rsid w:val="00715E18"/>
    <w:rsid w:val="007160A9"/>
    <w:rsid w:val="00716259"/>
    <w:rsid w:val="0071628F"/>
    <w:rsid w:val="0071689D"/>
    <w:rsid w:val="007168C1"/>
    <w:rsid w:val="00716944"/>
    <w:rsid w:val="00716A66"/>
    <w:rsid w:val="00716B1A"/>
    <w:rsid w:val="00717148"/>
    <w:rsid w:val="007175A5"/>
    <w:rsid w:val="00717B26"/>
    <w:rsid w:val="00717C30"/>
    <w:rsid w:val="007202B9"/>
    <w:rsid w:val="0072048F"/>
    <w:rsid w:val="0072067B"/>
    <w:rsid w:val="00720875"/>
    <w:rsid w:val="00720B22"/>
    <w:rsid w:val="00720B51"/>
    <w:rsid w:val="00721110"/>
    <w:rsid w:val="00721144"/>
    <w:rsid w:val="00721454"/>
    <w:rsid w:val="00721642"/>
    <w:rsid w:val="00721A30"/>
    <w:rsid w:val="00721A92"/>
    <w:rsid w:val="00721A9E"/>
    <w:rsid w:val="00721C2A"/>
    <w:rsid w:val="00721CE2"/>
    <w:rsid w:val="00721E66"/>
    <w:rsid w:val="00721FF9"/>
    <w:rsid w:val="007220FC"/>
    <w:rsid w:val="00722487"/>
    <w:rsid w:val="007224EE"/>
    <w:rsid w:val="00722CA1"/>
    <w:rsid w:val="00722E09"/>
    <w:rsid w:val="0072303B"/>
    <w:rsid w:val="007233FF"/>
    <w:rsid w:val="00723491"/>
    <w:rsid w:val="007235B2"/>
    <w:rsid w:val="0072372A"/>
    <w:rsid w:val="0072372C"/>
    <w:rsid w:val="00723784"/>
    <w:rsid w:val="00723A79"/>
    <w:rsid w:val="00723EB6"/>
    <w:rsid w:val="007240CB"/>
    <w:rsid w:val="007249C5"/>
    <w:rsid w:val="00725560"/>
    <w:rsid w:val="00725A59"/>
    <w:rsid w:val="0072646F"/>
    <w:rsid w:val="00726B36"/>
    <w:rsid w:val="00726E00"/>
    <w:rsid w:val="00726E97"/>
    <w:rsid w:val="00726EFD"/>
    <w:rsid w:val="00726F90"/>
    <w:rsid w:val="00727170"/>
    <w:rsid w:val="007272DB"/>
    <w:rsid w:val="0072732E"/>
    <w:rsid w:val="00727865"/>
    <w:rsid w:val="00727ABA"/>
    <w:rsid w:val="0073038D"/>
    <w:rsid w:val="00730651"/>
    <w:rsid w:val="007306BF"/>
    <w:rsid w:val="0073078B"/>
    <w:rsid w:val="00730965"/>
    <w:rsid w:val="00730A15"/>
    <w:rsid w:val="00731080"/>
    <w:rsid w:val="00731231"/>
    <w:rsid w:val="00731923"/>
    <w:rsid w:val="00731B36"/>
    <w:rsid w:val="00731B89"/>
    <w:rsid w:val="00731D4F"/>
    <w:rsid w:val="007323C3"/>
    <w:rsid w:val="0073267C"/>
    <w:rsid w:val="00732A51"/>
    <w:rsid w:val="00732B16"/>
    <w:rsid w:val="00732B7E"/>
    <w:rsid w:val="00732DBD"/>
    <w:rsid w:val="00732F47"/>
    <w:rsid w:val="007336F8"/>
    <w:rsid w:val="00733735"/>
    <w:rsid w:val="0073386C"/>
    <w:rsid w:val="0073389A"/>
    <w:rsid w:val="00733C49"/>
    <w:rsid w:val="00734A00"/>
    <w:rsid w:val="00734D92"/>
    <w:rsid w:val="0073531C"/>
    <w:rsid w:val="00735456"/>
    <w:rsid w:val="007354C8"/>
    <w:rsid w:val="007359DA"/>
    <w:rsid w:val="00735CAC"/>
    <w:rsid w:val="007360FC"/>
    <w:rsid w:val="00736564"/>
    <w:rsid w:val="0073676D"/>
    <w:rsid w:val="00736CAF"/>
    <w:rsid w:val="00736CC4"/>
    <w:rsid w:val="00736EBF"/>
    <w:rsid w:val="00736EF1"/>
    <w:rsid w:val="00737349"/>
    <w:rsid w:val="0073753F"/>
    <w:rsid w:val="0073799F"/>
    <w:rsid w:val="00737CB8"/>
    <w:rsid w:val="00737E71"/>
    <w:rsid w:val="00737FB1"/>
    <w:rsid w:val="007400C7"/>
    <w:rsid w:val="00740311"/>
    <w:rsid w:val="0074036D"/>
    <w:rsid w:val="007405AD"/>
    <w:rsid w:val="00740627"/>
    <w:rsid w:val="00740809"/>
    <w:rsid w:val="0074098B"/>
    <w:rsid w:val="00740B25"/>
    <w:rsid w:val="00740C36"/>
    <w:rsid w:val="00740E8A"/>
    <w:rsid w:val="00741266"/>
    <w:rsid w:val="00741453"/>
    <w:rsid w:val="00741759"/>
    <w:rsid w:val="007417AA"/>
    <w:rsid w:val="00741861"/>
    <w:rsid w:val="00741975"/>
    <w:rsid w:val="007426E6"/>
    <w:rsid w:val="00742767"/>
    <w:rsid w:val="00742812"/>
    <w:rsid w:val="007428BF"/>
    <w:rsid w:val="00742DC1"/>
    <w:rsid w:val="00742F56"/>
    <w:rsid w:val="00742F9F"/>
    <w:rsid w:val="007431C9"/>
    <w:rsid w:val="00743670"/>
    <w:rsid w:val="007436B3"/>
    <w:rsid w:val="00743A13"/>
    <w:rsid w:val="00743BBC"/>
    <w:rsid w:val="00743FEF"/>
    <w:rsid w:val="00744376"/>
    <w:rsid w:val="00744540"/>
    <w:rsid w:val="00744549"/>
    <w:rsid w:val="00744A10"/>
    <w:rsid w:val="00744BBF"/>
    <w:rsid w:val="00744D88"/>
    <w:rsid w:val="00745132"/>
    <w:rsid w:val="0074522D"/>
    <w:rsid w:val="007453A2"/>
    <w:rsid w:val="00745779"/>
    <w:rsid w:val="00745DFA"/>
    <w:rsid w:val="00746384"/>
    <w:rsid w:val="0074689C"/>
    <w:rsid w:val="00746E2F"/>
    <w:rsid w:val="00746E3B"/>
    <w:rsid w:val="00746EE1"/>
    <w:rsid w:val="0074753A"/>
    <w:rsid w:val="0074771F"/>
    <w:rsid w:val="00747833"/>
    <w:rsid w:val="007505DF"/>
    <w:rsid w:val="00750979"/>
    <w:rsid w:val="00750A04"/>
    <w:rsid w:val="00750D52"/>
    <w:rsid w:val="00751251"/>
    <w:rsid w:val="0075198B"/>
    <w:rsid w:val="00751B8C"/>
    <w:rsid w:val="00751BD3"/>
    <w:rsid w:val="00751D73"/>
    <w:rsid w:val="0075214F"/>
    <w:rsid w:val="007523F6"/>
    <w:rsid w:val="007529A2"/>
    <w:rsid w:val="00752A2E"/>
    <w:rsid w:val="00752EF3"/>
    <w:rsid w:val="00753084"/>
    <w:rsid w:val="00753168"/>
    <w:rsid w:val="007533E4"/>
    <w:rsid w:val="00753441"/>
    <w:rsid w:val="00753690"/>
    <w:rsid w:val="00753B71"/>
    <w:rsid w:val="00753C88"/>
    <w:rsid w:val="00753DEC"/>
    <w:rsid w:val="00754046"/>
    <w:rsid w:val="007549FC"/>
    <w:rsid w:val="00754EF4"/>
    <w:rsid w:val="00755237"/>
    <w:rsid w:val="0075566A"/>
    <w:rsid w:val="0075582B"/>
    <w:rsid w:val="00755F0A"/>
    <w:rsid w:val="00756075"/>
    <w:rsid w:val="00756892"/>
    <w:rsid w:val="007569E2"/>
    <w:rsid w:val="00756C5C"/>
    <w:rsid w:val="00756F42"/>
    <w:rsid w:val="00756FEB"/>
    <w:rsid w:val="0075701F"/>
    <w:rsid w:val="00757044"/>
    <w:rsid w:val="007573D8"/>
    <w:rsid w:val="0075758A"/>
    <w:rsid w:val="00757C77"/>
    <w:rsid w:val="00757F36"/>
    <w:rsid w:val="007603FA"/>
    <w:rsid w:val="007604B2"/>
    <w:rsid w:val="0076085F"/>
    <w:rsid w:val="0076096A"/>
    <w:rsid w:val="00760F84"/>
    <w:rsid w:val="007611C7"/>
    <w:rsid w:val="00761255"/>
    <w:rsid w:val="0076135D"/>
    <w:rsid w:val="007615E0"/>
    <w:rsid w:val="00761A50"/>
    <w:rsid w:val="00761B2E"/>
    <w:rsid w:val="00761B3C"/>
    <w:rsid w:val="00761B97"/>
    <w:rsid w:val="00762390"/>
    <w:rsid w:val="007626B7"/>
    <w:rsid w:val="007626CA"/>
    <w:rsid w:val="00762740"/>
    <w:rsid w:val="00762C65"/>
    <w:rsid w:val="0076314F"/>
    <w:rsid w:val="00763223"/>
    <w:rsid w:val="00763351"/>
    <w:rsid w:val="00763468"/>
    <w:rsid w:val="0076347C"/>
    <w:rsid w:val="007636F1"/>
    <w:rsid w:val="007639D9"/>
    <w:rsid w:val="00763C80"/>
    <w:rsid w:val="00763DB4"/>
    <w:rsid w:val="007641F4"/>
    <w:rsid w:val="00764221"/>
    <w:rsid w:val="00764421"/>
    <w:rsid w:val="007650AE"/>
    <w:rsid w:val="0076513C"/>
    <w:rsid w:val="0076515E"/>
    <w:rsid w:val="00765262"/>
    <w:rsid w:val="007654A2"/>
    <w:rsid w:val="007655D6"/>
    <w:rsid w:val="007655DB"/>
    <w:rsid w:val="0076569A"/>
    <w:rsid w:val="007657DC"/>
    <w:rsid w:val="007658E5"/>
    <w:rsid w:val="00765BD3"/>
    <w:rsid w:val="00765CA4"/>
    <w:rsid w:val="00765D73"/>
    <w:rsid w:val="00765EBA"/>
    <w:rsid w:val="00765EF4"/>
    <w:rsid w:val="00765F79"/>
    <w:rsid w:val="0076677B"/>
    <w:rsid w:val="007668C7"/>
    <w:rsid w:val="00766E1B"/>
    <w:rsid w:val="007671AB"/>
    <w:rsid w:val="00767357"/>
    <w:rsid w:val="007674D4"/>
    <w:rsid w:val="007675EE"/>
    <w:rsid w:val="00767CAB"/>
    <w:rsid w:val="00767EF9"/>
    <w:rsid w:val="00770480"/>
    <w:rsid w:val="00770A20"/>
    <w:rsid w:val="00771091"/>
    <w:rsid w:val="0077129B"/>
    <w:rsid w:val="00771325"/>
    <w:rsid w:val="00771515"/>
    <w:rsid w:val="007719FA"/>
    <w:rsid w:val="00771BDF"/>
    <w:rsid w:val="00771F48"/>
    <w:rsid w:val="00771FF5"/>
    <w:rsid w:val="007723DD"/>
    <w:rsid w:val="0077249B"/>
    <w:rsid w:val="007724B9"/>
    <w:rsid w:val="00772834"/>
    <w:rsid w:val="00772868"/>
    <w:rsid w:val="007729F6"/>
    <w:rsid w:val="00772B25"/>
    <w:rsid w:val="00773325"/>
    <w:rsid w:val="007734E6"/>
    <w:rsid w:val="007735CB"/>
    <w:rsid w:val="00773AA5"/>
    <w:rsid w:val="00773B94"/>
    <w:rsid w:val="00773D8A"/>
    <w:rsid w:val="00773F40"/>
    <w:rsid w:val="00774174"/>
    <w:rsid w:val="00774374"/>
    <w:rsid w:val="007746AA"/>
    <w:rsid w:val="007747CE"/>
    <w:rsid w:val="0077482E"/>
    <w:rsid w:val="00774900"/>
    <w:rsid w:val="00774AFE"/>
    <w:rsid w:val="00774D5A"/>
    <w:rsid w:val="00774FB7"/>
    <w:rsid w:val="007751B8"/>
    <w:rsid w:val="00775495"/>
    <w:rsid w:val="00775536"/>
    <w:rsid w:val="00775717"/>
    <w:rsid w:val="00775B40"/>
    <w:rsid w:val="00775CAF"/>
    <w:rsid w:val="00775FB5"/>
    <w:rsid w:val="00776317"/>
    <w:rsid w:val="0077649A"/>
    <w:rsid w:val="0077658C"/>
    <w:rsid w:val="00776863"/>
    <w:rsid w:val="00776B48"/>
    <w:rsid w:val="00776B6D"/>
    <w:rsid w:val="00776C52"/>
    <w:rsid w:val="00776C95"/>
    <w:rsid w:val="007771EA"/>
    <w:rsid w:val="007779B7"/>
    <w:rsid w:val="00777B61"/>
    <w:rsid w:val="00777BF7"/>
    <w:rsid w:val="00777D37"/>
    <w:rsid w:val="00777E6A"/>
    <w:rsid w:val="0077A5B5"/>
    <w:rsid w:val="007800D9"/>
    <w:rsid w:val="007802D1"/>
    <w:rsid w:val="007805BD"/>
    <w:rsid w:val="00780748"/>
    <w:rsid w:val="007807AB"/>
    <w:rsid w:val="00780847"/>
    <w:rsid w:val="007813D9"/>
    <w:rsid w:val="00781499"/>
    <w:rsid w:val="0078157D"/>
    <w:rsid w:val="00781675"/>
    <w:rsid w:val="00781BB8"/>
    <w:rsid w:val="00782643"/>
    <w:rsid w:val="007826D6"/>
    <w:rsid w:val="00782B17"/>
    <w:rsid w:val="00782C02"/>
    <w:rsid w:val="00783185"/>
    <w:rsid w:val="00783298"/>
    <w:rsid w:val="007838F3"/>
    <w:rsid w:val="0078390A"/>
    <w:rsid w:val="00783C88"/>
    <w:rsid w:val="00783ED0"/>
    <w:rsid w:val="00784028"/>
    <w:rsid w:val="00784465"/>
    <w:rsid w:val="0078487B"/>
    <w:rsid w:val="00785450"/>
    <w:rsid w:val="00785A5D"/>
    <w:rsid w:val="007862D4"/>
    <w:rsid w:val="00786485"/>
    <w:rsid w:val="007864AD"/>
    <w:rsid w:val="00786A18"/>
    <w:rsid w:val="00786A48"/>
    <w:rsid w:val="00786AC2"/>
    <w:rsid w:val="00786B01"/>
    <w:rsid w:val="00786D57"/>
    <w:rsid w:val="007875C1"/>
    <w:rsid w:val="00787E05"/>
    <w:rsid w:val="00787EE4"/>
    <w:rsid w:val="007901ED"/>
    <w:rsid w:val="007905AB"/>
    <w:rsid w:val="00790618"/>
    <w:rsid w:val="0079086F"/>
    <w:rsid w:val="00790D1B"/>
    <w:rsid w:val="00790EFC"/>
    <w:rsid w:val="0079100C"/>
    <w:rsid w:val="00791120"/>
    <w:rsid w:val="00791426"/>
    <w:rsid w:val="00791FD2"/>
    <w:rsid w:val="00792024"/>
    <w:rsid w:val="00792057"/>
    <w:rsid w:val="0079206B"/>
    <w:rsid w:val="0079217E"/>
    <w:rsid w:val="007926FC"/>
    <w:rsid w:val="0079285F"/>
    <w:rsid w:val="00792DB1"/>
    <w:rsid w:val="00792E3C"/>
    <w:rsid w:val="007930B4"/>
    <w:rsid w:val="007930C1"/>
    <w:rsid w:val="00793222"/>
    <w:rsid w:val="0079326A"/>
    <w:rsid w:val="0079345D"/>
    <w:rsid w:val="00793E61"/>
    <w:rsid w:val="00793ED7"/>
    <w:rsid w:val="00793F1D"/>
    <w:rsid w:val="0079483B"/>
    <w:rsid w:val="00794889"/>
    <w:rsid w:val="00794E36"/>
    <w:rsid w:val="00794ECC"/>
    <w:rsid w:val="00795077"/>
    <w:rsid w:val="00795204"/>
    <w:rsid w:val="00795720"/>
    <w:rsid w:val="00795995"/>
    <w:rsid w:val="00795EEC"/>
    <w:rsid w:val="00796025"/>
    <w:rsid w:val="00796150"/>
    <w:rsid w:val="007965FB"/>
    <w:rsid w:val="007968F7"/>
    <w:rsid w:val="00796ABF"/>
    <w:rsid w:val="0079720E"/>
    <w:rsid w:val="0079745C"/>
    <w:rsid w:val="0079748E"/>
    <w:rsid w:val="007975EF"/>
    <w:rsid w:val="00797921"/>
    <w:rsid w:val="00797C13"/>
    <w:rsid w:val="007A034A"/>
    <w:rsid w:val="007A0789"/>
    <w:rsid w:val="007A07AD"/>
    <w:rsid w:val="007A0FD5"/>
    <w:rsid w:val="007A133C"/>
    <w:rsid w:val="007A14CF"/>
    <w:rsid w:val="007A1549"/>
    <w:rsid w:val="007A1566"/>
    <w:rsid w:val="007A1A79"/>
    <w:rsid w:val="007A1CE6"/>
    <w:rsid w:val="007A1E74"/>
    <w:rsid w:val="007A212B"/>
    <w:rsid w:val="007A2343"/>
    <w:rsid w:val="007A2C32"/>
    <w:rsid w:val="007A2CA7"/>
    <w:rsid w:val="007A2D67"/>
    <w:rsid w:val="007A2E3B"/>
    <w:rsid w:val="007A2F8D"/>
    <w:rsid w:val="007A2FB7"/>
    <w:rsid w:val="007A2FE5"/>
    <w:rsid w:val="007A3002"/>
    <w:rsid w:val="007A30E5"/>
    <w:rsid w:val="007A3B30"/>
    <w:rsid w:val="007A3F7B"/>
    <w:rsid w:val="007A3FE9"/>
    <w:rsid w:val="007A4106"/>
    <w:rsid w:val="007A41D5"/>
    <w:rsid w:val="007A4205"/>
    <w:rsid w:val="007A422D"/>
    <w:rsid w:val="007A4CEA"/>
    <w:rsid w:val="007A5111"/>
    <w:rsid w:val="007A5170"/>
    <w:rsid w:val="007A51C3"/>
    <w:rsid w:val="007A5781"/>
    <w:rsid w:val="007A5992"/>
    <w:rsid w:val="007A5C26"/>
    <w:rsid w:val="007A5EAB"/>
    <w:rsid w:val="007A62DA"/>
    <w:rsid w:val="007A6628"/>
    <w:rsid w:val="007A66A7"/>
    <w:rsid w:val="007A6700"/>
    <w:rsid w:val="007A673D"/>
    <w:rsid w:val="007A6994"/>
    <w:rsid w:val="007A6A0F"/>
    <w:rsid w:val="007A6BF0"/>
    <w:rsid w:val="007A6F0B"/>
    <w:rsid w:val="007A77A0"/>
    <w:rsid w:val="007A7C7C"/>
    <w:rsid w:val="007A7CC3"/>
    <w:rsid w:val="007B01B5"/>
    <w:rsid w:val="007B06F8"/>
    <w:rsid w:val="007B0725"/>
    <w:rsid w:val="007B07ED"/>
    <w:rsid w:val="007B1050"/>
    <w:rsid w:val="007B10A9"/>
    <w:rsid w:val="007B1156"/>
    <w:rsid w:val="007B1392"/>
    <w:rsid w:val="007B14BF"/>
    <w:rsid w:val="007B16CE"/>
    <w:rsid w:val="007B19A0"/>
    <w:rsid w:val="007B1BE7"/>
    <w:rsid w:val="007B1C07"/>
    <w:rsid w:val="007B1F30"/>
    <w:rsid w:val="007B20D0"/>
    <w:rsid w:val="007B233B"/>
    <w:rsid w:val="007B27F6"/>
    <w:rsid w:val="007B2ADE"/>
    <w:rsid w:val="007B2CA1"/>
    <w:rsid w:val="007B2F00"/>
    <w:rsid w:val="007B328D"/>
    <w:rsid w:val="007B361D"/>
    <w:rsid w:val="007B3936"/>
    <w:rsid w:val="007B3ED2"/>
    <w:rsid w:val="007B426B"/>
    <w:rsid w:val="007B49F2"/>
    <w:rsid w:val="007B4B05"/>
    <w:rsid w:val="007B4D9F"/>
    <w:rsid w:val="007B4DB0"/>
    <w:rsid w:val="007B5293"/>
    <w:rsid w:val="007B5709"/>
    <w:rsid w:val="007B58C8"/>
    <w:rsid w:val="007B5AC4"/>
    <w:rsid w:val="007B638D"/>
    <w:rsid w:val="007B63E8"/>
    <w:rsid w:val="007B679A"/>
    <w:rsid w:val="007B70C3"/>
    <w:rsid w:val="007B71DF"/>
    <w:rsid w:val="007B797B"/>
    <w:rsid w:val="007B79C4"/>
    <w:rsid w:val="007B7AF8"/>
    <w:rsid w:val="007C002F"/>
    <w:rsid w:val="007C0233"/>
    <w:rsid w:val="007C0249"/>
    <w:rsid w:val="007C05C0"/>
    <w:rsid w:val="007C05DC"/>
    <w:rsid w:val="007C07FC"/>
    <w:rsid w:val="007C0816"/>
    <w:rsid w:val="007C09E8"/>
    <w:rsid w:val="007C0BCF"/>
    <w:rsid w:val="007C1207"/>
    <w:rsid w:val="007C120F"/>
    <w:rsid w:val="007C1340"/>
    <w:rsid w:val="007C1839"/>
    <w:rsid w:val="007C19A1"/>
    <w:rsid w:val="007C1DD3"/>
    <w:rsid w:val="007C1F27"/>
    <w:rsid w:val="007C1FA8"/>
    <w:rsid w:val="007C2456"/>
    <w:rsid w:val="007C2797"/>
    <w:rsid w:val="007C2869"/>
    <w:rsid w:val="007C2BF6"/>
    <w:rsid w:val="007C35DF"/>
    <w:rsid w:val="007C3675"/>
    <w:rsid w:val="007C3691"/>
    <w:rsid w:val="007C3AD4"/>
    <w:rsid w:val="007C3B3D"/>
    <w:rsid w:val="007C3CB0"/>
    <w:rsid w:val="007C3DA8"/>
    <w:rsid w:val="007C40AD"/>
    <w:rsid w:val="007C423A"/>
    <w:rsid w:val="007C4348"/>
    <w:rsid w:val="007C4426"/>
    <w:rsid w:val="007C456D"/>
    <w:rsid w:val="007C47C5"/>
    <w:rsid w:val="007C4B3F"/>
    <w:rsid w:val="007C4F87"/>
    <w:rsid w:val="007C57E9"/>
    <w:rsid w:val="007C5CA7"/>
    <w:rsid w:val="007C5CCF"/>
    <w:rsid w:val="007C628A"/>
    <w:rsid w:val="007C6406"/>
    <w:rsid w:val="007C6489"/>
    <w:rsid w:val="007C6A59"/>
    <w:rsid w:val="007C6A7C"/>
    <w:rsid w:val="007C6B7E"/>
    <w:rsid w:val="007C6E60"/>
    <w:rsid w:val="007C6E74"/>
    <w:rsid w:val="007C7070"/>
    <w:rsid w:val="007C74DB"/>
    <w:rsid w:val="007C75EA"/>
    <w:rsid w:val="007C767B"/>
    <w:rsid w:val="007D013A"/>
    <w:rsid w:val="007D03C1"/>
    <w:rsid w:val="007D0532"/>
    <w:rsid w:val="007D0ABC"/>
    <w:rsid w:val="007D0E61"/>
    <w:rsid w:val="007D12B6"/>
    <w:rsid w:val="007D1384"/>
    <w:rsid w:val="007D163B"/>
    <w:rsid w:val="007D1BE9"/>
    <w:rsid w:val="007D2135"/>
    <w:rsid w:val="007D21CF"/>
    <w:rsid w:val="007D2792"/>
    <w:rsid w:val="007D2C14"/>
    <w:rsid w:val="007D2F7D"/>
    <w:rsid w:val="007D34B3"/>
    <w:rsid w:val="007D370D"/>
    <w:rsid w:val="007D3902"/>
    <w:rsid w:val="007D39E2"/>
    <w:rsid w:val="007D3F93"/>
    <w:rsid w:val="007D4650"/>
    <w:rsid w:val="007D4A51"/>
    <w:rsid w:val="007D4B54"/>
    <w:rsid w:val="007D4C5D"/>
    <w:rsid w:val="007D4E4E"/>
    <w:rsid w:val="007D516A"/>
    <w:rsid w:val="007D5540"/>
    <w:rsid w:val="007D59F1"/>
    <w:rsid w:val="007D5CAC"/>
    <w:rsid w:val="007D5E80"/>
    <w:rsid w:val="007D5FBC"/>
    <w:rsid w:val="007D6054"/>
    <w:rsid w:val="007D605D"/>
    <w:rsid w:val="007D645D"/>
    <w:rsid w:val="007D6529"/>
    <w:rsid w:val="007D65CE"/>
    <w:rsid w:val="007D6607"/>
    <w:rsid w:val="007D6893"/>
    <w:rsid w:val="007D6BF2"/>
    <w:rsid w:val="007D6F33"/>
    <w:rsid w:val="007D7261"/>
    <w:rsid w:val="007D742C"/>
    <w:rsid w:val="007D7751"/>
    <w:rsid w:val="007E00AA"/>
    <w:rsid w:val="007E0268"/>
    <w:rsid w:val="007E02AE"/>
    <w:rsid w:val="007E0450"/>
    <w:rsid w:val="007E070B"/>
    <w:rsid w:val="007E0812"/>
    <w:rsid w:val="007E0A62"/>
    <w:rsid w:val="007E0A8F"/>
    <w:rsid w:val="007E124A"/>
    <w:rsid w:val="007E1302"/>
    <w:rsid w:val="007E1368"/>
    <w:rsid w:val="007E14A6"/>
    <w:rsid w:val="007E1706"/>
    <w:rsid w:val="007E19BC"/>
    <w:rsid w:val="007E1A1B"/>
    <w:rsid w:val="007E210A"/>
    <w:rsid w:val="007E229A"/>
    <w:rsid w:val="007E2D46"/>
    <w:rsid w:val="007E2E19"/>
    <w:rsid w:val="007E2FFC"/>
    <w:rsid w:val="007E340D"/>
    <w:rsid w:val="007E3496"/>
    <w:rsid w:val="007E34C8"/>
    <w:rsid w:val="007E3A9B"/>
    <w:rsid w:val="007E3E79"/>
    <w:rsid w:val="007E4119"/>
    <w:rsid w:val="007E4937"/>
    <w:rsid w:val="007E5528"/>
    <w:rsid w:val="007E571E"/>
    <w:rsid w:val="007E59A4"/>
    <w:rsid w:val="007E5BF8"/>
    <w:rsid w:val="007E6074"/>
    <w:rsid w:val="007E6260"/>
    <w:rsid w:val="007E640C"/>
    <w:rsid w:val="007E6460"/>
    <w:rsid w:val="007E6783"/>
    <w:rsid w:val="007E6A73"/>
    <w:rsid w:val="007E6D03"/>
    <w:rsid w:val="007E75CC"/>
    <w:rsid w:val="007E76A8"/>
    <w:rsid w:val="007E76AB"/>
    <w:rsid w:val="007E7C94"/>
    <w:rsid w:val="007E7EE4"/>
    <w:rsid w:val="007E7F87"/>
    <w:rsid w:val="007F02A1"/>
    <w:rsid w:val="007F04D0"/>
    <w:rsid w:val="007F058B"/>
    <w:rsid w:val="007F0DE6"/>
    <w:rsid w:val="007F0FE7"/>
    <w:rsid w:val="007F1461"/>
    <w:rsid w:val="007F196F"/>
    <w:rsid w:val="007F1BF9"/>
    <w:rsid w:val="007F20C2"/>
    <w:rsid w:val="007F27CE"/>
    <w:rsid w:val="007F2F06"/>
    <w:rsid w:val="007F3519"/>
    <w:rsid w:val="007F3EEE"/>
    <w:rsid w:val="007F3F11"/>
    <w:rsid w:val="007F434B"/>
    <w:rsid w:val="007F492F"/>
    <w:rsid w:val="007F4A38"/>
    <w:rsid w:val="007F4B0D"/>
    <w:rsid w:val="007F4D44"/>
    <w:rsid w:val="007F4D8D"/>
    <w:rsid w:val="007F4E38"/>
    <w:rsid w:val="007F4F1A"/>
    <w:rsid w:val="007F51DD"/>
    <w:rsid w:val="007F5224"/>
    <w:rsid w:val="007F59B0"/>
    <w:rsid w:val="007F5DF7"/>
    <w:rsid w:val="007F646B"/>
    <w:rsid w:val="007F6972"/>
    <w:rsid w:val="007F7427"/>
    <w:rsid w:val="007F75B1"/>
    <w:rsid w:val="007F7772"/>
    <w:rsid w:val="007F77FD"/>
    <w:rsid w:val="007F7CF4"/>
    <w:rsid w:val="00800379"/>
    <w:rsid w:val="00800530"/>
    <w:rsid w:val="00800747"/>
    <w:rsid w:val="00800B14"/>
    <w:rsid w:val="00800CB9"/>
    <w:rsid w:val="008010BF"/>
    <w:rsid w:val="008015A9"/>
    <w:rsid w:val="008016B6"/>
    <w:rsid w:val="0080183E"/>
    <w:rsid w:val="008019D2"/>
    <w:rsid w:val="00801C03"/>
    <w:rsid w:val="00801FE9"/>
    <w:rsid w:val="0080254C"/>
    <w:rsid w:val="00802632"/>
    <w:rsid w:val="0080273E"/>
    <w:rsid w:val="00802AB4"/>
    <w:rsid w:val="008039C6"/>
    <w:rsid w:val="00803B7B"/>
    <w:rsid w:val="00803BCE"/>
    <w:rsid w:val="00803DBE"/>
    <w:rsid w:val="00803F5A"/>
    <w:rsid w:val="00804051"/>
    <w:rsid w:val="00804112"/>
    <w:rsid w:val="00804223"/>
    <w:rsid w:val="008042F5"/>
    <w:rsid w:val="0080459D"/>
    <w:rsid w:val="008045A3"/>
    <w:rsid w:val="00804703"/>
    <w:rsid w:val="00804796"/>
    <w:rsid w:val="00804BFC"/>
    <w:rsid w:val="00804E5C"/>
    <w:rsid w:val="00804EA4"/>
    <w:rsid w:val="00805266"/>
    <w:rsid w:val="00805669"/>
    <w:rsid w:val="0080584E"/>
    <w:rsid w:val="008059B8"/>
    <w:rsid w:val="00805A84"/>
    <w:rsid w:val="00805DFC"/>
    <w:rsid w:val="00805F80"/>
    <w:rsid w:val="0080617F"/>
    <w:rsid w:val="008061B0"/>
    <w:rsid w:val="0080642B"/>
    <w:rsid w:val="00806AD4"/>
    <w:rsid w:val="00806B30"/>
    <w:rsid w:val="00806B6C"/>
    <w:rsid w:val="008070CE"/>
    <w:rsid w:val="008071FA"/>
    <w:rsid w:val="00807226"/>
    <w:rsid w:val="0080741F"/>
    <w:rsid w:val="00807517"/>
    <w:rsid w:val="00807731"/>
    <w:rsid w:val="00807B2C"/>
    <w:rsid w:val="0081075F"/>
    <w:rsid w:val="00811484"/>
    <w:rsid w:val="00811C69"/>
    <w:rsid w:val="00811DF9"/>
    <w:rsid w:val="00812076"/>
    <w:rsid w:val="0081220C"/>
    <w:rsid w:val="00812282"/>
    <w:rsid w:val="0081234E"/>
    <w:rsid w:val="008123DE"/>
    <w:rsid w:val="00812478"/>
    <w:rsid w:val="0081255F"/>
    <w:rsid w:val="0081256B"/>
    <w:rsid w:val="00813199"/>
    <w:rsid w:val="00813425"/>
    <w:rsid w:val="00813783"/>
    <w:rsid w:val="00813CF4"/>
    <w:rsid w:val="00813F33"/>
    <w:rsid w:val="00813FAA"/>
    <w:rsid w:val="008144E0"/>
    <w:rsid w:val="0081469E"/>
    <w:rsid w:val="00814956"/>
    <w:rsid w:val="008150EB"/>
    <w:rsid w:val="008151AF"/>
    <w:rsid w:val="0081539F"/>
    <w:rsid w:val="008157E2"/>
    <w:rsid w:val="00815848"/>
    <w:rsid w:val="00815C8D"/>
    <w:rsid w:val="00816030"/>
    <w:rsid w:val="00816262"/>
    <w:rsid w:val="008166C3"/>
    <w:rsid w:val="00816F3C"/>
    <w:rsid w:val="00816F63"/>
    <w:rsid w:val="008171A0"/>
    <w:rsid w:val="00817385"/>
    <w:rsid w:val="00820266"/>
    <w:rsid w:val="00820459"/>
    <w:rsid w:val="008204A8"/>
    <w:rsid w:val="008207B1"/>
    <w:rsid w:val="00821038"/>
    <w:rsid w:val="008211AA"/>
    <w:rsid w:val="00821453"/>
    <w:rsid w:val="00821756"/>
    <w:rsid w:val="00821B76"/>
    <w:rsid w:val="00822130"/>
    <w:rsid w:val="008223E1"/>
    <w:rsid w:val="00822517"/>
    <w:rsid w:val="0082254E"/>
    <w:rsid w:val="0082266B"/>
    <w:rsid w:val="008227C3"/>
    <w:rsid w:val="008227D1"/>
    <w:rsid w:val="0082333B"/>
    <w:rsid w:val="0082371F"/>
    <w:rsid w:val="00823819"/>
    <w:rsid w:val="00823885"/>
    <w:rsid w:val="00823CCD"/>
    <w:rsid w:val="00823D07"/>
    <w:rsid w:val="00823D6D"/>
    <w:rsid w:val="00823D83"/>
    <w:rsid w:val="0082478C"/>
    <w:rsid w:val="00824B5B"/>
    <w:rsid w:val="00824E7F"/>
    <w:rsid w:val="00824FEC"/>
    <w:rsid w:val="008250CB"/>
    <w:rsid w:val="008251CF"/>
    <w:rsid w:val="00825247"/>
    <w:rsid w:val="00825DD4"/>
    <w:rsid w:val="00825F23"/>
    <w:rsid w:val="008260B6"/>
    <w:rsid w:val="00826112"/>
    <w:rsid w:val="00826302"/>
    <w:rsid w:val="008263B3"/>
    <w:rsid w:val="00826D94"/>
    <w:rsid w:val="008270FF"/>
    <w:rsid w:val="00827606"/>
    <w:rsid w:val="008276D1"/>
    <w:rsid w:val="008276DD"/>
    <w:rsid w:val="00827703"/>
    <w:rsid w:val="008302DE"/>
    <w:rsid w:val="008302E2"/>
    <w:rsid w:val="00830BE1"/>
    <w:rsid w:val="00830C06"/>
    <w:rsid w:val="00831233"/>
    <w:rsid w:val="0083135C"/>
    <w:rsid w:val="008315A7"/>
    <w:rsid w:val="00831DEB"/>
    <w:rsid w:val="0083223C"/>
    <w:rsid w:val="00832616"/>
    <w:rsid w:val="008328BF"/>
    <w:rsid w:val="008328EF"/>
    <w:rsid w:val="00832B30"/>
    <w:rsid w:val="00832D77"/>
    <w:rsid w:val="008332B0"/>
    <w:rsid w:val="00833384"/>
    <w:rsid w:val="00833812"/>
    <w:rsid w:val="00833B91"/>
    <w:rsid w:val="00833F11"/>
    <w:rsid w:val="00833FA6"/>
    <w:rsid w:val="008340D2"/>
    <w:rsid w:val="00834598"/>
    <w:rsid w:val="00834E05"/>
    <w:rsid w:val="008358DE"/>
    <w:rsid w:val="00836018"/>
    <w:rsid w:val="008367F9"/>
    <w:rsid w:val="008369D8"/>
    <w:rsid w:val="00836CF5"/>
    <w:rsid w:val="00836F0B"/>
    <w:rsid w:val="008370CB"/>
    <w:rsid w:val="008373B8"/>
    <w:rsid w:val="0083746C"/>
    <w:rsid w:val="00837749"/>
    <w:rsid w:val="008378F9"/>
    <w:rsid w:val="00837EAF"/>
    <w:rsid w:val="008402A2"/>
    <w:rsid w:val="00840672"/>
    <w:rsid w:val="008412A7"/>
    <w:rsid w:val="0084151D"/>
    <w:rsid w:val="00841931"/>
    <w:rsid w:val="00841B50"/>
    <w:rsid w:val="00841D44"/>
    <w:rsid w:val="00841F01"/>
    <w:rsid w:val="0084205D"/>
    <w:rsid w:val="00842064"/>
    <w:rsid w:val="0084277F"/>
    <w:rsid w:val="00842A83"/>
    <w:rsid w:val="00842B65"/>
    <w:rsid w:val="00842CD7"/>
    <w:rsid w:val="00842E21"/>
    <w:rsid w:val="00842F1B"/>
    <w:rsid w:val="008432E1"/>
    <w:rsid w:val="0084337D"/>
    <w:rsid w:val="0084347D"/>
    <w:rsid w:val="00843948"/>
    <w:rsid w:val="00843E5D"/>
    <w:rsid w:val="008440F5"/>
    <w:rsid w:val="0084410E"/>
    <w:rsid w:val="008447E5"/>
    <w:rsid w:val="00844B1D"/>
    <w:rsid w:val="00844BDC"/>
    <w:rsid w:val="00844C7B"/>
    <w:rsid w:val="00844DDA"/>
    <w:rsid w:val="00844E6C"/>
    <w:rsid w:val="008455DC"/>
    <w:rsid w:val="008456E6"/>
    <w:rsid w:val="00845C50"/>
    <w:rsid w:val="00845D82"/>
    <w:rsid w:val="00845E32"/>
    <w:rsid w:val="00846641"/>
    <w:rsid w:val="00846993"/>
    <w:rsid w:val="00846A38"/>
    <w:rsid w:val="00846C2C"/>
    <w:rsid w:val="00846C88"/>
    <w:rsid w:val="00846D21"/>
    <w:rsid w:val="00847001"/>
    <w:rsid w:val="008475CB"/>
    <w:rsid w:val="00847981"/>
    <w:rsid w:val="00847BF4"/>
    <w:rsid w:val="00847FB2"/>
    <w:rsid w:val="00850401"/>
    <w:rsid w:val="00850508"/>
    <w:rsid w:val="0085063A"/>
    <w:rsid w:val="00850851"/>
    <w:rsid w:val="008509D9"/>
    <w:rsid w:val="00850D39"/>
    <w:rsid w:val="00850ECA"/>
    <w:rsid w:val="00851272"/>
    <w:rsid w:val="008513E8"/>
    <w:rsid w:val="00851691"/>
    <w:rsid w:val="00852265"/>
    <w:rsid w:val="0085288B"/>
    <w:rsid w:val="00852C6B"/>
    <w:rsid w:val="00853073"/>
    <w:rsid w:val="0085350A"/>
    <w:rsid w:val="00853DBC"/>
    <w:rsid w:val="00853F98"/>
    <w:rsid w:val="0085426A"/>
    <w:rsid w:val="00854351"/>
    <w:rsid w:val="008545CE"/>
    <w:rsid w:val="008555DA"/>
    <w:rsid w:val="008557CF"/>
    <w:rsid w:val="008558A6"/>
    <w:rsid w:val="00855932"/>
    <w:rsid w:val="00855C68"/>
    <w:rsid w:val="00855C9C"/>
    <w:rsid w:val="00855F8B"/>
    <w:rsid w:val="00856185"/>
    <w:rsid w:val="008567E3"/>
    <w:rsid w:val="0085689F"/>
    <w:rsid w:val="00856D89"/>
    <w:rsid w:val="00856E84"/>
    <w:rsid w:val="00856EF5"/>
    <w:rsid w:val="0085710B"/>
    <w:rsid w:val="00857A3F"/>
    <w:rsid w:val="008600FF"/>
    <w:rsid w:val="00860766"/>
    <w:rsid w:val="00860B87"/>
    <w:rsid w:val="008612DA"/>
    <w:rsid w:val="0086143F"/>
    <w:rsid w:val="008617A2"/>
    <w:rsid w:val="00861BFD"/>
    <w:rsid w:val="00862022"/>
    <w:rsid w:val="00863555"/>
    <w:rsid w:val="00863B28"/>
    <w:rsid w:val="00863DAD"/>
    <w:rsid w:val="00863EC8"/>
    <w:rsid w:val="0086421B"/>
    <w:rsid w:val="00864304"/>
    <w:rsid w:val="00864370"/>
    <w:rsid w:val="0086461D"/>
    <w:rsid w:val="00864B26"/>
    <w:rsid w:val="00864CD1"/>
    <w:rsid w:val="0086518A"/>
    <w:rsid w:val="0086548D"/>
    <w:rsid w:val="00865862"/>
    <w:rsid w:val="00865FD5"/>
    <w:rsid w:val="00866208"/>
    <w:rsid w:val="00866263"/>
    <w:rsid w:val="0086659D"/>
    <w:rsid w:val="00866748"/>
    <w:rsid w:val="0086679F"/>
    <w:rsid w:val="00867024"/>
    <w:rsid w:val="008671A7"/>
    <w:rsid w:val="0086722E"/>
    <w:rsid w:val="008673A3"/>
    <w:rsid w:val="008673F4"/>
    <w:rsid w:val="008676F2"/>
    <w:rsid w:val="00867AD6"/>
    <w:rsid w:val="00867B5B"/>
    <w:rsid w:val="00867DB3"/>
    <w:rsid w:val="008700CE"/>
    <w:rsid w:val="00870128"/>
    <w:rsid w:val="00870E60"/>
    <w:rsid w:val="00870E63"/>
    <w:rsid w:val="00870EF8"/>
    <w:rsid w:val="00871259"/>
    <w:rsid w:val="008719B8"/>
    <w:rsid w:val="00872319"/>
    <w:rsid w:val="00873132"/>
    <w:rsid w:val="00873592"/>
    <w:rsid w:val="0087369E"/>
    <w:rsid w:val="008738D1"/>
    <w:rsid w:val="00873DF8"/>
    <w:rsid w:val="00873E49"/>
    <w:rsid w:val="00873F49"/>
    <w:rsid w:val="00874573"/>
    <w:rsid w:val="008746F8"/>
    <w:rsid w:val="00874889"/>
    <w:rsid w:val="00874C75"/>
    <w:rsid w:val="00875408"/>
    <w:rsid w:val="00876267"/>
    <w:rsid w:val="00876637"/>
    <w:rsid w:val="00876A91"/>
    <w:rsid w:val="00876AAB"/>
    <w:rsid w:val="00876D1C"/>
    <w:rsid w:val="00876F97"/>
    <w:rsid w:val="008772A9"/>
    <w:rsid w:val="00877428"/>
    <w:rsid w:val="00877698"/>
    <w:rsid w:val="00877BF5"/>
    <w:rsid w:val="00877E65"/>
    <w:rsid w:val="00877EFD"/>
    <w:rsid w:val="00877FD1"/>
    <w:rsid w:val="00877FE1"/>
    <w:rsid w:val="008802E4"/>
    <w:rsid w:val="00880820"/>
    <w:rsid w:val="00880DC7"/>
    <w:rsid w:val="00881348"/>
    <w:rsid w:val="00881941"/>
    <w:rsid w:val="00881C0E"/>
    <w:rsid w:val="00881FCF"/>
    <w:rsid w:val="0088230B"/>
    <w:rsid w:val="008825A6"/>
    <w:rsid w:val="00882781"/>
    <w:rsid w:val="008827D1"/>
    <w:rsid w:val="00882918"/>
    <w:rsid w:val="00882CD2"/>
    <w:rsid w:val="00882DD6"/>
    <w:rsid w:val="008831EF"/>
    <w:rsid w:val="00883470"/>
    <w:rsid w:val="008838AE"/>
    <w:rsid w:val="00883D35"/>
    <w:rsid w:val="00884154"/>
    <w:rsid w:val="008843A5"/>
    <w:rsid w:val="0088457F"/>
    <w:rsid w:val="00884697"/>
    <w:rsid w:val="00884891"/>
    <w:rsid w:val="008848F7"/>
    <w:rsid w:val="00884D32"/>
    <w:rsid w:val="00884DD6"/>
    <w:rsid w:val="00884DFA"/>
    <w:rsid w:val="00884E1D"/>
    <w:rsid w:val="00884E37"/>
    <w:rsid w:val="008856B8"/>
    <w:rsid w:val="00885B00"/>
    <w:rsid w:val="00885EC5"/>
    <w:rsid w:val="00885F86"/>
    <w:rsid w:val="00886102"/>
    <w:rsid w:val="008865BF"/>
    <w:rsid w:val="00886959"/>
    <w:rsid w:val="00886990"/>
    <w:rsid w:val="008869B0"/>
    <w:rsid w:val="00886C66"/>
    <w:rsid w:val="00886C7D"/>
    <w:rsid w:val="00886EC1"/>
    <w:rsid w:val="008875BD"/>
    <w:rsid w:val="008875D1"/>
    <w:rsid w:val="00887606"/>
    <w:rsid w:val="00887693"/>
    <w:rsid w:val="00887819"/>
    <w:rsid w:val="00887C6A"/>
    <w:rsid w:val="00887E26"/>
    <w:rsid w:val="0089021C"/>
    <w:rsid w:val="0089041B"/>
    <w:rsid w:val="00890455"/>
    <w:rsid w:val="00890B57"/>
    <w:rsid w:val="00890B82"/>
    <w:rsid w:val="0089142F"/>
    <w:rsid w:val="0089181F"/>
    <w:rsid w:val="00891CE4"/>
    <w:rsid w:val="00891EFB"/>
    <w:rsid w:val="0089210F"/>
    <w:rsid w:val="0089231E"/>
    <w:rsid w:val="00892B46"/>
    <w:rsid w:val="0089327C"/>
    <w:rsid w:val="00893BDF"/>
    <w:rsid w:val="00894944"/>
    <w:rsid w:val="008949FF"/>
    <w:rsid w:val="00894FBC"/>
    <w:rsid w:val="00894FF8"/>
    <w:rsid w:val="008954CA"/>
    <w:rsid w:val="0089596A"/>
    <w:rsid w:val="00895A24"/>
    <w:rsid w:val="008963A0"/>
    <w:rsid w:val="008963A8"/>
    <w:rsid w:val="00896404"/>
    <w:rsid w:val="008964B0"/>
    <w:rsid w:val="0089677F"/>
    <w:rsid w:val="00896838"/>
    <w:rsid w:val="00896AB3"/>
    <w:rsid w:val="00896F70"/>
    <w:rsid w:val="00897840"/>
    <w:rsid w:val="0089787C"/>
    <w:rsid w:val="0089792F"/>
    <w:rsid w:val="00897D2E"/>
    <w:rsid w:val="00897E75"/>
    <w:rsid w:val="00897EA2"/>
    <w:rsid w:val="008A0023"/>
    <w:rsid w:val="008A0048"/>
    <w:rsid w:val="008A04AB"/>
    <w:rsid w:val="008A0AFD"/>
    <w:rsid w:val="008A0CA7"/>
    <w:rsid w:val="008A1449"/>
    <w:rsid w:val="008A153A"/>
    <w:rsid w:val="008A1750"/>
    <w:rsid w:val="008A1856"/>
    <w:rsid w:val="008A1CA3"/>
    <w:rsid w:val="008A1D13"/>
    <w:rsid w:val="008A1DF2"/>
    <w:rsid w:val="008A25B9"/>
    <w:rsid w:val="008A260C"/>
    <w:rsid w:val="008A283E"/>
    <w:rsid w:val="008A288D"/>
    <w:rsid w:val="008A28B2"/>
    <w:rsid w:val="008A290F"/>
    <w:rsid w:val="008A29CE"/>
    <w:rsid w:val="008A2FB2"/>
    <w:rsid w:val="008A36E1"/>
    <w:rsid w:val="008A37A7"/>
    <w:rsid w:val="008A390E"/>
    <w:rsid w:val="008A3CC6"/>
    <w:rsid w:val="008A42F1"/>
    <w:rsid w:val="008A4A1E"/>
    <w:rsid w:val="008A4D7A"/>
    <w:rsid w:val="008A5059"/>
    <w:rsid w:val="008A52B3"/>
    <w:rsid w:val="008A6054"/>
    <w:rsid w:val="008A6312"/>
    <w:rsid w:val="008A64E8"/>
    <w:rsid w:val="008A653D"/>
    <w:rsid w:val="008A670D"/>
    <w:rsid w:val="008A68CE"/>
    <w:rsid w:val="008A6B5B"/>
    <w:rsid w:val="008A6BB5"/>
    <w:rsid w:val="008A6CE1"/>
    <w:rsid w:val="008A6F13"/>
    <w:rsid w:val="008A6F2A"/>
    <w:rsid w:val="008A754E"/>
    <w:rsid w:val="008A76D0"/>
    <w:rsid w:val="008A78E7"/>
    <w:rsid w:val="008A7B91"/>
    <w:rsid w:val="008A7DA7"/>
    <w:rsid w:val="008A7ED2"/>
    <w:rsid w:val="008B01C0"/>
    <w:rsid w:val="008B061F"/>
    <w:rsid w:val="008B0656"/>
    <w:rsid w:val="008B0736"/>
    <w:rsid w:val="008B07A7"/>
    <w:rsid w:val="008B0D7F"/>
    <w:rsid w:val="008B12B2"/>
    <w:rsid w:val="008B13C8"/>
    <w:rsid w:val="008B1A9B"/>
    <w:rsid w:val="008B1B26"/>
    <w:rsid w:val="008B2316"/>
    <w:rsid w:val="008B2629"/>
    <w:rsid w:val="008B2D44"/>
    <w:rsid w:val="008B2ECF"/>
    <w:rsid w:val="008B2F4B"/>
    <w:rsid w:val="008B312A"/>
    <w:rsid w:val="008B3473"/>
    <w:rsid w:val="008B4553"/>
    <w:rsid w:val="008B47E4"/>
    <w:rsid w:val="008B4C6D"/>
    <w:rsid w:val="008B4F84"/>
    <w:rsid w:val="008B50AD"/>
    <w:rsid w:val="008B54B8"/>
    <w:rsid w:val="008B5E98"/>
    <w:rsid w:val="008B6474"/>
    <w:rsid w:val="008B68F0"/>
    <w:rsid w:val="008B6913"/>
    <w:rsid w:val="008B6FD6"/>
    <w:rsid w:val="008B709E"/>
    <w:rsid w:val="008B7303"/>
    <w:rsid w:val="008B7367"/>
    <w:rsid w:val="008B7600"/>
    <w:rsid w:val="008B774D"/>
    <w:rsid w:val="008B776F"/>
    <w:rsid w:val="008B784B"/>
    <w:rsid w:val="008B7923"/>
    <w:rsid w:val="008B7A97"/>
    <w:rsid w:val="008B7C02"/>
    <w:rsid w:val="008B7C41"/>
    <w:rsid w:val="008B7CC1"/>
    <w:rsid w:val="008B7E53"/>
    <w:rsid w:val="008C009F"/>
    <w:rsid w:val="008C04E2"/>
    <w:rsid w:val="008C0644"/>
    <w:rsid w:val="008C068F"/>
    <w:rsid w:val="008C12BE"/>
    <w:rsid w:val="008C138E"/>
    <w:rsid w:val="008C1455"/>
    <w:rsid w:val="008C1472"/>
    <w:rsid w:val="008C1ABA"/>
    <w:rsid w:val="008C1AFF"/>
    <w:rsid w:val="008C1C34"/>
    <w:rsid w:val="008C1D1A"/>
    <w:rsid w:val="008C2015"/>
    <w:rsid w:val="008C257F"/>
    <w:rsid w:val="008C25C2"/>
    <w:rsid w:val="008C2CF5"/>
    <w:rsid w:val="008C2E28"/>
    <w:rsid w:val="008C2FD6"/>
    <w:rsid w:val="008C3618"/>
    <w:rsid w:val="008C3742"/>
    <w:rsid w:val="008C3C10"/>
    <w:rsid w:val="008C4519"/>
    <w:rsid w:val="008C49C3"/>
    <w:rsid w:val="008C4A17"/>
    <w:rsid w:val="008C4C00"/>
    <w:rsid w:val="008C4C8A"/>
    <w:rsid w:val="008C592C"/>
    <w:rsid w:val="008C5B7A"/>
    <w:rsid w:val="008C6019"/>
    <w:rsid w:val="008C605F"/>
    <w:rsid w:val="008C6514"/>
    <w:rsid w:val="008C65F4"/>
    <w:rsid w:val="008C6C56"/>
    <w:rsid w:val="008C7249"/>
    <w:rsid w:val="008C73CA"/>
    <w:rsid w:val="008C7BF2"/>
    <w:rsid w:val="008C7E98"/>
    <w:rsid w:val="008C7F91"/>
    <w:rsid w:val="008D004D"/>
    <w:rsid w:val="008D039F"/>
    <w:rsid w:val="008D06E6"/>
    <w:rsid w:val="008D08FB"/>
    <w:rsid w:val="008D0D10"/>
    <w:rsid w:val="008D0E47"/>
    <w:rsid w:val="008D1018"/>
    <w:rsid w:val="008D111C"/>
    <w:rsid w:val="008D1228"/>
    <w:rsid w:val="008D15AD"/>
    <w:rsid w:val="008D161E"/>
    <w:rsid w:val="008D19C1"/>
    <w:rsid w:val="008D1B2F"/>
    <w:rsid w:val="008D1C89"/>
    <w:rsid w:val="008D1CE3"/>
    <w:rsid w:val="008D1CEF"/>
    <w:rsid w:val="008D2245"/>
    <w:rsid w:val="008D241D"/>
    <w:rsid w:val="008D2561"/>
    <w:rsid w:val="008D25D3"/>
    <w:rsid w:val="008D276E"/>
    <w:rsid w:val="008D2CC3"/>
    <w:rsid w:val="008D2E24"/>
    <w:rsid w:val="008D2F59"/>
    <w:rsid w:val="008D3A0F"/>
    <w:rsid w:val="008D3A3A"/>
    <w:rsid w:val="008D3B06"/>
    <w:rsid w:val="008D3F5E"/>
    <w:rsid w:val="008D41EE"/>
    <w:rsid w:val="008D4A4D"/>
    <w:rsid w:val="008D4ABC"/>
    <w:rsid w:val="008D52B7"/>
    <w:rsid w:val="008D5D3F"/>
    <w:rsid w:val="008D5E92"/>
    <w:rsid w:val="008D5F73"/>
    <w:rsid w:val="008D620B"/>
    <w:rsid w:val="008D6214"/>
    <w:rsid w:val="008D658C"/>
    <w:rsid w:val="008D65DA"/>
    <w:rsid w:val="008D6703"/>
    <w:rsid w:val="008D671A"/>
    <w:rsid w:val="008D6818"/>
    <w:rsid w:val="008D685F"/>
    <w:rsid w:val="008D6A5D"/>
    <w:rsid w:val="008D6AD1"/>
    <w:rsid w:val="008D6CD3"/>
    <w:rsid w:val="008D6D05"/>
    <w:rsid w:val="008D6D85"/>
    <w:rsid w:val="008D70A2"/>
    <w:rsid w:val="008D70C6"/>
    <w:rsid w:val="008D76E0"/>
    <w:rsid w:val="008D77C8"/>
    <w:rsid w:val="008D795C"/>
    <w:rsid w:val="008D7B17"/>
    <w:rsid w:val="008D7B73"/>
    <w:rsid w:val="008D7C6F"/>
    <w:rsid w:val="008E010A"/>
    <w:rsid w:val="008E010F"/>
    <w:rsid w:val="008E0362"/>
    <w:rsid w:val="008E0829"/>
    <w:rsid w:val="008E088D"/>
    <w:rsid w:val="008E1270"/>
    <w:rsid w:val="008E129C"/>
    <w:rsid w:val="008E1451"/>
    <w:rsid w:val="008E15AE"/>
    <w:rsid w:val="008E1724"/>
    <w:rsid w:val="008E195B"/>
    <w:rsid w:val="008E1971"/>
    <w:rsid w:val="008E1B47"/>
    <w:rsid w:val="008E1BA1"/>
    <w:rsid w:val="008E20C7"/>
    <w:rsid w:val="008E26B4"/>
    <w:rsid w:val="008E2800"/>
    <w:rsid w:val="008E28B0"/>
    <w:rsid w:val="008E2D01"/>
    <w:rsid w:val="008E2D33"/>
    <w:rsid w:val="008E2FD2"/>
    <w:rsid w:val="008E3204"/>
    <w:rsid w:val="008E33EB"/>
    <w:rsid w:val="008E35C4"/>
    <w:rsid w:val="008E35E6"/>
    <w:rsid w:val="008E3E48"/>
    <w:rsid w:val="008E4122"/>
    <w:rsid w:val="008E42DE"/>
    <w:rsid w:val="008E42E0"/>
    <w:rsid w:val="008E440B"/>
    <w:rsid w:val="008E48C0"/>
    <w:rsid w:val="008E4E5F"/>
    <w:rsid w:val="008E4FE0"/>
    <w:rsid w:val="008E510F"/>
    <w:rsid w:val="008E58BC"/>
    <w:rsid w:val="008E5C36"/>
    <w:rsid w:val="008E5C83"/>
    <w:rsid w:val="008E5FFE"/>
    <w:rsid w:val="008E64FE"/>
    <w:rsid w:val="008E69BE"/>
    <w:rsid w:val="008E6CCC"/>
    <w:rsid w:val="008E6F06"/>
    <w:rsid w:val="008E702A"/>
    <w:rsid w:val="008E70E0"/>
    <w:rsid w:val="008E7245"/>
    <w:rsid w:val="008E7272"/>
    <w:rsid w:val="008E774A"/>
    <w:rsid w:val="008E7981"/>
    <w:rsid w:val="008E7FD4"/>
    <w:rsid w:val="008F0139"/>
    <w:rsid w:val="008F05BA"/>
    <w:rsid w:val="008F0669"/>
    <w:rsid w:val="008F0A1E"/>
    <w:rsid w:val="008F0BC3"/>
    <w:rsid w:val="008F0D8A"/>
    <w:rsid w:val="008F1384"/>
    <w:rsid w:val="008F15B5"/>
    <w:rsid w:val="008F19E0"/>
    <w:rsid w:val="008F1EB0"/>
    <w:rsid w:val="008F1FDE"/>
    <w:rsid w:val="008F228F"/>
    <w:rsid w:val="008F22E8"/>
    <w:rsid w:val="008F2351"/>
    <w:rsid w:val="008F29E0"/>
    <w:rsid w:val="008F2B81"/>
    <w:rsid w:val="008F2BED"/>
    <w:rsid w:val="008F31F7"/>
    <w:rsid w:val="008F3297"/>
    <w:rsid w:val="008F3779"/>
    <w:rsid w:val="008F37F1"/>
    <w:rsid w:val="008F4231"/>
    <w:rsid w:val="008F43CD"/>
    <w:rsid w:val="008F4763"/>
    <w:rsid w:val="008F49A1"/>
    <w:rsid w:val="008F4D43"/>
    <w:rsid w:val="008F51A2"/>
    <w:rsid w:val="008F52EA"/>
    <w:rsid w:val="008F537F"/>
    <w:rsid w:val="008F54A4"/>
    <w:rsid w:val="008F57D4"/>
    <w:rsid w:val="008F5819"/>
    <w:rsid w:val="008F589E"/>
    <w:rsid w:val="008F5DC7"/>
    <w:rsid w:val="008F6207"/>
    <w:rsid w:val="008F6257"/>
    <w:rsid w:val="008F66BA"/>
    <w:rsid w:val="008F680D"/>
    <w:rsid w:val="008F699F"/>
    <w:rsid w:val="008F706F"/>
    <w:rsid w:val="008F7719"/>
    <w:rsid w:val="008F7819"/>
    <w:rsid w:val="008F7898"/>
    <w:rsid w:val="008F78C6"/>
    <w:rsid w:val="008F7A57"/>
    <w:rsid w:val="009001E6"/>
    <w:rsid w:val="00900604"/>
    <w:rsid w:val="009008E5"/>
    <w:rsid w:val="00900D4C"/>
    <w:rsid w:val="00901580"/>
    <w:rsid w:val="00901F29"/>
    <w:rsid w:val="009022F6"/>
    <w:rsid w:val="00902619"/>
    <w:rsid w:val="00902733"/>
    <w:rsid w:val="00902D92"/>
    <w:rsid w:val="00902F11"/>
    <w:rsid w:val="009030B0"/>
    <w:rsid w:val="009031A8"/>
    <w:rsid w:val="009032E6"/>
    <w:rsid w:val="0090396F"/>
    <w:rsid w:val="00903C53"/>
    <w:rsid w:val="00903E01"/>
    <w:rsid w:val="00903F10"/>
    <w:rsid w:val="00903F7E"/>
    <w:rsid w:val="00904348"/>
    <w:rsid w:val="00904423"/>
    <w:rsid w:val="009046ED"/>
    <w:rsid w:val="009048F3"/>
    <w:rsid w:val="00904AD0"/>
    <w:rsid w:val="00904D5C"/>
    <w:rsid w:val="00904DB0"/>
    <w:rsid w:val="00905446"/>
    <w:rsid w:val="0090549A"/>
    <w:rsid w:val="009054E1"/>
    <w:rsid w:val="0090572F"/>
    <w:rsid w:val="00905820"/>
    <w:rsid w:val="00905862"/>
    <w:rsid w:val="009058E4"/>
    <w:rsid w:val="00905B6F"/>
    <w:rsid w:val="00905B96"/>
    <w:rsid w:val="00905C0C"/>
    <w:rsid w:val="00905D2A"/>
    <w:rsid w:val="00905FCC"/>
    <w:rsid w:val="0090600A"/>
    <w:rsid w:val="00906512"/>
    <w:rsid w:val="009066EA"/>
    <w:rsid w:val="00906EF5"/>
    <w:rsid w:val="0090744E"/>
    <w:rsid w:val="00910033"/>
    <w:rsid w:val="009101AA"/>
    <w:rsid w:val="009101C6"/>
    <w:rsid w:val="0091028A"/>
    <w:rsid w:val="009105B6"/>
    <w:rsid w:val="00910E25"/>
    <w:rsid w:val="00911186"/>
    <w:rsid w:val="00911454"/>
    <w:rsid w:val="00911469"/>
    <w:rsid w:val="0091186E"/>
    <w:rsid w:val="009118A6"/>
    <w:rsid w:val="00911903"/>
    <w:rsid w:val="00911A41"/>
    <w:rsid w:val="00911C0E"/>
    <w:rsid w:val="00911D63"/>
    <w:rsid w:val="009123D2"/>
    <w:rsid w:val="00912420"/>
    <w:rsid w:val="00912580"/>
    <w:rsid w:val="00912A38"/>
    <w:rsid w:val="00912E65"/>
    <w:rsid w:val="0091301E"/>
    <w:rsid w:val="0091335C"/>
    <w:rsid w:val="0091343C"/>
    <w:rsid w:val="009135F7"/>
    <w:rsid w:val="00913638"/>
    <w:rsid w:val="00913CE0"/>
    <w:rsid w:val="0091432E"/>
    <w:rsid w:val="00914382"/>
    <w:rsid w:val="009143BB"/>
    <w:rsid w:val="009144E1"/>
    <w:rsid w:val="00914A13"/>
    <w:rsid w:val="00914D49"/>
    <w:rsid w:val="00914E76"/>
    <w:rsid w:val="009150E3"/>
    <w:rsid w:val="0091520B"/>
    <w:rsid w:val="0091535C"/>
    <w:rsid w:val="0091548C"/>
    <w:rsid w:val="00915855"/>
    <w:rsid w:val="00915910"/>
    <w:rsid w:val="00915C32"/>
    <w:rsid w:val="00915D50"/>
    <w:rsid w:val="00916538"/>
    <w:rsid w:val="00916565"/>
    <w:rsid w:val="009167F2"/>
    <w:rsid w:val="009168B2"/>
    <w:rsid w:val="00916911"/>
    <w:rsid w:val="00916E9A"/>
    <w:rsid w:val="0091731C"/>
    <w:rsid w:val="009173BF"/>
    <w:rsid w:val="009173FD"/>
    <w:rsid w:val="00917D56"/>
    <w:rsid w:val="00917D91"/>
    <w:rsid w:val="00917F7C"/>
    <w:rsid w:val="00920AEF"/>
    <w:rsid w:val="00920CF7"/>
    <w:rsid w:val="00921432"/>
    <w:rsid w:val="009214BC"/>
    <w:rsid w:val="00921BC0"/>
    <w:rsid w:val="00921FCD"/>
    <w:rsid w:val="00921FE1"/>
    <w:rsid w:val="009227EE"/>
    <w:rsid w:val="0092287C"/>
    <w:rsid w:val="00922B45"/>
    <w:rsid w:val="00922D34"/>
    <w:rsid w:val="00922DBB"/>
    <w:rsid w:val="0092325A"/>
    <w:rsid w:val="009233B4"/>
    <w:rsid w:val="009233F8"/>
    <w:rsid w:val="00923A66"/>
    <w:rsid w:val="00923AF4"/>
    <w:rsid w:val="009241A0"/>
    <w:rsid w:val="0092477E"/>
    <w:rsid w:val="00924BC2"/>
    <w:rsid w:val="00924EA1"/>
    <w:rsid w:val="009250C6"/>
    <w:rsid w:val="0092522E"/>
    <w:rsid w:val="0092531F"/>
    <w:rsid w:val="0092533C"/>
    <w:rsid w:val="009254DC"/>
    <w:rsid w:val="00925BC2"/>
    <w:rsid w:val="00925D83"/>
    <w:rsid w:val="0092685D"/>
    <w:rsid w:val="00926AE5"/>
    <w:rsid w:val="00926C88"/>
    <w:rsid w:val="00926FF0"/>
    <w:rsid w:val="009273A1"/>
    <w:rsid w:val="009274BF"/>
    <w:rsid w:val="009278A7"/>
    <w:rsid w:val="00927B2D"/>
    <w:rsid w:val="00927C2D"/>
    <w:rsid w:val="00927E66"/>
    <w:rsid w:val="00930546"/>
    <w:rsid w:val="009305D0"/>
    <w:rsid w:val="00930869"/>
    <w:rsid w:val="00930C79"/>
    <w:rsid w:val="00930E9A"/>
    <w:rsid w:val="00930EE4"/>
    <w:rsid w:val="00931071"/>
    <w:rsid w:val="009312AB"/>
    <w:rsid w:val="009319B2"/>
    <w:rsid w:val="00931D8D"/>
    <w:rsid w:val="009321B2"/>
    <w:rsid w:val="0093227B"/>
    <w:rsid w:val="009324AF"/>
    <w:rsid w:val="009324BB"/>
    <w:rsid w:val="00932EB6"/>
    <w:rsid w:val="00932EF5"/>
    <w:rsid w:val="0093317A"/>
    <w:rsid w:val="00933909"/>
    <w:rsid w:val="00933EC6"/>
    <w:rsid w:val="009345BD"/>
    <w:rsid w:val="009346BE"/>
    <w:rsid w:val="0093479E"/>
    <w:rsid w:val="00934F98"/>
    <w:rsid w:val="0093566D"/>
    <w:rsid w:val="009363AF"/>
    <w:rsid w:val="00936414"/>
    <w:rsid w:val="009366FD"/>
    <w:rsid w:val="00936A65"/>
    <w:rsid w:val="00936BCD"/>
    <w:rsid w:val="00936E69"/>
    <w:rsid w:val="00936E98"/>
    <w:rsid w:val="00936F84"/>
    <w:rsid w:val="00937098"/>
    <w:rsid w:val="009374AB"/>
    <w:rsid w:val="009376E2"/>
    <w:rsid w:val="009400C2"/>
    <w:rsid w:val="00940798"/>
    <w:rsid w:val="00940C43"/>
    <w:rsid w:val="00940C8A"/>
    <w:rsid w:val="009410CD"/>
    <w:rsid w:val="009412B4"/>
    <w:rsid w:val="00941378"/>
    <w:rsid w:val="00941490"/>
    <w:rsid w:val="00941DBA"/>
    <w:rsid w:val="00941ED8"/>
    <w:rsid w:val="0094205A"/>
    <w:rsid w:val="009423AC"/>
    <w:rsid w:val="00942AB3"/>
    <w:rsid w:val="00942B77"/>
    <w:rsid w:val="00942C4B"/>
    <w:rsid w:val="00942D72"/>
    <w:rsid w:val="00942EE6"/>
    <w:rsid w:val="009430C2"/>
    <w:rsid w:val="00943264"/>
    <w:rsid w:val="009436FC"/>
    <w:rsid w:val="009437E9"/>
    <w:rsid w:val="00943821"/>
    <w:rsid w:val="00943975"/>
    <w:rsid w:val="009439E6"/>
    <w:rsid w:val="00943AD4"/>
    <w:rsid w:val="00943C91"/>
    <w:rsid w:val="00943DB7"/>
    <w:rsid w:val="00943DD2"/>
    <w:rsid w:val="00943E21"/>
    <w:rsid w:val="00943FBF"/>
    <w:rsid w:val="00943FCA"/>
    <w:rsid w:val="00944292"/>
    <w:rsid w:val="00944820"/>
    <w:rsid w:val="00944E6A"/>
    <w:rsid w:val="00944EA4"/>
    <w:rsid w:val="0094523F"/>
    <w:rsid w:val="00945354"/>
    <w:rsid w:val="00945491"/>
    <w:rsid w:val="009455A0"/>
    <w:rsid w:val="009455AE"/>
    <w:rsid w:val="009457BE"/>
    <w:rsid w:val="00945A71"/>
    <w:rsid w:val="00945E46"/>
    <w:rsid w:val="00946197"/>
    <w:rsid w:val="0094627E"/>
    <w:rsid w:val="0094635D"/>
    <w:rsid w:val="009467BC"/>
    <w:rsid w:val="0094685D"/>
    <w:rsid w:val="00946A1A"/>
    <w:rsid w:val="009470DF"/>
    <w:rsid w:val="0094721B"/>
    <w:rsid w:val="00947244"/>
    <w:rsid w:val="00947264"/>
    <w:rsid w:val="0094735C"/>
    <w:rsid w:val="00947431"/>
    <w:rsid w:val="00947AA0"/>
    <w:rsid w:val="00947EE5"/>
    <w:rsid w:val="00950102"/>
    <w:rsid w:val="009501A2"/>
    <w:rsid w:val="00950223"/>
    <w:rsid w:val="009503D7"/>
    <w:rsid w:val="0095040C"/>
    <w:rsid w:val="0095055B"/>
    <w:rsid w:val="009505D6"/>
    <w:rsid w:val="00950866"/>
    <w:rsid w:val="00950AE9"/>
    <w:rsid w:val="00950B06"/>
    <w:rsid w:val="00950B8C"/>
    <w:rsid w:val="00950BF5"/>
    <w:rsid w:val="00950D4F"/>
    <w:rsid w:val="00950D54"/>
    <w:rsid w:val="00950E44"/>
    <w:rsid w:val="00951047"/>
    <w:rsid w:val="00951087"/>
    <w:rsid w:val="009510A9"/>
    <w:rsid w:val="009515B7"/>
    <w:rsid w:val="0095160B"/>
    <w:rsid w:val="0095169B"/>
    <w:rsid w:val="0095174A"/>
    <w:rsid w:val="00951754"/>
    <w:rsid w:val="00951C42"/>
    <w:rsid w:val="00951C4A"/>
    <w:rsid w:val="00951D96"/>
    <w:rsid w:val="00951DB1"/>
    <w:rsid w:val="0095211F"/>
    <w:rsid w:val="009525CE"/>
    <w:rsid w:val="009528C2"/>
    <w:rsid w:val="009529FC"/>
    <w:rsid w:val="00952CEC"/>
    <w:rsid w:val="00952D46"/>
    <w:rsid w:val="00952F7E"/>
    <w:rsid w:val="0095335A"/>
    <w:rsid w:val="0095343C"/>
    <w:rsid w:val="009539CD"/>
    <w:rsid w:val="00953BC2"/>
    <w:rsid w:val="00953C83"/>
    <w:rsid w:val="00953F45"/>
    <w:rsid w:val="0095420A"/>
    <w:rsid w:val="009544AE"/>
    <w:rsid w:val="009547BE"/>
    <w:rsid w:val="00955647"/>
    <w:rsid w:val="009558D5"/>
    <w:rsid w:val="00955D6B"/>
    <w:rsid w:val="00955E30"/>
    <w:rsid w:val="00955FDA"/>
    <w:rsid w:val="009560F9"/>
    <w:rsid w:val="009568AB"/>
    <w:rsid w:val="00956A28"/>
    <w:rsid w:val="00956B41"/>
    <w:rsid w:val="00956C1E"/>
    <w:rsid w:val="00956C4C"/>
    <w:rsid w:val="00956E5F"/>
    <w:rsid w:val="00957037"/>
    <w:rsid w:val="00957448"/>
    <w:rsid w:val="00957587"/>
    <w:rsid w:val="009575CF"/>
    <w:rsid w:val="009579C2"/>
    <w:rsid w:val="00957C77"/>
    <w:rsid w:val="00957CC8"/>
    <w:rsid w:val="0096013C"/>
    <w:rsid w:val="0096023E"/>
    <w:rsid w:val="00960258"/>
    <w:rsid w:val="00960322"/>
    <w:rsid w:val="00960477"/>
    <w:rsid w:val="009604D9"/>
    <w:rsid w:val="00960717"/>
    <w:rsid w:val="00961274"/>
    <w:rsid w:val="0096129D"/>
    <w:rsid w:val="00961B1F"/>
    <w:rsid w:val="00961B45"/>
    <w:rsid w:val="00961B98"/>
    <w:rsid w:val="00961D76"/>
    <w:rsid w:val="009622B9"/>
    <w:rsid w:val="009623DD"/>
    <w:rsid w:val="00962438"/>
    <w:rsid w:val="00962536"/>
    <w:rsid w:val="009628EF"/>
    <w:rsid w:val="00962F0E"/>
    <w:rsid w:val="0096343B"/>
    <w:rsid w:val="009635C8"/>
    <w:rsid w:val="009635DE"/>
    <w:rsid w:val="009637D1"/>
    <w:rsid w:val="00963F3C"/>
    <w:rsid w:val="0096448F"/>
    <w:rsid w:val="00964AA0"/>
    <w:rsid w:val="00964BF9"/>
    <w:rsid w:val="00964C82"/>
    <w:rsid w:val="009650E2"/>
    <w:rsid w:val="0096529F"/>
    <w:rsid w:val="00965418"/>
    <w:rsid w:val="009657DE"/>
    <w:rsid w:val="009658E1"/>
    <w:rsid w:val="00965955"/>
    <w:rsid w:val="00966219"/>
    <w:rsid w:val="00966367"/>
    <w:rsid w:val="00966A5B"/>
    <w:rsid w:val="00966AC0"/>
    <w:rsid w:val="00966AD2"/>
    <w:rsid w:val="00966D00"/>
    <w:rsid w:val="00966D7B"/>
    <w:rsid w:val="00966EAB"/>
    <w:rsid w:val="009671C4"/>
    <w:rsid w:val="00967321"/>
    <w:rsid w:val="0096771B"/>
    <w:rsid w:val="0096795C"/>
    <w:rsid w:val="00967A49"/>
    <w:rsid w:val="00967C11"/>
    <w:rsid w:val="00967C83"/>
    <w:rsid w:val="00967EEB"/>
    <w:rsid w:val="00970069"/>
    <w:rsid w:val="0097048C"/>
    <w:rsid w:val="00970772"/>
    <w:rsid w:val="00970C7F"/>
    <w:rsid w:val="00970F97"/>
    <w:rsid w:val="009712E8"/>
    <w:rsid w:val="009715ED"/>
    <w:rsid w:val="00971781"/>
    <w:rsid w:val="00971B1A"/>
    <w:rsid w:val="009721EB"/>
    <w:rsid w:val="00972E30"/>
    <w:rsid w:val="0097310A"/>
    <w:rsid w:val="009739C5"/>
    <w:rsid w:val="00973BF6"/>
    <w:rsid w:val="0097423D"/>
    <w:rsid w:val="00974452"/>
    <w:rsid w:val="009745AA"/>
    <w:rsid w:val="00974BB0"/>
    <w:rsid w:val="00974CE7"/>
    <w:rsid w:val="00974F84"/>
    <w:rsid w:val="009750AC"/>
    <w:rsid w:val="0097510A"/>
    <w:rsid w:val="00975185"/>
    <w:rsid w:val="0097521D"/>
    <w:rsid w:val="00975506"/>
    <w:rsid w:val="0097565B"/>
    <w:rsid w:val="00975B55"/>
    <w:rsid w:val="00975C8F"/>
    <w:rsid w:val="00975D62"/>
    <w:rsid w:val="00976353"/>
    <w:rsid w:val="00976690"/>
    <w:rsid w:val="00976FB0"/>
    <w:rsid w:val="00977183"/>
    <w:rsid w:val="009777C6"/>
    <w:rsid w:val="00977861"/>
    <w:rsid w:val="00977B33"/>
    <w:rsid w:val="00977CE8"/>
    <w:rsid w:val="009800BA"/>
    <w:rsid w:val="00980116"/>
    <w:rsid w:val="009805DD"/>
    <w:rsid w:val="00980648"/>
    <w:rsid w:val="009807B2"/>
    <w:rsid w:val="00980D2C"/>
    <w:rsid w:val="00980E01"/>
    <w:rsid w:val="00980F5F"/>
    <w:rsid w:val="009810AE"/>
    <w:rsid w:val="0098121A"/>
    <w:rsid w:val="00981329"/>
    <w:rsid w:val="009813FE"/>
    <w:rsid w:val="00981472"/>
    <w:rsid w:val="0098186F"/>
    <w:rsid w:val="00981A2B"/>
    <w:rsid w:val="00981C3B"/>
    <w:rsid w:val="00982348"/>
    <w:rsid w:val="009828F4"/>
    <w:rsid w:val="00982994"/>
    <w:rsid w:val="00982BAD"/>
    <w:rsid w:val="00982C7A"/>
    <w:rsid w:val="00983082"/>
    <w:rsid w:val="00983AEE"/>
    <w:rsid w:val="00983B88"/>
    <w:rsid w:val="00983FE1"/>
    <w:rsid w:val="00984320"/>
    <w:rsid w:val="0098457F"/>
    <w:rsid w:val="0098467E"/>
    <w:rsid w:val="009846CA"/>
    <w:rsid w:val="0098493F"/>
    <w:rsid w:val="00984B69"/>
    <w:rsid w:val="00984D9D"/>
    <w:rsid w:val="00984FB5"/>
    <w:rsid w:val="00984FCD"/>
    <w:rsid w:val="00985277"/>
    <w:rsid w:val="009853CA"/>
    <w:rsid w:val="009857E7"/>
    <w:rsid w:val="0098596A"/>
    <w:rsid w:val="00985F41"/>
    <w:rsid w:val="009862FF"/>
    <w:rsid w:val="009863A7"/>
    <w:rsid w:val="009864B3"/>
    <w:rsid w:val="00986702"/>
    <w:rsid w:val="0098677B"/>
    <w:rsid w:val="00986DEA"/>
    <w:rsid w:val="00986E12"/>
    <w:rsid w:val="00986F62"/>
    <w:rsid w:val="00987037"/>
    <w:rsid w:val="009871AC"/>
    <w:rsid w:val="00987936"/>
    <w:rsid w:val="0098796D"/>
    <w:rsid w:val="00987D5F"/>
    <w:rsid w:val="00987E7A"/>
    <w:rsid w:val="0099041C"/>
    <w:rsid w:val="0099151F"/>
    <w:rsid w:val="009915C8"/>
    <w:rsid w:val="0099161F"/>
    <w:rsid w:val="00991A42"/>
    <w:rsid w:val="00991B06"/>
    <w:rsid w:val="00992229"/>
    <w:rsid w:val="0099225B"/>
    <w:rsid w:val="009927A8"/>
    <w:rsid w:val="00992C52"/>
    <w:rsid w:val="00992C96"/>
    <w:rsid w:val="00993381"/>
    <w:rsid w:val="009933AA"/>
    <w:rsid w:val="00993B56"/>
    <w:rsid w:val="00993CEF"/>
    <w:rsid w:val="0099414E"/>
    <w:rsid w:val="009942E6"/>
    <w:rsid w:val="0099461D"/>
    <w:rsid w:val="00994680"/>
    <w:rsid w:val="00994E29"/>
    <w:rsid w:val="00994E42"/>
    <w:rsid w:val="00994F60"/>
    <w:rsid w:val="00995154"/>
    <w:rsid w:val="0099516F"/>
    <w:rsid w:val="009955BC"/>
    <w:rsid w:val="009969B4"/>
    <w:rsid w:val="00996E0F"/>
    <w:rsid w:val="00996F6A"/>
    <w:rsid w:val="00996F9B"/>
    <w:rsid w:val="009970F2"/>
    <w:rsid w:val="009972A8"/>
    <w:rsid w:val="009973F5"/>
    <w:rsid w:val="00997556"/>
    <w:rsid w:val="00997B91"/>
    <w:rsid w:val="00997D96"/>
    <w:rsid w:val="00997F04"/>
    <w:rsid w:val="009A02FE"/>
    <w:rsid w:val="009A05C6"/>
    <w:rsid w:val="009A091C"/>
    <w:rsid w:val="009A0E27"/>
    <w:rsid w:val="009A1219"/>
    <w:rsid w:val="009A22D6"/>
    <w:rsid w:val="009A2330"/>
    <w:rsid w:val="009A24BB"/>
    <w:rsid w:val="009A2665"/>
    <w:rsid w:val="009A286A"/>
    <w:rsid w:val="009A2ABB"/>
    <w:rsid w:val="009A2B9C"/>
    <w:rsid w:val="009A2D71"/>
    <w:rsid w:val="009A3044"/>
    <w:rsid w:val="009A31EE"/>
    <w:rsid w:val="009A363B"/>
    <w:rsid w:val="009A37D3"/>
    <w:rsid w:val="009A3AB3"/>
    <w:rsid w:val="009A3AD7"/>
    <w:rsid w:val="009A40F6"/>
    <w:rsid w:val="009A41F0"/>
    <w:rsid w:val="009A4257"/>
    <w:rsid w:val="009A44FD"/>
    <w:rsid w:val="009A49B2"/>
    <w:rsid w:val="009A4C7B"/>
    <w:rsid w:val="009A4F61"/>
    <w:rsid w:val="009A501E"/>
    <w:rsid w:val="009A5102"/>
    <w:rsid w:val="009A592A"/>
    <w:rsid w:val="009A5B6E"/>
    <w:rsid w:val="009A5B98"/>
    <w:rsid w:val="009A5F7D"/>
    <w:rsid w:val="009A6314"/>
    <w:rsid w:val="009A63EA"/>
    <w:rsid w:val="009A70B1"/>
    <w:rsid w:val="009A70BE"/>
    <w:rsid w:val="009A7834"/>
    <w:rsid w:val="009B0138"/>
    <w:rsid w:val="009B043D"/>
    <w:rsid w:val="009B090A"/>
    <w:rsid w:val="009B0C65"/>
    <w:rsid w:val="009B0D9B"/>
    <w:rsid w:val="009B0E9D"/>
    <w:rsid w:val="009B137F"/>
    <w:rsid w:val="009B13C7"/>
    <w:rsid w:val="009B1627"/>
    <w:rsid w:val="009B1650"/>
    <w:rsid w:val="009B1ED7"/>
    <w:rsid w:val="009B2856"/>
    <w:rsid w:val="009B2E57"/>
    <w:rsid w:val="009B3276"/>
    <w:rsid w:val="009B3412"/>
    <w:rsid w:val="009B371A"/>
    <w:rsid w:val="009B3923"/>
    <w:rsid w:val="009B3E6F"/>
    <w:rsid w:val="009B4228"/>
    <w:rsid w:val="009B426B"/>
    <w:rsid w:val="009B448A"/>
    <w:rsid w:val="009B456B"/>
    <w:rsid w:val="009B4595"/>
    <w:rsid w:val="009B47F1"/>
    <w:rsid w:val="009B490A"/>
    <w:rsid w:val="009B4970"/>
    <w:rsid w:val="009B4B9D"/>
    <w:rsid w:val="009B4C45"/>
    <w:rsid w:val="009B4F77"/>
    <w:rsid w:val="009B50B0"/>
    <w:rsid w:val="009B5156"/>
    <w:rsid w:val="009B52EE"/>
    <w:rsid w:val="009B570E"/>
    <w:rsid w:val="009B5ADF"/>
    <w:rsid w:val="009B5BF5"/>
    <w:rsid w:val="009B5D1F"/>
    <w:rsid w:val="009B5D27"/>
    <w:rsid w:val="009B5D2A"/>
    <w:rsid w:val="009B5F7F"/>
    <w:rsid w:val="009B5FA8"/>
    <w:rsid w:val="009B5FF8"/>
    <w:rsid w:val="009B61A1"/>
    <w:rsid w:val="009B61C5"/>
    <w:rsid w:val="009B62C4"/>
    <w:rsid w:val="009B640B"/>
    <w:rsid w:val="009B66E9"/>
    <w:rsid w:val="009B6723"/>
    <w:rsid w:val="009B6B7D"/>
    <w:rsid w:val="009B6C46"/>
    <w:rsid w:val="009B6CC9"/>
    <w:rsid w:val="009B6ECB"/>
    <w:rsid w:val="009B706E"/>
    <w:rsid w:val="009B78FD"/>
    <w:rsid w:val="009B7E6B"/>
    <w:rsid w:val="009B7F46"/>
    <w:rsid w:val="009B7FD4"/>
    <w:rsid w:val="009C002E"/>
    <w:rsid w:val="009C00CE"/>
    <w:rsid w:val="009C013E"/>
    <w:rsid w:val="009C01A2"/>
    <w:rsid w:val="009C01FF"/>
    <w:rsid w:val="009C06B5"/>
    <w:rsid w:val="009C06D0"/>
    <w:rsid w:val="009C07B1"/>
    <w:rsid w:val="009C0A12"/>
    <w:rsid w:val="009C1CEF"/>
    <w:rsid w:val="009C20C4"/>
    <w:rsid w:val="009C2164"/>
    <w:rsid w:val="009C228C"/>
    <w:rsid w:val="009C2349"/>
    <w:rsid w:val="009C2378"/>
    <w:rsid w:val="009C2608"/>
    <w:rsid w:val="009C2791"/>
    <w:rsid w:val="009C294B"/>
    <w:rsid w:val="009C2D90"/>
    <w:rsid w:val="009C2FE8"/>
    <w:rsid w:val="009C34BA"/>
    <w:rsid w:val="009C3C1F"/>
    <w:rsid w:val="009C3ECC"/>
    <w:rsid w:val="009C40B3"/>
    <w:rsid w:val="009C423A"/>
    <w:rsid w:val="009C424E"/>
    <w:rsid w:val="009C42CF"/>
    <w:rsid w:val="009C4718"/>
    <w:rsid w:val="009C480F"/>
    <w:rsid w:val="009C4A06"/>
    <w:rsid w:val="009C4AAD"/>
    <w:rsid w:val="009C4ACF"/>
    <w:rsid w:val="009C4E0A"/>
    <w:rsid w:val="009C5339"/>
    <w:rsid w:val="009C5413"/>
    <w:rsid w:val="009C5418"/>
    <w:rsid w:val="009C5510"/>
    <w:rsid w:val="009C5587"/>
    <w:rsid w:val="009C5B33"/>
    <w:rsid w:val="009C5D27"/>
    <w:rsid w:val="009C5D28"/>
    <w:rsid w:val="009C5E3E"/>
    <w:rsid w:val="009C5F96"/>
    <w:rsid w:val="009C5FD0"/>
    <w:rsid w:val="009C60A3"/>
    <w:rsid w:val="009C62E4"/>
    <w:rsid w:val="009C659D"/>
    <w:rsid w:val="009C6B63"/>
    <w:rsid w:val="009C6DA2"/>
    <w:rsid w:val="009C70CE"/>
    <w:rsid w:val="009C70D3"/>
    <w:rsid w:val="009C711A"/>
    <w:rsid w:val="009C7169"/>
    <w:rsid w:val="009C73DF"/>
    <w:rsid w:val="009C7707"/>
    <w:rsid w:val="009C77C2"/>
    <w:rsid w:val="009C7B0B"/>
    <w:rsid w:val="009C7B29"/>
    <w:rsid w:val="009D032A"/>
    <w:rsid w:val="009D05BD"/>
    <w:rsid w:val="009D08D0"/>
    <w:rsid w:val="009D097D"/>
    <w:rsid w:val="009D0B2A"/>
    <w:rsid w:val="009D0B42"/>
    <w:rsid w:val="009D0D3E"/>
    <w:rsid w:val="009D1170"/>
    <w:rsid w:val="009D1269"/>
    <w:rsid w:val="009D1474"/>
    <w:rsid w:val="009D1527"/>
    <w:rsid w:val="009D17E7"/>
    <w:rsid w:val="009D190A"/>
    <w:rsid w:val="009D193C"/>
    <w:rsid w:val="009D1B85"/>
    <w:rsid w:val="009D2483"/>
    <w:rsid w:val="009D2536"/>
    <w:rsid w:val="009D2768"/>
    <w:rsid w:val="009D27B6"/>
    <w:rsid w:val="009D2897"/>
    <w:rsid w:val="009D33EB"/>
    <w:rsid w:val="009D38EE"/>
    <w:rsid w:val="009D3911"/>
    <w:rsid w:val="009D4212"/>
    <w:rsid w:val="009D4349"/>
    <w:rsid w:val="009D434C"/>
    <w:rsid w:val="009D43F6"/>
    <w:rsid w:val="009D4525"/>
    <w:rsid w:val="009D4557"/>
    <w:rsid w:val="009D5007"/>
    <w:rsid w:val="009D5012"/>
    <w:rsid w:val="009D5044"/>
    <w:rsid w:val="009D5139"/>
    <w:rsid w:val="009D5707"/>
    <w:rsid w:val="009D5D51"/>
    <w:rsid w:val="009D5E5B"/>
    <w:rsid w:val="009D5FC2"/>
    <w:rsid w:val="009D5FEE"/>
    <w:rsid w:val="009D6018"/>
    <w:rsid w:val="009D617C"/>
    <w:rsid w:val="009D61C4"/>
    <w:rsid w:val="009D61E4"/>
    <w:rsid w:val="009D62C2"/>
    <w:rsid w:val="009D638D"/>
    <w:rsid w:val="009D6595"/>
    <w:rsid w:val="009D6778"/>
    <w:rsid w:val="009D6825"/>
    <w:rsid w:val="009D68CA"/>
    <w:rsid w:val="009D6AC4"/>
    <w:rsid w:val="009D6B25"/>
    <w:rsid w:val="009D75FA"/>
    <w:rsid w:val="009D77B0"/>
    <w:rsid w:val="009D7BD1"/>
    <w:rsid w:val="009D7F38"/>
    <w:rsid w:val="009E00ED"/>
    <w:rsid w:val="009E026B"/>
    <w:rsid w:val="009E0273"/>
    <w:rsid w:val="009E049D"/>
    <w:rsid w:val="009E0542"/>
    <w:rsid w:val="009E0543"/>
    <w:rsid w:val="009E0A3F"/>
    <w:rsid w:val="009E1465"/>
    <w:rsid w:val="009E1656"/>
    <w:rsid w:val="009E1B11"/>
    <w:rsid w:val="009E1B46"/>
    <w:rsid w:val="009E2066"/>
    <w:rsid w:val="009E2281"/>
    <w:rsid w:val="009E24A0"/>
    <w:rsid w:val="009E2F5A"/>
    <w:rsid w:val="009E2FEE"/>
    <w:rsid w:val="009E32A0"/>
    <w:rsid w:val="009E3369"/>
    <w:rsid w:val="009E373B"/>
    <w:rsid w:val="009E3EE5"/>
    <w:rsid w:val="009E410B"/>
    <w:rsid w:val="009E4AC8"/>
    <w:rsid w:val="009E4B21"/>
    <w:rsid w:val="009E5319"/>
    <w:rsid w:val="009E5517"/>
    <w:rsid w:val="009E591F"/>
    <w:rsid w:val="009E5970"/>
    <w:rsid w:val="009E60EF"/>
    <w:rsid w:val="009E6622"/>
    <w:rsid w:val="009E6801"/>
    <w:rsid w:val="009E6877"/>
    <w:rsid w:val="009E6A74"/>
    <w:rsid w:val="009E6C04"/>
    <w:rsid w:val="009E6CEA"/>
    <w:rsid w:val="009E6E62"/>
    <w:rsid w:val="009E79ED"/>
    <w:rsid w:val="009E7AAD"/>
    <w:rsid w:val="009E7AC5"/>
    <w:rsid w:val="009E7CFE"/>
    <w:rsid w:val="009E7F16"/>
    <w:rsid w:val="009EB069"/>
    <w:rsid w:val="009F0172"/>
    <w:rsid w:val="009F0677"/>
    <w:rsid w:val="009F06F5"/>
    <w:rsid w:val="009F0871"/>
    <w:rsid w:val="009F0A84"/>
    <w:rsid w:val="009F0AF0"/>
    <w:rsid w:val="009F12FA"/>
    <w:rsid w:val="009F1603"/>
    <w:rsid w:val="009F171F"/>
    <w:rsid w:val="009F1875"/>
    <w:rsid w:val="009F1A97"/>
    <w:rsid w:val="009F1C38"/>
    <w:rsid w:val="009F1C96"/>
    <w:rsid w:val="009F203B"/>
    <w:rsid w:val="009F238D"/>
    <w:rsid w:val="009F24EA"/>
    <w:rsid w:val="009F271D"/>
    <w:rsid w:val="009F279B"/>
    <w:rsid w:val="009F2AD7"/>
    <w:rsid w:val="009F2B82"/>
    <w:rsid w:val="009F2BD4"/>
    <w:rsid w:val="009F2C81"/>
    <w:rsid w:val="009F2CE8"/>
    <w:rsid w:val="009F350E"/>
    <w:rsid w:val="009F35CE"/>
    <w:rsid w:val="009F3F99"/>
    <w:rsid w:val="009F4426"/>
    <w:rsid w:val="009F4914"/>
    <w:rsid w:val="009F4CA4"/>
    <w:rsid w:val="009F550D"/>
    <w:rsid w:val="009F5678"/>
    <w:rsid w:val="009F584F"/>
    <w:rsid w:val="009F59B1"/>
    <w:rsid w:val="009F5D4F"/>
    <w:rsid w:val="009F62EC"/>
    <w:rsid w:val="009F6617"/>
    <w:rsid w:val="009F664B"/>
    <w:rsid w:val="009F6D12"/>
    <w:rsid w:val="009F6E23"/>
    <w:rsid w:val="009F70AB"/>
    <w:rsid w:val="009F7105"/>
    <w:rsid w:val="009F75EE"/>
    <w:rsid w:val="009F79D2"/>
    <w:rsid w:val="009F7B87"/>
    <w:rsid w:val="009F7DC3"/>
    <w:rsid w:val="00A00056"/>
    <w:rsid w:val="00A012AD"/>
    <w:rsid w:val="00A01514"/>
    <w:rsid w:val="00A01A4A"/>
    <w:rsid w:val="00A01D14"/>
    <w:rsid w:val="00A01E86"/>
    <w:rsid w:val="00A0217F"/>
    <w:rsid w:val="00A02275"/>
    <w:rsid w:val="00A0232F"/>
    <w:rsid w:val="00A026A3"/>
    <w:rsid w:val="00A0289A"/>
    <w:rsid w:val="00A02DF2"/>
    <w:rsid w:val="00A02E21"/>
    <w:rsid w:val="00A02F24"/>
    <w:rsid w:val="00A02F61"/>
    <w:rsid w:val="00A03536"/>
    <w:rsid w:val="00A03677"/>
    <w:rsid w:val="00A037F0"/>
    <w:rsid w:val="00A039E4"/>
    <w:rsid w:val="00A03CF3"/>
    <w:rsid w:val="00A03D3D"/>
    <w:rsid w:val="00A04163"/>
    <w:rsid w:val="00A04837"/>
    <w:rsid w:val="00A048C4"/>
    <w:rsid w:val="00A04A44"/>
    <w:rsid w:val="00A04DB7"/>
    <w:rsid w:val="00A04E4E"/>
    <w:rsid w:val="00A04E56"/>
    <w:rsid w:val="00A0555A"/>
    <w:rsid w:val="00A05791"/>
    <w:rsid w:val="00A05FEF"/>
    <w:rsid w:val="00A0608D"/>
    <w:rsid w:val="00A063B0"/>
    <w:rsid w:val="00A06603"/>
    <w:rsid w:val="00A066F3"/>
    <w:rsid w:val="00A069C5"/>
    <w:rsid w:val="00A06EDD"/>
    <w:rsid w:val="00A07244"/>
    <w:rsid w:val="00A0731D"/>
    <w:rsid w:val="00A07596"/>
    <w:rsid w:val="00A076B6"/>
    <w:rsid w:val="00A07711"/>
    <w:rsid w:val="00A07BE4"/>
    <w:rsid w:val="00A10057"/>
    <w:rsid w:val="00A10141"/>
    <w:rsid w:val="00A10360"/>
    <w:rsid w:val="00A106F7"/>
    <w:rsid w:val="00A10753"/>
    <w:rsid w:val="00A10BD4"/>
    <w:rsid w:val="00A10DBF"/>
    <w:rsid w:val="00A10F18"/>
    <w:rsid w:val="00A11257"/>
    <w:rsid w:val="00A114C3"/>
    <w:rsid w:val="00A11707"/>
    <w:rsid w:val="00A11A6A"/>
    <w:rsid w:val="00A11A7C"/>
    <w:rsid w:val="00A11AD7"/>
    <w:rsid w:val="00A11C57"/>
    <w:rsid w:val="00A11E8E"/>
    <w:rsid w:val="00A12146"/>
    <w:rsid w:val="00A1235F"/>
    <w:rsid w:val="00A12A27"/>
    <w:rsid w:val="00A12FCF"/>
    <w:rsid w:val="00A132BC"/>
    <w:rsid w:val="00A1334D"/>
    <w:rsid w:val="00A138F7"/>
    <w:rsid w:val="00A13B12"/>
    <w:rsid w:val="00A14FC3"/>
    <w:rsid w:val="00A15201"/>
    <w:rsid w:val="00A1546C"/>
    <w:rsid w:val="00A1549F"/>
    <w:rsid w:val="00A15571"/>
    <w:rsid w:val="00A16062"/>
    <w:rsid w:val="00A16154"/>
    <w:rsid w:val="00A16D6E"/>
    <w:rsid w:val="00A173D8"/>
    <w:rsid w:val="00A17483"/>
    <w:rsid w:val="00A17608"/>
    <w:rsid w:val="00A177A0"/>
    <w:rsid w:val="00A17A08"/>
    <w:rsid w:val="00A17C4A"/>
    <w:rsid w:val="00A17C5A"/>
    <w:rsid w:val="00A17CF2"/>
    <w:rsid w:val="00A17DF6"/>
    <w:rsid w:val="00A2003A"/>
    <w:rsid w:val="00A201E0"/>
    <w:rsid w:val="00A20672"/>
    <w:rsid w:val="00A209E6"/>
    <w:rsid w:val="00A20AF0"/>
    <w:rsid w:val="00A20BC8"/>
    <w:rsid w:val="00A20BFF"/>
    <w:rsid w:val="00A21479"/>
    <w:rsid w:val="00A214DC"/>
    <w:rsid w:val="00A216E2"/>
    <w:rsid w:val="00A2193A"/>
    <w:rsid w:val="00A21B6B"/>
    <w:rsid w:val="00A21EC3"/>
    <w:rsid w:val="00A221BB"/>
    <w:rsid w:val="00A221E4"/>
    <w:rsid w:val="00A22373"/>
    <w:rsid w:val="00A2241E"/>
    <w:rsid w:val="00A22E52"/>
    <w:rsid w:val="00A231E2"/>
    <w:rsid w:val="00A237D4"/>
    <w:rsid w:val="00A237E0"/>
    <w:rsid w:val="00A239DB"/>
    <w:rsid w:val="00A244FE"/>
    <w:rsid w:val="00A246E4"/>
    <w:rsid w:val="00A24893"/>
    <w:rsid w:val="00A248EE"/>
    <w:rsid w:val="00A24AF2"/>
    <w:rsid w:val="00A24CAE"/>
    <w:rsid w:val="00A24CF7"/>
    <w:rsid w:val="00A24EE9"/>
    <w:rsid w:val="00A24F7A"/>
    <w:rsid w:val="00A25003"/>
    <w:rsid w:val="00A2505C"/>
    <w:rsid w:val="00A250F8"/>
    <w:rsid w:val="00A2510B"/>
    <w:rsid w:val="00A251B0"/>
    <w:rsid w:val="00A255F6"/>
    <w:rsid w:val="00A258E8"/>
    <w:rsid w:val="00A258F1"/>
    <w:rsid w:val="00A25E6B"/>
    <w:rsid w:val="00A25E92"/>
    <w:rsid w:val="00A261E7"/>
    <w:rsid w:val="00A26373"/>
    <w:rsid w:val="00A265D5"/>
    <w:rsid w:val="00A266D3"/>
    <w:rsid w:val="00A26772"/>
    <w:rsid w:val="00A267C7"/>
    <w:rsid w:val="00A26ACE"/>
    <w:rsid w:val="00A26B14"/>
    <w:rsid w:val="00A26B93"/>
    <w:rsid w:val="00A26CED"/>
    <w:rsid w:val="00A26F41"/>
    <w:rsid w:val="00A271D7"/>
    <w:rsid w:val="00A27245"/>
    <w:rsid w:val="00A27369"/>
    <w:rsid w:val="00A273AB"/>
    <w:rsid w:val="00A277DA"/>
    <w:rsid w:val="00A279D9"/>
    <w:rsid w:val="00A27BA8"/>
    <w:rsid w:val="00A27CB6"/>
    <w:rsid w:val="00A301EA"/>
    <w:rsid w:val="00A304DF"/>
    <w:rsid w:val="00A30702"/>
    <w:rsid w:val="00A30A8C"/>
    <w:rsid w:val="00A31196"/>
    <w:rsid w:val="00A311BE"/>
    <w:rsid w:val="00A312A1"/>
    <w:rsid w:val="00A3178B"/>
    <w:rsid w:val="00A31F86"/>
    <w:rsid w:val="00A31FEB"/>
    <w:rsid w:val="00A324B8"/>
    <w:rsid w:val="00A3258D"/>
    <w:rsid w:val="00A326FA"/>
    <w:rsid w:val="00A327C3"/>
    <w:rsid w:val="00A3286E"/>
    <w:rsid w:val="00A328EA"/>
    <w:rsid w:val="00A32AA7"/>
    <w:rsid w:val="00A32AB1"/>
    <w:rsid w:val="00A32BE6"/>
    <w:rsid w:val="00A32CD7"/>
    <w:rsid w:val="00A32CE5"/>
    <w:rsid w:val="00A32E4A"/>
    <w:rsid w:val="00A32F54"/>
    <w:rsid w:val="00A32F6B"/>
    <w:rsid w:val="00A33707"/>
    <w:rsid w:val="00A3395A"/>
    <w:rsid w:val="00A340E5"/>
    <w:rsid w:val="00A341EF"/>
    <w:rsid w:val="00A34267"/>
    <w:rsid w:val="00A3447A"/>
    <w:rsid w:val="00A345D7"/>
    <w:rsid w:val="00A34934"/>
    <w:rsid w:val="00A34A14"/>
    <w:rsid w:val="00A34EC8"/>
    <w:rsid w:val="00A35146"/>
    <w:rsid w:val="00A35443"/>
    <w:rsid w:val="00A35641"/>
    <w:rsid w:val="00A356A0"/>
    <w:rsid w:val="00A35BDC"/>
    <w:rsid w:val="00A35C19"/>
    <w:rsid w:val="00A35C8C"/>
    <w:rsid w:val="00A35D1C"/>
    <w:rsid w:val="00A35E0B"/>
    <w:rsid w:val="00A35FF2"/>
    <w:rsid w:val="00A36111"/>
    <w:rsid w:val="00A3636F"/>
    <w:rsid w:val="00A364CC"/>
    <w:rsid w:val="00A36505"/>
    <w:rsid w:val="00A36A0A"/>
    <w:rsid w:val="00A36D99"/>
    <w:rsid w:val="00A37253"/>
    <w:rsid w:val="00A37ADE"/>
    <w:rsid w:val="00A37C2C"/>
    <w:rsid w:val="00A37DFC"/>
    <w:rsid w:val="00A37FB1"/>
    <w:rsid w:val="00A40117"/>
    <w:rsid w:val="00A406C4"/>
    <w:rsid w:val="00A4073F"/>
    <w:rsid w:val="00A408C2"/>
    <w:rsid w:val="00A40DF6"/>
    <w:rsid w:val="00A4100A"/>
    <w:rsid w:val="00A4108D"/>
    <w:rsid w:val="00A4169E"/>
    <w:rsid w:val="00A416D4"/>
    <w:rsid w:val="00A41780"/>
    <w:rsid w:val="00A418BB"/>
    <w:rsid w:val="00A41DE0"/>
    <w:rsid w:val="00A41F62"/>
    <w:rsid w:val="00A427AD"/>
    <w:rsid w:val="00A42A91"/>
    <w:rsid w:val="00A42B37"/>
    <w:rsid w:val="00A42B4C"/>
    <w:rsid w:val="00A42BC1"/>
    <w:rsid w:val="00A42D52"/>
    <w:rsid w:val="00A42EC2"/>
    <w:rsid w:val="00A4344B"/>
    <w:rsid w:val="00A44167"/>
    <w:rsid w:val="00A44A8F"/>
    <w:rsid w:val="00A44EE4"/>
    <w:rsid w:val="00A45159"/>
    <w:rsid w:val="00A45224"/>
    <w:rsid w:val="00A4525F"/>
    <w:rsid w:val="00A457B4"/>
    <w:rsid w:val="00A458D6"/>
    <w:rsid w:val="00A45D14"/>
    <w:rsid w:val="00A46005"/>
    <w:rsid w:val="00A4689C"/>
    <w:rsid w:val="00A468BD"/>
    <w:rsid w:val="00A46A12"/>
    <w:rsid w:val="00A46BC7"/>
    <w:rsid w:val="00A46C0A"/>
    <w:rsid w:val="00A470D1"/>
    <w:rsid w:val="00A4743D"/>
    <w:rsid w:val="00A477D8"/>
    <w:rsid w:val="00A47925"/>
    <w:rsid w:val="00A47B14"/>
    <w:rsid w:val="00A47C1A"/>
    <w:rsid w:val="00A47EF7"/>
    <w:rsid w:val="00A5001E"/>
    <w:rsid w:val="00A502A3"/>
    <w:rsid w:val="00A505F7"/>
    <w:rsid w:val="00A50BEF"/>
    <w:rsid w:val="00A50C2C"/>
    <w:rsid w:val="00A50CD4"/>
    <w:rsid w:val="00A50DF6"/>
    <w:rsid w:val="00A50E4E"/>
    <w:rsid w:val="00A50F13"/>
    <w:rsid w:val="00A510DA"/>
    <w:rsid w:val="00A51115"/>
    <w:rsid w:val="00A5111F"/>
    <w:rsid w:val="00A51480"/>
    <w:rsid w:val="00A5264F"/>
    <w:rsid w:val="00A52781"/>
    <w:rsid w:val="00A52E25"/>
    <w:rsid w:val="00A52E46"/>
    <w:rsid w:val="00A52F1A"/>
    <w:rsid w:val="00A53182"/>
    <w:rsid w:val="00A534B8"/>
    <w:rsid w:val="00A5385E"/>
    <w:rsid w:val="00A53991"/>
    <w:rsid w:val="00A53EF1"/>
    <w:rsid w:val="00A541FF"/>
    <w:rsid w:val="00A5425D"/>
    <w:rsid w:val="00A54343"/>
    <w:rsid w:val="00A54573"/>
    <w:rsid w:val="00A5461B"/>
    <w:rsid w:val="00A546A9"/>
    <w:rsid w:val="00A54869"/>
    <w:rsid w:val="00A54CDC"/>
    <w:rsid w:val="00A55235"/>
    <w:rsid w:val="00A55493"/>
    <w:rsid w:val="00A557EF"/>
    <w:rsid w:val="00A55892"/>
    <w:rsid w:val="00A55A7A"/>
    <w:rsid w:val="00A55E2C"/>
    <w:rsid w:val="00A5629B"/>
    <w:rsid w:val="00A562E9"/>
    <w:rsid w:val="00A56623"/>
    <w:rsid w:val="00A56746"/>
    <w:rsid w:val="00A5691A"/>
    <w:rsid w:val="00A56A37"/>
    <w:rsid w:val="00A56E7B"/>
    <w:rsid w:val="00A57439"/>
    <w:rsid w:val="00A5778E"/>
    <w:rsid w:val="00A57A4E"/>
    <w:rsid w:val="00A57C04"/>
    <w:rsid w:val="00A57C1C"/>
    <w:rsid w:val="00A57C53"/>
    <w:rsid w:val="00A57DC4"/>
    <w:rsid w:val="00A602B5"/>
    <w:rsid w:val="00A602F3"/>
    <w:rsid w:val="00A60318"/>
    <w:rsid w:val="00A6058F"/>
    <w:rsid w:val="00A60673"/>
    <w:rsid w:val="00A609FE"/>
    <w:rsid w:val="00A60C2A"/>
    <w:rsid w:val="00A60E90"/>
    <w:rsid w:val="00A60EFF"/>
    <w:rsid w:val="00A60FC3"/>
    <w:rsid w:val="00A6109C"/>
    <w:rsid w:val="00A61186"/>
    <w:rsid w:val="00A61334"/>
    <w:rsid w:val="00A61603"/>
    <w:rsid w:val="00A61852"/>
    <w:rsid w:val="00A61B83"/>
    <w:rsid w:val="00A61E2C"/>
    <w:rsid w:val="00A62025"/>
    <w:rsid w:val="00A622A4"/>
    <w:rsid w:val="00A624FB"/>
    <w:rsid w:val="00A6257A"/>
    <w:rsid w:val="00A629DF"/>
    <w:rsid w:val="00A62CCC"/>
    <w:rsid w:val="00A62DE4"/>
    <w:rsid w:val="00A62E79"/>
    <w:rsid w:val="00A63011"/>
    <w:rsid w:val="00A632D9"/>
    <w:rsid w:val="00A63D3E"/>
    <w:rsid w:val="00A63F06"/>
    <w:rsid w:val="00A640A7"/>
    <w:rsid w:val="00A6411B"/>
    <w:rsid w:val="00A645D2"/>
    <w:rsid w:val="00A64757"/>
    <w:rsid w:val="00A648B6"/>
    <w:rsid w:val="00A64903"/>
    <w:rsid w:val="00A64A06"/>
    <w:rsid w:val="00A64B62"/>
    <w:rsid w:val="00A64EA5"/>
    <w:rsid w:val="00A64F59"/>
    <w:rsid w:val="00A650CC"/>
    <w:rsid w:val="00A657A3"/>
    <w:rsid w:val="00A65910"/>
    <w:rsid w:val="00A65960"/>
    <w:rsid w:val="00A66771"/>
    <w:rsid w:val="00A6684C"/>
    <w:rsid w:val="00A668E3"/>
    <w:rsid w:val="00A66AAB"/>
    <w:rsid w:val="00A66FBD"/>
    <w:rsid w:val="00A671C9"/>
    <w:rsid w:val="00A6738E"/>
    <w:rsid w:val="00A674FA"/>
    <w:rsid w:val="00A67564"/>
    <w:rsid w:val="00A6761C"/>
    <w:rsid w:val="00A677D4"/>
    <w:rsid w:val="00A67833"/>
    <w:rsid w:val="00A67931"/>
    <w:rsid w:val="00A67976"/>
    <w:rsid w:val="00A67E0D"/>
    <w:rsid w:val="00A7014C"/>
    <w:rsid w:val="00A701CE"/>
    <w:rsid w:val="00A70207"/>
    <w:rsid w:val="00A704EC"/>
    <w:rsid w:val="00A7059F"/>
    <w:rsid w:val="00A70DF7"/>
    <w:rsid w:val="00A71536"/>
    <w:rsid w:val="00A71CAB"/>
    <w:rsid w:val="00A71D94"/>
    <w:rsid w:val="00A7206D"/>
    <w:rsid w:val="00A7207B"/>
    <w:rsid w:val="00A7247C"/>
    <w:rsid w:val="00A72883"/>
    <w:rsid w:val="00A729E8"/>
    <w:rsid w:val="00A72ED2"/>
    <w:rsid w:val="00A72F10"/>
    <w:rsid w:val="00A72F85"/>
    <w:rsid w:val="00A72FBD"/>
    <w:rsid w:val="00A73087"/>
    <w:rsid w:val="00A73E07"/>
    <w:rsid w:val="00A73E82"/>
    <w:rsid w:val="00A74142"/>
    <w:rsid w:val="00A74720"/>
    <w:rsid w:val="00A74859"/>
    <w:rsid w:val="00A74C83"/>
    <w:rsid w:val="00A7520D"/>
    <w:rsid w:val="00A75E86"/>
    <w:rsid w:val="00A764E8"/>
    <w:rsid w:val="00A766A0"/>
    <w:rsid w:val="00A76897"/>
    <w:rsid w:val="00A76D54"/>
    <w:rsid w:val="00A7726E"/>
    <w:rsid w:val="00A77287"/>
    <w:rsid w:val="00A77948"/>
    <w:rsid w:val="00A77A75"/>
    <w:rsid w:val="00A77C2E"/>
    <w:rsid w:val="00A77C66"/>
    <w:rsid w:val="00A77D5A"/>
    <w:rsid w:val="00A77E99"/>
    <w:rsid w:val="00A77F15"/>
    <w:rsid w:val="00A80D35"/>
    <w:rsid w:val="00A80E69"/>
    <w:rsid w:val="00A80F0C"/>
    <w:rsid w:val="00A813AF"/>
    <w:rsid w:val="00A8155C"/>
    <w:rsid w:val="00A825E8"/>
    <w:rsid w:val="00A82726"/>
    <w:rsid w:val="00A827CF"/>
    <w:rsid w:val="00A82CFC"/>
    <w:rsid w:val="00A83052"/>
    <w:rsid w:val="00A83408"/>
    <w:rsid w:val="00A83F83"/>
    <w:rsid w:val="00A840A8"/>
    <w:rsid w:val="00A841BD"/>
    <w:rsid w:val="00A8427D"/>
    <w:rsid w:val="00A8468A"/>
    <w:rsid w:val="00A847E1"/>
    <w:rsid w:val="00A849C7"/>
    <w:rsid w:val="00A84E49"/>
    <w:rsid w:val="00A84F4A"/>
    <w:rsid w:val="00A8516A"/>
    <w:rsid w:val="00A85265"/>
    <w:rsid w:val="00A85A4B"/>
    <w:rsid w:val="00A85B35"/>
    <w:rsid w:val="00A862C0"/>
    <w:rsid w:val="00A8652C"/>
    <w:rsid w:val="00A86586"/>
    <w:rsid w:val="00A869DC"/>
    <w:rsid w:val="00A86DE7"/>
    <w:rsid w:val="00A86E33"/>
    <w:rsid w:val="00A86FD3"/>
    <w:rsid w:val="00A871CD"/>
    <w:rsid w:val="00A876F8"/>
    <w:rsid w:val="00A87B22"/>
    <w:rsid w:val="00A87CA6"/>
    <w:rsid w:val="00A87D53"/>
    <w:rsid w:val="00A87E7A"/>
    <w:rsid w:val="00A87FBD"/>
    <w:rsid w:val="00A903F4"/>
    <w:rsid w:val="00A90A7D"/>
    <w:rsid w:val="00A90C71"/>
    <w:rsid w:val="00A90E9D"/>
    <w:rsid w:val="00A9100D"/>
    <w:rsid w:val="00A911B8"/>
    <w:rsid w:val="00A91426"/>
    <w:rsid w:val="00A91721"/>
    <w:rsid w:val="00A91C38"/>
    <w:rsid w:val="00A91EFB"/>
    <w:rsid w:val="00A91F9C"/>
    <w:rsid w:val="00A931E1"/>
    <w:rsid w:val="00A93211"/>
    <w:rsid w:val="00A9337A"/>
    <w:rsid w:val="00A938DC"/>
    <w:rsid w:val="00A93BC9"/>
    <w:rsid w:val="00A940AA"/>
    <w:rsid w:val="00A94B46"/>
    <w:rsid w:val="00A94FE6"/>
    <w:rsid w:val="00A95216"/>
    <w:rsid w:val="00A9524C"/>
    <w:rsid w:val="00A95274"/>
    <w:rsid w:val="00A95563"/>
    <w:rsid w:val="00A95D47"/>
    <w:rsid w:val="00A9610F"/>
    <w:rsid w:val="00A964C5"/>
    <w:rsid w:val="00A966B3"/>
    <w:rsid w:val="00A96893"/>
    <w:rsid w:val="00A96DAA"/>
    <w:rsid w:val="00A96F37"/>
    <w:rsid w:val="00A971C1"/>
    <w:rsid w:val="00A97272"/>
    <w:rsid w:val="00A9730E"/>
    <w:rsid w:val="00A97408"/>
    <w:rsid w:val="00A97620"/>
    <w:rsid w:val="00A9766B"/>
    <w:rsid w:val="00A97687"/>
    <w:rsid w:val="00A976B6"/>
    <w:rsid w:val="00A977D9"/>
    <w:rsid w:val="00A979AA"/>
    <w:rsid w:val="00A97BFF"/>
    <w:rsid w:val="00A97C2A"/>
    <w:rsid w:val="00A97D41"/>
    <w:rsid w:val="00A97DCC"/>
    <w:rsid w:val="00AA0092"/>
    <w:rsid w:val="00AA038A"/>
    <w:rsid w:val="00AA08D1"/>
    <w:rsid w:val="00AA097F"/>
    <w:rsid w:val="00AA0F0C"/>
    <w:rsid w:val="00AA10DF"/>
    <w:rsid w:val="00AA1125"/>
    <w:rsid w:val="00AA14C4"/>
    <w:rsid w:val="00AA1573"/>
    <w:rsid w:val="00AA19CE"/>
    <w:rsid w:val="00AA1A8E"/>
    <w:rsid w:val="00AA1DA4"/>
    <w:rsid w:val="00AA1DF0"/>
    <w:rsid w:val="00AA22B3"/>
    <w:rsid w:val="00AA285B"/>
    <w:rsid w:val="00AA28B4"/>
    <w:rsid w:val="00AA2A0E"/>
    <w:rsid w:val="00AA2C90"/>
    <w:rsid w:val="00AA3107"/>
    <w:rsid w:val="00AA31A0"/>
    <w:rsid w:val="00AA3360"/>
    <w:rsid w:val="00AA34FD"/>
    <w:rsid w:val="00AA36D9"/>
    <w:rsid w:val="00AA3A6F"/>
    <w:rsid w:val="00AA3E3C"/>
    <w:rsid w:val="00AA4336"/>
    <w:rsid w:val="00AA44DB"/>
    <w:rsid w:val="00AA45C1"/>
    <w:rsid w:val="00AA50DB"/>
    <w:rsid w:val="00AA57C1"/>
    <w:rsid w:val="00AA5DCE"/>
    <w:rsid w:val="00AA60A4"/>
    <w:rsid w:val="00AA61AF"/>
    <w:rsid w:val="00AA6253"/>
    <w:rsid w:val="00AA634F"/>
    <w:rsid w:val="00AA6454"/>
    <w:rsid w:val="00AA65BF"/>
    <w:rsid w:val="00AA67BA"/>
    <w:rsid w:val="00AA67F2"/>
    <w:rsid w:val="00AA68E3"/>
    <w:rsid w:val="00AA6981"/>
    <w:rsid w:val="00AA69A7"/>
    <w:rsid w:val="00AA6C78"/>
    <w:rsid w:val="00AA7179"/>
    <w:rsid w:val="00AA71C9"/>
    <w:rsid w:val="00AA71D9"/>
    <w:rsid w:val="00AA7663"/>
    <w:rsid w:val="00AA7AA9"/>
    <w:rsid w:val="00AA7CB4"/>
    <w:rsid w:val="00AA7D3D"/>
    <w:rsid w:val="00AA7E6E"/>
    <w:rsid w:val="00AB000E"/>
    <w:rsid w:val="00AB01D5"/>
    <w:rsid w:val="00AB01F7"/>
    <w:rsid w:val="00AB049C"/>
    <w:rsid w:val="00AB05EA"/>
    <w:rsid w:val="00AB0669"/>
    <w:rsid w:val="00AB0871"/>
    <w:rsid w:val="00AB08AB"/>
    <w:rsid w:val="00AB0F42"/>
    <w:rsid w:val="00AB1155"/>
    <w:rsid w:val="00AB17E5"/>
    <w:rsid w:val="00AB1AFD"/>
    <w:rsid w:val="00AB1E9E"/>
    <w:rsid w:val="00AB231C"/>
    <w:rsid w:val="00AB24FF"/>
    <w:rsid w:val="00AB254A"/>
    <w:rsid w:val="00AB256F"/>
    <w:rsid w:val="00AB26CA"/>
    <w:rsid w:val="00AB2733"/>
    <w:rsid w:val="00AB276A"/>
    <w:rsid w:val="00AB2B70"/>
    <w:rsid w:val="00AB2CBD"/>
    <w:rsid w:val="00AB3620"/>
    <w:rsid w:val="00AB363A"/>
    <w:rsid w:val="00AB37EE"/>
    <w:rsid w:val="00AB3899"/>
    <w:rsid w:val="00AB3F3B"/>
    <w:rsid w:val="00AB437A"/>
    <w:rsid w:val="00AB471A"/>
    <w:rsid w:val="00AB47EA"/>
    <w:rsid w:val="00AB4921"/>
    <w:rsid w:val="00AB4B60"/>
    <w:rsid w:val="00AB4DA6"/>
    <w:rsid w:val="00AB4DC6"/>
    <w:rsid w:val="00AB4DD2"/>
    <w:rsid w:val="00AB4F48"/>
    <w:rsid w:val="00AB507B"/>
    <w:rsid w:val="00AB533D"/>
    <w:rsid w:val="00AB53C3"/>
    <w:rsid w:val="00AB540A"/>
    <w:rsid w:val="00AB56D0"/>
    <w:rsid w:val="00AB56D9"/>
    <w:rsid w:val="00AB5853"/>
    <w:rsid w:val="00AB5ADC"/>
    <w:rsid w:val="00AB5F35"/>
    <w:rsid w:val="00AB5FBA"/>
    <w:rsid w:val="00AB605D"/>
    <w:rsid w:val="00AB60F7"/>
    <w:rsid w:val="00AB6339"/>
    <w:rsid w:val="00AB65BB"/>
    <w:rsid w:val="00AB6754"/>
    <w:rsid w:val="00AB6CEC"/>
    <w:rsid w:val="00AB7630"/>
    <w:rsid w:val="00AB766B"/>
    <w:rsid w:val="00AB7A96"/>
    <w:rsid w:val="00AB7BE6"/>
    <w:rsid w:val="00AC00F6"/>
    <w:rsid w:val="00AC01A5"/>
    <w:rsid w:val="00AC01D2"/>
    <w:rsid w:val="00AC0201"/>
    <w:rsid w:val="00AC035C"/>
    <w:rsid w:val="00AC0392"/>
    <w:rsid w:val="00AC03F5"/>
    <w:rsid w:val="00AC06DE"/>
    <w:rsid w:val="00AC0BE8"/>
    <w:rsid w:val="00AC0E5C"/>
    <w:rsid w:val="00AC0EE6"/>
    <w:rsid w:val="00AC10D1"/>
    <w:rsid w:val="00AC13E5"/>
    <w:rsid w:val="00AC141C"/>
    <w:rsid w:val="00AC156B"/>
    <w:rsid w:val="00AC1659"/>
    <w:rsid w:val="00AC1872"/>
    <w:rsid w:val="00AC1B97"/>
    <w:rsid w:val="00AC201D"/>
    <w:rsid w:val="00AC21DF"/>
    <w:rsid w:val="00AC251C"/>
    <w:rsid w:val="00AC2596"/>
    <w:rsid w:val="00AC2628"/>
    <w:rsid w:val="00AC2F74"/>
    <w:rsid w:val="00AC3086"/>
    <w:rsid w:val="00AC372D"/>
    <w:rsid w:val="00AC38E7"/>
    <w:rsid w:val="00AC3C94"/>
    <w:rsid w:val="00AC3DF9"/>
    <w:rsid w:val="00AC43A6"/>
    <w:rsid w:val="00AC44C8"/>
    <w:rsid w:val="00AC494A"/>
    <w:rsid w:val="00AC4A9D"/>
    <w:rsid w:val="00AC4D3B"/>
    <w:rsid w:val="00AC4DFA"/>
    <w:rsid w:val="00AC5D82"/>
    <w:rsid w:val="00AC5E51"/>
    <w:rsid w:val="00AC5F17"/>
    <w:rsid w:val="00AC6030"/>
    <w:rsid w:val="00AC69CA"/>
    <w:rsid w:val="00AC7015"/>
    <w:rsid w:val="00AC75DF"/>
    <w:rsid w:val="00AD0238"/>
    <w:rsid w:val="00AD0939"/>
    <w:rsid w:val="00AD0BBC"/>
    <w:rsid w:val="00AD0D82"/>
    <w:rsid w:val="00AD111E"/>
    <w:rsid w:val="00AD139A"/>
    <w:rsid w:val="00AD14F3"/>
    <w:rsid w:val="00AD15DC"/>
    <w:rsid w:val="00AD16FC"/>
    <w:rsid w:val="00AD1904"/>
    <w:rsid w:val="00AD1C33"/>
    <w:rsid w:val="00AD21BB"/>
    <w:rsid w:val="00AD2456"/>
    <w:rsid w:val="00AD288E"/>
    <w:rsid w:val="00AD2A5C"/>
    <w:rsid w:val="00AD2C32"/>
    <w:rsid w:val="00AD3A63"/>
    <w:rsid w:val="00AD3E57"/>
    <w:rsid w:val="00AD423A"/>
    <w:rsid w:val="00AD4682"/>
    <w:rsid w:val="00AD4745"/>
    <w:rsid w:val="00AD4782"/>
    <w:rsid w:val="00AD4985"/>
    <w:rsid w:val="00AD4AE0"/>
    <w:rsid w:val="00AD500F"/>
    <w:rsid w:val="00AD5051"/>
    <w:rsid w:val="00AD55EF"/>
    <w:rsid w:val="00AD573D"/>
    <w:rsid w:val="00AD59DF"/>
    <w:rsid w:val="00AD5B31"/>
    <w:rsid w:val="00AD5B50"/>
    <w:rsid w:val="00AD5BC1"/>
    <w:rsid w:val="00AD5C63"/>
    <w:rsid w:val="00AD631F"/>
    <w:rsid w:val="00AD662B"/>
    <w:rsid w:val="00AD662F"/>
    <w:rsid w:val="00AD66C0"/>
    <w:rsid w:val="00AD68E3"/>
    <w:rsid w:val="00AD6956"/>
    <w:rsid w:val="00AD6B93"/>
    <w:rsid w:val="00AD708D"/>
    <w:rsid w:val="00AD738E"/>
    <w:rsid w:val="00AD7B00"/>
    <w:rsid w:val="00AD7D11"/>
    <w:rsid w:val="00AD7E28"/>
    <w:rsid w:val="00AE0143"/>
    <w:rsid w:val="00AE0539"/>
    <w:rsid w:val="00AE0899"/>
    <w:rsid w:val="00AE08B2"/>
    <w:rsid w:val="00AE0D05"/>
    <w:rsid w:val="00AE0DFE"/>
    <w:rsid w:val="00AE14A4"/>
    <w:rsid w:val="00AE14E3"/>
    <w:rsid w:val="00AE1865"/>
    <w:rsid w:val="00AE198D"/>
    <w:rsid w:val="00AE2097"/>
    <w:rsid w:val="00AE21FF"/>
    <w:rsid w:val="00AE2883"/>
    <w:rsid w:val="00AE298C"/>
    <w:rsid w:val="00AE29D0"/>
    <w:rsid w:val="00AE32CC"/>
    <w:rsid w:val="00AE34B1"/>
    <w:rsid w:val="00AE36B8"/>
    <w:rsid w:val="00AE3D60"/>
    <w:rsid w:val="00AE3EA4"/>
    <w:rsid w:val="00AE4046"/>
    <w:rsid w:val="00AE45B2"/>
    <w:rsid w:val="00AE49DF"/>
    <w:rsid w:val="00AE5248"/>
    <w:rsid w:val="00AE527B"/>
    <w:rsid w:val="00AE5292"/>
    <w:rsid w:val="00AE5351"/>
    <w:rsid w:val="00AE585C"/>
    <w:rsid w:val="00AE58BA"/>
    <w:rsid w:val="00AE5B16"/>
    <w:rsid w:val="00AE5DBC"/>
    <w:rsid w:val="00AE6768"/>
    <w:rsid w:val="00AE6A73"/>
    <w:rsid w:val="00AE6F97"/>
    <w:rsid w:val="00AE712D"/>
    <w:rsid w:val="00AE74A0"/>
    <w:rsid w:val="00AE756F"/>
    <w:rsid w:val="00AE789C"/>
    <w:rsid w:val="00AE7EB6"/>
    <w:rsid w:val="00AF01A9"/>
    <w:rsid w:val="00AF0634"/>
    <w:rsid w:val="00AF0CCF"/>
    <w:rsid w:val="00AF0E4C"/>
    <w:rsid w:val="00AF0F42"/>
    <w:rsid w:val="00AF106D"/>
    <w:rsid w:val="00AF10FF"/>
    <w:rsid w:val="00AF1525"/>
    <w:rsid w:val="00AF164A"/>
    <w:rsid w:val="00AF172B"/>
    <w:rsid w:val="00AF19AA"/>
    <w:rsid w:val="00AF1A4E"/>
    <w:rsid w:val="00AF1F18"/>
    <w:rsid w:val="00AF2999"/>
    <w:rsid w:val="00AF2DB3"/>
    <w:rsid w:val="00AF2ECF"/>
    <w:rsid w:val="00AF358A"/>
    <w:rsid w:val="00AF35A8"/>
    <w:rsid w:val="00AF35C0"/>
    <w:rsid w:val="00AF3921"/>
    <w:rsid w:val="00AF3943"/>
    <w:rsid w:val="00AF39DF"/>
    <w:rsid w:val="00AF3A51"/>
    <w:rsid w:val="00AF3A5E"/>
    <w:rsid w:val="00AF3E68"/>
    <w:rsid w:val="00AF42CD"/>
    <w:rsid w:val="00AF43BA"/>
    <w:rsid w:val="00AF4536"/>
    <w:rsid w:val="00AF482C"/>
    <w:rsid w:val="00AF4A85"/>
    <w:rsid w:val="00AF4F7A"/>
    <w:rsid w:val="00AF505E"/>
    <w:rsid w:val="00AF5102"/>
    <w:rsid w:val="00AF518B"/>
    <w:rsid w:val="00AF5707"/>
    <w:rsid w:val="00AF58AD"/>
    <w:rsid w:val="00AF58DE"/>
    <w:rsid w:val="00AF5BBD"/>
    <w:rsid w:val="00AF5BCB"/>
    <w:rsid w:val="00AF6075"/>
    <w:rsid w:val="00AF6749"/>
    <w:rsid w:val="00AF68F1"/>
    <w:rsid w:val="00AF6CD9"/>
    <w:rsid w:val="00AF6CE9"/>
    <w:rsid w:val="00AF6DE4"/>
    <w:rsid w:val="00AF6FC0"/>
    <w:rsid w:val="00AF709F"/>
    <w:rsid w:val="00AF718A"/>
    <w:rsid w:val="00AF71A4"/>
    <w:rsid w:val="00AF7838"/>
    <w:rsid w:val="00AF7ACB"/>
    <w:rsid w:val="00AF7D10"/>
    <w:rsid w:val="00B001C1"/>
    <w:rsid w:val="00B006DD"/>
    <w:rsid w:val="00B00ABD"/>
    <w:rsid w:val="00B00B66"/>
    <w:rsid w:val="00B00E41"/>
    <w:rsid w:val="00B014D8"/>
    <w:rsid w:val="00B01557"/>
    <w:rsid w:val="00B01622"/>
    <w:rsid w:val="00B01AAE"/>
    <w:rsid w:val="00B01B6F"/>
    <w:rsid w:val="00B01ED6"/>
    <w:rsid w:val="00B0236A"/>
    <w:rsid w:val="00B02AB3"/>
    <w:rsid w:val="00B03012"/>
    <w:rsid w:val="00B030E3"/>
    <w:rsid w:val="00B030ED"/>
    <w:rsid w:val="00B03351"/>
    <w:rsid w:val="00B036BB"/>
    <w:rsid w:val="00B03844"/>
    <w:rsid w:val="00B0389F"/>
    <w:rsid w:val="00B03A61"/>
    <w:rsid w:val="00B03C72"/>
    <w:rsid w:val="00B03F6F"/>
    <w:rsid w:val="00B042B0"/>
    <w:rsid w:val="00B0437C"/>
    <w:rsid w:val="00B0465E"/>
    <w:rsid w:val="00B0478D"/>
    <w:rsid w:val="00B04963"/>
    <w:rsid w:val="00B04BFD"/>
    <w:rsid w:val="00B04EFC"/>
    <w:rsid w:val="00B051D3"/>
    <w:rsid w:val="00B0561C"/>
    <w:rsid w:val="00B056B2"/>
    <w:rsid w:val="00B056BA"/>
    <w:rsid w:val="00B05760"/>
    <w:rsid w:val="00B05BF2"/>
    <w:rsid w:val="00B05C6F"/>
    <w:rsid w:val="00B06505"/>
    <w:rsid w:val="00B06638"/>
    <w:rsid w:val="00B067EB"/>
    <w:rsid w:val="00B06C5E"/>
    <w:rsid w:val="00B070C2"/>
    <w:rsid w:val="00B0726E"/>
    <w:rsid w:val="00B07697"/>
    <w:rsid w:val="00B07AD0"/>
    <w:rsid w:val="00B07C96"/>
    <w:rsid w:val="00B10302"/>
    <w:rsid w:val="00B10703"/>
    <w:rsid w:val="00B10964"/>
    <w:rsid w:val="00B10D49"/>
    <w:rsid w:val="00B10F27"/>
    <w:rsid w:val="00B115C4"/>
    <w:rsid w:val="00B11813"/>
    <w:rsid w:val="00B118AB"/>
    <w:rsid w:val="00B11936"/>
    <w:rsid w:val="00B11B5E"/>
    <w:rsid w:val="00B123B6"/>
    <w:rsid w:val="00B12777"/>
    <w:rsid w:val="00B128A5"/>
    <w:rsid w:val="00B12AD5"/>
    <w:rsid w:val="00B12DFC"/>
    <w:rsid w:val="00B12F86"/>
    <w:rsid w:val="00B131E5"/>
    <w:rsid w:val="00B135C1"/>
    <w:rsid w:val="00B13B3C"/>
    <w:rsid w:val="00B1417A"/>
    <w:rsid w:val="00B1486E"/>
    <w:rsid w:val="00B149E9"/>
    <w:rsid w:val="00B14A79"/>
    <w:rsid w:val="00B1504C"/>
    <w:rsid w:val="00B1543A"/>
    <w:rsid w:val="00B15750"/>
    <w:rsid w:val="00B157C3"/>
    <w:rsid w:val="00B157DB"/>
    <w:rsid w:val="00B15BE8"/>
    <w:rsid w:val="00B15C92"/>
    <w:rsid w:val="00B163DE"/>
    <w:rsid w:val="00B16661"/>
    <w:rsid w:val="00B16F9D"/>
    <w:rsid w:val="00B174F9"/>
    <w:rsid w:val="00B17756"/>
    <w:rsid w:val="00B17776"/>
    <w:rsid w:val="00B17859"/>
    <w:rsid w:val="00B17A00"/>
    <w:rsid w:val="00B17D16"/>
    <w:rsid w:val="00B17DCA"/>
    <w:rsid w:val="00B20169"/>
    <w:rsid w:val="00B20668"/>
    <w:rsid w:val="00B206DD"/>
    <w:rsid w:val="00B207C8"/>
    <w:rsid w:val="00B2095C"/>
    <w:rsid w:val="00B20E3E"/>
    <w:rsid w:val="00B219D1"/>
    <w:rsid w:val="00B21E22"/>
    <w:rsid w:val="00B221CD"/>
    <w:rsid w:val="00B2242E"/>
    <w:rsid w:val="00B2273F"/>
    <w:rsid w:val="00B22767"/>
    <w:rsid w:val="00B228AD"/>
    <w:rsid w:val="00B2296A"/>
    <w:rsid w:val="00B22DC2"/>
    <w:rsid w:val="00B22E06"/>
    <w:rsid w:val="00B22F2F"/>
    <w:rsid w:val="00B22FA0"/>
    <w:rsid w:val="00B23033"/>
    <w:rsid w:val="00B230F0"/>
    <w:rsid w:val="00B234CD"/>
    <w:rsid w:val="00B23AC2"/>
    <w:rsid w:val="00B23B0B"/>
    <w:rsid w:val="00B242B1"/>
    <w:rsid w:val="00B2448B"/>
    <w:rsid w:val="00B245E7"/>
    <w:rsid w:val="00B2480E"/>
    <w:rsid w:val="00B24B66"/>
    <w:rsid w:val="00B24EB3"/>
    <w:rsid w:val="00B252CD"/>
    <w:rsid w:val="00B25A1F"/>
    <w:rsid w:val="00B25ADE"/>
    <w:rsid w:val="00B25C70"/>
    <w:rsid w:val="00B25C9C"/>
    <w:rsid w:val="00B2635E"/>
    <w:rsid w:val="00B26476"/>
    <w:rsid w:val="00B26522"/>
    <w:rsid w:val="00B26819"/>
    <w:rsid w:val="00B26846"/>
    <w:rsid w:val="00B26894"/>
    <w:rsid w:val="00B26B52"/>
    <w:rsid w:val="00B26F06"/>
    <w:rsid w:val="00B26F7E"/>
    <w:rsid w:val="00B273F3"/>
    <w:rsid w:val="00B273F6"/>
    <w:rsid w:val="00B27ACB"/>
    <w:rsid w:val="00B309C5"/>
    <w:rsid w:val="00B309C9"/>
    <w:rsid w:val="00B30C09"/>
    <w:rsid w:val="00B30E00"/>
    <w:rsid w:val="00B30F75"/>
    <w:rsid w:val="00B313F1"/>
    <w:rsid w:val="00B31404"/>
    <w:rsid w:val="00B31555"/>
    <w:rsid w:val="00B317D8"/>
    <w:rsid w:val="00B318F9"/>
    <w:rsid w:val="00B31AA3"/>
    <w:rsid w:val="00B31B29"/>
    <w:rsid w:val="00B31B3D"/>
    <w:rsid w:val="00B3221B"/>
    <w:rsid w:val="00B324A5"/>
    <w:rsid w:val="00B326A1"/>
    <w:rsid w:val="00B3272B"/>
    <w:rsid w:val="00B327B0"/>
    <w:rsid w:val="00B329CE"/>
    <w:rsid w:val="00B32CF9"/>
    <w:rsid w:val="00B32DFF"/>
    <w:rsid w:val="00B32F48"/>
    <w:rsid w:val="00B32F99"/>
    <w:rsid w:val="00B33548"/>
    <w:rsid w:val="00B335FB"/>
    <w:rsid w:val="00B336D2"/>
    <w:rsid w:val="00B33868"/>
    <w:rsid w:val="00B33A0C"/>
    <w:rsid w:val="00B33AC8"/>
    <w:rsid w:val="00B33B25"/>
    <w:rsid w:val="00B33DD1"/>
    <w:rsid w:val="00B33F72"/>
    <w:rsid w:val="00B342BC"/>
    <w:rsid w:val="00B348B6"/>
    <w:rsid w:val="00B34BE4"/>
    <w:rsid w:val="00B35834"/>
    <w:rsid w:val="00B35881"/>
    <w:rsid w:val="00B35FD2"/>
    <w:rsid w:val="00B36273"/>
    <w:rsid w:val="00B363A1"/>
    <w:rsid w:val="00B364A4"/>
    <w:rsid w:val="00B365A6"/>
    <w:rsid w:val="00B368C0"/>
    <w:rsid w:val="00B3692F"/>
    <w:rsid w:val="00B36A42"/>
    <w:rsid w:val="00B36BC6"/>
    <w:rsid w:val="00B37101"/>
    <w:rsid w:val="00B37402"/>
    <w:rsid w:val="00B37454"/>
    <w:rsid w:val="00B3765C"/>
    <w:rsid w:val="00B376A8"/>
    <w:rsid w:val="00B378A7"/>
    <w:rsid w:val="00B37A86"/>
    <w:rsid w:val="00B37C82"/>
    <w:rsid w:val="00B37ECF"/>
    <w:rsid w:val="00B4000A"/>
    <w:rsid w:val="00B40332"/>
    <w:rsid w:val="00B403AF"/>
    <w:rsid w:val="00B403F3"/>
    <w:rsid w:val="00B4060C"/>
    <w:rsid w:val="00B40A8B"/>
    <w:rsid w:val="00B40AE2"/>
    <w:rsid w:val="00B40BDE"/>
    <w:rsid w:val="00B40D31"/>
    <w:rsid w:val="00B41139"/>
    <w:rsid w:val="00B418EA"/>
    <w:rsid w:val="00B4197B"/>
    <w:rsid w:val="00B41A4B"/>
    <w:rsid w:val="00B41CA4"/>
    <w:rsid w:val="00B42344"/>
    <w:rsid w:val="00B42837"/>
    <w:rsid w:val="00B42982"/>
    <w:rsid w:val="00B42F68"/>
    <w:rsid w:val="00B43316"/>
    <w:rsid w:val="00B4355F"/>
    <w:rsid w:val="00B43928"/>
    <w:rsid w:val="00B43BE1"/>
    <w:rsid w:val="00B43E58"/>
    <w:rsid w:val="00B44227"/>
    <w:rsid w:val="00B44438"/>
    <w:rsid w:val="00B4494B"/>
    <w:rsid w:val="00B44B55"/>
    <w:rsid w:val="00B44BBA"/>
    <w:rsid w:val="00B44C0F"/>
    <w:rsid w:val="00B44C2F"/>
    <w:rsid w:val="00B45071"/>
    <w:rsid w:val="00B4509B"/>
    <w:rsid w:val="00B4538F"/>
    <w:rsid w:val="00B4587E"/>
    <w:rsid w:val="00B458C1"/>
    <w:rsid w:val="00B4609A"/>
    <w:rsid w:val="00B462EC"/>
    <w:rsid w:val="00B46B4A"/>
    <w:rsid w:val="00B46FB3"/>
    <w:rsid w:val="00B47066"/>
    <w:rsid w:val="00B474C8"/>
    <w:rsid w:val="00B4763A"/>
    <w:rsid w:val="00B47A87"/>
    <w:rsid w:val="00B47B70"/>
    <w:rsid w:val="00B47D14"/>
    <w:rsid w:val="00B47E1A"/>
    <w:rsid w:val="00B50419"/>
    <w:rsid w:val="00B507BF"/>
    <w:rsid w:val="00B50886"/>
    <w:rsid w:val="00B508EF"/>
    <w:rsid w:val="00B50A14"/>
    <w:rsid w:val="00B50D9C"/>
    <w:rsid w:val="00B50E9B"/>
    <w:rsid w:val="00B51003"/>
    <w:rsid w:val="00B51158"/>
    <w:rsid w:val="00B51412"/>
    <w:rsid w:val="00B515F5"/>
    <w:rsid w:val="00B5160A"/>
    <w:rsid w:val="00B51981"/>
    <w:rsid w:val="00B520C2"/>
    <w:rsid w:val="00B52205"/>
    <w:rsid w:val="00B52371"/>
    <w:rsid w:val="00B52859"/>
    <w:rsid w:val="00B52B03"/>
    <w:rsid w:val="00B52BE0"/>
    <w:rsid w:val="00B52E8F"/>
    <w:rsid w:val="00B533F6"/>
    <w:rsid w:val="00B5343C"/>
    <w:rsid w:val="00B5344D"/>
    <w:rsid w:val="00B5356D"/>
    <w:rsid w:val="00B53879"/>
    <w:rsid w:val="00B541A9"/>
    <w:rsid w:val="00B54826"/>
    <w:rsid w:val="00B54C9C"/>
    <w:rsid w:val="00B54F25"/>
    <w:rsid w:val="00B557FF"/>
    <w:rsid w:val="00B55AB9"/>
    <w:rsid w:val="00B55C76"/>
    <w:rsid w:val="00B56215"/>
    <w:rsid w:val="00B562E2"/>
    <w:rsid w:val="00B56382"/>
    <w:rsid w:val="00B564E8"/>
    <w:rsid w:val="00B5661F"/>
    <w:rsid w:val="00B56632"/>
    <w:rsid w:val="00B56782"/>
    <w:rsid w:val="00B56878"/>
    <w:rsid w:val="00B56912"/>
    <w:rsid w:val="00B569C5"/>
    <w:rsid w:val="00B56A2E"/>
    <w:rsid w:val="00B56A46"/>
    <w:rsid w:val="00B56B0A"/>
    <w:rsid w:val="00B56D13"/>
    <w:rsid w:val="00B56DD3"/>
    <w:rsid w:val="00B56F95"/>
    <w:rsid w:val="00B574C6"/>
    <w:rsid w:val="00B575FF"/>
    <w:rsid w:val="00B577DB"/>
    <w:rsid w:val="00B57BF5"/>
    <w:rsid w:val="00B57DDA"/>
    <w:rsid w:val="00B57FED"/>
    <w:rsid w:val="00B600CB"/>
    <w:rsid w:val="00B6016B"/>
    <w:rsid w:val="00B60222"/>
    <w:rsid w:val="00B6041F"/>
    <w:rsid w:val="00B6072A"/>
    <w:rsid w:val="00B608E2"/>
    <w:rsid w:val="00B608F6"/>
    <w:rsid w:val="00B60961"/>
    <w:rsid w:val="00B609E2"/>
    <w:rsid w:val="00B61099"/>
    <w:rsid w:val="00B61760"/>
    <w:rsid w:val="00B617DA"/>
    <w:rsid w:val="00B62C82"/>
    <w:rsid w:val="00B62E86"/>
    <w:rsid w:val="00B62FEA"/>
    <w:rsid w:val="00B632CD"/>
    <w:rsid w:val="00B636B4"/>
    <w:rsid w:val="00B6395D"/>
    <w:rsid w:val="00B63AD9"/>
    <w:rsid w:val="00B63F81"/>
    <w:rsid w:val="00B64473"/>
    <w:rsid w:val="00B648E7"/>
    <w:rsid w:val="00B64F67"/>
    <w:rsid w:val="00B65598"/>
    <w:rsid w:val="00B65657"/>
    <w:rsid w:val="00B6577A"/>
    <w:rsid w:val="00B65C1F"/>
    <w:rsid w:val="00B65E2D"/>
    <w:rsid w:val="00B66462"/>
    <w:rsid w:val="00B66FF5"/>
    <w:rsid w:val="00B67014"/>
    <w:rsid w:val="00B67424"/>
    <w:rsid w:val="00B6773D"/>
    <w:rsid w:val="00B67F11"/>
    <w:rsid w:val="00B701BF"/>
    <w:rsid w:val="00B702E6"/>
    <w:rsid w:val="00B704E8"/>
    <w:rsid w:val="00B70628"/>
    <w:rsid w:val="00B707E9"/>
    <w:rsid w:val="00B71129"/>
    <w:rsid w:val="00B714FA"/>
    <w:rsid w:val="00B71B05"/>
    <w:rsid w:val="00B71CFA"/>
    <w:rsid w:val="00B71DB1"/>
    <w:rsid w:val="00B71F51"/>
    <w:rsid w:val="00B7272E"/>
    <w:rsid w:val="00B72C6D"/>
    <w:rsid w:val="00B72D4A"/>
    <w:rsid w:val="00B72DC6"/>
    <w:rsid w:val="00B72FB0"/>
    <w:rsid w:val="00B73239"/>
    <w:rsid w:val="00B732F1"/>
    <w:rsid w:val="00B734D1"/>
    <w:rsid w:val="00B73691"/>
    <w:rsid w:val="00B73BC5"/>
    <w:rsid w:val="00B73BDF"/>
    <w:rsid w:val="00B73C44"/>
    <w:rsid w:val="00B73C6A"/>
    <w:rsid w:val="00B73F22"/>
    <w:rsid w:val="00B73FAB"/>
    <w:rsid w:val="00B740BD"/>
    <w:rsid w:val="00B74221"/>
    <w:rsid w:val="00B74341"/>
    <w:rsid w:val="00B74671"/>
    <w:rsid w:val="00B74728"/>
    <w:rsid w:val="00B748E9"/>
    <w:rsid w:val="00B749AB"/>
    <w:rsid w:val="00B74A09"/>
    <w:rsid w:val="00B74B24"/>
    <w:rsid w:val="00B74E51"/>
    <w:rsid w:val="00B751CE"/>
    <w:rsid w:val="00B754F1"/>
    <w:rsid w:val="00B755BF"/>
    <w:rsid w:val="00B75739"/>
    <w:rsid w:val="00B7621F"/>
    <w:rsid w:val="00B7653A"/>
    <w:rsid w:val="00B76762"/>
    <w:rsid w:val="00B7677C"/>
    <w:rsid w:val="00B7681F"/>
    <w:rsid w:val="00B76945"/>
    <w:rsid w:val="00B76BBF"/>
    <w:rsid w:val="00B76E16"/>
    <w:rsid w:val="00B771A1"/>
    <w:rsid w:val="00B77316"/>
    <w:rsid w:val="00B7738A"/>
    <w:rsid w:val="00B773A7"/>
    <w:rsid w:val="00B77712"/>
    <w:rsid w:val="00B77794"/>
    <w:rsid w:val="00B77A25"/>
    <w:rsid w:val="00B77A67"/>
    <w:rsid w:val="00B77CC1"/>
    <w:rsid w:val="00B77CF9"/>
    <w:rsid w:val="00B77E0D"/>
    <w:rsid w:val="00B80330"/>
    <w:rsid w:val="00B80537"/>
    <w:rsid w:val="00B808D2"/>
    <w:rsid w:val="00B81321"/>
    <w:rsid w:val="00B81519"/>
    <w:rsid w:val="00B815E9"/>
    <w:rsid w:val="00B81CDC"/>
    <w:rsid w:val="00B81F4B"/>
    <w:rsid w:val="00B81FA4"/>
    <w:rsid w:val="00B8208B"/>
    <w:rsid w:val="00B82394"/>
    <w:rsid w:val="00B826E2"/>
    <w:rsid w:val="00B82964"/>
    <w:rsid w:val="00B82B5C"/>
    <w:rsid w:val="00B82BFF"/>
    <w:rsid w:val="00B82D90"/>
    <w:rsid w:val="00B83762"/>
    <w:rsid w:val="00B8377E"/>
    <w:rsid w:val="00B83941"/>
    <w:rsid w:val="00B83C6A"/>
    <w:rsid w:val="00B83D15"/>
    <w:rsid w:val="00B84645"/>
    <w:rsid w:val="00B84B0A"/>
    <w:rsid w:val="00B84B61"/>
    <w:rsid w:val="00B84FDD"/>
    <w:rsid w:val="00B85281"/>
    <w:rsid w:val="00B8529E"/>
    <w:rsid w:val="00B859A8"/>
    <w:rsid w:val="00B85A9F"/>
    <w:rsid w:val="00B85CD2"/>
    <w:rsid w:val="00B85CE2"/>
    <w:rsid w:val="00B863A0"/>
    <w:rsid w:val="00B86411"/>
    <w:rsid w:val="00B8658F"/>
    <w:rsid w:val="00B86720"/>
    <w:rsid w:val="00B86A61"/>
    <w:rsid w:val="00B86B21"/>
    <w:rsid w:val="00B86CB7"/>
    <w:rsid w:val="00B86E27"/>
    <w:rsid w:val="00B86E2E"/>
    <w:rsid w:val="00B87038"/>
    <w:rsid w:val="00B8718A"/>
    <w:rsid w:val="00B875D1"/>
    <w:rsid w:val="00B8794C"/>
    <w:rsid w:val="00B87A8B"/>
    <w:rsid w:val="00B87B04"/>
    <w:rsid w:val="00B9011F"/>
    <w:rsid w:val="00B908F6"/>
    <w:rsid w:val="00B9176D"/>
    <w:rsid w:val="00B917FC"/>
    <w:rsid w:val="00B91960"/>
    <w:rsid w:val="00B91D32"/>
    <w:rsid w:val="00B92158"/>
    <w:rsid w:val="00B923DF"/>
    <w:rsid w:val="00B923FD"/>
    <w:rsid w:val="00B9242D"/>
    <w:rsid w:val="00B9280A"/>
    <w:rsid w:val="00B92C73"/>
    <w:rsid w:val="00B92F94"/>
    <w:rsid w:val="00B93282"/>
    <w:rsid w:val="00B934C7"/>
    <w:rsid w:val="00B9394E"/>
    <w:rsid w:val="00B93A72"/>
    <w:rsid w:val="00B93E11"/>
    <w:rsid w:val="00B94130"/>
    <w:rsid w:val="00B94216"/>
    <w:rsid w:val="00B942F6"/>
    <w:rsid w:val="00B9448D"/>
    <w:rsid w:val="00B94785"/>
    <w:rsid w:val="00B94829"/>
    <w:rsid w:val="00B94E0F"/>
    <w:rsid w:val="00B95123"/>
    <w:rsid w:val="00B95EF4"/>
    <w:rsid w:val="00B967D0"/>
    <w:rsid w:val="00B96E74"/>
    <w:rsid w:val="00B970CF"/>
    <w:rsid w:val="00B97396"/>
    <w:rsid w:val="00B97434"/>
    <w:rsid w:val="00B976B3"/>
    <w:rsid w:val="00B978F6"/>
    <w:rsid w:val="00B97958"/>
    <w:rsid w:val="00B97ADB"/>
    <w:rsid w:val="00B97D32"/>
    <w:rsid w:val="00B97DB9"/>
    <w:rsid w:val="00BA0505"/>
    <w:rsid w:val="00BA0C30"/>
    <w:rsid w:val="00BA0FCE"/>
    <w:rsid w:val="00BA104A"/>
    <w:rsid w:val="00BA170D"/>
    <w:rsid w:val="00BA1E8E"/>
    <w:rsid w:val="00BA1F73"/>
    <w:rsid w:val="00BA1F78"/>
    <w:rsid w:val="00BA240E"/>
    <w:rsid w:val="00BA2612"/>
    <w:rsid w:val="00BA27D2"/>
    <w:rsid w:val="00BA2FE5"/>
    <w:rsid w:val="00BA31F3"/>
    <w:rsid w:val="00BA34B8"/>
    <w:rsid w:val="00BA37B8"/>
    <w:rsid w:val="00BA38EE"/>
    <w:rsid w:val="00BA44BE"/>
    <w:rsid w:val="00BA45EB"/>
    <w:rsid w:val="00BA4602"/>
    <w:rsid w:val="00BA4BC9"/>
    <w:rsid w:val="00BA4EBB"/>
    <w:rsid w:val="00BA506B"/>
    <w:rsid w:val="00BA5316"/>
    <w:rsid w:val="00BA5354"/>
    <w:rsid w:val="00BA5449"/>
    <w:rsid w:val="00BA5799"/>
    <w:rsid w:val="00BA579C"/>
    <w:rsid w:val="00BA5F7B"/>
    <w:rsid w:val="00BA638B"/>
    <w:rsid w:val="00BA69A4"/>
    <w:rsid w:val="00BA69E3"/>
    <w:rsid w:val="00BA6DDD"/>
    <w:rsid w:val="00BA7964"/>
    <w:rsid w:val="00BA7B13"/>
    <w:rsid w:val="00BA7C09"/>
    <w:rsid w:val="00BA7D06"/>
    <w:rsid w:val="00BA7D07"/>
    <w:rsid w:val="00BA7FAF"/>
    <w:rsid w:val="00BB0111"/>
    <w:rsid w:val="00BB01BB"/>
    <w:rsid w:val="00BB0224"/>
    <w:rsid w:val="00BB028F"/>
    <w:rsid w:val="00BB07FA"/>
    <w:rsid w:val="00BB0896"/>
    <w:rsid w:val="00BB0C1B"/>
    <w:rsid w:val="00BB0C8F"/>
    <w:rsid w:val="00BB0D57"/>
    <w:rsid w:val="00BB0FDD"/>
    <w:rsid w:val="00BB10EA"/>
    <w:rsid w:val="00BB125F"/>
    <w:rsid w:val="00BB128E"/>
    <w:rsid w:val="00BB178F"/>
    <w:rsid w:val="00BB1B8E"/>
    <w:rsid w:val="00BB1CE3"/>
    <w:rsid w:val="00BB1D85"/>
    <w:rsid w:val="00BB1DD7"/>
    <w:rsid w:val="00BB2414"/>
    <w:rsid w:val="00BB2447"/>
    <w:rsid w:val="00BB2603"/>
    <w:rsid w:val="00BB2DAA"/>
    <w:rsid w:val="00BB34E5"/>
    <w:rsid w:val="00BB36A2"/>
    <w:rsid w:val="00BB3AB8"/>
    <w:rsid w:val="00BB4021"/>
    <w:rsid w:val="00BB46C9"/>
    <w:rsid w:val="00BB4B16"/>
    <w:rsid w:val="00BB4D91"/>
    <w:rsid w:val="00BB52A4"/>
    <w:rsid w:val="00BB5DB4"/>
    <w:rsid w:val="00BB62FA"/>
    <w:rsid w:val="00BB6509"/>
    <w:rsid w:val="00BB65B0"/>
    <w:rsid w:val="00BB680A"/>
    <w:rsid w:val="00BB6882"/>
    <w:rsid w:val="00BB6A16"/>
    <w:rsid w:val="00BB6E49"/>
    <w:rsid w:val="00BB72BE"/>
    <w:rsid w:val="00BB7334"/>
    <w:rsid w:val="00BB77B7"/>
    <w:rsid w:val="00BB79BB"/>
    <w:rsid w:val="00BB7CA4"/>
    <w:rsid w:val="00BB7CCE"/>
    <w:rsid w:val="00BB7F81"/>
    <w:rsid w:val="00BC0477"/>
    <w:rsid w:val="00BC04AA"/>
    <w:rsid w:val="00BC05AE"/>
    <w:rsid w:val="00BC099E"/>
    <w:rsid w:val="00BC0AD5"/>
    <w:rsid w:val="00BC0B12"/>
    <w:rsid w:val="00BC0F85"/>
    <w:rsid w:val="00BC1429"/>
    <w:rsid w:val="00BC1AD5"/>
    <w:rsid w:val="00BC1C9D"/>
    <w:rsid w:val="00BC1CA4"/>
    <w:rsid w:val="00BC1FAB"/>
    <w:rsid w:val="00BC1FDD"/>
    <w:rsid w:val="00BC20AC"/>
    <w:rsid w:val="00BC248C"/>
    <w:rsid w:val="00BC2558"/>
    <w:rsid w:val="00BC2A55"/>
    <w:rsid w:val="00BC3632"/>
    <w:rsid w:val="00BC3AFE"/>
    <w:rsid w:val="00BC3C87"/>
    <w:rsid w:val="00BC3F7F"/>
    <w:rsid w:val="00BC3FF3"/>
    <w:rsid w:val="00BC414E"/>
    <w:rsid w:val="00BC455E"/>
    <w:rsid w:val="00BC4AB8"/>
    <w:rsid w:val="00BC4E78"/>
    <w:rsid w:val="00BC5309"/>
    <w:rsid w:val="00BC54C6"/>
    <w:rsid w:val="00BC57DD"/>
    <w:rsid w:val="00BC5878"/>
    <w:rsid w:val="00BC5A8A"/>
    <w:rsid w:val="00BC5B44"/>
    <w:rsid w:val="00BC611A"/>
    <w:rsid w:val="00BC62BC"/>
    <w:rsid w:val="00BC63C1"/>
    <w:rsid w:val="00BC6AD9"/>
    <w:rsid w:val="00BC6BEB"/>
    <w:rsid w:val="00BC6D49"/>
    <w:rsid w:val="00BC6F51"/>
    <w:rsid w:val="00BC6F6B"/>
    <w:rsid w:val="00BC7608"/>
    <w:rsid w:val="00BC7634"/>
    <w:rsid w:val="00BC76F5"/>
    <w:rsid w:val="00BC7DEF"/>
    <w:rsid w:val="00BC7EA8"/>
    <w:rsid w:val="00BD0811"/>
    <w:rsid w:val="00BD0919"/>
    <w:rsid w:val="00BD0C4A"/>
    <w:rsid w:val="00BD0D04"/>
    <w:rsid w:val="00BD0D62"/>
    <w:rsid w:val="00BD0E0C"/>
    <w:rsid w:val="00BD0FD5"/>
    <w:rsid w:val="00BD11F3"/>
    <w:rsid w:val="00BD182B"/>
    <w:rsid w:val="00BD189B"/>
    <w:rsid w:val="00BD1BCF"/>
    <w:rsid w:val="00BD1C26"/>
    <w:rsid w:val="00BD1ED8"/>
    <w:rsid w:val="00BD1F73"/>
    <w:rsid w:val="00BD2236"/>
    <w:rsid w:val="00BD231F"/>
    <w:rsid w:val="00BD2496"/>
    <w:rsid w:val="00BD25AD"/>
    <w:rsid w:val="00BD2ACD"/>
    <w:rsid w:val="00BD2D17"/>
    <w:rsid w:val="00BD2F49"/>
    <w:rsid w:val="00BD33C2"/>
    <w:rsid w:val="00BD3659"/>
    <w:rsid w:val="00BD371C"/>
    <w:rsid w:val="00BD395E"/>
    <w:rsid w:val="00BD3B99"/>
    <w:rsid w:val="00BD3DFB"/>
    <w:rsid w:val="00BD3E45"/>
    <w:rsid w:val="00BD5350"/>
    <w:rsid w:val="00BD5519"/>
    <w:rsid w:val="00BD55AC"/>
    <w:rsid w:val="00BD56B5"/>
    <w:rsid w:val="00BD5805"/>
    <w:rsid w:val="00BD587A"/>
    <w:rsid w:val="00BD59B3"/>
    <w:rsid w:val="00BD6078"/>
    <w:rsid w:val="00BD6194"/>
    <w:rsid w:val="00BD6313"/>
    <w:rsid w:val="00BD657C"/>
    <w:rsid w:val="00BD67AF"/>
    <w:rsid w:val="00BD6A20"/>
    <w:rsid w:val="00BD6AD4"/>
    <w:rsid w:val="00BD6EC8"/>
    <w:rsid w:val="00BD7936"/>
    <w:rsid w:val="00BD79C7"/>
    <w:rsid w:val="00BD7C62"/>
    <w:rsid w:val="00BE0456"/>
    <w:rsid w:val="00BE1574"/>
    <w:rsid w:val="00BE1E68"/>
    <w:rsid w:val="00BE20B1"/>
    <w:rsid w:val="00BE223A"/>
    <w:rsid w:val="00BE226A"/>
    <w:rsid w:val="00BE23B3"/>
    <w:rsid w:val="00BE23E0"/>
    <w:rsid w:val="00BE2622"/>
    <w:rsid w:val="00BE2D78"/>
    <w:rsid w:val="00BE32B0"/>
    <w:rsid w:val="00BE3312"/>
    <w:rsid w:val="00BE34B0"/>
    <w:rsid w:val="00BE379D"/>
    <w:rsid w:val="00BE3A90"/>
    <w:rsid w:val="00BE3AE8"/>
    <w:rsid w:val="00BE4233"/>
    <w:rsid w:val="00BE438F"/>
    <w:rsid w:val="00BE4698"/>
    <w:rsid w:val="00BE4B04"/>
    <w:rsid w:val="00BE4F1D"/>
    <w:rsid w:val="00BE5263"/>
    <w:rsid w:val="00BE5580"/>
    <w:rsid w:val="00BE56FF"/>
    <w:rsid w:val="00BE5A87"/>
    <w:rsid w:val="00BE5F8D"/>
    <w:rsid w:val="00BE61FA"/>
    <w:rsid w:val="00BE63A9"/>
    <w:rsid w:val="00BE6A8C"/>
    <w:rsid w:val="00BE6B96"/>
    <w:rsid w:val="00BE6D1D"/>
    <w:rsid w:val="00BE6E81"/>
    <w:rsid w:val="00BE721E"/>
    <w:rsid w:val="00BE728A"/>
    <w:rsid w:val="00BE72BE"/>
    <w:rsid w:val="00BE767D"/>
    <w:rsid w:val="00BE7819"/>
    <w:rsid w:val="00BE7D89"/>
    <w:rsid w:val="00BF00ED"/>
    <w:rsid w:val="00BF0137"/>
    <w:rsid w:val="00BF02D2"/>
    <w:rsid w:val="00BF07D0"/>
    <w:rsid w:val="00BF0B77"/>
    <w:rsid w:val="00BF0C4D"/>
    <w:rsid w:val="00BF0CE1"/>
    <w:rsid w:val="00BF1148"/>
    <w:rsid w:val="00BF174E"/>
    <w:rsid w:val="00BF1C35"/>
    <w:rsid w:val="00BF1F03"/>
    <w:rsid w:val="00BF1FE9"/>
    <w:rsid w:val="00BF213F"/>
    <w:rsid w:val="00BF22D9"/>
    <w:rsid w:val="00BF2390"/>
    <w:rsid w:val="00BF26D8"/>
    <w:rsid w:val="00BF2812"/>
    <w:rsid w:val="00BF2B06"/>
    <w:rsid w:val="00BF2D38"/>
    <w:rsid w:val="00BF303E"/>
    <w:rsid w:val="00BF3652"/>
    <w:rsid w:val="00BF365E"/>
    <w:rsid w:val="00BF39E4"/>
    <w:rsid w:val="00BF3EC2"/>
    <w:rsid w:val="00BF42BE"/>
    <w:rsid w:val="00BF486E"/>
    <w:rsid w:val="00BF48CA"/>
    <w:rsid w:val="00BF499B"/>
    <w:rsid w:val="00BF4C53"/>
    <w:rsid w:val="00BF4C95"/>
    <w:rsid w:val="00BF4ED0"/>
    <w:rsid w:val="00BF5126"/>
    <w:rsid w:val="00BF6024"/>
    <w:rsid w:val="00BF6188"/>
    <w:rsid w:val="00BF62E2"/>
    <w:rsid w:val="00BF62E9"/>
    <w:rsid w:val="00BF6A25"/>
    <w:rsid w:val="00BF6A8D"/>
    <w:rsid w:val="00BF74C1"/>
    <w:rsid w:val="00BF7587"/>
    <w:rsid w:val="00BF788A"/>
    <w:rsid w:val="00BF7D35"/>
    <w:rsid w:val="00C0004C"/>
    <w:rsid w:val="00C0019B"/>
    <w:rsid w:val="00C00463"/>
    <w:rsid w:val="00C006B3"/>
    <w:rsid w:val="00C00882"/>
    <w:rsid w:val="00C00A78"/>
    <w:rsid w:val="00C01210"/>
    <w:rsid w:val="00C0177E"/>
    <w:rsid w:val="00C0194C"/>
    <w:rsid w:val="00C01E0D"/>
    <w:rsid w:val="00C01EC0"/>
    <w:rsid w:val="00C01F58"/>
    <w:rsid w:val="00C027C6"/>
    <w:rsid w:val="00C02AF8"/>
    <w:rsid w:val="00C02C3D"/>
    <w:rsid w:val="00C02F44"/>
    <w:rsid w:val="00C02FAF"/>
    <w:rsid w:val="00C030CB"/>
    <w:rsid w:val="00C0318D"/>
    <w:rsid w:val="00C03416"/>
    <w:rsid w:val="00C035BE"/>
    <w:rsid w:val="00C038E1"/>
    <w:rsid w:val="00C03B00"/>
    <w:rsid w:val="00C03C63"/>
    <w:rsid w:val="00C03E85"/>
    <w:rsid w:val="00C04155"/>
    <w:rsid w:val="00C0431C"/>
    <w:rsid w:val="00C045A2"/>
    <w:rsid w:val="00C04907"/>
    <w:rsid w:val="00C04A77"/>
    <w:rsid w:val="00C04ABB"/>
    <w:rsid w:val="00C0517D"/>
    <w:rsid w:val="00C051B0"/>
    <w:rsid w:val="00C0521F"/>
    <w:rsid w:val="00C05951"/>
    <w:rsid w:val="00C059D1"/>
    <w:rsid w:val="00C0626B"/>
    <w:rsid w:val="00C062C1"/>
    <w:rsid w:val="00C063FE"/>
    <w:rsid w:val="00C06876"/>
    <w:rsid w:val="00C068A9"/>
    <w:rsid w:val="00C06AE5"/>
    <w:rsid w:val="00C06B6C"/>
    <w:rsid w:val="00C06B9E"/>
    <w:rsid w:val="00C06E0D"/>
    <w:rsid w:val="00C0701A"/>
    <w:rsid w:val="00C071E3"/>
    <w:rsid w:val="00C07328"/>
    <w:rsid w:val="00C07584"/>
    <w:rsid w:val="00C079A5"/>
    <w:rsid w:val="00C07E4F"/>
    <w:rsid w:val="00C105ED"/>
    <w:rsid w:val="00C10C03"/>
    <w:rsid w:val="00C10F21"/>
    <w:rsid w:val="00C111B3"/>
    <w:rsid w:val="00C11332"/>
    <w:rsid w:val="00C1144A"/>
    <w:rsid w:val="00C114F7"/>
    <w:rsid w:val="00C11600"/>
    <w:rsid w:val="00C116CC"/>
    <w:rsid w:val="00C11941"/>
    <w:rsid w:val="00C11A9D"/>
    <w:rsid w:val="00C11CED"/>
    <w:rsid w:val="00C11E32"/>
    <w:rsid w:val="00C120F7"/>
    <w:rsid w:val="00C1278B"/>
    <w:rsid w:val="00C1291C"/>
    <w:rsid w:val="00C130B4"/>
    <w:rsid w:val="00C13279"/>
    <w:rsid w:val="00C139C0"/>
    <w:rsid w:val="00C13A8C"/>
    <w:rsid w:val="00C13C27"/>
    <w:rsid w:val="00C13C9E"/>
    <w:rsid w:val="00C13CF9"/>
    <w:rsid w:val="00C13F53"/>
    <w:rsid w:val="00C143C3"/>
    <w:rsid w:val="00C14A47"/>
    <w:rsid w:val="00C14BBD"/>
    <w:rsid w:val="00C14DC2"/>
    <w:rsid w:val="00C15003"/>
    <w:rsid w:val="00C15B0C"/>
    <w:rsid w:val="00C15E80"/>
    <w:rsid w:val="00C164C4"/>
    <w:rsid w:val="00C16C48"/>
    <w:rsid w:val="00C16E17"/>
    <w:rsid w:val="00C17276"/>
    <w:rsid w:val="00C17298"/>
    <w:rsid w:val="00C173A5"/>
    <w:rsid w:val="00C17561"/>
    <w:rsid w:val="00C177A8"/>
    <w:rsid w:val="00C17DE3"/>
    <w:rsid w:val="00C200E0"/>
    <w:rsid w:val="00C201AD"/>
    <w:rsid w:val="00C2035F"/>
    <w:rsid w:val="00C20820"/>
    <w:rsid w:val="00C208EC"/>
    <w:rsid w:val="00C20F88"/>
    <w:rsid w:val="00C21021"/>
    <w:rsid w:val="00C2117B"/>
    <w:rsid w:val="00C2118F"/>
    <w:rsid w:val="00C2132D"/>
    <w:rsid w:val="00C2139F"/>
    <w:rsid w:val="00C215A7"/>
    <w:rsid w:val="00C21670"/>
    <w:rsid w:val="00C22122"/>
    <w:rsid w:val="00C222BF"/>
    <w:rsid w:val="00C222E4"/>
    <w:rsid w:val="00C224F7"/>
    <w:rsid w:val="00C22601"/>
    <w:rsid w:val="00C2274C"/>
    <w:rsid w:val="00C22C88"/>
    <w:rsid w:val="00C22CBB"/>
    <w:rsid w:val="00C22D09"/>
    <w:rsid w:val="00C22EF8"/>
    <w:rsid w:val="00C23133"/>
    <w:rsid w:val="00C238FF"/>
    <w:rsid w:val="00C23A10"/>
    <w:rsid w:val="00C23ADD"/>
    <w:rsid w:val="00C23C5F"/>
    <w:rsid w:val="00C23CD6"/>
    <w:rsid w:val="00C23DAB"/>
    <w:rsid w:val="00C240F5"/>
    <w:rsid w:val="00C24150"/>
    <w:rsid w:val="00C242E9"/>
    <w:rsid w:val="00C244EE"/>
    <w:rsid w:val="00C248DF"/>
    <w:rsid w:val="00C24A50"/>
    <w:rsid w:val="00C24C15"/>
    <w:rsid w:val="00C24D14"/>
    <w:rsid w:val="00C253F4"/>
    <w:rsid w:val="00C25481"/>
    <w:rsid w:val="00C254E8"/>
    <w:rsid w:val="00C25561"/>
    <w:rsid w:val="00C25B17"/>
    <w:rsid w:val="00C25CA1"/>
    <w:rsid w:val="00C25CF6"/>
    <w:rsid w:val="00C25FBA"/>
    <w:rsid w:val="00C26246"/>
    <w:rsid w:val="00C26375"/>
    <w:rsid w:val="00C263B3"/>
    <w:rsid w:val="00C265EE"/>
    <w:rsid w:val="00C26B17"/>
    <w:rsid w:val="00C26C87"/>
    <w:rsid w:val="00C27247"/>
    <w:rsid w:val="00C2747A"/>
    <w:rsid w:val="00C2747D"/>
    <w:rsid w:val="00C277A3"/>
    <w:rsid w:val="00C279B4"/>
    <w:rsid w:val="00C27A5A"/>
    <w:rsid w:val="00C27ADC"/>
    <w:rsid w:val="00C27CE9"/>
    <w:rsid w:val="00C27E7F"/>
    <w:rsid w:val="00C27FE8"/>
    <w:rsid w:val="00C303DE"/>
    <w:rsid w:val="00C3074B"/>
    <w:rsid w:val="00C312D4"/>
    <w:rsid w:val="00C312F9"/>
    <w:rsid w:val="00C31E79"/>
    <w:rsid w:val="00C3216C"/>
    <w:rsid w:val="00C322FD"/>
    <w:rsid w:val="00C32377"/>
    <w:rsid w:val="00C326E6"/>
    <w:rsid w:val="00C3284B"/>
    <w:rsid w:val="00C32859"/>
    <w:rsid w:val="00C32D19"/>
    <w:rsid w:val="00C33260"/>
    <w:rsid w:val="00C3329A"/>
    <w:rsid w:val="00C3349E"/>
    <w:rsid w:val="00C336E5"/>
    <w:rsid w:val="00C33A94"/>
    <w:rsid w:val="00C33D3C"/>
    <w:rsid w:val="00C34177"/>
    <w:rsid w:val="00C3424C"/>
    <w:rsid w:val="00C343D2"/>
    <w:rsid w:val="00C345A7"/>
    <w:rsid w:val="00C34756"/>
    <w:rsid w:val="00C34CFA"/>
    <w:rsid w:val="00C35B98"/>
    <w:rsid w:val="00C36144"/>
    <w:rsid w:val="00C3621B"/>
    <w:rsid w:val="00C36405"/>
    <w:rsid w:val="00C368C7"/>
    <w:rsid w:val="00C36F0F"/>
    <w:rsid w:val="00C36FCF"/>
    <w:rsid w:val="00C37194"/>
    <w:rsid w:val="00C372C1"/>
    <w:rsid w:val="00C37384"/>
    <w:rsid w:val="00C3747E"/>
    <w:rsid w:val="00C376F7"/>
    <w:rsid w:val="00C378C0"/>
    <w:rsid w:val="00C40012"/>
    <w:rsid w:val="00C400EE"/>
    <w:rsid w:val="00C4010F"/>
    <w:rsid w:val="00C4062C"/>
    <w:rsid w:val="00C40813"/>
    <w:rsid w:val="00C40A33"/>
    <w:rsid w:val="00C40CA9"/>
    <w:rsid w:val="00C40EF5"/>
    <w:rsid w:val="00C41403"/>
    <w:rsid w:val="00C4156E"/>
    <w:rsid w:val="00C418EE"/>
    <w:rsid w:val="00C4193E"/>
    <w:rsid w:val="00C422BE"/>
    <w:rsid w:val="00C42569"/>
    <w:rsid w:val="00C425C2"/>
    <w:rsid w:val="00C426C8"/>
    <w:rsid w:val="00C42AE4"/>
    <w:rsid w:val="00C42B08"/>
    <w:rsid w:val="00C42B42"/>
    <w:rsid w:val="00C42FF5"/>
    <w:rsid w:val="00C43493"/>
    <w:rsid w:val="00C43D07"/>
    <w:rsid w:val="00C43EF5"/>
    <w:rsid w:val="00C43FEE"/>
    <w:rsid w:val="00C444AD"/>
    <w:rsid w:val="00C44A4C"/>
    <w:rsid w:val="00C44ECC"/>
    <w:rsid w:val="00C454AD"/>
    <w:rsid w:val="00C45706"/>
    <w:rsid w:val="00C457A8"/>
    <w:rsid w:val="00C458A3"/>
    <w:rsid w:val="00C45AF0"/>
    <w:rsid w:val="00C45B0B"/>
    <w:rsid w:val="00C45B7C"/>
    <w:rsid w:val="00C4647D"/>
    <w:rsid w:val="00C464CB"/>
    <w:rsid w:val="00C4680F"/>
    <w:rsid w:val="00C47368"/>
    <w:rsid w:val="00C4757A"/>
    <w:rsid w:val="00C477A3"/>
    <w:rsid w:val="00C47954"/>
    <w:rsid w:val="00C479A0"/>
    <w:rsid w:val="00C47C61"/>
    <w:rsid w:val="00C50236"/>
    <w:rsid w:val="00C502E8"/>
    <w:rsid w:val="00C50549"/>
    <w:rsid w:val="00C50556"/>
    <w:rsid w:val="00C50B32"/>
    <w:rsid w:val="00C50CE8"/>
    <w:rsid w:val="00C50CF4"/>
    <w:rsid w:val="00C5101A"/>
    <w:rsid w:val="00C513FB"/>
    <w:rsid w:val="00C515BE"/>
    <w:rsid w:val="00C516C9"/>
    <w:rsid w:val="00C519A1"/>
    <w:rsid w:val="00C51A9F"/>
    <w:rsid w:val="00C520FE"/>
    <w:rsid w:val="00C52266"/>
    <w:rsid w:val="00C5231A"/>
    <w:rsid w:val="00C523A7"/>
    <w:rsid w:val="00C525D2"/>
    <w:rsid w:val="00C52898"/>
    <w:rsid w:val="00C52945"/>
    <w:rsid w:val="00C529F7"/>
    <w:rsid w:val="00C52A74"/>
    <w:rsid w:val="00C52B11"/>
    <w:rsid w:val="00C52C4D"/>
    <w:rsid w:val="00C530DC"/>
    <w:rsid w:val="00C535EA"/>
    <w:rsid w:val="00C53B20"/>
    <w:rsid w:val="00C53CC6"/>
    <w:rsid w:val="00C53FCD"/>
    <w:rsid w:val="00C54603"/>
    <w:rsid w:val="00C5467F"/>
    <w:rsid w:val="00C547D1"/>
    <w:rsid w:val="00C54F3E"/>
    <w:rsid w:val="00C5500F"/>
    <w:rsid w:val="00C5515A"/>
    <w:rsid w:val="00C55D32"/>
    <w:rsid w:val="00C56140"/>
    <w:rsid w:val="00C565DD"/>
    <w:rsid w:val="00C565EF"/>
    <w:rsid w:val="00C56645"/>
    <w:rsid w:val="00C56867"/>
    <w:rsid w:val="00C568BB"/>
    <w:rsid w:val="00C56C69"/>
    <w:rsid w:val="00C56D50"/>
    <w:rsid w:val="00C57082"/>
    <w:rsid w:val="00C57347"/>
    <w:rsid w:val="00C57468"/>
    <w:rsid w:val="00C574CD"/>
    <w:rsid w:val="00C57CEA"/>
    <w:rsid w:val="00C57FF9"/>
    <w:rsid w:val="00C601C8"/>
    <w:rsid w:val="00C6040B"/>
    <w:rsid w:val="00C607BD"/>
    <w:rsid w:val="00C60B05"/>
    <w:rsid w:val="00C61AF5"/>
    <w:rsid w:val="00C61CFC"/>
    <w:rsid w:val="00C621D8"/>
    <w:rsid w:val="00C622BF"/>
    <w:rsid w:val="00C62479"/>
    <w:rsid w:val="00C625E0"/>
    <w:rsid w:val="00C626E5"/>
    <w:rsid w:val="00C63432"/>
    <w:rsid w:val="00C6357E"/>
    <w:rsid w:val="00C63833"/>
    <w:rsid w:val="00C63835"/>
    <w:rsid w:val="00C63A21"/>
    <w:rsid w:val="00C63C6A"/>
    <w:rsid w:val="00C63F93"/>
    <w:rsid w:val="00C644F0"/>
    <w:rsid w:val="00C645DC"/>
    <w:rsid w:val="00C64780"/>
    <w:rsid w:val="00C64C55"/>
    <w:rsid w:val="00C64D3F"/>
    <w:rsid w:val="00C65042"/>
    <w:rsid w:val="00C65237"/>
    <w:rsid w:val="00C65883"/>
    <w:rsid w:val="00C65885"/>
    <w:rsid w:val="00C65B9C"/>
    <w:rsid w:val="00C66001"/>
    <w:rsid w:val="00C6602A"/>
    <w:rsid w:val="00C66058"/>
    <w:rsid w:val="00C663B0"/>
    <w:rsid w:val="00C664F0"/>
    <w:rsid w:val="00C664F1"/>
    <w:rsid w:val="00C66546"/>
    <w:rsid w:val="00C66635"/>
    <w:rsid w:val="00C669E9"/>
    <w:rsid w:val="00C66AC9"/>
    <w:rsid w:val="00C66B2B"/>
    <w:rsid w:val="00C66B8B"/>
    <w:rsid w:val="00C66C39"/>
    <w:rsid w:val="00C66E64"/>
    <w:rsid w:val="00C671BB"/>
    <w:rsid w:val="00C67261"/>
    <w:rsid w:val="00C67312"/>
    <w:rsid w:val="00C67507"/>
    <w:rsid w:val="00C67673"/>
    <w:rsid w:val="00C67860"/>
    <w:rsid w:val="00C67C25"/>
    <w:rsid w:val="00C70461"/>
    <w:rsid w:val="00C70CB5"/>
    <w:rsid w:val="00C70D9F"/>
    <w:rsid w:val="00C71028"/>
    <w:rsid w:val="00C7197C"/>
    <w:rsid w:val="00C71ADA"/>
    <w:rsid w:val="00C720C3"/>
    <w:rsid w:val="00C720FE"/>
    <w:rsid w:val="00C72224"/>
    <w:rsid w:val="00C72274"/>
    <w:rsid w:val="00C72646"/>
    <w:rsid w:val="00C72DAB"/>
    <w:rsid w:val="00C7345F"/>
    <w:rsid w:val="00C7369A"/>
    <w:rsid w:val="00C7374F"/>
    <w:rsid w:val="00C73789"/>
    <w:rsid w:val="00C73CB8"/>
    <w:rsid w:val="00C73D35"/>
    <w:rsid w:val="00C73DD6"/>
    <w:rsid w:val="00C73E90"/>
    <w:rsid w:val="00C740CC"/>
    <w:rsid w:val="00C742B2"/>
    <w:rsid w:val="00C74324"/>
    <w:rsid w:val="00C74A32"/>
    <w:rsid w:val="00C74A91"/>
    <w:rsid w:val="00C74AE1"/>
    <w:rsid w:val="00C74C1B"/>
    <w:rsid w:val="00C74C42"/>
    <w:rsid w:val="00C74CD7"/>
    <w:rsid w:val="00C74F53"/>
    <w:rsid w:val="00C750B2"/>
    <w:rsid w:val="00C75706"/>
    <w:rsid w:val="00C75A5E"/>
    <w:rsid w:val="00C75EEE"/>
    <w:rsid w:val="00C75F11"/>
    <w:rsid w:val="00C76098"/>
    <w:rsid w:val="00C76200"/>
    <w:rsid w:val="00C764B5"/>
    <w:rsid w:val="00C7654B"/>
    <w:rsid w:val="00C768F6"/>
    <w:rsid w:val="00C76B30"/>
    <w:rsid w:val="00C76C8F"/>
    <w:rsid w:val="00C77087"/>
    <w:rsid w:val="00C77294"/>
    <w:rsid w:val="00C778FF"/>
    <w:rsid w:val="00C77F25"/>
    <w:rsid w:val="00C77F9F"/>
    <w:rsid w:val="00C80317"/>
    <w:rsid w:val="00C80358"/>
    <w:rsid w:val="00C80401"/>
    <w:rsid w:val="00C80530"/>
    <w:rsid w:val="00C805E8"/>
    <w:rsid w:val="00C809F6"/>
    <w:rsid w:val="00C80C3F"/>
    <w:rsid w:val="00C8118D"/>
    <w:rsid w:val="00C8122E"/>
    <w:rsid w:val="00C81357"/>
    <w:rsid w:val="00C81450"/>
    <w:rsid w:val="00C81DEB"/>
    <w:rsid w:val="00C81FAE"/>
    <w:rsid w:val="00C82007"/>
    <w:rsid w:val="00C82012"/>
    <w:rsid w:val="00C820B6"/>
    <w:rsid w:val="00C82207"/>
    <w:rsid w:val="00C8246C"/>
    <w:rsid w:val="00C828EC"/>
    <w:rsid w:val="00C82915"/>
    <w:rsid w:val="00C82C6F"/>
    <w:rsid w:val="00C82F65"/>
    <w:rsid w:val="00C8353C"/>
    <w:rsid w:val="00C83735"/>
    <w:rsid w:val="00C83A0F"/>
    <w:rsid w:val="00C83CDD"/>
    <w:rsid w:val="00C84251"/>
    <w:rsid w:val="00C84490"/>
    <w:rsid w:val="00C844C9"/>
    <w:rsid w:val="00C845F3"/>
    <w:rsid w:val="00C84682"/>
    <w:rsid w:val="00C84879"/>
    <w:rsid w:val="00C8498D"/>
    <w:rsid w:val="00C84DE0"/>
    <w:rsid w:val="00C84F79"/>
    <w:rsid w:val="00C84FEF"/>
    <w:rsid w:val="00C85221"/>
    <w:rsid w:val="00C85376"/>
    <w:rsid w:val="00C85392"/>
    <w:rsid w:val="00C8564A"/>
    <w:rsid w:val="00C858DB"/>
    <w:rsid w:val="00C85963"/>
    <w:rsid w:val="00C859CE"/>
    <w:rsid w:val="00C85AA2"/>
    <w:rsid w:val="00C85B17"/>
    <w:rsid w:val="00C85BFD"/>
    <w:rsid w:val="00C85BFE"/>
    <w:rsid w:val="00C85C40"/>
    <w:rsid w:val="00C85C8D"/>
    <w:rsid w:val="00C85DA5"/>
    <w:rsid w:val="00C85E29"/>
    <w:rsid w:val="00C860EF"/>
    <w:rsid w:val="00C864B3"/>
    <w:rsid w:val="00C86AD1"/>
    <w:rsid w:val="00C86C75"/>
    <w:rsid w:val="00C86EAB"/>
    <w:rsid w:val="00C86F42"/>
    <w:rsid w:val="00C86F71"/>
    <w:rsid w:val="00C87256"/>
    <w:rsid w:val="00C872DF"/>
    <w:rsid w:val="00C87405"/>
    <w:rsid w:val="00C8765E"/>
    <w:rsid w:val="00C87B40"/>
    <w:rsid w:val="00C87DF9"/>
    <w:rsid w:val="00C9012C"/>
    <w:rsid w:val="00C90130"/>
    <w:rsid w:val="00C90343"/>
    <w:rsid w:val="00C9069C"/>
    <w:rsid w:val="00C906EE"/>
    <w:rsid w:val="00C90823"/>
    <w:rsid w:val="00C90E9A"/>
    <w:rsid w:val="00C90F57"/>
    <w:rsid w:val="00C9131F"/>
    <w:rsid w:val="00C91B9B"/>
    <w:rsid w:val="00C91E22"/>
    <w:rsid w:val="00C9265D"/>
    <w:rsid w:val="00C9270B"/>
    <w:rsid w:val="00C9305F"/>
    <w:rsid w:val="00C930AF"/>
    <w:rsid w:val="00C93392"/>
    <w:rsid w:val="00C934A6"/>
    <w:rsid w:val="00C93B28"/>
    <w:rsid w:val="00C945B6"/>
    <w:rsid w:val="00C946F9"/>
    <w:rsid w:val="00C9488C"/>
    <w:rsid w:val="00C9490E"/>
    <w:rsid w:val="00C94D07"/>
    <w:rsid w:val="00C956FE"/>
    <w:rsid w:val="00C957D9"/>
    <w:rsid w:val="00C959AF"/>
    <w:rsid w:val="00C961B5"/>
    <w:rsid w:val="00C96439"/>
    <w:rsid w:val="00C96625"/>
    <w:rsid w:val="00C96BAC"/>
    <w:rsid w:val="00C96D90"/>
    <w:rsid w:val="00C96F6E"/>
    <w:rsid w:val="00C9704E"/>
    <w:rsid w:val="00C970B8"/>
    <w:rsid w:val="00C970D8"/>
    <w:rsid w:val="00C9729A"/>
    <w:rsid w:val="00C97340"/>
    <w:rsid w:val="00C9746F"/>
    <w:rsid w:val="00C97599"/>
    <w:rsid w:val="00C975F6"/>
    <w:rsid w:val="00C977F1"/>
    <w:rsid w:val="00C97866"/>
    <w:rsid w:val="00C97D72"/>
    <w:rsid w:val="00CA000E"/>
    <w:rsid w:val="00CA01F7"/>
    <w:rsid w:val="00CA0245"/>
    <w:rsid w:val="00CA0492"/>
    <w:rsid w:val="00CA0828"/>
    <w:rsid w:val="00CA0E1A"/>
    <w:rsid w:val="00CA1D18"/>
    <w:rsid w:val="00CA1E78"/>
    <w:rsid w:val="00CA2C6C"/>
    <w:rsid w:val="00CA2C7F"/>
    <w:rsid w:val="00CA2D9E"/>
    <w:rsid w:val="00CA2E31"/>
    <w:rsid w:val="00CA2FB2"/>
    <w:rsid w:val="00CA3122"/>
    <w:rsid w:val="00CA3424"/>
    <w:rsid w:val="00CA3BAE"/>
    <w:rsid w:val="00CA466D"/>
    <w:rsid w:val="00CA4815"/>
    <w:rsid w:val="00CA4B3F"/>
    <w:rsid w:val="00CA4C77"/>
    <w:rsid w:val="00CA51F0"/>
    <w:rsid w:val="00CA5441"/>
    <w:rsid w:val="00CA5783"/>
    <w:rsid w:val="00CA5795"/>
    <w:rsid w:val="00CA596F"/>
    <w:rsid w:val="00CA6624"/>
    <w:rsid w:val="00CA668D"/>
    <w:rsid w:val="00CA6B64"/>
    <w:rsid w:val="00CA717C"/>
    <w:rsid w:val="00CA79A3"/>
    <w:rsid w:val="00CA7DD0"/>
    <w:rsid w:val="00CB0040"/>
    <w:rsid w:val="00CB02FE"/>
    <w:rsid w:val="00CB053E"/>
    <w:rsid w:val="00CB0682"/>
    <w:rsid w:val="00CB06DA"/>
    <w:rsid w:val="00CB0B22"/>
    <w:rsid w:val="00CB0ECD"/>
    <w:rsid w:val="00CB0ED4"/>
    <w:rsid w:val="00CB1713"/>
    <w:rsid w:val="00CB18ED"/>
    <w:rsid w:val="00CB1DEB"/>
    <w:rsid w:val="00CB1E54"/>
    <w:rsid w:val="00CB1E83"/>
    <w:rsid w:val="00CB1FAF"/>
    <w:rsid w:val="00CB2256"/>
    <w:rsid w:val="00CB253C"/>
    <w:rsid w:val="00CB26B9"/>
    <w:rsid w:val="00CB27B7"/>
    <w:rsid w:val="00CB2827"/>
    <w:rsid w:val="00CB2E8B"/>
    <w:rsid w:val="00CB328B"/>
    <w:rsid w:val="00CB33A0"/>
    <w:rsid w:val="00CB33BC"/>
    <w:rsid w:val="00CB3657"/>
    <w:rsid w:val="00CB39BE"/>
    <w:rsid w:val="00CB3A76"/>
    <w:rsid w:val="00CB3E15"/>
    <w:rsid w:val="00CB3FF6"/>
    <w:rsid w:val="00CB4253"/>
    <w:rsid w:val="00CB4356"/>
    <w:rsid w:val="00CB476B"/>
    <w:rsid w:val="00CB47CA"/>
    <w:rsid w:val="00CB4ED5"/>
    <w:rsid w:val="00CB51D8"/>
    <w:rsid w:val="00CB54EA"/>
    <w:rsid w:val="00CB5649"/>
    <w:rsid w:val="00CB5862"/>
    <w:rsid w:val="00CB5A80"/>
    <w:rsid w:val="00CB5A99"/>
    <w:rsid w:val="00CB5B74"/>
    <w:rsid w:val="00CB5E57"/>
    <w:rsid w:val="00CB5EE5"/>
    <w:rsid w:val="00CB6374"/>
    <w:rsid w:val="00CB6391"/>
    <w:rsid w:val="00CB648A"/>
    <w:rsid w:val="00CB6985"/>
    <w:rsid w:val="00CB6ABD"/>
    <w:rsid w:val="00CB6C55"/>
    <w:rsid w:val="00CB6D0E"/>
    <w:rsid w:val="00CB6DA8"/>
    <w:rsid w:val="00CB6F83"/>
    <w:rsid w:val="00CB7088"/>
    <w:rsid w:val="00CB75AA"/>
    <w:rsid w:val="00CB75ED"/>
    <w:rsid w:val="00CB7602"/>
    <w:rsid w:val="00CB76CF"/>
    <w:rsid w:val="00CB7E03"/>
    <w:rsid w:val="00CB7E9C"/>
    <w:rsid w:val="00CC0083"/>
    <w:rsid w:val="00CC034D"/>
    <w:rsid w:val="00CC039C"/>
    <w:rsid w:val="00CC0741"/>
    <w:rsid w:val="00CC08F3"/>
    <w:rsid w:val="00CC0997"/>
    <w:rsid w:val="00CC0A96"/>
    <w:rsid w:val="00CC0F81"/>
    <w:rsid w:val="00CC163E"/>
    <w:rsid w:val="00CC1732"/>
    <w:rsid w:val="00CC19A4"/>
    <w:rsid w:val="00CC1D7C"/>
    <w:rsid w:val="00CC2242"/>
    <w:rsid w:val="00CC22BD"/>
    <w:rsid w:val="00CC23FF"/>
    <w:rsid w:val="00CC2E03"/>
    <w:rsid w:val="00CC30C9"/>
    <w:rsid w:val="00CC3680"/>
    <w:rsid w:val="00CC370F"/>
    <w:rsid w:val="00CC37D8"/>
    <w:rsid w:val="00CC3B5E"/>
    <w:rsid w:val="00CC3FFE"/>
    <w:rsid w:val="00CC40C0"/>
    <w:rsid w:val="00CC4457"/>
    <w:rsid w:val="00CC45DF"/>
    <w:rsid w:val="00CC4F15"/>
    <w:rsid w:val="00CC524D"/>
    <w:rsid w:val="00CC5E4D"/>
    <w:rsid w:val="00CC5F7D"/>
    <w:rsid w:val="00CC619D"/>
    <w:rsid w:val="00CC61D4"/>
    <w:rsid w:val="00CC6487"/>
    <w:rsid w:val="00CC6558"/>
    <w:rsid w:val="00CC6630"/>
    <w:rsid w:val="00CC6AEE"/>
    <w:rsid w:val="00CC6C38"/>
    <w:rsid w:val="00CC716F"/>
    <w:rsid w:val="00CC7318"/>
    <w:rsid w:val="00CC7402"/>
    <w:rsid w:val="00CC74EF"/>
    <w:rsid w:val="00CC7587"/>
    <w:rsid w:val="00CC7595"/>
    <w:rsid w:val="00CC7715"/>
    <w:rsid w:val="00CC7A91"/>
    <w:rsid w:val="00CC7B3E"/>
    <w:rsid w:val="00CC7FCA"/>
    <w:rsid w:val="00CD0417"/>
    <w:rsid w:val="00CD0489"/>
    <w:rsid w:val="00CD0494"/>
    <w:rsid w:val="00CD0544"/>
    <w:rsid w:val="00CD0648"/>
    <w:rsid w:val="00CD0A9D"/>
    <w:rsid w:val="00CD0F61"/>
    <w:rsid w:val="00CD0FF1"/>
    <w:rsid w:val="00CD13DC"/>
    <w:rsid w:val="00CD1AF6"/>
    <w:rsid w:val="00CD2063"/>
    <w:rsid w:val="00CD2276"/>
    <w:rsid w:val="00CD2B06"/>
    <w:rsid w:val="00CD2E3C"/>
    <w:rsid w:val="00CD3144"/>
    <w:rsid w:val="00CD3887"/>
    <w:rsid w:val="00CD3BDE"/>
    <w:rsid w:val="00CD3C03"/>
    <w:rsid w:val="00CD3CCF"/>
    <w:rsid w:val="00CD3DE1"/>
    <w:rsid w:val="00CD406B"/>
    <w:rsid w:val="00CD42E2"/>
    <w:rsid w:val="00CD5379"/>
    <w:rsid w:val="00CD54FA"/>
    <w:rsid w:val="00CD5682"/>
    <w:rsid w:val="00CD5991"/>
    <w:rsid w:val="00CD5B0E"/>
    <w:rsid w:val="00CD5DB6"/>
    <w:rsid w:val="00CD5E33"/>
    <w:rsid w:val="00CD5F6F"/>
    <w:rsid w:val="00CD5F7B"/>
    <w:rsid w:val="00CD6273"/>
    <w:rsid w:val="00CD63C8"/>
    <w:rsid w:val="00CD64A6"/>
    <w:rsid w:val="00CD6802"/>
    <w:rsid w:val="00CD68AB"/>
    <w:rsid w:val="00CD6AA2"/>
    <w:rsid w:val="00CD7000"/>
    <w:rsid w:val="00CD73AC"/>
    <w:rsid w:val="00CD75D5"/>
    <w:rsid w:val="00CD79AC"/>
    <w:rsid w:val="00CE0032"/>
    <w:rsid w:val="00CE010A"/>
    <w:rsid w:val="00CE0363"/>
    <w:rsid w:val="00CE056B"/>
    <w:rsid w:val="00CE0678"/>
    <w:rsid w:val="00CE0A95"/>
    <w:rsid w:val="00CE0BD4"/>
    <w:rsid w:val="00CE0CF2"/>
    <w:rsid w:val="00CE0DBE"/>
    <w:rsid w:val="00CE0F6C"/>
    <w:rsid w:val="00CE12CA"/>
    <w:rsid w:val="00CE1370"/>
    <w:rsid w:val="00CE178D"/>
    <w:rsid w:val="00CE17CE"/>
    <w:rsid w:val="00CE1C31"/>
    <w:rsid w:val="00CE1E20"/>
    <w:rsid w:val="00CE1E61"/>
    <w:rsid w:val="00CE22E1"/>
    <w:rsid w:val="00CE2838"/>
    <w:rsid w:val="00CE2C15"/>
    <w:rsid w:val="00CE2C27"/>
    <w:rsid w:val="00CE2CA8"/>
    <w:rsid w:val="00CE2DD4"/>
    <w:rsid w:val="00CE2EDB"/>
    <w:rsid w:val="00CE334E"/>
    <w:rsid w:val="00CE3692"/>
    <w:rsid w:val="00CE3835"/>
    <w:rsid w:val="00CE38F8"/>
    <w:rsid w:val="00CE4090"/>
    <w:rsid w:val="00CE439F"/>
    <w:rsid w:val="00CE4DEE"/>
    <w:rsid w:val="00CE53AD"/>
    <w:rsid w:val="00CE591C"/>
    <w:rsid w:val="00CE5BD3"/>
    <w:rsid w:val="00CE64D5"/>
    <w:rsid w:val="00CE66BF"/>
    <w:rsid w:val="00CE67B6"/>
    <w:rsid w:val="00CE6923"/>
    <w:rsid w:val="00CE6FF2"/>
    <w:rsid w:val="00CE70DA"/>
    <w:rsid w:val="00CE72A1"/>
    <w:rsid w:val="00CE743D"/>
    <w:rsid w:val="00CE74A2"/>
    <w:rsid w:val="00CE7930"/>
    <w:rsid w:val="00CE7993"/>
    <w:rsid w:val="00CE79A0"/>
    <w:rsid w:val="00CE7DD9"/>
    <w:rsid w:val="00CF0034"/>
    <w:rsid w:val="00CF04C7"/>
    <w:rsid w:val="00CF04ED"/>
    <w:rsid w:val="00CF0A8F"/>
    <w:rsid w:val="00CF1C4A"/>
    <w:rsid w:val="00CF2633"/>
    <w:rsid w:val="00CF2B86"/>
    <w:rsid w:val="00CF2E0B"/>
    <w:rsid w:val="00CF2FFA"/>
    <w:rsid w:val="00CF3027"/>
    <w:rsid w:val="00CF3B0C"/>
    <w:rsid w:val="00CF4086"/>
    <w:rsid w:val="00CF476E"/>
    <w:rsid w:val="00CF4BF4"/>
    <w:rsid w:val="00CF4BFA"/>
    <w:rsid w:val="00CF4E7C"/>
    <w:rsid w:val="00CF4F81"/>
    <w:rsid w:val="00CF52AC"/>
    <w:rsid w:val="00CF5705"/>
    <w:rsid w:val="00CF5A5D"/>
    <w:rsid w:val="00CF5B75"/>
    <w:rsid w:val="00CF644E"/>
    <w:rsid w:val="00CF64C7"/>
    <w:rsid w:val="00CF651D"/>
    <w:rsid w:val="00CF6562"/>
    <w:rsid w:val="00CF6B99"/>
    <w:rsid w:val="00CF6C83"/>
    <w:rsid w:val="00CF6CFB"/>
    <w:rsid w:val="00CF71C5"/>
    <w:rsid w:val="00CF72F9"/>
    <w:rsid w:val="00CF77A6"/>
    <w:rsid w:val="00CF77F1"/>
    <w:rsid w:val="00CF7E70"/>
    <w:rsid w:val="00CF7E8F"/>
    <w:rsid w:val="00D0002C"/>
    <w:rsid w:val="00D004BD"/>
    <w:rsid w:val="00D00896"/>
    <w:rsid w:val="00D009FE"/>
    <w:rsid w:val="00D00F3F"/>
    <w:rsid w:val="00D01056"/>
    <w:rsid w:val="00D01242"/>
    <w:rsid w:val="00D01285"/>
    <w:rsid w:val="00D012E6"/>
    <w:rsid w:val="00D01347"/>
    <w:rsid w:val="00D01394"/>
    <w:rsid w:val="00D01517"/>
    <w:rsid w:val="00D018B2"/>
    <w:rsid w:val="00D01945"/>
    <w:rsid w:val="00D01997"/>
    <w:rsid w:val="00D01DDB"/>
    <w:rsid w:val="00D02276"/>
    <w:rsid w:val="00D0229A"/>
    <w:rsid w:val="00D02462"/>
    <w:rsid w:val="00D02572"/>
    <w:rsid w:val="00D02700"/>
    <w:rsid w:val="00D0293D"/>
    <w:rsid w:val="00D029B8"/>
    <w:rsid w:val="00D02AD1"/>
    <w:rsid w:val="00D02BAF"/>
    <w:rsid w:val="00D02CEC"/>
    <w:rsid w:val="00D03155"/>
    <w:rsid w:val="00D03255"/>
    <w:rsid w:val="00D03698"/>
    <w:rsid w:val="00D03F06"/>
    <w:rsid w:val="00D0407C"/>
    <w:rsid w:val="00D0425C"/>
    <w:rsid w:val="00D042F9"/>
    <w:rsid w:val="00D043D4"/>
    <w:rsid w:val="00D04432"/>
    <w:rsid w:val="00D044F1"/>
    <w:rsid w:val="00D048F4"/>
    <w:rsid w:val="00D04A19"/>
    <w:rsid w:val="00D050EC"/>
    <w:rsid w:val="00D05133"/>
    <w:rsid w:val="00D05192"/>
    <w:rsid w:val="00D05378"/>
    <w:rsid w:val="00D055BA"/>
    <w:rsid w:val="00D05A36"/>
    <w:rsid w:val="00D05B59"/>
    <w:rsid w:val="00D05CD8"/>
    <w:rsid w:val="00D05EB6"/>
    <w:rsid w:val="00D05FB2"/>
    <w:rsid w:val="00D06225"/>
    <w:rsid w:val="00D06467"/>
    <w:rsid w:val="00D064DA"/>
    <w:rsid w:val="00D06568"/>
    <w:rsid w:val="00D06670"/>
    <w:rsid w:val="00D06C6B"/>
    <w:rsid w:val="00D06D36"/>
    <w:rsid w:val="00D070D0"/>
    <w:rsid w:val="00D074F6"/>
    <w:rsid w:val="00D07922"/>
    <w:rsid w:val="00D07AC7"/>
    <w:rsid w:val="00D07EA5"/>
    <w:rsid w:val="00D07F12"/>
    <w:rsid w:val="00D103BB"/>
    <w:rsid w:val="00D10571"/>
    <w:rsid w:val="00D10593"/>
    <w:rsid w:val="00D108FE"/>
    <w:rsid w:val="00D10B84"/>
    <w:rsid w:val="00D11168"/>
    <w:rsid w:val="00D1124D"/>
    <w:rsid w:val="00D11EA0"/>
    <w:rsid w:val="00D12293"/>
    <w:rsid w:val="00D1257B"/>
    <w:rsid w:val="00D12DA2"/>
    <w:rsid w:val="00D1305F"/>
    <w:rsid w:val="00D1314F"/>
    <w:rsid w:val="00D136CC"/>
    <w:rsid w:val="00D13764"/>
    <w:rsid w:val="00D139A3"/>
    <w:rsid w:val="00D13B4E"/>
    <w:rsid w:val="00D13D9D"/>
    <w:rsid w:val="00D14183"/>
    <w:rsid w:val="00D141D9"/>
    <w:rsid w:val="00D142E3"/>
    <w:rsid w:val="00D14794"/>
    <w:rsid w:val="00D14CCA"/>
    <w:rsid w:val="00D14FAC"/>
    <w:rsid w:val="00D1532C"/>
    <w:rsid w:val="00D15336"/>
    <w:rsid w:val="00D15489"/>
    <w:rsid w:val="00D159A1"/>
    <w:rsid w:val="00D15A0C"/>
    <w:rsid w:val="00D15A0D"/>
    <w:rsid w:val="00D15B5A"/>
    <w:rsid w:val="00D16825"/>
    <w:rsid w:val="00D17133"/>
    <w:rsid w:val="00D173B4"/>
    <w:rsid w:val="00D173F7"/>
    <w:rsid w:val="00D17530"/>
    <w:rsid w:val="00D175A4"/>
    <w:rsid w:val="00D17CB0"/>
    <w:rsid w:val="00D20221"/>
    <w:rsid w:val="00D20838"/>
    <w:rsid w:val="00D2095A"/>
    <w:rsid w:val="00D2095D"/>
    <w:rsid w:val="00D20CEB"/>
    <w:rsid w:val="00D21708"/>
    <w:rsid w:val="00D219A9"/>
    <w:rsid w:val="00D219C4"/>
    <w:rsid w:val="00D21A7A"/>
    <w:rsid w:val="00D21ADA"/>
    <w:rsid w:val="00D21B00"/>
    <w:rsid w:val="00D21B48"/>
    <w:rsid w:val="00D21DA2"/>
    <w:rsid w:val="00D21E50"/>
    <w:rsid w:val="00D22240"/>
    <w:rsid w:val="00D2241D"/>
    <w:rsid w:val="00D22B3B"/>
    <w:rsid w:val="00D22BC5"/>
    <w:rsid w:val="00D230ED"/>
    <w:rsid w:val="00D2330B"/>
    <w:rsid w:val="00D233A2"/>
    <w:rsid w:val="00D23462"/>
    <w:rsid w:val="00D23685"/>
    <w:rsid w:val="00D23811"/>
    <w:rsid w:val="00D2389B"/>
    <w:rsid w:val="00D23930"/>
    <w:rsid w:val="00D2398F"/>
    <w:rsid w:val="00D239F3"/>
    <w:rsid w:val="00D23B46"/>
    <w:rsid w:val="00D23C27"/>
    <w:rsid w:val="00D23EEE"/>
    <w:rsid w:val="00D2440E"/>
    <w:rsid w:val="00D2450F"/>
    <w:rsid w:val="00D24907"/>
    <w:rsid w:val="00D24C1F"/>
    <w:rsid w:val="00D24C92"/>
    <w:rsid w:val="00D24DBE"/>
    <w:rsid w:val="00D24DE8"/>
    <w:rsid w:val="00D250C9"/>
    <w:rsid w:val="00D2538D"/>
    <w:rsid w:val="00D25465"/>
    <w:rsid w:val="00D2574F"/>
    <w:rsid w:val="00D25B29"/>
    <w:rsid w:val="00D25F85"/>
    <w:rsid w:val="00D2661B"/>
    <w:rsid w:val="00D269FA"/>
    <w:rsid w:val="00D26C46"/>
    <w:rsid w:val="00D26CBC"/>
    <w:rsid w:val="00D2735E"/>
    <w:rsid w:val="00D273B2"/>
    <w:rsid w:val="00D27784"/>
    <w:rsid w:val="00D27787"/>
    <w:rsid w:val="00D2778A"/>
    <w:rsid w:val="00D27A95"/>
    <w:rsid w:val="00D27BFE"/>
    <w:rsid w:val="00D27D56"/>
    <w:rsid w:val="00D27E29"/>
    <w:rsid w:val="00D300A1"/>
    <w:rsid w:val="00D30232"/>
    <w:rsid w:val="00D30477"/>
    <w:rsid w:val="00D306D6"/>
    <w:rsid w:val="00D3071A"/>
    <w:rsid w:val="00D3095C"/>
    <w:rsid w:val="00D30A2E"/>
    <w:rsid w:val="00D30EB4"/>
    <w:rsid w:val="00D30F4F"/>
    <w:rsid w:val="00D310BF"/>
    <w:rsid w:val="00D31125"/>
    <w:rsid w:val="00D31B6A"/>
    <w:rsid w:val="00D321D0"/>
    <w:rsid w:val="00D322CB"/>
    <w:rsid w:val="00D32307"/>
    <w:rsid w:val="00D323B6"/>
    <w:rsid w:val="00D3243D"/>
    <w:rsid w:val="00D327B3"/>
    <w:rsid w:val="00D32CE8"/>
    <w:rsid w:val="00D32ED4"/>
    <w:rsid w:val="00D32F06"/>
    <w:rsid w:val="00D331AA"/>
    <w:rsid w:val="00D33248"/>
    <w:rsid w:val="00D333AE"/>
    <w:rsid w:val="00D3352E"/>
    <w:rsid w:val="00D3364A"/>
    <w:rsid w:val="00D33A78"/>
    <w:rsid w:val="00D33B6D"/>
    <w:rsid w:val="00D33CAC"/>
    <w:rsid w:val="00D33D92"/>
    <w:rsid w:val="00D342B0"/>
    <w:rsid w:val="00D344AA"/>
    <w:rsid w:val="00D34784"/>
    <w:rsid w:val="00D347DA"/>
    <w:rsid w:val="00D34D47"/>
    <w:rsid w:val="00D34D97"/>
    <w:rsid w:val="00D34D98"/>
    <w:rsid w:val="00D3565C"/>
    <w:rsid w:val="00D35872"/>
    <w:rsid w:val="00D358B5"/>
    <w:rsid w:val="00D35E67"/>
    <w:rsid w:val="00D35F5A"/>
    <w:rsid w:val="00D35FA8"/>
    <w:rsid w:val="00D362F8"/>
    <w:rsid w:val="00D36365"/>
    <w:rsid w:val="00D365B3"/>
    <w:rsid w:val="00D36C7B"/>
    <w:rsid w:val="00D36D2B"/>
    <w:rsid w:val="00D36F9B"/>
    <w:rsid w:val="00D37400"/>
    <w:rsid w:val="00D37F08"/>
    <w:rsid w:val="00D37FBA"/>
    <w:rsid w:val="00D40045"/>
    <w:rsid w:val="00D40453"/>
    <w:rsid w:val="00D40E48"/>
    <w:rsid w:val="00D414D2"/>
    <w:rsid w:val="00D41769"/>
    <w:rsid w:val="00D41AB1"/>
    <w:rsid w:val="00D42082"/>
    <w:rsid w:val="00D424B6"/>
    <w:rsid w:val="00D429B7"/>
    <w:rsid w:val="00D42CAC"/>
    <w:rsid w:val="00D42D0F"/>
    <w:rsid w:val="00D43274"/>
    <w:rsid w:val="00D435B7"/>
    <w:rsid w:val="00D4362C"/>
    <w:rsid w:val="00D4393C"/>
    <w:rsid w:val="00D43AF5"/>
    <w:rsid w:val="00D43BEE"/>
    <w:rsid w:val="00D43FAD"/>
    <w:rsid w:val="00D43FC5"/>
    <w:rsid w:val="00D441A1"/>
    <w:rsid w:val="00D444DC"/>
    <w:rsid w:val="00D444FF"/>
    <w:rsid w:val="00D4450A"/>
    <w:rsid w:val="00D4499D"/>
    <w:rsid w:val="00D44D9D"/>
    <w:rsid w:val="00D44EC1"/>
    <w:rsid w:val="00D45043"/>
    <w:rsid w:val="00D459CC"/>
    <w:rsid w:val="00D460E8"/>
    <w:rsid w:val="00D4614C"/>
    <w:rsid w:val="00D4616B"/>
    <w:rsid w:val="00D4632C"/>
    <w:rsid w:val="00D463A4"/>
    <w:rsid w:val="00D46476"/>
    <w:rsid w:val="00D467FB"/>
    <w:rsid w:val="00D46C36"/>
    <w:rsid w:val="00D46D77"/>
    <w:rsid w:val="00D46DE3"/>
    <w:rsid w:val="00D46EEC"/>
    <w:rsid w:val="00D46EF6"/>
    <w:rsid w:val="00D46F9E"/>
    <w:rsid w:val="00D474C5"/>
    <w:rsid w:val="00D47945"/>
    <w:rsid w:val="00D47C0E"/>
    <w:rsid w:val="00D47C15"/>
    <w:rsid w:val="00D50982"/>
    <w:rsid w:val="00D50C2C"/>
    <w:rsid w:val="00D50C37"/>
    <w:rsid w:val="00D5108D"/>
    <w:rsid w:val="00D51114"/>
    <w:rsid w:val="00D51171"/>
    <w:rsid w:val="00D513F3"/>
    <w:rsid w:val="00D51470"/>
    <w:rsid w:val="00D51B34"/>
    <w:rsid w:val="00D51C37"/>
    <w:rsid w:val="00D52007"/>
    <w:rsid w:val="00D5220C"/>
    <w:rsid w:val="00D52598"/>
    <w:rsid w:val="00D5264F"/>
    <w:rsid w:val="00D52691"/>
    <w:rsid w:val="00D52A14"/>
    <w:rsid w:val="00D52C8D"/>
    <w:rsid w:val="00D534B5"/>
    <w:rsid w:val="00D53B17"/>
    <w:rsid w:val="00D53C7D"/>
    <w:rsid w:val="00D53EB9"/>
    <w:rsid w:val="00D5423F"/>
    <w:rsid w:val="00D5496D"/>
    <w:rsid w:val="00D549F5"/>
    <w:rsid w:val="00D54C13"/>
    <w:rsid w:val="00D54C3F"/>
    <w:rsid w:val="00D552A5"/>
    <w:rsid w:val="00D5538B"/>
    <w:rsid w:val="00D55542"/>
    <w:rsid w:val="00D55632"/>
    <w:rsid w:val="00D55BA8"/>
    <w:rsid w:val="00D55D43"/>
    <w:rsid w:val="00D55F78"/>
    <w:rsid w:val="00D560BF"/>
    <w:rsid w:val="00D56381"/>
    <w:rsid w:val="00D56687"/>
    <w:rsid w:val="00D5671E"/>
    <w:rsid w:val="00D5688A"/>
    <w:rsid w:val="00D5722C"/>
    <w:rsid w:val="00D5745C"/>
    <w:rsid w:val="00D57AA9"/>
    <w:rsid w:val="00D602EC"/>
    <w:rsid w:val="00D602F7"/>
    <w:rsid w:val="00D605C6"/>
    <w:rsid w:val="00D6075A"/>
    <w:rsid w:val="00D6124E"/>
    <w:rsid w:val="00D612EA"/>
    <w:rsid w:val="00D617C2"/>
    <w:rsid w:val="00D6192D"/>
    <w:rsid w:val="00D61A66"/>
    <w:rsid w:val="00D61B1E"/>
    <w:rsid w:val="00D61E83"/>
    <w:rsid w:val="00D61EF7"/>
    <w:rsid w:val="00D621C3"/>
    <w:rsid w:val="00D62A04"/>
    <w:rsid w:val="00D62A81"/>
    <w:rsid w:val="00D62ADD"/>
    <w:rsid w:val="00D62EC4"/>
    <w:rsid w:val="00D62FBF"/>
    <w:rsid w:val="00D63023"/>
    <w:rsid w:val="00D63216"/>
    <w:rsid w:val="00D632E2"/>
    <w:rsid w:val="00D636A2"/>
    <w:rsid w:val="00D6375E"/>
    <w:rsid w:val="00D64127"/>
    <w:rsid w:val="00D647E5"/>
    <w:rsid w:val="00D64C64"/>
    <w:rsid w:val="00D64E33"/>
    <w:rsid w:val="00D65197"/>
    <w:rsid w:val="00D652CE"/>
    <w:rsid w:val="00D6554F"/>
    <w:rsid w:val="00D6560A"/>
    <w:rsid w:val="00D663C5"/>
    <w:rsid w:val="00D6656F"/>
    <w:rsid w:val="00D66C0E"/>
    <w:rsid w:val="00D67048"/>
    <w:rsid w:val="00D6750A"/>
    <w:rsid w:val="00D67686"/>
    <w:rsid w:val="00D67997"/>
    <w:rsid w:val="00D67BFB"/>
    <w:rsid w:val="00D67D69"/>
    <w:rsid w:val="00D70273"/>
    <w:rsid w:val="00D705FF"/>
    <w:rsid w:val="00D706BE"/>
    <w:rsid w:val="00D70B30"/>
    <w:rsid w:val="00D70C1C"/>
    <w:rsid w:val="00D70EA2"/>
    <w:rsid w:val="00D7145A"/>
    <w:rsid w:val="00D71569"/>
    <w:rsid w:val="00D71887"/>
    <w:rsid w:val="00D71A2A"/>
    <w:rsid w:val="00D71C2A"/>
    <w:rsid w:val="00D71C94"/>
    <w:rsid w:val="00D71EB5"/>
    <w:rsid w:val="00D71F61"/>
    <w:rsid w:val="00D724F4"/>
    <w:rsid w:val="00D72565"/>
    <w:rsid w:val="00D72A6A"/>
    <w:rsid w:val="00D72AE6"/>
    <w:rsid w:val="00D72DDD"/>
    <w:rsid w:val="00D73563"/>
    <w:rsid w:val="00D73733"/>
    <w:rsid w:val="00D73887"/>
    <w:rsid w:val="00D73CD3"/>
    <w:rsid w:val="00D73D0F"/>
    <w:rsid w:val="00D73D42"/>
    <w:rsid w:val="00D73F61"/>
    <w:rsid w:val="00D7431C"/>
    <w:rsid w:val="00D746EC"/>
    <w:rsid w:val="00D74C58"/>
    <w:rsid w:val="00D74F01"/>
    <w:rsid w:val="00D75301"/>
    <w:rsid w:val="00D75C40"/>
    <w:rsid w:val="00D75D9D"/>
    <w:rsid w:val="00D75E5A"/>
    <w:rsid w:val="00D7624B"/>
    <w:rsid w:val="00D76320"/>
    <w:rsid w:val="00D76503"/>
    <w:rsid w:val="00D766C2"/>
    <w:rsid w:val="00D76858"/>
    <w:rsid w:val="00D76ACD"/>
    <w:rsid w:val="00D76C45"/>
    <w:rsid w:val="00D76D02"/>
    <w:rsid w:val="00D76D3B"/>
    <w:rsid w:val="00D76DB1"/>
    <w:rsid w:val="00D76FA6"/>
    <w:rsid w:val="00D7768A"/>
    <w:rsid w:val="00D777C4"/>
    <w:rsid w:val="00D77CD1"/>
    <w:rsid w:val="00D77E74"/>
    <w:rsid w:val="00D77F52"/>
    <w:rsid w:val="00D8038A"/>
    <w:rsid w:val="00D80710"/>
    <w:rsid w:val="00D8082D"/>
    <w:rsid w:val="00D80848"/>
    <w:rsid w:val="00D8093B"/>
    <w:rsid w:val="00D80B7C"/>
    <w:rsid w:val="00D80C5A"/>
    <w:rsid w:val="00D80EA3"/>
    <w:rsid w:val="00D8127D"/>
    <w:rsid w:val="00D81628"/>
    <w:rsid w:val="00D817AE"/>
    <w:rsid w:val="00D819BE"/>
    <w:rsid w:val="00D81B22"/>
    <w:rsid w:val="00D81DAE"/>
    <w:rsid w:val="00D82237"/>
    <w:rsid w:val="00D825BD"/>
    <w:rsid w:val="00D827AF"/>
    <w:rsid w:val="00D828B8"/>
    <w:rsid w:val="00D82B8B"/>
    <w:rsid w:val="00D83001"/>
    <w:rsid w:val="00D83643"/>
    <w:rsid w:val="00D836B9"/>
    <w:rsid w:val="00D83F57"/>
    <w:rsid w:val="00D84089"/>
    <w:rsid w:val="00D8438C"/>
    <w:rsid w:val="00D849C7"/>
    <w:rsid w:val="00D84A09"/>
    <w:rsid w:val="00D85055"/>
    <w:rsid w:val="00D8508D"/>
    <w:rsid w:val="00D850E7"/>
    <w:rsid w:val="00D8551B"/>
    <w:rsid w:val="00D85FE6"/>
    <w:rsid w:val="00D8623D"/>
    <w:rsid w:val="00D86327"/>
    <w:rsid w:val="00D86333"/>
    <w:rsid w:val="00D863D8"/>
    <w:rsid w:val="00D863FA"/>
    <w:rsid w:val="00D86450"/>
    <w:rsid w:val="00D86478"/>
    <w:rsid w:val="00D86492"/>
    <w:rsid w:val="00D865EF"/>
    <w:rsid w:val="00D86736"/>
    <w:rsid w:val="00D86832"/>
    <w:rsid w:val="00D86CED"/>
    <w:rsid w:val="00D87101"/>
    <w:rsid w:val="00D871BE"/>
    <w:rsid w:val="00D87296"/>
    <w:rsid w:val="00D87324"/>
    <w:rsid w:val="00D874FB"/>
    <w:rsid w:val="00D8769F"/>
    <w:rsid w:val="00D901F8"/>
    <w:rsid w:val="00D9030D"/>
    <w:rsid w:val="00D90735"/>
    <w:rsid w:val="00D90937"/>
    <w:rsid w:val="00D90CBB"/>
    <w:rsid w:val="00D91943"/>
    <w:rsid w:val="00D920C3"/>
    <w:rsid w:val="00D92123"/>
    <w:rsid w:val="00D92308"/>
    <w:rsid w:val="00D92B4E"/>
    <w:rsid w:val="00D92F7A"/>
    <w:rsid w:val="00D93685"/>
    <w:rsid w:val="00D93881"/>
    <w:rsid w:val="00D93FE7"/>
    <w:rsid w:val="00D94232"/>
    <w:rsid w:val="00D946F3"/>
    <w:rsid w:val="00D948CE"/>
    <w:rsid w:val="00D9503F"/>
    <w:rsid w:val="00D954AF"/>
    <w:rsid w:val="00D955D4"/>
    <w:rsid w:val="00D9564D"/>
    <w:rsid w:val="00D95B4E"/>
    <w:rsid w:val="00D95C6D"/>
    <w:rsid w:val="00D95DBE"/>
    <w:rsid w:val="00D9670C"/>
    <w:rsid w:val="00D969F9"/>
    <w:rsid w:val="00D96C54"/>
    <w:rsid w:val="00D9709B"/>
    <w:rsid w:val="00D970BB"/>
    <w:rsid w:val="00D97138"/>
    <w:rsid w:val="00D972A4"/>
    <w:rsid w:val="00D97464"/>
    <w:rsid w:val="00D97538"/>
    <w:rsid w:val="00D97594"/>
    <w:rsid w:val="00D9788D"/>
    <w:rsid w:val="00D97CC4"/>
    <w:rsid w:val="00DA021E"/>
    <w:rsid w:val="00DA051D"/>
    <w:rsid w:val="00DA0814"/>
    <w:rsid w:val="00DA0BA5"/>
    <w:rsid w:val="00DA0BE3"/>
    <w:rsid w:val="00DA0F14"/>
    <w:rsid w:val="00DA1369"/>
    <w:rsid w:val="00DA2B70"/>
    <w:rsid w:val="00DA33BE"/>
    <w:rsid w:val="00DA3852"/>
    <w:rsid w:val="00DA3C95"/>
    <w:rsid w:val="00DA47BF"/>
    <w:rsid w:val="00DA49A2"/>
    <w:rsid w:val="00DA4AA7"/>
    <w:rsid w:val="00DA4C9F"/>
    <w:rsid w:val="00DA57A0"/>
    <w:rsid w:val="00DA57EE"/>
    <w:rsid w:val="00DA59FE"/>
    <w:rsid w:val="00DA6076"/>
    <w:rsid w:val="00DA6797"/>
    <w:rsid w:val="00DA696C"/>
    <w:rsid w:val="00DA6A39"/>
    <w:rsid w:val="00DA6BB5"/>
    <w:rsid w:val="00DA6CD0"/>
    <w:rsid w:val="00DA6E02"/>
    <w:rsid w:val="00DA7177"/>
    <w:rsid w:val="00DA71EF"/>
    <w:rsid w:val="00DA73FF"/>
    <w:rsid w:val="00DA7C05"/>
    <w:rsid w:val="00DB0012"/>
    <w:rsid w:val="00DB00FE"/>
    <w:rsid w:val="00DB02E6"/>
    <w:rsid w:val="00DB0433"/>
    <w:rsid w:val="00DB092A"/>
    <w:rsid w:val="00DB0A43"/>
    <w:rsid w:val="00DB0B96"/>
    <w:rsid w:val="00DB0C26"/>
    <w:rsid w:val="00DB0F72"/>
    <w:rsid w:val="00DB131E"/>
    <w:rsid w:val="00DB189A"/>
    <w:rsid w:val="00DB1B68"/>
    <w:rsid w:val="00DB20BF"/>
    <w:rsid w:val="00DB2684"/>
    <w:rsid w:val="00DB2700"/>
    <w:rsid w:val="00DB27F6"/>
    <w:rsid w:val="00DB3621"/>
    <w:rsid w:val="00DB4099"/>
    <w:rsid w:val="00DB4170"/>
    <w:rsid w:val="00DB42F5"/>
    <w:rsid w:val="00DB4C4C"/>
    <w:rsid w:val="00DB4D72"/>
    <w:rsid w:val="00DB4F0D"/>
    <w:rsid w:val="00DB4F16"/>
    <w:rsid w:val="00DB5011"/>
    <w:rsid w:val="00DB5040"/>
    <w:rsid w:val="00DB54CF"/>
    <w:rsid w:val="00DB5595"/>
    <w:rsid w:val="00DB57E2"/>
    <w:rsid w:val="00DB6109"/>
    <w:rsid w:val="00DB614E"/>
    <w:rsid w:val="00DB6AD6"/>
    <w:rsid w:val="00DB6BC5"/>
    <w:rsid w:val="00DB71F8"/>
    <w:rsid w:val="00DB7360"/>
    <w:rsid w:val="00DB79B2"/>
    <w:rsid w:val="00DB7F90"/>
    <w:rsid w:val="00DC019B"/>
    <w:rsid w:val="00DC0705"/>
    <w:rsid w:val="00DC0D17"/>
    <w:rsid w:val="00DC0EE2"/>
    <w:rsid w:val="00DC0F00"/>
    <w:rsid w:val="00DC0FB5"/>
    <w:rsid w:val="00DC1253"/>
    <w:rsid w:val="00DC15D6"/>
    <w:rsid w:val="00DC15E5"/>
    <w:rsid w:val="00DC1BB5"/>
    <w:rsid w:val="00DC1FF8"/>
    <w:rsid w:val="00DC2350"/>
    <w:rsid w:val="00DC285F"/>
    <w:rsid w:val="00DC291C"/>
    <w:rsid w:val="00DC2DCA"/>
    <w:rsid w:val="00DC2F81"/>
    <w:rsid w:val="00DC2FD3"/>
    <w:rsid w:val="00DC30D9"/>
    <w:rsid w:val="00DC3443"/>
    <w:rsid w:val="00DC3471"/>
    <w:rsid w:val="00DC3BBB"/>
    <w:rsid w:val="00DC4150"/>
    <w:rsid w:val="00DC4559"/>
    <w:rsid w:val="00DC479C"/>
    <w:rsid w:val="00DC48BA"/>
    <w:rsid w:val="00DC4B1C"/>
    <w:rsid w:val="00DC4D41"/>
    <w:rsid w:val="00DC514C"/>
    <w:rsid w:val="00DC515E"/>
    <w:rsid w:val="00DC5600"/>
    <w:rsid w:val="00DC56BF"/>
    <w:rsid w:val="00DC57B8"/>
    <w:rsid w:val="00DC58C0"/>
    <w:rsid w:val="00DC5980"/>
    <w:rsid w:val="00DC59CB"/>
    <w:rsid w:val="00DC5BBE"/>
    <w:rsid w:val="00DC6165"/>
    <w:rsid w:val="00DC63EC"/>
    <w:rsid w:val="00DC64C6"/>
    <w:rsid w:val="00DC6830"/>
    <w:rsid w:val="00DC6A09"/>
    <w:rsid w:val="00DC6A4B"/>
    <w:rsid w:val="00DC6D21"/>
    <w:rsid w:val="00DC7325"/>
    <w:rsid w:val="00DC7472"/>
    <w:rsid w:val="00DC7604"/>
    <w:rsid w:val="00DC77D0"/>
    <w:rsid w:val="00DD0021"/>
    <w:rsid w:val="00DD011D"/>
    <w:rsid w:val="00DD0151"/>
    <w:rsid w:val="00DD0327"/>
    <w:rsid w:val="00DD0445"/>
    <w:rsid w:val="00DD05CC"/>
    <w:rsid w:val="00DD0AFE"/>
    <w:rsid w:val="00DD0F57"/>
    <w:rsid w:val="00DD102F"/>
    <w:rsid w:val="00DD1194"/>
    <w:rsid w:val="00DD11F8"/>
    <w:rsid w:val="00DD13C0"/>
    <w:rsid w:val="00DD161C"/>
    <w:rsid w:val="00DD16A0"/>
    <w:rsid w:val="00DD179E"/>
    <w:rsid w:val="00DD1B92"/>
    <w:rsid w:val="00DD1B9D"/>
    <w:rsid w:val="00DD1D7E"/>
    <w:rsid w:val="00DD1EF9"/>
    <w:rsid w:val="00DD22B7"/>
    <w:rsid w:val="00DD24E8"/>
    <w:rsid w:val="00DD2839"/>
    <w:rsid w:val="00DD2897"/>
    <w:rsid w:val="00DD2B46"/>
    <w:rsid w:val="00DD2E2C"/>
    <w:rsid w:val="00DD2F5F"/>
    <w:rsid w:val="00DD313D"/>
    <w:rsid w:val="00DD3436"/>
    <w:rsid w:val="00DD364B"/>
    <w:rsid w:val="00DD3EE3"/>
    <w:rsid w:val="00DD441E"/>
    <w:rsid w:val="00DD4484"/>
    <w:rsid w:val="00DD4B55"/>
    <w:rsid w:val="00DD4E47"/>
    <w:rsid w:val="00DD4FF5"/>
    <w:rsid w:val="00DD5543"/>
    <w:rsid w:val="00DD5E12"/>
    <w:rsid w:val="00DD6057"/>
    <w:rsid w:val="00DD613B"/>
    <w:rsid w:val="00DD6406"/>
    <w:rsid w:val="00DD64AE"/>
    <w:rsid w:val="00DD6F09"/>
    <w:rsid w:val="00DD7106"/>
    <w:rsid w:val="00DD72EB"/>
    <w:rsid w:val="00DD78A9"/>
    <w:rsid w:val="00DD7947"/>
    <w:rsid w:val="00DD7B9B"/>
    <w:rsid w:val="00DD7F19"/>
    <w:rsid w:val="00DE0016"/>
    <w:rsid w:val="00DE08FB"/>
    <w:rsid w:val="00DE09C8"/>
    <w:rsid w:val="00DE0C97"/>
    <w:rsid w:val="00DE0E53"/>
    <w:rsid w:val="00DE0FFD"/>
    <w:rsid w:val="00DE10B5"/>
    <w:rsid w:val="00DE11FE"/>
    <w:rsid w:val="00DE1898"/>
    <w:rsid w:val="00DE1959"/>
    <w:rsid w:val="00DE1E0A"/>
    <w:rsid w:val="00DE1FA6"/>
    <w:rsid w:val="00DE22F9"/>
    <w:rsid w:val="00DE2720"/>
    <w:rsid w:val="00DE27BF"/>
    <w:rsid w:val="00DE295B"/>
    <w:rsid w:val="00DE2AD2"/>
    <w:rsid w:val="00DE2E52"/>
    <w:rsid w:val="00DE35E8"/>
    <w:rsid w:val="00DE3610"/>
    <w:rsid w:val="00DE3854"/>
    <w:rsid w:val="00DE3918"/>
    <w:rsid w:val="00DE3BB8"/>
    <w:rsid w:val="00DE40AF"/>
    <w:rsid w:val="00DE41A0"/>
    <w:rsid w:val="00DE45D9"/>
    <w:rsid w:val="00DE4F61"/>
    <w:rsid w:val="00DE507D"/>
    <w:rsid w:val="00DE51A7"/>
    <w:rsid w:val="00DE54FA"/>
    <w:rsid w:val="00DE5902"/>
    <w:rsid w:val="00DE5961"/>
    <w:rsid w:val="00DE5FF1"/>
    <w:rsid w:val="00DE636F"/>
    <w:rsid w:val="00DE63C2"/>
    <w:rsid w:val="00DE6869"/>
    <w:rsid w:val="00DE6C6C"/>
    <w:rsid w:val="00DE7038"/>
    <w:rsid w:val="00DE716B"/>
    <w:rsid w:val="00DE7346"/>
    <w:rsid w:val="00DE7816"/>
    <w:rsid w:val="00DE7851"/>
    <w:rsid w:val="00DE79E9"/>
    <w:rsid w:val="00DE7BB8"/>
    <w:rsid w:val="00DE7C17"/>
    <w:rsid w:val="00DE7ECC"/>
    <w:rsid w:val="00DF0349"/>
    <w:rsid w:val="00DF0532"/>
    <w:rsid w:val="00DF0D22"/>
    <w:rsid w:val="00DF1505"/>
    <w:rsid w:val="00DF15F5"/>
    <w:rsid w:val="00DF16A3"/>
    <w:rsid w:val="00DF1D9E"/>
    <w:rsid w:val="00DF2915"/>
    <w:rsid w:val="00DF2A86"/>
    <w:rsid w:val="00DF2B44"/>
    <w:rsid w:val="00DF2BBF"/>
    <w:rsid w:val="00DF2C68"/>
    <w:rsid w:val="00DF34B4"/>
    <w:rsid w:val="00DF3D95"/>
    <w:rsid w:val="00DF3DD8"/>
    <w:rsid w:val="00DF4556"/>
    <w:rsid w:val="00DF4AC0"/>
    <w:rsid w:val="00DF4DB8"/>
    <w:rsid w:val="00DF5348"/>
    <w:rsid w:val="00DF589C"/>
    <w:rsid w:val="00DF5D2A"/>
    <w:rsid w:val="00DF6293"/>
    <w:rsid w:val="00DF6491"/>
    <w:rsid w:val="00DF6B69"/>
    <w:rsid w:val="00DF6E5D"/>
    <w:rsid w:val="00DF7CEB"/>
    <w:rsid w:val="00E00097"/>
    <w:rsid w:val="00E002B1"/>
    <w:rsid w:val="00E008DF"/>
    <w:rsid w:val="00E00A0E"/>
    <w:rsid w:val="00E00A50"/>
    <w:rsid w:val="00E00B78"/>
    <w:rsid w:val="00E00D23"/>
    <w:rsid w:val="00E0132D"/>
    <w:rsid w:val="00E01384"/>
    <w:rsid w:val="00E01625"/>
    <w:rsid w:val="00E01DE4"/>
    <w:rsid w:val="00E01DE9"/>
    <w:rsid w:val="00E01F8C"/>
    <w:rsid w:val="00E02136"/>
    <w:rsid w:val="00E02171"/>
    <w:rsid w:val="00E021EA"/>
    <w:rsid w:val="00E0220F"/>
    <w:rsid w:val="00E02341"/>
    <w:rsid w:val="00E0238F"/>
    <w:rsid w:val="00E0248D"/>
    <w:rsid w:val="00E0257E"/>
    <w:rsid w:val="00E025B8"/>
    <w:rsid w:val="00E02703"/>
    <w:rsid w:val="00E0277A"/>
    <w:rsid w:val="00E0337C"/>
    <w:rsid w:val="00E03810"/>
    <w:rsid w:val="00E03905"/>
    <w:rsid w:val="00E04634"/>
    <w:rsid w:val="00E046B6"/>
    <w:rsid w:val="00E0487F"/>
    <w:rsid w:val="00E04AE1"/>
    <w:rsid w:val="00E04AEF"/>
    <w:rsid w:val="00E04C91"/>
    <w:rsid w:val="00E050F4"/>
    <w:rsid w:val="00E0586D"/>
    <w:rsid w:val="00E05CE3"/>
    <w:rsid w:val="00E0631B"/>
    <w:rsid w:val="00E06F6B"/>
    <w:rsid w:val="00E070F4"/>
    <w:rsid w:val="00E072A7"/>
    <w:rsid w:val="00E0747B"/>
    <w:rsid w:val="00E07A22"/>
    <w:rsid w:val="00E07B6C"/>
    <w:rsid w:val="00E07E49"/>
    <w:rsid w:val="00E07E65"/>
    <w:rsid w:val="00E102C8"/>
    <w:rsid w:val="00E103F4"/>
    <w:rsid w:val="00E10932"/>
    <w:rsid w:val="00E10A0E"/>
    <w:rsid w:val="00E10DA8"/>
    <w:rsid w:val="00E10E44"/>
    <w:rsid w:val="00E11299"/>
    <w:rsid w:val="00E1133C"/>
    <w:rsid w:val="00E1175D"/>
    <w:rsid w:val="00E11C88"/>
    <w:rsid w:val="00E12020"/>
    <w:rsid w:val="00E12432"/>
    <w:rsid w:val="00E1270D"/>
    <w:rsid w:val="00E12E01"/>
    <w:rsid w:val="00E12E4D"/>
    <w:rsid w:val="00E1368F"/>
    <w:rsid w:val="00E13732"/>
    <w:rsid w:val="00E13A01"/>
    <w:rsid w:val="00E13EB8"/>
    <w:rsid w:val="00E1486F"/>
    <w:rsid w:val="00E14FD3"/>
    <w:rsid w:val="00E15246"/>
    <w:rsid w:val="00E15BA6"/>
    <w:rsid w:val="00E15C71"/>
    <w:rsid w:val="00E15DDB"/>
    <w:rsid w:val="00E162EA"/>
    <w:rsid w:val="00E162F0"/>
    <w:rsid w:val="00E165B9"/>
    <w:rsid w:val="00E166BC"/>
    <w:rsid w:val="00E16AEE"/>
    <w:rsid w:val="00E16C7C"/>
    <w:rsid w:val="00E16ED6"/>
    <w:rsid w:val="00E1730D"/>
    <w:rsid w:val="00E17399"/>
    <w:rsid w:val="00E17457"/>
    <w:rsid w:val="00E1774E"/>
    <w:rsid w:val="00E178D1"/>
    <w:rsid w:val="00E179DE"/>
    <w:rsid w:val="00E17E5B"/>
    <w:rsid w:val="00E20459"/>
    <w:rsid w:val="00E205C9"/>
    <w:rsid w:val="00E20901"/>
    <w:rsid w:val="00E20A29"/>
    <w:rsid w:val="00E20AA1"/>
    <w:rsid w:val="00E20CD1"/>
    <w:rsid w:val="00E21058"/>
    <w:rsid w:val="00E21082"/>
    <w:rsid w:val="00E21265"/>
    <w:rsid w:val="00E21895"/>
    <w:rsid w:val="00E21C15"/>
    <w:rsid w:val="00E21D51"/>
    <w:rsid w:val="00E21E70"/>
    <w:rsid w:val="00E21E86"/>
    <w:rsid w:val="00E21E89"/>
    <w:rsid w:val="00E21E97"/>
    <w:rsid w:val="00E22086"/>
    <w:rsid w:val="00E22155"/>
    <w:rsid w:val="00E2219E"/>
    <w:rsid w:val="00E224D3"/>
    <w:rsid w:val="00E2275C"/>
    <w:rsid w:val="00E22C25"/>
    <w:rsid w:val="00E23049"/>
    <w:rsid w:val="00E230AD"/>
    <w:rsid w:val="00E23239"/>
    <w:rsid w:val="00E23889"/>
    <w:rsid w:val="00E23D11"/>
    <w:rsid w:val="00E2405F"/>
    <w:rsid w:val="00E2425F"/>
    <w:rsid w:val="00E24558"/>
    <w:rsid w:val="00E245C5"/>
    <w:rsid w:val="00E2463E"/>
    <w:rsid w:val="00E24656"/>
    <w:rsid w:val="00E2488A"/>
    <w:rsid w:val="00E2504B"/>
    <w:rsid w:val="00E25642"/>
    <w:rsid w:val="00E2573F"/>
    <w:rsid w:val="00E25BC0"/>
    <w:rsid w:val="00E25FE4"/>
    <w:rsid w:val="00E26009"/>
    <w:rsid w:val="00E260B2"/>
    <w:rsid w:val="00E2611E"/>
    <w:rsid w:val="00E262BD"/>
    <w:rsid w:val="00E2666B"/>
    <w:rsid w:val="00E266C1"/>
    <w:rsid w:val="00E2699A"/>
    <w:rsid w:val="00E26EBE"/>
    <w:rsid w:val="00E26EFD"/>
    <w:rsid w:val="00E27498"/>
    <w:rsid w:val="00E27B86"/>
    <w:rsid w:val="00E27BA4"/>
    <w:rsid w:val="00E27CD4"/>
    <w:rsid w:val="00E306ED"/>
    <w:rsid w:val="00E31244"/>
    <w:rsid w:val="00E318A0"/>
    <w:rsid w:val="00E31ACD"/>
    <w:rsid w:val="00E31BB9"/>
    <w:rsid w:val="00E31C1C"/>
    <w:rsid w:val="00E31D9E"/>
    <w:rsid w:val="00E32456"/>
    <w:rsid w:val="00E324D0"/>
    <w:rsid w:val="00E329A4"/>
    <w:rsid w:val="00E32E5F"/>
    <w:rsid w:val="00E333C1"/>
    <w:rsid w:val="00E33578"/>
    <w:rsid w:val="00E335C0"/>
    <w:rsid w:val="00E3378A"/>
    <w:rsid w:val="00E33876"/>
    <w:rsid w:val="00E34049"/>
    <w:rsid w:val="00E3424E"/>
    <w:rsid w:val="00E345C7"/>
    <w:rsid w:val="00E34D1D"/>
    <w:rsid w:val="00E35236"/>
    <w:rsid w:val="00E3532F"/>
    <w:rsid w:val="00E35747"/>
    <w:rsid w:val="00E3621B"/>
    <w:rsid w:val="00E36842"/>
    <w:rsid w:val="00E36C99"/>
    <w:rsid w:val="00E36CF5"/>
    <w:rsid w:val="00E36D18"/>
    <w:rsid w:val="00E36E7B"/>
    <w:rsid w:val="00E37216"/>
    <w:rsid w:val="00E3733B"/>
    <w:rsid w:val="00E37399"/>
    <w:rsid w:val="00E373E0"/>
    <w:rsid w:val="00E37639"/>
    <w:rsid w:val="00E3770F"/>
    <w:rsid w:val="00E37FD1"/>
    <w:rsid w:val="00E40830"/>
    <w:rsid w:val="00E40A6C"/>
    <w:rsid w:val="00E40C88"/>
    <w:rsid w:val="00E40F5F"/>
    <w:rsid w:val="00E41028"/>
    <w:rsid w:val="00E412E2"/>
    <w:rsid w:val="00E41ABC"/>
    <w:rsid w:val="00E4203E"/>
    <w:rsid w:val="00E420C7"/>
    <w:rsid w:val="00E4213B"/>
    <w:rsid w:val="00E4244B"/>
    <w:rsid w:val="00E425B6"/>
    <w:rsid w:val="00E42A4C"/>
    <w:rsid w:val="00E42A9D"/>
    <w:rsid w:val="00E42E28"/>
    <w:rsid w:val="00E42F8B"/>
    <w:rsid w:val="00E43023"/>
    <w:rsid w:val="00E4318C"/>
    <w:rsid w:val="00E4357E"/>
    <w:rsid w:val="00E4388F"/>
    <w:rsid w:val="00E438FD"/>
    <w:rsid w:val="00E44670"/>
    <w:rsid w:val="00E4467E"/>
    <w:rsid w:val="00E447B8"/>
    <w:rsid w:val="00E44D3F"/>
    <w:rsid w:val="00E45098"/>
    <w:rsid w:val="00E45652"/>
    <w:rsid w:val="00E456E0"/>
    <w:rsid w:val="00E45857"/>
    <w:rsid w:val="00E45AC9"/>
    <w:rsid w:val="00E45C9E"/>
    <w:rsid w:val="00E45D8F"/>
    <w:rsid w:val="00E461B9"/>
    <w:rsid w:val="00E461DF"/>
    <w:rsid w:val="00E46246"/>
    <w:rsid w:val="00E462D0"/>
    <w:rsid w:val="00E46682"/>
    <w:rsid w:val="00E47163"/>
    <w:rsid w:val="00E472DA"/>
    <w:rsid w:val="00E47303"/>
    <w:rsid w:val="00E47454"/>
    <w:rsid w:val="00E474D3"/>
    <w:rsid w:val="00E4768E"/>
    <w:rsid w:val="00E47773"/>
    <w:rsid w:val="00E478DA"/>
    <w:rsid w:val="00E47922"/>
    <w:rsid w:val="00E47EAB"/>
    <w:rsid w:val="00E50722"/>
    <w:rsid w:val="00E5097F"/>
    <w:rsid w:val="00E50B9F"/>
    <w:rsid w:val="00E50C4E"/>
    <w:rsid w:val="00E50F34"/>
    <w:rsid w:val="00E510B5"/>
    <w:rsid w:val="00E51202"/>
    <w:rsid w:val="00E51928"/>
    <w:rsid w:val="00E51AF9"/>
    <w:rsid w:val="00E51DA9"/>
    <w:rsid w:val="00E51EDE"/>
    <w:rsid w:val="00E52032"/>
    <w:rsid w:val="00E5242F"/>
    <w:rsid w:val="00E5274E"/>
    <w:rsid w:val="00E529E5"/>
    <w:rsid w:val="00E52A80"/>
    <w:rsid w:val="00E52D56"/>
    <w:rsid w:val="00E53028"/>
    <w:rsid w:val="00E53270"/>
    <w:rsid w:val="00E53290"/>
    <w:rsid w:val="00E535C2"/>
    <w:rsid w:val="00E535EE"/>
    <w:rsid w:val="00E53892"/>
    <w:rsid w:val="00E53B2F"/>
    <w:rsid w:val="00E53DB9"/>
    <w:rsid w:val="00E54880"/>
    <w:rsid w:val="00E548E2"/>
    <w:rsid w:val="00E54AA5"/>
    <w:rsid w:val="00E54F59"/>
    <w:rsid w:val="00E54FB7"/>
    <w:rsid w:val="00E55174"/>
    <w:rsid w:val="00E55974"/>
    <w:rsid w:val="00E55B93"/>
    <w:rsid w:val="00E5613C"/>
    <w:rsid w:val="00E561AE"/>
    <w:rsid w:val="00E566D7"/>
    <w:rsid w:val="00E56FCA"/>
    <w:rsid w:val="00E57042"/>
    <w:rsid w:val="00E57AEB"/>
    <w:rsid w:val="00E57B90"/>
    <w:rsid w:val="00E57C0D"/>
    <w:rsid w:val="00E57C57"/>
    <w:rsid w:val="00E60584"/>
    <w:rsid w:val="00E6085E"/>
    <w:rsid w:val="00E61083"/>
    <w:rsid w:val="00E61139"/>
    <w:rsid w:val="00E6148C"/>
    <w:rsid w:val="00E61523"/>
    <w:rsid w:val="00E6182C"/>
    <w:rsid w:val="00E619D4"/>
    <w:rsid w:val="00E61AAD"/>
    <w:rsid w:val="00E61C93"/>
    <w:rsid w:val="00E62A5F"/>
    <w:rsid w:val="00E62CC5"/>
    <w:rsid w:val="00E62D01"/>
    <w:rsid w:val="00E62D35"/>
    <w:rsid w:val="00E62DA9"/>
    <w:rsid w:val="00E62E7F"/>
    <w:rsid w:val="00E62F79"/>
    <w:rsid w:val="00E6306C"/>
    <w:rsid w:val="00E630DF"/>
    <w:rsid w:val="00E632E0"/>
    <w:rsid w:val="00E63383"/>
    <w:rsid w:val="00E6353E"/>
    <w:rsid w:val="00E638B6"/>
    <w:rsid w:val="00E63D4C"/>
    <w:rsid w:val="00E63EB5"/>
    <w:rsid w:val="00E641DA"/>
    <w:rsid w:val="00E641FA"/>
    <w:rsid w:val="00E642A4"/>
    <w:rsid w:val="00E6473E"/>
    <w:rsid w:val="00E64A4A"/>
    <w:rsid w:val="00E64C2F"/>
    <w:rsid w:val="00E64CB3"/>
    <w:rsid w:val="00E64DCE"/>
    <w:rsid w:val="00E65038"/>
    <w:rsid w:val="00E65126"/>
    <w:rsid w:val="00E65239"/>
    <w:rsid w:val="00E653CD"/>
    <w:rsid w:val="00E65817"/>
    <w:rsid w:val="00E65D7F"/>
    <w:rsid w:val="00E65F9F"/>
    <w:rsid w:val="00E66100"/>
    <w:rsid w:val="00E66125"/>
    <w:rsid w:val="00E66273"/>
    <w:rsid w:val="00E66474"/>
    <w:rsid w:val="00E666EA"/>
    <w:rsid w:val="00E6691B"/>
    <w:rsid w:val="00E66AA1"/>
    <w:rsid w:val="00E66B85"/>
    <w:rsid w:val="00E66B9B"/>
    <w:rsid w:val="00E66D19"/>
    <w:rsid w:val="00E6703E"/>
    <w:rsid w:val="00E67629"/>
    <w:rsid w:val="00E67660"/>
    <w:rsid w:val="00E6784A"/>
    <w:rsid w:val="00E67A1C"/>
    <w:rsid w:val="00E67FC7"/>
    <w:rsid w:val="00E703CC"/>
    <w:rsid w:val="00E70804"/>
    <w:rsid w:val="00E708D1"/>
    <w:rsid w:val="00E71206"/>
    <w:rsid w:val="00E71267"/>
    <w:rsid w:val="00E712DC"/>
    <w:rsid w:val="00E71317"/>
    <w:rsid w:val="00E71699"/>
    <w:rsid w:val="00E71D77"/>
    <w:rsid w:val="00E71DEB"/>
    <w:rsid w:val="00E71FCE"/>
    <w:rsid w:val="00E728E9"/>
    <w:rsid w:val="00E72A1D"/>
    <w:rsid w:val="00E72EFB"/>
    <w:rsid w:val="00E73145"/>
    <w:rsid w:val="00E7374B"/>
    <w:rsid w:val="00E73815"/>
    <w:rsid w:val="00E738EC"/>
    <w:rsid w:val="00E7423B"/>
    <w:rsid w:val="00E744D9"/>
    <w:rsid w:val="00E74980"/>
    <w:rsid w:val="00E74AA6"/>
    <w:rsid w:val="00E74BC1"/>
    <w:rsid w:val="00E74C06"/>
    <w:rsid w:val="00E752F4"/>
    <w:rsid w:val="00E75313"/>
    <w:rsid w:val="00E75466"/>
    <w:rsid w:val="00E75597"/>
    <w:rsid w:val="00E75748"/>
    <w:rsid w:val="00E75BE0"/>
    <w:rsid w:val="00E760E9"/>
    <w:rsid w:val="00E7648B"/>
    <w:rsid w:val="00E76A9B"/>
    <w:rsid w:val="00E76E5D"/>
    <w:rsid w:val="00E76E7F"/>
    <w:rsid w:val="00E76F2C"/>
    <w:rsid w:val="00E772CF"/>
    <w:rsid w:val="00E775A5"/>
    <w:rsid w:val="00E77749"/>
    <w:rsid w:val="00E777CD"/>
    <w:rsid w:val="00E779D5"/>
    <w:rsid w:val="00E801FE"/>
    <w:rsid w:val="00E80550"/>
    <w:rsid w:val="00E80634"/>
    <w:rsid w:val="00E80799"/>
    <w:rsid w:val="00E80802"/>
    <w:rsid w:val="00E809BD"/>
    <w:rsid w:val="00E80C0A"/>
    <w:rsid w:val="00E80E0D"/>
    <w:rsid w:val="00E8107C"/>
    <w:rsid w:val="00E8118B"/>
    <w:rsid w:val="00E815AA"/>
    <w:rsid w:val="00E8199B"/>
    <w:rsid w:val="00E81D1B"/>
    <w:rsid w:val="00E81F62"/>
    <w:rsid w:val="00E8200E"/>
    <w:rsid w:val="00E82055"/>
    <w:rsid w:val="00E82365"/>
    <w:rsid w:val="00E823F8"/>
    <w:rsid w:val="00E82A03"/>
    <w:rsid w:val="00E82D42"/>
    <w:rsid w:val="00E8335E"/>
    <w:rsid w:val="00E8354E"/>
    <w:rsid w:val="00E8373E"/>
    <w:rsid w:val="00E83840"/>
    <w:rsid w:val="00E839C3"/>
    <w:rsid w:val="00E83B74"/>
    <w:rsid w:val="00E83E33"/>
    <w:rsid w:val="00E83EB3"/>
    <w:rsid w:val="00E83F9F"/>
    <w:rsid w:val="00E843D4"/>
    <w:rsid w:val="00E84717"/>
    <w:rsid w:val="00E84A88"/>
    <w:rsid w:val="00E84C34"/>
    <w:rsid w:val="00E84D7D"/>
    <w:rsid w:val="00E84EED"/>
    <w:rsid w:val="00E84F45"/>
    <w:rsid w:val="00E850CA"/>
    <w:rsid w:val="00E854B7"/>
    <w:rsid w:val="00E85507"/>
    <w:rsid w:val="00E85573"/>
    <w:rsid w:val="00E85F93"/>
    <w:rsid w:val="00E863DC"/>
    <w:rsid w:val="00E86682"/>
    <w:rsid w:val="00E8692D"/>
    <w:rsid w:val="00E86E53"/>
    <w:rsid w:val="00E870A4"/>
    <w:rsid w:val="00E872B5"/>
    <w:rsid w:val="00E873B2"/>
    <w:rsid w:val="00E8759F"/>
    <w:rsid w:val="00E87C3D"/>
    <w:rsid w:val="00E87D87"/>
    <w:rsid w:val="00E87F38"/>
    <w:rsid w:val="00E87F43"/>
    <w:rsid w:val="00E9006D"/>
    <w:rsid w:val="00E901E5"/>
    <w:rsid w:val="00E902ED"/>
    <w:rsid w:val="00E903A8"/>
    <w:rsid w:val="00E90607"/>
    <w:rsid w:val="00E90DEA"/>
    <w:rsid w:val="00E91141"/>
    <w:rsid w:val="00E911E7"/>
    <w:rsid w:val="00E914F0"/>
    <w:rsid w:val="00E91847"/>
    <w:rsid w:val="00E919B3"/>
    <w:rsid w:val="00E9209B"/>
    <w:rsid w:val="00E92144"/>
    <w:rsid w:val="00E926F1"/>
    <w:rsid w:val="00E928EA"/>
    <w:rsid w:val="00E92CC7"/>
    <w:rsid w:val="00E92E2B"/>
    <w:rsid w:val="00E938F7"/>
    <w:rsid w:val="00E939A9"/>
    <w:rsid w:val="00E93CEF"/>
    <w:rsid w:val="00E93FA6"/>
    <w:rsid w:val="00E93FED"/>
    <w:rsid w:val="00E9412F"/>
    <w:rsid w:val="00E9422E"/>
    <w:rsid w:val="00E94441"/>
    <w:rsid w:val="00E94728"/>
    <w:rsid w:val="00E94838"/>
    <w:rsid w:val="00E94A1A"/>
    <w:rsid w:val="00E94D5B"/>
    <w:rsid w:val="00E94EC2"/>
    <w:rsid w:val="00E95048"/>
    <w:rsid w:val="00E9515C"/>
    <w:rsid w:val="00E95228"/>
    <w:rsid w:val="00E95498"/>
    <w:rsid w:val="00E956BD"/>
    <w:rsid w:val="00E959EA"/>
    <w:rsid w:val="00E95A10"/>
    <w:rsid w:val="00E95A17"/>
    <w:rsid w:val="00E95C5A"/>
    <w:rsid w:val="00E95C5D"/>
    <w:rsid w:val="00E96338"/>
    <w:rsid w:val="00E96B47"/>
    <w:rsid w:val="00E9792E"/>
    <w:rsid w:val="00E97958"/>
    <w:rsid w:val="00E97ACB"/>
    <w:rsid w:val="00E97D4A"/>
    <w:rsid w:val="00E97EEE"/>
    <w:rsid w:val="00E97FC8"/>
    <w:rsid w:val="00E97FED"/>
    <w:rsid w:val="00EA0143"/>
    <w:rsid w:val="00EA0165"/>
    <w:rsid w:val="00EA0C53"/>
    <w:rsid w:val="00EA0E4D"/>
    <w:rsid w:val="00EA1002"/>
    <w:rsid w:val="00EA16A2"/>
    <w:rsid w:val="00EA1B4A"/>
    <w:rsid w:val="00EA1C2E"/>
    <w:rsid w:val="00EA20F6"/>
    <w:rsid w:val="00EA2117"/>
    <w:rsid w:val="00EA2423"/>
    <w:rsid w:val="00EA27DB"/>
    <w:rsid w:val="00EA2A26"/>
    <w:rsid w:val="00EA2C51"/>
    <w:rsid w:val="00EA2D46"/>
    <w:rsid w:val="00EA2ED0"/>
    <w:rsid w:val="00EA35B1"/>
    <w:rsid w:val="00EA3BE3"/>
    <w:rsid w:val="00EA3D44"/>
    <w:rsid w:val="00EA44F3"/>
    <w:rsid w:val="00EA4501"/>
    <w:rsid w:val="00EA4BAE"/>
    <w:rsid w:val="00EA4DAC"/>
    <w:rsid w:val="00EA5211"/>
    <w:rsid w:val="00EA55D3"/>
    <w:rsid w:val="00EA56DF"/>
    <w:rsid w:val="00EA5966"/>
    <w:rsid w:val="00EA5CBD"/>
    <w:rsid w:val="00EA6216"/>
    <w:rsid w:val="00EA63BA"/>
    <w:rsid w:val="00EA64CA"/>
    <w:rsid w:val="00EA66AF"/>
    <w:rsid w:val="00EA674F"/>
    <w:rsid w:val="00EA6A34"/>
    <w:rsid w:val="00EA7146"/>
    <w:rsid w:val="00EA76C7"/>
    <w:rsid w:val="00EA7B57"/>
    <w:rsid w:val="00EA7C5A"/>
    <w:rsid w:val="00EA7FBB"/>
    <w:rsid w:val="00EB0026"/>
    <w:rsid w:val="00EB003D"/>
    <w:rsid w:val="00EB0567"/>
    <w:rsid w:val="00EB0B2C"/>
    <w:rsid w:val="00EB0FDF"/>
    <w:rsid w:val="00EB105A"/>
    <w:rsid w:val="00EB110C"/>
    <w:rsid w:val="00EB1A22"/>
    <w:rsid w:val="00EB1C79"/>
    <w:rsid w:val="00EB1CBB"/>
    <w:rsid w:val="00EB1D8A"/>
    <w:rsid w:val="00EB22CB"/>
    <w:rsid w:val="00EB23FC"/>
    <w:rsid w:val="00EB244C"/>
    <w:rsid w:val="00EB2517"/>
    <w:rsid w:val="00EB2685"/>
    <w:rsid w:val="00EB273C"/>
    <w:rsid w:val="00EB2A9A"/>
    <w:rsid w:val="00EB2BCD"/>
    <w:rsid w:val="00EB361B"/>
    <w:rsid w:val="00EB3C68"/>
    <w:rsid w:val="00EB3C83"/>
    <w:rsid w:val="00EB3D9E"/>
    <w:rsid w:val="00EB3EAD"/>
    <w:rsid w:val="00EB3F4B"/>
    <w:rsid w:val="00EB4395"/>
    <w:rsid w:val="00EB4765"/>
    <w:rsid w:val="00EB47D0"/>
    <w:rsid w:val="00EB47FA"/>
    <w:rsid w:val="00EB49D5"/>
    <w:rsid w:val="00EB4C2F"/>
    <w:rsid w:val="00EB4E20"/>
    <w:rsid w:val="00EB4EA4"/>
    <w:rsid w:val="00EB50A7"/>
    <w:rsid w:val="00EB519C"/>
    <w:rsid w:val="00EB51B4"/>
    <w:rsid w:val="00EB54AC"/>
    <w:rsid w:val="00EB5970"/>
    <w:rsid w:val="00EB5A3F"/>
    <w:rsid w:val="00EB5A5C"/>
    <w:rsid w:val="00EB5E62"/>
    <w:rsid w:val="00EB5F59"/>
    <w:rsid w:val="00EB5F95"/>
    <w:rsid w:val="00EB6135"/>
    <w:rsid w:val="00EB6693"/>
    <w:rsid w:val="00EB674E"/>
    <w:rsid w:val="00EB6CC1"/>
    <w:rsid w:val="00EB72F8"/>
    <w:rsid w:val="00EB735D"/>
    <w:rsid w:val="00EB73D1"/>
    <w:rsid w:val="00EB7871"/>
    <w:rsid w:val="00EB7884"/>
    <w:rsid w:val="00EB7B1D"/>
    <w:rsid w:val="00EB7B50"/>
    <w:rsid w:val="00EB7BE9"/>
    <w:rsid w:val="00EB7DB6"/>
    <w:rsid w:val="00EB7EA1"/>
    <w:rsid w:val="00EC01BB"/>
    <w:rsid w:val="00EC0664"/>
    <w:rsid w:val="00EC0A7A"/>
    <w:rsid w:val="00EC0C18"/>
    <w:rsid w:val="00EC0C22"/>
    <w:rsid w:val="00EC10A5"/>
    <w:rsid w:val="00EC12AA"/>
    <w:rsid w:val="00EC13B7"/>
    <w:rsid w:val="00EC14C8"/>
    <w:rsid w:val="00EC1780"/>
    <w:rsid w:val="00EC182A"/>
    <w:rsid w:val="00EC1D28"/>
    <w:rsid w:val="00EC1DF7"/>
    <w:rsid w:val="00EC2098"/>
    <w:rsid w:val="00EC220C"/>
    <w:rsid w:val="00EC2852"/>
    <w:rsid w:val="00EC2E9B"/>
    <w:rsid w:val="00EC2F9C"/>
    <w:rsid w:val="00EC317F"/>
    <w:rsid w:val="00EC332C"/>
    <w:rsid w:val="00EC39B7"/>
    <w:rsid w:val="00EC431C"/>
    <w:rsid w:val="00EC47D6"/>
    <w:rsid w:val="00EC4AA4"/>
    <w:rsid w:val="00EC4E3A"/>
    <w:rsid w:val="00EC4F19"/>
    <w:rsid w:val="00EC5282"/>
    <w:rsid w:val="00EC5338"/>
    <w:rsid w:val="00EC5419"/>
    <w:rsid w:val="00EC5498"/>
    <w:rsid w:val="00EC5500"/>
    <w:rsid w:val="00EC56D8"/>
    <w:rsid w:val="00EC59CB"/>
    <w:rsid w:val="00EC5E6A"/>
    <w:rsid w:val="00EC5EC1"/>
    <w:rsid w:val="00EC66CE"/>
    <w:rsid w:val="00EC6AD9"/>
    <w:rsid w:val="00EC6AFE"/>
    <w:rsid w:val="00EC6B48"/>
    <w:rsid w:val="00EC6C00"/>
    <w:rsid w:val="00EC6CD4"/>
    <w:rsid w:val="00EC7356"/>
    <w:rsid w:val="00EC778D"/>
    <w:rsid w:val="00EC7AD1"/>
    <w:rsid w:val="00EC7B67"/>
    <w:rsid w:val="00EC7CDE"/>
    <w:rsid w:val="00EC7CE5"/>
    <w:rsid w:val="00EC7D5E"/>
    <w:rsid w:val="00ECE461"/>
    <w:rsid w:val="00ED0050"/>
    <w:rsid w:val="00ED0612"/>
    <w:rsid w:val="00ED0DDF"/>
    <w:rsid w:val="00ED1197"/>
    <w:rsid w:val="00ED1902"/>
    <w:rsid w:val="00ED1A1E"/>
    <w:rsid w:val="00ED2193"/>
    <w:rsid w:val="00ED2244"/>
    <w:rsid w:val="00ED230B"/>
    <w:rsid w:val="00ED2332"/>
    <w:rsid w:val="00ED2370"/>
    <w:rsid w:val="00ED2548"/>
    <w:rsid w:val="00ED25DC"/>
    <w:rsid w:val="00ED264B"/>
    <w:rsid w:val="00ED2850"/>
    <w:rsid w:val="00ED2A32"/>
    <w:rsid w:val="00ED2A60"/>
    <w:rsid w:val="00ED2D2A"/>
    <w:rsid w:val="00ED346C"/>
    <w:rsid w:val="00ED39EC"/>
    <w:rsid w:val="00ED4194"/>
    <w:rsid w:val="00ED4566"/>
    <w:rsid w:val="00ED4775"/>
    <w:rsid w:val="00ED4AC5"/>
    <w:rsid w:val="00ED4D03"/>
    <w:rsid w:val="00ED4E92"/>
    <w:rsid w:val="00ED521E"/>
    <w:rsid w:val="00ED5631"/>
    <w:rsid w:val="00ED568A"/>
    <w:rsid w:val="00ED583A"/>
    <w:rsid w:val="00ED58A9"/>
    <w:rsid w:val="00ED5C20"/>
    <w:rsid w:val="00ED5CD8"/>
    <w:rsid w:val="00ED5E53"/>
    <w:rsid w:val="00ED5EAB"/>
    <w:rsid w:val="00ED6327"/>
    <w:rsid w:val="00ED638E"/>
    <w:rsid w:val="00ED6808"/>
    <w:rsid w:val="00ED6FE4"/>
    <w:rsid w:val="00ED7197"/>
    <w:rsid w:val="00ED72EF"/>
    <w:rsid w:val="00ED7892"/>
    <w:rsid w:val="00ED7D68"/>
    <w:rsid w:val="00ED7F91"/>
    <w:rsid w:val="00EE04C3"/>
    <w:rsid w:val="00EE0713"/>
    <w:rsid w:val="00EE076E"/>
    <w:rsid w:val="00EE0C87"/>
    <w:rsid w:val="00EE0E0F"/>
    <w:rsid w:val="00EE13B6"/>
    <w:rsid w:val="00EE182C"/>
    <w:rsid w:val="00EE1B31"/>
    <w:rsid w:val="00EE1FAF"/>
    <w:rsid w:val="00EE2048"/>
    <w:rsid w:val="00EE2A2F"/>
    <w:rsid w:val="00EE2F66"/>
    <w:rsid w:val="00EE343C"/>
    <w:rsid w:val="00EE345D"/>
    <w:rsid w:val="00EE376A"/>
    <w:rsid w:val="00EE39C4"/>
    <w:rsid w:val="00EE3E10"/>
    <w:rsid w:val="00EE3FFB"/>
    <w:rsid w:val="00EE41CB"/>
    <w:rsid w:val="00EE42DC"/>
    <w:rsid w:val="00EE4885"/>
    <w:rsid w:val="00EE4A56"/>
    <w:rsid w:val="00EE4CF5"/>
    <w:rsid w:val="00EE4D4F"/>
    <w:rsid w:val="00EE4D9C"/>
    <w:rsid w:val="00EE4E7E"/>
    <w:rsid w:val="00EE5135"/>
    <w:rsid w:val="00EE51C9"/>
    <w:rsid w:val="00EE53D1"/>
    <w:rsid w:val="00EE56DF"/>
    <w:rsid w:val="00EE5AB1"/>
    <w:rsid w:val="00EE6372"/>
    <w:rsid w:val="00EE6479"/>
    <w:rsid w:val="00EE6530"/>
    <w:rsid w:val="00EE653F"/>
    <w:rsid w:val="00EE684E"/>
    <w:rsid w:val="00EE68C0"/>
    <w:rsid w:val="00EE69DB"/>
    <w:rsid w:val="00EE6B01"/>
    <w:rsid w:val="00EE6CFC"/>
    <w:rsid w:val="00EE7077"/>
    <w:rsid w:val="00EE74B9"/>
    <w:rsid w:val="00EE7523"/>
    <w:rsid w:val="00EE78CE"/>
    <w:rsid w:val="00EE791F"/>
    <w:rsid w:val="00EE7FB6"/>
    <w:rsid w:val="00EF0270"/>
    <w:rsid w:val="00EF0D0D"/>
    <w:rsid w:val="00EF0DF3"/>
    <w:rsid w:val="00EF128F"/>
    <w:rsid w:val="00EF160D"/>
    <w:rsid w:val="00EF17BB"/>
    <w:rsid w:val="00EF17C4"/>
    <w:rsid w:val="00EF192D"/>
    <w:rsid w:val="00EF1C2D"/>
    <w:rsid w:val="00EF1C38"/>
    <w:rsid w:val="00EF1D7C"/>
    <w:rsid w:val="00EF218D"/>
    <w:rsid w:val="00EF23D7"/>
    <w:rsid w:val="00EF24D1"/>
    <w:rsid w:val="00EF25E0"/>
    <w:rsid w:val="00EF28EE"/>
    <w:rsid w:val="00EF2B78"/>
    <w:rsid w:val="00EF3015"/>
    <w:rsid w:val="00EF3150"/>
    <w:rsid w:val="00EF31F8"/>
    <w:rsid w:val="00EF3757"/>
    <w:rsid w:val="00EF39DF"/>
    <w:rsid w:val="00EF40E5"/>
    <w:rsid w:val="00EF4442"/>
    <w:rsid w:val="00EF477C"/>
    <w:rsid w:val="00EF4902"/>
    <w:rsid w:val="00EF499E"/>
    <w:rsid w:val="00EF4A8B"/>
    <w:rsid w:val="00EF4C52"/>
    <w:rsid w:val="00EF4DDD"/>
    <w:rsid w:val="00EF506C"/>
    <w:rsid w:val="00EF57F9"/>
    <w:rsid w:val="00EF59B2"/>
    <w:rsid w:val="00EF5BE1"/>
    <w:rsid w:val="00EF6072"/>
    <w:rsid w:val="00EF68C9"/>
    <w:rsid w:val="00EF68F4"/>
    <w:rsid w:val="00EF6AD2"/>
    <w:rsid w:val="00EF7008"/>
    <w:rsid w:val="00EF7068"/>
    <w:rsid w:val="00EF71D8"/>
    <w:rsid w:val="00EF75D6"/>
    <w:rsid w:val="00EF7684"/>
    <w:rsid w:val="00F000F8"/>
    <w:rsid w:val="00F00504"/>
    <w:rsid w:val="00F00586"/>
    <w:rsid w:val="00F006A3"/>
    <w:rsid w:val="00F0076A"/>
    <w:rsid w:val="00F00816"/>
    <w:rsid w:val="00F0098B"/>
    <w:rsid w:val="00F00A28"/>
    <w:rsid w:val="00F00B1A"/>
    <w:rsid w:val="00F01197"/>
    <w:rsid w:val="00F019E4"/>
    <w:rsid w:val="00F01BE2"/>
    <w:rsid w:val="00F01ED3"/>
    <w:rsid w:val="00F02114"/>
    <w:rsid w:val="00F024DB"/>
    <w:rsid w:val="00F028E9"/>
    <w:rsid w:val="00F02F05"/>
    <w:rsid w:val="00F03560"/>
    <w:rsid w:val="00F041B1"/>
    <w:rsid w:val="00F0426D"/>
    <w:rsid w:val="00F04A64"/>
    <w:rsid w:val="00F04E79"/>
    <w:rsid w:val="00F04FB1"/>
    <w:rsid w:val="00F0511B"/>
    <w:rsid w:val="00F053C1"/>
    <w:rsid w:val="00F056DA"/>
    <w:rsid w:val="00F057F7"/>
    <w:rsid w:val="00F05A52"/>
    <w:rsid w:val="00F05BA5"/>
    <w:rsid w:val="00F065DA"/>
    <w:rsid w:val="00F06A43"/>
    <w:rsid w:val="00F06E2F"/>
    <w:rsid w:val="00F0715C"/>
    <w:rsid w:val="00F07720"/>
    <w:rsid w:val="00F07DA1"/>
    <w:rsid w:val="00F07EFC"/>
    <w:rsid w:val="00F1000D"/>
    <w:rsid w:val="00F1010B"/>
    <w:rsid w:val="00F10611"/>
    <w:rsid w:val="00F1088F"/>
    <w:rsid w:val="00F10D1A"/>
    <w:rsid w:val="00F1119B"/>
    <w:rsid w:val="00F11670"/>
    <w:rsid w:val="00F11A63"/>
    <w:rsid w:val="00F11AB6"/>
    <w:rsid w:val="00F11CAC"/>
    <w:rsid w:val="00F11EDC"/>
    <w:rsid w:val="00F11EF7"/>
    <w:rsid w:val="00F11F83"/>
    <w:rsid w:val="00F11FCC"/>
    <w:rsid w:val="00F12328"/>
    <w:rsid w:val="00F125B2"/>
    <w:rsid w:val="00F128C4"/>
    <w:rsid w:val="00F12919"/>
    <w:rsid w:val="00F1295C"/>
    <w:rsid w:val="00F1299A"/>
    <w:rsid w:val="00F12DF2"/>
    <w:rsid w:val="00F1311F"/>
    <w:rsid w:val="00F13278"/>
    <w:rsid w:val="00F1334B"/>
    <w:rsid w:val="00F13452"/>
    <w:rsid w:val="00F13A0D"/>
    <w:rsid w:val="00F1439E"/>
    <w:rsid w:val="00F14BD6"/>
    <w:rsid w:val="00F14E04"/>
    <w:rsid w:val="00F1532F"/>
    <w:rsid w:val="00F1533D"/>
    <w:rsid w:val="00F156E9"/>
    <w:rsid w:val="00F15C8B"/>
    <w:rsid w:val="00F15CB8"/>
    <w:rsid w:val="00F15E05"/>
    <w:rsid w:val="00F160F3"/>
    <w:rsid w:val="00F1625E"/>
    <w:rsid w:val="00F1689F"/>
    <w:rsid w:val="00F17748"/>
    <w:rsid w:val="00F177EF"/>
    <w:rsid w:val="00F17AB5"/>
    <w:rsid w:val="00F200E4"/>
    <w:rsid w:val="00F20206"/>
    <w:rsid w:val="00F2105A"/>
    <w:rsid w:val="00F210D8"/>
    <w:rsid w:val="00F214FB"/>
    <w:rsid w:val="00F21946"/>
    <w:rsid w:val="00F21A2A"/>
    <w:rsid w:val="00F21A32"/>
    <w:rsid w:val="00F21BEA"/>
    <w:rsid w:val="00F2208A"/>
    <w:rsid w:val="00F22AC8"/>
    <w:rsid w:val="00F231AB"/>
    <w:rsid w:val="00F23225"/>
    <w:rsid w:val="00F233AB"/>
    <w:rsid w:val="00F2346C"/>
    <w:rsid w:val="00F23551"/>
    <w:rsid w:val="00F23827"/>
    <w:rsid w:val="00F23DB7"/>
    <w:rsid w:val="00F23DDD"/>
    <w:rsid w:val="00F23E7D"/>
    <w:rsid w:val="00F23EB6"/>
    <w:rsid w:val="00F24077"/>
    <w:rsid w:val="00F2415E"/>
    <w:rsid w:val="00F242AA"/>
    <w:rsid w:val="00F24719"/>
    <w:rsid w:val="00F249F0"/>
    <w:rsid w:val="00F24C7E"/>
    <w:rsid w:val="00F24EE4"/>
    <w:rsid w:val="00F251DD"/>
    <w:rsid w:val="00F251EC"/>
    <w:rsid w:val="00F257E2"/>
    <w:rsid w:val="00F25AD7"/>
    <w:rsid w:val="00F25CEF"/>
    <w:rsid w:val="00F25D3F"/>
    <w:rsid w:val="00F25E97"/>
    <w:rsid w:val="00F26391"/>
    <w:rsid w:val="00F26818"/>
    <w:rsid w:val="00F26EC1"/>
    <w:rsid w:val="00F27100"/>
    <w:rsid w:val="00F27153"/>
    <w:rsid w:val="00F27837"/>
    <w:rsid w:val="00F27C80"/>
    <w:rsid w:val="00F30139"/>
    <w:rsid w:val="00F30459"/>
    <w:rsid w:val="00F304A7"/>
    <w:rsid w:val="00F30769"/>
    <w:rsid w:val="00F308A3"/>
    <w:rsid w:val="00F30974"/>
    <w:rsid w:val="00F30AC2"/>
    <w:rsid w:val="00F30C4A"/>
    <w:rsid w:val="00F30D37"/>
    <w:rsid w:val="00F3110D"/>
    <w:rsid w:val="00F311A4"/>
    <w:rsid w:val="00F314FD"/>
    <w:rsid w:val="00F31B19"/>
    <w:rsid w:val="00F3227A"/>
    <w:rsid w:val="00F32874"/>
    <w:rsid w:val="00F32C30"/>
    <w:rsid w:val="00F32E0A"/>
    <w:rsid w:val="00F32EA1"/>
    <w:rsid w:val="00F33080"/>
    <w:rsid w:val="00F33275"/>
    <w:rsid w:val="00F335F7"/>
    <w:rsid w:val="00F33683"/>
    <w:rsid w:val="00F33ED6"/>
    <w:rsid w:val="00F34274"/>
    <w:rsid w:val="00F343E0"/>
    <w:rsid w:val="00F34E8D"/>
    <w:rsid w:val="00F3500C"/>
    <w:rsid w:val="00F354D6"/>
    <w:rsid w:val="00F358A0"/>
    <w:rsid w:val="00F35AE0"/>
    <w:rsid w:val="00F35FC9"/>
    <w:rsid w:val="00F362D9"/>
    <w:rsid w:val="00F36653"/>
    <w:rsid w:val="00F36998"/>
    <w:rsid w:val="00F36DDE"/>
    <w:rsid w:val="00F37034"/>
    <w:rsid w:val="00F3703E"/>
    <w:rsid w:val="00F3704C"/>
    <w:rsid w:val="00F37514"/>
    <w:rsid w:val="00F375D3"/>
    <w:rsid w:val="00F3764D"/>
    <w:rsid w:val="00F376E2"/>
    <w:rsid w:val="00F379D7"/>
    <w:rsid w:val="00F379FD"/>
    <w:rsid w:val="00F37A26"/>
    <w:rsid w:val="00F37C2A"/>
    <w:rsid w:val="00F37EB4"/>
    <w:rsid w:val="00F4031D"/>
    <w:rsid w:val="00F403BF"/>
    <w:rsid w:val="00F40869"/>
    <w:rsid w:val="00F40C5F"/>
    <w:rsid w:val="00F40C87"/>
    <w:rsid w:val="00F40CB6"/>
    <w:rsid w:val="00F40D99"/>
    <w:rsid w:val="00F40DCE"/>
    <w:rsid w:val="00F40F19"/>
    <w:rsid w:val="00F40FF9"/>
    <w:rsid w:val="00F410AE"/>
    <w:rsid w:val="00F4110C"/>
    <w:rsid w:val="00F411D3"/>
    <w:rsid w:val="00F4121A"/>
    <w:rsid w:val="00F41732"/>
    <w:rsid w:val="00F41904"/>
    <w:rsid w:val="00F41B9B"/>
    <w:rsid w:val="00F41DBB"/>
    <w:rsid w:val="00F4201F"/>
    <w:rsid w:val="00F424FF"/>
    <w:rsid w:val="00F42522"/>
    <w:rsid w:val="00F4280D"/>
    <w:rsid w:val="00F42E2C"/>
    <w:rsid w:val="00F42FCF"/>
    <w:rsid w:val="00F430F4"/>
    <w:rsid w:val="00F434A2"/>
    <w:rsid w:val="00F435C5"/>
    <w:rsid w:val="00F436D3"/>
    <w:rsid w:val="00F43732"/>
    <w:rsid w:val="00F43D19"/>
    <w:rsid w:val="00F43E80"/>
    <w:rsid w:val="00F43F71"/>
    <w:rsid w:val="00F4465A"/>
    <w:rsid w:val="00F448C9"/>
    <w:rsid w:val="00F44A72"/>
    <w:rsid w:val="00F44B9D"/>
    <w:rsid w:val="00F44D12"/>
    <w:rsid w:val="00F45040"/>
    <w:rsid w:val="00F452BB"/>
    <w:rsid w:val="00F4531E"/>
    <w:rsid w:val="00F45A78"/>
    <w:rsid w:val="00F45BA5"/>
    <w:rsid w:val="00F45D1D"/>
    <w:rsid w:val="00F45E66"/>
    <w:rsid w:val="00F45F11"/>
    <w:rsid w:val="00F46831"/>
    <w:rsid w:val="00F47059"/>
    <w:rsid w:val="00F475C1"/>
    <w:rsid w:val="00F477C2"/>
    <w:rsid w:val="00F47C8F"/>
    <w:rsid w:val="00F47DEE"/>
    <w:rsid w:val="00F47ED7"/>
    <w:rsid w:val="00F50129"/>
    <w:rsid w:val="00F506F0"/>
    <w:rsid w:val="00F50729"/>
    <w:rsid w:val="00F507D1"/>
    <w:rsid w:val="00F50AD9"/>
    <w:rsid w:val="00F50C4A"/>
    <w:rsid w:val="00F50CE9"/>
    <w:rsid w:val="00F510FE"/>
    <w:rsid w:val="00F511C3"/>
    <w:rsid w:val="00F512B4"/>
    <w:rsid w:val="00F517DB"/>
    <w:rsid w:val="00F51A18"/>
    <w:rsid w:val="00F51B18"/>
    <w:rsid w:val="00F51C73"/>
    <w:rsid w:val="00F51C79"/>
    <w:rsid w:val="00F51F94"/>
    <w:rsid w:val="00F52166"/>
    <w:rsid w:val="00F522A7"/>
    <w:rsid w:val="00F52992"/>
    <w:rsid w:val="00F52A83"/>
    <w:rsid w:val="00F52C7E"/>
    <w:rsid w:val="00F52D01"/>
    <w:rsid w:val="00F52EF9"/>
    <w:rsid w:val="00F52FAD"/>
    <w:rsid w:val="00F53452"/>
    <w:rsid w:val="00F53D20"/>
    <w:rsid w:val="00F53D7B"/>
    <w:rsid w:val="00F53F28"/>
    <w:rsid w:val="00F5435F"/>
    <w:rsid w:val="00F543E1"/>
    <w:rsid w:val="00F54578"/>
    <w:rsid w:val="00F54688"/>
    <w:rsid w:val="00F54ABE"/>
    <w:rsid w:val="00F55084"/>
    <w:rsid w:val="00F55E73"/>
    <w:rsid w:val="00F560F2"/>
    <w:rsid w:val="00F563AC"/>
    <w:rsid w:val="00F569AE"/>
    <w:rsid w:val="00F56CEB"/>
    <w:rsid w:val="00F56E75"/>
    <w:rsid w:val="00F5798A"/>
    <w:rsid w:val="00F57A4B"/>
    <w:rsid w:val="00F57F44"/>
    <w:rsid w:val="00F60466"/>
    <w:rsid w:val="00F60914"/>
    <w:rsid w:val="00F6092A"/>
    <w:rsid w:val="00F60A46"/>
    <w:rsid w:val="00F60B89"/>
    <w:rsid w:val="00F60CD1"/>
    <w:rsid w:val="00F60D90"/>
    <w:rsid w:val="00F60FC4"/>
    <w:rsid w:val="00F60FE8"/>
    <w:rsid w:val="00F6100E"/>
    <w:rsid w:val="00F61072"/>
    <w:rsid w:val="00F61265"/>
    <w:rsid w:val="00F61516"/>
    <w:rsid w:val="00F61762"/>
    <w:rsid w:val="00F61793"/>
    <w:rsid w:val="00F61B4D"/>
    <w:rsid w:val="00F61DDA"/>
    <w:rsid w:val="00F61E67"/>
    <w:rsid w:val="00F62130"/>
    <w:rsid w:val="00F6224F"/>
    <w:rsid w:val="00F62267"/>
    <w:rsid w:val="00F623DE"/>
    <w:rsid w:val="00F62A28"/>
    <w:rsid w:val="00F62CB1"/>
    <w:rsid w:val="00F62DC5"/>
    <w:rsid w:val="00F633FD"/>
    <w:rsid w:val="00F6346E"/>
    <w:rsid w:val="00F634BB"/>
    <w:rsid w:val="00F63571"/>
    <w:rsid w:val="00F63708"/>
    <w:rsid w:val="00F63B7A"/>
    <w:rsid w:val="00F63B96"/>
    <w:rsid w:val="00F63EE3"/>
    <w:rsid w:val="00F64B19"/>
    <w:rsid w:val="00F64C1D"/>
    <w:rsid w:val="00F64CC9"/>
    <w:rsid w:val="00F64CDB"/>
    <w:rsid w:val="00F65235"/>
    <w:rsid w:val="00F65779"/>
    <w:rsid w:val="00F659F0"/>
    <w:rsid w:val="00F661D7"/>
    <w:rsid w:val="00F6621D"/>
    <w:rsid w:val="00F6633F"/>
    <w:rsid w:val="00F664A4"/>
    <w:rsid w:val="00F6652F"/>
    <w:rsid w:val="00F668BA"/>
    <w:rsid w:val="00F66E20"/>
    <w:rsid w:val="00F66FA4"/>
    <w:rsid w:val="00F67390"/>
    <w:rsid w:val="00F674DA"/>
    <w:rsid w:val="00F676A2"/>
    <w:rsid w:val="00F67927"/>
    <w:rsid w:val="00F679EE"/>
    <w:rsid w:val="00F67B35"/>
    <w:rsid w:val="00F67DC1"/>
    <w:rsid w:val="00F67FD5"/>
    <w:rsid w:val="00F7016E"/>
    <w:rsid w:val="00F702F6"/>
    <w:rsid w:val="00F70D9F"/>
    <w:rsid w:val="00F70E1E"/>
    <w:rsid w:val="00F70EA2"/>
    <w:rsid w:val="00F70F8A"/>
    <w:rsid w:val="00F71068"/>
    <w:rsid w:val="00F71292"/>
    <w:rsid w:val="00F717AD"/>
    <w:rsid w:val="00F71D15"/>
    <w:rsid w:val="00F71F83"/>
    <w:rsid w:val="00F7211F"/>
    <w:rsid w:val="00F72337"/>
    <w:rsid w:val="00F724F1"/>
    <w:rsid w:val="00F729D4"/>
    <w:rsid w:val="00F7332B"/>
    <w:rsid w:val="00F734FE"/>
    <w:rsid w:val="00F737E5"/>
    <w:rsid w:val="00F738D9"/>
    <w:rsid w:val="00F73DDA"/>
    <w:rsid w:val="00F740A6"/>
    <w:rsid w:val="00F741EF"/>
    <w:rsid w:val="00F74405"/>
    <w:rsid w:val="00F74A75"/>
    <w:rsid w:val="00F74B5A"/>
    <w:rsid w:val="00F74BBD"/>
    <w:rsid w:val="00F74F97"/>
    <w:rsid w:val="00F75654"/>
    <w:rsid w:val="00F75697"/>
    <w:rsid w:val="00F75970"/>
    <w:rsid w:val="00F76532"/>
    <w:rsid w:val="00F76673"/>
    <w:rsid w:val="00F768B8"/>
    <w:rsid w:val="00F76AE0"/>
    <w:rsid w:val="00F76C9D"/>
    <w:rsid w:val="00F76CEF"/>
    <w:rsid w:val="00F76F47"/>
    <w:rsid w:val="00F7724F"/>
    <w:rsid w:val="00F772E7"/>
    <w:rsid w:val="00F776C1"/>
    <w:rsid w:val="00F77751"/>
    <w:rsid w:val="00F779D6"/>
    <w:rsid w:val="00F77B80"/>
    <w:rsid w:val="00F77CA4"/>
    <w:rsid w:val="00F77CCB"/>
    <w:rsid w:val="00F77D39"/>
    <w:rsid w:val="00F800D5"/>
    <w:rsid w:val="00F8043B"/>
    <w:rsid w:val="00F8049A"/>
    <w:rsid w:val="00F804F0"/>
    <w:rsid w:val="00F80732"/>
    <w:rsid w:val="00F813AF"/>
    <w:rsid w:val="00F81697"/>
    <w:rsid w:val="00F81AB2"/>
    <w:rsid w:val="00F81B6D"/>
    <w:rsid w:val="00F81C2C"/>
    <w:rsid w:val="00F824C5"/>
    <w:rsid w:val="00F8258E"/>
    <w:rsid w:val="00F829C8"/>
    <w:rsid w:val="00F82A47"/>
    <w:rsid w:val="00F82BD0"/>
    <w:rsid w:val="00F82C2C"/>
    <w:rsid w:val="00F82CDB"/>
    <w:rsid w:val="00F82D76"/>
    <w:rsid w:val="00F82F46"/>
    <w:rsid w:val="00F82F5D"/>
    <w:rsid w:val="00F834AD"/>
    <w:rsid w:val="00F834EA"/>
    <w:rsid w:val="00F835B8"/>
    <w:rsid w:val="00F83648"/>
    <w:rsid w:val="00F83896"/>
    <w:rsid w:val="00F83CC1"/>
    <w:rsid w:val="00F84178"/>
    <w:rsid w:val="00F84E69"/>
    <w:rsid w:val="00F85115"/>
    <w:rsid w:val="00F8517E"/>
    <w:rsid w:val="00F851C5"/>
    <w:rsid w:val="00F853BC"/>
    <w:rsid w:val="00F853C0"/>
    <w:rsid w:val="00F8549E"/>
    <w:rsid w:val="00F85913"/>
    <w:rsid w:val="00F85C05"/>
    <w:rsid w:val="00F8641E"/>
    <w:rsid w:val="00F864E2"/>
    <w:rsid w:val="00F86761"/>
    <w:rsid w:val="00F868F3"/>
    <w:rsid w:val="00F86A54"/>
    <w:rsid w:val="00F87115"/>
    <w:rsid w:val="00F87814"/>
    <w:rsid w:val="00F8798D"/>
    <w:rsid w:val="00F87A35"/>
    <w:rsid w:val="00F87F45"/>
    <w:rsid w:val="00F9015A"/>
    <w:rsid w:val="00F9075A"/>
    <w:rsid w:val="00F91536"/>
    <w:rsid w:val="00F917D1"/>
    <w:rsid w:val="00F917D9"/>
    <w:rsid w:val="00F91AF9"/>
    <w:rsid w:val="00F91B11"/>
    <w:rsid w:val="00F91BAF"/>
    <w:rsid w:val="00F91BB1"/>
    <w:rsid w:val="00F91F7A"/>
    <w:rsid w:val="00F9257B"/>
    <w:rsid w:val="00F92654"/>
    <w:rsid w:val="00F926E0"/>
    <w:rsid w:val="00F92BBF"/>
    <w:rsid w:val="00F92D75"/>
    <w:rsid w:val="00F930E0"/>
    <w:rsid w:val="00F933D6"/>
    <w:rsid w:val="00F937A2"/>
    <w:rsid w:val="00F937A3"/>
    <w:rsid w:val="00F93813"/>
    <w:rsid w:val="00F93C19"/>
    <w:rsid w:val="00F93D10"/>
    <w:rsid w:val="00F93DC4"/>
    <w:rsid w:val="00F93F0A"/>
    <w:rsid w:val="00F93F38"/>
    <w:rsid w:val="00F94031"/>
    <w:rsid w:val="00F94572"/>
    <w:rsid w:val="00F948EF"/>
    <w:rsid w:val="00F94A9E"/>
    <w:rsid w:val="00F94C1D"/>
    <w:rsid w:val="00F94F01"/>
    <w:rsid w:val="00F94FBC"/>
    <w:rsid w:val="00F95838"/>
    <w:rsid w:val="00F958FF"/>
    <w:rsid w:val="00F95CB3"/>
    <w:rsid w:val="00F96046"/>
    <w:rsid w:val="00F9634D"/>
    <w:rsid w:val="00F9659D"/>
    <w:rsid w:val="00F9689B"/>
    <w:rsid w:val="00F96922"/>
    <w:rsid w:val="00F969BD"/>
    <w:rsid w:val="00F969C1"/>
    <w:rsid w:val="00F96EB6"/>
    <w:rsid w:val="00F97027"/>
    <w:rsid w:val="00F9737D"/>
    <w:rsid w:val="00F973E8"/>
    <w:rsid w:val="00F97FEB"/>
    <w:rsid w:val="00FA0119"/>
    <w:rsid w:val="00FA069E"/>
    <w:rsid w:val="00FA07AE"/>
    <w:rsid w:val="00FA0C3F"/>
    <w:rsid w:val="00FA0D66"/>
    <w:rsid w:val="00FA1002"/>
    <w:rsid w:val="00FA10A3"/>
    <w:rsid w:val="00FA141F"/>
    <w:rsid w:val="00FA15C9"/>
    <w:rsid w:val="00FA15F9"/>
    <w:rsid w:val="00FA18D7"/>
    <w:rsid w:val="00FA1CAC"/>
    <w:rsid w:val="00FA2115"/>
    <w:rsid w:val="00FA21D8"/>
    <w:rsid w:val="00FA25BB"/>
    <w:rsid w:val="00FA2755"/>
    <w:rsid w:val="00FA28B3"/>
    <w:rsid w:val="00FA297B"/>
    <w:rsid w:val="00FA2A72"/>
    <w:rsid w:val="00FA300D"/>
    <w:rsid w:val="00FA304B"/>
    <w:rsid w:val="00FA351F"/>
    <w:rsid w:val="00FA36B3"/>
    <w:rsid w:val="00FA380B"/>
    <w:rsid w:val="00FA410D"/>
    <w:rsid w:val="00FA43C7"/>
    <w:rsid w:val="00FA454F"/>
    <w:rsid w:val="00FA484D"/>
    <w:rsid w:val="00FA4AEF"/>
    <w:rsid w:val="00FA5012"/>
    <w:rsid w:val="00FA56E6"/>
    <w:rsid w:val="00FA5F3F"/>
    <w:rsid w:val="00FA5F51"/>
    <w:rsid w:val="00FA5FDB"/>
    <w:rsid w:val="00FA6594"/>
    <w:rsid w:val="00FA69C9"/>
    <w:rsid w:val="00FA6BB4"/>
    <w:rsid w:val="00FA6D31"/>
    <w:rsid w:val="00FA6F45"/>
    <w:rsid w:val="00FA701F"/>
    <w:rsid w:val="00FA7894"/>
    <w:rsid w:val="00FA7980"/>
    <w:rsid w:val="00FA79F8"/>
    <w:rsid w:val="00FA7BCB"/>
    <w:rsid w:val="00FA7CB1"/>
    <w:rsid w:val="00FB03BD"/>
    <w:rsid w:val="00FB12FB"/>
    <w:rsid w:val="00FB1364"/>
    <w:rsid w:val="00FB1565"/>
    <w:rsid w:val="00FB188C"/>
    <w:rsid w:val="00FB1D0C"/>
    <w:rsid w:val="00FB213B"/>
    <w:rsid w:val="00FB2359"/>
    <w:rsid w:val="00FB2427"/>
    <w:rsid w:val="00FB28A0"/>
    <w:rsid w:val="00FB2C86"/>
    <w:rsid w:val="00FB2CB4"/>
    <w:rsid w:val="00FB3B43"/>
    <w:rsid w:val="00FB3C5D"/>
    <w:rsid w:val="00FB3DDE"/>
    <w:rsid w:val="00FB43B7"/>
    <w:rsid w:val="00FB4579"/>
    <w:rsid w:val="00FB4703"/>
    <w:rsid w:val="00FB4739"/>
    <w:rsid w:val="00FB4A40"/>
    <w:rsid w:val="00FB4A6F"/>
    <w:rsid w:val="00FB4B3E"/>
    <w:rsid w:val="00FB4B44"/>
    <w:rsid w:val="00FB4E48"/>
    <w:rsid w:val="00FB58B2"/>
    <w:rsid w:val="00FB653A"/>
    <w:rsid w:val="00FB6939"/>
    <w:rsid w:val="00FB6AA0"/>
    <w:rsid w:val="00FB7132"/>
    <w:rsid w:val="00FB7542"/>
    <w:rsid w:val="00FB7614"/>
    <w:rsid w:val="00FB76CC"/>
    <w:rsid w:val="00FB7873"/>
    <w:rsid w:val="00FB7DCA"/>
    <w:rsid w:val="00FB7E83"/>
    <w:rsid w:val="00FC015D"/>
    <w:rsid w:val="00FC0A9D"/>
    <w:rsid w:val="00FC0C91"/>
    <w:rsid w:val="00FC1011"/>
    <w:rsid w:val="00FC134A"/>
    <w:rsid w:val="00FC15FB"/>
    <w:rsid w:val="00FC226E"/>
    <w:rsid w:val="00FC24C4"/>
    <w:rsid w:val="00FC260F"/>
    <w:rsid w:val="00FC2AFD"/>
    <w:rsid w:val="00FC2C7F"/>
    <w:rsid w:val="00FC2DA6"/>
    <w:rsid w:val="00FC2DAB"/>
    <w:rsid w:val="00FC3AD3"/>
    <w:rsid w:val="00FC3AED"/>
    <w:rsid w:val="00FC3FA0"/>
    <w:rsid w:val="00FC4045"/>
    <w:rsid w:val="00FC4385"/>
    <w:rsid w:val="00FC43F2"/>
    <w:rsid w:val="00FC4642"/>
    <w:rsid w:val="00FC5027"/>
    <w:rsid w:val="00FC516F"/>
    <w:rsid w:val="00FC5D01"/>
    <w:rsid w:val="00FC5E29"/>
    <w:rsid w:val="00FC6451"/>
    <w:rsid w:val="00FC65FD"/>
    <w:rsid w:val="00FC6692"/>
    <w:rsid w:val="00FC67B7"/>
    <w:rsid w:val="00FC6A00"/>
    <w:rsid w:val="00FC7221"/>
    <w:rsid w:val="00FC7868"/>
    <w:rsid w:val="00FC78F9"/>
    <w:rsid w:val="00FC7CBD"/>
    <w:rsid w:val="00FD05BD"/>
    <w:rsid w:val="00FD08E9"/>
    <w:rsid w:val="00FD102E"/>
    <w:rsid w:val="00FD121D"/>
    <w:rsid w:val="00FD21A2"/>
    <w:rsid w:val="00FD21EA"/>
    <w:rsid w:val="00FD2382"/>
    <w:rsid w:val="00FD2612"/>
    <w:rsid w:val="00FD269F"/>
    <w:rsid w:val="00FD29C8"/>
    <w:rsid w:val="00FD2B51"/>
    <w:rsid w:val="00FD2B70"/>
    <w:rsid w:val="00FD2BFE"/>
    <w:rsid w:val="00FD2D79"/>
    <w:rsid w:val="00FD2E1F"/>
    <w:rsid w:val="00FD331C"/>
    <w:rsid w:val="00FD3364"/>
    <w:rsid w:val="00FD38B1"/>
    <w:rsid w:val="00FD38FB"/>
    <w:rsid w:val="00FD3E93"/>
    <w:rsid w:val="00FD3EE9"/>
    <w:rsid w:val="00FD40E0"/>
    <w:rsid w:val="00FD431E"/>
    <w:rsid w:val="00FD4483"/>
    <w:rsid w:val="00FD46CC"/>
    <w:rsid w:val="00FD4A7A"/>
    <w:rsid w:val="00FD4D21"/>
    <w:rsid w:val="00FD4D6E"/>
    <w:rsid w:val="00FD4EEE"/>
    <w:rsid w:val="00FD5204"/>
    <w:rsid w:val="00FD52A6"/>
    <w:rsid w:val="00FD5CEB"/>
    <w:rsid w:val="00FD6022"/>
    <w:rsid w:val="00FD61E5"/>
    <w:rsid w:val="00FD656A"/>
    <w:rsid w:val="00FD7173"/>
    <w:rsid w:val="00FD71C4"/>
    <w:rsid w:val="00FD76C0"/>
    <w:rsid w:val="00FD774A"/>
    <w:rsid w:val="00FD77CD"/>
    <w:rsid w:val="00FD7D26"/>
    <w:rsid w:val="00FE047E"/>
    <w:rsid w:val="00FE0B80"/>
    <w:rsid w:val="00FE0DD4"/>
    <w:rsid w:val="00FE0EFD"/>
    <w:rsid w:val="00FE0F11"/>
    <w:rsid w:val="00FE13B2"/>
    <w:rsid w:val="00FE1B5D"/>
    <w:rsid w:val="00FE2361"/>
    <w:rsid w:val="00FE2463"/>
    <w:rsid w:val="00FE2C9C"/>
    <w:rsid w:val="00FE3130"/>
    <w:rsid w:val="00FE328B"/>
    <w:rsid w:val="00FE35B0"/>
    <w:rsid w:val="00FE364F"/>
    <w:rsid w:val="00FE3836"/>
    <w:rsid w:val="00FE385B"/>
    <w:rsid w:val="00FE3A16"/>
    <w:rsid w:val="00FE3ACF"/>
    <w:rsid w:val="00FE4348"/>
    <w:rsid w:val="00FE4455"/>
    <w:rsid w:val="00FE456D"/>
    <w:rsid w:val="00FE4709"/>
    <w:rsid w:val="00FE4AE5"/>
    <w:rsid w:val="00FE4EBB"/>
    <w:rsid w:val="00FE5162"/>
    <w:rsid w:val="00FE5365"/>
    <w:rsid w:val="00FE53FE"/>
    <w:rsid w:val="00FE5468"/>
    <w:rsid w:val="00FE55E7"/>
    <w:rsid w:val="00FE6213"/>
    <w:rsid w:val="00FE6CBF"/>
    <w:rsid w:val="00FE7014"/>
    <w:rsid w:val="00FE7288"/>
    <w:rsid w:val="00FE7384"/>
    <w:rsid w:val="00FE7DA6"/>
    <w:rsid w:val="00FE7DF7"/>
    <w:rsid w:val="00FE7E0D"/>
    <w:rsid w:val="00FF07DE"/>
    <w:rsid w:val="00FF0892"/>
    <w:rsid w:val="00FF0895"/>
    <w:rsid w:val="00FF0A32"/>
    <w:rsid w:val="00FF0E7C"/>
    <w:rsid w:val="00FF10D2"/>
    <w:rsid w:val="00FF1105"/>
    <w:rsid w:val="00FF1165"/>
    <w:rsid w:val="00FF1678"/>
    <w:rsid w:val="00FF167A"/>
    <w:rsid w:val="00FF17D7"/>
    <w:rsid w:val="00FF1895"/>
    <w:rsid w:val="00FF2663"/>
    <w:rsid w:val="00FF2A5A"/>
    <w:rsid w:val="00FF2B4C"/>
    <w:rsid w:val="00FF2E9D"/>
    <w:rsid w:val="00FF3296"/>
    <w:rsid w:val="00FF385A"/>
    <w:rsid w:val="00FF39F3"/>
    <w:rsid w:val="00FF3A76"/>
    <w:rsid w:val="00FF3B32"/>
    <w:rsid w:val="00FF3B42"/>
    <w:rsid w:val="00FF3DE4"/>
    <w:rsid w:val="00FF3ED1"/>
    <w:rsid w:val="00FF409D"/>
    <w:rsid w:val="00FF41D6"/>
    <w:rsid w:val="00FF42C3"/>
    <w:rsid w:val="00FF44D8"/>
    <w:rsid w:val="00FF482B"/>
    <w:rsid w:val="00FF4CBF"/>
    <w:rsid w:val="00FF4DFE"/>
    <w:rsid w:val="00FF4E4D"/>
    <w:rsid w:val="00FF5244"/>
    <w:rsid w:val="00FF5269"/>
    <w:rsid w:val="00FF53DC"/>
    <w:rsid w:val="00FF578C"/>
    <w:rsid w:val="00FF5BC8"/>
    <w:rsid w:val="00FF5E2B"/>
    <w:rsid w:val="00FF5FF6"/>
    <w:rsid w:val="00FF61DE"/>
    <w:rsid w:val="00FF633E"/>
    <w:rsid w:val="00FF6C59"/>
    <w:rsid w:val="00FF6CC1"/>
    <w:rsid w:val="00FF729D"/>
    <w:rsid w:val="00FF75BA"/>
    <w:rsid w:val="00FF75F4"/>
    <w:rsid w:val="00FF7700"/>
    <w:rsid w:val="00FF790B"/>
    <w:rsid w:val="00FF7B06"/>
    <w:rsid w:val="00FF7B86"/>
    <w:rsid w:val="00FF7BFF"/>
    <w:rsid w:val="00FF7E25"/>
    <w:rsid w:val="01005D51"/>
    <w:rsid w:val="0103CFE4"/>
    <w:rsid w:val="010782B4"/>
    <w:rsid w:val="0113D883"/>
    <w:rsid w:val="012482A1"/>
    <w:rsid w:val="01311107"/>
    <w:rsid w:val="013828B1"/>
    <w:rsid w:val="01527E10"/>
    <w:rsid w:val="01570901"/>
    <w:rsid w:val="016592E2"/>
    <w:rsid w:val="01A21D2B"/>
    <w:rsid w:val="01C7646C"/>
    <w:rsid w:val="01D3DF05"/>
    <w:rsid w:val="01DA1EB4"/>
    <w:rsid w:val="01DC0949"/>
    <w:rsid w:val="01F3DF4F"/>
    <w:rsid w:val="02156BDD"/>
    <w:rsid w:val="0235EB1B"/>
    <w:rsid w:val="02442A04"/>
    <w:rsid w:val="024A16C7"/>
    <w:rsid w:val="0252E853"/>
    <w:rsid w:val="0257BB31"/>
    <w:rsid w:val="0260603A"/>
    <w:rsid w:val="0267C6BE"/>
    <w:rsid w:val="0276640D"/>
    <w:rsid w:val="027823D0"/>
    <w:rsid w:val="0288A2B4"/>
    <w:rsid w:val="028A7444"/>
    <w:rsid w:val="028B9C99"/>
    <w:rsid w:val="028C54D1"/>
    <w:rsid w:val="028D9AA3"/>
    <w:rsid w:val="028F0F41"/>
    <w:rsid w:val="028F6FA4"/>
    <w:rsid w:val="029D1F93"/>
    <w:rsid w:val="029D9C74"/>
    <w:rsid w:val="029E6638"/>
    <w:rsid w:val="02A03961"/>
    <w:rsid w:val="02B026C5"/>
    <w:rsid w:val="02B2864B"/>
    <w:rsid w:val="02B6270B"/>
    <w:rsid w:val="02BE73B0"/>
    <w:rsid w:val="02DA0544"/>
    <w:rsid w:val="02E420AC"/>
    <w:rsid w:val="02F36345"/>
    <w:rsid w:val="02FAD9FC"/>
    <w:rsid w:val="02FEA951"/>
    <w:rsid w:val="03050536"/>
    <w:rsid w:val="03233328"/>
    <w:rsid w:val="0327A565"/>
    <w:rsid w:val="032C076B"/>
    <w:rsid w:val="032FEC62"/>
    <w:rsid w:val="033AF2F7"/>
    <w:rsid w:val="0342E1AE"/>
    <w:rsid w:val="034FFB94"/>
    <w:rsid w:val="0350FBFF"/>
    <w:rsid w:val="0357DB85"/>
    <w:rsid w:val="035C991F"/>
    <w:rsid w:val="03610237"/>
    <w:rsid w:val="03629F1A"/>
    <w:rsid w:val="03696B26"/>
    <w:rsid w:val="038093CF"/>
    <w:rsid w:val="038B5076"/>
    <w:rsid w:val="038BE6B8"/>
    <w:rsid w:val="0391C0C6"/>
    <w:rsid w:val="0394D704"/>
    <w:rsid w:val="039EF7FB"/>
    <w:rsid w:val="03AA5F48"/>
    <w:rsid w:val="03BA5981"/>
    <w:rsid w:val="03C21541"/>
    <w:rsid w:val="03CAA7BF"/>
    <w:rsid w:val="03CB1416"/>
    <w:rsid w:val="03D47980"/>
    <w:rsid w:val="03DA6DCD"/>
    <w:rsid w:val="03DAEE27"/>
    <w:rsid w:val="03E65C8E"/>
    <w:rsid w:val="03FEC1B9"/>
    <w:rsid w:val="0403BDC4"/>
    <w:rsid w:val="0403EF9A"/>
    <w:rsid w:val="0409AEB0"/>
    <w:rsid w:val="0410D54E"/>
    <w:rsid w:val="0414CC18"/>
    <w:rsid w:val="042B537D"/>
    <w:rsid w:val="042FBF27"/>
    <w:rsid w:val="0439DCCC"/>
    <w:rsid w:val="043C9948"/>
    <w:rsid w:val="0448F30F"/>
    <w:rsid w:val="044AF059"/>
    <w:rsid w:val="045F8CE6"/>
    <w:rsid w:val="0474F88F"/>
    <w:rsid w:val="0483601F"/>
    <w:rsid w:val="0488EB98"/>
    <w:rsid w:val="049AA193"/>
    <w:rsid w:val="04A736E0"/>
    <w:rsid w:val="04C2687F"/>
    <w:rsid w:val="04CDBC98"/>
    <w:rsid w:val="04D2F95D"/>
    <w:rsid w:val="04D93366"/>
    <w:rsid w:val="04F84BE4"/>
    <w:rsid w:val="04FFA930"/>
    <w:rsid w:val="051D0D73"/>
    <w:rsid w:val="051FEB7B"/>
    <w:rsid w:val="052BA936"/>
    <w:rsid w:val="05366B18"/>
    <w:rsid w:val="055469F3"/>
    <w:rsid w:val="0559DB36"/>
    <w:rsid w:val="05652B90"/>
    <w:rsid w:val="05739B7B"/>
    <w:rsid w:val="057890BF"/>
    <w:rsid w:val="05791EC4"/>
    <w:rsid w:val="0582AF72"/>
    <w:rsid w:val="05881CD9"/>
    <w:rsid w:val="058BBD01"/>
    <w:rsid w:val="058F5ED9"/>
    <w:rsid w:val="05A230C3"/>
    <w:rsid w:val="05C1AD77"/>
    <w:rsid w:val="05CE0F81"/>
    <w:rsid w:val="05CEB349"/>
    <w:rsid w:val="05D87960"/>
    <w:rsid w:val="05E0A0B0"/>
    <w:rsid w:val="05FECFD7"/>
    <w:rsid w:val="0604AC93"/>
    <w:rsid w:val="0604E167"/>
    <w:rsid w:val="0607821A"/>
    <w:rsid w:val="061B44DD"/>
    <w:rsid w:val="061CEAE5"/>
    <w:rsid w:val="062B80AC"/>
    <w:rsid w:val="062D09DA"/>
    <w:rsid w:val="06537A5E"/>
    <w:rsid w:val="06646148"/>
    <w:rsid w:val="067DA2FC"/>
    <w:rsid w:val="068A4EB0"/>
    <w:rsid w:val="068E8CC2"/>
    <w:rsid w:val="06AFDCFB"/>
    <w:rsid w:val="06CE5035"/>
    <w:rsid w:val="06D7E8B3"/>
    <w:rsid w:val="06D97C07"/>
    <w:rsid w:val="06E48EB4"/>
    <w:rsid w:val="06EB2B30"/>
    <w:rsid w:val="06FA9099"/>
    <w:rsid w:val="0707935D"/>
    <w:rsid w:val="07091717"/>
    <w:rsid w:val="070FE9A7"/>
    <w:rsid w:val="071088D0"/>
    <w:rsid w:val="0716D2FC"/>
    <w:rsid w:val="071B36AC"/>
    <w:rsid w:val="072C0DE7"/>
    <w:rsid w:val="074019AC"/>
    <w:rsid w:val="07425B78"/>
    <w:rsid w:val="07457822"/>
    <w:rsid w:val="074A390B"/>
    <w:rsid w:val="074A9113"/>
    <w:rsid w:val="075025D1"/>
    <w:rsid w:val="0751BF17"/>
    <w:rsid w:val="07616306"/>
    <w:rsid w:val="076739DA"/>
    <w:rsid w:val="076890F4"/>
    <w:rsid w:val="07870E59"/>
    <w:rsid w:val="078B62D3"/>
    <w:rsid w:val="079E7707"/>
    <w:rsid w:val="079EACBC"/>
    <w:rsid w:val="07B0E3E9"/>
    <w:rsid w:val="07C1ED20"/>
    <w:rsid w:val="07D022A0"/>
    <w:rsid w:val="07D75BE9"/>
    <w:rsid w:val="07EBF602"/>
    <w:rsid w:val="07F62FCA"/>
    <w:rsid w:val="08063629"/>
    <w:rsid w:val="0808B442"/>
    <w:rsid w:val="080CEA6A"/>
    <w:rsid w:val="081E6A9C"/>
    <w:rsid w:val="0820A392"/>
    <w:rsid w:val="08265894"/>
    <w:rsid w:val="08290248"/>
    <w:rsid w:val="082BB8D9"/>
    <w:rsid w:val="08433D7F"/>
    <w:rsid w:val="084C7276"/>
    <w:rsid w:val="084FEC54"/>
    <w:rsid w:val="086F3CAC"/>
    <w:rsid w:val="08775753"/>
    <w:rsid w:val="0886A911"/>
    <w:rsid w:val="08A20676"/>
    <w:rsid w:val="08B55C3C"/>
    <w:rsid w:val="08BA1195"/>
    <w:rsid w:val="08C16D0F"/>
    <w:rsid w:val="08D60D7F"/>
    <w:rsid w:val="08DE9080"/>
    <w:rsid w:val="08E3996D"/>
    <w:rsid w:val="08E3E0FB"/>
    <w:rsid w:val="08E61FC9"/>
    <w:rsid w:val="08E89707"/>
    <w:rsid w:val="08F1BF35"/>
    <w:rsid w:val="08F4CF18"/>
    <w:rsid w:val="08F6A5F8"/>
    <w:rsid w:val="091CF52F"/>
    <w:rsid w:val="0924BC69"/>
    <w:rsid w:val="09284FCD"/>
    <w:rsid w:val="093E36DD"/>
    <w:rsid w:val="093F9422"/>
    <w:rsid w:val="09402E9E"/>
    <w:rsid w:val="094C61FD"/>
    <w:rsid w:val="09593095"/>
    <w:rsid w:val="095EDF81"/>
    <w:rsid w:val="096267FF"/>
    <w:rsid w:val="096DD0CF"/>
    <w:rsid w:val="096DE24E"/>
    <w:rsid w:val="0972D3A4"/>
    <w:rsid w:val="0995D32C"/>
    <w:rsid w:val="0995FA04"/>
    <w:rsid w:val="099E3A7B"/>
    <w:rsid w:val="09B5E232"/>
    <w:rsid w:val="09BAFF74"/>
    <w:rsid w:val="09CA631F"/>
    <w:rsid w:val="09D943DF"/>
    <w:rsid w:val="09DA01A2"/>
    <w:rsid w:val="09E53A14"/>
    <w:rsid w:val="09F7BC8B"/>
    <w:rsid w:val="0A010EED"/>
    <w:rsid w:val="0A0B8D66"/>
    <w:rsid w:val="0A10E3ED"/>
    <w:rsid w:val="0A1DB084"/>
    <w:rsid w:val="0A24E971"/>
    <w:rsid w:val="0A2E35E5"/>
    <w:rsid w:val="0A36B39A"/>
    <w:rsid w:val="0A40D495"/>
    <w:rsid w:val="0A58C02C"/>
    <w:rsid w:val="0A751A2F"/>
    <w:rsid w:val="0A7AB6B1"/>
    <w:rsid w:val="0A8E1304"/>
    <w:rsid w:val="0A9022B9"/>
    <w:rsid w:val="0A97E9F4"/>
    <w:rsid w:val="0A9BAA0D"/>
    <w:rsid w:val="0A9F1515"/>
    <w:rsid w:val="0AA2D281"/>
    <w:rsid w:val="0AA43735"/>
    <w:rsid w:val="0AA48CCB"/>
    <w:rsid w:val="0AB2F97B"/>
    <w:rsid w:val="0AB646ED"/>
    <w:rsid w:val="0ACC97A7"/>
    <w:rsid w:val="0AD0347C"/>
    <w:rsid w:val="0AEE0BE8"/>
    <w:rsid w:val="0AF34F1E"/>
    <w:rsid w:val="0B0F5708"/>
    <w:rsid w:val="0B12452C"/>
    <w:rsid w:val="0B128E06"/>
    <w:rsid w:val="0B193104"/>
    <w:rsid w:val="0B1BB0B4"/>
    <w:rsid w:val="0B3EEE89"/>
    <w:rsid w:val="0B622E80"/>
    <w:rsid w:val="0B68BFCC"/>
    <w:rsid w:val="0B76DB36"/>
    <w:rsid w:val="0B7B6D34"/>
    <w:rsid w:val="0B89BC93"/>
    <w:rsid w:val="0B9708A1"/>
    <w:rsid w:val="0B98D174"/>
    <w:rsid w:val="0B994F52"/>
    <w:rsid w:val="0B9BC56F"/>
    <w:rsid w:val="0BAA5B07"/>
    <w:rsid w:val="0BB6EE99"/>
    <w:rsid w:val="0BBE767D"/>
    <w:rsid w:val="0BCE069F"/>
    <w:rsid w:val="0BD0556E"/>
    <w:rsid w:val="0BDEABAC"/>
    <w:rsid w:val="0BEAC0DC"/>
    <w:rsid w:val="0BEBEF31"/>
    <w:rsid w:val="0BEFDC80"/>
    <w:rsid w:val="0BF9FD6A"/>
    <w:rsid w:val="0BFF185D"/>
    <w:rsid w:val="0C07E461"/>
    <w:rsid w:val="0C358D0A"/>
    <w:rsid w:val="0C3B306E"/>
    <w:rsid w:val="0C444BA6"/>
    <w:rsid w:val="0C45A535"/>
    <w:rsid w:val="0C494BA9"/>
    <w:rsid w:val="0C5D46BA"/>
    <w:rsid w:val="0C6A9734"/>
    <w:rsid w:val="0C6EC548"/>
    <w:rsid w:val="0C7D43D0"/>
    <w:rsid w:val="0C87342C"/>
    <w:rsid w:val="0C8F161F"/>
    <w:rsid w:val="0C9B13F1"/>
    <w:rsid w:val="0C9FE2C6"/>
    <w:rsid w:val="0CA870AD"/>
    <w:rsid w:val="0CAD31F7"/>
    <w:rsid w:val="0CC445C0"/>
    <w:rsid w:val="0CF6366D"/>
    <w:rsid w:val="0D0797BD"/>
    <w:rsid w:val="0D0EDCCC"/>
    <w:rsid w:val="0D1196D1"/>
    <w:rsid w:val="0D1B0F50"/>
    <w:rsid w:val="0D2BD9C8"/>
    <w:rsid w:val="0D2EA92C"/>
    <w:rsid w:val="0D33D521"/>
    <w:rsid w:val="0D405539"/>
    <w:rsid w:val="0D48B982"/>
    <w:rsid w:val="0D4FAAE9"/>
    <w:rsid w:val="0D5117B4"/>
    <w:rsid w:val="0D5130EB"/>
    <w:rsid w:val="0D61F0C3"/>
    <w:rsid w:val="0D6A7FF2"/>
    <w:rsid w:val="0D71891F"/>
    <w:rsid w:val="0D889105"/>
    <w:rsid w:val="0D8B538C"/>
    <w:rsid w:val="0D8D10FC"/>
    <w:rsid w:val="0D8F340D"/>
    <w:rsid w:val="0D99569D"/>
    <w:rsid w:val="0D9C8FCB"/>
    <w:rsid w:val="0DA83C50"/>
    <w:rsid w:val="0DAC280E"/>
    <w:rsid w:val="0DC0876B"/>
    <w:rsid w:val="0DC4697C"/>
    <w:rsid w:val="0DCE0EA5"/>
    <w:rsid w:val="0DD88A6A"/>
    <w:rsid w:val="0DDCE877"/>
    <w:rsid w:val="0DE0CB9D"/>
    <w:rsid w:val="0DE0F437"/>
    <w:rsid w:val="0DE4CC34"/>
    <w:rsid w:val="0DE63D1A"/>
    <w:rsid w:val="0DEF032E"/>
    <w:rsid w:val="0DEFB854"/>
    <w:rsid w:val="0E07D930"/>
    <w:rsid w:val="0E29046C"/>
    <w:rsid w:val="0E2F2542"/>
    <w:rsid w:val="0E43E667"/>
    <w:rsid w:val="0E4A815B"/>
    <w:rsid w:val="0E52D70F"/>
    <w:rsid w:val="0E56BD34"/>
    <w:rsid w:val="0E66F498"/>
    <w:rsid w:val="0E6E6384"/>
    <w:rsid w:val="0E727482"/>
    <w:rsid w:val="0E7663C8"/>
    <w:rsid w:val="0E78F9B2"/>
    <w:rsid w:val="0E7E2E81"/>
    <w:rsid w:val="0E93AED3"/>
    <w:rsid w:val="0E9F611E"/>
    <w:rsid w:val="0EDCF698"/>
    <w:rsid w:val="0EFB60F0"/>
    <w:rsid w:val="0F0544BC"/>
    <w:rsid w:val="0F1E6B17"/>
    <w:rsid w:val="0F27AFD2"/>
    <w:rsid w:val="0F4217E8"/>
    <w:rsid w:val="0F46624D"/>
    <w:rsid w:val="0F51A11D"/>
    <w:rsid w:val="0F52BE7B"/>
    <w:rsid w:val="0F57489D"/>
    <w:rsid w:val="0F57D482"/>
    <w:rsid w:val="0F5AAB32"/>
    <w:rsid w:val="0F5C034A"/>
    <w:rsid w:val="0F71F8FE"/>
    <w:rsid w:val="0F7E1084"/>
    <w:rsid w:val="0F7EB98F"/>
    <w:rsid w:val="0F82AAC2"/>
    <w:rsid w:val="0F82D93D"/>
    <w:rsid w:val="0F97ACA1"/>
    <w:rsid w:val="0F9D1B26"/>
    <w:rsid w:val="0F9D8066"/>
    <w:rsid w:val="0FA5938F"/>
    <w:rsid w:val="0FA682AB"/>
    <w:rsid w:val="0FD197A4"/>
    <w:rsid w:val="0FE1FD6B"/>
    <w:rsid w:val="0FE72E19"/>
    <w:rsid w:val="0FEC75E6"/>
    <w:rsid w:val="0FFC8D44"/>
    <w:rsid w:val="10191E76"/>
    <w:rsid w:val="10195BBF"/>
    <w:rsid w:val="10259943"/>
    <w:rsid w:val="103D15BF"/>
    <w:rsid w:val="103D5F93"/>
    <w:rsid w:val="1066B904"/>
    <w:rsid w:val="106C676A"/>
    <w:rsid w:val="107B29D4"/>
    <w:rsid w:val="108191A3"/>
    <w:rsid w:val="1097E937"/>
    <w:rsid w:val="109CEA46"/>
    <w:rsid w:val="10A0C7FB"/>
    <w:rsid w:val="10A2F50A"/>
    <w:rsid w:val="10A56939"/>
    <w:rsid w:val="10A76CD0"/>
    <w:rsid w:val="10B923C0"/>
    <w:rsid w:val="10D0E1C9"/>
    <w:rsid w:val="10DA5698"/>
    <w:rsid w:val="10E8E63C"/>
    <w:rsid w:val="10FA7D59"/>
    <w:rsid w:val="1110E4CD"/>
    <w:rsid w:val="111CAE87"/>
    <w:rsid w:val="112D3E19"/>
    <w:rsid w:val="11327F69"/>
    <w:rsid w:val="11333773"/>
    <w:rsid w:val="113D1291"/>
    <w:rsid w:val="113FC20C"/>
    <w:rsid w:val="114086FA"/>
    <w:rsid w:val="1142C464"/>
    <w:rsid w:val="11494138"/>
    <w:rsid w:val="115A9AB7"/>
    <w:rsid w:val="1163C475"/>
    <w:rsid w:val="1165EC8D"/>
    <w:rsid w:val="11662ECA"/>
    <w:rsid w:val="116D70C1"/>
    <w:rsid w:val="1176D646"/>
    <w:rsid w:val="1189EEA3"/>
    <w:rsid w:val="119667D1"/>
    <w:rsid w:val="11A7D74D"/>
    <w:rsid w:val="11ADEF96"/>
    <w:rsid w:val="11B7B6B1"/>
    <w:rsid w:val="11BD1871"/>
    <w:rsid w:val="11C10ECC"/>
    <w:rsid w:val="11C2ADC3"/>
    <w:rsid w:val="11C90EFA"/>
    <w:rsid w:val="11CC12AF"/>
    <w:rsid w:val="11D4170C"/>
    <w:rsid w:val="120189F4"/>
    <w:rsid w:val="12046207"/>
    <w:rsid w:val="12149627"/>
    <w:rsid w:val="121B5BE8"/>
    <w:rsid w:val="121C94CD"/>
    <w:rsid w:val="122ED1D5"/>
    <w:rsid w:val="12355B98"/>
    <w:rsid w:val="12357FEA"/>
    <w:rsid w:val="123EE7C6"/>
    <w:rsid w:val="12456510"/>
    <w:rsid w:val="1247CB6A"/>
    <w:rsid w:val="1251FE11"/>
    <w:rsid w:val="12569757"/>
    <w:rsid w:val="125DDC87"/>
    <w:rsid w:val="1263727E"/>
    <w:rsid w:val="12713F5C"/>
    <w:rsid w:val="1280ABFE"/>
    <w:rsid w:val="1284DDD9"/>
    <w:rsid w:val="128E84B8"/>
    <w:rsid w:val="1290C0E9"/>
    <w:rsid w:val="129E2F49"/>
    <w:rsid w:val="12A00B99"/>
    <w:rsid w:val="12A74773"/>
    <w:rsid w:val="12ADFC77"/>
    <w:rsid w:val="12AE9070"/>
    <w:rsid w:val="12C1DB2E"/>
    <w:rsid w:val="12C30244"/>
    <w:rsid w:val="12C606E1"/>
    <w:rsid w:val="12CC3AB5"/>
    <w:rsid w:val="12E9F2F6"/>
    <w:rsid w:val="12EFA718"/>
    <w:rsid w:val="12F18D1B"/>
    <w:rsid w:val="12F2D12A"/>
    <w:rsid w:val="12FA8F0B"/>
    <w:rsid w:val="1302F9CB"/>
    <w:rsid w:val="1318719B"/>
    <w:rsid w:val="1328E324"/>
    <w:rsid w:val="132C194D"/>
    <w:rsid w:val="132E5429"/>
    <w:rsid w:val="13336E06"/>
    <w:rsid w:val="1340410A"/>
    <w:rsid w:val="13432077"/>
    <w:rsid w:val="13465EA2"/>
    <w:rsid w:val="134BFFFF"/>
    <w:rsid w:val="134CD62A"/>
    <w:rsid w:val="1355A13B"/>
    <w:rsid w:val="13614375"/>
    <w:rsid w:val="136FDDE4"/>
    <w:rsid w:val="13842CCC"/>
    <w:rsid w:val="138D63FA"/>
    <w:rsid w:val="139782B2"/>
    <w:rsid w:val="139F11BF"/>
    <w:rsid w:val="13A5923A"/>
    <w:rsid w:val="13B7DE4C"/>
    <w:rsid w:val="13BCE01F"/>
    <w:rsid w:val="13C0BA70"/>
    <w:rsid w:val="13C1177C"/>
    <w:rsid w:val="13CF59AF"/>
    <w:rsid w:val="13D2CF06"/>
    <w:rsid w:val="13D53F26"/>
    <w:rsid w:val="13E4EDF0"/>
    <w:rsid w:val="13E55095"/>
    <w:rsid w:val="13F7E7A5"/>
    <w:rsid w:val="13FFDDD2"/>
    <w:rsid w:val="140D974D"/>
    <w:rsid w:val="141C0993"/>
    <w:rsid w:val="141E48D5"/>
    <w:rsid w:val="14271BA5"/>
    <w:rsid w:val="142726A4"/>
    <w:rsid w:val="14282D18"/>
    <w:rsid w:val="142F7349"/>
    <w:rsid w:val="143B2B49"/>
    <w:rsid w:val="143EFA92"/>
    <w:rsid w:val="14616415"/>
    <w:rsid w:val="146E4EEE"/>
    <w:rsid w:val="147438A3"/>
    <w:rsid w:val="1480E1FA"/>
    <w:rsid w:val="148BE01D"/>
    <w:rsid w:val="14925E57"/>
    <w:rsid w:val="149D8C9B"/>
    <w:rsid w:val="14B2B37D"/>
    <w:rsid w:val="14CC0CE4"/>
    <w:rsid w:val="14D1E7B5"/>
    <w:rsid w:val="14E53B45"/>
    <w:rsid w:val="14EBE134"/>
    <w:rsid w:val="14EE10AF"/>
    <w:rsid w:val="14EE6F4E"/>
    <w:rsid w:val="14F3F175"/>
    <w:rsid w:val="14FBFB72"/>
    <w:rsid w:val="14FE61E8"/>
    <w:rsid w:val="1501534F"/>
    <w:rsid w:val="15065AF9"/>
    <w:rsid w:val="15092E1D"/>
    <w:rsid w:val="1519CCD8"/>
    <w:rsid w:val="151B7B13"/>
    <w:rsid w:val="15207D87"/>
    <w:rsid w:val="15218FC1"/>
    <w:rsid w:val="15229650"/>
    <w:rsid w:val="152EEA70"/>
    <w:rsid w:val="15320BEF"/>
    <w:rsid w:val="1534E5DA"/>
    <w:rsid w:val="1536C49C"/>
    <w:rsid w:val="1537700A"/>
    <w:rsid w:val="1540EBE6"/>
    <w:rsid w:val="155DC114"/>
    <w:rsid w:val="1562DC2A"/>
    <w:rsid w:val="156355ED"/>
    <w:rsid w:val="156C1EE3"/>
    <w:rsid w:val="1578C671"/>
    <w:rsid w:val="157C51AC"/>
    <w:rsid w:val="158178B7"/>
    <w:rsid w:val="15820BFF"/>
    <w:rsid w:val="159091E7"/>
    <w:rsid w:val="1593C2FC"/>
    <w:rsid w:val="159C8A57"/>
    <w:rsid w:val="15C83C79"/>
    <w:rsid w:val="15DBB372"/>
    <w:rsid w:val="15DC69BE"/>
    <w:rsid w:val="15E75220"/>
    <w:rsid w:val="15EC66DD"/>
    <w:rsid w:val="15EDE4CD"/>
    <w:rsid w:val="15F07F36"/>
    <w:rsid w:val="15F1F40C"/>
    <w:rsid w:val="15F511B4"/>
    <w:rsid w:val="16005E78"/>
    <w:rsid w:val="1604B584"/>
    <w:rsid w:val="1620576C"/>
    <w:rsid w:val="1628E3FE"/>
    <w:rsid w:val="1634BDEA"/>
    <w:rsid w:val="1635501D"/>
    <w:rsid w:val="1635D97B"/>
    <w:rsid w:val="163A6F92"/>
    <w:rsid w:val="16485119"/>
    <w:rsid w:val="164E704D"/>
    <w:rsid w:val="165510AF"/>
    <w:rsid w:val="1662D133"/>
    <w:rsid w:val="16697823"/>
    <w:rsid w:val="167BBBB6"/>
    <w:rsid w:val="168522A1"/>
    <w:rsid w:val="16960143"/>
    <w:rsid w:val="1699A024"/>
    <w:rsid w:val="169B7124"/>
    <w:rsid w:val="16A3F2AA"/>
    <w:rsid w:val="16A83440"/>
    <w:rsid w:val="16AAF706"/>
    <w:rsid w:val="16B886AC"/>
    <w:rsid w:val="16BBE0E6"/>
    <w:rsid w:val="16BD23B3"/>
    <w:rsid w:val="16C83870"/>
    <w:rsid w:val="16CC829F"/>
    <w:rsid w:val="16DDEB37"/>
    <w:rsid w:val="16E441DC"/>
    <w:rsid w:val="16EEE360"/>
    <w:rsid w:val="16FE9D66"/>
    <w:rsid w:val="170602B3"/>
    <w:rsid w:val="171ABA4E"/>
    <w:rsid w:val="172150AC"/>
    <w:rsid w:val="172AC982"/>
    <w:rsid w:val="173374E1"/>
    <w:rsid w:val="1733F469"/>
    <w:rsid w:val="173B7210"/>
    <w:rsid w:val="17432A11"/>
    <w:rsid w:val="1766EE09"/>
    <w:rsid w:val="1775F862"/>
    <w:rsid w:val="177A0881"/>
    <w:rsid w:val="177F4EB5"/>
    <w:rsid w:val="1786C66C"/>
    <w:rsid w:val="17A08EBE"/>
    <w:rsid w:val="17B594EE"/>
    <w:rsid w:val="17BD33CD"/>
    <w:rsid w:val="17D84805"/>
    <w:rsid w:val="17E0EF3E"/>
    <w:rsid w:val="17F07443"/>
    <w:rsid w:val="181054AB"/>
    <w:rsid w:val="18118478"/>
    <w:rsid w:val="182C4721"/>
    <w:rsid w:val="183D9BC6"/>
    <w:rsid w:val="18496834"/>
    <w:rsid w:val="185717B2"/>
    <w:rsid w:val="185BBE7F"/>
    <w:rsid w:val="18629818"/>
    <w:rsid w:val="186B1143"/>
    <w:rsid w:val="187CAEE6"/>
    <w:rsid w:val="1880C22F"/>
    <w:rsid w:val="189AFC88"/>
    <w:rsid w:val="18AB4D04"/>
    <w:rsid w:val="18AFA1C4"/>
    <w:rsid w:val="18B2CD35"/>
    <w:rsid w:val="18B772A4"/>
    <w:rsid w:val="18C18621"/>
    <w:rsid w:val="18C3969F"/>
    <w:rsid w:val="18C59E8D"/>
    <w:rsid w:val="18DC17DA"/>
    <w:rsid w:val="18EBF0F0"/>
    <w:rsid w:val="18EF5587"/>
    <w:rsid w:val="18F814CC"/>
    <w:rsid w:val="1900F600"/>
    <w:rsid w:val="190F6D4B"/>
    <w:rsid w:val="1916B96A"/>
    <w:rsid w:val="19197C19"/>
    <w:rsid w:val="1927678C"/>
    <w:rsid w:val="192928E0"/>
    <w:rsid w:val="192DCACB"/>
    <w:rsid w:val="19310CDB"/>
    <w:rsid w:val="19321147"/>
    <w:rsid w:val="1937DE56"/>
    <w:rsid w:val="194732FD"/>
    <w:rsid w:val="1949A204"/>
    <w:rsid w:val="198B5182"/>
    <w:rsid w:val="198CAB4D"/>
    <w:rsid w:val="198CB5D1"/>
    <w:rsid w:val="198F6BD2"/>
    <w:rsid w:val="199FB526"/>
    <w:rsid w:val="19AF79A7"/>
    <w:rsid w:val="19B7B110"/>
    <w:rsid w:val="19D49794"/>
    <w:rsid w:val="19EEE66E"/>
    <w:rsid w:val="19F0C80C"/>
    <w:rsid w:val="19FD83DD"/>
    <w:rsid w:val="1A21AB81"/>
    <w:rsid w:val="1A23C28C"/>
    <w:rsid w:val="1A33292D"/>
    <w:rsid w:val="1A432555"/>
    <w:rsid w:val="1A643292"/>
    <w:rsid w:val="1A6A14A1"/>
    <w:rsid w:val="1A6A78A7"/>
    <w:rsid w:val="1A6BF828"/>
    <w:rsid w:val="1A700EAF"/>
    <w:rsid w:val="1A7327EE"/>
    <w:rsid w:val="1A825AAD"/>
    <w:rsid w:val="1A889670"/>
    <w:rsid w:val="1A92A536"/>
    <w:rsid w:val="1A940F8D"/>
    <w:rsid w:val="1A951E69"/>
    <w:rsid w:val="1A9A8729"/>
    <w:rsid w:val="1A9B0CC2"/>
    <w:rsid w:val="1AB70522"/>
    <w:rsid w:val="1ABDC927"/>
    <w:rsid w:val="1AD20636"/>
    <w:rsid w:val="1AD5AE6B"/>
    <w:rsid w:val="1AF25F93"/>
    <w:rsid w:val="1AF7F055"/>
    <w:rsid w:val="1AFAEFAE"/>
    <w:rsid w:val="1B0327CE"/>
    <w:rsid w:val="1B104643"/>
    <w:rsid w:val="1B3112A3"/>
    <w:rsid w:val="1B32547C"/>
    <w:rsid w:val="1B36608F"/>
    <w:rsid w:val="1B40CF09"/>
    <w:rsid w:val="1B467588"/>
    <w:rsid w:val="1B6556D2"/>
    <w:rsid w:val="1B6779BF"/>
    <w:rsid w:val="1B76F3BA"/>
    <w:rsid w:val="1B79FD76"/>
    <w:rsid w:val="1B8BC907"/>
    <w:rsid w:val="1B97344C"/>
    <w:rsid w:val="1B989DBC"/>
    <w:rsid w:val="1B9E55B4"/>
    <w:rsid w:val="1BA51297"/>
    <w:rsid w:val="1BB11DE2"/>
    <w:rsid w:val="1BB6659B"/>
    <w:rsid w:val="1BC1D9CB"/>
    <w:rsid w:val="1BC3722E"/>
    <w:rsid w:val="1BE6B5D5"/>
    <w:rsid w:val="1BED20D7"/>
    <w:rsid w:val="1BF00E76"/>
    <w:rsid w:val="1BF4FC4F"/>
    <w:rsid w:val="1BFA2959"/>
    <w:rsid w:val="1C06099A"/>
    <w:rsid w:val="1C06D16F"/>
    <w:rsid w:val="1C08BDA7"/>
    <w:rsid w:val="1C0B39EC"/>
    <w:rsid w:val="1C0FA0F5"/>
    <w:rsid w:val="1C251A55"/>
    <w:rsid w:val="1C28A704"/>
    <w:rsid w:val="1C295A77"/>
    <w:rsid w:val="1C3D4B43"/>
    <w:rsid w:val="1C489177"/>
    <w:rsid w:val="1C580F21"/>
    <w:rsid w:val="1C5A4227"/>
    <w:rsid w:val="1C64E34B"/>
    <w:rsid w:val="1C67B3C0"/>
    <w:rsid w:val="1C6BC0B5"/>
    <w:rsid w:val="1C88C8A8"/>
    <w:rsid w:val="1C8BB3DD"/>
    <w:rsid w:val="1C98320F"/>
    <w:rsid w:val="1C9E8DB7"/>
    <w:rsid w:val="1CB8F689"/>
    <w:rsid w:val="1CC034C2"/>
    <w:rsid w:val="1CDB6E99"/>
    <w:rsid w:val="1CF0468D"/>
    <w:rsid w:val="1CF5D5D1"/>
    <w:rsid w:val="1D122110"/>
    <w:rsid w:val="1D155BEB"/>
    <w:rsid w:val="1D28C191"/>
    <w:rsid w:val="1D2AC1A5"/>
    <w:rsid w:val="1D2D01AA"/>
    <w:rsid w:val="1D311180"/>
    <w:rsid w:val="1D39060C"/>
    <w:rsid w:val="1D430ADC"/>
    <w:rsid w:val="1D47C387"/>
    <w:rsid w:val="1D56A136"/>
    <w:rsid w:val="1D5B98A9"/>
    <w:rsid w:val="1D60EBE4"/>
    <w:rsid w:val="1D63D8CA"/>
    <w:rsid w:val="1D6B7B48"/>
    <w:rsid w:val="1D75AE75"/>
    <w:rsid w:val="1D872AFA"/>
    <w:rsid w:val="1D890984"/>
    <w:rsid w:val="1D930214"/>
    <w:rsid w:val="1DA93398"/>
    <w:rsid w:val="1DC84025"/>
    <w:rsid w:val="1DCE1FEE"/>
    <w:rsid w:val="1DD69434"/>
    <w:rsid w:val="1DDCACD2"/>
    <w:rsid w:val="1DE9CB95"/>
    <w:rsid w:val="1DEE5AD0"/>
    <w:rsid w:val="1E059F67"/>
    <w:rsid w:val="1E1C7B20"/>
    <w:rsid w:val="1E203AB4"/>
    <w:rsid w:val="1E2AA862"/>
    <w:rsid w:val="1E366292"/>
    <w:rsid w:val="1E46F50E"/>
    <w:rsid w:val="1E50DAD2"/>
    <w:rsid w:val="1E71A8D9"/>
    <w:rsid w:val="1E7407AC"/>
    <w:rsid w:val="1E8FA2FD"/>
    <w:rsid w:val="1E9D5CB3"/>
    <w:rsid w:val="1EA722AB"/>
    <w:rsid w:val="1EB1173C"/>
    <w:rsid w:val="1EB33CFC"/>
    <w:rsid w:val="1EBF3B2C"/>
    <w:rsid w:val="1EC217B3"/>
    <w:rsid w:val="1ECF0087"/>
    <w:rsid w:val="1ED4A192"/>
    <w:rsid w:val="1ED56882"/>
    <w:rsid w:val="1EDD8B38"/>
    <w:rsid w:val="1EEC62EE"/>
    <w:rsid w:val="1F0C6D71"/>
    <w:rsid w:val="1F17F2DC"/>
    <w:rsid w:val="1F18BB58"/>
    <w:rsid w:val="1F288AD7"/>
    <w:rsid w:val="1F295F75"/>
    <w:rsid w:val="1F3FD56B"/>
    <w:rsid w:val="1F5B398E"/>
    <w:rsid w:val="1F627CEF"/>
    <w:rsid w:val="1F66B667"/>
    <w:rsid w:val="1F796DA1"/>
    <w:rsid w:val="1F88AAAE"/>
    <w:rsid w:val="1F9A32CC"/>
    <w:rsid w:val="1F9C7DB8"/>
    <w:rsid w:val="1FA391B6"/>
    <w:rsid w:val="1FBD04C6"/>
    <w:rsid w:val="1FBDB478"/>
    <w:rsid w:val="1FCC926A"/>
    <w:rsid w:val="1FE23105"/>
    <w:rsid w:val="1FE493FB"/>
    <w:rsid w:val="1FF0D1D1"/>
    <w:rsid w:val="2009948C"/>
    <w:rsid w:val="200DA4AB"/>
    <w:rsid w:val="20133996"/>
    <w:rsid w:val="2019E70B"/>
    <w:rsid w:val="201A6C94"/>
    <w:rsid w:val="204248D2"/>
    <w:rsid w:val="204ED8BA"/>
    <w:rsid w:val="204EECD1"/>
    <w:rsid w:val="207604EA"/>
    <w:rsid w:val="20AF1789"/>
    <w:rsid w:val="20C9EFC7"/>
    <w:rsid w:val="20DF3F36"/>
    <w:rsid w:val="20F43655"/>
    <w:rsid w:val="20FBEBF2"/>
    <w:rsid w:val="212BC792"/>
    <w:rsid w:val="21326DA1"/>
    <w:rsid w:val="2137CB83"/>
    <w:rsid w:val="2149D3E9"/>
    <w:rsid w:val="214C285C"/>
    <w:rsid w:val="21568011"/>
    <w:rsid w:val="2156E82D"/>
    <w:rsid w:val="216AEAF7"/>
    <w:rsid w:val="21738F7B"/>
    <w:rsid w:val="2187443E"/>
    <w:rsid w:val="21899DF3"/>
    <w:rsid w:val="21912F6B"/>
    <w:rsid w:val="2192AB71"/>
    <w:rsid w:val="21AE67C6"/>
    <w:rsid w:val="21C77045"/>
    <w:rsid w:val="21C87510"/>
    <w:rsid w:val="21CAB52B"/>
    <w:rsid w:val="21D2EACA"/>
    <w:rsid w:val="21D8C0A8"/>
    <w:rsid w:val="21DD76E0"/>
    <w:rsid w:val="21E4CC57"/>
    <w:rsid w:val="21E9CBAB"/>
    <w:rsid w:val="21EFF2C9"/>
    <w:rsid w:val="2201D006"/>
    <w:rsid w:val="2214C4E6"/>
    <w:rsid w:val="22178842"/>
    <w:rsid w:val="2219E365"/>
    <w:rsid w:val="222834D3"/>
    <w:rsid w:val="222BBEBC"/>
    <w:rsid w:val="2238758D"/>
    <w:rsid w:val="223D1E30"/>
    <w:rsid w:val="22431068"/>
    <w:rsid w:val="22442C51"/>
    <w:rsid w:val="224CC985"/>
    <w:rsid w:val="224E0007"/>
    <w:rsid w:val="22554D1E"/>
    <w:rsid w:val="2264ED35"/>
    <w:rsid w:val="2265CB1C"/>
    <w:rsid w:val="2287A855"/>
    <w:rsid w:val="228E980A"/>
    <w:rsid w:val="229AF58F"/>
    <w:rsid w:val="22A5761C"/>
    <w:rsid w:val="22C507F2"/>
    <w:rsid w:val="22D0709D"/>
    <w:rsid w:val="22DB1E99"/>
    <w:rsid w:val="22E2C7AB"/>
    <w:rsid w:val="22E8BEFD"/>
    <w:rsid w:val="22EAA628"/>
    <w:rsid w:val="22F70E0D"/>
    <w:rsid w:val="22FDCC47"/>
    <w:rsid w:val="230922F2"/>
    <w:rsid w:val="231D3241"/>
    <w:rsid w:val="231E186C"/>
    <w:rsid w:val="232732D1"/>
    <w:rsid w:val="232F36A9"/>
    <w:rsid w:val="2346B7EE"/>
    <w:rsid w:val="2354DFE4"/>
    <w:rsid w:val="235D39F6"/>
    <w:rsid w:val="23672907"/>
    <w:rsid w:val="237B3E32"/>
    <w:rsid w:val="2383BAEC"/>
    <w:rsid w:val="2388C33A"/>
    <w:rsid w:val="23910A45"/>
    <w:rsid w:val="2394DCA3"/>
    <w:rsid w:val="23956ED6"/>
    <w:rsid w:val="239580A1"/>
    <w:rsid w:val="239E5FC2"/>
    <w:rsid w:val="23B4D923"/>
    <w:rsid w:val="23B5F6DE"/>
    <w:rsid w:val="23B833FB"/>
    <w:rsid w:val="23BF2A26"/>
    <w:rsid w:val="23CD7ABE"/>
    <w:rsid w:val="23D59F57"/>
    <w:rsid w:val="23E617EA"/>
    <w:rsid w:val="23E70DE1"/>
    <w:rsid w:val="23F1C252"/>
    <w:rsid w:val="23F47796"/>
    <w:rsid w:val="23FEE38E"/>
    <w:rsid w:val="23FEEE7D"/>
    <w:rsid w:val="24046A9E"/>
    <w:rsid w:val="2404EB81"/>
    <w:rsid w:val="24105433"/>
    <w:rsid w:val="2414454B"/>
    <w:rsid w:val="2415BA8E"/>
    <w:rsid w:val="24176717"/>
    <w:rsid w:val="241F98E7"/>
    <w:rsid w:val="2424C3DE"/>
    <w:rsid w:val="242A3BB6"/>
    <w:rsid w:val="2432082E"/>
    <w:rsid w:val="243F6F2F"/>
    <w:rsid w:val="244F40AE"/>
    <w:rsid w:val="2453262A"/>
    <w:rsid w:val="2455A2D2"/>
    <w:rsid w:val="245B3A3B"/>
    <w:rsid w:val="248AAABC"/>
    <w:rsid w:val="248CBFA0"/>
    <w:rsid w:val="248E4DE4"/>
    <w:rsid w:val="2492FA61"/>
    <w:rsid w:val="2498D384"/>
    <w:rsid w:val="24B1A196"/>
    <w:rsid w:val="24B5E707"/>
    <w:rsid w:val="24C3F796"/>
    <w:rsid w:val="24C41179"/>
    <w:rsid w:val="24DA7659"/>
    <w:rsid w:val="24E0C93E"/>
    <w:rsid w:val="24FB9536"/>
    <w:rsid w:val="250C7C92"/>
    <w:rsid w:val="251828E8"/>
    <w:rsid w:val="25269CAE"/>
    <w:rsid w:val="252E315E"/>
    <w:rsid w:val="25302987"/>
    <w:rsid w:val="2530BDA7"/>
    <w:rsid w:val="253642C9"/>
    <w:rsid w:val="253A55F2"/>
    <w:rsid w:val="254BCFA1"/>
    <w:rsid w:val="2563243E"/>
    <w:rsid w:val="2589D624"/>
    <w:rsid w:val="258E4005"/>
    <w:rsid w:val="259CDEFE"/>
    <w:rsid w:val="25A128EF"/>
    <w:rsid w:val="25AD0C21"/>
    <w:rsid w:val="25B1A71A"/>
    <w:rsid w:val="25C1E75F"/>
    <w:rsid w:val="25C1F792"/>
    <w:rsid w:val="25DD5AC2"/>
    <w:rsid w:val="25E9BEDC"/>
    <w:rsid w:val="25F35D58"/>
    <w:rsid w:val="25F856FE"/>
    <w:rsid w:val="260142E3"/>
    <w:rsid w:val="260C768A"/>
    <w:rsid w:val="260D05AB"/>
    <w:rsid w:val="261104CC"/>
    <w:rsid w:val="2612F6BC"/>
    <w:rsid w:val="26172B20"/>
    <w:rsid w:val="261DABB4"/>
    <w:rsid w:val="26220CFE"/>
    <w:rsid w:val="2628A42A"/>
    <w:rsid w:val="263A4B66"/>
    <w:rsid w:val="264ED87E"/>
    <w:rsid w:val="2651815E"/>
    <w:rsid w:val="26708D15"/>
    <w:rsid w:val="268FB367"/>
    <w:rsid w:val="2695707C"/>
    <w:rsid w:val="26962901"/>
    <w:rsid w:val="26A3B8CA"/>
    <w:rsid w:val="26A514E8"/>
    <w:rsid w:val="26AFF36E"/>
    <w:rsid w:val="26BF789E"/>
    <w:rsid w:val="26CF570A"/>
    <w:rsid w:val="26D27DF8"/>
    <w:rsid w:val="2702A2E8"/>
    <w:rsid w:val="2706DD6F"/>
    <w:rsid w:val="27089735"/>
    <w:rsid w:val="270A1E46"/>
    <w:rsid w:val="270A67AD"/>
    <w:rsid w:val="270D78F4"/>
    <w:rsid w:val="27210BBB"/>
    <w:rsid w:val="2721A531"/>
    <w:rsid w:val="27260DC7"/>
    <w:rsid w:val="273B6950"/>
    <w:rsid w:val="27534FA0"/>
    <w:rsid w:val="276DA4E1"/>
    <w:rsid w:val="276E800F"/>
    <w:rsid w:val="27731955"/>
    <w:rsid w:val="2777B471"/>
    <w:rsid w:val="278AD4F6"/>
    <w:rsid w:val="279E26BB"/>
    <w:rsid w:val="27B3F41E"/>
    <w:rsid w:val="27B9233A"/>
    <w:rsid w:val="27CCE560"/>
    <w:rsid w:val="27CEF6C8"/>
    <w:rsid w:val="27D01F79"/>
    <w:rsid w:val="27D3961E"/>
    <w:rsid w:val="27EC3925"/>
    <w:rsid w:val="27F96ACF"/>
    <w:rsid w:val="28074940"/>
    <w:rsid w:val="280A1C5B"/>
    <w:rsid w:val="2823BE7B"/>
    <w:rsid w:val="28387CEE"/>
    <w:rsid w:val="284054B8"/>
    <w:rsid w:val="286A2E04"/>
    <w:rsid w:val="28827003"/>
    <w:rsid w:val="2883CA72"/>
    <w:rsid w:val="288A5FAD"/>
    <w:rsid w:val="288CD610"/>
    <w:rsid w:val="2896831A"/>
    <w:rsid w:val="2897A3D1"/>
    <w:rsid w:val="289D23EB"/>
    <w:rsid w:val="289EBD1B"/>
    <w:rsid w:val="28A6E089"/>
    <w:rsid w:val="28BDA523"/>
    <w:rsid w:val="28C48F23"/>
    <w:rsid w:val="28F6F11C"/>
    <w:rsid w:val="2902D78E"/>
    <w:rsid w:val="290CE397"/>
    <w:rsid w:val="290CE58A"/>
    <w:rsid w:val="2910AAE8"/>
    <w:rsid w:val="2910D5D4"/>
    <w:rsid w:val="2918EEBC"/>
    <w:rsid w:val="2920DCF5"/>
    <w:rsid w:val="29234F71"/>
    <w:rsid w:val="292BA6E0"/>
    <w:rsid w:val="2932187A"/>
    <w:rsid w:val="2943DC5A"/>
    <w:rsid w:val="29468C4A"/>
    <w:rsid w:val="294BE22F"/>
    <w:rsid w:val="294E6E3D"/>
    <w:rsid w:val="2958497D"/>
    <w:rsid w:val="296C0D8F"/>
    <w:rsid w:val="296F9BDC"/>
    <w:rsid w:val="29948B65"/>
    <w:rsid w:val="29ABE403"/>
    <w:rsid w:val="29B4B9C2"/>
    <w:rsid w:val="29C3387F"/>
    <w:rsid w:val="29DECFC7"/>
    <w:rsid w:val="29E51EC2"/>
    <w:rsid w:val="29EBC369"/>
    <w:rsid w:val="29FED43A"/>
    <w:rsid w:val="2A1F3DE3"/>
    <w:rsid w:val="2A2597F0"/>
    <w:rsid w:val="2A2A58C9"/>
    <w:rsid w:val="2A2B0CBC"/>
    <w:rsid w:val="2A336D54"/>
    <w:rsid w:val="2A39DF03"/>
    <w:rsid w:val="2A58C261"/>
    <w:rsid w:val="2A7ECE7C"/>
    <w:rsid w:val="2A853EAA"/>
    <w:rsid w:val="2A899A34"/>
    <w:rsid w:val="2A9DF1A1"/>
    <w:rsid w:val="2AB3B676"/>
    <w:rsid w:val="2AC1627B"/>
    <w:rsid w:val="2ACC6D9E"/>
    <w:rsid w:val="2AD37EB9"/>
    <w:rsid w:val="2AE1CBDA"/>
    <w:rsid w:val="2AF7B30B"/>
    <w:rsid w:val="2AF82220"/>
    <w:rsid w:val="2B0AC06E"/>
    <w:rsid w:val="2B0CB410"/>
    <w:rsid w:val="2B1971C7"/>
    <w:rsid w:val="2B1D93A7"/>
    <w:rsid w:val="2B205E3B"/>
    <w:rsid w:val="2B2D217F"/>
    <w:rsid w:val="2B33FFBA"/>
    <w:rsid w:val="2B425386"/>
    <w:rsid w:val="2B4797BE"/>
    <w:rsid w:val="2B485B01"/>
    <w:rsid w:val="2B485F63"/>
    <w:rsid w:val="2B582369"/>
    <w:rsid w:val="2B627747"/>
    <w:rsid w:val="2B656942"/>
    <w:rsid w:val="2B6DC2D8"/>
    <w:rsid w:val="2B70D584"/>
    <w:rsid w:val="2B81D0FA"/>
    <w:rsid w:val="2B81F192"/>
    <w:rsid w:val="2BBA322C"/>
    <w:rsid w:val="2BBA774F"/>
    <w:rsid w:val="2BCFE364"/>
    <w:rsid w:val="2BDBE876"/>
    <w:rsid w:val="2BE01A92"/>
    <w:rsid w:val="2BE692A3"/>
    <w:rsid w:val="2BEA546F"/>
    <w:rsid w:val="2BF02970"/>
    <w:rsid w:val="2BF8B82A"/>
    <w:rsid w:val="2BFA3D20"/>
    <w:rsid w:val="2C03F412"/>
    <w:rsid w:val="2C05155E"/>
    <w:rsid w:val="2C1796C4"/>
    <w:rsid w:val="2C1CD266"/>
    <w:rsid w:val="2C23A5E6"/>
    <w:rsid w:val="2C284DDF"/>
    <w:rsid w:val="2C31AE39"/>
    <w:rsid w:val="2C5EDA13"/>
    <w:rsid w:val="2C62ABBF"/>
    <w:rsid w:val="2C9565B6"/>
    <w:rsid w:val="2C9F570D"/>
    <w:rsid w:val="2CA34DC7"/>
    <w:rsid w:val="2CA54661"/>
    <w:rsid w:val="2CBDB9A5"/>
    <w:rsid w:val="2CC56966"/>
    <w:rsid w:val="2CCB7033"/>
    <w:rsid w:val="2CE4A889"/>
    <w:rsid w:val="2D10782E"/>
    <w:rsid w:val="2D1BE577"/>
    <w:rsid w:val="2D1D1EFF"/>
    <w:rsid w:val="2D1E38D3"/>
    <w:rsid w:val="2D296C40"/>
    <w:rsid w:val="2D36A789"/>
    <w:rsid w:val="2D36B4AD"/>
    <w:rsid w:val="2D3E195C"/>
    <w:rsid w:val="2D3E1C97"/>
    <w:rsid w:val="2D41EE8E"/>
    <w:rsid w:val="2D501A70"/>
    <w:rsid w:val="2D550E84"/>
    <w:rsid w:val="2D5703EC"/>
    <w:rsid w:val="2D5DC9ED"/>
    <w:rsid w:val="2D7CB133"/>
    <w:rsid w:val="2D908C63"/>
    <w:rsid w:val="2D99FE1F"/>
    <w:rsid w:val="2D9EF0B5"/>
    <w:rsid w:val="2DA6B7FA"/>
    <w:rsid w:val="2DB02F99"/>
    <w:rsid w:val="2DB280B1"/>
    <w:rsid w:val="2DCA0D7D"/>
    <w:rsid w:val="2DD46470"/>
    <w:rsid w:val="2DD585DD"/>
    <w:rsid w:val="2DD9DC9A"/>
    <w:rsid w:val="2DDC149F"/>
    <w:rsid w:val="2DE26033"/>
    <w:rsid w:val="2DE64FE0"/>
    <w:rsid w:val="2DE93502"/>
    <w:rsid w:val="2DED55DC"/>
    <w:rsid w:val="2E01576C"/>
    <w:rsid w:val="2E02F587"/>
    <w:rsid w:val="2E0B52C7"/>
    <w:rsid w:val="2E10D81F"/>
    <w:rsid w:val="2E1530DD"/>
    <w:rsid w:val="2E1BD5F7"/>
    <w:rsid w:val="2E1FF295"/>
    <w:rsid w:val="2E228170"/>
    <w:rsid w:val="2E33852F"/>
    <w:rsid w:val="2E347174"/>
    <w:rsid w:val="2E658F46"/>
    <w:rsid w:val="2E7DBB84"/>
    <w:rsid w:val="2E91E62B"/>
    <w:rsid w:val="2E9951AC"/>
    <w:rsid w:val="2EA03A1B"/>
    <w:rsid w:val="2EB62CD9"/>
    <w:rsid w:val="2EBB603A"/>
    <w:rsid w:val="2ED05681"/>
    <w:rsid w:val="2EF25905"/>
    <w:rsid w:val="2EF5D359"/>
    <w:rsid w:val="2EF7DCEA"/>
    <w:rsid w:val="2EFD698F"/>
    <w:rsid w:val="2F0D380D"/>
    <w:rsid w:val="2F1C6C3B"/>
    <w:rsid w:val="2F327328"/>
    <w:rsid w:val="2F3DCFF4"/>
    <w:rsid w:val="2F4E0DDB"/>
    <w:rsid w:val="2F52A584"/>
    <w:rsid w:val="2F84C5AA"/>
    <w:rsid w:val="2F87B37E"/>
    <w:rsid w:val="2F9182EA"/>
    <w:rsid w:val="2F9D6427"/>
    <w:rsid w:val="2FAD8BC1"/>
    <w:rsid w:val="2FB08B55"/>
    <w:rsid w:val="2FC6CF9C"/>
    <w:rsid w:val="2FCD0A34"/>
    <w:rsid w:val="2FD1468A"/>
    <w:rsid w:val="2FDC0222"/>
    <w:rsid w:val="2FE4D5B0"/>
    <w:rsid w:val="2FEB9244"/>
    <w:rsid w:val="2FF6714B"/>
    <w:rsid w:val="2FFEA2D4"/>
    <w:rsid w:val="300E1D63"/>
    <w:rsid w:val="301FE5A2"/>
    <w:rsid w:val="30387376"/>
    <w:rsid w:val="30414F29"/>
    <w:rsid w:val="304E76DC"/>
    <w:rsid w:val="304E946D"/>
    <w:rsid w:val="304F2424"/>
    <w:rsid w:val="306CA024"/>
    <w:rsid w:val="3074909D"/>
    <w:rsid w:val="30788575"/>
    <w:rsid w:val="30909EA9"/>
    <w:rsid w:val="30AA9584"/>
    <w:rsid w:val="30ADF07C"/>
    <w:rsid w:val="30B01B8B"/>
    <w:rsid w:val="30BDD500"/>
    <w:rsid w:val="30C1248C"/>
    <w:rsid w:val="30CFD4D9"/>
    <w:rsid w:val="30D5AEDE"/>
    <w:rsid w:val="30EDB802"/>
    <w:rsid w:val="310846CD"/>
    <w:rsid w:val="310AA85A"/>
    <w:rsid w:val="31107C25"/>
    <w:rsid w:val="311A57E8"/>
    <w:rsid w:val="3120A97E"/>
    <w:rsid w:val="3123BED4"/>
    <w:rsid w:val="313431A3"/>
    <w:rsid w:val="31366990"/>
    <w:rsid w:val="313AC721"/>
    <w:rsid w:val="313D5CA6"/>
    <w:rsid w:val="3148C031"/>
    <w:rsid w:val="315547B9"/>
    <w:rsid w:val="3163392D"/>
    <w:rsid w:val="317130D1"/>
    <w:rsid w:val="3173A2B0"/>
    <w:rsid w:val="317720B5"/>
    <w:rsid w:val="3177B4FE"/>
    <w:rsid w:val="317C70A2"/>
    <w:rsid w:val="31A04C2E"/>
    <w:rsid w:val="31A4C98A"/>
    <w:rsid w:val="31BA716B"/>
    <w:rsid w:val="31BB030A"/>
    <w:rsid w:val="31BE0D92"/>
    <w:rsid w:val="31CF058A"/>
    <w:rsid w:val="31D83512"/>
    <w:rsid w:val="31DA5F42"/>
    <w:rsid w:val="31F79055"/>
    <w:rsid w:val="3206DEC7"/>
    <w:rsid w:val="320BF4B5"/>
    <w:rsid w:val="320DBF12"/>
    <w:rsid w:val="320EE2D2"/>
    <w:rsid w:val="321680D5"/>
    <w:rsid w:val="321A2DEE"/>
    <w:rsid w:val="321CEC4D"/>
    <w:rsid w:val="3221F3E2"/>
    <w:rsid w:val="322FEEF8"/>
    <w:rsid w:val="323571F5"/>
    <w:rsid w:val="323EF5DE"/>
    <w:rsid w:val="323F7C99"/>
    <w:rsid w:val="3251BF38"/>
    <w:rsid w:val="325568D3"/>
    <w:rsid w:val="328311C7"/>
    <w:rsid w:val="328564D7"/>
    <w:rsid w:val="3287978C"/>
    <w:rsid w:val="328DD02D"/>
    <w:rsid w:val="32929900"/>
    <w:rsid w:val="32A325AC"/>
    <w:rsid w:val="32A38390"/>
    <w:rsid w:val="32AB7696"/>
    <w:rsid w:val="32DB3F5E"/>
    <w:rsid w:val="32E481D1"/>
    <w:rsid w:val="32E96D29"/>
    <w:rsid w:val="32F62FFC"/>
    <w:rsid w:val="32FF0F54"/>
    <w:rsid w:val="33013251"/>
    <w:rsid w:val="3302B19C"/>
    <w:rsid w:val="330504A0"/>
    <w:rsid w:val="3309D647"/>
    <w:rsid w:val="33280F81"/>
    <w:rsid w:val="333B0A29"/>
    <w:rsid w:val="3347A2F4"/>
    <w:rsid w:val="335151A6"/>
    <w:rsid w:val="33515484"/>
    <w:rsid w:val="335CD7FF"/>
    <w:rsid w:val="3368F202"/>
    <w:rsid w:val="337CA12A"/>
    <w:rsid w:val="3380BBE1"/>
    <w:rsid w:val="338F2727"/>
    <w:rsid w:val="339048CB"/>
    <w:rsid w:val="3393EE59"/>
    <w:rsid w:val="33A867EC"/>
    <w:rsid w:val="33CECEB3"/>
    <w:rsid w:val="33E14B04"/>
    <w:rsid w:val="33E30092"/>
    <w:rsid w:val="33F947AA"/>
    <w:rsid w:val="340231AE"/>
    <w:rsid w:val="3410F857"/>
    <w:rsid w:val="34349DF9"/>
    <w:rsid w:val="3435C5B6"/>
    <w:rsid w:val="343B4BDC"/>
    <w:rsid w:val="3443B545"/>
    <w:rsid w:val="344B15BD"/>
    <w:rsid w:val="34524B4F"/>
    <w:rsid w:val="34541D80"/>
    <w:rsid w:val="3457F2C4"/>
    <w:rsid w:val="345E54BB"/>
    <w:rsid w:val="3466ED7A"/>
    <w:rsid w:val="3471D904"/>
    <w:rsid w:val="3471FDBF"/>
    <w:rsid w:val="3477BC2D"/>
    <w:rsid w:val="347EEC8A"/>
    <w:rsid w:val="348374B7"/>
    <w:rsid w:val="3487733D"/>
    <w:rsid w:val="3497A745"/>
    <w:rsid w:val="34A2A3BC"/>
    <w:rsid w:val="34A6D83A"/>
    <w:rsid w:val="34A74965"/>
    <w:rsid w:val="34B160FF"/>
    <w:rsid w:val="34B57026"/>
    <w:rsid w:val="34B6B13A"/>
    <w:rsid w:val="34CF2034"/>
    <w:rsid w:val="34DC1606"/>
    <w:rsid w:val="34F29948"/>
    <w:rsid w:val="34F35F99"/>
    <w:rsid w:val="34FF6CEE"/>
    <w:rsid w:val="352A4A28"/>
    <w:rsid w:val="35468756"/>
    <w:rsid w:val="3549231B"/>
    <w:rsid w:val="35545913"/>
    <w:rsid w:val="355C1DDF"/>
    <w:rsid w:val="356995DA"/>
    <w:rsid w:val="35870503"/>
    <w:rsid w:val="3587E0C8"/>
    <w:rsid w:val="35952BBC"/>
    <w:rsid w:val="359EB7E1"/>
    <w:rsid w:val="35A4E487"/>
    <w:rsid w:val="35A5DB1E"/>
    <w:rsid w:val="35B1DF8E"/>
    <w:rsid w:val="35C97F41"/>
    <w:rsid w:val="35D3C64B"/>
    <w:rsid w:val="35F5DD63"/>
    <w:rsid w:val="35FD4100"/>
    <w:rsid w:val="3601D1F9"/>
    <w:rsid w:val="360D4777"/>
    <w:rsid w:val="361132FA"/>
    <w:rsid w:val="3631C5E2"/>
    <w:rsid w:val="363F8BEF"/>
    <w:rsid w:val="3650FEA7"/>
    <w:rsid w:val="365167F1"/>
    <w:rsid w:val="36539948"/>
    <w:rsid w:val="365822DD"/>
    <w:rsid w:val="365A2E95"/>
    <w:rsid w:val="365A5637"/>
    <w:rsid w:val="3664BCF3"/>
    <w:rsid w:val="3668B4A0"/>
    <w:rsid w:val="3672EF43"/>
    <w:rsid w:val="367E6889"/>
    <w:rsid w:val="36864FE7"/>
    <w:rsid w:val="368BF67B"/>
    <w:rsid w:val="3693FC43"/>
    <w:rsid w:val="369AAD4D"/>
    <w:rsid w:val="369C1686"/>
    <w:rsid w:val="36A3869A"/>
    <w:rsid w:val="36A534ED"/>
    <w:rsid w:val="36A971A7"/>
    <w:rsid w:val="36B40105"/>
    <w:rsid w:val="36E92BC6"/>
    <w:rsid w:val="36E98AE1"/>
    <w:rsid w:val="36F699D3"/>
    <w:rsid w:val="3717A355"/>
    <w:rsid w:val="3728C98E"/>
    <w:rsid w:val="372C44C5"/>
    <w:rsid w:val="37363559"/>
    <w:rsid w:val="3737B687"/>
    <w:rsid w:val="373833C6"/>
    <w:rsid w:val="3745B5DA"/>
    <w:rsid w:val="374C497E"/>
    <w:rsid w:val="374C6AC7"/>
    <w:rsid w:val="3755532B"/>
    <w:rsid w:val="3755A8DD"/>
    <w:rsid w:val="3759CC2A"/>
    <w:rsid w:val="375A126D"/>
    <w:rsid w:val="37618B29"/>
    <w:rsid w:val="37689F98"/>
    <w:rsid w:val="376A3DB3"/>
    <w:rsid w:val="3775AF90"/>
    <w:rsid w:val="378A07B3"/>
    <w:rsid w:val="37981016"/>
    <w:rsid w:val="37A05489"/>
    <w:rsid w:val="37A2FE98"/>
    <w:rsid w:val="37A45D57"/>
    <w:rsid w:val="37A66237"/>
    <w:rsid w:val="37B1B927"/>
    <w:rsid w:val="37B7B7FC"/>
    <w:rsid w:val="37C3463D"/>
    <w:rsid w:val="37C78630"/>
    <w:rsid w:val="37CA71F7"/>
    <w:rsid w:val="37D040BD"/>
    <w:rsid w:val="37F01426"/>
    <w:rsid w:val="37FAE2B1"/>
    <w:rsid w:val="38129DCB"/>
    <w:rsid w:val="3814C82D"/>
    <w:rsid w:val="3818EA80"/>
    <w:rsid w:val="381B3A17"/>
    <w:rsid w:val="381EDE4B"/>
    <w:rsid w:val="38341536"/>
    <w:rsid w:val="383C65D9"/>
    <w:rsid w:val="384258B3"/>
    <w:rsid w:val="3846CB1B"/>
    <w:rsid w:val="385B339B"/>
    <w:rsid w:val="3870D9EF"/>
    <w:rsid w:val="3872408B"/>
    <w:rsid w:val="38747446"/>
    <w:rsid w:val="3875A2D3"/>
    <w:rsid w:val="3879EC7F"/>
    <w:rsid w:val="387E357D"/>
    <w:rsid w:val="388296DF"/>
    <w:rsid w:val="389223AA"/>
    <w:rsid w:val="389707C8"/>
    <w:rsid w:val="389A363D"/>
    <w:rsid w:val="389CE6B6"/>
    <w:rsid w:val="389F2E54"/>
    <w:rsid w:val="38A37303"/>
    <w:rsid w:val="38B672AB"/>
    <w:rsid w:val="38D8B486"/>
    <w:rsid w:val="38DACA98"/>
    <w:rsid w:val="38E16EC8"/>
    <w:rsid w:val="38EF6052"/>
    <w:rsid w:val="3924C51C"/>
    <w:rsid w:val="393D936A"/>
    <w:rsid w:val="39463A49"/>
    <w:rsid w:val="394A0745"/>
    <w:rsid w:val="39579F7F"/>
    <w:rsid w:val="397BEA15"/>
    <w:rsid w:val="39852C31"/>
    <w:rsid w:val="3991C39F"/>
    <w:rsid w:val="39A27717"/>
    <w:rsid w:val="39ACD613"/>
    <w:rsid w:val="39C608D6"/>
    <w:rsid w:val="39E6B3A0"/>
    <w:rsid w:val="39E74B29"/>
    <w:rsid w:val="39ECCFBC"/>
    <w:rsid w:val="39F3597C"/>
    <w:rsid w:val="3A0151FE"/>
    <w:rsid w:val="3A0611C2"/>
    <w:rsid w:val="3A1E05EA"/>
    <w:rsid w:val="3A33E656"/>
    <w:rsid w:val="3A39609D"/>
    <w:rsid w:val="3A3BD54C"/>
    <w:rsid w:val="3A427AB6"/>
    <w:rsid w:val="3A43135B"/>
    <w:rsid w:val="3A4565DD"/>
    <w:rsid w:val="3A584A76"/>
    <w:rsid w:val="3A635002"/>
    <w:rsid w:val="3A71A243"/>
    <w:rsid w:val="3A73DA50"/>
    <w:rsid w:val="3A746074"/>
    <w:rsid w:val="3A7643A1"/>
    <w:rsid w:val="3A815BC2"/>
    <w:rsid w:val="3A9457C0"/>
    <w:rsid w:val="3AB301D2"/>
    <w:rsid w:val="3AB3C7E0"/>
    <w:rsid w:val="3AB8C162"/>
    <w:rsid w:val="3AC400DC"/>
    <w:rsid w:val="3AC72CD5"/>
    <w:rsid w:val="3ACFDB37"/>
    <w:rsid w:val="3AE67100"/>
    <w:rsid w:val="3AF0C1B7"/>
    <w:rsid w:val="3B3AD197"/>
    <w:rsid w:val="3B52D504"/>
    <w:rsid w:val="3B5344F9"/>
    <w:rsid w:val="3B537C23"/>
    <w:rsid w:val="3B57C0E1"/>
    <w:rsid w:val="3B585CF0"/>
    <w:rsid w:val="3B5EDFFC"/>
    <w:rsid w:val="3B649B51"/>
    <w:rsid w:val="3B6FF27E"/>
    <w:rsid w:val="3B71ECA5"/>
    <w:rsid w:val="3B7F8D3F"/>
    <w:rsid w:val="3B8E9194"/>
    <w:rsid w:val="3BA97055"/>
    <w:rsid w:val="3BAD9A9C"/>
    <w:rsid w:val="3BAFA3F5"/>
    <w:rsid w:val="3BB6E9C6"/>
    <w:rsid w:val="3BD4D249"/>
    <w:rsid w:val="3BE346A6"/>
    <w:rsid w:val="3BF970E3"/>
    <w:rsid w:val="3C0C97AC"/>
    <w:rsid w:val="3C26AB0D"/>
    <w:rsid w:val="3C35B7C7"/>
    <w:rsid w:val="3C43F14B"/>
    <w:rsid w:val="3C68A7D4"/>
    <w:rsid w:val="3C6A1A36"/>
    <w:rsid w:val="3C6C2401"/>
    <w:rsid w:val="3CA26C2B"/>
    <w:rsid w:val="3CABB5D1"/>
    <w:rsid w:val="3CADFC65"/>
    <w:rsid w:val="3CB3B0DB"/>
    <w:rsid w:val="3CC08014"/>
    <w:rsid w:val="3CC409AC"/>
    <w:rsid w:val="3CCBACC3"/>
    <w:rsid w:val="3D052CC5"/>
    <w:rsid w:val="3D094F60"/>
    <w:rsid w:val="3D1554A2"/>
    <w:rsid w:val="3D2BA5C9"/>
    <w:rsid w:val="3D2D9E07"/>
    <w:rsid w:val="3D4E443D"/>
    <w:rsid w:val="3D68806A"/>
    <w:rsid w:val="3D724918"/>
    <w:rsid w:val="3D835F93"/>
    <w:rsid w:val="3D8CC506"/>
    <w:rsid w:val="3DA13B6E"/>
    <w:rsid w:val="3DA5F662"/>
    <w:rsid w:val="3DB4057E"/>
    <w:rsid w:val="3DC1169F"/>
    <w:rsid w:val="3DC237FA"/>
    <w:rsid w:val="3DC4F4E8"/>
    <w:rsid w:val="3DC7EA98"/>
    <w:rsid w:val="3DCC9270"/>
    <w:rsid w:val="3DDE803A"/>
    <w:rsid w:val="3DE5901E"/>
    <w:rsid w:val="3DEBF396"/>
    <w:rsid w:val="3E1548E0"/>
    <w:rsid w:val="3E212C89"/>
    <w:rsid w:val="3E4D277E"/>
    <w:rsid w:val="3E5F27F8"/>
    <w:rsid w:val="3E678E74"/>
    <w:rsid w:val="3E6DF1E1"/>
    <w:rsid w:val="3E7A8EA4"/>
    <w:rsid w:val="3E7BABD0"/>
    <w:rsid w:val="3E8B9AB6"/>
    <w:rsid w:val="3E973F6C"/>
    <w:rsid w:val="3E991C48"/>
    <w:rsid w:val="3E9D1F0F"/>
    <w:rsid w:val="3E9DD248"/>
    <w:rsid w:val="3EA66A1B"/>
    <w:rsid w:val="3EA738B6"/>
    <w:rsid w:val="3EACB2DD"/>
    <w:rsid w:val="3EAF2125"/>
    <w:rsid w:val="3EC7BD1C"/>
    <w:rsid w:val="3ED01F69"/>
    <w:rsid w:val="3EE91109"/>
    <w:rsid w:val="3EEB95ED"/>
    <w:rsid w:val="3EF991DB"/>
    <w:rsid w:val="3F0EF9FF"/>
    <w:rsid w:val="3F2081A4"/>
    <w:rsid w:val="3F3250E7"/>
    <w:rsid w:val="3F390E64"/>
    <w:rsid w:val="3F39FE36"/>
    <w:rsid w:val="3F76F6B0"/>
    <w:rsid w:val="3F8093C9"/>
    <w:rsid w:val="3F879DB3"/>
    <w:rsid w:val="3F915B53"/>
    <w:rsid w:val="3F995500"/>
    <w:rsid w:val="3FBCCBB9"/>
    <w:rsid w:val="3FCBBAB1"/>
    <w:rsid w:val="3FDC255B"/>
    <w:rsid w:val="3FE330DC"/>
    <w:rsid w:val="3FF6665D"/>
    <w:rsid w:val="40169BBE"/>
    <w:rsid w:val="401AA70C"/>
    <w:rsid w:val="401F471A"/>
    <w:rsid w:val="402FCAEB"/>
    <w:rsid w:val="403FE5D1"/>
    <w:rsid w:val="4041B6D1"/>
    <w:rsid w:val="404E3ACE"/>
    <w:rsid w:val="405F3862"/>
    <w:rsid w:val="40668120"/>
    <w:rsid w:val="406E13CA"/>
    <w:rsid w:val="407533A5"/>
    <w:rsid w:val="40758819"/>
    <w:rsid w:val="408AC756"/>
    <w:rsid w:val="408F5E52"/>
    <w:rsid w:val="4094D739"/>
    <w:rsid w:val="409A33D7"/>
    <w:rsid w:val="40B091CF"/>
    <w:rsid w:val="40C12571"/>
    <w:rsid w:val="40C22D78"/>
    <w:rsid w:val="40C7B136"/>
    <w:rsid w:val="40DDBC3B"/>
    <w:rsid w:val="40E4E9BA"/>
    <w:rsid w:val="40E9E3F3"/>
    <w:rsid w:val="40F84822"/>
    <w:rsid w:val="40F8B1F2"/>
    <w:rsid w:val="40FB4812"/>
    <w:rsid w:val="40FBDE8F"/>
    <w:rsid w:val="4104996C"/>
    <w:rsid w:val="4108ABA0"/>
    <w:rsid w:val="41090E0D"/>
    <w:rsid w:val="41097B9C"/>
    <w:rsid w:val="410F4171"/>
    <w:rsid w:val="411C9954"/>
    <w:rsid w:val="414FA1D1"/>
    <w:rsid w:val="41568A82"/>
    <w:rsid w:val="41586054"/>
    <w:rsid w:val="4161361D"/>
    <w:rsid w:val="41630A54"/>
    <w:rsid w:val="4165A08C"/>
    <w:rsid w:val="4166B389"/>
    <w:rsid w:val="416FBCAD"/>
    <w:rsid w:val="417CDA68"/>
    <w:rsid w:val="4193E016"/>
    <w:rsid w:val="4194189D"/>
    <w:rsid w:val="41C17CDA"/>
    <w:rsid w:val="41C32AB3"/>
    <w:rsid w:val="41C35761"/>
    <w:rsid w:val="41CE25F1"/>
    <w:rsid w:val="41D061A3"/>
    <w:rsid w:val="41EDCA07"/>
    <w:rsid w:val="41F325CD"/>
    <w:rsid w:val="42080A1A"/>
    <w:rsid w:val="420FBC34"/>
    <w:rsid w:val="42158E51"/>
    <w:rsid w:val="4221F9D7"/>
    <w:rsid w:val="423CCCE9"/>
    <w:rsid w:val="42419543"/>
    <w:rsid w:val="424503AE"/>
    <w:rsid w:val="42481E0B"/>
    <w:rsid w:val="4251B9E0"/>
    <w:rsid w:val="4262576B"/>
    <w:rsid w:val="427F1ABA"/>
    <w:rsid w:val="4286AB30"/>
    <w:rsid w:val="428F7DF4"/>
    <w:rsid w:val="429CBA53"/>
    <w:rsid w:val="42B9DDE4"/>
    <w:rsid w:val="42C8299D"/>
    <w:rsid w:val="42CEAB40"/>
    <w:rsid w:val="42D4E86C"/>
    <w:rsid w:val="42DC40D8"/>
    <w:rsid w:val="42DF9B37"/>
    <w:rsid w:val="42E893BF"/>
    <w:rsid w:val="42EEB395"/>
    <w:rsid w:val="42F2E3D2"/>
    <w:rsid w:val="42FC79B5"/>
    <w:rsid w:val="430E0544"/>
    <w:rsid w:val="4318E5FA"/>
    <w:rsid w:val="431F42F7"/>
    <w:rsid w:val="43237A8A"/>
    <w:rsid w:val="432AAB53"/>
    <w:rsid w:val="43349762"/>
    <w:rsid w:val="434365B1"/>
    <w:rsid w:val="43575BA8"/>
    <w:rsid w:val="43581B0E"/>
    <w:rsid w:val="436993AD"/>
    <w:rsid w:val="4378A173"/>
    <w:rsid w:val="43843394"/>
    <w:rsid w:val="438A81BC"/>
    <w:rsid w:val="4391315D"/>
    <w:rsid w:val="43A133FD"/>
    <w:rsid w:val="43A5CAB6"/>
    <w:rsid w:val="43A6506D"/>
    <w:rsid w:val="43BF1089"/>
    <w:rsid w:val="43C44B36"/>
    <w:rsid w:val="43CB9F75"/>
    <w:rsid w:val="43D2EF68"/>
    <w:rsid w:val="43DB207A"/>
    <w:rsid w:val="43DEC80E"/>
    <w:rsid w:val="43EC2A5C"/>
    <w:rsid w:val="43EE2A04"/>
    <w:rsid w:val="43EF89E6"/>
    <w:rsid w:val="43EFD977"/>
    <w:rsid w:val="441BE984"/>
    <w:rsid w:val="442FC088"/>
    <w:rsid w:val="444FC2B5"/>
    <w:rsid w:val="445AE093"/>
    <w:rsid w:val="44699A39"/>
    <w:rsid w:val="446B02A5"/>
    <w:rsid w:val="446E9485"/>
    <w:rsid w:val="4470F04D"/>
    <w:rsid w:val="4471F95F"/>
    <w:rsid w:val="447A6ACB"/>
    <w:rsid w:val="44921228"/>
    <w:rsid w:val="4494765A"/>
    <w:rsid w:val="449EAA94"/>
    <w:rsid w:val="44B64AE4"/>
    <w:rsid w:val="44BE77AF"/>
    <w:rsid w:val="44D09FCA"/>
    <w:rsid w:val="44D9A4AC"/>
    <w:rsid w:val="44FB03CD"/>
    <w:rsid w:val="4505D154"/>
    <w:rsid w:val="452593BF"/>
    <w:rsid w:val="4531EDFC"/>
    <w:rsid w:val="453C7D47"/>
    <w:rsid w:val="4549E2A6"/>
    <w:rsid w:val="4557C520"/>
    <w:rsid w:val="456F89BA"/>
    <w:rsid w:val="45729CDC"/>
    <w:rsid w:val="458920CA"/>
    <w:rsid w:val="458D223F"/>
    <w:rsid w:val="458FE869"/>
    <w:rsid w:val="45A4648D"/>
    <w:rsid w:val="45BA493F"/>
    <w:rsid w:val="45D4B70B"/>
    <w:rsid w:val="45E90845"/>
    <w:rsid w:val="4606FF7E"/>
    <w:rsid w:val="4621AC9D"/>
    <w:rsid w:val="46242992"/>
    <w:rsid w:val="462C48EA"/>
    <w:rsid w:val="46329D5B"/>
    <w:rsid w:val="463B40A9"/>
    <w:rsid w:val="464377C8"/>
    <w:rsid w:val="4646D3C9"/>
    <w:rsid w:val="46490E73"/>
    <w:rsid w:val="465CCF35"/>
    <w:rsid w:val="466A39C5"/>
    <w:rsid w:val="468AF817"/>
    <w:rsid w:val="46A0D8AE"/>
    <w:rsid w:val="46B36EB6"/>
    <w:rsid w:val="46B89664"/>
    <w:rsid w:val="46BAE458"/>
    <w:rsid w:val="46C64269"/>
    <w:rsid w:val="46D166D5"/>
    <w:rsid w:val="46DE504B"/>
    <w:rsid w:val="46E7CACB"/>
    <w:rsid w:val="46F7AD4B"/>
    <w:rsid w:val="470ECDC4"/>
    <w:rsid w:val="4712E943"/>
    <w:rsid w:val="4721C86E"/>
    <w:rsid w:val="472AEF7C"/>
    <w:rsid w:val="472BA39A"/>
    <w:rsid w:val="472E8A4C"/>
    <w:rsid w:val="4732EA13"/>
    <w:rsid w:val="473452E4"/>
    <w:rsid w:val="473CF49C"/>
    <w:rsid w:val="474AAFDB"/>
    <w:rsid w:val="478762A8"/>
    <w:rsid w:val="478A9FED"/>
    <w:rsid w:val="47BDCA5B"/>
    <w:rsid w:val="47C32BB2"/>
    <w:rsid w:val="47CA0463"/>
    <w:rsid w:val="47CC3164"/>
    <w:rsid w:val="47D76C41"/>
    <w:rsid w:val="47E24CED"/>
    <w:rsid w:val="47E4418F"/>
    <w:rsid w:val="47E6E1A2"/>
    <w:rsid w:val="47F19EAE"/>
    <w:rsid w:val="47FAB7DF"/>
    <w:rsid w:val="480091E4"/>
    <w:rsid w:val="4810274C"/>
    <w:rsid w:val="4818D86A"/>
    <w:rsid w:val="481E3215"/>
    <w:rsid w:val="4820483D"/>
    <w:rsid w:val="4821A6CC"/>
    <w:rsid w:val="4822219E"/>
    <w:rsid w:val="48223C42"/>
    <w:rsid w:val="4824B2EF"/>
    <w:rsid w:val="482E7E65"/>
    <w:rsid w:val="48315215"/>
    <w:rsid w:val="4839AEF9"/>
    <w:rsid w:val="48404160"/>
    <w:rsid w:val="4840513A"/>
    <w:rsid w:val="48435123"/>
    <w:rsid w:val="4844C772"/>
    <w:rsid w:val="484B484D"/>
    <w:rsid w:val="484BDC58"/>
    <w:rsid w:val="48558A22"/>
    <w:rsid w:val="4855D20F"/>
    <w:rsid w:val="485EA9E9"/>
    <w:rsid w:val="485F47AD"/>
    <w:rsid w:val="48609651"/>
    <w:rsid w:val="4868A4CF"/>
    <w:rsid w:val="488281D4"/>
    <w:rsid w:val="4887DBB6"/>
    <w:rsid w:val="488FF6DF"/>
    <w:rsid w:val="48928EBD"/>
    <w:rsid w:val="489A2583"/>
    <w:rsid w:val="48A7FD58"/>
    <w:rsid w:val="48AD0B0E"/>
    <w:rsid w:val="48B10EB8"/>
    <w:rsid w:val="48C921DA"/>
    <w:rsid w:val="48CACF1A"/>
    <w:rsid w:val="48CDD652"/>
    <w:rsid w:val="48CF79BF"/>
    <w:rsid w:val="48ED2A53"/>
    <w:rsid w:val="48FCF212"/>
    <w:rsid w:val="4901ED12"/>
    <w:rsid w:val="490FDE64"/>
    <w:rsid w:val="4919C4BC"/>
    <w:rsid w:val="4925FBE0"/>
    <w:rsid w:val="494848F5"/>
    <w:rsid w:val="4968471B"/>
    <w:rsid w:val="4968D872"/>
    <w:rsid w:val="496BD5F1"/>
    <w:rsid w:val="49731460"/>
    <w:rsid w:val="4980EFD6"/>
    <w:rsid w:val="498AB667"/>
    <w:rsid w:val="498D7B82"/>
    <w:rsid w:val="49A59E83"/>
    <w:rsid w:val="49A929FC"/>
    <w:rsid w:val="49AFAFFB"/>
    <w:rsid w:val="49B5F29A"/>
    <w:rsid w:val="49B82476"/>
    <w:rsid w:val="49B9BF4A"/>
    <w:rsid w:val="49BDD5A9"/>
    <w:rsid w:val="49C8DDF9"/>
    <w:rsid w:val="49D52CB6"/>
    <w:rsid w:val="49D9DB11"/>
    <w:rsid w:val="49E591E0"/>
    <w:rsid w:val="49E65931"/>
    <w:rsid w:val="49FBBE6A"/>
    <w:rsid w:val="4A07DC1F"/>
    <w:rsid w:val="4A07E797"/>
    <w:rsid w:val="4A1AEB05"/>
    <w:rsid w:val="4A2A7A1C"/>
    <w:rsid w:val="4A2C377A"/>
    <w:rsid w:val="4A589FE2"/>
    <w:rsid w:val="4A597E4C"/>
    <w:rsid w:val="4A6FCE3A"/>
    <w:rsid w:val="4A7086E9"/>
    <w:rsid w:val="4A742832"/>
    <w:rsid w:val="4A8069E8"/>
    <w:rsid w:val="4A864214"/>
    <w:rsid w:val="4AA50D41"/>
    <w:rsid w:val="4AB24EBB"/>
    <w:rsid w:val="4AC5486B"/>
    <w:rsid w:val="4AC9132D"/>
    <w:rsid w:val="4ACE18BB"/>
    <w:rsid w:val="4AEC13DF"/>
    <w:rsid w:val="4B028BF9"/>
    <w:rsid w:val="4B0C709B"/>
    <w:rsid w:val="4B0F2D32"/>
    <w:rsid w:val="4B1BAD1B"/>
    <w:rsid w:val="4B26ABBE"/>
    <w:rsid w:val="4B32712A"/>
    <w:rsid w:val="4B344BF6"/>
    <w:rsid w:val="4B4173FC"/>
    <w:rsid w:val="4B4D4F71"/>
    <w:rsid w:val="4B514E37"/>
    <w:rsid w:val="4B676D78"/>
    <w:rsid w:val="4B77F9AC"/>
    <w:rsid w:val="4B86AE03"/>
    <w:rsid w:val="4B947BAD"/>
    <w:rsid w:val="4B97EF23"/>
    <w:rsid w:val="4BA4602C"/>
    <w:rsid w:val="4BA68ED9"/>
    <w:rsid w:val="4BB67711"/>
    <w:rsid w:val="4BB886D2"/>
    <w:rsid w:val="4BBB97CD"/>
    <w:rsid w:val="4BBF4162"/>
    <w:rsid w:val="4BC49F27"/>
    <w:rsid w:val="4BC5D08E"/>
    <w:rsid w:val="4BD3E525"/>
    <w:rsid w:val="4BE65163"/>
    <w:rsid w:val="4C0B2F44"/>
    <w:rsid w:val="4C1B78CC"/>
    <w:rsid w:val="4C228184"/>
    <w:rsid w:val="4C338337"/>
    <w:rsid w:val="4C36EB85"/>
    <w:rsid w:val="4C3F26AC"/>
    <w:rsid w:val="4C40457C"/>
    <w:rsid w:val="4C482137"/>
    <w:rsid w:val="4C519F3D"/>
    <w:rsid w:val="4C5FCE57"/>
    <w:rsid w:val="4C684145"/>
    <w:rsid w:val="4C6CDA4E"/>
    <w:rsid w:val="4C723253"/>
    <w:rsid w:val="4C861DFF"/>
    <w:rsid w:val="4C8926F4"/>
    <w:rsid w:val="4CB0AAE3"/>
    <w:rsid w:val="4CB16AB2"/>
    <w:rsid w:val="4CB481B6"/>
    <w:rsid w:val="4CCB6BAF"/>
    <w:rsid w:val="4CDF7FB3"/>
    <w:rsid w:val="4CE94AF7"/>
    <w:rsid w:val="4CF01E88"/>
    <w:rsid w:val="4D013158"/>
    <w:rsid w:val="4D096781"/>
    <w:rsid w:val="4D29A15E"/>
    <w:rsid w:val="4D3E4ADC"/>
    <w:rsid w:val="4D460357"/>
    <w:rsid w:val="4D4BE9C3"/>
    <w:rsid w:val="4D5227FF"/>
    <w:rsid w:val="4D6960B7"/>
    <w:rsid w:val="4D6B875E"/>
    <w:rsid w:val="4D837CF4"/>
    <w:rsid w:val="4D8DE974"/>
    <w:rsid w:val="4D8E3257"/>
    <w:rsid w:val="4DB33015"/>
    <w:rsid w:val="4DBA2DA3"/>
    <w:rsid w:val="4DC17565"/>
    <w:rsid w:val="4DC97B60"/>
    <w:rsid w:val="4DCF9822"/>
    <w:rsid w:val="4DDA6BCC"/>
    <w:rsid w:val="4DE520D4"/>
    <w:rsid w:val="4DF31230"/>
    <w:rsid w:val="4DF5D71E"/>
    <w:rsid w:val="4DFF8EC0"/>
    <w:rsid w:val="4E0A0903"/>
    <w:rsid w:val="4E12E688"/>
    <w:rsid w:val="4E1FBE28"/>
    <w:rsid w:val="4E22A063"/>
    <w:rsid w:val="4E2AAAA3"/>
    <w:rsid w:val="4E30EF87"/>
    <w:rsid w:val="4E3727B8"/>
    <w:rsid w:val="4E3BD7E5"/>
    <w:rsid w:val="4E42428B"/>
    <w:rsid w:val="4E469F24"/>
    <w:rsid w:val="4E62B575"/>
    <w:rsid w:val="4E6C024B"/>
    <w:rsid w:val="4E8B0FA5"/>
    <w:rsid w:val="4EA337E1"/>
    <w:rsid w:val="4EC97EE1"/>
    <w:rsid w:val="4ECD17F1"/>
    <w:rsid w:val="4ECDF2B4"/>
    <w:rsid w:val="4EDC145E"/>
    <w:rsid w:val="4EE6493E"/>
    <w:rsid w:val="4EEB4C04"/>
    <w:rsid w:val="4EF33012"/>
    <w:rsid w:val="4EFC6618"/>
    <w:rsid w:val="4EFFE11D"/>
    <w:rsid w:val="4F1829DC"/>
    <w:rsid w:val="4F1B6861"/>
    <w:rsid w:val="4F2DB9FB"/>
    <w:rsid w:val="4F323BAB"/>
    <w:rsid w:val="4F38530A"/>
    <w:rsid w:val="4F39147F"/>
    <w:rsid w:val="4F39A198"/>
    <w:rsid w:val="4F3B6D30"/>
    <w:rsid w:val="4F3F48A5"/>
    <w:rsid w:val="4F4F8B68"/>
    <w:rsid w:val="4F6801B2"/>
    <w:rsid w:val="4F84284E"/>
    <w:rsid w:val="4F8BCB83"/>
    <w:rsid w:val="4FAF5F8E"/>
    <w:rsid w:val="4FCDFAB0"/>
    <w:rsid w:val="4FCE211A"/>
    <w:rsid w:val="4FD41F0F"/>
    <w:rsid w:val="4FD96EAE"/>
    <w:rsid w:val="4FE05F1A"/>
    <w:rsid w:val="4FE0D156"/>
    <w:rsid w:val="4FE3CE49"/>
    <w:rsid w:val="4FF5FE2A"/>
    <w:rsid w:val="4FFEB17B"/>
    <w:rsid w:val="5017A909"/>
    <w:rsid w:val="50191DF8"/>
    <w:rsid w:val="5037DC1A"/>
    <w:rsid w:val="5040292F"/>
    <w:rsid w:val="50424776"/>
    <w:rsid w:val="50560211"/>
    <w:rsid w:val="505644A6"/>
    <w:rsid w:val="505B7C3C"/>
    <w:rsid w:val="506D09F7"/>
    <w:rsid w:val="508A668F"/>
    <w:rsid w:val="50995A17"/>
    <w:rsid w:val="509E457E"/>
    <w:rsid w:val="50A2CCB3"/>
    <w:rsid w:val="50ABFACE"/>
    <w:rsid w:val="50BA7553"/>
    <w:rsid w:val="50BD080D"/>
    <w:rsid w:val="50C00E14"/>
    <w:rsid w:val="50CF2DFE"/>
    <w:rsid w:val="50DCB6F6"/>
    <w:rsid w:val="50EBDF06"/>
    <w:rsid w:val="50F5E0BA"/>
    <w:rsid w:val="50FBA465"/>
    <w:rsid w:val="5108209E"/>
    <w:rsid w:val="510D0AB5"/>
    <w:rsid w:val="51133595"/>
    <w:rsid w:val="511B460D"/>
    <w:rsid w:val="51261126"/>
    <w:rsid w:val="5135CDBC"/>
    <w:rsid w:val="51396CD9"/>
    <w:rsid w:val="514B8907"/>
    <w:rsid w:val="514DC85E"/>
    <w:rsid w:val="514F1ED9"/>
    <w:rsid w:val="5154EFF7"/>
    <w:rsid w:val="515A45B2"/>
    <w:rsid w:val="51624868"/>
    <w:rsid w:val="516B00DD"/>
    <w:rsid w:val="51762F1C"/>
    <w:rsid w:val="517F4C39"/>
    <w:rsid w:val="518E7757"/>
    <w:rsid w:val="51954EFC"/>
    <w:rsid w:val="51A65BA6"/>
    <w:rsid w:val="51A68B99"/>
    <w:rsid w:val="51B05CD1"/>
    <w:rsid w:val="51B632A0"/>
    <w:rsid w:val="51C560A0"/>
    <w:rsid w:val="51C731C5"/>
    <w:rsid w:val="51CB76F4"/>
    <w:rsid w:val="51D5D5ED"/>
    <w:rsid w:val="51ED4983"/>
    <w:rsid w:val="51EDF10A"/>
    <w:rsid w:val="52078ABB"/>
    <w:rsid w:val="520CED90"/>
    <w:rsid w:val="521A196E"/>
    <w:rsid w:val="521AFA30"/>
    <w:rsid w:val="521D0128"/>
    <w:rsid w:val="521DA777"/>
    <w:rsid w:val="52325131"/>
    <w:rsid w:val="523C9396"/>
    <w:rsid w:val="523F1A93"/>
    <w:rsid w:val="5248E25A"/>
    <w:rsid w:val="524BA2E4"/>
    <w:rsid w:val="52510217"/>
    <w:rsid w:val="5251AA16"/>
    <w:rsid w:val="5256A01A"/>
    <w:rsid w:val="5258EC8A"/>
    <w:rsid w:val="526E8D2F"/>
    <w:rsid w:val="5275BDF6"/>
    <w:rsid w:val="5284A8FA"/>
    <w:rsid w:val="5289A128"/>
    <w:rsid w:val="528A5EEB"/>
    <w:rsid w:val="5290A4B1"/>
    <w:rsid w:val="52936ED3"/>
    <w:rsid w:val="52B9964E"/>
    <w:rsid w:val="52D05709"/>
    <w:rsid w:val="52F276A3"/>
    <w:rsid w:val="52F3ADB2"/>
    <w:rsid w:val="52F693E2"/>
    <w:rsid w:val="52F6BDF5"/>
    <w:rsid w:val="5305D212"/>
    <w:rsid w:val="530DF2DA"/>
    <w:rsid w:val="53109376"/>
    <w:rsid w:val="53127238"/>
    <w:rsid w:val="5322C519"/>
    <w:rsid w:val="53261385"/>
    <w:rsid w:val="534D04FA"/>
    <w:rsid w:val="534FC72E"/>
    <w:rsid w:val="5351806D"/>
    <w:rsid w:val="5354F51F"/>
    <w:rsid w:val="535B508B"/>
    <w:rsid w:val="535B5EBB"/>
    <w:rsid w:val="535DF262"/>
    <w:rsid w:val="53626135"/>
    <w:rsid w:val="536972DA"/>
    <w:rsid w:val="5375C609"/>
    <w:rsid w:val="5379680F"/>
    <w:rsid w:val="53834BCB"/>
    <w:rsid w:val="5389D262"/>
    <w:rsid w:val="538E391C"/>
    <w:rsid w:val="53971CBD"/>
    <w:rsid w:val="53A4BCDB"/>
    <w:rsid w:val="53A6513B"/>
    <w:rsid w:val="53AAEA41"/>
    <w:rsid w:val="53AEAD37"/>
    <w:rsid w:val="53B1D263"/>
    <w:rsid w:val="53C3E2DF"/>
    <w:rsid w:val="53C5161B"/>
    <w:rsid w:val="53D21889"/>
    <w:rsid w:val="53D6D0C4"/>
    <w:rsid w:val="53DB4612"/>
    <w:rsid w:val="53DECF89"/>
    <w:rsid w:val="53E392D0"/>
    <w:rsid w:val="53E52A7F"/>
    <w:rsid w:val="540783CF"/>
    <w:rsid w:val="540F4829"/>
    <w:rsid w:val="5411FE49"/>
    <w:rsid w:val="5417E30C"/>
    <w:rsid w:val="541EC3B2"/>
    <w:rsid w:val="54225B1A"/>
    <w:rsid w:val="542F3BB6"/>
    <w:rsid w:val="543493CF"/>
    <w:rsid w:val="543FFE9B"/>
    <w:rsid w:val="54609E67"/>
    <w:rsid w:val="546E58F4"/>
    <w:rsid w:val="5474C1CC"/>
    <w:rsid w:val="54793B78"/>
    <w:rsid w:val="5495EF23"/>
    <w:rsid w:val="54971EA9"/>
    <w:rsid w:val="54985C76"/>
    <w:rsid w:val="549F6115"/>
    <w:rsid w:val="54A268E3"/>
    <w:rsid w:val="54AEC9A1"/>
    <w:rsid w:val="54BA242E"/>
    <w:rsid w:val="54BF2A80"/>
    <w:rsid w:val="54D86B72"/>
    <w:rsid w:val="54DD2828"/>
    <w:rsid w:val="54E5E11A"/>
    <w:rsid w:val="54F177A9"/>
    <w:rsid w:val="54F1F90E"/>
    <w:rsid w:val="54F39C86"/>
    <w:rsid w:val="54F64410"/>
    <w:rsid w:val="54FBC9BA"/>
    <w:rsid w:val="55010049"/>
    <w:rsid w:val="55349797"/>
    <w:rsid w:val="5538F538"/>
    <w:rsid w:val="553F8736"/>
    <w:rsid w:val="555187CF"/>
    <w:rsid w:val="55589BC5"/>
    <w:rsid w:val="555D416E"/>
    <w:rsid w:val="5578BF99"/>
    <w:rsid w:val="557C7100"/>
    <w:rsid w:val="558E3067"/>
    <w:rsid w:val="55914BD5"/>
    <w:rsid w:val="559A7310"/>
    <w:rsid w:val="55AB0461"/>
    <w:rsid w:val="55B1D225"/>
    <w:rsid w:val="55B4ED76"/>
    <w:rsid w:val="55BF9937"/>
    <w:rsid w:val="55C54E19"/>
    <w:rsid w:val="55C5B411"/>
    <w:rsid w:val="55CC6AD8"/>
    <w:rsid w:val="55E382E5"/>
    <w:rsid w:val="55F9ED68"/>
    <w:rsid w:val="55FBA693"/>
    <w:rsid w:val="55FD9D5C"/>
    <w:rsid w:val="56242EF5"/>
    <w:rsid w:val="5624C5D8"/>
    <w:rsid w:val="5629406B"/>
    <w:rsid w:val="562D02B7"/>
    <w:rsid w:val="5636486D"/>
    <w:rsid w:val="564199A5"/>
    <w:rsid w:val="5647470B"/>
    <w:rsid w:val="565178EF"/>
    <w:rsid w:val="56539755"/>
    <w:rsid w:val="566E6A39"/>
    <w:rsid w:val="56757B82"/>
    <w:rsid w:val="56854E79"/>
    <w:rsid w:val="568BEE4E"/>
    <w:rsid w:val="56965CB9"/>
    <w:rsid w:val="569A8652"/>
    <w:rsid w:val="56AD0A52"/>
    <w:rsid w:val="56B163EC"/>
    <w:rsid w:val="56B75839"/>
    <w:rsid w:val="56BDD1F0"/>
    <w:rsid w:val="56CC716A"/>
    <w:rsid w:val="56DC4B7B"/>
    <w:rsid w:val="56ED3E65"/>
    <w:rsid w:val="56F13A74"/>
    <w:rsid w:val="56FF2810"/>
    <w:rsid w:val="5712605A"/>
    <w:rsid w:val="571FF3C6"/>
    <w:rsid w:val="57207F7C"/>
    <w:rsid w:val="572B3FDA"/>
    <w:rsid w:val="57372A33"/>
    <w:rsid w:val="5762FA12"/>
    <w:rsid w:val="57647BC9"/>
    <w:rsid w:val="576CB82C"/>
    <w:rsid w:val="576F0847"/>
    <w:rsid w:val="57765506"/>
    <w:rsid w:val="57808325"/>
    <w:rsid w:val="57885E67"/>
    <w:rsid w:val="578D0E1A"/>
    <w:rsid w:val="578D8AD2"/>
    <w:rsid w:val="578F5881"/>
    <w:rsid w:val="57AACBAE"/>
    <w:rsid w:val="57AB865C"/>
    <w:rsid w:val="57B4AE26"/>
    <w:rsid w:val="57BA0FC9"/>
    <w:rsid w:val="57BEC804"/>
    <w:rsid w:val="57C2157D"/>
    <w:rsid w:val="57D5D6DA"/>
    <w:rsid w:val="57F30678"/>
    <w:rsid w:val="58001117"/>
    <w:rsid w:val="58128D85"/>
    <w:rsid w:val="58240992"/>
    <w:rsid w:val="582FF0EE"/>
    <w:rsid w:val="58320FF0"/>
    <w:rsid w:val="5855B0C6"/>
    <w:rsid w:val="58613C7B"/>
    <w:rsid w:val="58728C33"/>
    <w:rsid w:val="5884DB9C"/>
    <w:rsid w:val="588584C3"/>
    <w:rsid w:val="5891F86B"/>
    <w:rsid w:val="58B2C5D7"/>
    <w:rsid w:val="58B3F705"/>
    <w:rsid w:val="58D3FDFB"/>
    <w:rsid w:val="58E58FE0"/>
    <w:rsid w:val="58EB7289"/>
    <w:rsid w:val="58EEFCE8"/>
    <w:rsid w:val="58F81BA3"/>
    <w:rsid w:val="58FAE2F8"/>
    <w:rsid w:val="58FC61FB"/>
    <w:rsid w:val="59131E72"/>
    <w:rsid w:val="59164824"/>
    <w:rsid w:val="591FAD85"/>
    <w:rsid w:val="592361ED"/>
    <w:rsid w:val="594B0586"/>
    <w:rsid w:val="594BFB8A"/>
    <w:rsid w:val="595A5A09"/>
    <w:rsid w:val="59631CAB"/>
    <w:rsid w:val="59666459"/>
    <w:rsid w:val="59691D57"/>
    <w:rsid w:val="596B94E0"/>
    <w:rsid w:val="59713011"/>
    <w:rsid w:val="597D8E78"/>
    <w:rsid w:val="598353BC"/>
    <w:rsid w:val="5996E8EA"/>
    <w:rsid w:val="5997DDA8"/>
    <w:rsid w:val="599D6EDD"/>
    <w:rsid w:val="59A3A918"/>
    <w:rsid w:val="59B7791B"/>
    <w:rsid w:val="59B990C3"/>
    <w:rsid w:val="59BD6C8E"/>
    <w:rsid w:val="59D93D5F"/>
    <w:rsid w:val="59DA7EC9"/>
    <w:rsid w:val="59E383EC"/>
    <w:rsid w:val="59F433D4"/>
    <w:rsid w:val="59FB5507"/>
    <w:rsid w:val="59FD366D"/>
    <w:rsid w:val="5A155ADB"/>
    <w:rsid w:val="5A235E84"/>
    <w:rsid w:val="5A2661AB"/>
    <w:rsid w:val="5A2EB9FB"/>
    <w:rsid w:val="5A355401"/>
    <w:rsid w:val="5A3A719C"/>
    <w:rsid w:val="5A4410ED"/>
    <w:rsid w:val="5A775BBD"/>
    <w:rsid w:val="5A7CFF36"/>
    <w:rsid w:val="5A845243"/>
    <w:rsid w:val="5A8878D1"/>
    <w:rsid w:val="5A8FD219"/>
    <w:rsid w:val="5A95B8F5"/>
    <w:rsid w:val="5AA65078"/>
    <w:rsid w:val="5AB03B5D"/>
    <w:rsid w:val="5AB10298"/>
    <w:rsid w:val="5AB18A56"/>
    <w:rsid w:val="5AB3C82C"/>
    <w:rsid w:val="5AC92BED"/>
    <w:rsid w:val="5AC9FBF4"/>
    <w:rsid w:val="5ACB31AC"/>
    <w:rsid w:val="5AD0915D"/>
    <w:rsid w:val="5AD53D7F"/>
    <w:rsid w:val="5AD59147"/>
    <w:rsid w:val="5AE0FF0F"/>
    <w:rsid w:val="5AE49241"/>
    <w:rsid w:val="5AEDE59B"/>
    <w:rsid w:val="5AEF90CA"/>
    <w:rsid w:val="5AFAB460"/>
    <w:rsid w:val="5AFC6D33"/>
    <w:rsid w:val="5B0A80DC"/>
    <w:rsid w:val="5B0F3916"/>
    <w:rsid w:val="5B15D7B5"/>
    <w:rsid w:val="5B1B35D9"/>
    <w:rsid w:val="5B215D42"/>
    <w:rsid w:val="5B33834A"/>
    <w:rsid w:val="5B3B4144"/>
    <w:rsid w:val="5B42424B"/>
    <w:rsid w:val="5B45E7EE"/>
    <w:rsid w:val="5B53C2DC"/>
    <w:rsid w:val="5B5609DE"/>
    <w:rsid w:val="5B5ACF3B"/>
    <w:rsid w:val="5B63855F"/>
    <w:rsid w:val="5B6B480B"/>
    <w:rsid w:val="5B7D9580"/>
    <w:rsid w:val="5B81790E"/>
    <w:rsid w:val="5B8D9CD4"/>
    <w:rsid w:val="5B92BC57"/>
    <w:rsid w:val="5B969B5C"/>
    <w:rsid w:val="5B9D64F9"/>
    <w:rsid w:val="5BA55220"/>
    <w:rsid w:val="5BAD1E1A"/>
    <w:rsid w:val="5BB3D790"/>
    <w:rsid w:val="5BBE4085"/>
    <w:rsid w:val="5BBEB44A"/>
    <w:rsid w:val="5BD8F0E2"/>
    <w:rsid w:val="5BE32631"/>
    <w:rsid w:val="5BE8A3D5"/>
    <w:rsid w:val="5BE954EA"/>
    <w:rsid w:val="5BF576A4"/>
    <w:rsid w:val="5C010858"/>
    <w:rsid w:val="5C18E188"/>
    <w:rsid w:val="5C1E9210"/>
    <w:rsid w:val="5C21C037"/>
    <w:rsid w:val="5C314B05"/>
    <w:rsid w:val="5C3798DB"/>
    <w:rsid w:val="5C4492EE"/>
    <w:rsid w:val="5C5463A9"/>
    <w:rsid w:val="5C54DF68"/>
    <w:rsid w:val="5C597411"/>
    <w:rsid w:val="5C59AD2E"/>
    <w:rsid w:val="5C63BE4F"/>
    <w:rsid w:val="5C671317"/>
    <w:rsid w:val="5C8DCDED"/>
    <w:rsid w:val="5C92A218"/>
    <w:rsid w:val="5CAFAC39"/>
    <w:rsid w:val="5CC2DE7C"/>
    <w:rsid w:val="5CCB200A"/>
    <w:rsid w:val="5CCDE20D"/>
    <w:rsid w:val="5CD5F4A0"/>
    <w:rsid w:val="5CDA2473"/>
    <w:rsid w:val="5CEC28D2"/>
    <w:rsid w:val="5CEF93C6"/>
    <w:rsid w:val="5D00741E"/>
    <w:rsid w:val="5D1BEA15"/>
    <w:rsid w:val="5D1CE6CA"/>
    <w:rsid w:val="5D1F1A5D"/>
    <w:rsid w:val="5D211F33"/>
    <w:rsid w:val="5D2483CA"/>
    <w:rsid w:val="5D378876"/>
    <w:rsid w:val="5D458CED"/>
    <w:rsid w:val="5D6CCD5A"/>
    <w:rsid w:val="5D77C6E1"/>
    <w:rsid w:val="5D808F6E"/>
    <w:rsid w:val="5D973734"/>
    <w:rsid w:val="5DA70956"/>
    <w:rsid w:val="5DB9C852"/>
    <w:rsid w:val="5DBEAAA7"/>
    <w:rsid w:val="5DDB5227"/>
    <w:rsid w:val="5DDD1A03"/>
    <w:rsid w:val="5DE57968"/>
    <w:rsid w:val="5DE67213"/>
    <w:rsid w:val="5DEE74D1"/>
    <w:rsid w:val="5DF21D04"/>
    <w:rsid w:val="5DF2E529"/>
    <w:rsid w:val="5DF3D4E9"/>
    <w:rsid w:val="5DF7CA75"/>
    <w:rsid w:val="5DF7FA2D"/>
    <w:rsid w:val="5DFA7436"/>
    <w:rsid w:val="5E18F4BB"/>
    <w:rsid w:val="5E312743"/>
    <w:rsid w:val="5E3EF09A"/>
    <w:rsid w:val="5E425F07"/>
    <w:rsid w:val="5E5203D5"/>
    <w:rsid w:val="5E57D418"/>
    <w:rsid w:val="5E64AD77"/>
    <w:rsid w:val="5E855873"/>
    <w:rsid w:val="5E8B5ECE"/>
    <w:rsid w:val="5E8D4E9C"/>
    <w:rsid w:val="5E93F87A"/>
    <w:rsid w:val="5EA07EF4"/>
    <w:rsid w:val="5EA59741"/>
    <w:rsid w:val="5EC0145E"/>
    <w:rsid w:val="5EC06BDF"/>
    <w:rsid w:val="5ECA4596"/>
    <w:rsid w:val="5ED22BC1"/>
    <w:rsid w:val="5ED4B226"/>
    <w:rsid w:val="5EDB7090"/>
    <w:rsid w:val="5EE9A529"/>
    <w:rsid w:val="5F017F80"/>
    <w:rsid w:val="5F06BDAB"/>
    <w:rsid w:val="5F15C062"/>
    <w:rsid w:val="5F4DFFF7"/>
    <w:rsid w:val="5F5F4440"/>
    <w:rsid w:val="5F6DDA50"/>
    <w:rsid w:val="5F82A7CC"/>
    <w:rsid w:val="5F82D5A0"/>
    <w:rsid w:val="5F85EFD8"/>
    <w:rsid w:val="5F956AC2"/>
    <w:rsid w:val="5FA9C8AA"/>
    <w:rsid w:val="5FB64132"/>
    <w:rsid w:val="5FCAFA42"/>
    <w:rsid w:val="5FE10A13"/>
    <w:rsid w:val="5FE4775E"/>
    <w:rsid w:val="5FEB2C27"/>
    <w:rsid w:val="5FF532C1"/>
    <w:rsid w:val="6001EC1F"/>
    <w:rsid w:val="60050C1A"/>
    <w:rsid w:val="601C35EB"/>
    <w:rsid w:val="602515FF"/>
    <w:rsid w:val="602F5C10"/>
    <w:rsid w:val="6031940F"/>
    <w:rsid w:val="60402B24"/>
    <w:rsid w:val="604174CB"/>
    <w:rsid w:val="604F6D73"/>
    <w:rsid w:val="60523498"/>
    <w:rsid w:val="606F9995"/>
    <w:rsid w:val="607A11B3"/>
    <w:rsid w:val="607CD3D2"/>
    <w:rsid w:val="60A16E15"/>
    <w:rsid w:val="60A25990"/>
    <w:rsid w:val="60A5F746"/>
    <w:rsid w:val="60A7A087"/>
    <w:rsid w:val="60A88B71"/>
    <w:rsid w:val="60AAAD78"/>
    <w:rsid w:val="60BA1AA9"/>
    <w:rsid w:val="60BA6092"/>
    <w:rsid w:val="60D2853D"/>
    <w:rsid w:val="60DFEF44"/>
    <w:rsid w:val="60E2DE45"/>
    <w:rsid w:val="60E42B05"/>
    <w:rsid w:val="60E43128"/>
    <w:rsid w:val="60F03A24"/>
    <w:rsid w:val="60F70554"/>
    <w:rsid w:val="60F86418"/>
    <w:rsid w:val="60FAB1D8"/>
    <w:rsid w:val="60FD5F43"/>
    <w:rsid w:val="610A73D0"/>
    <w:rsid w:val="610D9857"/>
    <w:rsid w:val="6112E8C2"/>
    <w:rsid w:val="61295957"/>
    <w:rsid w:val="612BFF13"/>
    <w:rsid w:val="613AC9D9"/>
    <w:rsid w:val="613ED731"/>
    <w:rsid w:val="615B9BF4"/>
    <w:rsid w:val="616040EF"/>
    <w:rsid w:val="61616D3C"/>
    <w:rsid w:val="6165C7E6"/>
    <w:rsid w:val="61671C46"/>
    <w:rsid w:val="6168492E"/>
    <w:rsid w:val="61840990"/>
    <w:rsid w:val="61848430"/>
    <w:rsid w:val="6186CE6C"/>
    <w:rsid w:val="61889032"/>
    <w:rsid w:val="618D0E9D"/>
    <w:rsid w:val="619012AA"/>
    <w:rsid w:val="6199CB4C"/>
    <w:rsid w:val="619E0420"/>
    <w:rsid w:val="61BD85FC"/>
    <w:rsid w:val="61C49D7C"/>
    <w:rsid w:val="61C55122"/>
    <w:rsid w:val="61C68FAA"/>
    <w:rsid w:val="61C86CC7"/>
    <w:rsid w:val="61D142A2"/>
    <w:rsid w:val="61F178EC"/>
    <w:rsid w:val="61F24C9C"/>
    <w:rsid w:val="61FC5E8C"/>
    <w:rsid w:val="6203D7C7"/>
    <w:rsid w:val="620431BB"/>
    <w:rsid w:val="6207B98B"/>
    <w:rsid w:val="621397E4"/>
    <w:rsid w:val="6214CE6F"/>
    <w:rsid w:val="621D98E3"/>
    <w:rsid w:val="6223CCB9"/>
    <w:rsid w:val="6228F30B"/>
    <w:rsid w:val="6229EF73"/>
    <w:rsid w:val="6248EAFA"/>
    <w:rsid w:val="6257E9C6"/>
    <w:rsid w:val="62605123"/>
    <w:rsid w:val="62615390"/>
    <w:rsid w:val="626B626A"/>
    <w:rsid w:val="6271F4CA"/>
    <w:rsid w:val="62780233"/>
    <w:rsid w:val="627E9890"/>
    <w:rsid w:val="627FCFC0"/>
    <w:rsid w:val="62922D2A"/>
    <w:rsid w:val="62AC02C6"/>
    <w:rsid w:val="62AC0BFB"/>
    <w:rsid w:val="62BBA1AF"/>
    <w:rsid w:val="62C262ED"/>
    <w:rsid w:val="62C58DEC"/>
    <w:rsid w:val="62DB6D95"/>
    <w:rsid w:val="62FC4623"/>
    <w:rsid w:val="63054A30"/>
    <w:rsid w:val="630A7A8F"/>
    <w:rsid w:val="63130074"/>
    <w:rsid w:val="6313AB76"/>
    <w:rsid w:val="63340F5D"/>
    <w:rsid w:val="63494A1F"/>
    <w:rsid w:val="63547B2F"/>
    <w:rsid w:val="6363D4CC"/>
    <w:rsid w:val="637036DB"/>
    <w:rsid w:val="6387B2B8"/>
    <w:rsid w:val="639C2322"/>
    <w:rsid w:val="63AFB2AE"/>
    <w:rsid w:val="63B1D40E"/>
    <w:rsid w:val="63B92EC5"/>
    <w:rsid w:val="63CDBAA6"/>
    <w:rsid w:val="63DC892B"/>
    <w:rsid w:val="63E37B6F"/>
    <w:rsid w:val="63E4E536"/>
    <w:rsid w:val="63EC50BE"/>
    <w:rsid w:val="63F18F18"/>
    <w:rsid w:val="63FA9D8C"/>
    <w:rsid w:val="6409EFAB"/>
    <w:rsid w:val="640FBC3D"/>
    <w:rsid w:val="641642CD"/>
    <w:rsid w:val="64212D36"/>
    <w:rsid w:val="6428B554"/>
    <w:rsid w:val="642D469B"/>
    <w:rsid w:val="643965AE"/>
    <w:rsid w:val="643E6E19"/>
    <w:rsid w:val="644E5D46"/>
    <w:rsid w:val="6460FE6B"/>
    <w:rsid w:val="64618D4D"/>
    <w:rsid w:val="6477145E"/>
    <w:rsid w:val="64957BD7"/>
    <w:rsid w:val="64997D1D"/>
    <w:rsid w:val="649E5C24"/>
    <w:rsid w:val="64A42E23"/>
    <w:rsid w:val="64A90B72"/>
    <w:rsid w:val="64B84E0B"/>
    <w:rsid w:val="64D1AA43"/>
    <w:rsid w:val="64D39E86"/>
    <w:rsid w:val="64D7380A"/>
    <w:rsid w:val="64DAF16B"/>
    <w:rsid w:val="64F2A6FE"/>
    <w:rsid w:val="64F639ED"/>
    <w:rsid w:val="64FC4E5E"/>
    <w:rsid w:val="64FC822F"/>
    <w:rsid w:val="65076CDF"/>
    <w:rsid w:val="650D3574"/>
    <w:rsid w:val="65169787"/>
    <w:rsid w:val="651D4213"/>
    <w:rsid w:val="651F11A9"/>
    <w:rsid w:val="6520F218"/>
    <w:rsid w:val="652B34F9"/>
    <w:rsid w:val="652C6D75"/>
    <w:rsid w:val="652F2575"/>
    <w:rsid w:val="6540FE99"/>
    <w:rsid w:val="65435BF1"/>
    <w:rsid w:val="6549B919"/>
    <w:rsid w:val="654C01F4"/>
    <w:rsid w:val="6551C779"/>
    <w:rsid w:val="6558E312"/>
    <w:rsid w:val="65698E58"/>
    <w:rsid w:val="656A4233"/>
    <w:rsid w:val="658187C5"/>
    <w:rsid w:val="6589B1B9"/>
    <w:rsid w:val="65907077"/>
    <w:rsid w:val="6591DD2A"/>
    <w:rsid w:val="65A5BE56"/>
    <w:rsid w:val="65A92CBC"/>
    <w:rsid w:val="65ABAD61"/>
    <w:rsid w:val="65ACB20F"/>
    <w:rsid w:val="65AFD09A"/>
    <w:rsid w:val="65B86BE8"/>
    <w:rsid w:val="65BB3E62"/>
    <w:rsid w:val="65BBF888"/>
    <w:rsid w:val="65D960A8"/>
    <w:rsid w:val="65DF523F"/>
    <w:rsid w:val="65F8E65A"/>
    <w:rsid w:val="66112639"/>
    <w:rsid w:val="6617B1FE"/>
    <w:rsid w:val="661FCBD2"/>
    <w:rsid w:val="662920BE"/>
    <w:rsid w:val="66356451"/>
    <w:rsid w:val="663F7D83"/>
    <w:rsid w:val="664418A7"/>
    <w:rsid w:val="664A769E"/>
    <w:rsid w:val="6660CF75"/>
    <w:rsid w:val="66699DD8"/>
    <w:rsid w:val="666D414E"/>
    <w:rsid w:val="66749B05"/>
    <w:rsid w:val="66876AFB"/>
    <w:rsid w:val="6698CDEB"/>
    <w:rsid w:val="66AC146D"/>
    <w:rsid w:val="66C6E9CB"/>
    <w:rsid w:val="66C8EF8C"/>
    <w:rsid w:val="66C94DBF"/>
    <w:rsid w:val="66D7A564"/>
    <w:rsid w:val="66E17121"/>
    <w:rsid w:val="66E33A2C"/>
    <w:rsid w:val="66E770B8"/>
    <w:rsid w:val="66F3B057"/>
    <w:rsid w:val="673054A7"/>
    <w:rsid w:val="673FD51B"/>
    <w:rsid w:val="67492367"/>
    <w:rsid w:val="67493CA0"/>
    <w:rsid w:val="6758586B"/>
    <w:rsid w:val="6761D915"/>
    <w:rsid w:val="676ACEAC"/>
    <w:rsid w:val="676BF741"/>
    <w:rsid w:val="67792962"/>
    <w:rsid w:val="67986263"/>
    <w:rsid w:val="67A0F7A8"/>
    <w:rsid w:val="67C925F9"/>
    <w:rsid w:val="67CFBA54"/>
    <w:rsid w:val="67E0CCFA"/>
    <w:rsid w:val="67EFEECD"/>
    <w:rsid w:val="67F20F3F"/>
    <w:rsid w:val="67FEE2E5"/>
    <w:rsid w:val="68052023"/>
    <w:rsid w:val="680888A4"/>
    <w:rsid w:val="680B1D23"/>
    <w:rsid w:val="680C7CE7"/>
    <w:rsid w:val="6821AD97"/>
    <w:rsid w:val="682C2FFE"/>
    <w:rsid w:val="682E1D84"/>
    <w:rsid w:val="683E98F1"/>
    <w:rsid w:val="68568DB8"/>
    <w:rsid w:val="68644820"/>
    <w:rsid w:val="6870FEEC"/>
    <w:rsid w:val="6872606E"/>
    <w:rsid w:val="68791884"/>
    <w:rsid w:val="687DB590"/>
    <w:rsid w:val="68AB8CC6"/>
    <w:rsid w:val="68B14809"/>
    <w:rsid w:val="68B6C4E6"/>
    <w:rsid w:val="68C5AED1"/>
    <w:rsid w:val="68DB0385"/>
    <w:rsid w:val="68DF1F32"/>
    <w:rsid w:val="68E02533"/>
    <w:rsid w:val="68F79AF8"/>
    <w:rsid w:val="68F9319D"/>
    <w:rsid w:val="68F9EF75"/>
    <w:rsid w:val="68FBDAEB"/>
    <w:rsid w:val="69234AE2"/>
    <w:rsid w:val="6936C1DB"/>
    <w:rsid w:val="694F8535"/>
    <w:rsid w:val="69648110"/>
    <w:rsid w:val="6972A575"/>
    <w:rsid w:val="69818428"/>
    <w:rsid w:val="69885026"/>
    <w:rsid w:val="6994F39A"/>
    <w:rsid w:val="699A58FE"/>
    <w:rsid w:val="69AF8BD6"/>
    <w:rsid w:val="69B0E265"/>
    <w:rsid w:val="69B6D043"/>
    <w:rsid w:val="69B8379C"/>
    <w:rsid w:val="69B8676D"/>
    <w:rsid w:val="69BAFAD7"/>
    <w:rsid w:val="69CB075A"/>
    <w:rsid w:val="69D87952"/>
    <w:rsid w:val="69E4F422"/>
    <w:rsid w:val="69F50BFC"/>
    <w:rsid w:val="69F7E14E"/>
    <w:rsid w:val="69FBD2BE"/>
    <w:rsid w:val="69FE0565"/>
    <w:rsid w:val="6A13306E"/>
    <w:rsid w:val="6A14964C"/>
    <w:rsid w:val="6A155B7D"/>
    <w:rsid w:val="6A1B84E9"/>
    <w:rsid w:val="6A36F9FA"/>
    <w:rsid w:val="6A4D1D2D"/>
    <w:rsid w:val="6A4DED67"/>
    <w:rsid w:val="6A5119D5"/>
    <w:rsid w:val="6A542609"/>
    <w:rsid w:val="6A5C8B0E"/>
    <w:rsid w:val="6A5F1086"/>
    <w:rsid w:val="6A651B73"/>
    <w:rsid w:val="6A67BFFE"/>
    <w:rsid w:val="6A75B655"/>
    <w:rsid w:val="6A856153"/>
    <w:rsid w:val="6A8DFCE1"/>
    <w:rsid w:val="6A90553E"/>
    <w:rsid w:val="6A93F184"/>
    <w:rsid w:val="6A983213"/>
    <w:rsid w:val="6AA53919"/>
    <w:rsid w:val="6AADF78A"/>
    <w:rsid w:val="6AAFD728"/>
    <w:rsid w:val="6AB6A4E3"/>
    <w:rsid w:val="6ABB04BF"/>
    <w:rsid w:val="6ABE97DB"/>
    <w:rsid w:val="6AC1282D"/>
    <w:rsid w:val="6AD0D62E"/>
    <w:rsid w:val="6AE1E900"/>
    <w:rsid w:val="6AE47EAD"/>
    <w:rsid w:val="6AFCB27F"/>
    <w:rsid w:val="6B1BFCBF"/>
    <w:rsid w:val="6B1C0F75"/>
    <w:rsid w:val="6B24FFFC"/>
    <w:rsid w:val="6B2544AE"/>
    <w:rsid w:val="6B2EC9ED"/>
    <w:rsid w:val="6B3B78C7"/>
    <w:rsid w:val="6B410029"/>
    <w:rsid w:val="6B61F763"/>
    <w:rsid w:val="6B6E358C"/>
    <w:rsid w:val="6B7CEDAD"/>
    <w:rsid w:val="6B80DF24"/>
    <w:rsid w:val="6B8C0F2E"/>
    <w:rsid w:val="6B8C4023"/>
    <w:rsid w:val="6B960D42"/>
    <w:rsid w:val="6BA92F53"/>
    <w:rsid w:val="6BACCE79"/>
    <w:rsid w:val="6BAD2FE5"/>
    <w:rsid w:val="6BBEE3C0"/>
    <w:rsid w:val="6BC201AF"/>
    <w:rsid w:val="6BD0664E"/>
    <w:rsid w:val="6BE4E7F6"/>
    <w:rsid w:val="6BEE115A"/>
    <w:rsid w:val="6C0725CE"/>
    <w:rsid w:val="6C0FF8BA"/>
    <w:rsid w:val="6C16F18A"/>
    <w:rsid w:val="6C1CA320"/>
    <w:rsid w:val="6C232814"/>
    <w:rsid w:val="6C30748B"/>
    <w:rsid w:val="6C374EAA"/>
    <w:rsid w:val="6C3EAABA"/>
    <w:rsid w:val="6C4394A5"/>
    <w:rsid w:val="6C510922"/>
    <w:rsid w:val="6C56DC67"/>
    <w:rsid w:val="6C673F60"/>
    <w:rsid w:val="6C6C8D10"/>
    <w:rsid w:val="6C6CC75D"/>
    <w:rsid w:val="6C8AD8ED"/>
    <w:rsid w:val="6CA578B4"/>
    <w:rsid w:val="6CA6FC54"/>
    <w:rsid w:val="6CC5FC35"/>
    <w:rsid w:val="6CC7CBC5"/>
    <w:rsid w:val="6CCA7E19"/>
    <w:rsid w:val="6CD7B853"/>
    <w:rsid w:val="6CDBBEFA"/>
    <w:rsid w:val="6D03F71F"/>
    <w:rsid w:val="6D082A8C"/>
    <w:rsid w:val="6D0FE541"/>
    <w:rsid w:val="6D189BB1"/>
    <w:rsid w:val="6D1A1E91"/>
    <w:rsid w:val="6D1C4325"/>
    <w:rsid w:val="6D20DD27"/>
    <w:rsid w:val="6D3AA4B5"/>
    <w:rsid w:val="6D48501B"/>
    <w:rsid w:val="6D4A4ED4"/>
    <w:rsid w:val="6D4CA878"/>
    <w:rsid w:val="6D571175"/>
    <w:rsid w:val="6D5BFE72"/>
    <w:rsid w:val="6D6000CF"/>
    <w:rsid w:val="6D601582"/>
    <w:rsid w:val="6D744CFD"/>
    <w:rsid w:val="6D7A8EF2"/>
    <w:rsid w:val="6D7E7C09"/>
    <w:rsid w:val="6D877DD9"/>
    <w:rsid w:val="6D91B8E8"/>
    <w:rsid w:val="6D936DC3"/>
    <w:rsid w:val="6D9CDCAC"/>
    <w:rsid w:val="6DBDB0AD"/>
    <w:rsid w:val="6DBEFBBF"/>
    <w:rsid w:val="6DC55EC0"/>
    <w:rsid w:val="6DCA9149"/>
    <w:rsid w:val="6DCBC978"/>
    <w:rsid w:val="6DD7B36B"/>
    <w:rsid w:val="6DD891D5"/>
    <w:rsid w:val="6DD8AF8A"/>
    <w:rsid w:val="6DE0581D"/>
    <w:rsid w:val="6DF251AA"/>
    <w:rsid w:val="6DF7D4CA"/>
    <w:rsid w:val="6DFB2DCE"/>
    <w:rsid w:val="6DFBBD2C"/>
    <w:rsid w:val="6E03BF52"/>
    <w:rsid w:val="6E0C05C1"/>
    <w:rsid w:val="6E0E2FAC"/>
    <w:rsid w:val="6E109785"/>
    <w:rsid w:val="6E117395"/>
    <w:rsid w:val="6E1D6D2D"/>
    <w:rsid w:val="6E22639B"/>
    <w:rsid w:val="6E3CC331"/>
    <w:rsid w:val="6E3E6460"/>
    <w:rsid w:val="6E4C6DB4"/>
    <w:rsid w:val="6E516232"/>
    <w:rsid w:val="6E5ECDAF"/>
    <w:rsid w:val="6E6BE7C2"/>
    <w:rsid w:val="6E6BEBB4"/>
    <w:rsid w:val="6E83D730"/>
    <w:rsid w:val="6E85EB48"/>
    <w:rsid w:val="6E8E6CB3"/>
    <w:rsid w:val="6E9BCB71"/>
    <w:rsid w:val="6E9EE1AD"/>
    <w:rsid w:val="6EA3EACD"/>
    <w:rsid w:val="6EA80860"/>
    <w:rsid w:val="6EB887E1"/>
    <w:rsid w:val="6ED17FC7"/>
    <w:rsid w:val="6EE80660"/>
    <w:rsid w:val="6EE86CA6"/>
    <w:rsid w:val="6EEBFE66"/>
    <w:rsid w:val="6EF4910A"/>
    <w:rsid w:val="6EF919F9"/>
    <w:rsid w:val="6F0241C1"/>
    <w:rsid w:val="6F0A87B5"/>
    <w:rsid w:val="6F32F774"/>
    <w:rsid w:val="6F364590"/>
    <w:rsid w:val="6F3897C1"/>
    <w:rsid w:val="6F418432"/>
    <w:rsid w:val="6F54034F"/>
    <w:rsid w:val="6F6150F3"/>
    <w:rsid w:val="6F627BED"/>
    <w:rsid w:val="6F69D42A"/>
    <w:rsid w:val="6F6D06E9"/>
    <w:rsid w:val="6F7A80F8"/>
    <w:rsid w:val="6F90B8E0"/>
    <w:rsid w:val="6F936EED"/>
    <w:rsid w:val="6FA6E521"/>
    <w:rsid w:val="6FAC56D3"/>
    <w:rsid w:val="6FB00A9C"/>
    <w:rsid w:val="6FB866AB"/>
    <w:rsid w:val="6FBABD3E"/>
    <w:rsid w:val="6FCD4AC6"/>
    <w:rsid w:val="6FD37150"/>
    <w:rsid w:val="6FDA58F1"/>
    <w:rsid w:val="6FDC3E7F"/>
    <w:rsid w:val="6FEC5368"/>
    <w:rsid w:val="6FFFA751"/>
    <w:rsid w:val="700760E3"/>
    <w:rsid w:val="70084209"/>
    <w:rsid w:val="700E66E3"/>
    <w:rsid w:val="701A3C10"/>
    <w:rsid w:val="7031DE73"/>
    <w:rsid w:val="70389A36"/>
    <w:rsid w:val="703C9FA7"/>
    <w:rsid w:val="703D8587"/>
    <w:rsid w:val="705EFF74"/>
    <w:rsid w:val="706E3B36"/>
    <w:rsid w:val="707BE0E6"/>
    <w:rsid w:val="70833F49"/>
    <w:rsid w:val="7083B86F"/>
    <w:rsid w:val="7090C535"/>
    <w:rsid w:val="7094EA5A"/>
    <w:rsid w:val="70A2BC91"/>
    <w:rsid w:val="70A653F9"/>
    <w:rsid w:val="70AB9319"/>
    <w:rsid w:val="70B5DFAF"/>
    <w:rsid w:val="70E45A0F"/>
    <w:rsid w:val="70EB02E5"/>
    <w:rsid w:val="70EB774F"/>
    <w:rsid w:val="70FCE1FF"/>
    <w:rsid w:val="7107E029"/>
    <w:rsid w:val="71142EA6"/>
    <w:rsid w:val="711C763B"/>
    <w:rsid w:val="71223796"/>
    <w:rsid w:val="712558AD"/>
    <w:rsid w:val="712BEF0A"/>
    <w:rsid w:val="712F3AC1"/>
    <w:rsid w:val="7132AC53"/>
    <w:rsid w:val="7140A56F"/>
    <w:rsid w:val="71426B38"/>
    <w:rsid w:val="71469CB6"/>
    <w:rsid w:val="714764C3"/>
    <w:rsid w:val="715484C8"/>
    <w:rsid w:val="7157A51B"/>
    <w:rsid w:val="715EBF89"/>
    <w:rsid w:val="716B6752"/>
    <w:rsid w:val="71714D9D"/>
    <w:rsid w:val="7174CBDD"/>
    <w:rsid w:val="717795AB"/>
    <w:rsid w:val="717A5BE9"/>
    <w:rsid w:val="717D6C43"/>
    <w:rsid w:val="71806C33"/>
    <w:rsid w:val="718122FA"/>
    <w:rsid w:val="7199EE0F"/>
    <w:rsid w:val="71A8EE25"/>
    <w:rsid w:val="71B66749"/>
    <w:rsid w:val="71B6EBCA"/>
    <w:rsid w:val="71C240D1"/>
    <w:rsid w:val="71CF9BC2"/>
    <w:rsid w:val="71D2A480"/>
    <w:rsid w:val="71EC83BE"/>
    <w:rsid w:val="71F3CF42"/>
    <w:rsid w:val="71FC97F3"/>
    <w:rsid w:val="7208F008"/>
    <w:rsid w:val="72140D04"/>
    <w:rsid w:val="72288CBE"/>
    <w:rsid w:val="722C3176"/>
    <w:rsid w:val="722EEEF8"/>
    <w:rsid w:val="723E3931"/>
    <w:rsid w:val="725CCE0D"/>
    <w:rsid w:val="72734327"/>
    <w:rsid w:val="727A07DC"/>
    <w:rsid w:val="7291F285"/>
    <w:rsid w:val="72A658B6"/>
    <w:rsid w:val="72A6A1F5"/>
    <w:rsid w:val="72A7964A"/>
    <w:rsid w:val="72B54909"/>
    <w:rsid w:val="72BC2E21"/>
    <w:rsid w:val="72BD328D"/>
    <w:rsid w:val="72C2B9F6"/>
    <w:rsid w:val="72C73ACD"/>
    <w:rsid w:val="72D48EF4"/>
    <w:rsid w:val="72D7A827"/>
    <w:rsid w:val="72D8DC31"/>
    <w:rsid w:val="72DA5248"/>
    <w:rsid w:val="72DB1996"/>
    <w:rsid w:val="72FADF83"/>
    <w:rsid w:val="72FE5CB2"/>
    <w:rsid w:val="7312618B"/>
    <w:rsid w:val="7312C3FC"/>
    <w:rsid w:val="7326AD0B"/>
    <w:rsid w:val="7338BB02"/>
    <w:rsid w:val="733AE904"/>
    <w:rsid w:val="7346AB6F"/>
    <w:rsid w:val="73471CB5"/>
    <w:rsid w:val="735866EA"/>
    <w:rsid w:val="7372C4CB"/>
    <w:rsid w:val="7376E22D"/>
    <w:rsid w:val="7377DDED"/>
    <w:rsid w:val="7378D425"/>
    <w:rsid w:val="738203BF"/>
    <w:rsid w:val="73847246"/>
    <w:rsid w:val="7386B4D2"/>
    <w:rsid w:val="738E14A2"/>
    <w:rsid w:val="7394CEA2"/>
    <w:rsid w:val="739A76AB"/>
    <w:rsid w:val="739A8050"/>
    <w:rsid w:val="739DFC48"/>
    <w:rsid w:val="73A52894"/>
    <w:rsid w:val="73B24AB2"/>
    <w:rsid w:val="73B7E7A5"/>
    <w:rsid w:val="73E1D315"/>
    <w:rsid w:val="73E8A3CD"/>
    <w:rsid w:val="73F1F219"/>
    <w:rsid w:val="73F30AC1"/>
    <w:rsid w:val="7407A6DF"/>
    <w:rsid w:val="740D98FA"/>
    <w:rsid w:val="740E3496"/>
    <w:rsid w:val="741228A8"/>
    <w:rsid w:val="741F64F8"/>
    <w:rsid w:val="743B47BC"/>
    <w:rsid w:val="743D430D"/>
    <w:rsid w:val="745077BB"/>
    <w:rsid w:val="7456B9DA"/>
    <w:rsid w:val="745E1300"/>
    <w:rsid w:val="74609938"/>
    <w:rsid w:val="74759B24"/>
    <w:rsid w:val="747944AE"/>
    <w:rsid w:val="7499E2BB"/>
    <w:rsid w:val="74A00070"/>
    <w:rsid w:val="74A0E359"/>
    <w:rsid w:val="74A15595"/>
    <w:rsid w:val="74A548E6"/>
    <w:rsid w:val="74A57E0B"/>
    <w:rsid w:val="74AA248C"/>
    <w:rsid w:val="74C68C2A"/>
    <w:rsid w:val="74E39972"/>
    <w:rsid w:val="74F0B8A5"/>
    <w:rsid w:val="74F1BA13"/>
    <w:rsid w:val="74F21970"/>
    <w:rsid w:val="74F596B8"/>
    <w:rsid w:val="74F886CB"/>
    <w:rsid w:val="75083FD6"/>
    <w:rsid w:val="750E2B9E"/>
    <w:rsid w:val="7516ABA0"/>
    <w:rsid w:val="75190B20"/>
    <w:rsid w:val="751C11C0"/>
    <w:rsid w:val="751E01AE"/>
    <w:rsid w:val="75220F6F"/>
    <w:rsid w:val="7522E3B1"/>
    <w:rsid w:val="7523F306"/>
    <w:rsid w:val="7524D9BE"/>
    <w:rsid w:val="752BF8B1"/>
    <w:rsid w:val="75423D68"/>
    <w:rsid w:val="75466DAB"/>
    <w:rsid w:val="754ACA14"/>
    <w:rsid w:val="754C453E"/>
    <w:rsid w:val="754E4E65"/>
    <w:rsid w:val="75543D70"/>
    <w:rsid w:val="757652F0"/>
    <w:rsid w:val="757AE082"/>
    <w:rsid w:val="75841A9A"/>
    <w:rsid w:val="7590FF5B"/>
    <w:rsid w:val="759AC40B"/>
    <w:rsid w:val="75A9C17F"/>
    <w:rsid w:val="75B0AB70"/>
    <w:rsid w:val="75B291CB"/>
    <w:rsid w:val="75C99059"/>
    <w:rsid w:val="75D1CCD7"/>
    <w:rsid w:val="75E658E0"/>
    <w:rsid w:val="75F3C6DB"/>
    <w:rsid w:val="760357DC"/>
    <w:rsid w:val="76059DA3"/>
    <w:rsid w:val="760E4CFC"/>
    <w:rsid w:val="761B7DB3"/>
    <w:rsid w:val="76223DC4"/>
    <w:rsid w:val="7624BA4D"/>
    <w:rsid w:val="76346090"/>
    <w:rsid w:val="763C82EB"/>
    <w:rsid w:val="763DF9DC"/>
    <w:rsid w:val="7644096C"/>
    <w:rsid w:val="76494066"/>
    <w:rsid w:val="764AF001"/>
    <w:rsid w:val="765C41A5"/>
    <w:rsid w:val="767234E3"/>
    <w:rsid w:val="76750A2B"/>
    <w:rsid w:val="767B2FCA"/>
    <w:rsid w:val="7682A6C8"/>
    <w:rsid w:val="768F8B81"/>
    <w:rsid w:val="769BE5D6"/>
    <w:rsid w:val="76B00904"/>
    <w:rsid w:val="76B2CF92"/>
    <w:rsid w:val="76B534DD"/>
    <w:rsid w:val="76BD7760"/>
    <w:rsid w:val="76CB3424"/>
    <w:rsid w:val="76CDF879"/>
    <w:rsid w:val="76CF6857"/>
    <w:rsid w:val="76F23D59"/>
    <w:rsid w:val="76FAE7AE"/>
    <w:rsid w:val="77209BF5"/>
    <w:rsid w:val="77275B49"/>
    <w:rsid w:val="77278004"/>
    <w:rsid w:val="77339853"/>
    <w:rsid w:val="774A4DB4"/>
    <w:rsid w:val="7770E6AF"/>
    <w:rsid w:val="7787B97D"/>
    <w:rsid w:val="778E421A"/>
    <w:rsid w:val="77A0AF4E"/>
    <w:rsid w:val="77A29673"/>
    <w:rsid w:val="77A87051"/>
    <w:rsid w:val="77B095E5"/>
    <w:rsid w:val="77BCA53C"/>
    <w:rsid w:val="77C5044A"/>
    <w:rsid w:val="77CBE763"/>
    <w:rsid w:val="77CE3BB2"/>
    <w:rsid w:val="77E08F21"/>
    <w:rsid w:val="77E28D9D"/>
    <w:rsid w:val="77EB5A96"/>
    <w:rsid w:val="77EF496D"/>
    <w:rsid w:val="77F6C65C"/>
    <w:rsid w:val="77FA34FA"/>
    <w:rsid w:val="77FDD9E2"/>
    <w:rsid w:val="780044A3"/>
    <w:rsid w:val="780462E6"/>
    <w:rsid w:val="78081772"/>
    <w:rsid w:val="78178292"/>
    <w:rsid w:val="78229E13"/>
    <w:rsid w:val="78282C1E"/>
    <w:rsid w:val="782B38B0"/>
    <w:rsid w:val="782E8E47"/>
    <w:rsid w:val="783B428D"/>
    <w:rsid w:val="784A0F6C"/>
    <w:rsid w:val="785529A0"/>
    <w:rsid w:val="7886D3E2"/>
    <w:rsid w:val="7887F267"/>
    <w:rsid w:val="789BF021"/>
    <w:rsid w:val="789EB1B8"/>
    <w:rsid w:val="78BDACD6"/>
    <w:rsid w:val="78D5087A"/>
    <w:rsid w:val="78D92B6B"/>
    <w:rsid w:val="78DF7BB5"/>
    <w:rsid w:val="78E14E36"/>
    <w:rsid w:val="78E56478"/>
    <w:rsid w:val="78EB13A2"/>
    <w:rsid w:val="78F3FEED"/>
    <w:rsid w:val="78F6248D"/>
    <w:rsid w:val="78F6FAC7"/>
    <w:rsid w:val="78F7F372"/>
    <w:rsid w:val="78FD6B44"/>
    <w:rsid w:val="7920585D"/>
    <w:rsid w:val="79231505"/>
    <w:rsid w:val="79289478"/>
    <w:rsid w:val="792E5DA8"/>
    <w:rsid w:val="792FCFC9"/>
    <w:rsid w:val="7933D9BD"/>
    <w:rsid w:val="7934BC64"/>
    <w:rsid w:val="79383617"/>
    <w:rsid w:val="79392F9D"/>
    <w:rsid w:val="793C6AD8"/>
    <w:rsid w:val="7956F8B2"/>
    <w:rsid w:val="7963468B"/>
    <w:rsid w:val="79637BDC"/>
    <w:rsid w:val="796DAEF5"/>
    <w:rsid w:val="796FD9EF"/>
    <w:rsid w:val="7974842D"/>
    <w:rsid w:val="7977C03E"/>
    <w:rsid w:val="79796EE5"/>
    <w:rsid w:val="797E0CED"/>
    <w:rsid w:val="798316BB"/>
    <w:rsid w:val="7986FA39"/>
    <w:rsid w:val="7989D9EC"/>
    <w:rsid w:val="798B2B93"/>
    <w:rsid w:val="799C3696"/>
    <w:rsid w:val="79A05763"/>
    <w:rsid w:val="79A53DED"/>
    <w:rsid w:val="79A93812"/>
    <w:rsid w:val="79ACB4D2"/>
    <w:rsid w:val="79B644FD"/>
    <w:rsid w:val="79C664F7"/>
    <w:rsid w:val="79CA3912"/>
    <w:rsid w:val="79CEE69C"/>
    <w:rsid w:val="79D15A08"/>
    <w:rsid w:val="79D17030"/>
    <w:rsid w:val="79D2767A"/>
    <w:rsid w:val="79EA29C5"/>
    <w:rsid w:val="79F14CC9"/>
    <w:rsid w:val="79F204FD"/>
    <w:rsid w:val="7A033344"/>
    <w:rsid w:val="7A079818"/>
    <w:rsid w:val="7A0C89DB"/>
    <w:rsid w:val="7A11BF72"/>
    <w:rsid w:val="7A14428E"/>
    <w:rsid w:val="7A1EDD29"/>
    <w:rsid w:val="7A1F0DD4"/>
    <w:rsid w:val="7A310E1A"/>
    <w:rsid w:val="7A5A7EBF"/>
    <w:rsid w:val="7A5C0714"/>
    <w:rsid w:val="7A70E373"/>
    <w:rsid w:val="7A8D0CB3"/>
    <w:rsid w:val="7A8F16BA"/>
    <w:rsid w:val="7A97ECA8"/>
    <w:rsid w:val="7AACD6E7"/>
    <w:rsid w:val="7AB1589C"/>
    <w:rsid w:val="7AB21743"/>
    <w:rsid w:val="7AB8E5DD"/>
    <w:rsid w:val="7AD1728C"/>
    <w:rsid w:val="7AEC2578"/>
    <w:rsid w:val="7AED39BC"/>
    <w:rsid w:val="7AF7BE33"/>
    <w:rsid w:val="7AF98AE0"/>
    <w:rsid w:val="7B059458"/>
    <w:rsid w:val="7B05F4AD"/>
    <w:rsid w:val="7B088AB9"/>
    <w:rsid w:val="7B08F206"/>
    <w:rsid w:val="7B21D79C"/>
    <w:rsid w:val="7B228339"/>
    <w:rsid w:val="7B25DBE8"/>
    <w:rsid w:val="7B3BF9BD"/>
    <w:rsid w:val="7B4231AB"/>
    <w:rsid w:val="7B43285E"/>
    <w:rsid w:val="7B519F9F"/>
    <w:rsid w:val="7B5F0597"/>
    <w:rsid w:val="7B65C836"/>
    <w:rsid w:val="7B6B45B6"/>
    <w:rsid w:val="7B8D9F43"/>
    <w:rsid w:val="7B9C009F"/>
    <w:rsid w:val="7BA1EBCB"/>
    <w:rsid w:val="7BA4C27F"/>
    <w:rsid w:val="7BA57077"/>
    <w:rsid w:val="7BAE4570"/>
    <w:rsid w:val="7BB24AAB"/>
    <w:rsid w:val="7BB7EF9D"/>
    <w:rsid w:val="7BC83ED1"/>
    <w:rsid w:val="7BC92A31"/>
    <w:rsid w:val="7BE1BA9E"/>
    <w:rsid w:val="7BE3FA2C"/>
    <w:rsid w:val="7BE7FD8B"/>
    <w:rsid w:val="7BE85CEC"/>
    <w:rsid w:val="7BEBA0DA"/>
    <w:rsid w:val="7BEDB46F"/>
    <w:rsid w:val="7BEFA983"/>
    <w:rsid w:val="7BFB2B0A"/>
    <w:rsid w:val="7BFF0C86"/>
    <w:rsid w:val="7C0B4BCB"/>
    <w:rsid w:val="7C1EF0D5"/>
    <w:rsid w:val="7C21A2B9"/>
    <w:rsid w:val="7C2211F8"/>
    <w:rsid w:val="7C235806"/>
    <w:rsid w:val="7C2A7B86"/>
    <w:rsid w:val="7C2BCB3F"/>
    <w:rsid w:val="7C31B4AB"/>
    <w:rsid w:val="7C4AC2B2"/>
    <w:rsid w:val="7C5AC63E"/>
    <w:rsid w:val="7C5CFDD3"/>
    <w:rsid w:val="7C72D6C9"/>
    <w:rsid w:val="7C735C33"/>
    <w:rsid w:val="7C73D1E5"/>
    <w:rsid w:val="7C747A24"/>
    <w:rsid w:val="7C839150"/>
    <w:rsid w:val="7C8A21C0"/>
    <w:rsid w:val="7C933224"/>
    <w:rsid w:val="7C9BE4CD"/>
    <w:rsid w:val="7C9D4C1F"/>
    <w:rsid w:val="7CA864F0"/>
    <w:rsid w:val="7CACE74B"/>
    <w:rsid w:val="7CB45E9D"/>
    <w:rsid w:val="7CB81D43"/>
    <w:rsid w:val="7CB9BC03"/>
    <w:rsid w:val="7CC749D6"/>
    <w:rsid w:val="7CCE7BD2"/>
    <w:rsid w:val="7CDDECF0"/>
    <w:rsid w:val="7CE6753F"/>
    <w:rsid w:val="7CE9939B"/>
    <w:rsid w:val="7CEC0E5C"/>
    <w:rsid w:val="7CF25A88"/>
    <w:rsid w:val="7CFD8DF5"/>
    <w:rsid w:val="7CFF7212"/>
    <w:rsid w:val="7D14AA4E"/>
    <w:rsid w:val="7D1ACD19"/>
    <w:rsid w:val="7D1B074D"/>
    <w:rsid w:val="7D2E22DF"/>
    <w:rsid w:val="7D447D22"/>
    <w:rsid w:val="7D4DC83A"/>
    <w:rsid w:val="7D53A3B6"/>
    <w:rsid w:val="7D55799D"/>
    <w:rsid w:val="7D6533DD"/>
    <w:rsid w:val="7D67B390"/>
    <w:rsid w:val="7D6C8EBB"/>
    <w:rsid w:val="7D6E9B99"/>
    <w:rsid w:val="7D7131B0"/>
    <w:rsid w:val="7D794DC9"/>
    <w:rsid w:val="7D936C6A"/>
    <w:rsid w:val="7D957429"/>
    <w:rsid w:val="7D964044"/>
    <w:rsid w:val="7D9CC927"/>
    <w:rsid w:val="7DB64D56"/>
    <w:rsid w:val="7DC3102F"/>
    <w:rsid w:val="7DCB9766"/>
    <w:rsid w:val="7DD3ABEA"/>
    <w:rsid w:val="7DDE5B50"/>
    <w:rsid w:val="7DE368DD"/>
    <w:rsid w:val="7DE659DC"/>
    <w:rsid w:val="7DF91FFE"/>
    <w:rsid w:val="7E0BCF87"/>
    <w:rsid w:val="7E1489B4"/>
    <w:rsid w:val="7E162476"/>
    <w:rsid w:val="7E348074"/>
    <w:rsid w:val="7E48F5CA"/>
    <w:rsid w:val="7E49FDE4"/>
    <w:rsid w:val="7E4EA7E6"/>
    <w:rsid w:val="7E55D8EC"/>
    <w:rsid w:val="7E579B37"/>
    <w:rsid w:val="7E6C7E89"/>
    <w:rsid w:val="7E726A26"/>
    <w:rsid w:val="7E72A7B5"/>
    <w:rsid w:val="7E737FDB"/>
    <w:rsid w:val="7E76ABBC"/>
    <w:rsid w:val="7E79E279"/>
    <w:rsid w:val="7E7E6D7E"/>
    <w:rsid w:val="7E89CEB8"/>
    <w:rsid w:val="7E8F6B90"/>
    <w:rsid w:val="7E94F11A"/>
    <w:rsid w:val="7E9F9D28"/>
    <w:rsid w:val="7EB2E0D6"/>
    <w:rsid w:val="7ECC8E9D"/>
    <w:rsid w:val="7EDD2CD4"/>
    <w:rsid w:val="7EDE60EC"/>
    <w:rsid w:val="7EE1CF39"/>
    <w:rsid w:val="7EE3F9E7"/>
    <w:rsid w:val="7EE8952C"/>
    <w:rsid w:val="7EFF74C5"/>
    <w:rsid w:val="7F03E56B"/>
    <w:rsid w:val="7F07B1D6"/>
    <w:rsid w:val="7F085E6A"/>
    <w:rsid w:val="7F092CE4"/>
    <w:rsid w:val="7F0E0AB6"/>
    <w:rsid w:val="7F2EF765"/>
    <w:rsid w:val="7F34874E"/>
    <w:rsid w:val="7F383B2D"/>
    <w:rsid w:val="7F3AE626"/>
    <w:rsid w:val="7F4702F4"/>
    <w:rsid w:val="7F4BA33A"/>
    <w:rsid w:val="7F4BC6EE"/>
    <w:rsid w:val="7F53D5CE"/>
    <w:rsid w:val="7F59335B"/>
    <w:rsid w:val="7F6AF61F"/>
    <w:rsid w:val="7F85F69B"/>
    <w:rsid w:val="7F8D96AF"/>
    <w:rsid w:val="7F8DA2F5"/>
    <w:rsid w:val="7FAE90A4"/>
    <w:rsid w:val="7FBAD3F8"/>
    <w:rsid w:val="7FBC7CFE"/>
    <w:rsid w:val="7FE0796A"/>
    <w:rsid w:val="7FF76B25"/>
    <w:rsid w:val="7FFDC09B"/>
    <w:rsid w:val="7FFFD2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2A9B2B1A-4822-4DFE-B5B9-8B74B2950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E0D"/>
    <w:pPr>
      <w:spacing w:after="240"/>
    </w:pPr>
  </w:style>
  <w:style w:type="paragraph" w:styleId="Heading1">
    <w:name w:val="heading 1"/>
    <w:basedOn w:val="Normal"/>
    <w:next w:val="Normal"/>
    <w:link w:val="Heading1Char"/>
    <w:uiPriority w:val="9"/>
    <w:qFormat/>
    <w:rsid w:val="002E5BAD"/>
    <w:pPr>
      <w:keepNext/>
      <w:keepLines/>
      <w:spacing w:before="2520" w:after="0" w:line="1500" w:lineRule="exact"/>
      <w:jc w:val="right"/>
      <w:outlineLvl w:val="0"/>
    </w:pPr>
    <w:rPr>
      <w:rFonts w:ascii="Segoe UI" w:eastAsiaTheme="majorEastAsia" w:hAnsi="Segoe UI" w:cstheme="majorBidi"/>
      <w:color w:val="FFFFFF" w:themeColor="background1"/>
      <w:sz w:val="50"/>
      <w:szCs w:val="32"/>
    </w:rPr>
  </w:style>
  <w:style w:type="paragraph" w:styleId="Heading2">
    <w:name w:val="heading 2"/>
    <w:basedOn w:val="Normal"/>
    <w:next w:val="Normal"/>
    <w:link w:val="Heading2Char"/>
    <w:uiPriority w:val="9"/>
    <w:unhideWhenUsed/>
    <w:qFormat/>
    <w:rsid w:val="002E5BAD"/>
    <w:pPr>
      <w:keepNext/>
      <w:keepLines/>
      <w:spacing w:before="720"/>
      <w:outlineLvl w:val="1"/>
    </w:pPr>
    <w:rPr>
      <w:rFonts w:asciiTheme="majorHAnsi" w:eastAsiaTheme="majorEastAsia" w:hAnsiTheme="majorHAnsi" w:cstheme="majorBidi"/>
      <w:b/>
      <w:color w:val="004F9E" w:themeColor="text2"/>
      <w:sz w:val="44"/>
      <w:szCs w:val="26"/>
    </w:rPr>
  </w:style>
  <w:style w:type="paragraph" w:styleId="Heading3">
    <w:name w:val="heading 3"/>
    <w:basedOn w:val="Normal"/>
    <w:next w:val="Normal"/>
    <w:link w:val="Heading3Char"/>
    <w:uiPriority w:val="9"/>
    <w:unhideWhenUsed/>
    <w:qFormat/>
    <w:rsid w:val="002E5BAD"/>
    <w:pPr>
      <w:keepNext/>
      <w:keepLines/>
      <w:spacing w:before="320" w:after="60"/>
      <w:outlineLvl w:val="2"/>
    </w:pPr>
    <w:rPr>
      <w:rFonts w:asciiTheme="majorHAnsi" w:eastAsiaTheme="majorEastAsia" w:hAnsiTheme="majorHAnsi" w:cstheme="majorBidi"/>
      <w:b/>
      <w:color w:val="002C3E" w:themeColor="background2"/>
      <w:sz w:val="32"/>
      <w:szCs w:val="24"/>
    </w:rPr>
  </w:style>
  <w:style w:type="paragraph" w:styleId="Heading4">
    <w:name w:val="heading 4"/>
    <w:basedOn w:val="Normal"/>
    <w:next w:val="Normal"/>
    <w:link w:val="Heading4Char"/>
    <w:uiPriority w:val="9"/>
    <w:unhideWhenUsed/>
    <w:qFormat/>
    <w:rsid w:val="002E5BAD"/>
    <w:pPr>
      <w:keepNext/>
      <w:keepLines/>
      <w:spacing w:before="360" w:after="0"/>
      <w:outlineLvl w:val="3"/>
    </w:pPr>
    <w:rPr>
      <w:rFonts w:ascii="Segoe UI" w:eastAsiaTheme="majorEastAsia" w:hAnsi="Segoe UI" w:cstheme="majorBidi"/>
      <w:b/>
      <w:iCs/>
      <w:color w:val="595959" w:themeColor="text1" w:themeTint="A6"/>
      <w:sz w:val="28"/>
    </w:rPr>
  </w:style>
  <w:style w:type="paragraph" w:styleId="Heading5">
    <w:name w:val="heading 5"/>
    <w:basedOn w:val="Normal"/>
    <w:next w:val="Normal"/>
    <w:link w:val="Heading5Char"/>
    <w:uiPriority w:val="9"/>
    <w:unhideWhenUsed/>
    <w:qFormat/>
    <w:rsid w:val="002E5BAD"/>
    <w:pPr>
      <w:keepNext/>
      <w:keepLines/>
      <w:spacing w:before="40" w:after="0"/>
      <w:outlineLvl w:val="4"/>
    </w:pPr>
    <w:rPr>
      <w:rFonts w:asciiTheme="majorHAnsi" w:eastAsiaTheme="majorEastAsia" w:hAnsiTheme="majorHAnsi" w:cstheme="majorBidi"/>
      <w:b/>
      <w:color w:val="004F9E" w:themeColor="text2"/>
      <w:sz w:val="26"/>
    </w:rPr>
  </w:style>
  <w:style w:type="paragraph" w:styleId="Heading6">
    <w:name w:val="heading 6"/>
    <w:basedOn w:val="Normal"/>
    <w:next w:val="Normal"/>
    <w:link w:val="Heading6Char"/>
    <w:uiPriority w:val="9"/>
    <w:unhideWhenUsed/>
    <w:qFormat/>
    <w:rsid w:val="002E5BAD"/>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FECF5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aliases w:val="Bold"/>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004F9E"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aliases w:val="AERO basic table"/>
    <w:basedOn w:val="TableNormal"/>
    <w:uiPriority w:val="5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5BAD"/>
    <w:rPr>
      <w:rFonts w:ascii="Segoe UI" w:eastAsiaTheme="majorEastAsia" w:hAnsi="Segoe UI" w:cstheme="majorBidi"/>
      <w:color w:val="FFFFFF" w:themeColor="background1"/>
      <w:sz w:val="50"/>
      <w:szCs w:val="32"/>
    </w:rPr>
  </w:style>
  <w:style w:type="character" w:customStyle="1" w:styleId="Heading2Char">
    <w:name w:val="Heading 2 Char"/>
    <w:basedOn w:val="DefaultParagraphFont"/>
    <w:link w:val="Heading2"/>
    <w:uiPriority w:val="9"/>
    <w:rsid w:val="002E5BAD"/>
    <w:rPr>
      <w:rFonts w:asciiTheme="majorHAnsi" w:eastAsiaTheme="majorEastAsia" w:hAnsiTheme="majorHAnsi" w:cstheme="majorBidi"/>
      <w:b/>
      <w:color w:val="004F9E" w:themeColor="text2"/>
      <w:sz w:val="44"/>
      <w:szCs w:val="26"/>
    </w:rPr>
  </w:style>
  <w:style w:type="character" w:customStyle="1" w:styleId="Heading3Char">
    <w:name w:val="Heading 3 Char"/>
    <w:basedOn w:val="DefaultParagraphFont"/>
    <w:link w:val="Heading3"/>
    <w:uiPriority w:val="9"/>
    <w:rsid w:val="002E5BAD"/>
    <w:rPr>
      <w:rFonts w:asciiTheme="majorHAnsi" w:eastAsiaTheme="majorEastAsia" w:hAnsiTheme="majorHAnsi" w:cstheme="majorBidi"/>
      <w:b/>
      <w:color w:val="002C3E" w:themeColor="background2"/>
      <w:sz w:val="32"/>
      <w:szCs w:val="24"/>
    </w:rPr>
  </w:style>
  <w:style w:type="character" w:customStyle="1" w:styleId="Heading4Char">
    <w:name w:val="Heading 4 Char"/>
    <w:basedOn w:val="DefaultParagraphFont"/>
    <w:link w:val="Heading4"/>
    <w:uiPriority w:val="9"/>
    <w:rsid w:val="002E5BAD"/>
    <w:rPr>
      <w:rFonts w:ascii="Segoe UI" w:eastAsiaTheme="majorEastAsia" w:hAnsi="Segoe UI" w:cstheme="majorBidi"/>
      <w:b/>
      <w:iCs/>
      <w:color w:val="595959" w:themeColor="text1" w:themeTint="A6"/>
      <w:sz w:val="28"/>
    </w:rPr>
  </w:style>
  <w:style w:type="character" w:customStyle="1" w:styleId="Heading5Char">
    <w:name w:val="Heading 5 Char"/>
    <w:basedOn w:val="DefaultParagraphFont"/>
    <w:link w:val="Heading5"/>
    <w:uiPriority w:val="9"/>
    <w:rsid w:val="002E5BAD"/>
    <w:rPr>
      <w:rFonts w:asciiTheme="majorHAnsi" w:eastAsiaTheme="majorEastAsia" w:hAnsiTheme="majorHAnsi" w:cstheme="majorBidi"/>
      <w:b/>
      <w:color w:val="004F9E" w:themeColor="text2"/>
      <w:sz w:val="26"/>
    </w:rPr>
  </w:style>
  <w:style w:type="character" w:customStyle="1" w:styleId="Heading6Char">
    <w:name w:val="Heading 6 Char"/>
    <w:basedOn w:val="DefaultParagraphFont"/>
    <w:link w:val="Heading6"/>
    <w:uiPriority w:val="9"/>
    <w:rsid w:val="002E5BAD"/>
    <w:rPr>
      <w:rFonts w:asciiTheme="majorHAnsi" w:eastAsiaTheme="majorEastAsia" w:hAnsiTheme="majorHAnsi" w:cstheme="majorBidi"/>
      <w:b/>
      <w:color w:val="5F636A"/>
    </w:rPr>
  </w:style>
  <w:style w:type="paragraph" w:styleId="Caption">
    <w:name w:val="caption"/>
    <w:aliases w:val="Image title,Caption-Tables Figures"/>
    <w:basedOn w:val="Normal"/>
    <w:next w:val="Normal"/>
    <w:uiPriority w:val="35"/>
    <w:qFormat/>
    <w:rsid w:val="00F76C9D"/>
    <w:pPr>
      <w:spacing w:after="120" w:line="240" w:lineRule="auto"/>
    </w:pPr>
    <w:rPr>
      <w:b/>
      <w:iCs/>
      <w:color w:val="002C3E" w:themeColor="background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FECF52"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FFFFF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FFFFFF" w:themeColor="accent4"/>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spacing w:after="200"/>
      <w:ind w:left="360" w:hanging="36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F76C9D"/>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002C3E" w:themeFill="background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BE5A87"/>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2E5BAD"/>
    <w:pPr>
      <w:spacing w:before="0" w:after="240" w:line="259" w:lineRule="auto"/>
      <w:jc w:val="left"/>
      <w:outlineLvl w:val="9"/>
    </w:pPr>
    <w:rPr>
      <w:rFonts w:asciiTheme="majorHAnsi" w:hAnsiTheme="majorHAnsi"/>
      <w:b/>
      <w:color w:val="004F9E" w:themeColor="text2"/>
      <w:sz w:val="44"/>
      <w:lang w:val="en-US"/>
    </w:rPr>
  </w:style>
  <w:style w:type="character" w:customStyle="1" w:styleId="Heading1REPORT">
    <w:name w:val="Heading 1 (REPORT)"/>
    <w:basedOn w:val="DefaultParagraphFont"/>
    <w:uiPriority w:val="1"/>
    <w:qFormat/>
    <w:rsid w:val="002E5BAD"/>
    <w:rPr>
      <w:rFonts w:ascii="Segoe UI" w:hAnsi="Segoe UI"/>
      <w:b w:val="0"/>
      <w:caps/>
      <w:smallCaps w:val="0"/>
      <w:sz w:val="134"/>
    </w:rPr>
  </w:style>
  <w:style w:type="character" w:customStyle="1" w:styleId="Heading12023">
    <w:name w:val="Heading 1 (2023)"/>
    <w:basedOn w:val="Heading1REPORT"/>
    <w:uiPriority w:val="1"/>
    <w:qFormat/>
    <w:rsid w:val="002E5BAD"/>
    <w:rPr>
      <w:rFonts w:ascii="Segoe UI Light" w:hAnsi="Segoe UI Light"/>
      <w:b w:val="0"/>
      <w:caps/>
      <w:smallCaps w:val="0"/>
      <w:position w:val="0"/>
      <w:sz w:val="134"/>
    </w:rPr>
  </w:style>
  <w:style w:type="numbering" w:customStyle="1" w:styleId="NoList1">
    <w:name w:val="No List1"/>
    <w:next w:val="NoList"/>
    <w:uiPriority w:val="99"/>
    <w:semiHidden/>
    <w:unhideWhenUsed/>
    <w:rsid w:val="00B707E9"/>
  </w:style>
  <w:style w:type="paragraph" w:customStyle="1" w:styleId="msonormal0">
    <w:name w:val="msonormal"/>
    <w:basedOn w:val="Normal"/>
    <w:rsid w:val="00B707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B707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B707E9"/>
  </w:style>
  <w:style w:type="character" w:customStyle="1" w:styleId="normaltextrun">
    <w:name w:val="normaltextrun"/>
    <w:basedOn w:val="DefaultParagraphFont"/>
    <w:rsid w:val="00B707E9"/>
  </w:style>
  <w:style w:type="character" w:customStyle="1" w:styleId="eop">
    <w:name w:val="eop"/>
    <w:basedOn w:val="DefaultParagraphFont"/>
    <w:rsid w:val="00B707E9"/>
  </w:style>
  <w:style w:type="character" w:customStyle="1" w:styleId="contentcontrolboundarysink">
    <w:name w:val="contentcontrolboundarysink"/>
    <w:basedOn w:val="DefaultParagraphFont"/>
    <w:rsid w:val="00B707E9"/>
  </w:style>
  <w:style w:type="character" w:customStyle="1" w:styleId="contentcontrol">
    <w:name w:val="contentcontrol"/>
    <w:basedOn w:val="DefaultParagraphFont"/>
    <w:rsid w:val="00B707E9"/>
  </w:style>
  <w:style w:type="character" w:customStyle="1" w:styleId="toclinkoverridethemed">
    <w:name w:val="toclinkoverridethemed"/>
    <w:basedOn w:val="DefaultParagraphFont"/>
    <w:rsid w:val="00B707E9"/>
  </w:style>
  <w:style w:type="character" w:customStyle="1" w:styleId="pagebreakblob">
    <w:name w:val="pagebreakblob"/>
    <w:basedOn w:val="DefaultParagraphFont"/>
    <w:rsid w:val="00B707E9"/>
  </w:style>
  <w:style w:type="character" w:customStyle="1" w:styleId="pagebreakborderspan">
    <w:name w:val="pagebreakborderspan"/>
    <w:basedOn w:val="DefaultParagraphFont"/>
    <w:rsid w:val="00B707E9"/>
  </w:style>
  <w:style w:type="character" w:customStyle="1" w:styleId="pagebreaktextspan">
    <w:name w:val="pagebreaktextspan"/>
    <w:basedOn w:val="DefaultParagraphFont"/>
    <w:rsid w:val="00B707E9"/>
  </w:style>
  <w:style w:type="character" w:styleId="FollowedHyperlink">
    <w:name w:val="FollowedHyperlink"/>
    <w:basedOn w:val="DefaultParagraphFont"/>
    <w:uiPriority w:val="99"/>
    <w:semiHidden/>
    <w:unhideWhenUsed/>
    <w:rsid w:val="00B707E9"/>
    <w:rPr>
      <w:color w:val="800080"/>
      <w:u w:val="single"/>
    </w:rPr>
  </w:style>
  <w:style w:type="paragraph" w:customStyle="1" w:styleId="outlineelement">
    <w:name w:val="outlineelement"/>
    <w:basedOn w:val="Normal"/>
    <w:rsid w:val="00B707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nebreakblob">
    <w:name w:val="linebreakblob"/>
    <w:basedOn w:val="DefaultParagraphFont"/>
    <w:rsid w:val="00B707E9"/>
  </w:style>
  <w:style w:type="character" w:customStyle="1" w:styleId="scxw36551732">
    <w:name w:val="scxw36551732"/>
    <w:basedOn w:val="DefaultParagraphFont"/>
    <w:rsid w:val="00B707E9"/>
  </w:style>
  <w:style w:type="character" w:customStyle="1" w:styleId="wacimagegroupcontainer">
    <w:name w:val="wacimagegroupcontainer"/>
    <w:basedOn w:val="DefaultParagraphFont"/>
    <w:rsid w:val="00B707E9"/>
  </w:style>
  <w:style w:type="character" w:customStyle="1" w:styleId="wacimagecontainer">
    <w:name w:val="wacimagecontainer"/>
    <w:basedOn w:val="DefaultParagraphFont"/>
    <w:rsid w:val="00B707E9"/>
  </w:style>
  <w:style w:type="character" w:customStyle="1" w:styleId="wacimageplaceholder">
    <w:name w:val="wacimageplaceholder"/>
    <w:basedOn w:val="DefaultParagraphFont"/>
    <w:rsid w:val="00B707E9"/>
  </w:style>
  <w:style w:type="character" w:customStyle="1" w:styleId="wacprogress">
    <w:name w:val="wacprogress"/>
    <w:basedOn w:val="DefaultParagraphFont"/>
    <w:rsid w:val="00B707E9"/>
  </w:style>
  <w:style w:type="character" w:customStyle="1" w:styleId="wacimageplaceholderfiller">
    <w:name w:val="wacimageplaceholderfiller"/>
    <w:basedOn w:val="DefaultParagraphFont"/>
    <w:rsid w:val="00B707E9"/>
  </w:style>
  <w:style w:type="character" w:customStyle="1" w:styleId="superscript">
    <w:name w:val="superscript"/>
    <w:basedOn w:val="DefaultParagraphFont"/>
    <w:rsid w:val="00B707E9"/>
  </w:style>
  <w:style w:type="character" w:styleId="CommentReference">
    <w:name w:val="annotation reference"/>
    <w:basedOn w:val="DefaultParagraphFont"/>
    <w:uiPriority w:val="99"/>
    <w:semiHidden/>
    <w:unhideWhenUsed/>
    <w:rsid w:val="00665521"/>
    <w:rPr>
      <w:sz w:val="16"/>
      <w:szCs w:val="16"/>
    </w:rPr>
  </w:style>
  <w:style w:type="paragraph" w:styleId="CommentText">
    <w:name w:val="annotation text"/>
    <w:basedOn w:val="Normal"/>
    <w:link w:val="CommentTextChar"/>
    <w:uiPriority w:val="99"/>
    <w:unhideWhenUsed/>
    <w:rsid w:val="00665521"/>
    <w:pPr>
      <w:spacing w:line="240" w:lineRule="auto"/>
    </w:pPr>
    <w:rPr>
      <w:sz w:val="20"/>
      <w:szCs w:val="20"/>
    </w:rPr>
  </w:style>
  <w:style w:type="character" w:customStyle="1" w:styleId="CommentTextChar">
    <w:name w:val="Comment Text Char"/>
    <w:basedOn w:val="DefaultParagraphFont"/>
    <w:link w:val="CommentText"/>
    <w:uiPriority w:val="99"/>
    <w:rsid w:val="00665521"/>
    <w:rPr>
      <w:sz w:val="20"/>
      <w:szCs w:val="20"/>
    </w:rPr>
  </w:style>
  <w:style w:type="paragraph" w:styleId="CommentSubject">
    <w:name w:val="annotation subject"/>
    <w:basedOn w:val="CommentText"/>
    <w:next w:val="CommentText"/>
    <w:link w:val="CommentSubjectChar"/>
    <w:uiPriority w:val="99"/>
    <w:semiHidden/>
    <w:unhideWhenUsed/>
    <w:rsid w:val="00665521"/>
    <w:rPr>
      <w:b/>
      <w:bCs/>
    </w:rPr>
  </w:style>
  <w:style w:type="character" w:customStyle="1" w:styleId="CommentSubjectChar">
    <w:name w:val="Comment Subject Char"/>
    <w:basedOn w:val="CommentTextChar"/>
    <w:link w:val="CommentSubject"/>
    <w:uiPriority w:val="99"/>
    <w:semiHidden/>
    <w:rsid w:val="00665521"/>
    <w:rPr>
      <w:b/>
      <w:bCs/>
      <w:sz w:val="20"/>
      <w:szCs w:val="20"/>
    </w:rPr>
  </w:style>
  <w:style w:type="paragraph" w:styleId="ListParagraph">
    <w:name w:val="List Paragraph"/>
    <w:aliases w:val="List Paragraph1,List Paragraph11,List Paragraph Number,Bullet point,Recommendation,L,Content descriptions,Bullet Point,dot point List Paragraph,Figure_name,Bullet- First level,Listenabsatz1,List Paragraph2,List Bullet 1,Body Bullets 1,lp1"/>
    <w:basedOn w:val="Normal"/>
    <w:link w:val="ListParagraphChar"/>
    <w:uiPriority w:val="34"/>
    <w:qFormat/>
    <w:rsid w:val="00996E0F"/>
    <w:pPr>
      <w:spacing w:after="0" w:line="240" w:lineRule="auto"/>
      <w:ind w:left="720"/>
      <w:contextualSpacing/>
    </w:pPr>
    <w:rPr>
      <w:sz w:val="24"/>
      <w:szCs w:val="24"/>
    </w:rPr>
  </w:style>
  <w:style w:type="character" w:customStyle="1" w:styleId="ListParagraphChar">
    <w:name w:val="List Paragraph Char"/>
    <w:aliases w:val="List Paragraph1 Char,List Paragraph11 Char,List Paragraph Number Char,Bullet point Char,Recommendation Char,L Char,Content descriptions Char,Bullet Point Char,dot point List Paragraph Char,Figure_name Char,Bullet- First level Char"/>
    <w:basedOn w:val="DefaultParagraphFont"/>
    <w:link w:val="ListParagraph"/>
    <w:uiPriority w:val="34"/>
    <w:qFormat/>
    <w:locked/>
    <w:rsid w:val="00996E0F"/>
    <w:rPr>
      <w:sz w:val="24"/>
      <w:szCs w:val="24"/>
    </w:rPr>
  </w:style>
  <w:style w:type="character" w:styleId="Emphasis">
    <w:name w:val="Emphasis"/>
    <w:basedOn w:val="DefaultParagraphFont"/>
    <w:uiPriority w:val="20"/>
    <w:qFormat/>
    <w:rsid w:val="00EB0567"/>
    <w:rPr>
      <w:i/>
      <w:iCs/>
    </w:rPr>
  </w:style>
  <w:style w:type="paragraph" w:styleId="Revision">
    <w:name w:val="Revision"/>
    <w:hidden/>
    <w:uiPriority w:val="99"/>
    <w:semiHidden/>
    <w:rsid w:val="00166183"/>
    <w:pPr>
      <w:spacing w:after="0" w:line="240" w:lineRule="auto"/>
    </w:pPr>
  </w:style>
  <w:style w:type="paragraph" w:customStyle="1" w:styleId="NormalTextBulleted">
    <w:name w:val="Normal Text Bulleted"/>
    <w:basedOn w:val="Normal"/>
    <w:link w:val="NormalTextBulletedChar"/>
    <w:qFormat/>
    <w:rsid w:val="007735CB"/>
    <w:pPr>
      <w:numPr>
        <w:numId w:val="22"/>
      </w:numPr>
      <w:spacing w:after="160"/>
      <w:contextualSpacing/>
    </w:pPr>
    <w:rPr>
      <w:rFonts w:ascii="Arial" w:eastAsia="Times New Roman" w:hAnsi="Arial" w:cs="Open Sans"/>
      <w:sz w:val="20"/>
    </w:rPr>
  </w:style>
  <w:style w:type="character" w:customStyle="1" w:styleId="NormalTextBulletedChar">
    <w:name w:val="Normal Text Bulleted Char"/>
    <w:basedOn w:val="DefaultParagraphFont"/>
    <w:link w:val="NormalTextBulleted"/>
    <w:rsid w:val="007735CB"/>
    <w:rPr>
      <w:rFonts w:ascii="Arial" w:eastAsia="Times New Roman" w:hAnsi="Arial" w:cs="Open Sans"/>
      <w:sz w:val="20"/>
    </w:rPr>
  </w:style>
  <w:style w:type="numbering" w:customStyle="1" w:styleId="Bulleted">
    <w:name w:val="Bulleted"/>
    <w:basedOn w:val="NoList"/>
    <w:uiPriority w:val="99"/>
    <w:rsid w:val="007735CB"/>
    <w:pPr>
      <w:numPr>
        <w:numId w:val="26"/>
      </w:numPr>
    </w:pPr>
  </w:style>
  <w:style w:type="paragraph" w:customStyle="1" w:styleId="NormalTextNumbered">
    <w:name w:val="Normal Text Numbered"/>
    <w:basedOn w:val="Normal"/>
    <w:link w:val="NormalTextNumberedChar"/>
    <w:qFormat/>
    <w:rsid w:val="00302356"/>
    <w:pPr>
      <w:numPr>
        <w:numId w:val="23"/>
      </w:numPr>
      <w:spacing w:after="160"/>
      <w:contextualSpacing/>
    </w:pPr>
    <w:rPr>
      <w:rFonts w:ascii="Arial" w:eastAsia="Calibri" w:hAnsi="Arial" w:cs="Open Sans"/>
      <w:sz w:val="20"/>
    </w:rPr>
  </w:style>
  <w:style w:type="character" w:customStyle="1" w:styleId="NormalTextNumberedChar">
    <w:name w:val="Normal Text Numbered Char"/>
    <w:basedOn w:val="DefaultParagraphFont"/>
    <w:link w:val="NormalTextNumbered"/>
    <w:rsid w:val="00302356"/>
    <w:rPr>
      <w:rFonts w:ascii="Arial" w:eastAsia="Calibri" w:hAnsi="Arial" w:cs="Open Sans"/>
      <w:sz w:val="20"/>
    </w:rPr>
  </w:style>
  <w:style w:type="paragraph" w:customStyle="1" w:styleId="References">
    <w:name w:val="References"/>
    <w:basedOn w:val="Normal"/>
    <w:next w:val="Normal"/>
    <w:qFormat/>
    <w:rsid w:val="00247519"/>
    <w:pPr>
      <w:spacing w:after="60"/>
      <w:ind w:left="284" w:hanging="284"/>
    </w:pPr>
    <w:rPr>
      <w:rFonts w:ascii="Arial" w:eastAsia="Calibri" w:hAnsi="Arial" w:cs="Open Sans"/>
      <w:sz w:val="20"/>
    </w:rPr>
  </w:style>
  <w:style w:type="character" w:styleId="FootnoteReference">
    <w:name w:val="footnote reference"/>
    <w:basedOn w:val="DefaultParagraphFont"/>
    <w:uiPriority w:val="99"/>
    <w:rsid w:val="00705306"/>
    <w:rPr>
      <w:vertAlign w:val="superscript"/>
    </w:rPr>
  </w:style>
  <w:style w:type="paragraph" w:customStyle="1" w:styleId="Footnote">
    <w:name w:val="Footnote"/>
    <w:basedOn w:val="FootnoteText"/>
    <w:link w:val="FootnoteChar"/>
    <w:qFormat/>
    <w:rsid w:val="00F86A54"/>
    <w:pPr>
      <w:spacing w:line="259" w:lineRule="auto"/>
    </w:pPr>
    <w:rPr>
      <w:rFonts w:ascii="Arial" w:eastAsia="Calibri" w:hAnsi="Arial" w:cs="Open Sans"/>
      <w:sz w:val="16"/>
    </w:rPr>
  </w:style>
  <w:style w:type="character" w:customStyle="1" w:styleId="FootnoteChar">
    <w:name w:val="Footnote Char"/>
    <w:basedOn w:val="FootnoteTextChar"/>
    <w:link w:val="Footnote"/>
    <w:rsid w:val="00F86A54"/>
    <w:rPr>
      <w:rFonts w:ascii="Arial" w:eastAsia="Calibri" w:hAnsi="Arial" w:cs="Open Sans"/>
      <w:sz w:val="16"/>
      <w:szCs w:val="20"/>
    </w:rPr>
  </w:style>
  <w:style w:type="paragraph" w:styleId="FootnoteText">
    <w:name w:val="footnote text"/>
    <w:basedOn w:val="Normal"/>
    <w:link w:val="FootnoteTextChar"/>
    <w:uiPriority w:val="99"/>
    <w:unhideWhenUsed/>
    <w:rsid w:val="00F86A54"/>
    <w:pPr>
      <w:spacing w:after="0" w:line="240" w:lineRule="auto"/>
    </w:pPr>
    <w:rPr>
      <w:sz w:val="20"/>
      <w:szCs w:val="20"/>
    </w:rPr>
  </w:style>
  <w:style w:type="character" w:customStyle="1" w:styleId="FootnoteTextChar">
    <w:name w:val="Footnote Text Char"/>
    <w:basedOn w:val="DefaultParagraphFont"/>
    <w:link w:val="FootnoteText"/>
    <w:uiPriority w:val="99"/>
    <w:rsid w:val="00F86A54"/>
    <w:rPr>
      <w:sz w:val="20"/>
      <w:szCs w:val="20"/>
    </w:rPr>
  </w:style>
  <w:style w:type="table" w:styleId="TableGridLight">
    <w:name w:val="Grid Table Light"/>
    <w:aliases w:val="Call-out box"/>
    <w:basedOn w:val="TableNormal"/>
    <w:uiPriority w:val="40"/>
    <w:rsid w:val="005567AD"/>
    <w:pPr>
      <w:spacing w:after="0" w:line="280" w:lineRule="atLeast"/>
    </w:pPr>
    <w:rPr>
      <w:rFonts w:ascii="Montserrat" w:hAnsi="Montserrat"/>
      <w:szCs w:val="20"/>
      <w:lang w:val="en-US"/>
    </w:rPr>
    <w:tblPr>
      <w:tblBorders>
        <w:top w:val="single" w:sz="4" w:space="0" w:color="EBAB12" w:themeColor="accent1"/>
        <w:left w:val="single" w:sz="4" w:space="0" w:color="EBAB12" w:themeColor="accent1"/>
        <w:bottom w:val="single" w:sz="4" w:space="0" w:color="EBAB12" w:themeColor="accent1"/>
        <w:right w:val="single" w:sz="4" w:space="0" w:color="EBAB12" w:themeColor="accent1"/>
      </w:tblBorders>
      <w:tblCellMar>
        <w:top w:w="170" w:type="dxa"/>
        <w:left w:w="170" w:type="dxa"/>
        <w:bottom w:w="170" w:type="dxa"/>
        <w:right w:w="170" w:type="dxa"/>
      </w:tblCellMar>
    </w:tblPr>
    <w:tcPr>
      <w:shd w:val="clear" w:color="auto" w:fill="E8FCFA"/>
    </w:tcPr>
    <w:tblStylePr w:type="firstRow">
      <w:rPr>
        <w:b/>
      </w:rPr>
      <w:tblPr/>
      <w:trPr>
        <w:tblHeader/>
      </w:trPr>
    </w:tblStylePr>
  </w:style>
  <w:style w:type="paragraph" w:styleId="NormalWeb">
    <w:name w:val="Normal (Web)"/>
    <w:basedOn w:val="Normal"/>
    <w:uiPriority w:val="99"/>
    <w:unhideWhenUsed/>
    <w:rsid w:val="00832B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C6357E"/>
    <w:rPr>
      <w:color w:val="2B579A"/>
      <w:shd w:val="clear" w:color="auto" w:fill="E6E6E6"/>
    </w:rPr>
  </w:style>
  <w:style w:type="paragraph" w:styleId="Bibliography">
    <w:name w:val="Bibliography"/>
    <w:basedOn w:val="Normal"/>
    <w:next w:val="Normal"/>
    <w:uiPriority w:val="37"/>
    <w:unhideWhenUsed/>
    <w:rsid w:val="00437B84"/>
    <w:pPr>
      <w:suppressAutoHyphens/>
      <w:spacing w:before="160" w:after="160" w:line="320" w:lineRule="atLeast"/>
    </w:pPr>
    <w:rPr>
      <w:rFonts w:ascii="Montserrat" w:hAnsi="Montserrat"/>
      <w:szCs w:val="20"/>
    </w:rPr>
  </w:style>
  <w:style w:type="paragraph" w:styleId="NoSpacing">
    <w:name w:val="No Spacing"/>
    <w:basedOn w:val="Normal"/>
    <w:link w:val="NoSpacingChar"/>
    <w:uiPriority w:val="1"/>
    <w:qFormat/>
    <w:rsid w:val="009635DE"/>
    <w:pPr>
      <w:spacing w:after="120" w:line="360" w:lineRule="auto"/>
    </w:pPr>
    <w:rPr>
      <w:rFonts w:eastAsia="Calibri" w:cs="Calibri"/>
      <w:color w:val="000000" w:themeColor="text1"/>
      <w:szCs w:val="20"/>
    </w:rPr>
  </w:style>
  <w:style w:type="character" w:customStyle="1" w:styleId="NoSpacingChar">
    <w:name w:val="No Spacing Char"/>
    <w:basedOn w:val="DefaultParagraphFont"/>
    <w:link w:val="NoSpacing"/>
    <w:uiPriority w:val="1"/>
    <w:rsid w:val="009635DE"/>
    <w:rPr>
      <w:rFonts w:eastAsia="Calibri" w:cs="Calibri"/>
      <w:color w:val="000000" w:themeColor="text1"/>
      <w:szCs w:val="20"/>
    </w:rPr>
  </w:style>
  <w:style w:type="character" w:customStyle="1" w:styleId="ui-provider">
    <w:name w:val="ui-provider"/>
    <w:basedOn w:val="DefaultParagraphFont"/>
    <w:rsid w:val="00072034"/>
  </w:style>
  <w:style w:type="paragraph" w:styleId="TOC4">
    <w:name w:val="toc 4"/>
    <w:basedOn w:val="Normal"/>
    <w:next w:val="Normal"/>
    <w:autoRedefine/>
    <w:uiPriority w:val="39"/>
    <w:unhideWhenUsed/>
    <w:rsid w:val="00A3636F"/>
    <w:pPr>
      <w:spacing w:after="100"/>
      <w:ind w:left="660"/>
    </w:pPr>
  </w:style>
  <w:style w:type="paragraph" w:styleId="TOC6">
    <w:name w:val="toc 6"/>
    <w:basedOn w:val="Normal"/>
    <w:next w:val="Normal"/>
    <w:autoRedefine/>
    <w:uiPriority w:val="39"/>
    <w:unhideWhenUsed/>
    <w:rsid w:val="007C57E9"/>
    <w:pPr>
      <w:spacing w:after="100"/>
      <w:ind w:left="1100"/>
    </w:pPr>
  </w:style>
  <w:style w:type="character" w:customStyle="1" w:styleId="identifier">
    <w:name w:val="identifier"/>
    <w:basedOn w:val="DefaultParagraphFont"/>
    <w:rsid w:val="00B230F0"/>
  </w:style>
  <w:style w:type="character" w:customStyle="1" w:styleId="id-label">
    <w:name w:val="id-label"/>
    <w:basedOn w:val="DefaultParagraphFont"/>
    <w:rsid w:val="00B230F0"/>
  </w:style>
  <w:style w:type="paragraph" w:customStyle="1" w:styleId="Keypoints">
    <w:name w:val="Key points"/>
    <w:basedOn w:val="Normal"/>
    <w:link w:val="KeypointsChar"/>
    <w:qFormat/>
    <w:rsid w:val="00B25A1F"/>
    <w:pPr>
      <w:pBdr>
        <w:top w:val="single" w:sz="12" w:space="1" w:color="AF7F0D" w:themeColor="accent1" w:themeShade="BF"/>
        <w:left w:val="single" w:sz="12" w:space="4" w:color="AF7F0D" w:themeColor="accent1" w:themeShade="BF"/>
        <w:bottom w:val="single" w:sz="12" w:space="1" w:color="AF7F0D" w:themeColor="accent1" w:themeShade="BF"/>
        <w:right w:val="single" w:sz="12" w:space="4" w:color="AF7F0D" w:themeColor="accent1" w:themeShade="BF"/>
      </w:pBdr>
      <w:spacing w:after="200" w:line="276" w:lineRule="auto"/>
    </w:pPr>
    <w:rPr>
      <w:b/>
      <w:color w:val="AF7F0D" w:themeColor="accent1" w:themeShade="BF"/>
      <w:sz w:val="20"/>
      <w:szCs w:val="20"/>
    </w:rPr>
  </w:style>
  <w:style w:type="character" w:customStyle="1" w:styleId="KeypointsChar">
    <w:name w:val="Key points Char"/>
    <w:basedOn w:val="DefaultParagraphFont"/>
    <w:link w:val="Keypoints"/>
    <w:rsid w:val="00B25A1F"/>
    <w:rPr>
      <w:b/>
      <w:color w:val="AF7F0D" w:themeColor="accent1" w:themeShade="BF"/>
      <w:sz w:val="20"/>
      <w:szCs w:val="20"/>
    </w:rPr>
  </w:style>
  <w:style w:type="character" w:customStyle="1" w:styleId="apple-converted-space">
    <w:name w:val="apple-converted-space"/>
    <w:basedOn w:val="DefaultParagraphFont"/>
    <w:rsid w:val="00AF5707"/>
  </w:style>
  <w:style w:type="character" w:customStyle="1" w:styleId="scxw218922335">
    <w:name w:val="scxw218922335"/>
    <w:basedOn w:val="DefaultParagraphFont"/>
    <w:rsid w:val="004C57E5"/>
  </w:style>
  <w:style w:type="character" w:customStyle="1" w:styleId="scxw163283927">
    <w:name w:val="scxw163283927"/>
    <w:basedOn w:val="DefaultParagraphFont"/>
    <w:rsid w:val="005C0D05"/>
  </w:style>
  <w:style w:type="character" w:customStyle="1" w:styleId="scxw153002706">
    <w:name w:val="scxw153002706"/>
    <w:basedOn w:val="DefaultParagraphFont"/>
    <w:rsid w:val="008340D2"/>
  </w:style>
  <w:style w:type="paragraph" w:customStyle="1" w:styleId="xmsonormal">
    <w:name w:val="x_msonormal"/>
    <w:basedOn w:val="Normal"/>
    <w:rsid w:val="00E62A5F"/>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867">
      <w:bodyDiv w:val="1"/>
      <w:marLeft w:val="0"/>
      <w:marRight w:val="0"/>
      <w:marTop w:val="0"/>
      <w:marBottom w:val="0"/>
      <w:divBdr>
        <w:top w:val="none" w:sz="0" w:space="0" w:color="auto"/>
        <w:left w:val="none" w:sz="0" w:space="0" w:color="auto"/>
        <w:bottom w:val="none" w:sz="0" w:space="0" w:color="auto"/>
        <w:right w:val="none" w:sz="0" w:space="0" w:color="auto"/>
      </w:divBdr>
    </w:div>
    <w:div w:id="100880977">
      <w:bodyDiv w:val="1"/>
      <w:marLeft w:val="0"/>
      <w:marRight w:val="0"/>
      <w:marTop w:val="0"/>
      <w:marBottom w:val="0"/>
      <w:divBdr>
        <w:top w:val="none" w:sz="0" w:space="0" w:color="auto"/>
        <w:left w:val="none" w:sz="0" w:space="0" w:color="auto"/>
        <w:bottom w:val="none" w:sz="0" w:space="0" w:color="auto"/>
        <w:right w:val="none" w:sz="0" w:space="0" w:color="auto"/>
      </w:divBdr>
    </w:div>
    <w:div w:id="129712700">
      <w:bodyDiv w:val="1"/>
      <w:marLeft w:val="0"/>
      <w:marRight w:val="0"/>
      <w:marTop w:val="0"/>
      <w:marBottom w:val="0"/>
      <w:divBdr>
        <w:top w:val="none" w:sz="0" w:space="0" w:color="auto"/>
        <w:left w:val="none" w:sz="0" w:space="0" w:color="auto"/>
        <w:bottom w:val="none" w:sz="0" w:space="0" w:color="auto"/>
        <w:right w:val="none" w:sz="0" w:space="0" w:color="auto"/>
      </w:divBdr>
    </w:div>
    <w:div w:id="134106851">
      <w:bodyDiv w:val="1"/>
      <w:marLeft w:val="0"/>
      <w:marRight w:val="0"/>
      <w:marTop w:val="0"/>
      <w:marBottom w:val="0"/>
      <w:divBdr>
        <w:top w:val="none" w:sz="0" w:space="0" w:color="auto"/>
        <w:left w:val="none" w:sz="0" w:space="0" w:color="auto"/>
        <w:bottom w:val="none" w:sz="0" w:space="0" w:color="auto"/>
        <w:right w:val="none" w:sz="0" w:space="0" w:color="auto"/>
      </w:divBdr>
    </w:div>
    <w:div w:id="195049321">
      <w:bodyDiv w:val="1"/>
      <w:marLeft w:val="0"/>
      <w:marRight w:val="0"/>
      <w:marTop w:val="0"/>
      <w:marBottom w:val="0"/>
      <w:divBdr>
        <w:top w:val="none" w:sz="0" w:space="0" w:color="auto"/>
        <w:left w:val="none" w:sz="0" w:space="0" w:color="auto"/>
        <w:bottom w:val="none" w:sz="0" w:space="0" w:color="auto"/>
        <w:right w:val="none" w:sz="0" w:space="0" w:color="auto"/>
      </w:divBdr>
    </w:div>
    <w:div w:id="253518737">
      <w:bodyDiv w:val="1"/>
      <w:marLeft w:val="0"/>
      <w:marRight w:val="0"/>
      <w:marTop w:val="0"/>
      <w:marBottom w:val="0"/>
      <w:divBdr>
        <w:top w:val="none" w:sz="0" w:space="0" w:color="auto"/>
        <w:left w:val="none" w:sz="0" w:space="0" w:color="auto"/>
        <w:bottom w:val="none" w:sz="0" w:space="0" w:color="auto"/>
        <w:right w:val="none" w:sz="0" w:space="0" w:color="auto"/>
      </w:divBdr>
    </w:div>
    <w:div w:id="257906734">
      <w:bodyDiv w:val="1"/>
      <w:marLeft w:val="0"/>
      <w:marRight w:val="0"/>
      <w:marTop w:val="0"/>
      <w:marBottom w:val="0"/>
      <w:divBdr>
        <w:top w:val="none" w:sz="0" w:space="0" w:color="auto"/>
        <w:left w:val="none" w:sz="0" w:space="0" w:color="auto"/>
        <w:bottom w:val="none" w:sz="0" w:space="0" w:color="auto"/>
        <w:right w:val="none" w:sz="0" w:space="0" w:color="auto"/>
      </w:divBdr>
    </w:div>
    <w:div w:id="308243693">
      <w:bodyDiv w:val="1"/>
      <w:marLeft w:val="0"/>
      <w:marRight w:val="0"/>
      <w:marTop w:val="0"/>
      <w:marBottom w:val="0"/>
      <w:divBdr>
        <w:top w:val="none" w:sz="0" w:space="0" w:color="auto"/>
        <w:left w:val="none" w:sz="0" w:space="0" w:color="auto"/>
        <w:bottom w:val="none" w:sz="0" w:space="0" w:color="auto"/>
        <w:right w:val="none" w:sz="0" w:space="0" w:color="auto"/>
      </w:divBdr>
    </w:div>
    <w:div w:id="367999343">
      <w:bodyDiv w:val="1"/>
      <w:marLeft w:val="0"/>
      <w:marRight w:val="0"/>
      <w:marTop w:val="0"/>
      <w:marBottom w:val="0"/>
      <w:divBdr>
        <w:top w:val="none" w:sz="0" w:space="0" w:color="auto"/>
        <w:left w:val="none" w:sz="0" w:space="0" w:color="auto"/>
        <w:bottom w:val="none" w:sz="0" w:space="0" w:color="auto"/>
        <w:right w:val="none" w:sz="0" w:space="0" w:color="auto"/>
      </w:divBdr>
    </w:div>
    <w:div w:id="379521335">
      <w:bodyDiv w:val="1"/>
      <w:marLeft w:val="0"/>
      <w:marRight w:val="0"/>
      <w:marTop w:val="0"/>
      <w:marBottom w:val="0"/>
      <w:divBdr>
        <w:top w:val="none" w:sz="0" w:space="0" w:color="auto"/>
        <w:left w:val="none" w:sz="0" w:space="0" w:color="auto"/>
        <w:bottom w:val="none" w:sz="0" w:space="0" w:color="auto"/>
        <w:right w:val="none" w:sz="0" w:space="0" w:color="auto"/>
      </w:divBdr>
      <w:divsChild>
        <w:div w:id="1228764202">
          <w:marLeft w:val="0"/>
          <w:marRight w:val="0"/>
          <w:marTop w:val="0"/>
          <w:marBottom w:val="0"/>
          <w:divBdr>
            <w:top w:val="none" w:sz="0" w:space="0" w:color="auto"/>
            <w:left w:val="none" w:sz="0" w:space="0" w:color="auto"/>
            <w:bottom w:val="none" w:sz="0" w:space="0" w:color="auto"/>
            <w:right w:val="none" w:sz="0" w:space="0" w:color="auto"/>
          </w:divBdr>
          <w:divsChild>
            <w:div w:id="1195732284">
              <w:marLeft w:val="0"/>
              <w:marRight w:val="0"/>
              <w:marTop w:val="30"/>
              <w:marBottom w:val="30"/>
              <w:divBdr>
                <w:top w:val="none" w:sz="0" w:space="0" w:color="auto"/>
                <w:left w:val="none" w:sz="0" w:space="0" w:color="auto"/>
                <w:bottom w:val="none" w:sz="0" w:space="0" w:color="auto"/>
                <w:right w:val="none" w:sz="0" w:space="0" w:color="auto"/>
              </w:divBdr>
              <w:divsChild>
                <w:div w:id="19550148">
                  <w:marLeft w:val="0"/>
                  <w:marRight w:val="0"/>
                  <w:marTop w:val="0"/>
                  <w:marBottom w:val="0"/>
                  <w:divBdr>
                    <w:top w:val="none" w:sz="0" w:space="0" w:color="auto"/>
                    <w:left w:val="none" w:sz="0" w:space="0" w:color="auto"/>
                    <w:bottom w:val="none" w:sz="0" w:space="0" w:color="auto"/>
                    <w:right w:val="none" w:sz="0" w:space="0" w:color="auto"/>
                  </w:divBdr>
                  <w:divsChild>
                    <w:div w:id="23601354">
                      <w:marLeft w:val="0"/>
                      <w:marRight w:val="0"/>
                      <w:marTop w:val="0"/>
                      <w:marBottom w:val="0"/>
                      <w:divBdr>
                        <w:top w:val="none" w:sz="0" w:space="0" w:color="auto"/>
                        <w:left w:val="none" w:sz="0" w:space="0" w:color="auto"/>
                        <w:bottom w:val="none" w:sz="0" w:space="0" w:color="auto"/>
                        <w:right w:val="none" w:sz="0" w:space="0" w:color="auto"/>
                      </w:divBdr>
                    </w:div>
                  </w:divsChild>
                </w:div>
                <w:div w:id="82846696">
                  <w:marLeft w:val="0"/>
                  <w:marRight w:val="0"/>
                  <w:marTop w:val="0"/>
                  <w:marBottom w:val="0"/>
                  <w:divBdr>
                    <w:top w:val="none" w:sz="0" w:space="0" w:color="auto"/>
                    <w:left w:val="none" w:sz="0" w:space="0" w:color="auto"/>
                    <w:bottom w:val="none" w:sz="0" w:space="0" w:color="auto"/>
                    <w:right w:val="none" w:sz="0" w:space="0" w:color="auto"/>
                  </w:divBdr>
                  <w:divsChild>
                    <w:div w:id="1463428415">
                      <w:marLeft w:val="0"/>
                      <w:marRight w:val="0"/>
                      <w:marTop w:val="0"/>
                      <w:marBottom w:val="0"/>
                      <w:divBdr>
                        <w:top w:val="none" w:sz="0" w:space="0" w:color="auto"/>
                        <w:left w:val="none" w:sz="0" w:space="0" w:color="auto"/>
                        <w:bottom w:val="none" w:sz="0" w:space="0" w:color="auto"/>
                        <w:right w:val="none" w:sz="0" w:space="0" w:color="auto"/>
                      </w:divBdr>
                    </w:div>
                  </w:divsChild>
                </w:div>
                <w:div w:id="88936069">
                  <w:marLeft w:val="0"/>
                  <w:marRight w:val="0"/>
                  <w:marTop w:val="0"/>
                  <w:marBottom w:val="0"/>
                  <w:divBdr>
                    <w:top w:val="none" w:sz="0" w:space="0" w:color="auto"/>
                    <w:left w:val="none" w:sz="0" w:space="0" w:color="auto"/>
                    <w:bottom w:val="none" w:sz="0" w:space="0" w:color="auto"/>
                    <w:right w:val="none" w:sz="0" w:space="0" w:color="auto"/>
                  </w:divBdr>
                  <w:divsChild>
                    <w:div w:id="1253128736">
                      <w:marLeft w:val="0"/>
                      <w:marRight w:val="0"/>
                      <w:marTop w:val="0"/>
                      <w:marBottom w:val="0"/>
                      <w:divBdr>
                        <w:top w:val="none" w:sz="0" w:space="0" w:color="auto"/>
                        <w:left w:val="none" w:sz="0" w:space="0" w:color="auto"/>
                        <w:bottom w:val="none" w:sz="0" w:space="0" w:color="auto"/>
                        <w:right w:val="none" w:sz="0" w:space="0" w:color="auto"/>
                      </w:divBdr>
                    </w:div>
                  </w:divsChild>
                </w:div>
                <w:div w:id="132649592">
                  <w:marLeft w:val="0"/>
                  <w:marRight w:val="0"/>
                  <w:marTop w:val="0"/>
                  <w:marBottom w:val="0"/>
                  <w:divBdr>
                    <w:top w:val="none" w:sz="0" w:space="0" w:color="auto"/>
                    <w:left w:val="none" w:sz="0" w:space="0" w:color="auto"/>
                    <w:bottom w:val="none" w:sz="0" w:space="0" w:color="auto"/>
                    <w:right w:val="none" w:sz="0" w:space="0" w:color="auto"/>
                  </w:divBdr>
                  <w:divsChild>
                    <w:div w:id="120464023">
                      <w:marLeft w:val="0"/>
                      <w:marRight w:val="0"/>
                      <w:marTop w:val="0"/>
                      <w:marBottom w:val="0"/>
                      <w:divBdr>
                        <w:top w:val="none" w:sz="0" w:space="0" w:color="auto"/>
                        <w:left w:val="none" w:sz="0" w:space="0" w:color="auto"/>
                        <w:bottom w:val="none" w:sz="0" w:space="0" w:color="auto"/>
                        <w:right w:val="none" w:sz="0" w:space="0" w:color="auto"/>
                      </w:divBdr>
                    </w:div>
                  </w:divsChild>
                </w:div>
                <w:div w:id="141774844">
                  <w:marLeft w:val="0"/>
                  <w:marRight w:val="0"/>
                  <w:marTop w:val="0"/>
                  <w:marBottom w:val="0"/>
                  <w:divBdr>
                    <w:top w:val="none" w:sz="0" w:space="0" w:color="auto"/>
                    <w:left w:val="none" w:sz="0" w:space="0" w:color="auto"/>
                    <w:bottom w:val="none" w:sz="0" w:space="0" w:color="auto"/>
                    <w:right w:val="none" w:sz="0" w:space="0" w:color="auto"/>
                  </w:divBdr>
                  <w:divsChild>
                    <w:div w:id="1632588456">
                      <w:marLeft w:val="0"/>
                      <w:marRight w:val="0"/>
                      <w:marTop w:val="0"/>
                      <w:marBottom w:val="0"/>
                      <w:divBdr>
                        <w:top w:val="none" w:sz="0" w:space="0" w:color="auto"/>
                        <w:left w:val="none" w:sz="0" w:space="0" w:color="auto"/>
                        <w:bottom w:val="none" w:sz="0" w:space="0" w:color="auto"/>
                        <w:right w:val="none" w:sz="0" w:space="0" w:color="auto"/>
                      </w:divBdr>
                    </w:div>
                  </w:divsChild>
                </w:div>
                <w:div w:id="178782715">
                  <w:marLeft w:val="0"/>
                  <w:marRight w:val="0"/>
                  <w:marTop w:val="0"/>
                  <w:marBottom w:val="0"/>
                  <w:divBdr>
                    <w:top w:val="none" w:sz="0" w:space="0" w:color="auto"/>
                    <w:left w:val="none" w:sz="0" w:space="0" w:color="auto"/>
                    <w:bottom w:val="none" w:sz="0" w:space="0" w:color="auto"/>
                    <w:right w:val="none" w:sz="0" w:space="0" w:color="auto"/>
                  </w:divBdr>
                  <w:divsChild>
                    <w:div w:id="1753118782">
                      <w:marLeft w:val="0"/>
                      <w:marRight w:val="0"/>
                      <w:marTop w:val="0"/>
                      <w:marBottom w:val="0"/>
                      <w:divBdr>
                        <w:top w:val="none" w:sz="0" w:space="0" w:color="auto"/>
                        <w:left w:val="none" w:sz="0" w:space="0" w:color="auto"/>
                        <w:bottom w:val="none" w:sz="0" w:space="0" w:color="auto"/>
                        <w:right w:val="none" w:sz="0" w:space="0" w:color="auto"/>
                      </w:divBdr>
                    </w:div>
                  </w:divsChild>
                </w:div>
                <w:div w:id="188765766">
                  <w:marLeft w:val="0"/>
                  <w:marRight w:val="0"/>
                  <w:marTop w:val="0"/>
                  <w:marBottom w:val="0"/>
                  <w:divBdr>
                    <w:top w:val="none" w:sz="0" w:space="0" w:color="auto"/>
                    <w:left w:val="none" w:sz="0" w:space="0" w:color="auto"/>
                    <w:bottom w:val="none" w:sz="0" w:space="0" w:color="auto"/>
                    <w:right w:val="none" w:sz="0" w:space="0" w:color="auto"/>
                  </w:divBdr>
                  <w:divsChild>
                    <w:div w:id="777411477">
                      <w:marLeft w:val="0"/>
                      <w:marRight w:val="0"/>
                      <w:marTop w:val="0"/>
                      <w:marBottom w:val="0"/>
                      <w:divBdr>
                        <w:top w:val="none" w:sz="0" w:space="0" w:color="auto"/>
                        <w:left w:val="none" w:sz="0" w:space="0" w:color="auto"/>
                        <w:bottom w:val="none" w:sz="0" w:space="0" w:color="auto"/>
                        <w:right w:val="none" w:sz="0" w:space="0" w:color="auto"/>
                      </w:divBdr>
                    </w:div>
                  </w:divsChild>
                </w:div>
                <w:div w:id="294678831">
                  <w:marLeft w:val="0"/>
                  <w:marRight w:val="0"/>
                  <w:marTop w:val="0"/>
                  <w:marBottom w:val="0"/>
                  <w:divBdr>
                    <w:top w:val="none" w:sz="0" w:space="0" w:color="auto"/>
                    <w:left w:val="none" w:sz="0" w:space="0" w:color="auto"/>
                    <w:bottom w:val="none" w:sz="0" w:space="0" w:color="auto"/>
                    <w:right w:val="none" w:sz="0" w:space="0" w:color="auto"/>
                  </w:divBdr>
                  <w:divsChild>
                    <w:div w:id="911935492">
                      <w:marLeft w:val="0"/>
                      <w:marRight w:val="0"/>
                      <w:marTop w:val="0"/>
                      <w:marBottom w:val="0"/>
                      <w:divBdr>
                        <w:top w:val="none" w:sz="0" w:space="0" w:color="auto"/>
                        <w:left w:val="none" w:sz="0" w:space="0" w:color="auto"/>
                        <w:bottom w:val="none" w:sz="0" w:space="0" w:color="auto"/>
                        <w:right w:val="none" w:sz="0" w:space="0" w:color="auto"/>
                      </w:divBdr>
                    </w:div>
                  </w:divsChild>
                </w:div>
                <w:div w:id="299304499">
                  <w:marLeft w:val="0"/>
                  <w:marRight w:val="0"/>
                  <w:marTop w:val="0"/>
                  <w:marBottom w:val="0"/>
                  <w:divBdr>
                    <w:top w:val="none" w:sz="0" w:space="0" w:color="auto"/>
                    <w:left w:val="none" w:sz="0" w:space="0" w:color="auto"/>
                    <w:bottom w:val="none" w:sz="0" w:space="0" w:color="auto"/>
                    <w:right w:val="none" w:sz="0" w:space="0" w:color="auto"/>
                  </w:divBdr>
                  <w:divsChild>
                    <w:div w:id="2015179243">
                      <w:marLeft w:val="0"/>
                      <w:marRight w:val="0"/>
                      <w:marTop w:val="0"/>
                      <w:marBottom w:val="0"/>
                      <w:divBdr>
                        <w:top w:val="none" w:sz="0" w:space="0" w:color="auto"/>
                        <w:left w:val="none" w:sz="0" w:space="0" w:color="auto"/>
                        <w:bottom w:val="none" w:sz="0" w:space="0" w:color="auto"/>
                        <w:right w:val="none" w:sz="0" w:space="0" w:color="auto"/>
                      </w:divBdr>
                    </w:div>
                  </w:divsChild>
                </w:div>
                <w:div w:id="325745332">
                  <w:marLeft w:val="0"/>
                  <w:marRight w:val="0"/>
                  <w:marTop w:val="0"/>
                  <w:marBottom w:val="0"/>
                  <w:divBdr>
                    <w:top w:val="none" w:sz="0" w:space="0" w:color="auto"/>
                    <w:left w:val="none" w:sz="0" w:space="0" w:color="auto"/>
                    <w:bottom w:val="none" w:sz="0" w:space="0" w:color="auto"/>
                    <w:right w:val="none" w:sz="0" w:space="0" w:color="auto"/>
                  </w:divBdr>
                  <w:divsChild>
                    <w:div w:id="2140762410">
                      <w:marLeft w:val="0"/>
                      <w:marRight w:val="0"/>
                      <w:marTop w:val="0"/>
                      <w:marBottom w:val="0"/>
                      <w:divBdr>
                        <w:top w:val="none" w:sz="0" w:space="0" w:color="auto"/>
                        <w:left w:val="none" w:sz="0" w:space="0" w:color="auto"/>
                        <w:bottom w:val="none" w:sz="0" w:space="0" w:color="auto"/>
                        <w:right w:val="none" w:sz="0" w:space="0" w:color="auto"/>
                      </w:divBdr>
                    </w:div>
                  </w:divsChild>
                </w:div>
                <w:div w:id="417792698">
                  <w:marLeft w:val="0"/>
                  <w:marRight w:val="0"/>
                  <w:marTop w:val="0"/>
                  <w:marBottom w:val="0"/>
                  <w:divBdr>
                    <w:top w:val="none" w:sz="0" w:space="0" w:color="auto"/>
                    <w:left w:val="none" w:sz="0" w:space="0" w:color="auto"/>
                    <w:bottom w:val="none" w:sz="0" w:space="0" w:color="auto"/>
                    <w:right w:val="none" w:sz="0" w:space="0" w:color="auto"/>
                  </w:divBdr>
                  <w:divsChild>
                    <w:div w:id="1990162154">
                      <w:marLeft w:val="0"/>
                      <w:marRight w:val="0"/>
                      <w:marTop w:val="0"/>
                      <w:marBottom w:val="0"/>
                      <w:divBdr>
                        <w:top w:val="none" w:sz="0" w:space="0" w:color="auto"/>
                        <w:left w:val="none" w:sz="0" w:space="0" w:color="auto"/>
                        <w:bottom w:val="none" w:sz="0" w:space="0" w:color="auto"/>
                        <w:right w:val="none" w:sz="0" w:space="0" w:color="auto"/>
                      </w:divBdr>
                    </w:div>
                  </w:divsChild>
                </w:div>
                <w:div w:id="420685296">
                  <w:marLeft w:val="0"/>
                  <w:marRight w:val="0"/>
                  <w:marTop w:val="0"/>
                  <w:marBottom w:val="0"/>
                  <w:divBdr>
                    <w:top w:val="none" w:sz="0" w:space="0" w:color="auto"/>
                    <w:left w:val="none" w:sz="0" w:space="0" w:color="auto"/>
                    <w:bottom w:val="none" w:sz="0" w:space="0" w:color="auto"/>
                    <w:right w:val="none" w:sz="0" w:space="0" w:color="auto"/>
                  </w:divBdr>
                  <w:divsChild>
                    <w:div w:id="2144227050">
                      <w:marLeft w:val="0"/>
                      <w:marRight w:val="0"/>
                      <w:marTop w:val="0"/>
                      <w:marBottom w:val="0"/>
                      <w:divBdr>
                        <w:top w:val="none" w:sz="0" w:space="0" w:color="auto"/>
                        <w:left w:val="none" w:sz="0" w:space="0" w:color="auto"/>
                        <w:bottom w:val="none" w:sz="0" w:space="0" w:color="auto"/>
                        <w:right w:val="none" w:sz="0" w:space="0" w:color="auto"/>
                      </w:divBdr>
                    </w:div>
                  </w:divsChild>
                </w:div>
                <w:div w:id="512457352">
                  <w:marLeft w:val="0"/>
                  <w:marRight w:val="0"/>
                  <w:marTop w:val="0"/>
                  <w:marBottom w:val="0"/>
                  <w:divBdr>
                    <w:top w:val="none" w:sz="0" w:space="0" w:color="auto"/>
                    <w:left w:val="none" w:sz="0" w:space="0" w:color="auto"/>
                    <w:bottom w:val="none" w:sz="0" w:space="0" w:color="auto"/>
                    <w:right w:val="none" w:sz="0" w:space="0" w:color="auto"/>
                  </w:divBdr>
                  <w:divsChild>
                    <w:div w:id="2078630676">
                      <w:marLeft w:val="0"/>
                      <w:marRight w:val="0"/>
                      <w:marTop w:val="0"/>
                      <w:marBottom w:val="0"/>
                      <w:divBdr>
                        <w:top w:val="none" w:sz="0" w:space="0" w:color="auto"/>
                        <w:left w:val="none" w:sz="0" w:space="0" w:color="auto"/>
                        <w:bottom w:val="none" w:sz="0" w:space="0" w:color="auto"/>
                        <w:right w:val="none" w:sz="0" w:space="0" w:color="auto"/>
                      </w:divBdr>
                    </w:div>
                  </w:divsChild>
                </w:div>
                <w:div w:id="531965901">
                  <w:marLeft w:val="0"/>
                  <w:marRight w:val="0"/>
                  <w:marTop w:val="0"/>
                  <w:marBottom w:val="0"/>
                  <w:divBdr>
                    <w:top w:val="none" w:sz="0" w:space="0" w:color="auto"/>
                    <w:left w:val="none" w:sz="0" w:space="0" w:color="auto"/>
                    <w:bottom w:val="none" w:sz="0" w:space="0" w:color="auto"/>
                    <w:right w:val="none" w:sz="0" w:space="0" w:color="auto"/>
                  </w:divBdr>
                  <w:divsChild>
                    <w:div w:id="1029911403">
                      <w:marLeft w:val="0"/>
                      <w:marRight w:val="0"/>
                      <w:marTop w:val="0"/>
                      <w:marBottom w:val="0"/>
                      <w:divBdr>
                        <w:top w:val="none" w:sz="0" w:space="0" w:color="auto"/>
                        <w:left w:val="none" w:sz="0" w:space="0" w:color="auto"/>
                        <w:bottom w:val="none" w:sz="0" w:space="0" w:color="auto"/>
                        <w:right w:val="none" w:sz="0" w:space="0" w:color="auto"/>
                      </w:divBdr>
                    </w:div>
                  </w:divsChild>
                </w:div>
                <w:div w:id="562566083">
                  <w:marLeft w:val="0"/>
                  <w:marRight w:val="0"/>
                  <w:marTop w:val="0"/>
                  <w:marBottom w:val="0"/>
                  <w:divBdr>
                    <w:top w:val="none" w:sz="0" w:space="0" w:color="auto"/>
                    <w:left w:val="none" w:sz="0" w:space="0" w:color="auto"/>
                    <w:bottom w:val="none" w:sz="0" w:space="0" w:color="auto"/>
                    <w:right w:val="none" w:sz="0" w:space="0" w:color="auto"/>
                  </w:divBdr>
                  <w:divsChild>
                    <w:div w:id="1598168951">
                      <w:marLeft w:val="0"/>
                      <w:marRight w:val="0"/>
                      <w:marTop w:val="0"/>
                      <w:marBottom w:val="0"/>
                      <w:divBdr>
                        <w:top w:val="none" w:sz="0" w:space="0" w:color="auto"/>
                        <w:left w:val="none" w:sz="0" w:space="0" w:color="auto"/>
                        <w:bottom w:val="none" w:sz="0" w:space="0" w:color="auto"/>
                        <w:right w:val="none" w:sz="0" w:space="0" w:color="auto"/>
                      </w:divBdr>
                    </w:div>
                  </w:divsChild>
                </w:div>
                <w:div w:id="563611731">
                  <w:marLeft w:val="0"/>
                  <w:marRight w:val="0"/>
                  <w:marTop w:val="0"/>
                  <w:marBottom w:val="0"/>
                  <w:divBdr>
                    <w:top w:val="none" w:sz="0" w:space="0" w:color="auto"/>
                    <w:left w:val="none" w:sz="0" w:space="0" w:color="auto"/>
                    <w:bottom w:val="none" w:sz="0" w:space="0" w:color="auto"/>
                    <w:right w:val="none" w:sz="0" w:space="0" w:color="auto"/>
                  </w:divBdr>
                  <w:divsChild>
                    <w:div w:id="1581210324">
                      <w:marLeft w:val="0"/>
                      <w:marRight w:val="0"/>
                      <w:marTop w:val="0"/>
                      <w:marBottom w:val="0"/>
                      <w:divBdr>
                        <w:top w:val="none" w:sz="0" w:space="0" w:color="auto"/>
                        <w:left w:val="none" w:sz="0" w:space="0" w:color="auto"/>
                        <w:bottom w:val="none" w:sz="0" w:space="0" w:color="auto"/>
                        <w:right w:val="none" w:sz="0" w:space="0" w:color="auto"/>
                      </w:divBdr>
                    </w:div>
                  </w:divsChild>
                </w:div>
                <w:div w:id="628122590">
                  <w:marLeft w:val="0"/>
                  <w:marRight w:val="0"/>
                  <w:marTop w:val="0"/>
                  <w:marBottom w:val="0"/>
                  <w:divBdr>
                    <w:top w:val="none" w:sz="0" w:space="0" w:color="auto"/>
                    <w:left w:val="none" w:sz="0" w:space="0" w:color="auto"/>
                    <w:bottom w:val="none" w:sz="0" w:space="0" w:color="auto"/>
                    <w:right w:val="none" w:sz="0" w:space="0" w:color="auto"/>
                  </w:divBdr>
                  <w:divsChild>
                    <w:div w:id="64038622">
                      <w:marLeft w:val="0"/>
                      <w:marRight w:val="0"/>
                      <w:marTop w:val="0"/>
                      <w:marBottom w:val="0"/>
                      <w:divBdr>
                        <w:top w:val="none" w:sz="0" w:space="0" w:color="auto"/>
                        <w:left w:val="none" w:sz="0" w:space="0" w:color="auto"/>
                        <w:bottom w:val="none" w:sz="0" w:space="0" w:color="auto"/>
                        <w:right w:val="none" w:sz="0" w:space="0" w:color="auto"/>
                      </w:divBdr>
                    </w:div>
                  </w:divsChild>
                </w:div>
                <w:div w:id="743651023">
                  <w:marLeft w:val="0"/>
                  <w:marRight w:val="0"/>
                  <w:marTop w:val="0"/>
                  <w:marBottom w:val="0"/>
                  <w:divBdr>
                    <w:top w:val="none" w:sz="0" w:space="0" w:color="auto"/>
                    <w:left w:val="none" w:sz="0" w:space="0" w:color="auto"/>
                    <w:bottom w:val="none" w:sz="0" w:space="0" w:color="auto"/>
                    <w:right w:val="none" w:sz="0" w:space="0" w:color="auto"/>
                  </w:divBdr>
                  <w:divsChild>
                    <w:div w:id="255405023">
                      <w:marLeft w:val="0"/>
                      <w:marRight w:val="0"/>
                      <w:marTop w:val="0"/>
                      <w:marBottom w:val="0"/>
                      <w:divBdr>
                        <w:top w:val="none" w:sz="0" w:space="0" w:color="auto"/>
                        <w:left w:val="none" w:sz="0" w:space="0" w:color="auto"/>
                        <w:bottom w:val="none" w:sz="0" w:space="0" w:color="auto"/>
                        <w:right w:val="none" w:sz="0" w:space="0" w:color="auto"/>
                      </w:divBdr>
                    </w:div>
                  </w:divsChild>
                </w:div>
                <w:div w:id="767509512">
                  <w:marLeft w:val="0"/>
                  <w:marRight w:val="0"/>
                  <w:marTop w:val="0"/>
                  <w:marBottom w:val="0"/>
                  <w:divBdr>
                    <w:top w:val="none" w:sz="0" w:space="0" w:color="auto"/>
                    <w:left w:val="none" w:sz="0" w:space="0" w:color="auto"/>
                    <w:bottom w:val="none" w:sz="0" w:space="0" w:color="auto"/>
                    <w:right w:val="none" w:sz="0" w:space="0" w:color="auto"/>
                  </w:divBdr>
                  <w:divsChild>
                    <w:div w:id="211619485">
                      <w:marLeft w:val="0"/>
                      <w:marRight w:val="0"/>
                      <w:marTop w:val="0"/>
                      <w:marBottom w:val="0"/>
                      <w:divBdr>
                        <w:top w:val="none" w:sz="0" w:space="0" w:color="auto"/>
                        <w:left w:val="none" w:sz="0" w:space="0" w:color="auto"/>
                        <w:bottom w:val="none" w:sz="0" w:space="0" w:color="auto"/>
                        <w:right w:val="none" w:sz="0" w:space="0" w:color="auto"/>
                      </w:divBdr>
                    </w:div>
                  </w:divsChild>
                </w:div>
                <w:div w:id="767851187">
                  <w:marLeft w:val="0"/>
                  <w:marRight w:val="0"/>
                  <w:marTop w:val="0"/>
                  <w:marBottom w:val="0"/>
                  <w:divBdr>
                    <w:top w:val="none" w:sz="0" w:space="0" w:color="auto"/>
                    <w:left w:val="none" w:sz="0" w:space="0" w:color="auto"/>
                    <w:bottom w:val="none" w:sz="0" w:space="0" w:color="auto"/>
                    <w:right w:val="none" w:sz="0" w:space="0" w:color="auto"/>
                  </w:divBdr>
                  <w:divsChild>
                    <w:div w:id="1067802402">
                      <w:marLeft w:val="0"/>
                      <w:marRight w:val="0"/>
                      <w:marTop w:val="0"/>
                      <w:marBottom w:val="0"/>
                      <w:divBdr>
                        <w:top w:val="none" w:sz="0" w:space="0" w:color="auto"/>
                        <w:left w:val="none" w:sz="0" w:space="0" w:color="auto"/>
                        <w:bottom w:val="none" w:sz="0" w:space="0" w:color="auto"/>
                        <w:right w:val="none" w:sz="0" w:space="0" w:color="auto"/>
                      </w:divBdr>
                    </w:div>
                  </w:divsChild>
                </w:div>
                <w:div w:id="788889434">
                  <w:marLeft w:val="0"/>
                  <w:marRight w:val="0"/>
                  <w:marTop w:val="0"/>
                  <w:marBottom w:val="0"/>
                  <w:divBdr>
                    <w:top w:val="none" w:sz="0" w:space="0" w:color="auto"/>
                    <w:left w:val="none" w:sz="0" w:space="0" w:color="auto"/>
                    <w:bottom w:val="none" w:sz="0" w:space="0" w:color="auto"/>
                    <w:right w:val="none" w:sz="0" w:space="0" w:color="auto"/>
                  </w:divBdr>
                  <w:divsChild>
                    <w:div w:id="1462384802">
                      <w:marLeft w:val="0"/>
                      <w:marRight w:val="0"/>
                      <w:marTop w:val="0"/>
                      <w:marBottom w:val="0"/>
                      <w:divBdr>
                        <w:top w:val="none" w:sz="0" w:space="0" w:color="auto"/>
                        <w:left w:val="none" w:sz="0" w:space="0" w:color="auto"/>
                        <w:bottom w:val="none" w:sz="0" w:space="0" w:color="auto"/>
                        <w:right w:val="none" w:sz="0" w:space="0" w:color="auto"/>
                      </w:divBdr>
                    </w:div>
                  </w:divsChild>
                </w:div>
                <w:div w:id="790899689">
                  <w:marLeft w:val="0"/>
                  <w:marRight w:val="0"/>
                  <w:marTop w:val="0"/>
                  <w:marBottom w:val="0"/>
                  <w:divBdr>
                    <w:top w:val="none" w:sz="0" w:space="0" w:color="auto"/>
                    <w:left w:val="none" w:sz="0" w:space="0" w:color="auto"/>
                    <w:bottom w:val="none" w:sz="0" w:space="0" w:color="auto"/>
                    <w:right w:val="none" w:sz="0" w:space="0" w:color="auto"/>
                  </w:divBdr>
                  <w:divsChild>
                    <w:div w:id="1907952208">
                      <w:marLeft w:val="0"/>
                      <w:marRight w:val="0"/>
                      <w:marTop w:val="0"/>
                      <w:marBottom w:val="0"/>
                      <w:divBdr>
                        <w:top w:val="none" w:sz="0" w:space="0" w:color="auto"/>
                        <w:left w:val="none" w:sz="0" w:space="0" w:color="auto"/>
                        <w:bottom w:val="none" w:sz="0" w:space="0" w:color="auto"/>
                        <w:right w:val="none" w:sz="0" w:space="0" w:color="auto"/>
                      </w:divBdr>
                    </w:div>
                  </w:divsChild>
                </w:div>
                <w:div w:id="805658300">
                  <w:marLeft w:val="0"/>
                  <w:marRight w:val="0"/>
                  <w:marTop w:val="0"/>
                  <w:marBottom w:val="0"/>
                  <w:divBdr>
                    <w:top w:val="none" w:sz="0" w:space="0" w:color="auto"/>
                    <w:left w:val="none" w:sz="0" w:space="0" w:color="auto"/>
                    <w:bottom w:val="none" w:sz="0" w:space="0" w:color="auto"/>
                    <w:right w:val="none" w:sz="0" w:space="0" w:color="auto"/>
                  </w:divBdr>
                  <w:divsChild>
                    <w:div w:id="1113747055">
                      <w:marLeft w:val="0"/>
                      <w:marRight w:val="0"/>
                      <w:marTop w:val="0"/>
                      <w:marBottom w:val="0"/>
                      <w:divBdr>
                        <w:top w:val="none" w:sz="0" w:space="0" w:color="auto"/>
                        <w:left w:val="none" w:sz="0" w:space="0" w:color="auto"/>
                        <w:bottom w:val="none" w:sz="0" w:space="0" w:color="auto"/>
                        <w:right w:val="none" w:sz="0" w:space="0" w:color="auto"/>
                      </w:divBdr>
                    </w:div>
                  </w:divsChild>
                </w:div>
                <w:div w:id="809706531">
                  <w:marLeft w:val="0"/>
                  <w:marRight w:val="0"/>
                  <w:marTop w:val="0"/>
                  <w:marBottom w:val="0"/>
                  <w:divBdr>
                    <w:top w:val="none" w:sz="0" w:space="0" w:color="auto"/>
                    <w:left w:val="none" w:sz="0" w:space="0" w:color="auto"/>
                    <w:bottom w:val="none" w:sz="0" w:space="0" w:color="auto"/>
                    <w:right w:val="none" w:sz="0" w:space="0" w:color="auto"/>
                  </w:divBdr>
                  <w:divsChild>
                    <w:div w:id="630133422">
                      <w:marLeft w:val="0"/>
                      <w:marRight w:val="0"/>
                      <w:marTop w:val="0"/>
                      <w:marBottom w:val="0"/>
                      <w:divBdr>
                        <w:top w:val="none" w:sz="0" w:space="0" w:color="auto"/>
                        <w:left w:val="none" w:sz="0" w:space="0" w:color="auto"/>
                        <w:bottom w:val="none" w:sz="0" w:space="0" w:color="auto"/>
                        <w:right w:val="none" w:sz="0" w:space="0" w:color="auto"/>
                      </w:divBdr>
                    </w:div>
                  </w:divsChild>
                </w:div>
                <w:div w:id="845440619">
                  <w:marLeft w:val="0"/>
                  <w:marRight w:val="0"/>
                  <w:marTop w:val="0"/>
                  <w:marBottom w:val="0"/>
                  <w:divBdr>
                    <w:top w:val="none" w:sz="0" w:space="0" w:color="auto"/>
                    <w:left w:val="none" w:sz="0" w:space="0" w:color="auto"/>
                    <w:bottom w:val="none" w:sz="0" w:space="0" w:color="auto"/>
                    <w:right w:val="none" w:sz="0" w:space="0" w:color="auto"/>
                  </w:divBdr>
                  <w:divsChild>
                    <w:div w:id="1478498544">
                      <w:marLeft w:val="0"/>
                      <w:marRight w:val="0"/>
                      <w:marTop w:val="0"/>
                      <w:marBottom w:val="0"/>
                      <w:divBdr>
                        <w:top w:val="none" w:sz="0" w:space="0" w:color="auto"/>
                        <w:left w:val="none" w:sz="0" w:space="0" w:color="auto"/>
                        <w:bottom w:val="none" w:sz="0" w:space="0" w:color="auto"/>
                        <w:right w:val="none" w:sz="0" w:space="0" w:color="auto"/>
                      </w:divBdr>
                    </w:div>
                  </w:divsChild>
                </w:div>
                <w:div w:id="861437415">
                  <w:marLeft w:val="0"/>
                  <w:marRight w:val="0"/>
                  <w:marTop w:val="0"/>
                  <w:marBottom w:val="0"/>
                  <w:divBdr>
                    <w:top w:val="none" w:sz="0" w:space="0" w:color="auto"/>
                    <w:left w:val="none" w:sz="0" w:space="0" w:color="auto"/>
                    <w:bottom w:val="none" w:sz="0" w:space="0" w:color="auto"/>
                    <w:right w:val="none" w:sz="0" w:space="0" w:color="auto"/>
                  </w:divBdr>
                  <w:divsChild>
                    <w:div w:id="1975721310">
                      <w:marLeft w:val="0"/>
                      <w:marRight w:val="0"/>
                      <w:marTop w:val="0"/>
                      <w:marBottom w:val="0"/>
                      <w:divBdr>
                        <w:top w:val="none" w:sz="0" w:space="0" w:color="auto"/>
                        <w:left w:val="none" w:sz="0" w:space="0" w:color="auto"/>
                        <w:bottom w:val="none" w:sz="0" w:space="0" w:color="auto"/>
                        <w:right w:val="none" w:sz="0" w:space="0" w:color="auto"/>
                      </w:divBdr>
                    </w:div>
                  </w:divsChild>
                </w:div>
                <w:div w:id="885214870">
                  <w:marLeft w:val="0"/>
                  <w:marRight w:val="0"/>
                  <w:marTop w:val="0"/>
                  <w:marBottom w:val="0"/>
                  <w:divBdr>
                    <w:top w:val="none" w:sz="0" w:space="0" w:color="auto"/>
                    <w:left w:val="none" w:sz="0" w:space="0" w:color="auto"/>
                    <w:bottom w:val="none" w:sz="0" w:space="0" w:color="auto"/>
                    <w:right w:val="none" w:sz="0" w:space="0" w:color="auto"/>
                  </w:divBdr>
                  <w:divsChild>
                    <w:div w:id="1013141598">
                      <w:marLeft w:val="0"/>
                      <w:marRight w:val="0"/>
                      <w:marTop w:val="0"/>
                      <w:marBottom w:val="0"/>
                      <w:divBdr>
                        <w:top w:val="none" w:sz="0" w:space="0" w:color="auto"/>
                        <w:left w:val="none" w:sz="0" w:space="0" w:color="auto"/>
                        <w:bottom w:val="none" w:sz="0" w:space="0" w:color="auto"/>
                        <w:right w:val="none" w:sz="0" w:space="0" w:color="auto"/>
                      </w:divBdr>
                    </w:div>
                  </w:divsChild>
                </w:div>
                <w:div w:id="968779624">
                  <w:marLeft w:val="0"/>
                  <w:marRight w:val="0"/>
                  <w:marTop w:val="0"/>
                  <w:marBottom w:val="0"/>
                  <w:divBdr>
                    <w:top w:val="none" w:sz="0" w:space="0" w:color="auto"/>
                    <w:left w:val="none" w:sz="0" w:space="0" w:color="auto"/>
                    <w:bottom w:val="none" w:sz="0" w:space="0" w:color="auto"/>
                    <w:right w:val="none" w:sz="0" w:space="0" w:color="auto"/>
                  </w:divBdr>
                  <w:divsChild>
                    <w:div w:id="393744650">
                      <w:marLeft w:val="0"/>
                      <w:marRight w:val="0"/>
                      <w:marTop w:val="0"/>
                      <w:marBottom w:val="0"/>
                      <w:divBdr>
                        <w:top w:val="none" w:sz="0" w:space="0" w:color="auto"/>
                        <w:left w:val="none" w:sz="0" w:space="0" w:color="auto"/>
                        <w:bottom w:val="none" w:sz="0" w:space="0" w:color="auto"/>
                        <w:right w:val="none" w:sz="0" w:space="0" w:color="auto"/>
                      </w:divBdr>
                    </w:div>
                  </w:divsChild>
                </w:div>
                <w:div w:id="977762663">
                  <w:marLeft w:val="0"/>
                  <w:marRight w:val="0"/>
                  <w:marTop w:val="0"/>
                  <w:marBottom w:val="0"/>
                  <w:divBdr>
                    <w:top w:val="none" w:sz="0" w:space="0" w:color="auto"/>
                    <w:left w:val="none" w:sz="0" w:space="0" w:color="auto"/>
                    <w:bottom w:val="none" w:sz="0" w:space="0" w:color="auto"/>
                    <w:right w:val="none" w:sz="0" w:space="0" w:color="auto"/>
                  </w:divBdr>
                  <w:divsChild>
                    <w:div w:id="611867195">
                      <w:marLeft w:val="0"/>
                      <w:marRight w:val="0"/>
                      <w:marTop w:val="0"/>
                      <w:marBottom w:val="0"/>
                      <w:divBdr>
                        <w:top w:val="none" w:sz="0" w:space="0" w:color="auto"/>
                        <w:left w:val="none" w:sz="0" w:space="0" w:color="auto"/>
                        <w:bottom w:val="none" w:sz="0" w:space="0" w:color="auto"/>
                        <w:right w:val="none" w:sz="0" w:space="0" w:color="auto"/>
                      </w:divBdr>
                    </w:div>
                  </w:divsChild>
                </w:div>
                <w:div w:id="982854990">
                  <w:marLeft w:val="0"/>
                  <w:marRight w:val="0"/>
                  <w:marTop w:val="0"/>
                  <w:marBottom w:val="0"/>
                  <w:divBdr>
                    <w:top w:val="none" w:sz="0" w:space="0" w:color="auto"/>
                    <w:left w:val="none" w:sz="0" w:space="0" w:color="auto"/>
                    <w:bottom w:val="none" w:sz="0" w:space="0" w:color="auto"/>
                    <w:right w:val="none" w:sz="0" w:space="0" w:color="auto"/>
                  </w:divBdr>
                  <w:divsChild>
                    <w:div w:id="1890529375">
                      <w:marLeft w:val="0"/>
                      <w:marRight w:val="0"/>
                      <w:marTop w:val="0"/>
                      <w:marBottom w:val="0"/>
                      <w:divBdr>
                        <w:top w:val="none" w:sz="0" w:space="0" w:color="auto"/>
                        <w:left w:val="none" w:sz="0" w:space="0" w:color="auto"/>
                        <w:bottom w:val="none" w:sz="0" w:space="0" w:color="auto"/>
                        <w:right w:val="none" w:sz="0" w:space="0" w:color="auto"/>
                      </w:divBdr>
                    </w:div>
                  </w:divsChild>
                </w:div>
                <w:div w:id="1025251472">
                  <w:marLeft w:val="0"/>
                  <w:marRight w:val="0"/>
                  <w:marTop w:val="0"/>
                  <w:marBottom w:val="0"/>
                  <w:divBdr>
                    <w:top w:val="none" w:sz="0" w:space="0" w:color="auto"/>
                    <w:left w:val="none" w:sz="0" w:space="0" w:color="auto"/>
                    <w:bottom w:val="none" w:sz="0" w:space="0" w:color="auto"/>
                    <w:right w:val="none" w:sz="0" w:space="0" w:color="auto"/>
                  </w:divBdr>
                  <w:divsChild>
                    <w:div w:id="348145774">
                      <w:marLeft w:val="0"/>
                      <w:marRight w:val="0"/>
                      <w:marTop w:val="0"/>
                      <w:marBottom w:val="0"/>
                      <w:divBdr>
                        <w:top w:val="none" w:sz="0" w:space="0" w:color="auto"/>
                        <w:left w:val="none" w:sz="0" w:space="0" w:color="auto"/>
                        <w:bottom w:val="none" w:sz="0" w:space="0" w:color="auto"/>
                        <w:right w:val="none" w:sz="0" w:space="0" w:color="auto"/>
                      </w:divBdr>
                    </w:div>
                  </w:divsChild>
                </w:div>
                <w:div w:id="1046830845">
                  <w:marLeft w:val="0"/>
                  <w:marRight w:val="0"/>
                  <w:marTop w:val="0"/>
                  <w:marBottom w:val="0"/>
                  <w:divBdr>
                    <w:top w:val="none" w:sz="0" w:space="0" w:color="auto"/>
                    <w:left w:val="none" w:sz="0" w:space="0" w:color="auto"/>
                    <w:bottom w:val="none" w:sz="0" w:space="0" w:color="auto"/>
                    <w:right w:val="none" w:sz="0" w:space="0" w:color="auto"/>
                  </w:divBdr>
                  <w:divsChild>
                    <w:div w:id="172113692">
                      <w:marLeft w:val="0"/>
                      <w:marRight w:val="0"/>
                      <w:marTop w:val="0"/>
                      <w:marBottom w:val="0"/>
                      <w:divBdr>
                        <w:top w:val="none" w:sz="0" w:space="0" w:color="auto"/>
                        <w:left w:val="none" w:sz="0" w:space="0" w:color="auto"/>
                        <w:bottom w:val="none" w:sz="0" w:space="0" w:color="auto"/>
                        <w:right w:val="none" w:sz="0" w:space="0" w:color="auto"/>
                      </w:divBdr>
                    </w:div>
                  </w:divsChild>
                </w:div>
                <w:div w:id="1062100353">
                  <w:marLeft w:val="0"/>
                  <w:marRight w:val="0"/>
                  <w:marTop w:val="0"/>
                  <w:marBottom w:val="0"/>
                  <w:divBdr>
                    <w:top w:val="none" w:sz="0" w:space="0" w:color="auto"/>
                    <w:left w:val="none" w:sz="0" w:space="0" w:color="auto"/>
                    <w:bottom w:val="none" w:sz="0" w:space="0" w:color="auto"/>
                    <w:right w:val="none" w:sz="0" w:space="0" w:color="auto"/>
                  </w:divBdr>
                  <w:divsChild>
                    <w:div w:id="2135832558">
                      <w:marLeft w:val="0"/>
                      <w:marRight w:val="0"/>
                      <w:marTop w:val="0"/>
                      <w:marBottom w:val="0"/>
                      <w:divBdr>
                        <w:top w:val="none" w:sz="0" w:space="0" w:color="auto"/>
                        <w:left w:val="none" w:sz="0" w:space="0" w:color="auto"/>
                        <w:bottom w:val="none" w:sz="0" w:space="0" w:color="auto"/>
                        <w:right w:val="none" w:sz="0" w:space="0" w:color="auto"/>
                      </w:divBdr>
                    </w:div>
                  </w:divsChild>
                </w:div>
                <w:div w:id="1083795308">
                  <w:marLeft w:val="0"/>
                  <w:marRight w:val="0"/>
                  <w:marTop w:val="0"/>
                  <w:marBottom w:val="0"/>
                  <w:divBdr>
                    <w:top w:val="none" w:sz="0" w:space="0" w:color="auto"/>
                    <w:left w:val="none" w:sz="0" w:space="0" w:color="auto"/>
                    <w:bottom w:val="none" w:sz="0" w:space="0" w:color="auto"/>
                    <w:right w:val="none" w:sz="0" w:space="0" w:color="auto"/>
                  </w:divBdr>
                  <w:divsChild>
                    <w:div w:id="816531910">
                      <w:marLeft w:val="0"/>
                      <w:marRight w:val="0"/>
                      <w:marTop w:val="0"/>
                      <w:marBottom w:val="0"/>
                      <w:divBdr>
                        <w:top w:val="none" w:sz="0" w:space="0" w:color="auto"/>
                        <w:left w:val="none" w:sz="0" w:space="0" w:color="auto"/>
                        <w:bottom w:val="none" w:sz="0" w:space="0" w:color="auto"/>
                        <w:right w:val="none" w:sz="0" w:space="0" w:color="auto"/>
                      </w:divBdr>
                    </w:div>
                  </w:divsChild>
                </w:div>
                <w:div w:id="1086002413">
                  <w:marLeft w:val="0"/>
                  <w:marRight w:val="0"/>
                  <w:marTop w:val="0"/>
                  <w:marBottom w:val="0"/>
                  <w:divBdr>
                    <w:top w:val="none" w:sz="0" w:space="0" w:color="auto"/>
                    <w:left w:val="none" w:sz="0" w:space="0" w:color="auto"/>
                    <w:bottom w:val="none" w:sz="0" w:space="0" w:color="auto"/>
                    <w:right w:val="none" w:sz="0" w:space="0" w:color="auto"/>
                  </w:divBdr>
                  <w:divsChild>
                    <w:div w:id="1023246243">
                      <w:marLeft w:val="0"/>
                      <w:marRight w:val="0"/>
                      <w:marTop w:val="0"/>
                      <w:marBottom w:val="0"/>
                      <w:divBdr>
                        <w:top w:val="none" w:sz="0" w:space="0" w:color="auto"/>
                        <w:left w:val="none" w:sz="0" w:space="0" w:color="auto"/>
                        <w:bottom w:val="none" w:sz="0" w:space="0" w:color="auto"/>
                        <w:right w:val="none" w:sz="0" w:space="0" w:color="auto"/>
                      </w:divBdr>
                    </w:div>
                  </w:divsChild>
                </w:div>
                <w:div w:id="1102649612">
                  <w:marLeft w:val="0"/>
                  <w:marRight w:val="0"/>
                  <w:marTop w:val="0"/>
                  <w:marBottom w:val="0"/>
                  <w:divBdr>
                    <w:top w:val="none" w:sz="0" w:space="0" w:color="auto"/>
                    <w:left w:val="none" w:sz="0" w:space="0" w:color="auto"/>
                    <w:bottom w:val="none" w:sz="0" w:space="0" w:color="auto"/>
                    <w:right w:val="none" w:sz="0" w:space="0" w:color="auto"/>
                  </w:divBdr>
                  <w:divsChild>
                    <w:div w:id="886571790">
                      <w:marLeft w:val="0"/>
                      <w:marRight w:val="0"/>
                      <w:marTop w:val="0"/>
                      <w:marBottom w:val="0"/>
                      <w:divBdr>
                        <w:top w:val="none" w:sz="0" w:space="0" w:color="auto"/>
                        <w:left w:val="none" w:sz="0" w:space="0" w:color="auto"/>
                        <w:bottom w:val="none" w:sz="0" w:space="0" w:color="auto"/>
                        <w:right w:val="none" w:sz="0" w:space="0" w:color="auto"/>
                      </w:divBdr>
                    </w:div>
                  </w:divsChild>
                </w:div>
                <w:div w:id="1130511730">
                  <w:marLeft w:val="0"/>
                  <w:marRight w:val="0"/>
                  <w:marTop w:val="0"/>
                  <w:marBottom w:val="0"/>
                  <w:divBdr>
                    <w:top w:val="none" w:sz="0" w:space="0" w:color="auto"/>
                    <w:left w:val="none" w:sz="0" w:space="0" w:color="auto"/>
                    <w:bottom w:val="none" w:sz="0" w:space="0" w:color="auto"/>
                    <w:right w:val="none" w:sz="0" w:space="0" w:color="auto"/>
                  </w:divBdr>
                  <w:divsChild>
                    <w:div w:id="614555806">
                      <w:marLeft w:val="0"/>
                      <w:marRight w:val="0"/>
                      <w:marTop w:val="0"/>
                      <w:marBottom w:val="0"/>
                      <w:divBdr>
                        <w:top w:val="none" w:sz="0" w:space="0" w:color="auto"/>
                        <w:left w:val="none" w:sz="0" w:space="0" w:color="auto"/>
                        <w:bottom w:val="none" w:sz="0" w:space="0" w:color="auto"/>
                        <w:right w:val="none" w:sz="0" w:space="0" w:color="auto"/>
                      </w:divBdr>
                    </w:div>
                  </w:divsChild>
                </w:div>
                <w:div w:id="1196507091">
                  <w:marLeft w:val="0"/>
                  <w:marRight w:val="0"/>
                  <w:marTop w:val="0"/>
                  <w:marBottom w:val="0"/>
                  <w:divBdr>
                    <w:top w:val="none" w:sz="0" w:space="0" w:color="auto"/>
                    <w:left w:val="none" w:sz="0" w:space="0" w:color="auto"/>
                    <w:bottom w:val="none" w:sz="0" w:space="0" w:color="auto"/>
                    <w:right w:val="none" w:sz="0" w:space="0" w:color="auto"/>
                  </w:divBdr>
                  <w:divsChild>
                    <w:div w:id="1458791426">
                      <w:marLeft w:val="0"/>
                      <w:marRight w:val="0"/>
                      <w:marTop w:val="0"/>
                      <w:marBottom w:val="0"/>
                      <w:divBdr>
                        <w:top w:val="none" w:sz="0" w:space="0" w:color="auto"/>
                        <w:left w:val="none" w:sz="0" w:space="0" w:color="auto"/>
                        <w:bottom w:val="none" w:sz="0" w:space="0" w:color="auto"/>
                        <w:right w:val="none" w:sz="0" w:space="0" w:color="auto"/>
                      </w:divBdr>
                    </w:div>
                  </w:divsChild>
                </w:div>
                <w:div w:id="1200240240">
                  <w:marLeft w:val="0"/>
                  <w:marRight w:val="0"/>
                  <w:marTop w:val="0"/>
                  <w:marBottom w:val="0"/>
                  <w:divBdr>
                    <w:top w:val="none" w:sz="0" w:space="0" w:color="auto"/>
                    <w:left w:val="none" w:sz="0" w:space="0" w:color="auto"/>
                    <w:bottom w:val="none" w:sz="0" w:space="0" w:color="auto"/>
                    <w:right w:val="none" w:sz="0" w:space="0" w:color="auto"/>
                  </w:divBdr>
                  <w:divsChild>
                    <w:div w:id="861825100">
                      <w:marLeft w:val="0"/>
                      <w:marRight w:val="0"/>
                      <w:marTop w:val="0"/>
                      <w:marBottom w:val="0"/>
                      <w:divBdr>
                        <w:top w:val="none" w:sz="0" w:space="0" w:color="auto"/>
                        <w:left w:val="none" w:sz="0" w:space="0" w:color="auto"/>
                        <w:bottom w:val="none" w:sz="0" w:space="0" w:color="auto"/>
                        <w:right w:val="none" w:sz="0" w:space="0" w:color="auto"/>
                      </w:divBdr>
                    </w:div>
                  </w:divsChild>
                </w:div>
                <w:div w:id="1245066799">
                  <w:marLeft w:val="0"/>
                  <w:marRight w:val="0"/>
                  <w:marTop w:val="0"/>
                  <w:marBottom w:val="0"/>
                  <w:divBdr>
                    <w:top w:val="none" w:sz="0" w:space="0" w:color="auto"/>
                    <w:left w:val="none" w:sz="0" w:space="0" w:color="auto"/>
                    <w:bottom w:val="none" w:sz="0" w:space="0" w:color="auto"/>
                    <w:right w:val="none" w:sz="0" w:space="0" w:color="auto"/>
                  </w:divBdr>
                  <w:divsChild>
                    <w:div w:id="1347705397">
                      <w:marLeft w:val="0"/>
                      <w:marRight w:val="0"/>
                      <w:marTop w:val="0"/>
                      <w:marBottom w:val="0"/>
                      <w:divBdr>
                        <w:top w:val="none" w:sz="0" w:space="0" w:color="auto"/>
                        <w:left w:val="none" w:sz="0" w:space="0" w:color="auto"/>
                        <w:bottom w:val="none" w:sz="0" w:space="0" w:color="auto"/>
                        <w:right w:val="none" w:sz="0" w:space="0" w:color="auto"/>
                      </w:divBdr>
                    </w:div>
                  </w:divsChild>
                </w:div>
                <w:div w:id="1249726428">
                  <w:marLeft w:val="0"/>
                  <w:marRight w:val="0"/>
                  <w:marTop w:val="0"/>
                  <w:marBottom w:val="0"/>
                  <w:divBdr>
                    <w:top w:val="none" w:sz="0" w:space="0" w:color="auto"/>
                    <w:left w:val="none" w:sz="0" w:space="0" w:color="auto"/>
                    <w:bottom w:val="none" w:sz="0" w:space="0" w:color="auto"/>
                    <w:right w:val="none" w:sz="0" w:space="0" w:color="auto"/>
                  </w:divBdr>
                  <w:divsChild>
                    <w:div w:id="659889166">
                      <w:marLeft w:val="0"/>
                      <w:marRight w:val="0"/>
                      <w:marTop w:val="0"/>
                      <w:marBottom w:val="0"/>
                      <w:divBdr>
                        <w:top w:val="none" w:sz="0" w:space="0" w:color="auto"/>
                        <w:left w:val="none" w:sz="0" w:space="0" w:color="auto"/>
                        <w:bottom w:val="none" w:sz="0" w:space="0" w:color="auto"/>
                        <w:right w:val="none" w:sz="0" w:space="0" w:color="auto"/>
                      </w:divBdr>
                    </w:div>
                  </w:divsChild>
                </w:div>
                <w:div w:id="1319655806">
                  <w:marLeft w:val="0"/>
                  <w:marRight w:val="0"/>
                  <w:marTop w:val="0"/>
                  <w:marBottom w:val="0"/>
                  <w:divBdr>
                    <w:top w:val="none" w:sz="0" w:space="0" w:color="auto"/>
                    <w:left w:val="none" w:sz="0" w:space="0" w:color="auto"/>
                    <w:bottom w:val="none" w:sz="0" w:space="0" w:color="auto"/>
                    <w:right w:val="none" w:sz="0" w:space="0" w:color="auto"/>
                  </w:divBdr>
                  <w:divsChild>
                    <w:div w:id="359550410">
                      <w:marLeft w:val="0"/>
                      <w:marRight w:val="0"/>
                      <w:marTop w:val="0"/>
                      <w:marBottom w:val="0"/>
                      <w:divBdr>
                        <w:top w:val="none" w:sz="0" w:space="0" w:color="auto"/>
                        <w:left w:val="none" w:sz="0" w:space="0" w:color="auto"/>
                        <w:bottom w:val="none" w:sz="0" w:space="0" w:color="auto"/>
                        <w:right w:val="none" w:sz="0" w:space="0" w:color="auto"/>
                      </w:divBdr>
                    </w:div>
                  </w:divsChild>
                </w:div>
                <w:div w:id="1319991182">
                  <w:marLeft w:val="0"/>
                  <w:marRight w:val="0"/>
                  <w:marTop w:val="0"/>
                  <w:marBottom w:val="0"/>
                  <w:divBdr>
                    <w:top w:val="none" w:sz="0" w:space="0" w:color="auto"/>
                    <w:left w:val="none" w:sz="0" w:space="0" w:color="auto"/>
                    <w:bottom w:val="none" w:sz="0" w:space="0" w:color="auto"/>
                    <w:right w:val="none" w:sz="0" w:space="0" w:color="auto"/>
                  </w:divBdr>
                  <w:divsChild>
                    <w:div w:id="367684971">
                      <w:marLeft w:val="0"/>
                      <w:marRight w:val="0"/>
                      <w:marTop w:val="0"/>
                      <w:marBottom w:val="0"/>
                      <w:divBdr>
                        <w:top w:val="none" w:sz="0" w:space="0" w:color="auto"/>
                        <w:left w:val="none" w:sz="0" w:space="0" w:color="auto"/>
                        <w:bottom w:val="none" w:sz="0" w:space="0" w:color="auto"/>
                        <w:right w:val="none" w:sz="0" w:space="0" w:color="auto"/>
                      </w:divBdr>
                    </w:div>
                  </w:divsChild>
                </w:div>
                <w:div w:id="1323041018">
                  <w:marLeft w:val="0"/>
                  <w:marRight w:val="0"/>
                  <w:marTop w:val="0"/>
                  <w:marBottom w:val="0"/>
                  <w:divBdr>
                    <w:top w:val="none" w:sz="0" w:space="0" w:color="auto"/>
                    <w:left w:val="none" w:sz="0" w:space="0" w:color="auto"/>
                    <w:bottom w:val="none" w:sz="0" w:space="0" w:color="auto"/>
                    <w:right w:val="none" w:sz="0" w:space="0" w:color="auto"/>
                  </w:divBdr>
                  <w:divsChild>
                    <w:div w:id="1624538113">
                      <w:marLeft w:val="0"/>
                      <w:marRight w:val="0"/>
                      <w:marTop w:val="0"/>
                      <w:marBottom w:val="0"/>
                      <w:divBdr>
                        <w:top w:val="none" w:sz="0" w:space="0" w:color="auto"/>
                        <w:left w:val="none" w:sz="0" w:space="0" w:color="auto"/>
                        <w:bottom w:val="none" w:sz="0" w:space="0" w:color="auto"/>
                        <w:right w:val="none" w:sz="0" w:space="0" w:color="auto"/>
                      </w:divBdr>
                    </w:div>
                  </w:divsChild>
                </w:div>
                <w:div w:id="1369178687">
                  <w:marLeft w:val="0"/>
                  <w:marRight w:val="0"/>
                  <w:marTop w:val="0"/>
                  <w:marBottom w:val="0"/>
                  <w:divBdr>
                    <w:top w:val="none" w:sz="0" w:space="0" w:color="auto"/>
                    <w:left w:val="none" w:sz="0" w:space="0" w:color="auto"/>
                    <w:bottom w:val="none" w:sz="0" w:space="0" w:color="auto"/>
                    <w:right w:val="none" w:sz="0" w:space="0" w:color="auto"/>
                  </w:divBdr>
                  <w:divsChild>
                    <w:div w:id="1704476388">
                      <w:marLeft w:val="0"/>
                      <w:marRight w:val="0"/>
                      <w:marTop w:val="0"/>
                      <w:marBottom w:val="0"/>
                      <w:divBdr>
                        <w:top w:val="none" w:sz="0" w:space="0" w:color="auto"/>
                        <w:left w:val="none" w:sz="0" w:space="0" w:color="auto"/>
                        <w:bottom w:val="none" w:sz="0" w:space="0" w:color="auto"/>
                        <w:right w:val="none" w:sz="0" w:space="0" w:color="auto"/>
                      </w:divBdr>
                    </w:div>
                  </w:divsChild>
                </w:div>
                <w:div w:id="1422993748">
                  <w:marLeft w:val="0"/>
                  <w:marRight w:val="0"/>
                  <w:marTop w:val="0"/>
                  <w:marBottom w:val="0"/>
                  <w:divBdr>
                    <w:top w:val="none" w:sz="0" w:space="0" w:color="auto"/>
                    <w:left w:val="none" w:sz="0" w:space="0" w:color="auto"/>
                    <w:bottom w:val="none" w:sz="0" w:space="0" w:color="auto"/>
                    <w:right w:val="none" w:sz="0" w:space="0" w:color="auto"/>
                  </w:divBdr>
                  <w:divsChild>
                    <w:div w:id="1818112032">
                      <w:marLeft w:val="0"/>
                      <w:marRight w:val="0"/>
                      <w:marTop w:val="0"/>
                      <w:marBottom w:val="0"/>
                      <w:divBdr>
                        <w:top w:val="none" w:sz="0" w:space="0" w:color="auto"/>
                        <w:left w:val="none" w:sz="0" w:space="0" w:color="auto"/>
                        <w:bottom w:val="none" w:sz="0" w:space="0" w:color="auto"/>
                        <w:right w:val="none" w:sz="0" w:space="0" w:color="auto"/>
                      </w:divBdr>
                    </w:div>
                  </w:divsChild>
                </w:div>
                <w:div w:id="1472745065">
                  <w:marLeft w:val="0"/>
                  <w:marRight w:val="0"/>
                  <w:marTop w:val="0"/>
                  <w:marBottom w:val="0"/>
                  <w:divBdr>
                    <w:top w:val="none" w:sz="0" w:space="0" w:color="auto"/>
                    <w:left w:val="none" w:sz="0" w:space="0" w:color="auto"/>
                    <w:bottom w:val="none" w:sz="0" w:space="0" w:color="auto"/>
                    <w:right w:val="none" w:sz="0" w:space="0" w:color="auto"/>
                  </w:divBdr>
                  <w:divsChild>
                    <w:div w:id="1365593019">
                      <w:marLeft w:val="0"/>
                      <w:marRight w:val="0"/>
                      <w:marTop w:val="0"/>
                      <w:marBottom w:val="0"/>
                      <w:divBdr>
                        <w:top w:val="none" w:sz="0" w:space="0" w:color="auto"/>
                        <w:left w:val="none" w:sz="0" w:space="0" w:color="auto"/>
                        <w:bottom w:val="none" w:sz="0" w:space="0" w:color="auto"/>
                        <w:right w:val="none" w:sz="0" w:space="0" w:color="auto"/>
                      </w:divBdr>
                    </w:div>
                  </w:divsChild>
                </w:div>
                <w:div w:id="1594704504">
                  <w:marLeft w:val="0"/>
                  <w:marRight w:val="0"/>
                  <w:marTop w:val="0"/>
                  <w:marBottom w:val="0"/>
                  <w:divBdr>
                    <w:top w:val="none" w:sz="0" w:space="0" w:color="auto"/>
                    <w:left w:val="none" w:sz="0" w:space="0" w:color="auto"/>
                    <w:bottom w:val="none" w:sz="0" w:space="0" w:color="auto"/>
                    <w:right w:val="none" w:sz="0" w:space="0" w:color="auto"/>
                  </w:divBdr>
                  <w:divsChild>
                    <w:div w:id="581647690">
                      <w:marLeft w:val="0"/>
                      <w:marRight w:val="0"/>
                      <w:marTop w:val="0"/>
                      <w:marBottom w:val="0"/>
                      <w:divBdr>
                        <w:top w:val="none" w:sz="0" w:space="0" w:color="auto"/>
                        <w:left w:val="none" w:sz="0" w:space="0" w:color="auto"/>
                        <w:bottom w:val="none" w:sz="0" w:space="0" w:color="auto"/>
                        <w:right w:val="none" w:sz="0" w:space="0" w:color="auto"/>
                      </w:divBdr>
                    </w:div>
                  </w:divsChild>
                </w:div>
                <w:div w:id="1621260813">
                  <w:marLeft w:val="0"/>
                  <w:marRight w:val="0"/>
                  <w:marTop w:val="0"/>
                  <w:marBottom w:val="0"/>
                  <w:divBdr>
                    <w:top w:val="none" w:sz="0" w:space="0" w:color="auto"/>
                    <w:left w:val="none" w:sz="0" w:space="0" w:color="auto"/>
                    <w:bottom w:val="none" w:sz="0" w:space="0" w:color="auto"/>
                    <w:right w:val="none" w:sz="0" w:space="0" w:color="auto"/>
                  </w:divBdr>
                  <w:divsChild>
                    <w:div w:id="734277144">
                      <w:marLeft w:val="0"/>
                      <w:marRight w:val="0"/>
                      <w:marTop w:val="0"/>
                      <w:marBottom w:val="0"/>
                      <w:divBdr>
                        <w:top w:val="none" w:sz="0" w:space="0" w:color="auto"/>
                        <w:left w:val="none" w:sz="0" w:space="0" w:color="auto"/>
                        <w:bottom w:val="none" w:sz="0" w:space="0" w:color="auto"/>
                        <w:right w:val="none" w:sz="0" w:space="0" w:color="auto"/>
                      </w:divBdr>
                    </w:div>
                  </w:divsChild>
                </w:div>
                <w:div w:id="1633709846">
                  <w:marLeft w:val="0"/>
                  <w:marRight w:val="0"/>
                  <w:marTop w:val="0"/>
                  <w:marBottom w:val="0"/>
                  <w:divBdr>
                    <w:top w:val="none" w:sz="0" w:space="0" w:color="auto"/>
                    <w:left w:val="none" w:sz="0" w:space="0" w:color="auto"/>
                    <w:bottom w:val="none" w:sz="0" w:space="0" w:color="auto"/>
                    <w:right w:val="none" w:sz="0" w:space="0" w:color="auto"/>
                  </w:divBdr>
                  <w:divsChild>
                    <w:div w:id="866214011">
                      <w:marLeft w:val="0"/>
                      <w:marRight w:val="0"/>
                      <w:marTop w:val="0"/>
                      <w:marBottom w:val="0"/>
                      <w:divBdr>
                        <w:top w:val="none" w:sz="0" w:space="0" w:color="auto"/>
                        <w:left w:val="none" w:sz="0" w:space="0" w:color="auto"/>
                        <w:bottom w:val="none" w:sz="0" w:space="0" w:color="auto"/>
                        <w:right w:val="none" w:sz="0" w:space="0" w:color="auto"/>
                      </w:divBdr>
                    </w:div>
                  </w:divsChild>
                </w:div>
                <w:div w:id="1642996988">
                  <w:marLeft w:val="0"/>
                  <w:marRight w:val="0"/>
                  <w:marTop w:val="0"/>
                  <w:marBottom w:val="0"/>
                  <w:divBdr>
                    <w:top w:val="none" w:sz="0" w:space="0" w:color="auto"/>
                    <w:left w:val="none" w:sz="0" w:space="0" w:color="auto"/>
                    <w:bottom w:val="none" w:sz="0" w:space="0" w:color="auto"/>
                    <w:right w:val="none" w:sz="0" w:space="0" w:color="auto"/>
                  </w:divBdr>
                  <w:divsChild>
                    <w:div w:id="417867471">
                      <w:marLeft w:val="0"/>
                      <w:marRight w:val="0"/>
                      <w:marTop w:val="0"/>
                      <w:marBottom w:val="0"/>
                      <w:divBdr>
                        <w:top w:val="none" w:sz="0" w:space="0" w:color="auto"/>
                        <w:left w:val="none" w:sz="0" w:space="0" w:color="auto"/>
                        <w:bottom w:val="none" w:sz="0" w:space="0" w:color="auto"/>
                        <w:right w:val="none" w:sz="0" w:space="0" w:color="auto"/>
                      </w:divBdr>
                    </w:div>
                  </w:divsChild>
                </w:div>
                <w:div w:id="1653480119">
                  <w:marLeft w:val="0"/>
                  <w:marRight w:val="0"/>
                  <w:marTop w:val="0"/>
                  <w:marBottom w:val="0"/>
                  <w:divBdr>
                    <w:top w:val="none" w:sz="0" w:space="0" w:color="auto"/>
                    <w:left w:val="none" w:sz="0" w:space="0" w:color="auto"/>
                    <w:bottom w:val="none" w:sz="0" w:space="0" w:color="auto"/>
                    <w:right w:val="none" w:sz="0" w:space="0" w:color="auto"/>
                  </w:divBdr>
                  <w:divsChild>
                    <w:div w:id="572928366">
                      <w:marLeft w:val="0"/>
                      <w:marRight w:val="0"/>
                      <w:marTop w:val="0"/>
                      <w:marBottom w:val="0"/>
                      <w:divBdr>
                        <w:top w:val="none" w:sz="0" w:space="0" w:color="auto"/>
                        <w:left w:val="none" w:sz="0" w:space="0" w:color="auto"/>
                        <w:bottom w:val="none" w:sz="0" w:space="0" w:color="auto"/>
                        <w:right w:val="none" w:sz="0" w:space="0" w:color="auto"/>
                      </w:divBdr>
                    </w:div>
                  </w:divsChild>
                </w:div>
                <w:div w:id="1713529162">
                  <w:marLeft w:val="0"/>
                  <w:marRight w:val="0"/>
                  <w:marTop w:val="0"/>
                  <w:marBottom w:val="0"/>
                  <w:divBdr>
                    <w:top w:val="none" w:sz="0" w:space="0" w:color="auto"/>
                    <w:left w:val="none" w:sz="0" w:space="0" w:color="auto"/>
                    <w:bottom w:val="none" w:sz="0" w:space="0" w:color="auto"/>
                    <w:right w:val="none" w:sz="0" w:space="0" w:color="auto"/>
                  </w:divBdr>
                  <w:divsChild>
                    <w:div w:id="864640803">
                      <w:marLeft w:val="0"/>
                      <w:marRight w:val="0"/>
                      <w:marTop w:val="0"/>
                      <w:marBottom w:val="0"/>
                      <w:divBdr>
                        <w:top w:val="none" w:sz="0" w:space="0" w:color="auto"/>
                        <w:left w:val="none" w:sz="0" w:space="0" w:color="auto"/>
                        <w:bottom w:val="none" w:sz="0" w:space="0" w:color="auto"/>
                        <w:right w:val="none" w:sz="0" w:space="0" w:color="auto"/>
                      </w:divBdr>
                    </w:div>
                  </w:divsChild>
                </w:div>
                <w:div w:id="1731810619">
                  <w:marLeft w:val="0"/>
                  <w:marRight w:val="0"/>
                  <w:marTop w:val="0"/>
                  <w:marBottom w:val="0"/>
                  <w:divBdr>
                    <w:top w:val="none" w:sz="0" w:space="0" w:color="auto"/>
                    <w:left w:val="none" w:sz="0" w:space="0" w:color="auto"/>
                    <w:bottom w:val="none" w:sz="0" w:space="0" w:color="auto"/>
                    <w:right w:val="none" w:sz="0" w:space="0" w:color="auto"/>
                  </w:divBdr>
                  <w:divsChild>
                    <w:div w:id="842622499">
                      <w:marLeft w:val="0"/>
                      <w:marRight w:val="0"/>
                      <w:marTop w:val="0"/>
                      <w:marBottom w:val="0"/>
                      <w:divBdr>
                        <w:top w:val="none" w:sz="0" w:space="0" w:color="auto"/>
                        <w:left w:val="none" w:sz="0" w:space="0" w:color="auto"/>
                        <w:bottom w:val="none" w:sz="0" w:space="0" w:color="auto"/>
                        <w:right w:val="none" w:sz="0" w:space="0" w:color="auto"/>
                      </w:divBdr>
                    </w:div>
                  </w:divsChild>
                </w:div>
                <w:div w:id="1752043680">
                  <w:marLeft w:val="0"/>
                  <w:marRight w:val="0"/>
                  <w:marTop w:val="0"/>
                  <w:marBottom w:val="0"/>
                  <w:divBdr>
                    <w:top w:val="none" w:sz="0" w:space="0" w:color="auto"/>
                    <w:left w:val="none" w:sz="0" w:space="0" w:color="auto"/>
                    <w:bottom w:val="none" w:sz="0" w:space="0" w:color="auto"/>
                    <w:right w:val="none" w:sz="0" w:space="0" w:color="auto"/>
                  </w:divBdr>
                  <w:divsChild>
                    <w:div w:id="892814794">
                      <w:marLeft w:val="0"/>
                      <w:marRight w:val="0"/>
                      <w:marTop w:val="0"/>
                      <w:marBottom w:val="0"/>
                      <w:divBdr>
                        <w:top w:val="none" w:sz="0" w:space="0" w:color="auto"/>
                        <w:left w:val="none" w:sz="0" w:space="0" w:color="auto"/>
                        <w:bottom w:val="none" w:sz="0" w:space="0" w:color="auto"/>
                        <w:right w:val="none" w:sz="0" w:space="0" w:color="auto"/>
                      </w:divBdr>
                    </w:div>
                  </w:divsChild>
                </w:div>
                <w:div w:id="1766686233">
                  <w:marLeft w:val="0"/>
                  <w:marRight w:val="0"/>
                  <w:marTop w:val="0"/>
                  <w:marBottom w:val="0"/>
                  <w:divBdr>
                    <w:top w:val="none" w:sz="0" w:space="0" w:color="auto"/>
                    <w:left w:val="none" w:sz="0" w:space="0" w:color="auto"/>
                    <w:bottom w:val="none" w:sz="0" w:space="0" w:color="auto"/>
                    <w:right w:val="none" w:sz="0" w:space="0" w:color="auto"/>
                  </w:divBdr>
                  <w:divsChild>
                    <w:div w:id="818495158">
                      <w:marLeft w:val="0"/>
                      <w:marRight w:val="0"/>
                      <w:marTop w:val="0"/>
                      <w:marBottom w:val="0"/>
                      <w:divBdr>
                        <w:top w:val="none" w:sz="0" w:space="0" w:color="auto"/>
                        <w:left w:val="none" w:sz="0" w:space="0" w:color="auto"/>
                        <w:bottom w:val="none" w:sz="0" w:space="0" w:color="auto"/>
                        <w:right w:val="none" w:sz="0" w:space="0" w:color="auto"/>
                      </w:divBdr>
                    </w:div>
                  </w:divsChild>
                </w:div>
                <w:div w:id="1808543789">
                  <w:marLeft w:val="0"/>
                  <w:marRight w:val="0"/>
                  <w:marTop w:val="0"/>
                  <w:marBottom w:val="0"/>
                  <w:divBdr>
                    <w:top w:val="none" w:sz="0" w:space="0" w:color="auto"/>
                    <w:left w:val="none" w:sz="0" w:space="0" w:color="auto"/>
                    <w:bottom w:val="none" w:sz="0" w:space="0" w:color="auto"/>
                    <w:right w:val="none" w:sz="0" w:space="0" w:color="auto"/>
                  </w:divBdr>
                  <w:divsChild>
                    <w:div w:id="1568615947">
                      <w:marLeft w:val="0"/>
                      <w:marRight w:val="0"/>
                      <w:marTop w:val="0"/>
                      <w:marBottom w:val="0"/>
                      <w:divBdr>
                        <w:top w:val="none" w:sz="0" w:space="0" w:color="auto"/>
                        <w:left w:val="none" w:sz="0" w:space="0" w:color="auto"/>
                        <w:bottom w:val="none" w:sz="0" w:space="0" w:color="auto"/>
                        <w:right w:val="none" w:sz="0" w:space="0" w:color="auto"/>
                      </w:divBdr>
                    </w:div>
                  </w:divsChild>
                </w:div>
                <w:div w:id="1861888631">
                  <w:marLeft w:val="0"/>
                  <w:marRight w:val="0"/>
                  <w:marTop w:val="0"/>
                  <w:marBottom w:val="0"/>
                  <w:divBdr>
                    <w:top w:val="none" w:sz="0" w:space="0" w:color="auto"/>
                    <w:left w:val="none" w:sz="0" w:space="0" w:color="auto"/>
                    <w:bottom w:val="none" w:sz="0" w:space="0" w:color="auto"/>
                    <w:right w:val="none" w:sz="0" w:space="0" w:color="auto"/>
                  </w:divBdr>
                  <w:divsChild>
                    <w:div w:id="737434683">
                      <w:marLeft w:val="0"/>
                      <w:marRight w:val="0"/>
                      <w:marTop w:val="0"/>
                      <w:marBottom w:val="0"/>
                      <w:divBdr>
                        <w:top w:val="none" w:sz="0" w:space="0" w:color="auto"/>
                        <w:left w:val="none" w:sz="0" w:space="0" w:color="auto"/>
                        <w:bottom w:val="none" w:sz="0" w:space="0" w:color="auto"/>
                        <w:right w:val="none" w:sz="0" w:space="0" w:color="auto"/>
                      </w:divBdr>
                    </w:div>
                  </w:divsChild>
                </w:div>
                <w:div w:id="1875843464">
                  <w:marLeft w:val="0"/>
                  <w:marRight w:val="0"/>
                  <w:marTop w:val="0"/>
                  <w:marBottom w:val="0"/>
                  <w:divBdr>
                    <w:top w:val="none" w:sz="0" w:space="0" w:color="auto"/>
                    <w:left w:val="none" w:sz="0" w:space="0" w:color="auto"/>
                    <w:bottom w:val="none" w:sz="0" w:space="0" w:color="auto"/>
                    <w:right w:val="none" w:sz="0" w:space="0" w:color="auto"/>
                  </w:divBdr>
                  <w:divsChild>
                    <w:div w:id="110367631">
                      <w:marLeft w:val="0"/>
                      <w:marRight w:val="0"/>
                      <w:marTop w:val="0"/>
                      <w:marBottom w:val="0"/>
                      <w:divBdr>
                        <w:top w:val="none" w:sz="0" w:space="0" w:color="auto"/>
                        <w:left w:val="none" w:sz="0" w:space="0" w:color="auto"/>
                        <w:bottom w:val="none" w:sz="0" w:space="0" w:color="auto"/>
                        <w:right w:val="none" w:sz="0" w:space="0" w:color="auto"/>
                      </w:divBdr>
                    </w:div>
                  </w:divsChild>
                </w:div>
                <w:div w:id="1977368808">
                  <w:marLeft w:val="0"/>
                  <w:marRight w:val="0"/>
                  <w:marTop w:val="0"/>
                  <w:marBottom w:val="0"/>
                  <w:divBdr>
                    <w:top w:val="none" w:sz="0" w:space="0" w:color="auto"/>
                    <w:left w:val="none" w:sz="0" w:space="0" w:color="auto"/>
                    <w:bottom w:val="none" w:sz="0" w:space="0" w:color="auto"/>
                    <w:right w:val="none" w:sz="0" w:space="0" w:color="auto"/>
                  </w:divBdr>
                  <w:divsChild>
                    <w:div w:id="80683814">
                      <w:marLeft w:val="0"/>
                      <w:marRight w:val="0"/>
                      <w:marTop w:val="0"/>
                      <w:marBottom w:val="0"/>
                      <w:divBdr>
                        <w:top w:val="none" w:sz="0" w:space="0" w:color="auto"/>
                        <w:left w:val="none" w:sz="0" w:space="0" w:color="auto"/>
                        <w:bottom w:val="none" w:sz="0" w:space="0" w:color="auto"/>
                        <w:right w:val="none" w:sz="0" w:space="0" w:color="auto"/>
                      </w:divBdr>
                    </w:div>
                  </w:divsChild>
                </w:div>
                <w:div w:id="1988243667">
                  <w:marLeft w:val="0"/>
                  <w:marRight w:val="0"/>
                  <w:marTop w:val="0"/>
                  <w:marBottom w:val="0"/>
                  <w:divBdr>
                    <w:top w:val="none" w:sz="0" w:space="0" w:color="auto"/>
                    <w:left w:val="none" w:sz="0" w:space="0" w:color="auto"/>
                    <w:bottom w:val="none" w:sz="0" w:space="0" w:color="auto"/>
                    <w:right w:val="none" w:sz="0" w:space="0" w:color="auto"/>
                  </w:divBdr>
                  <w:divsChild>
                    <w:div w:id="1666401128">
                      <w:marLeft w:val="0"/>
                      <w:marRight w:val="0"/>
                      <w:marTop w:val="0"/>
                      <w:marBottom w:val="0"/>
                      <w:divBdr>
                        <w:top w:val="none" w:sz="0" w:space="0" w:color="auto"/>
                        <w:left w:val="none" w:sz="0" w:space="0" w:color="auto"/>
                        <w:bottom w:val="none" w:sz="0" w:space="0" w:color="auto"/>
                        <w:right w:val="none" w:sz="0" w:space="0" w:color="auto"/>
                      </w:divBdr>
                    </w:div>
                  </w:divsChild>
                </w:div>
                <w:div w:id="2014648915">
                  <w:marLeft w:val="0"/>
                  <w:marRight w:val="0"/>
                  <w:marTop w:val="0"/>
                  <w:marBottom w:val="0"/>
                  <w:divBdr>
                    <w:top w:val="none" w:sz="0" w:space="0" w:color="auto"/>
                    <w:left w:val="none" w:sz="0" w:space="0" w:color="auto"/>
                    <w:bottom w:val="none" w:sz="0" w:space="0" w:color="auto"/>
                    <w:right w:val="none" w:sz="0" w:space="0" w:color="auto"/>
                  </w:divBdr>
                  <w:divsChild>
                    <w:div w:id="1164324740">
                      <w:marLeft w:val="0"/>
                      <w:marRight w:val="0"/>
                      <w:marTop w:val="0"/>
                      <w:marBottom w:val="0"/>
                      <w:divBdr>
                        <w:top w:val="none" w:sz="0" w:space="0" w:color="auto"/>
                        <w:left w:val="none" w:sz="0" w:space="0" w:color="auto"/>
                        <w:bottom w:val="none" w:sz="0" w:space="0" w:color="auto"/>
                        <w:right w:val="none" w:sz="0" w:space="0" w:color="auto"/>
                      </w:divBdr>
                    </w:div>
                  </w:divsChild>
                </w:div>
                <w:div w:id="2055962483">
                  <w:marLeft w:val="0"/>
                  <w:marRight w:val="0"/>
                  <w:marTop w:val="0"/>
                  <w:marBottom w:val="0"/>
                  <w:divBdr>
                    <w:top w:val="none" w:sz="0" w:space="0" w:color="auto"/>
                    <w:left w:val="none" w:sz="0" w:space="0" w:color="auto"/>
                    <w:bottom w:val="none" w:sz="0" w:space="0" w:color="auto"/>
                    <w:right w:val="none" w:sz="0" w:space="0" w:color="auto"/>
                  </w:divBdr>
                  <w:divsChild>
                    <w:div w:id="1462647432">
                      <w:marLeft w:val="0"/>
                      <w:marRight w:val="0"/>
                      <w:marTop w:val="0"/>
                      <w:marBottom w:val="0"/>
                      <w:divBdr>
                        <w:top w:val="none" w:sz="0" w:space="0" w:color="auto"/>
                        <w:left w:val="none" w:sz="0" w:space="0" w:color="auto"/>
                        <w:bottom w:val="none" w:sz="0" w:space="0" w:color="auto"/>
                        <w:right w:val="none" w:sz="0" w:space="0" w:color="auto"/>
                      </w:divBdr>
                    </w:div>
                  </w:divsChild>
                </w:div>
                <w:div w:id="2085100698">
                  <w:marLeft w:val="0"/>
                  <w:marRight w:val="0"/>
                  <w:marTop w:val="0"/>
                  <w:marBottom w:val="0"/>
                  <w:divBdr>
                    <w:top w:val="none" w:sz="0" w:space="0" w:color="auto"/>
                    <w:left w:val="none" w:sz="0" w:space="0" w:color="auto"/>
                    <w:bottom w:val="none" w:sz="0" w:space="0" w:color="auto"/>
                    <w:right w:val="none" w:sz="0" w:space="0" w:color="auto"/>
                  </w:divBdr>
                  <w:divsChild>
                    <w:div w:id="1987662053">
                      <w:marLeft w:val="0"/>
                      <w:marRight w:val="0"/>
                      <w:marTop w:val="0"/>
                      <w:marBottom w:val="0"/>
                      <w:divBdr>
                        <w:top w:val="none" w:sz="0" w:space="0" w:color="auto"/>
                        <w:left w:val="none" w:sz="0" w:space="0" w:color="auto"/>
                        <w:bottom w:val="none" w:sz="0" w:space="0" w:color="auto"/>
                        <w:right w:val="none" w:sz="0" w:space="0" w:color="auto"/>
                      </w:divBdr>
                    </w:div>
                  </w:divsChild>
                </w:div>
                <w:div w:id="2088725190">
                  <w:marLeft w:val="0"/>
                  <w:marRight w:val="0"/>
                  <w:marTop w:val="0"/>
                  <w:marBottom w:val="0"/>
                  <w:divBdr>
                    <w:top w:val="none" w:sz="0" w:space="0" w:color="auto"/>
                    <w:left w:val="none" w:sz="0" w:space="0" w:color="auto"/>
                    <w:bottom w:val="none" w:sz="0" w:space="0" w:color="auto"/>
                    <w:right w:val="none" w:sz="0" w:space="0" w:color="auto"/>
                  </w:divBdr>
                  <w:divsChild>
                    <w:div w:id="1731146275">
                      <w:marLeft w:val="0"/>
                      <w:marRight w:val="0"/>
                      <w:marTop w:val="0"/>
                      <w:marBottom w:val="0"/>
                      <w:divBdr>
                        <w:top w:val="none" w:sz="0" w:space="0" w:color="auto"/>
                        <w:left w:val="none" w:sz="0" w:space="0" w:color="auto"/>
                        <w:bottom w:val="none" w:sz="0" w:space="0" w:color="auto"/>
                        <w:right w:val="none" w:sz="0" w:space="0" w:color="auto"/>
                      </w:divBdr>
                    </w:div>
                  </w:divsChild>
                </w:div>
                <w:div w:id="2095011137">
                  <w:marLeft w:val="0"/>
                  <w:marRight w:val="0"/>
                  <w:marTop w:val="0"/>
                  <w:marBottom w:val="0"/>
                  <w:divBdr>
                    <w:top w:val="none" w:sz="0" w:space="0" w:color="auto"/>
                    <w:left w:val="none" w:sz="0" w:space="0" w:color="auto"/>
                    <w:bottom w:val="none" w:sz="0" w:space="0" w:color="auto"/>
                    <w:right w:val="none" w:sz="0" w:space="0" w:color="auto"/>
                  </w:divBdr>
                  <w:divsChild>
                    <w:div w:id="354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60823">
          <w:marLeft w:val="0"/>
          <w:marRight w:val="0"/>
          <w:marTop w:val="0"/>
          <w:marBottom w:val="0"/>
          <w:divBdr>
            <w:top w:val="none" w:sz="0" w:space="0" w:color="auto"/>
            <w:left w:val="none" w:sz="0" w:space="0" w:color="auto"/>
            <w:bottom w:val="none" w:sz="0" w:space="0" w:color="auto"/>
            <w:right w:val="none" w:sz="0" w:space="0" w:color="auto"/>
          </w:divBdr>
        </w:div>
      </w:divsChild>
    </w:div>
    <w:div w:id="382562989">
      <w:bodyDiv w:val="1"/>
      <w:marLeft w:val="0"/>
      <w:marRight w:val="0"/>
      <w:marTop w:val="0"/>
      <w:marBottom w:val="0"/>
      <w:divBdr>
        <w:top w:val="none" w:sz="0" w:space="0" w:color="auto"/>
        <w:left w:val="none" w:sz="0" w:space="0" w:color="auto"/>
        <w:bottom w:val="none" w:sz="0" w:space="0" w:color="auto"/>
        <w:right w:val="none" w:sz="0" w:space="0" w:color="auto"/>
      </w:divBdr>
    </w:div>
    <w:div w:id="479273613">
      <w:bodyDiv w:val="1"/>
      <w:marLeft w:val="0"/>
      <w:marRight w:val="0"/>
      <w:marTop w:val="0"/>
      <w:marBottom w:val="0"/>
      <w:divBdr>
        <w:top w:val="none" w:sz="0" w:space="0" w:color="auto"/>
        <w:left w:val="none" w:sz="0" w:space="0" w:color="auto"/>
        <w:bottom w:val="none" w:sz="0" w:space="0" w:color="auto"/>
        <w:right w:val="none" w:sz="0" w:space="0" w:color="auto"/>
      </w:divBdr>
      <w:divsChild>
        <w:div w:id="343827881">
          <w:marLeft w:val="0"/>
          <w:marRight w:val="0"/>
          <w:marTop w:val="0"/>
          <w:marBottom w:val="0"/>
          <w:divBdr>
            <w:top w:val="none" w:sz="0" w:space="0" w:color="auto"/>
            <w:left w:val="none" w:sz="0" w:space="0" w:color="auto"/>
            <w:bottom w:val="none" w:sz="0" w:space="0" w:color="auto"/>
            <w:right w:val="none" w:sz="0" w:space="0" w:color="auto"/>
          </w:divBdr>
        </w:div>
        <w:div w:id="1473323625">
          <w:marLeft w:val="0"/>
          <w:marRight w:val="0"/>
          <w:marTop w:val="0"/>
          <w:marBottom w:val="0"/>
          <w:divBdr>
            <w:top w:val="none" w:sz="0" w:space="0" w:color="auto"/>
            <w:left w:val="none" w:sz="0" w:space="0" w:color="auto"/>
            <w:bottom w:val="none" w:sz="0" w:space="0" w:color="auto"/>
            <w:right w:val="none" w:sz="0" w:space="0" w:color="auto"/>
          </w:divBdr>
        </w:div>
      </w:divsChild>
    </w:div>
    <w:div w:id="548617279">
      <w:bodyDiv w:val="1"/>
      <w:marLeft w:val="0"/>
      <w:marRight w:val="0"/>
      <w:marTop w:val="0"/>
      <w:marBottom w:val="0"/>
      <w:divBdr>
        <w:top w:val="none" w:sz="0" w:space="0" w:color="auto"/>
        <w:left w:val="none" w:sz="0" w:space="0" w:color="auto"/>
        <w:bottom w:val="none" w:sz="0" w:space="0" w:color="auto"/>
        <w:right w:val="none" w:sz="0" w:space="0" w:color="auto"/>
      </w:divBdr>
    </w:div>
    <w:div w:id="560756017">
      <w:bodyDiv w:val="1"/>
      <w:marLeft w:val="0"/>
      <w:marRight w:val="0"/>
      <w:marTop w:val="0"/>
      <w:marBottom w:val="0"/>
      <w:divBdr>
        <w:top w:val="none" w:sz="0" w:space="0" w:color="auto"/>
        <w:left w:val="none" w:sz="0" w:space="0" w:color="auto"/>
        <w:bottom w:val="none" w:sz="0" w:space="0" w:color="auto"/>
        <w:right w:val="none" w:sz="0" w:space="0" w:color="auto"/>
      </w:divBdr>
      <w:divsChild>
        <w:div w:id="66921398">
          <w:marLeft w:val="0"/>
          <w:marRight w:val="0"/>
          <w:marTop w:val="0"/>
          <w:marBottom w:val="0"/>
          <w:divBdr>
            <w:top w:val="none" w:sz="0" w:space="0" w:color="auto"/>
            <w:left w:val="none" w:sz="0" w:space="0" w:color="auto"/>
            <w:bottom w:val="none" w:sz="0" w:space="0" w:color="auto"/>
            <w:right w:val="none" w:sz="0" w:space="0" w:color="auto"/>
          </w:divBdr>
        </w:div>
        <w:div w:id="1290480422">
          <w:marLeft w:val="0"/>
          <w:marRight w:val="0"/>
          <w:marTop w:val="0"/>
          <w:marBottom w:val="0"/>
          <w:divBdr>
            <w:top w:val="none" w:sz="0" w:space="0" w:color="auto"/>
            <w:left w:val="none" w:sz="0" w:space="0" w:color="auto"/>
            <w:bottom w:val="none" w:sz="0" w:space="0" w:color="auto"/>
            <w:right w:val="none" w:sz="0" w:space="0" w:color="auto"/>
          </w:divBdr>
        </w:div>
        <w:div w:id="1808081626">
          <w:marLeft w:val="0"/>
          <w:marRight w:val="0"/>
          <w:marTop w:val="0"/>
          <w:marBottom w:val="0"/>
          <w:divBdr>
            <w:top w:val="none" w:sz="0" w:space="0" w:color="auto"/>
            <w:left w:val="none" w:sz="0" w:space="0" w:color="auto"/>
            <w:bottom w:val="none" w:sz="0" w:space="0" w:color="auto"/>
            <w:right w:val="none" w:sz="0" w:space="0" w:color="auto"/>
          </w:divBdr>
        </w:div>
        <w:div w:id="2125147970">
          <w:marLeft w:val="0"/>
          <w:marRight w:val="0"/>
          <w:marTop w:val="0"/>
          <w:marBottom w:val="0"/>
          <w:divBdr>
            <w:top w:val="none" w:sz="0" w:space="0" w:color="auto"/>
            <w:left w:val="none" w:sz="0" w:space="0" w:color="auto"/>
            <w:bottom w:val="none" w:sz="0" w:space="0" w:color="auto"/>
            <w:right w:val="none" w:sz="0" w:space="0" w:color="auto"/>
          </w:divBdr>
          <w:divsChild>
            <w:div w:id="9202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51878">
      <w:bodyDiv w:val="1"/>
      <w:marLeft w:val="0"/>
      <w:marRight w:val="0"/>
      <w:marTop w:val="0"/>
      <w:marBottom w:val="0"/>
      <w:divBdr>
        <w:top w:val="none" w:sz="0" w:space="0" w:color="auto"/>
        <w:left w:val="none" w:sz="0" w:space="0" w:color="auto"/>
        <w:bottom w:val="none" w:sz="0" w:space="0" w:color="auto"/>
        <w:right w:val="none" w:sz="0" w:space="0" w:color="auto"/>
      </w:divBdr>
    </w:div>
    <w:div w:id="646402479">
      <w:bodyDiv w:val="1"/>
      <w:marLeft w:val="0"/>
      <w:marRight w:val="0"/>
      <w:marTop w:val="0"/>
      <w:marBottom w:val="0"/>
      <w:divBdr>
        <w:top w:val="none" w:sz="0" w:space="0" w:color="auto"/>
        <w:left w:val="none" w:sz="0" w:space="0" w:color="auto"/>
        <w:bottom w:val="none" w:sz="0" w:space="0" w:color="auto"/>
        <w:right w:val="none" w:sz="0" w:space="0" w:color="auto"/>
      </w:divBdr>
      <w:divsChild>
        <w:div w:id="2129205090">
          <w:marLeft w:val="0"/>
          <w:marRight w:val="0"/>
          <w:marTop w:val="0"/>
          <w:marBottom w:val="0"/>
          <w:divBdr>
            <w:top w:val="none" w:sz="0" w:space="0" w:color="auto"/>
            <w:left w:val="none" w:sz="0" w:space="0" w:color="auto"/>
            <w:bottom w:val="none" w:sz="0" w:space="0" w:color="auto"/>
            <w:right w:val="none" w:sz="0" w:space="0" w:color="auto"/>
          </w:divBdr>
        </w:div>
      </w:divsChild>
    </w:div>
    <w:div w:id="697311777">
      <w:bodyDiv w:val="1"/>
      <w:marLeft w:val="0"/>
      <w:marRight w:val="0"/>
      <w:marTop w:val="0"/>
      <w:marBottom w:val="0"/>
      <w:divBdr>
        <w:top w:val="none" w:sz="0" w:space="0" w:color="auto"/>
        <w:left w:val="none" w:sz="0" w:space="0" w:color="auto"/>
        <w:bottom w:val="none" w:sz="0" w:space="0" w:color="auto"/>
        <w:right w:val="none" w:sz="0" w:space="0" w:color="auto"/>
      </w:divBdr>
      <w:divsChild>
        <w:div w:id="109396120">
          <w:marLeft w:val="0"/>
          <w:marRight w:val="0"/>
          <w:marTop w:val="0"/>
          <w:marBottom w:val="0"/>
          <w:divBdr>
            <w:top w:val="none" w:sz="0" w:space="0" w:color="auto"/>
            <w:left w:val="none" w:sz="0" w:space="0" w:color="auto"/>
            <w:bottom w:val="none" w:sz="0" w:space="0" w:color="auto"/>
            <w:right w:val="none" w:sz="0" w:space="0" w:color="auto"/>
          </w:divBdr>
        </w:div>
        <w:div w:id="1358849908">
          <w:marLeft w:val="0"/>
          <w:marRight w:val="0"/>
          <w:marTop w:val="0"/>
          <w:marBottom w:val="0"/>
          <w:divBdr>
            <w:top w:val="none" w:sz="0" w:space="0" w:color="auto"/>
            <w:left w:val="none" w:sz="0" w:space="0" w:color="auto"/>
            <w:bottom w:val="none" w:sz="0" w:space="0" w:color="auto"/>
            <w:right w:val="none" w:sz="0" w:space="0" w:color="auto"/>
          </w:divBdr>
        </w:div>
        <w:div w:id="2117096564">
          <w:marLeft w:val="0"/>
          <w:marRight w:val="0"/>
          <w:marTop w:val="0"/>
          <w:marBottom w:val="0"/>
          <w:divBdr>
            <w:top w:val="none" w:sz="0" w:space="0" w:color="auto"/>
            <w:left w:val="none" w:sz="0" w:space="0" w:color="auto"/>
            <w:bottom w:val="none" w:sz="0" w:space="0" w:color="auto"/>
            <w:right w:val="none" w:sz="0" w:space="0" w:color="auto"/>
          </w:divBdr>
        </w:div>
      </w:divsChild>
    </w:div>
    <w:div w:id="699210411">
      <w:bodyDiv w:val="1"/>
      <w:marLeft w:val="0"/>
      <w:marRight w:val="0"/>
      <w:marTop w:val="0"/>
      <w:marBottom w:val="0"/>
      <w:divBdr>
        <w:top w:val="none" w:sz="0" w:space="0" w:color="auto"/>
        <w:left w:val="none" w:sz="0" w:space="0" w:color="auto"/>
        <w:bottom w:val="none" w:sz="0" w:space="0" w:color="auto"/>
        <w:right w:val="none" w:sz="0" w:space="0" w:color="auto"/>
      </w:divBdr>
    </w:div>
    <w:div w:id="760373335">
      <w:bodyDiv w:val="1"/>
      <w:marLeft w:val="0"/>
      <w:marRight w:val="0"/>
      <w:marTop w:val="0"/>
      <w:marBottom w:val="0"/>
      <w:divBdr>
        <w:top w:val="none" w:sz="0" w:space="0" w:color="auto"/>
        <w:left w:val="none" w:sz="0" w:space="0" w:color="auto"/>
        <w:bottom w:val="none" w:sz="0" w:space="0" w:color="auto"/>
        <w:right w:val="none" w:sz="0" w:space="0" w:color="auto"/>
      </w:divBdr>
      <w:divsChild>
        <w:div w:id="8022230">
          <w:marLeft w:val="0"/>
          <w:marRight w:val="0"/>
          <w:marTop w:val="0"/>
          <w:marBottom w:val="0"/>
          <w:divBdr>
            <w:top w:val="none" w:sz="0" w:space="0" w:color="auto"/>
            <w:left w:val="none" w:sz="0" w:space="0" w:color="auto"/>
            <w:bottom w:val="none" w:sz="0" w:space="0" w:color="auto"/>
            <w:right w:val="none" w:sz="0" w:space="0" w:color="auto"/>
          </w:divBdr>
        </w:div>
        <w:div w:id="54089017">
          <w:marLeft w:val="0"/>
          <w:marRight w:val="0"/>
          <w:marTop w:val="0"/>
          <w:marBottom w:val="0"/>
          <w:divBdr>
            <w:top w:val="none" w:sz="0" w:space="0" w:color="auto"/>
            <w:left w:val="none" w:sz="0" w:space="0" w:color="auto"/>
            <w:bottom w:val="none" w:sz="0" w:space="0" w:color="auto"/>
            <w:right w:val="none" w:sz="0" w:space="0" w:color="auto"/>
          </w:divBdr>
        </w:div>
        <w:div w:id="65618803">
          <w:marLeft w:val="0"/>
          <w:marRight w:val="0"/>
          <w:marTop w:val="0"/>
          <w:marBottom w:val="0"/>
          <w:divBdr>
            <w:top w:val="none" w:sz="0" w:space="0" w:color="auto"/>
            <w:left w:val="none" w:sz="0" w:space="0" w:color="auto"/>
            <w:bottom w:val="none" w:sz="0" w:space="0" w:color="auto"/>
            <w:right w:val="none" w:sz="0" w:space="0" w:color="auto"/>
          </w:divBdr>
        </w:div>
        <w:div w:id="70465065">
          <w:marLeft w:val="0"/>
          <w:marRight w:val="0"/>
          <w:marTop w:val="0"/>
          <w:marBottom w:val="0"/>
          <w:divBdr>
            <w:top w:val="none" w:sz="0" w:space="0" w:color="auto"/>
            <w:left w:val="none" w:sz="0" w:space="0" w:color="auto"/>
            <w:bottom w:val="none" w:sz="0" w:space="0" w:color="auto"/>
            <w:right w:val="none" w:sz="0" w:space="0" w:color="auto"/>
          </w:divBdr>
        </w:div>
        <w:div w:id="74057946">
          <w:marLeft w:val="0"/>
          <w:marRight w:val="0"/>
          <w:marTop w:val="0"/>
          <w:marBottom w:val="0"/>
          <w:divBdr>
            <w:top w:val="none" w:sz="0" w:space="0" w:color="auto"/>
            <w:left w:val="none" w:sz="0" w:space="0" w:color="auto"/>
            <w:bottom w:val="none" w:sz="0" w:space="0" w:color="auto"/>
            <w:right w:val="none" w:sz="0" w:space="0" w:color="auto"/>
          </w:divBdr>
        </w:div>
        <w:div w:id="75516455">
          <w:marLeft w:val="0"/>
          <w:marRight w:val="0"/>
          <w:marTop w:val="0"/>
          <w:marBottom w:val="0"/>
          <w:divBdr>
            <w:top w:val="none" w:sz="0" w:space="0" w:color="auto"/>
            <w:left w:val="none" w:sz="0" w:space="0" w:color="auto"/>
            <w:bottom w:val="none" w:sz="0" w:space="0" w:color="auto"/>
            <w:right w:val="none" w:sz="0" w:space="0" w:color="auto"/>
          </w:divBdr>
        </w:div>
        <w:div w:id="78404139">
          <w:marLeft w:val="0"/>
          <w:marRight w:val="0"/>
          <w:marTop w:val="0"/>
          <w:marBottom w:val="0"/>
          <w:divBdr>
            <w:top w:val="none" w:sz="0" w:space="0" w:color="auto"/>
            <w:left w:val="none" w:sz="0" w:space="0" w:color="auto"/>
            <w:bottom w:val="none" w:sz="0" w:space="0" w:color="auto"/>
            <w:right w:val="none" w:sz="0" w:space="0" w:color="auto"/>
          </w:divBdr>
        </w:div>
        <w:div w:id="81537343">
          <w:marLeft w:val="0"/>
          <w:marRight w:val="0"/>
          <w:marTop w:val="0"/>
          <w:marBottom w:val="0"/>
          <w:divBdr>
            <w:top w:val="none" w:sz="0" w:space="0" w:color="auto"/>
            <w:left w:val="none" w:sz="0" w:space="0" w:color="auto"/>
            <w:bottom w:val="none" w:sz="0" w:space="0" w:color="auto"/>
            <w:right w:val="none" w:sz="0" w:space="0" w:color="auto"/>
          </w:divBdr>
        </w:div>
        <w:div w:id="84350887">
          <w:marLeft w:val="0"/>
          <w:marRight w:val="0"/>
          <w:marTop w:val="0"/>
          <w:marBottom w:val="0"/>
          <w:divBdr>
            <w:top w:val="none" w:sz="0" w:space="0" w:color="auto"/>
            <w:left w:val="none" w:sz="0" w:space="0" w:color="auto"/>
            <w:bottom w:val="none" w:sz="0" w:space="0" w:color="auto"/>
            <w:right w:val="none" w:sz="0" w:space="0" w:color="auto"/>
          </w:divBdr>
        </w:div>
        <w:div w:id="96141671">
          <w:marLeft w:val="0"/>
          <w:marRight w:val="0"/>
          <w:marTop w:val="0"/>
          <w:marBottom w:val="0"/>
          <w:divBdr>
            <w:top w:val="none" w:sz="0" w:space="0" w:color="auto"/>
            <w:left w:val="none" w:sz="0" w:space="0" w:color="auto"/>
            <w:bottom w:val="none" w:sz="0" w:space="0" w:color="auto"/>
            <w:right w:val="none" w:sz="0" w:space="0" w:color="auto"/>
          </w:divBdr>
        </w:div>
        <w:div w:id="100346618">
          <w:marLeft w:val="0"/>
          <w:marRight w:val="0"/>
          <w:marTop w:val="0"/>
          <w:marBottom w:val="0"/>
          <w:divBdr>
            <w:top w:val="none" w:sz="0" w:space="0" w:color="auto"/>
            <w:left w:val="none" w:sz="0" w:space="0" w:color="auto"/>
            <w:bottom w:val="none" w:sz="0" w:space="0" w:color="auto"/>
            <w:right w:val="none" w:sz="0" w:space="0" w:color="auto"/>
          </w:divBdr>
        </w:div>
        <w:div w:id="104010520">
          <w:marLeft w:val="0"/>
          <w:marRight w:val="0"/>
          <w:marTop w:val="0"/>
          <w:marBottom w:val="0"/>
          <w:divBdr>
            <w:top w:val="none" w:sz="0" w:space="0" w:color="auto"/>
            <w:left w:val="none" w:sz="0" w:space="0" w:color="auto"/>
            <w:bottom w:val="none" w:sz="0" w:space="0" w:color="auto"/>
            <w:right w:val="none" w:sz="0" w:space="0" w:color="auto"/>
          </w:divBdr>
        </w:div>
        <w:div w:id="110781829">
          <w:marLeft w:val="0"/>
          <w:marRight w:val="0"/>
          <w:marTop w:val="0"/>
          <w:marBottom w:val="0"/>
          <w:divBdr>
            <w:top w:val="none" w:sz="0" w:space="0" w:color="auto"/>
            <w:left w:val="none" w:sz="0" w:space="0" w:color="auto"/>
            <w:bottom w:val="none" w:sz="0" w:space="0" w:color="auto"/>
            <w:right w:val="none" w:sz="0" w:space="0" w:color="auto"/>
          </w:divBdr>
        </w:div>
        <w:div w:id="110980057">
          <w:marLeft w:val="0"/>
          <w:marRight w:val="0"/>
          <w:marTop w:val="0"/>
          <w:marBottom w:val="0"/>
          <w:divBdr>
            <w:top w:val="none" w:sz="0" w:space="0" w:color="auto"/>
            <w:left w:val="none" w:sz="0" w:space="0" w:color="auto"/>
            <w:bottom w:val="none" w:sz="0" w:space="0" w:color="auto"/>
            <w:right w:val="none" w:sz="0" w:space="0" w:color="auto"/>
          </w:divBdr>
        </w:div>
        <w:div w:id="111559196">
          <w:marLeft w:val="0"/>
          <w:marRight w:val="0"/>
          <w:marTop w:val="0"/>
          <w:marBottom w:val="0"/>
          <w:divBdr>
            <w:top w:val="none" w:sz="0" w:space="0" w:color="auto"/>
            <w:left w:val="none" w:sz="0" w:space="0" w:color="auto"/>
            <w:bottom w:val="none" w:sz="0" w:space="0" w:color="auto"/>
            <w:right w:val="none" w:sz="0" w:space="0" w:color="auto"/>
          </w:divBdr>
        </w:div>
        <w:div w:id="118957783">
          <w:marLeft w:val="0"/>
          <w:marRight w:val="0"/>
          <w:marTop w:val="0"/>
          <w:marBottom w:val="0"/>
          <w:divBdr>
            <w:top w:val="none" w:sz="0" w:space="0" w:color="auto"/>
            <w:left w:val="none" w:sz="0" w:space="0" w:color="auto"/>
            <w:bottom w:val="none" w:sz="0" w:space="0" w:color="auto"/>
            <w:right w:val="none" w:sz="0" w:space="0" w:color="auto"/>
          </w:divBdr>
        </w:div>
        <w:div w:id="142158946">
          <w:marLeft w:val="0"/>
          <w:marRight w:val="0"/>
          <w:marTop w:val="0"/>
          <w:marBottom w:val="0"/>
          <w:divBdr>
            <w:top w:val="none" w:sz="0" w:space="0" w:color="auto"/>
            <w:left w:val="none" w:sz="0" w:space="0" w:color="auto"/>
            <w:bottom w:val="none" w:sz="0" w:space="0" w:color="auto"/>
            <w:right w:val="none" w:sz="0" w:space="0" w:color="auto"/>
          </w:divBdr>
        </w:div>
        <w:div w:id="149373251">
          <w:marLeft w:val="0"/>
          <w:marRight w:val="0"/>
          <w:marTop w:val="0"/>
          <w:marBottom w:val="0"/>
          <w:divBdr>
            <w:top w:val="none" w:sz="0" w:space="0" w:color="auto"/>
            <w:left w:val="none" w:sz="0" w:space="0" w:color="auto"/>
            <w:bottom w:val="none" w:sz="0" w:space="0" w:color="auto"/>
            <w:right w:val="none" w:sz="0" w:space="0" w:color="auto"/>
          </w:divBdr>
        </w:div>
        <w:div w:id="150410500">
          <w:marLeft w:val="0"/>
          <w:marRight w:val="0"/>
          <w:marTop w:val="0"/>
          <w:marBottom w:val="0"/>
          <w:divBdr>
            <w:top w:val="none" w:sz="0" w:space="0" w:color="auto"/>
            <w:left w:val="none" w:sz="0" w:space="0" w:color="auto"/>
            <w:bottom w:val="none" w:sz="0" w:space="0" w:color="auto"/>
            <w:right w:val="none" w:sz="0" w:space="0" w:color="auto"/>
          </w:divBdr>
        </w:div>
        <w:div w:id="154418889">
          <w:marLeft w:val="0"/>
          <w:marRight w:val="0"/>
          <w:marTop w:val="0"/>
          <w:marBottom w:val="0"/>
          <w:divBdr>
            <w:top w:val="none" w:sz="0" w:space="0" w:color="auto"/>
            <w:left w:val="none" w:sz="0" w:space="0" w:color="auto"/>
            <w:bottom w:val="none" w:sz="0" w:space="0" w:color="auto"/>
            <w:right w:val="none" w:sz="0" w:space="0" w:color="auto"/>
          </w:divBdr>
        </w:div>
        <w:div w:id="165872088">
          <w:marLeft w:val="0"/>
          <w:marRight w:val="0"/>
          <w:marTop w:val="0"/>
          <w:marBottom w:val="0"/>
          <w:divBdr>
            <w:top w:val="none" w:sz="0" w:space="0" w:color="auto"/>
            <w:left w:val="none" w:sz="0" w:space="0" w:color="auto"/>
            <w:bottom w:val="none" w:sz="0" w:space="0" w:color="auto"/>
            <w:right w:val="none" w:sz="0" w:space="0" w:color="auto"/>
          </w:divBdr>
        </w:div>
        <w:div w:id="186023787">
          <w:marLeft w:val="0"/>
          <w:marRight w:val="0"/>
          <w:marTop w:val="0"/>
          <w:marBottom w:val="0"/>
          <w:divBdr>
            <w:top w:val="none" w:sz="0" w:space="0" w:color="auto"/>
            <w:left w:val="none" w:sz="0" w:space="0" w:color="auto"/>
            <w:bottom w:val="none" w:sz="0" w:space="0" w:color="auto"/>
            <w:right w:val="none" w:sz="0" w:space="0" w:color="auto"/>
          </w:divBdr>
        </w:div>
        <w:div w:id="211961853">
          <w:marLeft w:val="0"/>
          <w:marRight w:val="0"/>
          <w:marTop w:val="0"/>
          <w:marBottom w:val="0"/>
          <w:divBdr>
            <w:top w:val="none" w:sz="0" w:space="0" w:color="auto"/>
            <w:left w:val="none" w:sz="0" w:space="0" w:color="auto"/>
            <w:bottom w:val="none" w:sz="0" w:space="0" w:color="auto"/>
            <w:right w:val="none" w:sz="0" w:space="0" w:color="auto"/>
          </w:divBdr>
        </w:div>
        <w:div w:id="215168900">
          <w:marLeft w:val="0"/>
          <w:marRight w:val="0"/>
          <w:marTop w:val="0"/>
          <w:marBottom w:val="0"/>
          <w:divBdr>
            <w:top w:val="none" w:sz="0" w:space="0" w:color="auto"/>
            <w:left w:val="none" w:sz="0" w:space="0" w:color="auto"/>
            <w:bottom w:val="none" w:sz="0" w:space="0" w:color="auto"/>
            <w:right w:val="none" w:sz="0" w:space="0" w:color="auto"/>
          </w:divBdr>
        </w:div>
        <w:div w:id="223685371">
          <w:marLeft w:val="0"/>
          <w:marRight w:val="0"/>
          <w:marTop w:val="0"/>
          <w:marBottom w:val="0"/>
          <w:divBdr>
            <w:top w:val="none" w:sz="0" w:space="0" w:color="auto"/>
            <w:left w:val="none" w:sz="0" w:space="0" w:color="auto"/>
            <w:bottom w:val="none" w:sz="0" w:space="0" w:color="auto"/>
            <w:right w:val="none" w:sz="0" w:space="0" w:color="auto"/>
          </w:divBdr>
        </w:div>
        <w:div w:id="231739520">
          <w:marLeft w:val="0"/>
          <w:marRight w:val="0"/>
          <w:marTop w:val="0"/>
          <w:marBottom w:val="0"/>
          <w:divBdr>
            <w:top w:val="none" w:sz="0" w:space="0" w:color="auto"/>
            <w:left w:val="none" w:sz="0" w:space="0" w:color="auto"/>
            <w:bottom w:val="none" w:sz="0" w:space="0" w:color="auto"/>
            <w:right w:val="none" w:sz="0" w:space="0" w:color="auto"/>
          </w:divBdr>
        </w:div>
        <w:div w:id="231812844">
          <w:marLeft w:val="0"/>
          <w:marRight w:val="0"/>
          <w:marTop w:val="0"/>
          <w:marBottom w:val="0"/>
          <w:divBdr>
            <w:top w:val="none" w:sz="0" w:space="0" w:color="auto"/>
            <w:left w:val="none" w:sz="0" w:space="0" w:color="auto"/>
            <w:bottom w:val="none" w:sz="0" w:space="0" w:color="auto"/>
            <w:right w:val="none" w:sz="0" w:space="0" w:color="auto"/>
          </w:divBdr>
        </w:div>
        <w:div w:id="242180525">
          <w:marLeft w:val="0"/>
          <w:marRight w:val="0"/>
          <w:marTop w:val="0"/>
          <w:marBottom w:val="0"/>
          <w:divBdr>
            <w:top w:val="none" w:sz="0" w:space="0" w:color="auto"/>
            <w:left w:val="none" w:sz="0" w:space="0" w:color="auto"/>
            <w:bottom w:val="none" w:sz="0" w:space="0" w:color="auto"/>
            <w:right w:val="none" w:sz="0" w:space="0" w:color="auto"/>
          </w:divBdr>
        </w:div>
        <w:div w:id="245575327">
          <w:marLeft w:val="0"/>
          <w:marRight w:val="0"/>
          <w:marTop w:val="0"/>
          <w:marBottom w:val="0"/>
          <w:divBdr>
            <w:top w:val="none" w:sz="0" w:space="0" w:color="auto"/>
            <w:left w:val="none" w:sz="0" w:space="0" w:color="auto"/>
            <w:bottom w:val="none" w:sz="0" w:space="0" w:color="auto"/>
            <w:right w:val="none" w:sz="0" w:space="0" w:color="auto"/>
          </w:divBdr>
        </w:div>
        <w:div w:id="248736739">
          <w:marLeft w:val="0"/>
          <w:marRight w:val="0"/>
          <w:marTop w:val="0"/>
          <w:marBottom w:val="0"/>
          <w:divBdr>
            <w:top w:val="none" w:sz="0" w:space="0" w:color="auto"/>
            <w:left w:val="none" w:sz="0" w:space="0" w:color="auto"/>
            <w:bottom w:val="none" w:sz="0" w:space="0" w:color="auto"/>
            <w:right w:val="none" w:sz="0" w:space="0" w:color="auto"/>
          </w:divBdr>
        </w:div>
        <w:div w:id="250086512">
          <w:marLeft w:val="0"/>
          <w:marRight w:val="0"/>
          <w:marTop w:val="0"/>
          <w:marBottom w:val="0"/>
          <w:divBdr>
            <w:top w:val="none" w:sz="0" w:space="0" w:color="auto"/>
            <w:left w:val="none" w:sz="0" w:space="0" w:color="auto"/>
            <w:bottom w:val="none" w:sz="0" w:space="0" w:color="auto"/>
            <w:right w:val="none" w:sz="0" w:space="0" w:color="auto"/>
          </w:divBdr>
        </w:div>
        <w:div w:id="255864458">
          <w:marLeft w:val="0"/>
          <w:marRight w:val="0"/>
          <w:marTop w:val="0"/>
          <w:marBottom w:val="0"/>
          <w:divBdr>
            <w:top w:val="none" w:sz="0" w:space="0" w:color="auto"/>
            <w:left w:val="none" w:sz="0" w:space="0" w:color="auto"/>
            <w:bottom w:val="none" w:sz="0" w:space="0" w:color="auto"/>
            <w:right w:val="none" w:sz="0" w:space="0" w:color="auto"/>
          </w:divBdr>
        </w:div>
        <w:div w:id="259803275">
          <w:marLeft w:val="0"/>
          <w:marRight w:val="0"/>
          <w:marTop w:val="0"/>
          <w:marBottom w:val="0"/>
          <w:divBdr>
            <w:top w:val="none" w:sz="0" w:space="0" w:color="auto"/>
            <w:left w:val="none" w:sz="0" w:space="0" w:color="auto"/>
            <w:bottom w:val="none" w:sz="0" w:space="0" w:color="auto"/>
            <w:right w:val="none" w:sz="0" w:space="0" w:color="auto"/>
          </w:divBdr>
        </w:div>
        <w:div w:id="279921362">
          <w:marLeft w:val="0"/>
          <w:marRight w:val="0"/>
          <w:marTop w:val="0"/>
          <w:marBottom w:val="0"/>
          <w:divBdr>
            <w:top w:val="none" w:sz="0" w:space="0" w:color="auto"/>
            <w:left w:val="none" w:sz="0" w:space="0" w:color="auto"/>
            <w:bottom w:val="none" w:sz="0" w:space="0" w:color="auto"/>
            <w:right w:val="none" w:sz="0" w:space="0" w:color="auto"/>
          </w:divBdr>
        </w:div>
        <w:div w:id="293607908">
          <w:marLeft w:val="0"/>
          <w:marRight w:val="0"/>
          <w:marTop w:val="0"/>
          <w:marBottom w:val="0"/>
          <w:divBdr>
            <w:top w:val="none" w:sz="0" w:space="0" w:color="auto"/>
            <w:left w:val="none" w:sz="0" w:space="0" w:color="auto"/>
            <w:bottom w:val="none" w:sz="0" w:space="0" w:color="auto"/>
            <w:right w:val="none" w:sz="0" w:space="0" w:color="auto"/>
          </w:divBdr>
        </w:div>
        <w:div w:id="298386635">
          <w:marLeft w:val="0"/>
          <w:marRight w:val="0"/>
          <w:marTop w:val="0"/>
          <w:marBottom w:val="0"/>
          <w:divBdr>
            <w:top w:val="none" w:sz="0" w:space="0" w:color="auto"/>
            <w:left w:val="none" w:sz="0" w:space="0" w:color="auto"/>
            <w:bottom w:val="none" w:sz="0" w:space="0" w:color="auto"/>
            <w:right w:val="none" w:sz="0" w:space="0" w:color="auto"/>
          </w:divBdr>
        </w:div>
        <w:div w:id="314720795">
          <w:marLeft w:val="0"/>
          <w:marRight w:val="0"/>
          <w:marTop w:val="0"/>
          <w:marBottom w:val="0"/>
          <w:divBdr>
            <w:top w:val="none" w:sz="0" w:space="0" w:color="auto"/>
            <w:left w:val="none" w:sz="0" w:space="0" w:color="auto"/>
            <w:bottom w:val="none" w:sz="0" w:space="0" w:color="auto"/>
            <w:right w:val="none" w:sz="0" w:space="0" w:color="auto"/>
          </w:divBdr>
        </w:div>
        <w:div w:id="324171715">
          <w:marLeft w:val="0"/>
          <w:marRight w:val="0"/>
          <w:marTop w:val="0"/>
          <w:marBottom w:val="0"/>
          <w:divBdr>
            <w:top w:val="none" w:sz="0" w:space="0" w:color="auto"/>
            <w:left w:val="none" w:sz="0" w:space="0" w:color="auto"/>
            <w:bottom w:val="none" w:sz="0" w:space="0" w:color="auto"/>
            <w:right w:val="none" w:sz="0" w:space="0" w:color="auto"/>
          </w:divBdr>
        </w:div>
        <w:div w:id="332805516">
          <w:marLeft w:val="0"/>
          <w:marRight w:val="0"/>
          <w:marTop w:val="0"/>
          <w:marBottom w:val="0"/>
          <w:divBdr>
            <w:top w:val="none" w:sz="0" w:space="0" w:color="auto"/>
            <w:left w:val="none" w:sz="0" w:space="0" w:color="auto"/>
            <w:bottom w:val="none" w:sz="0" w:space="0" w:color="auto"/>
            <w:right w:val="none" w:sz="0" w:space="0" w:color="auto"/>
          </w:divBdr>
        </w:div>
        <w:div w:id="333647491">
          <w:marLeft w:val="0"/>
          <w:marRight w:val="0"/>
          <w:marTop w:val="0"/>
          <w:marBottom w:val="0"/>
          <w:divBdr>
            <w:top w:val="none" w:sz="0" w:space="0" w:color="auto"/>
            <w:left w:val="none" w:sz="0" w:space="0" w:color="auto"/>
            <w:bottom w:val="none" w:sz="0" w:space="0" w:color="auto"/>
            <w:right w:val="none" w:sz="0" w:space="0" w:color="auto"/>
          </w:divBdr>
        </w:div>
        <w:div w:id="356276428">
          <w:marLeft w:val="0"/>
          <w:marRight w:val="0"/>
          <w:marTop w:val="0"/>
          <w:marBottom w:val="0"/>
          <w:divBdr>
            <w:top w:val="none" w:sz="0" w:space="0" w:color="auto"/>
            <w:left w:val="none" w:sz="0" w:space="0" w:color="auto"/>
            <w:bottom w:val="none" w:sz="0" w:space="0" w:color="auto"/>
            <w:right w:val="none" w:sz="0" w:space="0" w:color="auto"/>
          </w:divBdr>
        </w:div>
        <w:div w:id="368916090">
          <w:marLeft w:val="0"/>
          <w:marRight w:val="0"/>
          <w:marTop w:val="0"/>
          <w:marBottom w:val="0"/>
          <w:divBdr>
            <w:top w:val="none" w:sz="0" w:space="0" w:color="auto"/>
            <w:left w:val="none" w:sz="0" w:space="0" w:color="auto"/>
            <w:bottom w:val="none" w:sz="0" w:space="0" w:color="auto"/>
            <w:right w:val="none" w:sz="0" w:space="0" w:color="auto"/>
          </w:divBdr>
        </w:div>
        <w:div w:id="369113133">
          <w:marLeft w:val="0"/>
          <w:marRight w:val="0"/>
          <w:marTop w:val="0"/>
          <w:marBottom w:val="0"/>
          <w:divBdr>
            <w:top w:val="none" w:sz="0" w:space="0" w:color="auto"/>
            <w:left w:val="none" w:sz="0" w:space="0" w:color="auto"/>
            <w:bottom w:val="none" w:sz="0" w:space="0" w:color="auto"/>
            <w:right w:val="none" w:sz="0" w:space="0" w:color="auto"/>
          </w:divBdr>
        </w:div>
        <w:div w:id="377777606">
          <w:marLeft w:val="0"/>
          <w:marRight w:val="0"/>
          <w:marTop w:val="0"/>
          <w:marBottom w:val="0"/>
          <w:divBdr>
            <w:top w:val="none" w:sz="0" w:space="0" w:color="auto"/>
            <w:left w:val="none" w:sz="0" w:space="0" w:color="auto"/>
            <w:bottom w:val="none" w:sz="0" w:space="0" w:color="auto"/>
            <w:right w:val="none" w:sz="0" w:space="0" w:color="auto"/>
          </w:divBdr>
        </w:div>
        <w:div w:id="385568864">
          <w:marLeft w:val="0"/>
          <w:marRight w:val="0"/>
          <w:marTop w:val="0"/>
          <w:marBottom w:val="0"/>
          <w:divBdr>
            <w:top w:val="none" w:sz="0" w:space="0" w:color="auto"/>
            <w:left w:val="none" w:sz="0" w:space="0" w:color="auto"/>
            <w:bottom w:val="none" w:sz="0" w:space="0" w:color="auto"/>
            <w:right w:val="none" w:sz="0" w:space="0" w:color="auto"/>
          </w:divBdr>
        </w:div>
        <w:div w:id="405348223">
          <w:marLeft w:val="0"/>
          <w:marRight w:val="0"/>
          <w:marTop w:val="0"/>
          <w:marBottom w:val="0"/>
          <w:divBdr>
            <w:top w:val="none" w:sz="0" w:space="0" w:color="auto"/>
            <w:left w:val="none" w:sz="0" w:space="0" w:color="auto"/>
            <w:bottom w:val="none" w:sz="0" w:space="0" w:color="auto"/>
            <w:right w:val="none" w:sz="0" w:space="0" w:color="auto"/>
          </w:divBdr>
        </w:div>
        <w:div w:id="411464963">
          <w:marLeft w:val="0"/>
          <w:marRight w:val="0"/>
          <w:marTop w:val="0"/>
          <w:marBottom w:val="0"/>
          <w:divBdr>
            <w:top w:val="none" w:sz="0" w:space="0" w:color="auto"/>
            <w:left w:val="none" w:sz="0" w:space="0" w:color="auto"/>
            <w:bottom w:val="none" w:sz="0" w:space="0" w:color="auto"/>
            <w:right w:val="none" w:sz="0" w:space="0" w:color="auto"/>
          </w:divBdr>
        </w:div>
        <w:div w:id="417486899">
          <w:marLeft w:val="0"/>
          <w:marRight w:val="0"/>
          <w:marTop w:val="0"/>
          <w:marBottom w:val="0"/>
          <w:divBdr>
            <w:top w:val="none" w:sz="0" w:space="0" w:color="auto"/>
            <w:left w:val="none" w:sz="0" w:space="0" w:color="auto"/>
            <w:bottom w:val="none" w:sz="0" w:space="0" w:color="auto"/>
            <w:right w:val="none" w:sz="0" w:space="0" w:color="auto"/>
          </w:divBdr>
        </w:div>
        <w:div w:id="417676439">
          <w:marLeft w:val="0"/>
          <w:marRight w:val="0"/>
          <w:marTop w:val="0"/>
          <w:marBottom w:val="0"/>
          <w:divBdr>
            <w:top w:val="none" w:sz="0" w:space="0" w:color="auto"/>
            <w:left w:val="none" w:sz="0" w:space="0" w:color="auto"/>
            <w:bottom w:val="none" w:sz="0" w:space="0" w:color="auto"/>
            <w:right w:val="none" w:sz="0" w:space="0" w:color="auto"/>
          </w:divBdr>
        </w:div>
        <w:div w:id="435639013">
          <w:marLeft w:val="0"/>
          <w:marRight w:val="0"/>
          <w:marTop w:val="0"/>
          <w:marBottom w:val="0"/>
          <w:divBdr>
            <w:top w:val="none" w:sz="0" w:space="0" w:color="auto"/>
            <w:left w:val="none" w:sz="0" w:space="0" w:color="auto"/>
            <w:bottom w:val="none" w:sz="0" w:space="0" w:color="auto"/>
            <w:right w:val="none" w:sz="0" w:space="0" w:color="auto"/>
          </w:divBdr>
        </w:div>
        <w:div w:id="465323122">
          <w:marLeft w:val="0"/>
          <w:marRight w:val="0"/>
          <w:marTop w:val="0"/>
          <w:marBottom w:val="0"/>
          <w:divBdr>
            <w:top w:val="none" w:sz="0" w:space="0" w:color="auto"/>
            <w:left w:val="none" w:sz="0" w:space="0" w:color="auto"/>
            <w:bottom w:val="none" w:sz="0" w:space="0" w:color="auto"/>
            <w:right w:val="none" w:sz="0" w:space="0" w:color="auto"/>
          </w:divBdr>
        </w:div>
        <w:div w:id="467747969">
          <w:marLeft w:val="0"/>
          <w:marRight w:val="0"/>
          <w:marTop w:val="0"/>
          <w:marBottom w:val="0"/>
          <w:divBdr>
            <w:top w:val="none" w:sz="0" w:space="0" w:color="auto"/>
            <w:left w:val="none" w:sz="0" w:space="0" w:color="auto"/>
            <w:bottom w:val="none" w:sz="0" w:space="0" w:color="auto"/>
            <w:right w:val="none" w:sz="0" w:space="0" w:color="auto"/>
          </w:divBdr>
        </w:div>
        <w:div w:id="476650151">
          <w:marLeft w:val="0"/>
          <w:marRight w:val="0"/>
          <w:marTop w:val="0"/>
          <w:marBottom w:val="0"/>
          <w:divBdr>
            <w:top w:val="none" w:sz="0" w:space="0" w:color="auto"/>
            <w:left w:val="none" w:sz="0" w:space="0" w:color="auto"/>
            <w:bottom w:val="none" w:sz="0" w:space="0" w:color="auto"/>
            <w:right w:val="none" w:sz="0" w:space="0" w:color="auto"/>
          </w:divBdr>
        </w:div>
        <w:div w:id="490603329">
          <w:marLeft w:val="0"/>
          <w:marRight w:val="0"/>
          <w:marTop w:val="0"/>
          <w:marBottom w:val="0"/>
          <w:divBdr>
            <w:top w:val="none" w:sz="0" w:space="0" w:color="auto"/>
            <w:left w:val="none" w:sz="0" w:space="0" w:color="auto"/>
            <w:bottom w:val="none" w:sz="0" w:space="0" w:color="auto"/>
            <w:right w:val="none" w:sz="0" w:space="0" w:color="auto"/>
          </w:divBdr>
        </w:div>
        <w:div w:id="502167705">
          <w:marLeft w:val="-75"/>
          <w:marRight w:val="0"/>
          <w:marTop w:val="30"/>
          <w:marBottom w:val="30"/>
          <w:divBdr>
            <w:top w:val="none" w:sz="0" w:space="0" w:color="auto"/>
            <w:left w:val="none" w:sz="0" w:space="0" w:color="auto"/>
            <w:bottom w:val="none" w:sz="0" w:space="0" w:color="auto"/>
            <w:right w:val="none" w:sz="0" w:space="0" w:color="auto"/>
          </w:divBdr>
          <w:divsChild>
            <w:div w:id="319577434">
              <w:marLeft w:val="0"/>
              <w:marRight w:val="0"/>
              <w:marTop w:val="0"/>
              <w:marBottom w:val="0"/>
              <w:divBdr>
                <w:top w:val="none" w:sz="0" w:space="0" w:color="auto"/>
                <w:left w:val="none" w:sz="0" w:space="0" w:color="auto"/>
                <w:bottom w:val="none" w:sz="0" w:space="0" w:color="auto"/>
                <w:right w:val="none" w:sz="0" w:space="0" w:color="auto"/>
              </w:divBdr>
              <w:divsChild>
                <w:div w:id="132019070">
                  <w:marLeft w:val="0"/>
                  <w:marRight w:val="0"/>
                  <w:marTop w:val="0"/>
                  <w:marBottom w:val="0"/>
                  <w:divBdr>
                    <w:top w:val="none" w:sz="0" w:space="0" w:color="auto"/>
                    <w:left w:val="none" w:sz="0" w:space="0" w:color="auto"/>
                    <w:bottom w:val="none" w:sz="0" w:space="0" w:color="auto"/>
                    <w:right w:val="none" w:sz="0" w:space="0" w:color="auto"/>
                  </w:divBdr>
                </w:div>
                <w:div w:id="636030193">
                  <w:marLeft w:val="0"/>
                  <w:marRight w:val="0"/>
                  <w:marTop w:val="0"/>
                  <w:marBottom w:val="0"/>
                  <w:divBdr>
                    <w:top w:val="none" w:sz="0" w:space="0" w:color="auto"/>
                    <w:left w:val="none" w:sz="0" w:space="0" w:color="auto"/>
                    <w:bottom w:val="none" w:sz="0" w:space="0" w:color="auto"/>
                    <w:right w:val="none" w:sz="0" w:space="0" w:color="auto"/>
                  </w:divBdr>
                </w:div>
                <w:div w:id="747725205">
                  <w:marLeft w:val="0"/>
                  <w:marRight w:val="0"/>
                  <w:marTop w:val="0"/>
                  <w:marBottom w:val="0"/>
                  <w:divBdr>
                    <w:top w:val="none" w:sz="0" w:space="0" w:color="auto"/>
                    <w:left w:val="none" w:sz="0" w:space="0" w:color="auto"/>
                    <w:bottom w:val="none" w:sz="0" w:space="0" w:color="auto"/>
                    <w:right w:val="none" w:sz="0" w:space="0" w:color="auto"/>
                  </w:divBdr>
                </w:div>
                <w:div w:id="1249775031">
                  <w:marLeft w:val="0"/>
                  <w:marRight w:val="0"/>
                  <w:marTop w:val="0"/>
                  <w:marBottom w:val="0"/>
                  <w:divBdr>
                    <w:top w:val="none" w:sz="0" w:space="0" w:color="auto"/>
                    <w:left w:val="none" w:sz="0" w:space="0" w:color="auto"/>
                    <w:bottom w:val="none" w:sz="0" w:space="0" w:color="auto"/>
                    <w:right w:val="none" w:sz="0" w:space="0" w:color="auto"/>
                  </w:divBdr>
                </w:div>
                <w:div w:id="1636914332">
                  <w:marLeft w:val="0"/>
                  <w:marRight w:val="0"/>
                  <w:marTop w:val="0"/>
                  <w:marBottom w:val="0"/>
                  <w:divBdr>
                    <w:top w:val="none" w:sz="0" w:space="0" w:color="auto"/>
                    <w:left w:val="none" w:sz="0" w:space="0" w:color="auto"/>
                    <w:bottom w:val="none" w:sz="0" w:space="0" w:color="auto"/>
                    <w:right w:val="none" w:sz="0" w:space="0" w:color="auto"/>
                  </w:divBdr>
                </w:div>
                <w:div w:id="1946882113">
                  <w:marLeft w:val="0"/>
                  <w:marRight w:val="0"/>
                  <w:marTop w:val="0"/>
                  <w:marBottom w:val="0"/>
                  <w:divBdr>
                    <w:top w:val="none" w:sz="0" w:space="0" w:color="auto"/>
                    <w:left w:val="none" w:sz="0" w:space="0" w:color="auto"/>
                    <w:bottom w:val="none" w:sz="0" w:space="0" w:color="auto"/>
                    <w:right w:val="none" w:sz="0" w:space="0" w:color="auto"/>
                  </w:divBdr>
                </w:div>
              </w:divsChild>
            </w:div>
            <w:div w:id="431978211">
              <w:marLeft w:val="0"/>
              <w:marRight w:val="0"/>
              <w:marTop w:val="0"/>
              <w:marBottom w:val="0"/>
              <w:divBdr>
                <w:top w:val="none" w:sz="0" w:space="0" w:color="auto"/>
                <w:left w:val="none" w:sz="0" w:space="0" w:color="auto"/>
                <w:bottom w:val="none" w:sz="0" w:space="0" w:color="auto"/>
                <w:right w:val="none" w:sz="0" w:space="0" w:color="auto"/>
              </w:divBdr>
              <w:divsChild>
                <w:div w:id="46148295">
                  <w:marLeft w:val="0"/>
                  <w:marRight w:val="0"/>
                  <w:marTop w:val="0"/>
                  <w:marBottom w:val="0"/>
                  <w:divBdr>
                    <w:top w:val="none" w:sz="0" w:space="0" w:color="auto"/>
                    <w:left w:val="none" w:sz="0" w:space="0" w:color="auto"/>
                    <w:bottom w:val="none" w:sz="0" w:space="0" w:color="auto"/>
                    <w:right w:val="none" w:sz="0" w:space="0" w:color="auto"/>
                  </w:divBdr>
                </w:div>
                <w:div w:id="82798479">
                  <w:marLeft w:val="0"/>
                  <w:marRight w:val="0"/>
                  <w:marTop w:val="0"/>
                  <w:marBottom w:val="0"/>
                  <w:divBdr>
                    <w:top w:val="none" w:sz="0" w:space="0" w:color="auto"/>
                    <w:left w:val="none" w:sz="0" w:space="0" w:color="auto"/>
                    <w:bottom w:val="none" w:sz="0" w:space="0" w:color="auto"/>
                    <w:right w:val="none" w:sz="0" w:space="0" w:color="auto"/>
                  </w:divBdr>
                </w:div>
                <w:div w:id="575944402">
                  <w:marLeft w:val="0"/>
                  <w:marRight w:val="0"/>
                  <w:marTop w:val="0"/>
                  <w:marBottom w:val="0"/>
                  <w:divBdr>
                    <w:top w:val="none" w:sz="0" w:space="0" w:color="auto"/>
                    <w:left w:val="none" w:sz="0" w:space="0" w:color="auto"/>
                    <w:bottom w:val="none" w:sz="0" w:space="0" w:color="auto"/>
                    <w:right w:val="none" w:sz="0" w:space="0" w:color="auto"/>
                  </w:divBdr>
                </w:div>
                <w:div w:id="601304229">
                  <w:marLeft w:val="0"/>
                  <w:marRight w:val="0"/>
                  <w:marTop w:val="0"/>
                  <w:marBottom w:val="0"/>
                  <w:divBdr>
                    <w:top w:val="none" w:sz="0" w:space="0" w:color="auto"/>
                    <w:left w:val="none" w:sz="0" w:space="0" w:color="auto"/>
                    <w:bottom w:val="none" w:sz="0" w:space="0" w:color="auto"/>
                    <w:right w:val="none" w:sz="0" w:space="0" w:color="auto"/>
                  </w:divBdr>
                </w:div>
                <w:div w:id="1262882414">
                  <w:marLeft w:val="0"/>
                  <w:marRight w:val="0"/>
                  <w:marTop w:val="0"/>
                  <w:marBottom w:val="0"/>
                  <w:divBdr>
                    <w:top w:val="none" w:sz="0" w:space="0" w:color="auto"/>
                    <w:left w:val="none" w:sz="0" w:space="0" w:color="auto"/>
                    <w:bottom w:val="none" w:sz="0" w:space="0" w:color="auto"/>
                    <w:right w:val="none" w:sz="0" w:space="0" w:color="auto"/>
                  </w:divBdr>
                </w:div>
                <w:div w:id="1469782591">
                  <w:marLeft w:val="0"/>
                  <w:marRight w:val="0"/>
                  <w:marTop w:val="0"/>
                  <w:marBottom w:val="0"/>
                  <w:divBdr>
                    <w:top w:val="none" w:sz="0" w:space="0" w:color="auto"/>
                    <w:left w:val="none" w:sz="0" w:space="0" w:color="auto"/>
                    <w:bottom w:val="none" w:sz="0" w:space="0" w:color="auto"/>
                    <w:right w:val="none" w:sz="0" w:space="0" w:color="auto"/>
                  </w:divBdr>
                </w:div>
              </w:divsChild>
            </w:div>
            <w:div w:id="484399884">
              <w:marLeft w:val="0"/>
              <w:marRight w:val="0"/>
              <w:marTop w:val="0"/>
              <w:marBottom w:val="0"/>
              <w:divBdr>
                <w:top w:val="none" w:sz="0" w:space="0" w:color="auto"/>
                <w:left w:val="none" w:sz="0" w:space="0" w:color="auto"/>
                <w:bottom w:val="none" w:sz="0" w:space="0" w:color="auto"/>
                <w:right w:val="none" w:sz="0" w:space="0" w:color="auto"/>
              </w:divBdr>
              <w:divsChild>
                <w:div w:id="154806903">
                  <w:marLeft w:val="0"/>
                  <w:marRight w:val="0"/>
                  <w:marTop w:val="0"/>
                  <w:marBottom w:val="0"/>
                  <w:divBdr>
                    <w:top w:val="none" w:sz="0" w:space="0" w:color="auto"/>
                    <w:left w:val="none" w:sz="0" w:space="0" w:color="auto"/>
                    <w:bottom w:val="none" w:sz="0" w:space="0" w:color="auto"/>
                    <w:right w:val="none" w:sz="0" w:space="0" w:color="auto"/>
                  </w:divBdr>
                </w:div>
                <w:div w:id="406803847">
                  <w:marLeft w:val="0"/>
                  <w:marRight w:val="0"/>
                  <w:marTop w:val="0"/>
                  <w:marBottom w:val="0"/>
                  <w:divBdr>
                    <w:top w:val="none" w:sz="0" w:space="0" w:color="auto"/>
                    <w:left w:val="none" w:sz="0" w:space="0" w:color="auto"/>
                    <w:bottom w:val="none" w:sz="0" w:space="0" w:color="auto"/>
                    <w:right w:val="none" w:sz="0" w:space="0" w:color="auto"/>
                  </w:divBdr>
                </w:div>
                <w:div w:id="818619991">
                  <w:marLeft w:val="0"/>
                  <w:marRight w:val="0"/>
                  <w:marTop w:val="0"/>
                  <w:marBottom w:val="0"/>
                  <w:divBdr>
                    <w:top w:val="none" w:sz="0" w:space="0" w:color="auto"/>
                    <w:left w:val="none" w:sz="0" w:space="0" w:color="auto"/>
                    <w:bottom w:val="none" w:sz="0" w:space="0" w:color="auto"/>
                    <w:right w:val="none" w:sz="0" w:space="0" w:color="auto"/>
                  </w:divBdr>
                </w:div>
                <w:div w:id="16850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8756">
          <w:marLeft w:val="0"/>
          <w:marRight w:val="0"/>
          <w:marTop w:val="0"/>
          <w:marBottom w:val="0"/>
          <w:divBdr>
            <w:top w:val="none" w:sz="0" w:space="0" w:color="auto"/>
            <w:left w:val="none" w:sz="0" w:space="0" w:color="auto"/>
            <w:bottom w:val="none" w:sz="0" w:space="0" w:color="auto"/>
            <w:right w:val="none" w:sz="0" w:space="0" w:color="auto"/>
          </w:divBdr>
        </w:div>
        <w:div w:id="525409320">
          <w:marLeft w:val="0"/>
          <w:marRight w:val="0"/>
          <w:marTop w:val="0"/>
          <w:marBottom w:val="0"/>
          <w:divBdr>
            <w:top w:val="none" w:sz="0" w:space="0" w:color="auto"/>
            <w:left w:val="none" w:sz="0" w:space="0" w:color="auto"/>
            <w:bottom w:val="none" w:sz="0" w:space="0" w:color="auto"/>
            <w:right w:val="none" w:sz="0" w:space="0" w:color="auto"/>
          </w:divBdr>
        </w:div>
        <w:div w:id="527378029">
          <w:marLeft w:val="0"/>
          <w:marRight w:val="0"/>
          <w:marTop w:val="0"/>
          <w:marBottom w:val="0"/>
          <w:divBdr>
            <w:top w:val="none" w:sz="0" w:space="0" w:color="auto"/>
            <w:left w:val="none" w:sz="0" w:space="0" w:color="auto"/>
            <w:bottom w:val="none" w:sz="0" w:space="0" w:color="auto"/>
            <w:right w:val="none" w:sz="0" w:space="0" w:color="auto"/>
          </w:divBdr>
        </w:div>
        <w:div w:id="537815050">
          <w:marLeft w:val="0"/>
          <w:marRight w:val="0"/>
          <w:marTop w:val="0"/>
          <w:marBottom w:val="0"/>
          <w:divBdr>
            <w:top w:val="none" w:sz="0" w:space="0" w:color="auto"/>
            <w:left w:val="none" w:sz="0" w:space="0" w:color="auto"/>
            <w:bottom w:val="none" w:sz="0" w:space="0" w:color="auto"/>
            <w:right w:val="none" w:sz="0" w:space="0" w:color="auto"/>
          </w:divBdr>
        </w:div>
        <w:div w:id="545607283">
          <w:marLeft w:val="0"/>
          <w:marRight w:val="0"/>
          <w:marTop w:val="0"/>
          <w:marBottom w:val="0"/>
          <w:divBdr>
            <w:top w:val="none" w:sz="0" w:space="0" w:color="auto"/>
            <w:left w:val="none" w:sz="0" w:space="0" w:color="auto"/>
            <w:bottom w:val="none" w:sz="0" w:space="0" w:color="auto"/>
            <w:right w:val="none" w:sz="0" w:space="0" w:color="auto"/>
          </w:divBdr>
        </w:div>
        <w:div w:id="560141218">
          <w:marLeft w:val="0"/>
          <w:marRight w:val="0"/>
          <w:marTop w:val="0"/>
          <w:marBottom w:val="0"/>
          <w:divBdr>
            <w:top w:val="none" w:sz="0" w:space="0" w:color="auto"/>
            <w:left w:val="none" w:sz="0" w:space="0" w:color="auto"/>
            <w:bottom w:val="none" w:sz="0" w:space="0" w:color="auto"/>
            <w:right w:val="none" w:sz="0" w:space="0" w:color="auto"/>
          </w:divBdr>
        </w:div>
        <w:div w:id="574246589">
          <w:marLeft w:val="0"/>
          <w:marRight w:val="0"/>
          <w:marTop w:val="0"/>
          <w:marBottom w:val="0"/>
          <w:divBdr>
            <w:top w:val="none" w:sz="0" w:space="0" w:color="auto"/>
            <w:left w:val="none" w:sz="0" w:space="0" w:color="auto"/>
            <w:bottom w:val="none" w:sz="0" w:space="0" w:color="auto"/>
            <w:right w:val="none" w:sz="0" w:space="0" w:color="auto"/>
          </w:divBdr>
        </w:div>
        <w:div w:id="587272240">
          <w:marLeft w:val="0"/>
          <w:marRight w:val="0"/>
          <w:marTop w:val="0"/>
          <w:marBottom w:val="0"/>
          <w:divBdr>
            <w:top w:val="none" w:sz="0" w:space="0" w:color="auto"/>
            <w:left w:val="none" w:sz="0" w:space="0" w:color="auto"/>
            <w:bottom w:val="none" w:sz="0" w:space="0" w:color="auto"/>
            <w:right w:val="none" w:sz="0" w:space="0" w:color="auto"/>
          </w:divBdr>
        </w:div>
        <w:div w:id="599796149">
          <w:marLeft w:val="0"/>
          <w:marRight w:val="0"/>
          <w:marTop w:val="0"/>
          <w:marBottom w:val="0"/>
          <w:divBdr>
            <w:top w:val="none" w:sz="0" w:space="0" w:color="auto"/>
            <w:left w:val="none" w:sz="0" w:space="0" w:color="auto"/>
            <w:bottom w:val="none" w:sz="0" w:space="0" w:color="auto"/>
            <w:right w:val="none" w:sz="0" w:space="0" w:color="auto"/>
          </w:divBdr>
        </w:div>
        <w:div w:id="603458544">
          <w:marLeft w:val="0"/>
          <w:marRight w:val="0"/>
          <w:marTop w:val="0"/>
          <w:marBottom w:val="0"/>
          <w:divBdr>
            <w:top w:val="none" w:sz="0" w:space="0" w:color="auto"/>
            <w:left w:val="none" w:sz="0" w:space="0" w:color="auto"/>
            <w:bottom w:val="none" w:sz="0" w:space="0" w:color="auto"/>
            <w:right w:val="none" w:sz="0" w:space="0" w:color="auto"/>
          </w:divBdr>
        </w:div>
        <w:div w:id="607078839">
          <w:marLeft w:val="0"/>
          <w:marRight w:val="0"/>
          <w:marTop w:val="0"/>
          <w:marBottom w:val="0"/>
          <w:divBdr>
            <w:top w:val="none" w:sz="0" w:space="0" w:color="auto"/>
            <w:left w:val="none" w:sz="0" w:space="0" w:color="auto"/>
            <w:bottom w:val="none" w:sz="0" w:space="0" w:color="auto"/>
            <w:right w:val="none" w:sz="0" w:space="0" w:color="auto"/>
          </w:divBdr>
        </w:div>
        <w:div w:id="609163960">
          <w:marLeft w:val="0"/>
          <w:marRight w:val="0"/>
          <w:marTop w:val="0"/>
          <w:marBottom w:val="0"/>
          <w:divBdr>
            <w:top w:val="none" w:sz="0" w:space="0" w:color="auto"/>
            <w:left w:val="none" w:sz="0" w:space="0" w:color="auto"/>
            <w:bottom w:val="none" w:sz="0" w:space="0" w:color="auto"/>
            <w:right w:val="none" w:sz="0" w:space="0" w:color="auto"/>
          </w:divBdr>
        </w:div>
        <w:div w:id="632947419">
          <w:marLeft w:val="0"/>
          <w:marRight w:val="0"/>
          <w:marTop w:val="0"/>
          <w:marBottom w:val="0"/>
          <w:divBdr>
            <w:top w:val="none" w:sz="0" w:space="0" w:color="auto"/>
            <w:left w:val="none" w:sz="0" w:space="0" w:color="auto"/>
            <w:bottom w:val="none" w:sz="0" w:space="0" w:color="auto"/>
            <w:right w:val="none" w:sz="0" w:space="0" w:color="auto"/>
          </w:divBdr>
        </w:div>
        <w:div w:id="633827536">
          <w:marLeft w:val="0"/>
          <w:marRight w:val="0"/>
          <w:marTop w:val="0"/>
          <w:marBottom w:val="0"/>
          <w:divBdr>
            <w:top w:val="none" w:sz="0" w:space="0" w:color="auto"/>
            <w:left w:val="none" w:sz="0" w:space="0" w:color="auto"/>
            <w:bottom w:val="none" w:sz="0" w:space="0" w:color="auto"/>
            <w:right w:val="none" w:sz="0" w:space="0" w:color="auto"/>
          </w:divBdr>
        </w:div>
        <w:div w:id="635188474">
          <w:marLeft w:val="0"/>
          <w:marRight w:val="0"/>
          <w:marTop w:val="0"/>
          <w:marBottom w:val="0"/>
          <w:divBdr>
            <w:top w:val="none" w:sz="0" w:space="0" w:color="auto"/>
            <w:left w:val="none" w:sz="0" w:space="0" w:color="auto"/>
            <w:bottom w:val="none" w:sz="0" w:space="0" w:color="auto"/>
            <w:right w:val="none" w:sz="0" w:space="0" w:color="auto"/>
          </w:divBdr>
        </w:div>
        <w:div w:id="639500674">
          <w:marLeft w:val="0"/>
          <w:marRight w:val="0"/>
          <w:marTop w:val="0"/>
          <w:marBottom w:val="0"/>
          <w:divBdr>
            <w:top w:val="none" w:sz="0" w:space="0" w:color="auto"/>
            <w:left w:val="none" w:sz="0" w:space="0" w:color="auto"/>
            <w:bottom w:val="none" w:sz="0" w:space="0" w:color="auto"/>
            <w:right w:val="none" w:sz="0" w:space="0" w:color="auto"/>
          </w:divBdr>
        </w:div>
        <w:div w:id="649674771">
          <w:marLeft w:val="0"/>
          <w:marRight w:val="0"/>
          <w:marTop w:val="0"/>
          <w:marBottom w:val="0"/>
          <w:divBdr>
            <w:top w:val="none" w:sz="0" w:space="0" w:color="auto"/>
            <w:left w:val="none" w:sz="0" w:space="0" w:color="auto"/>
            <w:bottom w:val="none" w:sz="0" w:space="0" w:color="auto"/>
            <w:right w:val="none" w:sz="0" w:space="0" w:color="auto"/>
          </w:divBdr>
        </w:div>
        <w:div w:id="656147449">
          <w:marLeft w:val="0"/>
          <w:marRight w:val="0"/>
          <w:marTop w:val="0"/>
          <w:marBottom w:val="0"/>
          <w:divBdr>
            <w:top w:val="none" w:sz="0" w:space="0" w:color="auto"/>
            <w:left w:val="none" w:sz="0" w:space="0" w:color="auto"/>
            <w:bottom w:val="none" w:sz="0" w:space="0" w:color="auto"/>
            <w:right w:val="none" w:sz="0" w:space="0" w:color="auto"/>
          </w:divBdr>
        </w:div>
        <w:div w:id="656688028">
          <w:marLeft w:val="0"/>
          <w:marRight w:val="0"/>
          <w:marTop w:val="0"/>
          <w:marBottom w:val="0"/>
          <w:divBdr>
            <w:top w:val="none" w:sz="0" w:space="0" w:color="auto"/>
            <w:left w:val="none" w:sz="0" w:space="0" w:color="auto"/>
            <w:bottom w:val="none" w:sz="0" w:space="0" w:color="auto"/>
            <w:right w:val="none" w:sz="0" w:space="0" w:color="auto"/>
          </w:divBdr>
        </w:div>
        <w:div w:id="659425253">
          <w:marLeft w:val="0"/>
          <w:marRight w:val="0"/>
          <w:marTop w:val="0"/>
          <w:marBottom w:val="0"/>
          <w:divBdr>
            <w:top w:val="none" w:sz="0" w:space="0" w:color="auto"/>
            <w:left w:val="none" w:sz="0" w:space="0" w:color="auto"/>
            <w:bottom w:val="none" w:sz="0" w:space="0" w:color="auto"/>
            <w:right w:val="none" w:sz="0" w:space="0" w:color="auto"/>
          </w:divBdr>
        </w:div>
        <w:div w:id="667515094">
          <w:marLeft w:val="0"/>
          <w:marRight w:val="0"/>
          <w:marTop w:val="0"/>
          <w:marBottom w:val="0"/>
          <w:divBdr>
            <w:top w:val="none" w:sz="0" w:space="0" w:color="auto"/>
            <w:left w:val="none" w:sz="0" w:space="0" w:color="auto"/>
            <w:bottom w:val="none" w:sz="0" w:space="0" w:color="auto"/>
            <w:right w:val="none" w:sz="0" w:space="0" w:color="auto"/>
          </w:divBdr>
        </w:div>
        <w:div w:id="672612778">
          <w:marLeft w:val="0"/>
          <w:marRight w:val="0"/>
          <w:marTop w:val="0"/>
          <w:marBottom w:val="0"/>
          <w:divBdr>
            <w:top w:val="none" w:sz="0" w:space="0" w:color="auto"/>
            <w:left w:val="none" w:sz="0" w:space="0" w:color="auto"/>
            <w:bottom w:val="none" w:sz="0" w:space="0" w:color="auto"/>
            <w:right w:val="none" w:sz="0" w:space="0" w:color="auto"/>
          </w:divBdr>
        </w:div>
        <w:div w:id="676156534">
          <w:marLeft w:val="0"/>
          <w:marRight w:val="0"/>
          <w:marTop w:val="0"/>
          <w:marBottom w:val="0"/>
          <w:divBdr>
            <w:top w:val="none" w:sz="0" w:space="0" w:color="auto"/>
            <w:left w:val="none" w:sz="0" w:space="0" w:color="auto"/>
            <w:bottom w:val="none" w:sz="0" w:space="0" w:color="auto"/>
            <w:right w:val="none" w:sz="0" w:space="0" w:color="auto"/>
          </w:divBdr>
        </w:div>
        <w:div w:id="720665455">
          <w:marLeft w:val="0"/>
          <w:marRight w:val="0"/>
          <w:marTop w:val="0"/>
          <w:marBottom w:val="0"/>
          <w:divBdr>
            <w:top w:val="none" w:sz="0" w:space="0" w:color="auto"/>
            <w:left w:val="none" w:sz="0" w:space="0" w:color="auto"/>
            <w:bottom w:val="none" w:sz="0" w:space="0" w:color="auto"/>
            <w:right w:val="none" w:sz="0" w:space="0" w:color="auto"/>
          </w:divBdr>
        </w:div>
        <w:div w:id="749890303">
          <w:marLeft w:val="0"/>
          <w:marRight w:val="0"/>
          <w:marTop w:val="0"/>
          <w:marBottom w:val="0"/>
          <w:divBdr>
            <w:top w:val="none" w:sz="0" w:space="0" w:color="auto"/>
            <w:left w:val="none" w:sz="0" w:space="0" w:color="auto"/>
            <w:bottom w:val="none" w:sz="0" w:space="0" w:color="auto"/>
            <w:right w:val="none" w:sz="0" w:space="0" w:color="auto"/>
          </w:divBdr>
        </w:div>
        <w:div w:id="769546886">
          <w:marLeft w:val="0"/>
          <w:marRight w:val="0"/>
          <w:marTop w:val="0"/>
          <w:marBottom w:val="0"/>
          <w:divBdr>
            <w:top w:val="none" w:sz="0" w:space="0" w:color="auto"/>
            <w:left w:val="none" w:sz="0" w:space="0" w:color="auto"/>
            <w:bottom w:val="none" w:sz="0" w:space="0" w:color="auto"/>
            <w:right w:val="none" w:sz="0" w:space="0" w:color="auto"/>
          </w:divBdr>
        </w:div>
        <w:div w:id="779421768">
          <w:marLeft w:val="0"/>
          <w:marRight w:val="0"/>
          <w:marTop w:val="0"/>
          <w:marBottom w:val="0"/>
          <w:divBdr>
            <w:top w:val="none" w:sz="0" w:space="0" w:color="auto"/>
            <w:left w:val="none" w:sz="0" w:space="0" w:color="auto"/>
            <w:bottom w:val="none" w:sz="0" w:space="0" w:color="auto"/>
            <w:right w:val="none" w:sz="0" w:space="0" w:color="auto"/>
          </w:divBdr>
        </w:div>
        <w:div w:id="779569241">
          <w:marLeft w:val="0"/>
          <w:marRight w:val="0"/>
          <w:marTop w:val="0"/>
          <w:marBottom w:val="0"/>
          <w:divBdr>
            <w:top w:val="none" w:sz="0" w:space="0" w:color="auto"/>
            <w:left w:val="none" w:sz="0" w:space="0" w:color="auto"/>
            <w:bottom w:val="none" w:sz="0" w:space="0" w:color="auto"/>
            <w:right w:val="none" w:sz="0" w:space="0" w:color="auto"/>
          </w:divBdr>
        </w:div>
        <w:div w:id="801004338">
          <w:marLeft w:val="0"/>
          <w:marRight w:val="0"/>
          <w:marTop w:val="0"/>
          <w:marBottom w:val="0"/>
          <w:divBdr>
            <w:top w:val="none" w:sz="0" w:space="0" w:color="auto"/>
            <w:left w:val="none" w:sz="0" w:space="0" w:color="auto"/>
            <w:bottom w:val="none" w:sz="0" w:space="0" w:color="auto"/>
            <w:right w:val="none" w:sz="0" w:space="0" w:color="auto"/>
          </w:divBdr>
        </w:div>
        <w:div w:id="819494622">
          <w:marLeft w:val="0"/>
          <w:marRight w:val="0"/>
          <w:marTop w:val="0"/>
          <w:marBottom w:val="0"/>
          <w:divBdr>
            <w:top w:val="none" w:sz="0" w:space="0" w:color="auto"/>
            <w:left w:val="none" w:sz="0" w:space="0" w:color="auto"/>
            <w:bottom w:val="none" w:sz="0" w:space="0" w:color="auto"/>
            <w:right w:val="none" w:sz="0" w:space="0" w:color="auto"/>
          </w:divBdr>
        </w:div>
        <w:div w:id="835612288">
          <w:marLeft w:val="0"/>
          <w:marRight w:val="0"/>
          <w:marTop w:val="0"/>
          <w:marBottom w:val="0"/>
          <w:divBdr>
            <w:top w:val="none" w:sz="0" w:space="0" w:color="auto"/>
            <w:left w:val="none" w:sz="0" w:space="0" w:color="auto"/>
            <w:bottom w:val="none" w:sz="0" w:space="0" w:color="auto"/>
            <w:right w:val="none" w:sz="0" w:space="0" w:color="auto"/>
          </w:divBdr>
        </w:div>
        <w:div w:id="837230461">
          <w:marLeft w:val="0"/>
          <w:marRight w:val="0"/>
          <w:marTop w:val="0"/>
          <w:marBottom w:val="0"/>
          <w:divBdr>
            <w:top w:val="none" w:sz="0" w:space="0" w:color="auto"/>
            <w:left w:val="none" w:sz="0" w:space="0" w:color="auto"/>
            <w:bottom w:val="none" w:sz="0" w:space="0" w:color="auto"/>
            <w:right w:val="none" w:sz="0" w:space="0" w:color="auto"/>
          </w:divBdr>
        </w:div>
        <w:div w:id="847525712">
          <w:marLeft w:val="0"/>
          <w:marRight w:val="0"/>
          <w:marTop w:val="0"/>
          <w:marBottom w:val="0"/>
          <w:divBdr>
            <w:top w:val="none" w:sz="0" w:space="0" w:color="auto"/>
            <w:left w:val="none" w:sz="0" w:space="0" w:color="auto"/>
            <w:bottom w:val="none" w:sz="0" w:space="0" w:color="auto"/>
            <w:right w:val="none" w:sz="0" w:space="0" w:color="auto"/>
          </w:divBdr>
        </w:div>
        <w:div w:id="858666554">
          <w:marLeft w:val="0"/>
          <w:marRight w:val="0"/>
          <w:marTop w:val="0"/>
          <w:marBottom w:val="0"/>
          <w:divBdr>
            <w:top w:val="none" w:sz="0" w:space="0" w:color="auto"/>
            <w:left w:val="none" w:sz="0" w:space="0" w:color="auto"/>
            <w:bottom w:val="none" w:sz="0" w:space="0" w:color="auto"/>
            <w:right w:val="none" w:sz="0" w:space="0" w:color="auto"/>
          </w:divBdr>
        </w:div>
        <w:div w:id="860316273">
          <w:marLeft w:val="0"/>
          <w:marRight w:val="0"/>
          <w:marTop w:val="0"/>
          <w:marBottom w:val="0"/>
          <w:divBdr>
            <w:top w:val="none" w:sz="0" w:space="0" w:color="auto"/>
            <w:left w:val="none" w:sz="0" w:space="0" w:color="auto"/>
            <w:bottom w:val="none" w:sz="0" w:space="0" w:color="auto"/>
            <w:right w:val="none" w:sz="0" w:space="0" w:color="auto"/>
          </w:divBdr>
        </w:div>
        <w:div w:id="868294569">
          <w:marLeft w:val="0"/>
          <w:marRight w:val="0"/>
          <w:marTop w:val="0"/>
          <w:marBottom w:val="0"/>
          <w:divBdr>
            <w:top w:val="none" w:sz="0" w:space="0" w:color="auto"/>
            <w:left w:val="none" w:sz="0" w:space="0" w:color="auto"/>
            <w:bottom w:val="none" w:sz="0" w:space="0" w:color="auto"/>
            <w:right w:val="none" w:sz="0" w:space="0" w:color="auto"/>
          </w:divBdr>
        </w:div>
        <w:div w:id="872696833">
          <w:marLeft w:val="0"/>
          <w:marRight w:val="0"/>
          <w:marTop w:val="0"/>
          <w:marBottom w:val="0"/>
          <w:divBdr>
            <w:top w:val="none" w:sz="0" w:space="0" w:color="auto"/>
            <w:left w:val="none" w:sz="0" w:space="0" w:color="auto"/>
            <w:bottom w:val="none" w:sz="0" w:space="0" w:color="auto"/>
            <w:right w:val="none" w:sz="0" w:space="0" w:color="auto"/>
          </w:divBdr>
        </w:div>
        <w:div w:id="873344819">
          <w:marLeft w:val="0"/>
          <w:marRight w:val="0"/>
          <w:marTop w:val="0"/>
          <w:marBottom w:val="0"/>
          <w:divBdr>
            <w:top w:val="none" w:sz="0" w:space="0" w:color="auto"/>
            <w:left w:val="none" w:sz="0" w:space="0" w:color="auto"/>
            <w:bottom w:val="none" w:sz="0" w:space="0" w:color="auto"/>
            <w:right w:val="none" w:sz="0" w:space="0" w:color="auto"/>
          </w:divBdr>
        </w:div>
        <w:div w:id="877012836">
          <w:marLeft w:val="0"/>
          <w:marRight w:val="0"/>
          <w:marTop w:val="0"/>
          <w:marBottom w:val="0"/>
          <w:divBdr>
            <w:top w:val="none" w:sz="0" w:space="0" w:color="auto"/>
            <w:left w:val="none" w:sz="0" w:space="0" w:color="auto"/>
            <w:bottom w:val="none" w:sz="0" w:space="0" w:color="auto"/>
            <w:right w:val="none" w:sz="0" w:space="0" w:color="auto"/>
          </w:divBdr>
        </w:div>
        <w:div w:id="881743967">
          <w:marLeft w:val="0"/>
          <w:marRight w:val="0"/>
          <w:marTop w:val="0"/>
          <w:marBottom w:val="0"/>
          <w:divBdr>
            <w:top w:val="none" w:sz="0" w:space="0" w:color="auto"/>
            <w:left w:val="none" w:sz="0" w:space="0" w:color="auto"/>
            <w:bottom w:val="none" w:sz="0" w:space="0" w:color="auto"/>
            <w:right w:val="none" w:sz="0" w:space="0" w:color="auto"/>
          </w:divBdr>
        </w:div>
        <w:div w:id="901645909">
          <w:marLeft w:val="0"/>
          <w:marRight w:val="0"/>
          <w:marTop w:val="0"/>
          <w:marBottom w:val="0"/>
          <w:divBdr>
            <w:top w:val="none" w:sz="0" w:space="0" w:color="auto"/>
            <w:left w:val="none" w:sz="0" w:space="0" w:color="auto"/>
            <w:bottom w:val="none" w:sz="0" w:space="0" w:color="auto"/>
            <w:right w:val="none" w:sz="0" w:space="0" w:color="auto"/>
          </w:divBdr>
        </w:div>
        <w:div w:id="907695015">
          <w:marLeft w:val="0"/>
          <w:marRight w:val="0"/>
          <w:marTop w:val="0"/>
          <w:marBottom w:val="0"/>
          <w:divBdr>
            <w:top w:val="none" w:sz="0" w:space="0" w:color="auto"/>
            <w:left w:val="none" w:sz="0" w:space="0" w:color="auto"/>
            <w:bottom w:val="none" w:sz="0" w:space="0" w:color="auto"/>
            <w:right w:val="none" w:sz="0" w:space="0" w:color="auto"/>
          </w:divBdr>
        </w:div>
        <w:div w:id="914700342">
          <w:marLeft w:val="0"/>
          <w:marRight w:val="0"/>
          <w:marTop w:val="0"/>
          <w:marBottom w:val="0"/>
          <w:divBdr>
            <w:top w:val="none" w:sz="0" w:space="0" w:color="auto"/>
            <w:left w:val="none" w:sz="0" w:space="0" w:color="auto"/>
            <w:bottom w:val="none" w:sz="0" w:space="0" w:color="auto"/>
            <w:right w:val="none" w:sz="0" w:space="0" w:color="auto"/>
          </w:divBdr>
        </w:div>
        <w:div w:id="916939369">
          <w:marLeft w:val="0"/>
          <w:marRight w:val="0"/>
          <w:marTop w:val="0"/>
          <w:marBottom w:val="0"/>
          <w:divBdr>
            <w:top w:val="none" w:sz="0" w:space="0" w:color="auto"/>
            <w:left w:val="none" w:sz="0" w:space="0" w:color="auto"/>
            <w:bottom w:val="none" w:sz="0" w:space="0" w:color="auto"/>
            <w:right w:val="none" w:sz="0" w:space="0" w:color="auto"/>
          </w:divBdr>
        </w:div>
        <w:div w:id="943076142">
          <w:marLeft w:val="0"/>
          <w:marRight w:val="0"/>
          <w:marTop w:val="0"/>
          <w:marBottom w:val="0"/>
          <w:divBdr>
            <w:top w:val="none" w:sz="0" w:space="0" w:color="auto"/>
            <w:left w:val="none" w:sz="0" w:space="0" w:color="auto"/>
            <w:bottom w:val="none" w:sz="0" w:space="0" w:color="auto"/>
            <w:right w:val="none" w:sz="0" w:space="0" w:color="auto"/>
          </w:divBdr>
        </w:div>
        <w:div w:id="946887156">
          <w:marLeft w:val="0"/>
          <w:marRight w:val="0"/>
          <w:marTop w:val="0"/>
          <w:marBottom w:val="0"/>
          <w:divBdr>
            <w:top w:val="none" w:sz="0" w:space="0" w:color="auto"/>
            <w:left w:val="none" w:sz="0" w:space="0" w:color="auto"/>
            <w:bottom w:val="none" w:sz="0" w:space="0" w:color="auto"/>
            <w:right w:val="none" w:sz="0" w:space="0" w:color="auto"/>
          </w:divBdr>
        </w:div>
        <w:div w:id="958876288">
          <w:marLeft w:val="0"/>
          <w:marRight w:val="0"/>
          <w:marTop w:val="0"/>
          <w:marBottom w:val="0"/>
          <w:divBdr>
            <w:top w:val="none" w:sz="0" w:space="0" w:color="auto"/>
            <w:left w:val="none" w:sz="0" w:space="0" w:color="auto"/>
            <w:bottom w:val="none" w:sz="0" w:space="0" w:color="auto"/>
            <w:right w:val="none" w:sz="0" w:space="0" w:color="auto"/>
          </w:divBdr>
        </w:div>
        <w:div w:id="960305139">
          <w:marLeft w:val="0"/>
          <w:marRight w:val="0"/>
          <w:marTop w:val="0"/>
          <w:marBottom w:val="0"/>
          <w:divBdr>
            <w:top w:val="none" w:sz="0" w:space="0" w:color="auto"/>
            <w:left w:val="none" w:sz="0" w:space="0" w:color="auto"/>
            <w:bottom w:val="none" w:sz="0" w:space="0" w:color="auto"/>
            <w:right w:val="none" w:sz="0" w:space="0" w:color="auto"/>
          </w:divBdr>
        </w:div>
        <w:div w:id="982388793">
          <w:marLeft w:val="0"/>
          <w:marRight w:val="0"/>
          <w:marTop w:val="0"/>
          <w:marBottom w:val="0"/>
          <w:divBdr>
            <w:top w:val="none" w:sz="0" w:space="0" w:color="auto"/>
            <w:left w:val="none" w:sz="0" w:space="0" w:color="auto"/>
            <w:bottom w:val="none" w:sz="0" w:space="0" w:color="auto"/>
            <w:right w:val="none" w:sz="0" w:space="0" w:color="auto"/>
          </w:divBdr>
        </w:div>
        <w:div w:id="1010909811">
          <w:marLeft w:val="0"/>
          <w:marRight w:val="0"/>
          <w:marTop w:val="0"/>
          <w:marBottom w:val="0"/>
          <w:divBdr>
            <w:top w:val="none" w:sz="0" w:space="0" w:color="auto"/>
            <w:left w:val="none" w:sz="0" w:space="0" w:color="auto"/>
            <w:bottom w:val="none" w:sz="0" w:space="0" w:color="auto"/>
            <w:right w:val="none" w:sz="0" w:space="0" w:color="auto"/>
          </w:divBdr>
        </w:div>
        <w:div w:id="1016077440">
          <w:marLeft w:val="0"/>
          <w:marRight w:val="0"/>
          <w:marTop w:val="0"/>
          <w:marBottom w:val="0"/>
          <w:divBdr>
            <w:top w:val="none" w:sz="0" w:space="0" w:color="auto"/>
            <w:left w:val="none" w:sz="0" w:space="0" w:color="auto"/>
            <w:bottom w:val="none" w:sz="0" w:space="0" w:color="auto"/>
            <w:right w:val="none" w:sz="0" w:space="0" w:color="auto"/>
          </w:divBdr>
        </w:div>
        <w:div w:id="1016230635">
          <w:marLeft w:val="0"/>
          <w:marRight w:val="0"/>
          <w:marTop w:val="0"/>
          <w:marBottom w:val="0"/>
          <w:divBdr>
            <w:top w:val="none" w:sz="0" w:space="0" w:color="auto"/>
            <w:left w:val="none" w:sz="0" w:space="0" w:color="auto"/>
            <w:bottom w:val="none" w:sz="0" w:space="0" w:color="auto"/>
            <w:right w:val="none" w:sz="0" w:space="0" w:color="auto"/>
          </w:divBdr>
        </w:div>
        <w:div w:id="1016620643">
          <w:marLeft w:val="0"/>
          <w:marRight w:val="0"/>
          <w:marTop w:val="0"/>
          <w:marBottom w:val="0"/>
          <w:divBdr>
            <w:top w:val="none" w:sz="0" w:space="0" w:color="auto"/>
            <w:left w:val="none" w:sz="0" w:space="0" w:color="auto"/>
            <w:bottom w:val="none" w:sz="0" w:space="0" w:color="auto"/>
            <w:right w:val="none" w:sz="0" w:space="0" w:color="auto"/>
          </w:divBdr>
        </w:div>
        <w:div w:id="1029376253">
          <w:marLeft w:val="0"/>
          <w:marRight w:val="0"/>
          <w:marTop w:val="0"/>
          <w:marBottom w:val="0"/>
          <w:divBdr>
            <w:top w:val="none" w:sz="0" w:space="0" w:color="auto"/>
            <w:left w:val="none" w:sz="0" w:space="0" w:color="auto"/>
            <w:bottom w:val="none" w:sz="0" w:space="0" w:color="auto"/>
            <w:right w:val="none" w:sz="0" w:space="0" w:color="auto"/>
          </w:divBdr>
        </w:div>
        <w:div w:id="1037118536">
          <w:marLeft w:val="0"/>
          <w:marRight w:val="0"/>
          <w:marTop w:val="0"/>
          <w:marBottom w:val="0"/>
          <w:divBdr>
            <w:top w:val="none" w:sz="0" w:space="0" w:color="auto"/>
            <w:left w:val="none" w:sz="0" w:space="0" w:color="auto"/>
            <w:bottom w:val="none" w:sz="0" w:space="0" w:color="auto"/>
            <w:right w:val="none" w:sz="0" w:space="0" w:color="auto"/>
          </w:divBdr>
        </w:div>
        <w:div w:id="1053235955">
          <w:marLeft w:val="0"/>
          <w:marRight w:val="0"/>
          <w:marTop w:val="0"/>
          <w:marBottom w:val="0"/>
          <w:divBdr>
            <w:top w:val="none" w:sz="0" w:space="0" w:color="auto"/>
            <w:left w:val="none" w:sz="0" w:space="0" w:color="auto"/>
            <w:bottom w:val="none" w:sz="0" w:space="0" w:color="auto"/>
            <w:right w:val="none" w:sz="0" w:space="0" w:color="auto"/>
          </w:divBdr>
        </w:div>
        <w:div w:id="1055276118">
          <w:marLeft w:val="0"/>
          <w:marRight w:val="0"/>
          <w:marTop w:val="0"/>
          <w:marBottom w:val="0"/>
          <w:divBdr>
            <w:top w:val="none" w:sz="0" w:space="0" w:color="auto"/>
            <w:left w:val="none" w:sz="0" w:space="0" w:color="auto"/>
            <w:bottom w:val="none" w:sz="0" w:space="0" w:color="auto"/>
            <w:right w:val="none" w:sz="0" w:space="0" w:color="auto"/>
          </w:divBdr>
        </w:div>
        <w:div w:id="1056390465">
          <w:marLeft w:val="0"/>
          <w:marRight w:val="0"/>
          <w:marTop w:val="0"/>
          <w:marBottom w:val="0"/>
          <w:divBdr>
            <w:top w:val="none" w:sz="0" w:space="0" w:color="auto"/>
            <w:left w:val="none" w:sz="0" w:space="0" w:color="auto"/>
            <w:bottom w:val="none" w:sz="0" w:space="0" w:color="auto"/>
            <w:right w:val="none" w:sz="0" w:space="0" w:color="auto"/>
          </w:divBdr>
        </w:div>
        <w:div w:id="1064062141">
          <w:marLeft w:val="0"/>
          <w:marRight w:val="0"/>
          <w:marTop w:val="0"/>
          <w:marBottom w:val="0"/>
          <w:divBdr>
            <w:top w:val="none" w:sz="0" w:space="0" w:color="auto"/>
            <w:left w:val="none" w:sz="0" w:space="0" w:color="auto"/>
            <w:bottom w:val="none" w:sz="0" w:space="0" w:color="auto"/>
            <w:right w:val="none" w:sz="0" w:space="0" w:color="auto"/>
          </w:divBdr>
        </w:div>
        <w:div w:id="1066806294">
          <w:marLeft w:val="0"/>
          <w:marRight w:val="0"/>
          <w:marTop w:val="0"/>
          <w:marBottom w:val="0"/>
          <w:divBdr>
            <w:top w:val="none" w:sz="0" w:space="0" w:color="auto"/>
            <w:left w:val="none" w:sz="0" w:space="0" w:color="auto"/>
            <w:bottom w:val="none" w:sz="0" w:space="0" w:color="auto"/>
            <w:right w:val="none" w:sz="0" w:space="0" w:color="auto"/>
          </w:divBdr>
        </w:div>
        <w:div w:id="1067262445">
          <w:marLeft w:val="0"/>
          <w:marRight w:val="0"/>
          <w:marTop w:val="0"/>
          <w:marBottom w:val="0"/>
          <w:divBdr>
            <w:top w:val="none" w:sz="0" w:space="0" w:color="auto"/>
            <w:left w:val="none" w:sz="0" w:space="0" w:color="auto"/>
            <w:bottom w:val="none" w:sz="0" w:space="0" w:color="auto"/>
            <w:right w:val="none" w:sz="0" w:space="0" w:color="auto"/>
          </w:divBdr>
        </w:div>
        <w:div w:id="1070881647">
          <w:marLeft w:val="0"/>
          <w:marRight w:val="0"/>
          <w:marTop w:val="0"/>
          <w:marBottom w:val="0"/>
          <w:divBdr>
            <w:top w:val="none" w:sz="0" w:space="0" w:color="auto"/>
            <w:left w:val="none" w:sz="0" w:space="0" w:color="auto"/>
            <w:bottom w:val="none" w:sz="0" w:space="0" w:color="auto"/>
            <w:right w:val="none" w:sz="0" w:space="0" w:color="auto"/>
          </w:divBdr>
        </w:div>
        <w:div w:id="1070999373">
          <w:marLeft w:val="0"/>
          <w:marRight w:val="0"/>
          <w:marTop w:val="0"/>
          <w:marBottom w:val="0"/>
          <w:divBdr>
            <w:top w:val="none" w:sz="0" w:space="0" w:color="auto"/>
            <w:left w:val="none" w:sz="0" w:space="0" w:color="auto"/>
            <w:bottom w:val="none" w:sz="0" w:space="0" w:color="auto"/>
            <w:right w:val="none" w:sz="0" w:space="0" w:color="auto"/>
          </w:divBdr>
        </w:div>
        <w:div w:id="1076517009">
          <w:marLeft w:val="0"/>
          <w:marRight w:val="0"/>
          <w:marTop w:val="0"/>
          <w:marBottom w:val="0"/>
          <w:divBdr>
            <w:top w:val="none" w:sz="0" w:space="0" w:color="auto"/>
            <w:left w:val="none" w:sz="0" w:space="0" w:color="auto"/>
            <w:bottom w:val="none" w:sz="0" w:space="0" w:color="auto"/>
            <w:right w:val="none" w:sz="0" w:space="0" w:color="auto"/>
          </w:divBdr>
        </w:div>
        <w:div w:id="1082213498">
          <w:marLeft w:val="0"/>
          <w:marRight w:val="0"/>
          <w:marTop w:val="0"/>
          <w:marBottom w:val="0"/>
          <w:divBdr>
            <w:top w:val="none" w:sz="0" w:space="0" w:color="auto"/>
            <w:left w:val="none" w:sz="0" w:space="0" w:color="auto"/>
            <w:bottom w:val="none" w:sz="0" w:space="0" w:color="auto"/>
            <w:right w:val="none" w:sz="0" w:space="0" w:color="auto"/>
          </w:divBdr>
        </w:div>
        <w:div w:id="1082529805">
          <w:marLeft w:val="0"/>
          <w:marRight w:val="0"/>
          <w:marTop w:val="0"/>
          <w:marBottom w:val="0"/>
          <w:divBdr>
            <w:top w:val="none" w:sz="0" w:space="0" w:color="auto"/>
            <w:left w:val="none" w:sz="0" w:space="0" w:color="auto"/>
            <w:bottom w:val="none" w:sz="0" w:space="0" w:color="auto"/>
            <w:right w:val="none" w:sz="0" w:space="0" w:color="auto"/>
          </w:divBdr>
        </w:div>
        <w:div w:id="1109083904">
          <w:marLeft w:val="0"/>
          <w:marRight w:val="0"/>
          <w:marTop w:val="0"/>
          <w:marBottom w:val="0"/>
          <w:divBdr>
            <w:top w:val="none" w:sz="0" w:space="0" w:color="auto"/>
            <w:left w:val="none" w:sz="0" w:space="0" w:color="auto"/>
            <w:bottom w:val="none" w:sz="0" w:space="0" w:color="auto"/>
            <w:right w:val="none" w:sz="0" w:space="0" w:color="auto"/>
          </w:divBdr>
        </w:div>
        <w:div w:id="1110517148">
          <w:marLeft w:val="0"/>
          <w:marRight w:val="0"/>
          <w:marTop w:val="0"/>
          <w:marBottom w:val="0"/>
          <w:divBdr>
            <w:top w:val="none" w:sz="0" w:space="0" w:color="auto"/>
            <w:left w:val="none" w:sz="0" w:space="0" w:color="auto"/>
            <w:bottom w:val="none" w:sz="0" w:space="0" w:color="auto"/>
            <w:right w:val="none" w:sz="0" w:space="0" w:color="auto"/>
          </w:divBdr>
        </w:div>
        <w:div w:id="1116559832">
          <w:marLeft w:val="0"/>
          <w:marRight w:val="0"/>
          <w:marTop w:val="0"/>
          <w:marBottom w:val="0"/>
          <w:divBdr>
            <w:top w:val="none" w:sz="0" w:space="0" w:color="auto"/>
            <w:left w:val="none" w:sz="0" w:space="0" w:color="auto"/>
            <w:bottom w:val="none" w:sz="0" w:space="0" w:color="auto"/>
            <w:right w:val="none" w:sz="0" w:space="0" w:color="auto"/>
          </w:divBdr>
        </w:div>
        <w:div w:id="1127351422">
          <w:marLeft w:val="0"/>
          <w:marRight w:val="0"/>
          <w:marTop w:val="0"/>
          <w:marBottom w:val="0"/>
          <w:divBdr>
            <w:top w:val="none" w:sz="0" w:space="0" w:color="auto"/>
            <w:left w:val="none" w:sz="0" w:space="0" w:color="auto"/>
            <w:bottom w:val="none" w:sz="0" w:space="0" w:color="auto"/>
            <w:right w:val="none" w:sz="0" w:space="0" w:color="auto"/>
          </w:divBdr>
        </w:div>
        <w:div w:id="1136878959">
          <w:marLeft w:val="0"/>
          <w:marRight w:val="0"/>
          <w:marTop w:val="0"/>
          <w:marBottom w:val="0"/>
          <w:divBdr>
            <w:top w:val="none" w:sz="0" w:space="0" w:color="auto"/>
            <w:left w:val="none" w:sz="0" w:space="0" w:color="auto"/>
            <w:bottom w:val="none" w:sz="0" w:space="0" w:color="auto"/>
            <w:right w:val="none" w:sz="0" w:space="0" w:color="auto"/>
          </w:divBdr>
        </w:div>
        <w:div w:id="1137912406">
          <w:marLeft w:val="0"/>
          <w:marRight w:val="0"/>
          <w:marTop w:val="0"/>
          <w:marBottom w:val="0"/>
          <w:divBdr>
            <w:top w:val="none" w:sz="0" w:space="0" w:color="auto"/>
            <w:left w:val="none" w:sz="0" w:space="0" w:color="auto"/>
            <w:bottom w:val="none" w:sz="0" w:space="0" w:color="auto"/>
            <w:right w:val="none" w:sz="0" w:space="0" w:color="auto"/>
          </w:divBdr>
        </w:div>
        <w:div w:id="1139029893">
          <w:marLeft w:val="0"/>
          <w:marRight w:val="0"/>
          <w:marTop w:val="0"/>
          <w:marBottom w:val="0"/>
          <w:divBdr>
            <w:top w:val="none" w:sz="0" w:space="0" w:color="auto"/>
            <w:left w:val="none" w:sz="0" w:space="0" w:color="auto"/>
            <w:bottom w:val="none" w:sz="0" w:space="0" w:color="auto"/>
            <w:right w:val="none" w:sz="0" w:space="0" w:color="auto"/>
          </w:divBdr>
        </w:div>
        <w:div w:id="1141852365">
          <w:marLeft w:val="0"/>
          <w:marRight w:val="0"/>
          <w:marTop w:val="0"/>
          <w:marBottom w:val="0"/>
          <w:divBdr>
            <w:top w:val="none" w:sz="0" w:space="0" w:color="auto"/>
            <w:left w:val="none" w:sz="0" w:space="0" w:color="auto"/>
            <w:bottom w:val="none" w:sz="0" w:space="0" w:color="auto"/>
            <w:right w:val="none" w:sz="0" w:space="0" w:color="auto"/>
          </w:divBdr>
        </w:div>
        <w:div w:id="1141924671">
          <w:marLeft w:val="0"/>
          <w:marRight w:val="0"/>
          <w:marTop w:val="0"/>
          <w:marBottom w:val="0"/>
          <w:divBdr>
            <w:top w:val="none" w:sz="0" w:space="0" w:color="auto"/>
            <w:left w:val="none" w:sz="0" w:space="0" w:color="auto"/>
            <w:bottom w:val="none" w:sz="0" w:space="0" w:color="auto"/>
            <w:right w:val="none" w:sz="0" w:space="0" w:color="auto"/>
          </w:divBdr>
        </w:div>
        <w:div w:id="1160732792">
          <w:marLeft w:val="0"/>
          <w:marRight w:val="0"/>
          <w:marTop w:val="0"/>
          <w:marBottom w:val="0"/>
          <w:divBdr>
            <w:top w:val="none" w:sz="0" w:space="0" w:color="auto"/>
            <w:left w:val="none" w:sz="0" w:space="0" w:color="auto"/>
            <w:bottom w:val="none" w:sz="0" w:space="0" w:color="auto"/>
            <w:right w:val="none" w:sz="0" w:space="0" w:color="auto"/>
          </w:divBdr>
        </w:div>
        <w:div w:id="1164126296">
          <w:marLeft w:val="0"/>
          <w:marRight w:val="0"/>
          <w:marTop w:val="0"/>
          <w:marBottom w:val="0"/>
          <w:divBdr>
            <w:top w:val="none" w:sz="0" w:space="0" w:color="auto"/>
            <w:left w:val="none" w:sz="0" w:space="0" w:color="auto"/>
            <w:bottom w:val="none" w:sz="0" w:space="0" w:color="auto"/>
            <w:right w:val="none" w:sz="0" w:space="0" w:color="auto"/>
          </w:divBdr>
        </w:div>
        <w:div w:id="1167331743">
          <w:marLeft w:val="0"/>
          <w:marRight w:val="0"/>
          <w:marTop w:val="0"/>
          <w:marBottom w:val="0"/>
          <w:divBdr>
            <w:top w:val="none" w:sz="0" w:space="0" w:color="auto"/>
            <w:left w:val="none" w:sz="0" w:space="0" w:color="auto"/>
            <w:bottom w:val="none" w:sz="0" w:space="0" w:color="auto"/>
            <w:right w:val="none" w:sz="0" w:space="0" w:color="auto"/>
          </w:divBdr>
        </w:div>
        <w:div w:id="1167597113">
          <w:marLeft w:val="0"/>
          <w:marRight w:val="0"/>
          <w:marTop w:val="0"/>
          <w:marBottom w:val="0"/>
          <w:divBdr>
            <w:top w:val="none" w:sz="0" w:space="0" w:color="auto"/>
            <w:left w:val="none" w:sz="0" w:space="0" w:color="auto"/>
            <w:bottom w:val="none" w:sz="0" w:space="0" w:color="auto"/>
            <w:right w:val="none" w:sz="0" w:space="0" w:color="auto"/>
          </w:divBdr>
        </w:div>
        <w:div w:id="1172640898">
          <w:marLeft w:val="0"/>
          <w:marRight w:val="0"/>
          <w:marTop w:val="0"/>
          <w:marBottom w:val="0"/>
          <w:divBdr>
            <w:top w:val="none" w:sz="0" w:space="0" w:color="auto"/>
            <w:left w:val="none" w:sz="0" w:space="0" w:color="auto"/>
            <w:bottom w:val="none" w:sz="0" w:space="0" w:color="auto"/>
            <w:right w:val="none" w:sz="0" w:space="0" w:color="auto"/>
          </w:divBdr>
        </w:div>
        <w:div w:id="1173840664">
          <w:marLeft w:val="0"/>
          <w:marRight w:val="0"/>
          <w:marTop w:val="0"/>
          <w:marBottom w:val="0"/>
          <w:divBdr>
            <w:top w:val="none" w:sz="0" w:space="0" w:color="auto"/>
            <w:left w:val="none" w:sz="0" w:space="0" w:color="auto"/>
            <w:bottom w:val="none" w:sz="0" w:space="0" w:color="auto"/>
            <w:right w:val="none" w:sz="0" w:space="0" w:color="auto"/>
          </w:divBdr>
        </w:div>
        <w:div w:id="1182278224">
          <w:marLeft w:val="0"/>
          <w:marRight w:val="0"/>
          <w:marTop w:val="0"/>
          <w:marBottom w:val="0"/>
          <w:divBdr>
            <w:top w:val="none" w:sz="0" w:space="0" w:color="auto"/>
            <w:left w:val="none" w:sz="0" w:space="0" w:color="auto"/>
            <w:bottom w:val="none" w:sz="0" w:space="0" w:color="auto"/>
            <w:right w:val="none" w:sz="0" w:space="0" w:color="auto"/>
          </w:divBdr>
        </w:div>
        <w:div w:id="1182667229">
          <w:marLeft w:val="0"/>
          <w:marRight w:val="0"/>
          <w:marTop w:val="0"/>
          <w:marBottom w:val="0"/>
          <w:divBdr>
            <w:top w:val="none" w:sz="0" w:space="0" w:color="auto"/>
            <w:left w:val="none" w:sz="0" w:space="0" w:color="auto"/>
            <w:bottom w:val="none" w:sz="0" w:space="0" w:color="auto"/>
            <w:right w:val="none" w:sz="0" w:space="0" w:color="auto"/>
          </w:divBdr>
        </w:div>
        <w:div w:id="1185054305">
          <w:marLeft w:val="0"/>
          <w:marRight w:val="0"/>
          <w:marTop w:val="0"/>
          <w:marBottom w:val="0"/>
          <w:divBdr>
            <w:top w:val="none" w:sz="0" w:space="0" w:color="auto"/>
            <w:left w:val="none" w:sz="0" w:space="0" w:color="auto"/>
            <w:bottom w:val="none" w:sz="0" w:space="0" w:color="auto"/>
            <w:right w:val="none" w:sz="0" w:space="0" w:color="auto"/>
          </w:divBdr>
        </w:div>
        <w:div w:id="1189023257">
          <w:marLeft w:val="0"/>
          <w:marRight w:val="0"/>
          <w:marTop w:val="0"/>
          <w:marBottom w:val="0"/>
          <w:divBdr>
            <w:top w:val="none" w:sz="0" w:space="0" w:color="auto"/>
            <w:left w:val="none" w:sz="0" w:space="0" w:color="auto"/>
            <w:bottom w:val="none" w:sz="0" w:space="0" w:color="auto"/>
            <w:right w:val="none" w:sz="0" w:space="0" w:color="auto"/>
          </w:divBdr>
        </w:div>
        <w:div w:id="1196622505">
          <w:marLeft w:val="0"/>
          <w:marRight w:val="0"/>
          <w:marTop w:val="0"/>
          <w:marBottom w:val="0"/>
          <w:divBdr>
            <w:top w:val="none" w:sz="0" w:space="0" w:color="auto"/>
            <w:left w:val="none" w:sz="0" w:space="0" w:color="auto"/>
            <w:bottom w:val="none" w:sz="0" w:space="0" w:color="auto"/>
            <w:right w:val="none" w:sz="0" w:space="0" w:color="auto"/>
          </w:divBdr>
        </w:div>
        <w:div w:id="1205946404">
          <w:marLeft w:val="0"/>
          <w:marRight w:val="0"/>
          <w:marTop w:val="0"/>
          <w:marBottom w:val="0"/>
          <w:divBdr>
            <w:top w:val="none" w:sz="0" w:space="0" w:color="auto"/>
            <w:left w:val="none" w:sz="0" w:space="0" w:color="auto"/>
            <w:bottom w:val="none" w:sz="0" w:space="0" w:color="auto"/>
            <w:right w:val="none" w:sz="0" w:space="0" w:color="auto"/>
          </w:divBdr>
        </w:div>
        <w:div w:id="1212615655">
          <w:marLeft w:val="0"/>
          <w:marRight w:val="0"/>
          <w:marTop w:val="0"/>
          <w:marBottom w:val="0"/>
          <w:divBdr>
            <w:top w:val="none" w:sz="0" w:space="0" w:color="auto"/>
            <w:left w:val="none" w:sz="0" w:space="0" w:color="auto"/>
            <w:bottom w:val="none" w:sz="0" w:space="0" w:color="auto"/>
            <w:right w:val="none" w:sz="0" w:space="0" w:color="auto"/>
          </w:divBdr>
        </w:div>
        <w:div w:id="1216233118">
          <w:marLeft w:val="0"/>
          <w:marRight w:val="0"/>
          <w:marTop w:val="0"/>
          <w:marBottom w:val="0"/>
          <w:divBdr>
            <w:top w:val="none" w:sz="0" w:space="0" w:color="auto"/>
            <w:left w:val="none" w:sz="0" w:space="0" w:color="auto"/>
            <w:bottom w:val="none" w:sz="0" w:space="0" w:color="auto"/>
            <w:right w:val="none" w:sz="0" w:space="0" w:color="auto"/>
          </w:divBdr>
        </w:div>
        <w:div w:id="1220942432">
          <w:marLeft w:val="0"/>
          <w:marRight w:val="0"/>
          <w:marTop w:val="0"/>
          <w:marBottom w:val="0"/>
          <w:divBdr>
            <w:top w:val="none" w:sz="0" w:space="0" w:color="auto"/>
            <w:left w:val="none" w:sz="0" w:space="0" w:color="auto"/>
            <w:bottom w:val="none" w:sz="0" w:space="0" w:color="auto"/>
            <w:right w:val="none" w:sz="0" w:space="0" w:color="auto"/>
          </w:divBdr>
        </w:div>
        <w:div w:id="1227692402">
          <w:marLeft w:val="0"/>
          <w:marRight w:val="0"/>
          <w:marTop w:val="0"/>
          <w:marBottom w:val="0"/>
          <w:divBdr>
            <w:top w:val="none" w:sz="0" w:space="0" w:color="auto"/>
            <w:left w:val="none" w:sz="0" w:space="0" w:color="auto"/>
            <w:bottom w:val="none" w:sz="0" w:space="0" w:color="auto"/>
            <w:right w:val="none" w:sz="0" w:space="0" w:color="auto"/>
          </w:divBdr>
        </w:div>
        <w:div w:id="1227839427">
          <w:marLeft w:val="0"/>
          <w:marRight w:val="0"/>
          <w:marTop w:val="0"/>
          <w:marBottom w:val="0"/>
          <w:divBdr>
            <w:top w:val="none" w:sz="0" w:space="0" w:color="auto"/>
            <w:left w:val="none" w:sz="0" w:space="0" w:color="auto"/>
            <w:bottom w:val="none" w:sz="0" w:space="0" w:color="auto"/>
            <w:right w:val="none" w:sz="0" w:space="0" w:color="auto"/>
          </w:divBdr>
        </w:div>
        <w:div w:id="1229345145">
          <w:marLeft w:val="0"/>
          <w:marRight w:val="0"/>
          <w:marTop w:val="0"/>
          <w:marBottom w:val="0"/>
          <w:divBdr>
            <w:top w:val="none" w:sz="0" w:space="0" w:color="auto"/>
            <w:left w:val="none" w:sz="0" w:space="0" w:color="auto"/>
            <w:bottom w:val="none" w:sz="0" w:space="0" w:color="auto"/>
            <w:right w:val="none" w:sz="0" w:space="0" w:color="auto"/>
          </w:divBdr>
        </w:div>
        <w:div w:id="1238323785">
          <w:marLeft w:val="0"/>
          <w:marRight w:val="0"/>
          <w:marTop w:val="0"/>
          <w:marBottom w:val="0"/>
          <w:divBdr>
            <w:top w:val="none" w:sz="0" w:space="0" w:color="auto"/>
            <w:left w:val="none" w:sz="0" w:space="0" w:color="auto"/>
            <w:bottom w:val="none" w:sz="0" w:space="0" w:color="auto"/>
            <w:right w:val="none" w:sz="0" w:space="0" w:color="auto"/>
          </w:divBdr>
        </w:div>
        <w:div w:id="1266420417">
          <w:marLeft w:val="0"/>
          <w:marRight w:val="0"/>
          <w:marTop w:val="0"/>
          <w:marBottom w:val="0"/>
          <w:divBdr>
            <w:top w:val="none" w:sz="0" w:space="0" w:color="auto"/>
            <w:left w:val="none" w:sz="0" w:space="0" w:color="auto"/>
            <w:bottom w:val="none" w:sz="0" w:space="0" w:color="auto"/>
            <w:right w:val="none" w:sz="0" w:space="0" w:color="auto"/>
          </w:divBdr>
        </w:div>
        <w:div w:id="1271860794">
          <w:marLeft w:val="0"/>
          <w:marRight w:val="0"/>
          <w:marTop w:val="0"/>
          <w:marBottom w:val="0"/>
          <w:divBdr>
            <w:top w:val="none" w:sz="0" w:space="0" w:color="auto"/>
            <w:left w:val="none" w:sz="0" w:space="0" w:color="auto"/>
            <w:bottom w:val="none" w:sz="0" w:space="0" w:color="auto"/>
            <w:right w:val="none" w:sz="0" w:space="0" w:color="auto"/>
          </w:divBdr>
        </w:div>
        <w:div w:id="1273628990">
          <w:marLeft w:val="0"/>
          <w:marRight w:val="0"/>
          <w:marTop w:val="0"/>
          <w:marBottom w:val="0"/>
          <w:divBdr>
            <w:top w:val="none" w:sz="0" w:space="0" w:color="auto"/>
            <w:left w:val="none" w:sz="0" w:space="0" w:color="auto"/>
            <w:bottom w:val="none" w:sz="0" w:space="0" w:color="auto"/>
            <w:right w:val="none" w:sz="0" w:space="0" w:color="auto"/>
          </w:divBdr>
        </w:div>
        <w:div w:id="1275673166">
          <w:marLeft w:val="0"/>
          <w:marRight w:val="0"/>
          <w:marTop w:val="0"/>
          <w:marBottom w:val="0"/>
          <w:divBdr>
            <w:top w:val="none" w:sz="0" w:space="0" w:color="auto"/>
            <w:left w:val="none" w:sz="0" w:space="0" w:color="auto"/>
            <w:bottom w:val="none" w:sz="0" w:space="0" w:color="auto"/>
            <w:right w:val="none" w:sz="0" w:space="0" w:color="auto"/>
          </w:divBdr>
        </w:div>
        <w:div w:id="1278610179">
          <w:marLeft w:val="0"/>
          <w:marRight w:val="0"/>
          <w:marTop w:val="0"/>
          <w:marBottom w:val="0"/>
          <w:divBdr>
            <w:top w:val="none" w:sz="0" w:space="0" w:color="auto"/>
            <w:left w:val="none" w:sz="0" w:space="0" w:color="auto"/>
            <w:bottom w:val="none" w:sz="0" w:space="0" w:color="auto"/>
            <w:right w:val="none" w:sz="0" w:space="0" w:color="auto"/>
          </w:divBdr>
        </w:div>
        <w:div w:id="1291477017">
          <w:marLeft w:val="0"/>
          <w:marRight w:val="0"/>
          <w:marTop w:val="0"/>
          <w:marBottom w:val="0"/>
          <w:divBdr>
            <w:top w:val="none" w:sz="0" w:space="0" w:color="auto"/>
            <w:left w:val="none" w:sz="0" w:space="0" w:color="auto"/>
            <w:bottom w:val="none" w:sz="0" w:space="0" w:color="auto"/>
            <w:right w:val="none" w:sz="0" w:space="0" w:color="auto"/>
          </w:divBdr>
        </w:div>
        <w:div w:id="1300458035">
          <w:marLeft w:val="0"/>
          <w:marRight w:val="0"/>
          <w:marTop w:val="0"/>
          <w:marBottom w:val="0"/>
          <w:divBdr>
            <w:top w:val="none" w:sz="0" w:space="0" w:color="auto"/>
            <w:left w:val="none" w:sz="0" w:space="0" w:color="auto"/>
            <w:bottom w:val="none" w:sz="0" w:space="0" w:color="auto"/>
            <w:right w:val="none" w:sz="0" w:space="0" w:color="auto"/>
          </w:divBdr>
        </w:div>
        <w:div w:id="1307515551">
          <w:marLeft w:val="0"/>
          <w:marRight w:val="0"/>
          <w:marTop w:val="0"/>
          <w:marBottom w:val="0"/>
          <w:divBdr>
            <w:top w:val="none" w:sz="0" w:space="0" w:color="auto"/>
            <w:left w:val="none" w:sz="0" w:space="0" w:color="auto"/>
            <w:bottom w:val="none" w:sz="0" w:space="0" w:color="auto"/>
            <w:right w:val="none" w:sz="0" w:space="0" w:color="auto"/>
          </w:divBdr>
        </w:div>
        <w:div w:id="1333798478">
          <w:marLeft w:val="0"/>
          <w:marRight w:val="0"/>
          <w:marTop w:val="0"/>
          <w:marBottom w:val="0"/>
          <w:divBdr>
            <w:top w:val="none" w:sz="0" w:space="0" w:color="auto"/>
            <w:left w:val="none" w:sz="0" w:space="0" w:color="auto"/>
            <w:bottom w:val="none" w:sz="0" w:space="0" w:color="auto"/>
            <w:right w:val="none" w:sz="0" w:space="0" w:color="auto"/>
          </w:divBdr>
        </w:div>
        <w:div w:id="1337919298">
          <w:marLeft w:val="0"/>
          <w:marRight w:val="0"/>
          <w:marTop w:val="0"/>
          <w:marBottom w:val="0"/>
          <w:divBdr>
            <w:top w:val="none" w:sz="0" w:space="0" w:color="auto"/>
            <w:left w:val="none" w:sz="0" w:space="0" w:color="auto"/>
            <w:bottom w:val="none" w:sz="0" w:space="0" w:color="auto"/>
            <w:right w:val="none" w:sz="0" w:space="0" w:color="auto"/>
          </w:divBdr>
        </w:div>
        <w:div w:id="1350258686">
          <w:marLeft w:val="0"/>
          <w:marRight w:val="0"/>
          <w:marTop w:val="0"/>
          <w:marBottom w:val="0"/>
          <w:divBdr>
            <w:top w:val="none" w:sz="0" w:space="0" w:color="auto"/>
            <w:left w:val="none" w:sz="0" w:space="0" w:color="auto"/>
            <w:bottom w:val="none" w:sz="0" w:space="0" w:color="auto"/>
            <w:right w:val="none" w:sz="0" w:space="0" w:color="auto"/>
          </w:divBdr>
        </w:div>
        <w:div w:id="1370836231">
          <w:marLeft w:val="0"/>
          <w:marRight w:val="0"/>
          <w:marTop w:val="0"/>
          <w:marBottom w:val="0"/>
          <w:divBdr>
            <w:top w:val="none" w:sz="0" w:space="0" w:color="auto"/>
            <w:left w:val="none" w:sz="0" w:space="0" w:color="auto"/>
            <w:bottom w:val="none" w:sz="0" w:space="0" w:color="auto"/>
            <w:right w:val="none" w:sz="0" w:space="0" w:color="auto"/>
          </w:divBdr>
        </w:div>
        <w:div w:id="1377315149">
          <w:marLeft w:val="0"/>
          <w:marRight w:val="0"/>
          <w:marTop w:val="0"/>
          <w:marBottom w:val="0"/>
          <w:divBdr>
            <w:top w:val="none" w:sz="0" w:space="0" w:color="auto"/>
            <w:left w:val="none" w:sz="0" w:space="0" w:color="auto"/>
            <w:bottom w:val="none" w:sz="0" w:space="0" w:color="auto"/>
            <w:right w:val="none" w:sz="0" w:space="0" w:color="auto"/>
          </w:divBdr>
        </w:div>
        <w:div w:id="1408070562">
          <w:marLeft w:val="0"/>
          <w:marRight w:val="0"/>
          <w:marTop w:val="0"/>
          <w:marBottom w:val="0"/>
          <w:divBdr>
            <w:top w:val="none" w:sz="0" w:space="0" w:color="auto"/>
            <w:left w:val="none" w:sz="0" w:space="0" w:color="auto"/>
            <w:bottom w:val="none" w:sz="0" w:space="0" w:color="auto"/>
            <w:right w:val="none" w:sz="0" w:space="0" w:color="auto"/>
          </w:divBdr>
        </w:div>
        <w:div w:id="1428190107">
          <w:marLeft w:val="0"/>
          <w:marRight w:val="0"/>
          <w:marTop w:val="0"/>
          <w:marBottom w:val="0"/>
          <w:divBdr>
            <w:top w:val="none" w:sz="0" w:space="0" w:color="auto"/>
            <w:left w:val="none" w:sz="0" w:space="0" w:color="auto"/>
            <w:bottom w:val="none" w:sz="0" w:space="0" w:color="auto"/>
            <w:right w:val="none" w:sz="0" w:space="0" w:color="auto"/>
          </w:divBdr>
        </w:div>
        <w:div w:id="1428963962">
          <w:marLeft w:val="-75"/>
          <w:marRight w:val="0"/>
          <w:marTop w:val="30"/>
          <w:marBottom w:val="30"/>
          <w:divBdr>
            <w:top w:val="none" w:sz="0" w:space="0" w:color="auto"/>
            <w:left w:val="none" w:sz="0" w:space="0" w:color="auto"/>
            <w:bottom w:val="none" w:sz="0" w:space="0" w:color="auto"/>
            <w:right w:val="none" w:sz="0" w:space="0" w:color="auto"/>
          </w:divBdr>
          <w:divsChild>
            <w:div w:id="1462770754">
              <w:marLeft w:val="0"/>
              <w:marRight w:val="0"/>
              <w:marTop w:val="0"/>
              <w:marBottom w:val="0"/>
              <w:divBdr>
                <w:top w:val="none" w:sz="0" w:space="0" w:color="auto"/>
                <w:left w:val="none" w:sz="0" w:space="0" w:color="auto"/>
                <w:bottom w:val="none" w:sz="0" w:space="0" w:color="auto"/>
                <w:right w:val="none" w:sz="0" w:space="0" w:color="auto"/>
              </w:divBdr>
              <w:divsChild>
                <w:div w:id="564685640">
                  <w:marLeft w:val="0"/>
                  <w:marRight w:val="0"/>
                  <w:marTop w:val="0"/>
                  <w:marBottom w:val="0"/>
                  <w:divBdr>
                    <w:top w:val="none" w:sz="0" w:space="0" w:color="auto"/>
                    <w:left w:val="none" w:sz="0" w:space="0" w:color="auto"/>
                    <w:bottom w:val="none" w:sz="0" w:space="0" w:color="auto"/>
                    <w:right w:val="none" w:sz="0" w:space="0" w:color="auto"/>
                  </w:divBdr>
                </w:div>
                <w:div w:id="1272974905">
                  <w:marLeft w:val="0"/>
                  <w:marRight w:val="0"/>
                  <w:marTop w:val="0"/>
                  <w:marBottom w:val="0"/>
                  <w:divBdr>
                    <w:top w:val="none" w:sz="0" w:space="0" w:color="auto"/>
                    <w:left w:val="none" w:sz="0" w:space="0" w:color="auto"/>
                    <w:bottom w:val="none" w:sz="0" w:space="0" w:color="auto"/>
                    <w:right w:val="none" w:sz="0" w:space="0" w:color="auto"/>
                  </w:divBdr>
                </w:div>
                <w:div w:id="2010980173">
                  <w:marLeft w:val="0"/>
                  <w:marRight w:val="0"/>
                  <w:marTop w:val="0"/>
                  <w:marBottom w:val="0"/>
                  <w:divBdr>
                    <w:top w:val="none" w:sz="0" w:space="0" w:color="auto"/>
                    <w:left w:val="none" w:sz="0" w:space="0" w:color="auto"/>
                    <w:bottom w:val="none" w:sz="0" w:space="0" w:color="auto"/>
                    <w:right w:val="none" w:sz="0" w:space="0" w:color="auto"/>
                  </w:divBdr>
                </w:div>
              </w:divsChild>
            </w:div>
            <w:div w:id="1508059686">
              <w:marLeft w:val="0"/>
              <w:marRight w:val="0"/>
              <w:marTop w:val="0"/>
              <w:marBottom w:val="0"/>
              <w:divBdr>
                <w:top w:val="none" w:sz="0" w:space="0" w:color="auto"/>
                <w:left w:val="none" w:sz="0" w:space="0" w:color="auto"/>
                <w:bottom w:val="none" w:sz="0" w:space="0" w:color="auto"/>
                <w:right w:val="none" w:sz="0" w:space="0" w:color="auto"/>
              </w:divBdr>
              <w:divsChild>
                <w:div w:id="6432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6353">
          <w:marLeft w:val="0"/>
          <w:marRight w:val="0"/>
          <w:marTop w:val="0"/>
          <w:marBottom w:val="0"/>
          <w:divBdr>
            <w:top w:val="none" w:sz="0" w:space="0" w:color="auto"/>
            <w:left w:val="none" w:sz="0" w:space="0" w:color="auto"/>
            <w:bottom w:val="none" w:sz="0" w:space="0" w:color="auto"/>
            <w:right w:val="none" w:sz="0" w:space="0" w:color="auto"/>
          </w:divBdr>
        </w:div>
        <w:div w:id="1429426205">
          <w:marLeft w:val="0"/>
          <w:marRight w:val="0"/>
          <w:marTop w:val="0"/>
          <w:marBottom w:val="0"/>
          <w:divBdr>
            <w:top w:val="none" w:sz="0" w:space="0" w:color="auto"/>
            <w:left w:val="none" w:sz="0" w:space="0" w:color="auto"/>
            <w:bottom w:val="none" w:sz="0" w:space="0" w:color="auto"/>
            <w:right w:val="none" w:sz="0" w:space="0" w:color="auto"/>
          </w:divBdr>
        </w:div>
        <w:div w:id="1437628770">
          <w:marLeft w:val="0"/>
          <w:marRight w:val="0"/>
          <w:marTop w:val="0"/>
          <w:marBottom w:val="0"/>
          <w:divBdr>
            <w:top w:val="none" w:sz="0" w:space="0" w:color="auto"/>
            <w:left w:val="none" w:sz="0" w:space="0" w:color="auto"/>
            <w:bottom w:val="none" w:sz="0" w:space="0" w:color="auto"/>
            <w:right w:val="none" w:sz="0" w:space="0" w:color="auto"/>
          </w:divBdr>
        </w:div>
        <w:div w:id="1462842050">
          <w:marLeft w:val="0"/>
          <w:marRight w:val="0"/>
          <w:marTop w:val="0"/>
          <w:marBottom w:val="0"/>
          <w:divBdr>
            <w:top w:val="none" w:sz="0" w:space="0" w:color="auto"/>
            <w:left w:val="none" w:sz="0" w:space="0" w:color="auto"/>
            <w:bottom w:val="none" w:sz="0" w:space="0" w:color="auto"/>
            <w:right w:val="none" w:sz="0" w:space="0" w:color="auto"/>
          </w:divBdr>
        </w:div>
        <w:div w:id="1463618094">
          <w:marLeft w:val="0"/>
          <w:marRight w:val="0"/>
          <w:marTop w:val="0"/>
          <w:marBottom w:val="0"/>
          <w:divBdr>
            <w:top w:val="none" w:sz="0" w:space="0" w:color="auto"/>
            <w:left w:val="none" w:sz="0" w:space="0" w:color="auto"/>
            <w:bottom w:val="none" w:sz="0" w:space="0" w:color="auto"/>
            <w:right w:val="none" w:sz="0" w:space="0" w:color="auto"/>
          </w:divBdr>
        </w:div>
        <w:div w:id="1466116648">
          <w:marLeft w:val="0"/>
          <w:marRight w:val="0"/>
          <w:marTop w:val="0"/>
          <w:marBottom w:val="0"/>
          <w:divBdr>
            <w:top w:val="none" w:sz="0" w:space="0" w:color="auto"/>
            <w:left w:val="none" w:sz="0" w:space="0" w:color="auto"/>
            <w:bottom w:val="none" w:sz="0" w:space="0" w:color="auto"/>
            <w:right w:val="none" w:sz="0" w:space="0" w:color="auto"/>
          </w:divBdr>
        </w:div>
        <w:div w:id="1477792533">
          <w:marLeft w:val="0"/>
          <w:marRight w:val="0"/>
          <w:marTop w:val="0"/>
          <w:marBottom w:val="0"/>
          <w:divBdr>
            <w:top w:val="none" w:sz="0" w:space="0" w:color="auto"/>
            <w:left w:val="none" w:sz="0" w:space="0" w:color="auto"/>
            <w:bottom w:val="none" w:sz="0" w:space="0" w:color="auto"/>
            <w:right w:val="none" w:sz="0" w:space="0" w:color="auto"/>
          </w:divBdr>
        </w:div>
        <w:div w:id="1484152671">
          <w:marLeft w:val="0"/>
          <w:marRight w:val="0"/>
          <w:marTop w:val="0"/>
          <w:marBottom w:val="0"/>
          <w:divBdr>
            <w:top w:val="none" w:sz="0" w:space="0" w:color="auto"/>
            <w:left w:val="none" w:sz="0" w:space="0" w:color="auto"/>
            <w:bottom w:val="none" w:sz="0" w:space="0" w:color="auto"/>
            <w:right w:val="none" w:sz="0" w:space="0" w:color="auto"/>
          </w:divBdr>
        </w:div>
        <w:div w:id="1486776600">
          <w:marLeft w:val="0"/>
          <w:marRight w:val="0"/>
          <w:marTop w:val="0"/>
          <w:marBottom w:val="0"/>
          <w:divBdr>
            <w:top w:val="none" w:sz="0" w:space="0" w:color="auto"/>
            <w:left w:val="none" w:sz="0" w:space="0" w:color="auto"/>
            <w:bottom w:val="none" w:sz="0" w:space="0" w:color="auto"/>
            <w:right w:val="none" w:sz="0" w:space="0" w:color="auto"/>
          </w:divBdr>
        </w:div>
        <w:div w:id="1487089211">
          <w:marLeft w:val="0"/>
          <w:marRight w:val="0"/>
          <w:marTop w:val="0"/>
          <w:marBottom w:val="0"/>
          <w:divBdr>
            <w:top w:val="none" w:sz="0" w:space="0" w:color="auto"/>
            <w:left w:val="none" w:sz="0" w:space="0" w:color="auto"/>
            <w:bottom w:val="none" w:sz="0" w:space="0" w:color="auto"/>
            <w:right w:val="none" w:sz="0" w:space="0" w:color="auto"/>
          </w:divBdr>
        </w:div>
        <w:div w:id="1490050452">
          <w:marLeft w:val="0"/>
          <w:marRight w:val="0"/>
          <w:marTop w:val="0"/>
          <w:marBottom w:val="0"/>
          <w:divBdr>
            <w:top w:val="none" w:sz="0" w:space="0" w:color="auto"/>
            <w:left w:val="none" w:sz="0" w:space="0" w:color="auto"/>
            <w:bottom w:val="none" w:sz="0" w:space="0" w:color="auto"/>
            <w:right w:val="none" w:sz="0" w:space="0" w:color="auto"/>
          </w:divBdr>
        </w:div>
        <w:div w:id="1493984800">
          <w:marLeft w:val="0"/>
          <w:marRight w:val="0"/>
          <w:marTop w:val="0"/>
          <w:marBottom w:val="0"/>
          <w:divBdr>
            <w:top w:val="none" w:sz="0" w:space="0" w:color="auto"/>
            <w:left w:val="none" w:sz="0" w:space="0" w:color="auto"/>
            <w:bottom w:val="none" w:sz="0" w:space="0" w:color="auto"/>
            <w:right w:val="none" w:sz="0" w:space="0" w:color="auto"/>
          </w:divBdr>
        </w:div>
        <w:div w:id="1499805683">
          <w:marLeft w:val="0"/>
          <w:marRight w:val="0"/>
          <w:marTop w:val="0"/>
          <w:marBottom w:val="0"/>
          <w:divBdr>
            <w:top w:val="none" w:sz="0" w:space="0" w:color="auto"/>
            <w:left w:val="none" w:sz="0" w:space="0" w:color="auto"/>
            <w:bottom w:val="none" w:sz="0" w:space="0" w:color="auto"/>
            <w:right w:val="none" w:sz="0" w:space="0" w:color="auto"/>
          </w:divBdr>
        </w:div>
        <w:div w:id="1500582292">
          <w:marLeft w:val="0"/>
          <w:marRight w:val="0"/>
          <w:marTop w:val="0"/>
          <w:marBottom w:val="0"/>
          <w:divBdr>
            <w:top w:val="none" w:sz="0" w:space="0" w:color="auto"/>
            <w:left w:val="none" w:sz="0" w:space="0" w:color="auto"/>
            <w:bottom w:val="none" w:sz="0" w:space="0" w:color="auto"/>
            <w:right w:val="none" w:sz="0" w:space="0" w:color="auto"/>
          </w:divBdr>
        </w:div>
        <w:div w:id="1503858212">
          <w:marLeft w:val="0"/>
          <w:marRight w:val="0"/>
          <w:marTop w:val="0"/>
          <w:marBottom w:val="0"/>
          <w:divBdr>
            <w:top w:val="none" w:sz="0" w:space="0" w:color="auto"/>
            <w:left w:val="none" w:sz="0" w:space="0" w:color="auto"/>
            <w:bottom w:val="none" w:sz="0" w:space="0" w:color="auto"/>
            <w:right w:val="none" w:sz="0" w:space="0" w:color="auto"/>
          </w:divBdr>
        </w:div>
        <w:div w:id="1513492074">
          <w:marLeft w:val="0"/>
          <w:marRight w:val="0"/>
          <w:marTop w:val="0"/>
          <w:marBottom w:val="0"/>
          <w:divBdr>
            <w:top w:val="none" w:sz="0" w:space="0" w:color="auto"/>
            <w:left w:val="none" w:sz="0" w:space="0" w:color="auto"/>
            <w:bottom w:val="none" w:sz="0" w:space="0" w:color="auto"/>
            <w:right w:val="none" w:sz="0" w:space="0" w:color="auto"/>
          </w:divBdr>
        </w:div>
        <w:div w:id="1513645380">
          <w:marLeft w:val="0"/>
          <w:marRight w:val="0"/>
          <w:marTop w:val="0"/>
          <w:marBottom w:val="0"/>
          <w:divBdr>
            <w:top w:val="none" w:sz="0" w:space="0" w:color="auto"/>
            <w:left w:val="none" w:sz="0" w:space="0" w:color="auto"/>
            <w:bottom w:val="none" w:sz="0" w:space="0" w:color="auto"/>
            <w:right w:val="none" w:sz="0" w:space="0" w:color="auto"/>
          </w:divBdr>
        </w:div>
        <w:div w:id="1514223799">
          <w:marLeft w:val="0"/>
          <w:marRight w:val="0"/>
          <w:marTop w:val="0"/>
          <w:marBottom w:val="0"/>
          <w:divBdr>
            <w:top w:val="none" w:sz="0" w:space="0" w:color="auto"/>
            <w:left w:val="none" w:sz="0" w:space="0" w:color="auto"/>
            <w:bottom w:val="none" w:sz="0" w:space="0" w:color="auto"/>
            <w:right w:val="none" w:sz="0" w:space="0" w:color="auto"/>
          </w:divBdr>
        </w:div>
        <w:div w:id="1519808163">
          <w:marLeft w:val="0"/>
          <w:marRight w:val="0"/>
          <w:marTop w:val="0"/>
          <w:marBottom w:val="0"/>
          <w:divBdr>
            <w:top w:val="none" w:sz="0" w:space="0" w:color="auto"/>
            <w:left w:val="none" w:sz="0" w:space="0" w:color="auto"/>
            <w:bottom w:val="none" w:sz="0" w:space="0" w:color="auto"/>
            <w:right w:val="none" w:sz="0" w:space="0" w:color="auto"/>
          </w:divBdr>
        </w:div>
        <w:div w:id="1542552738">
          <w:marLeft w:val="0"/>
          <w:marRight w:val="0"/>
          <w:marTop w:val="0"/>
          <w:marBottom w:val="0"/>
          <w:divBdr>
            <w:top w:val="none" w:sz="0" w:space="0" w:color="auto"/>
            <w:left w:val="none" w:sz="0" w:space="0" w:color="auto"/>
            <w:bottom w:val="none" w:sz="0" w:space="0" w:color="auto"/>
            <w:right w:val="none" w:sz="0" w:space="0" w:color="auto"/>
          </w:divBdr>
        </w:div>
        <w:div w:id="1550145272">
          <w:marLeft w:val="0"/>
          <w:marRight w:val="0"/>
          <w:marTop w:val="0"/>
          <w:marBottom w:val="0"/>
          <w:divBdr>
            <w:top w:val="none" w:sz="0" w:space="0" w:color="auto"/>
            <w:left w:val="none" w:sz="0" w:space="0" w:color="auto"/>
            <w:bottom w:val="none" w:sz="0" w:space="0" w:color="auto"/>
            <w:right w:val="none" w:sz="0" w:space="0" w:color="auto"/>
          </w:divBdr>
        </w:div>
        <w:div w:id="1551765858">
          <w:marLeft w:val="-75"/>
          <w:marRight w:val="0"/>
          <w:marTop w:val="30"/>
          <w:marBottom w:val="30"/>
          <w:divBdr>
            <w:top w:val="none" w:sz="0" w:space="0" w:color="auto"/>
            <w:left w:val="none" w:sz="0" w:space="0" w:color="auto"/>
            <w:bottom w:val="none" w:sz="0" w:space="0" w:color="auto"/>
            <w:right w:val="none" w:sz="0" w:space="0" w:color="auto"/>
          </w:divBdr>
          <w:divsChild>
            <w:div w:id="66733397">
              <w:marLeft w:val="0"/>
              <w:marRight w:val="0"/>
              <w:marTop w:val="0"/>
              <w:marBottom w:val="0"/>
              <w:divBdr>
                <w:top w:val="none" w:sz="0" w:space="0" w:color="auto"/>
                <w:left w:val="none" w:sz="0" w:space="0" w:color="auto"/>
                <w:bottom w:val="none" w:sz="0" w:space="0" w:color="auto"/>
                <w:right w:val="none" w:sz="0" w:space="0" w:color="auto"/>
              </w:divBdr>
              <w:divsChild>
                <w:div w:id="81610397">
                  <w:marLeft w:val="0"/>
                  <w:marRight w:val="0"/>
                  <w:marTop w:val="0"/>
                  <w:marBottom w:val="0"/>
                  <w:divBdr>
                    <w:top w:val="none" w:sz="0" w:space="0" w:color="auto"/>
                    <w:left w:val="none" w:sz="0" w:space="0" w:color="auto"/>
                    <w:bottom w:val="none" w:sz="0" w:space="0" w:color="auto"/>
                    <w:right w:val="none" w:sz="0" w:space="0" w:color="auto"/>
                  </w:divBdr>
                </w:div>
              </w:divsChild>
            </w:div>
            <w:div w:id="73163626">
              <w:marLeft w:val="0"/>
              <w:marRight w:val="0"/>
              <w:marTop w:val="0"/>
              <w:marBottom w:val="0"/>
              <w:divBdr>
                <w:top w:val="none" w:sz="0" w:space="0" w:color="auto"/>
                <w:left w:val="none" w:sz="0" w:space="0" w:color="auto"/>
                <w:bottom w:val="none" w:sz="0" w:space="0" w:color="auto"/>
                <w:right w:val="none" w:sz="0" w:space="0" w:color="auto"/>
              </w:divBdr>
              <w:divsChild>
                <w:div w:id="1792825300">
                  <w:marLeft w:val="0"/>
                  <w:marRight w:val="0"/>
                  <w:marTop w:val="0"/>
                  <w:marBottom w:val="0"/>
                  <w:divBdr>
                    <w:top w:val="none" w:sz="0" w:space="0" w:color="auto"/>
                    <w:left w:val="none" w:sz="0" w:space="0" w:color="auto"/>
                    <w:bottom w:val="none" w:sz="0" w:space="0" w:color="auto"/>
                    <w:right w:val="none" w:sz="0" w:space="0" w:color="auto"/>
                  </w:divBdr>
                </w:div>
              </w:divsChild>
            </w:div>
            <w:div w:id="86579434">
              <w:marLeft w:val="0"/>
              <w:marRight w:val="0"/>
              <w:marTop w:val="0"/>
              <w:marBottom w:val="0"/>
              <w:divBdr>
                <w:top w:val="none" w:sz="0" w:space="0" w:color="auto"/>
                <w:left w:val="none" w:sz="0" w:space="0" w:color="auto"/>
                <w:bottom w:val="none" w:sz="0" w:space="0" w:color="auto"/>
                <w:right w:val="none" w:sz="0" w:space="0" w:color="auto"/>
              </w:divBdr>
              <w:divsChild>
                <w:div w:id="1874272058">
                  <w:marLeft w:val="0"/>
                  <w:marRight w:val="0"/>
                  <w:marTop w:val="0"/>
                  <w:marBottom w:val="0"/>
                  <w:divBdr>
                    <w:top w:val="none" w:sz="0" w:space="0" w:color="auto"/>
                    <w:left w:val="none" w:sz="0" w:space="0" w:color="auto"/>
                    <w:bottom w:val="none" w:sz="0" w:space="0" w:color="auto"/>
                    <w:right w:val="none" w:sz="0" w:space="0" w:color="auto"/>
                  </w:divBdr>
                </w:div>
              </w:divsChild>
            </w:div>
            <w:div w:id="115027360">
              <w:marLeft w:val="0"/>
              <w:marRight w:val="0"/>
              <w:marTop w:val="0"/>
              <w:marBottom w:val="0"/>
              <w:divBdr>
                <w:top w:val="none" w:sz="0" w:space="0" w:color="auto"/>
                <w:left w:val="none" w:sz="0" w:space="0" w:color="auto"/>
                <w:bottom w:val="none" w:sz="0" w:space="0" w:color="auto"/>
                <w:right w:val="none" w:sz="0" w:space="0" w:color="auto"/>
              </w:divBdr>
              <w:divsChild>
                <w:div w:id="1817263315">
                  <w:marLeft w:val="0"/>
                  <w:marRight w:val="0"/>
                  <w:marTop w:val="0"/>
                  <w:marBottom w:val="0"/>
                  <w:divBdr>
                    <w:top w:val="none" w:sz="0" w:space="0" w:color="auto"/>
                    <w:left w:val="none" w:sz="0" w:space="0" w:color="auto"/>
                    <w:bottom w:val="none" w:sz="0" w:space="0" w:color="auto"/>
                    <w:right w:val="none" w:sz="0" w:space="0" w:color="auto"/>
                  </w:divBdr>
                </w:div>
              </w:divsChild>
            </w:div>
            <w:div w:id="185677957">
              <w:marLeft w:val="0"/>
              <w:marRight w:val="0"/>
              <w:marTop w:val="0"/>
              <w:marBottom w:val="0"/>
              <w:divBdr>
                <w:top w:val="none" w:sz="0" w:space="0" w:color="auto"/>
                <w:left w:val="none" w:sz="0" w:space="0" w:color="auto"/>
                <w:bottom w:val="none" w:sz="0" w:space="0" w:color="auto"/>
                <w:right w:val="none" w:sz="0" w:space="0" w:color="auto"/>
              </w:divBdr>
              <w:divsChild>
                <w:div w:id="658770585">
                  <w:marLeft w:val="0"/>
                  <w:marRight w:val="0"/>
                  <w:marTop w:val="0"/>
                  <w:marBottom w:val="0"/>
                  <w:divBdr>
                    <w:top w:val="none" w:sz="0" w:space="0" w:color="auto"/>
                    <w:left w:val="none" w:sz="0" w:space="0" w:color="auto"/>
                    <w:bottom w:val="none" w:sz="0" w:space="0" w:color="auto"/>
                    <w:right w:val="none" w:sz="0" w:space="0" w:color="auto"/>
                  </w:divBdr>
                </w:div>
              </w:divsChild>
            </w:div>
            <w:div w:id="188226590">
              <w:marLeft w:val="0"/>
              <w:marRight w:val="0"/>
              <w:marTop w:val="0"/>
              <w:marBottom w:val="0"/>
              <w:divBdr>
                <w:top w:val="none" w:sz="0" w:space="0" w:color="auto"/>
                <w:left w:val="none" w:sz="0" w:space="0" w:color="auto"/>
                <w:bottom w:val="none" w:sz="0" w:space="0" w:color="auto"/>
                <w:right w:val="none" w:sz="0" w:space="0" w:color="auto"/>
              </w:divBdr>
              <w:divsChild>
                <w:div w:id="346837502">
                  <w:marLeft w:val="0"/>
                  <w:marRight w:val="0"/>
                  <w:marTop w:val="0"/>
                  <w:marBottom w:val="0"/>
                  <w:divBdr>
                    <w:top w:val="none" w:sz="0" w:space="0" w:color="auto"/>
                    <w:left w:val="none" w:sz="0" w:space="0" w:color="auto"/>
                    <w:bottom w:val="none" w:sz="0" w:space="0" w:color="auto"/>
                    <w:right w:val="none" w:sz="0" w:space="0" w:color="auto"/>
                  </w:divBdr>
                </w:div>
              </w:divsChild>
            </w:div>
            <w:div w:id="199979344">
              <w:marLeft w:val="0"/>
              <w:marRight w:val="0"/>
              <w:marTop w:val="0"/>
              <w:marBottom w:val="0"/>
              <w:divBdr>
                <w:top w:val="none" w:sz="0" w:space="0" w:color="auto"/>
                <w:left w:val="none" w:sz="0" w:space="0" w:color="auto"/>
                <w:bottom w:val="none" w:sz="0" w:space="0" w:color="auto"/>
                <w:right w:val="none" w:sz="0" w:space="0" w:color="auto"/>
              </w:divBdr>
              <w:divsChild>
                <w:div w:id="2052921222">
                  <w:marLeft w:val="0"/>
                  <w:marRight w:val="0"/>
                  <w:marTop w:val="0"/>
                  <w:marBottom w:val="0"/>
                  <w:divBdr>
                    <w:top w:val="none" w:sz="0" w:space="0" w:color="auto"/>
                    <w:left w:val="none" w:sz="0" w:space="0" w:color="auto"/>
                    <w:bottom w:val="none" w:sz="0" w:space="0" w:color="auto"/>
                    <w:right w:val="none" w:sz="0" w:space="0" w:color="auto"/>
                  </w:divBdr>
                </w:div>
              </w:divsChild>
            </w:div>
            <w:div w:id="232981023">
              <w:marLeft w:val="0"/>
              <w:marRight w:val="0"/>
              <w:marTop w:val="0"/>
              <w:marBottom w:val="0"/>
              <w:divBdr>
                <w:top w:val="none" w:sz="0" w:space="0" w:color="auto"/>
                <w:left w:val="none" w:sz="0" w:space="0" w:color="auto"/>
                <w:bottom w:val="none" w:sz="0" w:space="0" w:color="auto"/>
                <w:right w:val="none" w:sz="0" w:space="0" w:color="auto"/>
              </w:divBdr>
              <w:divsChild>
                <w:div w:id="563494236">
                  <w:marLeft w:val="0"/>
                  <w:marRight w:val="0"/>
                  <w:marTop w:val="0"/>
                  <w:marBottom w:val="0"/>
                  <w:divBdr>
                    <w:top w:val="none" w:sz="0" w:space="0" w:color="auto"/>
                    <w:left w:val="none" w:sz="0" w:space="0" w:color="auto"/>
                    <w:bottom w:val="none" w:sz="0" w:space="0" w:color="auto"/>
                    <w:right w:val="none" w:sz="0" w:space="0" w:color="auto"/>
                  </w:divBdr>
                </w:div>
              </w:divsChild>
            </w:div>
            <w:div w:id="255599637">
              <w:marLeft w:val="0"/>
              <w:marRight w:val="0"/>
              <w:marTop w:val="0"/>
              <w:marBottom w:val="0"/>
              <w:divBdr>
                <w:top w:val="none" w:sz="0" w:space="0" w:color="auto"/>
                <w:left w:val="none" w:sz="0" w:space="0" w:color="auto"/>
                <w:bottom w:val="none" w:sz="0" w:space="0" w:color="auto"/>
                <w:right w:val="none" w:sz="0" w:space="0" w:color="auto"/>
              </w:divBdr>
              <w:divsChild>
                <w:div w:id="2129086833">
                  <w:marLeft w:val="0"/>
                  <w:marRight w:val="0"/>
                  <w:marTop w:val="0"/>
                  <w:marBottom w:val="0"/>
                  <w:divBdr>
                    <w:top w:val="none" w:sz="0" w:space="0" w:color="auto"/>
                    <w:left w:val="none" w:sz="0" w:space="0" w:color="auto"/>
                    <w:bottom w:val="none" w:sz="0" w:space="0" w:color="auto"/>
                    <w:right w:val="none" w:sz="0" w:space="0" w:color="auto"/>
                  </w:divBdr>
                </w:div>
              </w:divsChild>
            </w:div>
            <w:div w:id="263420807">
              <w:marLeft w:val="0"/>
              <w:marRight w:val="0"/>
              <w:marTop w:val="0"/>
              <w:marBottom w:val="0"/>
              <w:divBdr>
                <w:top w:val="none" w:sz="0" w:space="0" w:color="auto"/>
                <w:left w:val="none" w:sz="0" w:space="0" w:color="auto"/>
                <w:bottom w:val="none" w:sz="0" w:space="0" w:color="auto"/>
                <w:right w:val="none" w:sz="0" w:space="0" w:color="auto"/>
              </w:divBdr>
              <w:divsChild>
                <w:div w:id="565796047">
                  <w:marLeft w:val="0"/>
                  <w:marRight w:val="0"/>
                  <w:marTop w:val="0"/>
                  <w:marBottom w:val="0"/>
                  <w:divBdr>
                    <w:top w:val="none" w:sz="0" w:space="0" w:color="auto"/>
                    <w:left w:val="none" w:sz="0" w:space="0" w:color="auto"/>
                    <w:bottom w:val="none" w:sz="0" w:space="0" w:color="auto"/>
                    <w:right w:val="none" w:sz="0" w:space="0" w:color="auto"/>
                  </w:divBdr>
                </w:div>
              </w:divsChild>
            </w:div>
            <w:div w:id="278151785">
              <w:marLeft w:val="0"/>
              <w:marRight w:val="0"/>
              <w:marTop w:val="0"/>
              <w:marBottom w:val="0"/>
              <w:divBdr>
                <w:top w:val="none" w:sz="0" w:space="0" w:color="auto"/>
                <w:left w:val="none" w:sz="0" w:space="0" w:color="auto"/>
                <w:bottom w:val="none" w:sz="0" w:space="0" w:color="auto"/>
                <w:right w:val="none" w:sz="0" w:space="0" w:color="auto"/>
              </w:divBdr>
              <w:divsChild>
                <w:div w:id="1029188591">
                  <w:marLeft w:val="0"/>
                  <w:marRight w:val="0"/>
                  <w:marTop w:val="0"/>
                  <w:marBottom w:val="0"/>
                  <w:divBdr>
                    <w:top w:val="none" w:sz="0" w:space="0" w:color="auto"/>
                    <w:left w:val="none" w:sz="0" w:space="0" w:color="auto"/>
                    <w:bottom w:val="none" w:sz="0" w:space="0" w:color="auto"/>
                    <w:right w:val="none" w:sz="0" w:space="0" w:color="auto"/>
                  </w:divBdr>
                </w:div>
              </w:divsChild>
            </w:div>
            <w:div w:id="311058107">
              <w:marLeft w:val="0"/>
              <w:marRight w:val="0"/>
              <w:marTop w:val="0"/>
              <w:marBottom w:val="0"/>
              <w:divBdr>
                <w:top w:val="none" w:sz="0" w:space="0" w:color="auto"/>
                <w:left w:val="none" w:sz="0" w:space="0" w:color="auto"/>
                <w:bottom w:val="none" w:sz="0" w:space="0" w:color="auto"/>
                <w:right w:val="none" w:sz="0" w:space="0" w:color="auto"/>
              </w:divBdr>
              <w:divsChild>
                <w:div w:id="880677079">
                  <w:marLeft w:val="0"/>
                  <w:marRight w:val="0"/>
                  <w:marTop w:val="0"/>
                  <w:marBottom w:val="0"/>
                  <w:divBdr>
                    <w:top w:val="none" w:sz="0" w:space="0" w:color="auto"/>
                    <w:left w:val="none" w:sz="0" w:space="0" w:color="auto"/>
                    <w:bottom w:val="none" w:sz="0" w:space="0" w:color="auto"/>
                    <w:right w:val="none" w:sz="0" w:space="0" w:color="auto"/>
                  </w:divBdr>
                </w:div>
              </w:divsChild>
            </w:div>
            <w:div w:id="337008277">
              <w:marLeft w:val="0"/>
              <w:marRight w:val="0"/>
              <w:marTop w:val="0"/>
              <w:marBottom w:val="0"/>
              <w:divBdr>
                <w:top w:val="none" w:sz="0" w:space="0" w:color="auto"/>
                <w:left w:val="none" w:sz="0" w:space="0" w:color="auto"/>
                <w:bottom w:val="none" w:sz="0" w:space="0" w:color="auto"/>
                <w:right w:val="none" w:sz="0" w:space="0" w:color="auto"/>
              </w:divBdr>
              <w:divsChild>
                <w:div w:id="1941141690">
                  <w:marLeft w:val="0"/>
                  <w:marRight w:val="0"/>
                  <w:marTop w:val="0"/>
                  <w:marBottom w:val="0"/>
                  <w:divBdr>
                    <w:top w:val="none" w:sz="0" w:space="0" w:color="auto"/>
                    <w:left w:val="none" w:sz="0" w:space="0" w:color="auto"/>
                    <w:bottom w:val="none" w:sz="0" w:space="0" w:color="auto"/>
                    <w:right w:val="none" w:sz="0" w:space="0" w:color="auto"/>
                  </w:divBdr>
                </w:div>
              </w:divsChild>
            </w:div>
            <w:div w:id="408504574">
              <w:marLeft w:val="0"/>
              <w:marRight w:val="0"/>
              <w:marTop w:val="0"/>
              <w:marBottom w:val="0"/>
              <w:divBdr>
                <w:top w:val="none" w:sz="0" w:space="0" w:color="auto"/>
                <w:left w:val="none" w:sz="0" w:space="0" w:color="auto"/>
                <w:bottom w:val="none" w:sz="0" w:space="0" w:color="auto"/>
                <w:right w:val="none" w:sz="0" w:space="0" w:color="auto"/>
              </w:divBdr>
              <w:divsChild>
                <w:div w:id="1966038830">
                  <w:marLeft w:val="0"/>
                  <w:marRight w:val="0"/>
                  <w:marTop w:val="0"/>
                  <w:marBottom w:val="0"/>
                  <w:divBdr>
                    <w:top w:val="none" w:sz="0" w:space="0" w:color="auto"/>
                    <w:left w:val="none" w:sz="0" w:space="0" w:color="auto"/>
                    <w:bottom w:val="none" w:sz="0" w:space="0" w:color="auto"/>
                    <w:right w:val="none" w:sz="0" w:space="0" w:color="auto"/>
                  </w:divBdr>
                </w:div>
              </w:divsChild>
            </w:div>
            <w:div w:id="457145365">
              <w:marLeft w:val="0"/>
              <w:marRight w:val="0"/>
              <w:marTop w:val="0"/>
              <w:marBottom w:val="0"/>
              <w:divBdr>
                <w:top w:val="none" w:sz="0" w:space="0" w:color="auto"/>
                <w:left w:val="none" w:sz="0" w:space="0" w:color="auto"/>
                <w:bottom w:val="none" w:sz="0" w:space="0" w:color="auto"/>
                <w:right w:val="none" w:sz="0" w:space="0" w:color="auto"/>
              </w:divBdr>
              <w:divsChild>
                <w:div w:id="184565361">
                  <w:marLeft w:val="0"/>
                  <w:marRight w:val="0"/>
                  <w:marTop w:val="0"/>
                  <w:marBottom w:val="0"/>
                  <w:divBdr>
                    <w:top w:val="none" w:sz="0" w:space="0" w:color="auto"/>
                    <w:left w:val="none" w:sz="0" w:space="0" w:color="auto"/>
                    <w:bottom w:val="none" w:sz="0" w:space="0" w:color="auto"/>
                    <w:right w:val="none" w:sz="0" w:space="0" w:color="auto"/>
                  </w:divBdr>
                </w:div>
              </w:divsChild>
            </w:div>
            <w:div w:id="463546809">
              <w:marLeft w:val="0"/>
              <w:marRight w:val="0"/>
              <w:marTop w:val="0"/>
              <w:marBottom w:val="0"/>
              <w:divBdr>
                <w:top w:val="none" w:sz="0" w:space="0" w:color="auto"/>
                <w:left w:val="none" w:sz="0" w:space="0" w:color="auto"/>
                <w:bottom w:val="none" w:sz="0" w:space="0" w:color="auto"/>
                <w:right w:val="none" w:sz="0" w:space="0" w:color="auto"/>
              </w:divBdr>
              <w:divsChild>
                <w:div w:id="1396665345">
                  <w:marLeft w:val="0"/>
                  <w:marRight w:val="0"/>
                  <w:marTop w:val="0"/>
                  <w:marBottom w:val="0"/>
                  <w:divBdr>
                    <w:top w:val="none" w:sz="0" w:space="0" w:color="auto"/>
                    <w:left w:val="none" w:sz="0" w:space="0" w:color="auto"/>
                    <w:bottom w:val="none" w:sz="0" w:space="0" w:color="auto"/>
                    <w:right w:val="none" w:sz="0" w:space="0" w:color="auto"/>
                  </w:divBdr>
                </w:div>
              </w:divsChild>
            </w:div>
            <w:div w:id="467938778">
              <w:marLeft w:val="0"/>
              <w:marRight w:val="0"/>
              <w:marTop w:val="0"/>
              <w:marBottom w:val="0"/>
              <w:divBdr>
                <w:top w:val="none" w:sz="0" w:space="0" w:color="auto"/>
                <w:left w:val="none" w:sz="0" w:space="0" w:color="auto"/>
                <w:bottom w:val="none" w:sz="0" w:space="0" w:color="auto"/>
                <w:right w:val="none" w:sz="0" w:space="0" w:color="auto"/>
              </w:divBdr>
              <w:divsChild>
                <w:div w:id="1065109576">
                  <w:marLeft w:val="0"/>
                  <w:marRight w:val="0"/>
                  <w:marTop w:val="0"/>
                  <w:marBottom w:val="0"/>
                  <w:divBdr>
                    <w:top w:val="none" w:sz="0" w:space="0" w:color="auto"/>
                    <w:left w:val="none" w:sz="0" w:space="0" w:color="auto"/>
                    <w:bottom w:val="none" w:sz="0" w:space="0" w:color="auto"/>
                    <w:right w:val="none" w:sz="0" w:space="0" w:color="auto"/>
                  </w:divBdr>
                </w:div>
              </w:divsChild>
            </w:div>
            <w:div w:id="470056904">
              <w:marLeft w:val="0"/>
              <w:marRight w:val="0"/>
              <w:marTop w:val="0"/>
              <w:marBottom w:val="0"/>
              <w:divBdr>
                <w:top w:val="none" w:sz="0" w:space="0" w:color="auto"/>
                <w:left w:val="none" w:sz="0" w:space="0" w:color="auto"/>
                <w:bottom w:val="none" w:sz="0" w:space="0" w:color="auto"/>
                <w:right w:val="none" w:sz="0" w:space="0" w:color="auto"/>
              </w:divBdr>
              <w:divsChild>
                <w:div w:id="824122647">
                  <w:marLeft w:val="0"/>
                  <w:marRight w:val="0"/>
                  <w:marTop w:val="0"/>
                  <w:marBottom w:val="0"/>
                  <w:divBdr>
                    <w:top w:val="none" w:sz="0" w:space="0" w:color="auto"/>
                    <w:left w:val="none" w:sz="0" w:space="0" w:color="auto"/>
                    <w:bottom w:val="none" w:sz="0" w:space="0" w:color="auto"/>
                    <w:right w:val="none" w:sz="0" w:space="0" w:color="auto"/>
                  </w:divBdr>
                </w:div>
              </w:divsChild>
            </w:div>
            <w:div w:id="499392505">
              <w:marLeft w:val="0"/>
              <w:marRight w:val="0"/>
              <w:marTop w:val="0"/>
              <w:marBottom w:val="0"/>
              <w:divBdr>
                <w:top w:val="none" w:sz="0" w:space="0" w:color="auto"/>
                <w:left w:val="none" w:sz="0" w:space="0" w:color="auto"/>
                <w:bottom w:val="none" w:sz="0" w:space="0" w:color="auto"/>
                <w:right w:val="none" w:sz="0" w:space="0" w:color="auto"/>
              </w:divBdr>
              <w:divsChild>
                <w:div w:id="1431319957">
                  <w:marLeft w:val="0"/>
                  <w:marRight w:val="0"/>
                  <w:marTop w:val="0"/>
                  <w:marBottom w:val="0"/>
                  <w:divBdr>
                    <w:top w:val="none" w:sz="0" w:space="0" w:color="auto"/>
                    <w:left w:val="none" w:sz="0" w:space="0" w:color="auto"/>
                    <w:bottom w:val="none" w:sz="0" w:space="0" w:color="auto"/>
                    <w:right w:val="none" w:sz="0" w:space="0" w:color="auto"/>
                  </w:divBdr>
                </w:div>
              </w:divsChild>
            </w:div>
            <w:div w:id="515775846">
              <w:marLeft w:val="0"/>
              <w:marRight w:val="0"/>
              <w:marTop w:val="0"/>
              <w:marBottom w:val="0"/>
              <w:divBdr>
                <w:top w:val="none" w:sz="0" w:space="0" w:color="auto"/>
                <w:left w:val="none" w:sz="0" w:space="0" w:color="auto"/>
                <w:bottom w:val="none" w:sz="0" w:space="0" w:color="auto"/>
                <w:right w:val="none" w:sz="0" w:space="0" w:color="auto"/>
              </w:divBdr>
              <w:divsChild>
                <w:div w:id="222370115">
                  <w:marLeft w:val="0"/>
                  <w:marRight w:val="0"/>
                  <w:marTop w:val="0"/>
                  <w:marBottom w:val="0"/>
                  <w:divBdr>
                    <w:top w:val="none" w:sz="0" w:space="0" w:color="auto"/>
                    <w:left w:val="none" w:sz="0" w:space="0" w:color="auto"/>
                    <w:bottom w:val="none" w:sz="0" w:space="0" w:color="auto"/>
                    <w:right w:val="none" w:sz="0" w:space="0" w:color="auto"/>
                  </w:divBdr>
                </w:div>
              </w:divsChild>
            </w:div>
            <w:div w:id="615645762">
              <w:marLeft w:val="0"/>
              <w:marRight w:val="0"/>
              <w:marTop w:val="0"/>
              <w:marBottom w:val="0"/>
              <w:divBdr>
                <w:top w:val="none" w:sz="0" w:space="0" w:color="auto"/>
                <w:left w:val="none" w:sz="0" w:space="0" w:color="auto"/>
                <w:bottom w:val="none" w:sz="0" w:space="0" w:color="auto"/>
                <w:right w:val="none" w:sz="0" w:space="0" w:color="auto"/>
              </w:divBdr>
              <w:divsChild>
                <w:div w:id="1782214381">
                  <w:marLeft w:val="0"/>
                  <w:marRight w:val="0"/>
                  <w:marTop w:val="0"/>
                  <w:marBottom w:val="0"/>
                  <w:divBdr>
                    <w:top w:val="none" w:sz="0" w:space="0" w:color="auto"/>
                    <w:left w:val="none" w:sz="0" w:space="0" w:color="auto"/>
                    <w:bottom w:val="none" w:sz="0" w:space="0" w:color="auto"/>
                    <w:right w:val="none" w:sz="0" w:space="0" w:color="auto"/>
                  </w:divBdr>
                </w:div>
              </w:divsChild>
            </w:div>
            <w:div w:id="663900409">
              <w:marLeft w:val="0"/>
              <w:marRight w:val="0"/>
              <w:marTop w:val="0"/>
              <w:marBottom w:val="0"/>
              <w:divBdr>
                <w:top w:val="none" w:sz="0" w:space="0" w:color="auto"/>
                <w:left w:val="none" w:sz="0" w:space="0" w:color="auto"/>
                <w:bottom w:val="none" w:sz="0" w:space="0" w:color="auto"/>
                <w:right w:val="none" w:sz="0" w:space="0" w:color="auto"/>
              </w:divBdr>
              <w:divsChild>
                <w:div w:id="1304848382">
                  <w:marLeft w:val="0"/>
                  <w:marRight w:val="0"/>
                  <w:marTop w:val="0"/>
                  <w:marBottom w:val="0"/>
                  <w:divBdr>
                    <w:top w:val="none" w:sz="0" w:space="0" w:color="auto"/>
                    <w:left w:val="none" w:sz="0" w:space="0" w:color="auto"/>
                    <w:bottom w:val="none" w:sz="0" w:space="0" w:color="auto"/>
                    <w:right w:val="none" w:sz="0" w:space="0" w:color="auto"/>
                  </w:divBdr>
                </w:div>
              </w:divsChild>
            </w:div>
            <w:div w:id="736127968">
              <w:marLeft w:val="0"/>
              <w:marRight w:val="0"/>
              <w:marTop w:val="0"/>
              <w:marBottom w:val="0"/>
              <w:divBdr>
                <w:top w:val="none" w:sz="0" w:space="0" w:color="auto"/>
                <w:left w:val="none" w:sz="0" w:space="0" w:color="auto"/>
                <w:bottom w:val="none" w:sz="0" w:space="0" w:color="auto"/>
                <w:right w:val="none" w:sz="0" w:space="0" w:color="auto"/>
              </w:divBdr>
              <w:divsChild>
                <w:div w:id="1193377301">
                  <w:marLeft w:val="0"/>
                  <w:marRight w:val="0"/>
                  <w:marTop w:val="0"/>
                  <w:marBottom w:val="0"/>
                  <w:divBdr>
                    <w:top w:val="none" w:sz="0" w:space="0" w:color="auto"/>
                    <w:left w:val="none" w:sz="0" w:space="0" w:color="auto"/>
                    <w:bottom w:val="none" w:sz="0" w:space="0" w:color="auto"/>
                    <w:right w:val="none" w:sz="0" w:space="0" w:color="auto"/>
                  </w:divBdr>
                </w:div>
              </w:divsChild>
            </w:div>
            <w:div w:id="813067608">
              <w:marLeft w:val="0"/>
              <w:marRight w:val="0"/>
              <w:marTop w:val="0"/>
              <w:marBottom w:val="0"/>
              <w:divBdr>
                <w:top w:val="none" w:sz="0" w:space="0" w:color="auto"/>
                <w:left w:val="none" w:sz="0" w:space="0" w:color="auto"/>
                <w:bottom w:val="none" w:sz="0" w:space="0" w:color="auto"/>
                <w:right w:val="none" w:sz="0" w:space="0" w:color="auto"/>
              </w:divBdr>
              <w:divsChild>
                <w:div w:id="429355544">
                  <w:marLeft w:val="0"/>
                  <w:marRight w:val="0"/>
                  <w:marTop w:val="0"/>
                  <w:marBottom w:val="0"/>
                  <w:divBdr>
                    <w:top w:val="none" w:sz="0" w:space="0" w:color="auto"/>
                    <w:left w:val="none" w:sz="0" w:space="0" w:color="auto"/>
                    <w:bottom w:val="none" w:sz="0" w:space="0" w:color="auto"/>
                    <w:right w:val="none" w:sz="0" w:space="0" w:color="auto"/>
                  </w:divBdr>
                </w:div>
              </w:divsChild>
            </w:div>
            <w:div w:id="858006762">
              <w:marLeft w:val="0"/>
              <w:marRight w:val="0"/>
              <w:marTop w:val="0"/>
              <w:marBottom w:val="0"/>
              <w:divBdr>
                <w:top w:val="none" w:sz="0" w:space="0" w:color="auto"/>
                <w:left w:val="none" w:sz="0" w:space="0" w:color="auto"/>
                <w:bottom w:val="none" w:sz="0" w:space="0" w:color="auto"/>
                <w:right w:val="none" w:sz="0" w:space="0" w:color="auto"/>
              </w:divBdr>
              <w:divsChild>
                <w:div w:id="1905485485">
                  <w:marLeft w:val="0"/>
                  <w:marRight w:val="0"/>
                  <w:marTop w:val="0"/>
                  <w:marBottom w:val="0"/>
                  <w:divBdr>
                    <w:top w:val="none" w:sz="0" w:space="0" w:color="auto"/>
                    <w:left w:val="none" w:sz="0" w:space="0" w:color="auto"/>
                    <w:bottom w:val="none" w:sz="0" w:space="0" w:color="auto"/>
                    <w:right w:val="none" w:sz="0" w:space="0" w:color="auto"/>
                  </w:divBdr>
                </w:div>
              </w:divsChild>
            </w:div>
            <w:div w:id="878123204">
              <w:marLeft w:val="0"/>
              <w:marRight w:val="0"/>
              <w:marTop w:val="0"/>
              <w:marBottom w:val="0"/>
              <w:divBdr>
                <w:top w:val="none" w:sz="0" w:space="0" w:color="auto"/>
                <w:left w:val="none" w:sz="0" w:space="0" w:color="auto"/>
                <w:bottom w:val="none" w:sz="0" w:space="0" w:color="auto"/>
                <w:right w:val="none" w:sz="0" w:space="0" w:color="auto"/>
              </w:divBdr>
              <w:divsChild>
                <w:div w:id="2077892505">
                  <w:marLeft w:val="0"/>
                  <w:marRight w:val="0"/>
                  <w:marTop w:val="0"/>
                  <w:marBottom w:val="0"/>
                  <w:divBdr>
                    <w:top w:val="none" w:sz="0" w:space="0" w:color="auto"/>
                    <w:left w:val="none" w:sz="0" w:space="0" w:color="auto"/>
                    <w:bottom w:val="none" w:sz="0" w:space="0" w:color="auto"/>
                    <w:right w:val="none" w:sz="0" w:space="0" w:color="auto"/>
                  </w:divBdr>
                </w:div>
              </w:divsChild>
            </w:div>
            <w:div w:id="899287124">
              <w:marLeft w:val="0"/>
              <w:marRight w:val="0"/>
              <w:marTop w:val="0"/>
              <w:marBottom w:val="0"/>
              <w:divBdr>
                <w:top w:val="none" w:sz="0" w:space="0" w:color="auto"/>
                <w:left w:val="none" w:sz="0" w:space="0" w:color="auto"/>
                <w:bottom w:val="none" w:sz="0" w:space="0" w:color="auto"/>
                <w:right w:val="none" w:sz="0" w:space="0" w:color="auto"/>
              </w:divBdr>
              <w:divsChild>
                <w:div w:id="684403122">
                  <w:marLeft w:val="0"/>
                  <w:marRight w:val="0"/>
                  <w:marTop w:val="0"/>
                  <w:marBottom w:val="0"/>
                  <w:divBdr>
                    <w:top w:val="none" w:sz="0" w:space="0" w:color="auto"/>
                    <w:left w:val="none" w:sz="0" w:space="0" w:color="auto"/>
                    <w:bottom w:val="none" w:sz="0" w:space="0" w:color="auto"/>
                    <w:right w:val="none" w:sz="0" w:space="0" w:color="auto"/>
                  </w:divBdr>
                </w:div>
              </w:divsChild>
            </w:div>
            <w:div w:id="944264176">
              <w:marLeft w:val="0"/>
              <w:marRight w:val="0"/>
              <w:marTop w:val="0"/>
              <w:marBottom w:val="0"/>
              <w:divBdr>
                <w:top w:val="none" w:sz="0" w:space="0" w:color="auto"/>
                <w:left w:val="none" w:sz="0" w:space="0" w:color="auto"/>
                <w:bottom w:val="none" w:sz="0" w:space="0" w:color="auto"/>
                <w:right w:val="none" w:sz="0" w:space="0" w:color="auto"/>
              </w:divBdr>
              <w:divsChild>
                <w:div w:id="1263952080">
                  <w:marLeft w:val="0"/>
                  <w:marRight w:val="0"/>
                  <w:marTop w:val="0"/>
                  <w:marBottom w:val="0"/>
                  <w:divBdr>
                    <w:top w:val="none" w:sz="0" w:space="0" w:color="auto"/>
                    <w:left w:val="none" w:sz="0" w:space="0" w:color="auto"/>
                    <w:bottom w:val="none" w:sz="0" w:space="0" w:color="auto"/>
                    <w:right w:val="none" w:sz="0" w:space="0" w:color="auto"/>
                  </w:divBdr>
                </w:div>
              </w:divsChild>
            </w:div>
            <w:div w:id="983198443">
              <w:marLeft w:val="0"/>
              <w:marRight w:val="0"/>
              <w:marTop w:val="0"/>
              <w:marBottom w:val="0"/>
              <w:divBdr>
                <w:top w:val="none" w:sz="0" w:space="0" w:color="auto"/>
                <w:left w:val="none" w:sz="0" w:space="0" w:color="auto"/>
                <w:bottom w:val="none" w:sz="0" w:space="0" w:color="auto"/>
                <w:right w:val="none" w:sz="0" w:space="0" w:color="auto"/>
              </w:divBdr>
              <w:divsChild>
                <w:div w:id="340932346">
                  <w:marLeft w:val="0"/>
                  <w:marRight w:val="0"/>
                  <w:marTop w:val="0"/>
                  <w:marBottom w:val="0"/>
                  <w:divBdr>
                    <w:top w:val="none" w:sz="0" w:space="0" w:color="auto"/>
                    <w:left w:val="none" w:sz="0" w:space="0" w:color="auto"/>
                    <w:bottom w:val="none" w:sz="0" w:space="0" w:color="auto"/>
                    <w:right w:val="none" w:sz="0" w:space="0" w:color="auto"/>
                  </w:divBdr>
                </w:div>
              </w:divsChild>
            </w:div>
            <w:div w:id="985742645">
              <w:marLeft w:val="0"/>
              <w:marRight w:val="0"/>
              <w:marTop w:val="0"/>
              <w:marBottom w:val="0"/>
              <w:divBdr>
                <w:top w:val="none" w:sz="0" w:space="0" w:color="auto"/>
                <w:left w:val="none" w:sz="0" w:space="0" w:color="auto"/>
                <w:bottom w:val="none" w:sz="0" w:space="0" w:color="auto"/>
                <w:right w:val="none" w:sz="0" w:space="0" w:color="auto"/>
              </w:divBdr>
              <w:divsChild>
                <w:div w:id="1745762096">
                  <w:marLeft w:val="0"/>
                  <w:marRight w:val="0"/>
                  <w:marTop w:val="0"/>
                  <w:marBottom w:val="0"/>
                  <w:divBdr>
                    <w:top w:val="none" w:sz="0" w:space="0" w:color="auto"/>
                    <w:left w:val="none" w:sz="0" w:space="0" w:color="auto"/>
                    <w:bottom w:val="none" w:sz="0" w:space="0" w:color="auto"/>
                    <w:right w:val="none" w:sz="0" w:space="0" w:color="auto"/>
                  </w:divBdr>
                </w:div>
              </w:divsChild>
            </w:div>
            <w:div w:id="986787581">
              <w:marLeft w:val="0"/>
              <w:marRight w:val="0"/>
              <w:marTop w:val="0"/>
              <w:marBottom w:val="0"/>
              <w:divBdr>
                <w:top w:val="none" w:sz="0" w:space="0" w:color="auto"/>
                <w:left w:val="none" w:sz="0" w:space="0" w:color="auto"/>
                <w:bottom w:val="none" w:sz="0" w:space="0" w:color="auto"/>
                <w:right w:val="none" w:sz="0" w:space="0" w:color="auto"/>
              </w:divBdr>
              <w:divsChild>
                <w:div w:id="1456215166">
                  <w:marLeft w:val="0"/>
                  <w:marRight w:val="0"/>
                  <w:marTop w:val="0"/>
                  <w:marBottom w:val="0"/>
                  <w:divBdr>
                    <w:top w:val="none" w:sz="0" w:space="0" w:color="auto"/>
                    <w:left w:val="none" w:sz="0" w:space="0" w:color="auto"/>
                    <w:bottom w:val="none" w:sz="0" w:space="0" w:color="auto"/>
                    <w:right w:val="none" w:sz="0" w:space="0" w:color="auto"/>
                  </w:divBdr>
                </w:div>
              </w:divsChild>
            </w:div>
            <w:div w:id="993801552">
              <w:marLeft w:val="0"/>
              <w:marRight w:val="0"/>
              <w:marTop w:val="0"/>
              <w:marBottom w:val="0"/>
              <w:divBdr>
                <w:top w:val="none" w:sz="0" w:space="0" w:color="auto"/>
                <w:left w:val="none" w:sz="0" w:space="0" w:color="auto"/>
                <w:bottom w:val="none" w:sz="0" w:space="0" w:color="auto"/>
                <w:right w:val="none" w:sz="0" w:space="0" w:color="auto"/>
              </w:divBdr>
              <w:divsChild>
                <w:div w:id="734855990">
                  <w:marLeft w:val="0"/>
                  <w:marRight w:val="0"/>
                  <w:marTop w:val="0"/>
                  <w:marBottom w:val="0"/>
                  <w:divBdr>
                    <w:top w:val="none" w:sz="0" w:space="0" w:color="auto"/>
                    <w:left w:val="none" w:sz="0" w:space="0" w:color="auto"/>
                    <w:bottom w:val="none" w:sz="0" w:space="0" w:color="auto"/>
                    <w:right w:val="none" w:sz="0" w:space="0" w:color="auto"/>
                  </w:divBdr>
                </w:div>
              </w:divsChild>
            </w:div>
            <w:div w:id="994913725">
              <w:marLeft w:val="0"/>
              <w:marRight w:val="0"/>
              <w:marTop w:val="0"/>
              <w:marBottom w:val="0"/>
              <w:divBdr>
                <w:top w:val="none" w:sz="0" w:space="0" w:color="auto"/>
                <w:left w:val="none" w:sz="0" w:space="0" w:color="auto"/>
                <w:bottom w:val="none" w:sz="0" w:space="0" w:color="auto"/>
                <w:right w:val="none" w:sz="0" w:space="0" w:color="auto"/>
              </w:divBdr>
              <w:divsChild>
                <w:div w:id="1812208787">
                  <w:marLeft w:val="0"/>
                  <w:marRight w:val="0"/>
                  <w:marTop w:val="0"/>
                  <w:marBottom w:val="0"/>
                  <w:divBdr>
                    <w:top w:val="none" w:sz="0" w:space="0" w:color="auto"/>
                    <w:left w:val="none" w:sz="0" w:space="0" w:color="auto"/>
                    <w:bottom w:val="none" w:sz="0" w:space="0" w:color="auto"/>
                    <w:right w:val="none" w:sz="0" w:space="0" w:color="auto"/>
                  </w:divBdr>
                </w:div>
              </w:divsChild>
            </w:div>
            <w:div w:id="1006640797">
              <w:marLeft w:val="0"/>
              <w:marRight w:val="0"/>
              <w:marTop w:val="0"/>
              <w:marBottom w:val="0"/>
              <w:divBdr>
                <w:top w:val="none" w:sz="0" w:space="0" w:color="auto"/>
                <w:left w:val="none" w:sz="0" w:space="0" w:color="auto"/>
                <w:bottom w:val="none" w:sz="0" w:space="0" w:color="auto"/>
                <w:right w:val="none" w:sz="0" w:space="0" w:color="auto"/>
              </w:divBdr>
              <w:divsChild>
                <w:div w:id="370151410">
                  <w:marLeft w:val="0"/>
                  <w:marRight w:val="0"/>
                  <w:marTop w:val="0"/>
                  <w:marBottom w:val="0"/>
                  <w:divBdr>
                    <w:top w:val="none" w:sz="0" w:space="0" w:color="auto"/>
                    <w:left w:val="none" w:sz="0" w:space="0" w:color="auto"/>
                    <w:bottom w:val="none" w:sz="0" w:space="0" w:color="auto"/>
                    <w:right w:val="none" w:sz="0" w:space="0" w:color="auto"/>
                  </w:divBdr>
                </w:div>
              </w:divsChild>
            </w:div>
            <w:div w:id="1066533657">
              <w:marLeft w:val="0"/>
              <w:marRight w:val="0"/>
              <w:marTop w:val="0"/>
              <w:marBottom w:val="0"/>
              <w:divBdr>
                <w:top w:val="none" w:sz="0" w:space="0" w:color="auto"/>
                <w:left w:val="none" w:sz="0" w:space="0" w:color="auto"/>
                <w:bottom w:val="none" w:sz="0" w:space="0" w:color="auto"/>
                <w:right w:val="none" w:sz="0" w:space="0" w:color="auto"/>
              </w:divBdr>
              <w:divsChild>
                <w:div w:id="1498112492">
                  <w:marLeft w:val="0"/>
                  <w:marRight w:val="0"/>
                  <w:marTop w:val="0"/>
                  <w:marBottom w:val="0"/>
                  <w:divBdr>
                    <w:top w:val="none" w:sz="0" w:space="0" w:color="auto"/>
                    <w:left w:val="none" w:sz="0" w:space="0" w:color="auto"/>
                    <w:bottom w:val="none" w:sz="0" w:space="0" w:color="auto"/>
                    <w:right w:val="none" w:sz="0" w:space="0" w:color="auto"/>
                  </w:divBdr>
                </w:div>
              </w:divsChild>
            </w:div>
            <w:div w:id="1091858292">
              <w:marLeft w:val="0"/>
              <w:marRight w:val="0"/>
              <w:marTop w:val="0"/>
              <w:marBottom w:val="0"/>
              <w:divBdr>
                <w:top w:val="none" w:sz="0" w:space="0" w:color="auto"/>
                <w:left w:val="none" w:sz="0" w:space="0" w:color="auto"/>
                <w:bottom w:val="none" w:sz="0" w:space="0" w:color="auto"/>
                <w:right w:val="none" w:sz="0" w:space="0" w:color="auto"/>
              </w:divBdr>
              <w:divsChild>
                <w:div w:id="190070797">
                  <w:marLeft w:val="0"/>
                  <w:marRight w:val="0"/>
                  <w:marTop w:val="0"/>
                  <w:marBottom w:val="0"/>
                  <w:divBdr>
                    <w:top w:val="none" w:sz="0" w:space="0" w:color="auto"/>
                    <w:left w:val="none" w:sz="0" w:space="0" w:color="auto"/>
                    <w:bottom w:val="none" w:sz="0" w:space="0" w:color="auto"/>
                    <w:right w:val="none" w:sz="0" w:space="0" w:color="auto"/>
                  </w:divBdr>
                </w:div>
              </w:divsChild>
            </w:div>
            <w:div w:id="1112289021">
              <w:marLeft w:val="0"/>
              <w:marRight w:val="0"/>
              <w:marTop w:val="0"/>
              <w:marBottom w:val="0"/>
              <w:divBdr>
                <w:top w:val="none" w:sz="0" w:space="0" w:color="auto"/>
                <w:left w:val="none" w:sz="0" w:space="0" w:color="auto"/>
                <w:bottom w:val="none" w:sz="0" w:space="0" w:color="auto"/>
                <w:right w:val="none" w:sz="0" w:space="0" w:color="auto"/>
              </w:divBdr>
              <w:divsChild>
                <w:div w:id="974605729">
                  <w:marLeft w:val="0"/>
                  <w:marRight w:val="0"/>
                  <w:marTop w:val="0"/>
                  <w:marBottom w:val="0"/>
                  <w:divBdr>
                    <w:top w:val="none" w:sz="0" w:space="0" w:color="auto"/>
                    <w:left w:val="none" w:sz="0" w:space="0" w:color="auto"/>
                    <w:bottom w:val="none" w:sz="0" w:space="0" w:color="auto"/>
                    <w:right w:val="none" w:sz="0" w:space="0" w:color="auto"/>
                  </w:divBdr>
                </w:div>
              </w:divsChild>
            </w:div>
            <w:div w:id="1122186362">
              <w:marLeft w:val="0"/>
              <w:marRight w:val="0"/>
              <w:marTop w:val="0"/>
              <w:marBottom w:val="0"/>
              <w:divBdr>
                <w:top w:val="none" w:sz="0" w:space="0" w:color="auto"/>
                <w:left w:val="none" w:sz="0" w:space="0" w:color="auto"/>
                <w:bottom w:val="none" w:sz="0" w:space="0" w:color="auto"/>
                <w:right w:val="none" w:sz="0" w:space="0" w:color="auto"/>
              </w:divBdr>
              <w:divsChild>
                <w:div w:id="33310203">
                  <w:marLeft w:val="0"/>
                  <w:marRight w:val="0"/>
                  <w:marTop w:val="0"/>
                  <w:marBottom w:val="0"/>
                  <w:divBdr>
                    <w:top w:val="none" w:sz="0" w:space="0" w:color="auto"/>
                    <w:left w:val="none" w:sz="0" w:space="0" w:color="auto"/>
                    <w:bottom w:val="none" w:sz="0" w:space="0" w:color="auto"/>
                    <w:right w:val="none" w:sz="0" w:space="0" w:color="auto"/>
                  </w:divBdr>
                </w:div>
              </w:divsChild>
            </w:div>
            <w:div w:id="1200819339">
              <w:marLeft w:val="0"/>
              <w:marRight w:val="0"/>
              <w:marTop w:val="0"/>
              <w:marBottom w:val="0"/>
              <w:divBdr>
                <w:top w:val="none" w:sz="0" w:space="0" w:color="auto"/>
                <w:left w:val="none" w:sz="0" w:space="0" w:color="auto"/>
                <w:bottom w:val="none" w:sz="0" w:space="0" w:color="auto"/>
                <w:right w:val="none" w:sz="0" w:space="0" w:color="auto"/>
              </w:divBdr>
              <w:divsChild>
                <w:div w:id="520166247">
                  <w:marLeft w:val="0"/>
                  <w:marRight w:val="0"/>
                  <w:marTop w:val="0"/>
                  <w:marBottom w:val="0"/>
                  <w:divBdr>
                    <w:top w:val="none" w:sz="0" w:space="0" w:color="auto"/>
                    <w:left w:val="none" w:sz="0" w:space="0" w:color="auto"/>
                    <w:bottom w:val="none" w:sz="0" w:space="0" w:color="auto"/>
                    <w:right w:val="none" w:sz="0" w:space="0" w:color="auto"/>
                  </w:divBdr>
                </w:div>
              </w:divsChild>
            </w:div>
            <w:div w:id="1210723447">
              <w:marLeft w:val="0"/>
              <w:marRight w:val="0"/>
              <w:marTop w:val="0"/>
              <w:marBottom w:val="0"/>
              <w:divBdr>
                <w:top w:val="none" w:sz="0" w:space="0" w:color="auto"/>
                <w:left w:val="none" w:sz="0" w:space="0" w:color="auto"/>
                <w:bottom w:val="none" w:sz="0" w:space="0" w:color="auto"/>
                <w:right w:val="none" w:sz="0" w:space="0" w:color="auto"/>
              </w:divBdr>
              <w:divsChild>
                <w:div w:id="1787964321">
                  <w:marLeft w:val="0"/>
                  <w:marRight w:val="0"/>
                  <w:marTop w:val="0"/>
                  <w:marBottom w:val="0"/>
                  <w:divBdr>
                    <w:top w:val="none" w:sz="0" w:space="0" w:color="auto"/>
                    <w:left w:val="none" w:sz="0" w:space="0" w:color="auto"/>
                    <w:bottom w:val="none" w:sz="0" w:space="0" w:color="auto"/>
                    <w:right w:val="none" w:sz="0" w:space="0" w:color="auto"/>
                  </w:divBdr>
                </w:div>
              </w:divsChild>
            </w:div>
            <w:div w:id="1247806227">
              <w:marLeft w:val="0"/>
              <w:marRight w:val="0"/>
              <w:marTop w:val="0"/>
              <w:marBottom w:val="0"/>
              <w:divBdr>
                <w:top w:val="none" w:sz="0" w:space="0" w:color="auto"/>
                <w:left w:val="none" w:sz="0" w:space="0" w:color="auto"/>
                <w:bottom w:val="none" w:sz="0" w:space="0" w:color="auto"/>
                <w:right w:val="none" w:sz="0" w:space="0" w:color="auto"/>
              </w:divBdr>
              <w:divsChild>
                <w:div w:id="1427189909">
                  <w:marLeft w:val="0"/>
                  <w:marRight w:val="0"/>
                  <w:marTop w:val="0"/>
                  <w:marBottom w:val="0"/>
                  <w:divBdr>
                    <w:top w:val="none" w:sz="0" w:space="0" w:color="auto"/>
                    <w:left w:val="none" w:sz="0" w:space="0" w:color="auto"/>
                    <w:bottom w:val="none" w:sz="0" w:space="0" w:color="auto"/>
                    <w:right w:val="none" w:sz="0" w:space="0" w:color="auto"/>
                  </w:divBdr>
                </w:div>
              </w:divsChild>
            </w:div>
            <w:div w:id="1270045871">
              <w:marLeft w:val="0"/>
              <w:marRight w:val="0"/>
              <w:marTop w:val="0"/>
              <w:marBottom w:val="0"/>
              <w:divBdr>
                <w:top w:val="none" w:sz="0" w:space="0" w:color="auto"/>
                <w:left w:val="none" w:sz="0" w:space="0" w:color="auto"/>
                <w:bottom w:val="none" w:sz="0" w:space="0" w:color="auto"/>
                <w:right w:val="none" w:sz="0" w:space="0" w:color="auto"/>
              </w:divBdr>
              <w:divsChild>
                <w:div w:id="697509719">
                  <w:marLeft w:val="0"/>
                  <w:marRight w:val="0"/>
                  <w:marTop w:val="0"/>
                  <w:marBottom w:val="0"/>
                  <w:divBdr>
                    <w:top w:val="none" w:sz="0" w:space="0" w:color="auto"/>
                    <w:left w:val="none" w:sz="0" w:space="0" w:color="auto"/>
                    <w:bottom w:val="none" w:sz="0" w:space="0" w:color="auto"/>
                    <w:right w:val="none" w:sz="0" w:space="0" w:color="auto"/>
                  </w:divBdr>
                </w:div>
              </w:divsChild>
            </w:div>
            <w:div w:id="1296250273">
              <w:marLeft w:val="0"/>
              <w:marRight w:val="0"/>
              <w:marTop w:val="0"/>
              <w:marBottom w:val="0"/>
              <w:divBdr>
                <w:top w:val="none" w:sz="0" w:space="0" w:color="auto"/>
                <w:left w:val="none" w:sz="0" w:space="0" w:color="auto"/>
                <w:bottom w:val="none" w:sz="0" w:space="0" w:color="auto"/>
                <w:right w:val="none" w:sz="0" w:space="0" w:color="auto"/>
              </w:divBdr>
              <w:divsChild>
                <w:div w:id="1642033599">
                  <w:marLeft w:val="0"/>
                  <w:marRight w:val="0"/>
                  <w:marTop w:val="0"/>
                  <w:marBottom w:val="0"/>
                  <w:divBdr>
                    <w:top w:val="none" w:sz="0" w:space="0" w:color="auto"/>
                    <w:left w:val="none" w:sz="0" w:space="0" w:color="auto"/>
                    <w:bottom w:val="none" w:sz="0" w:space="0" w:color="auto"/>
                    <w:right w:val="none" w:sz="0" w:space="0" w:color="auto"/>
                  </w:divBdr>
                </w:div>
              </w:divsChild>
            </w:div>
            <w:div w:id="1347560958">
              <w:marLeft w:val="0"/>
              <w:marRight w:val="0"/>
              <w:marTop w:val="0"/>
              <w:marBottom w:val="0"/>
              <w:divBdr>
                <w:top w:val="none" w:sz="0" w:space="0" w:color="auto"/>
                <w:left w:val="none" w:sz="0" w:space="0" w:color="auto"/>
                <w:bottom w:val="none" w:sz="0" w:space="0" w:color="auto"/>
                <w:right w:val="none" w:sz="0" w:space="0" w:color="auto"/>
              </w:divBdr>
              <w:divsChild>
                <w:div w:id="1463183403">
                  <w:marLeft w:val="0"/>
                  <w:marRight w:val="0"/>
                  <w:marTop w:val="0"/>
                  <w:marBottom w:val="0"/>
                  <w:divBdr>
                    <w:top w:val="none" w:sz="0" w:space="0" w:color="auto"/>
                    <w:left w:val="none" w:sz="0" w:space="0" w:color="auto"/>
                    <w:bottom w:val="none" w:sz="0" w:space="0" w:color="auto"/>
                    <w:right w:val="none" w:sz="0" w:space="0" w:color="auto"/>
                  </w:divBdr>
                </w:div>
              </w:divsChild>
            </w:div>
            <w:div w:id="1349991698">
              <w:marLeft w:val="0"/>
              <w:marRight w:val="0"/>
              <w:marTop w:val="0"/>
              <w:marBottom w:val="0"/>
              <w:divBdr>
                <w:top w:val="none" w:sz="0" w:space="0" w:color="auto"/>
                <w:left w:val="none" w:sz="0" w:space="0" w:color="auto"/>
                <w:bottom w:val="none" w:sz="0" w:space="0" w:color="auto"/>
                <w:right w:val="none" w:sz="0" w:space="0" w:color="auto"/>
              </w:divBdr>
              <w:divsChild>
                <w:div w:id="1384210474">
                  <w:marLeft w:val="0"/>
                  <w:marRight w:val="0"/>
                  <w:marTop w:val="0"/>
                  <w:marBottom w:val="0"/>
                  <w:divBdr>
                    <w:top w:val="none" w:sz="0" w:space="0" w:color="auto"/>
                    <w:left w:val="none" w:sz="0" w:space="0" w:color="auto"/>
                    <w:bottom w:val="none" w:sz="0" w:space="0" w:color="auto"/>
                    <w:right w:val="none" w:sz="0" w:space="0" w:color="auto"/>
                  </w:divBdr>
                </w:div>
              </w:divsChild>
            </w:div>
            <w:div w:id="1446608740">
              <w:marLeft w:val="0"/>
              <w:marRight w:val="0"/>
              <w:marTop w:val="0"/>
              <w:marBottom w:val="0"/>
              <w:divBdr>
                <w:top w:val="none" w:sz="0" w:space="0" w:color="auto"/>
                <w:left w:val="none" w:sz="0" w:space="0" w:color="auto"/>
                <w:bottom w:val="none" w:sz="0" w:space="0" w:color="auto"/>
                <w:right w:val="none" w:sz="0" w:space="0" w:color="auto"/>
              </w:divBdr>
              <w:divsChild>
                <w:div w:id="59254485">
                  <w:marLeft w:val="0"/>
                  <w:marRight w:val="0"/>
                  <w:marTop w:val="0"/>
                  <w:marBottom w:val="0"/>
                  <w:divBdr>
                    <w:top w:val="none" w:sz="0" w:space="0" w:color="auto"/>
                    <w:left w:val="none" w:sz="0" w:space="0" w:color="auto"/>
                    <w:bottom w:val="none" w:sz="0" w:space="0" w:color="auto"/>
                    <w:right w:val="none" w:sz="0" w:space="0" w:color="auto"/>
                  </w:divBdr>
                </w:div>
              </w:divsChild>
            </w:div>
            <w:div w:id="1494643736">
              <w:marLeft w:val="0"/>
              <w:marRight w:val="0"/>
              <w:marTop w:val="0"/>
              <w:marBottom w:val="0"/>
              <w:divBdr>
                <w:top w:val="none" w:sz="0" w:space="0" w:color="auto"/>
                <w:left w:val="none" w:sz="0" w:space="0" w:color="auto"/>
                <w:bottom w:val="none" w:sz="0" w:space="0" w:color="auto"/>
                <w:right w:val="none" w:sz="0" w:space="0" w:color="auto"/>
              </w:divBdr>
              <w:divsChild>
                <w:div w:id="1266574298">
                  <w:marLeft w:val="0"/>
                  <w:marRight w:val="0"/>
                  <w:marTop w:val="0"/>
                  <w:marBottom w:val="0"/>
                  <w:divBdr>
                    <w:top w:val="none" w:sz="0" w:space="0" w:color="auto"/>
                    <w:left w:val="none" w:sz="0" w:space="0" w:color="auto"/>
                    <w:bottom w:val="none" w:sz="0" w:space="0" w:color="auto"/>
                    <w:right w:val="none" w:sz="0" w:space="0" w:color="auto"/>
                  </w:divBdr>
                </w:div>
              </w:divsChild>
            </w:div>
            <w:div w:id="1511723995">
              <w:marLeft w:val="0"/>
              <w:marRight w:val="0"/>
              <w:marTop w:val="0"/>
              <w:marBottom w:val="0"/>
              <w:divBdr>
                <w:top w:val="none" w:sz="0" w:space="0" w:color="auto"/>
                <w:left w:val="none" w:sz="0" w:space="0" w:color="auto"/>
                <w:bottom w:val="none" w:sz="0" w:space="0" w:color="auto"/>
                <w:right w:val="none" w:sz="0" w:space="0" w:color="auto"/>
              </w:divBdr>
              <w:divsChild>
                <w:div w:id="417410814">
                  <w:marLeft w:val="0"/>
                  <w:marRight w:val="0"/>
                  <w:marTop w:val="0"/>
                  <w:marBottom w:val="0"/>
                  <w:divBdr>
                    <w:top w:val="none" w:sz="0" w:space="0" w:color="auto"/>
                    <w:left w:val="none" w:sz="0" w:space="0" w:color="auto"/>
                    <w:bottom w:val="none" w:sz="0" w:space="0" w:color="auto"/>
                    <w:right w:val="none" w:sz="0" w:space="0" w:color="auto"/>
                  </w:divBdr>
                </w:div>
              </w:divsChild>
            </w:div>
            <w:div w:id="1616137578">
              <w:marLeft w:val="0"/>
              <w:marRight w:val="0"/>
              <w:marTop w:val="0"/>
              <w:marBottom w:val="0"/>
              <w:divBdr>
                <w:top w:val="none" w:sz="0" w:space="0" w:color="auto"/>
                <w:left w:val="none" w:sz="0" w:space="0" w:color="auto"/>
                <w:bottom w:val="none" w:sz="0" w:space="0" w:color="auto"/>
                <w:right w:val="none" w:sz="0" w:space="0" w:color="auto"/>
              </w:divBdr>
              <w:divsChild>
                <w:div w:id="950863228">
                  <w:marLeft w:val="0"/>
                  <w:marRight w:val="0"/>
                  <w:marTop w:val="0"/>
                  <w:marBottom w:val="0"/>
                  <w:divBdr>
                    <w:top w:val="none" w:sz="0" w:space="0" w:color="auto"/>
                    <w:left w:val="none" w:sz="0" w:space="0" w:color="auto"/>
                    <w:bottom w:val="none" w:sz="0" w:space="0" w:color="auto"/>
                    <w:right w:val="none" w:sz="0" w:space="0" w:color="auto"/>
                  </w:divBdr>
                </w:div>
              </w:divsChild>
            </w:div>
            <w:div w:id="1747263873">
              <w:marLeft w:val="0"/>
              <w:marRight w:val="0"/>
              <w:marTop w:val="0"/>
              <w:marBottom w:val="0"/>
              <w:divBdr>
                <w:top w:val="none" w:sz="0" w:space="0" w:color="auto"/>
                <w:left w:val="none" w:sz="0" w:space="0" w:color="auto"/>
                <w:bottom w:val="none" w:sz="0" w:space="0" w:color="auto"/>
                <w:right w:val="none" w:sz="0" w:space="0" w:color="auto"/>
              </w:divBdr>
              <w:divsChild>
                <w:div w:id="1228956305">
                  <w:marLeft w:val="0"/>
                  <w:marRight w:val="0"/>
                  <w:marTop w:val="0"/>
                  <w:marBottom w:val="0"/>
                  <w:divBdr>
                    <w:top w:val="none" w:sz="0" w:space="0" w:color="auto"/>
                    <w:left w:val="none" w:sz="0" w:space="0" w:color="auto"/>
                    <w:bottom w:val="none" w:sz="0" w:space="0" w:color="auto"/>
                    <w:right w:val="none" w:sz="0" w:space="0" w:color="auto"/>
                  </w:divBdr>
                </w:div>
              </w:divsChild>
            </w:div>
            <w:div w:id="1769235601">
              <w:marLeft w:val="0"/>
              <w:marRight w:val="0"/>
              <w:marTop w:val="0"/>
              <w:marBottom w:val="0"/>
              <w:divBdr>
                <w:top w:val="none" w:sz="0" w:space="0" w:color="auto"/>
                <w:left w:val="none" w:sz="0" w:space="0" w:color="auto"/>
                <w:bottom w:val="none" w:sz="0" w:space="0" w:color="auto"/>
                <w:right w:val="none" w:sz="0" w:space="0" w:color="auto"/>
              </w:divBdr>
              <w:divsChild>
                <w:div w:id="1429472082">
                  <w:marLeft w:val="0"/>
                  <w:marRight w:val="0"/>
                  <w:marTop w:val="0"/>
                  <w:marBottom w:val="0"/>
                  <w:divBdr>
                    <w:top w:val="none" w:sz="0" w:space="0" w:color="auto"/>
                    <w:left w:val="none" w:sz="0" w:space="0" w:color="auto"/>
                    <w:bottom w:val="none" w:sz="0" w:space="0" w:color="auto"/>
                    <w:right w:val="none" w:sz="0" w:space="0" w:color="auto"/>
                  </w:divBdr>
                </w:div>
              </w:divsChild>
            </w:div>
            <w:div w:id="1792431782">
              <w:marLeft w:val="0"/>
              <w:marRight w:val="0"/>
              <w:marTop w:val="0"/>
              <w:marBottom w:val="0"/>
              <w:divBdr>
                <w:top w:val="none" w:sz="0" w:space="0" w:color="auto"/>
                <w:left w:val="none" w:sz="0" w:space="0" w:color="auto"/>
                <w:bottom w:val="none" w:sz="0" w:space="0" w:color="auto"/>
                <w:right w:val="none" w:sz="0" w:space="0" w:color="auto"/>
              </w:divBdr>
              <w:divsChild>
                <w:div w:id="1735540880">
                  <w:marLeft w:val="0"/>
                  <w:marRight w:val="0"/>
                  <w:marTop w:val="0"/>
                  <w:marBottom w:val="0"/>
                  <w:divBdr>
                    <w:top w:val="none" w:sz="0" w:space="0" w:color="auto"/>
                    <w:left w:val="none" w:sz="0" w:space="0" w:color="auto"/>
                    <w:bottom w:val="none" w:sz="0" w:space="0" w:color="auto"/>
                    <w:right w:val="none" w:sz="0" w:space="0" w:color="auto"/>
                  </w:divBdr>
                </w:div>
              </w:divsChild>
            </w:div>
            <w:div w:id="1825244901">
              <w:marLeft w:val="0"/>
              <w:marRight w:val="0"/>
              <w:marTop w:val="0"/>
              <w:marBottom w:val="0"/>
              <w:divBdr>
                <w:top w:val="none" w:sz="0" w:space="0" w:color="auto"/>
                <w:left w:val="none" w:sz="0" w:space="0" w:color="auto"/>
                <w:bottom w:val="none" w:sz="0" w:space="0" w:color="auto"/>
                <w:right w:val="none" w:sz="0" w:space="0" w:color="auto"/>
              </w:divBdr>
              <w:divsChild>
                <w:div w:id="345908853">
                  <w:marLeft w:val="0"/>
                  <w:marRight w:val="0"/>
                  <w:marTop w:val="0"/>
                  <w:marBottom w:val="0"/>
                  <w:divBdr>
                    <w:top w:val="none" w:sz="0" w:space="0" w:color="auto"/>
                    <w:left w:val="none" w:sz="0" w:space="0" w:color="auto"/>
                    <w:bottom w:val="none" w:sz="0" w:space="0" w:color="auto"/>
                    <w:right w:val="none" w:sz="0" w:space="0" w:color="auto"/>
                  </w:divBdr>
                </w:div>
              </w:divsChild>
            </w:div>
            <w:div w:id="1840463956">
              <w:marLeft w:val="0"/>
              <w:marRight w:val="0"/>
              <w:marTop w:val="0"/>
              <w:marBottom w:val="0"/>
              <w:divBdr>
                <w:top w:val="none" w:sz="0" w:space="0" w:color="auto"/>
                <w:left w:val="none" w:sz="0" w:space="0" w:color="auto"/>
                <w:bottom w:val="none" w:sz="0" w:space="0" w:color="auto"/>
                <w:right w:val="none" w:sz="0" w:space="0" w:color="auto"/>
              </w:divBdr>
              <w:divsChild>
                <w:div w:id="1363289474">
                  <w:marLeft w:val="0"/>
                  <w:marRight w:val="0"/>
                  <w:marTop w:val="0"/>
                  <w:marBottom w:val="0"/>
                  <w:divBdr>
                    <w:top w:val="none" w:sz="0" w:space="0" w:color="auto"/>
                    <w:left w:val="none" w:sz="0" w:space="0" w:color="auto"/>
                    <w:bottom w:val="none" w:sz="0" w:space="0" w:color="auto"/>
                    <w:right w:val="none" w:sz="0" w:space="0" w:color="auto"/>
                  </w:divBdr>
                </w:div>
              </w:divsChild>
            </w:div>
            <w:div w:id="1844930519">
              <w:marLeft w:val="0"/>
              <w:marRight w:val="0"/>
              <w:marTop w:val="0"/>
              <w:marBottom w:val="0"/>
              <w:divBdr>
                <w:top w:val="none" w:sz="0" w:space="0" w:color="auto"/>
                <w:left w:val="none" w:sz="0" w:space="0" w:color="auto"/>
                <w:bottom w:val="none" w:sz="0" w:space="0" w:color="auto"/>
                <w:right w:val="none" w:sz="0" w:space="0" w:color="auto"/>
              </w:divBdr>
              <w:divsChild>
                <w:div w:id="1316840384">
                  <w:marLeft w:val="0"/>
                  <w:marRight w:val="0"/>
                  <w:marTop w:val="0"/>
                  <w:marBottom w:val="0"/>
                  <w:divBdr>
                    <w:top w:val="none" w:sz="0" w:space="0" w:color="auto"/>
                    <w:left w:val="none" w:sz="0" w:space="0" w:color="auto"/>
                    <w:bottom w:val="none" w:sz="0" w:space="0" w:color="auto"/>
                    <w:right w:val="none" w:sz="0" w:space="0" w:color="auto"/>
                  </w:divBdr>
                </w:div>
              </w:divsChild>
            </w:div>
            <w:div w:id="1870602389">
              <w:marLeft w:val="0"/>
              <w:marRight w:val="0"/>
              <w:marTop w:val="0"/>
              <w:marBottom w:val="0"/>
              <w:divBdr>
                <w:top w:val="none" w:sz="0" w:space="0" w:color="auto"/>
                <w:left w:val="none" w:sz="0" w:space="0" w:color="auto"/>
                <w:bottom w:val="none" w:sz="0" w:space="0" w:color="auto"/>
                <w:right w:val="none" w:sz="0" w:space="0" w:color="auto"/>
              </w:divBdr>
              <w:divsChild>
                <w:div w:id="1171676186">
                  <w:marLeft w:val="0"/>
                  <w:marRight w:val="0"/>
                  <w:marTop w:val="0"/>
                  <w:marBottom w:val="0"/>
                  <w:divBdr>
                    <w:top w:val="none" w:sz="0" w:space="0" w:color="auto"/>
                    <w:left w:val="none" w:sz="0" w:space="0" w:color="auto"/>
                    <w:bottom w:val="none" w:sz="0" w:space="0" w:color="auto"/>
                    <w:right w:val="none" w:sz="0" w:space="0" w:color="auto"/>
                  </w:divBdr>
                </w:div>
              </w:divsChild>
            </w:div>
            <w:div w:id="1881622231">
              <w:marLeft w:val="0"/>
              <w:marRight w:val="0"/>
              <w:marTop w:val="0"/>
              <w:marBottom w:val="0"/>
              <w:divBdr>
                <w:top w:val="none" w:sz="0" w:space="0" w:color="auto"/>
                <w:left w:val="none" w:sz="0" w:space="0" w:color="auto"/>
                <w:bottom w:val="none" w:sz="0" w:space="0" w:color="auto"/>
                <w:right w:val="none" w:sz="0" w:space="0" w:color="auto"/>
              </w:divBdr>
              <w:divsChild>
                <w:div w:id="1854489948">
                  <w:marLeft w:val="0"/>
                  <w:marRight w:val="0"/>
                  <w:marTop w:val="0"/>
                  <w:marBottom w:val="0"/>
                  <w:divBdr>
                    <w:top w:val="none" w:sz="0" w:space="0" w:color="auto"/>
                    <w:left w:val="none" w:sz="0" w:space="0" w:color="auto"/>
                    <w:bottom w:val="none" w:sz="0" w:space="0" w:color="auto"/>
                    <w:right w:val="none" w:sz="0" w:space="0" w:color="auto"/>
                  </w:divBdr>
                </w:div>
              </w:divsChild>
            </w:div>
            <w:div w:id="1959022307">
              <w:marLeft w:val="0"/>
              <w:marRight w:val="0"/>
              <w:marTop w:val="0"/>
              <w:marBottom w:val="0"/>
              <w:divBdr>
                <w:top w:val="none" w:sz="0" w:space="0" w:color="auto"/>
                <w:left w:val="none" w:sz="0" w:space="0" w:color="auto"/>
                <w:bottom w:val="none" w:sz="0" w:space="0" w:color="auto"/>
                <w:right w:val="none" w:sz="0" w:space="0" w:color="auto"/>
              </w:divBdr>
              <w:divsChild>
                <w:div w:id="1250575134">
                  <w:marLeft w:val="0"/>
                  <w:marRight w:val="0"/>
                  <w:marTop w:val="0"/>
                  <w:marBottom w:val="0"/>
                  <w:divBdr>
                    <w:top w:val="none" w:sz="0" w:space="0" w:color="auto"/>
                    <w:left w:val="none" w:sz="0" w:space="0" w:color="auto"/>
                    <w:bottom w:val="none" w:sz="0" w:space="0" w:color="auto"/>
                    <w:right w:val="none" w:sz="0" w:space="0" w:color="auto"/>
                  </w:divBdr>
                </w:div>
              </w:divsChild>
            </w:div>
            <w:div w:id="1991205835">
              <w:marLeft w:val="0"/>
              <w:marRight w:val="0"/>
              <w:marTop w:val="0"/>
              <w:marBottom w:val="0"/>
              <w:divBdr>
                <w:top w:val="none" w:sz="0" w:space="0" w:color="auto"/>
                <w:left w:val="none" w:sz="0" w:space="0" w:color="auto"/>
                <w:bottom w:val="none" w:sz="0" w:space="0" w:color="auto"/>
                <w:right w:val="none" w:sz="0" w:space="0" w:color="auto"/>
              </w:divBdr>
              <w:divsChild>
                <w:div w:id="606888953">
                  <w:marLeft w:val="0"/>
                  <w:marRight w:val="0"/>
                  <w:marTop w:val="0"/>
                  <w:marBottom w:val="0"/>
                  <w:divBdr>
                    <w:top w:val="none" w:sz="0" w:space="0" w:color="auto"/>
                    <w:left w:val="none" w:sz="0" w:space="0" w:color="auto"/>
                    <w:bottom w:val="none" w:sz="0" w:space="0" w:color="auto"/>
                    <w:right w:val="none" w:sz="0" w:space="0" w:color="auto"/>
                  </w:divBdr>
                </w:div>
              </w:divsChild>
            </w:div>
            <w:div w:id="2034912257">
              <w:marLeft w:val="0"/>
              <w:marRight w:val="0"/>
              <w:marTop w:val="0"/>
              <w:marBottom w:val="0"/>
              <w:divBdr>
                <w:top w:val="none" w:sz="0" w:space="0" w:color="auto"/>
                <w:left w:val="none" w:sz="0" w:space="0" w:color="auto"/>
                <w:bottom w:val="none" w:sz="0" w:space="0" w:color="auto"/>
                <w:right w:val="none" w:sz="0" w:space="0" w:color="auto"/>
              </w:divBdr>
              <w:divsChild>
                <w:div w:id="1744335216">
                  <w:marLeft w:val="0"/>
                  <w:marRight w:val="0"/>
                  <w:marTop w:val="0"/>
                  <w:marBottom w:val="0"/>
                  <w:divBdr>
                    <w:top w:val="none" w:sz="0" w:space="0" w:color="auto"/>
                    <w:left w:val="none" w:sz="0" w:space="0" w:color="auto"/>
                    <w:bottom w:val="none" w:sz="0" w:space="0" w:color="auto"/>
                    <w:right w:val="none" w:sz="0" w:space="0" w:color="auto"/>
                  </w:divBdr>
                </w:div>
              </w:divsChild>
            </w:div>
            <w:div w:id="2043089326">
              <w:marLeft w:val="0"/>
              <w:marRight w:val="0"/>
              <w:marTop w:val="0"/>
              <w:marBottom w:val="0"/>
              <w:divBdr>
                <w:top w:val="none" w:sz="0" w:space="0" w:color="auto"/>
                <w:left w:val="none" w:sz="0" w:space="0" w:color="auto"/>
                <w:bottom w:val="none" w:sz="0" w:space="0" w:color="auto"/>
                <w:right w:val="none" w:sz="0" w:space="0" w:color="auto"/>
              </w:divBdr>
              <w:divsChild>
                <w:div w:id="2116896125">
                  <w:marLeft w:val="0"/>
                  <w:marRight w:val="0"/>
                  <w:marTop w:val="0"/>
                  <w:marBottom w:val="0"/>
                  <w:divBdr>
                    <w:top w:val="none" w:sz="0" w:space="0" w:color="auto"/>
                    <w:left w:val="none" w:sz="0" w:space="0" w:color="auto"/>
                    <w:bottom w:val="none" w:sz="0" w:space="0" w:color="auto"/>
                    <w:right w:val="none" w:sz="0" w:space="0" w:color="auto"/>
                  </w:divBdr>
                </w:div>
              </w:divsChild>
            </w:div>
            <w:div w:id="2093771060">
              <w:marLeft w:val="0"/>
              <w:marRight w:val="0"/>
              <w:marTop w:val="0"/>
              <w:marBottom w:val="0"/>
              <w:divBdr>
                <w:top w:val="none" w:sz="0" w:space="0" w:color="auto"/>
                <w:left w:val="none" w:sz="0" w:space="0" w:color="auto"/>
                <w:bottom w:val="none" w:sz="0" w:space="0" w:color="auto"/>
                <w:right w:val="none" w:sz="0" w:space="0" w:color="auto"/>
              </w:divBdr>
              <w:divsChild>
                <w:div w:id="804541192">
                  <w:marLeft w:val="0"/>
                  <w:marRight w:val="0"/>
                  <w:marTop w:val="0"/>
                  <w:marBottom w:val="0"/>
                  <w:divBdr>
                    <w:top w:val="none" w:sz="0" w:space="0" w:color="auto"/>
                    <w:left w:val="none" w:sz="0" w:space="0" w:color="auto"/>
                    <w:bottom w:val="none" w:sz="0" w:space="0" w:color="auto"/>
                    <w:right w:val="none" w:sz="0" w:space="0" w:color="auto"/>
                  </w:divBdr>
                </w:div>
              </w:divsChild>
            </w:div>
            <w:div w:id="2098624477">
              <w:marLeft w:val="0"/>
              <w:marRight w:val="0"/>
              <w:marTop w:val="0"/>
              <w:marBottom w:val="0"/>
              <w:divBdr>
                <w:top w:val="none" w:sz="0" w:space="0" w:color="auto"/>
                <w:left w:val="none" w:sz="0" w:space="0" w:color="auto"/>
                <w:bottom w:val="none" w:sz="0" w:space="0" w:color="auto"/>
                <w:right w:val="none" w:sz="0" w:space="0" w:color="auto"/>
              </w:divBdr>
              <w:divsChild>
                <w:div w:id="1937519019">
                  <w:marLeft w:val="0"/>
                  <w:marRight w:val="0"/>
                  <w:marTop w:val="0"/>
                  <w:marBottom w:val="0"/>
                  <w:divBdr>
                    <w:top w:val="none" w:sz="0" w:space="0" w:color="auto"/>
                    <w:left w:val="none" w:sz="0" w:space="0" w:color="auto"/>
                    <w:bottom w:val="none" w:sz="0" w:space="0" w:color="auto"/>
                    <w:right w:val="none" w:sz="0" w:space="0" w:color="auto"/>
                  </w:divBdr>
                </w:div>
              </w:divsChild>
            </w:div>
            <w:div w:id="2110157237">
              <w:marLeft w:val="0"/>
              <w:marRight w:val="0"/>
              <w:marTop w:val="0"/>
              <w:marBottom w:val="0"/>
              <w:divBdr>
                <w:top w:val="none" w:sz="0" w:space="0" w:color="auto"/>
                <w:left w:val="none" w:sz="0" w:space="0" w:color="auto"/>
                <w:bottom w:val="none" w:sz="0" w:space="0" w:color="auto"/>
                <w:right w:val="none" w:sz="0" w:space="0" w:color="auto"/>
              </w:divBdr>
              <w:divsChild>
                <w:div w:id="643631518">
                  <w:marLeft w:val="0"/>
                  <w:marRight w:val="0"/>
                  <w:marTop w:val="0"/>
                  <w:marBottom w:val="0"/>
                  <w:divBdr>
                    <w:top w:val="none" w:sz="0" w:space="0" w:color="auto"/>
                    <w:left w:val="none" w:sz="0" w:space="0" w:color="auto"/>
                    <w:bottom w:val="none" w:sz="0" w:space="0" w:color="auto"/>
                    <w:right w:val="none" w:sz="0" w:space="0" w:color="auto"/>
                  </w:divBdr>
                </w:div>
              </w:divsChild>
            </w:div>
            <w:div w:id="2121366867">
              <w:marLeft w:val="0"/>
              <w:marRight w:val="0"/>
              <w:marTop w:val="0"/>
              <w:marBottom w:val="0"/>
              <w:divBdr>
                <w:top w:val="none" w:sz="0" w:space="0" w:color="auto"/>
                <w:left w:val="none" w:sz="0" w:space="0" w:color="auto"/>
                <w:bottom w:val="none" w:sz="0" w:space="0" w:color="auto"/>
                <w:right w:val="none" w:sz="0" w:space="0" w:color="auto"/>
              </w:divBdr>
              <w:divsChild>
                <w:div w:id="1998412573">
                  <w:marLeft w:val="0"/>
                  <w:marRight w:val="0"/>
                  <w:marTop w:val="0"/>
                  <w:marBottom w:val="0"/>
                  <w:divBdr>
                    <w:top w:val="none" w:sz="0" w:space="0" w:color="auto"/>
                    <w:left w:val="none" w:sz="0" w:space="0" w:color="auto"/>
                    <w:bottom w:val="none" w:sz="0" w:space="0" w:color="auto"/>
                    <w:right w:val="none" w:sz="0" w:space="0" w:color="auto"/>
                  </w:divBdr>
                </w:div>
              </w:divsChild>
            </w:div>
            <w:div w:id="2143381709">
              <w:marLeft w:val="0"/>
              <w:marRight w:val="0"/>
              <w:marTop w:val="0"/>
              <w:marBottom w:val="0"/>
              <w:divBdr>
                <w:top w:val="none" w:sz="0" w:space="0" w:color="auto"/>
                <w:left w:val="none" w:sz="0" w:space="0" w:color="auto"/>
                <w:bottom w:val="none" w:sz="0" w:space="0" w:color="auto"/>
                <w:right w:val="none" w:sz="0" w:space="0" w:color="auto"/>
              </w:divBdr>
              <w:divsChild>
                <w:div w:id="15696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4936">
          <w:marLeft w:val="0"/>
          <w:marRight w:val="0"/>
          <w:marTop w:val="0"/>
          <w:marBottom w:val="0"/>
          <w:divBdr>
            <w:top w:val="none" w:sz="0" w:space="0" w:color="auto"/>
            <w:left w:val="none" w:sz="0" w:space="0" w:color="auto"/>
            <w:bottom w:val="none" w:sz="0" w:space="0" w:color="auto"/>
            <w:right w:val="none" w:sz="0" w:space="0" w:color="auto"/>
          </w:divBdr>
        </w:div>
        <w:div w:id="1589001245">
          <w:marLeft w:val="0"/>
          <w:marRight w:val="0"/>
          <w:marTop w:val="0"/>
          <w:marBottom w:val="0"/>
          <w:divBdr>
            <w:top w:val="none" w:sz="0" w:space="0" w:color="auto"/>
            <w:left w:val="none" w:sz="0" w:space="0" w:color="auto"/>
            <w:bottom w:val="none" w:sz="0" w:space="0" w:color="auto"/>
            <w:right w:val="none" w:sz="0" w:space="0" w:color="auto"/>
          </w:divBdr>
        </w:div>
        <w:div w:id="1595629271">
          <w:marLeft w:val="0"/>
          <w:marRight w:val="0"/>
          <w:marTop w:val="0"/>
          <w:marBottom w:val="0"/>
          <w:divBdr>
            <w:top w:val="none" w:sz="0" w:space="0" w:color="auto"/>
            <w:left w:val="none" w:sz="0" w:space="0" w:color="auto"/>
            <w:bottom w:val="none" w:sz="0" w:space="0" w:color="auto"/>
            <w:right w:val="none" w:sz="0" w:space="0" w:color="auto"/>
          </w:divBdr>
        </w:div>
        <w:div w:id="1596550738">
          <w:marLeft w:val="0"/>
          <w:marRight w:val="0"/>
          <w:marTop w:val="0"/>
          <w:marBottom w:val="0"/>
          <w:divBdr>
            <w:top w:val="none" w:sz="0" w:space="0" w:color="auto"/>
            <w:left w:val="none" w:sz="0" w:space="0" w:color="auto"/>
            <w:bottom w:val="none" w:sz="0" w:space="0" w:color="auto"/>
            <w:right w:val="none" w:sz="0" w:space="0" w:color="auto"/>
          </w:divBdr>
        </w:div>
        <w:div w:id="1621567429">
          <w:marLeft w:val="0"/>
          <w:marRight w:val="0"/>
          <w:marTop w:val="0"/>
          <w:marBottom w:val="0"/>
          <w:divBdr>
            <w:top w:val="none" w:sz="0" w:space="0" w:color="auto"/>
            <w:left w:val="none" w:sz="0" w:space="0" w:color="auto"/>
            <w:bottom w:val="none" w:sz="0" w:space="0" w:color="auto"/>
            <w:right w:val="none" w:sz="0" w:space="0" w:color="auto"/>
          </w:divBdr>
        </w:div>
        <w:div w:id="1629051437">
          <w:marLeft w:val="0"/>
          <w:marRight w:val="0"/>
          <w:marTop w:val="0"/>
          <w:marBottom w:val="0"/>
          <w:divBdr>
            <w:top w:val="none" w:sz="0" w:space="0" w:color="auto"/>
            <w:left w:val="none" w:sz="0" w:space="0" w:color="auto"/>
            <w:bottom w:val="none" w:sz="0" w:space="0" w:color="auto"/>
            <w:right w:val="none" w:sz="0" w:space="0" w:color="auto"/>
          </w:divBdr>
        </w:div>
        <w:div w:id="1633292802">
          <w:marLeft w:val="0"/>
          <w:marRight w:val="0"/>
          <w:marTop w:val="0"/>
          <w:marBottom w:val="0"/>
          <w:divBdr>
            <w:top w:val="none" w:sz="0" w:space="0" w:color="auto"/>
            <w:left w:val="none" w:sz="0" w:space="0" w:color="auto"/>
            <w:bottom w:val="none" w:sz="0" w:space="0" w:color="auto"/>
            <w:right w:val="none" w:sz="0" w:space="0" w:color="auto"/>
          </w:divBdr>
        </w:div>
        <w:div w:id="1648782674">
          <w:marLeft w:val="0"/>
          <w:marRight w:val="0"/>
          <w:marTop w:val="0"/>
          <w:marBottom w:val="0"/>
          <w:divBdr>
            <w:top w:val="none" w:sz="0" w:space="0" w:color="auto"/>
            <w:left w:val="none" w:sz="0" w:space="0" w:color="auto"/>
            <w:bottom w:val="none" w:sz="0" w:space="0" w:color="auto"/>
            <w:right w:val="none" w:sz="0" w:space="0" w:color="auto"/>
          </w:divBdr>
        </w:div>
        <w:div w:id="1650328170">
          <w:marLeft w:val="0"/>
          <w:marRight w:val="0"/>
          <w:marTop w:val="0"/>
          <w:marBottom w:val="0"/>
          <w:divBdr>
            <w:top w:val="none" w:sz="0" w:space="0" w:color="auto"/>
            <w:left w:val="none" w:sz="0" w:space="0" w:color="auto"/>
            <w:bottom w:val="none" w:sz="0" w:space="0" w:color="auto"/>
            <w:right w:val="none" w:sz="0" w:space="0" w:color="auto"/>
          </w:divBdr>
        </w:div>
        <w:div w:id="1657301780">
          <w:marLeft w:val="0"/>
          <w:marRight w:val="0"/>
          <w:marTop w:val="0"/>
          <w:marBottom w:val="0"/>
          <w:divBdr>
            <w:top w:val="none" w:sz="0" w:space="0" w:color="auto"/>
            <w:left w:val="none" w:sz="0" w:space="0" w:color="auto"/>
            <w:bottom w:val="none" w:sz="0" w:space="0" w:color="auto"/>
            <w:right w:val="none" w:sz="0" w:space="0" w:color="auto"/>
          </w:divBdr>
        </w:div>
        <w:div w:id="1706758347">
          <w:marLeft w:val="0"/>
          <w:marRight w:val="0"/>
          <w:marTop w:val="0"/>
          <w:marBottom w:val="0"/>
          <w:divBdr>
            <w:top w:val="none" w:sz="0" w:space="0" w:color="auto"/>
            <w:left w:val="none" w:sz="0" w:space="0" w:color="auto"/>
            <w:bottom w:val="none" w:sz="0" w:space="0" w:color="auto"/>
            <w:right w:val="none" w:sz="0" w:space="0" w:color="auto"/>
          </w:divBdr>
        </w:div>
        <w:div w:id="1716849835">
          <w:marLeft w:val="0"/>
          <w:marRight w:val="0"/>
          <w:marTop w:val="0"/>
          <w:marBottom w:val="0"/>
          <w:divBdr>
            <w:top w:val="none" w:sz="0" w:space="0" w:color="auto"/>
            <w:left w:val="none" w:sz="0" w:space="0" w:color="auto"/>
            <w:bottom w:val="none" w:sz="0" w:space="0" w:color="auto"/>
            <w:right w:val="none" w:sz="0" w:space="0" w:color="auto"/>
          </w:divBdr>
        </w:div>
        <w:div w:id="1719819861">
          <w:marLeft w:val="0"/>
          <w:marRight w:val="0"/>
          <w:marTop w:val="0"/>
          <w:marBottom w:val="0"/>
          <w:divBdr>
            <w:top w:val="none" w:sz="0" w:space="0" w:color="auto"/>
            <w:left w:val="none" w:sz="0" w:space="0" w:color="auto"/>
            <w:bottom w:val="none" w:sz="0" w:space="0" w:color="auto"/>
            <w:right w:val="none" w:sz="0" w:space="0" w:color="auto"/>
          </w:divBdr>
        </w:div>
        <w:div w:id="1722359375">
          <w:marLeft w:val="0"/>
          <w:marRight w:val="0"/>
          <w:marTop w:val="0"/>
          <w:marBottom w:val="0"/>
          <w:divBdr>
            <w:top w:val="none" w:sz="0" w:space="0" w:color="auto"/>
            <w:left w:val="none" w:sz="0" w:space="0" w:color="auto"/>
            <w:bottom w:val="none" w:sz="0" w:space="0" w:color="auto"/>
            <w:right w:val="none" w:sz="0" w:space="0" w:color="auto"/>
          </w:divBdr>
        </w:div>
        <w:div w:id="1728068926">
          <w:marLeft w:val="0"/>
          <w:marRight w:val="0"/>
          <w:marTop w:val="0"/>
          <w:marBottom w:val="0"/>
          <w:divBdr>
            <w:top w:val="none" w:sz="0" w:space="0" w:color="auto"/>
            <w:left w:val="none" w:sz="0" w:space="0" w:color="auto"/>
            <w:bottom w:val="none" w:sz="0" w:space="0" w:color="auto"/>
            <w:right w:val="none" w:sz="0" w:space="0" w:color="auto"/>
          </w:divBdr>
        </w:div>
        <w:div w:id="1729959011">
          <w:marLeft w:val="0"/>
          <w:marRight w:val="0"/>
          <w:marTop w:val="0"/>
          <w:marBottom w:val="0"/>
          <w:divBdr>
            <w:top w:val="none" w:sz="0" w:space="0" w:color="auto"/>
            <w:left w:val="none" w:sz="0" w:space="0" w:color="auto"/>
            <w:bottom w:val="none" w:sz="0" w:space="0" w:color="auto"/>
            <w:right w:val="none" w:sz="0" w:space="0" w:color="auto"/>
          </w:divBdr>
        </w:div>
        <w:div w:id="1739981300">
          <w:marLeft w:val="0"/>
          <w:marRight w:val="0"/>
          <w:marTop w:val="0"/>
          <w:marBottom w:val="0"/>
          <w:divBdr>
            <w:top w:val="none" w:sz="0" w:space="0" w:color="auto"/>
            <w:left w:val="none" w:sz="0" w:space="0" w:color="auto"/>
            <w:bottom w:val="none" w:sz="0" w:space="0" w:color="auto"/>
            <w:right w:val="none" w:sz="0" w:space="0" w:color="auto"/>
          </w:divBdr>
        </w:div>
        <w:div w:id="1755006190">
          <w:marLeft w:val="0"/>
          <w:marRight w:val="0"/>
          <w:marTop w:val="0"/>
          <w:marBottom w:val="0"/>
          <w:divBdr>
            <w:top w:val="none" w:sz="0" w:space="0" w:color="auto"/>
            <w:left w:val="none" w:sz="0" w:space="0" w:color="auto"/>
            <w:bottom w:val="none" w:sz="0" w:space="0" w:color="auto"/>
            <w:right w:val="none" w:sz="0" w:space="0" w:color="auto"/>
          </w:divBdr>
        </w:div>
        <w:div w:id="1764911677">
          <w:marLeft w:val="0"/>
          <w:marRight w:val="0"/>
          <w:marTop w:val="0"/>
          <w:marBottom w:val="0"/>
          <w:divBdr>
            <w:top w:val="none" w:sz="0" w:space="0" w:color="auto"/>
            <w:left w:val="none" w:sz="0" w:space="0" w:color="auto"/>
            <w:bottom w:val="none" w:sz="0" w:space="0" w:color="auto"/>
            <w:right w:val="none" w:sz="0" w:space="0" w:color="auto"/>
          </w:divBdr>
        </w:div>
        <w:div w:id="1773429876">
          <w:marLeft w:val="0"/>
          <w:marRight w:val="0"/>
          <w:marTop w:val="0"/>
          <w:marBottom w:val="0"/>
          <w:divBdr>
            <w:top w:val="none" w:sz="0" w:space="0" w:color="auto"/>
            <w:left w:val="none" w:sz="0" w:space="0" w:color="auto"/>
            <w:bottom w:val="none" w:sz="0" w:space="0" w:color="auto"/>
            <w:right w:val="none" w:sz="0" w:space="0" w:color="auto"/>
          </w:divBdr>
        </w:div>
        <w:div w:id="1775782664">
          <w:marLeft w:val="0"/>
          <w:marRight w:val="0"/>
          <w:marTop w:val="0"/>
          <w:marBottom w:val="0"/>
          <w:divBdr>
            <w:top w:val="none" w:sz="0" w:space="0" w:color="auto"/>
            <w:left w:val="none" w:sz="0" w:space="0" w:color="auto"/>
            <w:bottom w:val="none" w:sz="0" w:space="0" w:color="auto"/>
            <w:right w:val="none" w:sz="0" w:space="0" w:color="auto"/>
          </w:divBdr>
        </w:div>
        <w:div w:id="1776515659">
          <w:marLeft w:val="0"/>
          <w:marRight w:val="0"/>
          <w:marTop w:val="0"/>
          <w:marBottom w:val="0"/>
          <w:divBdr>
            <w:top w:val="none" w:sz="0" w:space="0" w:color="auto"/>
            <w:left w:val="none" w:sz="0" w:space="0" w:color="auto"/>
            <w:bottom w:val="none" w:sz="0" w:space="0" w:color="auto"/>
            <w:right w:val="none" w:sz="0" w:space="0" w:color="auto"/>
          </w:divBdr>
        </w:div>
        <w:div w:id="1776944075">
          <w:marLeft w:val="0"/>
          <w:marRight w:val="0"/>
          <w:marTop w:val="0"/>
          <w:marBottom w:val="0"/>
          <w:divBdr>
            <w:top w:val="none" w:sz="0" w:space="0" w:color="auto"/>
            <w:left w:val="none" w:sz="0" w:space="0" w:color="auto"/>
            <w:bottom w:val="none" w:sz="0" w:space="0" w:color="auto"/>
            <w:right w:val="none" w:sz="0" w:space="0" w:color="auto"/>
          </w:divBdr>
        </w:div>
        <w:div w:id="1781798843">
          <w:marLeft w:val="0"/>
          <w:marRight w:val="0"/>
          <w:marTop w:val="0"/>
          <w:marBottom w:val="0"/>
          <w:divBdr>
            <w:top w:val="none" w:sz="0" w:space="0" w:color="auto"/>
            <w:left w:val="none" w:sz="0" w:space="0" w:color="auto"/>
            <w:bottom w:val="none" w:sz="0" w:space="0" w:color="auto"/>
            <w:right w:val="none" w:sz="0" w:space="0" w:color="auto"/>
          </w:divBdr>
        </w:div>
        <w:div w:id="1782068611">
          <w:marLeft w:val="0"/>
          <w:marRight w:val="0"/>
          <w:marTop w:val="0"/>
          <w:marBottom w:val="0"/>
          <w:divBdr>
            <w:top w:val="none" w:sz="0" w:space="0" w:color="auto"/>
            <w:left w:val="none" w:sz="0" w:space="0" w:color="auto"/>
            <w:bottom w:val="none" w:sz="0" w:space="0" w:color="auto"/>
            <w:right w:val="none" w:sz="0" w:space="0" w:color="auto"/>
          </w:divBdr>
        </w:div>
        <w:div w:id="1785728285">
          <w:marLeft w:val="0"/>
          <w:marRight w:val="0"/>
          <w:marTop w:val="0"/>
          <w:marBottom w:val="0"/>
          <w:divBdr>
            <w:top w:val="none" w:sz="0" w:space="0" w:color="auto"/>
            <w:left w:val="none" w:sz="0" w:space="0" w:color="auto"/>
            <w:bottom w:val="none" w:sz="0" w:space="0" w:color="auto"/>
            <w:right w:val="none" w:sz="0" w:space="0" w:color="auto"/>
          </w:divBdr>
        </w:div>
        <w:div w:id="1791897089">
          <w:marLeft w:val="0"/>
          <w:marRight w:val="0"/>
          <w:marTop w:val="0"/>
          <w:marBottom w:val="0"/>
          <w:divBdr>
            <w:top w:val="none" w:sz="0" w:space="0" w:color="auto"/>
            <w:left w:val="none" w:sz="0" w:space="0" w:color="auto"/>
            <w:bottom w:val="none" w:sz="0" w:space="0" w:color="auto"/>
            <w:right w:val="none" w:sz="0" w:space="0" w:color="auto"/>
          </w:divBdr>
        </w:div>
        <w:div w:id="1809781715">
          <w:marLeft w:val="0"/>
          <w:marRight w:val="0"/>
          <w:marTop w:val="0"/>
          <w:marBottom w:val="0"/>
          <w:divBdr>
            <w:top w:val="none" w:sz="0" w:space="0" w:color="auto"/>
            <w:left w:val="none" w:sz="0" w:space="0" w:color="auto"/>
            <w:bottom w:val="none" w:sz="0" w:space="0" w:color="auto"/>
            <w:right w:val="none" w:sz="0" w:space="0" w:color="auto"/>
          </w:divBdr>
        </w:div>
        <w:div w:id="1819957495">
          <w:marLeft w:val="0"/>
          <w:marRight w:val="0"/>
          <w:marTop w:val="0"/>
          <w:marBottom w:val="0"/>
          <w:divBdr>
            <w:top w:val="none" w:sz="0" w:space="0" w:color="auto"/>
            <w:left w:val="none" w:sz="0" w:space="0" w:color="auto"/>
            <w:bottom w:val="none" w:sz="0" w:space="0" w:color="auto"/>
            <w:right w:val="none" w:sz="0" w:space="0" w:color="auto"/>
          </w:divBdr>
        </w:div>
        <w:div w:id="1820268433">
          <w:marLeft w:val="0"/>
          <w:marRight w:val="0"/>
          <w:marTop w:val="0"/>
          <w:marBottom w:val="0"/>
          <w:divBdr>
            <w:top w:val="none" w:sz="0" w:space="0" w:color="auto"/>
            <w:left w:val="none" w:sz="0" w:space="0" w:color="auto"/>
            <w:bottom w:val="none" w:sz="0" w:space="0" w:color="auto"/>
            <w:right w:val="none" w:sz="0" w:space="0" w:color="auto"/>
          </w:divBdr>
        </w:div>
        <w:div w:id="1821655857">
          <w:marLeft w:val="0"/>
          <w:marRight w:val="0"/>
          <w:marTop w:val="0"/>
          <w:marBottom w:val="0"/>
          <w:divBdr>
            <w:top w:val="none" w:sz="0" w:space="0" w:color="auto"/>
            <w:left w:val="none" w:sz="0" w:space="0" w:color="auto"/>
            <w:bottom w:val="none" w:sz="0" w:space="0" w:color="auto"/>
            <w:right w:val="none" w:sz="0" w:space="0" w:color="auto"/>
          </w:divBdr>
        </w:div>
        <w:div w:id="1828861416">
          <w:marLeft w:val="0"/>
          <w:marRight w:val="0"/>
          <w:marTop w:val="0"/>
          <w:marBottom w:val="0"/>
          <w:divBdr>
            <w:top w:val="none" w:sz="0" w:space="0" w:color="auto"/>
            <w:left w:val="none" w:sz="0" w:space="0" w:color="auto"/>
            <w:bottom w:val="none" w:sz="0" w:space="0" w:color="auto"/>
            <w:right w:val="none" w:sz="0" w:space="0" w:color="auto"/>
          </w:divBdr>
        </w:div>
        <w:div w:id="1829664045">
          <w:marLeft w:val="0"/>
          <w:marRight w:val="0"/>
          <w:marTop w:val="0"/>
          <w:marBottom w:val="0"/>
          <w:divBdr>
            <w:top w:val="none" w:sz="0" w:space="0" w:color="auto"/>
            <w:left w:val="none" w:sz="0" w:space="0" w:color="auto"/>
            <w:bottom w:val="none" w:sz="0" w:space="0" w:color="auto"/>
            <w:right w:val="none" w:sz="0" w:space="0" w:color="auto"/>
          </w:divBdr>
        </w:div>
        <w:div w:id="1843353330">
          <w:marLeft w:val="0"/>
          <w:marRight w:val="0"/>
          <w:marTop w:val="0"/>
          <w:marBottom w:val="0"/>
          <w:divBdr>
            <w:top w:val="none" w:sz="0" w:space="0" w:color="auto"/>
            <w:left w:val="none" w:sz="0" w:space="0" w:color="auto"/>
            <w:bottom w:val="none" w:sz="0" w:space="0" w:color="auto"/>
            <w:right w:val="none" w:sz="0" w:space="0" w:color="auto"/>
          </w:divBdr>
        </w:div>
        <w:div w:id="1857234071">
          <w:marLeft w:val="0"/>
          <w:marRight w:val="0"/>
          <w:marTop w:val="0"/>
          <w:marBottom w:val="0"/>
          <w:divBdr>
            <w:top w:val="none" w:sz="0" w:space="0" w:color="auto"/>
            <w:left w:val="none" w:sz="0" w:space="0" w:color="auto"/>
            <w:bottom w:val="none" w:sz="0" w:space="0" w:color="auto"/>
            <w:right w:val="none" w:sz="0" w:space="0" w:color="auto"/>
          </w:divBdr>
        </w:div>
        <w:div w:id="1857452207">
          <w:marLeft w:val="0"/>
          <w:marRight w:val="0"/>
          <w:marTop w:val="0"/>
          <w:marBottom w:val="0"/>
          <w:divBdr>
            <w:top w:val="none" w:sz="0" w:space="0" w:color="auto"/>
            <w:left w:val="none" w:sz="0" w:space="0" w:color="auto"/>
            <w:bottom w:val="none" w:sz="0" w:space="0" w:color="auto"/>
            <w:right w:val="none" w:sz="0" w:space="0" w:color="auto"/>
          </w:divBdr>
        </w:div>
        <w:div w:id="1866212294">
          <w:marLeft w:val="0"/>
          <w:marRight w:val="0"/>
          <w:marTop w:val="0"/>
          <w:marBottom w:val="0"/>
          <w:divBdr>
            <w:top w:val="none" w:sz="0" w:space="0" w:color="auto"/>
            <w:left w:val="none" w:sz="0" w:space="0" w:color="auto"/>
            <w:bottom w:val="none" w:sz="0" w:space="0" w:color="auto"/>
            <w:right w:val="none" w:sz="0" w:space="0" w:color="auto"/>
          </w:divBdr>
        </w:div>
        <w:div w:id="1869683997">
          <w:marLeft w:val="0"/>
          <w:marRight w:val="0"/>
          <w:marTop w:val="0"/>
          <w:marBottom w:val="0"/>
          <w:divBdr>
            <w:top w:val="none" w:sz="0" w:space="0" w:color="auto"/>
            <w:left w:val="none" w:sz="0" w:space="0" w:color="auto"/>
            <w:bottom w:val="none" w:sz="0" w:space="0" w:color="auto"/>
            <w:right w:val="none" w:sz="0" w:space="0" w:color="auto"/>
          </w:divBdr>
        </w:div>
        <w:div w:id="1878198501">
          <w:marLeft w:val="0"/>
          <w:marRight w:val="0"/>
          <w:marTop w:val="0"/>
          <w:marBottom w:val="0"/>
          <w:divBdr>
            <w:top w:val="none" w:sz="0" w:space="0" w:color="auto"/>
            <w:left w:val="none" w:sz="0" w:space="0" w:color="auto"/>
            <w:bottom w:val="none" w:sz="0" w:space="0" w:color="auto"/>
            <w:right w:val="none" w:sz="0" w:space="0" w:color="auto"/>
          </w:divBdr>
        </w:div>
        <w:div w:id="1903709817">
          <w:marLeft w:val="0"/>
          <w:marRight w:val="0"/>
          <w:marTop w:val="0"/>
          <w:marBottom w:val="0"/>
          <w:divBdr>
            <w:top w:val="none" w:sz="0" w:space="0" w:color="auto"/>
            <w:left w:val="none" w:sz="0" w:space="0" w:color="auto"/>
            <w:bottom w:val="none" w:sz="0" w:space="0" w:color="auto"/>
            <w:right w:val="none" w:sz="0" w:space="0" w:color="auto"/>
          </w:divBdr>
        </w:div>
        <w:div w:id="1904639150">
          <w:marLeft w:val="0"/>
          <w:marRight w:val="0"/>
          <w:marTop w:val="0"/>
          <w:marBottom w:val="0"/>
          <w:divBdr>
            <w:top w:val="none" w:sz="0" w:space="0" w:color="auto"/>
            <w:left w:val="none" w:sz="0" w:space="0" w:color="auto"/>
            <w:bottom w:val="none" w:sz="0" w:space="0" w:color="auto"/>
            <w:right w:val="none" w:sz="0" w:space="0" w:color="auto"/>
          </w:divBdr>
        </w:div>
        <w:div w:id="1914776238">
          <w:marLeft w:val="0"/>
          <w:marRight w:val="0"/>
          <w:marTop w:val="0"/>
          <w:marBottom w:val="0"/>
          <w:divBdr>
            <w:top w:val="none" w:sz="0" w:space="0" w:color="auto"/>
            <w:left w:val="none" w:sz="0" w:space="0" w:color="auto"/>
            <w:bottom w:val="none" w:sz="0" w:space="0" w:color="auto"/>
            <w:right w:val="none" w:sz="0" w:space="0" w:color="auto"/>
          </w:divBdr>
        </w:div>
        <w:div w:id="1917592784">
          <w:marLeft w:val="0"/>
          <w:marRight w:val="0"/>
          <w:marTop w:val="0"/>
          <w:marBottom w:val="0"/>
          <w:divBdr>
            <w:top w:val="none" w:sz="0" w:space="0" w:color="auto"/>
            <w:left w:val="none" w:sz="0" w:space="0" w:color="auto"/>
            <w:bottom w:val="none" w:sz="0" w:space="0" w:color="auto"/>
            <w:right w:val="none" w:sz="0" w:space="0" w:color="auto"/>
          </w:divBdr>
        </w:div>
        <w:div w:id="1924751609">
          <w:marLeft w:val="0"/>
          <w:marRight w:val="0"/>
          <w:marTop w:val="0"/>
          <w:marBottom w:val="0"/>
          <w:divBdr>
            <w:top w:val="none" w:sz="0" w:space="0" w:color="auto"/>
            <w:left w:val="none" w:sz="0" w:space="0" w:color="auto"/>
            <w:bottom w:val="none" w:sz="0" w:space="0" w:color="auto"/>
            <w:right w:val="none" w:sz="0" w:space="0" w:color="auto"/>
          </w:divBdr>
        </w:div>
        <w:div w:id="1932157226">
          <w:marLeft w:val="0"/>
          <w:marRight w:val="0"/>
          <w:marTop w:val="0"/>
          <w:marBottom w:val="0"/>
          <w:divBdr>
            <w:top w:val="none" w:sz="0" w:space="0" w:color="auto"/>
            <w:left w:val="none" w:sz="0" w:space="0" w:color="auto"/>
            <w:bottom w:val="none" w:sz="0" w:space="0" w:color="auto"/>
            <w:right w:val="none" w:sz="0" w:space="0" w:color="auto"/>
          </w:divBdr>
        </w:div>
        <w:div w:id="1934245124">
          <w:marLeft w:val="0"/>
          <w:marRight w:val="0"/>
          <w:marTop w:val="0"/>
          <w:marBottom w:val="0"/>
          <w:divBdr>
            <w:top w:val="none" w:sz="0" w:space="0" w:color="auto"/>
            <w:left w:val="none" w:sz="0" w:space="0" w:color="auto"/>
            <w:bottom w:val="none" w:sz="0" w:space="0" w:color="auto"/>
            <w:right w:val="none" w:sz="0" w:space="0" w:color="auto"/>
          </w:divBdr>
        </w:div>
        <w:div w:id="1934431327">
          <w:marLeft w:val="0"/>
          <w:marRight w:val="0"/>
          <w:marTop w:val="0"/>
          <w:marBottom w:val="0"/>
          <w:divBdr>
            <w:top w:val="none" w:sz="0" w:space="0" w:color="auto"/>
            <w:left w:val="none" w:sz="0" w:space="0" w:color="auto"/>
            <w:bottom w:val="none" w:sz="0" w:space="0" w:color="auto"/>
            <w:right w:val="none" w:sz="0" w:space="0" w:color="auto"/>
          </w:divBdr>
        </w:div>
        <w:div w:id="1953705032">
          <w:marLeft w:val="0"/>
          <w:marRight w:val="0"/>
          <w:marTop w:val="0"/>
          <w:marBottom w:val="0"/>
          <w:divBdr>
            <w:top w:val="none" w:sz="0" w:space="0" w:color="auto"/>
            <w:left w:val="none" w:sz="0" w:space="0" w:color="auto"/>
            <w:bottom w:val="none" w:sz="0" w:space="0" w:color="auto"/>
            <w:right w:val="none" w:sz="0" w:space="0" w:color="auto"/>
          </w:divBdr>
        </w:div>
        <w:div w:id="1965577457">
          <w:marLeft w:val="0"/>
          <w:marRight w:val="0"/>
          <w:marTop w:val="0"/>
          <w:marBottom w:val="0"/>
          <w:divBdr>
            <w:top w:val="none" w:sz="0" w:space="0" w:color="auto"/>
            <w:left w:val="none" w:sz="0" w:space="0" w:color="auto"/>
            <w:bottom w:val="none" w:sz="0" w:space="0" w:color="auto"/>
            <w:right w:val="none" w:sz="0" w:space="0" w:color="auto"/>
          </w:divBdr>
        </w:div>
        <w:div w:id="1975913609">
          <w:marLeft w:val="0"/>
          <w:marRight w:val="0"/>
          <w:marTop w:val="0"/>
          <w:marBottom w:val="0"/>
          <w:divBdr>
            <w:top w:val="none" w:sz="0" w:space="0" w:color="auto"/>
            <w:left w:val="none" w:sz="0" w:space="0" w:color="auto"/>
            <w:bottom w:val="none" w:sz="0" w:space="0" w:color="auto"/>
            <w:right w:val="none" w:sz="0" w:space="0" w:color="auto"/>
          </w:divBdr>
        </w:div>
        <w:div w:id="1976374161">
          <w:marLeft w:val="0"/>
          <w:marRight w:val="0"/>
          <w:marTop w:val="0"/>
          <w:marBottom w:val="0"/>
          <w:divBdr>
            <w:top w:val="none" w:sz="0" w:space="0" w:color="auto"/>
            <w:left w:val="none" w:sz="0" w:space="0" w:color="auto"/>
            <w:bottom w:val="none" w:sz="0" w:space="0" w:color="auto"/>
            <w:right w:val="none" w:sz="0" w:space="0" w:color="auto"/>
          </w:divBdr>
        </w:div>
        <w:div w:id="1980763189">
          <w:marLeft w:val="0"/>
          <w:marRight w:val="0"/>
          <w:marTop w:val="0"/>
          <w:marBottom w:val="0"/>
          <w:divBdr>
            <w:top w:val="none" w:sz="0" w:space="0" w:color="auto"/>
            <w:left w:val="none" w:sz="0" w:space="0" w:color="auto"/>
            <w:bottom w:val="none" w:sz="0" w:space="0" w:color="auto"/>
            <w:right w:val="none" w:sz="0" w:space="0" w:color="auto"/>
          </w:divBdr>
        </w:div>
        <w:div w:id="1982467217">
          <w:marLeft w:val="0"/>
          <w:marRight w:val="0"/>
          <w:marTop w:val="0"/>
          <w:marBottom w:val="0"/>
          <w:divBdr>
            <w:top w:val="none" w:sz="0" w:space="0" w:color="auto"/>
            <w:left w:val="none" w:sz="0" w:space="0" w:color="auto"/>
            <w:bottom w:val="none" w:sz="0" w:space="0" w:color="auto"/>
            <w:right w:val="none" w:sz="0" w:space="0" w:color="auto"/>
          </w:divBdr>
        </w:div>
        <w:div w:id="1984235601">
          <w:marLeft w:val="0"/>
          <w:marRight w:val="0"/>
          <w:marTop w:val="0"/>
          <w:marBottom w:val="0"/>
          <w:divBdr>
            <w:top w:val="none" w:sz="0" w:space="0" w:color="auto"/>
            <w:left w:val="none" w:sz="0" w:space="0" w:color="auto"/>
            <w:bottom w:val="none" w:sz="0" w:space="0" w:color="auto"/>
            <w:right w:val="none" w:sz="0" w:space="0" w:color="auto"/>
          </w:divBdr>
        </w:div>
        <w:div w:id="1984656674">
          <w:marLeft w:val="0"/>
          <w:marRight w:val="0"/>
          <w:marTop w:val="0"/>
          <w:marBottom w:val="0"/>
          <w:divBdr>
            <w:top w:val="none" w:sz="0" w:space="0" w:color="auto"/>
            <w:left w:val="none" w:sz="0" w:space="0" w:color="auto"/>
            <w:bottom w:val="none" w:sz="0" w:space="0" w:color="auto"/>
            <w:right w:val="none" w:sz="0" w:space="0" w:color="auto"/>
          </w:divBdr>
        </w:div>
        <w:div w:id="1990359750">
          <w:marLeft w:val="0"/>
          <w:marRight w:val="0"/>
          <w:marTop w:val="0"/>
          <w:marBottom w:val="0"/>
          <w:divBdr>
            <w:top w:val="none" w:sz="0" w:space="0" w:color="auto"/>
            <w:left w:val="none" w:sz="0" w:space="0" w:color="auto"/>
            <w:bottom w:val="none" w:sz="0" w:space="0" w:color="auto"/>
            <w:right w:val="none" w:sz="0" w:space="0" w:color="auto"/>
          </w:divBdr>
        </w:div>
        <w:div w:id="2005670143">
          <w:marLeft w:val="0"/>
          <w:marRight w:val="0"/>
          <w:marTop w:val="0"/>
          <w:marBottom w:val="0"/>
          <w:divBdr>
            <w:top w:val="none" w:sz="0" w:space="0" w:color="auto"/>
            <w:left w:val="none" w:sz="0" w:space="0" w:color="auto"/>
            <w:bottom w:val="none" w:sz="0" w:space="0" w:color="auto"/>
            <w:right w:val="none" w:sz="0" w:space="0" w:color="auto"/>
          </w:divBdr>
        </w:div>
        <w:div w:id="2022579989">
          <w:marLeft w:val="0"/>
          <w:marRight w:val="0"/>
          <w:marTop w:val="0"/>
          <w:marBottom w:val="0"/>
          <w:divBdr>
            <w:top w:val="none" w:sz="0" w:space="0" w:color="auto"/>
            <w:left w:val="none" w:sz="0" w:space="0" w:color="auto"/>
            <w:bottom w:val="none" w:sz="0" w:space="0" w:color="auto"/>
            <w:right w:val="none" w:sz="0" w:space="0" w:color="auto"/>
          </w:divBdr>
        </w:div>
        <w:div w:id="2024893559">
          <w:marLeft w:val="0"/>
          <w:marRight w:val="0"/>
          <w:marTop w:val="0"/>
          <w:marBottom w:val="0"/>
          <w:divBdr>
            <w:top w:val="none" w:sz="0" w:space="0" w:color="auto"/>
            <w:left w:val="none" w:sz="0" w:space="0" w:color="auto"/>
            <w:bottom w:val="none" w:sz="0" w:space="0" w:color="auto"/>
            <w:right w:val="none" w:sz="0" w:space="0" w:color="auto"/>
          </w:divBdr>
        </w:div>
        <w:div w:id="2036031004">
          <w:marLeft w:val="0"/>
          <w:marRight w:val="0"/>
          <w:marTop w:val="0"/>
          <w:marBottom w:val="0"/>
          <w:divBdr>
            <w:top w:val="none" w:sz="0" w:space="0" w:color="auto"/>
            <w:left w:val="none" w:sz="0" w:space="0" w:color="auto"/>
            <w:bottom w:val="none" w:sz="0" w:space="0" w:color="auto"/>
            <w:right w:val="none" w:sz="0" w:space="0" w:color="auto"/>
          </w:divBdr>
        </w:div>
        <w:div w:id="2103137562">
          <w:marLeft w:val="0"/>
          <w:marRight w:val="0"/>
          <w:marTop w:val="0"/>
          <w:marBottom w:val="0"/>
          <w:divBdr>
            <w:top w:val="none" w:sz="0" w:space="0" w:color="auto"/>
            <w:left w:val="none" w:sz="0" w:space="0" w:color="auto"/>
            <w:bottom w:val="none" w:sz="0" w:space="0" w:color="auto"/>
            <w:right w:val="none" w:sz="0" w:space="0" w:color="auto"/>
          </w:divBdr>
        </w:div>
        <w:div w:id="2104834997">
          <w:marLeft w:val="0"/>
          <w:marRight w:val="0"/>
          <w:marTop w:val="0"/>
          <w:marBottom w:val="0"/>
          <w:divBdr>
            <w:top w:val="none" w:sz="0" w:space="0" w:color="auto"/>
            <w:left w:val="none" w:sz="0" w:space="0" w:color="auto"/>
            <w:bottom w:val="none" w:sz="0" w:space="0" w:color="auto"/>
            <w:right w:val="none" w:sz="0" w:space="0" w:color="auto"/>
          </w:divBdr>
        </w:div>
        <w:div w:id="2114740491">
          <w:marLeft w:val="0"/>
          <w:marRight w:val="0"/>
          <w:marTop w:val="0"/>
          <w:marBottom w:val="0"/>
          <w:divBdr>
            <w:top w:val="none" w:sz="0" w:space="0" w:color="auto"/>
            <w:left w:val="none" w:sz="0" w:space="0" w:color="auto"/>
            <w:bottom w:val="none" w:sz="0" w:space="0" w:color="auto"/>
            <w:right w:val="none" w:sz="0" w:space="0" w:color="auto"/>
          </w:divBdr>
        </w:div>
        <w:div w:id="2124836331">
          <w:marLeft w:val="0"/>
          <w:marRight w:val="0"/>
          <w:marTop w:val="0"/>
          <w:marBottom w:val="0"/>
          <w:divBdr>
            <w:top w:val="none" w:sz="0" w:space="0" w:color="auto"/>
            <w:left w:val="none" w:sz="0" w:space="0" w:color="auto"/>
            <w:bottom w:val="none" w:sz="0" w:space="0" w:color="auto"/>
            <w:right w:val="none" w:sz="0" w:space="0" w:color="auto"/>
          </w:divBdr>
        </w:div>
        <w:div w:id="2130928964">
          <w:marLeft w:val="0"/>
          <w:marRight w:val="0"/>
          <w:marTop w:val="0"/>
          <w:marBottom w:val="0"/>
          <w:divBdr>
            <w:top w:val="none" w:sz="0" w:space="0" w:color="auto"/>
            <w:left w:val="none" w:sz="0" w:space="0" w:color="auto"/>
            <w:bottom w:val="none" w:sz="0" w:space="0" w:color="auto"/>
            <w:right w:val="none" w:sz="0" w:space="0" w:color="auto"/>
          </w:divBdr>
        </w:div>
        <w:div w:id="2140873232">
          <w:marLeft w:val="0"/>
          <w:marRight w:val="0"/>
          <w:marTop w:val="0"/>
          <w:marBottom w:val="0"/>
          <w:divBdr>
            <w:top w:val="none" w:sz="0" w:space="0" w:color="auto"/>
            <w:left w:val="none" w:sz="0" w:space="0" w:color="auto"/>
            <w:bottom w:val="none" w:sz="0" w:space="0" w:color="auto"/>
            <w:right w:val="none" w:sz="0" w:space="0" w:color="auto"/>
          </w:divBdr>
        </w:div>
        <w:div w:id="2147120911">
          <w:marLeft w:val="0"/>
          <w:marRight w:val="0"/>
          <w:marTop w:val="0"/>
          <w:marBottom w:val="0"/>
          <w:divBdr>
            <w:top w:val="none" w:sz="0" w:space="0" w:color="auto"/>
            <w:left w:val="none" w:sz="0" w:space="0" w:color="auto"/>
            <w:bottom w:val="none" w:sz="0" w:space="0" w:color="auto"/>
            <w:right w:val="none" w:sz="0" w:space="0" w:color="auto"/>
          </w:divBdr>
        </w:div>
      </w:divsChild>
    </w:div>
    <w:div w:id="828133329">
      <w:bodyDiv w:val="1"/>
      <w:marLeft w:val="0"/>
      <w:marRight w:val="0"/>
      <w:marTop w:val="0"/>
      <w:marBottom w:val="0"/>
      <w:divBdr>
        <w:top w:val="none" w:sz="0" w:space="0" w:color="auto"/>
        <w:left w:val="none" w:sz="0" w:space="0" w:color="auto"/>
        <w:bottom w:val="none" w:sz="0" w:space="0" w:color="auto"/>
        <w:right w:val="none" w:sz="0" w:space="0" w:color="auto"/>
      </w:divBdr>
    </w:div>
    <w:div w:id="835269976">
      <w:bodyDiv w:val="1"/>
      <w:marLeft w:val="0"/>
      <w:marRight w:val="0"/>
      <w:marTop w:val="0"/>
      <w:marBottom w:val="0"/>
      <w:divBdr>
        <w:top w:val="none" w:sz="0" w:space="0" w:color="auto"/>
        <w:left w:val="none" w:sz="0" w:space="0" w:color="auto"/>
        <w:bottom w:val="none" w:sz="0" w:space="0" w:color="auto"/>
        <w:right w:val="none" w:sz="0" w:space="0" w:color="auto"/>
      </w:divBdr>
      <w:divsChild>
        <w:div w:id="4943388">
          <w:marLeft w:val="0"/>
          <w:marRight w:val="0"/>
          <w:marTop w:val="0"/>
          <w:marBottom w:val="0"/>
          <w:divBdr>
            <w:top w:val="none" w:sz="0" w:space="0" w:color="auto"/>
            <w:left w:val="none" w:sz="0" w:space="0" w:color="auto"/>
            <w:bottom w:val="none" w:sz="0" w:space="0" w:color="auto"/>
            <w:right w:val="none" w:sz="0" w:space="0" w:color="auto"/>
          </w:divBdr>
        </w:div>
        <w:div w:id="5448988">
          <w:marLeft w:val="0"/>
          <w:marRight w:val="0"/>
          <w:marTop w:val="0"/>
          <w:marBottom w:val="0"/>
          <w:divBdr>
            <w:top w:val="none" w:sz="0" w:space="0" w:color="auto"/>
            <w:left w:val="none" w:sz="0" w:space="0" w:color="auto"/>
            <w:bottom w:val="none" w:sz="0" w:space="0" w:color="auto"/>
            <w:right w:val="none" w:sz="0" w:space="0" w:color="auto"/>
          </w:divBdr>
        </w:div>
        <w:div w:id="7955023">
          <w:marLeft w:val="0"/>
          <w:marRight w:val="0"/>
          <w:marTop w:val="0"/>
          <w:marBottom w:val="0"/>
          <w:divBdr>
            <w:top w:val="none" w:sz="0" w:space="0" w:color="auto"/>
            <w:left w:val="none" w:sz="0" w:space="0" w:color="auto"/>
            <w:bottom w:val="none" w:sz="0" w:space="0" w:color="auto"/>
            <w:right w:val="none" w:sz="0" w:space="0" w:color="auto"/>
          </w:divBdr>
        </w:div>
        <w:div w:id="9334998">
          <w:marLeft w:val="0"/>
          <w:marRight w:val="0"/>
          <w:marTop w:val="0"/>
          <w:marBottom w:val="0"/>
          <w:divBdr>
            <w:top w:val="none" w:sz="0" w:space="0" w:color="auto"/>
            <w:left w:val="none" w:sz="0" w:space="0" w:color="auto"/>
            <w:bottom w:val="none" w:sz="0" w:space="0" w:color="auto"/>
            <w:right w:val="none" w:sz="0" w:space="0" w:color="auto"/>
          </w:divBdr>
        </w:div>
        <w:div w:id="20673051">
          <w:marLeft w:val="0"/>
          <w:marRight w:val="0"/>
          <w:marTop w:val="0"/>
          <w:marBottom w:val="0"/>
          <w:divBdr>
            <w:top w:val="none" w:sz="0" w:space="0" w:color="auto"/>
            <w:left w:val="none" w:sz="0" w:space="0" w:color="auto"/>
            <w:bottom w:val="none" w:sz="0" w:space="0" w:color="auto"/>
            <w:right w:val="none" w:sz="0" w:space="0" w:color="auto"/>
          </w:divBdr>
        </w:div>
        <w:div w:id="53084485">
          <w:marLeft w:val="0"/>
          <w:marRight w:val="0"/>
          <w:marTop w:val="0"/>
          <w:marBottom w:val="0"/>
          <w:divBdr>
            <w:top w:val="none" w:sz="0" w:space="0" w:color="auto"/>
            <w:left w:val="none" w:sz="0" w:space="0" w:color="auto"/>
            <w:bottom w:val="none" w:sz="0" w:space="0" w:color="auto"/>
            <w:right w:val="none" w:sz="0" w:space="0" w:color="auto"/>
          </w:divBdr>
        </w:div>
        <w:div w:id="58751150">
          <w:marLeft w:val="0"/>
          <w:marRight w:val="0"/>
          <w:marTop w:val="0"/>
          <w:marBottom w:val="0"/>
          <w:divBdr>
            <w:top w:val="none" w:sz="0" w:space="0" w:color="auto"/>
            <w:left w:val="none" w:sz="0" w:space="0" w:color="auto"/>
            <w:bottom w:val="none" w:sz="0" w:space="0" w:color="auto"/>
            <w:right w:val="none" w:sz="0" w:space="0" w:color="auto"/>
          </w:divBdr>
        </w:div>
        <w:div w:id="68116005">
          <w:marLeft w:val="0"/>
          <w:marRight w:val="0"/>
          <w:marTop w:val="0"/>
          <w:marBottom w:val="0"/>
          <w:divBdr>
            <w:top w:val="none" w:sz="0" w:space="0" w:color="auto"/>
            <w:left w:val="none" w:sz="0" w:space="0" w:color="auto"/>
            <w:bottom w:val="none" w:sz="0" w:space="0" w:color="auto"/>
            <w:right w:val="none" w:sz="0" w:space="0" w:color="auto"/>
          </w:divBdr>
        </w:div>
        <w:div w:id="73091031">
          <w:marLeft w:val="0"/>
          <w:marRight w:val="0"/>
          <w:marTop w:val="0"/>
          <w:marBottom w:val="0"/>
          <w:divBdr>
            <w:top w:val="none" w:sz="0" w:space="0" w:color="auto"/>
            <w:left w:val="none" w:sz="0" w:space="0" w:color="auto"/>
            <w:bottom w:val="none" w:sz="0" w:space="0" w:color="auto"/>
            <w:right w:val="none" w:sz="0" w:space="0" w:color="auto"/>
          </w:divBdr>
        </w:div>
        <w:div w:id="74789390">
          <w:marLeft w:val="0"/>
          <w:marRight w:val="0"/>
          <w:marTop w:val="0"/>
          <w:marBottom w:val="0"/>
          <w:divBdr>
            <w:top w:val="none" w:sz="0" w:space="0" w:color="auto"/>
            <w:left w:val="none" w:sz="0" w:space="0" w:color="auto"/>
            <w:bottom w:val="none" w:sz="0" w:space="0" w:color="auto"/>
            <w:right w:val="none" w:sz="0" w:space="0" w:color="auto"/>
          </w:divBdr>
        </w:div>
        <w:div w:id="81070937">
          <w:marLeft w:val="0"/>
          <w:marRight w:val="0"/>
          <w:marTop w:val="0"/>
          <w:marBottom w:val="0"/>
          <w:divBdr>
            <w:top w:val="none" w:sz="0" w:space="0" w:color="auto"/>
            <w:left w:val="none" w:sz="0" w:space="0" w:color="auto"/>
            <w:bottom w:val="none" w:sz="0" w:space="0" w:color="auto"/>
            <w:right w:val="none" w:sz="0" w:space="0" w:color="auto"/>
          </w:divBdr>
        </w:div>
        <w:div w:id="86734495">
          <w:marLeft w:val="0"/>
          <w:marRight w:val="0"/>
          <w:marTop w:val="0"/>
          <w:marBottom w:val="0"/>
          <w:divBdr>
            <w:top w:val="none" w:sz="0" w:space="0" w:color="auto"/>
            <w:left w:val="none" w:sz="0" w:space="0" w:color="auto"/>
            <w:bottom w:val="none" w:sz="0" w:space="0" w:color="auto"/>
            <w:right w:val="none" w:sz="0" w:space="0" w:color="auto"/>
          </w:divBdr>
        </w:div>
        <w:div w:id="87653610">
          <w:marLeft w:val="0"/>
          <w:marRight w:val="0"/>
          <w:marTop w:val="0"/>
          <w:marBottom w:val="0"/>
          <w:divBdr>
            <w:top w:val="none" w:sz="0" w:space="0" w:color="auto"/>
            <w:left w:val="none" w:sz="0" w:space="0" w:color="auto"/>
            <w:bottom w:val="none" w:sz="0" w:space="0" w:color="auto"/>
            <w:right w:val="none" w:sz="0" w:space="0" w:color="auto"/>
          </w:divBdr>
        </w:div>
        <w:div w:id="95292208">
          <w:marLeft w:val="0"/>
          <w:marRight w:val="0"/>
          <w:marTop w:val="0"/>
          <w:marBottom w:val="0"/>
          <w:divBdr>
            <w:top w:val="none" w:sz="0" w:space="0" w:color="auto"/>
            <w:left w:val="none" w:sz="0" w:space="0" w:color="auto"/>
            <w:bottom w:val="none" w:sz="0" w:space="0" w:color="auto"/>
            <w:right w:val="none" w:sz="0" w:space="0" w:color="auto"/>
          </w:divBdr>
        </w:div>
        <w:div w:id="97339289">
          <w:marLeft w:val="0"/>
          <w:marRight w:val="0"/>
          <w:marTop w:val="0"/>
          <w:marBottom w:val="0"/>
          <w:divBdr>
            <w:top w:val="none" w:sz="0" w:space="0" w:color="auto"/>
            <w:left w:val="none" w:sz="0" w:space="0" w:color="auto"/>
            <w:bottom w:val="none" w:sz="0" w:space="0" w:color="auto"/>
            <w:right w:val="none" w:sz="0" w:space="0" w:color="auto"/>
          </w:divBdr>
        </w:div>
        <w:div w:id="97988716">
          <w:marLeft w:val="0"/>
          <w:marRight w:val="0"/>
          <w:marTop w:val="0"/>
          <w:marBottom w:val="0"/>
          <w:divBdr>
            <w:top w:val="none" w:sz="0" w:space="0" w:color="auto"/>
            <w:left w:val="none" w:sz="0" w:space="0" w:color="auto"/>
            <w:bottom w:val="none" w:sz="0" w:space="0" w:color="auto"/>
            <w:right w:val="none" w:sz="0" w:space="0" w:color="auto"/>
          </w:divBdr>
        </w:div>
        <w:div w:id="108476533">
          <w:marLeft w:val="0"/>
          <w:marRight w:val="0"/>
          <w:marTop w:val="0"/>
          <w:marBottom w:val="0"/>
          <w:divBdr>
            <w:top w:val="none" w:sz="0" w:space="0" w:color="auto"/>
            <w:left w:val="none" w:sz="0" w:space="0" w:color="auto"/>
            <w:bottom w:val="none" w:sz="0" w:space="0" w:color="auto"/>
            <w:right w:val="none" w:sz="0" w:space="0" w:color="auto"/>
          </w:divBdr>
        </w:div>
        <w:div w:id="113453598">
          <w:marLeft w:val="0"/>
          <w:marRight w:val="0"/>
          <w:marTop w:val="0"/>
          <w:marBottom w:val="0"/>
          <w:divBdr>
            <w:top w:val="none" w:sz="0" w:space="0" w:color="auto"/>
            <w:left w:val="none" w:sz="0" w:space="0" w:color="auto"/>
            <w:bottom w:val="none" w:sz="0" w:space="0" w:color="auto"/>
            <w:right w:val="none" w:sz="0" w:space="0" w:color="auto"/>
          </w:divBdr>
        </w:div>
        <w:div w:id="115834344">
          <w:marLeft w:val="0"/>
          <w:marRight w:val="0"/>
          <w:marTop w:val="0"/>
          <w:marBottom w:val="0"/>
          <w:divBdr>
            <w:top w:val="none" w:sz="0" w:space="0" w:color="auto"/>
            <w:left w:val="none" w:sz="0" w:space="0" w:color="auto"/>
            <w:bottom w:val="none" w:sz="0" w:space="0" w:color="auto"/>
            <w:right w:val="none" w:sz="0" w:space="0" w:color="auto"/>
          </w:divBdr>
        </w:div>
        <w:div w:id="146676890">
          <w:marLeft w:val="0"/>
          <w:marRight w:val="0"/>
          <w:marTop w:val="0"/>
          <w:marBottom w:val="0"/>
          <w:divBdr>
            <w:top w:val="none" w:sz="0" w:space="0" w:color="auto"/>
            <w:left w:val="none" w:sz="0" w:space="0" w:color="auto"/>
            <w:bottom w:val="none" w:sz="0" w:space="0" w:color="auto"/>
            <w:right w:val="none" w:sz="0" w:space="0" w:color="auto"/>
          </w:divBdr>
        </w:div>
        <w:div w:id="170996779">
          <w:marLeft w:val="0"/>
          <w:marRight w:val="0"/>
          <w:marTop w:val="0"/>
          <w:marBottom w:val="0"/>
          <w:divBdr>
            <w:top w:val="none" w:sz="0" w:space="0" w:color="auto"/>
            <w:left w:val="none" w:sz="0" w:space="0" w:color="auto"/>
            <w:bottom w:val="none" w:sz="0" w:space="0" w:color="auto"/>
            <w:right w:val="none" w:sz="0" w:space="0" w:color="auto"/>
          </w:divBdr>
        </w:div>
        <w:div w:id="181825511">
          <w:marLeft w:val="0"/>
          <w:marRight w:val="0"/>
          <w:marTop w:val="0"/>
          <w:marBottom w:val="0"/>
          <w:divBdr>
            <w:top w:val="none" w:sz="0" w:space="0" w:color="auto"/>
            <w:left w:val="none" w:sz="0" w:space="0" w:color="auto"/>
            <w:bottom w:val="none" w:sz="0" w:space="0" w:color="auto"/>
            <w:right w:val="none" w:sz="0" w:space="0" w:color="auto"/>
          </w:divBdr>
        </w:div>
        <w:div w:id="188228466">
          <w:marLeft w:val="0"/>
          <w:marRight w:val="0"/>
          <w:marTop w:val="0"/>
          <w:marBottom w:val="0"/>
          <w:divBdr>
            <w:top w:val="none" w:sz="0" w:space="0" w:color="auto"/>
            <w:left w:val="none" w:sz="0" w:space="0" w:color="auto"/>
            <w:bottom w:val="none" w:sz="0" w:space="0" w:color="auto"/>
            <w:right w:val="none" w:sz="0" w:space="0" w:color="auto"/>
          </w:divBdr>
        </w:div>
        <w:div w:id="199124626">
          <w:marLeft w:val="0"/>
          <w:marRight w:val="0"/>
          <w:marTop w:val="0"/>
          <w:marBottom w:val="0"/>
          <w:divBdr>
            <w:top w:val="none" w:sz="0" w:space="0" w:color="auto"/>
            <w:left w:val="none" w:sz="0" w:space="0" w:color="auto"/>
            <w:bottom w:val="none" w:sz="0" w:space="0" w:color="auto"/>
            <w:right w:val="none" w:sz="0" w:space="0" w:color="auto"/>
          </w:divBdr>
        </w:div>
        <w:div w:id="214044269">
          <w:marLeft w:val="0"/>
          <w:marRight w:val="0"/>
          <w:marTop w:val="0"/>
          <w:marBottom w:val="0"/>
          <w:divBdr>
            <w:top w:val="none" w:sz="0" w:space="0" w:color="auto"/>
            <w:left w:val="none" w:sz="0" w:space="0" w:color="auto"/>
            <w:bottom w:val="none" w:sz="0" w:space="0" w:color="auto"/>
            <w:right w:val="none" w:sz="0" w:space="0" w:color="auto"/>
          </w:divBdr>
        </w:div>
        <w:div w:id="216746508">
          <w:marLeft w:val="0"/>
          <w:marRight w:val="0"/>
          <w:marTop w:val="0"/>
          <w:marBottom w:val="0"/>
          <w:divBdr>
            <w:top w:val="none" w:sz="0" w:space="0" w:color="auto"/>
            <w:left w:val="none" w:sz="0" w:space="0" w:color="auto"/>
            <w:bottom w:val="none" w:sz="0" w:space="0" w:color="auto"/>
            <w:right w:val="none" w:sz="0" w:space="0" w:color="auto"/>
          </w:divBdr>
        </w:div>
        <w:div w:id="218053420">
          <w:marLeft w:val="0"/>
          <w:marRight w:val="0"/>
          <w:marTop w:val="0"/>
          <w:marBottom w:val="0"/>
          <w:divBdr>
            <w:top w:val="none" w:sz="0" w:space="0" w:color="auto"/>
            <w:left w:val="none" w:sz="0" w:space="0" w:color="auto"/>
            <w:bottom w:val="none" w:sz="0" w:space="0" w:color="auto"/>
            <w:right w:val="none" w:sz="0" w:space="0" w:color="auto"/>
          </w:divBdr>
        </w:div>
        <w:div w:id="230234555">
          <w:marLeft w:val="0"/>
          <w:marRight w:val="0"/>
          <w:marTop w:val="0"/>
          <w:marBottom w:val="0"/>
          <w:divBdr>
            <w:top w:val="none" w:sz="0" w:space="0" w:color="auto"/>
            <w:left w:val="none" w:sz="0" w:space="0" w:color="auto"/>
            <w:bottom w:val="none" w:sz="0" w:space="0" w:color="auto"/>
            <w:right w:val="none" w:sz="0" w:space="0" w:color="auto"/>
          </w:divBdr>
        </w:div>
        <w:div w:id="231896712">
          <w:marLeft w:val="0"/>
          <w:marRight w:val="0"/>
          <w:marTop w:val="0"/>
          <w:marBottom w:val="0"/>
          <w:divBdr>
            <w:top w:val="none" w:sz="0" w:space="0" w:color="auto"/>
            <w:left w:val="none" w:sz="0" w:space="0" w:color="auto"/>
            <w:bottom w:val="none" w:sz="0" w:space="0" w:color="auto"/>
            <w:right w:val="none" w:sz="0" w:space="0" w:color="auto"/>
          </w:divBdr>
        </w:div>
        <w:div w:id="233512959">
          <w:marLeft w:val="-75"/>
          <w:marRight w:val="0"/>
          <w:marTop w:val="30"/>
          <w:marBottom w:val="30"/>
          <w:divBdr>
            <w:top w:val="none" w:sz="0" w:space="0" w:color="auto"/>
            <w:left w:val="none" w:sz="0" w:space="0" w:color="auto"/>
            <w:bottom w:val="none" w:sz="0" w:space="0" w:color="auto"/>
            <w:right w:val="none" w:sz="0" w:space="0" w:color="auto"/>
          </w:divBdr>
          <w:divsChild>
            <w:div w:id="10226424">
              <w:marLeft w:val="0"/>
              <w:marRight w:val="0"/>
              <w:marTop w:val="0"/>
              <w:marBottom w:val="0"/>
              <w:divBdr>
                <w:top w:val="none" w:sz="0" w:space="0" w:color="auto"/>
                <w:left w:val="none" w:sz="0" w:space="0" w:color="auto"/>
                <w:bottom w:val="none" w:sz="0" w:space="0" w:color="auto"/>
                <w:right w:val="none" w:sz="0" w:space="0" w:color="auto"/>
              </w:divBdr>
              <w:divsChild>
                <w:div w:id="1755204887">
                  <w:marLeft w:val="0"/>
                  <w:marRight w:val="0"/>
                  <w:marTop w:val="0"/>
                  <w:marBottom w:val="0"/>
                  <w:divBdr>
                    <w:top w:val="none" w:sz="0" w:space="0" w:color="auto"/>
                    <w:left w:val="none" w:sz="0" w:space="0" w:color="auto"/>
                    <w:bottom w:val="none" w:sz="0" w:space="0" w:color="auto"/>
                    <w:right w:val="none" w:sz="0" w:space="0" w:color="auto"/>
                  </w:divBdr>
                </w:div>
              </w:divsChild>
            </w:div>
            <w:div w:id="109516520">
              <w:marLeft w:val="0"/>
              <w:marRight w:val="0"/>
              <w:marTop w:val="0"/>
              <w:marBottom w:val="0"/>
              <w:divBdr>
                <w:top w:val="none" w:sz="0" w:space="0" w:color="auto"/>
                <w:left w:val="none" w:sz="0" w:space="0" w:color="auto"/>
                <w:bottom w:val="none" w:sz="0" w:space="0" w:color="auto"/>
                <w:right w:val="none" w:sz="0" w:space="0" w:color="auto"/>
              </w:divBdr>
              <w:divsChild>
                <w:div w:id="525363661">
                  <w:marLeft w:val="0"/>
                  <w:marRight w:val="0"/>
                  <w:marTop w:val="0"/>
                  <w:marBottom w:val="0"/>
                  <w:divBdr>
                    <w:top w:val="none" w:sz="0" w:space="0" w:color="auto"/>
                    <w:left w:val="none" w:sz="0" w:space="0" w:color="auto"/>
                    <w:bottom w:val="none" w:sz="0" w:space="0" w:color="auto"/>
                    <w:right w:val="none" w:sz="0" w:space="0" w:color="auto"/>
                  </w:divBdr>
                </w:div>
              </w:divsChild>
            </w:div>
            <w:div w:id="137112067">
              <w:marLeft w:val="0"/>
              <w:marRight w:val="0"/>
              <w:marTop w:val="0"/>
              <w:marBottom w:val="0"/>
              <w:divBdr>
                <w:top w:val="none" w:sz="0" w:space="0" w:color="auto"/>
                <w:left w:val="none" w:sz="0" w:space="0" w:color="auto"/>
                <w:bottom w:val="none" w:sz="0" w:space="0" w:color="auto"/>
                <w:right w:val="none" w:sz="0" w:space="0" w:color="auto"/>
              </w:divBdr>
              <w:divsChild>
                <w:div w:id="117652935">
                  <w:marLeft w:val="0"/>
                  <w:marRight w:val="0"/>
                  <w:marTop w:val="0"/>
                  <w:marBottom w:val="0"/>
                  <w:divBdr>
                    <w:top w:val="none" w:sz="0" w:space="0" w:color="auto"/>
                    <w:left w:val="none" w:sz="0" w:space="0" w:color="auto"/>
                    <w:bottom w:val="none" w:sz="0" w:space="0" w:color="auto"/>
                    <w:right w:val="none" w:sz="0" w:space="0" w:color="auto"/>
                  </w:divBdr>
                </w:div>
              </w:divsChild>
            </w:div>
            <w:div w:id="151407540">
              <w:marLeft w:val="0"/>
              <w:marRight w:val="0"/>
              <w:marTop w:val="0"/>
              <w:marBottom w:val="0"/>
              <w:divBdr>
                <w:top w:val="none" w:sz="0" w:space="0" w:color="auto"/>
                <w:left w:val="none" w:sz="0" w:space="0" w:color="auto"/>
                <w:bottom w:val="none" w:sz="0" w:space="0" w:color="auto"/>
                <w:right w:val="none" w:sz="0" w:space="0" w:color="auto"/>
              </w:divBdr>
              <w:divsChild>
                <w:div w:id="1489900532">
                  <w:marLeft w:val="0"/>
                  <w:marRight w:val="0"/>
                  <w:marTop w:val="0"/>
                  <w:marBottom w:val="0"/>
                  <w:divBdr>
                    <w:top w:val="none" w:sz="0" w:space="0" w:color="auto"/>
                    <w:left w:val="none" w:sz="0" w:space="0" w:color="auto"/>
                    <w:bottom w:val="none" w:sz="0" w:space="0" w:color="auto"/>
                    <w:right w:val="none" w:sz="0" w:space="0" w:color="auto"/>
                  </w:divBdr>
                </w:div>
              </w:divsChild>
            </w:div>
            <w:div w:id="187258493">
              <w:marLeft w:val="0"/>
              <w:marRight w:val="0"/>
              <w:marTop w:val="0"/>
              <w:marBottom w:val="0"/>
              <w:divBdr>
                <w:top w:val="none" w:sz="0" w:space="0" w:color="auto"/>
                <w:left w:val="none" w:sz="0" w:space="0" w:color="auto"/>
                <w:bottom w:val="none" w:sz="0" w:space="0" w:color="auto"/>
                <w:right w:val="none" w:sz="0" w:space="0" w:color="auto"/>
              </w:divBdr>
              <w:divsChild>
                <w:div w:id="669136380">
                  <w:marLeft w:val="0"/>
                  <w:marRight w:val="0"/>
                  <w:marTop w:val="0"/>
                  <w:marBottom w:val="0"/>
                  <w:divBdr>
                    <w:top w:val="none" w:sz="0" w:space="0" w:color="auto"/>
                    <w:left w:val="none" w:sz="0" w:space="0" w:color="auto"/>
                    <w:bottom w:val="none" w:sz="0" w:space="0" w:color="auto"/>
                    <w:right w:val="none" w:sz="0" w:space="0" w:color="auto"/>
                  </w:divBdr>
                </w:div>
              </w:divsChild>
            </w:div>
            <w:div w:id="218709715">
              <w:marLeft w:val="0"/>
              <w:marRight w:val="0"/>
              <w:marTop w:val="0"/>
              <w:marBottom w:val="0"/>
              <w:divBdr>
                <w:top w:val="none" w:sz="0" w:space="0" w:color="auto"/>
                <w:left w:val="none" w:sz="0" w:space="0" w:color="auto"/>
                <w:bottom w:val="none" w:sz="0" w:space="0" w:color="auto"/>
                <w:right w:val="none" w:sz="0" w:space="0" w:color="auto"/>
              </w:divBdr>
              <w:divsChild>
                <w:div w:id="1167592219">
                  <w:marLeft w:val="0"/>
                  <w:marRight w:val="0"/>
                  <w:marTop w:val="0"/>
                  <w:marBottom w:val="0"/>
                  <w:divBdr>
                    <w:top w:val="none" w:sz="0" w:space="0" w:color="auto"/>
                    <w:left w:val="none" w:sz="0" w:space="0" w:color="auto"/>
                    <w:bottom w:val="none" w:sz="0" w:space="0" w:color="auto"/>
                    <w:right w:val="none" w:sz="0" w:space="0" w:color="auto"/>
                  </w:divBdr>
                </w:div>
              </w:divsChild>
            </w:div>
            <w:div w:id="247664473">
              <w:marLeft w:val="0"/>
              <w:marRight w:val="0"/>
              <w:marTop w:val="0"/>
              <w:marBottom w:val="0"/>
              <w:divBdr>
                <w:top w:val="none" w:sz="0" w:space="0" w:color="auto"/>
                <w:left w:val="none" w:sz="0" w:space="0" w:color="auto"/>
                <w:bottom w:val="none" w:sz="0" w:space="0" w:color="auto"/>
                <w:right w:val="none" w:sz="0" w:space="0" w:color="auto"/>
              </w:divBdr>
              <w:divsChild>
                <w:div w:id="781608127">
                  <w:marLeft w:val="0"/>
                  <w:marRight w:val="0"/>
                  <w:marTop w:val="0"/>
                  <w:marBottom w:val="0"/>
                  <w:divBdr>
                    <w:top w:val="none" w:sz="0" w:space="0" w:color="auto"/>
                    <w:left w:val="none" w:sz="0" w:space="0" w:color="auto"/>
                    <w:bottom w:val="none" w:sz="0" w:space="0" w:color="auto"/>
                    <w:right w:val="none" w:sz="0" w:space="0" w:color="auto"/>
                  </w:divBdr>
                </w:div>
              </w:divsChild>
            </w:div>
            <w:div w:id="261695145">
              <w:marLeft w:val="0"/>
              <w:marRight w:val="0"/>
              <w:marTop w:val="0"/>
              <w:marBottom w:val="0"/>
              <w:divBdr>
                <w:top w:val="none" w:sz="0" w:space="0" w:color="auto"/>
                <w:left w:val="none" w:sz="0" w:space="0" w:color="auto"/>
                <w:bottom w:val="none" w:sz="0" w:space="0" w:color="auto"/>
                <w:right w:val="none" w:sz="0" w:space="0" w:color="auto"/>
              </w:divBdr>
              <w:divsChild>
                <w:div w:id="332413496">
                  <w:marLeft w:val="0"/>
                  <w:marRight w:val="0"/>
                  <w:marTop w:val="0"/>
                  <w:marBottom w:val="0"/>
                  <w:divBdr>
                    <w:top w:val="none" w:sz="0" w:space="0" w:color="auto"/>
                    <w:left w:val="none" w:sz="0" w:space="0" w:color="auto"/>
                    <w:bottom w:val="none" w:sz="0" w:space="0" w:color="auto"/>
                    <w:right w:val="none" w:sz="0" w:space="0" w:color="auto"/>
                  </w:divBdr>
                </w:div>
              </w:divsChild>
            </w:div>
            <w:div w:id="272254342">
              <w:marLeft w:val="0"/>
              <w:marRight w:val="0"/>
              <w:marTop w:val="0"/>
              <w:marBottom w:val="0"/>
              <w:divBdr>
                <w:top w:val="none" w:sz="0" w:space="0" w:color="auto"/>
                <w:left w:val="none" w:sz="0" w:space="0" w:color="auto"/>
                <w:bottom w:val="none" w:sz="0" w:space="0" w:color="auto"/>
                <w:right w:val="none" w:sz="0" w:space="0" w:color="auto"/>
              </w:divBdr>
              <w:divsChild>
                <w:div w:id="957638113">
                  <w:marLeft w:val="0"/>
                  <w:marRight w:val="0"/>
                  <w:marTop w:val="0"/>
                  <w:marBottom w:val="0"/>
                  <w:divBdr>
                    <w:top w:val="none" w:sz="0" w:space="0" w:color="auto"/>
                    <w:left w:val="none" w:sz="0" w:space="0" w:color="auto"/>
                    <w:bottom w:val="none" w:sz="0" w:space="0" w:color="auto"/>
                    <w:right w:val="none" w:sz="0" w:space="0" w:color="auto"/>
                  </w:divBdr>
                </w:div>
              </w:divsChild>
            </w:div>
            <w:div w:id="272398761">
              <w:marLeft w:val="0"/>
              <w:marRight w:val="0"/>
              <w:marTop w:val="0"/>
              <w:marBottom w:val="0"/>
              <w:divBdr>
                <w:top w:val="none" w:sz="0" w:space="0" w:color="auto"/>
                <w:left w:val="none" w:sz="0" w:space="0" w:color="auto"/>
                <w:bottom w:val="none" w:sz="0" w:space="0" w:color="auto"/>
                <w:right w:val="none" w:sz="0" w:space="0" w:color="auto"/>
              </w:divBdr>
              <w:divsChild>
                <w:div w:id="881285954">
                  <w:marLeft w:val="0"/>
                  <w:marRight w:val="0"/>
                  <w:marTop w:val="0"/>
                  <w:marBottom w:val="0"/>
                  <w:divBdr>
                    <w:top w:val="none" w:sz="0" w:space="0" w:color="auto"/>
                    <w:left w:val="none" w:sz="0" w:space="0" w:color="auto"/>
                    <w:bottom w:val="none" w:sz="0" w:space="0" w:color="auto"/>
                    <w:right w:val="none" w:sz="0" w:space="0" w:color="auto"/>
                  </w:divBdr>
                </w:div>
              </w:divsChild>
            </w:div>
            <w:div w:id="290211456">
              <w:marLeft w:val="0"/>
              <w:marRight w:val="0"/>
              <w:marTop w:val="0"/>
              <w:marBottom w:val="0"/>
              <w:divBdr>
                <w:top w:val="none" w:sz="0" w:space="0" w:color="auto"/>
                <w:left w:val="none" w:sz="0" w:space="0" w:color="auto"/>
                <w:bottom w:val="none" w:sz="0" w:space="0" w:color="auto"/>
                <w:right w:val="none" w:sz="0" w:space="0" w:color="auto"/>
              </w:divBdr>
              <w:divsChild>
                <w:div w:id="691225328">
                  <w:marLeft w:val="0"/>
                  <w:marRight w:val="0"/>
                  <w:marTop w:val="0"/>
                  <w:marBottom w:val="0"/>
                  <w:divBdr>
                    <w:top w:val="none" w:sz="0" w:space="0" w:color="auto"/>
                    <w:left w:val="none" w:sz="0" w:space="0" w:color="auto"/>
                    <w:bottom w:val="none" w:sz="0" w:space="0" w:color="auto"/>
                    <w:right w:val="none" w:sz="0" w:space="0" w:color="auto"/>
                  </w:divBdr>
                </w:div>
              </w:divsChild>
            </w:div>
            <w:div w:id="299187097">
              <w:marLeft w:val="0"/>
              <w:marRight w:val="0"/>
              <w:marTop w:val="0"/>
              <w:marBottom w:val="0"/>
              <w:divBdr>
                <w:top w:val="none" w:sz="0" w:space="0" w:color="auto"/>
                <w:left w:val="none" w:sz="0" w:space="0" w:color="auto"/>
                <w:bottom w:val="none" w:sz="0" w:space="0" w:color="auto"/>
                <w:right w:val="none" w:sz="0" w:space="0" w:color="auto"/>
              </w:divBdr>
              <w:divsChild>
                <w:div w:id="1282567730">
                  <w:marLeft w:val="0"/>
                  <w:marRight w:val="0"/>
                  <w:marTop w:val="0"/>
                  <w:marBottom w:val="0"/>
                  <w:divBdr>
                    <w:top w:val="none" w:sz="0" w:space="0" w:color="auto"/>
                    <w:left w:val="none" w:sz="0" w:space="0" w:color="auto"/>
                    <w:bottom w:val="none" w:sz="0" w:space="0" w:color="auto"/>
                    <w:right w:val="none" w:sz="0" w:space="0" w:color="auto"/>
                  </w:divBdr>
                </w:div>
              </w:divsChild>
            </w:div>
            <w:div w:id="301547831">
              <w:marLeft w:val="0"/>
              <w:marRight w:val="0"/>
              <w:marTop w:val="0"/>
              <w:marBottom w:val="0"/>
              <w:divBdr>
                <w:top w:val="none" w:sz="0" w:space="0" w:color="auto"/>
                <w:left w:val="none" w:sz="0" w:space="0" w:color="auto"/>
                <w:bottom w:val="none" w:sz="0" w:space="0" w:color="auto"/>
                <w:right w:val="none" w:sz="0" w:space="0" w:color="auto"/>
              </w:divBdr>
              <w:divsChild>
                <w:div w:id="880744700">
                  <w:marLeft w:val="0"/>
                  <w:marRight w:val="0"/>
                  <w:marTop w:val="0"/>
                  <w:marBottom w:val="0"/>
                  <w:divBdr>
                    <w:top w:val="none" w:sz="0" w:space="0" w:color="auto"/>
                    <w:left w:val="none" w:sz="0" w:space="0" w:color="auto"/>
                    <w:bottom w:val="none" w:sz="0" w:space="0" w:color="auto"/>
                    <w:right w:val="none" w:sz="0" w:space="0" w:color="auto"/>
                  </w:divBdr>
                </w:div>
              </w:divsChild>
            </w:div>
            <w:div w:id="337804743">
              <w:marLeft w:val="0"/>
              <w:marRight w:val="0"/>
              <w:marTop w:val="0"/>
              <w:marBottom w:val="0"/>
              <w:divBdr>
                <w:top w:val="none" w:sz="0" w:space="0" w:color="auto"/>
                <w:left w:val="none" w:sz="0" w:space="0" w:color="auto"/>
                <w:bottom w:val="none" w:sz="0" w:space="0" w:color="auto"/>
                <w:right w:val="none" w:sz="0" w:space="0" w:color="auto"/>
              </w:divBdr>
              <w:divsChild>
                <w:div w:id="1615093574">
                  <w:marLeft w:val="0"/>
                  <w:marRight w:val="0"/>
                  <w:marTop w:val="0"/>
                  <w:marBottom w:val="0"/>
                  <w:divBdr>
                    <w:top w:val="none" w:sz="0" w:space="0" w:color="auto"/>
                    <w:left w:val="none" w:sz="0" w:space="0" w:color="auto"/>
                    <w:bottom w:val="none" w:sz="0" w:space="0" w:color="auto"/>
                    <w:right w:val="none" w:sz="0" w:space="0" w:color="auto"/>
                  </w:divBdr>
                </w:div>
              </w:divsChild>
            </w:div>
            <w:div w:id="339743212">
              <w:marLeft w:val="0"/>
              <w:marRight w:val="0"/>
              <w:marTop w:val="0"/>
              <w:marBottom w:val="0"/>
              <w:divBdr>
                <w:top w:val="none" w:sz="0" w:space="0" w:color="auto"/>
                <w:left w:val="none" w:sz="0" w:space="0" w:color="auto"/>
                <w:bottom w:val="none" w:sz="0" w:space="0" w:color="auto"/>
                <w:right w:val="none" w:sz="0" w:space="0" w:color="auto"/>
              </w:divBdr>
              <w:divsChild>
                <w:div w:id="2081830830">
                  <w:marLeft w:val="0"/>
                  <w:marRight w:val="0"/>
                  <w:marTop w:val="0"/>
                  <w:marBottom w:val="0"/>
                  <w:divBdr>
                    <w:top w:val="none" w:sz="0" w:space="0" w:color="auto"/>
                    <w:left w:val="none" w:sz="0" w:space="0" w:color="auto"/>
                    <w:bottom w:val="none" w:sz="0" w:space="0" w:color="auto"/>
                    <w:right w:val="none" w:sz="0" w:space="0" w:color="auto"/>
                  </w:divBdr>
                </w:div>
              </w:divsChild>
            </w:div>
            <w:div w:id="358168664">
              <w:marLeft w:val="0"/>
              <w:marRight w:val="0"/>
              <w:marTop w:val="0"/>
              <w:marBottom w:val="0"/>
              <w:divBdr>
                <w:top w:val="none" w:sz="0" w:space="0" w:color="auto"/>
                <w:left w:val="none" w:sz="0" w:space="0" w:color="auto"/>
                <w:bottom w:val="none" w:sz="0" w:space="0" w:color="auto"/>
                <w:right w:val="none" w:sz="0" w:space="0" w:color="auto"/>
              </w:divBdr>
              <w:divsChild>
                <w:div w:id="1532496954">
                  <w:marLeft w:val="0"/>
                  <w:marRight w:val="0"/>
                  <w:marTop w:val="0"/>
                  <w:marBottom w:val="0"/>
                  <w:divBdr>
                    <w:top w:val="none" w:sz="0" w:space="0" w:color="auto"/>
                    <w:left w:val="none" w:sz="0" w:space="0" w:color="auto"/>
                    <w:bottom w:val="none" w:sz="0" w:space="0" w:color="auto"/>
                    <w:right w:val="none" w:sz="0" w:space="0" w:color="auto"/>
                  </w:divBdr>
                </w:div>
              </w:divsChild>
            </w:div>
            <w:div w:id="360060539">
              <w:marLeft w:val="0"/>
              <w:marRight w:val="0"/>
              <w:marTop w:val="0"/>
              <w:marBottom w:val="0"/>
              <w:divBdr>
                <w:top w:val="none" w:sz="0" w:space="0" w:color="auto"/>
                <w:left w:val="none" w:sz="0" w:space="0" w:color="auto"/>
                <w:bottom w:val="none" w:sz="0" w:space="0" w:color="auto"/>
                <w:right w:val="none" w:sz="0" w:space="0" w:color="auto"/>
              </w:divBdr>
              <w:divsChild>
                <w:div w:id="1483355253">
                  <w:marLeft w:val="0"/>
                  <w:marRight w:val="0"/>
                  <w:marTop w:val="0"/>
                  <w:marBottom w:val="0"/>
                  <w:divBdr>
                    <w:top w:val="none" w:sz="0" w:space="0" w:color="auto"/>
                    <w:left w:val="none" w:sz="0" w:space="0" w:color="auto"/>
                    <w:bottom w:val="none" w:sz="0" w:space="0" w:color="auto"/>
                    <w:right w:val="none" w:sz="0" w:space="0" w:color="auto"/>
                  </w:divBdr>
                </w:div>
              </w:divsChild>
            </w:div>
            <w:div w:id="372509589">
              <w:marLeft w:val="0"/>
              <w:marRight w:val="0"/>
              <w:marTop w:val="0"/>
              <w:marBottom w:val="0"/>
              <w:divBdr>
                <w:top w:val="none" w:sz="0" w:space="0" w:color="auto"/>
                <w:left w:val="none" w:sz="0" w:space="0" w:color="auto"/>
                <w:bottom w:val="none" w:sz="0" w:space="0" w:color="auto"/>
                <w:right w:val="none" w:sz="0" w:space="0" w:color="auto"/>
              </w:divBdr>
              <w:divsChild>
                <w:div w:id="1208419869">
                  <w:marLeft w:val="0"/>
                  <w:marRight w:val="0"/>
                  <w:marTop w:val="0"/>
                  <w:marBottom w:val="0"/>
                  <w:divBdr>
                    <w:top w:val="none" w:sz="0" w:space="0" w:color="auto"/>
                    <w:left w:val="none" w:sz="0" w:space="0" w:color="auto"/>
                    <w:bottom w:val="none" w:sz="0" w:space="0" w:color="auto"/>
                    <w:right w:val="none" w:sz="0" w:space="0" w:color="auto"/>
                  </w:divBdr>
                </w:div>
              </w:divsChild>
            </w:div>
            <w:div w:id="394552284">
              <w:marLeft w:val="0"/>
              <w:marRight w:val="0"/>
              <w:marTop w:val="0"/>
              <w:marBottom w:val="0"/>
              <w:divBdr>
                <w:top w:val="none" w:sz="0" w:space="0" w:color="auto"/>
                <w:left w:val="none" w:sz="0" w:space="0" w:color="auto"/>
                <w:bottom w:val="none" w:sz="0" w:space="0" w:color="auto"/>
                <w:right w:val="none" w:sz="0" w:space="0" w:color="auto"/>
              </w:divBdr>
              <w:divsChild>
                <w:div w:id="1213884137">
                  <w:marLeft w:val="0"/>
                  <w:marRight w:val="0"/>
                  <w:marTop w:val="0"/>
                  <w:marBottom w:val="0"/>
                  <w:divBdr>
                    <w:top w:val="none" w:sz="0" w:space="0" w:color="auto"/>
                    <w:left w:val="none" w:sz="0" w:space="0" w:color="auto"/>
                    <w:bottom w:val="none" w:sz="0" w:space="0" w:color="auto"/>
                    <w:right w:val="none" w:sz="0" w:space="0" w:color="auto"/>
                  </w:divBdr>
                </w:div>
              </w:divsChild>
            </w:div>
            <w:div w:id="411898737">
              <w:marLeft w:val="0"/>
              <w:marRight w:val="0"/>
              <w:marTop w:val="0"/>
              <w:marBottom w:val="0"/>
              <w:divBdr>
                <w:top w:val="none" w:sz="0" w:space="0" w:color="auto"/>
                <w:left w:val="none" w:sz="0" w:space="0" w:color="auto"/>
                <w:bottom w:val="none" w:sz="0" w:space="0" w:color="auto"/>
                <w:right w:val="none" w:sz="0" w:space="0" w:color="auto"/>
              </w:divBdr>
              <w:divsChild>
                <w:div w:id="1865093449">
                  <w:marLeft w:val="0"/>
                  <w:marRight w:val="0"/>
                  <w:marTop w:val="0"/>
                  <w:marBottom w:val="0"/>
                  <w:divBdr>
                    <w:top w:val="none" w:sz="0" w:space="0" w:color="auto"/>
                    <w:left w:val="none" w:sz="0" w:space="0" w:color="auto"/>
                    <w:bottom w:val="none" w:sz="0" w:space="0" w:color="auto"/>
                    <w:right w:val="none" w:sz="0" w:space="0" w:color="auto"/>
                  </w:divBdr>
                </w:div>
              </w:divsChild>
            </w:div>
            <w:div w:id="446118797">
              <w:marLeft w:val="0"/>
              <w:marRight w:val="0"/>
              <w:marTop w:val="0"/>
              <w:marBottom w:val="0"/>
              <w:divBdr>
                <w:top w:val="none" w:sz="0" w:space="0" w:color="auto"/>
                <w:left w:val="none" w:sz="0" w:space="0" w:color="auto"/>
                <w:bottom w:val="none" w:sz="0" w:space="0" w:color="auto"/>
                <w:right w:val="none" w:sz="0" w:space="0" w:color="auto"/>
              </w:divBdr>
              <w:divsChild>
                <w:div w:id="1552158261">
                  <w:marLeft w:val="0"/>
                  <w:marRight w:val="0"/>
                  <w:marTop w:val="0"/>
                  <w:marBottom w:val="0"/>
                  <w:divBdr>
                    <w:top w:val="none" w:sz="0" w:space="0" w:color="auto"/>
                    <w:left w:val="none" w:sz="0" w:space="0" w:color="auto"/>
                    <w:bottom w:val="none" w:sz="0" w:space="0" w:color="auto"/>
                    <w:right w:val="none" w:sz="0" w:space="0" w:color="auto"/>
                  </w:divBdr>
                </w:div>
              </w:divsChild>
            </w:div>
            <w:div w:id="564754107">
              <w:marLeft w:val="0"/>
              <w:marRight w:val="0"/>
              <w:marTop w:val="0"/>
              <w:marBottom w:val="0"/>
              <w:divBdr>
                <w:top w:val="none" w:sz="0" w:space="0" w:color="auto"/>
                <w:left w:val="none" w:sz="0" w:space="0" w:color="auto"/>
                <w:bottom w:val="none" w:sz="0" w:space="0" w:color="auto"/>
                <w:right w:val="none" w:sz="0" w:space="0" w:color="auto"/>
              </w:divBdr>
              <w:divsChild>
                <w:div w:id="415902137">
                  <w:marLeft w:val="0"/>
                  <w:marRight w:val="0"/>
                  <w:marTop w:val="0"/>
                  <w:marBottom w:val="0"/>
                  <w:divBdr>
                    <w:top w:val="none" w:sz="0" w:space="0" w:color="auto"/>
                    <w:left w:val="none" w:sz="0" w:space="0" w:color="auto"/>
                    <w:bottom w:val="none" w:sz="0" w:space="0" w:color="auto"/>
                    <w:right w:val="none" w:sz="0" w:space="0" w:color="auto"/>
                  </w:divBdr>
                </w:div>
              </w:divsChild>
            </w:div>
            <w:div w:id="592399841">
              <w:marLeft w:val="0"/>
              <w:marRight w:val="0"/>
              <w:marTop w:val="0"/>
              <w:marBottom w:val="0"/>
              <w:divBdr>
                <w:top w:val="none" w:sz="0" w:space="0" w:color="auto"/>
                <w:left w:val="none" w:sz="0" w:space="0" w:color="auto"/>
                <w:bottom w:val="none" w:sz="0" w:space="0" w:color="auto"/>
                <w:right w:val="none" w:sz="0" w:space="0" w:color="auto"/>
              </w:divBdr>
              <w:divsChild>
                <w:div w:id="1164779890">
                  <w:marLeft w:val="0"/>
                  <w:marRight w:val="0"/>
                  <w:marTop w:val="0"/>
                  <w:marBottom w:val="0"/>
                  <w:divBdr>
                    <w:top w:val="none" w:sz="0" w:space="0" w:color="auto"/>
                    <w:left w:val="none" w:sz="0" w:space="0" w:color="auto"/>
                    <w:bottom w:val="none" w:sz="0" w:space="0" w:color="auto"/>
                    <w:right w:val="none" w:sz="0" w:space="0" w:color="auto"/>
                  </w:divBdr>
                </w:div>
              </w:divsChild>
            </w:div>
            <w:div w:id="634677875">
              <w:marLeft w:val="0"/>
              <w:marRight w:val="0"/>
              <w:marTop w:val="0"/>
              <w:marBottom w:val="0"/>
              <w:divBdr>
                <w:top w:val="none" w:sz="0" w:space="0" w:color="auto"/>
                <w:left w:val="none" w:sz="0" w:space="0" w:color="auto"/>
                <w:bottom w:val="none" w:sz="0" w:space="0" w:color="auto"/>
                <w:right w:val="none" w:sz="0" w:space="0" w:color="auto"/>
              </w:divBdr>
              <w:divsChild>
                <w:div w:id="1049646804">
                  <w:marLeft w:val="0"/>
                  <w:marRight w:val="0"/>
                  <w:marTop w:val="0"/>
                  <w:marBottom w:val="0"/>
                  <w:divBdr>
                    <w:top w:val="none" w:sz="0" w:space="0" w:color="auto"/>
                    <w:left w:val="none" w:sz="0" w:space="0" w:color="auto"/>
                    <w:bottom w:val="none" w:sz="0" w:space="0" w:color="auto"/>
                    <w:right w:val="none" w:sz="0" w:space="0" w:color="auto"/>
                  </w:divBdr>
                </w:div>
              </w:divsChild>
            </w:div>
            <w:div w:id="672294984">
              <w:marLeft w:val="0"/>
              <w:marRight w:val="0"/>
              <w:marTop w:val="0"/>
              <w:marBottom w:val="0"/>
              <w:divBdr>
                <w:top w:val="none" w:sz="0" w:space="0" w:color="auto"/>
                <w:left w:val="none" w:sz="0" w:space="0" w:color="auto"/>
                <w:bottom w:val="none" w:sz="0" w:space="0" w:color="auto"/>
                <w:right w:val="none" w:sz="0" w:space="0" w:color="auto"/>
              </w:divBdr>
              <w:divsChild>
                <w:div w:id="1720933847">
                  <w:marLeft w:val="0"/>
                  <w:marRight w:val="0"/>
                  <w:marTop w:val="0"/>
                  <w:marBottom w:val="0"/>
                  <w:divBdr>
                    <w:top w:val="none" w:sz="0" w:space="0" w:color="auto"/>
                    <w:left w:val="none" w:sz="0" w:space="0" w:color="auto"/>
                    <w:bottom w:val="none" w:sz="0" w:space="0" w:color="auto"/>
                    <w:right w:val="none" w:sz="0" w:space="0" w:color="auto"/>
                  </w:divBdr>
                </w:div>
              </w:divsChild>
            </w:div>
            <w:div w:id="750784324">
              <w:marLeft w:val="0"/>
              <w:marRight w:val="0"/>
              <w:marTop w:val="0"/>
              <w:marBottom w:val="0"/>
              <w:divBdr>
                <w:top w:val="none" w:sz="0" w:space="0" w:color="auto"/>
                <w:left w:val="none" w:sz="0" w:space="0" w:color="auto"/>
                <w:bottom w:val="none" w:sz="0" w:space="0" w:color="auto"/>
                <w:right w:val="none" w:sz="0" w:space="0" w:color="auto"/>
              </w:divBdr>
              <w:divsChild>
                <w:div w:id="1259367112">
                  <w:marLeft w:val="0"/>
                  <w:marRight w:val="0"/>
                  <w:marTop w:val="0"/>
                  <w:marBottom w:val="0"/>
                  <w:divBdr>
                    <w:top w:val="none" w:sz="0" w:space="0" w:color="auto"/>
                    <w:left w:val="none" w:sz="0" w:space="0" w:color="auto"/>
                    <w:bottom w:val="none" w:sz="0" w:space="0" w:color="auto"/>
                    <w:right w:val="none" w:sz="0" w:space="0" w:color="auto"/>
                  </w:divBdr>
                </w:div>
              </w:divsChild>
            </w:div>
            <w:div w:id="760375923">
              <w:marLeft w:val="0"/>
              <w:marRight w:val="0"/>
              <w:marTop w:val="0"/>
              <w:marBottom w:val="0"/>
              <w:divBdr>
                <w:top w:val="none" w:sz="0" w:space="0" w:color="auto"/>
                <w:left w:val="none" w:sz="0" w:space="0" w:color="auto"/>
                <w:bottom w:val="none" w:sz="0" w:space="0" w:color="auto"/>
                <w:right w:val="none" w:sz="0" w:space="0" w:color="auto"/>
              </w:divBdr>
              <w:divsChild>
                <w:div w:id="1478492411">
                  <w:marLeft w:val="0"/>
                  <w:marRight w:val="0"/>
                  <w:marTop w:val="0"/>
                  <w:marBottom w:val="0"/>
                  <w:divBdr>
                    <w:top w:val="none" w:sz="0" w:space="0" w:color="auto"/>
                    <w:left w:val="none" w:sz="0" w:space="0" w:color="auto"/>
                    <w:bottom w:val="none" w:sz="0" w:space="0" w:color="auto"/>
                    <w:right w:val="none" w:sz="0" w:space="0" w:color="auto"/>
                  </w:divBdr>
                </w:div>
              </w:divsChild>
            </w:div>
            <w:div w:id="797918087">
              <w:marLeft w:val="0"/>
              <w:marRight w:val="0"/>
              <w:marTop w:val="0"/>
              <w:marBottom w:val="0"/>
              <w:divBdr>
                <w:top w:val="none" w:sz="0" w:space="0" w:color="auto"/>
                <w:left w:val="none" w:sz="0" w:space="0" w:color="auto"/>
                <w:bottom w:val="none" w:sz="0" w:space="0" w:color="auto"/>
                <w:right w:val="none" w:sz="0" w:space="0" w:color="auto"/>
              </w:divBdr>
              <w:divsChild>
                <w:div w:id="1125545566">
                  <w:marLeft w:val="0"/>
                  <w:marRight w:val="0"/>
                  <w:marTop w:val="0"/>
                  <w:marBottom w:val="0"/>
                  <w:divBdr>
                    <w:top w:val="none" w:sz="0" w:space="0" w:color="auto"/>
                    <w:left w:val="none" w:sz="0" w:space="0" w:color="auto"/>
                    <w:bottom w:val="none" w:sz="0" w:space="0" w:color="auto"/>
                    <w:right w:val="none" w:sz="0" w:space="0" w:color="auto"/>
                  </w:divBdr>
                </w:div>
              </w:divsChild>
            </w:div>
            <w:div w:id="817262972">
              <w:marLeft w:val="0"/>
              <w:marRight w:val="0"/>
              <w:marTop w:val="0"/>
              <w:marBottom w:val="0"/>
              <w:divBdr>
                <w:top w:val="none" w:sz="0" w:space="0" w:color="auto"/>
                <w:left w:val="none" w:sz="0" w:space="0" w:color="auto"/>
                <w:bottom w:val="none" w:sz="0" w:space="0" w:color="auto"/>
                <w:right w:val="none" w:sz="0" w:space="0" w:color="auto"/>
              </w:divBdr>
              <w:divsChild>
                <w:div w:id="121774557">
                  <w:marLeft w:val="0"/>
                  <w:marRight w:val="0"/>
                  <w:marTop w:val="0"/>
                  <w:marBottom w:val="0"/>
                  <w:divBdr>
                    <w:top w:val="none" w:sz="0" w:space="0" w:color="auto"/>
                    <w:left w:val="none" w:sz="0" w:space="0" w:color="auto"/>
                    <w:bottom w:val="none" w:sz="0" w:space="0" w:color="auto"/>
                    <w:right w:val="none" w:sz="0" w:space="0" w:color="auto"/>
                  </w:divBdr>
                </w:div>
              </w:divsChild>
            </w:div>
            <w:div w:id="847259100">
              <w:marLeft w:val="0"/>
              <w:marRight w:val="0"/>
              <w:marTop w:val="0"/>
              <w:marBottom w:val="0"/>
              <w:divBdr>
                <w:top w:val="none" w:sz="0" w:space="0" w:color="auto"/>
                <w:left w:val="none" w:sz="0" w:space="0" w:color="auto"/>
                <w:bottom w:val="none" w:sz="0" w:space="0" w:color="auto"/>
                <w:right w:val="none" w:sz="0" w:space="0" w:color="auto"/>
              </w:divBdr>
              <w:divsChild>
                <w:div w:id="619653000">
                  <w:marLeft w:val="0"/>
                  <w:marRight w:val="0"/>
                  <w:marTop w:val="0"/>
                  <w:marBottom w:val="0"/>
                  <w:divBdr>
                    <w:top w:val="none" w:sz="0" w:space="0" w:color="auto"/>
                    <w:left w:val="none" w:sz="0" w:space="0" w:color="auto"/>
                    <w:bottom w:val="none" w:sz="0" w:space="0" w:color="auto"/>
                    <w:right w:val="none" w:sz="0" w:space="0" w:color="auto"/>
                  </w:divBdr>
                </w:div>
              </w:divsChild>
            </w:div>
            <w:div w:id="863403368">
              <w:marLeft w:val="0"/>
              <w:marRight w:val="0"/>
              <w:marTop w:val="0"/>
              <w:marBottom w:val="0"/>
              <w:divBdr>
                <w:top w:val="none" w:sz="0" w:space="0" w:color="auto"/>
                <w:left w:val="none" w:sz="0" w:space="0" w:color="auto"/>
                <w:bottom w:val="none" w:sz="0" w:space="0" w:color="auto"/>
                <w:right w:val="none" w:sz="0" w:space="0" w:color="auto"/>
              </w:divBdr>
              <w:divsChild>
                <w:div w:id="633222179">
                  <w:marLeft w:val="0"/>
                  <w:marRight w:val="0"/>
                  <w:marTop w:val="0"/>
                  <w:marBottom w:val="0"/>
                  <w:divBdr>
                    <w:top w:val="none" w:sz="0" w:space="0" w:color="auto"/>
                    <w:left w:val="none" w:sz="0" w:space="0" w:color="auto"/>
                    <w:bottom w:val="none" w:sz="0" w:space="0" w:color="auto"/>
                    <w:right w:val="none" w:sz="0" w:space="0" w:color="auto"/>
                  </w:divBdr>
                </w:div>
              </w:divsChild>
            </w:div>
            <w:div w:id="893590469">
              <w:marLeft w:val="0"/>
              <w:marRight w:val="0"/>
              <w:marTop w:val="0"/>
              <w:marBottom w:val="0"/>
              <w:divBdr>
                <w:top w:val="none" w:sz="0" w:space="0" w:color="auto"/>
                <w:left w:val="none" w:sz="0" w:space="0" w:color="auto"/>
                <w:bottom w:val="none" w:sz="0" w:space="0" w:color="auto"/>
                <w:right w:val="none" w:sz="0" w:space="0" w:color="auto"/>
              </w:divBdr>
              <w:divsChild>
                <w:div w:id="959148181">
                  <w:marLeft w:val="0"/>
                  <w:marRight w:val="0"/>
                  <w:marTop w:val="0"/>
                  <w:marBottom w:val="0"/>
                  <w:divBdr>
                    <w:top w:val="none" w:sz="0" w:space="0" w:color="auto"/>
                    <w:left w:val="none" w:sz="0" w:space="0" w:color="auto"/>
                    <w:bottom w:val="none" w:sz="0" w:space="0" w:color="auto"/>
                    <w:right w:val="none" w:sz="0" w:space="0" w:color="auto"/>
                  </w:divBdr>
                </w:div>
              </w:divsChild>
            </w:div>
            <w:div w:id="894123906">
              <w:marLeft w:val="0"/>
              <w:marRight w:val="0"/>
              <w:marTop w:val="0"/>
              <w:marBottom w:val="0"/>
              <w:divBdr>
                <w:top w:val="none" w:sz="0" w:space="0" w:color="auto"/>
                <w:left w:val="none" w:sz="0" w:space="0" w:color="auto"/>
                <w:bottom w:val="none" w:sz="0" w:space="0" w:color="auto"/>
                <w:right w:val="none" w:sz="0" w:space="0" w:color="auto"/>
              </w:divBdr>
              <w:divsChild>
                <w:div w:id="853541779">
                  <w:marLeft w:val="0"/>
                  <w:marRight w:val="0"/>
                  <w:marTop w:val="0"/>
                  <w:marBottom w:val="0"/>
                  <w:divBdr>
                    <w:top w:val="none" w:sz="0" w:space="0" w:color="auto"/>
                    <w:left w:val="none" w:sz="0" w:space="0" w:color="auto"/>
                    <w:bottom w:val="none" w:sz="0" w:space="0" w:color="auto"/>
                    <w:right w:val="none" w:sz="0" w:space="0" w:color="auto"/>
                  </w:divBdr>
                </w:div>
              </w:divsChild>
            </w:div>
            <w:div w:id="901865898">
              <w:marLeft w:val="0"/>
              <w:marRight w:val="0"/>
              <w:marTop w:val="0"/>
              <w:marBottom w:val="0"/>
              <w:divBdr>
                <w:top w:val="none" w:sz="0" w:space="0" w:color="auto"/>
                <w:left w:val="none" w:sz="0" w:space="0" w:color="auto"/>
                <w:bottom w:val="none" w:sz="0" w:space="0" w:color="auto"/>
                <w:right w:val="none" w:sz="0" w:space="0" w:color="auto"/>
              </w:divBdr>
              <w:divsChild>
                <w:div w:id="698700233">
                  <w:marLeft w:val="0"/>
                  <w:marRight w:val="0"/>
                  <w:marTop w:val="0"/>
                  <w:marBottom w:val="0"/>
                  <w:divBdr>
                    <w:top w:val="none" w:sz="0" w:space="0" w:color="auto"/>
                    <w:left w:val="none" w:sz="0" w:space="0" w:color="auto"/>
                    <w:bottom w:val="none" w:sz="0" w:space="0" w:color="auto"/>
                    <w:right w:val="none" w:sz="0" w:space="0" w:color="auto"/>
                  </w:divBdr>
                </w:div>
              </w:divsChild>
            </w:div>
            <w:div w:id="959602804">
              <w:marLeft w:val="0"/>
              <w:marRight w:val="0"/>
              <w:marTop w:val="0"/>
              <w:marBottom w:val="0"/>
              <w:divBdr>
                <w:top w:val="none" w:sz="0" w:space="0" w:color="auto"/>
                <w:left w:val="none" w:sz="0" w:space="0" w:color="auto"/>
                <w:bottom w:val="none" w:sz="0" w:space="0" w:color="auto"/>
                <w:right w:val="none" w:sz="0" w:space="0" w:color="auto"/>
              </w:divBdr>
              <w:divsChild>
                <w:div w:id="1288467185">
                  <w:marLeft w:val="0"/>
                  <w:marRight w:val="0"/>
                  <w:marTop w:val="0"/>
                  <w:marBottom w:val="0"/>
                  <w:divBdr>
                    <w:top w:val="none" w:sz="0" w:space="0" w:color="auto"/>
                    <w:left w:val="none" w:sz="0" w:space="0" w:color="auto"/>
                    <w:bottom w:val="none" w:sz="0" w:space="0" w:color="auto"/>
                    <w:right w:val="none" w:sz="0" w:space="0" w:color="auto"/>
                  </w:divBdr>
                </w:div>
              </w:divsChild>
            </w:div>
            <w:div w:id="969046820">
              <w:marLeft w:val="0"/>
              <w:marRight w:val="0"/>
              <w:marTop w:val="0"/>
              <w:marBottom w:val="0"/>
              <w:divBdr>
                <w:top w:val="none" w:sz="0" w:space="0" w:color="auto"/>
                <w:left w:val="none" w:sz="0" w:space="0" w:color="auto"/>
                <w:bottom w:val="none" w:sz="0" w:space="0" w:color="auto"/>
                <w:right w:val="none" w:sz="0" w:space="0" w:color="auto"/>
              </w:divBdr>
              <w:divsChild>
                <w:div w:id="1303543001">
                  <w:marLeft w:val="0"/>
                  <w:marRight w:val="0"/>
                  <w:marTop w:val="0"/>
                  <w:marBottom w:val="0"/>
                  <w:divBdr>
                    <w:top w:val="none" w:sz="0" w:space="0" w:color="auto"/>
                    <w:left w:val="none" w:sz="0" w:space="0" w:color="auto"/>
                    <w:bottom w:val="none" w:sz="0" w:space="0" w:color="auto"/>
                    <w:right w:val="none" w:sz="0" w:space="0" w:color="auto"/>
                  </w:divBdr>
                </w:div>
              </w:divsChild>
            </w:div>
            <w:div w:id="1022131353">
              <w:marLeft w:val="0"/>
              <w:marRight w:val="0"/>
              <w:marTop w:val="0"/>
              <w:marBottom w:val="0"/>
              <w:divBdr>
                <w:top w:val="none" w:sz="0" w:space="0" w:color="auto"/>
                <w:left w:val="none" w:sz="0" w:space="0" w:color="auto"/>
                <w:bottom w:val="none" w:sz="0" w:space="0" w:color="auto"/>
                <w:right w:val="none" w:sz="0" w:space="0" w:color="auto"/>
              </w:divBdr>
              <w:divsChild>
                <w:div w:id="64308364">
                  <w:marLeft w:val="0"/>
                  <w:marRight w:val="0"/>
                  <w:marTop w:val="0"/>
                  <w:marBottom w:val="0"/>
                  <w:divBdr>
                    <w:top w:val="none" w:sz="0" w:space="0" w:color="auto"/>
                    <w:left w:val="none" w:sz="0" w:space="0" w:color="auto"/>
                    <w:bottom w:val="none" w:sz="0" w:space="0" w:color="auto"/>
                    <w:right w:val="none" w:sz="0" w:space="0" w:color="auto"/>
                  </w:divBdr>
                </w:div>
              </w:divsChild>
            </w:div>
            <w:div w:id="1065378154">
              <w:marLeft w:val="0"/>
              <w:marRight w:val="0"/>
              <w:marTop w:val="0"/>
              <w:marBottom w:val="0"/>
              <w:divBdr>
                <w:top w:val="none" w:sz="0" w:space="0" w:color="auto"/>
                <w:left w:val="none" w:sz="0" w:space="0" w:color="auto"/>
                <w:bottom w:val="none" w:sz="0" w:space="0" w:color="auto"/>
                <w:right w:val="none" w:sz="0" w:space="0" w:color="auto"/>
              </w:divBdr>
              <w:divsChild>
                <w:div w:id="1354645110">
                  <w:marLeft w:val="0"/>
                  <w:marRight w:val="0"/>
                  <w:marTop w:val="0"/>
                  <w:marBottom w:val="0"/>
                  <w:divBdr>
                    <w:top w:val="none" w:sz="0" w:space="0" w:color="auto"/>
                    <w:left w:val="none" w:sz="0" w:space="0" w:color="auto"/>
                    <w:bottom w:val="none" w:sz="0" w:space="0" w:color="auto"/>
                    <w:right w:val="none" w:sz="0" w:space="0" w:color="auto"/>
                  </w:divBdr>
                </w:div>
              </w:divsChild>
            </w:div>
            <w:div w:id="1093671218">
              <w:marLeft w:val="0"/>
              <w:marRight w:val="0"/>
              <w:marTop w:val="0"/>
              <w:marBottom w:val="0"/>
              <w:divBdr>
                <w:top w:val="none" w:sz="0" w:space="0" w:color="auto"/>
                <w:left w:val="none" w:sz="0" w:space="0" w:color="auto"/>
                <w:bottom w:val="none" w:sz="0" w:space="0" w:color="auto"/>
                <w:right w:val="none" w:sz="0" w:space="0" w:color="auto"/>
              </w:divBdr>
              <w:divsChild>
                <w:div w:id="535894606">
                  <w:marLeft w:val="0"/>
                  <w:marRight w:val="0"/>
                  <w:marTop w:val="0"/>
                  <w:marBottom w:val="0"/>
                  <w:divBdr>
                    <w:top w:val="none" w:sz="0" w:space="0" w:color="auto"/>
                    <w:left w:val="none" w:sz="0" w:space="0" w:color="auto"/>
                    <w:bottom w:val="none" w:sz="0" w:space="0" w:color="auto"/>
                    <w:right w:val="none" w:sz="0" w:space="0" w:color="auto"/>
                  </w:divBdr>
                </w:div>
              </w:divsChild>
            </w:div>
            <w:div w:id="1145508435">
              <w:marLeft w:val="0"/>
              <w:marRight w:val="0"/>
              <w:marTop w:val="0"/>
              <w:marBottom w:val="0"/>
              <w:divBdr>
                <w:top w:val="none" w:sz="0" w:space="0" w:color="auto"/>
                <w:left w:val="none" w:sz="0" w:space="0" w:color="auto"/>
                <w:bottom w:val="none" w:sz="0" w:space="0" w:color="auto"/>
                <w:right w:val="none" w:sz="0" w:space="0" w:color="auto"/>
              </w:divBdr>
              <w:divsChild>
                <w:div w:id="776758130">
                  <w:marLeft w:val="0"/>
                  <w:marRight w:val="0"/>
                  <w:marTop w:val="0"/>
                  <w:marBottom w:val="0"/>
                  <w:divBdr>
                    <w:top w:val="none" w:sz="0" w:space="0" w:color="auto"/>
                    <w:left w:val="none" w:sz="0" w:space="0" w:color="auto"/>
                    <w:bottom w:val="none" w:sz="0" w:space="0" w:color="auto"/>
                    <w:right w:val="none" w:sz="0" w:space="0" w:color="auto"/>
                  </w:divBdr>
                </w:div>
              </w:divsChild>
            </w:div>
            <w:div w:id="1209687279">
              <w:marLeft w:val="0"/>
              <w:marRight w:val="0"/>
              <w:marTop w:val="0"/>
              <w:marBottom w:val="0"/>
              <w:divBdr>
                <w:top w:val="none" w:sz="0" w:space="0" w:color="auto"/>
                <w:left w:val="none" w:sz="0" w:space="0" w:color="auto"/>
                <w:bottom w:val="none" w:sz="0" w:space="0" w:color="auto"/>
                <w:right w:val="none" w:sz="0" w:space="0" w:color="auto"/>
              </w:divBdr>
              <w:divsChild>
                <w:div w:id="1584799511">
                  <w:marLeft w:val="0"/>
                  <w:marRight w:val="0"/>
                  <w:marTop w:val="0"/>
                  <w:marBottom w:val="0"/>
                  <w:divBdr>
                    <w:top w:val="none" w:sz="0" w:space="0" w:color="auto"/>
                    <w:left w:val="none" w:sz="0" w:space="0" w:color="auto"/>
                    <w:bottom w:val="none" w:sz="0" w:space="0" w:color="auto"/>
                    <w:right w:val="none" w:sz="0" w:space="0" w:color="auto"/>
                  </w:divBdr>
                </w:div>
              </w:divsChild>
            </w:div>
            <w:div w:id="1210536441">
              <w:marLeft w:val="0"/>
              <w:marRight w:val="0"/>
              <w:marTop w:val="0"/>
              <w:marBottom w:val="0"/>
              <w:divBdr>
                <w:top w:val="none" w:sz="0" w:space="0" w:color="auto"/>
                <w:left w:val="none" w:sz="0" w:space="0" w:color="auto"/>
                <w:bottom w:val="none" w:sz="0" w:space="0" w:color="auto"/>
                <w:right w:val="none" w:sz="0" w:space="0" w:color="auto"/>
              </w:divBdr>
              <w:divsChild>
                <w:div w:id="339704112">
                  <w:marLeft w:val="0"/>
                  <w:marRight w:val="0"/>
                  <w:marTop w:val="0"/>
                  <w:marBottom w:val="0"/>
                  <w:divBdr>
                    <w:top w:val="none" w:sz="0" w:space="0" w:color="auto"/>
                    <w:left w:val="none" w:sz="0" w:space="0" w:color="auto"/>
                    <w:bottom w:val="none" w:sz="0" w:space="0" w:color="auto"/>
                    <w:right w:val="none" w:sz="0" w:space="0" w:color="auto"/>
                  </w:divBdr>
                </w:div>
              </w:divsChild>
            </w:div>
            <w:div w:id="1309826698">
              <w:marLeft w:val="0"/>
              <w:marRight w:val="0"/>
              <w:marTop w:val="0"/>
              <w:marBottom w:val="0"/>
              <w:divBdr>
                <w:top w:val="none" w:sz="0" w:space="0" w:color="auto"/>
                <w:left w:val="none" w:sz="0" w:space="0" w:color="auto"/>
                <w:bottom w:val="none" w:sz="0" w:space="0" w:color="auto"/>
                <w:right w:val="none" w:sz="0" w:space="0" w:color="auto"/>
              </w:divBdr>
              <w:divsChild>
                <w:div w:id="1374309787">
                  <w:marLeft w:val="0"/>
                  <w:marRight w:val="0"/>
                  <w:marTop w:val="0"/>
                  <w:marBottom w:val="0"/>
                  <w:divBdr>
                    <w:top w:val="none" w:sz="0" w:space="0" w:color="auto"/>
                    <w:left w:val="none" w:sz="0" w:space="0" w:color="auto"/>
                    <w:bottom w:val="none" w:sz="0" w:space="0" w:color="auto"/>
                    <w:right w:val="none" w:sz="0" w:space="0" w:color="auto"/>
                  </w:divBdr>
                </w:div>
              </w:divsChild>
            </w:div>
            <w:div w:id="1346786745">
              <w:marLeft w:val="0"/>
              <w:marRight w:val="0"/>
              <w:marTop w:val="0"/>
              <w:marBottom w:val="0"/>
              <w:divBdr>
                <w:top w:val="none" w:sz="0" w:space="0" w:color="auto"/>
                <w:left w:val="none" w:sz="0" w:space="0" w:color="auto"/>
                <w:bottom w:val="none" w:sz="0" w:space="0" w:color="auto"/>
                <w:right w:val="none" w:sz="0" w:space="0" w:color="auto"/>
              </w:divBdr>
              <w:divsChild>
                <w:div w:id="2064332389">
                  <w:marLeft w:val="0"/>
                  <w:marRight w:val="0"/>
                  <w:marTop w:val="0"/>
                  <w:marBottom w:val="0"/>
                  <w:divBdr>
                    <w:top w:val="none" w:sz="0" w:space="0" w:color="auto"/>
                    <w:left w:val="none" w:sz="0" w:space="0" w:color="auto"/>
                    <w:bottom w:val="none" w:sz="0" w:space="0" w:color="auto"/>
                    <w:right w:val="none" w:sz="0" w:space="0" w:color="auto"/>
                  </w:divBdr>
                </w:div>
              </w:divsChild>
            </w:div>
            <w:div w:id="1363549797">
              <w:marLeft w:val="0"/>
              <w:marRight w:val="0"/>
              <w:marTop w:val="0"/>
              <w:marBottom w:val="0"/>
              <w:divBdr>
                <w:top w:val="none" w:sz="0" w:space="0" w:color="auto"/>
                <w:left w:val="none" w:sz="0" w:space="0" w:color="auto"/>
                <w:bottom w:val="none" w:sz="0" w:space="0" w:color="auto"/>
                <w:right w:val="none" w:sz="0" w:space="0" w:color="auto"/>
              </w:divBdr>
              <w:divsChild>
                <w:div w:id="1711220804">
                  <w:marLeft w:val="0"/>
                  <w:marRight w:val="0"/>
                  <w:marTop w:val="0"/>
                  <w:marBottom w:val="0"/>
                  <w:divBdr>
                    <w:top w:val="none" w:sz="0" w:space="0" w:color="auto"/>
                    <w:left w:val="none" w:sz="0" w:space="0" w:color="auto"/>
                    <w:bottom w:val="none" w:sz="0" w:space="0" w:color="auto"/>
                    <w:right w:val="none" w:sz="0" w:space="0" w:color="auto"/>
                  </w:divBdr>
                </w:div>
              </w:divsChild>
            </w:div>
            <w:div w:id="1373380815">
              <w:marLeft w:val="0"/>
              <w:marRight w:val="0"/>
              <w:marTop w:val="0"/>
              <w:marBottom w:val="0"/>
              <w:divBdr>
                <w:top w:val="none" w:sz="0" w:space="0" w:color="auto"/>
                <w:left w:val="none" w:sz="0" w:space="0" w:color="auto"/>
                <w:bottom w:val="none" w:sz="0" w:space="0" w:color="auto"/>
                <w:right w:val="none" w:sz="0" w:space="0" w:color="auto"/>
              </w:divBdr>
              <w:divsChild>
                <w:div w:id="1894929676">
                  <w:marLeft w:val="0"/>
                  <w:marRight w:val="0"/>
                  <w:marTop w:val="0"/>
                  <w:marBottom w:val="0"/>
                  <w:divBdr>
                    <w:top w:val="none" w:sz="0" w:space="0" w:color="auto"/>
                    <w:left w:val="none" w:sz="0" w:space="0" w:color="auto"/>
                    <w:bottom w:val="none" w:sz="0" w:space="0" w:color="auto"/>
                    <w:right w:val="none" w:sz="0" w:space="0" w:color="auto"/>
                  </w:divBdr>
                </w:div>
              </w:divsChild>
            </w:div>
            <w:div w:id="1400592989">
              <w:marLeft w:val="0"/>
              <w:marRight w:val="0"/>
              <w:marTop w:val="0"/>
              <w:marBottom w:val="0"/>
              <w:divBdr>
                <w:top w:val="none" w:sz="0" w:space="0" w:color="auto"/>
                <w:left w:val="none" w:sz="0" w:space="0" w:color="auto"/>
                <w:bottom w:val="none" w:sz="0" w:space="0" w:color="auto"/>
                <w:right w:val="none" w:sz="0" w:space="0" w:color="auto"/>
              </w:divBdr>
              <w:divsChild>
                <w:div w:id="2101439668">
                  <w:marLeft w:val="0"/>
                  <w:marRight w:val="0"/>
                  <w:marTop w:val="0"/>
                  <w:marBottom w:val="0"/>
                  <w:divBdr>
                    <w:top w:val="none" w:sz="0" w:space="0" w:color="auto"/>
                    <w:left w:val="none" w:sz="0" w:space="0" w:color="auto"/>
                    <w:bottom w:val="none" w:sz="0" w:space="0" w:color="auto"/>
                    <w:right w:val="none" w:sz="0" w:space="0" w:color="auto"/>
                  </w:divBdr>
                </w:div>
              </w:divsChild>
            </w:div>
            <w:div w:id="1440104111">
              <w:marLeft w:val="0"/>
              <w:marRight w:val="0"/>
              <w:marTop w:val="0"/>
              <w:marBottom w:val="0"/>
              <w:divBdr>
                <w:top w:val="none" w:sz="0" w:space="0" w:color="auto"/>
                <w:left w:val="none" w:sz="0" w:space="0" w:color="auto"/>
                <w:bottom w:val="none" w:sz="0" w:space="0" w:color="auto"/>
                <w:right w:val="none" w:sz="0" w:space="0" w:color="auto"/>
              </w:divBdr>
              <w:divsChild>
                <w:div w:id="1977491317">
                  <w:marLeft w:val="0"/>
                  <w:marRight w:val="0"/>
                  <w:marTop w:val="0"/>
                  <w:marBottom w:val="0"/>
                  <w:divBdr>
                    <w:top w:val="none" w:sz="0" w:space="0" w:color="auto"/>
                    <w:left w:val="none" w:sz="0" w:space="0" w:color="auto"/>
                    <w:bottom w:val="none" w:sz="0" w:space="0" w:color="auto"/>
                    <w:right w:val="none" w:sz="0" w:space="0" w:color="auto"/>
                  </w:divBdr>
                </w:div>
              </w:divsChild>
            </w:div>
            <w:div w:id="1441756755">
              <w:marLeft w:val="0"/>
              <w:marRight w:val="0"/>
              <w:marTop w:val="0"/>
              <w:marBottom w:val="0"/>
              <w:divBdr>
                <w:top w:val="none" w:sz="0" w:space="0" w:color="auto"/>
                <w:left w:val="none" w:sz="0" w:space="0" w:color="auto"/>
                <w:bottom w:val="none" w:sz="0" w:space="0" w:color="auto"/>
                <w:right w:val="none" w:sz="0" w:space="0" w:color="auto"/>
              </w:divBdr>
              <w:divsChild>
                <w:div w:id="679430141">
                  <w:marLeft w:val="0"/>
                  <w:marRight w:val="0"/>
                  <w:marTop w:val="0"/>
                  <w:marBottom w:val="0"/>
                  <w:divBdr>
                    <w:top w:val="none" w:sz="0" w:space="0" w:color="auto"/>
                    <w:left w:val="none" w:sz="0" w:space="0" w:color="auto"/>
                    <w:bottom w:val="none" w:sz="0" w:space="0" w:color="auto"/>
                    <w:right w:val="none" w:sz="0" w:space="0" w:color="auto"/>
                  </w:divBdr>
                </w:div>
              </w:divsChild>
            </w:div>
            <w:div w:id="1516648902">
              <w:marLeft w:val="0"/>
              <w:marRight w:val="0"/>
              <w:marTop w:val="0"/>
              <w:marBottom w:val="0"/>
              <w:divBdr>
                <w:top w:val="none" w:sz="0" w:space="0" w:color="auto"/>
                <w:left w:val="none" w:sz="0" w:space="0" w:color="auto"/>
                <w:bottom w:val="none" w:sz="0" w:space="0" w:color="auto"/>
                <w:right w:val="none" w:sz="0" w:space="0" w:color="auto"/>
              </w:divBdr>
              <w:divsChild>
                <w:div w:id="1612277546">
                  <w:marLeft w:val="0"/>
                  <w:marRight w:val="0"/>
                  <w:marTop w:val="0"/>
                  <w:marBottom w:val="0"/>
                  <w:divBdr>
                    <w:top w:val="none" w:sz="0" w:space="0" w:color="auto"/>
                    <w:left w:val="none" w:sz="0" w:space="0" w:color="auto"/>
                    <w:bottom w:val="none" w:sz="0" w:space="0" w:color="auto"/>
                    <w:right w:val="none" w:sz="0" w:space="0" w:color="auto"/>
                  </w:divBdr>
                </w:div>
              </w:divsChild>
            </w:div>
            <w:div w:id="1590850552">
              <w:marLeft w:val="0"/>
              <w:marRight w:val="0"/>
              <w:marTop w:val="0"/>
              <w:marBottom w:val="0"/>
              <w:divBdr>
                <w:top w:val="none" w:sz="0" w:space="0" w:color="auto"/>
                <w:left w:val="none" w:sz="0" w:space="0" w:color="auto"/>
                <w:bottom w:val="none" w:sz="0" w:space="0" w:color="auto"/>
                <w:right w:val="none" w:sz="0" w:space="0" w:color="auto"/>
              </w:divBdr>
              <w:divsChild>
                <w:div w:id="939794540">
                  <w:marLeft w:val="0"/>
                  <w:marRight w:val="0"/>
                  <w:marTop w:val="0"/>
                  <w:marBottom w:val="0"/>
                  <w:divBdr>
                    <w:top w:val="none" w:sz="0" w:space="0" w:color="auto"/>
                    <w:left w:val="none" w:sz="0" w:space="0" w:color="auto"/>
                    <w:bottom w:val="none" w:sz="0" w:space="0" w:color="auto"/>
                    <w:right w:val="none" w:sz="0" w:space="0" w:color="auto"/>
                  </w:divBdr>
                </w:div>
              </w:divsChild>
            </w:div>
            <w:div w:id="1645885956">
              <w:marLeft w:val="0"/>
              <w:marRight w:val="0"/>
              <w:marTop w:val="0"/>
              <w:marBottom w:val="0"/>
              <w:divBdr>
                <w:top w:val="none" w:sz="0" w:space="0" w:color="auto"/>
                <w:left w:val="none" w:sz="0" w:space="0" w:color="auto"/>
                <w:bottom w:val="none" w:sz="0" w:space="0" w:color="auto"/>
                <w:right w:val="none" w:sz="0" w:space="0" w:color="auto"/>
              </w:divBdr>
              <w:divsChild>
                <w:div w:id="237861822">
                  <w:marLeft w:val="0"/>
                  <w:marRight w:val="0"/>
                  <w:marTop w:val="0"/>
                  <w:marBottom w:val="0"/>
                  <w:divBdr>
                    <w:top w:val="none" w:sz="0" w:space="0" w:color="auto"/>
                    <w:left w:val="none" w:sz="0" w:space="0" w:color="auto"/>
                    <w:bottom w:val="none" w:sz="0" w:space="0" w:color="auto"/>
                    <w:right w:val="none" w:sz="0" w:space="0" w:color="auto"/>
                  </w:divBdr>
                </w:div>
              </w:divsChild>
            </w:div>
            <w:div w:id="1650594106">
              <w:marLeft w:val="0"/>
              <w:marRight w:val="0"/>
              <w:marTop w:val="0"/>
              <w:marBottom w:val="0"/>
              <w:divBdr>
                <w:top w:val="none" w:sz="0" w:space="0" w:color="auto"/>
                <w:left w:val="none" w:sz="0" w:space="0" w:color="auto"/>
                <w:bottom w:val="none" w:sz="0" w:space="0" w:color="auto"/>
                <w:right w:val="none" w:sz="0" w:space="0" w:color="auto"/>
              </w:divBdr>
              <w:divsChild>
                <w:div w:id="146938407">
                  <w:marLeft w:val="0"/>
                  <w:marRight w:val="0"/>
                  <w:marTop w:val="0"/>
                  <w:marBottom w:val="0"/>
                  <w:divBdr>
                    <w:top w:val="none" w:sz="0" w:space="0" w:color="auto"/>
                    <w:left w:val="none" w:sz="0" w:space="0" w:color="auto"/>
                    <w:bottom w:val="none" w:sz="0" w:space="0" w:color="auto"/>
                    <w:right w:val="none" w:sz="0" w:space="0" w:color="auto"/>
                  </w:divBdr>
                </w:div>
              </w:divsChild>
            </w:div>
            <w:div w:id="1704790263">
              <w:marLeft w:val="0"/>
              <w:marRight w:val="0"/>
              <w:marTop w:val="0"/>
              <w:marBottom w:val="0"/>
              <w:divBdr>
                <w:top w:val="none" w:sz="0" w:space="0" w:color="auto"/>
                <w:left w:val="none" w:sz="0" w:space="0" w:color="auto"/>
                <w:bottom w:val="none" w:sz="0" w:space="0" w:color="auto"/>
                <w:right w:val="none" w:sz="0" w:space="0" w:color="auto"/>
              </w:divBdr>
              <w:divsChild>
                <w:div w:id="61023270">
                  <w:marLeft w:val="0"/>
                  <w:marRight w:val="0"/>
                  <w:marTop w:val="0"/>
                  <w:marBottom w:val="0"/>
                  <w:divBdr>
                    <w:top w:val="none" w:sz="0" w:space="0" w:color="auto"/>
                    <w:left w:val="none" w:sz="0" w:space="0" w:color="auto"/>
                    <w:bottom w:val="none" w:sz="0" w:space="0" w:color="auto"/>
                    <w:right w:val="none" w:sz="0" w:space="0" w:color="auto"/>
                  </w:divBdr>
                </w:div>
              </w:divsChild>
            </w:div>
            <w:div w:id="1722288320">
              <w:marLeft w:val="0"/>
              <w:marRight w:val="0"/>
              <w:marTop w:val="0"/>
              <w:marBottom w:val="0"/>
              <w:divBdr>
                <w:top w:val="none" w:sz="0" w:space="0" w:color="auto"/>
                <w:left w:val="none" w:sz="0" w:space="0" w:color="auto"/>
                <w:bottom w:val="none" w:sz="0" w:space="0" w:color="auto"/>
                <w:right w:val="none" w:sz="0" w:space="0" w:color="auto"/>
              </w:divBdr>
              <w:divsChild>
                <w:div w:id="149180528">
                  <w:marLeft w:val="0"/>
                  <w:marRight w:val="0"/>
                  <w:marTop w:val="0"/>
                  <w:marBottom w:val="0"/>
                  <w:divBdr>
                    <w:top w:val="none" w:sz="0" w:space="0" w:color="auto"/>
                    <w:left w:val="none" w:sz="0" w:space="0" w:color="auto"/>
                    <w:bottom w:val="none" w:sz="0" w:space="0" w:color="auto"/>
                    <w:right w:val="none" w:sz="0" w:space="0" w:color="auto"/>
                  </w:divBdr>
                </w:div>
              </w:divsChild>
            </w:div>
            <w:div w:id="1771656303">
              <w:marLeft w:val="0"/>
              <w:marRight w:val="0"/>
              <w:marTop w:val="0"/>
              <w:marBottom w:val="0"/>
              <w:divBdr>
                <w:top w:val="none" w:sz="0" w:space="0" w:color="auto"/>
                <w:left w:val="none" w:sz="0" w:space="0" w:color="auto"/>
                <w:bottom w:val="none" w:sz="0" w:space="0" w:color="auto"/>
                <w:right w:val="none" w:sz="0" w:space="0" w:color="auto"/>
              </w:divBdr>
              <w:divsChild>
                <w:div w:id="1470974894">
                  <w:marLeft w:val="0"/>
                  <w:marRight w:val="0"/>
                  <w:marTop w:val="0"/>
                  <w:marBottom w:val="0"/>
                  <w:divBdr>
                    <w:top w:val="none" w:sz="0" w:space="0" w:color="auto"/>
                    <w:left w:val="none" w:sz="0" w:space="0" w:color="auto"/>
                    <w:bottom w:val="none" w:sz="0" w:space="0" w:color="auto"/>
                    <w:right w:val="none" w:sz="0" w:space="0" w:color="auto"/>
                  </w:divBdr>
                </w:div>
              </w:divsChild>
            </w:div>
            <w:div w:id="1858494918">
              <w:marLeft w:val="0"/>
              <w:marRight w:val="0"/>
              <w:marTop w:val="0"/>
              <w:marBottom w:val="0"/>
              <w:divBdr>
                <w:top w:val="none" w:sz="0" w:space="0" w:color="auto"/>
                <w:left w:val="none" w:sz="0" w:space="0" w:color="auto"/>
                <w:bottom w:val="none" w:sz="0" w:space="0" w:color="auto"/>
                <w:right w:val="none" w:sz="0" w:space="0" w:color="auto"/>
              </w:divBdr>
              <w:divsChild>
                <w:div w:id="685131387">
                  <w:marLeft w:val="0"/>
                  <w:marRight w:val="0"/>
                  <w:marTop w:val="0"/>
                  <w:marBottom w:val="0"/>
                  <w:divBdr>
                    <w:top w:val="none" w:sz="0" w:space="0" w:color="auto"/>
                    <w:left w:val="none" w:sz="0" w:space="0" w:color="auto"/>
                    <w:bottom w:val="none" w:sz="0" w:space="0" w:color="auto"/>
                    <w:right w:val="none" w:sz="0" w:space="0" w:color="auto"/>
                  </w:divBdr>
                </w:div>
              </w:divsChild>
            </w:div>
            <w:div w:id="1886062204">
              <w:marLeft w:val="0"/>
              <w:marRight w:val="0"/>
              <w:marTop w:val="0"/>
              <w:marBottom w:val="0"/>
              <w:divBdr>
                <w:top w:val="none" w:sz="0" w:space="0" w:color="auto"/>
                <w:left w:val="none" w:sz="0" w:space="0" w:color="auto"/>
                <w:bottom w:val="none" w:sz="0" w:space="0" w:color="auto"/>
                <w:right w:val="none" w:sz="0" w:space="0" w:color="auto"/>
              </w:divBdr>
              <w:divsChild>
                <w:div w:id="1288272644">
                  <w:marLeft w:val="0"/>
                  <w:marRight w:val="0"/>
                  <w:marTop w:val="0"/>
                  <w:marBottom w:val="0"/>
                  <w:divBdr>
                    <w:top w:val="none" w:sz="0" w:space="0" w:color="auto"/>
                    <w:left w:val="none" w:sz="0" w:space="0" w:color="auto"/>
                    <w:bottom w:val="none" w:sz="0" w:space="0" w:color="auto"/>
                    <w:right w:val="none" w:sz="0" w:space="0" w:color="auto"/>
                  </w:divBdr>
                </w:div>
              </w:divsChild>
            </w:div>
            <w:div w:id="1895236764">
              <w:marLeft w:val="0"/>
              <w:marRight w:val="0"/>
              <w:marTop w:val="0"/>
              <w:marBottom w:val="0"/>
              <w:divBdr>
                <w:top w:val="none" w:sz="0" w:space="0" w:color="auto"/>
                <w:left w:val="none" w:sz="0" w:space="0" w:color="auto"/>
                <w:bottom w:val="none" w:sz="0" w:space="0" w:color="auto"/>
                <w:right w:val="none" w:sz="0" w:space="0" w:color="auto"/>
              </w:divBdr>
              <w:divsChild>
                <w:div w:id="88283194">
                  <w:marLeft w:val="0"/>
                  <w:marRight w:val="0"/>
                  <w:marTop w:val="0"/>
                  <w:marBottom w:val="0"/>
                  <w:divBdr>
                    <w:top w:val="none" w:sz="0" w:space="0" w:color="auto"/>
                    <w:left w:val="none" w:sz="0" w:space="0" w:color="auto"/>
                    <w:bottom w:val="none" w:sz="0" w:space="0" w:color="auto"/>
                    <w:right w:val="none" w:sz="0" w:space="0" w:color="auto"/>
                  </w:divBdr>
                </w:div>
              </w:divsChild>
            </w:div>
            <w:div w:id="1960640986">
              <w:marLeft w:val="0"/>
              <w:marRight w:val="0"/>
              <w:marTop w:val="0"/>
              <w:marBottom w:val="0"/>
              <w:divBdr>
                <w:top w:val="none" w:sz="0" w:space="0" w:color="auto"/>
                <w:left w:val="none" w:sz="0" w:space="0" w:color="auto"/>
                <w:bottom w:val="none" w:sz="0" w:space="0" w:color="auto"/>
                <w:right w:val="none" w:sz="0" w:space="0" w:color="auto"/>
              </w:divBdr>
              <w:divsChild>
                <w:div w:id="1839802951">
                  <w:marLeft w:val="0"/>
                  <w:marRight w:val="0"/>
                  <w:marTop w:val="0"/>
                  <w:marBottom w:val="0"/>
                  <w:divBdr>
                    <w:top w:val="none" w:sz="0" w:space="0" w:color="auto"/>
                    <w:left w:val="none" w:sz="0" w:space="0" w:color="auto"/>
                    <w:bottom w:val="none" w:sz="0" w:space="0" w:color="auto"/>
                    <w:right w:val="none" w:sz="0" w:space="0" w:color="auto"/>
                  </w:divBdr>
                </w:div>
              </w:divsChild>
            </w:div>
            <w:div w:id="2061128238">
              <w:marLeft w:val="0"/>
              <w:marRight w:val="0"/>
              <w:marTop w:val="0"/>
              <w:marBottom w:val="0"/>
              <w:divBdr>
                <w:top w:val="none" w:sz="0" w:space="0" w:color="auto"/>
                <w:left w:val="none" w:sz="0" w:space="0" w:color="auto"/>
                <w:bottom w:val="none" w:sz="0" w:space="0" w:color="auto"/>
                <w:right w:val="none" w:sz="0" w:space="0" w:color="auto"/>
              </w:divBdr>
              <w:divsChild>
                <w:div w:id="1700666783">
                  <w:marLeft w:val="0"/>
                  <w:marRight w:val="0"/>
                  <w:marTop w:val="0"/>
                  <w:marBottom w:val="0"/>
                  <w:divBdr>
                    <w:top w:val="none" w:sz="0" w:space="0" w:color="auto"/>
                    <w:left w:val="none" w:sz="0" w:space="0" w:color="auto"/>
                    <w:bottom w:val="none" w:sz="0" w:space="0" w:color="auto"/>
                    <w:right w:val="none" w:sz="0" w:space="0" w:color="auto"/>
                  </w:divBdr>
                </w:div>
              </w:divsChild>
            </w:div>
            <w:div w:id="2070304699">
              <w:marLeft w:val="0"/>
              <w:marRight w:val="0"/>
              <w:marTop w:val="0"/>
              <w:marBottom w:val="0"/>
              <w:divBdr>
                <w:top w:val="none" w:sz="0" w:space="0" w:color="auto"/>
                <w:left w:val="none" w:sz="0" w:space="0" w:color="auto"/>
                <w:bottom w:val="none" w:sz="0" w:space="0" w:color="auto"/>
                <w:right w:val="none" w:sz="0" w:space="0" w:color="auto"/>
              </w:divBdr>
              <w:divsChild>
                <w:div w:id="1025055852">
                  <w:marLeft w:val="0"/>
                  <w:marRight w:val="0"/>
                  <w:marTop w:val="0"/>
                  <w:marBottom w:val="0"/>
                  <w:divBdr>
                    <w:top w:val="none" w:sz="0" w:space="0" w:color="auto"/>
                    <w:left w:val="none" w:sz="0" w:space="0" w:color="auto"/>
                    <w:bottom w:val="none" w:sz="0" w:space="0" w:color="auto"/>
                    <w:right w:val="none" w:sz="0" w:space="0" w:color="auto"/>
                  </w:divBdr>
                </w:div>
              </w:divsChild>
            </w:div>
            <w:div w:id="2072726256">
              <w:marLeft w:val="0"/>
              <w:marRight w:val="0"/>
              <w:marTop w:val="0"/>
              <w:marBottom w:val="0"/>
              <w:divBdr>
                <w:top w:val="none" w:sz="0" w:space="0" w:color="auto"/>
                <w:left w:val="none" w:sz="0" w:space="0" w:color="auto"/>
                <w:bottom w:val="none" w:sz="0" w:space="0" w:color="auto"/>
                <w:right w:val="none" w:sz="0" w:space="0" w:color="auto"/>
              </w:divBdr>
              <w:divsChild>
                <w:div w:id="1938056869">
                  <w:marLeft w:val="0"/>
                  <w:marRight w:val="0"/>
                  <w:marTop w:val="0"/>
                  <w:marBottom w:val="0"/>
                  <w:divBdr>
                    <w:top w:val="none" w:sz="0" w:space="0" w:color="auto"/>
                    <w:left w:val="none" w:sz="0" w:space="0" w:color="auto"/>
                    <w:bottom w:val="none" w:sz="0" w:space="0" w:color="auto"/>
                    <w:right w:val="none" w:sz="0" w:space="0" w:color="auto"/>
                  </w:divBdr>
                </w:div>
              </w:divsChild>
            </w:div>
            <w:div w:id="2124566611">
              <w:marLeft w:val="0"/>
              <w:marRight w:val="0"/>
              <w:marTop w:val="0"/>
              <w:marBottom w:val="0"/>
              <w:divBdr>
                <w:top w:val="none" w:sz="0" w:space="0" w:color="auto"/>
                <w:left w:val="none" w:sz="0" w:space="0" w:color="auto"/>
                <w:bottom w:val="none" w:sz="0" w:space="0" w:color="auto"/>
                <w:right w:val="none" w:sz="0" w:space="0" w:color="auto"/>
              </w:divBdr>
              <w:divsChild>
                <w:div w:id="1004746929">
                  <w:marLeft w:val="0"/>
                  <w:marRight w:val="0"/>
                  <w:marTop w:val="0"/>
                  <w:marBottom w:val="0"/>
                  <w:divBdr>
                    <w:top w:val="none" w:sz="0" w:space="0" w:color="auto"/>
                    <w:left w:val="none" w:sz="0" w:space="0" w:color="auto"/>
                    <w:bottom w:val="none" w:sz="0" w:space="0" w:color="auto"/>
                    <w:right w:val="none" w:sz="0" w:space="0" w:color="auto"/>
                  </w:divBdr>
                </w:div>
              </w:divsChild>
            </w:div>
            <w:div w:id="2126147195">
              <w:marLeft w:val="0"/>
              <w:marRight w:val="0"/>
              <w:marTop w:val="0"/>
              <w:marBottom w:val="0"/>
              <w:divBdr>
                <w:top w:val="none" w:sz="0" w:space="0" w:color="auto"/>
                <w:left w:val="none" w:sz="0" w:space="0" w:color="auto"/>
                <w:bottom w:val="none" w:sz="0" w:space="0" w:color="auto"/>
                <w:right w:val="none" w:sz="0" w:space="0" w:color="auto"/>
              </w:divBdr>
              <w:divsChild>
                <w:div w:id="2004888362">
                  <w:marLeft w:val="0"/>
                  <w:marRight w:val="0"/>
                  <w:marTop w:val="0"/>
                  <w:marBottom w:val="0"/>
                  <w:divBdr>
                    <w:top w:val="none" w:sz="0" w:space="0" w:color="auto"/>
                    <w:left w:val="none" w:sz="0" w:space="0" w:color="auto"/>
                    <w:bottom w:val="none" w:sz="0" w:space="0" w:color="auto"/>
                    <w:right w:val="none" w:sz="0" w:space="0" w:color="auto"/>
                  </w:divBdr>
                </w:div>
              </w:divsChild>
            </w:div>
            <w:div w:id="2135980396">
              <w:marLeft w:val="0"/>
              <w:marRight w:val="0"/>
              <w:marTop w:val="0"/>
              <w:marBottom w:val="0"/>
              <w:divBdr>
                <w:top w:val="none" w:sz="0" w:space="0" w:color="auto"/>
                <w:left w:val="none" w:sz="0" w:space="0" w:color="auto"/>
                <w:bottom w:val="none" w:sz="0" w:space="0" w:color="auto"/>
                <w:right w:val="none" w:sz="0" w:space="0" w:color="auto"/>
              </w:divBdr>
              <w:divsChild>
                <w:div w:id="2377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39168">
          <w:marLeft w:val="0"/>
          <w:marRight w:val="0"/>
          <w:marTop w:val="0"/>
          <w:marBottom w:val="0"/>
          <w:divBdr>
            <w:top w:val="none" w:sz="0" w:space="0" w:color="auto"/>
            <w:left w:val="none" w:sz="0" w:space="0" w:color="auto"/>
            <w:bottom w:val="none" w:sz="0" w:space="0" w:color="auto"/>
            <w:right w:val="none" w:sz="0" w:space="0" w:color="auto"/>
          </w:divBdr>
        </w:div>
        <w:div w:id="268902922">
          <w:marLeft w:val="0"/>
          <w:marRight w:val="0"/>
          <w:marTop w:val="0"/>
          <w:marBottom w:val="0"/>
          <w:divBdr>
            <w:top w:val="none" w:sz="0" w:space="0" w:color="auto"/>
            <w:left w:val="none" w:sz="0" w:space="0" w:color="auto"/>
            <w:bottom w:val="none" w:sz="0" w:space="0" w:color="auto"/>
            <w:right w:val="none" w:sz="0" w:space="0" w:color="auto"/>
          </w:divBdr>
        </w:div>
        <w:div w:id="272565385">
          <w:marLeft w:val="0"/>
          <w:marRight w:val="0"/>
          <w:marTop w:val="0"/>
          <w:marBottom w:val="0"/>
          <w:divBdr>
            <w:top w:val="none" w:sz="0" w:space="0" w:color="auto"/>
            <w:left w:val="none" w:sz="0" w:space="0" w:color="auto"/>
            <w:bottom w:val="none" w:sz="0" w:space="0" w:color="auto"/>
            <w:right w:val="none" w:sz="0" w:space="0" w:color="auto"/>
          </w:divBdr>
        </w:div>
        <w:div w:id="279074797">
          <w:marLeft w:val="0"/>
          <w:marRight w:val="0"/>
          <w:marTop w:val="0"/>
          <w:marBottom w:val="0"/>
          <w:divBdr>
            <w:top w:val="none" w:sz="0" w:space="0" w:color="auto"/>
            <w:left w:val="none" w:sz="0" w:space="0" w:color="auto"/>
            <w:bottom w:val="none" w:sz="0" w:space="0" w:color="auto"/>
            <w:right w:val="none" w:sz="0" w:space="0" w:color="auto"/>
          </w:divBdr>
        </w:div>
        <w:div w:id="280188378">
          <w:marLeft w:val="0"/>
          <w:marRight w:val="0"/>
          <w:marTop w:val="0"/>
          <w:marBottom w:val="0"/>
          <w:divBdr>
            <w:top w:val="none" w:sz="0" w:space="0" w:color="auto"/>
            <w:left w:val="none" w:sz="0" w:space="0" w:color="auto"/>
            <w:bottom w:val="none" w:sz="0" w:space="0" w:color="auto"/>
            <w:right w:val="none" w:sz="0" w:space="0" w:color="auto"/>
          </w:divBdr>
        </w:div>
        <w:div w:id="283198552">
          <w:marLeft w:val="0"/>
          <w:marRight w:val="0"/>
          <w:marTop w:val="0"/>
          <w:marBottom w:val="0"/>
          <w:divBdr>
            <w:top w:val="none" w:sz="0" w:space="0" w:color="auto"/>
            <w:left w:val="none" w:sz="0" w:space="0" w:color="auto"/>
            <w:bottom w:val="none" w:sz="0" w:space="0" w:color="auto"/>
            <w:right w:val="none" w:sz="0" w:space="0" w:color="auto"/>
          </w:divBdr>
        </w:div>
        <w:div w:id="286474470">
          <w:marLeft w:val="0"/>
          <w:marRight w:val="0"/>
          <w:marTop w:val="0"/>
          <w:marBottom w:val="0"/>
          <w:divBdr>
            <w:top w:val="none" w:sz="0" w:space="0" w:color="auto"/>
            <w:left w:val="none" w:sz="0" w:space="0" w:color="auto"/>
            <w:bottom w:val="none" w:sz="0" w:space="0" w:color="auto"/>
            <w:right w:val="none" w:sz="0" w:space="0" w:color="auto"/>
          </w:divBdr>
        </w:div>
        <w:div w:id="298385974">
          <w:marLeft w:val="0"/>
          <w:marRight w:val="0"/>
          <w:marTop w:val="0"/>
          <w:marBottom w:val="0"/>
          <w:divBdr>
            <w:top w:val="none" w:sz="0" w:space="0" w:color="auto"/>
            <w:left w:val="none" w:sz="0" w:space="0" w:color="auto"/>
            <w:bottom w:val="none" w:sz="0" w:space="0" w:color="auto"/>
            <w:right w:val="none" w:sz="0" w:space="0" w:color="auto"/>
          </w:divBdr>
        </w:div>
        <w:div w:id="307974763">
          <w:marLeft w:val="0"/>
          <w:marRight w:val="0"/>
          <w:marTop w:val="0"/>
          <w:marBottom w:val="0"/>
          <w:divBdr>
            <w:top w:val="none" w:sz="0" w:space="0" w:color="auto"/>
            <w:left w:val="none" w:sz="0" w:space="0" w:color="auto"/>
            <w:bottom w:val="none" w:sz="0" w:space="0" w:color="auto"/>
            <w:right w:val="none" w:sz="0" w:space="0" w:color="auto"/>
          </w:divBdr>
        </w:div>
        <w:div w:id="310906036">
          <w:marLeft w:val="0"/>
          <w:marRight w:val="0"/>
          <w:marTop w:val="0"/>
          <w:marBottom w:val="0"/>
          <w:divBdr>
            <w:top w:val="none" w:sz="0" w:space="0" w:color="auto"/>
            <w:left w:val="none" w:sz="0" w:space="0" w:color="auto"/>
            <w:bottom w:val="none" w:sz="0" w:space="0" w:color="auto"/>
            <w:right w:val="none" w:sz="0" w:space="0" w:color="auto"/>
          </w:divBdr>
        </w:div>
        <w:div w:id="313604469">
          <w:marLeft w:val="0"/>
          <w:marRight w:val="0"/>
          <w:marTop w:val="0"/>
          <w:marBottom w:val="0"/>
          <w:divBdr>
            <w:top w:val="none" w:sz="0" w:space="0" w:color="auto"/>
            <w:left w:val="none" w:sz="0" w:space="0" w:color="auto"/>
            <w:bottom w:val="none" w:sz="0" w:space="0" w:color="auto"/>
            <w:right w:val="none" w:sz="0" w:space="0" w:color="auto"/>
          </w:divBdr>
        </w:div>
        <w:div w:id="314845603">
          <w:marLeft w:val="0"/>
          <w:marRight w:val="0"/>
          <w:marTop w:val="0"/>
          <w:marBottom w:val="0"/>
          <w:divBdr>
            <w:top w:val="none" w:sz="0" w:space="0" w:color="auto"/>
            <w:left w:val="none" w:sz="0" w:space="0" w:color="auto"/>
            <w:bottom w:val="none" w:sz="0" w:space="0" w:color="auto"/>
            <w:right w:val="none" w:sz="0" w:space="0" w:color="auto"/>
          </w:divBdr>
        </w:div>
        <w:div w:id="319964707">
          <w:marLeft w:val="0"/>
          <w:marRight w:val="0"/>
          <w:marTop w:val="0"/>
          <w:marBottom w:val="0"/>
          <w:divBdr>
            <w:top w:val="none" w:sz="0" w:space="0" w:color="auto"/>
            <w:left w:val="none" w:sz="0" w:space="0" w:color="auto"/>
            <w:bottom w:val="none" w:sz="0" w:space="0" w:color="auto"/>
            <w:right w:val="none" w:sz="0" w:space="0" w:color="auto"/>
          </w:divBdr>
        </w:div>
        <w:div w:id="322197102">
          <w:marLeft w:val="0"/>
          <w:marRight w:val="0"/>
          <w:marTop w:val="0"/>
          <w:marBottom w:val="0"/>
          <w:divBdr>
            <w:top w:val="none" w:sz="0" w:space="0" w:color="auto"/>
            <w:left w:val="none" w:sz="0" w:space="0" w:color="auto"/>
            <w:bottom w:val="none" w:sz="0" w:space="0" w:color="auto"/>
            <w:right w:val="none" w:sz="0" w:space="0" w:color="auto"/>
          </w:divBdr>
        </w:div>
        <w:div w:id="324624128">
          <w:marLeft w:val="0"/>
          <w:marRight w:val="0"/>
          <w:marTop w:val="0"/>
          <w:marBottom w:val="0"/>
          <w:divBdr>
            <w:top w:val="none" w:sz="0" w:space="0" w:color="auto"/>
            <w:left w:val="none" w:sz="0" w:space="0" w:color="auto"/>
            <w:bottom w:val="none" w:sz="0" w:space="0" w:color="auto"/>
            <w:right w:val="none" w:sz="0" w:space="0" w:color="auto"/>
          </w:divBdr>
        </w:div>
        <w:div w:id="329067959">
          <w:marLeft w:val="0"/>
          <w:marRight w:val="0"/>
          <w:marTop w:val="0"/>
          <w:marBottom w:val="0"/>
          <w:divBdr>
            <w:top w:val="none" w:sz="0" w:space="0" w:color="auto"/>
            <w:left w:val="none" w:sz="0" w:space="0" w:color="auto"/>
            <w:bottom w:val="none" w:sz="0" w:space="0" w:color="auto"/>
            <w:right w:val="none" w:sz="0" w:space="0" w:color="auto"/>
          </w:divBdr>
        </w:div>
        <w:div w:id="332683448">
          <w:marLeft w:val="0"/>
          <w:marRight w:val="0"/>
          <w:marTop w:val="0"/>
          <w:marBottom w:val="0"/>
          <w:divBdr>
            <w:top w:val="none" w:sz="0" w:space="0" w:color="auto"/>
            <w:left w:val="none" w:sz="0" w:space="0" w:color="auto"/>
            <w:bottom w:val="none" w:sz="0" w:space="0" w:color="auto"/>
            <w:right w:val="none" w:sz="0" w:space="0" w:color="auto"/>
          </w:divBdr>
        </w:div>
        <w:div w:id="336076285">
          <w:marLeft w:val="0"/>
          <w:marRight w:val="0"/>
          <w:marTop w:val="0"/>
          <w:marBottom w:val="0"/>
          <w:divBdr>
            <w:top w:val="none" w:sz="0" w:space="0" w:color="auto"/>
            <w:left w:val="none" w:sz="0" w:space="0" w:color="auto"/>
            <w:bottom w:val="none" w:sz="0" w:space="0" w:color="auto"/>
            <w:right w:val="none" w:sz="0" w:space="0" w:color="auto"/>
          </w:divBdr>
        </w:div>
        <w:div w:id="336078730">
          <w:marLeft w:val="0"/>
          <w:marRight w:val="0"/>
          <w:marTop w:val="0"/>
          <w:marBottom w:val="0"/>
          <w:divBdr>
            <w:top w:val="none" w:sz="0" w:space="0" w:color="auto"/>
            <w:left w:val="none" w:sz="0" w:space="0" w:color="auto"/>
            <w:bottom w:val="none" w:sz="0" w:space="0" w:color="auto"/>
            <w:right w:val="none" w:sz="0" w:space="0" w:color="auto"/>
          </w:divBdr>
        </w:div>
        <w:div w:id="338194907">
          <w:marLeft w:val="0"/>
          <w:marRight w:val="0"/>
          <w:marTop w:val="0"/>
          <w:marBottom w:val="0"/>
          <w:divBdr>
            <w:top w:val="none" w:sz="0" w:space="0" w:color="auto"/>
            <w:left w:val="none" w:sz="0" w:space="0" w:color="auto"/>
            <w:bottom w:val="none" w:sz="0" w:space="0" w:color="auto"/>
            <w:right w:val="none" w:sz="0" w:space="0" w:color="auto"/>
          </w:divBdr>
        </w:div>
        <w:div w:id="364797170">
          <w:marLeft w:val="0"/>
          <w:marRight w:val="0"/>
          <w:marTop w:val="0"/>
          <w:marBottom w:val="0"/>
          <w:divBdr>
            <w:top w:val="none" w:sz="0" w:space="0" w:color="auto"/>
            <w:left w:val="none" w:sz="0" w:space="0" w:color="auto"/>
            <w:bottom w:val="none" w:sz="0" w:space="0" w:color="auto"/>
            <w:right w:val="none" w:sz="0" w:space="0" w:color="auto"/>
          </w:divBdr>
        </w:div>
        <w:div w:id="378744748">
          <w:marLeft w:val="0"/>
          <w:marRight w:val="0"/>
          <w:marTop w:val="0"/>
          <w:marBottom w:val="0"/>
          <w:divBdr>
            <w:top w:val="none" w:sz="0" w:space="0" w:color="auto"/>
            <w:left w:val="none" w:sz="0" w:space="0" w:color="auto"/>
            <w:bottom w:val="none" w:sz="0" w:space="0" w:color="auto"/>
            <w:right w:val="none" w:sz="0" w:space="0" w:color="auto"/>
          </w:divBdr>
        </w:div>
        <w:div w:id="384371566">
          <w:marLeft w:val="0"/>
          <w:marRight w:val="0"/>
          <w:marTop w:val="0"/>
          <w:marBottom w:val="0"/>
          <w:divBdr>
            <w:top w:val="none" w:sz="0" w:space="0" w:color="auto"/>
            <w:left w:val="none" w:sz="0" w:space="0" w:color="auto"/>
            <w:bottom w:val="none" w:sz="0" w:space="0" w:color="auto"/>
            <w:right w:val="none" w:sz="0" w:space="0" w:color="auto"/>
          </w:divBdr>
        </w:div>
        <w:div w:id="395132869">
          <w:marLeft w:val="0"/>
          <w:marRight w:val="0"/>
          <w:marTop w:val="0"/>
          <w:marBottom w:val="0"/>
          <w:divBdr>
            <w:top w:val="none" w:sz="0" w:space="0" w:color="auto"/>
            <w:left w:val="none" w:sz="0" w:space="0" w:color="auto"/>
            <w:bottom w:val="none" w:sz="0" w:space="0" w:color="auto"/>
            <w:right w:val="none" w:sz="0" w:space="0" w:color="auto"/>
          </w:divBdr>
        </w:div>
        <w:div w:id="429739095">
          <w:marLeft w:val="0"/>
          <w:marRight w:val="0"/>
          <w:marTop w:val="0"/>
          <w:marBottom w:val="0"/>
          <w:divBdr>
            <w:top w:val="none" w:sz="0" w:space="0" w:color="auto"/>
            <w:left w:val="none" w:sz="0" w:space="0" w:color="auto"/>
            <w:bottom w:val="none" w:sz="0" w:space="0" w:color="auto"/>
            <w:right w:val="none" w:sz="0" w:space="0" w:color="auto"/>
          </w:divBdr>
        </w:div>
        <w:div w:id="433136956">
          <w:marLeft w:val="0"/>
          <w:marRight w:val="0"/>
          <w:marTop w:val="0"/>
          <w:marBottom w:val="0"/>
          <w:divBdr>
            <w:top w:val="none" w:sz="0" w:space="0" w:color="auto"/>
            <w:left w:val="none" w:sz="0" w:space="0" w:color="auto"/>
            <w:bottom w:val="none" w:sz="0" w:space="0" w:color="auto"/>
            <w:right w:val="none" w:sz="0" w:space="0" w:color="auto"/>
          </w:divBdr>
        </w:div>
        <w:div w:id="438451566">
          <w:marLeft w:val="0"/>
          <w:marRight w:val="0"/>
          <w:marTop w:val="0"/>
          <w:marBottom w:val="0"/>
          <w:divBdr>
            <w:top w:val="none" w:sz="0" w:space="0" w:color="auto"/>
            <w:left w:val="none" w:sz="0" w:space="0" w:color="auto"/>
            <w:bottom w:val="none" w:sz="0" w:space="0" w:color="auto"/>
            <w:right w:val="none" w:sz="0" w:space="0" w:color="auto"/>
          </w:divBdr>
        </w:div>
        <w:div w:id="438836614">
          <w:marLeft w:val="0"/>
          <w:marRight w:val="0"/>
          <w:marTop w:val="0"/>
          <w:marBottom w:val="0"/>
          <w:divBdr>
            <w:top w:val="none" w:sz="0" w:space="0" w:color="auto"/>
            <w:left w:val="none" w:sz="0" w:space="0" w:color="auto"/>
            <w:bottom w:val="none" w:sz="0" w:space="0" w:color="auto"/>
            <w:right w:val="none" w:sz="0" w:space="0" w:color="auto"/>
          </w:divBdr>
        </w:div>
        <w:div w:id="446968722">
          <w:marLeft w:val="0"/>
          <w:marRight w:val="0"/>
          <w:marTop w:val="0"/>
          <w:marBottom w:val="0"/>
          <w:divBdr>
            <w:top w:val="none" w:sz="0" w:space="0" w:color="auto"/>
            <w:left w:val="none" w:sz="0" w:space="0" w:color="auto"/>
            <w:bottom w:val="none" w:sz="0" w:space="0" w:color="auto"/>
            <w:right w:val="none" w:sz="0" w:space="0" w:color="auto"/>
          </w:divBdr>
        </w:div>
        <w:div w:id="449009112">
          <w:marLeft w:val="0"/>
          <w:marRight w:val="0"/>
          <w:marTop w:val="0"/>
          <w:marBottom w:val="0"/>
          <w:divBdr>
            <w:top w:val="none" w:sz="0" w:space="0" w:color="auto"/>
            <w:left w:val="none" w:sz="0" w:space="0" w:color="auto"/>
            <w:bottom w:val="none" w:sz="0" w:space="0" w:color="auto"/>
            <w:right w:val="none" w:sz="0" w:space="0" w:color="auto"/>
          </w:divBdr>
        </w:div>
        <w:div w:id="459110241">
          <w:marLeft w:val="0"/>
          <w:marRight w:val="0"/>
          <w:marTop w:val="0"/>
          <w:marBottom w:val="0"/>
          <w:divBdr>
            <w:top w:val="none" w:sz="0" w:space="0" w:color="auto"/>
            <w:left w:val="none" w:sz="0" w:space="0" w:color="auto"/>
            <w:bottom w:val="none" w:sz="0" w:space="0" w:color="auto"/>
            <w:right w:val="none" w:sz="0" w:space="0" w:color="auto"/>
          </w:divBdr>
        </w:div>
        <w:div w:id="470294836">
          <w:marLeft w:val="0"/>
          <w:marRight w:val="0"/>
          <w:marTop w:val="0"/>
          <w:marBottom w:val="0"/>
          <w:divBdr>
            <w:top w:val="none" w:sz="0" w:space="0" w:color="auto"/>
            <w:left w:val="none" w:sz="0" w:space="0" w:color="auto"/>
            <w:bottom w:val="none" w:sz="0" w:space="0" w:color="auto"/>
            <w:right w:val="none" w:sz="0" w:space="0" w:color="auto"/>
          </w:divBdr>
        </w:div>
        <w:div w:id="472136531">
          <w:marLeft w:val="0"/>
          <w:marRight w:val="0"/>
          <w:marTop w:val="0"/>
          <w:marBottom w:val="0"/>
          <w:divBdr>
            <w:top w:val="none" w:sz="0" w:space="0" w:color="auto"/>
            <w:left w:val="none" w:sz="0" w:space="0" w:color="auto"/>
            <w:bottom w:val="none" w:sz="0" w:space="0" w:color="auto"/>
            <w:right w:val="none" w:sz="0" w:space="0" w:color="auto"/>
          </w:divBdr>
        </w:div>
        <w:div w:id="474642102">
          <w:marLeft w:val="0"/>
          <w:marRight w:val="0"/>
          <w:marTop w:val="0"/>
          <w:marBottom w:val="0"/>
          <w:divBdr>
            <w:top w:val="none" w:sz="0" w:space="0" w:color="auto"/>
            <w:left w:val="none" w:sz="0" w:space="0" w:color="auto"/>
            <w:bottom w:val="none" w:sz="0" w:space="0" w:color="auto"/>
            <w:right w:val="none" w:sz="0" w:space="0" w:color="auto"/>
          </w:divBdr>
        </w:div>
        <w:div w:id="484442357">
          <w:marLeft w:val="0"/>
          <w:marRight w:val="0"/>
          <w:marTop w:val="0"/>
          <w:marBottom w:val="0"/>
          <w:divBdr>
            <w:top w:val="none" w:sz="0" w:space="0" w:color="auto"/>
            <w:left w:val="none" w:sz="0" w:space="0" w:color="auto"/>
            <w:bottom w:val="none" w:sz="0" w:space="0" w:color="auto"/>
            <w:right w:val="none" w:sz="0" w:space="0" w:color="auto"/>
          </w:divBdr>
        </w:div>
        <w:div w:id="485903140">
          <w:marLeft w:val="0"/>
          <w:marRight w:val="0"/>
          <w:marTop w:val="0"/>
          <w:marBottom w:val="0"/>
          <w:divBdr>
            <w:top w:val="none" w:sz="0" w:space="0" w:color="auto"/>
            <w:left w:val="none" w:sz="0" w:space="0" w:color="auto"/>
            <w:bottom w:val="none" w:sz="0" w:space="0" w:color="auto"/>
            <w:right w:val="none" w:sz="0" w:space="0" w:color="auto"/>
          </w:divBdr>
        </w:div>
        <w:div w:id="486751804">
          <w:marLeft w:val="0"/>
          <w:marRight w:val="0"/>
          <w:marTop w:val="0"/>
          <w:marBottom w:val="0"/>
          <w:divBdr>
            <w:top w:val="none" w:sz="0" w:space="0" w:color="auto"/>
            <w:left w:val="none" w:sz="0" w:space="0" w:color="auto"/>
            <w:bottom w:val="none" w:sz="0" w:space="0" w:color="auto"/>
            <w:right w:val="none" w:sz="0" w:space="0" w:color="auto"/>
          </w:divBdr>
        </w:div>
        <w:div w:id="507984295">
          <w:marLeft w:val="0"/>
          <w:marRight w:val="0"/>
          <w:marTop w:val="0"/>
          <w:marBottom w:val="0"/>
          <w:divBdr>
            <w:top w:val="none" w:sz="0" w:space="0" w:color="auto"/>
            <w:left w:val="none" w:sz="0" w:space="0" w:color="auto"/>
            <w:bottom w:val="none" w:sz="0" w:space="0" w:color="auto"/>
            <w:right w:val="none" w:sz="0" w:space="0" w:color="auto"/>
          </w:divBdr>
        </w:div>
        <w:div w:id="523445490">
          <w:marLeft w:val="0"/>
          <w:marRight w:val="0"/>
          <w:marTop w:val="0"/>
          <w:marBottom w:val="0"/>
          <w:divBdr>
            <w:top w:val="none" w:sz="0" w:space="0" w:color="auto"/>
            <w:left w:val="none" w:sz="0" w:space="0" w:color="auto"/>
            <w:bottom w:val="none" w:sz="0" w:space="0" w:color="auto"/>
            <w:right w:val="none" w:sz="0" w:space="0" w:color="auto"/>
          </w:divBdr>
        </w:div>
        <w:div w:id="538475864">
          <w:marLeft w:val="0"/>
          <w:marRight w:val="0"/>
          <w:marTop w:val="0"/>
          <w:marBottom w:val="0"/>
          <w:divBdr>
            <w:top w:val="none" w:sz="0" w:space="0" w:color="auto"/>
            <w:left w:val="none" w:sz="0" w:space="0" w:color="auto"/>
            <w:bottom w:val="none" w:sz="0" w:space="0" w:color="auto"/>
            <w:right w:val="none" w:sz="0" w:space="0" w:color="auto"/>
          </w:divBdr>
        </w:div>
        <w:div w:id="546333125">
          <w:marLeft w:val="0"/>
          <w:marRight w:val="0"/>
          <w:marTop w:val="0"/>
          <w:marBottom w:val="0"/>
          <w:divBdr>
            <w:top w:val="none" w:sz="0" w:space="0" w:color="auto"/>
            <w:left w:val="none" w:sz="0" w:space="0" w:color="auto"/>
            <w:bottom w:val="none" w:sz="0" w:space="0" w:color="auto"/>
            <w:right w:val="none" w:sz="0" w:space="0" w:color="auto"/>
          </w:divBdr>
        </w:div>
        <w:div w:id="552276817">
          <w:marLeft w:val="0"/>
          <w:marRight w:val="0"/>
          <w:marTop w:val="0"/>
          <w:marBottom w:val="0"/>
          <w:divBdr>
            <w:top w:val="none" w:sz="0" w:space="0" w:color="auto"/>
            <w:left w:val="none" w:sz="0" w:space="0" w:color="auto"/>
            <w:bottom w:val="none" w:sz="0" w:space="0" w:color="auto"/>
            <w:right w:val="none" w:sz="0" w:space="0" w:color="auto"/>
          </w:divBdr>
        </w:div>
        <w:div w:id="555164016">
          <w:marLeft w:val="-75"/>
          <w:marRight w:val="0"/>
          <w:marTop w:val="30"/>
          <w:marBottom w:val="30"/>
          <w:divBdr>
            <w:top w:val="none" w:sz="0" w:space="0" w:color="auto"/>
            <w:left w:val="none" w:sz="0" w:space="0" w:color="auto"/>
            <w:bottom w:val="none" w:sz="0" w:space="0" w:color="auto"/>
            <w:right w:val="none" w:sz="0" w:space="0" w:color="auto"/>
          </w:divBdr>
          <w:divsChild>
            <w:div w:id="1477337359">
              <w:marLeft w:val="0"/>
              <w:marRight w:val="0"/>
              <w:marTop w:val="0"/>
              <w:marBottom w:val="0"/>
              <w:divBdr>
                <w:top w:val="none" w:sz="0" w:space="0" w:color="auto"/>
                <w:left w:val="none" w:sz="0" w:space="0" w:color="auto"/>
                <w:bottom w:val="none" w:sz="0" w:space="0" w:color="auto"/>
                <w:right w:val="none" w:sz="0" w:space="0" w:color="auto"/>
              </w:divBdr>
              <w:divsChild>
                <w:div w:id="712769846">
                  <w:marLeft w:val="0"/>
                  <w:marRight w:val="0"/>
                  <w:marTop w:val="0"/>
                  <w:marBottom w:val="0"/>
                  <w:divBdr>
                    <w:top w:val="none" w:sz="0" w:space="0" w:color="auto"/>
                    <w:left w:val="none" w:sz="0" w:space="0" w:color="auto"/>
                    <w:bottom w:val="none" w:sz="0" w:space="0" w:color="auto"/>
                    <w:right w:val="none" w:sz="0" w:space="0" w:color="auto"/>
                  </w:divBdr>
                </w:div>
                <w:div w:id="1495951368">
                  <w:marLeft w:val="0"/>
                  <w:marRight w:val="0"/>
                  <w:marTop w:val="0"/>
                  <w:marBottom w:val="0"/>
                  <w:divBdr>
                    <w:top w:val="none" w:sz="0" w:space="0" w:color="auto"/>
                    <w:left w:val="none" w:sz="0" w:space="0" w:color="auto"/>
                    <w:bottom w:val="none" w:sz="0" w:space="0" w:color="auto"/>
                    <w:right w:val="none" w:sz="0" w:space="0" w:color="auto"/>
                  </w:divBdr>
                </w:div>
                <w:div w:id="2138377519">
                  <w:marLeft w:val="0"/>
                  <w:marRight w:val="0"/>
                  <w:marTop w:val="0"/>
                  <w:marBottom w:val="0"/>
                  <w:divBdr>
                    <w:top w:val="none" w:sz="0" w:space="0" w:color="auto"/>
                    <w:left w:val="none" w:sz="0" w:space="0" w:color="auto"/>
                    <w:bottom w:val="none" w:sz="0" w:space="0" w:color="auto"/>
                    <w:right w:val="none" w:sz="0" w:space="0" w:color="auto"/>
                  </w:divBdr>
                </w:div>
              </w:divsChild>
            </w:div>
            <w:div w:id="1645306300">
              <w:marLeft w:val="0"/>
              <w:marRight w:val="0"/>
              <w:marTop w:val="0"/>
              <w:marBottom w:val="0"/>
              <w:divBdr>
                <w:top w:val="none" w:sz="0" w:space="0" w:color="auto"/>
                <w:left w:val="none" w:sz="0" w:space="0" w:color="auto"/>
                <w:bottom w:val="none" w:sz="0" w:space="0" w:color="auto"/>
                <w:right w:val="none" w:sz="0" w:space="0" w:color="auto"/>
              </w:divBdr>
              <w:divsChild>
                <w:div w:id="5765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3663">
          <w:marLeft w:val="0"/>
          <w:marRight w:val="0"/>
          <w:marTop w:val="0"/>
          <w:marBottom w:val="0"/>
          <w:divBdr>
            <w:top w:val="none" w:sz="0" w:space="0" w:color="auto"/>
            <w:left w:val="none" w:sz="0" w:space="0" w:color="auto"/>
            <w:bottom w:val="none" w:sz="0" w:space="0" w:color="auto"/>
            <w:right w:val="none" w:sz="0" w:space="0" w:color="auto"/>
          </w:divBdr>
        </w:div>
        <w:div w:id="570696756">
          <w:marLeft w:val="0"/>
          <w:marRight w:val="0"/>
          <w:marTop w:val="0"/>
          <w:marBottom w:val="0"/>
          <w:divBdr>
            <w:top w:val="none" w:sz="0" w:space="0" w:color="auto"/>
            <w:left w:val="none" w:sz="0" w:space="0" w:color="auto"/>
            <w:bottom w:val="none" w:sz="0" w:space="0" w:color="auto"/>
            <w:right w:val="none" w:sz="0" w:space="0" w:color="auto"/>
          </w:divBdr>
        </w:div>
        <w:div w:id="579949335">
          <w:marLeft w:val="0"/>
          <w:marRight w:val="0"/>
          <w:marTop w:val="0"/>
          <w:marBottom w:val="0"/>
          <w:divBdr>
            <w:top w:val="none" w:sz="0" w:space="0" w:color="auto"/>
            <w:left w:val="none" w:sz="0" w:space="0" w:color="auto"/>
            <w:bottom w:val="none" w:sz="0" w:space="0" w:color="auto"/>
            <w:right w:val="none" w:sz="0" w:space="0" w:color="auto"/>
          </w:divBdr>
        </w:div>
        <w:div w:id="584728097">
          <w:marLeft w:val="0"/>
          <w:marRight w:val="0"/>
          <w:marTop w:val="0"/>
          <w:marBottom w:val="0"/>
          <w:divBdr>
            <w:top w:val="none" w:sz="0" w:space="0" w:color="auto"/>
            <w:left w:val="none" w:sz="0" w:space="0" w:color="auto"/>
            <w:bottom w:val="none" w:sz="0" w:space="0" w:color="auto"/>
            <w:right w:val="none" w:sz="0" w:space="0" w:color="auto"/>
          </w:divBdr>
        </w:div>
        <w:div w:id="586112871">
          <w:marLeft w:val="0"/>
          <w:marRight w:val="0"/>
          <w:marTop w:val="0"/>
          <w:marBottom w:val="0"/>
          <w:divBdr>
            <w:top w:val="none" w:sz="0" w:space="0" w:color="auto"/>
            <w:left w:val="none" w:sz="0" w:space="0" w:color="auto"/>
            <w:bottom w:val="none" w:sz="0" w:space="0" w:color="auto"/>
            <w:right w:val="none" w:sz="0" w:space="0" w:color="auto"/>
          </w:divBdr>
        </w:div>
        <w:div w:id="608394203">
          <w:marLeft w:val="0"/>
          <w:marRight w:val="0"/>
          <w:marTop w:val="0"/>
          <w:marBottom w:val="0"/>
          <w:divBdr>
            <w:top w:val="none" w:sz="0" w:space="0" w:color="auto"/>
            <w:left w:val="none" w:sz="0" w:space="0" w:color="auto"/>
            <w:bottom w:val="none" w:sz="0" w:space="0" w:color="auto"/>
            <w:right w:val="none" w:sz="0" w:space="0" w:color="auto"/>
          </w:divBdr>
        </w:div>
        <w:div w:id="615909010">
          <w:marLeft w:val="0"/>
          <w:marRight w:val="0"/>
          <w:marTop w:val="0"/>
          <w:marBottom w:val="0"/>
          <w:divBdr>
            <w:top w:val="none" w:sz="0" w:space="0" w:color="auto"/>
            <w:left w:val="none" w:sz="0" w:space="0" w:color="auto"/>
            <w:bottom w:val="none" w:sz="0" w:space="0" w:color="auto"/>
            <w:right w:val="none" w:sz="0" w:space="0" w:color="auto"/>
          </w:divBdr>
        </w:div>
        <w:div w:id="643504908">
          <w:marLeft w:val="0"/>
          <w:marRight w:val="0"/>
          <w:marTop w:val="0"/>
          <w:marBottom w:val="0"/>
          <w:divBdr>
            <w:top w:val="none" w:sz="0" w:space="0" w:color="auto"/>
            <w:left w:val="none" w:sz="0" w:space="0" w:color="auto"/>
            <w:bottom w:val="none" w:sz="0" w:space="0" w:color="auto"/>
            <w:right w:val="none" w:sz="0" w:space="0" w:color="auto"/>
          </w:divBdr>
        </w:div>
        <w:div w:id="649599584">
          <w:marLeft w:val="0"/>
          <w:marRight w:val="0"/>
          <w:marTop w:val="0"/>
          <w:marBottom w:val="0"/>
          <w:divBdr>
            <w:top w:val="none" w:sz="0" w:space="0" w:color="auto"/>
            <w:left w:val="none" w:sz="0" w:space="0" w:color="auto"/>
            <w:bottom w:val="none" w:sz="0" w:space="0" w:color="auto"/>
            <w:right w:val="none" w:sz="0" w:space="0" w:color="auto"/>
          </w:divBdr>
        </w:div>
        <w:div w:id="650208828">
          <w:marLeft w:val="0"/>
          <w:marRight w:val="0"/>
          <w:marTop w:val="0"/>
          <w:marBottom w:val="0"/>
          <w:divBdr>
            <w:top w:val="none" w:sz="0" w:space="0" w:color="auto"/>
            <w:left w:val="none" w:sz="0" w:space="0" w:color="auto"/>
            <w:bottom w:val="none" w:sz="0" w:space="0" w:color="auto"/>
            <w:right w:val="none" w:sz="0" w:space="0" w:color="auto"/>
          </w:divBdr>
        </w:div>
        <w:div w:id="669987667">
          <w:marLeft w:val="0"/>
          <w:marRight w:val="0"/>
          <w:marTop w:val="0"/>
          <w:marBottom w:val="0"/>
          <w:divBdr>
            <w:top w:val="none" w:sz="0" w:space="0" w:color="auto"/>
            <w:left w:val="none" w:sz="0" w:space="0" w:color="auto"/>
            <w:bottom w:val="none" w:sz="0" w:space="0" w:color="auto"/>
            <w:right w:val="none" w:sz="0" w:space="0" w:color="auto"/>
          </w:divBdr>
        </w:div>
        <w:div w:id="673461065">
          <w:marLeft w:val="0"/>
          <w:marRight w:val="0"/>
          <w:marTop w:val="0"/>
          <w:marBottom w:val="0"/>
          <w:divBdr>
            <w:top w:val="none" w:sz="0" w:space="0" w:color="auto"/>
            <w:left w:val="none" w:sz="0" w:space="0" w:color="auto"/>
            <w:bottom w:val="none" w:sz="0" w:space="0" w:color="auto"/>
            <w:right w:val="none" w:sz="0" w:space="0" w:color="auto"/>
          </w:divBdr>
        </w:div>
        <w:div w:id="674767202">
          <w:marLeft w:val="0"/>
          <w:marRight w:val="0"/>
          <w:marTop w:val="0"/>
          <w:marBottom w:val="0"/>
          <w:divBdr>
            <w:top w:val="none" w:sz="0" w:space="0" w:color="auto"/>
            <w:left w:val="none" w:sz="0" w:space="0" w:color="auto"/>
            <w:bottom w:val="none" w:sz="0" w:space="0" w:color="auto"/>
            <w:right w:val="none" w:sz="0" w:space="0" w:color="auto"/>
          </w:divBdr>
        </w:div>
        <w:div w:id="679087773">
          <w:marLeft w:val="0"/>
          <w:marRight w:val="0"/>
          <w:marTop w:val="0"/>
          <w:marBottom w:val="0"/>
          <w:divBdr>
            <w:top w:val="none" w:sz="0" w:space="0" w:color="auto"/>
            <w:left w:val="none" w:sz="0" w:space="0" w:color="auto"/>
            <w:bottom w:val="none" w:sz="0" w:space="0" w:color="auto"/>
            <w:right w:val="none" w:sz="0" w:space="0" w:color="auto"/>
          </w:divBdr>
        </w:div>
        <w:div w:id="694162340">
          <w:marLeft w:val="0"/>
          <w:marRight w:val="0"/>
          <w:marTop w:val="0"/>
          <w:marBottom w:val="0"/>
          <w:divBdr>
            <w:top w:val="none" w:sz="0" w:space="0" w:color="auto"/>
            <w:left w:val="none" w:sz="0" w:space="0" w:color="auto"/>
            <w:bottom w:val="none" w:sz="0" w:space="0" w:color="auto"/>
            <w:right w:val="none" w:sz="0" w:space="0" w:color="auto"/>
          </w:divBdr>
        </w:div>
        <w:div w:id="715206021">
          <w:marLeft w:val="0"/>
          <w:marRight w:val="0"/>
          <w:marTop w:val="0"/>
          <w:marBottom w:val="0"/>
          <w:divBdr>
            <w:top w:val="none" w:sz="0" w:space="0" w:color="auto"/>
            <w:left w:val="none" w:sz="0" w:space="0" w:color="auto"/>
            <w:bottom w:val="none" w:sz="0" w:space="0" w:color="auto"/>
            <w:right w:val="none" w:sz="0" w:space="0" w:color="auto"/>
          </w:divBdr>
        </w:div>
        <w:div w:id="725225392">
          <w:marLeft w:val="0"/>
          <w:marRight w:val="0"/>
          <w:marTop w:val="0"/>
          <w:marBottom w:val="0"/>
          <w:divBdr>
            <w:top w:val="none" w:sz="0" w:space="0" w:color="auto"/>
            <w:left w:val="none" w:sz="0" w:space="0" w:color="auto"/>
            <w:bottom w:val="none" w:sz="0" w:space="0" w:color="auto"/>
            <w:right w:val="none" w:sz="0" w:space="0" w:color="auto"/>
          </w:divBdr>
        </w:div>
        <w:div w:id="725225582">
          <w:marLeft w:val="0"/>
          <w:marRight w:val="0"/>
          <w:marTop w:val="0"/>
          <w:marBottom w:val="0"/>
          <w:divBdr>
            <w:top w:val="none" w:sz="0" w:space="0" w:color="auto"/>
            <w:left w:val="none" w:sz="0" w:space="0" w:color="auto"/>
            <w:bottom w:val="none" w:sz="0" w:space="0" w:color="auto"/>
            <w:right w:val="none" w:sz="0" w:space="0" w:color="auto"/>
          </w:divBdr>
        </w:div>
        <w:div w:id="725876814">
          <w:marLeft w:val="0"/>
          <w:marRight w:val="0"/>
          <w:marTop w:val="0"/>
          <w:marBottom w:val="0"/>
          <w:divBdr>
            <w:top w:val="none" w:sz="0" w:space="0" w:color="auto"/>
            <w:left w:val="none" w:sz="0" w:space="0" w:color="auto"/>
            <w:bottom w:val="none" w:sz="0" w:space="0" w:color="auto"/>
            <w:right w:val="none" w:sz="0" w:space="0" w:color="auto"/>
          </w:divBdr>
        </w:div>
        <w:div w:id="732848582">
          <w:marLeft w:val="0"/>
          <w:marRight w:val="0"/>
          <w:marTop w:val="0"/>
          <w:marBottom w:val="0"/>
          <w:divBdr>
            <w:top w:val="none" w:sz="0" w:space="0" w:color="auto"/>
            <w:left w:val="none" w:sz="0" w:space="0" w:color="auto"/>
            <w:bottom w:val="none" w:sz="0" w:space="0" w:color="auto"/>
            <w:right w:val="none" w:sz="0" w:space="0" w:color="auto"/>
          </w:divBdr>
        </w:div>
        <w:div w:id="732890966">
          <w:marLeft w:val="0"/>
          <w:marRight w:val="0"/>
          <w:marTop w:val="0"/>
          <w:marBottom w:val="0"/>
          <w:divBdr>
            <w:top w:val="none" w:sz="0" w:space="0" w:color="auto"/>
            <w:left w:val="none" w:sz="0" w:space="0" w:color="auto"/>
            <w:bottom w:val="none" w:sz="0" w:space="0" w:color="auto"/>
            <w:right w:val="none" w:sz="0" w:space="0" w:color="auto"/>
          </w:divBdr>
        </w:div>
        <w:div w:id="737018204">
          <w:marLeft w:val="0"/>
          <w:marRight w:val="0"/>
          <w:marTop w:val="0"/>
          <w:marBottom w:val="0"/>
          <w:divBdr>
            <w:top w:val="none" w:sz="0" w:space="0" w:color="auto"/>
            <w:left w:val="none" w:sz="0" w:space="0" w:color="auto"/>
            <w:bottom w:val="none" w:sz="0" w:space="0" w:color="auto"/>
            <w:right w:val="none" w:sz="0" w:space="0" w:color="auto"/>
          </w:divBdr>
        </w:div>
        <w:div w:id="738525366">
          <w:marLeft w:val="0"/>
          <w:marRight w:val="0"/>
          <w:marTop w:val="0"/>
          <w:marBottom w:val="0"/>
          <w:divBdr>
            <w:top w:val="none" w:sz="0" w:space="0" w:color="auto"/>
            <w:left w:val="none" w:sz="0" w:space="0" w:color="auto"/>
            <w:bottom w:val="none" w:sz="0" w:space="0" w:color="auto"/>
            <w:right w:val="none" w:sz="0" w:space="0" w:color="auto"/>
          </w:divBdr>
        </w:div>
        <w:div w:id="748113914">
          <w:marLeft w:val="0"/>
          <w:marRight w:val="0"/>
          <w:marTop w:val="0"/>
          <w:marBottom w:val="0"/>
          <w:divBdr>
            <w:top w:val="none" w:sz="0" w:space="0" w:color="auto"/>
            <w:left w:val="none" w:sz="0" w:space="0" w:color="auto"/>
            <w:bottom w:val="none" w:sz="0" w:space="0" w:color="auto"/>
            <w:right w:val="none" w:sz="0" w:space="0" w:color="auto"/>
          </w:divBdr>
        </w:div>
        <w:div w:id="766729507">
          <w:marLeft w:val="0"/>
          <w:marRight w:val="0"/>
          <w:marTop w:val="0"/>
          <w:marBottom w:val="0"/>
          <w:divBdr>
            <w:top w:val="none" w:sz="0" w:space="0" w:color="auto"/>
            <w:left w:val="none" w:sz="0" w:space="0" w:color="auto"/>
            <w:bottom w:val="none" w:sz="0" w:space="0" w:color="auto"/>
            <w:right w:val="none" w:sz="0" w:space="0" w:color="auto"/>
          </w:divBdr>
        </w:div>
        <w:div w:id="766845842">
          <w:marLeft w:val="0"/>
          <w:marRight w:val="0"/>
          <w:marTop w:val="0"/>
          <w:marBottom w:val="0"/>
          <w:divBdr>
            <w:top w:val="none" w:sz="0" w:space="0" w:color="auto"/>
            <w:left w:val="none" w:sz="0" w:space="0" w:color="auto"/>
            <w:bottom w:val="none" w:sz="0" w:space="0" w:color="auto"/>
            <w:right w:val="none" w:sz="0" w:space="0" w:color="auto"/>
          </w:divBdr>
        </w:div>
        <w:div w:id="771897745">
          <w:marLeft w:val="0"/>
          <w:marRight w:val="0"/>
          <w:marTop w:val="0"/>
          <w:marBottom w:val="0"/>
          <w:divBdr>
            <w:top w:val="none" w:sz="0" w:space="0" w:color="auto"/>
            <w:left w:val="none" w:sz="0" w:space="0" w:color="auto"/>
            <w:bottom w:val="none" w:sz="0" w:space="0" w:color="auto"/>
            <w:right w:val="none" w:sz="0" w:space="0" w:color="auto"/>
          </w:divBdr>
        </w:div>
        <w:div w:id="773481085">
          <w:marLeft w:val="0"/>
          <w:marRight w:val="0"/>
          <w:marTop w:val="0"/>
          <w:marBottom w:val="0"/>
          <w:divBdr>
            <w:top w:val="none" w:sz="0" w:space="0" w:color="auto"/>
            <w:left w:val="none" w:sz="0" w:space="0" w:color="auto"/>
            <w:bottom w:val="none" w:sz="0" w:space="0" w:color="auto"/>
            <w:right w:val="none" w:sz="0" w:space="0" w:color="auto"/>
          </w:divBdr>
        </w:div>
        <w:div w:id="776561255">
          <w:marLeft w:val="0"/>
          <w:marRight w:val="0"/>
          <w:marTop w:val="0"/>
          <w:marBottom w:val="0"/>
          <w:divBdr>
            <w:top w:val="none" w:sz="0" w:space="0" w:color="auto"/>
            <w:left w:val="none" w:sz="0" w:space="0" w:color="auto"/>
            <w:bottom w:val="none" w:sz="0" w:space="0" w:color="auto"/>
            <w:right w:val="none" w:sz="0" w:space="0" w:color="auto"/>
          </w:divBdr>
        </w:div>
        <w:div w:id="783381589">
          <w:marLeft w:val="0"/>
          <w:marRight w:val="0"/>
          <w:marTop w:val="0"/>
          <w:marBottom w:val="0"/>
          <w:divBdr>
            <w:top w:val="none" w:sz="0" w:space="0" w:color="auto"/>
            <w:left w:val="none" w:sz="0" w:space="0" w:color="auto"/>
            <w:bottom w:val="none" w:sz="0" w:space="0" w:color="auto"/>
            <w:right w:val="none" w:sz="0" w:space="0" w:color="auto"/>
          </w:divBdr>
        </w:div>
        <w:div w:id="805467264">
          <w:marLeft w:val="0"/>
          <w:marRight w:val="0"/>
          <w:marTop w:val="0"/>
          <w:marBottom w:val="0"/>
          <w:divBdr>
            <w:top w:val="none" w:sz="0" w:space="0" w:color="auto"/>
            <w:left w:val="none" w:sz="0" w:space="0" w:color="auto"/>
            <w:bottom w:val="none" w:sz="0" w:space="0" w:color="auto"/>
            <w:right w:val="none" w:sz="0" w:space="0" w:color="auto"/>
          </w:divBdr>
        </w:div>
        <w:div w:id="811941294">
          <w:marLeft w:val="0"/>
          <w:marRight w:val="0"/>
          <w:marTop w:val="0"/>
          <w:marBottom w:val="0"/>
          <w:divBdr>
            <w:top w:val="none" w:sz="0" w:space="0" w:color="auto"/>
            <w:left w:val="none" w:sz="0" w:space="0" w:color="auto"/>
            <w:bottom w:val="none" w:sz="0" w:space="0" w:color="auto"/>
            <w:right w:val="none" w:sz="0" w:space="0" w:color="auto"/>
          </w:divBdr>
        </w:div>
        <w:div w:id="814448216">
          <w:marLeft w:val="0"/>
          <w:marRight w:val="0"/>
          <w:marTop w:val="0"/>
          <w:marBottom w:val="0"/>
          <w:divBdr>
            <w:top w:val="none" w:sz="0" w:space="0" w:color="auto"/>
            <w:left w:val="none" w:sz="0" w:space="0" w:color="auto"/>
            <w:bottom w:val="none" w:sz="0" w:space="0" w:color="auto"/>
            <w:right w:val="none" w:sz="0" w:space="0" w:color="auto"/>
          </w:divBdr>
        </w:div>
        <w:div w:id="821389132">
          <w:marLeft w:val="0"/>
          <w:marRight w:val="0"/>
          <w:marTop w:val="0"/>
          <w:marBottom w:val="0"/>
          <w:divBdr>
            <w:top w:val="none" w:sz="0" w:space="0" w:color="auto"/>
            <w:left w:val="none" w:sz="0" w:space="0" w:color="auto"/>
            <w:bottom w:val="none" w:sz="0" w:space="0" w:color="auto"/>
            <w:right w:val="none" w:sz="0" w:space="0" w:color="auto"/>
          </w:divBdr>
        </w:div>
        <w:div w:id="822769703">
          <w:marLeft w:val="0"/>
          <w:marRight w:val="0"/>
          <w:marTop w:val="0"/>
          <w:marBottom w:val="0"/>
          <w:divBdr>
            <w:top w:val="none" w:sz="0" w:space="0" w:color="auto"/>
            <w:left w:val="none" w:sz="0" w:space="0" w:color="auto"/>
            <w:bottom w:val="none" w:sz="0" w:space="0" w:color="auto"/>
            <w:right w:val="none" w:sz="0" w:space="0" w:color="auto"/>
          </w:divBdr>
        </w:div>
        <w:div w:id="832335909">
          <w:marLeft w:val="0"/>
          <w:marRight w:val="0"/>
          <w:marTop w:val="0"/>
          <w:marBottom w:val="0"/>
          <w:divBdr>
            <w:top w:val="none" w:sz="0" w:space="0" w:color="auto"/>
            <w:left w:val="none" w:sz="0" w:space="0" w:color="auto"/>
            <w:bottom w:val="none" w:sz="0" w:space="0" w:color="auto"/>
            <w:right w:val="none" w:sz="0" w:space="0" w:color="auto"/>
          </w:divBdr>
        </w:div>
        <w:div w:id="844322414">
          <w:marLeft w:val="0"/>
          <w:marRight w:val="0"/>
          <w:marTop w:val="0"/>
          <w:marBottom w:val="0"/>
          <w:divBdr>
            <w:top w:val="none" w:sz="0" w:space="0" w:color="auto"/>
            <w:left w:val="none" w:sz="0" w:space="0" w:color="auto"/>
            <w:bottom w:val="none" w:sz="0" w:space="0" w:color="auto"/>
            <w:right w:val="none" w:sz="0" w:space="0" w:color="auto"/>
          </w:divBdr>
        </w:div>
        <w:div w:id="854269074">
          <w:marLeft w:val="0"/>
          <w:marRight w:val="0"/>
          <w:marTop w:val="0"/>
          <w:marBottom w:val="0"/>
          <w:divBdr>
            <w:top w:val="none" w:sz="0" w:space="0" w:color="auto"/>
            <w:left w:val="none" w:sz="0" w:space="0" w:color="auto"/>
            <w:bottom w:val="none" w:sz="0" w:space="0" w:color="auto"/>
            <w:right w:val="none" w:sz="0" w:space="0" w:color="auto"/>
          </w:divBdr>
        </w:div>
        <w:div w:id="880485216">
          <w:marLeft w:val="0"/>
          <w:marRight w:val="0"/>
          <w:marTop w:val="0"/>
          <w:marBottom w:val="0"/>
          <w:divBdr>
            <w:top w:val="none" w:sz="0" w:space="0" w:color="auto"/>
            <w:left w:val="none" w:sz="0" w:space="0" w:color="auto"/>
            <w:bottom w:val="none" w:sz="0" w:space="0" w:color="auto"/>
            <w:right w:val="none" w:sz="0" w:space="0" w:color="auto"/>
          </w:divBdr>
        </w:div>
        <w:div w:id="884490500">
          <w:marLeft w:val="0"/>
          <w:marRight w:val="0"/>
          <w:marTop w:val="0"/>
          <w:marBottom w:val="0"/>
          <w:divBdr>
            <w:top w:val="none" w:sz="0" w:space="0" w:color="auto"/>
            <w:left w:val="none" w:sz="0" w:space="0" w:color="auto"/>
            <w:bottom w:val="none" w:sz="0" w:space="0" w:color="auto"/>
            <w:right w:val="none" w:sz="0" w:space="0" w:color="auto"/>
          </w:divBdr>
        </w:div>
        <w:div w:id="893273310">
          <w:marLeft w:val="0"/>
          <w:marRight w:val="0"/>
          <w:marTop w:val="0"/>
          <w:marBottom w:val="0"/>
          <w:divBdr>
            <w:top w:val="none" w:sz="0" w:space="0" w:color="auto"/>
            <w:left w:val="none" w:sz="0" w:space="0" w:color="auto"/>
            <w:bottom w:val="none" w:sz="0" w:space="0" w:color="auto"/>
            <w:right w:val="none" w:sz="0" w:space="0" w:color="auto"/>
          </w:divBdr>
        </w:div>
        <w:div w:id="893396908">
          <w:marLeft w:val="0"/>
          <w:marRight w:val="0"/>
          <w:marTop w:val="0"/>
          <w:marBottom w:val="0"/>
          <w:divBdr>
            <w:top w:val="none" w:sz="0" w:space="0" w:color="auto"/>
            <w:left w:val="none" w:sz="0" w:space="0" w:color="auto"/>
            <w:bottom w:val="none" w:sz="0" w:space="0" w:color="auto"/>
            <w:right w:val="none" w:sz="0" w:space="0" w:color="auto"/>
          </w:divBdr>
        </w:div>
        <w:div w:id="902448169">
          <w:marLeft w:val="0"/>
          <w:marRight w:val="0"/>
          <w:marTop w:val="0"/>
          <w:marBottom w:val="0"/>
          <w:divBdr>
            <w:top w:val="none" w:sz="0" w:space="0" w:color="auto"/>
            <w:left w:val="none" w:sz="0" w:space="0" w:color="auto"/>
            <w:bottom w:val="none" w:sz="0" w:space="0" w:color="auto"/>
            <w:right w:val="none" w:sz="0" w:space="0" w:color="auto"/>
          </w:divBdr>
        </w:div>
        <w:div w:id="914820424">
          <w:marLeft w:val="0"/>
          <w:marRight w:val="0"/>
          <w:marTop w:val="0"/>
          <w:marBottom w:val="0"/>
          <w:divBdr>
            <w:top w:val="none" w:sz="0" w:space="0" w:color="auto"/>
            <w:left w:val="none" w:sz="0" w:space="0" w:color="auto"/>
            <w:bottom w:val="none" w:sz="0" w:space="0" w:color="auto"/>
            <w:right w:val="none" w:sz="0" w:space="0" w:color="auto"/>
          </w:divBdr>
        </w:div>
        <w:div w:id="920406608">
          <w:marLeft w:val="0"/>
          <w:marRight w:val="0"/>
          <w:marTop w:val="0"/>
          <w:marBottom w:val="0"/>
          <w:divBdr>
            <w:top w:val="none" w:sz="0" w:space="0" w:color="auto"/>
            <w:left w:val="none" w:sz="0" w:space="0" w:color="auto"/>
            <w:bottom w:val="none" w:sz="0" w:space="0" w:color="auto"/>
            <w:right w:val="none" w:sz="0" w:space="0" w:color="auto"/>
          </w:divBdr>
        </w:div>
        <w:div w:id="923760037">
          <w:marLeft w:val="0"/>
          <w:marRight w:val="0"/>
          <w:marTop w:val="0"/>
          <w:marBottom w:val="0"/>
          <w:divBdr>
            <w:top w:val="none" w:sz="0" w:space="0" w:color="auto"/>
            <w:left w:val="none" w:sz="0" w:space="0" w:color="auto"/>
            <w:bottom w:val="none" w:sz="0" w:space="0" w:color="auto"/>
            <w:right w:val="none" w:sz="0" w:space="0" w:color="auto"/>
          </w:divBdr>
        </w:div>
        <w:div w:id="936791060">
          <w:marLeft w:val="0"/>
          <w:marRight w:val="0"/>
          <w:marTop w:val="0"/>
          <w:marBottom w:val="0"/>
          <w:divBdr>
            <w:top w:val="none" w:sz="0" w:space="0" w:color="auto"/>
            <w:left w:val="none" w:sz="0" w:space="0" w:color="auto"/>
            <w:bottom w:val="none" w:sz="0" w:space="0" w:color="auto"/>
            <w:right w:val="none" w:sz="0" w:space="0" w:color="auto"/>
          </w:divBdr>
        </w:div>
        <w:div w:id="937909185">
          <w:marLeft w:val="0"/>
          <w:marRight w:val="0"/>
          <w:marTop w:val="0"/>
          <w:marBottom w:val="0"/>
          <w:divBdr>
            <w:top w:val="none" w:sz="0" w:space="0" w:color="auto"/>
            <w:left w:val="none" w:sz="0" w:space="0" w:color="auto"/>
            <w:bottom w:val="none" w:sz="0" w:space="0" w:color="auto"/>
            <w:right w:val="none" w:sz="0" w:space="0" w:color="auto"/>
          </w:divBdr>
        </w:div>
        <w:div w:id="948243211">
          <w:marLeft w:val="0"/>
          <w:marRight w:val="0"/>
          <w:marTop w:val="0"/>
          <w:marBottom w:val="0"/>
          <w:divBdr>
            <w:top w:val="none" w:sz="0" w:space="0" w:color="auto"/>
            <w:left w:val="none" w:sz="0" w:space="0" w:color="auto"/>
            <w:bottom w:val="none" w:sz="0" w:space="0" w:color="auto"/>
            <w:right w:val="none" w:sz="0" w:space="0" w:color="auto"/>
          </w:divBdr>
        </w:div>
        <w:div w:id="972906525">
          <w:marLeft w:val="0"/>
          <w:marRight w:val="0"/>
          <w:marTop w:val="0"/>
          <w:marBottom w:val="0"/>
          <w:divBdr>
            <w:top w:val="none" w:sz="0" w:space="0" w:color="auto"/>
            <w:left w:val="none" w:sz="0" w:space="0" w:color="auto"/>
            <w:bottom w:val="none" w:sz="0" w:space="0" w:color="auto"/>
            <w:right w:val="none" w:sz="0" w:space="0" w:color="auto"/>
          </w:divBdr>
        </w:div>
        <w:div w:id="976648683">
          <w:marLeft w:val="0"/>
          <w:marRight w:val="0"/>
          <w:marTop w:val="0"/>
          <w:marBottom w:val="0"/>
          <w:divBdr>
            <w:top w:val="none" w:sz="0" w:space="0" w:color="auto"/>
            <w:left w:val="none" w:sz="0" w:space="0" w:color="auto"/>
            <w:bottom w:val="none" w:sz="0" w:space="0" w:color="auto"/>
            <w:right w:val="none" w:sz="0" w:space="0" w:color="auto"/>
          </w:divBdr>
        </w:div>
        <w:div w:id="979072999">
          <w:marLeft w:val="0"/>
          <w:marRight w:val="0"/>
          <w:marTop w:val="0"/>
          <w:marBottom w:val="0"/>
          <w:divBdr>
            <w:top w:val="none" w:sz="0" w:space="0" w:color="auto"/>
            <w:left w:val="none" w:sz="0" w:space="0" w:color="auto"/>
            <w:bottom w:val="none" w:sz="0" w:space="0" w:color="auto"/>
            <w:right w:val="none" w:sz="0" w:space="0" w:color="auto"/>
          </w:divBdr>
        </w:div>
        <w:div w:id="991062273">
          <w:marLeft w:val="0"/>
          <w:marRight w:val="0"/>
          <w:marTop w:val="0"/>
          <w:marBottom w:val="0"/>
          <w:divBdr>
            <w:top w:val="none" w:sz="0" w:space="0" w:color="auto"/>
            <w:left w:val="none" w:sz="0" w:space="0" w:color="auto"/>
            <w:bottom w:val="none" w:sz="0" w:space="0" w:color="auto"/>
            <w:right w:val="none" w:sz="0" w:space="0" w:color="auto"/>
          </w:divBdr>
        </w:div>
        <w:div w:id="1006589550">
          <w:marLeft w:val="0"/>
          <w:marRight w:val="0"/>
          <w:marTop w:val="0"/>
          <w:marBottom w:val="0"/>
          <w:divBdr>
            <w:top w:val="none" w:sz="0" w:space="0" w:color="auto"/>
            <w:left w:val="none" w:sz="0" w:space="0" w:color="auto"/>
            <w:bottom w:val="none" w:sz="0" w:space="0" w:color="auto"/>
            <w:right w:val="none" w:sz="0" w:space="0" w:color="auto"/>
          </w:divBdr>
        </w:div>
        <w:div w:id="1016617948">
          <w:marLeft w:val="0"/>
          <w:marRight w:val="0"/>
          <w:marTop w:val="0"/>
          <w:marBottom w:val="0"/>
          <w:divBdr>
            <w:top w:val="none" w:sz="0" w:space="0" w:color="auto"/>
            <w:left w:val="none" w:sz="0" w:space="0" w:color="auto"/>
            <w:bottom w:val="none" w:sz="0" w:space="0" w:color="auto"/>
            <w:right w:val="none" w:sz="0" w:space="0" w:color="auto"/>
          </w:divBdr>
        </w:div>
        <w:div w:id="1016808312">
          <w:marLeft w:val="0"/>
          <w:marRight w:val="0"/>
          <w:marTop w:val="0"/>
          <w:marBottom w:val="0"/>
          <w:divBdr>
            <w:top w:val="none" w:sz="0" w:space="0" w:color="auto"/>
            <w:left w:val="none" w:sz="0" w:space="0" w:color="auto"/>
            <w:bottom w:val="none" w:sz="0" w:space="0" w:color="auto"/>
            <w:right w:val="none" w:sz="0" w:space="0" w:color="auto"/>
          </w:divBdr>
        </w:div>
        <w:div w:id="1046753543">
          <w:marLeft w:val="0"/>
          <w:marRight w:val="0"/>
          <w:marTop w:val="0"/>
          <w:marBottom w:val="0"/>
          <w:divBdr>
            <w:top w:val="none" w:sz="0" w:space="0" w:color="auto"/>
            <w:left w:val="none" w:sz="0" w:space="0" w:color="auto"/>
            <w:bottom w:val="none" w:sz="0" w:space="0" w:color="auto"/>
            <w:right w:val="none" w:sz="0" w:space="0" w:color="auto"/>
          </w:divBdr>
        </w:div>
        <w:div w:id="1059203939">
          <w:marLeft w:val="0"/>
          <w:marRight w:val="0"/>
          <w:marTop w:val="0"/>
          <w:marBottom w:val="0"/>
          <w:divBdr>
            <w:top w:val="none" w:sz="0" w:space="0" w:color="auto"/>
            <w:left w:val="none" w:sz="0" w:space="0" w:color="auto"/>
            <w:bottom w:val="none" w:sz="0" w:space="0" w:color="auto"/>
            <w:right w:val="none" w:sz="0" w:space="0" w:color="auto"/>
          </w:divBdr>
        </w:div>
        <w:div w:id="1076784140">
          <w:marLeft w:val="0"/>
          <w:marRight w:val="0"/>
          <w:marTop w:val="0"/>
          <w:marBottom w:val="0"/>
          <w:divBdr>
            <w:top w:val="none" w:sz="0" w:space="0" w:color="auto"/>
            <w:left w:val="none" w:sz="0" w:space="0" w:color="auto"/>
            <w:bottom w:val="none" w:sz="0" w:space="0" w:color="auto"/>
            <w:right w:val="none" w:sz="0" w:space="0" w:color="auto"/>
          </w:divBdr>
        </w:div>
        <w:div w:id="1081947610">
          <w:marLeft w:val="0"/>
          <w:marRight w:val="0"/>
          <w:marTop w:val="0"/>
          <w:marBottom w:val="0"/>
          <w:divBdr>
            <w:top w:val="none" w:sz="0" w:space="0" w:color="auto"/>
            <w:left w:val="none" w:sz="0" w:space="0" w:color="auto"/>
            <w:bottom w:val="none" w:sz="0" w:space="0" w:color="auto"/>
            <w:right w:val="none" w:sz="0" w:space="0" w:color="auto"/>
          </w:divBdr>
        </w:div>
        <w:div w:id="1089696834">
          <w:marLeft w:val="0"/>
          <w:marRight w:val="0"/>
          <w:marTop w:val="0"/>
          <w:marBottom w:val="0"/>
          <w:divBdr>
            <w:top w:val="none" w:sz="0" w:space="0" w:color="auto"/>
            <w:left w:val="none" w:sz="0" w:space="0" w:color="auto"/>
            <w:bottom w:val="none" w:sz="0" w:space="0" w:color="auto"/>
            <w:right w:val="none" w:sz="0" w:space="0" w:color="auto"/>
          </w:divBdr>
        </w:div>
        <w:div w:id="1090590111">
          <w:marLeft w:val="-75"/>
          <w:marRight w:val="0"/>
          <w:marTop w:val="30"/>
          <w:marBottom w:val="30"/>
          <w:divBdr>
            <w:top w:val="none" w:sz="0" w:space="0" w:color="auto"/>
            <w:left w:val="none" w:sz="0" w:space="0" w:color="auto"/>
            <w:bottom w:val="none" w:sz="0" w:space="0" w:color="auto"/>
            <w:right w:val="none" w:sz="0" w:space="0" w:color="auto"/>
          </w:divBdr>
          <w:divsChild>
            <w:div w:id="1317764057">
              <w:marLeft w:val="0"/>
              <w:marRight w:val="0"/>
              <w:marTop w:val="0"/>
              <w:marBottom w:val="0"/>
              <w:divBdr>
                <w:top w:val="none" w:sz="0" w:space="0" w:color="auto"/>
                <w:left w:val="none" w:sz="0" w:space="0" w:color="auto"/>
                <w:bottom w:val="none" w:sz="0" w:space="0" w:color="auto"/>
                <w:right w:val="none" w:sz="0" w:space="0" w:color="auto"/>
              </w:divBdr>
              <w:divsChild>
                <w:div w:id="250745555">
                  <w:marLeft w:val="0"/>
                  <w:marRight w:val="0"/>
                  <w:marTop w:val="0"/>
                  <w:marBottom w:val="0"/>
                  <w:divBdr>
                    <w:top w:val="none" w:sz="0" w:space="0" w:color="auto"/>
                    <w:left w:val="none" w:sz="0" w:space="0" w:color="auto"/>
                    <w:bottom w:val="none" w:sz="0" w:space="0" w:color="auto"/>
                    <w:right w:val="none" w:sz="0" w:space="0" w:color="auto"/>
                  </w:divBdr>
                </w:div>
                <w:div w:id="258683313">
                  <w:marLeft w:val="0"/>
                  <w:marRight w:val="0"/>
                  <w:marTop w:val="0"/>
                  <w:marBottom w:val="0"/>
                  <w:divBdr>
                    <w:top w:val="none" w:sz="0" w:space="0" w:color="auto"/>
                    <w:left w:val="none" w:sz="0" w:space="0" w:color="auto"/>
                    <w:bottom w:val="none" w:sz="0" w:space="0" w:color="auto"/>
                    <w:right w:val="none" w:sz="0" w:space="0" w:color="auto"/>
                  </w:divBdr>
                </w:div>
                <w:div w:id="922909875">
                  <w:marLeft w:val="0"/>
                  <w:marRight w:val="0"/>
                  <w:marTop w:val="0"/>
                  <w:marBottom w:val="0"/>
                  <w:divBdr>
                    <w:top w:val="none" w:sz="0" w:space="0" w:color="auto"/>
                    <w:left w:val="none" w:sz="0" w:space="0" w:color="auto"/>
                    <w:bottom w:val="none" w:sz="0" w:space="0" w:color="auto"/>
                    <w:right w:val="none" w:sz="0" w:space="0" w:color="auto"/>
                  </w:divBdr>
                </w:div>
                <w:div w:id="1639650565">
                  <w:marLeft w:val="0"/>
                  <w:marRight w:val="0"/>
                  <w:marTop w:val="0"/>
                  <w:marBottom w:val="0"/>
                  <w:divBdr>
                    <w:top w:val="none" w:sz="0" w:space="0" w:color="auto"/>
                    <w:left w:val="none" w:sz="0" w:space="0" w:color="auto"/>
                    <w:bottom w:val="none" w:sz="0" w:space="0" w:color="auto"/>
                    <w:right w:val="none" w:sz="0" w:space="0" w:color="auto"/>
                  </w:divBdr>
                </w:div>
                <w:div w:id="1671130969">
                  <w:marLeft w:val="0"/>
                  <w:marRight w:val="0"/>
                  <w:marTop w:val="0"/>
                  <w:marBottom w:val="0"/>
                  <w:divBdr>
                    <w:top w:val="none" w:sz="0" w:space="0" w:color="auto"/>
                    <w:left w:val="none" w:sz="0" w:space="0" w:color="auto"/>
                    <w:bottom w:val="none" w:sz="0" w:space="0" w:color="auto"/>
                    <w:right w:val="none" w:sz="0" w:space="0" w:color="auto"/>
                  </w:divBdr>
                </w:div>
                <w:div w:id="2047635196">
                  <w:marLeft w:val="0"/>
                  <w:marRight w:val="0"/>
                  <w:marTop w:val="0"/>
                  <w:marBottom w:val="0"/>
                  <w:divBdr>
                    <w:top w:val="none" w:sz="0" w:space="0" w:color="auto"/>
                    <w:left w:val="none" w:sz="0" w:space="0" w:color="auto"/>
                    <w:bottom w:val="none" w:sz="0" w:space="0" w:color="auto"/>
                    <w:right w:val="none" w:sz="0" w:space="0" w:color="auto"/>
                  </w:divBdr>
                </w:div>
              </w:divsChild>
            </w:div>
            <w:div w:id="1476678001">
              <w:marLeft w:val="0"/>
              <w:marRight w:val="0"/>
              <w:marTop w:val="0"/>
              <w:marBottom w:val="0"/>
              <w:divBdr>
                <w:top w:val="none" w:sz="0" w:space="0" w:color="auto"/>
                <w:left w:val="none" w:sz="0" w:space="0" w:color="auto"/>
                <w:bottom w:val="none" w:sz="0" w:space="0" w:color="auto"/>
                <w:right w:val="none" w:sz="0" w:space="0" w:color="auto"/>
              </w:divBdr>
              <w:divsChild>
                <w:div w:id="31418195">
                  <w:marLeft w:val="0"/>
                  <w:marRight w:val="0"/>
                  <w:marTop w:val="0"/>
                  <w:marBottom w:val="0"/>
                  <w:divBdr>
                    <w:top w:val="none" w:sz="0" w:space="0" w:color="auto"/>
                    <w:left w:val="none" w:sz="0" w:space="0" w:color="auto"/>
                    <w:bottom w:val="none" w:sz="0" w:space="0" w:color="auto"/>
                    <w:right w:val="none" w:sz="0" w:space="0" w:color="auto"/>
                  </w:divBdr>
                </w:div>
                <w:div w:id="657029531">
                  <w:marLeft w:val="0"/>
                  <w:marRight w:val="0"/>
                  <w:marTop w:val="0"/>
                  <w:marBottom w:val="0"/>
                  <w:divBdr>
                    <w:top w:val="none" w:sz="0" w:space="0" w:color="auto"/>
                    <w:left w:val="none" w:sz="0" w:space="0" w:color="auto"/>
                    <w:bottom w:val="none" w:sz="0" w:space="0" w:color="auto"/>
                    <w:right w:val="none" w:sz="0" w:space="0" w:color="auto"/>
                  </w:divBdr>
                </w:div>
                <w:div w:id="1032655052">
                  <w:marLeft w:val="0"/>
                  <w:marRight w:val="0"/>
                  <w:marTop w:val="0"/>
                  <w:marBottom w:val="0"/>
                  <w:divBdr>
                    <w:top w:val="none" w:sz="0" w:space="0" w:color="auto"/>
                    <w:left w:val="none" w:sz="0" w:space="0" w:color="auto"/>
                    <w:bottom w:val="none" w:sz="0" w:space="0" w:color="auto"/>
                    <w:right w:val="none" w:sz="0" w:space="0" w:color="auto"/>
                  </w:divBdr>
                </w:div>
                <w:div w:id="1723139604">
                  <w:marLeft w:val="0"/>
                  <w:marRight w:val="0"/>
                  <w:marTop w:val="0"/>
                  <w:marBottom w:val="0"/>
                  <w:divBdr>
                    <w:top w:val="none" w:sz="0" w:space="0" w:color="auto"/>
                    <w:left w:val="none" w:sz="0" w:space="0" w:color="auto"/>
                    <w:bottom w:val="none" w:sz="0" w:space="0" w:color="auto"/>
                    <w:right w:val="none" w:sz="0" w:space="0" w:color="auto"/>
                  </w:divBdr>
                </w:div>
                <w:div w:id="1879121222">
                  <w:marLeft w:val="0"/>
                  <w:marRight w:val="0"/>
                  <w:marTop w:val="0"/>
                  <w:marBottom w:val="0"/>
                  <w:divBdr>
                    <w:top w:val="none" w:sz="0" w:space="0" w:color="auto"/>
                    <w:left w:val="none" w:sz="0" w:space="0" w:color="auto"/>
                    <w:bottom w:val="none" w:sz="0" w:space="0" w:color="auto"/>
                    <w:right w:val="none" w:sz="0" w:space="0" w:color="auto"/>
                  </w:divBdr>
                </w:div>
                <w:div w:id="2141222559">
                  <w:marLeft w:val="0"/>
                  <w:marRight w:val="0"/>
                  <w:marTop w:val="0"/>
                  <w:marBottom w:val="0"/>
                  <w:divBdr>
                    <w:top w:val="none" w:sz="0" w:space="0" w:color="auto"/>
                    <w:left w:val="none" w:sz="0" w:space="0" w:color="auto"/>
                    <w:bottom w:val="none" w:sz="0" w:space="0" w:color="auto"/>
                    <w:right w:val="none" w:sz="0" w:space="0" w:color="auto"/>
                  </w:divBdr>
                </w:div>
              </w:divsChild>
            </w:div>
            <w:div w:id="1882399588">
              <w:marLeft w:val="0"/>
              <w:marRight w:val="0"/>
              <w:marTop w:val="0"/>
              <w:marBottom w:val="0"/>
              <w:divBdr>
                <w:top w:val="none" w:sz="0" w:space="0" w:color="auto"/>
                <w:left w:val="none" w:sz="0" w:space="0" w:color="auto"/>
                <w:bottom w:val="none" w:sz="0" w:space="0" w:color="auto"/>
                <w:right w:val="none" w:sz="0" w:space="0" w:color="auto"/>
              </w:divBdr>
              <w:divsChild>
                <w:div w:id="74936428">
                  <w:marLeft w:val="0"/>
                  <w:marRight w:val="0"/>
                  <w:marTop w:val="0"/>
                  <w:marBottom w:val="0"/>
                  <w:divBdr>
                    <w:top w:val="none" w:sz="0" w:space="0" w:color="auto"/>
                    <w:left w:val="none" w:sz="0" w:space="0" w:color="auto"/>
                    <w:bottom w:val="none" w:sz="0" w:space="0" w:color="auto"/>
                    <w:right w:val="none" w:sz="0" w:space="0" w:color="auto"/>
                  </w:divBdr>
                </w:div>
                <w:div w:id="184369740">
                  <w:marLeft w:val="0"/>
                  <w:marRight w:val="0"/>
                  <w:marTop w:val="0"/>
                  <w:marBottom w:val="0"/>
                  <w:divBdr>
                    <w:top w:val="none" w:sz="0" w:space="0" w:color="auto"/>
                    <w:left w:val="none" w:sz="0" w:space="0" w:color="auto"/>
                    <w:bottom w:val="none" w:sz="0" w:space="0" w:color="auto"/>
                    <w:right w:val="none" w:sz="0" w:space="0" w:color="auto"/>
                  </w:divBdr>
                </w:div>
                <w:div w:id="215437591">
                  <w:marLeft w:val="0"/>
                  <w:marRight w:val="0"/>
                  <w:marTop w:val="0"/>
                  <w:marBottom w:val="0"/>
                  <w:divBdr>
                    <w:top w:val="none" w:sz="0" w:space="0" w:color="auto"/>
                    <w:left w:val="none" w:sz="0" w:space="0" w:color="auto"/>
                    <w:bottom w:val="none" w:sz="0" w:space="0" w:color="auto"/>
                    <w:right w:val="none" w:sz="0" w:space="0" w:color="auto"/>
                  </w:divBdr>
                </w:div>
                <w:div w:id="16332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6634">
          <w:marLeft w:val="0"/>
          <w:marRight w:val="0"/>
          <w:marTop w:val="0"/>
          <w:marBottom w:val="0"/>
          <w:divBdr>
            <w:top w:val="none" w:sz="0" w:space="0" w:color="auto"/>
            <w:left w:val="none" w:sz="0" w:space="0" w:color="auto"/>
            <w:bottom w:val="none" w:sz="0" w:space="0" w:color="auto"/>
            <w:right w:val="none" w:sz="0" w:space="0" w:color="auto"/>
          </w:divBdr>
        </w:div>
        <w:div w:id="1124348679">
          <w:marLeft w:val="0"/>
          <w:marRight w:val="0"/>
          <w:marTop w:val="0"/>
          <w:marBottom w:val="0"/>
          <w:divBdr>
            <w:top w:val="none" w:sz="0" w:space="0" w:color="auto"/>
            <w:left w:val="none" w:sz="0" w:space="0" w:color="auto"/>
            <w:bottom w:val="none" w:sz="0" w:space="0" w:color="auto"/>
            <w:right w:val="none" w:sz="0" w:space="0" w:color="auto"/>
          </w:divBdr>
        </w:div>
        <w:div w:id="1127817081">
          <w:marLeft w:val="0"/>
          <w:marRight w:val="0"/>
          <w:marTop w:val="0"/>
          <w:marBottom w:val="0"/>
          <w:divBdr>
            <w:top w:val="none" w:sz="0" w:space="0" w:color="auto"/>
            <w:left w:val="none" w:sz="0" w:space="0" w:color="auto"/>
            <w:bottom w:val="none" w:sz="0" w:space="0" w:color="auto"/>
            <w:right w:val="none" w:sz="0" w:space="0" w:color="auto"/>
          </w:divBdr>
        </w:div>
        <w:div w:id="1148475615">
          <w:marLeft w:val="0"/>
          <w:marRight w:val="0"/>
          <w:marTop w:val="0"/>
          <w:marBottom w:val="0"/>
          <w:divBdr>
            <w:top w:val="none" w:sz="0" w:space="0" w:color="auto"/>
            <w:left w:val="none" w:sz="0" w:space="0" w:color="auto"/>
            <w:bottom w:val="none" w:sz="0" w:space="0" w:color="auto"/>
            <w:right w:val="none" w:sz="0" w:space="0" w:color="auto"/>
          </w:divBdr>
        </w:div>
        <w:div w:id="1163007589">
          <w:marLeft w:val="0"/>
          <w:marRight w:val="0"/>
          <w:marTop w:val="0"/>
          <w:marBottom w:val="0"/>
          <w:divBdr>
            <w:top w:val="none" w:sz="0" w:space="0" w:color="auto"/>
            <w:left w:val="none" w:sz="0" w:space="0" w:color="auto"/>
            <w:bottom w:val="none" w:sz="0" w:space="0" w:color="auto"/>
            <w:right w:val="none" w:sz="0" w:space="0" w:color="auto"/>
          </w:divBdr>
        </w:div>
        <w:div w:id="1176305823">
          <w:marLeft w:val="0"/>
          <w:marRight w:val="0"/>
          <w:marTop w:val="0"/>
          <w:marBottom w:val="0"/>
          <w:divBdr>
            <w:top w:val="none" w:sz="0" w:space="0" w:color="auto"/>
            <w:left w:val="none" w:sz="0" w:space="0" w:color="auto"/>
            <w:bottom w:val="none" w:sz="0" w:space="0" w:color="auto"/>
            <w:right w:val="none" w:sz="0" w:space="0" w:color="auto"/>
          </w:divBdr>
        </w:div>
        <w:div w:id="1182280016">
          <w:marLeft w:val="0"/>
          <w:marRight w:val="0"/>
          <w:marTop w:val="0"/>
          <w:marBottom w:val="0"/>
          <w:divBdr>
            <w:top w:val="none" w:sz="0" w:space="0" w:color="auto"/>
            <w:left w:val="none" w:sz="0" w:space="0" w:color="auto"/>
            <w:bottom w:val="none" w:sz="0" w:space="0" w:color="auto"/>
            <w:right w:val="none" w:sz="0" w:space="0" w:color="auto"/>
          </w:divBdr>
        </w:div>
        <w:div w:id="1196694478">
          <w:marLeft w:val="0"/>
          <w:marRight w:val="0"/>
          <w:marTop w:val="0"/>
          <w:marBottom w:val="0"/>
          <w:divBdr>
            <w:top w:val="none" w:sz="0" w:space="0" w:color="auto"/>
            <w:left w:val="none" w:sz="0" w:space="0" w:color="auto"/>
            <w:bottom w:val="none" w:sz="0" w:space="0" w:color="auto"/>
            <w:right w:val="none" w:sz="0" w:space="0" w:color="auto"/>
          </w:divBdr>
        </w:div>
        <w:div w:id="1196696552">
          <w:marLeft w:val="0"/>
          <w:marRight w:val="0"/>
          <w:marTop w:val="0"/>
          <w:marBottom w:val="0"/>
          <w:divBdr>
            <w:top w:val="none" w:sz="0" w:space="0" w:color="auto"/>
            <w:left w:val="none" w:sz="0" w:space="0" w:color="auto"/>
            <w:bottom w:val="none" w:sz="0" w:space="0" w:color="auto"/>
            <w:right w:val="none" w:sz="0" w:space="0" w:color="auto"/>
          </w:divBdr>
        </w:div>
        <w:div w:id="1198346656">
          <w:marLeft w:val="0"/>
          <w:marRight w:val="0"/>
          <w:marTop w:val="0"/>
          <w:marBottom w:val="0"/>
          <w:divBdr>
            <w:top w:val="none" w:sz="0" w:space="0" w:color="auto"/>
            <w:left w:val="none" w:sz="0" w:space="0" w:color="auto"/>
            <w:bottom w:val="none" w:sz="0" w:space="0" w:color="auto"/>
            <w:right w:val="none" w:sz="0" w:space="0" w:color="auto"/>
          </w:divBdr>
        </w:div>
        <w:div w:id="1202404347">
          <w:marLeft w:val="0"/>
          <w:marRight w:val="0"/>
          <w:marTop w:val="0"/>
          <w:marBottom w:val="0"/>
          <w:divBdr>
            <w:top w:val="none" w:sz="0" w:space="0" w:color="auto"/>
            <w:left w:val="none" w:sz="0" w:space="0" w:color="auto"/>
            <w:bottom w:val="none" w:sz="0" w:space="0" w:color="auto"/>
            <w:right w:val="none" w:sz="0" w:space="0" w:color="auto"/>
          </w:divBdr>
        </w:div>
        <w:div w:id="1204248287">
          <w:marLeft w:val="0"/>
          <w:marRight w:val="0"/>
          <w:marTop w:val="0"/>
          <w:marBottom w:val="0"/>
          <w:divBdr>
            <w:top w:val="none" w:sz="0" w:space="0" w:color="auto"/>
            <w:left w:val="none" w:sz="0" w:space="0" w:color="auto"/>
            <w:bottom w:val="none" w:sz="0" w:space="0" w:color="auto"/>
            <w:right w:val="none" w:sz="0" w:space="0" w:color="auto"/>
          </w:divBdr>
        </w:div>
        <w:div w:id="1211767567">
          <w:marLeft w:val="0"/>
          <w:marRight w:val="0"/>
          <w:marTop w:val="0"/>
          <w:marBottom w:val="0"/>
          <w:divBdr>
            <w:top w:val="none" w:sz="0" w:space="0" w:color="auto"/>
            <w:left w:val="none" w:sz="0" w:space="0" w:color="auto"/>
            <w:bottom w:val="none" w:sz="0" w:space="0" w:color="auto"/>
            <w:right w:val="none" w:sz="0" w:space="0" w:color="auto"/>
          </w:divBdr>
        </w:div>
        <w:div w:id="1221863891">
          <w:marLeft w:val="0"/>
          <w:marRight w:val="0"/>
          <w:marTop w:val="0"/>
          <w:marBottom w:val="0"/>
          <w:divBdr>
            <w:top w:val="none" w:sz="0" w:space="0" w:color="auto"/>
            <w:left w:val="none" w:sz="0" w:space="0" w:color="auto"/>
            <w:bottom w:val="none" w:sz="0" w:space="0" w:color="auto"/>
            <w:right w:val="none" w:sz="0" w:space="0" w:color="auto"/>
          </w:divBdr>
        </w:div>
        <w:div w:id="1225725524">
          <w:marLeft w:val="0"/>
          <w:marRight w:val="0"/>
          <w:marTop w:val="0"/>
          <w:marBottom w:val="0"/>
          <w:divBdr>
            <w:top w:val="none" w:sz="0" w:space="0" w:color="auto"/>
            <w:left w:val="none" w:sz="0" w:space="0" w:color="auto"/>
            <w:bottom w:val="none" w:sz="0" w:space="0" w:color="auto"/>
            <w:right w:val="none" w:sz="0" w:space="0" w:color="auto"/>
          </w:divBdr>
        </w:div>
        <w:div w:id="1237594537">
          <w:marLeft w:val="0"/>
          <w:marRight w:val="0"/>
          <w:marTop w:val="0"/>
          <w:marBottom w:val="0"/>
          <w:divBdr>
            <w:top w:val="none" w:sz="0" w:space="0" w:color="auto"/>
            <w:left w:val="none" w:sz="0" w:space="0" w:color="auto"/>
            <w:bottom w:val="none" w:sz="0" w:space="0" w:color="auto"/>
            <w:right w:val="none" w:sz="0" w:space="0" w:color="auto"/>
          </w:divBdr>
        </w:div>
        <w:div w:id="1251692762">
          <w:marLeft w:val="0"/>
          <w:marRight w:val="0"/>
          <w:marTop w:val="0"/>
          <w:marBottom w:val="0"/>
          <w:divBdr>
            <w:top w:val="none" w:sz="0" w:space="0" w:color="auto"/>
            <w:left w:val="none" w:sz="0" w:space="0" w:color="auto"/>
            <w:bottom w:val="none" w:sz="0" w:space="0" w:color="auto"/>
            <w:right w:val="none" w:sz="0" w:space="0" w:color="auto"/>
          </w:divBdr>
        </w:div>
        <w:div w:id="1257906205">
          <w:marLeft w:val="0"/>
          <w:marRight w:val="0"/>
          <w:marTop w:val="0"/>
          <w:marBottom w:val="0"/>
          <w:divBdr>
            <w:top w:val="none" w:sz="0" w:space="0" w:color="auto"/>
            <w:left w:val="none" w:sz="0" w:space="0" w:color="auto"/>
            <w:bottom w:val="none" w:sz="0" w:space="0" w:color="auto"/>
            <w:right w:val="none" w:sz="0" w:space="0" w:color="auto"/>
          </w:divBdr>
        </w:div>
        <w:div w:id="1264337878">
          <w:marLeft w:val="0"/>
          <w:marRight w:val="0"/>
          <w:marTop w:val="0"/>
          <w:marBottom w:val="0"/>
          <w:divBdr>
            <w:top w:val="none" w:sz="0" w:space="0" w:color="auto"/>
            <w:left w:val="none" w:sz="0" w:space="0" w:color="auto"/>
            <w:bottom w:val="none" w:sz="0" w:space="0" w:color="auto"/>
            <w:right w:val="none" w:sz="0" w:space="0" w:color="auto"/>
          </w:divBdr>
        </w:div>
        <w:div w:id="1273703555">
          <w:marLeft w:val="0"/>
          <w:marRight w:val="0"/>
          <w:marTop w:val="0"/>
          <w:marBottom w:val="0"/>
          <w:divBdr>
            <w:top w:val="none" w:sz="0" w:space="0" w:color="auto"/>
            <w:left w:val="none" w:sz="0" w:space="0" w:color="auto"/>
            <w:bottom w:val="none" w:sz="0" w:space="0" w:color="auto"/>
            <w:right w:val="none" w:sz="0" w:space="0" w:color="auto"/>
          </w:divBdr>
        </w:div>
        <w:div w:id="1281763223">
          <w:marLeft w:val="0"/>
          <w:marRight w:val="0"/>
          <w:marTop w:val="0"/>
          <w:marBottom w:val="0"/>
          <w:divBdr>
            <w:top w:val="none" w:sz="0" w:space="0" w:color="auto"/>
            <w:left w:val="none" w:sz="0" w:space="0" w:color="auto"/>
            <w:bottom w:val="none" w:sz="0" w:space="0" w:color="auto"/>
            <w:right w:val="none" w:sz="0" w:space="0" w:color="auto"/>
          </w:divBdr>
        </w:div>
        <w:div w:id="1289971930">
          <w:marLeft w:val="0"/>
          <w:marRight w:val="0"/>
          <w:marTop w:val="0"/>
          <w:marBottom w:val="0"/>
          <w:divBdr>
            <w:top w:val="none" w:sz="0" w:space="0" w:color="auto"/>
            <w:left w:val="none" w:sz="0" w:space="0" w:color="auto"/>
            <w:bottom w:val="none" w:sz="0" w:space="0" w:color="auto"/>
            <w:right w:val="none" w:sz="0" w:space="0" w:color="auto"/>
          </w:divBdr>
        </w:div>
        <w:div w:id="1293750443">
          <w:marLeft w:val="0"/>
          <w:marRight w:val="0"/>
          <w:marTop w:val="0"/>
          <w:marBottom w:val="0"/>
          <w:divBdr>
            <w:top w:val="none" w:sz="0" w:space="0" w:color="auto"/>
            <w:left w:val="none" w:sz="0" w:space="0" w:color="auto"/>
            <w:bottom w:val="none" w:sz="0" w:space="0" w:color="auto"/>
            <w:right w:val="none" w:sz="0" w:space="0" w:color="auto"/>
          </w:divBdr>
        </w:div>
        <w:div w:id="1294143281">
          <w:marLeft w:val="0"/>
          <w:marRight w:val="0"/>
          <w:marTop w:val="0"/>
          <w:marBottom w:val="0"/>
          <w:divBdr>
            <w:top w:val="none" w:sz="0" w:space="0" w:color="auto"/>
            <w:left w:val="none" w:sz="0" w:space="0" w:color="auto"/>
            <w:bottom w:val="none" w:sz="0" w:space="0" w:color="auto"/>
            <w:right w:val="none" w:sz="0" w:space="0" w:color="auto"/>
          </w:divBdr>
        </w:div>
        <w:div w:id="1317034512">
          <w:marLeft w:val="0"/>
          <w:marRight w:val="0"/>
          <w:marTop w:val="0"/>
          <w:marBottom w:val="0"/>
          <w:divBdr>
            <w:top w:val="none" w:sz="0" w:space="0" w:color="auto"/>
            <w:left w:val="none" w:sz="0" w:space="0" w:color="auto"/>
            <w:bottom w:val="none" w:sz="0" w:space="0" w:color="auto"/>
            <w:right w:val="none" w:sz="0" w:space="0" w:color="auto"/>
          </w:divBdr>
        </w:div>
        <w:div w:id="1327633450">
          <w:marLeft w:val="0"/>
          <w:marRight w:val="0"/>
          <w:marTop w:val="0"/>
          <w:marBottom w:val="0"/>
          <w:divBdr>
            <w:top w:val="none" w:sz="0" w:space="0" w:color="auto"/>
            <w:left w:val="none" w:sz="0" w:space="0" w:color="auto"/>
            <w:bottom w:val="none" w:sz="0" w:space="0" w:color="auto"/>
            <w:right w:val="none" w:sz="0" w:space="0" w:color="auto"/>
          </w:divBdr>
        </w:div>
        <w:div w:id="1332951032">
          <w:marLeft w:val="0"/>
          <w:marRight w:val="0"/>
          <w:marTop w:val="0"/>
          <w:marBottom w:val="0"/>
          <w:divBdr>
            <w:top w:val="none" w:sz="0" w:space="0" w:color="auto"/>
            <w:left w:val="none" w:sz="0" w:space="0" w:color="auto"/>
            <w:bottom w:val="none" w:sz="0" w:space="0" w:color="auto"/>
            <w:right w:val="none" w:sz="0" w:space="0" w:color="auto"/>
          </w:divBdr>
        </w:div>
        <w:div w:id="1334458808">
          <w:marLeft w:val="0"/>
          <w:marRight w:val="0"/>
          <w:marTop w:val="0"/>
          <w:marBottom w:val="0"/>
          <w:divBdr>
            <w:top w:val="none" w:sz="0" w:space="0" w:color="auto"/>
            <w:left w:val="none" w:sz="0" w:space="0" w:color="auto"/>
            <w:bottom w:val="none" w:sz="0" w:space="0" w:color="auto"/>
            <w:right w:val="none" w:sz="0" w:space="0" w:color="auto"/>
          </w:divBdr>
        </w:div>
        <w:div w:id="1348940777">
          <w:marLeft w:val="0"/>
          <w:marRight w:val="0"/>
          <w:marTop w:val="0"/>
          <w:marBottom w:val="0"/>
          <w:divBdr>
            <w:top w:val="none" w:sz="0" w:space="0" w:color="auto"/>
            <w:left w:val="none" w:sz="0" w:space="0" w:color="auto"/>
            <w:bottom w:val="none" w:sz="0" w:space="0" w:color="auto"/>
            <w:right w:val="none" w:sz="0" w:space="0" w:color="auto"/>
          </w:divBdr>
        </w:div>
        <w:div w:id="1361273200">
          <w:marLeft w:val="0"/>
          <w:marRight w:val="0"/>
          <w:marTop w:val="0"/>
          <w:marBottom w:val="0"/>
          <w:divBdr>
            <w:top w:val="none" w:sz="0" w:space="0" w:color="auto"/>
            <w:left w:val="none" w:sz="0" w:space="0" w:color="auto"/>
            <w:bottom w:val="none" w:sz="0" w:space="0" w:color="auto"/>
            <w:right w:val="none" w:sz="0" w:space="0" w:color="auto"/>
          </w:divBdr>
        </w:div>
        <w:div w:id="1370757902">
          <w:marLeft w:val="0"/>
          <w:marRight w:val="0"/>
          <w:marTop w:val="0"/>
          <w:marBottom w:val="0"/>
          <w:divBdr>
            <w:top w:val="none" w:sz="0" w:space="0" w:color="auto"/>
            <w:left w:val="none" w:sz="0" w:space="0" w:color="auto"/>
            <w:bottom w:val="none" w:sz="0" w:space="0" w:color="auto"/>
            <w:right w:val="none" w:sz="0" w:space="0" w:color="auto"/>
          </w:divBdr>
        </w:div>
        <w:div w:id="1374499523">
          <w:marLeft w:val="0"/>
          <w:marRight w:val="0"/>
          <w:marTop w:val="0"/>
          <w:marBottom w:val="0"/>
          <w:divBdr>
            <w:top w:val="none" w:sz="0" w:space="0" w:color="auto"/>
            <w:left w:val="none" w:sz="0" w:space="0" w:color="auto"/>
            <w:bottom w:val="none" w:sz="0" w:space="0" w:color="auto"/>
            <w:right w:val="none" w:sz="0" w:space="0" w:color="auto"/>
          </w:divBdr>
        </w:div>
        <w:div w:id="1376659245">
          <w:marLeft w:val="0"/>
          <w:marRight w:val="0"/>
          <w:marTop w:val="0"/>
          <w:marBottom w:val="0"/>
          <w:divBdr>
            <w:top w:val="none" w:sz="0" w:space="0" w:color="auto"/>
            <w:left w:val="none" w:sz="0" w:space="0" w:color="auto"/>
            <w:bottom w:val="none" w:sz="0" w:space="0" w:color="auto"/>
            <w:right w:val="none" w:sz="0" w:space="0" w:color="auto"/>
          </w:divBdr>
        </w:div>
        <w:div w:id="1418013004">
          <w:marLeft w:val="0"/>
          <w:marRight w:val="0"/>
          <w:marTop w:val="0"/>
          <w:marBottom w:val="0"/>
          <w:divBdr>
            <w:top w:val="none" w:sz="0" w:space="0" w:color="auto"/>
            <w:left w:val="none" w:sz="0" w:space="0" w:color="auto"/>
            <w:bottom w:val="none" w:sz="0" w:space="0" w:color="auto"/>
            <w:right w:val="none" w:sz="0" w:space="0" w:color="auto"/>
          </w:divBdr>
        </w:div>
        <w:div w:id="1426610199">
          <w:marLeft w:val="0"/>
          <w:marRight w:val="0"/>
          <w:marTop w:val="0"/>
          <w:marBottom w:val="0"/>
          <w:divBdr>
            <w:top w:val="none" w:sz="0" w:space="0" w:color="auto"/>
            <w:left w:val="none" w:sz="0" w:space="0" w:color="auto"/>
            <w:bottom w:val="none" w:sz="0" w:space="0" w:color="auto"/>
            <w:right w:val="none" w:sz="0" w:space="0" w:color="auto"/>
          </w:divBdr>
        </w:div>
        <w:div w:id="1439370664">
          <w:marLeft w:val="0"/>
          <w:marRight w:val="0"/>
          <w:marTop w:val="0"/>
          <w:marBottom w:val="0"/>
          <w:divBdr>
            <w:top w:val="none" w:sz="0" w:space="0" w:color="auto"/>
            <w:left w:val="none" w:sz="0" w:space="0" w:color="auto"/>
            <w:bottom w:val="none" w:sz="0" w:space="0" w:color="auto"/>
            <w:right w:val="none" w:sz="0" w:space="0" w:color="auto"/>
          </w:divBdr>
        </w:div>
        <w:div w:id="1447652782">
          <w:marLeft w:val="0"/>
          <w:marRight w:val="0"/>
          <w:marTop w:val="0"/>
          <w:marBottom w:val="0"/>
          <w:divBdr>
            <w:top w:val="none" w:sz="0" w:space="0" w:color="auto"/>
            <w:left w:val="none" w:sz="0" w:space="0" w:color="auto"/>
            <w:bottom w:val="none" w:sz="0" w:space="0" w:color="auto"/>
            <w:right w:val="none" w:sz="0" w:space="0" w:color="auto"/>
          </w:divBdr>
        </w:div>
        <w:div w:id="1460567937">
          <w:marLeft w:val="0"/>
          <w:marRight w:val="0"/>
          <w:marTop w:val="0"/>
          <w:marBottom w:val="0"/>
          <w:divBdr>
            <w:top w:val="none" w:sz="0" w:space="0" w:color="auto"/>
            <w:left w:val="none" w:sz="0" w:space="0" w:color="auto"/>
            <w:bottom w:val="none" w:sz="0" w:space="0" w:color="auto"/>
            <w:right w:val="none" w:sz="0" w:space="0" w:color="auto"/>
          </w:divBdr>
        </w:div>
        <w:div w:id="1469325690">
          <w:marLeft w:val="0"/>
          <w:marRight w:val="0"/>
          <w:marTop w:val="0"/>
          <w:marBottom w:val="0"/>
          <w:divBdr>
            <w:top w:val="none" w:sz="0" w:space="0" w:color="auto"/>
            <w:left w:val="none" w:sz="0" w:space="0" w:color="auto"/>
            <w:bottom w:val="none" w:sz="0" w:space="0" w:color="auto"/>
            <w:right w:val="none" w:sz="0" w:space="0" w:color="auto"/>
          </w:divBdr>
        </w:div>
        <w:div w:id="1472867218">
          <w:marLeft w:val="0"/>
          <w:marRight w:val="0"/>
          <w:marTop w:val="0"/>
          <w:marBottom w:val="0"/>
          <w:divBdr>
            <w:top w:val="none" w:sz="0" w:space="0" w:color="auto"/>
            <w:left w:val="none" w:sz="0" w:space="0" w:color="auto"/>
            <w:bottom w:val="none" w:sz="0" w:space="0" w:color="auto"/>
            <w:right w:val="none" w:sz="0" w:space="0" w:color="auto"/>
          </w:divBdr>
        </w:div>
        <w:div w:id="1485580426">
          <w:marLeft w:val="0"/>
          <w:marRight w:val="0"/>
          <w:marTop w:val="0"/>
          <w:marBottom w:val="0"/>
          <w:divBdr>
            <w:top w:val="none" w:sz="0" w:space="0" w:color="auto"/>
            <w:left w:val="none" w:sz="0" w:space="0" w:color="auto"/>
            <w:bottom w:val="none" w:sz="0" w:space="0" w:color="auto"/>
            <w:right w:val="none" w:sz="0" w:space="0" w:color="auto"/>
          </w:divBdr>
        </w:div>
        <w:div w:id="1485972349">
          <w:marLeft w:val="0"/>
          <w:marRight w:val="0"/>
          <w:marTop w:val="0"/>
          <w:marBottom w:val="0"/>
          <w:divBdr>
            <w:top w:val="none" w:sz="0" w:space="0" w:color="auto"/>
            <w:left w:val="none" w:sz="0" w:space="0" w:color="auto"/>
            <w:bottom w:val="none" w:sz="0" w:space="0" w:color="auto"/>
            <w:right w:val="none" w:sz="0" w:space="0" w:color="auto"/>
          </w:divBdr>
        </w:div>
        <w:div w:id="1494175626">
          <w:marLeft w:val="0"/>
          <w:marRight w:val="0"/>
          <w:marTop w:val="0"/>
          <w:marBottom w:val="0"/>
          <w:divBdr>
            <w:top w:val="none" w:sz="0" w:space="0" w:color="auto"/>
            <w:left w:val="none" w:sz="0" w:space="0" w:color="auto"/>
            <w:bottom w:val="none" w:sz="0" w:space="0" w:color="auto"/>
            <w:right w:val="none" w:sz="0" w:space="0" w:color="auto"/>
          </w:divBdr>
        </w:div>
        <w:div w:id="1495223565">
          <w:marLeft w:val="0"/>
          <w:marRight w:val="0"/>
          <w:marTop w:val="0"/>
          <w:marBottom w:val="0"/>
          <w:divBdr>
            <w:top w:val="none" w:sz="0" w:space="0" w:color="auto"/>
            <w:left w:val="none" w:sz="0" w:space="0" w:color="auto"/>
            <w:bottom w:val="none" w:sz="0" w:space="0" w:color="auto"/>
            <w:right w:val="none" w:sz="0" w:space="0" w:color="auto"/>
          </w:divBdr>
        </w:div>
        <w:div w:id="1500003500">
          <w:marLeft w:val="0"/>
          <w:marRight w:val="0"/>
          <w:marTop w:val="0"/>
          <w:marBottom w:val="0"/>
          <w:divBdr>
            <w:top w:val="none" w:sz="0" w:space="0" w:color="auto"/>
            <w:left w:val="none" w:sz="0" w:space="0" w:color="auto"/>
            <w:bottom w:val="none" w:sz="0" w:space="0" w:color="auto"/>
            <w:right w:val="none" w:sz="0" w:space="0" w:color="auto"/>
          </w:divBdr>
        </w:div>
        <w:div w:id="1501774224">
          <w:marLeft w:val="0"/>
          <w:marRight w:val="0"/>
          <w:marTop w:val="0"/>
          <w:marBottom w:val="0"/>
          <w:divBdr>
            <w:top w:val="none" w:sz="0" w:space="0" w:color="auto"/>
            <w:left w:val="none" w:sz="0" w:space="0" w:color="auto"/>
            <w:bottom w:val="none" w:sz="0" w:space="0" w:color="auto"/>
            <w:right w:val="none" w:sz="0" w:space="0" w:color="auto"/>
          </w:divBdr>
        </w:div>
        <w:div w:id="1506894488">
          <w:marLeft w:val="0"/>
          <w:marRight w:val="0"/>
          <w:marTop w:val="0"/>
          <w:marBottom w:val="0"/>
          <w:divBdr>
            <w:top w:val="none" w:sz="0" w:space="0" w:color="auto"/>
            <w:left w:val="none" w:sz="0" w:space="0" w:color="auto"/>
            <w:bottom w:val="none" w:sz="0" w:space="0" w:color="auto"/>
            <w:right w:val="none" w:sz="0" w:space="0" w:color="auto"/>
          </w:divBdr>
        </w:div>
        <w:div w:id="1511682367">
          <w:marLeft w:val="0"/>
          <w:marRight w:val="0"/>
          <w:marTop w:val="0"/>
          <w:marBottom w:val="0"/>
          <w:divBdr>
            <w:top w:val="none" w:sz="0" w:space="0" w:color="auto"/>
            <w:left w:val="none" w:sz="0" w:space="0" w:color="auto"/>
            <w:bottom w:val="none" w:sz="0" w:space="0" w:color="auto"/>
            <w:right w:val="none" w:sz="0" w:space="0" w:color="auto"/>
          </w:divBdr>
        </w:div>
        <w:div w:id="1513716647">
          <w:marLeft w:val="0"/>
          <w:marRight w:val="0"/>
          <w:marTop w:val="0"/>
          <w:marBottom w:val="0"/>
          <w:divBdr>
            <w:top w:val="none" w:sz="0" w:space="0" w:color="auto"/>
            <w:left w:val="none" w:sz="0" w:space="0" w:color="auto"/>
            <w:bottom w:val="none" w:sz="0" w:space="0" w:color="auto"/>
            <w:right w:val="none" w:sz="0" w:space="0" w:color="auto"/>
          </w:divBdr>
        </w:div>
        <w:div w:id="1539320243">
          <w:marLeft w:val="0"/>
          <w:marRight w:val="0"/>
          <w:marTop w:val="0"/>
          <w:marBottom w:val="0"/>
          <w:divBdr>
            <w:top w:val="none" w:sz="0" w:space="0" w:color="auto"/>
            <w:left w:val="none" w:sz="0" w:space="0" w:color="auto"/>
            <w:bottom w:val="none" w:sz="0" w:space="0" w:color="auto"/>
            <w:right w:val="none" w:sz="0" w:space="0" w:color="auto"/>
          </w:divBdr>
        </w:div>
        <w:div w:id="1542667718">
          <w:marLeft w:val="0"/>
          <w:marRight w:val="0"/>
          <w:marTop w:val="0"/>
          <w:marBottom w:val="0"/>
          <w:divBdr>
            <w:top w:val="none" w:sz="0" w:space="0" w:color="auto"/>
            <w:left w:val="none" w:sz="0" w:space="0" w:color="auto"/>
            <w:bottom w:val="none" w:sz="0" w:space="0" w:color="auto"/>
            <w:right w:val="none" w:sz="0" w:space="0" w:color="auto"/>
          </w:divBdr>
        </w:div>
        <w:div w:id="1543518301">
          <w:marLeft w:val="0"/>
          <w:marRight w:val="0"/>
          <w:marTop w:val="0"/>
          <w:marBottom w:val="0"/>
          <w:divBdr>
            <w:top w:val="none" w:sz="0" w:space="0" w:color="auto"/>
            <w:left w:val="none" w:sz="0" w:space="0" w:color="auto"/>
            <w:bottom w:val="none" w:sz="0" w:space="0" w:color="auto"/>
            <w:right w:val="none" w:sz="0" w:space="0" w:color="auto"/>
          </w:divBdr>
        </w:div>
        <w:div w:id="1555190134">
          <w:marLeft w:val="0"/>
          <w:marRight w:val="0"/>
          <w:marTop w:val="0"/>
          <w:marBottom w:val="0"/>
          <w:divBdr>
            <w:top w:val="none" w:sz="0" w:space="0" w:color="auto"/>
            <w:left w:val="none" w:sz="0" w:space="0" w:color="auto"/>
            <w:bottom w:val="none" w:sz="0" w:space="0" w:color="auto"/>
            <w:right w:val="none" w:sz="0" w:space="0" w:color="auto"/>
          </w:divBdr>
        </w:div>
        <w:div w:id="1578514545">
          <w:marLeft w:val="0"/>
          <w:marRight w:val="0"/>
          <w:marTop w:val="0"/>
          <w:marBottom w:val="0"/>
          <w:divBdr>
            <w:top w:val="none" w:sz="0" w:space="0" w:color="auto"/>
            <w:left w:val="none" w:sz="0" w:space="0" w:color="auto"/>
            <w:bottom w:val="none" w:sz="0" w:space="0" w:color="auto"/>
            <w:right w:val="none" w:sz="0" w:space="0" w:color="auto"/>
          </w:divBdr>
        </w:div>
        <w:div w:id="1580093608">
          <w:marLeft w:val="0"/>
          <w:marRight w:val="0"/>
          <w:marTop w:val="0"/>
          <w:marBottom w:val="0"/>
          <w:divBdr>
            <w:top w:val="none" w:sz="0" w:space="0" w:color="auto"/>
            <w:left w:val="none" w:sz="0" w:space="0" w:color="auto"/>
            <w:bottom w:val="none" w:sz="0" w:space="0" w:color="auto"/>
            <w:right w:val="none" w:sz="0" w:space="0" w:color="auto"/>
          </w:divBdr>
        </w:div>
        <w:div w:id="1591236614">
          <w:marLeft w:val="0"/>
          <w:marRight w:val="0"/>
          <w:marTop w:val="0"/>
          <w:marBottom w:val="0"/>
          <w:divBdr>
            <w:top w:val="none" w:sz="0" w:space="0" w:color="auto"/>
            <w:left w:val="none" w:sz="0" w:space="0" w:color="auto"/>
            <w:bottom w:val="none" w:sz="0" w:space="0" w:color="auto"/>
            <w:right w:val="none" w:sz="0" w:space="0" w:color="auto"/>
          </w:divBdr>
        </w:div>
        <w:div w:id="1599216383">
          <w:marLeft w:val="0"/>
          <w:marRight w:val="0"/>
          <w:marTop w:val="0"/>
          <w:marBottom w:val="0"/>
          <w:divBdr>
            <w:top w:val="none" w:sz="0" w:space="0" w:color="auto"/>
            <w:left w:val="none" w:sz="0" w:space="0" w:color="auto"/>
            <w:bottom w:val="none" w:sz="0" w:space="0" w:color="auto"/>
            <w:right w:val="none" w:sz="0" w:space="0" w:color="auto"/>
          </w:divBdr>
        </w:div>
        <w:div w:id="1609584907">
          <w:marLeft w:val="0"/>
          <w:marRight w:val="0"/>
          <w:marTop w:val="0"/>
          <w:marBottom w:val="0"/>
          <w:divBdr>
            <w:top w:val="none" w:sz="0" w:space="0" w:color="auto"/>
            <w:left w:val="none" w:sz="0" w:space="0" w:color="auto"/>
            <w:bottom w:val="none" w:sz="0" w:space="0" w:color="auto"/>
            <w:right w:val="none" w:sz="0" w:space="0" w:color="auto"/>
          </w:divBdr>
        </w:div>
        <w:div w:id="1628854129">
          <w:marLeft w:val="0"/>
          <w:marRight w:val="0"/>
          <w:marTop w:val="0"/>
          <w:marBottom w:val="0"/>
          <w:divBdr>
            <w:top w:val="none" w:sz="0" w:space="0" w:color="auto"/>
            <w:left w:val="none" w:sz="0" w:space="0" w:color="auto"/>
            <w:bottom w:val="none" w:sz="0" w:space="0" w:color="auto"/>
            <w:right w:val="none" w:sz="0" w:space="0" w:color="auto"/>
          </w:divBdr>
        </w:div>
        <w:div w:id="1633052039">
          <w:marLeft w:val="0"/>
          <w:marRight w:val="0"/>
          <w:marTop w:val="0"/>
          <w:marBottom w:val="0"/>
          <w:divBdr>
            <w:top w:val="none" w:sz="0" w:space="0" w:color="auto"/>
            <w:left w:val="none" w:sz="0" w:space="0" w:color="auto"/>
            <w:bottom w:val="none" w:sz="0" w:space="0" w:color="auto"/>
            <w:right w:val="none" w:sz="0" w:space="0" w:color="auto"/>
          </w:divBdr>
        </w:div>
        <w:div w:id="1655793140">
          <w:marLeft w:val="0"/>
          <w:marRight w:val="0"/>
          <w:marTop w:val="0"/>
          <w:marBottom w:val="0"/>
          <w:divBdr>
            <w:top w:val="none" w:sz="0" w:space="0" w:color="auto"/>
            <w:left w:val="none" w:sz="0" w:space="0" w:color="auto"/>
            <w:bottom w:val="none" w:sz="0" w:space="0" w:color="auto"/>
            <w:right w:val="none" w:sz="0" w:space="0" w:color="auto"/>
          </w:divBdr>
        </w:div>
        <w:div w:id="1660305414">
          <w:marLeft w:val="0"/>
          <w:marRight w:val="0"/>
          <w:marTop w:val="0"/>
          <w:marBottom w:val="0"/>
          <w:divBdr>
            <w:top w:val="none" w:sz="0" w:space="0" w:color="auto"/>
            <w:left w:val="none" w:sz="0" w:space="0" w:color="auto"/>
            <w:bottom w:val="none" w:sz="0" w:space="0" w:color="auto"/>
            <w:right w:val="none" w:sz="0" w:space="0" w:color="auto"/>
          </w:divBdr>
        </w:div>
        <w:div w:id="1662544786">
          <w:marLeft w:val="0"/>
          <w:marRight w:val="0"/>
          <w:marTop w:val="0"/>
          <w:marBottom w:val="0"/>
          <w:divBdr>
            <w:top w:val="none" w:sz="0" w:space="0" w:color="auto"/>
            <w:left w:val="none" w:sz="0" w:space="0" w:color="auto"/>
            <w:bottom w:val="none" w:sz="0" w:space="0" w:color="auto"/>
            <w:right w:val="none" w:sz="0" w:space="0" w:color="auto"/>
          </w:divBdr>
        </w:div>
        <w:div w:id="1662656451">
          <w:marLeft w:val="0"/>
          <w:marRight w:val="0"/>
          <w:marTop w:val="0"/>
          <w:marBottom w:val="0"/>
          <w:divBdr>
            <w:top w:val="none" w:sz="0" w:space="0" w:color="auto"/>
            <w:left w:val="none" w:sz="0" w:space="0" w:color="auto"/>
            <w:bottom w:val="none" w:sz="0" w:space="0" w:color="auto"/>
            <w:right w:val="none" w:sz="0" w:space="0" w:color="auto"/>
          </w:divBdr>
        </w:div>
        <w:div w:id="1662999972">
          <w:marLeft w:val="0"/>
          <w:marRight w:val="0"/>
          <w:marTop w:val="0"/>
          <w:marBottom w:val="0"/>
          <w:divBdr>
            <w:top w:val="none" w:sz="0" w:space="0" w:color="auto"/>
            <w:left w:val="none" w:sz="0" w:space="0" w:color="auto"/>
            <w:bottom w:val="none" w:sz="0" w:space="0" w:color="auto"/>
            <w:right w:val="none" w:sz="0" w:space="0" w:color="auto"/>
          </w:divBdr>
        </w:div>
        <w:div w:id="1679500549">
          <w:marLeft w:val="0"/>
          <w:marRight w:val="0"/>
          <w:marTop w:val="0"/>
          <w:marBottom w:val="0"/>
          <w:divBdr>
            <w:top w:val="none" w:sz="0" w:space="0" w:color="auto"/>
            <w:left w:val="none" w:sz="0" w:space="0" w:color="auto"/>
            <w:bottom w:val="none" w:sz="0" w:space="0" w:color="auto"/>
            <w:right w:val="none" w:sz="0" w:space="0" w:color="auto"/>
          </w:divBdr>
        </w:div>
        <w:div w:id="1702122248">
          <w:marLeft w:val="0"/>
          <w:marRight w:val="0"/>
          <w:marTop w:val="0"/>
          <w:marBottom w:val="0"/>
          <w:divBdr>
            <w:top w:val="none" w:sz="0" w:space="0" w:color="auto"/>
            <w:left w:val="none" w:sz="0" w:space="0" w:color="auto"/>
            <w:bottom w:val="none" w:sz="0" w:space="0" w:color="auto"/>
            <w:right w:val="none" w:sz="0" w:space="0" w:color="auto"/>
          </w:divBdr>
        </w:div>
        <w:div w:id="1702125361">
          <w:marLeft w:val="0"/>
          <w:marRight w:val="0"/>
          <w:marTop w:val="0"/>
          <w:marBottom w:val="0"/>
          <w:divBdr>
            <w:top w:val="none" w:sz="0" w:space="0" w:color="auto"/>
            <w:left w:val="none" w:sz="0" w:space="0" w:color="auto"/>
            <w:bottom w:val="none" w:sz="0" w:space="0" w:color="auto"/>
            <w:right w:val="none" w:sz="0" w:space="0" w:color="auto"/>
          </w:divBdr>
        </w:div>
        <w:div w:id="1702901893">
          <w:marLeft w:val="0"/>
          <w:marRight w:val="0"/>
          <w:marTop w:val="0"/>
          <w:marBottom w:val="0"/>
          <w:divBdr>
            <w:top w:val="none" w:sz="0" w:space="0" w:color="auto"/>
            <w:left w:val="none" w:sz="0" w:space="0" w:color="auto"/>
            <w:bottom w:val="none" w:sz="0" w:space="0" w:color="auto"/>
            <w:right w:val="none" w:sz="0" w:space="0" w:color="auto"/>
          </w:divBdr>
        </w:div>
        <w:div w:id="1703819075">
          <w:marLeft w:val="0"/>
          <w:marRight w:val="0"/>
          <w:marTop w:val="0"/>
          <w:marBottom w:val="0"/>
          <w:divBdr>
            <w:top w:val="none" w:sz="0" w:space="0" w:color="auto"/>
            <w:left w:val="none" w:sz="0" w:space="0" w:color="auto"/>
            <w:bottom w:val="none" w:sz="0" w:space="0" w:color="auto"/>
            <w:right w:val="none" w:sz="0" w:space="0" w:color="auto"/>
          </w:divBdr>
        </w:div>
        <w:div w:id="1709211039">
          <w:marLeft w:val="0"/>
          <w:marRight w:val="0"/>
          <w:marTop w:val="0"/>
          <w:marBottom w:val="0"/>
          <w:divBdr>
            <w:top w:val="none" w:sz="0" w:space="0" w:color="auto"/>
            <w:left w:val="none" w:sz="0" w:space="0" w:color="auto"/>
            <w:bottom w:val="none" w:sz="0" w:space="0" w:color="auto"/>
            <w:right w:val="none" w:sz="0" w:space="0" w:color="auto"/>
          </w:divBdr>
        </w:div>
        <w:div w:id="1709717060">
          <w:marLeft w:val="0"/>
          <w:marRight w:val="0"/>
          <w:marTop w:val="0"/>
          <w:marBottom w:val="0"/>
          <w:divBdr>
            <w:top w:val="none" w:sz="0" w:space="0" w:color="auto"/>
            <w:left w:val="none" w:sz="0" w:space="0" w:color="auto"/>
            <w:bottom w:val="none" w:sz="0" w:space="0" w:color="auto"/>
            <w:right w:val="none" w:sz="0" w:space="0" w:color="auto"/>
          </w:divBdr>
        </w:div>
        <w:div w:id="1714192255">
          <w:marLeft w:val="0"/>
          <w:marRight w:val="0"/>
          <w:marTop w:val="0"/>
          <w:marBottom w:val="0"/>
          <w:divBdr>
            <w:top w:val="none" w:sz="0" w:space="0" w:color="auto"/>
            <w:left w:val="none" w:sz="0" w:space="0" w:color="auto"/>
            <w:bottom w:val="none" w:sz="0" w:space="0" w:color="auto"/>
            <w:right w:val="none" w:sz="0" w:space="0" w:color="auto"/>
          </w:divBdr>
        </w:div>
        <w:div w:id="1716350449">
          <w:marLeft w:val="0"/>
          <w:marRight w:val="0"/>
          <w:marTop w:val="0"/>
          <w:marBottom w:val="0"/>
          <w:divBdr>
            <w:top w:val="none" w:sz="0" w:space="0" w:color="auto"/>
            <w:left w:val="none" w:sz="0" w:space="0" w:color="auto"/>
            <w:bottom w:val="none" w:sz="0" w:space="0" w:color="auto"/>
            <w:right w:val="none" w:sz="0" w:space="0" w:color="auto"/>
          </w:divBdr>
        </w:div>
        <w:div w:id="1723669985">
          <w:marLeft w:val="0"/>
          <w:marRight w:val="0"/>
          <w:marTop w:val="0"/>
          <w:marBottom w:val="0"/>
          <w:divBdr>
            <w:top w:val="none" w:sz="0" w:space="0" w:color="auto"/>
            <w:left w:val="none" w:sz="0" w:space="0" w:color="auto"/>
            <w:bottom w:val="none" w:sz="0" w:space="0" w:color="auto"/>
            <w:right w:val="none" w:sz="0" w:space="0" w:color="auto"/>
          </w:divBdr>
        </w:div>
        <w:div w:id="1731268540">
          <w:marLeft w:val="0"/>
          <w:marRight w:val="0"/>
          <w:marTop w:val="0"/>
          <w:marBottom w:val="0"/>
          <w:divBdr>
            <w:top w:val="none" w:sz="0" w:space="0" w:color="auto"/>
            <w:left w:val="none" w:sz="0" w:space="0" w:color="auto"/>
            <w:bottom w:val="none" w:sz="0" w:space="0" w:color="auto"/>
            <w:right w:val="none" w:sz="0" w:space="0" w:color="auto"/>
          </w:divBdr>
        </w:div>
        <w:div w:id="1743864806">
          <w:marLeft w:val="0"/>
          <w:marRight w:val="0"/>
          <w:marTop w:val="0"/>
          <w:marBottom w:val="0"/>
          <w:divBdr>
            <w:top w:val="none" w:sz="0" w:space="0" w:color="auto"/>
            <w:left w:val="none" w:sz="0" w:space="0" w:color="auto"/>
            <w:bottom w:val="none" w:sz="0" w:space="0" w:color="auto"/>
            <w:right w:val="none" w:sz="0" w:space="0" w:color="auto"/>
          </w:divBdr>
        </w:div>
        <w:div w:id="1747796951">
          <w:marLeft w:val="0"/>
          <w:marRight w:val="0"/>
          <w:marTop w:val="0"/>
          <w:marBottom w:val="0"/>
          <w:divBdr>
            <w:top w:val="none" w:sz="0" w:space="0" w:color="auto"/>
            <w:left w:val="none" w:sz="0" w:space="0" w:color="auto"/>
            <w:bottom w:val="none" w:sz="0" w:space="0" w:color="auto"/>
            <w:right w:val="none" w:sz="0" w:space="0" w:color="auto"/>
          </w:divBdr>
        </w:div>
        <w:div w:id="1757625631">
          <w:marLeft w:val="0"/>
          <w:marRight w:val="0"/>
          <w:marTop w:val="0"/>
          <w:marBottom w:val="0"/>
          <w:divBdr>
            <w:top w:val="none" w:sz="0" w:space="0" w:color="auto"/>
            <w:left w:val="none" w:sz="0" w:space="0" w:color="auto"/>
            <w:bottom w:val="none" w:sz="0" w:space="0" w:color="auto"/>
            <w:right w:val="none" w:sz="0" w:space="0" w:color="auto"/>
          </w:divBdr>
        </w:div>
        <w:div w:id="1763719712">
          <w:marLeft w:val="0"/>
          <w:marRight w:val="0"/>
          <w:marTop w:val="0"/>
          <w:marBottom w:val="0"/>
          <w:divBdr>
            <w:top w:val="none" w:sz="0" w:space="0" w:color="auto"/>
            <w:left w:val="none" w:sz="0" w:space="0" w:color="auto"/>
            <w:bottom w:val="none" w:sz="0" w:space="0" w:color="auto"/>
            <w:right w:val="none" w:sz="0" w:space="0" w:color="auto"/>
          </w:divBdr>
        </w:div>
        <w:div w:id="1769811637">
          <w:marLeft w:val="0"/>
          <w:marRight w:val="0"/>
          <w:marTop w:val="0"/>
          <w:marBottom w:val="0"/>
          <w:divBdr>
            <w:top w:val="none" w:sz="0" w:space="0" w:color="auto"/>
            <w:left w:val="none" w:sz="0" w:space="0" w:color="auto"/>
            <w:bottom w:val="none" w:sz="0" w:space="0" w:color="auto"/>
            <w:right w:val="none" w:sz="0" w:space="0" w:color="auto"/>
          </w:divBdr>
        </w:div>
        <w:div w:id="1781759128">
          <w:marLeft w:val="0"/>
          <w:marRight w:val="0"/>
          <w:marTop w:val="0"/>
          <w:marBottom w:val="0"/>
          <w:divBdr>
            <w:top w:val="none" w:sz="0" w:space="0" w:color="auto"/>
            <w:left w:val="none" w:sz="0" w:space="0" w:color="auto"/>
            <w:bottom w:val="none" w:sz="0" w:space="0" w:color="auto"/>
            <w:right w:val="none" w:sz="0" w:space="0" w:color="auto"/>
          </w:divBdr>
        </w:div>
        <w:div w:id="1782333129">
          <w:marLeft w:val="0"/>
          <w:marRight w:val="0"/>
          <w:marTop w:val="0"/>
          <w:marBottom w:val="0"/>
          <w:divBdr>
            <w:top w:val="none" w:sz="0" w:space="0" w:color="auto"/>
            <w:left w:val="none" w:sz="0" w:space="0" w:color="auto"/>
            <w:bottom w:val="none" w:sz="0" w:space="0" w:color="auto"/>
            <w:right w:val="none" w:sz="0" w:space="0" w:color="auto"/>
          </w:divBdr>
        </w:div>
        <w:div w:id="1783911314">
          <w:marLeft w:val="0"/>
          <w:marRight w:val="0"/>
          <w:marTop w:val="0"/>
          <w:marBottom w:val="0"/>
          <w:divBdr>
            <w:top w:val="none" w:sz="0" w:space="0" w:color="auto"/>
            <w:left w:val="none" w:sz="0" w:space="0" w:color="auto"/>
            <w:bottom w:val="none" w:sz="0" w:space="0" w:color="auto"/>
            <w:right w:val="none" w:sz="0" w:space="0" w:color="auto"/>
          </w:divBdr>
        </w:div>
        <w:div w:id="1793788180">
          <w:marLeft w:val="0"/>
          <w:marRight w:val="0"/>
          <w:marTop w:val="0"/>
          <w:marBottom w:val="0"/>
          <w:divBdr>
            <w:top w:val="none" w:sz="0" w:space="0" w:color="auto"/>
            <w:left w:val="none" w:sz="0" w:space="0" w:color="auto"/>
            <w:bottom w:val="none" w:sz="0" w:space="0" w:color="auto"/>
            <w:right w:val="none" w:sz="0" w:space="0" w:color="auto"/>
          </w:divBdr>
        </w:div>
        <w:div w:id="1795561905">
          <w:marLeft w:val="0"/>
          <w:marRight w:val="0"/>
          <w:marTop w:val="0"/>
          <w:marBottom w:val="0"/>
          <w:divBdr>
            <w:top w:val="none" w:sz="0" w:space="0" w:color="auto"/>
            <w:left w:val="none" w:sz="0" w:space="0" w:color="auto"/>
            <w:bottom w:val="none" w:sz="0" w:space="0" w:color="auto"/>
            <w:right w:val="none" w:sz="0" w:space="0" w:color="auto"/>
          </w:divBdr>
        </w:div>
        <w:div w:id="1795981081">
          <w:marLeft w:val="0"/>
          <w:marRight w:val="0"/>
          <w:marTop w:val="0"/>
          <w:marBottom w:val="0"/>
          <w:divBdr>
            <w:top w:val="none" w:sz="0" w:space="0" w:color="auto"/>
            <w:left w:val="none" w:sz="0" w:space="0" w:color="auto"/>
            <w:bottom w:val="none" w:sz="0" w:space="0" w:color="auto"/>
            <w:right w:val="none" w:sz="0" w:space="0" w:color="auto"/>
          </w:divBdr>
        </w:div>
        <w:div w:id="1838956317">
          <w:marLeft w:val="0"/>
          <w:marRight w:val="0"/>
          <w:marTop w:val="0"/>
          <w:marBottom w:val="0"/>
          <w:divBdr>
            <w:top w:val="none" w:sz="0" w:space="0" w:color="auto"/>
            <w:left w:val="none" w:sz="0" w:space="0" w:color="auto"/>
            <w:bottom w:val="none" w:sz="0" w:space="0" w:color="auto"/>
            <w:right w:val="none" w:sz="0" w:space="0" w:color="auto"/>
          </w:divBdr>
        </w:div>
        <w:div w:id="1843661400">
          <w:marLeft w:val="0"/>
          <w:marRight w:val="0"/>
          <w:marTop w:val="0"/>
          <w:marBottom w:val="0"/>
          <w:divBdr>
            <w:top w:val="none" w:sz="0" w:space="0" w:color="auto"/>
            <w:left w:val="none" w:sz="0" w:space="0" w:color="auto"/>
            <w:bottom w:val="none" w:sz="0" w:space="0" w:color="auto"/>
            <w:right w:val="none" w:sz="0" w:space="0" w:color="auto"/>
          </w:divBdr>
        </w:div>
        <w:div w:id="1854415601">
          <w:marLeft w:val="0"/>
          <w:marRight w:val="0"/>
          <w:marTop w:val="0"/>
          <w:marBottom w:val="0"/>
          <w:divBdr>
            <w:top w:val="none" w:sz="0" w:space="0" w:color="auto"/>
            <w:left w:val="none" w:sz="0" w:space="0" w:color="auto"/>
            <w:bottom w:val="none" w:sz="0" w:space="0" w:color="auto"/>
            <w:right w:val="none" w:sz="0" w:space="0" w:color="auto"/>
          </w:divBdr>
        </w:div>
        <w:div w:id="1880824210">
          <w:marLeft w:val="0"/>
          <w:marRight w:val="0"/>
          <w:marTop w:val="0"/>
          <w:marBottom w:val="0"/>
          <w:divBdr>
            <w:top w:val="none" w:sz="0" w:space="0" w:color="auto"/>
            <w:left w:val="none" w:sz="0" w:space="0" w:color="auto"/>
            <w:bottom w:val="none" w:sz="0" w:space="0" w:color="auto"/>
            <w:right w:val="none" w:sz="0" w:space="0" w:color="auto"/>
          </w:divBdr>
        </w:div>
        <w:div w:id="1890914180">
          <w:marLeft w:val="0"/>
          <w:marRight w:val="0"/>
          <w:marTop w:val="0"/>
          <w:marBottom w:val="0"/>
          <w:divBdr>
            <w:top w:val="none" w:sz="0" w:space="0" w:color="auto"/>
            <w:left w:val="none" w:sz="0" w:space="0" w:color="auto"/>
            <w:bottom w:val="none" w:sz="0" w:space="0" w:color="auto"/>
            <w:right w:val="none" w:sz="0" w:space="0" w:color="auto"/>
          </w:divBdr>
        </w:div>
        <w:div w:id="1916088838">
          <w:marLeft w:val="0"/>
          <w:marRight w:val="0"/>
          <w:marTop w:val="0"/>
          <w:marBottom w:val="0"/>
          <w:divBdr>
            <w:top w:val="none" w:sz="0" w:space="0" w:color="auto"/>
            <w:left w:val="none" w:sz="0" w:space="0" w:color="auto"/>
            <w:bottom w:val="none" w:sz="0" w:space="0" w:color="auto"/>
            <w:right w:val="none" w:sz="0" w:space="0" w:color="auto"/>
          </w:divBdr>
        </w:div>
        <w:div w:id="1929004050">
          <w:marLeft w:val="0"/>
          <w:marRight w:val="0"/>
          <w:marTop w:val="0"/>
          <w:marBottom w:val="0"/>
          <w:divBdr>
            <w:top w:val="none" w:sz="0" w:space="0" w:color="auto"/>
            <w:left w:val="none" w:sz="0" w:space="0" w:color="auto"/>
            <w:bottom w:val="none" w:sz="0" w:space="0" w:color="auto"/>
            <w:right w:val="none" w:sz="0" w:space="0" w:color="auto"/>
          </w:divBdr>
        </w:div>
        <w:div w:id="1966109102">
          <w:marLeft w:val="0"/>
          <w:marRight w:val="0"/>
          <w:marTop w:val="0"/>
          <w:marBottom w:val="0"/>
          <w:divBdr>
            <w:top w:val="none" w:sz="0" w:space="0" w:color="auto"/>
            <w:left w:val="none" w:sz="0" w:space="0" w:color="auto"/>
            <w:bottom w:val="none" w:sz="0" w:space="0" w:color="auto"/>
            <w:right w:val="none" w:sz="0" w:space="0" w:color="auto"/>
          </w:divBdr>
        </w:div>
        <w:div w:id="1966351273">
          <w:marLeft w:val="0"/>
          <w:marRight w:val="0"/>
          <w:marTop w:val="0"/>
          <w:marBottom w:val="0"/>
          <w:divBdr>
            <w:top w:val="none" w:sz="0" w:space="0" w:color="auto"/>
            <w:left w:val="none" w:sz="0" w:space="0" w:color="auto"/>
            <w:bottom w:val="none" w:sz="0" w:space="0" w:color="auto"/>
            <w:right w:val="none" w:sz="0" w:space="0" w:color="auto"/>
          </w:divBdr>
        </w:div>
        <w:div w:id="1969777469">
          <w:marLeft w:val="0"/>
          <w:marRight w:val="0"/>
          <w:marTop w:val="0"/>
          <w:marBottom w:val="0"/>
          <w:divBdr>
            <w:top w:val="none" w:sz="0" w:space="0" w:color="auto"/>
            <w:left w:val="none" w:sz="0" w:space="0" w:color="auto"/>
            <w:bottom w:val="none" w:sz="0" w:space="0" w:color="auto"/>
            <w:right w:val="none" w:sz="0" w:space="0" w:color="auto"/>
          </w:divBdr>
        </w:div>
        <w:div w:id="1974872459">
          <w:marLeft w:val="0"/>
          <w:marRight w:val="0"/>
          <w:marTop w:val="0"/>
          <w:marBottom w:val="0"/>
          <w:divBdr>
            <w:top w:val="none" w:sz="0" w:space="0" w:color="auto"/>
            <w:left w:val="none" w:sz="0" w:space="0" w:color="auto"/>
            <w:bottom w:val="none" w:sz="0" w:space="0" w:color="auto"/>
            <w:right w:val="none" w:sz="0" w:space="0" w:color="auto"/>
          </w:divBdr>
        </w:div>
        <w:div w:id="1987466133">
          <w:marLeft w:val="0"/>
          <w:marRight w:val="0"/>
          <w:marTop w:val="0"/>
          <w:marBottom w:val="0"/>
          <w:divBdr>
            <w:top w:val="none" w:sz="0" w:space="0" w:color="auto"/>
            <w:left w:val="none" w:sz="0" w:space="0" w:color="auto"/>
            <w:bottom w:val="none" w:sz="0" w:space="0" w:color="auto"/>
            <w:right w:val="none" w:sz="0" w:space="0" w:color="auto"/>
          </w:divBdr>
        </w:div>
        <w:div w:id="1988970019">
          <w:marLeft w:val="0"/>
          <w:marRight w:val="0"/>
          <w:marTop w:val="0"/>
          <w:marBottom w:val="0"/>
          <w:divBdr>
            <w:top w:val="none" w:sz="0" w:space="0" w:color="auto"/>
            <w:left w:val="none" w:sz="0" w:space="0" w:color="auto"/>
            <w:bottom w:val="none" w:sz="0" w:space="0" w:color="auto"/>
            <w:right w:val="none" w:sz="0" w:space="0" w:color="auto"/>
          </w:divBdr>
        </w:div>
        <w:div w:id="2005237029">
          <w:marLeft w:val="0"/>
          <w:marRight w:val="0"/>
          <w:marTop w:val="0"/>
          <w:marBottom w:val="0"/>
          <w:divBdr>
            <w:top w:val="none" w:sz="0" w:space="0" w:color="auto"/>
            <w:left w:val="none" w:sz="0" w:space="0" w:color="auto"/>
            <w:bottom w:val="none" w:sz="0" w:space="0" w:color="auto"/>
            <w:right w:val="none" w:sz="0" w:space="0" w:color="auto"/>
          </w:divBdr>
        </w:div>
        <w:div w:id="2011983279">
          <w:marLeft w:val="0"/>
          <w:marRight w:val="0"/>
          <w:marTop w:val="0"/>
          <w:marBottom w:val="0"/>
          <w:divBdr>
            <w:top w:val="none" w:sz="0" w:space="0" w:color="auto"/>
            <w:left w:val="none" w:sz="0" w:space="0" w:color="auto"/>
            <w:bottom w:val="none" w:sz="0" w:space="0" w:color="auto"/>
            <w:right w:val="none" w:sz="0" w:space="0" w:color="auto"/>
          </w:divBdr>
        </w:div>
        <w:div w:id="2027977293">
          <w:marLeft w:val="0"/>
          <w:marRight w:val="0"/>
          <w:marTop w:val="0"/>
          <w:marBottom w:val="0"/>
          <w:divBdr>
            <w:top w:val="none" w:sz="0" w:space="0" w:color="auto"/>
            <w:left w:val="none" w:sz="0" w:space="0" w:color="auto"/>
            <w:bottom w:val="none" w:sz="0" w:space="0" w:color="auto"/>
            <w:right w:val="none" w:sz="0" w:space="0" w:color="auto"/>
          </w:divBdr>
        </w:div>
        <w:div w:id="2032802843">
          <w:marLeft w:val="0"/>
          <w:marRight w:val="0"/>
          <w:marTop w:val="0"/>
          <w:marBottom w:val="0"/>
          <w:divBdr>
            <w:top w:val="none" w:sz="0" w:space="0" w:color="auto"/>
            <w:left w:val="none" w:sz="0" w:space="0" w:color="auto"/>
            <w:bottom w:val="none" w:sz="0" w:space="0" w:color="auto"/>
            <w:right w:val="none" w:sz="0" w:space="0" w:color="auto"/>
          </w:divBdr>
        </w:div>
        <w:div w:id="2050565868">
          <w:marLeft w:val="0"/>
          <w:marRight w:val="0"/>
          <w:marTop w:val="0"/>
          <w:marBottom w:val="0"/>
          <w:divBdr>
            <w:top w:val="none" w:sz="0" w:space="0" w:color="auto"/>
            <w:left w:val="none" w:sz="0" w:space="0" w:color="auto"/>
            <w:bottom w:val="none" w:sz="0" w:space="0" w:color="auto"/>
            <w:right w:val="none" w:sz="0" w:space="0" w:color="auto"/>
          </w:divBdr>
        </w:div>
        <w:div w:id="2051831343">
          <w:marLeft w:val="0"/>
          <w:marRight w:val="0"/>
          <w:marTop w:val="0"/>
          <w:marBottom w:val="0"/>
          <w:divBdr>
            <w:top w:val="none" w:sz="0" w:space="0" w:color="auto"/>
            <w:left w:val="none" w:sz="0" w:space="0" w:color="auto"/>
            <w:bottom w:val="none" w:sz="0" w:space="0" w:color="auto"/>
            <w:right w:val="none" w:sz="0" w:space="0" w:color="auto"/>
          </w:divBdr>
        </w:div>
        <w:div w:id="2053577206">
          <w:marLeft w:val="0"/>
          <w:marRight w:val="0"/>
          <w:marTop w:val="0"/>
          <w:marBottom w:val="0"/>
          <w:divBdr>
            <w:top w:val="none" w:sz="0" w:space="0" w:color="auto"/>
            <w:left w:val="none" w:sz="0" w:space="0" w:color="auto"/>
            <w:bottom w:val="none" w:sz="0" w:space="0" w:color="auto"/>
            <w:right w:val="none" w:sz="0" w:space="0" w:color="auto"/>
          </w:divBdr>
        </w:div>
        <w:div w:id="2054960072">
          <w:marLeft w:val="0"/>
          <w:marRight w:val="0"/>
          <w:marTop w:val="0"/>
          <w:marBottom w:val="0"/>
          <w:divBdr>
            <w:top w:val="none" w:sz="0" w:space="0" w:color="auto"/>
            <w:left w:val="none" w:sz="0" w:space="0" w:color="auto"/>
            <w:bottom w:val="none" w:sz="0" w:space="0" w:color="auto"/>
            <w:right w:val="none" w:sz="0" w:space="0" w:color="auto"/>
          </w:divBdr>
        </w:div>
        <w:div w:id="2055231398">
          <w:marLeft w:val="0"/>
          <w:marRight w:val="0"/>
          <w:marTop w:val="0"/>
          <w:marBottom w:val="0"/>
          <w:divBdr>
            <w:top w:val="none" w:sz="0" w:space="0" w:color="auto"/>
            <w:left w:val="none" w:sz="0" w:space="0" w:color="auto"/>
            <w:bottom w:val="none" w:sz="0" w:space="0" w:color="auto"/>
            <w:right w:val="none" w:sz="0" w:space="0" w:color="auto"/>
          </w:divBdr>
        </w:div>
        <w:div w:id="2071035899">
          <w:marLeft w:val="0"/>
          <w:marRight w:val="0"/>
          <w:marTop w:val="0"/>
          <w:marBottom w:val="0"/>
          <w:divBdr>
            <w:top w:val="none" w:sz="0" w:space="0" w:color="auto"/>
            <w:left w:val="none" w:sz="0" w:space="0" w:color="auto"/>
            <w:bottom w:val="none" w:sz="0" w:space="0" w:color="auto"/>
            <w:right w:val="none" w:sz="0" w:space="0" w:color="auto"/>
          </w:divBdr>
        </w:div>
        <w:div w:id="2086492703">
          <w:marLeft w:val="0"/>
          <w:marRight w:val="0"/>
          <w:marTop w:val="0"/>
          <w:marBottom w:val="0"/>
          <w:divBdr>
            <w:top w:val="none" w:sz="0" w:space="0" w:color="auto"/>
            <w:left w:val="none" w:sz="0" w:space="0" w:color="auto"/>
            <w:bottom w:val="none" w:sz="0" w:space="0" w:color="auto"/>
            <w:right w:val="none" w:sz="0" w:space="0" w:color="auto"/>
          </w:divBdr>
        </w:div>
        <w:div w:id="2087457428">
          <w:marLeft w:val="0"/>
          <w:marRight w:val="0"/>
          <w:marTop w:val="0"/>
          <w:marBottom w:val="0"/>
          <w:divBdr>
            <w:top w:val="none" w:sz="0" w:space="0" w:color="auto"/>
            <w:left w:val="none" w:sz="0" w:space="0" w:color="auto"/>
            <w:bottom w:val="none" w:sz="0" w:space="0" w:color="auto"/>
            <w:right w:val="none" w:sz="0" w:space="0" w:color="auto"/>
          </w:divBdr>
        </w:div>
        <w:div w:id="2096172753">
          <w:marLeft w:val="0"/>
          <w:marRight w:val="0"/>
          <w:marTop w:val="0"/>
          <w:marBottom w:val="0"/>
          <w:divBdr>
            <w:top w:val="none" w:sz="0" w:space="0" w:color="auto"/>
            <w:left w:val="none" w:sz="0" w:space="0" w:color="auto"/>
            <w:bottom w:val="none" w:sz="0" w:space="0" w:color="auto"/>
            <w:right w:val="none" w:sz="0" w:space="0" w:color="auto"/>
          </w:divBdr>
        </w:div>
        <w:div w:id="2102333477">
          <w:marLeft w:val="0"/>
          <w:marRight w:val="0"/>
          <w:marTop w:val="0"/>
          <w:marBottom w:val="0"/>
          <w:divBdr>
            <w:top w:val="none" w:sz="0" w:space="0" w:color="auto"/>
            <w:left w:val="none" w:sz="0" w:space="0" w:color="auto"/>
            <w:bottom w:val="none" w:sz="0" w:space="0" w:color="auto"/>
            <w:right w:val="none" w:sz="0" w:space="0" w:color="auto"/>
          </w:divBdr>
        </w:div>
        <w:div w:id="2114399123">
          <w:marLeft w:val="0"/>
          <w:marRight w:val="0"/>
          <w:marTop w:val="0"/>
          <w:marBottom w:val="0"/>
          <w:divBdr>
            <w:top w:val="none" w:sz="0" w:space="0" w:color="auto"/>
            <w:left w:val="none" w:sz="0" w:space="0" w:color="auto"/>
            <w:bottom w:val="none" w:sz="0" w:space="0" w:color="auto"/>
            <w:right w:val="none" w:sz="0" w:space="0" w:color="auto"/>
          </w:divBdr>
        </w:div>
        <w:div w:id="2124107577">
          <w:marLeft w:val="0"/>
          <w:marRight w:val="0"/>
          <w:marTop w:val="0"/>
          <w:marBottom w:val="0"/>
          <w:divBdr>
            <w:top w:val="none" w:sz="0" w:space="0" w:color="auto"/>
            <w:left w:val="none" w:sz="0" w:space="0" w:color="auto"/>
            <w:bottom w:val="none" w:sz="0" w:space="0" w:color="auto"/>
            <w:right w:val="none" w:sz="0" w:space="0" w:color="auto"/>
          </w:divBdr>
        </w:div>
        <w:div w:id="2135637969">
          <w:marLeft w:val="0"/>
          <w:marRight w:val="0"/>
          <w:marTop w:val="0"/>
          <w:marBottom w:val="0"/>
          <w:divBdr>
            <w:top w:val="none" w:sz="0" w:space="0" w:color="auto"/>
            <w:left w:val="none" w:sz="0" w:space="0" w:color="auto"/>
            <w:bottom w:val="none" w:sz="0" w:space="0" w:color="auto"/>
            <w:right w:val="none" w:sz="0" w:space="0" w:color="auto"/>
          </w:divBdr>
        </w:div>
        <w:div w:id="2136099314">
          <w:marLeft w:val="0"/>
          <w:marRight w:val="0"/>
          <w:marTop w:val="0"/>
          <w:marBottom w:val="0"/>
          <w:divBdr>
            <w:top w:val="none" w:sz="0" w:space="0" w:color="auto"/>
            <w:left w:val="none" w:sz="0" w:space="0" w:color="auto"/>
            <w:bottom w:val="none" w:sz="0" w:space="0" w:color="auto"/>
            <w:right w:val="none" w:sz="0" w:space="0" w:color="auto"/>
          </w:divBdr>
        </w:div>
        <w:div w:id="2147117169">
          <w:marLeft w:val="0"/>
          <w:marRight w:val="0"/>
          <w:marTop w:val="0"/>
          <w:marBottom w:val="0"/>
          <w:divBdr>
            <w:top w:val="none" w:sz="0" w:space="0" w:color="auto"/>
            <w:left w:val="none" w:sz="0" w:space="0" w:color="auto"/>
            <w:bottom w:val="none" w:sz="0" w:space="0" w:color="auto"/>
            <w:right w:val="none" w:sz="0" w:space="0" w:color="auto"/>
          </w:divBdr>
        </w:div>
      </w:divsChild>
    </w:div>
    <w:div w:id="854616128">
      <w:bodyDiv w:val="1"/>
      <w:marLeft w:val="0"/>
      <w:marRight w:val="0"/>
      <w:marTop w:val="0"/>
      <w:marBottom w:val="0"/>
      <w:divBdr>
        <w:top w:val="none" w:sz="0" w:space="0" w:color="auto"/>
        <w:left w:val="none" w:sz="0" w:space="0" w:color="auto"/>
        <w:bottom w:val="none" w:sz="0" w:space="0" w:color="auto"/>
        <w:right w:val="none" w:sz="0" w:space="0" w:color="auto"/>
      </w:divBdr>
    </w:div>
    <w:div w:id="903221613">
      <w:bodyDiv w:val="1"/>
      <w:marLeft w:val="0"/>
      <w:marRight w:val="0"/>
      <w:marTop w:val="0"/>
      <w:marBottom w:val="0"/>
      <w:divBdr>
        <w:top w:val="none" w:sz="0" w:space="0" w:color="auto"/>
        <w:left w:val="none" w:sz="0" w:space="0" w:color="auto"/>
        <w:bottom w:val="none" w:sz="0" w:space="0" w:color="auto"/>
        <w:right w:val="none" w:sz="0" w:space="0" w:color="auto"/>
      </w:divBdr>
    </w:div>
    <w:div w:id="910774083">
      <w:bodyDiv w:val="1"/>
      <w:marLeft w:val="0"/>
      <w:marRight w:val="0"/>
      <w:marTop w:val="0"/>
      <w:marBottom w:val="0"/>
      <w:divBdr>
        <w:top w:val="none" w:sz="0" w:space="0" w:color="auto"/>
        <w:left w:val="none" w:sz="0" w:space="0" w:color="auto"/>
        <w:bottom w:val="none" w:sz="0" w:space="0" w:color="auto"/>
        <w:right w:val="none" w:sz="0" w:space="0" w:color="auto"/>
      </w:divBdr>
    </w:div>
    <w:div w:id="934903093">
      <w:bodyDiv w:val="1"/>
      <w:marLeft w:val="0"/>
      <w:marRight w:val="0"/>
      <w:marTop w:val="0"/>
      <w:marBottom w:val="0"/>
      <w:divBdr>
        <w:top w:val="none" w:sz="0" w:space="0" w:color="auto"/>
        <w:left w:val="none" w:sz="0" w:space="0" w:color="auto"/>
        <w:bottom w:val="none" w:sz="0" w:space="0" w:color="auto"/>
        <w:right w:val="none" w:sz="0" w:space="0" w:color="auto"/>
      </w:divBdr>
    </w:div>
    <w:div w:id="1014654513">
      <w:bodyDiv w:val="1"/>
      <w:marLeft w:val="0"/>
      <w:marRight w:val="0"/>
      <w:marTop w:val="0"/>
      <w:marBottom w:val="0"/>
      <w:divBdr>
        <w:top w:val="none" w:sz="0" w:space="0" w:color="auto"/>
        <w:left w:val="none" w:sz="0" w:space="0" w:color="auto"/>
        <w:bottom w:val="none" w:sz="0" w:space="0" w:color="auto"/>
        <w:right w:val="none" w:sz="0" w:space="0" w:color="auto"/>
      </w:divBdr>
      <w:divsChild>
        <w:div w:id="237205635">
          <w:marLeft w:val="0"/>
          <w:marRight w:val="0"/>
          <w:marTop w:val="0"/>
          <w:marBottom w:val="0"/>
          <w:divBdr>
            <w:top w:val="none" w:sz="0" w:space="0" w:color="auto"/>
            <w:left w:val="none" w:sz="0" w:space="0" w:color="auto"/>
            <w:bottom w:val="none" w:sz="0" w:space="0" w:color="auto"/>
            <w:right w:val="none" w:sz="0" w:space="0" w:color="auto"/>
          </w:divBdr>
        </w:div>
        <w:div w:id="998844734">
          <w:marLeft w:val="0"/>
          <w:marRight w:val="0"/>
          <w:marTop w:val="0"/>
          <w:marBottom w:val="0"/>
          <w:divBdr>
            <w:top w:val="none" w:sz="0" w:space="0" w:color="auto"/>
            <w:left w:val="none" w:sz="0" w:space="0" w:color="auto"/>
            <w:bottom w:val="none" w:sz="0" w:space="0" w:color="auto"/>
            <w:right w:val="none" w:sz="0" w:space="0" w:color="auto"/>
          </w:divBdr>
        </w:div>
        <w:div w:id="1661735338">
          <w:marLeft w:val="0"/>
          <w:marRight w:val="0"/>
          <w:marTop w:val="0"/>
          <w:marBottom w:val="0"/>
          <w:divBdr>
            <w:top w:val="none" w:sz="0" w:space="0" w:color="auto"/>
            <w:left w:val="none" w:sz="0" w:space="0" w:color="auto"/>
            <w:bottom w:val="none" w:sz="0" w:space="0" w:color="auto"/>
            <w:right w:val="none" w:sz="0" w:space="0" w:color="auto"/>
          </w:divBdr>
        </w:div>
      </w:divsChild>
    </w:div>
    <w:div w:id="1053119507">
      <w:bodyDiv w:val="1"/>
      <w:marLeft w:val="0"/>
      <w:marRight w:val="0"/>
      <w:marTop w:val="0"/>
      <w:marBottom w:val="0"/>
      <w:divBdr>
        <w:top w:val="none" w:sz="0" w:space="0" w:color="auto"/>
        <w:left w:val="none" w:sz="0" w:space="0" w:color="auto"/>
        <w:bottom w:val="none" w:sz="0" w:space="0" w:color="auto"/>
        <w:right w:val="none" w:sz="0" w:space="0" w:color="auto"/>
      </w:divBdr>
    </w:div>
    <w:div w:id="1055928687">
      <w:bodyDiv w:val="1"/>
      <w:marLeft w:val="0"/>
      <w:marRight w:val="0"/>
      <w:marTop w:val="0"/>
      <w:marBottom w:val="0"/>
      <w:divBdr>
        <w:top w:val="none" w:sz="0" w:space="0" w:color="auto"/>
        <w:left w:val="none" w:sz="0" w:space="0" w:color="auto"/>
        <w:bottom w:val="none" w:sz="0" w:space="0" w:color="auto"/>
        <w:right w:val="none" w:sz="0" w:space="0" w:color="auto"/>
      </w:divBdr>
    </w:div>
    <w:div w:id="1163395491">
      <w:bodyDiv w:val="1"/>
      <w:marLeft w:val="0"/>
      <w:marRight w:val="0"/>
      <w:marTop w:val="0"/>
      <w:marBottom w:val="0"/>
      <w:divBdr>
        <w:top w:val="none" w:sz="0" w:space="0" w:color="auto"/>
        <w:left w:val="none" w:sz="0" w:space="0" w:color="auto"/>
        <w:bottom w:val="none" w:sz="0" w:space="0" w:color="auto"/>
        <w:right w:val="none" w:sz="0" w:space="0" w:color="auto"/>
      </w:divBdr>
    </w:div>
    <w:div w:id="1202984982">
      <w:bodyDiv w:val="1"/>
      <w:marLeft w:val="0"/>
      <w:marRight w:val="0"/>
      <w:marTop w:val="0"/>
      <w:marBottom w:val="0"/>
      <w:divBdr>
        <w:top w:val="none" w:sz="0" w:space="0" w:color="auto"/>
        <w:left w:val="none" w:sz="0" w:space="0" w:color="auto"/>
        <w:bottom w:val="none" w:sz="0" w:space="0" w:color="auto"/>
        <w:right w:val="none" w:sz="0" w:space="0" w:color="auto"/>
      </w:divBdr>
      <w:divsChild>
        <w:div w:id="1138523920">
          <w:marLeft w:val="0"/>
          <w:marRight w:val="0"/>
          <w:marTop w:val="0"/>
          <w:marBottom w:val="0"/>
          <w:divBdr>
            <w:top w:val="none" w:sz="0" w:space="0" w:color="auto"/>
            <w:left w:val="none" w:sz="0" w:space="0" w:color="auto"/>
            <w:bottom w:val="none" w:sz="0" w:space="0" w:color="auto"/>
            <w:right w:val="none" w:sz="0" w:space="0" w:color="auto"/>
          </w:divBdr>
        </w:div>
      </w:divsChild>
    </w:div>
    <w:div w:id="1276132430">
      <w:bodyDiv w:val="1"/>
      <w:marLeft w:val="0"/>
      <w:marRight w:val="0"/>
      <w:marTop w:val="0"/>
      <w:marBottom w:val="0"/>
      <w:divBdr>
        <w:top w:val="none" w:sz="0" w:space="0" w:color="auto"/>
        <w:left w:val="none" w:sz="0" w:space="0" w:color="auto"/>
        <w:bottom w:val="none" w:sz="0" w:space="0" w:color="auto"/>
        <w:right w:val="none" w:sz="0" w:space="0" w:color="auto"/>
      </w:divBdr>
      <w:divsChild>
        <w:div w:id="9068418">
          <w:marLeft w:val="0"/>
          <w:marRight w:val="0"/>
          <w:marTop w:val="0"/>
          <w:marBottom w:val="0"/>
          <w:divBdr>
            <w:top w:val="none" w:sz="0" w:space="0" w:color="auto"/>
            <w:left w:val="none" w:sz="0" w:space="0" w:color="auto"/>
            <w:bottom w:val="none" w:sz="0" w:space="0" w:color="auto"/>
            <w:right w:val="none" w:sz="0" w:space="0" w:color="auto"/>
          </w:divBdr>
        </w:div>
        <w:div w:id="612057940">
          <w:marLeft w:val="0"/>
          <w:marRight w:val="0"/>
          <w:marTop w:val="0"/>
          <w:marBottom w:val="0"/>
          <w:divBdr>
            <w:top w:val="none" w:sz="0" w:space="0" w:color="auto"/>
            <w:left w:val="none" w:sz="0" w:space="0" w:color="auto"/>
            <w:bottom w:val="none" w:sz="0" w:space="0" w:color="auto"/>
            <w:right w:val="none" w:sz="0" w:space="0" w:color="auto"/>
          </w:divBdr>
        </w:div>
        <w:div w:id="2040037333">
          <w:marLeft w:val="0"/>
          <w:marRight w:val="0"/>
          <w:marTop w:val="0"/>
          <w:marBottom w:val="0"/>
          <w:divBdr>
            <w:top w:val="none" w:sz="0" w:space="0" w:color="auto"/>
            <w:left w:val="none" w:sz="0" w:space="0" w:color="auto"/>
            <w:bottom w:val="none" w:sz="0" w:space="0" w:color="auto"/>
            <w:right w:val="none" w:sz="0" w:space="0" w:color="auto"/>
          </w:divBdr>
        </w:div>
      </w:divsChild>
    </w:div>
    <w:div w:id="1291521475">
      <w:bodyDiv w:val="1"/>
      <w:marLeft w:val="0"/>
      <w:marRight w:val="0"/>
      <w:marTop w:val="0"/>
      <w:marBottom w:val="0"/>
      <w:divBdr>
        <w:top w:val="none" w:sz="0" w:space="0" w:color="auto"/>
        <w:left w:val="none" w:sz="0" w:space="0" w:color="auto"/>
        <w:bottom w:val="none" w:sz="0" w:space="0" w:color="auto"/>
        <w:right w:val="none" w:sz="0" w:space="0" w:color="auto"/>
      </w:divBdr>
      <w:divsChild>
        <w:div w:id="589848454">
          <w:marLeft w:val="0"/>
          <w:marRight w:val="0"/>
          <w:marTop w:val="0"/>
          <w:marBottom w:val="0"/>
          <w:divBdr>
            <w:top w:val="none" w:sz="0" w:space="0" w:color="auto"/>
            <w:left w:val="none" w:sz="0" w:space="0" w:color="auto"/>
            <w:bottom w:val="none" w:sz="0" w:space="0" w:color="auto"/>
            <w:right w:val="none" w:sz="0" w:space="0" w:color="auto"/>
          </w:divBdr>
        </w:div>
        <w:div w:id="666176486">
          <w:marLeft w:val="0"/>
          <w:marRight w:val="0"/>
          <w:marTop w:val="0"/>
          <w:marBottom w:val="0"/>
          <w:divBdr>
            <w:top w:val="none" w:sz="0" w:space="0" w:color="auto"/>
            <w:left w:val="none" w:sz="0" w:space="0" w:color="auto"/>
            <w:bottom w:val="none" w:sz="0" w:space="0" w:color="auto"/>
            <w:right w:val="none" w:sz="0" w:space="0" w:color="auto"/>
          </w:divBdr>
        </w:div>
        <w:div w:id="1558321188">
          <w:marLeft w:val="0"/>
          <w:marRight w:val="0"/>
          <w:marTop w:val="0"/>
          <w:marBottom w:val="0"/>
          <w:divBdr>
            <w:top w:val="none" w:sz="0" w:space="0" w:color="auto"/>
            <w:left w:val="none" w:sz="0" w:space="0" w:color="auto"/>
            <w:bottom w:val="none" w:sz="0" w:space="0" w:color="auto"/>
            <w:right w:val="none" w:sz="0" w:space="0" w:color="auto"/>
          </w:divBdr>
        </w:div>
      </w:divsChild>
    </w:div>
    <w:div w:id="1295062270">
      <w:bodyDiv w:val="1"/>
      <w:marLeft w:val="0"/>
      <w:marRight w:val="0"/>
      <w:marTop w:val="0"/>
      <w:marBottom w:val="0"/>
      <w:divBdr>
        <w:top w:val="none" w:sz="0" w:space="0" w:color="auto"/>
        <w:left w:val="none" w:sz="0" w:space="0" w:color="auto"/>
        <w:bottom w:val="none" w:sz="0" w:space="0" w:color="auto"/>
        <w:right w:val="none" w:sz="0" w:space="0" w:color="auto"/>
      </w:divBdr>
    </w:div>
    <w:div w:id="1336034926">
      <w:bodyDiv w:val="1"/>
      <w:marLeft w:val="0"/>
      <w:marRight w:val="0"/>
      <w:marTop w:val="0"/>
      <w:marBottom w:val="0"/>
      <w:divBdr>
        <w:top w:val="none" w:sz="0" w:space="0" w:color="auto"/>
        <w:left w:val="none" w:sz="0" w:space="0" w:color="auto"/>
        <w:bottom w:val="none" w:sz="0" w:space="0" w:color="auto"/>
        <w:right w:val="none" w:sz="0" w:space="0" w:color="auto"/>
      </w:divBdr>
    </w:div>
    <w:div w:id="1344673126">
      <w:bodyDiv w:val="1"/>
      <w:marLeft w:val="0"/>
      <w:marRight w:val="0"/>
      <w:marTop w:val="0"/>
      <w:marBottom w:val="0"/>
      <w:divBdr>
        <w:top w:val="none" w:sz="0" w:space="0" w:color="auto"/>
        <w:left w:val="none" w:sz="0" w:space="0" w:color="auto"/>
        <w:bottom w:val="none" w:sz="0" w:space="0" w:color="auto"/>
        <w:right w:val="none" w:sz="0" w:space="0" w:color="auto"/>
      </w:divBdr>
      <w:divsChild>
        <w:div w:id="334118534">
          <w:marLeft w:val="0"/>
          <w:marRight w:val="0"/>
          <w:marTop w:val="0"/>
          <w:marBottom w:val="0"/>
          <w:divBdr>
            <w:top w:val="none" w:sz="0" w:space="0" w:color="auto"/>
            <w:left w:val="none" w:sz="0" w:space="0" w:color="auto"/>
            <w:bottom w:val="none" w:sz="0" w:space="0" w:color="auto"/>
            <w:right w:val="none" w:sz="0" w:space="0" w:color="auto"/>
          </w:divBdr>
        </w:div>
        <w:div w:id="712386819">
          <w:marLeft w:val="0"/>
          <w:marRight w:val="0"/>
          <w:marTop w:val="0"/>
          <w:marBottom w:val="0"/>
          <w:divBdr>
            <w:top w:val="none" w:sz="0" w:space="0" w:color="auto"/>
            <w:left w:val="none" w:sz="0" w:space="0" w:color="auto"/>
            <w:bottom w:val="none" w:sz="0" w:space="0" w:color="auto"/>
            <w:right w:val="none" w:sz="0" w:space="0" w:color="auto"/>
          </w:divBdr>
        </w:div>
        <w:div w:id="1805853981">
          <w:marLeft w:val="0"/>
          <w:marRight w:val="0"/>
          <w:marTop w:val="0"/>
          <w:marBottom w:val="0"/>
          <w:divBdr>
            <w:top w:val="none" w:sz="0" w:space="0" w:color="auto"/>
            <w:left w:val="none" w:sz="0" w:space="0" w:color="auto"/>
            <w:bottom w:val="none" w:sz="0" w:space="0" w:color="auto"/>
            <w:right w:val="none" w:sz="0" w:space="0" w:color="auto"/>
          </w:divBdr>
        </w:div>
      </w:divsChild>
    </w:div>
    <w:div w:id="1434785423">
      <w:bodyDiv w:val="1"/>
      <w:marLeft w:val="0"/>
      <w:marRight w:val="0"/>
      <w:marTop w:val="0"/>
      <w:marBottom w:val="0"/>
      <w:divBdr>
        <w:top w:val="none" w:sz="0" w:space="0" w:color="auto"/>
        <w:left w:val="none" w:sz="0" w:space="0" w:color="auto"/>
        <w:bottom w:val="none" w:sz="0" w:space="0" w:color="auto"/>
        <w:right w:val="none" w:sz="0" w:space="0" w:color="auto"/>
      </w:divBdr>
    </w:div>
    <w:div w:id="1516580867">
      <w:bodyDiv w:val="1"/>
      <w:marLeft w:val="0"/>
      <w:marRight w:val="0"/>
      <w:marTop w:val="0"/>
      <w:marBottom w:val="0"/>
      <w:divBdr>
        <w:top w:val="none" w:sz="0" w:space="0" w:color="auto"/>
        <w:left w:val="none" w:sz="0" w:space="0" w:color="auto"/>
        <w:bottom w:val="none" w:sz="0" w:space="0" w:color="auto"/>
        <w:right w:val="none" w:sz="0" w:space="0" w:color="auto"/>
      </w:divBdr>
    </w:div>
    <w:div w:id="1527909600">
      <w:bodyDiv w:val="1"/>
      <w:marLeft w:val="0"/>
      <w:marRight w:val="0"/>
      <w:marTop w:val="0"/>
      <w:marBottom w:val="0"/>
      <w:divBdr>
        <w:top w:val="none" w:sz="0" w:space="0" w:color="auto"/>
        <w:left w:val="none" w:sz="0" w:space="0" w:color="auto"/>
        <w:bottom w:val="none" w:sz="0" w:space="0" w:color="auto"/>
        <w:right w:val="none" w:sz="0" w:space="0" w:color="auto"/>
      </w:divBdr>
    </w:div>
    <w:div w:id="1773864541">
      <w:bodyDiv w:val="1"/>
      <w:marLeft w:val="0"/>
      <w:marRight w:val="0"/>
      <w:marTop w:val="0"/>
      <w:marBottom w:val="0"/>
      <w:divBdr>
        <w:top w:val="none" w:sz="0" w:space="0" w:color="auto"/>
        <w:left w:val="none" w:sz="0" w:space="0" w:color="auto"/>
        <w:bottom w:val="none" w:sz="0" w:space="0" w:color="auto"/>
        <w:right w:val="none" w:sz="0" w:space="0" w:color="auto"/>
      </w:divBdr>
      <w:divsChild>
        <w:div w:id="1237210184">
          <w:marLeft w:val="0"/>
          <w:marRight w:val="0"/>
          <w:marTop w:val="0"/>
          <w:marBottom w:val="0"/>
          <w:divBdr>
            <w:top w:val="none" w:sz="0" w:space="0" w:color="auto"/>
            <w:left w:val="none" w:sz="0" w:space="0" w:color="auto"/>
            <w:bottom w:val="none" w:sz="0" w:space="0" w:color="auto"/>
            <w:right w:val="none" w:sz="0" w:space="0" w:color="auto"/>
          </w:divBdr>
        </w:div>
      </w:divsChild>
    </w:div>
    <w:div w:id="1885942974">
      <w:bodyDiv w:val="1"/>
      <w:marLeft w:val="0"/>
      <w:marRight w:val="0"/>
      <w:marTop w:val="0"/>
      <w:marBottom w:val="0"/>
      <w:divBdr>
        <w:top w:val="none" w:sz="0" w:space="0" w:color="auto"/>
        <w:left w:val="none" w:sz="0" w:space="0" w:color="auto"/>
        <w:bottom w:val="none" w:sz="0" w:space="0" w:color="auto"/>
        <w:right w:val="none" w:sz="0" w:space="0" w:color="auto"/>
      </w:divBdr>
    </w:div>
    <w:div w:id="1925333510">
      <w:bodyDiv w:val="1"/>
      <w:marLeft w:val="0"/>
      <w:marRight w:val="0"/>
      <w:marTop w:val="0"/>
      <w:marBottom w:val="0"/>
      <w:divBdr>
        <w:top w:val="none" w:sz="0" w:space="0" w:color="auto"/>
        <w:left w:val="none" w:sz="0" w:space="0" w:color="auto"/>
        <w:bottom w:val="none" w:sz="0" w:space="0" w:color="auto"/>
        <w:right w:val="none" w:sz="0" w:space="0" w:color="auto"/>
      </w:divBdr>
      <w:divsChild>
        <w:div w:id="763570175">
          <w:marLeft w:val="0"/>
          <w:marRight w:val="0"/>
          <w:marTop w:val="0"/>
          <w:marBottom w:val="0"/>
          <w:divBdr>
            <w:top w:val="none" w:sz="0" w:space="0" w:color="auto"/>
            <w:left w:val="none" w:sz="0" w:space="0" w:color="auto"/>
            <w:bottom w:val="none" w:sz="0" w:space="0" w:color="auto"/>
            <w:right w:val="none" w:sz="0" w:space="0" w:color="auto"/>
          </w:divBdr>
        </w:div>
        <w:div w:id="1247568485">
          <w:marLeft w:val="0"/>
          <w:marRight w:val="0"/>
          <w:marTop w:val="0"/>
          <w:marBottom w:val="0"/>
          <w:divBdr>
            <w:top w:val="none" w:sz="0" w:space="0" w:color="auto"/>
            <w:left w:val="none" w:sz="0" w:space="0" w:color="auto"/>
            <w:bottom w:val="none" w:sz="0" w:space="0" w:color="auto"/>
            <w:right w:val="none" w:sz="0" w:space="0" w:color="auto"/>
          </w:divBdr>
          <w:divsChild>
            <w:div w:id="42678475">
              <w:marLeft w:val="0"/>
              <w:marRight w:val="0"/>
              <w:marTop w:val="0"/>
              <w:marBottom w:val="0"/>
              <w:divBdr>
                <w:top w:val="none" w:sz="0" w:space="0" w:color="auto"/>
                <w:left w:val="none" w:sz="0" w:space="0" w:color="auto"/>
                <w:bottom w:val="none" w:sz="0" w:space="0" w:color="auto"/>
                <w:right w:val="none" w:sz="0" w:space="0" w:color="auto"/>
              </w:divBdr>
            </w:div>
            <w:div w:id="18774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8843">
      <w:bodyDiv w:val="1"/>
      <w:marLeft w:val="0"/>
      <w:marRight w:val="0"/>
      <w:marTop w:val="0"/>
      <w:marBottom w:val="0"/>
      <w:divBdr>
        <w:top w:val="none" w:sz="0" w:space="0" w:color="auto"/>
        <w:left w:val="none" w:sz="0" w:space="0" w:color="auto"/>
        <w:bottom w:val="none" w:sz="0" w:space="0" w:color="auto"/>
        <w:right w:val="none" w:sz="0" w:space="0" w:color="auto"/>
      </w:divBdr>
      <w:divsChild>
        <w:div w:id="509805498">
          <w:marLeft w:val="0"/>
          <w:marRight w:val="0"/>
          <w:marTop w:val="0"/>
          <w:marBottom w:val="0"/>
          <w:divBdr>
            <w:top w:val="none" w:sz="0" w:space="0" w:color="auto"/>
            <w:left w:val="none" w:sz="0" w:space="0" w:color="auto"/>
            <w:bottom w:val="none" w:sz="0" w:space="0" w:color="auto"/>
            <w:right w:val="none" w:sz="0" w:space="0" w:color="auto"/>
          </w:divBdr>
        </w:div>
      </w:divsChild>
    </w:div>
    <w:div w:id="1976718467">
      <w:bodyDiv w:val="1"/>
      <w:marLeft w:val="0"/>
      <w:marRight w:val="0"/>
      <w:marTop w:val="0"/>
      <w:marBottom w:val="0"/>
      <w:divBdr>
        <w:top w:val="none" w:sz="0" w:space="0" w:color="auto"/>
        <w:left w:val="none" w:sz="0" w:space="0" w:color="auto"/>
        <w:bottom w:val="none" w:sz="0" w:space="0" w:color="auto"/>
        <w:right w:val="none" w:sz="0" w:space="0" w:color="auto"/>
      </w:divBdr>
    </w:div>
    <w:div w:id="198339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ducation.gov.au/education-ministers-meeting/resources/education-ministers-meeting-communique-12-august-2022" TargetMode="External"/><Relationship Id="rId42" Type="http://schemas.openxmlformats.org/officeDocument/2006/relationships/hyperlink" Target="https://www.aitsl.edu.au/teach/intercultural-development/building-a-culturally-responsive-australian-teaching-workforce" TargetMode="External"/><Relationship Id="rId47" Type="http://schemas.openxmlformats.org/officeDocument/2006/relationships/hyperlink" Target="https://www.edresearch.edu.au/resources/engaging-families-support-student-learning-primary-school" TargetMode="External"/><Relationship Id="rId63" Type="http://schemas.openxmlformats.org/officeDocument/2006/relationships/image" Target="media/image27.png"/><Relationship Id="rId68" Type="http://schemas.openxmlformats.org/officeDocument/2006/relationships/hyperlink" Target="https://www.zotero.org/google-docs/?bjB112"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svg"/><Relationship Id="rId11" Type="http://schemas.openxmlformats.org/officeDocument/2006/relationships/image" Target="media/image1.jpe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ww.edresearch.edu.au/articles/would-never-work-here-does-context-matter-more-evidence" TargetMode="External"/><Relationship Id="rId40" Type="http://schemas.openxmlformats.org/officeDocument/2006/relationships/hyperlink" Target="https://www.edresearch.edu.au/sites/default/files/2023-01/AERO-Introduction-to-the-science-of-reading.pdf" TargetMode="External"/><Relationship Id="rId45" Type="http://schemas.openxmlformats.org/officeDocument/2006/relationships/hyperlink" Target="https://www.aitsl.edu.au/teach/intercultural-development/building-a-culturally-responsive-australian-teaching-workforce" TargetMode="Externa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29.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hyperlink" Target="https://www.education.gov.au/quality-initial-teacher-education-review" TargetMode="External"/><Relationship Id="rId14" Type="http://schemas.openxmlformats.org/officeDocument/2006/relationships/footer" Target="footer1.xml"/><Relationship Id="rId22" Type="http://schemas.openxmlformats.org/officeDocument/2006/relationships/hyperlink" Target="https://www.education.gov.au/quality-initial-teacher-education-review/resources/teacher-education-expert-panel-terms-reference" TargetMode="External"/><Relationship Id="rId27" Type="http://schemas.openxmlformats.org/officeDocument/2006/relationships/image" Target="media/image5.sv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education.wa.edu.au/dl/jjpzned" TargetMode="External"/><Relationship Id="rId48" Type="http://schemas.openxmlformats.org/officeDocument/2006/relationships/hyperlink" Target="https://www.edresearch.edu.au/resources/engaging-families-support-student-learning-secondary-school" TargetMode="Externa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https://www.zotero.org/google-docs/?bjB112" TargetMode="Externa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www.uni-mainz.de/en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svg"/><Relationship Id="rId33" Type="http://schemas.openxmlformats.org/officeDocument/2006/relationships/image" Target="media/image11.png"/><Relationship Id="rId38" Type="http://schemas.openxmlformats.org/officeDocument/2006/relationships/hyperlink" Target="https://www.edresearch.edu.au/articles/would-never-work-here-does-context-matter-more-evidence" TargetMode="External"/><Relationship Id="rId46" Type="http://schemas.openxmlformats.org/officeDocument/2006/relationships/hyperlink" Target="https://www.edresearch.edu.au/resources/family-engagement-learning-collection/creating-family-engagement-practice-guides-detailed-methodology" TargetMode="External"/><Relationship Id="rId59" Type="http://schemas.openxmlformats.org/officeDocument/2006/relationships/image" Target="media/image23.png"/><Relationship Id="rId67" Type="http://schemas.openxmlformats.org/officeDocument/2006/relationships/image" Target="media/image30.png"/><Relationship Id="rId20" Type="http://schemas.openxmlformats.org/officeDocument/2006/relationships/hyperlink" Target="https://www.education.gov.au/quality-initial-teacher-education-review/teacher-education-expert-panel-0" TargetMode="External"/><Relationship Id="rId41" Type="http://schemas.openxmlformats.org/officeDocument/2006/relationships/hyperlink" Target="https://www.aitsl.edu.au/tools-resources/resource/assessment-criteria-for-graduate-teacher-standards-1.4-2.4"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hyperlink" Target="https://www.zotero.org/google-docs/?bjB112"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edresearch.edu.au/using-evidence/standards-evidence"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www.aitsl.edu.au/research/spotlights/inclusive-education-teaching-students-with-disability" TargetMode="Externa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9.svg"/><Relationship Id="rId44" Type="http://schemas.openxmlformats.org/officeDocument/2006/relationships/hyperlink" Target="https://qed.qld.gov.au/workingwithus/induction/workingforthedepartment/humanresources/Documents/cultural-capability-framework-overview.pdf" TargetMode="External"/><Relationship Id="rId52" Type="http://schemas.openxmlformats.org/officeDocument/2006/relationships/image" Target="media/image16.svg"/><Relationship Id="rId60" Type="http://schemas.openxmlformats.org/officeDocument/2006/relationships/image" Target="media/image24.png"/><Relationship Id="rId65" Type="http://schemas.openxmlformats.org/officeDocument/2006/relationships/hyperlink" Target="http://www.education.gov.au/"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education.gov.au/teaching-and-school-leadership/teacher-education-ministerial-advisory-group" TargetMode="External"/><Relationship Id="rId39" Type="http://schemas.openxmlformats.org/officeDocument/2006/relationships/hyperlink" Target="https://www.edresearch.edu.au/articles/would-never-work-here-does-context-matter-more-evidence" TargetMode="External"/><Relationship Id="rId34" Type="http://schemas.openxmlformats.org/officeDocument/2006/relationships/image" Target="media/image12.png"/><Relationship Id="rId50" Type="http://schemas.openxmlformats.org/officeDocument/2006/relationships/hyperlink" Target="https://www.australiancurriculum.edu.au/resources/student-diversity/meeting-the-needs-of-students-with-a-disability" TargetMode="External"/><Relationship Id="rId55"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yperlink" Target="https://www.zotero.org/google-docs/?bjB112"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1.jpg"/></Relationships>
</file>

<file path=word/_rels/footnotes.xml.rels><?xml version="1.0" encoding="UTF-8" standalone="yes"?>
<Relationships xmlns="http://schemas.openxmlformats.org/package/2006/relationships"><Relationship Id="rId3" Type="http://schemas.openxmlformats.org/officeDocument/2006/relationships/hyperlink" Target="https://aus01.safelinks.protection.outlook.com/?url=https%3A%2F%2Fwww.aihw.gov.au%2Fgetmedia%2Fa69ee08a-857f-412b-b617-a29acb66a475%2Faihw-phe-287.pdf.aspx%3Finline%3Dtrue&amp;data=05%7C01%7CMelanie.Spallek%40acu.edu.au%7C9288515ef0034d663def08db097d98a1%7C429af009f196448fae7958c212a0f2ce%7C0%7C0%7C638114207250906303%7CUnknown%7CTWFpbGZsb3d8eyJWIjoiMC4wLjAwMDAiLCJQIjoiV2luMzIiLCJBTiI6Ik1haWwiLCJXVCI6Mn0%3D%7C3000%7C%7C%7C&amp;sdata=8Cn32iMZGRXnhXVdXIkbo77JK4E17e%2Fk%2BZ3lrohfRuw%3D&amp;reserved=0" TargetMode="External"/><Relationship Id="rId2" Type="http://schemas.openxmlformats.org/officeDocument/2006/relationships/hyperlink" Target="https://www.abs.gov.au/statistics/health/causes-death/provisional-mortality-statistics/jan-2020-dec-2021" TargetMode="External"/><Relationship Id="rId1" Type="http://schemas.openxmlformats.org/officeDocument/2006/relationships/hyperlink" Target="https://www.smh.com.au/national/australian-catholic-uni-cuts-110-jobs-mostly-in-melbourne-as-enrolments-shrink-costs-rise-20230215-p5cko6.html" TargetMode="External"/></Relationships>
</file>

<file path=word/theme/theme1.xml><?xml version="1.0" encoding="utf-8"?>
<a:theme xmlns:a="http://schemas.openxmlformats.org/drawingml/2006/main" name="Office Theme">
  <a:themeElements>
    <a:clrScheme name="TEEP">
      <a:dk1>
        <a:sysClr val="windowText" lastClr="000000"/>
      </a:dk1>
      <a:lt1>
        <a:sysClr val="window" lastClr="FFFFFF"/>
      </a:lt1>
      <a:dk2>
        <a:srgbClr val="004F9E"/>
      </a:dk2>
      <a:lt2>
        <a:srgbClr val="002C3E"/>
      </a:lt2>
      <a:accent1>
        <a:srgbClr val="EBAB12"/>
      </a:accent1>
      <a:accent2>
        <a:srgbClr val="FECF52"/>
      </a:accent2>
      <a:accent3>
        <a:srgbClr val="FFFFFF"/>
      </a:accent3>
      <a:accent4>
        <a:srgbClr val="FFFFFF"/>
      </a:accent4>
      <a:accent5>
        <a:srgbClr val="FFFFFF"/>
      </a:accent5>
      <a:accent6>
        <a:srgbClr val="FFFFFF"/>
      </a:accent6>
      <a:hlink>
        <a:srgbClr val="004F9E"/>
      </a:hlink>
      <a:folHlink>
        <a:srgbClr val="002C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caa48d6-bac7-4de2-9192-623c90410bed" xsi:nil="true"/>
    <lcf76f155ced4ddcb4097134ff3c332f xmlns="72d48ace-a41b-4367-83ff-bc8f447feadc">
      <Terms xmlns="http://schemas.microsoft.com/office/infopath/2007/PartnerControls"/>
    </lcf76f155ced4ddcb4097134ff3c332f>
    <SharedWithUsers xmlns="8caa48d6-bac7-4de2-9192-623c90410bed">
      <UserInfo>
        <DisplayName>WATSON,Genevieve</DisplayName>
        <AccountId>197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B27383F1EAB14AB424D9ABC6742A92" ma:contentTypeVersion="17" ma:contentTypeDescription="Create a new document." ma:contentTypeScope="" ma:versionID="a8b25f215a92fa7f0786f7eaa7201ed4">
  <xsd:schema xmlns:xsd="http://www.w3.org/2001/XMLSchema" xmlns:xs="http://www.w3.org/2001/XMLSchema" xmlns:p="http://schemas.microsoft.com/office/2006/metadata/properties" xmlns:ns2="72d48ace-a41b-4367-83ff-bc8f447feadc" xmlns:ns3="8caa48d6-bac7-4de2-9192-623c90410bed" targetNamespace="http://schemas.microsoft.com/office/2006/metadata/properties" ma:root="true" ma:fieldsID="992ec9a50f19bc39c835078269919093" ns2:_="" ns3:_="">
    <xsd:import namespace="72d48ace-a41b-4367-83ff-bc8f447feadc"/>
    <xsd:import namespace="8caa48d6-bac7-4de2-9192-623c90410b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48ace-a41b-4367-83ff-bc8f447fe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aa48d6-bac7-4de2-9192-623c90410b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b6d82df-be8b-46d9-b412-b6b057c8b60e}" ma:internalName="TaxCatchAll" ma:showField="CatchAllData" ma:web="8caa48d6-bac7-4de2-9192-623c90410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91E361EE-24DF-40FA-8E7F-5F320762BF49}">
  <ds:schemaRefs>
    <ds:schemaRef ds:uri="http://schemas.microsoft.com/office/infopath/2007/PartnerControls"/>
    <ds:schemaRef ds:uri="http://purl.org/dc/dcmitype/"/>
    <ds:schemaRef ds:uri="http://schemas.microsoft.com/office/2006/documentManagement/types"/>
    <ds:schemaRef ds:uri="http://purl.org/dc/elements/1.1/"/>
    <ds:schemaRef ds:uri="72d48ace-a41b-4367-83ff-bc8f447feadc"/>
    <ds:schemaRef ds:uri="http://purl.org/dc/terms/"/>
    <ds:schemaRef ds:uri="http://schemas.openxmlformats.org/package/2006/metadata/core-properties"/>
    <ds:schemaRef ds:uri="8caa48d6-bac7-4de2-9192-623c90410be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BE6ADAC-E256-47D1-959D-BA6683B44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48ace-a41b-4367-83ff-bc8f447feadc"/>
    <ds:schemaRef ds:uri="8caa48d6-bac7-4de2-9192-623c90410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39A9EA-DBE6-46AD-BF5B-6CFBF7E5C5B2}">
  <ds:schemaRefs>
    <ds:schemaRef ds:uri="http://schemas.microsoft.com/sharepoint/v3/contenttype/forms"/>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68</TotalTime>
  <Pages>73</Pages>
  <Words>30368</Words>
  <Characters>181816</Characters>
  <Application>Microsoft Office Word</Application>
  <DocSecurity>0</DocSecurity>
  <Lines>2786</Lines>
  <Paragraphs>906</Paragraphs>
  <ScaleCrop>false</ScaleCrop>
  <Company/>
  <LinksUpToDate>false</LinksUpToDate>
  <CharactersWithSpaces>212100</CharactersWithSpaces>
  <SharedDoc>false</SharedDoc>
  <HLinks>
    <vt:vector size="414" baseType="variant">
      <vt:variant>
        <vt:i4>4390997</vt:i4>
      </vt:variant>
      <vt:variant>
        <vt:i4>516</vt:i4>
      </vt:variant>
      <vt:variant>
        <vt:i4>0</vt:i4>
      </vt:variant>
      <vt:variant>
        <vt:i4>5</vt:i4>
      </vt:variant>
      <vt:variant>
        <vt:lpwstr>http://www.uni-mainz.de/eng/</vt:lpwstr>
      </vt:variant>
      <vt:variant>
        <vt:lpwstr/>
      </vt:variant>
      <vt:variant>
        <vt:i4>2490427</vt:i4>
      </vt:variant>
      <vt:variant>
        <vt:i4>513</vt:i4>
      </vt:variant>
      <vt:variant>
        <vt:i4>0</vt:i4>
      </vt:variant>
      <vt:variant>
        <vt:i4>5</vt:i4>
      </vt:variant>
      <vt:variant>
        <vt:lpwstr>https://www.zotero.org/google-docs/?bjB112</vt:lpwstr>
      </vt:variant>
      <vt:variant>
        <vt:lpwstr/>
      </vt:variant>
      <vt:variant>
        <vt:i4>2490427</vt:i4>
      </vt:variant>
      <vt:variant>
        <vt:i4>510</vt:i4>
      </vt:variant>
      <vt:variant>
        <vt:i4>0</vt:i4>
      </vt:variant>
      <vt:variant>
        <vt:i4>5</vt:i4>
      </vt:variant>
      <vt:variant>
        <vt:lpwstr>https://www.zotero.org/google-docs/?bjB112</vt:lpwstr>
      </vt:variant>
      <vt:variant>
        <vt:lpwstr/>
      </vt:variant>
      <vt:variant>
        <vt:i4>2490427</vt:i4>
      </vt:variant>
      <vt:variant>
        <vt:i4>507</vt:i4>
      </vt:variant>
      <vt:variant>
        <vt:i4>0</vt:i4>
      </vt:variant>
      <vt:variant>
        <vt:i4>5</vt:i4>
      </vt:variant>
      <vt:variant>
        <vt:lpwstr>https://www.zotero.org/google-docs/?bjB112</vt:lpwstr>
      </vt:variant>
      <vt:variant>
        <vt:lpwstr/>
      </vt:variant>
      <vt:variant>
        <vt:i4>2490427</vt:i4>
      </vt:variant>
      <vt:variant>
        <vt:i4>504</vt:i4>
      </vt:variant>
      <vt:variant>
        <vt:i4>0</vt:i4>
      </vt:variant>
      <vt:variant>
        <vt:i4>5</vt:i4>
      </vt:variant>
      <vt:variant>
        <vt:lpwstr>https://www.zotero.org/google-docs/?bjB112</vt:lpwstr>
      </vt:variant>
      <vt:variant>
        <vt:lpwstr/>
      </vt:variant>
      <vt:variant>
        <vt:i4>131158</vt:i4>
      </vt:variant>
      <vt:variant>
        <vt:i4>501</vt:i4>
      </vt:variant>
      <vt:variant>
        <vt:i4>0</vt:i4>
      </vt:variant>
      <vt:variant>
        <vt:i4>5</vt:i4>
      </vt:variant>
      <vt:variant>
        <vt:lpwstr>http://www.education.gov.au/</vt:lpwstr>
      </vt:variant>
      <vt:variant>
        <vt:lpwstr/>
      </vt:variant>
      <vt:variant>
        <vt:i4>3866732</vt:i4>
      </vt:variant>
      <vt:variant>
        <vt:i4>498</vt:i4>
      </vt:variant>
      <vt:variant>
        <vt:i4>0</vt:i4>
      </vt:variant>
      <vt:variant>
        <vt:i4>5</vt:i4>
      </vt:variant>
      <vt:variant>
        <vt:lpwstr>https://www.australiancurriculum.edu.au/resources/student-diversity/meeting-the-needs-of-students-with-a-disability</vt:lpwstr>
      </vt:variant>
      <vt:variant>
        <vt:lpwstr/>
      </vt:variant>
      <vt:variant>
        <vt:i4>7340148</vt:i4>
      </vt:variant>
      <vt:variant>
        <vt:i4>495</vt:i4>
      </vt:variant>
      <vt:variant>
        <vt:i4>0</vt:i4>
      </vt:variant>
      <vt:variant>
        <vt:i4>5</vt:i4>
      </vt:variant>
      <vt:variant>
        <vt:lpwstr>https://www.aitsl.edu.au/research/spotlights/inclusive-education-teaching-students-with-disability</vt:lpwstr>
      </vt:variant>
      <vt:variant>
        <vt:lpwstr/>
      </vt:variant>
      <vt:variant>
        <vt:i4>7733365</vt:i4>
      </vt:variant>
      <vt:variant>
        <vt:i4>492</vt:i4>
      </vt:variant>
      <vt:variant>
        <vt:i4>0</vt:i4>
      </vt:variant>
      <vt:variant>
        <vt:i4>5</vt:i4>
      </vt:variant>
      <vt:variant>
        <vt:lpwstr>https://www.edresearch.edu.au/resources/engaging-families-support-student-learning-secondary-school</vt:lpwstr>
      </vt:variant>
      <vt:variant>
        <vt:lpwstr/>
      </vt:variant>
      <vt:variant>
        <vt:i4>1114116</vt:i4>
      </vt:variant>
      <vt:variant>
        <vt:i4>489</vt:i4>
      </vt:variant>
      <vt:variant>
        <vt:i4>0</vt:i4>
      </vt:variant>
      <vt:variant>
        <vt:i4>5</vt:i4>
      </vt:variant>
      <vt:variant>
        <vt:lpwstr>https://www.edresearch.edu.au/resources/engaging-families-support-student-learning-primary-school</vt:lpwstr>
      </vt:variant>
      <vt:variant>
        <vt:lpwstr/>
      </vt:variant>
      <vt:variant>
        <vt:i4>1114127</vt:i4>
      </vt:variant>
      <vt:variant>
        <vt:i4>486</vt:i4>
      </vt:variant>
      <vt:variant>
        <vt:i4>0</vt:i4>
      </vt:variant>
      <vt:variant>
        <vt:i4>5</vt:i4>
      </vt:variant>
      <vt:variant>
        <vt:lpwstr>https://www.edresearch.edu.au/resources/family-engagement-learning-collection/creating-family-engagement-practice-guides-detailed-methodology</vt:lpwstr>
      </vt:variant>
      <vt:variant>
        <vt:lpwstr/>
      </vt:variant>
      <vt:variant>
        <vt:i4>2162738</vt:i4>
      </vt:variant>
      <vt:variant>
        <vt:i4>483</vt:i4>
      </vt:variant>
      <vt:variant>
        <vt:i4>0</vt:i4>
      </vt:variant>
      <vt:variant>
        <vt:i4>5</vt:i4>
      </vt:variant>
      <vt:variant>
        <vt:lpwstr>https://www.aitsl.edu.au/teach/intercultural-development/building-a-culturally-responsive-australian-teaching-workforce</vt:lpwstr>
      </vt:variant>
      <vt:variant>
        <vt:lpwstr/>
      </vt:variant>
      <vt:variant>
        <vt:i4>3473442</vt:i4>
      </vt:variant>
      <vt:variant>
        <vt:i4>480</vt:i4>
      </vt:variant>
      <vt:variant>
        <vt:i4>0</vt:i4>
      </vt:variant>
      <vt:variant>
        <vt:i4>5</vt:i4>
      </vt:variant>
      <vt:variant>
        <vt:lpwstr>https://qed.qld.gov.au/workingwithus/induction/workingforthedepartment/humanresources/Documents/cultural-capability-framework-overview.pdf</vt:lpwstr>
      </vt:variant>
      <vt:variant>
        <vt:lpwstr/>
      </vt:variant>
      <vt:variant>
        <vt:i4>3735662</vt:i4>
      </vt:variant>
      <vt:variant>
        <vt:i4>477</vt:i4>
      </vt:variant>
      <vt:variant>
        <vt:i4>0</vt:i4>
      </vt:variant>
      <vt:variant>
        <vt:i4>5</vt:i4>
      </vt:variant>
      <vt:variant>
        <vt:lpwstr>https://www.education.wa.edu.au/dl/jjpzned</vt:lpwstr>
      </vt:variant>
      <vt:variant>
        <vt:lpwstr/>
      </vt:variant>
      <vt:variant>
        <vt:i4>2162738</vt:i4>
      </vt:variant>
      <vt:variant>
        <vt:i4>474</vt:i4>
      </vt:variant>
      <vt:variant>
        <vt:i4>0</vt:i4>
      </vt:variant>
      <vt:variant>
        <vt:i4>5</vt:i4>
      </vt:variant>
      <vt:variant>
        <vt:lpwstr>https://www.aitsl.edu.au/teach/intercultural-development/building-a-culturally-responsive-australian-teaching-workforce</vt:lpwstr>
      </vt:variant>
      <vt:variant>
        <vt:lpwstr/>
      </vt:variant>
      <vt:variant>
        <vt:i4>196691</vt:i4>
      </vt:variant>
      <vt:variant>
        <vt:i4>471</vt:i4>
      </vt:variant>
      <vt:variant>
        <vt:i4>0</vt:i4>
      </vt:variant>
      <vt:variant>
        <vt:i4>5</vt:i4>
      </vt:variant>
      <vt:variant>
        <vt:lpwstr>https://www.aitsl.edu.au/tools-resources/resource/assessment-criteria-for-graduate-teacher-standards-1.4-2.4</vt:lpwstr>
      </vt:variant>
      <vt:variant>
        <vt:lpwstr/>
      </vt:variant>
      <vt:variant>
        <vt:i4>88</vt:i4>
      </vt:variant>
      <vt:variant>
        <vt:i4>405</vt:i4>
      </vt:variant>
      <vt:variant>
        <vt:i4>0</vt:i4>
      </vt:variant>
      <vt:variant>
        <vt:i4>5</vt:i4>
      </vt:variant>
      <vt:variant>
        <vt:lpwstr>https://www.edresearch.edu.au/sites/default/files/2023-01/AERO-Introduction-to-the-science-of-reading.pdf</vt:lpwstr>
      </vt:variant>
      <vt:variant>
        <vt:lpwstr/>
      </vt:variant>
      <vt:variant>
        <vt:i4>6684778</vt:i4>
      </vt:variant>
      <vt:variant>
        <vt:i4>336</vt:i4>
      </vt:variant>
      <vt:variant>
        <vt:i4>0</vt:i4>
      </vt:variant>
      <vt:variant>
        <vt:i4>5</vt:i4>
      </vt:variant>
      <vt:variant>
        <vt:lpwstr>https://www.edresearch.edu.au/articles/would-never-work-here-does-context-matter-more-evidence</vt:lpwstr>
      </vt:variant>
      <vt:variant>
        <vt:lpwstr/>
      </vt:variant>
      <vt:variant>
        <vt:i4>6684778</vt:i4>
      </vt:variant>
      <vt:variant>
        <vt:i4>333</vt:i4>
      </vt:variant>
      <vt:variant>
        <vt:i4>0</vt:i4>
      </vt:variant>
      <vt:variant>
        <vt:i4>5</vt:i4>
      </vt:variant>
      <vt:variant>
        <vt:lpwstr>https://www.edresearch.edu.au/articles/would-never-work-here-does-context-matter-more-evidence</vt:lpwstr>
      </vt:variant>
      <vt:variant>
        <vt:lpwstr/>
      </vt:variant>
      <vt:variant>
        <vt:i4>6684778</vt:i4>
      </vt:variant>
      <vt:variant>
        <vt:i4>330</vt:i4>
      </vt:variant>
      <vt:variant>
        <vt:i4>0</vt:i4>
      </vt:variant>
      <vt:variant>
        <vt:i4>5</vt:i4>
      </vt:variant>
      <vt:variant>
        <vt:lpwstr>https://www.edresearch.edu.au/articles/would-never-work-here-does-context-matter-more-evidence</vt:lpwstr>
      </vt:variant>
      <vt:variant>
        <vt:lpwstr/>
      </vt:variant>
      <vt:variant>
        <vt:i4>7471209</vt:i4>
      </vt:variant>
      <vt:variant>
        <vt:i4>258</vt:i4>
      </vt:variant>
      <vt:variant>
        <vt:i4>0</vt:i4>
      </vt:variant>
      <vt:variant>
        <vt:i4>5</vt:i4>
      </vt:variant>
      <vt:variant>
        <vt:lpwstr>https://www.edresearch.edu.au/using-evidence/standards-evidence</vt:lpwstr>
      </vt:variant>
      <vt:variant>
        <vt:lpwstr>:~:text=AERO%27s%20Standards%20of%20evidence%20prioritise,be%20effective%20in%20their%20context.</vt:lpwstr>
      </vt:variant>
      <vt:variant>
        <vt:i4>3276838</vt:i4>
      </vt:variant>
      <vt:variant>
        <vt:i4>255</vt:i4>
      </vt:variant>
      <vt:variant>
        <vt:i4>0</vt:i4>
      </vt:variant>
      <vt:variant>
        <vt:i4>5</vt:i4>
      </vt:variant>
      <vt:variant>
        <vt:lpwstr>https://www.education.gov.au/quality-initial-teacher-education-review/resources/teacher-education-expert-panel-terms-reference</vt:lpwstr>
      </vt:variant>
      <vt:variant>
        <vt:lpwstr/>
      </vt:variant>
      <vt:variant>
        <vt:i4>524361</vt:i4>
      </vt:variant>
      <vt:variant>
        <vt:i4>252</vt:i4>
      </vt:variant>
      <vt:variant>
        <vt:i4>0</vt:i4>
      </vt:variant>
      <vt:variant>
        <vt:i4>5</vt:i4>
      </vt:variant>
      <vt:variant>
        <vt:lpwstr>https://www.education.gov.au/education-ministers-meeting/resources/education-ministers-meeting-communique-12-august-2022</vt:lpwstr>
      </vt:variant>
      <vt:variant>
        <vt:lpwstr/>
      </vt:variant>
      <vt:variant>
        <vt:i4>2621537</vt:i4>
      </vt:variant>
      <vt:variant>
        <vt:i4>249</vt:i4>
      </vt:variant>
      <vt:variant>
        <vt:i4>0</vt:i4>
      </vt:variant>
      <vt:variant>
        <vt:i4>5</vt:i4>
      </vt:variant>
      <vt:variant>
        <vt:lpwstr>https://www.education.gov.au/quality-initial-teacher-education-review/teacher-education-expert-panel-0</vt:lpwstr>
      </vt:variant>
      <vt:variant>
        <vt:lpwstr/>
      </vt:variant>
      <vt:variant>
        <vt:i4>5439500</vt:i4>
      </vt:variant>
      <vt:variant>
        <vt:i4>246</vt:i4>
      </vt:variant>
      <vt:variant>
        <vt:i4>0</vt:i4>
      </vt:variant>
      <vt:variant>
        <vt:i4>5</vt:i4>
      </vt:variant>
      <vt:variant>
        <vt:lpwstr>https://www.education.gov.au/quality-initial-teacher-education-review</vt:lpwstr>
      </vt:variant>
      <vt:variant>
        <vt:lpwstr/>
      </vt:variant>
      <vt:variant>
        <vt:i4>5767171</vt:i4>
      </vt:variant>
      <vt:variant>
        <vt:i4>243</vt:i4>
      </vt:variant>
      <vt:variant>
        <vt:i4>0</vt:i4>
      </vt:variant>
      <vt:variant>
        <vt:i4>5</vt:i4>
      </vt:variant>
      <vt:variant>
        <vt:lpwstr>https://www.education.gov.au/teaching-and-school-leadership/teacher-education-ministerial-advisory-group</vt:lpwstr>
      </vt:variant>
      <vt:variant>
        <vt:lpwstr/>
      </vt:variant>
      <vt:variant>
        <vt:i4>1638449</vt:i4>
      </vt:variant>
      <vt:variant>
        <vt:i4>236</vt:i4>
      </vt:variant>
      <vt:variant>
        <vt:i4>0</vt:i4>
      </vt:variant>
      <vt:variant>
        <vt:i4>5</vt:i4>
      </vt:variant>
      <vt:variant>
        <vt:lpwstr/>
      </vt:variant>
      <vt:variant>
        <vt:lpwstr>_Toc129014889</vt:lpwstr>
      </vt:variant>
      <vt:variant>
        <vt:i4>1638449</vt:i4>
      </vt:variant>
      <vt:variant>
        <vt:i4>230</vt:i4>
      </vt:variant>
      <vt:variant>
        <vt:i4>0</vt:i4>
      </vt:variant>
      <vt:variant>
        <vt:i4>5</vt:i4>
      </vt:variant>
      <vt:variant>
        <vt:lpwstr/>
      </vt:variant>
      <vt:variant>
        <vt:lpwstr>_Toc129014888</vt:lpwstr>
      </vt:variant>
      <vt:variant>
        <vt:i4>1638449</vt:i4>
      </vt:variant>
      <vt:variant>
        <vt:i4>224</vt:i4>
      </vt:variant>
      <vt:variant>
        <vt:i4>0</vt:i4>
      </vt:variant>
      <vt:variant>
        <vt:i4>5</vt:i4>
      </vt:variant>
      <vt:variant>
        <vt:lpwstr/>
      </vt:variant>
      <vt:variant>
        <vt:lpwstr>_Toc129014887</vt:lpwstr>
      </vt:variant>
      <vt:variant>
        <vt:i4>1638449</vt:i4>
      </vt:variant>
      <vt:variant>
        <vt:i4>218</vt:i4>
      </vt:variant>
      <vt:variant>
        <vt:i4>0</vt:i4>
      </vt:variant>
      <vt:variant>
        <vt:i4>5</vt:i4>
      </vt:variant>
      <vt:variant>
        <vt:lpwstr/>
      </vt:variant>
      <vt:variant>
        <vt:lpwstr>_Toc129014886</vt:lpwstr>
      </vt:variant>
      <vt:variant>
        <vt:i4>1638449</vt:i4>
      </vt:variant>
      <vt:variant>
        <vt:i4>212</vt:i4>
      </vt:variant>
      <vt:variant>
        <vt:i4>0</vt:i4>
      </vt:variant>
      <vt:variant>
        <vt:i4>5</vt:i4>
      </vt:variant>
      <vt:variant>
        <vt:lpwstr/>
      </vt:variant>
      <vt:variant>
        <vt:lpwstr>_Toc129014885</vt:lpwstr>
      </vt:variant>
      <vt:variant>
        <vt:i4>1638449</vt:i4>
      </vt:variant>
      <vt:variant>
        <vt:i4>206</vt:i4>
      </vt:variant>
      <vt:variant>
        <vt:i4>0</vt:i4>
      </vt:variant>
      <vt:variant>
        <vt:i4>5</vt:i4>
      </vt:variant>
      <vt:variant>
        <vt:lpwstr/>
      </vt:variant>
      <vt:variant>
        <vt:lpwstr>_Toc129014884</vt:lpwstr>
      </vt:variant>
      <vt:variant>
        <vt:i4>1638449</vt:i4>
      </vt:variant>
      <vt:variant>
        <vt:i4>200</vt:i4>
      </vt:variant>
      <vt:variant>
        <vt:i4>0</vt:i4>
      </vt:variant>
      <vt:variant>
        <vt:i4>5</vt:i4>
      </vt:variant>
      <vt:variant>
        <vt:lpwstr/>
      </vt:variant>
      <vt:variant>
        <vt:lpwstr>_Toc129014883</vt:lpwstr>
      </vt:variant>
      <vt:variant>
        <vt:i4>1638449</vt:i4>
      </vt:variant>
      <vt:variant>
        <vt:i4>194</vt:i4>
      </vt:variant>
      <vt:variant>
        <vt:i4>0</vt:i4>
      </vt:variant>
      <vt:variant>
        <vt:i4>5</vt:i4>
      </vt:variant>
      <vt:variant>
        <vt:lpwstr/>
      </vt:variant>
      <vt:variant>
        <vt:lpwstr>_Toc129014882</vt:lpwstr>
      </vt:variant>
      <vt:variant>
        <vt:i4>1638449</vt:i4>
      </vt:variant>
      <vt:variant>
        <vt:i4>188</vt:i4>
      </vt:variant>
      <vt:variant>
        <vt:i4>0</vt:i4>
      </vt:variant>
      <vt:variant>
        <vt:i4>5</vt:i4>
      </vt:variant>
      <vt:variant>
        <vt:lpwstr/>
      </vt:variant>
      <vt:variant>
        <vt:lpwstr>_Toc129014881</vt:lpwstr>
      </vt:variant>
      <vt:variant>
        <vt:i4>1638449</vt:i4>
      </vt:variant>
      <vt:variant>
        <vt:i4>182</vt:i4>
      </vt:variant>
      <vt:variant>
        <vt:i4>0</vt:i4>
      </vt:variant>
      <vt:variant>
        <vt:i4>5</vt:i4>
      </vt:variant>
      <vt:variant>
        <vt:lpwstr/>
      </vt:variant>
      <vt:variant>
        <vt:lpwstr>_Toc129014880</vt:lpwstr>
      </vt:variant>
      <vt:variant>
        <vt:i4>1441841</vt:i4>
      </vt:variant>
      <vt:variant>
        <vt:i4>176</vt:i4>
      </vt:variant>
      <vt:variant>
        <vt:i4>0</vt:i4>
      </vt:variant>
      <vt:variant>
        <vt:i4>5</vt:i4>
      </vt:variant>
      <vt:variant>
        <vt:lpwstr/>
      </vt:variant>
      <vt:variant>
        <vt:lpwstr>_Toc129014879</vt:lpwstr>
      </vt:variant>
      <vt:variant>
        <vt:i4>1441841</vt:i4>
      </vt:variant>
      <vt:variant>
        <vt:i4>170</vt:i4>
      </vt:variant>
      <vt:variant>
        <vt:i4>0</vt:i4>
      </vt:variant>
      <vt:variant>
        <vt:i4>5</vt:i4>
      </vt:variant>
      <vt:variant>
        <vt:lpwstr/>
      </vt:variant>
      <vt:variant>
        <vt:lpwstr>_Toc129014878</vt:lpwstr>
      </vt:variant>
      <vt:variant>
        <vt:i4>1441841</vt:i4>
      </vt:variant>
      <vt:variant>
        <vt:i4>164</vt:i4>
      </vt:variant>
      <vt:variant>
        <vt:i4>0</vt:i4>
      </vt:variant>
      <vt:variant>
        <vt:i4>5</vt:i4>
      </vt:variant>
      <vt:variant>
        <vt:lpwstr/>
      </vt:variant>
      <vt:variant>
        <vt:lpwstr>_Toc129014877</vt:lpwstr>
      </vt:variant>
      <vt:variant>
        <vt:i4>1441841</vt:i4>
      </vt:variant>
      <vt:variant>
        <vt:i4>158</vt:i4>
      </vt:variant>
      <vt:variant>
        <vt:i4>0</vt:i4>
      </vt:variant>
      <vt:variant>
        <vt:i4>5</vt:i4>
      </vt:variant>
      <vt:variant>
        <vt:lpwstr/>
      </vt:variant>
      <vt:variant>
        <vt:lpwstr>_Toc129014876</vt:lpwstr>
      </vt:variant>
      <vt:variant>
        <vt:i4>1441841</vt:i4>
      </vt:variant>
      <vt:variant>
        <vt:i4>152</vt:i4>
      </vt:variant>
      <vt:variant>
        <vt:i4>0</vt:i4>
      </vt:variant>
      <vt:variant>
        <vt:i4>5</vt:i4>
      </vt:variant>
      <vt:variant>
        <vt:lpwstr/>
      </vt:variant>
      <vt:variant>
        <vt:lpwstr>_Toc129014875</vt:lpwstr>
      </vt:variant>
      <vt:variant>
        <vt:i4>1441841</vt:i4>
      </vt:variant>
      <vt:variant>
        <vt:i4>146</vt:i4>
      </vt:variant>
      <vt:variant>
        <vt:i4>0</vt:i4>
      </vt:variant>
      <vt:variant>
        <vt:i4>5</vt:i4>
      </vt:variant>
      <vt:variant>
        <vt:lpwstr/>
      </vt:variant>
      <vt:variant>
        <vt:lpwstr>_Toc129014874</vt:lpwstr>
      </vt:variant>
      <vt:variant>
        <vt:i4>1441841</vt:i4>
      </vt:variant>
      <vt:variant>
        <vt:i4>140</vt:i4>
      </vt:variant>
      <vt:variant>
        <vt:i4>0</vt:i4>
      </vt:variant>
      <vt:variant>
        <vt:i4>5</vt:i4>
      </vt:variant>
      <vt:variant>
        <vt:lpwstr/>
      </vt:variant>
      <vt:variant>
        <vt:lpwstr>_Toc129014873</vt:lpwstr>
      </vt:variant>
      <vt:variant>
        <vt:i4>1441841</vt:i4>
      </vt:variant>
      <vt:variant>
        <vt:i4>134</vt:i4>
      </vt:variant>
      <vt:variant>
        <vt:i4>0</vt:i4>
      </vt:variant>
      <vt:variant>
        <vt:i4>5</vt:i4>
      </vt:variant>
      <vt:variant>
        <vt:lpwstr/>
      </vt:variant>
      <vt:variant>
        <vt:lpwstr>_Toc129014872</vt:lpwstr>
      </vt:variant>
      <vt:variant>
        <vt:i4>1441841</vt:i4>
      </vt:variant>
      <vt:variant>
        <vt:i4>128</vt:i4>
      </vt:variant>
      <vt:variant>
        <vt:i4>0</vt:i4>
      </vt:variant>
      <vt:variant>
        <vt:i4>5</vt:i4>
      </vt:variant>
      <vt:variant>
        <vt:lpwstr/>
      </vt:variant>
      <vt:variant>
        <vt:lpwstr>_Toc129014871</vt:lpwstr>
      </vt:variant>
      <vt:variant>
        <vt:i4>1441841</vt:i4>
      </vt:variant>
      <vt:variant>
        <vt:i4>122</vt:i4>
      </vt:variant>
      <vt:variant>
        <vt:i4>0</vt:i4>
      </vt:variant>
      <vt:variant>
        <vt:i4>5</vt:i4>
      </vt:variant>
      <vt:variant>
        <vt:lpwstr/>
      </vt:variant>
      <vt:variant>
        <vt:lpwstr>_Toc129014870</vt:lpwstr>
      </vt:variant>
      <vt:variant>
        <vt:i4>1507377</vt:i4>
      </vt:variant>
      <vt:variant>
        <vt:i4>116</vt:i4>
      </vt:variant>
      <vt:variant>
        <vt:i4>0</vt:i4>
      </vt:variant>
      <vt:variant>
        <vt:i4>5</vt:i4>
      </vt:variant>
      <vt:variant>
        <vt:lpwstr/>
      </vt:variant>
      <vt:variant>
        <vt:lpwstr>_Toc129014869</vt:lpwstr>
      </vt:variant>
      <vt:variant>
        <vt:i4>1507377</vt:i4>
      </vt:variant>
      <vt:variant>
        <vt:i4>110</vt:i4>
      </vt:variant>
      <vt:variant>
        <vt:i4>0</vt:i4>
      </vt:variant>
      <vt:variant>
        <vt:i4>5</vt:i4>
      </vt:variant>
      <vt:variant>
        <vt:lpwstr/>
      </vt:variant>
      <vt:variant>
        <vt:lpwstr>_Toc129014868</vt:lpwstr>
      </vt:variant>
      <vt:variant>
        <vt:i4>1507377</vt:i4>
      </vt:variant>
      <vt:variant>
        <vt:i4>104</vt:i4>
      </vt:variant>
      <vt:variant>
        <vt:i4>0</vt:i4>
      </vt:variant>
      <vt:variant>
        <vt:i4>5</vt:i4>
      </vt:variant>
      <vt:variant>
        <vt:lpwstr/>
      </vt:variant>
      <vt:variant>
        <vt:lpwstr>_Toc129014867</vt:lpwstr>
      </vt:variant>
      <vt:variant>
        <vt:i4>1507377</vt:i4>
      </vt:variant>
      <vt:variant>
        <vt:i4>98</vt:i4>
      </vt:variant>
      <vt:variant>
        <vt:i4>0</vt:i4>
      </vt:variant>
      <vt:variant>
        <vt:i4>5</vt:i4>
      </vt:variant>
      <vt:variant>
        <vt:lpwstr/>
      </vt:variant>
      <vt:variant>
        <vt:lpwstr>_Toc129014866</vt:lpwstr>
      </vt:variant>
      <vt:variant>
        <vt:i4>1507377</vt:i4>
      </vt:variant>
      <vt:variant>
        <vt:i4>92</vt:i4>
      </vt:variant>
      <vt:variant>
        <vt:i4>0</vt:i4>
      </vt:variant>
      <vt:variant>
        <vt:i4>5</vt:i4>
      </vt:variant>
      <vt:variant>
        <vt:lpwstr/>
      </vt:variant>
      <vt:variant>
        <vt:lpwstr>_Toc129014865</vt:lpwstr>
      </vt:variant>
      <vt:variant>
        <vt:i4>1507377</vt:i4>
      </vt:variant>
      <vt:variant>
        <vt:i4>86</vt:i4>
      </vt:variant>
      <vt:variant>
        <vt:i4>0</vt:i4>
      </vt:variant>
      <vt:variant>
        <vt:i4>5</vt:i4>
      </vt:variant>
      <vt:variant>
        <vt:lpwstr/>
      </vt:variant>
      <vt:variant>
        <vt:lpwstr>_Toc129014864</vt:lpwstr>
      </vt:variant>
      <vt:variant>
        <vt:i4>1507377</vt:i4>
      </vt:variant>
      <vt:variant>
        <vt:i4>80</vt:i4>
      </vt:variant>
      <vt:variant>
        <vt:i4>0</vt:i4>
      </vt:variant>
      <vt:variant>
        <vt:i4>5</vt:i4>
      </vt:variant>
      <vt:variant>
        <vt:lpwstr/>
      </vt:variant>
      <vt:variant>
        <vt:lpwstr>_Toc129014863</vt:lpwstr>
      </vt:variant>
      <vt:variant>
        <vt:i4>1507377</vt:i4>
      </vt:variant>
      <vt:variant>
        <vt:i4>74</vt:i4>
      </vt:variant>
      <vt:variant>
        <vt:i4>0</vt:i4>
      </vt:variant>
      <vt:variant>
        <vt:i4>5</vt:i4>
      </vt:variant>
      <vt:variant>
        <vt:lpwstr/>
      </vt:variant>
      <vt:variant>
        <vt:lpwstr>_Toc129014862</vt:lpwstr>
      </vt:variant>
      <vt:variant>
        <vt:i4>1507377</vt:i4>
      </vt:variant>
      <vt:variant>
        <vt:i4>68</vt:i4>
      </vt:variant>
      <vt:variant>
        <vt:i4>0</vt:i4>
      </vt:variant>
      <vt:variant>
        <vt:i4>5</vt:i4>
      </vt:variant>
      <vt:variant>
        <vt:lpwstr/>
      </vt:variant>
      <vt:variant>
        <vt:lpwstr>_Toc129014861</vt:lpwstr>
      </vt:variant>
      <vt:variant>
        <vt:i4>1507377</vt:i4>
      </vt:variant>
      <vt:variant>
        <vt:i4>62</vt:i4>
      </vt:variant>
      <vt:variant>
        <vt:i4>0</vt:i4>
      </vt:variant>
      <vt:variant>
        <vt:i4>5</vt:i4>
      </vt:variant>
      <vt:variant>
        <vt:lpwstr/>
      </vt:variant>
      <vt:variant>
        <vt:lpwstr>_Toc129014860</vt:lpwstr>
      </vt:variant>
      <vt:variant>
        <vt:i4>1310769</vt:i4>
      </vt:variant>
      <vt:variant>
        <vt:i4>56</vt:i4>
      </vt:variant>
      <vt:variant>
        <vt:i4>0</vt:i4>
      </vt:variant>
      <vt:variant>
        <vt:i4>5</vt:i4>
      </vt:variant>
      <vt:variant>
        <vt:lpwstr/>
      </vt:variant>
      <vt:variant>
        <vt:lpwstr>_Toc129014859</vt:lpwstr>
      </vt:variant>
      <vt:variant>
        <vt:i4>1310769</vt:i4>
      </vt:variant>
      <vt:variant>
        <vt:i4>50</vt:i4>
      </vt:variant>
      <vt:variant>
        <vt:i4>0</vt:i4>
      </vt:variant>
      <vt:variant>
        <vt:i4>5</vt:i4>
      </vt:variant>
      <vt:variant>
        <vt:lpwstr/>
      </vt:variant>
      <vt:variant>
        <vt:lpwstr>_Toc129014858</vt:lpwstr>
      </vt:variant>
      <vt:variant>
        <vt:i4>1310769</vt:i4>
      </vt:variant>
      <vt:variant>
        <vt:i4>44</vt:i4>
      </vt:variant>
      <vt:variant>
        <vt:i4>0</vt:i4>
      </vt:variant>
      <vt:variant>
        <vt:i4>5</vt:i4>
      </vt:variant>
      <vt:variant>
        <vt:lpwstr/>
      </vt:variant>
      <vt:variant>
        <vt:lpwstr>_Toc129014857</vt:lpwstr>
      </vt:variant>
      <vt:variant>
        <vt:i4>1310769</vt:i4>
      </vt:variant>
      <vt:variant>
        <vt:i4>38</vt:i4>
      </vt:variant>
      <vt:variant>
        <vt:i4>0</vt:i4>
      </vt:variant>
      <vt:variant>
        <vt:i4>5</vt:i4>
      </vt:variant>
      <vt:variant>
        <vt:lpwstr/>
      </vt:variant>
      <vt:variant>
        <vt:lpwstr>_Toc129014856</vt:lpwstr>
      </vt:variant>
      <vt:variant>
        <vt:i4>1310769</vt:i4>
      </vt:variant>
      <vt:variant>
        <vt:i4>32</vt:i4>
      </vt:variant>
      <vt:variant>
        <vt:i4>0</vt:i4>
      </vt:variant>
      <vt:variant>
        <vt:i4>5</vt:i4>
      </vt:variant>
      <vt:variant>
        <vt:lpwstr/>
      </vt:variant>
      <vt:variant>
        <vt:lpwstr>_Toc129014855</vt:lpwstr>
      </vt:variant>
      <vt:variant>
        <vt:i4>1310769</vt:i4>
      </vt:variant>
      <vt:variant>
        <vt:i4>26</vt:i4>
      </vt:variant>
      <vt:variant>
        <vt:i4>0</vt:i4>
      </vt:variant>
      <vt:variant>
        <vt:i4>5</vt:i4>
      </vt:variant>
      <vt:variant>
        <vt:lpwstr/>
      </vt:variant>
      <vt:variant>
        <vt:lpwstr>_Toc129014854</vt:lpwstr>
      </vt:variant>
      <vt:variant>
        <vt:i4>1310769</vt:i4>
      </vt:variant>
      <vt:variant>
        <vt:i4>20</vt:i4>
      </vt:variant>
      <vt:variant>
        <vt:i4>0</vt:i4>
      </vt:variant>
      <vt:variant>
        <vt:i4>5</vt:i4>
      </vt:variant>
      <vt:variant>
        <vt:lpwstr/>
      </vt:variant>
      <vt:variant>
        <vt:lpwstr>_Toc129014853</vt:lpwstr>
      </vt:variant>
      <vt:variant>
        <vt:i4>1310769</vt:i4>
      </vt:variant>
      <vt:variant>
        <vt:i4>14</vt:i4>
      </vt:variant>
      <vt:variant>
        <vt:i4>0</vt:i4>
      </vt:variant>
      <vt:variant>
        <vt:i4>5</vt:i4>
      </vt:variant>
      <vt:variant>
        <vt:lpwstr/>
      </vt:variant>
      <vt:variant>
        <vt:lpwstr>_Toc129014852</vt:lpwstr>
      </vt:variant>
      <vt:variant>
        <vt:i4>1310769</vt:i4>
      </vt:variant>
      <vt:variant>
        <vt:i4>8</vt:i4>
      </vt:variant>
      <vt:variant>
        <vt:i4>0</vt:i4>
      </vt:variant>
      <vt:variant>
        <vt:i4>5</vt:i4>
      </vt:variant>
      <vt:variant>
        <vt:lpwstr/>
      </vt:variant>
      <vt:variant>
        <vt:lpwstr>_Toc129014851</vt:lpwstr>
      </vt:variant>
      <vt:variant>
        <vt:i4>1310769</vt:i4>
      </vt:variant>
      <vt:variant>
        <vt:i4>2</vt:i4>
      </vt:variant>
      <vt:variant>
        <vt:i4>0</vt:i4>
      </vt:variant>
      <vt:variant>
        <vt:i4>5</vt:i4>
      </vt:variant>
      <vt:variant>
        <vt:lpwstr/>
      </vt:variant>
      <vt:variant>
        <vt:lpwstr>_Toc129014850</vt:lpwstr>
      </vt:variant>
      <vt:variant>
        <vt:i4>2490469</vt:i4>
      </vt:variant>
      <vt:variant>
        <vt:i4>6</vt:i4>
      </vt:variant>
      <vt:variant>
        <vt:i4>0</vt:i4>
      </vt:variant>
      <vt:variant>
        <vt:i4>5</vt:i4>
      </vt:variant>
      <vt:variant>
        <vt:lpwstr>https://aus01.safelinks.protection.outlook.com/?url=https%3A%2F%2Fwww.aihw.gov.au%2Fgetmedia%2Fa69ee08a-857f-412b-b617-a29acb66a475%2Faihw-phe-287.pdf.aspx%3Finline%3Dtrue&amp;data=05%7C01%7CMelanie.Spallek%40acu.edu.au%7C9288515ef0034d663def08db097d98a1%7C429af009f196448fae7958c212a0f2ce%7C0%7C0%7C638114207250906303%7CUnknown%7CTWFpbGZsb3d8eyJWIjoiMC4wLjAwMDAiLCJQIjoiV2luMzIiLCJBTiI6Ik1haWwiLCJXVCI6Mn0%3D%7C3000%7C%7C%7C&amp;sdata=8Cn32iMZGRXnhXVdXIkbo77JK4E17e%2Fk%2BZ3lrohfRuw%3D&amp;reserved=0</vt:lpwstr>
      </vt:variant>
      <vt:variant>
        <vt:lpwstr/>
      </vt:variant>
      <vt:variant>
        <vt:i4>65601</vt:i4>
      </vt:variant>
      <vt:variant>
        <vt:i4>3</vt:i4>
      </vt:variant>
      <vt:variant>
        <vt:i4>0</vt:i4>
      </vt:variant>
      <vt:variant>
        <vt:i4>5</vt:i4>
      </vt:variant>
      <vt:variant>
        <vt:lpwstr>https://www.abs.gov.au/statistics/health/causes-death/provisional-mortality-statistics/jan-2020-dec-2021</vt:lpwstr>
      </vt:variant>
      <vt:variant>
        <vt:lpwstr/>
      </vt:variant>
      <vt:variant>
        <vt:i4>7733309</vt:i4>
      </vt:variant>
      <vt:variant>
        <vt:i4>0</vt:i4>
      </vt:variant>
      <vt:variant>
        <vt:i4>0</vt:i4>
      </vt:variant>
      <vt:variant>
        <vt:i4>5</vt:i4>
      </vt:variant>
      <vt:variant>
        <vt:lpwstr>https://www.smh.com.au/national/australian-catholic-uni-cuts-110-jobs-mostly-in-melbourne-as-enrolments-shrink-costs-rise-20230215-p5cko6.html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Expert Education Panel Report 2023</dc:title>
  <dc:subject/>
  <dc:creator>HALL,Veronica</dc:creator>
  <cp:keywords/>
  <dc:description/>
  <cp:lastModifiedBy>ANDERSON,Rhys</cp:lastModifiedBy>
  <cp:revision>50</cp:revision>
  <cp:lastPrinted>2023-03-20T04:27:00Z</cp:lastPrinted>
  <dcterms:created xsi:type="dcterms:W3CDTF">2023-03-08T15:23:00Z</dcterms:created>
  <dcterms:modified xsi:type="dcterms:W3CDTF">2023-03-20T04:27:00Z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0x01010085B27383F1EAB14AB424D9ABC6742A92</vt:lpwstr>
  </property>
  <property fmtid="{D5CDD505-2E9C-101B-9397-08002B2CF9AE}" pid="10" name="MediaServiceImageTags">
    <vt:lpwstr/>
  </property>
</Properties>
</file>