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A09" w14:textId="04D88845" w:rsidR="006E5D6E" w:rsidRDefault="00B511AC" w:rsidP="00AF4185">
      <w:r>
        <w:rPr>
          <w:noProof/>
          <w:lang w:eastAsia="en-AU"/>
        </w:rPr>
        <w:drawing>
          <wp:anchor distT="0" distB="0" distL="114300" distR="114300" simplePos="0" relativeHeight="251658240" behindDoc="1" locked="0" layoutInCell="1" allowOverlap="1" wp14:anchorId="7244419E" wp14:editId="3D584327">
            <wp:simplePos x="0" y="0"/>
            <wp:positionH relativeFrom="column">
              <wp:posOffset>-808597</wp:posOffset>
            </wp:positionH>
            <wp:positionV relativeFrom="page">
              <wp:posOffset>-22860</wp:posOffset>
            </wp:positionV>
            <wp:extent cx="7585363" cy="1072656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85363" cy="10726560"/>
                    </a:xfrm>
                    <a:prstGeom prst="rect">
                      <a:avLst/>
                    </a:prstGeom>
                  </pic:spPr>
                </pic:pic>
              </a:graphicData>
            </a:graphic>
            <wp14:sizeRelH relativeFrom="page">
              <wp14:pctWidth>0</wp14:pctWidth>
            </wp14:sizeRelH>
            <wp14:sizeRelV relativeFrom="page">
              <wp14:pctHeight>0</wp14:pctHeight>
            </wp14:sizeRelV>
          </wp:anchor>
        </w:drawing>
      </w:r>
    </w:p>
    <w:p w14:paraId="57D930FB" w14:textId="3916D09F" w:rsidR="00930CDA" w:rsidRDefault="00AF4185" w:rsidP="00930CDA">
      <w:pPr>
        <w:spacing w:after="160" w:line="720" w:lineRule="auto"/>
        <w:rPr>
          <w:noProof/>
          <w:lang w:eastAsia="en-AU"/>
        </w:rPr>
      </w:pPr>
      <w:r>
        <w:rPr>
          <w:noProof/>
        </w:rPr>
        <w:drawing>
          <wp:inline distT="0" distB="0" distL="0" distR="0" wp14:anchorId="3B4E3D00" wp14:editId="7DC66FCB">
            <wp:extent cx="2329732" cy="573441"/>
            <wp:effectExtent l="0" t="0" r="0" b="0"/>
            <wp:docPr id="10" name="Picture 10" descr="Australian Government. Australian Universities Ac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ustralian Government. Australian Universities Accor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5567" cy="577339"/>
                    </a:xfrm>
                    <a:prstGeom prst="rect">
                      <a:avLst/>
                    </a:prstGeom>
                    <a:noFill/>
                    <a:ln>
                      <a:noFill/>
                    </a:ln>
                  </pic:spPr>
                </pic:pic>
              </a:graphicData>
            </a:graphic>
          </wp:inline>
        </w:drawing>
      </w:r>
    </w:p>
    <w:p w14:paraId="7C3A824B" w14:textId="5677CB31" w:rsidR="007C075B" w:rsidRDefault="007C075B" w:rsidP="00527108">
      <w:pPr>
        <w:pStyle w:val="Title"/>
        <w:spacing w:before="2520" w:line="240" w:lineRule="auto"/>
        <w:rPr>
          <w:noProof/>
          <w:lang w:eastAsia="en-AU"/>
        </w:rPr>
      </w:pPr>
      <w:r>
        <w:rPr>
          <w:noProof/>
          <w:lang w:eastAsia="en-AU"/>
        </w:rPr>
        <w:t>Job-ready Graduates</w:t>
      </w:r>
    </w:p>
    <w:p w14:paraId="6BA57520" w14:textId="19E7D79F" w:rsidR="007C075B" w:rsidRDefault="006D066E" w:rsidP="00527108">
      <w:pPr>
        <w:pStyle w:val="Subtitle"/>
        <w:spacing w:before="240"/>
        <w:rPr>
          <w:noProof/>
          <w:lang w:eastAsia="en-AU"/>
        </w:rPr>
      </w:pPr>
      <w:r>
        <w:rPr>
          <w:noProof/>
          <w:lang w:eastAsia="en-AU"/>
        </w:rPr>
        <w:t>Preliminary</w:t>
      </w:r>
      <w:r w:rsidR="00B73BCD">
        <w:rPr>
          <w:noProof/>
          <w:lang w:eastAsia="en-AU"/>
        </w:rPr>
        <w:t xml:space="preserve"> paper</w:t>
      </w:r>
    </w:p>
    <w:p w14:paraId="15277A78" w14:textId="77777777" w:rsidR="00930CDA" w:rsidRPr="0095636C" w:rsidRDefault="00930CDA" w:rsidP="0095636C">
      <w:r>
        <w:rPr>
          <w:noProof/>
          <w:lang w:eastAsia="en-AU"/>
        </w:rPr>
        <w:br w:type="page"/>
      </w:r>
    </w:p>
    <w:p w14:paraId="26921407" w14:textId="77777777" w:rsidR="002B1CE5" w:rsidRDefault="002B1CE5" w:rsidP="002B1CE5">
      <w:pPr>
        <w:pStyle w:val="Title"/>
      </w:pPr>
      <w:r>
        <w:lastRenderedPageBreak/>
        <w:t>Title</w:t>
      </w:r>
    </w:p>
    <w:p w14:paraId="4D17207E" w14:textId="447750CD" w:rsidR="007855CC" w:rsidRPr="003C539C" w:rsidRDefault="007855CC" w:rsidP="00EA67FC">
      <w:pPr>
        <w:tabs>
          <w:tab w:val="left" w:pos="5856"/>
        </w:tabs>
        <w:spacing w:before="8400"/>
        <w:contextualSpacing/>
      </w:pPr>
      <w:bookmarkStart w:id="0" w:name="_Toc30065222"/>
    </w:p>
    <w:p w14:paraId="0B465459" w14:textId="47538D59" w:rsidR="007855CC" w:rsidRPr="003C539C" w:rsidRDefault="007855CC" w:rsidP="007855CC">
      <w:r w:rsidRPr="003C539C">
        <w:rPr>
          <w:highlight w:val="yellow"/>
        </w:rPr>
        <w:br/>
      </w:r>
      <w:r w:rsidRPr="003C539C">
        <w:br/>
      </w:r>
    </w:p>
    <w:p w14:paraId="241E9441" w14:textId="77777777" w:rsidR="007855CC" w:rsidRPr="003C539C" w:rsidRDefault="007855CC" w:rsidP="007855CC">
      <w:pPr>
        <w:pStyle w:val="numberedpara"/>
        <w:numPr>
          <w:ilvl w:val="0"/>
          <w:numId w:val="0"/>
        </w:numPr>
      </w:pPr>
      <w:r w:rsidRPr="003C539C">
        <w:rPr>
          <w:noProof/>
        </w:rPr>
        <w:drawing>
          <wp:inline distT="0" distB="0" distL="0" distR="0" wp14:anchorId="22FD046B" wp14:editId="5F9F4DA4">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3" r:link="rId14"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42A44C0" w14:textId="77777777"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5" w:history="1">
        <w:r w:rsidRPr="003C539C">
          <w:rPr>
            <w:rStyle w:val="Hyperlink"/>
            <w:color w:val="002D3F" w:themeColor="text2"/>
          </w:rPr>
          <w:t>Creative Commons Attribution 3.0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6" w:history="1">
        <w:r w:rsidRPr="003C539C">
          <w:rPr>
            <w:rStyle w:val="Hyperlink"/>
            <w:color w:val="002D3F" w:themeColor="text2"/>
          </w:rPr>
          <w:t>CC BY 3.0 AU licence</w:t>
        </w:r>
      </w:hyperlink>
      <w:r>
        <w:t>.</w:t>
      </w:r>
    </w:p>
    <w:p w14:paraId="249C4A00" w14:textId="0156F924" w:rsidR="007855CC" w:rsidRDefault="007855CC" w:rsidP="007855CC">
      <w:r w:rsidRPr="003C539C">
        <w:t>The document must be attributed as the</w:t>
      </w:r>
      <w:r w:rsidR="003042AF">
        <w:t xml:space="preserve"> Job-ready Graduates: Preliminary Paper.</w:t>
      </w:r>
    </w:p>
    <w:p w14:paraId="1ACFAA15" w14:textId="77777777" w:rsidR="00EA67FC" w:rsidRDefault="00EA67FC" w:rsidP="007855CC">
      <w:r>
        <w:br w:type="page"/>
      </w:r>
    </w:p>
    <w:p w14:paraId="2BBCB76E" w14:textId="77777777" w:rsidR="007855CC" w:rsidRDefault="007855CC" w:rsidP="007855CC">
      <w:pPr>
        <w:sectPr w:rsidR="007855CC" w:rsidSect="00EA67FC">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01D5BB99" w14:textId="77777777" w:rsidR="007855CC" w:rsidRPr="003C539C" w:rsidRDefault="007855CC" w:rsidP="007855CC">
          <w:pPr>
            <w:pStyle w:val="TOCHeading"/>
          </w:pPr>
          <w:r w:rsidRPr="00D84395">
            <w:t>Contents</w:t>
          </w:r>
        </w:p>
        <w:p w14:paraId="1218A22B" w14:textId="1322F8FA" w:rsidR="00D91B41" w:rsidRDefault="0095636C">
          <w:pPr>
            <w:pStyle w:val="TOC1"/>
            <w:tabs>
              <w:tab w:val="right" w:leader="dot" w:pos="9060"/>
            </w:tabs>
            <w:rPr>
              <w:rFonts w:eastAsiaTheme="minorEastAsia"/>
              <w:b w:val="0"/>
              <w:noProof/>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27537004" w:history="1">
            <w:r w:rsidR="00D91B41" w:rsidRPr="00886EFF">
              <w:rPr>
                <w:rStyle w:val="Hyperlink"/>
                <w:noProof/>
              </w:rPr>
              <w:t>Overview</w:t>
            </w:r>
            <w:r w:rsidR="00D91B41">
              <w:rPr>
                <w:noProof/>
                <w:webHidden/>
              </w:rPr>
              <w:tab/>
            </w:r>
            <w:r w:rsidR="00D91B41">
              <w:rPr>
                <w:noProof/>
                <w:webHidden/>
              </w:rPr>
              <w:fldChar w:fldCharType="begin"/>
            </w:r>
            <w:r w:rsidR="00D91B41">
              <w:rPr>
                <w:noProof/>
                <w:webHidden/>
              </w:rPr>
              <w:instrText xml:space="preserve"> PAGEREF _Toc127537004 \h </w:instrText>
            </w:r>
            <w:r w:rsidR="00D91B41">
              <w:rPr>
                <w:noProof/>
                <w:webHidden/>
              </w:rPr>
            </w:r>
            <w:r w:rsidR="00D91B41">
              <w:rPr>
                <w:noProof/>
                <w:webHidden/>
              </w:rPr>
              <w:fldChar w:fldCharType="separate"/>
            </w:r>
            <w:r w:rsidR="00C355EC">
              <w:rPr>
                <w:noProof/>
                <w:webHidden/>
              </w:rPr>
              <w:t>4</w:t>
            </w:r>
            <w:r w:rsidR="00D91B41">
              <w:rPr>
                <w:noProof/>
                <w:webHidden/>
              </w:rPr>
              <w:fldChar w:fldCharType="end"/>
            </w:r>
          </w:hyperlink>
        </w:p>
        <w:p w14:paraId="561215CD" w14:textId="4DBF7C44" w:rsidR="00D91B41" w:rsidRDefault="007C4A0C">
          <w:pPr>
            <w:pStyle w:val="TOC1"/>
            <w:tabs>
              <w:tab w:val="right" w:leader="dot" w:pos="9060"/>
            </w:tabs>
            <w:rPr>
              <w:rFonts w:eastAsiaTheme="minorEastAsia"/>
              <w:b w:val="0"/>
              <w:noProof/>
              <w:lang w:eastAsia="en-AU"/>
            </w:rPr>
          </w:pPr>
          <w:hyperlink w:anchor="_Toc127537005" w:history="1">
            <w:r w:rsidR="00D91B41" w:rsidRPr="00886EFF">
              <w:rPr>
                <w:rStyle w:val="Hyperlink"/>
                <w:noProof/>
              </w:rPr>
              <w:t>Before the Job-ready Graduates package</w:t>
            </w:r>
            <w:r w:rsidR="00D91B41">
              <w:rPr>
                <w:noProof/>
                <w:webHidden/>
              </w:rPr>
              <w:tab/>
            </w:r>
            <w:r w:rsidR="00D91B41">
              <w:rPr>
                <w:noProof/>
                <w:webHidden/>
              </w:rPr>
              <w:fldChar w:fldCharType="begin"/>
            </w:r>
            <w:r w:rsidR="00D91B41">
              <w:rPr>
                <w:noProof/>
                <w:webHidden/>
              </w:rPr>
              <w:instrText xml:space="preserve"> PAGEREF _Toc127537005 \h </w:instrText>
            </w:r>
            <w:r w:rsidR="00D91B41">
              <w:rPr>
                <w:noProof/>
                <w:webHidden/>
              </w:rPr>
            </w:r>
            <w:r w:rsidR="00D91B41">
              <w:rPr>
                <w:noProof/>
                <w:webHidden/>
              </w:rPr>
              <w:fldChar w:fldCharType="separate"/>
            </w:r>
            <w:r w:rsidR="00C355EC">
              <w:rPr>
                <w:noProof/>
                <w:webHidden/>
              </w:rPr>
              <w:t>5</w:t>
            </w:r>
            <w:r w:rsidR="00D91B41">
              <w:rPr>
                <w:noProof/>
                <w:webHidden/>
              </w:rPr>
              <w:fldChar w:fldCharType="end"/>
            </w:r>
          </w:hyperlink>
        </w:p>
        <w:p w14:paraId="0EDB2C92" w14:textId="4F759AEA" w:rsidR="00D91B41" w:rsidRDefault="007C4A0C">
          <w:pPr>
            <w:pStyle w:val="TOC1"/>
            <w:tabs>
              <w:tab w:val="right" w:leader="dot" w:pos="9060"/>
            </w:tabs>
            <w:rPr>
              <w:rFonts w:eastAsiaTheme="minorEastAsia"/>
              <w:b w:val="0"/>
              <w:noProof/>
              <w:lang w:eastAsia="en-AU"/>
            </w:rPr>
          </w:pPr>
          <w:hyperlink w:anchor="_Toc127537006" w:history="1">
            <w:r w:rsidR="00D91B41" w:rsidRPr="00886EFF">
              <w:rPr>
                <w:rStyle w:val="Hyperlink"/>
                <w:noProof/>
              </w:rPr>
              <w:t>Job-ready Graduates package</w:t>
            </w:r>
            <w:r w:rsidR="00D91B41">
              <w:rPr>
                <w:noProof/>
                <w:webHidden/>
              </w:rPr>
              <w:tab/>
            </w:r>
            <w:r w:rsidR="00D91B41">
              <w:rPr>
                <w:noProof/>
                <w:webHidden/>
              </w:rPr>
              <w:fldChar w:fldCharType="begin"/>
            </w:r>
            <w:r w:rsidR="00D91B41">
              <w:rPr>
                <w:noProof/>
                <w:webHidden/>
              </w:rPr>
              <w:instrText xml:space="preserve"> PAGEREF _Toc127537006 \h </w:instrText>
            </w:r>
            <w:r w:rsidR="00D91B41">
              <w:rPr>
                <w:noProof/>
                <w:webHidden/>
              </w:rPr>
            </w:r>
            <w:r w:rsidR="00D91B41">
              <w:rPr>
                <w:noProof/>
                <w:webHidden/>
              </w:rPr>
              <w:fldChar w:fldCharType="separate"/>
            </w:r>
            <w:r w:rsidR="00C355EC">
              <w:rPr>
                <w:noProof/>
                <w:webHidden/>
              </w:rPr>
              <w:t>6</w:t>
            </w:r>
            <w:r w:rsidR="00D91B41">
              <w:rPr>
                <w:noProof/>
                <w:webHidden/>
              </w:rPr>
              <w:fldChar w:fldCharType="end"/>
            </w:r>
          </w:hyperlink>
        </w:p>
        <w:p w14:paraId="0949A161" w14:textId="32BE3500" w:rsidR="00D91B41" w:rsidRDefault="007C4A0C">
          <w:pPr>
            <w:pStyle w:val="TOC3"/>
            <w:tabs>
              <w:tab w:val="right" w:leader="dot" w:pos="9060"/>
            </w:tabs>
            <w:rPr>
              <w:rFonts w:eastAsiaTheme="minorEastAsia"/>
              <w:noProof/>
              <w:lang w:eastAsia="en-AU"/>
            </w:rPr>
          </w:pPr>
          <w:hyperlink w:anchor="_Toc127537007" w:history="1">
            <w:r w:rsidR="00D91B41" w:rsidRPr="00886EFF">
              <w:rPr>
                <w:rStyle w:val="Hyperlink"/>
                <w:noProof/>
              </w:rPr>
              <w:t>Increasing the number of graduates in areas of expected employment growth and demand</w:t>
            </w:r>
            <w:r w:rsidR="00D91B41">
              <w:rPr>
                <w:noProof/>
                <w:webHidden/>
              </w:rPr>
              <w:tab/>
            </w:r>
            <w:r w:rsidR="00D91B41">
              <w:rPr>
                <w:noProof/>
                <w:webHidden/>
              </w:rPr>
              <w:fldChar w:fldCharType="begin"/>
            </w:r>
            <w:r w:rsidR="00D91B41">
              <w:rPr>
                <w:noProof/>
                <w:webHidden/>
              </w:rPr>
              <w:instrText xml:space="preserve"> PAGEREF _Toc127537007 \h </w:instrText>
            </w:r>
            <w:r w:rsidR="00D91B41">
              <w:rPr>
                <w:noProof/>
                <w:webHidden/>
              </w:rPr>
            </w:r>
            <w:r w:rsidR="00D91B41">
              <w:rPr>
                <w:noProof/>
                <w:webHidden/>
              </w:rPr>
              <w:fldChar w:fldCharType="separate"/>
            </w:r>
            <w:r w:rsidR="00C355EC">
              <w:rPr>
                <w:noProof/>
                <w:webHidden/>
              </w:rPr>
              <w:t>6</w:t>
            </w:r>
            <w:r w:rsidR="00D91B41">
              <w:rPr>
                <w:noProof/>
                <w:webHidden/>
              </w:rPr>
              <w:fldChar w:fldCharType="end"/>
            </w:r>
          </w:hyperlink>
        </w:p>
        <w:p w14:paraId="68C0AC86" w14:textId="22CC26B7" w:rsidR="00D91B41" w:rsidRDefault="007C4A0C">
          <w:pPr>
            <w:pStyle w:val="TOC3"/>
            <w:tabs>
              <w:tab w:val="right" w:leader="dot" w:pos="9060"/>
            </w:tabs>
            <w:rPr>
              <w:rFonts w:eastAsiaTheme="minorEastAsia"/>
              <w:noProof/>
              <w:lang w:eastAsia="en-AU"/>
            </w:rPr>
          </w:pPr>
          <w:hyperlink w:anchor="_Toc127537008" w:history="1">
            <w:r w:rsidR="00D91B41" w:rsidRPr="00886EFF">
              <w:rPr>
                <w:rStyle w:val="Hyperlink"/>
                <w:noProof/>
              </w:rPr>
              <w:t>Lifting Attainment for Students in Regional Australia</w:t>
            </w:r>
            <w:r w:rsidR="00D91B41">
              <w:rPr>
                <w:noProof/>
                <w:webHidden/>
              </w:rPr>
              <w:tab/>
            </w:r>
            <w:r w:rsidR="00D91B41">
              <w:rPr>
                <w:noProof/>
                <w:webHidden/>
              </w:rPr>
              <w:fldChar w:fldCharType="begin"/>
            </w:r>
            <w:r w:rsidR="00D91B41">
              <w:rPr>
                <w:noProof/>
                <w:webHidden/>
              </w:rPr>
              <w:instrText xml:space="preserve"> PAGEREF _Toc127537008 \h </w:instrText>
            </w:r>
            <w:r w:rsidR="00D91B41">
              <w:rPr>
                <w:noProof/>
                <w:webHidden/>
              </w:rPr>
            </w:r>
            <w:r w:rsidR="00D91B41">
              <w:rPr>
                <w:noProof/>
                <w:webHidden/>
              </w:rPr>
              <w:fldChar w:fldCharType="separate"/>
            </w:r>
            <w:r w:rsidR="00C355EC">
              <w:rPr>
                <w:noProof/>
                <w:webHidden/>
              </w:rPr>
              <w:t>10</w:t>
            </w:r>
            <w:r w:rsidR="00D91B41">
              <w:rPr>
                <w:noProof/>
                <w:webHidden/>
              </w:rPr>
              <w:fldChar w:fldCharType="end"/>
            </w:r>
          </w:hyperlink>
        </w:p>
        <w:p w14:paraId="42A789EA" w14:textId="5576B67B" w:rsidR="00D91B41" w:rsidRDefault="007C4A0C">
          <w:pPr>
            <w:pStyle w:val="TOC3"/>
            <w:tabs>
              <w:tab w:val="right" w:leader="dot" w:pos="9060"/>
            </w:tabs>
            <w:rPr>
              <w:rFonts w:eastAsiaTheme="minorEastAsia"/>
              <w:noProof/>
              <w:lang w:eastAsia="en-AU"/>
            </w:rPr>
          </w:pPr>
          <w:hyperlink w:anchor="_Toc127537009" w:history="1">
            <w:r w:rsidR="00D91B41" w:rsidRPr="00886EFF">
              <w:rPr>
                <w:rStyle w:val="Hyperlink"/>
                <w:noProof/>
              </w:rPr>
              <w:t>Strengthening Industry Engagement</w:t>
            </w:r>
            <w:r w:rsidR="00D91B41">
              <w:rPr>
                <w:noProof/>
                <w:webHidden/>
              </w:rPr>
              <w:tab/>
            </w:r>
            <w:r w:rsidR="00D91B41">
              <w:rPr>
                <w:noProof/>
                <w:webHidden/>
              </w:rPr>
              <w:fldChar w:fldCharType="begin"/>
            </w:r>
            <w:r w:rsidR="00D91B41">
              <w:rPr>
                <w:noProof/>
                <w:webHidden/>
              </w:rPr>
              <w:instrText xml:space="preserve"> PAGEREF _Toc127537009 \h </w:instrText>
            </w:r>
            <w:r w:rsidR="00D91B41">
              <w:rPr>
                <w:noProof/>
                <w:webHidden/>
              </w:rPr>
            </w:r>
            <w:r w:rsidR="00D91B41">
              <w:rPr>
                <w:noProof/>
                <w:webHidden/>
              </w:rPr>
              <w:fldChar w:fldCharType="separate"/>
            </w:r>
            <w:r w:rsidR="00C355EC">
              <w:rPr>
                <w:noProof/>
                <w:webHidden/>
              </w:rPr>
              <w:t>11</w:t>
            </w:r>
            <w:r w:rsidR="00D91B41">
              <w:rPr>
                <w:noProof/>
                <w:webHidden/>
              </w:rPr>
              <w:fldChar w:fldCharType="end"/>
            </w:r>
          </w:hyperlink>
        </w:p>
        <w:p w14:paraId="0EAD83CE" w14:textId="3062ABCD" w:rsidR="007855CC" w:rsidRPr="0095636C" w:rsidRDefault="0095636C" w:rsidP="0095636C">
          <w:r>
            <w:rPr>
              <w:rFonts w:ascii="Calibri" w:eastAsiaTheme="majorEastAsia" w:hAnsi="Calibri" w:cstheme="majorBidi"/>
              <w:b/>
              <w:color w:val="343741"/>
              <w:sz w:val="32"/>
              <w:szCs w:val="32"/>
            </w:rPr>
            <w:fldChar w:fldCharType="end"/>
          </w:r>
        </w:p>
      </w:sdtContent>
    </w:sdt>
    <w:p w14:paraId="099E5DAD" w14:textId="77777777" w:rsidR="0011024B" w:rsidRDefault="0011024B" w:rsidP="00AF26EB">
      <w:pPr>
        <w:pStyle w:val="Heading1"/>
      </w:pPr>
      <w:bookmarkStart w:id="1" w:name="_Toc110414796"/>
      <w:r>
        <w:br w:type="page"/>
      </w:r>
    </w:p>
    <w:p w14:paraId="202A3F60" w14:textId="6E8BB950" w:rsidR="007C075B" w:rsidRDefault="00B73BCD" w:rsidP="007C075B">
      <w:pPr>
        <w:pStyle w:val="Heading1"/>
      </w:pPr>
      <w:bookmarkStart w:id="2" w:name="_Toc127537004"/>
      <w:bookmarkEnd w:id="1"/>
      <w:r>
        <w:lastRenderedPageBreak/>
        <w:t>Overview</w:t>
      </w:r>
      <w:bookmarkEnd w:id="2"/>
    </w:p>
    <w:p w14:paraId="0FCE0CD6" w14:textId="29A4952A" w:rsidR="007C075B" w:rsidRDefault="00C221C7" w:rsidP="007C075B">
      <w:r>
        <w:t>The</w:t>
      </w:r>
      <w:r w:rsidRPr="00B120D0">
        <w:t xml:space="preserve"> </w:t>
      </w:r>
      <w:r>
        <w:t xml:space="preserve">JRG package was announced on </w:t>
      </w:r>
      <w:r w:rsidR="007C075B" w:rsidRPr="00B120D0">
        <w:t>19</w:t>
      </w:r>
      <w:r w:rsidR="007C075B">
        <w:t xml:space="preserve"> </w:t>
      </w:r>
      <w:r w:rsidR="007C075B" w:rsidRPr="00B120D0">
        <w:t>June 2020</w:t>
      </w:r>
      <w:r>
        <w:t xml:space="preserve">. </w:t>
      </w:r>
      <w:r w:rsidR="00210FA2">
        <w:t>T</w:t>
      </w:r>
      <w:r w:rsidR="007C075B">
        <w:t xml:space="preserve">he majority of measures </w:t>
      </w:r>
      <w:r w:rsidR="00210FA2">
        <w:t xml:space="preserve">in the package </w:t>
      </w:r>
      <w:r w:rsidR="007C075B">
        <w:t>commence</w:t>
      </w:r>
      <w:r w:rsidR="00E4529A">
        <w:t>d</w:t>
      </w:r>
      <w:r w:rsidR="007C075B">
        <w:t xml:space="preserve"> on </w:t>
      </w:r>
      <w:r w:rsidR="00210FA2">
        <w:t>1 </w:t>
      </w:r>
      <w:r w:rsidR="007C075B" w:rsidRPr="00B120D0">
        <w:t>January 2021</w:t>
      </w:r>
      <w:r w:rsidR="007C075B">
        <w:t>. The reforms were the first major change to higher education funding rates since 2005 when the C</w:t>
      </w:r>
      <w:r>
        <w:t>ommonwealth Grant Scheme (C</w:t>
      </w:r>
      <w:r w:rsidR="007C075B">
        <w:t>GS</w:t>
      </w:r>
      <w:r>
        <w:t>)</w:t>
      </w:r>
      <w:r w:rsidR="007C075B">
        <w:t xml:space="preserve"> was introduced. The reforms centred on a redesign of the CGS funding clusters and </w:t>
      </w:r>
      <w:r w:rsidR="00AC6373">
        <w:t xml:space="preserve">student contribution (SCA) </w:t>
      </w:r>
      <w:r w:rsidR="007C075B">
        <w:t xml:space="preserve">bands, with a rebalance of Commonwealth and student contributions. </w:t>
      </w:r>
      <w:r w:rsidR="00603A9D">
        <w:t>I</w:t>
      </w:r>
      <w:r w:rsidR="007C075B">
        <w:t>t included reductions in student contributions for some (priority) fields</w:t>
      </w:r>
      <w:r w:rsidR="00AC6373">
        <w:t xml:space="preserve"> </w:t>
      </w:r>
      <w:r w:rsidR="007C075B">
        <w:t xml:space="preserve">and increases in student contributions in other fields. </w:t>
      </w:r>
    </w:p>
    <w:p w14:paraId="6ECF21BD" w14:textId="612FEBFC" w:rsidR="007C075B" w:rsidRDefault="007C075B" w:rsidP="007C075B">
      <w:pPr>
        <w:spacing w:after="120"/>
      </w:pPr>
      <w:r>
        <w:t xml:space="preserve">The cluster redesign enabled other reforms to be implemented. </w:t>
      </w:r>
    </w:p>
    <w:p w14:paraId="1B4E521D" w14:textId="32B145C0" w:rsidR="007C075B" w:rsidRDefault="002120BF" w:rsidP="007C075B">
      <w:pPr>
        <w:pStyle w:val="ListParagraph"/>
        <w:numPr>
          <w:ilvl w:val="0"/>
          <w:numId w:val="17"/>
        </w:numPr>
        <w:spacing w:after="160" w:line="259" w:lineRule="auto"/>
      </w:pPr>
      <w:r>
        <w:t>T</w:t>
      </w:r>
      <w:r w:rsidR="007C075B">
        <w:t>o accommodate increasing numbers of students, significant growth funding was introduced based on campus locations</w:t>
      </w:r>
      <w:r w:rsidR="00CE0D4D">
        <w:t>, while</w:t>
      </w:r>
      <w:r w:rsidR="0093406A">
        <w:t xml:space="preserve"> indexation for all </w:t>
      </w:r>
      <w:r w:rsidR="007C075B">
        <w:t xml:space="preserve">CGS grant amounts </w:t>
      </w:r>
      <w:r w:rsidR="0093406A">
        <w:t xml:space="preserve">was linked to the </w:t>
      </w:r>
      <w:r w:rsidR="00246C0E">
        <w:t>Consumer Price Index (CPI)</w:t>
      </w:r>
      <w:r w:rsidR="007C075B">
        <w:t>, ensuring funding maintains value over time.</w:t>
      </w:r>
    </w:p>
    <w:p w14:paraId="26B0DF27" w14:textId="77777777" w:rsidR="007C075B" w:rsidRDefault="007C075B" w:rsidP="007C075B">
      <w:pPr>
        <w:pStyle w:val="ListParagraph"/>
        <w:numPr>
          <w:ilvl w:val="0"/>
          <w:numId w:val="17"/>
        </w:numPr>
        <w:spacing w:after="160" w:line="259" w:lineRule="auto"/>
      </w:pPr>
      <w:r>
        <w:t xml:space="preserve">The package also allocated funding for additional student places in national priority fields. </w:t>
      </w:r>
    </w:p>
    <w:p w14:paraId="6A6DB2FB" w14:textId="74A9BBD3" w:rsidR="007C075B" w:rsidRDefault="007C075B" w:rsidP="007C075B">
      <w:pPr>
        <w:pStyle w:val="ListParagraph"/>
        <w:numPr>
          <w:ilvl w:val="0"/>
          <w:numId w:val="17"/>
        </w:numPr>
        <w:spacing w:after="160" w:line="259" w:lineRule="auto"/>
      </w:pPr>
      <w:r>
        <w:t xml:space="preserve">Universities were given more freedom to enrol students at the </w:t>
      </w:r>
      <w:r w:rsidR="005855BC">
        <w:t xml:space="preserve">course </w:t>
      </w:r>
      <w:r>
        <w:t xml:space="preserve">levels they deem most appropriate, through the introduction of a “funding envelope”. </w:t>
      </w:r>
    </w:p>
    <w:p w14:paraId="0D7842E5" w14:textId="77777777" w:rsidR="007C075B" w:rsidRDefault="007C075B" w:rsidP="007C075B">
      <w:pPr>
        <w:pStyle w:val="ListParagraph"/>
        <w:numPr>
          <w:ilvl w:val="0"/>
          <w:numId w:val="17"/>
        </w:numPr>
        <w:spacing w:after="160" w:line="259" w:lineRule="auto"/>
      </w:pPr>
      <w:r>
        <w:t>A new industry engagement fund – the National Priorities and Industry Linkage Fund or NPILF – was introduced to encourage more engagement with industry and to better-prepare students for work in priority areas.</w:t>
      </w:r>
    </w:p>
    <w:p w14:paraId="1335249D" w14:textId="349658C0" w:rsidR="00866E60" w:rsidRDefault="00866E60" w:rsidP="007C075B">
      <w:pPr>
        <w:pStyle w:val="ListParagraph"/>
        <w:numPr>
          <w:ilvl w:val="0"/>
          <w:numId w:val="17"/>
        </w:numPr>
        <w:spacing w:after="160" w:line="259" w:lineRule="auto"/>
      </w:pPr>
      <w:r>
        <w:t xml:space="preserve">Demand driven funding was restored for </w:t>
      </w:r>
      <w:r w:rsidR="00C43A90">
        <w:t>First Nations</w:t>
      </w:r>
      <w:r>
        <w:t xml:space="preserve"> students from regional areas studying non-medical bachelor programs at table A universities.</w:t>
      </w:r>
    </w:p>
    <w:p w14:paraId="0F54DF2B" w14:textId="295CFF1F" w:rsidR="007C075B" w:rsidRDefault="007C075B" w:rsidP="007C075B">
      <w:r>
        <w:t>Transitional arrangements</w:t>
      </w:r>
      <w:r w:rsidR="007A6E95">
        <w:t xml:space="preserve"> </w:t>
      </w:r>
      <w:r>
        <w:t>included a funding guarantee (which guaranteed both full payment of CGS payments irrespective of enrolments and the use of pre-COVID indexation parameters) and a transition fund</w:t>
      </w:r>
      <w:r w:rsidR="003F632B">
        <w:t xml:space="preserve"> loading</w:t>
      </w:r>
      <w:r>
        <w:t>. These arrangements operate over the first three years of implementation (2021 to 2023)</w:t>
      </w:r>
      <w:r w:rsidR="00F77CF6">
        <w:t>,</w:t>
      </w:r>
      <w:r>
        <w:t xml:space="preserve"> </w:t>
      </w:r>
      <w:r w:rsidR="00F77CF6">
        <w:t xml:space="preserve">to </w:t>
      </w:r>
      <w:r>
        <w:t>ensure universities have time to adjust their operations in line with the new funding system.</w:t>
      </w:r>
      <w:r w:rsidR="00CE0D4D">
        <w:t xml:space="preserve"> Grandfathering arrangements were also introduced to ensure that students that commenced prior to the introduction of JRG were not disadvantaged while finishing their course.</w:t>
      </w:r>
    </w:p>
    <w:p w14:paraId="46022C5E" w14:textId="6A6529F2" w:rsidR="007C075B" w:rsidRDefault="007C075B" w:rsidP="007C075B">
      <w:pPr>
        <w:spacing w:after="120"/>
      </w:pPr>
      <w:r>
        <w:t>In addition to these changes, the package also introduced a range of student protection measures, including a requirement that students pass at least 50 per cent of their course in the first year. A</w:t>
      </w:r>
      <w:r w:rsidR="00C74F01">
        <w:t xml:space="preserve"> seven-year</w:t>
      </w:r>
      <w:r>
        <w:t xml:space="preserve"> limit </w:t>
      </w:r>
      <w:r w:rsidR="00C74F01">
        <w:t xml:space="preserve">(plus an allowance for long courses and lifelong learning) </w:t>
      </w:r>
      <w:r>
        <w:t xml:space="preserve">on a student </w:t>
      </w:r>
      <w:r w:rsidR="00C74F01">
        <w:t>eligibility for Commonwealth support</w:t>
      </w:r>
      <w:r>
        <w:t xml:space="preserve"> was also introduced to encourage students to complete their degrees and enter the workforce.</w:t>
      </w:r>
    </w:p>
    <w:p w14:paraId="5C6CF162" w14:textId="0CE52BCC" w:rsidR="007C075B" w:rsidRDefault="007C075B" w:rsidP="007C075B">
      <w:pPr>
        <w:spacing w:after="120"/>
        <w:rPr>
          <w:color w:val="212529"/>
        </w:rPr>
      </w:pPr>
      <w:r>
        <w:t xml:space="preserve">While </w:t>
      </w:r>
      <w:r>
        <w:rPr>
          <w:color w:val="212529"/>
        </w:rPr>
        <w:t>t</w:t>
      </w:r>
      <w:r w:rsidRPr="00B120D0">
        <w:rPr>
          <w:color w:val="212529"/>
        </w:rPr>
        <w:t xml:space="preserve">he JRG package was </w:t>
      </w:r>
      <w:r>
        <w:rPr>
          <w:color w:val="212529"/>
        </w:rPr>
        <w:t xml:space="preserve">announced during the initial response to the </w:t>
      </w:r>
      <w:r w:rsidRPr="00B120D0">
        <w:rPr>
          <w:color w:val="212529"/>
        </w:rPr>
        <w:t>COVID-19 pandemic</w:t>
      </w:r>
      <w:r>
        <w:rPr>
          <w:color w:val="212529"/>
        </w:rPr>
        <w:t xml:space="preserve"> and was intended to contribute to Australia’s economic recovery</w:t>
      </w:r>
      <w:r w:rsidRPr="00B120D0">
        <w:rPr>
          <w:color w:val="212529"/>
        </w:rPr>
        <w:t xml:space="preserve">, </w:t>
      </w:r>
      <w:r>
        <w:rPr>
          <w:color w:val="212529"/>
        </w:rPr>
        <w:t xml:space="preserve">it was not specifically designed as a response to the pandemic. </w:t>
      </w:r>
      <w:bookmarkStart w:id="3" w:name="_Hlk105423062"/>
      <w:r>
        <w:rPr>
          <w:color w:val="212529"/>
        </w:rPr>
        <w:t>Its objectives, as outlined at its announcement were to:</w:t>
      </w:r>
    </w:p>
    <w:p w14:paraId="5A751145" w14:textId="77777777" w:rsidR="007C075B" w:rsidRDefault="007C075B" w:rsidP="007C075B">
      <w:pPr>
        <w:pStyle w:val="ListParagraph"/>
        <w:numPr>
          <w:ilvl w:val="0"/>
          <w:numId w:val="15"/>
        </w:numPr>
        <w:spacing w:after="160" w:line="259" w:lineRule="auto"/>
        <w:rPr>
          <w:color w:val="212529"/>
        </w:rPr>
      </w:pPr>
      <w:bookmarkStart w:id="4" w:name="_Hlk110413071"/>
      <w:r w:rsidRPr="00292B14">
        <w:rPr>
          <w:color w:val="212529"/>
        </w:rPr>
        <w:t xml:space="preserve">increase the number of graduates in areas of expected employment growth and demand; </w:t>
      </w:r>
    </w:p>
    <w:p w14:paraId="582467A5" w14:textId="77777777" w:rsidR="007C075B" w:rsidRDefault="007C075B" w:rsidP="007C075B">
      <w:pPr>
        <w:pStyle w:val="ListParagraph"/>
        <w:numPr>
          <w:ilvl w:val="0"/>
          <w:numId w:val="15"/>
        </w:numPr>
        <w:spacing w:after="160" w:line="259" w:lineRule="auto"/>
        <w:rPr>
          <w:color w:val="212529"/>
        </w:rPr>
      </w:pPr>
      <w:r w:rsidRPr="00292B14">
        <w:rPr>
          <w:color w:val="212529"/>
        </w:rPr>
        <w:t xml:space="preserve">lift educational attainment for students in regional Australia; and </w:t>
      </w:r>
    </w:p>
    <w:p w14:paraId="74D4E316" w14:textId="64F77CCD" w:rsidR="000E05D1" w:rsidRPr="000E05D1" w:rsidRDefault="007C075B" w:rsidP="000E05D1">
      <w:pPr>
        <w:pStyle w:val="ListParagraph"/>
        <w:numPr>
          <w:ilvl w:val="0"/>
          <w:numId w:val="15"/>
        </w:numPr>
        <w:spacing w:after="160" w:line="259" w:lineRule="auto"/>
        <w:rPr>
          <w:color w:val="212529"/>
        </w:rPr>
      </w:pPr>
      <w:r w:rsidRPr="00292B14">
        <w:rPr>
          <w:color w:val="212529"/>
        </w:rPr>
        <w:t>strengthen university relationships with business to drive workforce participation and productivity.</w:t>
      </w:r>
      <w:r w:rsidRPr="0077115B">
        <w:rPr>
          <w:rStyle w:val="FootnoteReference"/>
          <w:color w:val="212529"/>
        </w:rPr>
        <w:footnoteReference w:id="1"/>
      </w:r>
      <w:r w:rsidRPr="00292B14">
        <w:rPr>
          <w:color w:val="212529"/>
        </w:rPr>
        <w:t xml:space="preserve"> </w:t>
      </w:r>
      <w:bookmarkEnd w:id="3"/>
    </w:p>
    <w:p w14:paraId="6B390B7D" w14:textId="0F82C7B2" w:rsidR="007C075B" w:rsidRDefault="00B73BCD" w:rsidP="00B73BCD">
      <w:pPr>
        <w:pStyle w:val="Heading1"/>
      </w:pPr>
      <w:bookmarkStart w:id="5" w:name="_Toc127537005"/>
      <w:bookmarkEnd w:id="4"/>
      <w:r>
        <w:lastRenderedPageBreak/>
        <w:t>Before the Job-ready Graduates package</w:t>
      </w:r>
      <w:bookmarkEnd w:id="5"/>
      <w:r w:rsidR="008B4E30" w:rsidRPr="000E05D1">
        <w:t xml:space="preserve"> </w:t>
      </w:r>
    </w:p>
    <w:p w14:paraId="067AAF3A" w14:textId="4CCB9C8C" w:rsidR="007C075B" w:rsidRDefault="007C075B" w:rsidP="007C075B">
      <w:r>
        <w:t xml:space="preserve">The majority of changes introduced as part of the JRG package were adjustments to higher education funding arrangements that previously existed. </w:t>
      </w:r>
      <w:r w:rsidR="00CE0D4D">
        <w:t>The p</w:t>
      </w:r>
      <w:r>
        <w:t xml:space="preserve">ackage therefore needs to be </w:t>
      </w:r>
      <w:r w:rsidR="00CE0D4D">
        <w:t xml:space="preserve">considered </w:t>
      </w:r>
      <w:r>
        <w:t xml:space="preserve">within the context of the system that existed prior to </w:t>
      </w:r>
      <w:r w:rsidR="00CE0D4D">
        <w:t>its introduction</w:t>
      </w:r>
      <w:r>
        <w:t>.</w:t>
      </w:r>
    </w:p>
    <w:p w14:paraId="2BA0FE71" w14:textId="05CC48D6" w:rsidR="007C075B" w:rsidRDefault="007C075B" w:rsidP="007C075B">
      <w:r>
        <w:t xml:space="preserve">Between 2012 and 2017, Australian public universities were funded based on bachelor student demand for study. </w:t>
      </w:r>
      <w:r w:rsidR="00603A9D">
        <w:t>T</w:t>
      </w:r>
      <w:r w:rsidRPr="003D09E0">
        <w:t xml:space="preserve">he </w:t>
      </w:r>
      <w:r w:rsidR="00137BC7">
        <w:t xml:space="preserve">Demand Driven </w:t>
      </w:r>
      <w:r w:rsidR="00B84F80">
        <w:t xml:space="preserve">Funding </w:t>
      </w:r>
      <w:r w:rsidR="00137BC7">
        <w:t xml:space="preserve">System </w:t>
      </w:r>
      <w:r w:rsidR="00603A9D">
        <w:t xml:space="preserve">was ceased </w:t>
      </w:r>
      <w:r w:rsidRPr="003D09E0">
        <w:t>in the 2017-18 Mid-Year Economic and Fiscal Outlook (MYEFO)</w:t>
      </w:r>
      <w:r w:rsidR="00CE0D4D">
        <w:t>.</w:t>
      </w:r>
    </w:p>
    <w:p w14:paraId="5A4DFBA2" w14:textId="4CAFD4CB" w:rsidR="007C075B" w:rsidRDefault="007C075B" w:rsidP="007C075B">
      <w:r w:rsidRPr="003D09E0">
        <w:t>Effective from 1 January 2018, non-designated (domestic non-medical bachelor places, which had previously been demand-driven) CGS funding for universities remain</w:t>
      </w:r>
      <w:r w:rsidR="00D063DD">
        <w:t>ed</w:t>
      </w:r>
      <w:r w:rsidRPr="003D09E0">
        <w:t xml:space="preserve"> at the 2017 level, throughout 2018 and 2019</w:t>
      </w:r>
      <w:r w:rsidRPr="0077115B">
        <w:t>.</w:t>
      </w:r>
      <w:r w:rsidRPr="003D09E0">
        <w:t xml:space="preserve"> This pause in funding growth was implemented by setting a </w:t>
      </w:r>
      <w:r w:rsidR="00DB7259">
        <w:t>Maximum Bas</w:t>
      </w:r>
      <w:r w:rsidR="00706DBC">
        <w:t>ic</w:t>
      </w:r>
      <w:r w:rsidR="00DB7259">
        <w:t xml:space="preserve"> Grant Amount (</w:t>
      </w:r>
      <w:r w:rsidRPr="003D09E0">
        <w:t>MBGA</w:t>
      </w:r>
      <w:r w:rsidR="00DB7259">
        <w:t>)</w:t>
      </w:r>
      <w:r w:rsidRPr="003D09E0">
        <w:t xml:space="preserve"> for non-designated courses in the 2018 funding agreements between universities and the Commonwealth</w:t>
      </w:r>
      <w:r w:rsidRPr="0077115B">
        <w:t>.</w:t>
      </w:r>
      <w:r w:rsidRPr="003D09E0">
        <w:t xml:space="preserve"> Growth in non-designated CGS funding resume</w:t>
      </w:r>
      <w:r w:rsidR="00210FA2">
        <w:t>d</w:t>
      </w:r>
      <w:r w:rsidRPr="003D09E0">
        <w:t xml:space="preserve"> in 2020</w:t>
      </w:r>
      <w:r w:rsidR="00210FA2">
        <w:t>,</w:t>
      </w:r>
      <w:r w:rsidRPr="003D09E0">
        <w:t xml:space="preserve"> subject to</w:t>
      </w:r>
      <w:r w:rsidR="00210FA2">
        <w:t xml:space="preserve"> universities</w:t>
      </w:r>
      <w:r w:rsidRPr="003D09E0">
        <w:t xml:space="preserve"> meeting performance targets</w:t>
      </w:r>
      <w:r w:rsidR="00CE0D4D">
        <w:t xml:space="preserve"> – the Performance-based funding (PBF) scheme</w:t>
      </w:r>
      <w:r w:rsidRPr="003D09E0">
        <w:t xml:space="preserve">. </w:t>
      </w:r>
    </w:p>
    <w:p w14:paraId="7CBB53BC" w14:textId="43ED1A2C" w:rsidR="007C075B" w:rsidRDefault="00603A9D" w:rsidP="007C075B">
      <w:r>
        <w:t>Prior to JRG</w:t>
      </w:r>
      <w:r w:rsidR="008B4E30">
        <w:t>,</w:t>
      </w:r>
      <w:r w:rsidR="007C075B" w:rsidRPr="003D09E0">
        <w:t xml:space="preserve"> growth funding from 2020 onwards was </w:t>
      </w:r>
      <w:r>
        <w:t xml:space="preserve">to be </w:t>
      </w:r>
      <w:r w:rsidR="007C075B" w:rsidRPr="003D09E0">
        <w:t>set at the rate of projected population growth for 18-64 year</w:t>
      </w:r>
      <w:r w:rsidR="007C075B">
        <w:t>-</w:t>
      </w:r>
      <w:r w:rsidR="007C075B" w:rsidRPr="003D09E0">
        <w:t>olds</w:t>
      </w:r>
      <w:r w:rsidR="00CE0D4D">
        <w:t xml:space="preserve"> (1.36 per cent in 2020)</w:t>
      </w:r>
      <w:r w:rsidR="007C075B" w:rsidRPr="003D09E0">
        <w:t>, while CGS cluster rates continued to be indexed by CPI. This would lead to fewer places being “fully funded” by the MBGA over time if CPI grew faster</w:t>
      </w:r>
      <w:r w:rsidR="007C075B" w:rsidRPr="00107E29">
        <w:t xml:space="preserve"> than population</w:t>
      </w:r>
      <w:r w:rsidR="00D063DD">
        <w:t>.</w:t>
      </w:r>
      <w:r w:rsidR="007C075B">
        <w:t xml:space="preserve"> However, universities continued to receive the full student contribution for every student enrolled in a CSP, and universities maintained the ability to enrol as many students in CSPs as they wished. This meant that only CGS funding, not student places, was capped. Most universities continued to grow enrolments over this period.</w:t>
      </w:r>
    </w:p>
    <w:p w14:paraId="398843FD" w14:textId="44FD71FE" w:rsidR="007C075B" w:rsidRDefault="007C075B" w:rsidP="007C075B">
      <w:pPr>
        <w:rPr>
          <w:rFonts w:cstheme="minorHAnsi"/>
          <w:b/>
          <w:bCs/>
        </w:rPr>
      </w:pPr>
      <w:r>
        <w:rPr>
          <w:rFonts w:cstheme="minorHAnsi"/>
          <w:color w:val="212529"/>
        </w:rPr>
        <w:t>Due to concerns over the impact of the COVID-19 pandemic on the sector,</w:t>
      </w:r>
      <w:r w:rsidR="00D04750">
        <w:rPr>
          <w:rFonts w:cstheme="minorHAnsi"/>
          <w:color w:val="212529"/>
        </w:rPr>
        <w:t xml:space="preserve"> the</w:t>
      </w:r>
      <w:r>
        <w:rPr>
          <w:rFonts w:cstheme="minorHAnsi"/>
          <w:color w:val="212529"/>
        </w:rPr>
        <w:t xml:space="preserve"> </w:t>
      </w:r>
      <w:r>
        <w:rPr>
          <w:rFonts w:cstheme="minorHAnsi"/>
          <w:i/>
          <w:iCs/>
          <w:color w:val="212529"/>
        </w:rPr>
        <w:t>Higher Education Relief</w:t>
      </w:r>
      <w:r>
        <w:rPr>
          <w:rFonts w:cstheme="minorHAnsi"/>
          <w:color w:val="212529"/>
        </w:rPr>
        <w:t xml:space="preserve"> </w:t>
      </w:r>
      <w:r>
        <w:rPr>
          <w:rFonts w:cstheme="minorHAnsi"/>
          <w:i/>
          <w:iCs/>
          <w:color w:val="212529"/>
        </w:rPr>
        <w:t>Package</w:t>
      </w:r>
      <w:r>
        <w:rPr>
          <w:rFonts w:cstheme="minorHAnsi"/>
          <w:color w:val="212529"/>
        </w:rPr>
        <w:t xml:space="preserve"> </w:t>
      </w:r>
      <w:r w:rsidR="00386133">
        <w:rPr>
          <w:rFonts w:cstheme="minorHAnsi"/>
          <w:color w:val="212529"/>
        </w:rPr>
        <w:t xml:space="preserve">(the relief package) </w:t>
      </w:r>
      <w:r>
        <w:rPr>
          <w:rFonts w:cstheme="minorHAnsi"/>
          <w:color w:val="212529"/>
        </w:rPr>
        <w:t>was announced in April 2020. The</w:t>
      </w:r>
      <w:r w:rsidR="00386133">
        <w:rPr>
          <w:rFonts w:cstheme="minorHAnsi"/>
          <w:color w:val="212529"/>
        </w:rPr>
        <w:t xml:space="preserve"> relief</w:t>
      </w:r>
      <w:r>
        <w:rPr>
          <w:rFonts w:cstheme="minorHAnsi"/>
          <w:color w:val="212529"/>
        </w:rPr>
        <w:t xml:space="preserve"> package implemented a funding guarantee, which </w:t>
      </w:r>
      <w:r>
        <w:rPr>
          <w:rFonts w:cstheme="minorHAnsi"/>
        </w:rPr>
        <w:t xml:space="preserve">guaranteed CGS funding for higher education providers, regardless of any fall in student enrolments. </w:t>
      </w:r>
      <w:r w:rsidR="00CE0D4D">
        <w:rPr>
          <w:rFonts w:cstheme="minorHAnsi"/>
        </w:rPr>
        <w:t>The introduction of this guarantee meant the PBF scheme that was meant to commence in 2020 was essentially paused as all universities were guaranteed their full CGS funding.</w:t>
      </w:r>
    </w:p>
    <w:p w14:paraId="3BA521F1" w14:textId="16B4C4F9" w:rsidR="007C075B" w:rsidRDefault="007C075B" w:rsidP="007C075B">
      <w:pPr>
        <w:rPr>
          <w:rFonts w:cstheme="minorHAnsi"/>
        </w:rPr>
      </w:pPr>
      <w:r>
        <w:rPr>
          <w:rFonts w:cstheme="minorHAnsi"/>
        </w:rPr>
        <w:t xml:space="preserve">To provide universities with more flexibility in the courses they could offer, funding agreements were adjusted to allow universities </w:t>
      </w:r>
      <w:r w:rsidR="00D32401">
        <w:rPr>
          <w:rFonts w:cstheme="minorHAnsi"/>
        </w:rPr>
        <w:t>to</w:t>
      </w:r>
      <w:r>
        <w:rPr>
          <w:rFonts w:cstheme="minorHAnsi"/>
        </w:rPr>
        <w:t xml:space="preserve"> move funding that had previously been specified for designated (sub-bachelor, postgraduate and medical) courses to support non-designated (non</w:t>
      </w:r>
      <w:r>
        <w:rPr>
          <w:rFonts w:cstheme="minorHAnsi"/>
        </w:rPr>
        <w:noBreakHyphen/>
        <w:t xml:space="preserve">medical bachelor) courses. </w:t>
      </w:r>
      <w:r w:rsidR="00CE0D4D">
        <w:rPr>
          <w:rFonts w:cstheme="minorHAnsi"/>
          <w:color w:val="212529"/>
        </w:rPr>
        <w:t>The relief package</w:t>
      </w:r>
      <w:r w:rsidR="00CE0D4D">
        <w:rPr>
          <w:rFonts w:cstheme="minorHAnsi"/>
          <w:i/>
          <w:iCs/>
          <w:color w:val="212529"/>
        </w:rPr>
        <w:t xml:space="preserve"> </w:t>
      </w:r>
      <w:r w:rsidR="00CE0D4D">
        <w:rPr>
          <w:rFonts w:cstheme="minorHAnsi"/>
          <w:color w:val="212529"/>
        </w:rPr>
        <w:t>also</w:t>
      </w:r>
      <w:r w:rsidR="00CE0D4D">
        <w:rPr>
          <w:rFonts w:cstheme="minorHAnsi"/>
        </w:rPr>
        <w:t xml:space="preserve"> introduced support for online short courses (including the new award category of undergraduate certificates)</w:t>
      </w:r>
      <w:r w:rsidR="00CE0D4D">
        <w:rPr>
          <w:rFonts w:cstheme="minorHAnsi"/>
          <w:b/>
          <w:bCs/>
        </w:rPr>
        <w:t>.</w:t>
      </w:r>
    </w:p>
    <w:p w14:paraId="64A1F085" w14:textId="77777777" w:rsidR="00B73BCD" w:rsidRDefault="00B73BCD">
      <w:pPr>
        <w:spacing w:after="160" w:line="259" w:lineRule="auto"/>
        <w:rPr>
          <w:rFonts w:ascii="Calibri" w:eastAsiaTheme="majorEastAsia" w:hAnsi="Calibri" w:cstheme="majorBidi"/>
          <w:b/>
          <w:color w:val="002D3F"/>
          <w:sz w:val="32"/>
          <w:szCs w:val="32"/>
        </w:rPr>
      </w:pPr>
      <w:bookmarkStart w:id="6" w:name="_Toc110414798"/>
      <w:r>
        <w:br w:type="page"/>
      </w:r>
    </w:p>
    <w:p w14:paraId="1EDE0321" w14:textId="491924B4" w:rsidR="007C075B" w:rsidRPr="005405B6" w:rsidRDefault="007C075B" w:rsidP="00B73BCD">
      <w:pPr>
        <w:pStyle w:val="Heading1"/>
      </w:pPr>
      <w:bookmarkStart w:id="7" w:name="_Toc127537006"/>
      <w:r w:rsidRPr="00C51B59">
        <w:lastRenderedPageBreak/>
        <w:t>Job-ready Graduates package</w:t>
      </w:r>
      <w:bookmarkEnd w:id="6"/>
      <w:bookmarkEnd w:id="7"/>
    </w:p>
    <w:p w14:paraId="462AD4D1" w14:textId="77777777" w:rsidR="007C075B" w:rsidRDefault="007C075B" w:rsidP="000E05D1">
      <w:pPr>
        <w:pStyle w:val="Heading3"/>
      </w:pPr>
      <w:bookmarkStart w:id="8" w:name="_Toc110414799"/>
      <w:bookmarkStart w:id="9" w:name="_Toc127537007"/>
      <w:r w:rsidRPr="00C51B59">
        <w:t>Increasing the number of graduates in areas of expected employment growth and demand</w:t>
      </w:r>
      <w:bookmarkEnd w:id="8"/>
      <w:bookmarkEnd w:id="9"/>
    </w:p>
    <w:p w14:paraId="743328DE" w14:textId="6A22E755" w:rsidR="007C075B" w:rsidRPr="00C51B59" w:rsidRDefault="007C075B" w:rsidP="000E05D1">
      <w:pPr>
        <w:pStyle w:val="Heading4"/>
      </w:pPr>
      <w:bookmarkStart w:id="10" w:name="_Toc97121124"/>
      <w:bookmarkStart w:id="11" w:name="_Toc110414800"/>
      <w:r>
        <w:t>Redesigning CGS Clusters and student contributions</w:t>
      </w:r>
      <w:bookmarkEnd w:id="10"/>
      <w:bookmarkEnd w:id="11"/>
      <w:r>
        <w:t xml:space="preserve"> </w:t>
      </w:r>
    </w:p>
    <w:p w14:paraId="5E29BD6A" w14:textId="2DC95260" w:rsidR="006D066E" w:rsidRDefault="007C075B" w:rsidP="007C075B">
      <w:r>
        <w:t>At the centre of the reform</w:t>
      </w:r>
      <w:r w:rsidR="001250B6">
        <w:t xml:space="preserve">s </w:t>
      </w:r>
      <w:r>
        <w:t>was redesign of the CGS cluster rates and student contributions</w:t>
      </w:r>
      <w:r w:rsidR="00210FA2">
        <w:t xml:space="preserve">, with the </w:t>
      </w:r>
      <w:r>
        <w:t xml:space="preserve">system simplified from eight CGS clusters and three </w:t>
      </w:r>
      <w:r w:rsidR="00885F53">
        <w:t>SCA</w:t>
      </w:r>
      <w:r>
        <w:t xml:space="preserve"> bands, to four clusters and four bands. The revised funding rates were intended to promote student enrolment in areas of high future employment growth</w:t>
      </w:r>
      <w:r w:rsidR="00CE0D4D">
        <w:t xml:space="preserve"> and</w:t>
      </w:r>
      <w:r>
        <w:t xml:space="preserve"> focus the Commonwealth’s subsidy on priority fields</w:t>
      </w:r>
      <w:r w:rsidR="0036283A">
        <w:t>.</w:t>
      </w:r>
      <w:r>
        <w:t xml:space="preserve"> </w:t>
      </w:r>
    </w:p>
    <w:p w14:paraId="78142CEE" w14:textId="240D0581" w:rsidR="0036283A" w:rsidRPr="0036283A" w:rsidRDefault="0036283A" w:rsidP="006D066E">
      <w:pPr>
        <w:pStyle w:val="Caption"/>
      </w:pPr>
      <w:r>
        <w:t>Table 1: New and old CGS and student contributions (2022 dollars)</w:t>
      </w:r>
    </w:p>
    <w:tbl>
      <w:tblPr>
        <w:tblW w:w="5000" w:type="pct"/>
        <w:tblLayout w:type="fixed"/>
        <w:tblLook w:val="04A0" w:firstRow="1" w:lastRow="0" w:firstColumn="1" w:lastColumn="0" w:noHBand="0" w:noVBand="1"/>
        <w:tblDescription w:val="Table showing changes in funding rates for each field of education."/>
      </w:tblPr>
      <w:tblGrid>
        <w:gridCol w:w="988"/>
        <w:gridCol w:w="1984"/>
        <w:gridCol w:w="1522"/>
        <w:gridCol w:w="1172"/>
        <w:gridCol w:w="350"/>
        <w:gridCol w:w="1522"/>
        <w:gridCol w:w="1522"/>
      </w:tblGrid>
      <w:tr w:rsidR="00051780" w:rsidRPr="000E53A0" w14:paraId="5B799783" w14:textId="77777777" w:rsidTr="00AF4185">
        <w:trPr>
          <w:trHeight w:val="300"/>
          <w:tblHeader/>
        </w:trPr>
        <w:tc>
          <w:tcPr>
            <w:tcW w:w="545" w:type="pct"/>
            <w:tcBorders>
              <w:top w:val="single" w:sz="4" w:space="0" w:color="auto"/>
              <w:left w:val="single" w:sz="4" w:space="0" w:color="auto"/>
              <w:bottom w:val="single" w:sz="4" w:space="0" w:color="auto"/>
              <w:right w:val="single" w:sz="4" w:space="0" w:color="auto"/>
            </w:tcBorders>
            <w:shd w:val="clear" w:color="auto" w:fill="002D3F" w:themeFill="text2"/>
            <w:noWrap/>
            <w:vAlign w:val="bottom"/>
          </w:tcPr>
          <w:p w14:paraId="50F02360" w14:textId="77777777" w:rsidR="00051780" w:rsidRPr="00617D85" w:rsidRDefault="00051780" w:rsidP="00051780">
            <w:pPr>
              <w:spacing w:before="100" w:beforeAutospacing="1" w:after="100" w:afterAutospacing="1"/>
              <w:rPr>
                <w:rFonts w:ascii="Calibri" w:hAnsi="Calibri"/>
                <w:b/>
                <w:bCs/>
                <w:color w:val="FFFFFF" w:themeColor="background1"/>
              </w:rPr>
            </w:pPr>
          </w:p>
        </w:tc>
        <w:tc>
          <w:tcPr>
            <w:tcW w:w="1095" w:type="pct"/>
            <w:tcBorders>
              <w:top w:val="single" w:sz="4" w:space="0" w:color="auto"/>
              <w:left w:val="nil"/>
              <w:bottom w:val="single" w:sz="4" w:space="0" w:color="auto"/>
              <w:right w:val="single" w:sz="4" w:space="0" w:color="auto"/>
            </w:tcBorders>
            <w:shd w:val="clear" w:color="auto" w:fill="002D3F" w:themeFill="text2"/>
            <w:noWrap/>
            <w:vAlign w:val="bottom"/>
          </w:tcPr>
          <w:p w14:paraId="2789F85D" w14:textId="77777777" w:rsidR="00051780" w:rsidRPr="00617D85" w:rsidRDefault="00051780" w:rsidP="00051780">
            <w:pPr>
              <w:spacing w:before="100" w:beforeAutospacing="1" w:after="100" w:afterAutospacing="1"/>
              <w:rPr>
                <w:rFonts w:ascii="Calibri" w:hAnsi="Calibri"/>
                <w:b/>
                <w:bCs/>
                <w:color w:val="FFFFFF" w:themeColor="background1"/>
              </w:rPr>
            </w:pPr>
          </w:p>
        </w:tc>
        <w:tc>
          <w:tcPr>
            <w:tcW w:w="1487" w:type="pct"/>
            <w:gridSpan w:val="2"/>
            <w:tcBorders>
              <w:top w:val="single" w:sz="4" w:space="0" w:color="auto"/>
              <w:left w:val="nil"/>
              <w:bottom w:val="single" w:sz="4" w:space="0" w:color="auto"/>
              <w:right w:val="single" w:sz="4" w:space="0" w:color="auto"/>
            </w:tcBorders>
            <w:shd w:val="clear" w:color="auto" w:fill="002D3F" w:themeFill="text2"/>
            <w:noWrap/>
            <w:vAlign w:val="bottom"/>
          </w:tcPr>
          <w:p w14:paraId="57A9A7C7" w14:textId="3A2F9D5E" w:rsidR="00051780" w:rsidRPr="002128AE" w:rsidRDefault="00051780" w:rsidP="002128AE">
            <w:pPr>
              <w:spacing w:before="100" w:beforeAutospacing="1" w:after="100" w:afterAutospacing="1"/>
              <w:jc w:val="center"/>
              <w:rPr>
                <w:rFonts w:ascii="Calibri" w:hAnsi="Calibri"/>
                <w:b/>
                <w:bCs/>
                <w:color w:val="FFFFFF" w:themeColor="background1"/>
              </w:rPr>
            </w:pPr>
            <w:r w:rsidRPr="002128AE">
              <w:rPr>
                <w:rFonts w:ascii="Calibri" w:hAnsi="Calibri"/>
                <w:b/>
                <w:bCs/>
                <w:color w:val="FFFFFF" w:themeColor="background1"/>
              </w:rPr>
              <w:t>CGS</w:t>
            </w:r>
          </w:p>
        </w:tc>
        <w:tc>
          <w:tcPr>
            <w:tcW w:w="1873" w:type="pct"/>
            <w:gridSpan w:val="3"/>
            <w:tcBorders>
              <w:top w:val="single" w:sz="4" w:space="0" w:color="auto"/>
              <w:left w:val="nil"/>
              <w:bottom w:val="single" w:sz="4" w:space="0" w:color="auto"/>
              <w:right w:val="single" w:sz="4" w:space="0" w:color="auto"/>
            </w:tcBorders>
            <w:shd w:val="clear" w:color="auto" w:fill="002D3F" w:themeFill="text2"/>
            <w:noWrap/>
          </w:tcPr>
          <w:p w14:paraId="7E59F0D8" w14:textId="724B0CBF" w:rsidR="00051780" w:rsidRPr="002128AE" w:rsidRDefault="00051780" w:rsidP="002128AE">
            <w:pPr>
              <w:spacing w:before="100" w:beforeAutospacing="1" w:after="100" w:afterAutospacing="1"/>
              <w:jc w:val="center"/>
              <w:rPr>
                <w:b/>
                <w:bCs/>
              </w:rPr>
            </w:pPr>
            <w:r w:rsidRPr="002128AE">
              <w:rPr>
                <w:b/>
                <w:bCs/>
              </w:rPr>
              <w:t>SCA</w:t>
            </w:r>
          </w:p>
        </w:tc>
      </w:tr>
      <w:tr w:rsidR="00051780" w:rsidRPr="000E53A0" w14:paraId="654E49EC" w14:textId="77777777" w:rsidTr="00AF4185">
        <w:trPr>
          <w:trHeight w:val="300"/>
          <w:tblHeader/>
        </w:trPr>
        <w:tc>
          <w:tcPr>
            <w:tcW w:w="545" w:type="pct"/>
            <w:tcBorders>
              <w:top w:val="single" w:sz="4" w:space="0" w:color="auto"/>
              <w:left w:val="single" w:sz="4" w:space="0" w:color="auto"/>
              <w:bottom w:val="single" w:sz="4" w:space="0" w:color="auto"/>
              <w:right w:val="single" w:sz="4" w:space="0" w:color="auto"/>
            </w:tcBorders>
            <w:shd w:val="clear" w:color="auto" w:fill="002D3F" w:themeFill="text2"/>
            <w:noWrap/>
            <w:vAlign w:val="bottom"/>
            <w:hideMark/>
          </w:tcPr>
          <w:p w14:paraId="4B95978C" w14:textId="77777777" w:rsidR="00051780" w:rsidRPr="002128AE" w:rsidRDefault="00051780" w:rsidP="00051780">
            <w:pPr>
              <w:spacing w:before="100" w:beforeAutospacing="1" w:after="100" w:afterAutospacing="1"/>
              <w:rPr>
                <w:rFonts w:ascii="Calibri" w:hAnsi="Calibri"/>
                <w:b/>
                <w:bCs/>
                <w:color w:val="FFFFFF" w:themeColor="background1"/>
              </w:rPr>
            </w:pPr>
            <w:r w:rsidRPr="002128AE">
              <w:rPr>
                <w:rFonts w:ascii="Calibri" w:hAnsi="Calibri"/>
                <w:b/>
                <w:bCs/>
                <w:color w:val="FFFFFF" w:themeColor="background1"/>
              </w:rPr>
              <w:t>Cluster</w:t>
            </w:r>
          </w:p>
        </w:tc>
        <w:tc>
          <w:tcPr>
            <w:tcW w:w="1095" w:type="pct"/>
            <w:tcBorders>
              <w:top w:val="single" w:sz="4" w:space="0" w:color="auto"/>
              <w:left w:val="nil"/>
              <w:bottom w:val="single" w:sz="4" w:space="0" w:color="auto"/>
              <w:right w:val="single" w:sz="4" w:space="0" w:color="auto"/>
            </w:tcBorders>
            <w:shd w:val="clear" w:color="auto" w:fill="002D3F" w:themeFill="text2"/>
            <w:noWrap/>
            <w:vAlign w:val="bottom"/>
            <w:hideMark/>
          </w:tcPr>
          <w:p w14:paraId="44E3B28C" w14:textId="77777777" w:rsidR="00051780" w:rsidRPr="002128AE" w:rsidRDefault="00051780" w:rsidP="00051780">
            <w:pPr>
              <w:spacing w:before="100" w:beforeAutospacing="1" w:after="100" w:afterAutospacing="1"/>
              <w:rPr>
                <w:rFonts w:ascii="Calibri" w:hAnsi="Calibri"/>
                <w:b/>
                <w:bCs/>
                <w:color w:val="FFFFFF" w:themeColor="background1"/>
              </w:rPr>
            </w:pPr>
            <w:r w:rsidRPr="002128AE">
              <w:rPr>
                <w:rFonts w:ascii="Calibri" w:hAnsi="Calibri"/>
                <w:b/>
                <w:bCs/>
                <w:color w:val="FFFFFF" w:themeColor="background1"/>
              </w:rPr>
              <w:t>Field</w:t>
            </w:r>
          </w:p>
        </w:tc>
        <w:tc>
          <w:tcPr>
            <w:tcW w:w="840" w:type="pct"/>
            <w:tcBorders>
              <w:top w:val="single" w:sz="4" w:space="0" w:color="auto"/>
              <w:left w:val="nil"/>
              <w:bottom w:val="single" w:sz="4" w:space="0" w:color="auto"/>
              <w:right w:val="single" w:sz="4" w:space="0" w:color="auto"/>
            </w:tcBorders>
            <w:shd w:val="clear" w:color="auto" w:fill="002D3F" w:themeFill="text2"/>
            <w:noWrap/>
            <w:vAlign w:val="bottom"/>
            <w:hideMark/>
          </w:tcPr>
          <w:p w14:paraId="6E4572C8" w14:textId="2298E58E" w:rsidR="00051780" w:rsidRPr="002128AE" w:rsidRDefault="00051780" w:rsidP="00051780">
            <w:pPr>
              <w:spacing w:before="100" w:beforeAutospacing="1" w:after="100" w:afterAutospacing="1"/>
              <w:rPr>
                <w:rFonts w:ascii="Calibri" w:hAnsi="Calibri"/>
                <w:b/>
                <w:bCs/>
                <w:color w:val="FFFFFF" w:themeColor="background1"/>
              </w:rPr>
            </w:pPr>
            <w:r w:rsidRPr="002128AE">
              <w:rPr>
                <w:rFonts w:ascii="Calibri" w:hAnsi="Calibri"/>
                <w:b/>
                <w:bCs/>
                <w:color w:val="FFFFFF" w:themeColor="background1"/>
              </w:rPr>
              <w:t>New CGS Rate</w:t>
            </w:r>
          </w:p>
        </w:tc>
        <w:tc>
          <w:tcPr>
            <w:tcW w:w="840" w:type="pct"/>
            <w:gridSpan w:val="2"/>
            <w:tcBorders>
              <w:top w:val="single" w:sz="4" w:space="0" w:color="auto"/>
              <w:left w:val="nil"/>
              <w:bottom w:val="single" w:sz="4" w:space="0" w:color="auto"/>
              <w:right w:val="single" w:sz="4" w:space="0" w:color="auto"/>
            </w:tcBorders>
            <w:shd w:val="clear" w:color="auto" w:fill="002D3F" w:themeFill="text2"/>
            <w:noWrap/>
            <w:vAlign w:val="bottom"/>
            <w:hideMark/>
          </w:tcPr>
          <w:p w14:paraId="79515F42" w14:textId="5EAB3B32" w:rsidR="00051780" w:rsidRPr="002128AE" w:rsidRDefault="00051780" w:rsidP="00051780">
            <w:pPr>
              <w:spacing w:before="100" w:beforeAutospacing="1" w:after="100" w:afterAutospacing="1"/>
              <w:rPr>
                <w:rFonts w:ascii="Calibri" w:hAnsi="Calibri"/>
                <w:b/>
                <w:bCs/>
                <w:color w:val="FFFFFF" w:themeColor="background1"/>
              </w:rPr>
            </w:pPr>
            <w:r w:rsidRPr="002128AE">
              <w:rPr>
                <w:rFonts w:ascii="Calibri" w:hAnsi="Calibri"/>
                <w:b/>
                <w:bCs/>
                <w:color w:val="FFFFFF" w:themeColor="background1"/>
              </w:rPr>
              <w:t>Old CGS Rate</w:t>
            </w:r>
          </w:p>
        </w:tc>
        <w:tc>
          <w:tcPr>
            <w:tcW w:w="840" w:type="pct"/>
            <w:tcBorders>
              <w:top w:val="single" w:sz="4" w:space="0" w:color="auto"/>
              <w:left w:val="nil"/>
              <w:bottom w:val="single" w:sz="4" w:space="0" w:color="auto"/>
              <w:right w:val="single" w:sz="4" w:space="0" w:color="auto"/>
            </w:tcBorders>
            <w:shd w:val="clear" w:color="auto" w:fill="002D3F" w:themeFill="text2"/>
            <w:noWrap/>
            <w:hideMark/>
          </w:tcPr>
          <w:p w14:paraId="41C069E0" w14:textId="6A0AD95C" w:rsidR="00051780" w:rsidRPr="002128AE" w:rsidRDefault="00051780" w:rsidP="00051780">
            <w:pPr>
              <w:spacing w:before="100" w:beforeAutospacing="1" w:after="100" w:afterAutospacing="1"/>
              <w:rPr>
                <w:rFonts w:ascii="Calibri" w:hAnsi="Calibri"/>
                <w:b/>
                <w:bCs/>
                <w:color w:val="FFFFFF" w:themeColor="background1"/>
              </w:rPr>
            </w:pPr>
            <w:r w:rsidRPr="002128AE">
              <w:rPr>
                <w:b/>
                <w:bCs/>
              </w:rPr>
              <w:t>New SCA Rate</w:t>
            </w:r>
          </w:p>
        </w:tc>
        <w:tc>
          <w:tcPr>
            <w:tcW w:w="841" w:type="pct"/>
            <w:tcBorders>
              <w:top w:val="single" w:sz="4" w:space="0" w:color="auto"/>
              <w:left w:val="nil"/>
              <w:bottom w:val="single" w:sz="4" w:space="0" w:color="auto"/>
              <w:right w:val="single" w:sz="4" w:space="0" w:color="auto"/>
            </w:tcBorders>
            <w:shd w:val="clear" w:color="auto" w:fill="002D3F" w:themeFill="text2"/>
            <w:noWrap/>
            <w:hideMark/>
          </w:tcPr>
          <w:p w14:paraId="0DAA9CCE" w14:textId="3D41835A" w:rsidR="00051780" w:rsidRPr="002128AE" w:rsidRDefault="00051780" w:rsidP="00051780">
            <w:pPr>
              <w:spacing w:before="100" w:beforeAutospacing="1" w:after="100" w:afterAutospacing="1"/>
              <w:rPr>
                <w:rFonts w:ascii="Calibri" w:hAnsi="Calibri"/>
                <w:b/>
                <w:bCs/>
                <w:color w:val="FFFFFF" w:themeColor="background1"/>
              </w:rPr>
            </w:pPr>
            <w:r w:rsidRPr="002128AE">
              <w:rPr>
                <w:b/>
                <w:bCs/>
              </w:rPr>
              <w:t>Old SCA Rate</w:t>
            </w:r>
          </w:p>
        </w:tc>
      </w:tr>
      <w:tr w:rsidR="00051780" w:rsidRPr="000E53A0" w14:paraId="3C5FFD41" w14:textId="77777777" w:rsidTr="00AF4185">
        <w:trPr>
          <w:trHeight w:val="159"/>
        </w:trPr>
        <w:tc>
          <w:tcPr>
            <w:tcW w:w="545" w:type="pct"/>
            <w:vMerge w:val="restart"/>
            <w:tcBorders>
              <w:top w:val="nil"/>
              <w:left w:val="single" w:sz="4" w:space="0" w:color="auto"/>
              <w:bottom w:val="single" w:sz="4" w:space="0" w:color="auto"/>
              <w:right w:val="single" w:sz="4" w:space="0" w:color="auto"/>
            </w:tcBorders>
            <w:shd w:val="clear" w:color="auto" w:fill="CFE5F4" w:themeFill="accent6" w:themeFillTint="33"/>
            <w:noWrap/>
            <w:vAlign w:val="center"/>
            <w:hideMark/>
          </w:tcPr>
          <w:p w14:paraId="0776E0B1"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1</w:t>
            </w:r>
          </w:p>
        </w:tc>
        <w:tc>
          <w:tcPr>
            <w:tcW w:w="1095" w:type="pct"/>
            <w:tcBorders>
              <w:top w:val="nil"/>
              <w:left w:val="nil"/>
              <w:bottom w:val="single" w:sz="4" w:space="0" w:color="auto"/>
              <w:right w:val="single" w:sz="4" w:space="0" w:color="auto"/>
            </w:tcBorders>
            <w:shd w:val="clear" w:color="auto" w:fill="CFE5F4" w:themeFill="accent6" w:themeFillTint="33"/>
            <w:noWrap/>
            <w:vAlign w:val="bottom"/>
            <w:hideMark/>
          </w:tcPr>
          <w:p w14:paraId="7696A6BC"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Management and Commerce</w:t>
            </w:r>
          </w:p>
        </w:tc>
        <w:tc>
          <w:tcPr>
            <w:tcW w:w="840" w:type="pct"/>
            <w:tcBorders>
              <w:top w:val="nil"/>
              <w:left w:val="nil"/>
              <w:bottom w:val="single" w:sz="4" w:space="0" w:color="auto"/>
              <w:right w:val="single" w:sz="4" w:space="0" w:color="auto"/>
            </w:tcBorders>
            <w:shd w:val="clear" w:color="auto" w:fill="CFE5F4" w:themeFill="accent6" w:themeFillTint="33"/>
            <w:noWrap/>
            <w:vAlign w:val="center"/>
            <w:hideMark/>
          </w:tcPr>
          <w:p w14:paraId="0C878298" w14:textId="1558E0E0" w:rsidR="00051780" w:rsidRPr="002128AE" w:rsidRDefault="00051780" w:rsidP="002128AE">
            <w:pPr>
              <w:spacing w:after="0" w:line="240" w:lineRule="auto"/>
              <w:jc w:val="center"/>
              <w:rPr>
                <w:b/>
                <w:bCs/>
              </w:rPr>
            </w:pPr>
            <w:r w:rsidRPr="002128AE">
              <w:rPr>
                <w:b/>
                <w:bCs/>
              </w:rPr>
              <w:t>$1,109</w:t>
            </w:r>
          </w:p>
        </w:tc>
        <w:tc>
          <w:tcPr>
            <w:tcW w:w="840" w:type="pct"/>
            <w:gridSpan w:val="2"/>
            <w:tcBorders>
              <w:top w:val="single" w:sz="4" w:space="0" w:color="auto"/>
              <w:left w:val="nil"/>
              <w:bottom w:val="single" w:sz="4" w:space="0" w:color="auto"/>
              <w:right w:val="single" w:sz="4" w:space="0" w:color="auto"/>
            </w:tcBorders>
            <w:shd w:val="clear" w:color="auto" w:fill="CFE5F4" w:themeFill="accent6" w:themeFillTint="33"/>
            <w:noWrap/>
            <w:vAlign w:val="center"/>
            <w:hideMark/>
          </w:tcPr>
          <w:p w14:paraId="45A9C448" w14:textId="0DB7A84D" w:rsidR="00051780" w:rsidRPr="002128AE" w:rsidRDefault="00051780" w:rsidP="002128AE">
            <w:pPr>
              <w:spacing w:after="0" w:line="240" w:lineRule="auto"/>
              <w:jc w:val="center"/>
            </w:pPr>
            <w:r w:rsidRPr="002128AE">
              <w:t>$2,257</w:t>
            </w:r>
          </w:p>
        </w:tc>
        <w:tc>
          <w:tcPr>
            <w:tcW w:w="840" w:type="pct"/>
            <w:tcBorders>
              <w:top w:val="nil"/>
              <w:left w:val="nil"/>
              <w:bottom w:val="single" w:sz="4" w:space="0" w:color="auto"/>
              <w:right w:val="single" w:sz="4" w:space="0" w:color="auto"/>
            </w:tcBorders>
            <w:shd w:val="clear" w:color="auto" w:fill="CFE5F4" w:themeFill="accent6" w:themeFillTint="33"/>
            <w:noWrap/>
            <w:vAlign w:val="center"/>
            <w:hideMark/>
          </w:tcPr>
          <w:p w14:paraId="1CDBC770" w14:textId="59C04AEB"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$14,630</w:t>
            </w:r>
          </w:p>
        </w:tc>
        <w:tc>
          <w:tcPr>
            <w:tcW w:w="841" w:type="pct"/>
            <w:tcBorders>
              <w:top w:val="nil"/>
              <w:left w:val="nil"/>
              <w:bottom w:val="single" w:sz="4" w:space="0" w:color="auto"/>
              <w:right w:val="single" w:sz="4" w:space="0" w:color="auto"/>
            </w:tcBorders>
            <w:shd w:val="clear" w:color="auto" w:fill="CFE5F4" w:themeFill="accent6" w:themeFillTint="33"/>
            <w:noWrap/>
            <w:vAlign w:val="center"/>
            <w:hideMark/>
          </w:tcPr>
          <w:p w14:paraId="367EDFE4" w14:textId="4106F502" w:rsidR="00051780" w:rsidRPr="000E53A0" w:rsidRDefault="00051780" w:rsidP="002128AE">
            <w:pPr>
              <w:spacing w:after="0" w:line="240" w:lineRule="auto"/>
              <w:jc w:val="center"/>
              <w:rPr>
                <w:rFonts w:ascii="Calibri" w:eastAsia="Times New Roman" w:hAnsi="Calibri" w:cs="Calibri"/>
                <w:color w:val="000000"/>
              </w:rPr>
            </w:pPr>
            <w:r w:rsidRPr="00527D3A">
              <w:t>$11,457</w:t>
            </w:r>
          </w:p>
        </w:tc>
      </w:tr>
      <w:tr w:rsidR="00051780" w:rsidRPr="000E53A0" w14:paraId="672BAF1F" w14:textId="77777777" w:rsidTr="00AF4185">
        <w:trPr>
          <w:trHeight w:val="70"/>
        </w:trPr>
        <w:tc>
          <w:tcPr>
            <w:tcW w:w="545" w:type="pct"/>
            <w:vMerge/>
            <w:tcBorders>
              <w:top w:val="nil"/>
              <w:left w:val="single" w:sz="4" w:space="0" w:color="auto"/>
              <w:bottom w:val="single" w:sz="4" w:space="0" w:color="auto"/>
              <w:right w:val="single" w:sz="4" w:space="0" w:color="auto"/>
            </w:tcBorders>
            <w:shd w:val="clear" w:color="auto" w:fill="CFE5F4" w:themeFill="accent6" w:themeFillTint="33"/>
            <w:vAlign w:val="center"/>
            <w:hideMark/>
          </w:tcPr>
          <w:p w14:paraId="49836EC5"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CFE5F4" w:themeFill="accent6" w:themeFillTint="33"/>
            <w:noWrap/>
            <w:vAlign w:val="bottom"/>
            <w:hideMark/>
          </w:tcPr>
          <w:p w14:paraId="523D5255"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Law and Economics</w:t>
            </w:r>
          </w:p>
        </w:tc>
        <w:tc>
          <w:tcPr>
            <w:tcW w:w="840" w:type="pct"/>
            <w:tcBorders>
              <w:top w:val="nil"/>
              <w:left w:val="nil"/>
              <w:bottom w:val="single" w:sz="4" w:space="0" w:color="auto"/>
              <w:right w:val="single" w:sz="4" w:space="0" w:color="auto"/>
            </w:tcBorders>
            <w:shd w:val="clear" w:color="auto" w:fill="CFE5F4" w:themeFill="accent6" w:themeFillTint="33"/>
            <w:noWrap/>
            <w:vAlign w:val="center"/>
            <w:hideMark/>
          </w:tcPr>
          <w:p w14:paraId="158C6DC2" w14:textId="42F22D2F" w:rsidR="00051780" w:rsidRPr="002128AE" w:rsidRDefault="00051780" w:rsidP="002128AE">
            <w:pPr>
              <w:spacing w:after="0" w:line="240" w:lineRule="auto"/>
              <w:jc w:val="center"/>
              <w:rPr>
                <w:b/>
                <w:bCs/>
              </w:rPr>
            </w:pPr>
            <w:r w:rsidRPr="002128AE">
              <w:rPr>
                <w:b/>
                <w:bCs/>
              </w:rPr>
              <w:t>$1,109</w:t>
            </w:r>
          </w:p>
        </w:tc>
        <w:tc>
          <w:tcPr>
            <w:tcW w:w="840" w:type="pct"/>
            <w:gridSpan w:val="2"/>
            <w:tcBorders>
              <w:top w:val="single" w:sz="4" w:space="0" w:color="auto"/>
              <w:left w:val="nil"/>
              <w:bottom w:val="single" w:sz="4" w:space="0" w:color="auto"/>
              <w:right w:val="single" w:sz="4" w:space="0" w:color="auto"/>
            </w:tcBorders>
            <w:shd w:val="clear" w:color="auto" w:fill="CFE5F4" w:themeFill="accent6" w:themeFillTint="33"/>
            <w:noWrap/>
            <w:vAlign w:val="center"/>
            <w:hideMark/>
          </w:tcPr>
          <w:p w14:paraId="475B6E03" w14:textId="5FBC4DA6" w:rsidR="00051780" w:rsidRPr="002128AE" w:rsidRDefault="00051780" w:rsidP="002128AE">
            <w:pPr>
              <w:spacing w:after="0" w:line="240" w:lineRule="auto"/>
              <w:jc w:val="center"/>
            </w:pPr>
            <w:r w:rsidRPr="002128AE">
              <w:t>$2,257</w:t>
            </w:r>
          </w:p>
        </w:tc>
        <w:tc>
          <w:tcPr>
            <w:tcW w:w="840" w:type="pct"/>
            <w:tcBorders>
              <w:top w:val="nil"/>
              <w:left w:val="nil"/>
              <w:bottom w:val="single" w:sz="4" w:space="0" w:color="auto"/>
              <w:right w:val="single" w:sz="4" w:space="0" w:color="auto"/>
            </w:tcBorders>
            <w:shd w:val="clear" w:color="auto" w:fill="CFE5F4" w:themeFill="accent6" w:themeFillTint="33"/>
            <w:noWrap/>
            <w:vAlign w:val="center"/>
            <w:hideMark/>
          </w:tcPr>
          <w:p w14:paraId="19984E52" w14:textId="55FBB085"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$14,630</w:t>
            </w:r>
          </w:p>
        </w:tc>
        <w:tc>
          <w:tcPr>
            <w:tcW w:w="841" w:type="pct"/>
            <w:tcBorders>
              <w:top w:val="nil"/>
              <w:left w:val="nil"/>
              <w:bottom w:val="single" w:sz="4" w:space="0" w:color="auto"/>
              <w:right w:val="single" w:sz="4" w:space="0" w:color="auto"/>
            </w:tcBorders>
            <w:shd w:val="clear" w:color="auto" w:fill="CFE5F4" w:themeFill="accent6" w:themeFillTint="33"/>
            <w:noWrap/>
            <w:vAlign w:val="center"/>
            <w:hideMark/>
          </w:tcPr>
          <w:p w14:paraId="0301627B" w14:textId="33AFC8A4" w:rsidR="00051780" w:rsidRPr="000E53A0" w:rsidRDefault="00051780" w:rsidP="002128AE">
            <w:pPr>
              <w:spacing w:after="0" w:line="240" w:lineRule="auto"/>
              <w:jc w:val="center"/>
              <w:rPr>
                <w:rFonts w:ascii="Calibri" w:eastAsia="Times New Roman" w:hAnsi="Calibri" w:cs="Calibri"/>
                <w:color w:val="000000"/>
              </w:rPr>
            </w:pPr>
            <w:r w:rsidRPr="00527D3A">
              <w:t>$11,457</w:t>
            </w:r>
          </w:p>
        </w:tc>
      </w:tr>
      <w:tr w:rsidR="00051780" w:rsidRPr="000E53A0" w14:paraId="4311F76D" w14:textId="77777777" w:rsidTr="00AF4185">
        <w:trPr>
          <w:trHeight w:val="81"/>
        </w:trPr>
        <w:tc>
          <w:tcPr>
            <w:tcW w:w="545" w:type="pct"/>
            <w:vMerge/>
            <w:tcBorders>
              <w:top w:val="nil"/>
              <w:left w:val="single" w:sz="4" w:space="0" w:color="auto"/>
              <w:bottom w:val="single" w:sz="4" w:space="0" w:color="auto"/>
              <w:right w:val="single" w:sz="4" w:space="0" w:color="auto"/>
            </w:tcBorders>
            <w:shd w:val="clear" w:color="auto" w:fill="CFE5F4" w:themeFill="accent6" w:themeFillTint="33"/>
            <w:vAlign w:val="center"/>
            <w:hideMark/>
          </w:tcPr>
          <w:p w14:paraId="11EA1913"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CFE5F4" w:themeFill="accent6" w:themeFillTint="33"/>
            <w:noWrap/>
            <w:vAlign w:val="bottom"/>
            <w:hideMark/>
          </w:tcPr>
          <w:p w14:paraId="5CD0AC17"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Humanities</w:t>
            </w:r>
          </w:p>
        </w:tc>
        <w:tc>
          <w:tcPr>
            <w:tcW w:w="840" w:type="pct"/>
            <w:tcBorders>
              <w:top w:val="nil"/>
              <w:left w:val="nil"/>
              <w:bottom w:val="single" w:sz="4" w:space="0" w:color="auto"/>
              <w:right w:val="single" w:sz="4" w:space="0" w:color="auto"/>
            </w:tcBorders>
            <w:shd w:val="clear" w:color="auto" w:fill="CFE5F4" w:themeFill="accent6" w:themeFillTint="33"/>
            <w:noWrap/>
            <w:vAlign w:val="center"/>
            <w:hideMark/>
          </w:tcPr>
          <w:p w14:paraId="4C66E56B" w14:textId="79B10BC0" w:rsidR="00051780" w:rsidRPr="002128AE" w:rsidRDefault="00051780" w:rsidP="002128AE">
            <w:pPr>
              <w:spacing w:after="0" w:line="240" w:lineRule="auto"/>
              <w:jc w:val="center"/>
              <w:rPr>
                <w:b/>
                <w:bCs/>
              </w:rPr>
            </w:pPr>
            <w:r w:rsidRPr="002128AE">
              <w:rPr>
                <w:b/>
                <w:bCs/>
              </w:rPr>
              <w:t>$1,109</w:t>
            </w:r>
          </w:p>
        </w:tc>
        <w:tc>
          <w:tcPr>
            <w:tcW w:w="840" w:type="pct"/>
            <w:gridSpan w:val="2"/>
            <w:tcBorders>
              <w:top w:val="single" w:sz="4" w:space="0" w:color="auto"/>
              <w:left w:val="nil"/>
              <w:bottom w:val="single" w:sz="4" w:space="0" w:color="auto"/>
              <w:right w:val="single" w:sz="4" w:space="0" w:color="auto"/>
            </w:tcBorders>
            <w:shd w:val="clear" w:color="auto" w:fill="CFE5F4" w:themeFill="accent6" w:themeFillTint="33"/>
            <w:noWrap/>
            <w:vAlign w:val="center"/>
            <w:hideMark/>
          </w:tcPr>
          <w:p w14:paraId="227C0567" w14:textId="181CAC3B" w:rsidR="00051780" w:rsidRPr="002128AE" w:rsidRDefault="00051780" w:rsidP="002128AE">
            <w:pPr>
              <w:spacing w:after="0" w:line="240" w:lineRule="auto"/>
              <w:jc w:val="center"/>
            </w:pPr>
            <w:r w:rsidRPr="002128AE">
              <w:t>$6,282</w:t>
            </w:r>
          </w:p>
        </w:tc>
        <w:tc>
          <w:tcPr>
            <w:tcW w:w="840" w:type="pct"/>
            <w:tcBorders>
              <w:top w:val="nil"/>
              <w:left w:val="nil"/>
              <w:bottom w:val="single" w:sz="4" w:space="0" w:color="auto"/>
              <w:right w:val="single" w:sz="4" w:space="0" w:color="auto"/>
            </w:tcBorders>
            <w:shd w:val="clear" w:color="auto" w:fill="CFE5F4" w:themeFill="accent6" w:themeFillTint="33"/>
            <w:noWrap/>
            <w:vAlign w:val="center"/>
            <w:hideMark/>
          </w:tcPr>
          <w:p w14:paraId="0AE7F77E" w14:textId="1F080111"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$14,630</w:t>
            </w:r>
          </w:p>
        </w:tc>
        <w:tc>
          <w:tcPr>
            <w:tcW w:w="841" w:type="pct"/>
            <w:tcBorders>
              <w:top w:val="nil"/>
              <w:left w:val="nil"/>
              <w:bottom w:val="single" w:sz="4" w:space="0" w:color="auto"/>
              <w:right w:val="single" w:sz="4" w:space="0" w:color="auto"/>
            </w:tcBorders>
            <w:shd w:val="clear" w:color="auto" w:fill="CFE5F4" w:themeFill="accent6" w:themeFillTint="33"/>
            <w:noWrap/>
            <w:vAlign w:val="center"/>
            <w:hideMark/>
          </w:tcPr>
          <w:p w14:paraId="000E63A9" w14:textId="111DB468" w:rsidR="00051780" w:rsidRPr="000E53A0" w:rsidRDefault="00051780" w:rsidP="002128AE">
            <w:pPr>
              <w:spacing w:after="0" w:line="240" w:lineRule="auto"/>
              <w:jc w:val="center"/>
              <w:rPr>
                <w:rFonts w:ascii="Calibri" w:eastAsia="Times New Roman" w:hAnsi="Calibri" w:cs="Calibri"/>
                <w:color w:val="000000"/>
              </w:rPr>
            </w:pPr>
            <w:r w:rsidRPr="00527D3A">
              <w:t>$6,865</w:t>
            </w:r>
          </w:p>
        </w:tc>
      </w:tr>
      <w:tr w:rsidR="00051780" w:rsidRPr="000E53A0" w14:paraId="0480B64C" w14:textId="77777777" w:rsidTr="00AF4185">
        <w:trPr>
          <w:trHeight w:val="114"/>
        </w:trPr>
        <w:tc>
          <w:tcPr>
            <w:tcW w:w="545" w:type="pct"/>
            <w:vMerge/>
            <w:tcBorders>
              <w:top w:val="nil"/>
              <w:left w:val="single" w:sz="4" w:space="0" w:color="auto"/>
              <w:bottom w:val="single" w:sz="4" w:space="0" w:color="auto"/>
              <w:right w:val="single" w:sz="4" w:space="0" w:color="auto"/>
            </w:tcBorders>
            <w:shd w:val="clear" w:color="auto" w:fill="CFE5F4" w:themeFill="accent6" w:themeFillTint="33"/>
            <w:vAlign w:val="center"/>
            <w:hideMark/>
          </w:tcPr>
          <w:p w14:paraId="234DF0CF"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CFE5F4" w:themeFill="accent6" w:themeFillTint="33"/>
            <w:noWrap/>
            <w:vAlign w:val="bottom"/>
            <w:hideMark/>
          </w:tcPr>
          <w:p w14:paraId="001BFF02" w14:textId="085850C1"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Other Society and Culture</w:t>
            </w:r>
          </w:p>
        </w:tc>
        <w:tc>
          <w:tcPr>
            <w:tcW w:w="840" w:type="pct"/>
            <w:tcBorders>
              <w:top w:val="nil"/>
              <w:left w:val="nil"/>
              <w:bottom w:val="single" w:sz="4" w:space="0" w:color="auto"/>
              <w:right w:val="single" w:sz="4" w:space="0" w:color="auto"/>
            </w:tcBorders>
            <w:shd w:val="clear" w:color="auto" w:fill="CFE5F4" w:themeFill="accent6" w:themeFillTint="33"/>
            <w:noWrap/>
            <w:vAlign w:val="center"/>
            <w:hideMark/>
          </w:tcPr>
          <w:p w14:paraId="4D129FFB" w14:textId="3B9EBB58" w:rsidR="00051780" w:rsidRPr="002128AE" w:rsidRDefault="00051780" w:rsidP="002128AE">
            <w:pPr>
              <w:spacing w:after="0" w:line="240" w:lineRule="auto"/>
              <w:jc w:val="center"/>
              <w:rPr>
                <w:b/>
                <w:bCs/>
              </w:rPr>
            </w:pPr>
            <w:r w:rsidRPr="002128AE">
              <w:rPr>
                <w:b/>
                <w:bCs/>
              </w:rPr>
              <w:t>$1,109</w:t>
            </w:r>
          </w:p>
        </w:tc>
        <w:tc>
          <w:tcPr>
            <w:tcW w:w="840" w:type="pct"/>
            <w:gridSpan w:val="2"/>
            <w:tcBorders>
              <w:top w:val="single" w:sz="4" w:space="0" w:color="auto"/>
              <w:left w:val="nil"/>
              <w:bottom w:val="single" w:sz="4" w:space="0" w:color="auto"/>
              <w:right w:val="single" w:sz="4" w:space="0" w:color="auto"/>
            </w:tcBorders>
            <w:shd w:val="clear" w:color="auto" w:fill="CFE5F4" w:themeFill="accent6" w:themeFillTint="33"/>
            <w:noWrap/>
            <w:vAlign w:val="center"/>
            <w:hideMark/>
          </w:tcPr>
          <w:p w14:paraId="5E903920" w14:textId="5385F656" w:rsidR="00051780" w:rsidRPr="002128AE" w:rsidRDefault="00051780" w:rsidP="002128AE">
            <w:pPr>
              <w:spacing w:after="0" w:line="240" w:lineRule="auto"/>
              <w:jc w:val="center"/>
            </w:pPr>
            <w:r w:rsidRPr="002128AE">
              <w:t>$11,114</w:t>
            </w:r>
          </w:p>
        </w:tc>
        <w:tc>
          <w:tcPr>
            <w:tcW w:w="840" w:type="pct"/>
            <w:tcBorders>
              <w:top w:val="nil"/>
              <w:left w:val="nil"/>
              <w:bottom w:val="single" w:sz="4" w:space="0" w:color="auto"/>
              <w:right w:val="single" w:sz="4" w:space="0" w:color="auto"/>
            </w:tcBorders>
            <w:shd w:val="clear" w:color="auto" w:fill="CFE5F4" w:themeFill="accent6" w:themeFillTint="33"/>
            <w:noWrap/>
            <w:vAlign w:val="center"/>
            <w:hideMark/>
          </w:tcPr>
          <w:p w14:paraId="5DEC59CA" w14:textId="55481323"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$14,630</w:t>
            </w:r>
          </w:p>
        </w:tc>
        <w:tc>
          <w:tcPr>
            <w:tcW w:w="841" w:type="pct"/>
            <w:tcBorders>
              <w:top w:val="nil"/>
              <w:left w:val="nil"/>
              <w:bottom w:val="single" w:sz="4" w:space="0" w:color="auto"/>
              <w:right w:val="single" w:sz="4" w:space="0" w:color="auto"/>
            </w:tcBorders>
            <w:shd w:val="clear" w:color="auto" w:fill="CFE5F4" w:themeFill="accent6" w:themeFillTint="33"/>
            <w:noWrap/>
            <w:vAlign w:val="center"/>
            <w:hideMark/>
          </w:tcPr>
          <w:p w14:paraId="4F3D7A11" w14:textId="49131402" w:rsidR="00051780" w:rsidRPr="000E53A0" w:rsidRDefault="00051780" w:rsidP="002128AE">
            <w:pPr>
              <w:spacing w:after="0" w:line="240" w:lineRule="auto"/>
              <w:jc w:val="center"/>
              <w:rPr>
                <w:rFonts w:ascii="Calibri" w:eastAsia="Times New Roman" w:hAnsi="Calibri" w:cs="Calibri"/>
                <w:color w:val="000000"/>
              </w:rPr>
            </w:pPr>
            <w:r w:rsidRPr="00527D3A">
              <w:t>$6,865</w:t>
            </w:r>
          </w:p>
        </w:tc>
      </w:tr>
      <w:tr w:rsidR="00051780" w:rsidRPr="000E53A0" w14:paraId="58DFF880" w14:textId="77777777" w:rsidTr="00AF4185">
        <w:trPr>
          <w:trHeight w:val="145"/>
        </w:trPr>
        <w:tc>
          <w:tcPr>
            <w:tcW w:w="545" w:type="pct"/>
            <w:vMerge/>
            <w:tcBorders>
              <w:top w:val="nil"/>
              <w:left w:val="single" w:sz="4" w:space="0" w:color="auto"/>
              <w:bottom w:val="single" w:sz="4" w:space="0" w:color="auto"/>
              <w:right w:val="single" w:sz="4" w:space="0" w:color="auto"/>
            </w:tcBorders>
            <w:shd w:val="clear" w:color="auto" w:fill="CFE5F4" w:themeFill="accent6" w:themeFillTint="33"/>
            <w:vAlign w:val="center"/>
            <w:hideMark/>
          </w:tcPr>
          <w:p w14:paraId="58DE2619"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CFE5F4" w:themeFill="accent6" w:themeFillTint="33"/>
            <w:noWrap/>
            <w:vAlign w:val="bottom"/>
            <w:hideMark/>
          </w:tcPr>
          <w:p w14:paraId="5D687887"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Communications</w:t>
            </w:r>
          </w:p>
        </w:tc>
        <w:tc>
          <w:tcPr>
            <w:tcW w:w="840" w:type="pct"/>
            <w:tcBorders>
              <w:top w:val="nil"/>
              <w:left w:val="nil"/>
              <w:bottom w:val="single" w:sz="4" w:space="0" w:color="auto"/>
              <w:right w:val="single" w:sz="4" w:space="0" w:color="auto"/>
            </w:tcBorders>
            <w:shd w:val="clear" w:color="auto" w:fill="CFE5F4" w:themeFill="accent6" w:themeFillTint="33"/>
            <w:noWrap/>
            <w:vAlign w:val="center"/>
            <w:hideMark/>
          </w:tcPr>
          <w:p w14:paraId="0BE4BF05" w14:textId="7BF378F3" w:rsidR="00051780" w:rsidRPr="002128AE" w:rsidRDefault="00051780" w:rsidP="002128AE">
            <w:pPr>
              <w:spacing w:after="0" w:line="240" w:lineRule="auto"/>
              <w:jc w:val="center"/>
              <w:rPr>
                <w:b/>
                <w:bCs/>
              </w:rPr>
            </w:pPr>
            <w:r w:rsidRPr="002128AE">
              <w:rPr>
                <w:b/>
                <w:bCs/>
              </w:rPr>
              <w:t>$1,109</w:t>
            </w:r>
          </w:p>
        </w:tc>
        <w:tc>
          <w:tcPr>
            <w:tcW w:w="840" w:type="pct"/>
            <w:gridSpan w:val="2"/>
            <w:tcBorders>
              <w:top w:val="single" w:sz="4" w:space="0" w:color="auto"/>
              <w:left w:val="nil"/>
              <w:bottom w:val="single" w:sz="4" w:space="0" w:color="auto"/>
              <w:right w:val="single" w:sz="4" w:space="0" w:color="auto"/>
            </w:tcBorders>
            <w:shd w:val="clear" w:color="auto" w:fill="CFE5F4" w:themeFill="accent6" w:themeFillTint="33"/>
            <w:noWrap/>
            <w:vAlign w:val="center"/>
            <w:hideMark/>
          </w:tcPr>
          <w:p w14:paraId="6180CC7A" w14:textId="4673F584" w:rsidR="00051780" w:rsidRPr="002128AE" w:rsidRDefault="00051780" w:rsidP="002128AE">
            <w:pPr>
              <w:spacing w:after="0" w:line="240" w:lineRule="auto"/>
              <w:jc w:val="center"/>
            </w:pPr>
            <w:r w:rsidRPr="002128AE">
              <w:t>$13,668</w:t>
            </w:r>
          </w:p>
        </w:tc>
        <w:tc>
          <w:tcPr>
            <w:tcW w:w="840" w:type="pct"/>
            <w:tcBorders>
              <w:top w:val="nil"/>
              <w:left w:val="nil"/>
              <w:bottom w:val="single" w:sz="4" w:space="0" w:color="auto"/>
              <w:right w:val="single" w:sz="4" w:space="0" w:color="auto"/>
            </w:tcBorders>
            <w:shd w:val="clear" w:color="auto" w:fill="CFE5F4" w:themeFill="accent6" w:themeFillTint="33"/>
            <w:noWrap/>
            <w:vAlign w:val="center"/>
            <w:hideMark/>
          </w:tcPr>
          <w:p w14:paraId="25313DDD" w14:textId="699EB0E0"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$14,630</w:t>
            </w:r>
          </w:p>
        </w:tc>
        <w:tc>
          <w:tcPr>
            <w:tcW w:w="841" w:type="pct"/>
            <w:tcBorders>
              <w:top w:val="nil"/>
              <w:left w:val="nil"/>
              <w:bottom w:val="single" w:sz="4" w:space="0" w:color="auto"/>
              <w:right w:val="single" w:sz="4" w:space="0" w:color="auto"/>
            </w:tcBorders>
            <w:shd w:val="clear" w:color="auto" w:fill="CFE5F4" w:themeFill="accent6" w:themeFillTint="33"/>
            <w:noWrap/>
            <w:vAlign w:val="center"/>
            <w:hideMark/>
          </w:tcPr>
          <w:p w14:paraId="6D1EFD15" w14:textId="07F47F1C" w:rsidR="00051780" w:rsidRPr="000E53A0" w:rsidRDefault="00051780" w:rsidP="002128AE">
            <w:pPr>
              <w:spacing w:after="0" w:line="240" w:lineRule="auto"/>
              <w:jc w:val="center"/>
              <w:rPr>
                <w:rFonts w:ascii="Calibri" w:eastAsia="Times New Roman" w:hAnsi="Calibri" w:cs="Calibri"/>
                <w:color w:val="000000"/>
              </w:rPr>
            </w:pPr>
            <w:r w:rsidRPr="00527D3A">
              <w:t>$6,865</w:t>
            </w:r>
          </w:p>
        </w:tc>
      </w:tr>
      <w:tr w:rsidR="00051780" w:rsidRPr="000E53A0" w14:paraId="47C768BB" w14:textId="77777777" w:rsidTr="00AF4185">
        <w:trPr>
          <w:trHeight w:val="70"/>
        </w:trPr>
        <w:tc>
          <w:tcPr>
            <w:tcW w:w="545" w:type="pct"/>
            <w:vMerge/>
            <w:tcBorders>
              <w:top w:val="nil"/>
              <w:left w:val="single" w:sz="4" w:space="0" w:color="auto"/>
              <w:bottom w:val="single" w:sz="4" w:space="0" w:color="auto"/>
              <w:right w:val="single" w:sz="4" w:space="0" w:color="auto"/>
            </w:tcBorders>
            <w:shd w:val="clear" w:color="auto" w:fill="CFE5F4" w:themeFill="accent6" w:themeFillTint="33"/>
            <w:vAlign w:val="center"/>
            <w:hideMark/>
          </w:tcPr>
          <w:p w14:paraId="234D39AB"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CFE5F4" w:themeFill="accent6" w:themeFillTint="33"/>
            <w:noWrap/>
            <w:vAlign w:val="bottom"/>
            <w:hideMark/>
          </w:tcPr>
          <w:p w14:paraId="64AA0F90"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Human Movement</w:t>
            </w:r>
          </w:p>
        </w:tc>
        <w:tc>
          <w:tcPr>
            <w:tcW w:w="840" w:type="pct"/>
            <w:tcBorders>
              <w:top w:val="nil"/>
              <w:left w:val="nil"/>
              <w:bottom w:val="single" w:sz="4" w:space="0" w:color="auto"/>
              <w:right w:val="single" w:sz="4" w:space="0" w:color="auto"/>
            </w:tcBorders>
            <w:shd w:val="clear" w:color="auto" w:fill="CFE5F4" w:themeFill="accent6" w:themeFillTint="33"/>
            <w:noWrap/>
            <w:vAlign w:val="center"/>
            <w:hideMark/>
          </w:tcPr>
          <w:p w14:paraId="6B23FB39" w14:textId="49BD00B4" w:rsidR="00051780" w:rsidRPr="002128AE" w:rsidRDefault="00051780" w:rsidP="002128AE">
            <w:pPr>
              <w:spacing w:after="0" w:line="240" w:lineRule="auto"/>
              <w:jc w:val="center"/>
              <w:rPr>
                <w:b/>
                <w:bCs/>
              </w:rPr>
            </w:pPr>
            <w:r w:rsidRPr="002128AE">
              <w:rPr>
                <w:b/>
                <w:bCs/>
              </w:rPr>
              <w:t>$1,109</w:t>
            </w:r>
          </w:p>
        </w:tc>
        <w:tc>
          <w:tcPr>
            <w:tcW w:w="840" w:type="pct"/>
            <w:gridSpan w:val="2"/>
            <w:tcBorders>
              <w:top w:val="single" w:sz="4" w:space="0" w:color="auto"/>
              <w:left w:val="nil"/>
              <w:bottom w:val="single" w:sz="4" w:space="0" w:color="auto"/>
              <w:right w:val="single" w:sz="4" w:space="0" w:color="auto"/>
            </w:tcBorders>
            <w:shd w:val="clear" w:color="auto" w:fill="CFE5F4" w:themeFill="accent6" w:themeFillTint="33"/>
            <w:noWrap/>
            <w:vAlign w:val="center"/>
            <w:hideMark/>
          </w:tcPr>
          <w:p w14:paraId="5E69B9D5" w14:textId="72D0E7AF" w:rsidR="00051780" w:rsidRPr="002128AE" w:rsidRDefault="00051780" w:rsidP="002128AE">
            <w:pPr>
              <w:spacing w:after="0" w:line="240" w:lineRule="auto"/>
              <w:jc w:val="center"/>
            </w:pPr>
            <w:r w:rsidRPr="002128AE">
              <w:t>$11,114</w:t>
            </w:r>
          </w:p>
        </w:tc>
        <w:tc>
          <w:tcPr>
            <w:tcW w:w="840" w:type="pct"/>
            <w:tcBorders>
              <w:top w:val="nil"/>
              <w:left w:val="nil"/>
              <w:bottom w:val="single" w:sz="4" w:space="0" w:color="auto"/>
              <w:right w:val="single" w:sz="4" w:space="0" w:color="auto"/>
            </w:tcBorders>
            <w:shd w:val="clear" w:color="auto" w:fill="CFE5F4" w:themeFill="accent6" w:themeFillTint="33"/>
            <w:noWrap/>
            <w:vAlign w:val="center"/>
            <w:hideMark/>
          </w:tcPr>
          <w:p w14:paraId="190B1199" w14:textId="53550CCC"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$14,630</w:t>
            </w:r>
          </w:p>
        </w:tc>
        <w:tc>
          <w:tcPr>
            <w:tcW w:w="841" w:type="pct"/>
            <w:tcBorders>
              <w:top w:val="nil"/>
              <w:left w:val="nil"/>
              <w:bottom w:val="single" w:sz="4" w:space="0" w:color="auto"/>
              <w:right w:val="single" w:sz="4" w:space="0" w:color="auto"/>
            </w:tcBorders>
            <w:shd w:val="clear" w:color="auto" w:fill="CFE5F4" w:themeFill="accent6" w:themeFillTint="33"/>
            <w:noWrap/>
            <w:vAlign w:val="center"/>
            <w:hideMark/>
          </w:tcPr>
          <w:p w14:paraId="58AEDFAA" w14:textId="00D8E16E" w:rsidR="00051780" w:rsidRPr="000E53A0" w:rsidRDefault="00051780" w:rsidP="002128AE">
            <w:pPr>
              <w:spacing w:after="0" w:line="240" w:lineRule="auto"/>
              <w:jc w:val="center"/>
              <w:rPr>
                <w:rFonts w:ascii="Calibri" w:eastAsia="Times New Roman" w:hAnsi="Calibri" w:cs="Calibri"/>
                <w:color w:val="000000"/>
              </w:rPr>
            </w:pPr>
            <w:r w:rsidRPr="00527D3A">
              <w:t>$6,865</w:t>
            </w:r>
          </w:p>
        </w:tc>
      </w:tr>
      <w:tr w:rsidR="00051780" w:rsidRPr="000E53A0" w14:paraId="0354F65A" w14:textId="77777777" w:rsidTr="00AF4185">
        <w:trPr>
          <w:trHeight w:val="70"/>
        </w:trPr>
        <w:tc>
          <w:tcPr>
            <w:tcW w:w="545" w:type="pct"/>
            <w:vMerge/>
            <w:tcBorders>
              <w:top w:val="nil"/>
              <w:left w:val="single" w:sz="4" w:space="0" w:color="auto"/>
              <w:bottom w:val="single" w:sz="4" w:space="0" w:color="auto"/>
              <w:right w:val="single" w:sz="4" w:space="0" w:color="auto"/>
            </w:tcBorders>
            <w:shd w:val="clear" w:color="auto" w:fill="CFE5F4" w:themeFill="accent6" w:themeFillTint="33"/>
            <w:vAlign w:val="center"/>
            <w:hideMark/>
          </w:tcPr>
          <w:p w14:paraId="48099DF5"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CFE5F4" w:themeFill="accent6" w:themeFillTint="33"/>
            <w:noWrap/>
            <w:vAlign w:val="bottom"/>
            <w:hideMark/>
          </w:tcPr>
          <w:p w14:paraId="33FD998B"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 xml:space="preserve">Mixed Fields, </w:t>
            </w:r>
            <w:r>
              <w:rPr>
                <w:rFonts w:ascii="Calibri" w:eastAsia="Times New Roman" w:hAnsi="Calibri" w:cs="Calibri"/>
                <w:color w:val="000000"/>
              </w:rPr>
              <w:t>F</w:t>
            </w:r>
            <w:r w:rsidRPr="000E53A0">
              <w:rPr>
                <w:rFonts w:ascii="Calibri" w:eastAsia="Times New Roman" w:hAnsi="Calibri" w:cs="Calibri"/>
                <w:color w:val="000000"/>
              </w:rPr>
              <w:t xml:space="preserve">ood and </w:t>
            </w:r>
            <w:r>
              <w:rPr>
                <w:rFonts w:ascii="Calibri" w:eastAsia="Times New Roman" w:hAnsi="Calibri" w:cs="Calibri"/>
                <w:color w:val="000000"/>
              </w:rPr>
              <w:t>H</w:t>
            </w:r>
            <w:r w:rsidRPr="000E53A0">
              <w:rPr>
                <w:rFonts w:ascii="Calibri" w:eastAsia="Times New Roman" w:hAnsi="Calibri" w:cs="Calibri"/>
                <w:color w:val="000000"/>
              </w:rPr>
              <w:t>osp</w:t>
            </w:r>
            <w:r>
              <w:rPr>
                <w:rFonts w:ascii="Calibri" w:eastAsia="Times New Roman" w:hAnsi="Calibri" w:cs="Calibri"/>
                <w:color w:val="000000"/>
              </w:rPr>
              <w:t>itality</w:t>
            </w:r>
          </w:p>
        </w:tc>
        <w:tc>
          <w:tcPr>
            <w:tcW w:w="840" w:type="pct"/>
            <w:tcBorders>
              <w:top w:val="nil"/>
              <w:left w:val="nil"/>
              <w:bottom w:val="single" w:sz="4" w:space="0" w:color="auto"/>
              <w:right w:val="single" w:sz="4" w:space="0" w:color="auto"/>
            </w:tcBorders>
            <w:shd w:val="clear" w:color="auto" w:fill="CFE5F4" w:themeFill="accent6" w:themeFillTint="33"/>
            <w:noWrap/>
            <w:vAlign w:val="center"/>
            <w:hideMark/>
          </w:tcPr>
          <w:p w14:paraId="22F845A9" w14:textId="1B4CDAFB" w:rsidR="00051780" w:rsidRPr="002128AE" w:rsidRDefault="00051780" w:rsidP="002128AE">
            <w:pPr>
              <w:spacing w:after="0" w:line="240" w:lineRule="auto"/>
              <w:jc w:val="center"/>
              <w:rPr>
                <w:b/>
                <w:bCs/>
              </w:rPr>
            </w:pPr>
            <w:r w:rsidRPr="002128AE">
              <w:rPr>
                <w:b/>
                <w:bCs/>
              </w:rPr>
              <w:t>$1,109</w:t>
            </w:r>
          </w:p>
        </w:tc>
        <w:tc>
          <w:tcPr>
            <w:tcW w:w="840" w:type="pct"/>
            <w:gridSpan w:val="2"/>
            <w:tcBorders>
              <w:top w:val="single" w:sz="4" w:space="0" w:color="auto"/>
              <w:left w:val="nil"/>
              <w:bottom w:val="single" w:sz="4" w:space="0" w:color="auto"/>
              <w:right w:val="single" w:sz="4" w:space="0" w:color="auto"/>
            </w:tcBorders>
            <w:shd w:val="clear" w:color="auto" w:fill="CFE5F4" w:themeFill="accent6" w:themeFillTint="33"/>
            <w:noWrap/>
            <w:vAlign w:val="center"/>
            <w:hideMark/>
          </w:tcPr>
          <w:p w14:paraId="299527E8" w14:textId="6E79947E" w:rsidR="00051780" w:rsidRPr="002128AE" w:rsidRDefault="00051780" w:rsidP="002128AE">
            <w:pPr>
              <w:spacing w:after="0" w:line="240" w:lineRule="auto"/>
              <w:jc w:val="center"/>
            </w:pPr>
            <w:r w:rsidRPr="002128AE">
              <w:t>$2,257</w:t>
            </w:r>
          </w:p>
        </w:tc>
        <w:tc>
          <w:tcPr>
            <w:tcW w:w="840" w:type="pct"/>
            <w:tcBorders>
              <w:top w:val="nil"/>
              <w:left w:val="nil"/>
              <w:bottom w:val="single" w:sz="4" w:space="0" w:color="auto"/>
              <w:right w:val="single" w:sz="4" w:space="0" w:color="auto"/>
            </w:tcBorders>
            <w:shd w:val="clear" w:color="auto" w:fill="CFE5F4" w:themeFill="accent6" w:themeFillTint="33"/>
            <w:noWrap/>
            <w:vAlign w:val="center"/>
            <w:hideMark/>
          </w:tcPr>
          <w:p w14:paraId="5A28BC02" w14:textId="49428BCA"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$14,630</w:t>
            </w:r>
          </w:p>
        </w:tc>
        <w:tc>
          <w:tcPr>
            <w:tcW w:w="841" w:type="pct"/>
            <w:tcBorders>
              <w:top w:val="nil"/>
              <w:left w:val="nil"/>
              <w:bottom w:val="single" w:sz="4" w:space="0" w:color="auto"/>
              <w:right w:val="single" w:sz="4" w:space="0" w:color="auto"/>
            </w:tcBorders>
            <w:shd w:val="clear" w:color="auto" w:fill="CFE5F4" w:themeFill="accent6" w:themeFillTint="33"/>
            <w:noWrap/>
            <w:vAlign w:val="center"/>
            <w:hideMark/>
          </w:tcPr>
          <w:p w14:paraId="67C17290" w14:textId="18F996BB" w:rsidR="00051780" w:rsidRPr="000E53A0" w:rsidRDefault="00051780" w:rsidP="002128AE">
            <w:pPr>
              <w:spacing w:after="0" w:line="240" w:lineRule="auto"/>
              <w:jc w:val="center"/>
              <w:rPr>
                <w:rFonts w:ascii="Calibri" w:eastAsia="Times New Roman" w:hAnsi="Calibri" w:cs="Calibri"/>
                <w:color w:val="000000"/>
              </w:rPr>
            </w:pPr>
            <w:r w:rsidRPr="00527D3A">
              <w:t>$11,457</w:t>
            </w:r>
          </w:p>
        </w:tc>
      </w:tr>
      <w:tr w:rsidR="00D35C48" w:rsidRPr="000E53A0" w14:paraId="444A4744" w14:textId="77777777" w:rsidTr="00AF4185">
        <w:trPr>
          <w:trHeight w:val="86"/>
        </w:trPr>
        <w:tc>
          <w:tcPr>
            <w:tcW w:w="545" w:type="pct"/>
            <w:vMerge w:val="restart"/>
            <w:tcBorders>
              <w:top w:val="nil"/>
              <w:left w:val="single" w:sz="4" w:space="0" w:color="auto"/>
              <w:bottom w:val="single" w:sz="4" w:space="0" w:color="auto"/>
              <w:right w:val="single" w:sz="4" w:space="0" w:color="auto"/>
            </w:tcBorders>
            <w:shd w:val="clear" w:color="auto" w:fill="FCDFD2" w:themeFill="accent2" w:themeFillTint="33"/>
            <w:noWrap/>
            <w:vAlign w:val="center"/>
            <w:hideMark/>
          </w:tcPr>
          <w:p w14:paraId="6D7B8DB8"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2</w:t>
            </w:r>
          </w:p>
        </w:tc>
        <w:tc>
          <w:tcPr>
            <w:tcW w:w="1095" w:type="pct"/>
            <w:tcBorders>
              <w:top w:val="nil"/>
              <w:left w:val="nil"/>
              <w:bottom w:val="single" w:sz="4" w:space="0" w:color="auto"/>
              <w:right w:val="single" w:sz="4" w:space="0" w:color="auto"/>
            </w:tcBorders>
            <w:shd w:val="clear" w:color="auto" w:fill="FCDFD2" w:themeFill="accent2" w:themeFillTint="33"/>
            <w:noWrap/>
            <w:vAlign w:val="bottom"/>
            <w:hideMark/>
          </w:tcPr>
          <w:p w14:paraId="37F8C06F"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Clinical Psychology</w:t>
            </w:r>
          </w:p>
        </w:tc>
        <w:tc>
          <w:tcPr>
            <w:tcW w:w="840" w:type="pct"/>
            <w:tcBorders>
              <w:top w:val="nil"/>
              <w:left w:val="nil"/>
              <w:bottom w:val="single" w:sz="4" w:space="0" w:color="auto"/>
              <w:right w:val="single" w:sz="4" w:space="0" w:color="auto"/>
            </w:tcBorders>
            <w:shd w:val="clear" w:color="auto" w:fill="FCDFD2" w:themeFill="accent2" w:themeFillTint="33"/>
            <w:noWrap/>
            <w:vAlign w:val="center"/>
            <w:hideMark/>
          </w:tcPr>
          <w:p w14:paraId="5CFB4527" w14:textId="3A184F50" w:rsidR="00051780" w:rsidRPr="002128AE" w:rsidRDefault="00051780" w:rsidP="002128AE">
            <w:pPr>
              <w:spacing w:after="0" w:line="240" w:lineRule="auto"/>
              <w:jc w:val="center"/>
              <w:rPr>
                <w:b/>
                <w:bCs/>
              </w:rPr>
            </w:pPr>
            <w:r w:rsidRPr="002128AE">
              <w:rPr>
                <w:b/>
                <w:bCs/>
              </w:rPr>
              <w:t>$13,369</w:t>
            </w:r>
          </w:p>
        </w:tc>
        <w:tc>
          <w:tcPr>
            <w:tcW w:w="840" w:type="pct"/>
            <w:gridSpan w:val="2"/>
            <w:tcBorders>
              <w:top w:val="single" w:sz="4" w:space="0" w:color="auto"/>
              <w:left w:val="nil"/>
              <w:bottom w:val="single" w:sz="4" w:space="0" w:color="auto"/>
              <w:right w:val="single" w:sz="4" w:space="0" w:color="auto"/>
            </w:tcBorders>
            <w:shd w:val="clear" w:color="auto" w:fill="FCDFD2" w:themeFill="accent2" w:themeFillTint="33"/>
            <w:noWrap/>
            <w:vAlign w:val="center"/>
            <w:hideMark/>
          </w:tcPr>
          <w:p w14:paraId="2E98D969" w14:textId="51A77F90" w:rsidR="00051780" w:rsidRPr="002128AE" w:rsidRDefault="00051780" w:rsidP="002128AE">
            <w:pPr>
              <w:spacing w:after="0" w:line="240" w:lineRule="auto"/>
              <w:jc w:val="center"/>
            </w:pPr>
            <w:r w:rsidRPr="002128AE">
              <w:t>$13,668</w:t>
            </w:r>
          </w:p>
        </w:tc>
        <w:tc>
          <w:tcPr>
            <w:tcW w:w="840" w:type="pct"/>
            <w:tcBorders>
              <w:top w:val="nil"/>
              <w:left w:val="nil"/>
              <w:bottom w:val="single" w:sz="4" w:space="0" w:color="auto"/>
              <w:right w:val="single" w:sz="4" w:space="0" w:color="auto"/>
            </w:tcBorders>
            <w:shd w:val="clear" w:color="auto" w:fill="FCDFD2" w:themeFill="accent2" w:themeFillTint="33"/>
            <w:noWrap/>
            <w:vAlign w:val="center"/>
            <w:hideMark/>
          </w:tcPr>
          <w:p w14:paraId="38D96EBB" w14:textId="21D58670"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$3,985</w:t>
            </w:r>
          </w:p>
        </w:tc>
        <w:tc>
          <w:tcPr>
            <w:tcW w:w="841" w:type="pct"/>
            <w:tcBorders>
              <w:top w:val="nil"/>
              <w:left w:val="nil"/>
              <w:bottom w:val="single" w:sz="4" w:space="0" w:color="auto"/>
              <w:right w:val="single" w:sz="4" w:space="0" w:color="auto"/>
            </w:tcBorders>
            <w:shd w:val="clear" w:color="auto" w:fill="FCDFD2" w:themeFill="accent2" w:themeFillTint="33"/>
            <w:noWrap/>
            <w:vAlign w:val="center"/>
            <w:hideMark/>
          </w:tcPr>
          <w:p w14:paraId="0879D0C2" w14:textId="17934956" w:rsidR="00051780" w:rsidRPr="000E53A0" w:rsidRDefault="00051780" w:rsidP="002128AE">
            <w:pPr>
              <w:spacing w:after="0" w:line="240" w:lineRule="auto"/>
              <w:jc w:val="center"/>
              <w:rPr>
                <w:rFonts w:ascii="Calibri" w:eastAsia="Times New Roman" w:hAnsi="Calibri" w:cs="Calibri"/>
                <w:color w:val="000000"/>
              </w:rPr>
            </w:pPr>
            <w:r w:rsidRPr="00527D3A">
              <w:t>$6,865</w:t>
            </w:r>
          </w:p>
        </w:tc>
      </w:tr>
      <w:tr w:rsidR="00D35C48" w:rsidRPr="000E53A0" w14:paraId="02E7C514" w14:textId="77777777" w:rsidTr="00AF4185">
        <w:trPr>
          <w:trHeight w:val="117"/>
        </w:trPr>
        <w:tc>
          <w:tcPr>
            <w:tcW w:w="545" w:type="pct"/>
            <w:vMerge/>
            <w:tcBorders>
              <w:top w:val="nil"/>
              <w:left w:val="single" w:sz="4" w:space="0" w:color="auto"/>
              <w:bottom w:val="single" w:sz="4" w:space="0" w:color="auto"/>
              <w:right w:val="single" w:sz="4" w:space="0" w:color="auto"/>
            </w:tcBorders>
            <w:shd w:val="clear" w:color="auto" w:fill="FCDFD2" w:themeFill="accent2" w:themeFillTint="33"/>
            <w:vAlign w:val="center"/>
            <w:hideMark/>
          </w:tcPr>
          <w:p w14:paraId="709CDCA8"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FCDFD2" w:themeFill="accent2" w:themeFillTint="33"/>
            <w:noWrap/>
            <w:vAlign w:val="bottom"/>
            <w:hideMark/>
          </w:tcPr>
          <w:p w14:paraId="4CCA1AE2"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Education</w:t>
            </w:r>
          </w:p>
        </w:tc>
        <w:tc>
          <w:tcPr>
            <w:tcW w:w="840" w:type="pct"/>
            <w:tcBorders>
              <w:top w:val="nil"/>
              <w:left w:val="nil"/>
              <w:bottom w:val="single" w:sz="4" w:space="0" w:color="auto"/>
              <w:right w:val="single" w:sz="4" w:space="0" w:color="auto"/>
            </w:tcBorders>
            <w:shd w:val="clear" w:color="auto" w:fill="FCDFD2" w:themeFill="accent2" w:themeFillTint="33"/>
            <w:noWrap/>
            <w:vAlign w:val="center"/>
            <w:hideMark/>
          </w:tcPr>
          <w:p w14:paraId="007621B4" w14:textId="08712922" w:rsidR="00051780" w:rsidRPr="002128AE" w:rsidRDefault="00051780" w:rsidP="002128AE">
            <w:pPr>
              <w:spacing w:after="0" w:line="240" w:lineRule="auto"/>
              <w:jc w:val="center"/>
              <w:rPr>
                <w:b/>
                <w:bCs/>
              </w:rPr>
            </w:pPr>
            <w:r w:rsidRPr="002128AE">
              <w:rPr>
                <w:b/>
                <w:bCs/>
              </w:rPr>
              <w:t>$13,369</w:t>
            </w:r>
          </w:p>
        </w:tc>
        <w:tc>
          <w:tcPr>
            <w:tcW w:w="840" w:type="pct"/>
            <w:gridSpan w:val="2"/>
            <w:tcBorders>
              <w:top w:val="single" w:sz="4" w:space="0" w:color="auto"/>
              <w:left w:val="nil"/>
              <w:bottom w:val="single" w:sz="4" w:space="0" w:color="auto"/>
              <w:right w:val="single" w:sz="4" w:space="0" w:color="auto"/>
            </w:tcBorders>
            <w:shd w:val="clear" w:color="auto" w:fill="FCDFD2" w:themeFill="accent2" w:themeFillTint="33"/>
            <w:noWrap/>
            <w:vAlign w:val="center"/>
            <w:hideMark/>
          </w:tcPr>
          <w:p w14:paraId="4EF7A273" w14:textId="7843BC5D" w:rsidR="00051780" w:rsidRPr="002128AE" w:rsidRDefault="00051780" w:rsidP="002128AE">
            <w:pPr>
              <w:spacing w:after="0" w:line="240" w:lineRule="auto"/>
              <w:jc w:val="center"/>
            </w:pPr>
            <w:r w:rsidRPr="002128AE">
              <w:t>$11,565</w:t>
            </w:r>
          </w:p>
        </w:tc>
        <w:tc>
          <w:tcPr>
            <w:tcW w:w="840" w:type="pct"/>
            <w:tcBorders>
              <w:top w:val="nil"/>
              <w:left w:val="nil"/>
              <w:bottom w:val="single" w:sz="4" w:space="0" w:color="auto"/>
              <w:right w:val="single" w:sz="4" w:space="0" w:color="auto"/>
            </w:tcBorders>
            <w:shd w:val="clear" w:color="auto" w:fill="FCDFD2" w:themeFill="accent2" w:themeFillTint="33"/>
            <w:noWrap/>
            <w:vAlign w:val="center"/>
            <w:hideMark/>
          </w:tcPr>
          <w:p w14:paraId="0D1FE821" w14:textId="599E32C5"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$3,985</w:t>
            </w:r>
          </w:p>
        </w:tc>
        <w:tc>
          <w:tcPr>
            <w:tcW w:w="841" w:type="pct"/>
            <w:tcBorders>
              <w:top w:val="nil"/>
              <w:left w:val="nil"/>
              <w:bottom w:val="single" w:sz="4" w:space="0" w:color="auto"/>
              <w:right w:val="single" w:sz="4" w:space="0" w:color="auto"/>
            </w:tcBorders>
            <w:shd w:val="clear" w:color="auto" w:fill="FCDFD2" w:themeFill="accent2" w:themeFillTint="33"/>
            <w:noWrap/>
            <w:vAlign w:val="center"/>
            <w:hideMark/>
          </w:tcPr>
          <w:p w14:paraId="1C18EA78" w14:textId="250E9A7E" w:rsidR="00051780" w:rsidRPr="000E53A0" w:rsidRDefault="00051780" w:rsidP="002128AE">
            <w:pPr>
              <w:spacing w:after="0" w:line="240" w:lineRule="auto"/>
              <w:jc w:val="center"/>
              <w:rPr>
                <w:rFonts w:ascii="Calibri" w:eastAsia="Times New Roman" w:hAnsi="Calibri" w:cs="Calibri"/>
                <w:color w:val="000000"/>
              </w:rPr>
            </w:pPr>
            <w:r w:rsidRPr="00527D3A">
              <w:t>$6,865</w:t>
            </w:r>
          </w:p>
        </w:tc>
      </w:tr>
      <w:tr w:rsidR="00D35C48" w:rsidRPr="000E53A0" w14:paraId="3DD1F105" w14:textId="77777777" w:rsidTr="00AF4185">
        <w:trPr>
          <w:trHeight w:val="149"/>
        </w:trPr>
        <w:tc>
          <w:tcPr>
            <w:tcW w:w="545" w:type="pct"/>
            <w:vMerge/>
            <w:tcBorders>
              <w:top w:val="nil"/>
              <w:left w:val="single" w:sz="4" w:space="0" w:color="auto"/>
              <w:bottom w:val="single" w:sz="4" w:space="0" w:color="auto"/>
              <w:right w:val="single" w:sz="4" w:space="0" w:color="auto"/>
            </w:tcBorders>
            <w:shd w:val="clear" w:color="auto" w:fill="FCDFD2" w:themeFill="accent2" w:themeFillTint="33"/>
            <w:vAlign w:val="center"/>
            <w:hideMark/>
          </w:tcPr>
          <w:p w14:paraId="10804EAF"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FCDFD2" w:themeFill="accent2" w:themeFillTint="33"/>
            <w:noWrap/>
            <w:vAlign w:val="bottom"/>
            <w:hideMark/>
          </w:tcPr>
          <w:p w14:paraId="25574ED1"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English</w:t>
            </w:r>
          </w:p>
        </w:tc>
        <w:tc>
          <w:tcPr>
            <w:tcW w:w="840" w:type="pct"/>
            <w:tcBorders>
              <w:top w:val="nil"/>
              <w:left w:val="nil"/>
              <w:bottom w:val="single" w:sz="4" w:space="0" w:color="auto"/>
              <w:right w:val="single" w:sz="4" w:space="0" w:color="auto"/>
            </w:tcBorders>
            <w:shd w:val="clear" w:color="auto" w:fill="FCDFD2" w:themeFill="accent2" w:themeFillTint="33"/>
            <w:noWrap/>
            <w:vAlign w:val="center"/>
            <w:hideMark/>
          </w:tcPr>
          <w:p w14:paraId="21777E18" w14:textId="3C498EF8" w:rsidR="00051780" w:rsidRPr="002128AE" w:rsidRDefault="00051780" w:rsidP="002128AE">
            <w:pPr>
              <w:spacing w:after="0" w:line="240" w:lineRule="auto"/>
              <w:jc w:val="center"/>
              <w:rPr>
                <w:b/>
                <w:bCs/>
              </w:rPr>
            </w:pPr>
            <w:r w:rsidRPr="002128AE">
              <w:rPr>
                <w:b/>
                <w:bCs/>
              </w:rPr>
              <w:t>$13,369</w:t>
            </w:r>
          </w:p>
        </w:tc>
        <w:tc>
          <w:tcPr>
            <w:tcW w:w="840" w:type="pct"/>
            <w:gridSpan w:val="2"/>
            <w:tcBorders>
              <w:top w:val="single" w:sz="4" w:space="0" w:color="auto"/>
              <w:left w:val="nil"/>
              <w:bottom w:val="single" w:sz="4" w:space="0" w:color="auto"/>
              <w:right w:val="single" w:sz="4" w:space="0" w:color="auto"/>
            </w:tcBorders>
            <w:shd w:val="clear" w:color="auto" w:fill="FCDFD2" w:themeFill="accent2" w:themeFillTint="33"/>
            <w:noWrap/>
            <w:vAlign w:val="center"/>
            <w:hideMark/>
          </w:tcPr>
          <w:p w14:paraId="002D3437" w14:textId="6CFE8699" w:rsidR="00051780" w:rsidRPr="002128AE" w:rsidRDefault="00051780" w:rsidP="002128AE">
            <w:pPr>
              <w:spacing w:after="0" w:line="240" w:lineRule="auto"/>
              <w:jc w:val="center"/>
            </w:pPr>
            <w:r w:rsidRPr="002128AE">
              <w:t>$6,282</w:t>
            </w:r>
          </w:p>
        </w:tc>
        <w:tc>
          <w:tcPr>
            <w:tcW w:w="840" w:type="pct"/>
            <w:tcBorders>
              <w:top w:val="nil"/>
              <w:left w:val="nil"/>
              <w:bottom w:val="single" w:sz="4" w:space="0" w:color="auto"/>
              <w:right w:val="single" w:sz="4" w:space="0" w:color="auto"/>
            </w:tcBorders>
            <w:shd w:val="clear" w:color="auto" w:fill="FCDFD2" w:themeFill="accent2" w:themeFillTint="33"/>
            <w:noWrap/>
            <w:vAlign w:val="center"/>
            <w:hideMark/>
          </w:tcPr>
          <w:p w14:paraId="6138DF1F" w14:textId="7B7E98DC"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$3,985</w:t>
            </w:r>
          </w:p>
        </w:tc>
        <w:tc>
          <w:tcPr>
            <w:tcW w:w="841" w:type="pct"/>
            <w:tcBorders>
              <w:top w:val="nil"/>
              <w:left w:val="nil"/>
              <w:bottom w:val="single" w:sz="4" w:space="0" w:color="auto"/>
              <w:right w:val="single" w:sz="4" w:space="0" w:color="auto"/>
            </w:tcBorders>
            <w:shd w:val="clear" w:color="auto" w:fill="FCDFD2" w:themeFill="accent2" w:themeFillTint="33"/>
            <w:noWrap/>
            <w:vAlign w:val="center"/>
            <w:hideMark/>
          </w:tcPr>
          <w:p w14:paraId="5DD48A7E" w14:textId="42BB24BC" w:rsidR="00051780" w:rsidRPr="000E53A0" w:rsidRDefault="00051780" w:rsidP="002128AE">
            <w:pPr>
              <w:spacing w:after="0" w:line="240" w:lineRule="auto"/>
              <w:jc w:val="center"/>
              <w:rPr>
                <w:rFonts w:ascii="Calibri" w:eastAsia="Times New Roman" w:hAnsi="Calibri" w:cs="Calibri"/>
                <w:color w:val="000000"/>
              </w:rPr>
            </w:pPr>
            <w:r w:rsidRPr="00527D3A">
              <w:t>$6,865</w:t>
            </w:r>
          </w:p>
        </w:tc>
      </w:tr>
      <w:tr w:rsidR="00D35C48" w:rsidRPr="000E53A0" w14:paraId="13E9A151" w14:textId="77777777" w:rsidTr="00AF4185">
        <w:trPr>
          <w:trHeight w:val="70"/>
        </w:trPr>
        <w:tc>
          <w:tcPr>
            <w:tcW w:w="545" w:type="pct"/>
            <w:vMerge/>
            <w:tcBorders>
              <w:top w:val="nil"/>
              <w:left w:val="single" w:sz="4" w:space="0" w:color="auto"/>
              <w:bottom w:val="single" w:sz="4" w:space="0" w:color="auto"/>
              <w:right w:val="single" w:sz="4" w:space="0" w:color="auto"/>
            </w:tcBorders>
            <w:shd w:val="clear" w:color="auto" w:fill="FCDFD2" w:themeFill="accent2" w:themeFillTint="33"/>
            <w:vAlign w:val="center"/>
            <w:hideMark/>
          </w:tcPr>
          <w:p w14:paraId="3A182036"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FCDFD2" w:themeFill="accent2" w:themeFillTint="33"/>
            <w:noWrap/>
            <w:vAlign w:val="bottom"/>
            <w:hideMark/>
          </w:tcPr>
          <w:p w14:paraId="4A9897D3"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Mathematics</w:t>
            </w:r>
          </w:p>
        </w:tc>
        <w:tc>
          <w:tcPr>
            <w:tcW w:w="840" w:type="pct"/>
            <w:tcBorders>
              <w:top w:val="nil"/>
              <w:left w:val="nil"/>
              <w:bottom w:val="single" w:sz="4" w:space="0" w:color="auto"/>
              <w:right w:val="single" w:sz="4" w:space="0" w:color="auto"/>
            </w:tcBorders>
            <w:shd w:val="clear" w:color="auto" w:fill="FCDFD2" w:themeFill="accent2" w:themeFillTint="33"/>
            <w:noWrap/>
            <w:vAlign w:val="center"/>
            <w:hideMark/>
          </w:tcPr>
          <w:p w14:paraId="5B055C2F" w14:textId="207D2108" w:rsidR="00051780" w:rsidRPr="002128AE" w:rsidRDefault="00051780" w:rsidP="002128AE">
            <w:pPr>
              <w:spacing w:after="0" w:line="240" w:lineRule="auto"/>
              <w:jc w:val="center"/>
              <w:rPr>
                <w:b/>
                <w:bCs/>
              </w:rPr>
            </w:pPr>
            <w:r w:rsidRPr="002128AE">
              <w:rPr>
                <w:b/>
                <w:bCs/>
              </w:rPr>
              <w:t>$13,369</w:t>
            </w:r>
          </w:p>
        </w:tc>
        <w:tc>
          <w:tcPr>
            <w:tcW w:w="840" w:type="pct"/>
            <w:gridSpan w:val="2"/>
            <w:tcBorders>
              <w:top w:val="single" w:sz="4" w:space="0" w:color="auto"/>
              <w:left w:val="nil"/>
              <w:bottom w:val="single" w:sz="4" w:space="0" w:color="auto"/>
              <w:right w:val="single" w:sz="4" w:space="0" w:color="auto"/>
            </w:tcBorders>
            <w:shd w:val="clear" w:color="auto" w:fill="FCDFD2" w:themeFill="accent2" w:themeFillTint="33"/>
            <w:noWrap/>
            <w:vAlign w:val="center"/>
            <w:hideMark/>
          </w:tcPr>
          <w:p w14:paraId="77AE4B71" w14:textId="7B68F67C" w:rsidR="00051780" w:rsidRPr="002128AE" w:rsidRDefault="00051780" w:rsidP="002128AE">
            <w:pPr>
              <w:spacing w:after="0" w:line="240" w:lineRule="auto"/>
              <w:jc w:val="center"/>
            </w:pPr>
            <w:r w:rsidRPr="002128AE">
              <w:t>$11,114</w:t>
            </w:r>
          </w:p>
        </w:tc>
        <w:tc>
          <w:tcPr>
            <w:tcW w:w="840" w:type="pct"/>
            <w:tcBorders>
              <w:top w:val="nil"/>
              <w:left w:val="nil"/>
              <w:bottom w:val="single" w:sz="4" w:space="0" w:color="auto"/>
              <w:right w:val="single" w:sz="4" w:space="0" w:color="auto"/>
            </w:tcBorders>
            <w:shd w:val="clear" w:color="auto" w:fill="FCDFD2" w:themeFill="accent2" w:themeFillTint="33"/>
            <w:noWrap/>
            <w:vAlign w:val="center"/>
            <w:hideMark/>
          </w:tcPr>
          <w:p w14:paraId="74911C1E" w14:textId="04C4F74D"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$3,985</w:t>
            </w:r>
          </w:p>
        </w:tc>
        <w:tc>
          <w:tcPr>
            <w:tcW w:w="841" w:type="pct"/>
            <w:tcBorders>
              <w:top w:val="nil"/>
              <w:left w:val="nil"/>
              <w:bottom w:val="single" w:sz="4" w:space="0" w:color="auto"/>
              <w:right w:val="single" w:sz="4" w:space="0" w:color="auto"/>
            </w:tcBorders>
            <w:shd w:val="clear" w:color="auto" w:fill="FCDFD2" w:themeFill="accent2" w:themeFillTint="33"/>
            <w:noWrap/>
            <w:vAlign w:val="center"/>
            <w:hideMark/>
          </w:tcPr>
          <w:p w14:paraId="7DF0A4A7" w14:textId="134FE904" w:rsidR="00051780" w:rsidRPr="000E53A0" w:rsidRDefault="00051780" w:rsidP="002128AE">
            <w:pPr>
              <w:spacing w:after="0" w:line="240" w:lineRule="auto"/>
              <w:jc w:val="center"/>
              <w:rPr>
                <w:rFonts w:ascii="Calibri" w:eastAsia="Times New Roman" w:hAnsi="Calibri" w:cs="Calibri"/>
                <w:color w:val="000000"/>
              </w:rPr>
            </w:pPr>
            <w:r w:rsidRPr="00527D3A">
              <w:t>$9,785</w:t>
            </w:r>
          </w:p>
        </w:tc>
      </w:tr>
      <w:tr w:rsidR="00051780" w:rsidRPr="000E53A0" w14:paraId="6BBD8A3D" w14:textId="77777777" w:rsidTr="00AF4185">
        <w:trPr>
          <w:trHeight w:val="70"/>
        </w:trPr>
        <w:tc>
          <w:tcPr>
            <w:tcW w:w="545" w:type="pct"/>
            <w:vMerge/>
            <w:tcBorders>
              <w:top w:val="nil"/>
              <w:left w:val="single" w:sz="4" w:space="0" w:color="auto"/>
              <w:bottom w:val="single" w:sz="4" w:space="0" w:color="auto"/>
              <w:right w:val="single" w:sz="4" w:space="0" w:color="auto"/>
            </w:tcBorders>
            <w:shd w:val="clear" w:color="auto" w:fill="FCDFD2" w:themeFill="accent2" w:themeFillTint="33"/>
            <w:vAlign w:val="center"/>
            <w:hideMark/>
          </w:tcPr>
          <w:p w14:paraId="04DE63A4"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F9C0A6" w:themeFill="accent2" w:themeFillTint="66"/>
            <w:noWrap/>
            <w:vAlign w:val="bottom"/>
            <w:hideMark/>
          </w:tcPr>
          <w:p w14:paraId="62A13B6E"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 xml:space="preserve">Prof Pathway </w:t>
            </w:r>
            <w:r>
              <w:rPr>
                <w:rFonts w:ascii="Calibri" w:eastAsia="Times New Roman" w:hAnsi="Calibri" w:cs="Calibri"/>
                <w:color w:val="000000"/>
              </w:rPr>
              <w:t>P</w:t>
            </w:r>
            <w:r w:rsidRPr="000E53A0">
              <w:rPr>
                <w:rFonts w:ascii="Calibri" w:eastAsia="Times New Roman" w:hAnsi="Calibri" w:cs="Calibri"/>
                <w:color w:val="000000"/>
              </w:rPr>
              <w:t>sych, Soc Work</w:t>
            </w:r>
          </w:p>
        </w:tc>
        <w:tc>
          <w:tcPr>
            <w:tcW w:w="840" w:type="pct"/>
            <w:tcBorders>
              <w:top w:val="nil"/>
              <w:left w:val="nil"/>
              <w:bottom w:val="single" w:sz="4" w:space="0" w:color="auto"/>
              <w:right w:val="single" w:sz="4" w:space="0" w:color="auto"/>
            </w:tcBorders>
            <w:shd w:val="clear" w:color="auto" w:fill="F9C0A6" w:themeFill="accent2" w:themeFillTint="66"/>
            <w:noWrap/>
            <w:vAlign w:val="center"/>
            <w:hideMark/>
          </w:tcPr>
          <w:p w14:paraId="5E71D548" w14:textId="7BAB0016" w:rsidR="00051780" w:rsidRPr="002128AE" w:rsidRDefault="00051780" w:rsidP="002128AE">
            <w:pPr>
              <w:spacing w:after="0" w:line="240" w:lineRule="auto"/>
              <w:jc w:val="center"/>
              <w:rPr>
                <w:b/>
                <w:bCs/>
              </w:rPr>
            </w:pPr>
            <w:r w:rsidRPr="002128AE">
              <w:rPr>
                <w:b/>
                <w:bCs/>
              </w:rPr>
              <w:t>$13,369</w:t>
            </w:r>
          </w:p>
        </w:tc>
        <w:tc>
          <w:tcPr>
            <w:tcW w:w="840" w:type="pct"/>
            <w:gridSpan w:val="2"/>
            <w:tcBorders>
              <w:top w:val="single" w:sz="4" w:space="0" w:color="auto"/>
              <w:left w:val="nil"/>
              <w:bottom w:val="single" w:sz="4" w:space="0" w:color="auto"/>
              <w:right w:val="single" w:sz="4" w:space="0" w:color="auto"/>
            </w:tcBorders>
            <w:shd w:val="clear" w:color="auto" w:fill="F9C0A6" w:themeFill="accent2" w:themeFillTint="66"/>
            <w:noWrap/>
            <w:vAlign w:val="center"/>
            <w:hideMark/>
          </w:tcPr>
          <w:p w14:paraId="501021B1" w14:textId="6A2F50B0" w:rsidR="00051780" w:rsidRPr="002128AE" w:rsidRDefault="00051780" w:rsidP="002128AE">
            <w:pPr>
              <w:spacing w:after="0" w:line="240" w:lineRule="auto"/>
              <w:jc w:val="center"/>
            </w:pPr>
            <w:r w:rsidRPr="002128AE">
              <w:t>$11,114</w:t>
            </w:r>
          </w:p>
        </w:tc>
        <w:tc>
          <w:tcPr>
            <w:tcW w:w="840" w:type="pct"/>
            <w:tcBorders>
              <w:top w:val="nil"/>
              <w:left w:val="nil"/>
              <w:bottom w:val="single" w:sz="4" w:space="0" w:color="auto"/>
              <w:right w:val="single" w:sz="4" w:space="0" w:color="auto"/>
            </w:tcBorders>
            <w:shd w:val="clear" w:color="auto" w:fill="F9C0A6" w:themeFill="accent2" w:themeFillTint="66"/>
            <w:noWrap/>
            <w:vAlign w:val="center"/>
            <w:hideMark/>
          </w:tcPr>
          <w:p w14:paraId="15E96AC8" w14:textId="34376427"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$8,021</w:t>
            </w:r>
          </w:p>
        </w:tc>
        <w:tc>
          <w:tcPr>
            <w:tcW w:w="841" w:type="pct"/>
            <w:tcBorders>
              <w:top w:val="nil"/>
              <w:left w:val="nil"/>
              <w:bottom w:val="single" w:sz="4" w:space="0" w:color="auto"/>
              <w:right w:val="single" w:sz="4" w:space="0" w:color="auto"/>
            </w:tcBorders>
            <w:shd w:val="clear" w:color="auto" w:fill="F9C0A6" w:themeFill="accent2" w:themeFillTint="66"/>
            <w:noWrap/>
            <w:vAlign w:val="center"/>
            <w:hideMark/>
          </w:tcPr>
          <w:p w14:paraId="36B22837" w14:textId="4C09FB71" w:rsidR="00051780" w:rsidRPr="000E53A0" w:rsidRDefault="00051780" w:rsidP="002128AE">
            <w:pPr>
              <w:spacing w:after="0" w:line="240" w:lineRule="auto"/>
              <w:jc w:val="center"/>
              <w:rPr>
                <w:rFonts w:ascii="Calibri" w:eastAsia="Times New Roman" w:hAnsi="Calibri" w:cs="Calibri"/>
                <w:color w:val="000000"/>
              </w:rPr>
            </w:pPr>
            <w:r w:rsidRPr="00527D3A">
              <w:t>$6,865</w:t>
            </w:r>
          </w:p>
        </w:tc>
      </w:tr>
      <w:tr w:rsidR="00051780" w:rsidRPr="000E53A0" w14:paraId="4D407D7B" w14:textId="77777777" w:rsidTr="00AF4185">
        <w:trPr>
          <w:trHeight w:val="70"/>
        </w:trPr>
        <w:tc>
          <w:tcPr>
            <w:tcW w:w="545" w:type="pct"/>
            <w:vMerge/>
            <w:tcBorders>
              <w:top w:val="nil"/>
              <w:left w:val="single" w:sz="4" w:space="0" w:color="auto"/>
              <w:bottom w:val="single" w:sz="4" w:space="0" w:color="auto"/>
              <w:right w:val="single" w:sz="4" w:space="0" w:color="auto"/>
            </w:tcBorders>
            <w:shd w:val="clear" w:color="auto" w:fill="FCDFD2" w:themeFill="accent2" w:themeFillTint="33"/>
            <w:vAlign w:val="center"/>
            <w:hideMark/>
          </w:tcPr>
          <w:p w14:paraId="616D3234"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F9C0A6" w:themeFill="accent2" w:themeFillTint="66"/>
            <w:noWrap/>
            <w:vAlign w:val="bottom"/>
            <w:hideMark/>
          </w:tcPr>
          <w:p w14:paraId="352BF266"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Creative Arts</w:t>
            </w:r>
          </w:p>
        </w:tc>
        <w:tc>
          <w:tcPr>
            <w:tcW w:w="840" w:type="pct"/>
            <w:tcBorders>
              <w:top w:val="nil"/>
              <w:left w:val="nil"/>
              <w:bottom w:val="single" w:sz="4" w:space="0" w:color="auto"/>
              <w:right w:val="single" w:sz="4" w:space="0" w:color="auto"/>
            </w:tcBorders>
            <w:shd w:val="clear" w:color="auto" w:fill="F9C0A6" w:themeFill="accent2" w:themeFillTint="66"/>
            <w:noWrap/>
            <w:vAlign w:val="center"/>
            <w:hideMark/>
          </w:tcPr>
          <w:p w14:paraId="71FEF00B" w14:textId="35FFFEA2" w:rsidR="00051780" w:rsidRPr="002128AE" w:rsidRDefault="00051780" w:rsidP="002128AE">
            <w:pPr>
              <w:spacing w:after="0" w:line="240" w:lineRule="auto"/>
              <w:jc w:val="center"/>
              <w:rPr>
                <w:b/>
                <w:bCs/>
              </w:rPr>
            </w:pPr>
            <w:r w:rsidRPr="002128AE">
              <w:rPr>
                <w:b/>
                <w:bCs/>
              </w:rPr>
              <w:t>$13,369</w:t>
            </w:r>
          </w:p>
        </w:tc>
        <w:tc>
          <w:tcPr>
            <w:tcW w:w="840" w:type="pct"/>
            <w:gridSpan w:val="2"/>
            <w:tcBorders>
              <w:top w:val="single" w:sz="4" w:space="0" w:color="auto"/>
              <w:left w:val="nil"/>
              <w:bottom w:val="single" w:sz="4" w:space="0" w:color="auto"/>
              <w:right w:val="single" w:sz="4" w:space="0" w:color="auto"/>
            </w:tcBorders>
            <w:shd w:val="clear" w:color="auto" w:fill="F9C0A6" w:themeFill="accent2" w:themeFillTint="66"/>
            <w:noWrap/>
            <w:vAlign w:val="center"/>
            <w:hideMark/>
          </w:tcPr>
          <w:p w14:paraId="5C4BD0A7" w14:textId="38D86BDD" w:rsidR="00051780" w:rsidRPr="002128AE" w:rsidRDefault="00051780" w:rsidP="002128AE">
            <w:pPr>
              <w:spacing w:after="0" w:line="240" w:lineRule="auto"/>
              <w:jc w:val="center"/>
            </w:pPr>
            <w:r w:rsidRPr="002128AE">
              <w:t>$13,668</w:t>
            </w:r>
          </w:p>
        </w:tc>
        <w:tc>
          <w:tcPr>
            <w:tcW w:w="840" w:type="pct"/>
            <w:tcBorders>
              <w:top w:val="nil"/>
              <w:left w:val="nil"/>
              <w:bottom w:val="single" w:sz="4" w:space="0" w:color="auto"/>
              <w:right w:val="single" w:sz="4" w:space="0" w:color="auto"/>
            </w:tcBorders>
            <w:shd w:val="clear" w:color="auto" w:fill="F9C0A6" w:themeFill="accent2" w:themeFillTint="66"/>
            <w:noWrap/>
            <w:vAlign w:val="center"/>
            <w:hideMark/>
          </w:tcPr>
          <w:p w14:paraId="63907DD8" w14:textId="61AEBD0C"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$8,021</w:t>
            </w:r>
          </w:p>
        </w:tc>
        <w:tc>
          <w:tcPr>
            <w:tcW w:w="841" w:type="pct"/>
            <w:tcBorders>
              <w:top w:val="nil"/>
              <w:left w:val="nil"/>
              <w:bottom w:val="single" w:sz="4" w:space="0" w:color="auto"/>
              <w:right w:val="single" w:sz="4" w:space="0" w:color="auto"/>
            </w:tcBorders>
            <w:shd w:val="clear" w:color="auto" w:fill="F9C0A6" w:themeFill="accent2" w:themeFillTint="66"/>
            <w:noWrap/>
            <w:vAlign w:val="center"/>
            <w:hideMark/>
          </w:tcPr>
          <w:p w14:paraId="3938A5E1" w14:textId="0797654E" w:rsidR="00051780" w:rsidRPr="000E53A0" w:rsidRDefault="00051780" w:rsidP="002128AE">
            <w:pPr>
              <w:spacing w:after="0" w:line="240" w:lineRule="auto"/>
              <w:jc w:val="center"/>
              <w:rPr>
                <w:rFonts w:ascii="Calibri" w:eastAsia="Times New Roman" w:hAnsi="Calibri" w:cs="Calibri"/>
                <w:color w:val="000000"/>
              </w:rPr>
            </w:pPr>
            <w:r w:rsidRPr="00527D3A">
              <w:t>$6,865</w:t>
            </w:r>
          </w:p>
        </w:tc>
      </w:tr>
      <w:tr w:rsidR="00051780" w:rsidRPr="000E53A0" w14:paraId="14A30AAB" w14:textId="77777777" w:rsidTr="00AF4185">
        <w:trPr>
          <w:trHeight w:val="121"/>
        </w:trPr>
        <w:tc>
          <w:tcPr>
            <w:tcW w:w="545" w:type="pct"/>
            <w:vMerge/>
            <w:tcBorders>
              <w:top w:val="nil"/>
              <w:left w:val="single" w:sz="4" w:space="0" w:color="auto"/>
              <w:bottom w:val="single" w:sz="4" w:space="0" w:color="auto"/>
              <w:right w:val="single" w:sz="4" w:space="0" w:color="auto"/>
            </w:tcBorders>
            <w:shd w:val="clear" w:color="auto" w:fill="FCDFD2" w:themeFill="accent2" w:themeFillTint="33"/>
            <w:vAlign w:val="center"/>
            <w:hideMark/>
          </w:tcPr>
          <w:p w14:paraId="3E1AC23B"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F9C0A6" w:themeFill="accent2" w:themeFillTint="66"/>
            <w:noWrap/>
            <w:vAlign w:val="bottom"/>
            <w:hideMark/>
          </w:tcPr>
          <w:p w14:paraId="239A3684"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Architecture and Building</w:t>
            </w:r>
          </w:p>
        </w:tc>
        <w:tc>
          <w:tcPr>
            <w:tcW w:w="840" w:type="pct"/>
            <w:tcBorders>
              <w:top w:val="nil"/>
              <w:left w:val="nil"/>
              <w:bottom w:val="single" w:sz="4" w:space="0" w:color="auto"/>
              <w:right w:val="single" w:sz="4" w:space="0" w:color="auto"/>
            </w:tcBorders>
            <w:shd w:val="clear" w:color="auto" w:fill="F9C0A6" w:themeFill="accent2" w:themeFillTint="66"/>
            <w:noWrap/>
            <w:vAlign w:val="center"/>
            <w:hideMark/>
          </w:tcPr>
          <w:p w14:paraId="6E2A1AB3" w14:textId="5616230C" w:rsidR="00051780" w:rsidRPr="002128AE" w:rsidRDefault="00051780" w:rsidP="002128AE">
            <w:pPr>
              <w:spacing w:after="0" w:line="240" w:lineRule="auto"/>
              <w:jc w:val="center"/>
              <w:rPr>
                <w:b/>
                <w:bCs/>
              </w:rPr>
            </w:pPr>
            <w:r w:rsidRPr="002128AE">
              <w:rPr>
                <w:b/>
                <w:bCs/>
              </w:rPr>
              <w:t>$13,369</w:t>
            </w:r>
          </w:p>
        </w:tc>
        <w:tc>
          <w:tcPr>
            <w:tcW w:w="840" w:type="pct"/>
            <w:gridSpan w:val="2"/>
            <w:tcBorders>
              <w:top w:val="single" w:sz="4" w:space="0" w:color="auto"/>
              <w:left w:val="nil"/>
              <w:bottom w:val="single" w:sz="4" w:space="0" w:color="auto"/>
              <w:right w:val="single" w:sz="4" w:space="0" w:color="auto"/>
            </w:tcBorders>
            <w:shd w:val="clear" w:color="auto" w:fill="F9C0A6" w:themeFill="accent2" w:themeFillTint="66"/>
            <w:noWrap/>
            <w:vAlign w:val="center"/>
            <w:hideMark/>
          </w:tcPr>
          <w:p w14:paraId="604F406F" w14:textId="2A4B68AA" w:rsidR="00051780" w:rsidRPr="002128AE" w:rsidRDefault="00051780" w:rsidP="002128AE">
            <w:pPr>
              <w:spacing w:after="0" w:line="240" w:lineRule="auto"/>
              <w:jc w:val="center"/>
            </w:pPr>
            <w:r w:rsidRPr="002128AE">
              <w:t>$11,114</w:t>
            </w:r>
          </w:p>
        </w:tc>
        <w:tc>
          <w:tcPr>
            <w:tcW w:w="840" w:type="pct"/>
            <w:tcBorders>
              <w:top w:val="nil"/>
              <w:left w:val="nil"/>
              <w:bottom w:val="single" w:sz="4" w:space="0" w:color="auto"/>
              <w:right w:val="single" w:sz="4" w:space="0" w:color="auto"/>
            </w:tcBorders>
            <w:shd w:val="clear" w:color="auto" w:fill="F9C0A6" w:themeFill="accent2" w:themeFillTint="66"/>
            <w:noWrap/>
            <w:vAlign w:val="center"/>
            <w:hideMark/>
          </w:tcPr>
          <w:p w14:paraId="5B67C275" w14:textId="29FB0B6A"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$8,021</w:t>
            </w:r>
          </w:p>
        </w:tc>
        <w:tc>
          <w:tcPr>
            <w:tcW w:w="841" w:type="pct"/>
            <w:tcBorders>
              <w:top w:val="nil"/>
              <w:left w:val="nil"/>
              <w:bottom w:val="single" w:sz="4" w:space="0" w:color="auto"/>
              <w:right w:val="single" w:sz="4" w:space="0" w:color="auto"/>
            </w:tcBorders>
            <w:shd w:val="clear" w:color="auto" w:fill="F9C0A6" w:themeFill="accent2" w:themeFillTint="66"/>
            <w:noWrap/>
            <w:vAlign w:val="center"/>
            <w:hideMark/>
          </w:tcPr>
          <w:p w14:paraId="369BDE11" w14:textId="1EF1AA31" w:rsidR="00051780" w:rsidRPr="000E53A0" w:rsidRDefault="00051780" w:rsidP="002128AE">
            <w:pPr>
              <w:spacing w:after="0" w:line="240" w:lineRule="auto"/>
              <w:jc w:val="center"/>
              <w:rPr>
                <w:rFonts w:ascii="Calibri" w:eastAsia="Times New Roman" w:hAnsi="Calibri" w:cs="Calibri"/>
                <w:color w:val="000000"/>
              </w:rPr>
            </w:pPr>
            <w:r w:rsidRPr="00527D3A">
              <w:t>$9,785</w:t>
            </w:r>
          </w:p>
        </w:tc>
      </w:tr>
      <w:tr w:rsidR="00051780" w:rsidRPr="000E53A0" w14:paraId="293486E2" w14:textId="77777777" w:rsidTr="00AF4185">
        <w:trPr>
          <w:trHeight w:val="70"/>
        </w:trPr>
        <w:tc>
          <w:tcPr>
            <w:tcW w:w="545" w:type="pct"/>
            <w:vMerge/>
            <w:tcBorders>
              <w:top w:val="nil"/>
              <w:left w:val="single" w:sz="4" w:space="0" w:color="auto"/>
              <w:bottom w:val="single" w:sz="4" w:space="0" w:color="auto"/>
              <w:right w:val="single" w:sz="4" w:space="0" w:color="auto"/>
            </w:tcBorders>
            <w:shd w:val="clear" w:color="auto" w:fill="FCDFD2" w:themeFill="accent2" w:themeFillTint="33"/>
            <w:vAlign w:val="center"/>
            <w:hideMark/>
          </w:tcPr>
          <w:p w14:paraId="4DDD0974"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F9C0A6" w:themeFill="accent2" w:themeFillTint="66"/>
            <w:noWrap/>
            <w:vAlign w:val="bottom"/>
            <w:hideMark/>
          </w:tcPr>
          <w:p w14:paraId="33C07DFC"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IT</w:t>
            </w:r>
          </w:p>
        </w:tc>
        <w:tc>
          <w:tcPr>
            <w:tcW w:w="840" w:type="pct"/>
            <w:tcBorders>
              <w:top w:val="nil"/>
              <w:left w:val="nil"/>
              <w:bottom w:val="single" w:sz="4" w:space="0" w:color="auto"/>
              <w:right w:val="single" w:sz="4" w:space="0" w:color="auto"/>
            </w:tcBorders>
            <w:shd w:val="clear" w:color="auto" w:fill="F9C0A6" w:themeFill="accent2" w:themeFillTint="66"/>
            <w:noWrap/>
            <w:vAlign w:val="center"/>
            <w:hideMark/>
          </w:tcPr>
          <w:p w14:paraId="7AADF406" w14:textId="381AD49F" w:rsidR="00051780" w:rsidRPr="002128AE" w:rsidRDefault="00051780" w:rsidP="002128AE">
            <w:pPr>
              <w:spacing w:after="0" w:line="240" w:lineRule="auto"/>
              <w:jc w:val="center"/>
              <w:rPr>
                <w:b/>
                <w:bCs/>
              </w:rPr>
            </w:pPr>
            <w:r w:rsidRPr="002128AE">
              <w:rPr>
                <w:b/>
                <w:bCs/>
              </w:rPr>
              <w:t>$13,369</w:t>
            </w:r>
          </w:p>
        </w:tc>
        <w:tc>
          <w:tcPr>
            <w:tcW w:w="840" w:type="pct"/>
            <w:gridSpan w:val="2"/>
            <w:tcBorders>
              <w:top w:val="single" w:sz="4" w:space="0" w:color="auto"/>
              <w:left w:val="nil"/>
              <w:bottom w:val="single" w:sz="4" w:space="0" w:color="auto"/>
              <w:right w:val="single" w:sz="4" w:space="0" w:color="auto"/>
            </w:tcBorders>
            <w:shd w:val="clear" w:color="auto" w:fill="F9C0A6" w:themeFill="accent2" w:themeFillTint="66"/>
            <w:noWrap/>
            <w:vAlign w:val="center"/>
            <w:hideMark/>
          </w:tcPr>
          <w:p w14:paraId="7E779551" w14:textId="785BA1CA" w:rsidR="00051780" w:rsidRPr="002128AE" w:rsidRDefault="00051780" w:rsidP="002128AE">
            <w:pPr>
              <w:spacing w:after="0" w:line="240" w:lineRule="auto"/>
              <w:jc w:val="center"/>
            </w:pPr>
            <w:r w:rsidRPr="002128AE">
              <w:t>$11,114</w:t>
            </w:r>
          </w:p>
        </w:tc>
        <w:tc>
          <w:tcPr>
            <w:tcW w:w="840" w:type="pct"/>
            <w:tcBorders>
              <w:top w:val="nil"/>
              <w:left w:val="nil"/>
              <w:bottom w:val="single" w:sz="4" w:space="0" w:color="auto"/>
              <w:right w:val="single" w:sz="4" w:space="0" w:color="auto"/>
            </w:tcBorders>
            <w:shd w:val="clear" w:color="auto" w:fill="F9C0A6" w:themeFill="accent2" w:themeFillTint="66"/>
            <w:noWrap/>
            <w:vAlign w:val="center"/>
            <w:hideMark/>
          </w:tcPr>
          <w:p w14:paraId="4CA85077" w14:textId="6E5AADE7"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$8,021</w:t>
            </w:r>
          </w:p>
        </w:tc>
        <w:tc>
          <w:tcPr>
            <w:tcW w:w="841" w:type="pct"/>
            <w:tcBorders>
              <w:top w:val="nil"/>
              <w:left w:val="nil"/>
              <w:bottom w:val="single" w:sz="4" w:space="0" w:color="auto"/>
              <w:right w:val="single" w:sz="4" w:space="0" w:color="auto"/>
            </w:tcBorders>
            <w:shd w:val="clear" w:color="auto" w:fill="F9C0A6" w:themeFill="accent2" w:themeFillTint="66"/>
            <w:noWrap/>
            <w:vAlign w:val="center"/>
            <w:hideMark/>
          </w:tcPr>
          <w:p w14:paraId="7023D1CD" w14:textId="27CE69EF" w:rsidR="00051780" w:rsidRPr="000E53A0" w:rsidRDefault="00051780" w:rsidP="002128AE">
            <w:pPr>
              <w:spacing w:after="0" w:line="240" w:lineRule="auto"/>
              <w:jc w:val="center"/>
              <w:rPr>
                <w:rFonts w:ascii="Calibri" w:eastAsia="Times New Roman" w:hAnsi="Calibri" w:cs="Calibri"/>
                <w:color w:val="000000"/>
              </w:rPr>
            </w:pPr>
            <w:r w:rsidRPr="00527D3A">
              <w:t>$9,785</w:t>
            </w:r>
          </w:p>
        </w:tc>
      </w:tr>
      <w:tr w:rsidR="00051780" w:rsidRPr="000E53A0" w14:paraId="22F00675" w14:textId="77777777" w:rsidTr="00AF4185">
        <w:trPr>
          <w:trHeight w:val="171"/>
        </w:trPr>
        <w:tc>
          <w:tcPr>
            <w:tcW w:w="545" w:type="pct"/>
            <w:vMerge/>
            <w:tcBorders>
              <w:top w:val="nil"/>
              <w:left w:val="single" w:sz="4" w:space="0" w:color="auto"/>
              <w:bottom w:val="single" w:sz="4" w:space="0" w:color="auto"/>
              <w:right w:val="single" w:sz="4" w:space="0" w:color="auto"/>
            </w:tcBorders>
            <w:shd w:val="clear" w:color="auto" w:fill="FCDFD2" w:themeFill="accent2" w:themeFillTint="33"/>
            <w:vAlign w:val="center"/>
            <w:hideMark/>
          </w:tcPr>
          <w:p w14:paraId="5F2744AC"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F9C0A6" w:themeFill="accent2" w:themeFillTint="66"/>
            <w:noWrap/>
            <w:vAlign w:val="bottom"/>
            <w:hideMark/>
          </w:tcPr>
          <w:p w14:paraId="008259A6"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Other Health</w:t>
            </w:r>
          </w:p>
        </w:tc>
        <w:tc>
          <w:tcPr>
            <w:tcW w:w="840" w:type="pct"/>
            <w:tcBorders>
              <w:top w:val="nil"/>
              <w:left w:val="nil"/>
              <w:bottom w:val="single" w:sz="4" w:space="0" w:color="auto"/>
              <w:right w:val="single" w:sz="4" w:space="0" w:color="auto"/>
            </w:tcBorders>
            <w:shd w:val="clear" w:color="auto" w:fill="F9C0A6" w:themeFill="accent2" w:themeFillTint="66"/>
            <w:noWrap/>
            <w:vAlign w:val="center"/>
            <w:hideMark/>
          </w:tcPr>
          <w:p w14:paraId="23B5DCA5" w14:textId="34C2C8C5" w:rsidR="00051780" w:rsidRPr="002128AE" w:rsidRDefault="00051780" w:rsidP="002128AE">
            <w:pPr>
              <w:spacing w:after="0" w:line="240" w:lineRule="auto"/>
              <w:jc w:val="center"/>
              <w:rPr>
                <w:b/>
                <w:bCs/>
              </w:rPr>
            </w:pPr>
            <w:r w:rsidRPr="002128AE">
              <w:rPr>
                <w:b/>
                <w:bCs/>
              </w:rPr>
              <w:t>$13,369</w:t>
            </w:r>
          </w:p>
        </w:tc>
        <w:tc>
          <w:tcPr>
            <w:tcW w:w="840" w:type="pct"/>
            <w:gridSpan w:val="2"/>
            <w:tcBorders>
              <w:top w:val="single" w:sz="4" w:space="0" w:color="auto"/>
              <w:left w:val="nil"/>
              <w:bottom w:val="single" w:sz="4" w:space="0" w:color="auto"/>
              <w:right w:val="single" w:sz="4" w:space="0" w:color="auto"/>
            </w:tcBorders>
            <w:shd w:val="clear" w:color="auto" w:fill="F9C0A6" w:themeFill="accent2" w:themeFillTint="66"/>
            <w:noWrap/>
            <w:vAlign w:val="center"/>
            <w:hideMark/>
          </w:tcPr>
          <w:p w14:paraId="12DE6748" w14:textId="2F9D0A54" w:rsidR="00051780" w:rsidRPr="002128AE" w:rsidRDefault="00051780" w:rsidP="002128AE">
            <w:pPr>
              <w:spacing w:after="0" w:line="240" w:lineRule="auto"/>
              <w:jc w:val="center"/>
            </w:pPr>
            <w:r w:rsidRPr="002128AE">
              <w:t>$11,114</w:t>
            </w:r>
          </w:p>
        </w:tc>
        <w:tc>
          <w:tcPr>
            <w:tcW w:w="840" w:type="pct"/>
            <w:tcBorders>
              <w:top w:val="nil"/>
              <w:left w:val="nil"/>
              <w:bottom w:val="single" w:sz="4" w:space="0" w:color="auto"/>
              <w:right w:val="single" w:sz="4" w:space="0" w:color="auto"/>
            </w:tcBorders>
            <w:shd w:val="clear" w:color="auto" w:fill="F9C0A6" w:themeFill="accent2" w:themeFillTint="66"/>
            <w:noWrap/>
            <w:vAlign w:val="center"/>
            <w:hideMark/>
          </w:tcPr>
          <w:p w14:paraId="792D031E" w14:textId="36A20D69"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$8,021</w:t>
            </w:r>
          </w:p>
        </w:tc>
        <w:tc>
          <w:tcPr>
            <w:tcW w:w="841" w:type="pct"/>
            <w:tcBorders>
              <w:top w:val="nil"/>
              <w:left w:val="nil"/>
              <w:bottom w:val="single" w:sz="4" w:space="0" w:color="auto"/>
              <w:right w:val="single" w:sz="4" w:space="0" w:color="auto"/>
            </w:tcBorders>
            <w:shd w:val="clear" w:color="auto" w:fill="F9C0A6" w:themeFill="accent2" w:themeFillTint="66"/>
            <w:noWrap/>
            <w:vAlign w:val="center"/>
            <w:hideMark/>
          </w:tcPr>
          <w:p w14:paraId="4EDD82CE" w14:textId="01E94745" w:rsidR="00051780" w:rsidRPr="000E53A0" w:rsidRDefault="00051780" w:rsidP="002128AE">
            <w:pPr>
              <w:spacing w:after="0" w:line="240" w:lineRule="auto"/>
              <w:jc w:val="center"/>
              <w:rPr>
                <w:rFonts w:ascii="Calibri" w:eastAsia="Times New Roman" w:hAnsi="Calibri" w:cs="Calibri"/>
                <w:color w:val="000000"/>
              </w:rPr>
            </w:pPr>
            <w:r w:rsidRPr="00527D3A">
              <w:t>$9,785</w:t>
            </w:r>
          </w:p>
        </w:tc>
      </w:tr>
      <w:tr w:rsidR="00051780" w:rsidRPr="000E53A0" w14:paraId="41401BF6" w14:textId="77777777" w:rsidTr="00AF4185">
        <w:trPr>
          <w:trHeight w:val="70"/>
        </w:trPr>
        <w:tc>
          <w:tcPr>
            <w:tcW w:w="545" w:type="pct"/>
            <w:vMerge/>
            <w:tcBorders>
              <w:top w:val="nil"/>
              <w:left w:val="single" w:sz="4" w:space="0" w:color="auto"/>
              <w:bottom w:val="single" w:sz="4" w:space="0" w:color="auto"/>
              <w:right w:val="single" w:sz="4" w:space="0" w:color="auto"/>
            </w:tcBorders>
            <w:shd w:val="clear" w:color="auto" w:fill="FCDFD2" w:themeFill="accent2" w:themeFillTint="33"/>
            <w:vAlign w:val="center"/>
            <w:hideMark/>
          </w:tcPr>
          <w:p w14:paraId="6D348660"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F9C0A6" w:themeFill="accent2" w:themeFillTint="66"/>
            <w:noWrap/>
            <w:vAlign w:val="bottom"/>
            <w:hideMark/>
          </w:tcPr>
          <w:p w14:paraId="131402D8"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Allied Health</w:t>
            </w:r>
          </w:p>
        </w:tc>
        <w:tc>
          <w:tcPr>
            <w:tcW w:w="840" w:type="pct"/>
            <w:tcBorders>
              <w:top w:val="nil"/>
              <w:left w:val="nil"/>
              <w:bottom w:val="single" w:sz="4" w:space="0" w:color="auto"/>
              <w:right w:val="single" w:sz="4" w:space="0" w:color="auto"/>
            </w:tcBorders>
            <w:shd w:val="clear" w:color="auto" w:fill="F9C0A6" w:themeFill="accent2" w:themeFillTint="66"/>
            <w:noWrap/>
            <w:vAlign w:val="center"/>
            <w:hideMark/>
          </w:tcPr>
          <w:p w14:paraId="01BDD697" w14:textId="6D5FD889" w:rsidR="00051780" w:rsidRPr="002128AE" w:rsidRDefault="00051780" w:rsidP="002128AE">
            <w:pPr>
              <w:spacing w:after="0" w:line="240" w:lineRule="auto"/>
              <w:jc w:val="center"/>
              <w:rPr>
                <w:b/>
                <w:bCs/>
              </w:rPr>
            </w:pPr>
            <w:r w:rsidRPr="002128AE">
              <w:rPr>
                <w:b/>
                <w:bCs/>
              </w:rPr>
              <w:t>$13,369</w:t>
            </w:r>
          </w:p>
        </w:tc>
        <w:tc>
          <w:tcPr>
            <w:tcW w:w="840" w:type="pct"/>
            <w:gridSpan w:val="2"/>
            <w:tcBorders>
              <w:top w:val="single" w:sz="4" w:space="0" w:color="auto"/>
              <w:left w:val="nil"/>
              <w:bottom w:val="single" w:sz="4" w:space="0" w:color="auto"/>
              <w:right w:val="single" w:sz="4" w:space="0" w:color="auto"/>
            </w:tcBorders>
            <w:shd w:val="clear" w:color="auto" w:fill="F9C0A6" w:themeFill="accent2" w:themeFillTint="66"/>
            <w:noWrap/>
            <w:vAlign w:val="center"/>
            <w:hideMark/>
          </w:tcPr>
          <w:p w14:paraId="6ADE0238" w14:textId="11030200" w:rsidR="00051780" w:rsidRPr="002128AE" w:rsidRDefault="00051780" w:rsidP="002128AE">
            <w:pPr>
              <w:spacing w:after="0" w:line="240" w:lineRule="auto"/>
              <w:jc w:val="center"/>
            </w:pPr>
            <w:r w:rsidRPr="002128AE">
              <w:t>$13,668</w:t>
            </w:r>
          </w:p>
        </w:tc>
        <w:tc>
          <w:tcPr>
            <w:tcW w:w="840" w:type="pct"/>
            <w:tcBorders>
              <w:top w:val="nil"/>
              <w:left w:val="nil"/>
              <w:bottom w:val="single" w:sz="4" w:space="0" w:color="auto"/>
              <w:right w:val="single" w:sz="4" w:space="0" w:color="auto"/>
            </w:tcBorders>
            <w:shd w:val="clear" w:color="auto" w:fill="F9C0A6" w:themeFill="accent2" w:themeFillTint="66"/>
            <w:noWrap/>
            <w:vAlign w:val="center"/>
            <w:hideMark/>
          </w:tcPr>
          <w:p w14:paraId="6208145B" w14:textId="3B7078B7"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$8,021</w:t>
            </w:r>
          </w:p>
        </w:tc>
        <w:tc>
          <w:tcPr>
            <w:tcW w:w="841" w:type="pct"/>
            <w:tcBorders>
              <w:top w:val="nil"/>
              <w:left w:val="nil"/>
              <w:bottom w:val="single" w:sz="4" w:space="0" w:color="auto"/>
              <w:right w:val="single" w:sz="4" w:space="0" w:color="auto"/>
            </w:tcBorders>
            <w:shd w:val="clear" w:color="auto" w:fill="F9C0A6" w:themeFill="accent2" w:themeFillTint="66"/>
            <w:noWrap/>
            <w:vAlign w:val="center"/>
            <w:hideMark/>
          </w:tcPr>
          <w:p w14:paraId="6B01DB1F" w14:textId="64D3DF97" w:rsidR="00051780" w:rsidRPr="000E53A0" w:rsidRDefault="00051780" w:rsidP="002128AE">
            <w:pPr>
              <w:spacing w:after="0" w:line="240" w:lineRule="auto"/>
              <w:jc w:val="center"/>
              <w:rPr>
                <w:rFonts w:ascii="Calibri" w:eastAsia="Times New Roman" w:hAnsi="Calibri" w:cs="Calibri"/>
                <w:color w:val="000000"/>
              </w:rPr>
            </w:pPr>
            <w:r w:rsidRPr="00527D3A">
              <w:t>$9,785</w:t>
            </w:r>
          </w:p>
        </w:tc>
      </w:tr>
      <w:tr w:rsidR="00855328" w:rsidRPr="000E53A0" w14:paraId="6DDF524F" w14:textId="77777777" w:rsidTr="00AF4185">
        <w:trPr>
          <w:trHeight w:val="70"/>
        </w:trPr>
        <w:tc>
          <w:tcPr>
            <w:tcW w:w="545" w:type="pct"/>
            <w:vMerge w:val="restart"/>
            <w:tcBorders>
              <w:top w:val="nil"/>
              <w:left w:val="single" w:sz="4" w:space="0" w:color="auto"/>
              <w:bottom w:val="single" w:sz="4" w:space="0" w:color="auto"/>
              <w:right w:val="single" w:sz="4" w:space="0" w:color="auto"/>
            </w:tcBorders>
            <w:shd w:val="clear" w:color="auto" w:fill="00E6D0"/>
            <w:noWrap/>
            <w:vAlign w:val="center"/>
            <w:hideMark/>
          </w:tcPr>
          <w:p w14:paraId="537D9531" w14:textId="77777777" w:rsidR="00051780" w:rsidRPr="000E53A0" w:rsidRDefault="00051780" w:rsidP="00051780">
            <w:pPr>
              <w:keepNext/>
              <w:spacing w:after="0" w:line="240" w:lineRule="auto"/>
              <w:rPr>
                <w:rFonts w:ascii="Calibri" w:eastAsia="Times New Roman" w:hAnsi="Calibri" w:cs="Calibri"/>
                <w:color w:val="000000"/>
              </w:rPr>
            </w:pPr>
            <w:r w:rsidRPr="000E53A0">
              <w:rPr>
                <w:rFonts w:ascii="Calibri" w:eastAsia="Times New Roman" w:hAnsi="Calibri" w:cs="Calibri"/>
                <w:color w:val="000000"/>
              </w:rPr>
              <w:t>3</w:t>
            </w:r>
          </w:p>
        </w:tc>
        <w:tc>
          <w:tcPr>
            <w:tcW w:w="1095" w:type="pct"/>
            <w:tcBorders>
              <w:top w:val="nil"/>
              <w:left w:val="nil"/>
              <w:bottom w:val="single" w:sz="4" w:space="0" w:color="auto"/>
              <w:right w:val="single" w:sz="4" w:space="0" w:color="auto"/>
            </w:tcBorders>
            <w:shd w:val="clear" w:color="auto" w:fill="00E6D0"/>
            <w:noWrap/>
            <w:vAlign w:val="bottom"/>
            <w:hideMark/>
          </w:tcPr>
          <w:p w14:paraId="13D15710" w14:textId="77777777" w:rsidR="00051780" w:rsidRPr="000E53A0" w:rsidRDefault="00051780" w:rsidP="00051780">
            <w:pPr>
              <w:keepNext/>
              <w:spacing w:after="0" w:line="240" w:lineRule="auto"/>
              <w:rPr>
                <w:rFonts w:ascii="Calibri" w:eastAsia="Times New Roman" w:hAnsi="Calibri" w:cs="Calibri"/>
                <w:color w:val="000000"/>
              </w:rPr>
            </w:pPr>
            <w:r w:rsidRPr="000E53A0">
              <w:rPr>
                <w:rFonts w:ascii="Calibri" w:eastAsia="Times New Roman" w:hAnsi="Calibri" w:cs="Calibri"/>
                <w:color w:val="000000"/>
              </w:rPr>
              <w:t>Foreign Languages</w:t>
            </w:r>
          </w:p>
        </w:tc>
        <w:tc>
          <w:tcPr>
            <w:tcW w:w="840" w:type="pct"/>
            <w:tcBorders>
              <w:top w:val="nil"/>
              <w:left w:val="nil"/>
              <w:bottom w:val="single" w:sz="4" w:space="0" w:color="auto"/>
              <w:right w:val="single" w:sz="4" w:space="0" w:color="auto"/>
            </w:tcBorders>
            <w:shd w:val="clear" w:color="auto" w:fill="00E6D0"/>
            <w:noWrap/>
            <w:vAlign w:val="center"/>
            <w:hideMark/>
          </w:tcPr>
          <w:p w14:paraId="6105C79E" w14:textId="2F359F44" w:rsidR="00051780" w:rsidRPr="002128AE" w:rsidRDefault="00051780" w:rsidP="002128AE">
            <w:pPr>
              <w:spacing w:after="0" w:line="240" w:lineRule="auto"/>
              <w:jc w:val="center"/>
              <w:rPr>
                <w:b/>
                <w:bCs/>
              </w:rPr>
            </w:pPr>
            <w:r w:rsidRPr="002128AE">
              <w:rPr>
                <w:b/>
                <w:bCs/>
              </w:rPr>
              <w:t>$16,396</w:t>
            </w:r>
          </w:p>
        </w:tc>
        <w:tc>
          <w:tcPr>
            <w:tcW w:w="840" w:type="pct"/>
            <w:gridSpan w:val="2"/>
            <w:tcBorders>
              <w:top w:val="single" w:sz="4" w:space="0" w:color="auto"/>
              <w:left w:val="nil"/>
              <w:bottom w:val="single" w:sz="4" w:space="0" w:color="auto"/>
              <w:right w:val="single" w:sz="4" w:space="0" w:color="auto"/>
            </w:tcBorders>
            <w:shd w:val="clear" w:color="auto" w:fill="00E6D0"/>
            <w:noWrap/>
            <w:vAlign w:val="center"/>
            <w:hideMark/>
          </w:tcPr>
          <w:p w14:paraId="35C7EB31" w14:textId="372BAD66" w:rsidR="00051780" w:rsidRPr="002128AE" w:rsidRDefault="00051780" w:rsidP="002128AE">
            <w:pPr>
              <w:spacing w:after="0" w:line="240" w:lineRule="auto"/>
              <w:jc w:val="center"/>
            </w:pPr>
            <w:r w:rsidRPr="002128AE">
              <w:t>$13,668</w:t>
            </w:r>
          </w:p>
        </w:tc>
        <w:tc>
          <w:tcPr>
            <w:tcW w:w="840" w:type="pct"/>
            <w:tcBorders>
              <w:top w:val="nil"/>
              <w:left w:val="nil"/>
              <w:bottom w:val="single" w:sz="4" w:space="0" w:color="auto"/>
              <w:right w:val="single" w:sz="4" w:space="0" w:color="auto"/>
            </w:tcBorders>
            <w:shd w:val="clear" w:color="auto" w:fill="00E6D0"/>
            <w:noWrap/>
            <w:vAlign w:val="center"/>
            <w:hideMark/>
          </w:tcPr>
          <w:p w14:paraId="519674C4" w14:textId="21A7F6A7" w:rsidR="00051780" w:rsidRPr="002128AE" w:rsidRDefault="00051780" w:rsidP="002128AE">
            <w:pPr>
              <w:keepNext/>
              <w:spacing w:after="0" w:line="240" w:lineRule="auto"/>
              <w:jc w:val="center"/>
              <w:rPr>
                <w:rFonts w:ascii="Calibri" w:eastAsia="Times New Roman" w:hAnsi="Calibri" w:cs="Calibri"/>
                <w:b/>
                <w:bCs/>
                <w:color w:val="000000"/>
              </w:rPr>
            </w:pPr>
            <w:r w:rsidRPr="002128AE">
              <w:rPr>
                <w:b/>
                <w:bCs/>
              </w:rPr>
              <w:t>$3,985</w:t>
            </w:r>
          </w:p>
        </w:tc>
        <w:tc>
          <w:tcPr>
            <w:tcW w:w="841" w:type="pct"/>
            <w:tcBorders>
              <w:top w:val="nil"/>
              <w:left w:val="nil"/>
              <w:bottom w:val="single" w:sz="4" w:space="0" w:color="auto"/>
              <w:right w:val="single" w:sz="4" w:space="0" w:color="auto"/>
            </w:tcBorders>
            <w:shd w:val="clear" w:color="auto" w:fill="00E6D0"/>
            <w:noWrap/>
            <w:vAlign w:val="center"/>
            <w:hideMark/>
          </w:tcPr>
          <w:p w14:paraId="140A655D" w14:textId="43AE1AEB" w:rsidR="00051780" w:rsidRPr="000E53A0" w:rsidRDefault="00051780" w:rsidP="002128AE">
            <w:pPr>
              <w:keepNext/>
              <w:spacing w:after="0" w:line="240" w:lineRule="auto"/>
              <w:jc w:val="center"/>
              <w:rPr>
                <w:rFonts w:ascii="Calibri" w:eastAsia="Times New Roman" w:hAnsi="Calibri" w:cs="Calibri"/>
                <w:color w:val="000000"/>
              </w:rPr>
            </w:pPr>
            <w:r w:rsidRPr="00527D3A">
              <w:t>$6,865</w:t>
            </w:r>
          </w:p>
        </w:tc>
      </w:tr>
      <w:tr w:rsidR="00855328" w:rsidRPr="000E53A0" w14:paraId="0BC9940D" w14:textId="77777777" w:rsidTr="00AF4185">
        <w:trPr>
          <w:trHeight w:val="125"/>
        </w:trPr>
        <w:tc>
          <w:tcPr>
            <w:tcW w:w="545" w:type="pct"/>
            <w:vMerge/>
            <w:tcBorders>
              <w:top w:val="nil"/>
              <w:left w:val="single" w:sz="4" w:space="0" w:color="auto"/>
              <w:bottom w:val="single" w:sz="4" w:space="0" w:color="auto"/>
              <w:right w:val="single" w:sz="4" w:space="0" w:color="auto"/>
            </w:tcBorders>
            <w:shd w:val="clear" w:color="auto" w:fill="00E6D0"/>
            <w:vAlign w:val="center"/>
            <w:hideMark/>
          </w:tcPr>
          <w:p w14:paraId="2B65A360" w14:textId="77777777" w:rsidR="00051780" w:rsidRPr="000E53A0" w:rsidRDefault="00051780" w:rsidP="00051780">
            <w:pPr>
              <w:keepNext/>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00E6D0"/>
            <w:noWrap/>
            <w:vAlign w:val="bottom"/>
            <w:hideMark/>
          </w:tcPr>
          <w:p w14:paraId="75396B52" w14:textId="77777777" w:rsidR="00051780" w:rsidRPr="000E53A0" w:rsidRDefault="00051780" w:rsidP="00051780">
            <w:pPr>
              <w:keepNext/>
              <w:spacing w:after="0" w:line="240" w:lineRule="auto"/>
              <w:rPr>
                <w:rFonts w:ascii="Calibri" w:eastAsia="Times New Roman" w:hAnsi="Calibri" w:cs="Calibri"/>
                <w:color w:val="000000"/>
              </w:rPr>
            </w:pPr>
            <w:r w:rsidRPr="000E53A0">
              <w:rPr>
                <w:rFonts w:ascii="Calibri" w:eastAsia="Times New Roman" w:hAnsi="Calibri" w:cs="Calibri"/>
                <w:color w:val="000000"/>
              </w:rPr>
              <w:t>Nursing</w:t>
            </w:r>
          </w:p>
        </w:tc>
        <w:tc>
          <w:tcPr>
            <w:tcW w:w="840" w:type="pct"/>
            <w:tcBorders>
              <w:top w:val="nil"/>
              <w:left w:val="nil"/>
              <w:bottom w:val="single" w:sz="4" w:space="0" w:color="auto"/>
              <w:right w:val="single" w:sz="4" w:space="0" w:color="auto"/>
            </w:tcBorders>
            <w:shd w:val="clear" w:color="auto" w:fill="00E6D0"/>
            <w:noWrap/>
            <w:vAlign w:val="center"/>
            <w:hideMark/>
          </w:tcPr>
          <w:p w14:paraId="36D713A3" w14:textId="094B7055" w:rsidR="00051780" w:rsidRPr="002128AE" w:rsidRDefault="00051780" w:rsidP="002128AE">
            <w:pPr>
              <w:spacing w:after="0" w:line="240" w:lineRule="auto"/>
              <w:jc w:val="center"/>
              <w:rPr>
                <w:b/>
                <w:bCs/>
              </w:rPr>
            </w:pPr>
            <w:r w:rsidRPr="002128AE">
              <w:rPr>
                <w:b/>
                <w:bCs/>
              </w:rPr>
              <w:t>$16,396</w:t>
            </w:r>
          </w:p>
        </w:tc>
        <w:tc>
          <w:tcPr>
            <w:tcW w:w="840" w:type="pct"/>
            <w:gridSpan w:val="2"/>
            <w:tcBorders>
              <w:top w:val="single" w:sz="4" w:space="0" w:color="auto"/>
              <w:left w:val="nil"/>
              <w:bottom w:val="single" w:sz="4" w:space="0" w:color="auto"/>
              <w:right w:val="single" w:sz="4" w:space="0" w:color="auto"/>
            </w:tcBorders>
            <w:shd w:val="clear" w:color="auto" w:fill="00E6D0"/>
            <w:noWrap/>
            <w:vAlign w:val="center"/>
            <w:hideMark/>
          </w:tcPr>
          <w:p w14:paraId="74192EF3" w14:textId="2E2120E1" w:rsidR="00051780" w:rsidRPr="002128AE" w:rsidRDefault="00051780" w:rsidP="002128AE">
            <w:pPr>
              <w:spacing w:after="0" w:line="240" w:lineRule="auto"/>
              <w:jc w:val="center"/>
            </w:pPr>
            <w:r w:rsidRPr="002128AE">
              <w:t>$15,261</w:t>
            </w:r>
          </w:p>
        </w:tc>
        <w:tc>
          <w:tcPr>
            <w:tcW w:w="840" w:type="pct"/>
            <w:tcBorders>
              <w:top w:val="nil"/>
              <w:left w:val="nil"/>
              <w:bottom w:val="single" w:sz="4" w:space="0" w:color="auto"/>
              <w:right w:val="single" w:sz="4" w:space="0" w:color="auto"/>
            </w:tcBorders>
            <w:shd w:val="clear" w:color="auto" w:fill="00E6D0"/>
            <w:noWrap/>
            <w:vAlign w:val="center"/>
            <w:hideMark/>
          </w:tcPr>
          <w:p w14:paraId="052B1F36" w14:textId="47F733D3" w:rsidR="00051780" w:rsidRPr="002128AE" w:rsidRDefault="00051780" w:rsidP="002128AE">
            <w:pPr>
              <w:keepNext/>
              <w:spacing w:after="0" w:line="240" w:lineRule="auto"/>
              <w:jc w:val="center"/>
              <w:rPr>
                <w:rFonts w:ascii="Calibri" w:eastAsia="Times New Roman" w:hAnsi="Calibri" w:cs="Calibri"/>
                <w:b/>
                <w:bCs/>
                <w:color w:val="000000"/>
              </w:rPr>
            </w:pPr>
            <w:r w:rsidRPr="002128AE">
              <w:rPr>
                <w:b/>
                <w:bCs/>
              </w:rPr>
              <w:t>$3,985</w:t>
            </w:r>
          </w:p>
        </w:tc>
        <w:tc>
          <w:tcPr>
            <w:tcW w:w="841" w:type="pct"/>
            <w:tcBorders>
              <w:top w:val="nil"/>
              <w:left w:val="nil"/>
              <w:bottom w:val="single" w:sz="4" w:space="0" w:color="auto"/>
              <w:right w:val="single" w:sz="4" w:space="0" w:color="auto"/>
            </w:tcBorders>
            <w:shd w:val="clear" w:color="auto" w:fill="00E6D0"/>
            <w:noWrap/>
            <w:vAlign w:val="center"/>
            <w:hideMark/>
          </w:tcPr>
          <w:p w14:paraId="625902B4" w14:textId="718C088E" w:rsidR="00051780" w:rsidRPr="000E53A0" w:rsidRDefault="00051780" w:rsidP="002128AE">
            <w:pPr>
              <w:keepNext/>
              <w:spacing w:after="0" w:line="240" w:lineRule="auto"/>
              <w:jc w:val="center"/>
              <w:rPr>
                <w:rFonts w:ascii="Calibri" w:eastAsia="Times New Roman" w:hAnsi="Calibri" w:cs="Calibri"/>
                <w:color w:val="000000"/>
              </w:rPr>
            </w:pPr>
            <w:r w:rsidRPr="00527D3A">
              <w:t>$6,865</w:t>
            </w:r>
          </w:p>
        </w:tc>
      </w:tr>
      <w:tr w:rsidR="00051780" w:rsidRPr="000E53A0" w14:paraId="4323501F" w14:textId="77777777" w:rsidTr="00AF4185">
        <w:trPr>
          <w:trHeight w:val="70"/>
        </w:trPr>
        <w:tc>
          <w:tcPr>
            <w:tcW w:w="545" w:type="pct"/>
            <w:vMerge/>
            <w:tcBorders>
              <w:top w:val="nil"/>
              <w:left w:val="single" w:sz="4" w:space="0" w:color="auto"/>
              <w:bottom w:val="single" w:sz="4" w:space="0" w:color="auto"/>
              <w:right w:val="single" w:sz="4" w:space="0" w:color="auto"/>
            </w:tcBorders>
            <w:shd w:val="clear" w:color="auto" w:fill="00E6D0"/>
            <w:vAlign w:val="center"/>
            <w:hideMark/>
          </w:tcPr>
          <w:p w14:paraId="4F417656"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00C8B5"/>
            <w:noWrap/>
            <w:vAlign w:val="bottom"/>
            <w:hideMark/>
          </w:tcPr>
          <w:p w14:paraId="1D65A340"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Engineering</w:t>
            </w:r>
          </w:p>
        </w:tc>
        <w:tc>
          <w:tcPr>
            <w:tcW w:w="840" w:type="pct"/>
            <w:tcBorders>
              <w:top w:val="nil"/>
              <w:left w:val="nil"/>
              <w:bottom w:val="single" w:sz="4" w:space="0" w:color="auto"/>
              <w:right w:val="single" w:sz="4" w:space="0" w:color="auto"/>
            </w:tcBorders>
            <w:shd w:val="clear" w:color="auto" w:fill="00C8B5"/>
            <w:noWrap/>
            <w:vAlign w:val="center"/>
            <w:hideMark/>
          </w:tcPr>
          <w:p w14:paraId="5F349834" w14:textId="243126CD" w:rsidR="00051780" w:rsidRPr="002128AE" w:rsidRDefault="00051780" w:rsidP="002128AE">
            <w:pPr>
              <w:spacing w:after="0" w:line="240" w:lineRule="auto"/>
              <w:jc w:val="center"/>
              <w:rPr>
                <w:b/>
                <w:bCs/>
              </w:rPr>
            </w:pPr>
            <w:r w:rsidRPr="002128AE">
              <w:rPr>
                <w:b/>
                <w:bCs/>
              </w:rPr>
              <w:t>$16,396</w:t>
            </w:r>
          </w:p>
        </w:tc>
        <w:tc>
          <w:tcPr>
            <w:tcW w:w="840" w:type="pct"/>
            <w:gridSpan w:val="2"/>
            <w:tcBorders>
              <w:top w:val="single" w:sz="4" w:space="0" w:color="auto"/>
              <w:left w:val="nil"/>
              <w:bottom w:val="single" w:sz="4" w:space="0" w:color="auto"/>
              <w:right w:val="single" w:sz="4" w:space="0" w:color="auto"/>
            </w:tcBorders>
            <w:shd w:val="clear" w:color="auto" w:fill="00C8B5"/>
            <w:noWrap/>
            <w:vAlign w:val="center"/>
            <w:hideMark/>
          </w:tcPr>
          <w:p w14:paraId="7FBFE771" w14:textId="0CAA39A7" w:rsidR="00051780" w:rsidRPr="002128AE" w:rsidRDefault="00051780" w:rsidP="002128AE">
            <w:pPr>
              <w:spacing w:after="0" w:line="240" w:lineRule="auto"/>
              <w:jc w:val="center"/>
            </w:pPr>
            <w:r w:rsidRPr="002128AE">
              <w:t>$19,433</w:t>
            </w:r>
          </w:p>
        </w:tc>
        <w:tc>
          <w:tcPr>
            <w:tcW w:w="840" w:type="pct"/>
            <w:tcBorders>
              <w:top w:val="nil"/>
              <w:left w:val="nil"/>
              <w:bottom w:val="single" w:sz="4" w:space="0" w:color="auto"/>
              <w:right w:val="single" w:sz="4" w:space="0" w:color="auto"/>
            </w:tcBorders>
            <w:shd w:val="clear" w:color="auto" w:fill="00C8B5"/>
            <w:noWrap/>
            <w:vAlign w:val="center"/>
            <w:hideMark/>
          </w:tcPr>
          <w:p w14:paraId="001ED11E" w14:textId="79727177"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$8,021</w:t>
            </w:r>
          </w:p>
        </w:tc>
        <w:tc>
          <w:tcPr>
            <w:tcW w:w="841" w:type="pct"/>
            <w:tcBorders>
              <w:top w:val="nil"/>
              <w:left w:val="nil"/>
              <w:bottom w:val="single" w:sz="4" w:space="0" w:color="auto"/>
              <w:right w:val="single" w:sz="4" w:space="0" w:color="auto"/>
            </w:tcBorders>
            <w:shd w:val="clear" w:color="auto" w:fill="00C8B5"/>
            <w:noWrap/>
            <w:vAlign w:val="center"/>
            <w:hideMark/>
          </w:tcPr>
          <w:p w14:paraId="39491123" w14:textId="3677CC1B" w:rsidR="00051780" w:rsidRPr="000E53A0" w:rsidRDefault="00051780" w:rsidP="002128AE">
            <w:pPr>
              <w:spacing w:after="0" w:line="240" w:lineRule="auto"/>
              <w:jc w:val="center"/>
              <w:rPr>
                <w:rFonts w:ascii="Calibri" w:eastAsia="Times New Roman" w:hAnsi="Calibri" w:cs="Calibri"/>
                <w:color w:val="000000"/>
              </w:rPr>
            </w:pPr>
            <w:r w:rsidRPr="00527D3A">
              <w:t>$9,785</w:t>
            </w:r>
          </w:p>
        </w:tc>
      </w:tr>
      <w:tr w:rsidR="00051780" w:rsidRPr="000E53A0" w14:paraId="52935923" w14:textId="77777777" w:rsidTr="00AF4185">
        <w:trPr>
          <w:trHeight w:val="70"/>
        </w:trPr>
        <w:tc>
          <w:tcPr>
            <w:tcW w:w="545" w:type="pct"/>
            <w:vMerge/>
            <w:tcBorders>
              <w:top w:val="nil"/>
              <w:left w:val="single" w:sz="4" w:space="0" w:color="auto"/>
              <w:bottom w:val="single" w:sz="4" w:space="0" w:color="auto"/>
              <w:right w:val="single" w:sz="4" w:space="0" w:color="auto"/>
            </w:tcBorders>
            <w:shd w:val="clear" w:color="auto" w:fill="00E6D0"/>
            <w:vAlign w:val="center"/>
            <w:hideMark/>
          </w:tcPr>
          <w:p w14:paraId="3CC58669"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00C8B5"/>
            <w:noWrap/>
            <w:vAlign w:val="bottom"/>
            <w:hideMark/>
          </w:tcPr>
          <w:p w14:paraId="00C23920"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Environmental Studies</w:t>
            </w:r>
          </w:p>
        </w:tc>
        <w:tc>
          <w:tcPr>
            <w:tcW w:w="840" w:type="pct"/>
            <w:tcBorders>
              <w:top w:val="nil"/>
              <w:left w:val="nil"/>
              <w:bottom w:val="single" w:sz="4" w:space="0" w:color="auto"/>
              <w:right w:val="single" w:sz="4" w:space="0" w:color="auto"/>
            </w:tcBorders>
            <w:shd w:val="clear" w:color="auto" w:fill="00C8B5"/>
            <w:noWrap/>
            <w:vAlign w:val="center"/>
            <w:hideMark/>
          </w:tcPr>
          <w:p w14:paraId="36161EF9" w14:textId="2CDDF49D" w:rsidR="00051780" w:rsidRPr="002128AE" w:rsidRDefault="00051780" w:rsidP="002128AE">
            <w:pPr>
              <w:spacing w:after="0" w:line="240" w:lineRule="auto"/>
              <w:jc w:val="center"/>
              <w:rPr>
                <w:b/>
                <w:bCs/>
              </w:rPr>
            </w:pPr>
            <w:r w:rsidRPr="002128AE">
              <w:rPr>
                <w:b/>
                <w:bCs/>
              </w:rPr>
              <w:t>$16,396</w:t>
            </w:r>
          </w:p>
        </w:tc>
        <w:tc>
          <w:tcPr>
            <w:tcW w:w="840" w:type="pct"/>
            <w:gridSpan w:val="2"/>
            <w:tcBorders>
              <w:top w:val="single" w:sz="4" w:space="0" w:color="auto"/>
              <w:left w:val="nil"/>
              <w:bottom w:val="single" w:sz="4" w:space="0" w:color="auto"/>
              <w:right w:val="single" w:sz="4" w:space="0" w:color="auto"/>
            </w:tcBorders>
            <w:shd w:val="clear" w:color="auto" w:fill="00C8B5"/>
            <w:noWrap/>
            <w:vAlign w:val="center"/>
            <w:hideMark/>
          </w:tcPr>
          <w:p w14:paraId="09AEFF98" w14:textId="59FDE57A" w:rsidR="00051780" w:rsidRPr="002128AE" w:rsidRDefault="00051780" w:rsidP="002128AE">
            <w:pPr>
              <w:spacing w:after="0" w:line="240" w:lineRule="auto"/>
              <w:jc w:val="center"/>
            </w:pPr>
            <w:r w:rsidRPr="002128AE">
              <w:t>$24,666</w:t>
            </w:r>
          </w:p>
        </w:tc>
        <w:tc>
          <w:tcPr>
            <w:tcW w:w="840" w:type="pct"/>
            <w:tcBorders>
              <w:top w:val="nil"/>
              <w:left w:val="nil"/>
              <w:bottom w:val="single" w:sz="4" w:space="0" w:color="auto"/>
              <w:right w:val="single" w:sz="4" w:space="0" w:color="auto"/>
            </w:tcBorders>
            <w:shd w:val="clear" w:color="auto" w:fill="00C8B5"/>
            <w:noWrap/>
            <w:vAlign w:val="center"/>
            <w:hideMark/>
          </w:tcPr>
          <w:p w14:paraId="19900D96" w14:textId="7C596D3B"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$8,021</w:t>
            </w:r>
          </w:p>
        </w:tc>
        <w:tc>
          <w:tcPr>
            <w:tcW w:w="841" w:type="pct"/>
            <w:tcBorders>
              <w:top w:val="nil"/>
              <w:left w:val="nil"/>
              <w:bottom w:val="single" w:sz="4" w:space="0" w:color="auto"/>
              <w:right w:val="single" w:sz="4" w:space="0" w:color="auto"/>
            </w:tcBorders>
            <w:shd w:val="clear" w:color="auto" w:fill="00C8B5"/>
            <w:noWrap/>
            <w:vAlign w:val="center"/>
            <w:hideMark/>
          </w:tcPr>
          <w:p w14:paraId="46660324" w14:textId="0DC07090" w:rsidR="00051780" w:rsidRPr="000E53A0" w:rsidRDefault="00051780" w:rsidP="002128AE">
            <w:pPr>
              <w:spacing w:after="0" w:line="240" w:lineRule="auto"/>
              <w:jc w:val="center"/>
              <w:rPr>
                <w:rFonts w:ascii="Calibri" w:eastAsia="Times New Roman" w:hAnsi="Calibri" w:cs="Calibri"/>
                <w:color w:val="000000"/>
              </w:rPr>
            </w:pPr>
            <w:r w:rsidRPr="00527D3A">
              <w:t>$9,785</w:t>
            </w:r>
          </w:p>
        </w:tc>
      </w:tr>
      <w:tr w:rsidR="00051780" w:rsidRPr="000E53A0" w14:paraId="28389E29" w14:textId="77777777" w:rsidTr="00AF4185">
        <w:trPr>
          <w:trHeight w:val="80"/>
        </w:trPr>
        <w:tc>
          <w:tcPr>
            <w:tcW w:w="545" w:type="pct"/>
            <w:vMerge/>
            <w:tcBorders>
              <w:top w:val="nil"/>
              <w:left w:val="single" w:sz="4" w:space="0" w:color="auto"/>
              <w:bottom w:val="single" w:sz="4" w:space="0" w:color="auto"/>
              <w:right w:val="single" w:sz="4" w:space="0" w:color="auto"/>
            </w:tcBorders>
            <w:shd w:val="clear" w:color="auto" w:fill="00E6D0"/>
            <w:vAlign w:val="center"/>
            <w:hideMark/>
          </w:tcPr>
          <w:p w14:paraId="79CF847B"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00C8B5"/>
            <w:noWrap/>
            <w:vAlign w:val="bottom"/>
            <w:hideMark/>
          </w:tcPr>
          <w:p w14:paraId="291A4AB0"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Medical Science</w:t>
            </w:r>
          </w:p>
        </w:tc>
        <w:tc>
          <w:tcPr>
            <w:tcW w:w="840" w:type="pct"/>
            <w:tcBorders>
              <w:top w:val="nil"/>
              <w:left w:val="nil"/>
              <w:bottom w:val="single" w:sz="4" w:space="0" w:color="auto"/>
              <w:right w:val="single" w:sz="4" w:space="0" w:color="auto"/>
            </w:tcBorders>
            <w:shd w:val="clear" w:color="auto" w:fill="00C8B5"/>
            <w:noWrap/>
            <w:vAlign w:val="center"/>
            <w:hideMark/>
          </w:tcPr>
          <w:p w14:paraId="70AFF9E8" w14:textId="2AAB0F2B" w:rsidR="00051780" w:rsidRPr="002128AE" w:rsidRDefault="00051780" w:rsidP="002128AE">
            <w:pPr>
              <w:spacing w:after="0" w:line="240" w:lineRule="auto"/>
              <w:jc w:val="center"/>
              <w:rPr>
                <w:b/>
                <w:bCs/>
              </w:rPr>
            </w:pPr>
            <w:r w:rsidRPr="002128AE">
              <w:rPr>
                <w:b/>
                <w:bCs/>
              </w:rPr>
              <w:t>$16,396</w:t>
            </w:r>
          </w:p>
        </w:tc>
        <w:tc>
          <w:tcPr>
            <w:tcW w:w="840" w:type="pct"/>
            <w:gridSpan w:val="2"/>
            <w:tcBorders>
              <w:top w:val="single" w:sz="4" w:space="0" w:color="auto"/>
              <w:left w:val="nil"/>
              <w:bottom w:val="single" w:sz="4" w:space="0" w:color="auto"/>
              <w:right w:val="single" w:sz="4" w:space="0" w:color="auto"/>
            </w:tcBorders>
            <w:shd w:val="clear" w:color="auto" w:fill="00C8B5"/>
            <w:noWrap/>
            <w:vAlign w:val="center"/>
            <w:hideMark/>
          </w:tcPr>
          <w:p w14:paraId="2A132D6C" w14:textId="7F71A9B4" w:rsidR="00051780" w:rsidRPr="002128AE" w:rsidRDefault="00051780" w:rsidP="002128AE">
            <w:pPr>
              <w:spacing w:after="0" w:line="240" w:lineRule="auto"/>
              <w:jc w:val="center"/>
            </w:pPr>
            <w:r w:rsidRPr="002128AE">
              <w:t>$24,666</w:t>
            </w:r>
          </w:p>
        </w:tc>
        <w:tc>
          <w:tcPr>
            <w:tcW w:w="840" w:type="pct"/>
            <w:tcBorders>
              <w:top w:val="nil"/>
              <w:left w:val="nil"/>
              <w:bottom w:val="single" w:sz="4" w:space="0" w:color="auto"/>
              <w:right w:val="single" w:sz="4" w:space="0" w:color="auto"/>
            </w:tcBorders>
            <w:shd w:val="clear" w:color="auto" w:fill="00C8B5"/>
            <w:noWrap/>
            <w:vAlign w:val="center"/>
            <w:hideMark/>
          </w:tcPr>
          <w:p w14:paraId="3CC250B1" w14:textId="46884A5D"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$8,021</w:t>
            </w:r>
          </w:p>
        </w:tc>
        <w:tc>
          <w:tcPr>
            <w:tcW w:w="841" w:type="pct"/>
            <w:tcBorders>
              <w:top w:val="nil"/>
              <w:left w:val="nil"/>
              <w:bottom w:val="single" w:sz="4" w:space="0" w:color="auto"/>
              <w:right w:val="single" w:sz="4" w:space="0" w:color="auto"/>
            </w:tcBorders>
            <w:shd w:val="clear" w:color="auto" w:fill="00C8B5"/>
            <w:noWrap/>
            <w:vAlign w:val="center"/>
            <w:hideMark/>
          </w:tcPr>
          <w:p w14:paraId="059E6295" w14:textId="7599A1E1" w:rsidR="00051780" w:rsidRPr="000E53A0" w:rsidRDefault="00051780" w:rsidP="002128AE">
            <w:pPr>
              <w:spacing w:after="0" w:line="240" w:lineRule="auto"/>
              <w:jc w:val="center"/>
              <w:rPr>
                <w:rFonts w:ascii="Calibri" w:eastAsia="Times New Roman" w:hAnsi="Calibri" w:cs="Calibri"/>
                <w:color w:val="000000"/>
              </w:rPr>
            </w:pPr>
            <w:r w:rsidRPr="00527D3A">
              <w:t>$11,457</w:t>
            </w:r>
          </w:p>
        </w:tc>
      </w:tr>
      <w:tr w:rsidR="00051780" w:rsidRPr="000E53A0" w14:paraId="02942E18" w14:textId="77777777" w:rsidTr="00AF4185">
        <w:trPr>
          <w:trHeight w:val="70"/>
        </w:trPr>
        <w:tc>
          <w:tcPr>
            <w:tcW w:w="545" w:type="pct"/>
            <w:vMerge/>
            <w:tcBorders>
              <w:top w:val="nil"/>
              <w:left w:val="single" w:sz="4" w:space="0" w:color="auto"/>
              <w:bottom w:val="single" w:sz="4" w:space="0" w:color="auto"/>
              <w:right w:val="single" w:sz="4" w:space="0" w:color="auto"/>
            </w:tcBorders>
            <w:shd w:val="clear" w:color="auto" w:fill="00E6D0"/>
            <w:vAlign w:val="center"/>
            <w:hideMark/>
          </w:tcPr>
          <w:p w14:paraId="1F184EEF"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00C8B5"/>
            <w:noWrap/>
            <w:vAlign w:val="bottom"/>
            <w:hideMark/>
          </w:tcPr>
          <w:p w14:paraId="0298D79B"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Other Science</w:t>
            </w:r>
          </w:p>
        </w:tc>
        <w:tc>
          <w:tcPr>
            <w:tcW w:w="840" w:type="pct"/>
            <w:tcBorders>
              <w:top w:val="nil"/>
              <w:left w:val="nil"/>
              <w:bottom w:val="single" w:sz="4" w:space="0" w:color="auto"/>
              <w:right w:val="single" w:sz="4" w:space="0" w:color="auto"/>
            </w:tcBorders>
            <w:shd w:val="clear" w:color="auto" w:fill="00C8B5"/>
            <w:noWrap/>
            <w:vAlign w:val="center"/>
            <w:hideMark/>
          </w:tcPr>
          <w:p w14:paraId="3C94124D" w14:textId="21E43B9D" w:rsidR="00051780" w:rsidRPr="002128AE" w:rsidRDefault="00051780" w:rsidP="002128AE">
            <w:pPr>
              <w:spacing w:after="0" w:line="240" w:lineRule="auto"/>
              <w:jc w:val="center"/>
              <w:rPr>
                <w:b/>
                <w:bCs/>
              </w:rPr>
            </w:pPr>
            <w:r w:rsidRPr="002128AE">
              <w:rPr>
                <w:b/>
                <w:bCs/>
              </w:rPr>
              <w:t>$16,396</w:t>
            </w:r>
          </w:p>
        </w:tc>
        <w:tc>
          <w:tcPr>
            <w:tcW w:w="840" w:type="pct"/>
            <w:gridSpan w:val="2"/>
            <w:tcBorders>
              <w:top w:val="single" w:sz="4" w:space="0" w:color="auto"/>
              <w:left w:val="nil"/>
              <w:bottom w:val="single" w:sz="4" w:space="0" w:color="auto"/>
              <w:right w:val="single" w:sz="4" w:space="0" w:color="auto"/>
            </w:tcBorders>
            <w:shd w:val="clear" w:color="auto" w:fill="00C8B5"/>
            <w:noWrap/>
            <w:vAlign w:val="center"/>
            <w:hideMark/>
          </w:tcPr>
          <w:p w14:paraId="178EE846" w14:textId="4BCFA7B6" w:rsidR="00051780" w:rsidRPr="002128AE" w:rsidRDefault="00051780" w:rsidP="002128AE">
            <w:pPr>
              <w:spacing w:after="0" w:line="240" w:lineRule="auto"/>
              <w:jc w:val="center"/>
            </w:pPr>
            <w:r w:rsidRPr="002128AE">
              <w:t>$19,433</w:t>
            </w:r>
          </w:p>
        </w:tc>
        <w:tc>
          <w:tcPr>
            <w:tcW w:w="840" w:type="pct"/>
            <w:tcBorders>
              <w:top w:val="nil"/>
              <w:left w:val="nil"/>
              <w:bottom w:val="single" w:sz="4" w:space="0" w:color="auto"/>
              <w:right w:val="single" w:sz="4" w:space="0" w:color="auto"/>
            </w:tcBorders>
            <w:shd w:val="clear" w:color="auto" w:fill="00C8B5"/>
            <w:noWrap/>
            <w:vAlign w:val="center"/>
            <w:hideMark/>
          </w:tcPr>
          <w:p w14:paraId="607176CE" w14:textId="7861DB5D"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$8,021</w:t>
            </w:r>
          </w:p>
        </w:tc>
        <w:tc>
          <w:tcPr>
            <w:tcW w:w="841" w:type="pct"/>
            <w:tcBorders>
              <w:top w:val="nil"/>
              <w:left w:val="nil"/>
              <w:bottom w:val="single" w:sz="4" w:space="0" w:color="auto"/>
              <w:right w:val="single" w:sz="4" w:space="0" w:color="auto"/>
            </w:tcBorders>
            <w:shd w:val="clear" w:color="auto" w:fill="00C8B5"/>
            <w:noWrap/>
            <w:vAlign w:val="center"/>
            <w:hideMark/>
          </w:tcPr>
          <w:p w14:paraId="7BE7B192" w14:textId="5D296E5A" w:rsidR="00051780" w:rsidRPr="000E53A0" w:rsidRDefault="00051780" w:rsidP="002128AE">
            <w:pPr>
              <w:spacing w:after="0" w:line="240" w:lineRule="auto"/>
              <w:jc w:val="center"/>
              <w:rPr>
                <w:rFonts w:ascii="Calibri" w:eastAsia="Times New Roman" w:hAnsi="Calibri" w:cs="Calibri"/>
                <w:color w:val="000000"/>
              </w:rPr>
            </w:pPr>
            <w:r w:rsidRPr="00527D3A">
              <w:t>$9,785</w:t>
            </w:r>
          </w:p>
        </w:tc>
      </w:tr>
      <w:tr w:rsidR="00051780" w:rsidRPr="000E53A0" w14:paraId="1ECA3627" w14:textId="77777777" w:rsidTr="00AF4185">
        <w:trPr>
          <w:trHeight w:val="70"/>
        </w:trPr>
        <w:tc>
          <w:tcPr>
            <w:tcW w:w="545" w:type="pct"/>
            <w:vMerge w:val="restart"/>
            <w:tcBorders>
              <w:top w:val="nil"/>
              <w:left w:val="single" w:sz="4" w:space="0" w:color="auto"/>
              <w:bottom w:val="single" w:sz="4" w:space="0" w:color="auto"/>
              <w:right w:val="single" w:sz="4" w:space="0" w:color="auto"/>
            </w:tcBorders>
            <w:shd w:val="clear" w:color="auto" w:fill="FBEDCF" w:themeFill="accent5" w:themeFillTint="33"/>
            <w:noWrap/>
            <w:vAlign w:val="center"/>
            <w:hideMark/>
          </w:tcPr>
          <w:p w14:paraId="09B91288"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4</w:t>
            </w:r>
          </w:p>
        </w:tc>
        <w:tc>
          <w:tcPr>
            <w:tcW w:w="1095" w:type="pct"/>
            <w:tcBorders>
              <w:top w:val="nil"/>
              <w:left w:val="nil"/>
              <w:bottom w:val="single" w:sz="4" w:space="0" w:color="auto"/>
              <w:right w:val="single" w:sz="4" w:space="0" w:color="auto"/>
            </w:tcBorders>
            <w:shd w:val="clear" w:color="auto" w:fill="FBEDCF" w:themeFill="accent5" w:themeFillTint="33"/>
            <w:noWrap/>
            <w:vAlign w:val="bottom"/>
            <w:hideMark/>
          </w:tcPr>
          <w:p w14:paraId="1C08ADA6"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Agriculture</w:t>
            </w:r>
          </w:p>
        </w:tc>
        <w:tc>
          <w:tcPr>
            <w:tcW w:w="840" w:type="pct"/>
            <w:tcBorders>
              <w:top w:val="nil"/>
              <w:left w:val="nil"/>
              <w:bottom w:val="single" w:sz="4" w:space="0" w:color="auto"/>
              <w:right w:val="single" w:sz="4" w:space="0" w:color="auto"/>
            </w:tcBorders>
            <w:shd w:val="clear" w:color="auto" w:fill="FBEDCF" w:themeFill="accent5" w:themeFillTint="33"/>
            <w:noWrap/>
            <w:vAlign w:val="center"/>
            <w:hideMark/>
          </w:tcPr>
          <w:p w14:paraId="13FA734B" w14:textId="197B5E5F" w:rsidR="00051780" w:rsidRPr="002128AE" w:rsidRDefault="00051780" w:rsidP="002128AE">
            <w:pPr>
              <w:spacing w:after="0" w:line="240" w:lineRule="auto"/>
              <w:jc w:val="center"/>
              <w:rPr>
                <w:b/>
                <w:bCs/>
              </w:rPr>
            </w:pPr>
            <w:r w:rsidRPr="002128AE">
              <w:rPr>
                <w:b/>
                <w:bCs/>
              </w:rPr>
              <w:t>$27,243</w:t>
            </w:r>
          </w:p>
        </w:tc>
        <w:tc>
          <w:tcPr>
            <w:tcW w:w="840" w:type="pct"/>
            <w:gridSpan w:val="2"/>
            <w:tcBorders>
              <w:top w:val="single" w:sz="4" w:space="0" w:color="auto"/>
              <w:left w:val="nil"/>
              <w:bottom w:val="single" w:sz="4" w:space="0" w:color="auto"/>
              <w:right w:val="single" w:sz="4" w:space="0" w:color="auto"/>
            </w:tcBorders>
            <w:shd w:val="clear" w:color="auto" w:fill="FBEDCF" w:themeFill="accent5" w:themeFillTint="33"/>
            <w:noWrap/>
            <w:vAlign w:val="center"/>
            <w:hideMark/>
          </w:tcPr>
          <w:p w14:paraId="0A25BF1B" w14:textId="2CE016AA" w:rsidR="00051780" w:rsidRPr="002128AE" w:rsidRDefault="00051780" w:rsidP="002128AE">
            <w:pPr>
              <w:spacing w:after="0" w:line="240" w:lineRule="auto"/>
              <w:jc w:val="center"/>
            </w:pPr>
            <w:r w:rsidRPr="002128AE">
              <w:t>$24,666</w:t>
            </w:r>
          </w:p>
        </w:tc>
        <w:tc>
          <w:tcPr>
            <w:tcW w:w="840" w:type="pct"/>
            <w:tcBorders>
              <w:top w:val="nil"/>
              <w:left w:val="nil"/>
              <w:bottom w:val="single" w:sz="4" w:space="0" w:color="auto"/>
              <w:right w:val="single" w:sz="4" w:space="0" w:color="auto"/>
            </w:tcBorders>
            <w:shd w:val="clear" w:color="auto" w:fill="FBEDCF" w:themeFill="accent5" w:themeFillTint="33"/>
            <w:noWrap/>
            <w:vAlign w:val="center"/>
            <w:hideMark/>
          </w:tcPr>
          <w:p w14:paraId="65212923" w14:textId="2BD23B6B"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$3,985</w:t>
            </w:r>
          </w:p>
        </w:tc>
        <w:tc>
          <w:tcPr>
            <w:tcW w:w="841" w:type="pct"/>
            <w:tcBorders>
              <w:top w:val="nil"/>
              <w:left w:val="nil"/>
              <w:bottom w:val="single" w:sz="4" w:space="0" w:color="auto"/>
              <w:right w:val="single" w:sz="4" w:space="0" w:color="auto"/>
            </w:tcBorders>
            <w:shd w:val="clear" w:color="auto" w:fill="FBEDCF" w:themeFill="accent5" w:themeFillTint="33"/>
            <w:noWrap/>
            <w:vAlign w:val="center"/>
            <w:hideMark/>
          </w:tcPr>
          <w:p w14:paraId="4434205C" w14:textId="3B3E5289" w:rsidR="00051780" w:rsidRPr="000E53A0" w:rsidRDefault="00051780" w:rsidP="002128AE">
            <w:pPr>
              <w:spacing w:after="0" w:line="240" w:lineRule="auto"/>
              <w:jc w:val="center"/>
              <w:rPr>
                <w:rFonts w:ascii="Calibri" w:eastAsia="Times New Roman" w:hAnsi="Calibri" w:cs="Calibri"/>
                <w:color w:val="000000"/>
              </w:rPr>
            </w:pPr>
            <w:r w:rsidRPr="00527D3A">
              <w:t>$9,785</w:t>
            </w:r>
          </w:p>
        </w:tc>
      </w:tr>
      <w:tr w:rsidR="00051780" w:rsidRPr="000E53A0" w14:paraId="5B5E798F" w14:textId="77777777" w:rsidTr="00AF4185">
        <w:trPr>
          <w:trHeight w:val="161"/>
        </w:trPr>
        <w:tc>
          <w:tcPr>
            <w:tcW w:w="545" w:type="pct"/>
            <w:vMerge/>
            <w:tcBorders>
              <w:top w:val="nil"/>
              <w:left w:val="single" w:sz="4" w:space="0" w:color="auto"/>
              <w:bottom w:val="single" w:sz="4" w:space="0" w:color="auto"/>
              <w:right w:val="single" w:sz="4" w:space="0" w:color="auto"/>
            </w:tcBorders>
            <w:shd w:val="clear" w:color="auto" w:fill="FBEDCF" w:themeFill="accent5" w:themeFillTint="33"/>
            <w:vAlign w:val="center"/>
            <w:hideMark/>
          </w:tcPr>
          <w:p w14:paraId="4E8C29A5"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F7DC9F" w:themeFill="accent5" w:themeFillTint="66"/>
            <w:noWrap/>
            <w:vAlign w:val="bottom"/>
            <w:hideMark/>
          </w:tcPr>
          <w:p w14:paraId="7226709C"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Pathology</w:t>
            </w:r>
          </w:p>
        </w:tc>
        <w:tc>
          <w:tcPr>
            <w:tcW w:w="840" w:type="pct"/>
            <w:tcBorders>
              <w:top w:val="nil"/>
              <w:left w:val="nil"/>
              <w:bottom w:val="single" w:sz="4" w:space="0" w:color="auto"/>
              <w:right w:val="single" w:sz="4" w:space="0" w:color="auto"/>
            </w:tcBorders>
            <w:shd w:val="clear" w:color="auto" w:fill="F7DC9F" w:themeFill="accent5" w:themeFillTint="66"/>
            <w:noWrap/>
            <w:vAlign w:val="center"/>
            <w:hideMark/>
          </w:tcPr>
          <w:p w14:paraId="47BB106D" w14:textId="60F1235D" w:rsidR="00051780" w:rsidRPr="002128AE" w:rsidRDefault="00051780" w:rsidP="002128AE">
            <w:pPr>
              <w:spacing w:after="0" w:line="240" w:lineRule="auto"/>
              <w:jc w:val="center"/>
              <w:rPr>
                <w:b/>
                <w:bCs/>
              </w:rPr>
            </w:pPr>
            <w:r w:rsidRPr="002128AE">
              <w:rPr>
                <w:b/>
                <w:bCs/>
              </w:rPr>
              <w:t>$27,243</w:t>
            </w:r>
          </w:p>
        </w:tc>
        <w:tc>
          <w:tcPr>
            <w:tcW w:w="840" w:type="pct"/>
            <w:gridSpan w:val="2"/>
            <w:tcBorders>
              <w:top w:val="single" w:sz="4" w:space="0" w:color="auto"/>
              <w:left w:val="nil"/>
              <w:bottom w:val="single" w:sz="4" w:space="0" w:color="auto"/>
              <w:right w:val="single" w:sz="4" w:space="0" w:color="auto"/>
            </w:tcBorders>
            <w:shd w:val="clear" w:color="auto" w:fill="F7DC9F" w:themeFill="accent5" w:themeFillTint="66"/>
            <w:noWrap/>
            <w:vAlign w:val="center"/>
            <w:hideMark/>
          </w:tcPr>
          <w:p w14:paraId="6E71F3E5" w14:textId="1DE69F92" w:rsidR="00051780" w:rsidRPr="002128AE" w:rsidRDefault="00051780" w:rsidP="002128AE">
            <w:pPr>
              <w:spacing w:after="0" w:line="240" w:lineRule="auto"/>
              <w:jc w:val="center"/>
            </w:pPr>
            <w:r w:rsidRPr="002128AE">
              <w:t>$24,666</w:t>
            </w:r>
          </w:p>
        </w:tc>
        <w:tc>
          <w:tcPr>
            <w:tcW w:w="840" w:type="pct"/>
            <w:tcBorders>
              <w:top w:val="nil"/>
              <w:left w:val="nil"/>
              <w:bottom w:val="single" w:sz="4" w:space="0" w:color="auto"/>
              <w:right w:val="single" w:sz="4" w:space="0" w:color="auto"/>
            </w:tcBorders>
            <w:shd w:val="clear" w:color="auto" w:fill="F7DC9F" w:themeFill="accent5" w:themeFillTint="66"/>
            <w:noWrap/>
            <w:vAlign w:val="center"/>
            <w:hideMark/>
          </w:tcPr>
          <w:p w14:paraId="24A69147" w14:textId="33847663"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$8,021</w:t>
            </w:r>
          </w:p>
        </w:tc>
        <w:tc>
          <w:tcPr>
            <w:tcW w:w="841" w:type="pct"/>
            <w:tcBorders>
              <w:top w:val="nil"/>
              <w:left w:val="nil"/>
              <w:bottom w:val="single" w:sz="4" w:space="0" w:color="auto"/>
              <w:right w:val="single" w:sz="4" w:space="0" w:color="auto"/>
            </w:tcBorders>
            <w:shd w:val="clear" w:color="auto" w:fill="F7DC9F" w:themeFill="accent5" w:themeFillTint="66"/>
            <w:noWrap/>
            <w:vAlign w:val="center"/>
            <w:hideMark/>
          </w:tcPr>
          <w:p w14:paraId="252018A7" w14:textId="7BBE7F57" w:rsidR="00051780" w:rsidRPr="000E53A0" w:rsidRDefault="00051780" w:rsidP="002128AE">
            <w:pPr>
              <w:spacing w:after="0" w:line="240" w:lineRule="auto"/>
              <w:jc w:val="center"/>
              <w:rPr>
                <w:rFonts w:ascii="Calibri" w:eastAsia="Times New Roman" w:hAnsi="Calibri" w:cs="Calibri"/>
                <w:color w:val="000000"/>
              </w:rPr>
            </w:pPr>
            <w:r w:rsidRPr="00527D3A">
              <w:t>$9,785</w:t>
            </w:r>
          </w:p>
        </w:tc>
      </w:tr>
      <w:tr w:rsidR="00855328" w:rsidRPr="000E53A0" w14:paraId="6105A89C" w14:textId="77777777" w:rsidTr="00AF4185">
        <w:trPr>
          <w:trHeight w:val="70"/>
        </w:trPr>
        <w:tc>
          <w:tcPr>
            <w:tcW w:w="545" w:type="pct"/>
            <w:vMerge/>
            <w:tcBorders>
              <w:top w:val="nil"/>
              <w:left w:val="single" w:sz="4" w:space="0" w:color="auto"/>
              <w:bottom w:val="single" w:sz="4" w:space="0" w:color="auto"/>
              <w:right w:val="single" w:sz="4" w:space="0" w:color="auto"/>
            </w:tcBorders>
            <w:shd w:val="clear" w:color="auto" w:fill="FBEDCF" w:themeFill="accent5" w:themeFillTint="33"/>
            <w:vAlign w:val="center"/>
            <w:hideMark/>
          </w:tcPr>
          <w:p w14:paraId="526A5A4F"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F3CB6F" w:themeFill="accent5" w:themeFillTint="99"/>
            <w:noWrap/>
            <w:vAlign w:val="bottom"/>
            <w:hideMark/>
          </w:tcPr>
          <w:p w14:paraId="55177019"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Medical Studies</w:t>
            </w:r>
          </w:p>
        </w:tc>
        <w:tc>
          <w:tcPr>
            <w:tcW w:w="840" w:type="pct"/>
            <w:tcBorders>
              <w:top w:val="nil"/>
              <w:left w:val="nil"/>
              <w:bottom w:val="single" w:sz="4" w:space="0" w:color="auto"/>
              <w:right w:val="single" w:sz="4" w:space="0" w:color="auto"/>
            </w:tcBorders>
            <w:shd w:val="clear" w:color="auto" w:fill="F3CB6F" w:themeFill="accent5" w:themeFillTint="99"/>
            <w:noWrap/>
            <w:vAlign w:val="center"/>
            <w:hideMark/>
          </w:tcPr>
          <w:p w14:paraId="7F346265" w14:textId="56282277" w:rsidR="00051780" w:rsidRPr="002128AE" w:rsidRDefault="00051780" w:rsidP="002128AE">
            <w:pPr>
              <w:spacing w:after="0" w:line="240" w:lineRule="auto"/>
              <w:jc w:val="center"/>
              <w:rPr>
                <w:b/>
                <w:bCs/>
              </w:rPr>
            </w:pPr>
            <w:r w:rsidRPr="002128AE">
              <w:rPr>
                <w:b/>
                <w:bCs/>
              </w:rPr>
              <w:t>$27,243</w:t>
            </w:r>
          </w:p>
        </w:tc>
        <w:tc>
          <w:tcPr>
            <w:tcW w:w="840" w:type="pct"/>
            <w:gridSpan w:val="2"/>
            <w:tcBorders>
              <w:top w:val="single" w:sz="4" w:space="0" w:color="auto"/>
              <w:left w:val="nil"/>
              <w:bottom w:val="single" w:sz="4" w:space="0" w:color="auto"/>
              <w:right w:val="single" w:sz="4" w:space="0" w:color="auto"/>
            </w:tcBorders>
            <w:shd w:val="clear" w:color="auto" w:fill="F3CB6F" w:themeFill="accent5" w:themeFillTint="99"/>
            <w:noWrap/>
            <w:vAlign w:val="center"/>
            <w:hideMark/>
          </w:tcPr>
          <w:p w14:paraId="17AFAB70" w14:textId="5CBF24CB" w:rsidR="00051780" w:rsidRPr="002128AE" w:rsidRDefault="00051780" w:rsidP="002128AE">
            <w:pPr>
              <w:spacing w:after="0" w:line="240" w:lineRule="auto"/>
              <w:jc w:val="center"/>
            </w:pPr>
            <w:r w:rsidRPr="002128AE">
              <w:t>$24,666</w:t>
            </w:r>
          </w:p>
        </w:tc>
        <w:tc>
          <w:tcPr>
            <w:tcW w:w="840" w:type="pct"/>
            <w:tcBorders>
              <w:top w:val="nil"/>
              <w:left w:val="nil"/>
              <w:bottom w:val="single" w:sz="4" w:space="0" w:color="auto"/>
              <w:right w:val="single" w:sz="4" w:space="0" w:color="auto"/>
            </w:tcBorders>
            <w:shd w:val="clear" w:color="auto" w:fill="F3CB6F" w:themeFill="accent5" w:themeFillTint="99"/>
            <w:noWrap/>
            <w:vAlign w:val="center"/>
            <w:hideMark/>
          </w:tcPr>
          <w:p w14:paraId="4950AD25" w14:textId="2BF3595D"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$11,401</w:t>
            </w:r>
          </w:p>
        </w:tc>
        <w:tc>
          <w:tcPr>
            <w:tcW w:w="841" w:type="pct"/>
            <w:tcBorders>
              <w:top w:val="nil"/>
              <w:left w:val="nil"/>
              <w:bottom w:val="single" w:sz="4" w:space="0" w:color="auto"/>
              <w:right w:val="single" w:sz="4" w:space="0" w:color="auto"/>
            </w:tcBorders>
            <w:shd w:val="clear" w:color="auto" w:fill="F3CB6F" w:themeFill="accent5" w:themeFillTint="99"/>
            <w:noWrap/>
            <w:vAlign w:val="center"/>
            <w:hideMark/>
          </w:tcPr>
          <w:p w14:paraId="370F4CE4" w14:textId="31B8018E" w:rsidR="00051780" w:rsidRPr="000E53A0" w:rsidRDefault="00051780" w:rsidP="002128AE">
            <w:pPr>
              <w:spacing w:after="0" w:line="240" w:lineRule="auto"/>
              <w:jc w:val="center"/>
              <w:rPr>
                <w:rFonts w:ascii="Calibri" w:eastAsia="Times New Roman" w:hAnsi="Calibri" w:cs="Calibri"/>
                <w:color w:val="000000"/>
              </w:rPr>
            </w:pPr>
            <w:r w:rsidRPr="00527D3A">
              <w:t>$11,457</w:t>
            </w:r>
          </w:p>
        </w:tc>
      </w:tr>
      <w:tr w:rsidR="00051780" w:rsidRPr="000E53A0" w14:paraId="473F242C" w14:textId="77777777" w:rsidTr="00AF4185">
        <w:trPr>
          <w:trHeight w:val="83"/>
        </w:trPr>
        <w:tc>
          <w:tcPr>
            <w:tcW w:w="545" w:type="pct"/>
            <w:vMerge/>
            <w:tcBorders>
              <w:top w:val="nil"/>
              <w:left w:val="single" w:sz="4" w:space="0" w:color="auto"/>
              <w:bottom w:val="single" w:sz="4" w:space="0" w:color="auto"/>
              <w:right w:val="single" w:sz="4" w:space="0" w:color="auto"/>
            </w:tcBorders>
            <w:shd w:val="clear" w:color="auto" w:fill="FBEDCF" w:themeFill="accent5" w:themeFillTint="33"/>
            <w:vAlign w:val="center"/>
            <w:hideMark/>
          </w:tcPr>
          <w:p w14:paraId="31224416"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F3CB6F" w:themeFill="accent5" w:themeFillTint="99"/>
            <w:noWrap/>
            <w:vAlign w:val="bottom"/>
            <w:hideMark/>
          </w:tcPr>
          <w:p w14:paraId="0A9ACA8D"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Veterinary Science</w:t>
            </w:r>
          </w:p>
        </w:tc>
        <w:tc>
          <w:tcPr>
            <w:tcW w:w="840" w:type="pct"/>
            <w:tcBorders>
              <w:top w:val="nil"/>
              <w:left w:val="nil"/>
              <w:bottom w:val="single" w:sz="4" w:space="0" w:color="auto"/>
              <w:right w:val="single" w:sz="4" w:space="0" w:color="auto"/>
            </w:tcBorders>
            <w:shd w:val="clear" w:color="auto" w:fill="F3CB6F" w:themeFill="accent5" w:themeFillTint="99"/>
            <w:noWrap/>
            <w:vAlign w:val="center"/>
            <w:hideMark/>
          </w:tcPr>
          <w:p w14:paraId="6F592C6E" w14:textId="7B2063F9" w:rsidR="00051780" w:rsidRPr="002128AE" w:rsidRDefault="00051780" w:rsidP="002128AE">
            <w:pPr>
              <w:spacing w:after="0" w:line="240" w:lineRule="auto"/>
              <w:jc w:val="center"/>
              <w:rPr>
                <w:b/>
                <w:bCs/>
              </w:rPr>
            </w:pPr>
            <w:r w:rsidRPr="002128AE">
              <w:rPr>
                <w:b/>
                <w:bCs/>
              </w:rPr>
              <w:t>$27,243</w:t>
            </w:r>
          </w:p>
        </w:tc>
        <w:tc>
          <w:tcPr>
            <w:tcW w:w="840" w:type="pct"/>
            <w:gridSpan w:val="2"/>
            <w:tcBorders>
              <w:top w:val="single" w:sz="4" w:space="0" w:color="auto"/>
              <w:left w:val="nil"/>
              <w:bottom w:val="single" w:sz="4" w:space="0" w:color="auto"/>
              <w:right w:val="single" w:sz="4" w:space="0" w:color="auto"/>
            </w:tcBorders>
            <w:shd w:val="clear" w:color="auto" w:fill="F3CB6F" w:themeFill="accent5" w:themeFillTint="99"/>
            <w:noWrap/>
            <w:vAlign w:val="center"/>
            <w:hideMark/>
          </w:tcPr>
          <w:p w14:paraId="4B0A746B" w14:textId="24A83AEC" w:rsidR="00051780" w:rsidRPr="002128AE" w:rsidRDefault="00051780" w:rsidP="002128AE">
            <w:pPr>
              <w:spacing w:after="0" w:line="240" w:lineRule="auto"/>
              <w:jc w:val="center"/>
            </w:pPr>
            <w:r w:rsidRPr="002128AE">
              <w:t>$24,666</w:t>
            </w:r>
          </w:p>
        </w:tc>
        <w:tc>
          <w:tcPr>
            <w:tcW w:w="840" w:type="pct"/>
            <w:tcBorders>
              <w:top w:val="nil"/>
              <w:left w:val="nil"/>
              <w:bottom w:val="single" w:sz="4" w:space="0" w:color="auto"/>
              <w:right w:val="single" w:sz="4" w:space="0" w:color="auto"/>
            </w:tcBorders>
            <w:shd w:val="clear" w:color="auto" w:fill="F3CB6F" w:themeFill="accent5" w:themeFillTint="99"/>
            <w:noWrap/>
            <w:vAlign w:val="center"/>
            <w:hideMark/>
          </w:tcPr>
          <w:p w14:paraId="6B20FB78" w14:textId="64E94620"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$11,401</w:t>
            </w:r>
          </w:p>
        </w:tc>
        <w:tc>
          <w:tcPr>
            <w:tcW w:w="841" w:type="pct"/>
            <w:tcBorders>
              <w:top w:val="nil"/>
              <w:left w:val="nil"/>
              <w:bottom w:val="single" w:sz="4" w:space="0" w:color="auto"/>
              <w:right w:val="single" w:sz="4" w:space="0" w:color="auto"/>
            </w:tcBorders>
            <w:shd w:val="clear" w:color="auto" w:fill="F3CB6F" w:themeFill="accent5" w:themeFillTint="99"/>
            <w:noWrap/>
            <w:vAlign w:val="center"/>
            <w:hideMark/>
          </w:tcPr>
          <w:p w14:paraId="6B5C1930" w14:textId="64342405" w:rsidR="00051780" w:rsidRPr="000E53A0" w:rsidRDefault="00051780" w:rsidP="002128AE">
            <w:pPr>
              <w:spacing w:after="0" w:line="240" w:lineRule="auto"/>
              <w:jc w:val="center"/>
              <w:rPr>
                <w:rFonts w:ascii="Calibri" w:eastAsia="Times New Roman" w:hAnsi="Calibri" w:cs="Calibri"/>
                <w:color w:val="000000"/>
              </w:rPr>
            </w:pPr>
            <w:r w:rsidRPr="00527D3A">
              <w:t>$11,457</w:t>
            </w:r>
          </w:p>
        </w:tc>
      </w:tr>
      <w:tr w:rsidR="00855328" w:rsidRPr="000E53A0" w14:paraId="69D79C62" w14:textId="77777777" w:rsidTr="00AF4185">
        <w:trPr>
          <w:trHeight w:val="70"/>
        </w:trPr>
        <w:tc>
          <w:tcPr>
            <w:tcW w:w="545" w:type="pct"/>
            <w:vMerge/>
            <w:tcBorders>
              <w:top w:val="nil"/>
              <w:left w:val="single" w:sz="4" w:space="0" w:color="auto"/>
              <w:bottom w:val="single" w:sz="4" w:space="0" w:color="auto"/>
              <w:right w:val="single" w:sz="4" w:space="0" w:color="auto"/>
            </w:tcBorders>
            <w:shd w:val="clear" w:color="auto" w:fill="FBEDCF" w:themeFill="accent5" w:themeFillTint="33"/>
            <w:vAlign w:val="center"/>
            <w:hideMark/>
          </w:tcPr>
          <w:p w14:paraId="5C5B8ED0" w14:textId="77777777" w:rsidR="00051780" w:rsidRPr="000E53A0" w:rsidRDefault="00051780" w:rsidP="00051780">
            <w:pPr>
              <w:spacing w:after="0" w:line="240" w:lineRule="auto"/>
              <w:rPr>
                <w:rFonts w:ascii="Calibri" w:eastAsia="Times New Roman" w:hAnsi="Calibri" w:cs="Calibri"/>
                <w:color w:val="000000"/>
              </w:rPr>
            </w:pPr>
          </w:p>
        </w:tc>
        <w:tc>
          <w:tcPr>
            <w:tcW w:w="1095" w:type="pct"/>
            <w:tcBorders>
              <w:top w:val="nil"/>
              <w:left w:val="nil"/>
              <w:bottom w:val="single" w:sz="4" w:space="0" w:color="auto"/>
              <w:right w:val="single" w:sz="4" w:space="0" w:color="auto"/>
            </w:tcBorders>
            <w:shd w:val="clear" w:color="auto" w:fill="F3CB6F" w:themeFill="accent5" w:themeFillTint="99"/>
            <w:noWrap/>
            <w:vAlign w:val="bottom"/>
            <w:hideMark/>
          </w:tcPr>
          <w:p w14:paraId="3F82B1CE" w14:textId="77777777" w:rsidR="00051780" w:rsidRPr="000E53A0" w:rsidRDefault="00051780" w:rsidP="00051780">
            <w:pPr>
              <w:spacing w:after="0" w:line="240" w:lineRule="auto"/>
              <w:rPr>
                <w:rFonts w:ascii="Calibri" w:eastAsia="Times New Roman" w:hAnsi="Calibri" w:cs="Calibri"/>
                <w:color w:val="000000"/>
              </w:rPr>
            </w:pPr>
            <w:r w:rsidRPr="000E53A0">
              <w:rPr>
                <w:rFonts w:ascii="Calibri" w:eastAsia="Times New Roman" w:hAnsi="Calibri" w:cs="Calibri"/>
                <w:color w:val="000000"/>
              </w:rPr>
              <w:t>Dental Studies</w:t>
            </w:r>
          </w:p>
        </w:tc>
        <w:tc>
          <w:tcPr>
            <w:tcW w:w="840" w:type="pct"/>
            <w:tcBorders>
              <w:top w:val="nil"/>
              <w:left w:val="nil"/>
              <w:bottom w:val="single" w:sz="4" w:space="0" w:color="auto"/>
              <w:right w:val="single" w:sz="4" w:space="0" w:color="auto"/>
            </w:tcBorders>
            <w:shd w:val="clear" w:color="auto" w:fill="F3CB6F" w:themeFill="accent5" w:themeFillTint="99"/>
            <w:noWrap/>
            <w:vAlign w:val="center"/>
            <w:hideMark/>
          </w:tcPr>
          <w:p w14:paraId="13EC096D" w14:textId="3F56D152" w:rsidR="00051780" w:rsidRPr="002128AE" w:rsidRDefault="00051780" w:rsidP="002128AE">
            <w:pPr>
              <w:spacing w:after="0" w:line="240" w:lineRule="auto"/>
              <w:jc w:val="center"/>
              <w:rPr>
                <w:b/>
                <w:bCs/>
              </w:rPr>
            </w:pPr>
            <w:r w:rsidRPr="002128AE">
              <w:rPr>
                <w:b/>
                <w:bCs/>
              </w:rPr>
              <w:t>$27,243</w:t>
            </w:r>
          </w:p>
        </w:tc>
        <w:tc>
          <w:tcPr>
            <w:tcW w:w="840" w:type="pct"/>
            <w:gridSpan w:val="2"/>
            <w:tcBorders>
              <w:top w:val="single" w:sz="4" w:space="0" w:color="auto"/>
              <w:left w:val="nil"/>
              <w:bottom w:val="single" w:sz="4" w:space="0" w:color="auto"/>
              <w:right w:val="single" w:sz="4" w:space="0" w:color="auto"/>
            </w:tcBorders>
            <w:shd w:val="clear" w:color="auto" w:fill="F3CB6F" w:themeFill="accent5" w:themeFillTint="99"/>
            <w:noWrap/>
            <w:vAlign w:val="center"/>
            <w:hideMark/>
          </w:tcPr>
          <w:p w14:paraId="6132490D" w14:textId="00A91A26" w:rsidR="00051780" w:rsidRPr="002128AE" w:rsidRDefault="00051780" w:rsidP="002128AE">
            <w:pPr>
              <w:spacing w:after="0" w:line="240" w:lineRule="auto"/>
              <w:jc w:val="center"/>
            </w:pPr>
            <w:r w:rsidRPr="002128AE">
              <w:t>$24,666</w:t>
            </w:r>
          </w:p>
        </w:tc>
        <w:tc>
          <w:tcPr>
            <w:tcW w:w="840" w:type="pct"/>
            <w:tcBorders>
              <w:top w:val="nil"/>
              <w:left w:val="nil"/>
              <w:bottom w:val="single" w:sz="4" w:space="0" w:color="auto"/>
              <w:right w:val="single" w:sz="4" w:space="0" w:color="auto"/>
            </w:tcBorders>
            <w:shd w:val="clear" w:color="auto" w:fill="F3CB6F" w:themeFill="accent5" w:themeFillTint="99"/>
            <w:noWrap/>
            <w:vAlign w:val="center"/>
            <w:hideMark/>
          </w:tcPr>
          <w:p w14:paraId="6129693D" w14:textId="725CD1BC" w:rsidR="00051780" w:rsidRPr="002128AE" w:rsidRDefault="00051780" w:rsidP="002128AE">
            <w:pPr>
              <w:spacing w:after="0" w:line="240" w:lineRule="auto"/>
              <w:jc w:val="center"/>
              <w:rPr>
                <w:rFonts w:ascii="Calibri" w:eastAsia="Times New Roman" w:hAnsi="Calibri" w:cs="Calibri"/>
                <w:b/>
                <w:bCs/>
                <w:color w:val="000000"/>
              </w:rPr>
            </w:pPr>
            <w:r w:rsidRPr="002128AE">
              <w:rPr>
                <w:b/>
                <w:bCs/>
              </w:rPr>
              <w:t>$11,401</w:t>
            </w:r>
          </w:p>
        </w:tc>
        <w:tc>
          <w:tcPr>
            <w:tcW w:w="841" w:type="pct"/>
            <w:tcBorders>
              <w:top w:val="nil"/>
              <w:left w:val="nil"/>
              <w:bottom w:val="single" w:sz="4" w:space="0" w:color="auto"/>
              <w:right w:val="single" w:sz="4" w:space="0" w:color="auto"/>
            </w:tcBorders>
            <w:shd w:val="clear" w:color="auto" w:fill="F3CB6F" w:themeFill="accent5" w:themeFillTint="99"/>
            <w:noWrap/>
            <w:vAlign w:val="center"/>
            <w:hideMark/>
          </w:tcPr>
          <w:p w14:paraId="0CB72A1F" w14:textId="6DE70066" w:rsidR="00051780" w:rsidRPr="000E53A0" w:rsidRDefault="00051780" w:rsidP="002128AE">
            <w:pPr>
              <w:spacing w:after="0" w:line="240" w:lineRule="auto"/>
              <w:jc w:val="center"/>
              <w:rPr>
                <w:rFonts w:ascii="Calibri" w:eastAsia="Times New Roman" w:hAnsi="Calibri" w:cs="Calibri"/>
                <w:color w:val="000000"/>
              </w:rPr>
            </w:pPr>
            <w:r w:rsidRPr="00527D3A">
              <w:t xml:space="preserve">$11,457 </w:t>
            </w:r>
          </w:p>
        </w:tc>
      </w:tr>
    </w:tbl>
    <w:p w14:paraId="0F97537D" w14:textId="215153F8" w:rsidR="00311B29" w:rsidRDefault="00311B29" w:rsidP="007C075B"/>
    <w:p w14:paraId="3B6AADDD" w14:textId="77777777" w:rsidR="007C075B" w:rsidRDefault="0036283A" w:rsidP="002128AE">
      <w:pPr>
        <w:spacing w:after="160" w:line="259" w:lineRule="auto"/>
      </w:pPr>
      <w:r>
        <w:t>In addition, t</w:t>
      </w:r>
      <w:r w:rsidR="007C075B">
        <w:t xml:space="preserve">he package </w:t>
      </w:r>
      <w:r>
        <w:t xml:space="preserve">also </w:t>
      </w:r>
      <w:r w:rsidR="007C075B">
        <w:t>sought to more closely align base funding levels with the average measured expenditure on delivering course</w:t>
      </w:r>
      <w:r w:rsidR="00CE0D4D">
        <w:t>s, as determined through the Transparency in Higher Education Expenditure data collection</w:t>
      </w:r>
      <w:r w:rsidR="000C690A">
        <w:t xml:space="preserve"> (see Figure 1)</w:t>
      </w:r>
      <w:r w:rsidR="007C075B">
        <w:t>.</w:t>
      </w:r>
    </w:p>
    <w:p w14:paraId="652BDBC9" w14:textId="77777777" w:rsidR="000C690A" w:rsidRDefault="000C690A" w:rsidP="000C690A">
      <w:pPr>
        <w:pStyle w:val="Heading4"/>
      </w:pPr>
      <w:r>
        <w:t>Additional CSPs for national priorities</w:t>
      </w:r>
    </w:p>
    <w:p w14:paraId="5E9B950B" w14:textId="77777777" w:rsidR="000C690A" w:rsidRDefault="000C690A" w:rsidP="000C690A">
      <w:r>
        <w:t>One of the core objectives of JRG was to increase the number of students entering courses of national priority. The package included 12,000 National Priority Places (a single cohort) and, initially 300 commencing Innovative Places (ongoing) to be allocated for priority fields through a competitive process with commencing cohort sizes growing over time.</w:t>
      </w:r>
    </w:p>
    <w:p w14:paraId="11B1BDD6" w14:textId="77777777" w:rsidR="000C690A" w:rsidRDefault="000C690A" w:rsidP="000C690A">
      <w:r>
        <w:t xml:space="preserve">To provide retraining options and upskilling opportunities during the labour market disruptions of the COVID-19 pandemic, funding was provided in the 2020-21 Budget for 50,000 short course places (25,000 EFTSL) spread across universities and non-university higher education providers (NUHEPs). The short courses program was extended in April 2021 by providing a further 5,000 Commonwealth supported short courses for NUHEPs. Unspent funding in 2021 was rolled over to 2022 as part of MYEFO 2021-22. </w:t>
      </w:r>
    </w:p>
    <w:p w14:paraId="6ACC715D" w14:textId="77777777" w:rsidR="000C690A" w:rsidRPr="00427E42" w:rsidRDefault="000C690A" w:rsidP="000C690A">
      <w:pPr>
        <w:pStyle w:val="Heading4"/>
      </w:pPr>
      <w:r w:rsidRPr="00427E42">
        <w:t xml:space="preserve">The </w:t>
      </w:r>
      <w:r>
        <w:t>F</w:t>
      </w:r>
      <w:r w:rsidRPr="00427E42">
        <w:t xml:space="preserve">unding </w:t>
      </w:r>
      <w:r>
        <w:t>E</w:t>
      </w:r>
      <w:r w:rsidRPr="00427E42">
        <w:t>nvelope</w:t>
      </w:r>
    </w:p>
    <w:p w14:paraId="4025E696" w14:textId="77777777" w:rsidR="000C690A" w:rsidRDefault="000C690A" w:rsidP="000C690A">
      <w:r w:rsidRPr="00413BCE">
        <w:t xml:space="preserve">To support universities to offer places at the sub-bachelor, bachelor and postgraduate coursework levels that are appropriate for their student cohorts and communities, the concept of a ‘funding envelope’ was continued through the implementation of a new </w:t>
      </w:r>
      <w:r>
        <w:t>MBGA</w:t>
      </w:r>
      <w:r w:rsidRPr="00413BCE">
        <w:t xml:space="preserve"> for Higher Education Courses (</w:t>
      </w:r>
      <w:r>
        <w:t>a f</w:t>
      </w:r>
      <w:r w:rsidRPr="00413BCE">
        <w:t xml:space="preserve">unding </w:t>
      </w:r>
      <w:r>
        <w:t>e</w:t>
      </w:r>
      <w:r w:rsidRPr="00413BCE">
        <w:t>nvelope</w:t>
      </w:r>
      <w:r>
        <w:t xml:space="preserve"> or HEC MBGA</w:t>
      </w:r>
      <w:r w:rsidRPr="00413BCE">
        <w:t xml:space="preserve">). </w:t>
      </w:r>
      <w:r>
        <w:t>This</w:t>
      </w:r>
      <w:r w:rsidRPr="00413BCE">
        <w:t xml:space="preserve"> provides universities with greater flexibility to choose their CSP composition</w:t>
      </w:r>
      <w:r>
        <w:t>,</w:t>
      </w:r>
      <w:r w:rsidRPr="00413BCE">
        <w:t xml:space="preserve"> allow</w:t>
      </w:r>
      <w:r>
        <w:t>ing</w:t>
      </w:r>
      <w:r w:rsidRPr="00413BCE">
        <w:t xml:space="preserve"> </w:t>
      </w:r>
      <w:r>
        <w:t>them</w:t>
      </w:r>
      <w:r w:rsidRPr="00413BCE">
        <w:t xml:space="preserve"> to offer any mix of courses, by field and course level</w:t>
      </w:r>
      <w:r>
        <w:t>. Medical places are excluded from these arrangements and</w:t>
      </w:r>
      <w:r w:rsidRPr="00413BCE">
        <w:t xml:space="preserve"> </w:t>
      </w:r>
      <w:r>
        <w:t>continue to be allocated by the Government and funded through an MBGA for designated higher education courses</w:t>
      </w:r>
      <w:r w:rsidRPr="00413BCE">
        <w:t>.</w:t>
      </w:r>
    </w:p>
    <w:p w14:paraId="090BCE41" w14:textId="77777777" w:rsidR="000C690A" w:rsidRDefault="000C690A" w:rsidP="000C690A">
      <w:r>
        <w:t xml:space="preserve">In addition, the introduction of the funding envelope also </w:t>
      </w:r>
      <w:r w:rsidRPr="00413BCE">
        <w:t xml:space="preserve">reinstated CPI indexation of </w:t>
      </w:r>
      <w:r>
        <w:t>all MBGAs. As CGS cluster rates are also indexed by CPI each year, this ensures there is no reduction in the number of places that a university’s MBGA supports due to different indexation factors.</w:t>
      </w:r>
      <w:r w:rsidRPr="00413BCE">
        <w:t xml:space="preserve"> </w:t>
      </w:r>
    </w:p>
    <w:p w14:paraId="0FFF681F" w14:textId="77777777" w:rsidR="000C690A" w:rsidRPr="00552EFF" w:rsidRDefault="000C690A" w:rsidP="000C690A">
      <w:pPr>
        <w:pStyle w:val="Heading4"/>
      </w:pPr>
      <w:r w:rsidRPr="00552EFF">
        <w:t>Transition funding</w:t>
      </w:r>
    </w:p>
    <w:p w14:paraId="1310038D" w14:textId="3CC630A2" w:rsidR="000C690A" w:rsidRDefault="000C690A" w:rsidP="000E05D1">
      <w:r>
        <w:t xml:space="preserve">Transition Fund Loading (TFL) was introduced to support universities transition to the new funding arrangements from 2021 to 2023. It compensates for base funding (Commonwealth plus student contributions) and </w:t>
      </w:r>
      <w:r w:rsidR="00F60869">
        <w:t xml:space="preserve">changes to the Higher Education Participation and Partnerships Program (HEPPP) </w:t>
      </w:r>
      <w:r>
        <w:t xml:space="preserve"> by comparing the base funding a university would have received had JRG not been introduced to the base funding a university receives after the implementation of JRG (including the impact of grandfathering of students)</w:t>
      </w:r>
      <w:r w:rsidRPr="00991013">
        <w:t xml:space="preserve">. </w:t>
      </w:r>
    </w:p>
    <w:p w14:paraId="47380D75" w14:textId="77777777" w:rsidR="006D066E" w:rsidRDefault="006D066E" w:rsidP="006D066E">
      <w:pPr>
        <w:pStyle w:val="Caption"/>
      </w:pPr>
      <w:bookmarkStart w:id="12" w:name="_Hlk108505945"/>
    </w:p>
    <w:p w14:paraId="787E62CD" w14:textId="77777777" w:rsidR="006D066E" w:rsidRDefault="006D066E" w:rsidP="006D066E">
      <w:pPr>
        <w:pStyle w:val="Caption"/>
      </w:pPr>
    </w:p>
    <w:p w14:paraId="7C050A03" w14:textId="77777777" w:rsidR="006D066E" w:rsidRDefault="006D066E" w:rsidP="006D066E">
      <w:pPr>
        <w:pStyle w:val="Caption"/>
      </w:pPr>
    </w:p>
    <w:p w14:paraId="7B4CDC9C" w14:textId="77777777" w:rsidR="006D066E" w:rsidRDefault="006D066E" w:rsidP="006D066E">
      <w:pPr>
        <w:pStyle w:val="Caption"/>
      </w:pPr>
    </w:p>
    <w:p w14:paraId="069CCDC2" w14:textId="685E0E06" w:rsidR="007C075B" w:rsidRDefault="007C075B" w:rsidP="006D066E">
      <w:pPr>
        <w:pStyle w:val="Caption"/>
      </w:pPr>
      <w:r>
        <w:lastRenderedPageBreak/>
        <w:t>Figure</w:t>
      </w:r>
      <w:r w:rsidR="0036283A">
        <w:t xml:space="preserve"> 1</w:t>
      </w:r>
      <w:r>
        <w:t>: Student contributions, Commonwealth contributions, and expenditure on teaching and scholarship ($2022; 2020 cost data, 2020 student data)</w:t>
      </w:r>
      <w:bookmarkEnd w:id="12"/>
    </w:p>
    <w:tbl>
      <w:tblPr>
        <w:tblStyle w:val="TableGrid"/>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862"/>
      </w:tblGrid>
      <w:tr w:rsidR="007C075B" w14:paraId="4394381A" w14:textId="77777777" w:rsidTr="00BA56BC">
        <w:trPr>
          <w:jc w:val="center"/>
        </w:trPr>
        <w:tc>
          <w:tcPr>
            <w:tcW w:w="4914" w:type="dxa"/>
          </w:tcPr>
          <w:p w14:paraId="488E301E" w14:textId="77777777" w:rsidR="007C075B" w:rsidRPr="0077115B" w:rsidRDefault="007C075B" w:rsidP="00BA56BC">
            <w:pPr>
              <w:keepNext/>
              <w:jc w:val="center"/>
              <w:rPr>
                <w:i/>
                <w:iCs/>
                <w:noProof/>
              </w:rPr>
            </w:pPr>
            <w:r w:rsidRPr="0077115B">
              <w:rPr>
                <w:i/>
                <w:iCs/>
                <w:noProof/>
              </w:rPr>
              <w:t>Previous system</w:t>
            </w:r>
          </w:p>
        </w:tc>
        <w:tc>
          <w:tcPr>
            <w:tcW w:w="4862" w:type="dxa"/>
          </w:tcPr>
          <w:p w14:paraId="11D8C1EC" w14:textId="77777777" w:rsidR="007C075B" w:rsidRPr="0077115B" w:rsidRDefault="007C075B" w:rsidP="00BA56BC">
            <w:pPr>
              <w:keepNext/>
              <w:jc w:val="center"/>
              <w:rPr>
                <w:i/>
                <w:iCs/>
                <w:noProof/>
              </w:rPr>
            </w:pPr>
            <w:r w:rsidRPr="0077115B">
              <w:rPr>
                <w:i/>
                <w:iCs/>
                <w:noProof/>
              </w:rPr>
              <w:t>JRG reforms</w:t>
            </w:r>
          </w:p>
        </w:tc>
      </w:tr>
      <w:tr w:rsidR="007C075B" w14:paraId="3E07AD6C" w14:textId="77777777" w:rsidTr="00BA56BC">
        <w:trPr>
          <w:jc w:val="center"/>
        </w:trPr>
        <w:tc>
          <w:tcPr>
            <w:tcW w:w="4914" w:type="dxa"/>
          </w:tcPr>
          <w:p w14:paraId="28390E38" w14:textId="4408A046" w:rsidR="007C075B" w:rsidRDefault="00612C3E" w:rsidP="00BA56BC">
            <w:pPr>
              <w:keepNext/>
            </w:pPr>
            <w:r>
              <w:rPr>
                <w:noProof/>
              </w:rPr>
              <w:drawing>
                <wp:inline distT="0" distB="0" distL="0" distR="0" wp14:anchorId="19F9648A" wp14:editId="77294FCB">
                  <wp:extent cx="2852649" cy="4988967"/>
                  <wp:effectExtent l="0" t="0" r="5080" b="2540"/>
                  <wp:docPr id="3" name="Picture 3" descr="This diagram shows the relationship between funding and costs in the previous funding system, with many fields funded at a rate beyond the average cost of deli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diagram shows the relationship between funding and costs in the previous funding system, with many fields funded at a rate beyond the average cost of delivery"/>
                          <pic:cNvPicPr/>
                        </pic:nvPicPr>
                        <pic:blipFill>
                          <a:blip r:embed="rId23"/>
                          <a:stretch>
                            <a:fillRect/>
                          </a:stretch>
                        </pic:blipFill>
                        <pic:spPr>
                          <a:xfrm>
                            <a:off x="0" y="0"/>
                            <a:ext cx="2870321" cy="5019874"/>
                          </a:xfrm>
                          <a:prstGeom prst="rect">
                            <a:avLst/>
                          </a:prstGeom>
                        </pic:spPr>
                      </pic:pic>
                    </a:graphicData>
                  </a:graphic>
                </wp:inline>
              </w:drawing>
            </w:r>
          </w:p>
        </w:tc>
        <w:tc>
          <w:tcPr>
            <w:tcW w:w="4862" w:type="dxa"/>
          </w:tcPr>
          <w:p w14:paraId="2FE34CD7" w14:textId="538732A6" w:rsidR="007C075B" w:rsidRDefault="001D5A59" w:rsidP="00BA56BC">
            <w:pPr>
              <w:keepNext/>
            </w:pPr>
            <w:r>
              <w:rPr>
                <w:noProof/>
              </w:rPr>
              <w:drawing>
                <wp:inline distT="0" distB="0" distL="0" distR="0" wp14:anchorId="04AEFAED" wp14:editId="193C1EB7">
                  <wp:extent cx="2885799" cy="5018227"/>
                  <wp:effectExtent l="0" t="0" r="0" b="0"/>
                  <wp:docPr id="6" name="Picture 6" descr="This diagram shows the relationship between funding and costs under the JRG reforms, with most fields funded at a level slightly higher than the average cost of deli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diagram shows the relationship between funding and costs under the JRG reforms, with most fields funded at a level slightly higher than the average cost of delivery."/>
                          <pic:cNvPicPr/>
                        </pic:nvPicPr>
                        <pic:blipFill>
                          <a:blip r:embed="rId24"/>
                          <a:stretch>
                            <a:fillRect/>
                          </a:stretch>
                        </pic:blipFill>
                        <pic:spPr>
                          <a:xfrm>
                            <a:off x="0" y="0"/>
                            <a:ext cx="2892963" cy="5030685"/>
                          </a:xfrm>
                          <a:prstGeom prst="rect">
                            <a:avLst/>
                          </a:prstGeom>
                        </pic:spPr>
                      </pic:pic>
                    </a:graphicData>
                  </a:graphic>
                </wp:inline>
              </w:drawing>
            </w:r>
          </w:p>
        </w:tc>
      </w:tr>
      <w:tr w:rsidR="007C075B" w14:paraId="32E8E4A6" w14:textId="77777777" w:rsidTr="00BA56BC">
        <w:trPr>
          <w:jc w:val="center"/>
        </w:trPr>
        <w:tc>
          <w:tcPr>
            <w:tcW w:w="9776" w:type="dxa"/>
            <w:gridSpan w:val="2"/>
          </w:tcPr>
          <w:p w14:paraId="4794CF7E" w14:textId="18D01238" w:rsidR="007C075B" w:rsidRDefault="00CA1C76" w:rsidP="00BA56BC">
            <w:pPr>
              <w:keepNext/>
              <w:jc w:val="center"/>
            </w:pPr>
            <w:r>
              <w:object w:dxaOrig="3555" w:dyaOrig="345" w14:anchorId="2E46A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is the legend for the chart." style="width:180pt;height:14.25pt" o:ole="">
                  <v:imagedata r:id="rId25" o:title=""/>
                </v:shape>
                <o:OLEObject Type="Embed" ProgID="PBrush" ShapeID="_x0000_i1025" DrawAspect="Content" ObjectID="_1738497929" r:id="rId26"/>
              </w:object>
            </w:r>
          </w:p>
        </w:tc>
      </w:tr>
    </w:tbl>
    <w:p w14:paraId="61D5D41B" w14:textId="77777777" w:rsidR="007C075B" w:rsidRPr="00427E42" w:rsidRDefault="007C075B" w:rsidP="000E05D1">
      <w:pPr>
        <w:pStyle w:val="Heading4"/>
      </w:pPr>
      <w:bookmarkStart w:id="13" w:name="_Toc97121127"/>
      <w:bookmarkStart w:id="14" w:name="_Toc110414804"/>
      <w:bookmarkStart w:id="15" w:name="_Hlk98843837"/>
      <w:r w:rsidRPr="00427E42">
        <w:t xml:space="preserve">Funding </w:t>
      </w:r>
      <w:r>
        <w:t>G</w:t>
      </w:r>
      <w:r w:rsidRPr="00427E42">
        <w:t>uarantee</w:t>
      </w:r>
      <w:bookmarkEnd w:id="13"/>
      <w:r>
        <w:t>s</w:t>
      </w:r>
      <w:bookmarkEnd w:id="14"/>
    </w:p>
    <w:p w14:paraId="6336F26A" w14:textId="06D78C6E" w:rsidR="007C075B" w:rsidRDefault="007C075B" w:rsidP="007C075B">
      <w:r>
        <w:t xml:space="preserve">To provide certainty to universities during the transition to the new arrangements and </w:t>
      </w:r>
      <w:r w:rsidR="007D27E7">
        <w:t xml:space="preserve">to support </w:t>
      </w:r>
      <w:r>
        <w:t>recovery from the pandemic, the</w:t>
      </w:r>
      <w:r w:rsidRPr="00D87BA1">
        <w:t xml:space="preserve"> JRG</w:t>
      </w:r>
      <w:r>
        <w:t xml:space="preserve"> package guaranteed CGS funding to providers through the </w:t>
      </w:r>
      <w:r w:rsidRPr="00D217A2">
        <w:rPr>
          <w:i/>
          <w:iCs/>
        </w:rPr>
        <w:t>Higher Education Continuity Guarantee (HECG)</w:t>
      </w:r>
      <w:r>
        <w:rPr>
          <w:i/>
          <w:iCs/>
        </w:rPr>
        <w:t xml:space="preserve">, </w:t>
      </w:r>
      <w:r w:rsidRPr="00107E29">
        <w:t>implemented through the</w:t>
      </w:r>
      <w:r>
        <w:rPr>
          <w:i/>
          <w:iCs/>
        </w:rPr>
        <w:t xml:space="preserve"> Other Grants Guidelines.</w:t>
      </w:r>
      <w:r>
        <w:t xml:space="preserve"> This was similar to the 2020 CGS guarantee that provided certainty for universities during the pandemic (the Higher Education Relief Program). HECG applies from 2021 </w:t>
      </w:r>
      <w:r w:rsidR="00773788">
        <w:t xml:space="preserve">to </w:t>
      </w:r>
      <w:r>
        <w:t>2023</w:t>
      </w:r>
      <w:r w:rsidRPr="00CB3853">
        <w:t xml:space="preserve"> </w:t>
      </w:r>
      <w:r>
        <w:t xml:space="preserve">and guarantees </w:t>
      </w:r>
      <w:r w:rsidRPr="005B23C5">
        <w:t xml:space="preserve">funding </w:t>
      </w:r>
      <w:r>
        <w:t>for universities at the level of</w:t>
      </w:r>
      <w:r w:rsidRPr="005B23C5">
        <w:t xml:space="preserve"> their</w:t>
      </w:r>
      <w:r>
        <w:t xml:space="preserve"> HEC MBGA</w:t>
      </w:r>
      <w:r>
        <w:rPr>
          <w:rStyle w:val="CommentReference"/>
        </w:rPr>
        <w:t xml:space="preserve">, </w:t>
      </w:r>
      <w:r>
        <w:t>Designated MBGA, medical loading</w:t>
      </w:r>
      <w:r w:rsidR="00522D25">
        <w:t>, Performance-based funding (PBF)</w:t>
      </w:r>
      <w:r>
        <w:t xml:space="preserve"> </w:t>
      </w:r>
      <w:r w:rsidR="00522D25">
        <w:t xml:space="preserve">and TFL </w:t>
      </w:r>
      <w:r>
        <w:t>(excluding short courses</w:t>
      </w:r>
      <w:r w:rsidR="00113B04">
        <w:t xml:space="preserve">, </w:t>
      </w:r>
      <w:r>
        <w:t>national priority place and innovative place funding), regardless of the level of enrolments.</w:t>
      </w:r>
      <w:r w:rsidRPr="00B84CA8">
        <w:t xml:space="preserve"> </w:t>
      </w:r>
    </w:p>
    <w:p w14:paraId="4DFEA7D8" w14:textId="377FC6B2" w:rsidR="007C075B" w:rsidRDefault="007C075B" w:rsidP="007C075B">
      <w:r>
        <w:t xml:space="preserve">In addition, </w:t>
      </w:r>
      <w:r w:rsidR="00603A9D">
        <w:t>it was</w:t>
      </w:r>
      <w:r>
        <w:t xml:space="preserve"> also guaranteed that university MBGAs (excluding funding associated with short courses, national priority places and innovative places) would be indexed using pre-COVID economic </w:t>
      </w:r>
      <w:r>
        <w:lastRenderedPageBreak/>
        <w:t>parameters. This policy was introduced to ensure the projected reduction in CPI caused by COVID would not negatively affect university funding.</w:t>
      </w:r>
    </w:p>
    <w:p w14:paraId="3D79F36B" w14:textId="6FB9AC89" w:rsidR="007C075B" w:rsidRDefault="00773788" w:rsidP="007C075B">
      <w:r>
        <w:t>A</w:t>
      </w:r>
      <w:r w:rsidR="007C075B" w:rsidRPr="00B84CA8">
        <w:t xml:space="preserve"> CGS funding floor </w:t>
      </w:r>
      <w:r w:rsidR="007C075B">
        <w:t>(enacted in HESA section 30</w:t>
      </w:r>
      <w:r w:rsidR="007C075B">
        <w:noBreakHyphen/>
        <w:t xml:space="preserve">27) </w:t>
      </w:r>
      <w:r>
        <w:t xml:space="preserve">was also introduced to </w:t>
      </w:r>
      <w:r w:rsidR="007C075B">
        <w:t xml:space="preserve">limit any possible reduction to </w:t>
      </w:r>
      <w:r w:rsidR="007C075B">
        <w:rPr>
          <w:color w:val="343741"/>
          <w:shd w:val="clear" w:color="auto" w:fill="FFFFFF"/>
        </w:rPr>
        <w:t>universities’</w:t>
      </w:r>
      <w:r w:rsidR="007C075B" w:rsidRPr="00B84CA8">
        <w:rPr>
          <w:color w:val="343741"/>
          <w:shd w:val="clear" w:color="auto" w:fill="FFFFFF"/>
        </w:rPr>
        <w:t xml:space="preserve"> HEC MBGA</w:t>
      </w:r>
      <w:r w:rsidR="007C075B">
        <w:rPr>
          <w:color w:val="343741"/>
          <w:shd w:val="clear" w:color="auto" w:fill="FFFFFF"/>
        </w:rPr>
        <w:t>s</w:t>
      </w:r>
      <w:r w:rsidR="007C075B" w:rsidRPr="00B84CA8">
        <w:rPr>
          <w:color w:val="343741"/>
          <w:shd w:val="clear" w:color="auto" w:fill="FFFFFF"/>
        </w:rPr>
        <w:t>, such that</w:t>
      </w:r>
      <w:r w:rsidR="007C075B">
        <w:rPr>
          <w:color w:val="343741"/>
          <w:shd w:val="clear" w:color="auto" w:fill="FFFFFF"/>
        </w:rPr>
        <w:t xml:space="preserve"> they cannot be less than the HEC MBGA of the year prior in years after 2024</w:t>
      </w:r>
      <w:r>
        <w:rPr>
          <w:color w:val="343741"/>
          <w:shd w:val="clear" w:color="auto" w:fill="FFFFFF"/>
        </w:rPr>
        <w:t>. Prior to 2024, and to allow for the progressive reduction of university MBGAs through the transition phase of the JRG,</w:t>
      </w:r>
      <w:r w:rsidR="007C075B">
        <w:rPr>
          <w:color w:val="343741"/>
          <w:shd w:val="clear" w:color="auto" w:fill="FFFFFF"/>
        </w:rPr>
        <w:t xml:space="preserve"> </w:t>
      </w:r>
      <w:r>
        <w:rPr>
          <w:color w:val="343741"/>
          <w:shd w:val="clear" w:color="auto" w:fill="FFFFFF"/>
        </w:rPr>
        <w:t xml:space="preserve">a universities’ HEC MBGA </w:t>
      </w:r>
      <w:r w:rsidR="007C075B">
        <w:rPr>
          <w:color w:val="343741"/>
          <w:shd w:val="clear" w:color="auto" w:fill="FFFFFF"/>
        </w:rPr>
        <w:t>cannot be less than an amount set out in the CGS Guidelines</w:t>
      </w:r>
      <w:r w:rsidR="007C075B" w:rsidRPr="00B84CA8">
        <w:t>.</w:t>
      </w:r>
      <w:r w:rsidR="007C075B">
        <w:t xml:space="preserve"> </w:t>
      </w:r>
      <w:bookmarkEnd w:id="15"/>
    </w:p>
    <w:p w14:paraId="411D0339" w14:textId="24D39D2B" w:rsidR="008F07A9" w:rsidRPr="00FA6949" w:rsidRDefault="008F07A9" w:rsidP="007C075B">
      <w:r w:rsidRPr="0057581A">
        <w:t>Note that due to the implementation of the HECG, the PBF introduced at the time of the 2017 funding freeze is effectively inoperable through 2023</w:t>
      </w:r>
      <w:r w:rsidR="009F4DD9" w:rsidRPr="0057581A">
        <w:t xml:space="preserve"> due to the interaction with the HECG</w:t>
      </w:r>
      <w:r w:rsidRPr="0057581A">
        <w:t>. Some commentators have also noted the potential interaction of the PBF with the funding floor, should universities not receive their full PBF amount.</w:t>
      </w:r>
      <w:r>
        <w:t xml:space="preserve"> </w:t>
      </w:r>
    </w:p>
    <w:p w14:paraId="0A7C2392" w14:textId="44344B83" w:rsidR="007C075B" w:rsidRDefault="007C075B" w:rsidP="000E05D1">
      <w:pPr>
        <w:pStyle w:val="Heading4"/>
      </w:pPr>
      <w:bookmarkStart w:id="16" w:name="_Toc110414805"/>
      <w:bookmarkStart w:id="17" w:name="_Hlk110409249"/>
      <w:r>
        <w:t>Student Protection</w:t>
      </w:r>
      <w:bookmarkEnd w:id="16"/>
    </w:p>
    <w:p w14:paraId="576D4765" w14:textId="1715B108" w:rsidR="007C075B" w:rsidRDefault="007C075B" w:rsidP="007C075B">
      <w:pPr>
        <w:spacing w:after="0" w:line="252" w:lineRule="auto"/>
        <w:rPr>
          <w:rFonts w:eastAsia="Times New Roman"/>
        </w:rPr>
      </w:pPr>
      <w:r>
        <w:rPr>
          <w:rFonts w:eastAsia="Times New Roman"/>
        </w:rPr>
        <w:t xml:space="preserve">To </w:t>
      </w:r>
      <w:r w:rsidRPr="00315608">
        <w:rPr>
          <w:rFonts w:eastAsia="Times New Roman"/>
        </w:rPr>
        <w:t xml:space="preserve">encourage universities </w:t>
      </w:r>
      <w:r>
        <w:rPr>
          <w:rFonts w:eastAsia="Times New Roman"/>
        </w:rPr>
        <w:t xml:space="preserve">to </w:t>
      </w:r>
      <w:r w:rsidRPr="00315608">
        <w:rPr>
          <w:rFonts w:eastAsia="Times New Roman"/>
        </w:rPr>
        <w:t>properly assess students’ abilities to study</w:t>
      </w:r>
      <w:r>
        <w:rPr>
          <w:rFonts w:eastAsia="Times New Roman"/>
        </w:rPr>
        <w:t xml:space="preserve"> and </w:t>
      </w:r>
      <w:r w:rsidRPr="00315608">
        <w:rPr>
          <w:rFonts w:eastAsia="Times New Roman"/>
        </w:rPr>
        <w:t>reduce the risk</w:t>
      </w:r>
      <w:r>
        <w:rPr>
          <w:rFonts w:eastAsia="Times New Roman"/>
        </w:rPr>
        <w:t xml:space="preserve"> of</w:t>
      </w:r>
      <w:r w:rsidRPr="00315608">
        <w:rPr>
          <w:rFonts w:eastAsia="Times New Roman"/>
        </w:rPr>
        <w:t xml:space="preserve"> students amassing significant HELP debts for study they are unable to complete</w:t>
      </w:r>
      <w:r w:rsidR="003F51A2">
        <w:rPr>
          <w:rFonts w:eastAsia="Times New Roman"/>
        </w:rPr>
        <w:t>,</w:t>
      </w:r>
      <w:r>
        <w:rPr>
          <w:rFonts w:eastAsia="Times New Roman"/>
        </w:rPr>
        <w:t xml:space="preserve"> </w:t>
      </w:r>
      <w:r w:rsidR="003F51A2">
        <w:rPr>
          <w:rFonts w:eastAsia="Times New Roman"/>
        </w:rPr>
        <w:t>several</w:t>
      </w:r>
      <w:r>
        <w:rPr>
          <w:rFonts w:eastAsia="Times New Roman"/>
        </w:rPr>
        <w:t xml:space="preserve"> student protection measures were introduced:</w:t>
      </w:r>
    </w:p>
    <w:p w14:paraId="1658BFBE" w14:textId="77777777" w:rsidR="007C075B" w:rsidRDefault="007C075B" w:rsidP="007C075B">
      <w:pPr>
        <w:pStyle w:val="ListBullet"/>
        <w:spacing w:after="120" w:line="276" w:lineRule="auto"/>
      </w:pPr>
      <w:r>
        <w:t xml:space="preserve">only provide access to Commonwealth assistance to people assessed as being ‘genuine students’   </w:t>
      </w:r>
    </w:p>
    <w:p w14:paraId="65C08B87" w14:textId="77777777" w:rsidR="007C075B" w:rsidRDefault="007C075B" w:rsidP="007C075B">
      <w:pPr>
        <w:pStyle w:val="ListBullet"/>
        <w:spacing w:after="120" w:line="276" w:lineRule="auto"/>
      </w:pPr>
      <w:r>
        <w:t>ensure students have been assessed as academically suitable for their course</w:t>
      </w:r>
    </w:p>
    <w:p w14:paraId="26B59A07" w14:textId="052BD4A2" w:rsidR="007C075B" w:rsidRDefault="007C075B" w:rsidP="007C075B">
      <w:pPr>
        <w:pStyle w:val="ListBullet"/>
        <w:spacing w:after="120" w:line="276" w:lineRule="auto"/>
      </w:pPr>
      <w:r>
        <w:t xml:space="preserve">require students to maintain a reasonable </w:t>
      </w:r>
      <w:r w:rsidR="00C74F01">
        <w:t xml:space="preserve">(50 per cent) </w:t>
      </w:r>
      <w:r>
        <w:t>completion rate whilst accessing Commonwealth assistance (a requirement introduced for students at non-universities higher education providers since 2018)</w:t>
      </w:r>
      <w:r w:rsidR="00866E60">
        <w:t xml:space="preserve"> for a course, allowing for Commonwealth assistance to continue for students who change course or who have been significantly affected by circumstances out of their control</w:t>
      </w:r>
    </w:p>
    <w:p w14:paraId="1FE2CC2C" w14:textId="77777777" w:rsidR="007C075B" w:rsidRDefault="007C075B" w:rsidP="007C075B">
      <w:pPr>
        <w:pStyle w:val="ListBullet"/>
        <w:spacing w:after="120" w:line="276" w:lineRule="auto"/>
      </w:pPr>
      <w:r>
        <w:t>place a limit on the amount of concurrent study that a student can enrol in</w:t>
      </w:r>
    </w:p>
    <w:p w14:paraId="7CF95FA3" w14:textId="10E882E1" w:rsidR="007C075B" w:rsidRDefault="007C075B" w:rsidP="007C075B">
      <w:pPr>
        <w:pStyle w:val="ListBullet"/>
        <w:spacing w:after="120" w:line="276" w:lineRule="auto"/>
      </w:pPr>
      <w:r>
        <w:t xml:space="preserve">protect students from being pursued for study debts if </w:t>
      </w:r>
      <w:r w:rsidR="00866E60">
        <w:t>the debt has resulted from their provider not being compliant with legislation</w:t>
      </w:r>
    </w:p>
    <w:p w14:paraId="05D6F478" w14:textId="77777777" w:rsidR="007C075B" w:rsidRDefault="007C075B" w:rsidP="007C075B">
      <w:pPr>
        <w:pStyle w:val="ListBullet"/>
        <w:spacing w:after="120" w:line="276" w:lineRule="auto"/>
      </w:pPr>
      <w:r>
        <w:t>extend the Government’s ability to audit providers for compliance to all providers, and</w:t>
      </w:r>
    </w:p>
    <w:p w14:paraId="226D43A3" w14:textId="77777777" w:rsidR="007C075B" w:rsidRDefault="007C075B" w:rsidP="007C075B">
      <w:pPr>
        <w:pStyle w:val="ListBullet"/>
        <w:spacing w:after="120" w:line="276" w:lineRule="auto"/>
      </w:pPr>
      <w:r>
        <w:t xml:space="preserve">support providers to operate utilising best practice marketing and enrolment practices. </w:t>
      </w:r>
    </w:p>
    <w:p w14:paraId="54C885DA" w14:textId="77777777" w:rsidR="007C075B" w:rsidRDefault="007C075B" w:rsidP="007C075B">
      <w:r>
        <w:t xml:space="preserve">All of the above changes commenced on 1 January 2021, except for the requirement that students maintain a reasonable completion rate, which commenced on 1 January 2022. </w:t>
      </w:r>
    </w:p>
    <w:p w14:paraId="2BC3DA88" w14:textId="77777777" w:rsidR="007C075B" w:rsidRDefault="007C075B" w:rsidP="000E05D1">
      <w:pPr>
        <w:pStyle w:val="Heading4"/>
      </w:pPr>
      <w:bookmarkStart w:id="18" w:name="_Toc110414806"/>
      <w:bookmarkEnd w:id="17"/>
      <w:r>
        <w:t>Student Learning Entitlement</w:t>
      </w:r>
      <w:bookmarkEnd w:id="18"/>
      <w:r>
        <w:t xml:space="preserve"> </w:t>
      </w:r>
    </w:p>
    <w:p w14:paraId="13A3612F" w14:textId="10DAECCD" w:rsidR="007C075B" w:rsidRDefault="007C075B" w:rsidP="007C075B">
      <w:r>
        <w:t>Introduced as a</w:t>
      </w:r>
      <w:r w:rsidR="00603A9D">
        <w:t>n</w:t>
      </w:r>
      <w:r>
        <w:t xml:space="preserve"> amendment during the passage of the reforms through Parliament, the Student Learning Entitlement (SLE) provides students enrolled in a CSP with 7 EFTSL of subsidised study. Students can also accrue Additional and Lifelong SLE that increases the EFTSL they can undertake in a CSP.</w:t>
      </w:r>
    </w:p>
    <w:p w14:paraId="7DD41060" w14:textId="77777777" w:rsidR="007C075B" w:rsidRPr="00315608" w:rsidRDefault="007C075B" w:rsidP="007C075B">
      <w:r>
        <w:t>Commencing from 1 January 2022, the SLE was intended to encourage students to complete their degrees and enter the workforce.</w:t>
      </w:r>
    </w:p>
    <w:p w14:paraId="4B853DF1" w14:textId="77777777" w:rsidR="007C075B" w:rsidRDefault="007C075B" w:rsidP="000E05D1">
      <w:pPr>
        <w:pStyle w:val="Heading4"/>
      </w:pPr>
      <w:bookmarkStart w:id="19" w:name="_Toc110414807"/>
      <w:r>
        <w:t>HELP Loan Changes:</w:t>
      </w:r>
      <w:bookmarkEnd w:id="19"/>
    </w:p>
    <w:p w14:paraId="51A6252F" w14:textId="22AF3C1F" w:rsidR="007C075B" w:rsidRDefault="00522D25" w:rsidP="007C075B">
      <w:r>
        <w:t xml:space="preserve">The JRG package provided for a reduction in the FEE-HELP loan fee for undergraduate students from 25 per cent to 20 per cent from 1 July 2021. An extension of the FEE-HELP loan fee exemption that </w:t>
      </w:r>
      <w:r>
        <w:lastRenderedPageBreak/>
        <w:t xml:space="preserve">was instituted in the previous Budget for COVID relief provided that no loan fee was incurred until after 1 January 2022. Also, a provision was added for students who use HECS-HELP, whereby they can make upfront payments towards their tuition fees to reduce their overall loan by 10 per cent. </w:t>
      </w:r>
    </w:p>
    <w:p w14:paraId="6DED65B8" w14:textId="1E6F3781" w:rsidR="007C075B" w:rsidRPr="003D031F" w:rsidRDefault="007C075B" w:rsidP="000E05D1">
      <w:pPr>
        <w:pStyle w:val="Heading3"/>
      </w:pPr>
      <w:bookmarkStart w:id="20" w:name="_Toc97121129"/>
      <w:bookmarkStart w:id="21" w:name="_Toc110414808"/>
      <w:bookmarkStart w:id="22" w:name="_Toc127537008"/>
      <w:r w:rsidRPr="003D031F">
        <w:t xml:space="preserve">Lifting Attainment </w:t>
      </w:r>
      <w:r w:rsidR="0047744B">
        <w:t xml:space="preserve">for Students </w:t>
      </w:r>
      <w:r w:rsidRPr="003D031F">
        <w:t>in Regional Australia</w:t>
      </w:r>
      <w:bookmarkEnd w:id="20"/>
      <w:bookmarkEnd w:id="21"/>
      <w:bookmarkEnd w:id="22"/>
    </w:p>
    <w:p w14:paraId="47644864" w14:textId="77777777" w:rsidR="007C075B" w:rsidRPr="00B84CA8" w:rsidRDefault="007C075B" w:rsidP="000E05D1">
      <w:pPr>
        <w:pStyle w:val="Heading4"/>
      </w:pPr>
      <w:bookmarkStart w:id="23" w:name="_Toc97121130"/>
      <w:bookmarkStart w:id="24" w:name="_Toc110414809"/>
      <w:r w:rsidRPr="00B84CA8">
        <w:t>Additional Places Growth Funding</w:t>
      </w:r>
      <w:bookmarkEnd w:id="23"/>
      <w:bookmarkEnd w:id="24"/>
    </w:p>
    <w:p w14:paraId="6D3A0A9A" w14:textId="330B883D" w:rsidR="007C075B" w:rsidRDefault="007C075B" w:rsidP="007C075B">
      <w:r>
        <w:t xml:space="preserve">To support growth of universities in regional areas and metropolitan areas with high population growth, universities </w:t>
      </w:r>
      <w:r w:rsidR="00773788">
        <w:t>are</w:t>
      </w:r>
      <w:r>
        <w:t xml:space="preserve"> provided with additional funding determined by distribution of their student cohort across campuses and regionality. The campus type delineations and funding growth rates are regional (3.5%), high-growth metropolitan (2.5%) and low-growth metropolitan (1.0%). </w:t>
      </w:r>
    </w:p>
    <w:p w14:paraId="66B5B3D3" w14:textId="5C765C1B" w:rsidR="007C075B" w:rsidRDefault="007C075B" w:rsidP="007C075B">
      <w:r>
        <w:t xml:space="preserve">The distinction between high-growth and low-growth metropolitan campuses is determined using population projections from the </w:t>
      </w:r>
      <w:r w:rsidRPr="00427E2D">
        <w:rPr>
          <w:i/>
          <w:iCs/>
        </w:rPr>
        <w:t>Australian Institute of Health and Welfare</w:t>
      </w:r>
      <w:r>
        <w:t xml:space="preserve">, and the most recent </w:t>
      </w:r>
      <w:r w:rsidRPr="00427E2D">
        <w:rPr>
          <w:i/>
          <w:iCs/>
        </w:rPr>
        <w:t>Australian Statistical and Geography Standard</w:t>
      </w:r>
      <w:r>
        <w:t xml:space="preserve"> (ASGS) to determine campus regionality. Any campus located in a metropolitan Statistical Area 4 (SA4) that has a higher-than-average population growth is classified as a high-growth metropolitan campus. A campus is considered regional if the SA4 it is located within is classified as regional </w:t>
      </w:r>
      <w:r w:rsidR="00FC7355">
        <w:t xml:space="preserve">under </w:t>
      </w:r>
      <w:r>
        <w:t xml:space="preserve">the ASGS. </w:t>
      </w:r>
    </w:p>
    <w:p w14:paraId="63C0857C" w14:textId="37A242B6" w:rsidR="007C075B" w:rsidRDefault="007C075B" w:rsidP="007C075B">
      <w:r>
        <w:t>Growth rates are applied to the bachelor component of universities’ HEC MBGAs (formerly the non</w:t>
      </w:r>
      <w:r>
        <w:noBreakHyphen/>
        <w:t>designated MBGA). Growth is tapered in</w:t>
      </w:r>
      <w:r w:rsidR="00746FD2">
        <w:t>,</w:t>
      </w:r>
      <w:r>
        <w:t xml:space="preserve"> </w:t>
      </w:r>
      <w:r w:rsidR="00746FD2">
        <w:t xml:space="preserve">so </w:t>
      </w:r>
      <w:r>
        <w:t xml:space="preserve">that </w:t>
      </w:r>
      <w:r w:rsidR="00746FD2">
        <w:t xml:space="preserve">funding for </w:t>
      </w:r>
      <w:r>
        <w:t xml:space="preserve">commencing cohorts grow at the relevant rates, with full growth rates applying from 2024. </w:t>
      </w:r>
    </w:p>
    <w:p w14:paraId="6BCDCC19" w14:textId="77777777" w:rsidR="007C075B" w:rsidRPr="003D031F" w:rsidRDefault="007C075B" w:rsidP="000E05D1">
      <w:pPr>
        <w:pStyle w:val="Heading4"/>
      </w:pPr>
      <w:bookmarkStart w:id="25" w:name="_Toc97121131"/>
      <w:bookmarkStart w:id="26" w:name="_Toc110414810"/>
      <w:bookmarkStart w:id="27" w:name="_Hlk111106615"/>
      <w:r w:rsidRPr="00B84CA8">
        <w:t>Indigenous, Regional, and Low SES Attainment Fund (IRLSAF)</w:t>
      </w:r>
      <w:bookmarkEnd w:id="25"/>
      <w:bookmarkEnd w:id="26"/>
    </w:p>
    <w:p w14:paraId="511BC40E" w14:textId="0D1C2FD8" w:rsidR="007C075B" w:rsidRDefault="007C075B" w:rsidP="007C075B">
      <w:r w:rsidRPr="00B84CA8">
        <w:t xml:space="preserve">Prior to the JRG package, there were several programs </w:t>
      </w:r>
      <w:r>
        <w:t xml:space="preserve">designed </w:t>
      </w:r>
      <w:r w:rsidR="00603A9D">
        <w:t xml:space="preserve">to </w:t>
      </w:r>
      <w:r w:rsidRPr="00B84CA8">
        <w:t xml:space="preserve">help support </w:t>
      </w:r>
      <w:r w:rsidR="00773788">
        <w:t xml:space="preserve">students from </w:t>
      </w:r>
      <w:r w:rsidR="00603A9D">
        <w:t>under-represented cohorts</w:t>
      </w:r>
      <w:r w:rsidRPr="00B84CA8">
        <w:t xml:space="preserve">. To simplify funding </w:t>
      </w:r>
      <w:r>
        <w:t>arrangements</w:t>
      </w:r>
      <w:r w:rsidRPr="00B84CA8">
        <w:t xml:space="preserve">, several </w:t>
      </w:r>
      <w:r w:rsidR="00773788">
        <w:t xml:space="preserve">of these </w:t>
      </w:r>
      <w:r w:rsidRPr="00B84CA8">
        <w:t xml:space="preserve">were merged under a single </w:t>
      </w:r>
      <w:r>
        <w:t>program</w:t>
      </w:r>
      <w:r w:rsidRPr="00B84CA8">
        <w:t xml:space="preserve">, the Indigenous, Regional, and Low SES Attainment Fund (IRLSAF). </w:t>
      </w:r>
    </w:p>
    <w:p w14:paraId="313D395C" w14:textId="50F7446C" w:rsidR="007C075B" w:rsidRDefault="007C075B" w:rsidP="007C075B">
      <w:r>
        <w:t xml:space="preserve">The IRLSAF </w:t>
      </w:r>
      <w:r w:rsidR="00773788">
        <w:t xml:space="preserve">combined </w:t>
      </w:r>
      <w:r>
        <w:t>the HEPPP, regional loading, enabling loading and relevant elements of the National Institutes Grant. Funding for these programs is being distributed according to existing policy guidelines until 2023</w:t>
      </w:r>
      <w:r w:rsidR="00866E60">
        <w:t>, meaning initially the programs contained in IRLSAF continue to operate as they did before</w:t>
      </w:r>
      <w:r>
        <w:t>.</w:t>
      </w:r>
    </w:p>
    <w:p w14:paraId="14CE43F5" w14:textId="5C68FB20" w:rsidR="007C075B" w:rsidRPr="00A12C22" w:rsidRDefault="00866E60" w:rsidP="007C075B">
      <w:r>
        <w:t>The exception to this is the HEPPP. Changes were made to HEPPP to expand eligibility beyond the previous low-socioeconomic focus to also include First Nations and regional students. The changes from the previous formula (100 per cent low-SES) to the new formula (45 per cent low-SES, 45 per cent regional and 10 per cent First Nations) phase in over three years.</w:t>
      </w:r>
      <w:r w:rsidR="007C075B">
        <w:t xml:space="preserve"> </w:t>
      </w:r>
    </w:p>
    <w:p w14:paraId="49F6AF21" w14:textId="77777777" w:rsidR="002D6F8F" w:rsidRDefault="002D6F8F" w:rsidP="000E05D1">
      <w:pPr>
        <w:pStyle w:val="Heading4"/>
      </w:pPr>
      <w:bookmarkStart w:id="28" w:name="_Toc97121132"/>
      <w:bookmarkStart w:id="29" w:name="_Toc110414811"/>
      <w:bookmarkEnd w:id="27"/>
      <w:r w:rsidRPr="00D93B22">
        <w:t xml:space="preserve">Regional </w:t>
      </w:r>
      <w:r>
        <w:t>First Nations</w:t>
      </w:r>
      <w:r w:rsidRPr="00D93B22">
        <w:t xml:space="preserve"> Demand Driven Funding</w:t>
      </w:r>
    </w:p>
    <w:p w14:paraId="17A9711D" w14:textId="77777777" w:rsidR="002D6F8F" w:rsidRDefault="002D6F8F" w:rsidP="002D6F8F">
      <w:r>
        <w:t xml:space="preserve">To help increase higher educational attainment rates for First Nations students located in regional and remote areas, the JRG package reinstated demand driven funding for First Nations students from regional or remote areas studying non-medical bachelor level courses at Table A universities. </w:t>
      </w:r>
    </w:p>
    <w:p w14:paraId="589965F5" w14:textId="77777777" w:rsidR="007C075B" w:rsidRPr="00B84CA8" w:rsidRDefault="007C075B" w:rsidP="000E05D1">
      <w:pPr>
        <w:pStyle w:val="Heading4"/>
      </w:pPr>
      <w:bookmarkStart w:id="30" w:name="_Toc110414812"/>
      <w:bookmarkEnd w:id="28"/>
      <w:bookmarkEnd w:id="29"/>
      <w:r w:rsidRPr="00B84CA8">
        <w:t>Regional Education Commissioner</w:t>
      </w:r>
      <w:bookmarkEnd w:id="30"/>
      <w:r w:rsidRPr="00B84CA8">
        <w:t xml:space="preserve"> </w:t>
      </w:r>
    </w:p>
    <w:p w14:paraId="0FE9557A" w14:textId="28B7B096" w:rsidR="007C075B" w:rsidRDefault="007C075B" w:rsidP="007C075B">
      <w:r>
        <w:t>As part of the JRG reforms, and in response to the Napthine Review, o</w:t>
      </w:r>
      <w:r w:rsidRPr="000F05CA">
        <w:t>n 6 December 2021</w:t>
      </w:r>
      <w:r>
        <w:t>,</w:t>
      </w:r>
      <w:r w:rsidRPr="000F05CA">
        <w:t xml:space="preserve"> the Hon Fiona Nash was appointed as </w:t>
      </w:r>
      <w:r>
        <w:t xml:space="preserve">the inaugural </w:t>
      </w:r>
      <w:r w:rsidRPr="000F05CA">
        <w:t xml:space="preserve">Regional Education Commissioner (the Commissioner). </w:t>
      </w:r>
      <w:r w:rsidRPr="000F05CA">
        <w:lastRenderedPageBreak/>
        <w:t>The Commissioner oversee</w:t>
      </w:r>
      <w:r>
        <w:t xml:space="preserve">s </w:t>
      </w:r>
      <w:r w:rsidRPr="000F05CA">
        <w:t>and coordinat</w:t>
      </w:r>
      <w:r>
        <w:t>es</w:t>
      </w:r>
      <w:r w:rsidRPr="000F05CA">
        <w:t xml:space="preserve"> efforts to reduce the disparity between metropolitan and regional students. </w:t>
      </w:r>
      <w:r>
        <w:t xml:space="preserve">In doing so, the </w:t>
      </w:r>
      <w:r w:rsidRPr="000F05CA">
        <w:t xml:space="preserve">Commissioner brings a national focus and direction to regional and remote education, working with stakeholders and governments to explore opportunities for people in rural, regional and remote Australia. </w:t>
      </w:r>
    </w:p>
    <w:p w14:paraId="0580EB43" w14:textId="77777777" w:rsidR="007C075B" w:rsidRPr="005D3CE0" w:rsidRDefault="007C075B" w:rsidP="000E05D1">
      <w:pPr>
        <w:pStyle w:val="Heading4"/>
      </w:pPr>
      <w:bookmarkStart w:id="31" w:name="_Toc110414813"/>
      <w:r>
        <w:t>Relocation Equity Measures</w:t>
      </w:r>
      <w:bookmarkEnd w:id="31"/>
    </w:p>
    <w:p w14:paraId="191F7438" w14:textId="77777777" w:rsidR="00EE3DE3" w:rsidRDefault="00EE3DE3" w:rsidP="00EE3DE3">
      <w:r>
        <w:t>To help ease barriers for relocating students, the JRG package introduced the Tertiary Access Payment (TAP). The TAP initially provided a one-off $5,000 payment for remote and outer regional school leavers commencing full-time study in higher education to put towards their additional cost of study and relocation. In late 2021 the TAP was expanded to also include inner regional students who receive a one-off $3,000 payment. In, addition, to further support relocated and other disadvantaged students with their costs of transportation, any student who is eligible for Youth Allowance or the Pensioner Education Supplement had their fare allowance increased.</w:t>
      </w:r>
    </w:p>
    <w:p w14:paraId="264E59F2" w14:textId="77777777" w:rsidR="007C075B" w:rsidRDefault="007C075B" w:rsidP="000E05D1">
      <w:pPr>
        <w:pStyle w:val="Heading4"/>
      </w:pPr>
      <w:bookmarkStart w:id="32" w:name="_Toc110414814"/>
      <w:bookmarkStart w:id="33" w:name="_Hlk98844793"/>
      <w:r>
        <w:t>Additional support for Regional University Centres</w:t>
      </w:r>
      <w:bookmarkEnd w:id="32"/>
    </w:p>
    <w:p w14:paraId="26DD62B8" w14:textId="1F793007" w:rsidR="007C075B" w:rsidRDefault="007C075B" w:rsidP="002128AE">
      <w:pPr>
        <w:spacing w:after="0"/>
      </w:pPr>
      <w:r w:rsidRPr="000F05CA">
        <w:t xml:space="preserve">The package provided $21 million to expand and strengthen the </w:t>
      </w:r>
      <w:r w:rsidR="00742817">
        <w:t>Regional University Centre (</w:t>
      </w:r>
      <w:r w:rsidRPr="000F05CA">
        <w:t>RUC</w:t>
      </w:r>
      <w:r w:rsidR="00742817">
        <w:t>)</w:t>
      </w:r>
      <w:r w:rsidRPr="000F05CA">
        <w:t xml:space="preserve"> program.</w:t>
      </w:r>
      <w:r>
        <w:t xml:space="preserve"> This included funding for:</w:t>
      </w:r>
    </w:p>
    <w:p w14:paraId="6731DDEB" w14:textId="77777777" w:rsidR="00EE3DE3" w:rsidRPr="009B379B" w:rsidRDefault="00EE3DE3" w:rsidP="00777011">
      <w:pPr>
        <w:numPr>
          <w:ilvl w:val="0"/>
          <w:numId w:val="16"/>
        </w:numPr>
        <w:shd w:val="clear" w:color="auto" w:fill="FFFFFF"/>
        <w:spacing w:after="60" w:line="240" w:lineRule="auto"/>
        <w:ind w:left="760" w:hanging="357"/>
        <w:rPr>
          <w:rFonts w:eastAsia="Times New Roman" w:cstheme="minorHAnsi"/>
          <w:color w:val="343741"/>
          <w:lang w:eastAsia="en-AU"/>
        </w:rPr>
      </w:pPr>
      <w:r w:rsidRPr="009B379B">
        <w:rPr>
          <w:rFonts w:eastAsia="Times New Roman" w:cstheme="minorHAnsi"/>
          <w:color w:val="343741"/>
          <w:lang w:eastAsia="en-AU"/>
        </w:rPr>
        <w:t>establishing up to eight additional Centres to further support regional and remote students who remain in their local communities</w:t>
      </w:r>
    </w:p>
    <w:p w14:paraId="7F1B8165" w14:textId="77777777" w:rsidR="00EE3DE3" w:rsidRPr="009B379B" w:rsidRDefault="00EE3DE3" w:rsidP="00777011">
      <w:pPr>
        <w:numPr>
          <w:ilvl w:val="0"/>
          <w:numId w:val="16"/>
        </w:numPr>
        <w:shd w:val="clear" w:color="auto" w:fill="FFFFFF"/>
        <w:spacing w:before="100" w:beforeAutospacing="1" w:after="60" w:line="240" w:lineRule="auto"/>
        <w:ind w:left="760" w:hanging="357"/>
        <w:rPr>
          <w:rFonts w:eastAsia="Times New Roman" w:cstheme="minorHAnsi"/>
          <w:color w:val="343741"/>
          <w:lang w:eastAsia="en-AU"/>
        </w:rPr>
      </w:pPr>
      <w:r w:rsidRPr="009B379B">
        <w:rPr>
          <w:rFonts w:eastAsia="Times New Roman" w:cstheme="minorHAnsi"/>
          <w:color w:val="343741"/>
          <w:lang w:eastAsia="en-AU"/>
        </w:rPr>
        <w:t>implementing a network and central support for all Centres</w:t>
      </w:r>
    </w:p>
    <w:p w14:paraId="5D3FF7A6" w14:textId="77777777" w:rsidR="00EE3DE3" w:rsidRPr="009B379B" w:rsidRDefault="00EE3DE3" w:rsidP="00777011">
      <w:pPr>
        <w:numPr>
          <w:ilvl w:val="0"/>
          <w:numId w:val="16"/>
        </w:numPr>
        <w:shd w:val="clear" w:color="auto" w:fill="FFFFFF"/>
        <w:spacing w:before="100" w:beforeAutospacing="1" w:after="60" w:line="240" w:lineRule="auto"/>
        <w:ind w:left="760" w:hanging="357"/>
        <w:rPr>
          <w:rFonts w:eastAsia="Times New Roman" w:cstheme="minorHAnsi"/>
          <w:color w:val="343741"/>
          <w:lang w:eastAsia="en-AU"/>
        </w:rPr>
      </w:pPr>
      <w:r w:rsidRPr="009B379B">
        <w:rPr>
          <w:rFonts w:eastAsia="Times New Roman" w:cstheme="minorHAnsi"/>
          <w:color w:val="343741"/>
          <w:lang w:eastAsia="en-AU"/>
        </w:rPr>
        <w:t>an evaluation of the program to inform improvements to the program and RUC governance and operation</w:t>
      </w:r>
    </w:p>
    <w:p w14:paraId="7A0C9429" w14:textId="77777777" w:rsidR="00EE3DE3" w:rsidRPr="009B379B" w:rsidRDefault="00EE3DE3" w:rsidP="00777011">
      <w:pPr>
        <w:numPr>
          <w:ilvl w:val="0"/>
          <w:numId w:val="16"/>
        </w:numPr>
        <w:shd w:val="clear" w:color="auto" w:fill="FFFFFF"/>
        <w:spacing w:before="100" w:beforeAutospacing="1" w:after="60" w:line="240" w:lineRule="auto"/>
        <w:ind w:left="760" w:hanging="357"/>
        <w:rPr>
          <w:rFonts w:eastAsia="Times New Roman" w:cstheme="minorHAnsi"/>
          <w:color w:val="343741"/>
          <w:lang w:eastAsia="en-AU"/>
        </w:rPr>
      </w:pPr>
      <w:r w:rsidRPr="009B379B">
        <w:rPr>
          <w:rFonts w:eastAsia="Times New Roman" w:cstheme="minorHAnsi"/>
          <w:color w:val="343741"/>
          <w:lang w:eastAsia="en-AU"/>
        </w:rPr>
        <w:t>undertaking a research project on Centre partnerships and how to best support them, particularly Centre-university partnerships</w:t>
      </w:r>
    </w:p>
    <w:p w14:paraId="4F9CE892" w14:textId="77777777" w:rsidR="00EE3DE3" w:rsidRPr="009B379B" w:rsidRDefault="00EE3DE3" w:rsidP="00777011">
      <w:pPr>
        <w:numPr>
          <w:ilvl w:val="0"/>
          <w:numId w:val="16"/>
        </w:numPr>
        <w:shd w:val="clear" w:color="auto" w:fill="FFFFFF"/>
        <w:spacing w:before="100" w:beforeAutospacing="1" w:after="60" w:line="240" w:lineRule="auto"/>
        <w:ind w:left="760" w:hanging="357"/>
        <w:rPr>
          <w:rFonts w:eastAsia="Times New Roman" w:cstheme="minorHAnsi"/>
          <w:color w:val="343741"/>
          <w:lang w:eastAsia="en-AU"/>
        </w:rPr>
      </w:pPr>
      <w:r w:rsidRPr="009B379B">
        <w:rPr>
          <w:rFonts w:eastAsia="Times New Roman" w:cstheme="minorHAnsi"/>
          <w:color w:val="343741"/>
          <w:lang w:eastAsia="en-AU"/>
        </w:rPr>
        <w:t>a scoping study to inform the location and selection of future Centres</w:t>
      </w:r>
    </w:p>
    <w:p w14:paraId="7356FFC6" w14:textId="77777777" w:rsidR="007C075B" w:rsidRPr="003D031F" w:rsidRDefault="007C075B" w:rsidP="000E05D1">
      <w:pPr>
        <w:pStyle w:val="Heading4"/>
      </w:pPr>
      <w:bookmarkStart w:id="34" w:name="_Toc110414815"/>
      <w:r w:rsidRPr="003D031F">
        <w:t>Enhancing research capacity of regional universities</w:t>
      </w:r>
      <w:bookmarkEnd w:id="34"/>
      <w:r w:rsidRPr="003D031F">
        <w:t xml:space="preserve"> </w:t>
      </w:r>
    </w:p>
    <w:bookmarkEnd w:id="33"/>
    <w:p w14:paraId="62D57CC6" w14:textId="4B9D8247" w:rsidR="00C43A90" w:rsidRDefault="009A4852" w:rsidP="00777011">
      <w:r>
        <w:rPr>
          <w:rFonts w:eastAsia="Times New Roman"/>
        </w:rPr>
        <w:t>Announced as part of the JRG package, t</w:t>
      </w:r>
      <w:r w:rsidRPr="00777011">
        <w:rPr>
          <w:rFonts w:eastAsia="Times New Roman"/>
        </w:rPr>
        <w:t xml:space="preserve">he </w:t>
      </w:r>
      <w:r w:rsidRPr="009B379B">
        <w:rPr>
          <w:rFonts w:eastAsia="Times New Roman"/>
        </w:rPr>
        <w:t>Regional Research Collaboration Program</w:t>
      </w:r>
      <w:r w:rsidRPr="009A4852">
        <w:rPr>
          <w:rFonts w:eastAsia="Times New Roman"/>
        </w:rPr>
        <w:t xml:space="preserve"> </w:t>
      </w:r>
      <w:r w:rsidRPr="009B379B">
        <w:rPr>
          <w:rFonts w:eastAsia="Times New Roman"/>
        </w:rPr>
        <w:t>responds to Recommendation 6</w:t>
      </w:r>
      <w:r>
        <w:rPr>
          <w:rFonts w:eastAsia="Times New Roman"/>
        </w:rPr>
        <w:t xml:space="preserve"> of the </w:t>
      </w:r>
      <w:r w:rsidRPr="009B379B">
        <w:rPr>
          <w:rFonts w:eastAsia="Times New Roman"/>
        </w:rPr>
        <w:t>Napthine Review</w:t>
      </w:r>
      <w:r w:rsidR="00313245">
        <w:rPr>
          <w:rFonts w:eastAsia="Times New Roman"/>
        </w:rPr>
        <w:t>.</w:t>
      </w:r>
      <w:r w:rsidRPr="00777011">
        <w:rPr>
          <w:rFonts w:eastAsia="Times New Roman"/>
        </w:rPr>
        <w:t xml:space="preserve"> Funding is provided for research collaboration between regional universities, industry and other higher education providers and aims to improve regional research capacity by realising the challenges associated with undertaking research in regional areas.</w:t>
      </w:r>
    </w:p>
    <w:p w14:paraId="21DFFF59" w14:textId="77777777" w:rsidR="007C075B" w:rsidRPr="003D031F" w:rsidRDefault="007C075B" w:rsidP="000E05D1">
      <w:pPr>
        <w:pStyle w:val="Heading3"/>
      </w:pPr>
      <w:bookmarkStart w:id="35" w:name="_Toc97121133"/>
      <w:bookmarkStart w:id="36" w:name="_Toc110414816"/>
      <w:bookmarkStart w:id="37" w:name="_Toc127537009"/>
      <w:r w:rsidRPr="003D031F">
        <w:t>Strengthening Industry Engagement</w:t>
      </w:r>
      <w:bookmarkEnd w:id="35"/>
      <w:bookmarkEnd w:id="36"/>
      <w:bookmarkEnd w:id="37"/>
    </w:p>
    <w:p w14:paraId="2953BE6B" w14:textId="77777777" w:rsidR="007C075B" w:rsidRPr="00C93A79" w:rsidRDefault="007C075B" w:rsidP="000E05D1">
      <w:pPr>
        <w:pStyle w:val="Heading4"/>
      </w:pPr>
      <w:bookmarkStart w:id="38" w:name="_Toc97121134"/>
      <w:bookmarkStart w:id="39" w:name="_Toc110414817"/>
      <w:r>
        <w:t>National Priorities and Industry Linkage Fund (NPILF</w:t>
      </w:r>
      <w:bookmarkEnd w:id="38"/>
      <w:r>
        <w:t>)</w:t>
      </w:r>
      <w:bookmarkEnd w:id="39"/>
    </w:p>
    <w:p w14:paraId="0CBCD47C" w14:textId="4268CF46" w:rsidR="007C075B" w:rsidRDefault="007C075B" w:rsidP="007C075B">
      <w:r>
        <w:t xml:space="preserve">The JRG package sought to strengthen the relationship between industry and the higher education sector through the establishment of the NPILF. </w:t>
      </w:r>
      <w:r w:rsidR="0040688A">
        <w:t xml:space="preserve">The </w:t>
      </w:r>
      <w:r>
        <w:t>NPILF provides funding for Table A universities to create contemporary and ongoing partnerships with industry which foster collaboration across teaching and research. It focuses on three priorities, namely increasing work integrated learning opportunities (WIL) and approaches, increasing STEM</w:t>
      </w:r>
      <w:r>
        <w:noBreakHyphen/>
        <w:t xml:space="preserve">skilled graduates and their employment outcomes, and supporting partnerships between universities and industry. </w:t>
      </w:r>
    </w:p>
    <w:p w14:paraId="433042B5" w14:textId="1775B5C8" w:rsidR="007C075B" w:rsidRDefault="007C075B" w:rsidP="007C075B">
      <w:r>
        <w:t xml:space="preserve">Funding for the NPILF is allocated tri-annually via a tiered structure, based on student enrolment/load. A test/learning year for the NPILF model began in 2021, the pilot commencing in 2022, with an end date in 2024. </w:t>
      </w:r>
    </w:p>
    <w:p w14:paraId="2D7BF34B" w14:textId="77777777" w:rsidR="007C075B" w:rsidRPr="00C93A79" w:rsidRDefault="007C075B" w:rsidP="000E05D1">
      <w:pPr>
        <w:pStyle w:val="Heading4"/>
      </w:pPr>
      <w:bookmarkStart w:id="40" w:name="_Toc110414818"/>
      <w:r>
        <w:lastRenderedPageBreak/>
        <w:t>Work experience in industry</w:t>
      </w:r>
      <w:bookmarkEnd w:id="40"/>
    </w:p>
    <w:p w14:paraId="07316069" w14:textId="0C85FB4F" w:rsidR="007C075B" w:rsidRDefault="007C075B" w:rsidP="007C075B">
      <w:r>
        <w:t xml:space="preserve">The JRG Bill amended HESA to allow CGS funding for certain Work Experience in Industry units, which had previously been ineligible for subsidy. This change </w:t>
      </w:r>
      <w:r w:rsidR="00360238">
        <w:t>is</w:t>
      </w:r>
      <w:r w:rsidR="005A1FDB">
        <w:t xml:space="preserve"> </w:t>
      </w:r>
      <w:r>
        <w:t>intended to provide more incentive for universities to offer students meaningful internship experiences as part of their courses.</w:t>
      </w:r>
    </w:p>
    <w:p w14:paraId="0C4C5FA9" w14:textId="77777777" w:rsidR="007C075B" w:rsidRPr="000D30DA" w:rsidRDefault="007C075B" w:rsidP="000E05D1">
      <w:pPr>
        <w:pStyle w:val="Heading4"/>
      </w:pPr>
      <w:bookmarkStart w:id="41" w:name="_Toc110414819"/>
      <w:r w:rsidRPr="000D30DA">
        <w:t>Industry 4.0 Advanced Apprenticeship Pilot</w:t>
      </w:r>
      <w:bookmarkEnd w:id="41"/>
    </w:p>
    <w:p w14:paraId="68FE7CC1" w14:textId="0B06BB0D" w:rsidR="007C075B" w:rsidRPr="003D1C4F" w:rsidRDefault="007C075B" w:rsidP="007C075B">
      <w:pPr>
        <w:shd w:val="clear" w:color="auto" w:fill="FFFFFF"/>
      </w:pPr>
      <w:r>
        <w:t xml:space="preserve">The </w:t>
      </w:r>
      <w:r w:rsidRPr="003D1C4F">
        <w:t xml:space="preserve">Advanced Apprenticeships (Industry 4.0) pilot targets small to medium sized businesses in key manufacturing </w:t>
      </w:r>
      <w:r w:rsidR="00360238">
        <w:t>industries</w:t>
      </w:r>
      <w:r w:rsidRPr="003D1C4F">
        <w:t>. It aims to upskill, retrain, and reskill their employees to enhance their capabilities in the workplace and provides them with free and open access to advanced tools and facilities to improve their skills in Industry 4.0 technologies.</w:t>
      </w:r>
    </w:p>
    <w:p w14:paraId="0604F852" w14:textId="77777777" w:rsidR="007C075B" w:rsidRPr="003D1C4F" w:rsidRDefault="007C075B" w:rsidP="007C075B">
      <w:pPr>
        <w:shd w:val="clear" w:color="auto" w:fill="FFFFFF"/>
      </w:pPr>
      <w:r w:rsidRPr="003D1C4F">
        <w:t>Students participating in Advanced Apprenticeship (Industry 4.0) pilots can enrol in a range of qualification types within an applied technology Industry 4.0 pathway, including Diplomas and Associate Degrees. The flexible pilot design accommodates less than full-time study loads to allow students to balance work and study where required.</w:t>
      </w:r>
    </w:p>
    <w:p w14:paraId="147E5179" w14:textId="065908ED" w:rsidR="007C075B" w:rsidRDefault="007C075B" w:rsidP="007C075B">
      <w:r w:rsidRPr="003D1C4F">
        <w:t>There are currently six universities participating in the Advanced Apprenticeships (Industry 4.0) pilot, Swinburne University of Technology, University of Technology Sydney, University of Tasmania, RMIT University, the University of Western Australia and University of South Australia.</w:t>
      </w:r>
    </w:p>
    <w:bookmarkEnd w:id="0"/>
    <w:p w14:paraId="362F899D" w14:textId="703218EE" w:rsidR="00CC6FA8" w:rsidRPr="00A373C6" w:rsidRDefault="00CC6FA8"/>
    <w:sectPr w:rsidR="00CC6FA8" w:rsidRPr="00A373C6" w:rsidSect="00BE737E">
      <w:headerReference w:type="default" r:id="rId27"/>
      <w:footerReference w:type="default" r:id="rId28"/>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2ABEA" w14:textId="77777777" w:rsidR="007C4A0C" w:rsidRDefault="007C4A0C" w:rsidP="0051352E">
      <w:pPr>
        <w:spacing w:after="0" w:line="240" w:lineRule="auto"/>
      </w:pPr>
      <w:r>
        <w:separator/>
      </w:r>
    </w:p>
  </w:endnote>
  <w:endnote w:type="continuationSeparator" w:id="0">
    <w:p w14:paraId="3C81CC4D" w14:textId="77777777" w:rsidR="007C4A0C" w:rsidRDefault="007C4A0C"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1EE7" w14:textId="77777777" w:rsidR="00527108" w:rsidRDefault="005271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77777777" w:rsidR="00EA67FC" w:rsidRDefault="00EA67FC">
    <w:pPr>
      <w:pStyle w:val="Footer"/>
      <w:jc w:val="right"/>
    </w:pPr>
  </w:p>
  <w:p w14:paraId="69B8631C"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E1DEF" w14:textId="77777777" w:rsidR="00527108" w:rsidRDefault="005271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0624990D" w:rsidR="00EA67FC" w:rsidRDefault="00DC1B5C">
    <w:pPr>
      <w:pStyle w:val="Footer"/>
      <w:jc w:val="right"/>
    </w:pPr>
    <w:r>
      <w:t>Job-ready Graduates: Preliminary Paper</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3B696ECA" w:rsidR="00EA67FC" w:rsidRDefault="00BE737E">
    <w:pPr>
      <w:pStyle w:val="Footer"/>
    </w:pPr>
    <w:r>
      <w:rPr>
        <w:noProof/>
      </w:rPr>
      <mc:AlternateContent>
        <mc:Choice Requires="wps">
          <w:drawing>
            <wp:anchor distT="0" distB="0" distL="114300" distR="114300" simplePos="0" relativeHeight="251659264" behindDoc="0" locked="0" layoutInCell="1" allowOverlap="1" wp14:anchorId="04F7627B" wp14:editId="4DBB28FF">
              <wp:simplePos x="0" y="0"/>
              <wp:positionH relativeFrom="page">
                <wp:posOffset>0</wp:posOffset>
              </wp:positionH>
              <wp:positionV relativeFrom="paragraph">
                <wp:posOffset>251509</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536EC" id="Rectangle 1" o:spid="_x0000_s1026" alt="&quot;&quot;" style="position:absolute;margin-left:0;margin-top:19.8pt;width:595.25pt;height:1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FDDCF" w14:textId="77777777" w:rsidR="007C4A0C" w:rsidRDefault="007C4A0C" w:rsidP="0051352E">
      <w:pPr>
        <w:spacing w:after="0" w:line="240" w:lineRule="auto"/>
      </w:pPr>
      <w:r>
        <w:separator/>
      </w:r>
    </w:p>
  </w:footnote>
  <w:footnote w:type="continuationSeparator" w:id="0">
    <w:p w14:paraId="60653BE4" w14:textId="77777777" w:rsidR="007C4A0C" w:rsidRDefault="007C4A0C" w:rsidP="0051352E">
      <w:pPr>
        <w:spacing w:after="0" w:line="240" w:lineRule="auto"/>
      </w:pPr>
      <w:r>
        <w:continuationSeparator/>
      </w:r>
    </w:p>
  </w:footnote>
  <w:footnote w:id="1">
    <w:p w14:paraId="6E9F6890" w14:textId="29616EC8" w:rsidR="007C075B" w:rsidRPr="009D0752" w:rsidRDefault="007C075B" w:rsidP="007C075B">
      <w:pPr>
        <w:pStyle w:val="FootnoteText"/>
      </w:pPr>
      <w:r>
        <w:rPr>
          <w:rStyle w:val="FootnoteReference"/>
        </w:rPr>
        <w:footnoteRef/>
      </w:r>
      <w:r>
        <w:t xml:space="preserve"> </w:t>
      </w:r>
      <w:r w:rsidR="00210FA2">
        <w:t xml:space="preserve">The Hon Dan Tehan MP, “Minister for Education Dan Tehan National Press Club address,” 19 June 2020. </w:t>
      </w:r>
      <w:hyperlink r:id="rId1" w:history="1">
        <w:r w:rsidR="00210FA2" w:rsidRPr="00472DF0">
          <w:rPr>
            <w:rStyle w:val="Hyperlink"/>
          </w:rPr>
          <w:t>https://ministers.dese.gov.au/tehan/minister-education-dan-tehan-national-press-club-address</w:t>
        </w:r>
      </w:hyperlink>
      <w:r w:rsidR="00210FA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07FD" w14:textId="77777777" w:rsidR="00527108" w:rsidRDefault="005271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3D6DE" w14:textId="77777777" w:rsidR="00527108" w:rsidRDefault="005271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E18EB" w14:textId="77777777" w:rsidR="00527108" w:rsidRDefault="005271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44804D73"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E7BED"/>
    <w:multiLevelType w:val="hybridMultilevel"/>
    <w:tmpl w:val="EF401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C60A6E"/>
    <w:multiLevelType w:val="hybridMultilevel"/>
    <w:tmpl w:val="BCCA28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3E16423"/>
    <w:multiLevelType w:val="hybridMultilevel"/>
    <w:tmpl w:val="BFD2784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3640F2"/>
    <w:multiLevelType w:val="hybridMultilevel"/>
    <w:tmpl w:val="0CE61F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D57906"/>
    <w:multiLevelType w:val="hybridMultilevel"/>
    <w:tmpl w:val="71E4939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9" w15:restartNumberingAfterBreak="0">
    <w:nsid w:val="6E8B28B3"/>
    <w:multiLevelType w:val="hybridMultilevel"/>
    <w:tmpl w:val="086EAE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6"/>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3"/>
  </w:num>
  <w:num w:numId="17">
    <w:abstractNumId w:val="10"/>
  </w:num>
  <w:num w:numId="18">
    <w:abstractNumId w:val="17"/>
  </w:num>
  <w:num w:numId="19">
    <w:abstractNumId w:val="14"/>
  </w:num>
  <w:num w:numId="20">
    <w:abstractNumId w:val="1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54DD"/>
    <w:rsid w:val="00010925"/>
    <w:rsid w:val="000225D5"/>
    <w:rsid w:val="0003372B"/>
    <w:rsid w:val="00051780"/>
    <w:rsid w:val="00052BBC"/>
    <w:rsid w:val="000553A4"/>
    <w:rsid w:val="0007126D"/>
    <w:rsid w:val="00073BBA"/>
    <w:rsid w:val="00080B37"/>
    <w:rsid w:val="0008426D"/>
    <w:rsid w:val="00085CBC"/>
    <w:rsid w:val="00095CE3"/>
    <w:rsid w:val="000A453D"/>
    <w:rsid w:val="000A5945"/>
    <w:rsid w:val="000A711F"/>
    <w:rsid w:val="000B5A32"/>
    <w:rsid w:val="000C690A"/>
    <w:rsid w:val="000D6E38"/>
    <w:rsid w:val="000E05D1"/>
    <w:rsid w:val="000E3D80"/>
    <w:rsid w:val="0010548E"/>
    <w:rsid w:val="0011024B"/>
    <w:rsid w:val="00113B04"/>
    <w:rsid w:val="001250B6"/>
    <w:rsid w:val="001304A7"/>
    <w:rsid w:val="001349BE"/>
    <w:rsid w:val="001359FA"/>
    <w:rsid w:val="00137981"/>
    <w:rsid w:val="00137BC7"/>
    <w:rsid w:val="0015205A"/>
    <w:rsid w:val="00155C76"/>
    <w:rsid w:val="00156118"/>
    <w:rsid w:val="00157577"/>
    <w:rsid w:val="00157F35"/>
    <w:rsid w:val="0016185F"/>
    <w:rsid w:val="00162DEE"/>
    <w:rsid w:val="00163179"/>
    <w:rsid w:val="00185235"/>
    <w:rsid w:val="00191BFC"/>
    <w:rsid w:val="0019445D"/>
    <w:rsid w:val="001B2FF1"/>
    <w:rsid w:val="001C337F"/>
    <w:rsid w:val="001D4162"/>
    <w:rsid w:val="001D5A59"/>
    <w:rsid w:val="001E52FE"/>
    <w:rsid w:val="001E53C9"/>
    <w:rsid w:val="001F67C9"/>
    <w:rsid w:val="00201082"/>
    <w:rsid w:val="00210FA2"/>
    <w:rsid w:val="002120BF"/>
    <w:rsid w:val="002128AE"/>
    <w:rsid w:val="00214794"/>
    <w:rsid w:val="00217EAB"/>
    <w:rsid w:val="0022498C"/>
    <w:rsid w:val="00231123"/>
    <w:rsid w:val="00243324"/>
    <w:rsid w:val="00246C0E"/>
    <w:rsid w:val="00256B82"/>
    <w:rsid w:val="00261096"/>
    <w:rsid w:val="0026217C"/>
    <w:rsid w:val="002644FB"/>
    <w:rsid w:val="00270EB0"/>
    <w:rsid w:val="002724D0"/>
    <w:rsid w:val="0027462B"/>
    <w:rsid w:val="00287C97"/>
    <w:rsid w:val="002B1CE5"/>
    <w:rsid w:val="002D4A42"/>
    <w:rsid w:val="002D6F8F"/>
    <w:rsid w:val="002F2922"/>
    <w:rsid w:val="002F2B1E"/>
    <w:rsid w:val="002F4D16"/>
    <w:rsid w:val="002F4DB3"/>
    <w:rsid w:val="00302D2D"/>
    <w:rsid w:val="003042AF"/>
    <w:rsid w:val="00311B29"/>
    <w:rsid w:val="00311EC2"/>
    <w:rsid w:val="00312646"/>
    <w:rsid w:val="00313245"/>
    <w:rsid w:val="00332123"/>
    <w:rsid w:val="00337F74"/>
    <w:rsid w:val="00340BAC"/>
    <w:rsid w:val="00350FFA"/>
    <w:rsid w:val="00360238"/>
    <w:rsid w:val="0036283A"/>
    <w:rsid w:val="0036594A"/>
    <w:rsid w:val="0037119D"/>
    <w:rsid w:val="00376086"/>
    <w:rsid w:val="003800E9"/>
    <w:rsid w:val="00382F07"/>
    <w:rsid w:val="00386133"/>
    <w:rsid w:val="003949C8"/>
    <w:rsid w:val="00395052"/>
    <w:rsid w:val="003A4535"/>
    <w:rsid w:val="003B0A7C"/>
    <w:rsid w:val="003B1672"/>
    <w:rsid w:val="003B566A"/>
    <w:rsid w:val="003C12DA"/>
    <w:rsid w:val="003C46C3"/>
    <w:rsid w:val="003E0A10"/>
    <w:rsid w:val="003E0CFA"/>
    <w:rsid w:val="003E1112"/>
    <w:rsid w:val="003E488C"/>
    <w:rsid w:val="003E6C24"/>
    <w:rsid w:val="003F51A2"/>
    <w:rsid w:val="003F632B"/>
    <w:rsid w:val="0040688A"/>
    <w:rsid w:val="004127C2"/>
    <w:rsid w:val="00414DC5"/>
    <w:rsid w:val="00421B51"/>
    <w:rsid w:val="00427160"/>
    <w:rsid w:val="00433450"/>
    <w:rsid w:val="00435B44"/>
    <w:rsid w:val="004426D9"/>
    <w:rsid w:val="00442B79"/>
    <w:rsid w:val="0044436E"/>
    <w:rsid w:val="00445F5D"/>
    <w:rsid w:val="004475F0"/>
    <w:rsid w:val="00451BFA"/>
    <w:rsid w:val="00453C04"/>
    <w:rsid w:val="00457C37"/>
    <w:rsid w:val="00467929"/>
    <w:rsid w:val="0047744B"/>
    <w:rsid w:val="00497764"/>
    <w:rsid w:val="004B6B4C"/>
    <w:rsid w:val="004D0D2C"/>
    <w:rsid w:val="004D2160"/>
    <w:rsid w:val="004D34A1"/>
    <w:rsid w:val="004D3CF6"/>
    <w:rsid w:val="004E417E"/>
    <w:rsid w:val="004F0B61"/>
    <w:rsid w:val="004F38C1"/>
    <w:rsid w:val="004F5F13"/>
    <w:rsid w:val="0051352E"/>
    <w:rsid w:val="00514DA0"/>
    <w:rsid w:val="00517052"/>
    <w:rsid w:val="00517DA7"/>
    <w:rsid w:val="00520A33"/>
    <w:rsid w:val="0052280C"/>
    <w:rsid w:val="00522D25"/>
    <w:rsid w:val="00523343"/>
    <w:rsid w:val="005242E0"/>
    <w:rsid w:val="00527108"/>
    <w:rsid w:val="00527749"/>
    <w:rsid w:val="00527AE4"/>
    <w:rsid w:val="00540EE4"/>
    <w:rsid w:val="00564D6C"/>
    <w:rsid w:val="0057581A"/>
    <w:rsid w:val="00583304"/>
    <w:rsid w:val="0058535E"/>
    <w:rsid w:val="005855BC"/>
    <w:rsid w:val="0059425B"/>
    <w:rsid w:val="005A1FDB"/>
    <w:rsid w:val="005B2B02"/>
    <w:rsid w:val="005B7352"/>
    <w:rsid w:val="005E5FF3"/>
    <w:rsid w:val="00603A9D"/>
    <w:rsid w:val="00607D9C"/>
    <w:rsid w:val="00612C3E"/>
    <w:rsid w:val="00617D85"/>
    <w:rsid w:val="00630DDF"/>
    <w:rsid w:val="00642F0B"/>
    <w:rsid w:val="00645C2E"/>
    <w:rsid w:val="006463C8"/>
    <w:rsid w:val="006505D8"/>
    <w:rsid w:val="006671C1"/>
    <w:rsid w:val="00673367"/>
    <w:rsid w:val="00682270"/>
    <w:rsid w:val="006841FA"/>
    <w:rsid w:val="006B22A9"/>
    <w:rsid w:val="006D066E"/>
    <w:rsid w:val="006E55E8"/>
    <w:rsid w:val="006E5D6E"/>
    <w:rsid w:val="006E65D7"/>
    <w:rsid w:val="006E7869"/>
    <w:rsid w:val="006F43D0"/>
    <w:rsid w:val="006F5597"/>
    <w:rsid w:val="00700107"/>
    <w:rsid w:val="0070169C"/>
    <w:rsid w:val="00706DBC"/>
    <w:rsid w:val="00714427"/>
    <w:rsid w:val="007154A3"/>
    <w:rsid w:val="00717DB6"/>
    <w:rsid w:val="007206B9"/>
    <w:rsid w:val="00721B03"/>
    <w:rsid w:val="007236E4"/>
    <w:rsid w:val="00742817"/>
    <w:rsid w:val="00746FD2"/>
    <w:rsid w:val="00750CC6"/>
    <w:rsid w:val="00765AE2"/>
    <w:rsid w:val="00766195"/>
    <w:rsid w:val="00773788"/>
    <w:rsid w:val="007757C9"/>
    <w:rsid w:val="00777011"/>
    <w:rsid w:val="007839E9"/>
    <w:rsid w:val="007855CC"/>
    <w:rsid w:val="007856A3"/>
    <w:rsid w:val="007906D7"/>
    <w:rsid w:val="00793C25"/>
    <w:rsid w:val="00796025"/>
    <w:rsid w:val="007A2699"/>
    <w:rsid w:val="007A6E95"/>
    <w:rsid w:val="007B1ABA"/>
    <w:rsid w:val="007B4192"/>
    <w:rsid w:val="007B74C5"/>
    <w:rsid w:val="007C075B"/>
    <w:rsid w:val="007C0ACE"/>
    <w:rsid w:val="007C4A0C"/>
    <w:rsid w:val="007C4EE7"/>
    <w:rsid w:val="007C7659"/>
    <w:rsid w:val="007D27E7"/>
    <w:rsid w:val="007E7835"/>
    <w:rsid w:val="008109B3"/>
    <w:rsid w:val="0082399E"/>
    <w:rsid w:val="00823D23"/>
    <w:rsid w:val="0082672B"/>
    <w:rsid w:val="00830162"/>
    <w:rsid w:val="00847DF4"/>
    <w:rsid w:val="008507C1"/>
    <w:rsid w:val="00850B4E"/>
    <w:rsid w:val="00855328"/>
    <w:rsid w:val="00861934"/>
    <w:rsid w:val="00866E60"/>
    <w:rsid w:val="00872351"/>
    <w:rsid w:val="0088227B"/>
    <w:rsid w:val="0088319A"/>
    <w:rsid w:val="00885F53"/>
    <w:rsid w:val="00886E3D"/>
    <w:rsid w:val="008A4235"/>
    <w:rsid w:val="008A60BE"/>
    <w:rsid w:val="008A72B8"/>
    <w:rsid w:val="008A7B2B"/>
    <w:rsid w:val="008B4E30"/>
    <w:rsid w:val="008B7126"/>
    <w:rsid w:val="008C660D"/>
    <w:rsid w:val="008C712E"/>
    <w:rsid w:val="008E2854"/>
    <w:rsid w:val="008E42E1"/>
    <w:rsid w:val="008E4E1C"/>
    <w:rsid w:val="008E5EA8"/>
    <w:rsid w:val="008F07A9"/>
    <w:rsid w:val="008F0AC9"/>
    <w:rsid w:val="008F327A"/>
    <w:rsid w:val="008F51BA"/>
    <w:rsid w:val="0090082B"/>
    <w:rsid w:val="009016F9"/>
    <w:rsid w:val="00902A5D"/>
    <w:rsid w:val="00902A8B"/>
    <w:rsid w:val="00930CDA"/>
    <w:rsid w:val="0093406A"/>
    <w:rsid w:val="0093432B"/>
    <w:rsid w:val="0093473D"/>
    <w:rsid w:val="009410D6"/>
    <w:rsid w:val="0095636C"/>
    <w:rsid w:val="009655A2"/>
    <w:rsid w:val="00966880"/>
    <w:rsid w:val="00966B87"/>
    <w:rsid w:val="00966D85"/>
    <w:rsid w:val="00972F57"/>
    <w:rsid w:val="009743FD"/>
    <w:rsid w:val="00995280"/>
    <w:rsid w:val="009954DE"/>
    <w:rsid w:val="009A1960"/>
    <w:rsid w:val="009A4852"/>
    <w:rsid w:val="009B31F2"/>
    <w:rsid w:val="009C0E6B"/>
    <w:rsid w:val="009C1F8A"/>
    <w:rsid w:val="009D2FE9"/>
    <w:rsid w:val="009D70C5"/>
    <w:rsid w:val="009E07E0"/>
    <w:rsid w:val="009E3B14"/>
    <w:rsid w:val="009F4DD9"/>
    <w:rsid w:val="00A22849"/>
    <w:rsid w:val="00A24E6E"/>
    <w:rsid w:val="00A26A41"/>
    <w:rsid w:val="00A4121C"/>
    <w:rsid w:val="00A43694"/>
    <w:rsid w:val="00A45D7E"/>
    <w:rsid w:val="00A560DE"/>
    <w:rsid w:val="00A56FC7"/>
    <w:rsid w:val="00A57572"/>
    <w:rsid w:val="00A72575"/>
    <w:rsid w:val="00A7394E"/>
    <w:rsid w:val="00A74071"/>
    <w:rsid w:val="00A90002"/>
    <w:rsid w:val="00A913E0"/>
    <w:rsid w:val="00A973A6"/>
    <w:rsid w:val="00AA124A"/>
    <w:rsid w:val="00AA2A96"/>
    <w:rsid w:val="00AB28D3"/>
    <w:rsid w:val="00AC2B12"/>
    <w:rsid w:val="00AC6373"/>
    <w:rsid w:val="00AD26CD"/>
    <w:rsid w:val="00AF0919"/>
    <w:rsid w:val="00AF26EB"/>
    <w:rsid w:val="00AF2762"/>
    <w:rsid w:val="00AF4185"/>
    <w:rsid w:val="00B100CC"/>
    <w:rsid w:val="00B13CB4"/>
    <w:rsid w:val="00B14B2B"/>
    <w:rsid w:val="00B1683A"/>
    <w:rsid w:val="00B31BAE"/>
    <w:rsid w:val="00B320E3"/>
    <w:rsid w:val="00B3252A"/>
    <w:rsid w:val="00B42AEC"/>
    <w:rsid w:val="00B511AC"/>
    <w:rsid w:val="00B6689D"/>
    <w:rsid w:val="00B72368"/>
    <w:rsid w:val="00B73BCD"/>
    <w:rsid w:val="00B815AD"/>
    <w:rsid w:val="00B84F80"/>
    <w:rsid w:val="00BA04CC"/>
    <w:rsid w:val="00BB3556"/>
    <w:rsid w:val="00BC3276"/>
    <w:rsid w:val="00BD61BF"/>
    <w:rsid w:val="00BD7A72"/>
    <w:rsid w:val="00BE737E"/>
    <w:rsid w:val="00C221C7"/>
    <w:rsid w:val="00C26EBB"/>
    <w:rsid w:val="00C355EC"/>
    <w:rsid w:val="00C377E9"/>
    <w:rsid w:val="00C40B8D"/>
    <w:rsid w:val="00C43A90"/>
    <w:rsid w:val="00C45702"/>
    <w:rsid w:val="00C54D58"/>
    <w:rsid w:val="00C573E1"/>
    <w:rsid w:val="00C6073A"/>
    <w:rsid w:val="00C7390F"/>
    <w:rsid w:val="00C74F01"/>
    <w:rsid w:val="00C953C5"/>
    <w:rsid w:val="00C956F3"/>
    <w:rsid w:val="00C95DF6"/>
    <w:rsid w:val="00CA1C76"/>
    <w:rsid w:val="00CA743F"/>
    <w:rsid w:val="00CB168D"/>
    <w:rsid w:val="00CC6FA8"/>
    <w:rsid w:val="00CD2586"/>
    <w:rsid w:val="00CE0D4D"/>
    <w:rsid w:val="00D04750"/>
    <w:rsid w:val="00D063DD"/>
    <w:rsid w:val="00D1087F"/>
    <w:rsid w:val="00D32401"/>
    <w:rsid w:val="00D35C48"/>
    <w:rsid w:val="00D50ADD"/>
    <w:rsid w:val="00D645DC"/>
    <w:rsid w:val="00D7682C"/>
    <w:rsid w:val="00D82347"/>
    <w:rsid w:val="00D9166A"/>
    <w:rsid w:val="00D91B41"/>
    <w:rsid w:val="00DA1B7B"/>
    <w:rsid w:val="00DA4021"/>
    <w:rsid w:val="00DA7B39"/>
    <w:rsid w:val="00DB7259"/>
    <w:rsid w:val="00DB79DF"/>
    <w:rsid w:val="00DC1B5C"/>
    <w:rsid w:val="00DC3B9F"/>
    <w:rsid w:val="00DC4A45"/>
    <w:rsid w:val="00DC7633"/>
    <w:rsid w:val="00DE335B"/>
    <w:rsid w:val="00DE4697"/>
    <w:rsid w:val="00DF153F"/>
    <w:rsid w:val="00E00A0D"/>
    <w:rsid w:val="00E14226"/>
    <w:rsid w:val="00E161DD"/>
    <w:rsid w:val="00E17FCF"/>
    <w:rsid w:val="00E4529A"/>
    <w:rsid w:val="00E46438"/>
    <w:rsid w:val="00E50C16"/>
    <w:rsid w:val="00E50ED8"/>
    <w:rsid w:val="00E575C5"/>
    <w:rsid w:val="00E65D5C"/>
    <w:rsid w:val="00E77EB1"/>
    <w:rsid w:val="00E85118"/>
    <w:rsid w:val="00E866AC"/>
    <w:rsid w:val="00EA32F7"/>
    <w:rsid w:val="00EA67FC"/>
    <w:rsid w:val="00EC1E3A"/>
    <w:rsid w:val="00ED3309"/>
    <w:rsid w:val="00ED547E"/>
    <w:rsid w:val="00EE3DE3"/>
    <w:rsid w:val="00EE4FC2"/>
    <w:rsid w:val="00EE662A"/>
    <w:rsid w:val="00EF0B10"/>
    <w:rsid w:val="00EF145A"/>
    <w:rsid w:val="00F04724"/>
    <w:rsid w:val="00F07DF4"/>
    <w:rsid w:val="00F174D8"/>
    <w:rsid w:val="00F230CD"/>
    <w:rsid w:val="00F51C18"/>
    <w:rsid w:val="00F60869"/>
    <w:rsid w:val="00F608A4"/>
    <w:rsid w:val="00F620A1"/>
    <w:rsid w:val="00F74BD9"/>
    <w:rsid w:val="00F77CF6"/>
    <w:rsid w:val="00FA31E2"/>
    <w:rsid w:val="00FA68B3"/>
    <w:rsid w:val="00FA6AF5"/>
    <w:rsid w:val="00FA7A72"/>
    <w:rsid w:val="00FB0CB8"/>
    <w:rsid w:val="00FC5023"/>
    <w:rsid w:val="00FC7355"/>
    <w:rsid w:val="00FF0663"/>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BE737E"/>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311EC2"/>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311EC2"/>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11EC2"/>
    <w:pPr>
      <w:numPr>
        <w:ilvl w:val="1"/>
      </w:numPr>
      <w:spacing w:after="0"/>
    </w:pPr>
    <w:rPr>
      <w:rFonts w:ascii="Calibri" w:eastAsiaTheme="minorEastAsia" w:hAnsi="Calibri"/>
      <w:color w:val="F26322"/>
      <w:spacing w:val="15"/>
      <w:sz w:val="40"/>
    </w:rPr>
  </w:style>
  <w:style w:type="character" w:customStyle="1" w:styleId="SubtitleChar">
    <w:name w:val="Subtitle Char"/>
    <w:basedOn w:val="DefaultParagraphFont"/>
    <w:link w:val="Subtitle"/>
    <w:uiPriority w:val="8"/>
    <w:rsid w:val="00311EC2"/>
    <w:rPr>
      <w:rFonts w:ascii="Calibri" w:eastAsiaTheme="minorEastAsia" w:hAnsi="Calibri"/>
      <w:color w:val="F26322"/>
      <w:spacing w:val="15"/>
      <w:sz w:val="40"/>
    </w:rPr>
  </w:style>
  <w:style w:type="character" w:customStyle="1" w:styleId="Heading1Char">
    <w:name w:val="Heading 1 Char"/>
    <w:basedOn w:val="DefaultParagraphFont"/>
    <w:link w:val="Heading1"/>
    <w:uiPriority w:val="9"/>
    <w:rsid w:val="00BE737E"/>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311EC2"/>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311EC2"/>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4697"/>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BE73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aliases w:val="0Bullet,Bullet point,Bullets,Content descriptions,DDM Gen Text,Dot point 1.5 line spacing,L,List Paragraph - bullets,List Paragraph Number,List Paragraph1,List Paragraph11,List Paragraph111,NAST Quote,Recommendation,b,bullet point list,列"/>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FootnoteText">
    <w:name w:val="footnote text"/>
    <w:basedOn w:val="Normal"/>
    <w:link w:val="FootnoteTextChar"/>
    <w:uiPriority w:val="99"/>
    <w:unhideWhenUsed/>
    <w:rsid w:val="007C075B"/>
    <w:pPr>
      <w:spacing w:after="0" w:line="240" w:lineRule="auto"/>
      <w:jc w:val="both"/>
    </w:pPr>
    <w:rPr>
      <w:sz w:val="20"/>
      <w:szCs w:val="20"/>
      <w:lang w:eastAsia="en-AU"/>
    </w:rPr>
  </w:style>
  <w:style w:type="character" w:customStyle="1" w:styleId="FootnoteTextChar">
    <w:name w:val="Footnote Text Char"/>
    <w:basedOn w:val="DefaultParagraphFont"/>
    <w:link w:val="FootnoteText"/>
    <w:uiPriority w:val="99"/>
    <w:rsid w:val="007C075B"/>
    <w:rPr>
      <w:sz w:val="20"/>
      <w:szCs w:val="20"/>
      <w:lang w:eastAsia="en-AU"/>
    </w:rPr>
  </w:style>
  <w:style w:type="character" w:styleId="FootnoteReference">
    <w:name w:val="footnote reference"/>
    <w:basedOn w:val="DefaultParagraphFont"/>
    <w:uiPriority w:val="99"/>
    <w:semiHidden/>
    <w:unhideWhenUsed/>
    <w:rsid w:val="007C075B"/>
    <w:rPr>
      <w:vertAlign w:val="superscript"/>
    </w:rPr>
  </w:style>
  <w:style w:type="character" w:customStyle="1" w:styleId="ListParagraphChar">
    <w:name w:val="List Paragraph Char"/>
    <w:aliases w:val="0Bullet Char,Bullet point Char,Bullets Char,Content descriptions Char,DDM Gen Text Char,Dot point 1.5 line spacing Char,L Char,List Paragraph - bullets Char,List Paragraph Number Char,List Paragraph1 Char,List Paragraph11 Char,b Char"/>
    <w:basedOn w:val="DefaultParagraphFont"/>
    <w:link w:val="ListParagraph"/>
    <w:uiPriority w:val="34"/>
    <w:qFormat/>
    <w:locked/>
    <w:rsid w:val="007C075B"/>
  </w:style>
  <w:style w:type="character" w:styleId="CommentReference">
    <w:name w:val="annotation reference"/>
    <w:basedOn w:val="DefaultParagraphFont"/>
    <w:uiPriority w:val="99"/>
    <w:semiHidden/>
    <w:unhideWhenUsed/>
    <w:rsid w:val="007C075B"/>
    <w:rPr>
      <w:sz w:val="16"/>
      <w:szCs w:val="16"/>
    </w:rPr>
  </w:style>
  <w:style w:type="paragraph" w:styleId="CommentText">
    <w:name w:val="annotation text"/>
    <w:basedOn w:val="Normal"/>
    <w:link w:val="CommentTextChar"/>
    <w:uiPriority w:val="99"/>
    <w:semiHidden/>
    <w:unhideWhenUsed/>
    <w:rsid w:val="00095CE3"/>
    <w:pPr>
      <w:spacing w:line="240" w:lineRule="auto"/>
    </w:pPr>
    <w:rPr>
      <w:sz w:val="20"/>
      <w:szCs w:val="20"/>
    </w:rPr>
  </w:style>
  <w:style w:type="character" w:customStyle="1" w:styleId="CommentTextChar">
    <w:name w:val="Comment Text Char"/>
    <w:basedOn w:val="DefaultParagraphFont"/>
    <w:link w:val="CommentText"/>
    <w:uiPriority w:val="99"/>
    <w:semiHidden/>
    <w:rsid w:val="00095CE3"/>
    <w:rPr>
      <w:sz w:val="20"/>
      <w:szCs w:val="20"/>
    </w:rPr>
  </w:style>
  <w:style w:type="paragraph" w:styleId="CommentSubject">
    <w:name w:val="annotation subject"/>
    <w:basedOn w:val="CommentText"/>
    <w:next w:val="CommentText"/>
    <w:link w:val="CommentSubjectChar"/>
    <w:uiPriority w:val="99"/>
    <w:semiHidden/>
    <w:unhideWhenUsed/>
    <w:rsid w:val="00095CE3"/>
    <w:rPr>
      <w:b/>
      <w:bCs/>
    </w:rPr>
  </w:style>
  <w:style w:type="character" w:customStyle="1" w:styleId="CommentSubjectChar">
    <w:name w:val="Comment Subject Char"/>
    <w:basedOn w:val="CommentTextChar"/>
    <w:link w:val="CommentSubject"/>
    <w:uiPriority w:val="99"/>
    <w:semiHidden/>
    <w:rsid w:val="00095CE3"/>
    <w:rPr>
      <w:b/>
      <w:bCs/>
      <w:sz w:val="20"/>
      <w:szCs w:val="20"/>
    </w:rPr>
  </w:style>
  <w:style w:type="character" w:styleId="UnresolvedMention">
    <w:name w:val="Unresolved Mention"/>
    <w:basedOn w:val="DefaultParagraphFont"/>
    <w:uiPriority w:val="99"/>
    <w:semiHidden/>
    <w:unhideWhenUsed/>
    <w:rsid w:val="00210F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033585">
      <w:bodyDiv w:val="1"/>
      <w:marLeft w:val="0"/>
      <w:marRight w:val="0"/>
      <w:marTop w:val="0"/>
      <w:marBottom w:val="0"/>
      <w:divBdr>
        <w:top w:val="none" w:sz="0" w:space="0" w:color="auto"/>
        <w:left w:val="none" w:sz="0" w:space="0" w:color="auto"/>
        <w:bottom w:val="none" w:sz="0" w:space="0" w:color="auto"/>
        <w:right w:val="none" w:sz="0" w:space="0" w:color="auto"/>
      </w:divBdr>
    </w:div>
    <w:div w:id="201183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creativecommons.org/licenses/by/3.0/au/legalcode"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5.jpg"/><Relationship Id="rId5" Type="http://schemas.openxmlformats.org/officeDocument/2006/relationships/numbering" Target="numbering.xml"/><Relationship Id="rId15" Type="http://schemas.openxmlformats.org/officeDocument/2006/relationships/hyperlink" Target="http://creativecommons.org/licenses/by/3.0/au/" TargetMode="External"/><Relationship Id="rId23" Type="http://schemas.openxmlformats.org/officeDocument/2006/relationships/image" Target="media/image4.jpg"/><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CC5B5E.C6C84990" TargetMode="External"/><Relationship Id="rId22" Type="http://schemas.openxmlformats.org/officeDocument/2006/relationships/footer" Target="footer3.xml"/><Relationship Id="rId27" Type="http://schemas.openxmlformats.org/officeDocument/2006/relationships/header" Target="header4.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ministers.dese.gov.au/tehan/minister-education-dan-tehan-national-press-club-address"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AE259FD3-8732-4B71-9B23-5995AE563F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E9884A0440FE747B49365087C85212A" ma:contentTypeVersion="" ma:contentTypeDescription="PDMS Document Site Content Type" ma:contentTypeScope="" ma:versionID="d96312a0f84c946cc21d9357134c9a34">
  <xsd:schema xmlns:xsd="http://www.w3.org/2001/XMLSchema" xmlns:xs="http://www.w3.org/2001/XMLSchema" xmlns:p="http://schemas.microsoft.com/office/2006/metadata/properties" xmlns:ns2="AE259FD3-8732-4B71-9B23-5995AE563F58" targetNamespace="http://schemas.microsoft.com/office/2006/metadata/properties" ma:root="true" ma:fieldsID="f3dde6ba0323c9be01b07d5f2dcc7070" ns2:_="">
    <xsd:import namespace="AE259FD3-8732-4B71-9B23-5995AE563F58"/>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59FD3-8732-4B71-9B23-5995AE563F58"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AE259FD3-8732-4B71-9B23-5995AE563F58"/>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AFEF9D8B-88D8-443B-AC88-B9714EB11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59FD3-8732-4B71-9B23-5995AE563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3471</Words>
  <Characters>19791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DESE Report</vt:lpstr>
    </vt:vector>
  </TitlesOfParts>
  <Company/>
  <LinksUpToDate>false</LinksUpToDate>
  <CharactersWithSpaces>23216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 Report</dc:title>
  <dc:subject/>
  <dc:creator/>
  <cp:keywords/>
  <dc:description/>
  <cp:lastModifiedBy/>
  <cp:revision>1</cp:revision>
  <dcterms:created xsi:type="dcterms:W3CDTF">2023-02-21T03:22:00Z</dcterms:created>
  <dcterms:modified xsi:type="dcterms:W3CDTF">2023-02-21T04:19:00Z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0x010100266966F133664895A6EE3632470D45F500DE9884A0440FE747B49365087C85212A</vt:lpwstr>
  </property>
  <property fmtid="{D5CDD505-2E9C-101B-9397-08002B2CF9AE}" pid="3" name="MSIP_Label_5f877481-9e35-4b68-b667-876a73c6db41_Enabled">
    <vt:lpwstr>true</vt:lpwstr>
  </property>
  <property fmtid="{D5CDD505-2E9C-101B-9397-08002B2CF9AE}" pid="4" name="MSIP_Label_5f877481-9e35-4b68-b667-876a73c6db41_SetDate">
    <vt:lpwstr>2022-06-10T09:07:07Z</vt:lpwstr>
  </property>
  <property fmtid="{D5CDD505-2E9C-101B-9397-08002B2CF9AE}" pid="5" name="MSIP_Label_5f877481-9e35-4b68-b667-876a73c6db41_Method">
    <vt:lpwstr>Privileged</vt:lpwstr>
  </property>
  <property fmtid="{D5CDD505-2E9C-101B-9397-08002B2CF9AE}" pid="6" name="MSIP_Label_5f877481-9e35-4b68-b667-876a73c6db41_Name">
    <vt:lpwstr>5f877481-9e35-4b68-b667-876a73c6db41</vt:lpwstr>
  </property>
  <property fmtid="{D5CDD505-2E9C-101B-9397-08002B2CF9AE}" pid="7" name="MSIP_Label_5f877481-9e35-4b68-b667-876a73c6db41_SiteId">
    <vt:lpwstr>dd0cfd15-4558-4b12-8bad-ea26984fc417</vt:lpwstr>
  </property>
  <property fmtid="{D5CDD505-2E9C-101B-9397-08002B2CF9AE}" pid="8" name="MSIP_Label_5f877481-9e35-4b68-b667-876a73c6db41_ActionId">
    <vt:lpwstr>8954ec76-2a94-4114-b14b-903fdc821a05</vt:lpwstr>
  </property>
  <property fmtid="{D5CDD505-2E9C-101B-9397-08002B2CF9AE}" pid="9" name="MSIP_Label_5f877481-9e35-4b68-b667-876a73c6db41_ContentBits">
    <vt:lpwstr>0</vt:lpwstr>
  </property>
  <property fmtid="{D5CDD505-2E9C-101B-9397-08002B2CF9AE}" pid="10" name="ItemKeywords">
    <vt:lpwstr/>
  </property>
  <property fmtid="{D5CDD505-2E9C-101B-9397-08002B2CF9AE}" pid="11" name="ItemFunction">
    <vt:lpwstr/>
  </property>
  <property fmtid="{D5CDD505-2E9C-101B-9397-08002B2CF9AE}" pid="12" name="ItemType">
    <vt:lpwstr/>
  </property>
</Properties>
</file>